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ascii="宋体" w:hAnsi="宋体" w:cs="宋体"/>
          <w:color w:val="000000" w:themeColor="text1"/>
          <w:sz w:val="30"/>
          <w:szCs w:val="30"/>
          <w14:textFill>
            <w14:solidFill>
              <w14:schemeClr w14:val="tx1"/>
            </w14:solidFill>
          </w14:textFill>
        </w:rPr>
      </w:pPr>
      <w:bookmarkStart w:id="169" w:name="_GoBack"/>
      <w:r>
        <w:rPr>
          <w:rFonts w:hint="eastAsia" w:ascii="宋体" w:hAnsi="宋体" w:cs="宋体"/>
          <w:color w:val="000000" w:themeColor="text1"/>
          <w:sz w:val="30"/>
          <w:szCs w:val="30"/>
          <w14:textFill>
            <w14:solidFill>
              <w14:schemeClr w14:val="tx1"/>
            </w14:solidFill>
          </w14:textFill>
        </w:rPr>
        <w:t xml:space="preserve">招标编号：510101202101599 </w:t>
      </w:r>
    </w:p>
    <w:p>
      <w:pPr>
        <w:rPr>
          <w:rFonts w:ascii="宋体" w:hAnsi="宋体" w:cs="宋体"/>
          <w:color w:val="000000" w:themeColor="text1"/>
          <w:sz w:val="52"/>
          <w:szCs w:val="52"/>
          <w14:textFill>
            <w14:solidFill>
              <w14:schemeClr w14:val="tx1"/>
            </w14:solidFill>
          </w14:textFill>
        </w:rPr>
      </w:pPr>
    </w:p>
    <w:p>
      <w:pPr>
        <w:jc w:val="center"/>
        <w:rPr>
          <w:rFonts w:ascii="宋体" w:hAnsi="宋体" w:cs="宋体"/>
          <w:color w:val="000000" w:themeColor="text1"/>
          <w:sz w:val="52"/>
          <w:szCs w:val="52"/>
          <w14:textFill>
            <w14:solidFill>
              <w14:schemeClr w14:val="tx1"/>
            </w14:solidFill>
          </w14:textFill>
        </w:rPr>
      </w:pPr>
      <w:r>
        <w:rPr>
          <w:rFonts w:hint="eastAsia" w:ascii="宋体" w:hAnsi="宋体" w:cs="宋体"/>
          <w:b/>
          <w:bCs/>
          <w:color w:val="000000" w:themeColor="text1"/>
          <w:sz w:val="52"/>
          <w:szCs w:val="52"/>
          <w14:textFill>
            <w14:solidFill>
              <w14:schemeClr w14:val="tx1"/>
            </w14:solidFill>
          </w14:textFill>
        </w:rPr>
        <w:t>成都市国土空间规划城市体检评估</w:t>
      </w:r>
    </w:p>
    <w:p>
      <w:pPr>
        <w:rPr>
          <w:rFonts w:ascii="宋体" w:hAnsi="宋体" w:cs="宋体"/>
          <w:color w:val="000000" w:themeColor="text1"/>
          <w:sz w:val="52"/>
          <w:szCs w:val="52"/>
          <w14:textFill>
            <w14:solidFill>
              <w14:schemeClr w14:val="tx1"/>
            </w14:solidFill>
          </w14:textFill>
        </w:rPr>
      </w:pPr>
    </w:p>
    <w:p>
      <w:pPr>
        <w:rPr>
          <w:rFonts w:ascii="宋体" w:hAnsi="宋体" w:cs="宋体"/>
          <w:color w:val="000000" w:themeColor="text1"/>
          <w:sz w:val="52"/>
          <w:szCs w:val="52"/>
          <w14:textFill>
            <w14:solidFill>
              <w14:schemeClr w14:val="tx1"/>
            </w14:solidFill>
          </w14:textFill>
        </w:rPr>
      </w:pPr>
    </w:p>
    <w:p>
      <w:pPr>
        <w:tabs>
          <w:tab w:val="left" w:pos="2505"/>
          <w:tab w:val="center" w:pos="4204"/>
        </w:tabs>
        <w:jc w:val="center"/>
        <w:rPr>
          <w:rFonts w:ascii="宋体" w:hAnsi="宋体" w:cs="宋体"/>
          <w:color w:val="000000" w:themeColor="text1"/>
          <w:sz w:val="52"/>
          <w:szCs w:val="52"/>
          <w14:textFill>
            <w14:solidFill>
              <w14:schemeClr w14:val="tx1"/>
            </w14:solidFill>
          </w14:textFill>
        </w:rPr>
      </w:pPr>
      <w:r>
        <w:rPr>
          <w:rFonts w:hint="eastAsia" w:ascii="宋体" w:hAnsi="宋体" w:cs="宋体"/>
          <w:color w:val="000000" w:themeColor="text1"/>
          <w:sz w:val="52"/>
          <w:szCs w:val="52"/>
          <w14:textFill>
            <w14:solidFill>
              <w14:schemeClr w14:val="tx1"/>
            </w14:solidFill>
          </w14:textFill>
        </w:rPr>
        <w:t>招</w:t>
      </w:r>
    </w:p>
    <w:p>
      <w:pPr>
        <w:jc w:val="center"/>
        <w:rPr>
          <w:rFonts w:ascii="宋体" w:hAnsi="宋体" w:cs="宋体"/>
          <w:color w:val="000000" w:themeColor="text1"/>
          <w:sz w:val="52"/>
          <w:szCs w:val="52"/>
          <w14:textFill>
            <w14:solidFill>
              <w14:schemeClr w14:val="tx1"/>
            </w14:solidFill>
          </w14:textFill>
        </w:rPr>
      </w:pPr>
      <w:r>
        <w:rPr>
          <w:rFonts w:hint="eastAsia" w:ascii="宋体" w:hAnsi="宋体" w:cs="宋体"/>
          <w:color w:val="000000" w:themeColor="text1"/>
          <w:sz w:val="52"/>
          <w:szCs w:val="52"/>
          <w14:textFill>
            <w14:solidFill>
              <w14:schemeClr w14:val="tx1"/>
            </w14:solidFill>
          </w14:textFill>
        </w:rPr>
        <w:t>标</w:t>
      </w:r>
    </w:p>
    <w:p>
      <w:pPr>
        <w:jc w:val="center"/>
        <w:rPr>
          <w:rFonts w:ascii="宋体" w:hAnsi="宋体" w:cs="宋体"/>
          <w:color w:val="000000" w:themeColor="text1"/>
          <w:sz w:val="52"/>
          <w:szCs w:val="52"/>
          <w14:textFill>
            <w14:solidFill>
              <w14:schemeClr w14:val="tx1"/>
            </w14:solidFill>
          </w14:textFill>
        </w:rPr>
      </w:pPr>
      <w:r>
        <w:rPr>
          <w:rFonts w:hint="eastAsia" w:ascii="宋体" w:hAnsi="宋体" w:cs="宋体"/>
          <w:color w:val="000000" w:themeColor="text1"/>
          <w:sz w:val="52"/>
          <w:szCs w:val="52"/>
          <w14:textFill>
            <w14:solidFill>
              <w14:schemeClr w14:val="tx1"/>
            </w14:solidFill>
          </w14:textFill>
        </w:rPr>
        <w:t>文</w:t>
      </w:r>
    </w:p>
    <w:p>
      <w:pPr>
        <w:jc w:val="center"/>
        <w:rPr>
          <w:rFonts w:ascii="宋体" w:hAnsi="宋体" w:cs="宋体"/>
          <w:color w:val="000000" w:themeColor="text1"/>
          <w:sz w:val="52"/>
          <w:szCs w:val="52"/>
          <w14:textFill>
            <w14:solidFill>
              <w14:schemeClr w14:val="tx1"/>
            </w14:solidFill>
          </w14:textFill>
        </w:rPr>
      </w:pPr>
      <w:r>
        <w:rPr>
          <w:rFonts w:hint="eastAsia" w:ascii="宋体" w:hAnsi="宋体" w:cs="宋体"/>
          <w:color w:val="000000" w:themeColor="text1"/>
          <w:sz w:val="52"/>
          <w:szCs w:val="52"/>
          <w14:textFill>
            <w14:solidFill>
              <w14:schemeClr w14:val="tx1"/>
            </w14:solidFill>
          </w14:textFill>
        </w:rPr>
        <w:t>件</w:t>
      </w:r>
    </w:p>
    <w:p>
      <w:pPr>
        <w:spacing w:line="360" w:lineRule="auto"/>
        <w:rPr>
          <w:rFonts w:ascii="宋体" w:hAnsi="宋体" w:cs="宋体"/>
          <w:color w:val="000000" w:themeColor="text1"/>
          <w:sz w:val="32"/>
          <w:szCs w:val="32"/>
          <w14:textFill>
            <w14:solidFill>
              <w14:schemeClr w14:val="tx1"/>
            </w14:solidFill>
          </w14:textFill>
        </w:rPr>
      </w:pPr>
    </w:p>
    <w:p>
      <w:pPr>
        <w:spacing w:line="360" w:lineRule="auto"/>
        <w:rPr>
          <w:rFonts w:ascii="宋体" w:hAnsi="宋体" w:cs="宋体"/>
          <w:color w:val="000000" w:themeColor="text1"/>
          <w:sz w:val="32"/>
          <w:szCs w:val="32"/>
          <w14:textFill>
            <w14:solidFill>
              <w14:schemeClr w14:val="tx1"/>
            </w14:solidFill>
          </w14:textFill>
        </w:rPr>
      </w:pPr>
    </w:p>
    <w:p>
      <w:pPr>
        <w:spacing w:line="360" w:lineRule="auto"/>
        <w:rPr>
          <w:rFonts w:ascii="宋体" w:hAnsi="宋体" w:cs="宋体"/>
          <w:color w:val="000000" w:themeColor="text1"/>
          <w:sz w:val="32"/>
          <w:szCs w:val="32"/>
          <w14:textFill>
            <w14:solidFill>
              <w14:schemeClr w14:val="tx1"/>
            </w14:solidFill>
          </w14:textFill>
        </w:rPr>
      </w:pPr>
    </w:p>
    <w:p>
      <w:pPr>
        <w:spacing w:line="360" w:lineRule="auto"/>
        <w:jc w:val="center"/>
        <w:rPr>
          <w:rFonts w:ascii="宋体" w:hAnsi="宋体" w:cs="宋体"/>
          <w:color w:val="000000" w:themeColor="text1"/>
          <w:sz w:val="32"/>
          <w:szCs w:val="32"/>
          <w14:textFill>
            <w14:solidFill>
              <w14:schemeClr w14:val="tx1"/>
            </w14:solidFill>
          </w14:textFill>
        </w:rPr>
      </w:pPr>
      <w:r>
        <w:rPr>
          <w:rFonts w:hint="eastAsia" w:ascii="宋体" w:hAnsi="宋体" w:cs="宋体"/>
          <w:color w:val="000000" w:themeColor="text1"/>
          <w:sz w:val="32"/>
          <w:szCs w:val="32"/>
          <w14:textFill>
            <w14:solidFill>
              <w14:schemeClr w14:val="tx1"/>
            </w14:solidFill>
          </w14:textFill>
        </w:rPr>
        <w:t>成都市规划和自然资源局</w:t>
      </w:r>
    </w:p>
    <w:p>
      <w:pPr>
        <w:spacing w:line="360" w:lineRule="auto"/>
        <w:jc w:val="center"/>
        <w:rPr>
          <w:rFonts w:ascii="宋体" w:hAnsi="宋体" w:cs="宋体"/>
          <w:color w:val="000000" w:themeColor="text1"/>
          <w:sz w:val="32"/>
          <w:szCs w:val="32"/>
          <w14:textFill>
            <w14:solidFill>
              <w14:schemeClr w14:val="tx1"/>
            </w14:solidFill>
          </w14:textFill>
        </w:rPr>
      </w:pPr>
      <w:r>
        <w:rPr>
          <w:rFonts w:hint="eastAsia" w:ascii="宋体" w:hAnsi="宋体" w:cs="宋体"/>
          <w:color w:val="000000" w:themeColor="text1"/>
          <w:sz w:val="32"/>
          <w:szCs w:val="32"/>
          <w14:textFill>
            <w14:solidFill>
              <w14:schemeClr w14:val="tx1"/>
            </w14:solidFill>
          </w14:textFill>
        </w:rPr>
        <w:t>成都科益工程咨询有限公司</w:t>
      </w:r>
    </w:p>
    <w:p>
      <w:pPr>
        <w:spacing w:line="360" w:lineRule="auto"/>
        <w:jc w:val="center"/>
        <w:rPr>
          <w:rFonts w:ascii="宋体" w:hAnsi="宋体" w:cs="宋体"/>
          <w:color w:val="000000" w:themeColor="text1"/>
          <w:sz w:val="32"/>
          <w:szCs w:val="32"/>
          <w14:textFill>
            <w14:solidFill>
              <w14:schemeClr w14:val="tx1"/>
            </w14:solidFill>
          </w14:textFill>
        </w:rPr>
      </w:pPr>
      <w:r>
        <w:rPr>
          <w:rFonts w:hint="eastAsia" w:ascii="宋体" w:hAnsi="宋体" w:cs="宋体"/>
          <w:color w:val="000000" w:themeColor="text1"/>
          <w:sz w:val="32"/>
          <w:szCs w:val="32"/>
          <w14:textFill>
            <w14:solidFill>
              <w14:schemeClr w14:val="tx1"/>
            </w14:solidFill>
          </w14:textFill>
        </w:rPr>
        <w:t>共同编制</w:t>
      </w:r>
    </w:p>
    <w:p>
      <w:pPr>
        <w:spacing w:line="360" w:lineRule="auto"/>
        <w:jc w:val="center"/>
        <w:rPr>
          <w:rFonts w:ascii="宋体" w:hAnsi="宋体" w:cs="宋体"/>
          <w:color w:val="000000" w:themeColor="text1"/>
          <w:sz w:val="30"/>
          <w:szCs w:val="30"/>
          <w14:textFill>
            <w14:solidFill>
              <w14:schemeClr w14:val="tx1"/>
            </w14:solidFill>
          </w14:textFill>
        </w:rPr>
        <w:sectPr>
          <w:pgSz w:w="11907" w:h="16840"/>
          <w:pgMar w:top="1440" w:right="1559" w:bottom="1440" w:left="1559" w:header="851" w:footer="992" w:gutter="0"/>
          <w:cols w:space="720" w:num="1"/>
          <w:titlePg/>
          <w:docGrid w:linePitch="312" w:charSpace="0"/>
        </w:sectPr>
      </w:pPr>
      <w:r>
        <w:rPr>
          <w:rFonts w:hint="eastAsia" w:ascii="宋体" w:hAnsi="宋体" w:cs="宋体"/>
          <w:color w:val="000000" w:themeColor="text1"/>
          <w:sz w:val="30"/>
          <w:szCs w:val="30"/>
          <w14:textFill>
            <w14:solidFill>
              <w14:schemeClr w14:val="tx1"/>
            </w14:solidFill>
          </w14:textFill>
        </w:rPr>
        <w:t>2021年10月</w:t>
      </w:r>
    </w:p>
    <w:p>
      <w:pPr>
        <w:spacing w:line="360" w:lineRule="auto"/>
        <w:jc w:val="center"/>
        <w:rPr>
          <w:rFonts w:ascii="宋体" w:hAnsi="宋体" w:cs="宋体"/>
          <w:b/>
          <w:color w:val="000000" w:themeColor="text1"/>
          <w:sz w:val="30"/>
          <w:szCs w:val="30"/>
          <w14:textFill>
            <w14:solidFill>
              <w14:schemeClr w14:val="tx1"/>
            </w14:solidFill>
          </w14:textFill>
        </w:rPr>
      </w:pPr>
    </w:p>
    <w:p>
      <w:pPr>
        <w:jc w:val="center"/>
        <w:rPr>
          <w:rFonts w:ascii="宋体" w:hAnsi="宋体" w:cs="宋体"/>
          <w:b/>
          <w:bCs/>
          <w:color w:val="000000" w:themeColor="text1"/>
          <w:sz w:val="36"/>
          <w:szCs w:val="36"/>
          <w14:textFill>
            <w14:solidFill>
              <w14:schemeClr w14:val="tx1"/>
            </w14:solidFill>
          </w14:textFill>
        </w:rPr>
      </w:pPr>
      <w:bookmarkStart w:id="0" w:name="_Hlt101843627"/>
      <w:bookmarkEnd w:id="0"/>
      <w:bookmarkStart w:id="1" w:name="_Hlt101233737"/>
      <w:bookmarkEnd w:id="1"/>
      <w:r>
        <w:rPr>
          <w:rFonts w:hint="eastAsia" w:ascii="宋体" w:hAnsi="宋体" w:cs="宋体"/>
          <w:b/>
          <w:bCs/>
          <w:color w:val="000000" w:themeColor="text1"/>
          <w:sz w:val="36"/>
          <w:szCs w:val="36"/>
          <w14:textFill>
            <w14:solidFill>
              <w14:schemeClr w14:val="tx1"/>
            </w14:solidFill>
          </w14:textFill>
        </w:rPr>
        <w:t>目    录</w:t>
      </w:r>
    </w:p>
    <w:p>
      <w:pPr>
        <w:jc w:val="center"/>
        <w:rPr>
          <w:rFonts w:ascii="宋体" w:hAnsi="宋体" w:cs="宋体"/>
          <w:b/>
          <w:bCs/>
          <w:color w:val="000000" w:themeColor="text1"/>
          <w:sz w:val="36"/>
          <w:szCs w:val="36"/>
          <w14:textFill>
            <w14:solidFill>
              <w14:schemeClr w14:val="tx1"/>
            </w14:solidFill>
          </w14:textFill>
        </w:rPr>
      </w:pPr>
    </w:p>
    <w:p>
      <w:pPr>
        <w:pStyle w:val="21"/>
        <w:tabs>
          <w:tab w:val="right" w:leader="middleDot" w:pos="8779"/>
        </w:tabs>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fldChar w:fldCharType="begin"/>
      </w:r>
      <w:r>
        <w:rPr>
          <w:rFonts w:hint="eastAsia" w:ascii="宋体" w:hAnsi="宋体" w:cs="宋体"/>
          <w:color w:val="000000" w:themeColor="text1"/>
          <w:sz w:val="28"/>
          <w:szCs w:val="28"/>
          <w14:textFill>
            <w14:solidFill>
              <w14:schemeClr w14:val="tx1"/>
            </w14:solidFill>
          </w14:textFill>
        </w:rPr>
        <w:instrText xml:space="preserve">TOC \o "1-1" \h \u </w:instrText>
      </w:r>
      <w:r>
        <w:rPr>
          <w:rFonts w:hint="eastAsia" w:ascii="宋体" w:hAnsi="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"_Toc82010455" </w:instrText>
      </w:r>
      <w:r>
        <w:rPr>
          <w:color w:val="000000" w:themeColor="text1"/>
          <w14:textFill>
            <w14:solidFill>
              <w14:schemeClr w14:val="tx1"/>
            </w14:solidFill>
          </w14:textFill>
        </w:rPr>
        <w:fldChar w:fldCharType="separate"/>
      </w:r>
      <w:r>
        <w:rPr>
          <w:rStyle w:val="32"/>
          <w:rFonts w:hint="eastAsia" w:ascii="宋体" w:hAnsi="宋体" w:cs="宋体"/>
          <w:color w:val="000000" w:themeColor="text1"/>
          <w:sz w:val="28"/>
          <w:szCs w:val="28"/>
          <w14:textFill>
            <w14:solidFill>
              <w14:schemeClr w14:val="tx1"/>
            </w14:solidFill>
          </w14:textFill>
        </w:rPr>
        <w:t>第一章  投标邀请</w:t>
      </w:r>
      <w:r>
        <w:rPr>
          <w:rFonts w:hint="eastAsia" w:ascii="宋体" w:hAnsi="宋体" w:cs="宋体"/>
          <w:color w:val="000000" w:themeColor="text1"/>
          <w:sz w:val="28"/>
          <w:szCs w:val="28"/>
          <w14:textFill>
            <w14:solidFill>
              <w14:schemeClr w14:val="tx1"/>
            </w14:solidFill>
          </w14:textFill>
        </w:rPr>
        <w:tab/>
      </w:r>
      <w:r>
        <w:rPr>
          <w:rFonts w:hint="eastAsia" w:ascii="宋体" w:hAnsi="宋体" w:cs="宋体"/>
          <w:color w:val="000000" w:themeColor="text1"/>
          <w:sz w:val="28"/>
          <w:szCs w:val="28"/>
          <w14:textFill>
            <w14:solidFill>
              <w14:schemeClr w14:val="tx1"/>
            </w14:solidFill>
          </w14:textFill>
        </w:rPr>
        <w:fldChar w:fldCharType="begin"/>
      </w:r>
      <w:r>
        <w:rPr>
          <w:rFonts w:hint="eastAsia" w:ascii="宋体" w:hAnsi="宋体" w:cs="宋体"/>
          <w:color w:val="000000" w:themeColor="text1"/>
          <w:sz w:val="28"/>
          <w:szCs w:val="28"/>
          <w14:textFill>
            <w14:solidFill>
              <w14:schemeClr w14:val="tx1"/>
            </w14:solidFill>
          </w14:textFill>
        </w:rPr>
        <w:instrText xml:space="preserve"> PAGEREF _Toc82010455 \h </w:instrText>
      </w:r>
      <w:r>
        <w:rPr>
          <w:rFonts w:hint="eastAsia" w:ascii="宋体" w:hAnsi="宋体" w:cs="宋体"/>
          <w:color w:val="000000" w:themeColor="text1"/>
          <w:sz w:val="28"/>
          <w:szCs w:val="28"/>
          <w14:textFill>
            <w14:solidFill>
              <w14:schemeClr w14:val="tx1"/>
            </w14:solidFill>
          </w14:textFill>
        </w:rPr>
        <w:fldChar w:fldCharType="separate"/>
      </w:r>
      <w:r>
        <w:rPr>
          <w:rFonts w:hint="eastAsia" w:ascii="宋体" w:hAnsi="宋体" w:cs="宋体"/>
          <w:color w:val="000000" w:themeColor="text1"/>
          <w:sz w:val="28"/>
          <w:szCs w:val="28"/>
          <w14:textFill>
            <w14:solidFill>
              <w14:schemeClr w14:val="tx1"/>
            </w14:solidFill>
          </w14:textFill>
        </w:rPr>
        <w:t>1</w:t>
      </w:r>
      <w:r>
        <w:rPr>
          <w:rFonts w:hint="eastAsia" w:ascii="宋体" w:hAnsi="宋体" w:cs="宋体"/>
          <w:color w:val="000000" w:themeColor="text1"/>
          <w:sz w:val="28"/>
          <w:szCs w:val="28"/>
          <w14:textFill>
            <w14:solidFill>
              <w14:schemeClr w14:val="tx1"/>
            </w14:solidFill>
          </w14:textFill>
        </w:rPr>
        <w:fldChar w:fldCharType="end"/>
      </w:r>
      <w:r>
        <w:rPr>
          <w:rFonts w:hint="eastAsia" w:ascii="宋体" w:hAnsi="宋体" w:cs="宋体"/>
          <w:color w:val="000000" w:themeColor="text1"/>
          <w:sz w:val="28"/>
          <w:szCs w:val="28"/>
          <w14:textFill>
            <w14:solidFill>
              <w14:schemeClr w14:val="tx1"/>
            </w14:solidFill>
          </w14:textFill>
        </w:rPr>
        <w:fldChar w:fldCharType="end"/>
      </w:r>
    </w:p>
    <w:p>
      <w:pPr>
        <w:pStyle w:val="21"/>
        <w:tabs>
          <w:tab w:val="right" w:leader="middleDot" w:pos="8779"/>
        </w:tabs>
        <w:rPr>
          <w:rFonts w:ascii="宋体" w:hAnsi="宋体" w:cs="宋体"/>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"_Toc82010456" </w:instrText>
      </w:r>
      <w:r>
        <w:rPr>
          <w:color w:val="000000" w:themeColor="text1"/>
          <w14:textFill>
            <w14:solidFill>
              <w14:schemeClr w14:val="tx1"/>
            </w14:solidFill>
          </w14:textFill>
        </w:rPr>
        <w:fldChar w:fldCharType="separate"/>
      </w:r>
      <w:r>
        <w:rPr>
          <w:rStyle w:val="32"/>
          <w:rFonts w:hint="eastAsia" w:ascii="宋体" w:hAnsi="宋体" w:cs="宋体"/>
          <w:color w:val="000000" w:themeColor="text1"/>
          <w:sz w:val="28"/>
          <w:szCs w:val="28"/>
          <w14:textFill>
            <w14:solidFill>
              <w14:schemeClr w14:val="tx1"/>
            </w14:solidFill>
          </w14:textFill>
        </w:rPr>
        <w:t>第二章  投标人须知</w:t>
      </w:r>
      <w:r>
        <w:rPr>
          <w:rFonts w:hint="eastAsia" w:ascii="宋体" w:hAnsi="宋体" w:cs="宋体"/>
          <w:color w:val="000000" w:themeColor="text1"/>
          <w:sz w:val="28"/>
          <w:szCs w:val="28"/>
          <w14:textFill>
            <w14:solidFill>
              <w14:schemeClr w14:val="tx1"/>
            </w14:solidFill>
          </w14:textFill>
        </w:rPr>
        <w:tab/>
      </w:r>
      <w:r>
        <w:rPr>
          <w:rFonts w:hint="eastAsia" w:ascii="宋体" w:hAnsi="宋体" w:cs="宋体"/>
          <w:color w:val="000000" w:themeColor="text1"/>
          <w:sz w:val="28"/>
          <w:szCs w:val="28"/>
          <w14:textFill>
            <w14:solidFill>
              <w14:schemeClr w14:val="tx1"/>
            </w14:solidFill>
          </w14:textFill>
        </w:rPr>
        <w:fldChar w:fldCharType="begin"/>
      </w:r>
      <w:r>
        <w:rPr>
          <w:rFonts w:hint="eastAsia" w:ascii="宋体" w:hAnsi="宋体" w:cs="宋体"/>
          <w:color w:val="000000" w:themeColor="text1"/>
          <w:sz w:val="28"/>
          <w:szCs w:val="28"/>
          <w14:textFill>
            <w14:solidFill>
              <w14:schemeClr w14:val="tx1"/>
            </w14:solidFill>
          </w14:textFill>
        </w:rPr>
        <w:instrText xml:space="preserve"> PAGEREF _Toc82010456 \h </w:instrText>
      </w:r>
      <w:r>
        <w:rPr>
          <w:rFonts w:hint="eastAsia" w:ascii="宋体" w:hAnsi="宋体" w:cs="宋体"/>
          <w:color w:val="000000" w:themeColor="text1"/>
          <w:sz w:val="28"/>
          <w:szCs w:val="28"/>
          <w14:textFill>
            <w14:solidFill>
              <w14:schemeClr w14:val="tx1"/>
            </w14:solidFill>
          </w14:textFill>
        </w:rPr>
        <w:fldChar w:fldCharType="separate"/>
      </w:r>
      <w:r>
        <w:rPr>
          <w:rFonts w:hint="eastAsia" w:ascii="宋体" w:hAnsi="宋体" w:cs="宋体"/>
          <w:color w:val="000000" w:themeColor="text1"/>
          <w:sz w:val="28"/>
          <w:szCs w:val="28"/>
          <w14:textFill>
            <w14:solidFill>
              <w14:schemeClr w14:val="tx1"/>
            </w14:solidFill>
          </w14:textFill>
        </w:rPr>
        <w:t>4</w:t>
      </w:r>
      <w:r>
        <w:rPr>
          <w:rFonts w:hint="eastAsia" w:ascii="宋体" w:hAnsi="宋体" w:cs="宋体"/>
          <w:color w:val="000000" w:themeColor="text1"/>
          <w:sz w:val="28"/>
          <w:szCs w:val="28"/>
          <w14:textFill>
            <w14:solidFill>
              <w14:schemeClr w14:val="tx1"/>
            </w14:solidFill>
          </w14:textFill>
        </w:rPr>
        <w:fldChar w:fldCharType="end"/>
      </w:r>
      <w:r>
        <w:rPr>
          <w:rFonts w:hint="eastAsia" w:ascii="宋体" w:hAnsi="宋体" w:cs="宋体"/>
          <w:color w:val="000000" w:themeColor="text1"/>
          <w:sz w:val="28"/>
          <w:szCs w:val="28"/>
          <w14:textFill>
            <w14:solidFill>
              <w14:schemeClr w14:val="tx1"/>
            </w14:solidFill>
          </w14:textFill>
        </w:rPr>
        <w:fldChar w:fldCharType="end"/>
      </w:r>
    </w:p>
    <w:p>
      <w:pPr>
        <w:pStyle w:val="21"/>
        <w:tabs>
          <w:tab w:val="right" w:leader="middleDot" w:pos="8779"/>
        </w:tabs>
        <w:rPr>
          <w:rFonts w:ascii="宋体" w:hAnsi="宋体" w:cs="宋体"/>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"_Toc82010457" </w:instrText>
      </w:r>
      <w:r>
        <w:rPr>
          <w:color w:val="000000" w:themeColor="text1"/>
          <w14:textFill>
            <w14:solidFill>
              <w14:schemeClr w14:val="tx1"/>
            </w14:solidFill>
          </w14:textFill>
        </w:rPr>
        <w:fldChar w:fldCharType="separate"/>
      </w:r>
      <w:r>
        <w:rPr>
          <w:rStyle w:val="32"/>
          <w:rFonts w:hint="eastAsia" w:ascii="宋体" w:hAnsi="宋体" w:cs="宋体"/>
          <w:color w:val="000000" w:themeColor="text1"/>
          <w:sz w:val="28"/>
          <w:szCs w:val="28"/>
          <w14:textFill>
            <w14:solidFill>
              <w14:schemeClr w14:val="tx1"/>
            </w14:solidFill>
          </w14:textFill>
        </w:rPr>
        <w:t>第三章  投标文件格式</w:t>
      </w:r>
      <w:r>
        <w:rPr>
          <w:rFonts w:hint="eastAsia" w:ascii="宋体" w:hAnsi="宋体" w:cs="宋体"/>
          <w:color w:val="000000" w:themeColor="text1"/>
          <w:sz w:val="28"/>
          <w:szCs w:val="28"/>
          <w14:textFill>
            <w14:solidFill>
              <w14:schemeClr w14:val="tx1"/>
            </w14:solidFill>
          </w14:textFill>
        </w:rPr>
        <w:tab/>
      </w:r>
      <w:r>
        <w:rPr>
          <w:rFonts w:hint="eastAsia" w:ascii="宋体" w:hAnsi="宋体" w:cs="宋体"/>
          <w:color w:val="000000" w:themeColor="text1"/>
          <w:sz w:val="28"/>
          <w:szCs w:val="28"/>
          <w14:textFill>
            <w14:solidFill>
              <w14:schemeClr w14:val="tx1"/>
            </w14:solidFill>
          </w14:textFill>
        </w:rPr>
        <w:fldChar w:fldCharType="begin"/>
      </w:r>
      <w:r>
        <w:rPr>
          <w:rFonts w:hint="eastAsia" w:ascii="宋体" w:hAnsi="宋体" w:cs="宋体"/>
          <w:color w:val="000000" w:themeColor="text1"/>
          <w:sz w:val="28"/>
          <w:szCs w:val="28"/>
          <w14:textFill>
            <w14:solidFill>
              <w14:schemeClr w14:val="tx1"/>
            </w14:solidFill>
          </w14:textFill>
        </w:rPr>
        <w:instrText xml:space="preserve"> PAGEREF _Toc82010457 \h </w:instrText>
      </w:r>
      <w:r>
        <w:rPr>
          <w:rFonts w:hint="eastAsia" w:ascii="宋体" w:hAnsi="宋体" w:cs="宋体"/>
          <w:color w:val="000000" w:themeColor="text1"/>
          <w:sz w:val="28"/>
          <w:szCs w:val="28"/>
          <w14:textFill>
            <w14:solidFill>
              <w14:schemeClr w14:val="tx1"/>
            </w14:solidFill>
          </w14:textFill>
        </w:rPr>
        <w:fldChar w:fldCharType="separate"/>
      </w:r>
      <w:r>
        <w:rPr>
          <w:rFonts w:hint="eastAsia" w:ascii="宋体" w:hAnsi="宋体" w:cs="宋体"/>
          <w:color w:val="000000" w:themeColor="text1"/>
          <w:sz w:val="28"/>
          <w:szCs w:val="28"/>
          <w14:textFill>
            <w14:solidFill>
              <w14:schemeClr w14:val="tx1"/>
            </w14:solidFill>
          </w14:textFill>
        </w:rPr>
        <w:t>20</w:t>
      </w:r>
      <w:r>
        <w:rPr>
          <w:rFonts w:hint="eastAsia" w:ascii="宋体" w:hAnsi="宋体" w:cs="宋体"/>
          <w:color w:val="000000" w:themeColor="text1"/>
          <w:sz w:val="28"/>
          <w:szCs w:val="28"/>
          <w14:textFill>
            <w14:solidFill>
              <w14:schemeClr w14:val="tx1"/>
            </w14:solidFill>
          </w14:textFill>
        </w:rPr>
        <w:fldChar w:fldCharType="end"/>
      </w:r>
      <w:r>
        <w:rPr>
          <w:rFonts w:hint="eastAsia" w:ascii="宋体" w:hAnsi="宋体" w:cs="宋体"/>
          <w:color w:val="000000" w:themeColor="text1"/>
          <w:sz w:val="28"/>
          <w:szCs w:val="28"/>
          <w14:textFill>
            <w14:solidFill>
              <w14:schemeClr w14:val="tx1"/>
            </w14:solidFill>
          </w14:textFill>
        </w:rPr>
        <w:fldChar w:fldCharType="end"/>
      </w:r>
    </w:p>
    <w:p>
      <w:pPr>
        <w:pStyle w:val="21"/>
        <w:tabs>
          <w:tab w:val="right" w:leader="middleDot" w:pos="8779"/>
        </w:tabs>
        <w:rPr>
          <w:rFonts w:ascii="宋体" w:hAnsi="宋体" w:cs="宋体"/>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"_Toc82010458" </w:instrText>
      </w:r>
      <w:r>
        <w:rPr>
          <w:color w:val="000000" w:themeColor="text1"/>
          <w14:textFill>
            <w14:solidFill>
              <w14:schemeClr w14:val="tx1"/>
            </w14:solidFill>
          </w14:textFill>
        </w:rPr>
        <w:fldChar w:fldCharType="separate"/>
      </w:r>
      <w:r>
        <w:rPr>
          <w:rStyle w:val="32"/>
          <w:rFonts w:hint="eastAsia" w:ascii="宋体" w:hAnsi="宋体" w:cs="宋体"/>
          <w:color w:val="000000" w:themeColor="text1"/>
          <w:sz w:val="28"/>
          <w:szCs w:val="28"/>
          <w14:textFill>
            <w14:solidFill>
              <w14:schemeClr w14:val="tx1"/>
            </w14:solidFill>
          </w14:textFill>
        </w:rPr>
        <w:t>第四章  投标人和投标产品的资格、资质性及其他类似效力要求</w:t>
      </w:r>
      <w:r>
        <w:rPr>
          <w:rFonts w:hint="eastAsia" w:ascii="宋体" w:hAnsi="宋体" w:cs="宋体"/>
          <w:color w:val="000000" w:themeColor="text1"/>
          <w:sz w:val="28"/>
          <w:szCs w:val="28"/>
          <w14:textFill>
            <w14:solidFill>
              <w14:schemeClr w14:val="tx1"/>
            </w14:solidFill>
          </w14:textFill>
        </w:rPr>
        <w:tab/>
      </w:r>
      <w:r>
        <w:rPr>
          <w:rFonts w:hint="eastAsia" w:ascii="宋体" w:hAnsi="宋体" w:cs="宋体"/>
          <w:color w:val="000000" w:themeColor="text1"/>
          <w:sz w:val="28"/>
          <w:szCs w:val="28"/>
          <w14:textFill>
            <w14:solidFill>
              <w14:schemeClr w14:val="tx1"/>
            </w14:solidFill>
          </w14:textFill>
        </w:rPr>
        <w:fldChar w:fldCharType="begin"/>
      </w:r>
      <w:r>
        <w:rPr>
          <w:rFonts w:hint="eastAsia" w:ascii="宋体" w:hAnsi="宋体" w:cs="宋体"/>
          <w:color w:val="000000" w:themeColor="text1"/>
          <w:sz w:val="28"/>
          <w:szCs w:val="28"/>
          <w14:textFill>
            <w14:solidFill>
              <w14:schemeClr w14:val="tx1"/>
            </w14:solidFill>
          </w14:textFill>
        </w:rPr>
        <w:instrText xml:space="preserve"> PAGEREF _Toc82010458 \h </w:instrText>
      </w:r>
      <w:r>
        <w:rPr>
          <w:rFonts w:hint="eastAsia" w:ascii="宋体" w:hAnsi="宋体" w:cs="宋体"/>
          <w:color w:val="000000" w:themeColor="text1"/>
          <w:sz w:val="28"/>
          <w:szCs w:val="28"/>
          <w14:textFill>
            <w14:solidFill>
              <w14:schemeClr w14:val="tx1"/>
            </w14:solidFill>
          </w14:textFill>
        </w:rPr>
        <w:fldChar w:fldCharType="separate"/>
      </w:r>
      <w:r>
        <w:rPr>
          <w:rFonts w:hint="eastAsia" w:ascii="宋体" w:hAnsi="宋体" w:cs="宋体"/>
          <w:color w:val="000000" w:themeColor="text1"/>
          <w:sz w:val="28"/>
          <w:szCs w:val="28"/>
          <w14:textFill>
            <w14:solidFill>
              <w14:schemeClr w14:val="tx1"/>
            </w14:solidFill>
          </w14:textFill>
        </w:rPr>
        <w:t>38</w:t>
      </w:r>
      <w:r>
        <w:rPr>
          <w:rFonts w:hint="eastAsia" w:ascii="宋体" w:hAnsi="宋体" w:cs="宋体"/>
          <w:color w:val="000000" w:themeColor="text1"/>
          <w:sz w:val="28"/>
          <w:szCs w:val="28"/>
          <w14:textFill>
            <w14:solidFill>
              <w14:schemeClr w14:val="tx1"/>
            </w14:solidFill>
          </w14:textFill>
        </w:rPr>
        <w:fldChar w:fldCharType="end"/>
      </w:r>
      <w:r>
        <w:rPr>
          <w:rFonts w:hint="eastAsia" w:ascii="宋体" w:hAnsi="宋体" w:cs="宋体"/>
          <w:color w:val="000000" w:themeColor="text1"/>
          <w:sz w:val="28"/>
          <w:szCs w:val="28"/>
          <w14:textFill>
            <w14:solidFill>
              <w14:schemeClr w14:val="tx1"/>
            </w14:solidFill>
          </w14:textFill>
        </w:rPr>
        <w:fldChar w:fldCharType="end"/>
      </w:r>
    </w:p>
    <w:p>
      <w:pPr>
        <w:pStyle w:val="21"/>
        <w:tabs>
          <w:tab w:val="right" w:leader="middleDot" w:pos="8779"/>
        </w:tabs>
        <w:rPr>
          <w:rFonts w:ascii="宋体" w:hAnsi="宋体" w:cs="宋体"/>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"_Toc82010459" </w:instrText>
      </w:r>
      <w:r>
        <w:rPr>
          <w:color w:val="000000" w:themeColor="text1"/>
          <w14:textFill>
            <w14:solidFill>
              <w14:schemeClr w14:val="tx1"/>
            </w14:solidFill>
          </w14:textFill>
        </w:rPr>
        <w:fldChar w:fldCharType="separate"/>
      </w:r>
      <w:r>
        <w:rPr>
          <w:rStyle w:val="32"/>
          <w:rFonts w:hint="eastAsia" w:ascii="宋体" w:hAnsi="宋体" w:cs="宋体"/>
          <w:color w:val="000000" w:themeColor="text1"/>
          <w:sz w:val="28"/>
          <w:szCs w:val="28"/>
          <w14:textFill>
            <w14:solidFill>
              <w14:schemeClr w14:val="tx1"/>
            </w14:solidFill>
          </w14:textFill>
        </w:rPr>
        <w:t>第五章  资格性审查要求</w:t>
      </w:r>
      <w:r>
        <w:rPr>
          <w:rFonts w:hint="eastAsia" w:ascii="宋体" w:hAnsi="宋体" w:cs="宋体"/>
          <w:color w:val="000000" w:themeColor="text1"/>
          <w:sz w:val="28"/>
          <w:szCs w:val="28"/>
          <w14:textFill>
            <w14:solidFill>
              <w14:schemeClr w14:val="tx1"/>
            </w14:solidFill>
          </w14:textFill>
        </w:rPr>
        <w:tab/>
      </w:r>
      <w:r>
        <w:rPr>
          <w:rFonts w:hint="eastAsia" w:ascii="宋体" w:hAnsi="宋体" w:cs="宋体"/>
          <w:color w:val="000000" w:themeColor="text1"/>
          <w:sz w:val="28"/>
          <w:szCs w:val="28"/>
          <w14:textFill>
            <w14:solidFill>
              <w14:schemeClr w14:val="tx1"/>
            </w14:solidFill>
          </w14:textFill>
        </w:rPr>
        <w:fldChar w:fldCharType="begin"/>
      </w:r>
      <w:r>
        <w:rPr>
          <w:rFonts w:hint="eastAsia" w:ascii="宋体" w:hAnsi="宋体" w:cs="宋体"/>
          <w:color w:val="000000" w:themeColor="text1"/>
          <w:sz w:val="28"/>
          <w:szCs w:val="28"/>
          <w14:textFill>
            <w14:solidFill>
              <w14:schemeClr w14:val="tx1"/>
            </w14:solidFill>
          </w14:textFill>
        </w:rPr>
        <w:instrText xml:space="preserve"> PAGEREF _Toc82010459 \h </w:instrText>
      </w:r>
      <w:r>
        <w:rPr>
          <w:rFonts w:hint="eastAsia" w:ascii="宋体" w:hAnsi="宋体" w:cs="宋体"/>
          <w:color w:val="000000" w:themeColor="text1"/>
          <w:sz w:val="28"/>
          <w:szCs w:val="28"/>
          <w14:textFill>
            <w14:solidFill>
              <w14:schemeClr w14:val="tx1"/>
            </w14:solidFill>
          </w14:textFill>
        </w:rPr>
        <w:fldChar w:fldCharType="separate"/>
      </w:r>
      <w:r>
        <w:rPr>
          <w:rFonts w:hint="eastAsia" w:ascii="宋体" w:hAnsi="宋体" w:cs="宋体"/>
          <w:color w:val="000000" w:themeColor="text1"/>
          <w:sz w:val="28"/>
          <w:szCs w:val="28"/>
          <w14:textFill>
            <w14:solidFill>
              <w14:schemeClr w14:val="tx1"/>
            </w14:solidFill>
          </w14:textFill>
        </w:rPr>
        <w:t>39</w:t>
      </w:r>
      <w:r>
        <w:rPr>
          <w:rFonts w:hint="eastAsia" w:ascii="宋体" w:hAnsi="宋体" w:cs="宋体"/>
          <w:color w:val="000000" w:themeColor="text1"/>
          <w:sz w:val="28"/>
          <w:szCs w:val="28"/>
          <w14:textFill>
            <w14:solidFill>
              <w14:schemeClr w14:val="tx1"/>
            </w14:solidFill>
          </w14:textFill>
        </w:rPr>
        <w:fldChar w:fldCharType="end"/>
      </w:r>
      <w:r>
        <w:rPr>
          <w:rFonts w:hint="eastAsia" w:ascii="宋体" w:hAnsi="宋体" w:cs="宋体"/>
          <w:color w:val="000000" w:themeColor="text1"/>
          <w:sz w:val="28"/>
          <w:szCs w:val="28"/>
          <w14:textFill>
            <w14:solidFill>
              <w14:schemeClr w14:val="tx1"/>
            </w14:solidFill>
          </w14:textFill>
        </w:rPr>
        <w:fldChar w:fldCharType="end"/>
      </w:r>
    </w:p>
    <w:p>
      <w:pPr>
        <w:pStyle w:val="21"/>
        <w:tabs>
          <w:tab w:val="right" w:leader="middleDot" w:pos="8779"/>
        </w:tabs>
        <w:rPr>
          <w:rFonts w:ascii="宋体" w:hAnsi="宋体" w:cs="宋体"/>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"_Toc82010460" </w:instrText>
      </w:r>
      <w:r>
        <w:rPr>
          <w:color w:val="000000" w:themeColor="text1"/>
          <w14:textFill>
            <w14:solidFill>
              <w14:schemeClr w14:val="tx1"/>
            </w14:solidFill>
          </w14:textFill>
        </w:rPr>
        <w:fldChar w:fldCharType="separate"/>
      </w:r>
      <w:r>
        <w:rPr>
          <w:rStyle w:val="32"/>
          <w:rFonts w:hint="eastAsia" w:ascii="宋体" w:hAnsi="宋体" w:cs="宋体"/>
          <w:color w:val="000000" w:themeColor="text1"/>
          <w:sz w:val="28"/>
          <w:szCs w:val="28"/>
          <w14:textFill>
            <w14:solidFill>
              <w14:schemeClr w14:val="tx1"/>
            </w14:solidFill>
          </w14:textFill>
        </w:rPr>
        <w:t>第六章  招标项目技术、服务、政府采购合同内容条款及其他商务要求</w:t>
      </w:r>
      <w:r>
        <w:rPr>
          <w:rFonts w:hint="eastAsia" w:ascii="宋体" w:hAnsi="宋体" w:cs="宋体"/>
          <w:color w:val="000000" w:themeColor="text1"/>
          <w:sz w:val="28"/>
          <w:szCs w:val="28"/>
          <w14:textFill>
            <w14:solidFill>
              <w14:schemeClr w14:val="tx1"/>
            </w14:solidFill>
          </w14:textFill>
        </w:rPr>
        <w:tab/>
      </w:r>
      <w:r>
        <w:rPr>
          <w:rFonts w:hint="eastAsia" w:ascii="宋体" w:hAnsi="宋体" w:cs="宋体"/>
          <w:color w:val="000000" w:themeColor="text1"/>
          <w:sz w:val="28"/>
          <w:szCs w:val="28"/>
          <w14:textFill>
            <w14:solidFill>
              <w14:schemeClr w14:val="tx1"/>
            </w14:solidFill>
          </w14:textFill>
        </w:rPr>
        <w:fldChar w:fldCharType="begin"/>
      </w:r>
      <w:r>
        <w:rPr>
          <w:rFonts w:hint="eastAsia" w:ascii="宋体" w:hAnsi="宋体" w:cs="宋体"/>
          <w:color w:val="000000" w:themeColor="text1"/>
          <w:sz w:val="28"/>
          <w:szCs w:val="28"/>
          <w14:textFill>
            <w14:solidFill>
              <w14:schemeClr w14:val="tx1"/>
            </w14:solidFill>
          </w14:textFill>
        </w:rPr>
        <w:instrText xml:space="preserve"> PAGEREF _Toc82010460 \h </w:instrText>
      </w:r>
      <w:r>
        <w:rPr>
          <w:rFonts w:hint="eastAsia" w:ascii="宋体" w:hAnsi="宋体" w:cs="宋体"/>
          <w:color w:val="000000" w:themeColor="text1"/>
          <w:sz w:val="28"/>
          <w:szCs w:val="28"/>
          <w14:textFill>
            <w14:solidFill>
              <w14:schemeClr w14:val="tx1"/>
            </w14:solidFill>
          </w14:textFill>
        </w:rPr>
        <w:fldChar w:fldCharType="separate"/>
      </w:r>
      <w:r>
        <w:rPr>
          <w:rFonts w:hint="eastAsia" w:ascii="宋体" w:hAnsi="宋体" w:cs="宋体"/>
          <w:color w:val="000000" w:themeColor="text1"/>
          <w:sz w:val="28"/>
          <w:szCs w:val="28"/>
          <w14:textFill>
            <w14:solidFill>
              <w14:schemeClr w14:val="tx1"/>
            </w14:solidFill>
          </w14:textFill>
        </w:rPr>
        <w:t>42</w:t>
      </w:r>
      <w:r>
        <w:rPr>
          <w:rFonts w:hint="eastAsia" w:ascii="宋体" w:hAnsi="宋体" w:cs="宋体"/>
          <w:color w:val="000000" w:themeColor="text1"/>
          <w:sz w:val="28"/>
          <w:szCs w:val="28"/>
          <w14:textFill>
            <w14:solidFill>
              <w14:schemeClr w14:val="tx1"/>
            </w14:solidFill>
          </w14:textFill>
        </w:rPr>
        <w:fldChar w:fldCharType="end"/>
      </w:r>
      <w:r>
        <w:rPr>
          <w:rFonts w:hint="eastAsia" w:ascii="宋体" w:hAnsi="宋体" w:cs="宋体"/>
          <w:color w:val="000000" w:themeColor="text1"/>
          <w:sz w:val="28"/>
          <w:szCs w:val="28"/>
          <w14:textFill>
            <w14:solidFill>
              <w14:schemeClr w14:val="tx1"/>
            </w14:solidFill>
          </w14:textFill>
        </w:rPr>
        <w:fldChar w:fldCharType="end"/>
      </w:r>
    </w:p>
    <w:p>
      <w:pPr>
        <w:pStyle w:val="21"/>
        <w:tabs>
          <w:tab w:val="right" w:leader="middleDot" w:pos="8779"/>
        </w:tabs>
        <w:rPr>
          <w:rFonts w:ascii="宋体" w:hAnsi="宋体" w:cs="宋体"/>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"_Toc82010461" </w:instrText>
      </w:r>
      <w:r>
        <w:rPr>
          <w:color w:val="000000" w:themeColor="text1"/>
          <w14:textFill>
            <w14:solidFill>
              <w14:schemeClr w14:val="tx1"/>
            </w14:solidFill>
          </w14:textFill>
        </w:rPr>
        <w:fldChar w:fldCharType="separate"/>
      </w:r>
      <w:r>
        <w:rPr>
          <w:rStyle w:val="32"/>
          <w:rFonts w:hint="eastAsia" w:ascii="宋体" w:hAnsi="宋体" w:cs="宋体"/>
          <w:color w:val="000000" w:themeColor="text1"/>
          <w:sz w:val="28"/>
          <w:szCs w:val="28"/>
          <w14:textFill>
            <w14:solidFill>
              <w14:schemeClr w14:val="tx1"/>
            </w14:solidFill>
          </w14:textFill>
        </w:rPr>
        <w:t>第七章  评标办法</w:t>
      </w:r>
      <w:r>
        <w:rPr>
          <w:rFonts w:hint="eastAsia" w:ascii="宋体" w:hAnsi="宋体" w:cs="宋体"/>
          <w:color w:val="000000" w:themeColor="text1"/>
          <w:sz w:val="28"/>
          <w:szCs w:val="28"/>
          <w14:textFill>
            <w14:solidFill>
              <w14:schemeClr w14:val="tx1"/>
            </w14:solidFill>
          </w14:textFill>
        </w:rPr>
        <w:tab/>
      </w:r>
      <w:r>
        <w:rPr>
          <w:rFonts w:hint="eastAsia" w:ascii="宋体" w:hAnsi="宋体" w:cs="宋体"/>
          <w:color w:val="000000" w:themeColor="text1"/>
          <w:sz w:val="28"/>
          <w:szCs w:val="28"/>
          <w14:textFill>
            <w14:solidFill>
              <w14:schemeClr w14:val="tx1"/>
            </w14:solidFill>
          </w14:textFill>
        </w:rPr>
        <w:fldChar w:fldCharType="begin"/>
      </w:r>
      <w:r>
        <w:rPr>
          <w:rFonts w:hint="eastAsia" w:ascii="宋体" w:hAnsi="宋体" w:cs="宋体"/>
          <w:color w:val="000000" w:themeColor="text1"/>
          <w:sz w:val="28"/>
          <w:szCs w:val="28"/>
          <w14:textFill>
            <w14:solidFill>
              <w14:schemeClr w14:val="tx1"/>
            </w14:solidFill>
          </w14:textFill>
        </w:rPr>
        <w:instrText xml:space="preserve"> PAGEREF _Toc82010461 \h </w:instrText>
      </w:r>
      <w:r>
        <w:rPr>
          <w:rFonts w:hint="eastAsia" w:ascii="宋体" w:hAnsi="宋体" w:cs="宋体"/>
          <w:color w:val="000000" w:themeColor="text1"/>
          <w:sz w:val="28"/>
          <w:szCs w:val="28"/>
          <w14:textFill>
            <w14:solidFill>
              <w14:schemeClr w14:val="tx1"/>
            </w14:solidFill>
          </w14:textFill>
        </w:rPr>
        <w:fldChar w:fldCharType="separate"/>
      </w:r>
      <w:r>
        <w:rPr>
          <w:rFonts w:hint="eastAsia" w:ascii="宋体" w:hAnsi="宋体" w:cs="宋体"/>
          <w:color w:val="000000" w:themeColor="text1"/>
          <w:sz w:val="28"/>
          <w:szCs w:val="28"/>
          <w14:textFill>
            <w14:solidFill>
              <w14:schemeClr w14:val="tx1"/>
            </w14:solidFill>
          </w14:textFill>
        </w:rPr>
        <w:t>45</w:t>
      </w:r>
      <w:r>
        <w:rPr>
          <w:rFonts w:hint="eastAsia" w:ascii="宋体" w:hAnsi="宋体" w:cs="宋体"/>
          <w:color w:val="000000" w:themeColor="text1"/>
          <w:sz w:val="28"/>
          <w:szCs w:val="28"/>
          <w14:textFill>
            <w14:solidFill>
              <w14:schemeClr w14:val="tx1"/>
            </w14:solidFill>
          </w14:textFill>
        </w:rPr>
        <w:fldChar w:fldCharType="end"/>
      </w:r>
      <w:r>
        <w:rPr>
          <w:rFonts w:hint="eastAsia" w:ascii="宋体" w:hAnsi="宋体" w:cs="宋体"/>
          <w:color w:val="000000" w:themeColor="text1"/>
          <w:sz w:val="28"/>
          <w:szCs w:val="28"/>
          <w14:textFill>
            <w14:solidFill>
              <w14:schemeClr w14:val="tx1"/>
            </w14:solidFill>
          </w14:textFill>
        </w:rPr>
        <w:fldChar w:fldCharType="end"/>
      </w:r>
    </w:p>
    <w:p>
      <w:pPr>
        <w:pStyle w:val="21"/>
        <w:tabs>
          <w:tab w:val="right" w:leader="middleDot" w:pos="8779"/>
        </w:tabs>
        <w:rPr>
          <w:rFonts w:ascii="宋体" w:hAnsi="宋体" w:cs="宋体"/>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"_Toc82010462" </w:instrText>
      </w:r>
      <w:r>
        <w:rPr>
          <w:color w:val="000000" w:themeColor="text1"/>
          <w14:textFill>
            <w14:solidFill>
              <w14:schemeClr w14:val="tx1"/>
            </w14:solidFill>
          </w14:textFill>
        </w:rPr>
        <w:fldChar w:fldCharType="separate"/>
      </w:r>
      <w:r>
        <w:rPr>
          <w:rStyle w:val="32"/>
          <w:rFonts w:hint="eastAsia" w:ascii="宋体" w:hAnsi="宋体" w:cs="宋体"/>
          <w:color w:val="000000" w:themeColor="text1"/>
          <w:sz w:val="28"/>
          <w:szCs w:val="28"/>
          <w14:textFill>
            <w14:solidFill>
              <w14:schemeClr w14:val="tx1"/>
            </w14:solidFill>
          </w14:textFill>
        </w:rPr>
        <w:t>第八章  政府采购合同</w:t>
      </w:r>
      <w:r>
        <w:rPr>
          <w:rFonts w:hint="eastAsia" w:ascii="宋体" w:hAnsi="宋体" w:cs="宋体"/>
          <w:color w:val="000000" w:themeColor="text1"/>
          <w:sz w:val="28"/>
          <w:szCs w:val="28"/>
          <w14:textFill>
            <w14:solidFill>
              <w14:schemeClr w14:val="tx1"/>
            </w14:solidFill>
          </w14:textFill>
        </w:rPr>
        <w:tab/>
      </w:r>
      <w:r>
        <w:rPr>
          <w:rFonts w:hint="eastAsia" w:ascii="宋体" w:hAnsi="宋体" w:cs="宋体"/>
          <w:color w:val="000000" w:themeColor="text1"/>
          <w:sz w:val="28"/>
          <w:szCs w:val="28"/>
          <w14:textFill>
            <w14:solidFill>
              <w14:schemeClr w14:val="tx1"/>
            </w14:solidFill>
          </w14:textFill>
        </w:rPr>
        <w:fldChar w:fldCharType="begin"/>
      </w:r>
      <w:r>
        <w:rPr>
          <w:rFonts w:hint="eastAsia" w:ascii="宋体" w:hAnsi="宋体" w:cs="宋体"/>
          <w:color w:val="000000" w:themeColor="text1"/>
          <w:sz w:val="28"/>
          <w:szCs w:val="28"/>
          <w14:textFill>
            <w14:solidFill>
              <w14:schemeClr w14:val="tx1"/>
            </w14:solidFill>
          </w14:textFill>
        </w:rPr>
        <w:instrText xml:space="preserve"> PAGEREF _Toc82010462 \h </w:instrText>
      </w:r>
      <w:r>
        <w:rPr>
          <w:rFonts w:hint="eastAsia" w:ascii="宋体" w:hAnsi="宋体" w:cs="宋体"/>
          <w:color w:val="000000" w:themeColor="text1"/>
          <w:sz w:val="28"/>
          <w:szCs w:val="28"/>
          <w14:textFill>
            <w14:solidFill>
              <w14:schemeClr w14:val="tx1"/>
            </w14:solidFill>
          </w14:textFill>
        </w:rPr>
        <w:fldChar w:fldCharType="separate"/>
      </w:r>
      <w:r>
        <w:rPr>
          <w:rFonts w:hint="eastAsia" w:ascii="宋体" w:hAnsi="宋体" w:cs="宋体"/>
          <w:color w:val="000000" w:themeColor="text1"/>
          <w:sz w:val="28"/>
          <w:szCs w:val="28"/>
          <w14:textFill>
            <w14:solidFill>
              <w14:schemeClr w14:val="tx1"/>
            </w14:solidFill>
          </w14:textFill>
        </w:rPr>
        <w:t>60</w:t>
      </w:r>
      <w:r>
        <w:rPr>
          <w:rFonts w:hint="eastAsia" w:ascii="宋体" w:hAnsi="宋体" w:cs="宋体"/>
          <w:color w:val="000000" w:themeColor="text1"/>
          <w:sz w:val="28"/>
          <w:szCs w:val="28"/>
          <w14:textFill>
            <w14:solidFill>
              <w14:schemeClr w14:val="tx1"/>
            </w14:solidFill>
          </w14:textFill>
        </w:rPr>
        <w:fldChar w:fldCharType="end"/>
      </w:r>
      <w:r>
        <w:rPr>
          <w:rFonts w:hint="eastAsia" w:ascii="宋体" w:hAnsi="宋体" w:cs="宋体"/>
          <w:color w:val="000000" w:themeColor="text1"/>
          <w:sz w:val="28"/>
          <w:szCs w:val="28"/>
          <w14:textFill>
            <w14:solidFill>
              <w14:schemeClr w14:val="tx1"/>
            </w14:solidFill>
          </w14:textFill>
        </w:rPr>
        <w:fldChar w:fldCharType="end"/>
      </w:r>
    </w:p>
    <w:p>
      <w:pPr>
        <w:spacing w:line="480" w:lineRule="auto"/>
        <w:rPr>
          <w:rFonts w:ascii="宋体" w:hAnsi="宋体" w:cs="宋体"/>
          <w:color w:val="000000" w:themeColor="text1"/>
          <w:sz w:val="28"/>
          <w:szCs w:val="28"/>
          <w14:textFill>
            <w14:solidFill>
              <w14:schemeClr w14:val="tx1"/>
            </w14:solidFill>
          </w14:textFill>
        </w:rPr>
        <w:sectPr>
          <w:pgSz w:w="11907" w:h="16840"/>
          <w:pgMar w:top="1440" w:right="1559" w:bottom="1440" w:left="1559" w:header="851" w:footer="992" w:gutter="0"/>
          <w:cols w:space="720" w:num="1"/>
          <w:docGrid w:linePitch="312" w:charSpace="0"/>
        </w:sectPr>
      </w:pPr>
      <w:r>
        <w:rPr>
          <w:rFonts w:hint="eastAsia" w:ascii="宋体" w:hAnsi="宋体" w:cs="宋体"/>
          <w:color w:val="000000" w:themeColor="text1"/>
          <w:sz w:val="28"/>
          <w:szCs w:val="28"/>
          <w14:textFill>
            <w14:solidFill>
              <w14:schemeClr w14:val="tx1"/>
            </w14:solidFill>
          </w14:textFill>
        </w:rPr>
        <w:fldChar w:fldCharType="end"/>
      </w:r>
      <w:bookmarkStart w:id="2" w:name="_Toc24584"/>
    </w:p>
    <w:bookmarkEnd w:id="2"/>
    <w:p>
      <w:pPr>
        <w:pStyle w:val="4"/>
        <w:spacing w:line="240" w:lineRule="atLeast"/>
        <w:rPr>
          <w:rFonts w:ascii="宋体" w:hAnsi="宋体" w:cs="宋体"/>
          <w:color w:val="000000" w:themeColor="text1"/>
          <w:sz w:val="36"/>
          <w:szCs w:val="36"/>
          <w14:textFill>
            <w14:solidFill>
              <w14:schemeClr w14:val="tx1"/>
            </w14:solidFill>
          </w14:textFill>
        </w:rPr>
      </w:pPr>
      <w:bookmarkStart w:id="3" w:name="_Toc82010455"/>
      <w:bookmarkStart w:id="4" w:name="_Toc12497"/>
      <w:bookmarkStart w:id="5" w:name="_Toc213396945"/>
      <w:bookmarkStart w:id="6" w:name="_Toc213397009"/>
      <w:bookmarkStart w:id="7" w:name="_Toc213396759"/>
      <w:bookmarkStart w:id="8" w:name="_Toc213496267"/>
      <w:bookmarkStart w:id="9" w:name="_Toc217446031"/>
      <w:r>
        <w:rPr>
          <w:rFonts w:hint="eastAsia" w:ascii="宋体" w:hAnsi="宋体" w:cs="宋体"/>
          <w:color w:val="000000" w:themeColor="text1"/>
          <w:sz w:val="36"/>
          <w:szCs w:val="36"/>
          <w14:textFill>
            <w14:solidFill>
              <w14:schemeClr w14:val="tx1"/>
            </w14:solidFill>
          </w14:textFill>
        </w:rPr>
        <w:t>第一章  投标邀请</w:t>
      </w:r>
      <w:bookmarkEnd w:id="3"/>
    </w:p>
    <w:p>
      <w:pPr>
        <w:tabs>
          <w:tab w:val="left" w:pos="7665"/>
        </w:tabs>
        <w:adjustRightInd w:val="0"/>
        <w:snapToGrid w:val="0"/>
        <w:spacing w:after="0"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成都科益工程咨询有限公司</w:t>
      </w:r>
      <w:r>
        <w:rPr>
          <w:rFonts w:hint="eastAsia" w:ascii="宋体" w:hAnsi="宋体" w:cs="宋体"/>
          <w:color w:val="000000" w:themeColor="text1"/>
          <w:sz w:val="24"/>
          <w14:textFill>
            <w14:solidFill>
              <w14:schemeClr w14:val="tx1"/>
            </w14:solidFill>
          </w14:textFill>
        </w:rPr>
        <w:t>受</w:t>
      </w:r>
      <w:r>
        <w:rPr>
          <w:rFonts w:hint="eastAsia" w:ascii="宋体" w:hAnsi="宋体" w:cs="宋体"/>
          <w:b/>
          <w:color w:val="000000" w:themeColor="text1"/>
          <w:sz w:val="24"/>
          <w:u w:val="single"/>
          <w14:textFill>
            <w14:solidFill>
              <w14:schemeClr w14:val="tx1"/>
            </w14:solidFill>
          </w14:textFill>
        </w:rPr>
        <w:t>成都市规划和自然资源局</w:t>
      </w:r>
      <w:r>
        <w:rPr>
          <w:rFonts w:hint="eastAsia" w:ascii="宋体" w:hAnsi="宋体" w:cs="宋体"/>
          <w:color w:val="000000" w:themeColor="text1"/>
          <w:sz w:val="24"/>
          <w14:textFill>
            <w14:solidFill>
              <w14:schemeClr w14:val="tx1"/>
            </w14:solidFill>
          </w14:textFill>
        </w:rPr>
        <w:t>委托，拟对</w:t>
      </w:r>
      <w:bookmarkStart w:id="10" w:name="PO_默认文件内容_6"/>
      <w:r>
        <w:rPr>
          <w:rFonts w:hint="eastAsia" w:ascii="宋体" w:hAnsi="宋体" w:cs="宋体"/>
          <w:b/>
          <w:color w:val="000000" w:themeColor="text1"/>
          <w:sz w:val="24"/>
          <w:u w:val="single"/>
          <w14:textFill>
            <w14:solidFill>
              <w14:schemeClr w14:val="tx1"/>
            </w14:solidFill>
          </w14:textFill>
        </w:rPr>
        <w:t>成都市国土空间规划城市体检评估项目</w:t>
      </w:r>
      <w:r>
        <w:rPr>
          <w:rFonts w:hint="eastAsia" w:ascii="宋体" w:hAnsi="宋体" w:cs="宋体"/>
          <w:color w:val="000000" w:themeColor="text1"/>
          <w:sz w:val="24"/>
          <w14:textFill>
            <w14:solidFill>
              <w14:schemeClr w14:val="tx1"/>
            </w14:solidFill>
          </w14:textFill>
        </w:rPr>
        <w:t>进行国内</w:t>
      </w:r>
      <w:r>
        <w:rPr>
          <w:rFonts w:hint="eastAsia" w:ascii="宋体" w:hAnsi="宋体" w:cs="宋体"/>
          <w:b/>
          <w:color w:val="000000" w:themeColor="text1"/>
          <w:sz w:val="24"/>
          <w:u w:val="single"/>
          <w14:textFill>
            <w14:solidFill>
              <w14:schemeClr w14:val="tx1"/>
            </w14:solidFill>
          </w14:textFill>
        </w:rPr>
        <w:t>公开招标</w:t>
      </w:r>
      <w:r>
        <w:rPr>
          <w:rFonts w:hint="eastAsia" w:ascii="宋体" w:hAnsi="宋体" w:cs="宋体"/>
          <w:color w:val="000000" w:themeColor="text1"/>
          <w:sz w:val="24"/>
          <w14:textFill>
            <w14:solidFill>
              <w14:schemeClr w14:val="tx1"/>
            </w14:solidFill>
          </w14:textFill>
        </w:rPr>
        <w:t>，兹邀请符合本次招标要求的供应商参加投标。</w:t>
      </w:r>
      <w:bookmarkEnd w:id="10"/>
    </w:p>
    <w:p>
      <w:pPr>
        <w:adjustRightInd w:val="0"/>
        <w:snapToGrid w:val="0"/>
        <w:spacing w:after="0" w:line="500" w:lineRule="exact"/>
        <w:ind w:firstLine="482" w:firstLineChars="200"/>
        <w:rPr>
          <w:rFonts w:ascii="宋体" w:hAnsi="宋体" w:cs="宋体"/>
          <w:bCs/>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一、招标编号：</w:t>
      </w:r>
      <w:r>
        <w:rPr>
          <w:rFonts w:hint="eastAsia" w:ascii="宋体" w:hAnsi="宋体" w:cs="宋体"/>
          <w:bCs/>
          <w:color w:val="000000" w:themeColor="text1"/>
          <w:sz w:val="24"/>
          <w:szCs w:val="32"/>
          <w14:textFill>
            <w14:solidFill>
              <w14:schemeClr w14:val="tx1"/>
            </w14:solidFill>
          </w14:textFill>
        </w:rPr>
        <w:t xml:space="preserve">510101202101599 </w:t>
      </w:r>
      <w:r>
        <w:rPr>
          <w:rFonts w:hint="eastAsia" w:ascii="宋体" w:hAnsi="宋体" w:cs="宋体"/>
          <w:bCs/>
          <w:color w:val="000000" w:themeColor="text1"/>
          <w:sz w:val="24"/>
          <w14:textFill>
            <w14:solidFill>
              <w14:schemeClr w14:val="tx1"/>
            </w14:solidFill>
          </w14:textFill>
        </w:rPr>
        <w:t xml:space="preserve"> </w:t>
      </w:r>
    </w:p>
    <w:p>
      <w:pPr>
        <w:adjustRightInd w:val="0"/>
        <w:snapToGrid w:val="0"/>
        <w:spacing w:after="0" w:line="500" w:lineRule="exact"/>
        <w:ind w:firstLine="482" w:firstLineChars="200"/>
        <w:rPr>
          <w:rFonts w:ascii="宋体" w:hAnsi="宋体" w:cs="宋体"/>
          <w:bCs/>
          <w:color w:val="000000" w:themeColor="text1"/>
          <w:sz w:val="24"/>
          <w:szCs w:val="32"/>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二、</w:t>
      </w:r>
      <w:r>
        <w:rPr>
          <w:rFonts w:hint="eastAsia" w:ascii="宋体" w:hAnsi="宋体" w:cs="宋体"/>
          <w:b/>
          <w:color w:val="000000" w:themeColor="text1"/>
          <w:sz w:val="24"/>
          <w14:textFill>
            <w14:solidFill>
              <w14:schemeClr w14:val="tx1"/>
            </w14:solidFill>
          </w14:textFill>
        </w:rPr>
        <w:t>招标项目：</w:t>
      </w:r>
      <w:r>
        <w:rPr>
          <w:rFonts w:hint="eastAsia" w:ascii="宋体" w:hAnsi="宋体" w:cs="宋体"/>
          <w:bCs/>
          <w:color w:val="000000" w:themeColor="text1"/>
          <w:sz w:val="24"/>
          <w:szCs w:val="32"/>
          <w14:textFill>
            <w14:solidFill>
              <w14:schemeClr w14:val="tx1"/>
            </w14:solidFill>
          </w14:textFill>
        </w:rPr>
        <w:t>成都市国土空间规划城市体检评估项目</w:t>
      </w:r>
    </w:p>
    <w:p>
      <w:pPr>
        <w:adjustRightInd w:val="0"/>
        <w:snapToGrid w:val="0"/>
        <w:spacing w:after="0" w:line="500" w:lineRule="exact"/>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color w:val="000000" w:themeColor="text1"/>
          <w:sz w:val="24"/>
          <w:szCs w:val="28"/>
          <w14:textFill>
            <w14:solidFill>
              <w14:schemeClr w14:val="tx1"/>
            </w14:solidFill>
          </w14:textFill>
        </w:rPr>
        <w:t>三、资金来源：财政性资金</w:t>
      </w:r>
      <w:r>
        <w:rPr>
          <w:rFonts w:hint="eastAsia" w:ascii="宋体" w:hAnsi="宋体" w:cs="宋体"/>
          <w:b/>
          <w:bCs/>
          <w:color w:val="000000" w:themeColor="text1"/>
          <w:sz w:val="24"/>
          <w14:textFill>
            <w14:solidFill>
              <w14:schemeClr w14:val="tx1"/>
            </w14:solidFill>
          </w14:textFill>
        </w:rPr>
        <w:t>。</w:t>
      </w:r>
    </w:p>
    <w:p>
      <w:pPr>
        <w:adjustRightInd w:val="0"/>
        <w:snapToGrid w:val="0"/>
        <w:spacing w:after="0" w:line="500" w:lineRule="exact"/>
        <w:ind w:firstLine="482" w:firstLineChars="2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四</w:t>
      </w:r>
      <w:r>
        <w:rPr>
          <w:rFonts w:hint="eastAsia" w:ascii="宋体" w:hAnsi="宋体" w:cs="宋体"/>
          <w:b/>
          <w:bCs/>
          <w:color w:val="000000" w:themeColor="text1"/>
          <w:sz w:val="24"/>
          <w14:textFill>
            <w14:solidFill>
              <w14:schemeClr w14:val="tx1"/>
            </w14:solidFill>
          </w14:textFill>
        </w:rPr>
        <w:t>、</w:t>
      </w:r>
      <w:r>
        <w:rPr>
          <w:rFonts w:hint="eastAsia" w:ascii="宋体" w:hAnsi="宋体" w:cs="宋体"/>
          <w:b/>
          <w:color w:val="000000" w:themeColor="text1"/>
          <w:sz w:val="24"/>
          <w14:textFill>
            <w14:solidFill>
              <w14:schemeClr w14:val="tx1"/>
            </w14:solidFill>
          </w14:textFill>
        </w:rPr>
        <w:t>招标项目简介：</w:t>
      </w:r>
    </w:p>
    <w:p>
      <w:pPr>
        <w:adjustRightInd w:val="0"/>
        <w:snapToGrid w:val="0"/>
        <w:spacing w:after="0" w:line="500" w:lineRule="exact"/>
        <w:ind w:firstLine="480" w:firstLineChars="20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szCs w:val="28"/>
          <w14:textFill>
            <w14:solidFill>
              <w14:schemeClr w14:val="tx1"/>
            </w14:solidFill>
          </w14:textFill>
        </w:rPr>
        <w:t>本项目共1个包，采购</w:t>
      </w:r>
      <w:r>
        <w:rPr>
          <w:rFonts w:hint="eastAsia" w:ascii="宋体" w:hAnsi="宋体" w:cs="宋体"/>
          <w:bCs/>
          <w:color w:val="000000" w:themeColor="text1"/>
          <w:sz w:val="24"/>
          <w:szCs w:val="28"/>
          <w14:textFill>
            <w14:solidFill>
              <w14:schemeClr w14:val="tx1"/>
            </w14:solidFill>
          </w14:textFill>
        </w:rPr>
        <w:t>成都市国土空间规划城市体检评估</w:t>
      </w:r>
      <w:r>
        <w:rPr>
          <w:rFonts w:hint="eastAsia" w:ascii="宋体" w:hAnsi="宋体" w:cs="宋体"/>
          <w:color w:val="000000" w:themeColor="text1"/>
          <w:sz w:val="24"/>
          <w:szCs w:val="28"/>
          <w14:textFill>
            <w14:solidFill>
              <w14:schemeClr w14:val="tx1"/>
            </w14:solidFill>
          </w14:textFill>
        </w:rPr>
        <w:t>（具体详见招标文件第六章）。</w:t>
      </w:r>
    </w:p>
    <w:p>
      <w:pPr>
        <w:adjustRightInd w:val="0"/>
        <w:snapToGrid w:val="0"/>
        <w:spacing w:after="0" w:line="500" w:lineRule="exact"/>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五、供应商参加本次政府采购活动，应当在提交投标文件前具备下列条件：</w:t>
      </w:r>
    </w:p>
    <w:p>
      <w:pPr>
        <w:pStyle w:val="63"/>
        <w:adjustRightInd w:val="0"/>
        <w:snapToGrid w:val="0"/>
        <w:spacing w:after="0" w:line="500" w:lineRule="exact"/>
        <w:ind w:firstLine="480"/>
        <w:rPr>
          <w:rFonts w:ascii="宋体" w:hAnsi="宋体" w:cs="宋体"/>
          <w:color w:val="000000" w:themeColor="text1"/>
          <w:sz w:val="24"/>
          <w14:textFill>
            <w14:solidFill>
              <w14:schemeClr w14:val="tx1"/>
            </w14:solidFill>
          </w14:textFill>
        </w:rPr>
      </w:pPr>
      <w:bookmarkStart w:id="11" w:name="PO_供应商资格条件_1"/>
      <w:r>
        <w:rPr>
          <w:rFonts w:hint="eastAsia" w:ascii="宋体" w:hAnsi="宋体" w:cs="宋体"/>
          <w:color w:val="000000" w:themeColor="text1"/>
          <w:sz w:val="24"/>
          <w14:textFill>
            <w14:solidFill>
              <w14:schemeClr w14:val="tx1"/>
            </w14:solidFill>
          </w14:textFill>
        </w:rPr>
        <w:t>1.满足《中华人民共和国政府采购法》第二十二条规定；</w:t>
      </w:r>
    </w:p>
    <w:p>
      <w:pPr>
        <w:tabs>
          <w:tab w:val="left" w:pos="7665"/>
        </w:tabs>
        <w:adjustRightInd w:val="0"/>
        <w:snapToGrid w:val="0"/>
        <w:spacing w:after="0"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2.落实政府采购政策需满足的资格要求：无</w:t>
      </w:r>
    </w:p>
    <w:p>
      <w:pPr>
        <w:pStyle w:val="63"/>
        <w:numPr>
          <w:ilvl w:val="0"/>
          <w:numId w:val="2"/>
        </w:numPr>
        <w:adjustRightInd w:val="0"/>
        <w:snapToGrid w:val="0"/>
        <w:spacing w:after="0" w:line="50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本项目的特定资格要求：</w:t>
      </w:r>
    </w:p>
    <w:p>
      <w:pPr>
        <w:pStyle w:val="63"/>
        <w:adjustRightInd w:val="0"/>
        <w:snapToGrid w:val="0"/>
        <w:spacing w:after="0" w:line="50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3.1供应商具有行政主管部门颁发的城乡规划编制乙级或以上资质证书。</w:t>
      </w:r>
    </w:p>
    <w:p>
      <w:pPr>
        <w:pStyle w:val="63"/>
        <w:adjustRightInd w:val="0"/>
        <w:snapToGrid w:val="0"/>
        <w:spacing w:after="0" w:line="50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3.2本项目参加政府采购活动的供应商、法定代表人或主要负责人在前3年内不得具有行贿犯罪记录。</w:t>
      </w:r>
    </w:p>
    <w:p>
      <w:pPr>
        <w:adjustRightInd w:val="0"/>
        <w:snapToGrid w:val="0"/>
        <w:spacing w:after="0" w:line="500" w:lineRule="exact"/>
        <w:ind w:firstLine="482" w:firstLineChars="2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六、禁止参加本次采购活动的供应商</w:t>
      </w:r>
    </w:p>
    <w:p>
      <w:pPr>
        <w:adjustRightInd w:val="0"/>
        <w:snapToGrid w:val="0"/>
        <w:spacing w:after="0" w:line="500" w:lineRule="exact"/>
        <w:ind w:firstLine="480" w:firstLineChars="200"/>
        <w:rPr>
          <w:rFonts w:ascii="宋体" w:hAnsi="宋体" w:cs="宋体"/>
          <w:color w:val="000000" w:themeColor="text1"/>
          <w:sz w:val="24"/>
          <w14:textFill>
            <w14:solidFill>
              <w14:schemeClr w14:val="tx1"/>
            </w14:solidFill>
          </w14:textFill>
        </w:rPr>
      </w:pPr>
      <w:bookmarkStart w:id="12" w:name="PO_默认文件内容_15"/>
      <w:r>
        <w:rPr>
          <w:rFonts w:hint="eastAsia" w:ascii="宋体" w:hAnsi="宋体" w:cs="宋体"/>
          <w:color w:val="000000" w:themeColor="text1"/>
          <w:sz w:val="24"/>
          <w14:textFill>
            <w14:solidFill>
              <w14:schemeClr w14:val="tx1"/>
            </w14:solidFill>
          </w14:textFill>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bookmarkEnd w:id="12"/>
    </w:p>
    <w:bookmarkEnd w:id="11"/>
    <w:p>
      <w:pPr>
        <w:adjustRightInd w:val="0"/>
        <w:snapToGrid w:val="0"/>
        <w:spacing w:after="0" w:line="500" w:lineRule="exact"/>
        <w:ind w:firstLine="482" w:firstLineChars="2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七、招标文件获取：</w:t>
      </w:r>
    </w:p>
    <w:p>
      <w:pPr>
        <w:adjustRightInd w:val="0"/>
        <w:snapToGrid w:val="0"/>
        <w:spacing w:after="0" w:line="500" w:lineRule="exact"/>
        <w:ind w:firstLine="480" w:firstLineChars="200"/>
        <w:rPr>
          <w:rFonts w:ascii="宋体" w:hAnsi="宋体" w:cs="宋体"/>
          <w:color w:val="000000" w:themeColor="text1"/>
          <w:sz w:val="24"/>
          <w14:textFill>
            <w14:solidFill>
              <w14:schemeClr w14:val="tx1"/>
            </w14:solidFill>
          </w14:textFill>
        </w:rPr>
      </w:pPr>
      <w:bookmarkStart w:id="13" w:name="PO_默认文件内容_47"/>
      <w:r>
        <w:rPr>
          <w:rFonts w:hint="eastAsia" w:ascii="宋体" w:hAnsi="宋体" w:cs="宋体"/>
          <w:color w:val="000000" w:themeColor="text1"/>
          <w:sz w:val="24"/>
          <w14:textFill>
            <w14:solidFill>
              <w14:schemeClr w14:val="tx1"/>
            </w14:solidFill>
          </w14:textFill>
        </w:rPr>
        <w:t>招标文件获取时间：2021年</w:t>
      </w:r>
      <w:r>
        <w:rPr>
          <w:rFonts w:hint="eastAsia" w:ascii="宋体" w:hAnsi="宋体" w:cs="宋体"/>
          <w:color w:val="000000" w:themeColor="text1"/>
          <w:sz w:val="24"/>
          <w:lang w:val="en-US" w:eastAsia="zh-CN"/>
          <w14:textFill>
            <w14:solidFill>
              <w14:schemeClr w14:val="tx1"/>
            </w14:solidFill>
          </w14:textFill>
        </w:rPr>
        <w:t>11</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日9:00至2021年</w:t>
      </w:r>
      <w:r>
        <w:rPr>
          <w:rFonts w:hint="eastAsia" w:ascii="宋体" w:hAnsi="宋体" w:cs="宋体"/>
          <w:color w:val="000000" w:themeColor="text1"/>
          <w:sz w:val="24"/>
          <w:lang w:val="en-US" w:eastAsia="zh-CN"/>
          <w14:textFill>
            <w14:solidFill>
              <w14:schemeClr w14:val="tx1"/>
            </w14:solidFill>
          </w14:textFill>
        </w:rPr>
        <w:t>11</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lang w:val="en-US" w:eastAsia="zh-CN"/>
          <w14:textFill>
            <w14:solidFill>
              <w14:schemeClr w14:val="tx1"/>
            </w14:solidFill>
          </w14:textFill>
        </w:rPr>
        <w:t>8</w:t>
      </w:r>
      <w:r>
        <w:rPr>
          <w:rFonts w:hint="eastAsia" w:ascii="宋体" w:hAnsi="宋体" w:cs="宋体"/>
          <w:color w:val="000000" w:themeColor="text1"/>
          <w:sz w:val="24"/>
          <w14:textFill>
            <w14:solidFill>
              <w14:schemeClr w14:val="tx1"/>
            </w14:solidFill>
          </w14:textFill>
        </w:rPr>
        <w:t>日17：00（北京时间）</w:t>
      </w:r>
    </w:p>
    <w:p>
      <w:pPr>
        <w:adjustRightInd w:val="0"/>
        <w:snapToGrid w:val="0"/>
        <w:spacing w:after="0"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招标文件获取方式：投标人从“政府采购云平台”获取采购文件（网址：</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"https://www.zcygov.cn）项目采购—获取采购文件—申请获取采购文件。_x0005_"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14:textFill>
            <w14:solidFill>
              <w14:schemeClr w14:val="tx1"/>
            </w14:solidFill>
          </w14:textFill>
        </w:rPr>
        <w:t>https://www.zcygov.cn）。登录政府采购云平台—项目采购—获取采购文件—申请获取采购文件</w:t>
      </w:r>
      <w:r>
        <w:rPr>
          <w:rFonts w:ascii="宋体" w:hAnsi="宋体" w:cs="宋体"/>
          <w:color w:val="000000" w:themeColor="text1"/>
          <w:sz w:val="24"/>
          <w14:textFill>
            <w14:solidFill>
              <w14:schemeClr w14:val="tx1"/>
            </w14:solidFill>
          </w14:textFill>
        </w:rPr>
        <w:fldChar w:fldCharType="end"/>
      </w:r>
      <w:r>
        <w:rPr>
          <w:rFonts w:hint="eastAsia" w:ascii="宋体" w:hAnsi="宋体" w:cs="宋体"/>
          <w:color w:val="000000" w:themeColor="text1"/>
          <w:sz w:val="24"/>
          <w14:textFill>
            <w14:solidFill>
              <w14:schemeClr w14:val="tx1"/>
            </w14:solidFill>
          </w14:textFill>
        </w:rPr>
        <w:t>。</w:t>
      </w:r>
    </w:p>
    <w:p>
      <w:pPr>
        <w:adjustRightInd w:val="0"/>
        <w:snapToGrid w:val="0"/>
        <w:spacing w:after="0"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提示：</w:t>
      </w:r>
    </w:p>
    <w:p>
      <w:pPr>
        <w:adjustRightInd w:val="0"/>
        <w:snapToGrid w:val="0"/>
        <w:spacing w:after="0"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（1）本项目招标文件免费获取。</w:t>
      </w:r>
    </w:p>
    <w:p>
      <w:pPr>
        <w:adjustRightInd w:val="0"/>
        <w:snapToGrid w:val="0"/>
        <w:spacing w:after="0"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（2）投标人只有在“政府采购云平台”完成获取招标文件申请并下载招标文件后才视作依法参与本项目。如未在“政府采购云平台”内完成相关流程，引起的投标无效责任自负。</w:t>
      </w:r>
    </w:p>
    <w:p>
      <w:pPr>
        <w:adjustRightInd w:val="0"/>
        <w:snapToGrid w:val="0"/>
        <w:spacing w:after="0"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（3）本项目为电子招标投标项目，投标人参与本项目全过程中凡涉及系统操作请详见</w:t>
      </w:r>
      <w:r>
        <w:rPr>
          <w:rFonts w:hint="eastAsia" w:ascii="宋体" w:hAnsi="宋体" w:cs="宋体"/>
          <w:b/>
          <w:bCs/>
          <w:color w:val="000000" w:themeColor="text1"/>
          <w:sz w:val="24"/>
          <w14:textFill>
            <w14:solidFill>
              <w14:schemeClr w14:val="tx1"/>
            </w14:solidFill>
          </w14:textFill>
        </w:rPr>
        <w:t>《供应商政府采购项目电子交易操作指南》</w:t>
      </w:r>
      <w:r>
        <w:rPr>
          <w:rFonts w:hint="eastAsia" w:ascii="宋体" w:hAnsi="宋体" w:cs="宋体"/>
          <w:color w:val="000000" w:themeColor="text1"/>
          <w:sz w:val="24"/>
          <w14:textFill>
            <w14:solidFill>
              <w14:schemeClr w14:val="tx1"/>
            </w14:solidFill>
          </w14:textFill>
        </w:rPr>
        <w:t>。（操作指南以政府采购云平台网站发布为准，获取方式详见：</w:t>
      </w:r>
      <w:r>
        <w:rPr>
          <w:rFonts w:hint="eastAsia" w:ascii="宋体" w:hAnsi="宋体" w:cs="宋体"/>
          <w:b/>
          <w:bCs/>
          <w:color w:val="000000" w:themeColor="text1"/>
          <w:sz w:val="24"/>
          <w14:textFill>
            <w14:solidFill>
              <w14:schemeClr w14:val="tx1"/>
            </w14:solidFill>
          </w14:textFill>
        </w:rPr>
        <w:t>招标文件附件三-政府采购云平台使用介绍</w:t>
      </w:r>
      <w:r>
        <w:rPr>
          <w:rFonts w:hint="eastAsia" w:ascii="宋体" w:hAnsi="宋体" w:cs="宋体"/>
          <w:color w:val="000000" w:themeColor="text1"/>
          <w:sz w:val="24"/>
          <w14:textFill>
            <w14:solidFill>
              <w14:schemeClr w14:val="tx1"/>
            </w14:solidFill>
          </w14:textFill>
        </w:rPr>
        <w:t>）</w:t>
      </w:r>
    </w:p>
    <w:p>
      <w:pPr>
        <w:adjustRightInd w:val="0"/>
        <w:snapToGrid w:val="0"/>
        <w:spacing w:after="0"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（4）政府采购云平台投标人注册地址：</w:t>
      </w:r>
    </w:p>
    <w:p>
      <w:pPr>
        <w:adjustRightInd w:val="0"/>
        <w:snapToGrid w:val="0"/>
        <w:spacing w:after="0"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https://middle.zcygov.cn/v-settle-front/registry</w:t>
      </w:r>
    </w:p>
    <w:bookmarkEnd w:id="13"/>
    <w:p>
      <w:pPr>
        <w:adjustRightInd w:val="0"/>
        <w:snapToGrid w:val="0"/>
        <w:spacing w:after="0" w:line="50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szCs w:val="28"/>
          <w14:textFill>
            <w14:solidFill>
              <w14:schemeClr w14:val="tx1"/>
            </w14:solidFill>
          </w14:textFill>
        </w:rPr>
        <w:t>八、</w:t>
      </w:r>
      <w:r>
        <w:rPr>
          <w:rFonts w:hint="eastAsia" w:ascii="宋体" w:hAnsi="宋体" w:cs="宋体"/>
          <w:b/>
          <w:color w:val="000000" w:themeColor="text1"/>
          <w:sz w:val="24"/>
          <w14:textFill>
            <w14:solidFill>
              <w14:schemeClr w14:val="tx1"/>
            </w14:solidFill>
          </w14:textFill>
        </w:rPr>
        <w:t>投标截止时间和开标时间：</w:t>
      </w:r>
      <w:r>
        <w:rPr>
          <w:rFonts w:hint="eastAsia" w:ascii="宋体" w:hAnsi="宋体" w:cs="宋体"/>
          <w:color w:val="000000" w:themeColor="text1"/>
          <w:sz w:val="24"/>
          <w14:textFill>
            <w14:solidFill>
              <w14:schemeClr w14:val="tx1"/>
            </w14:solidFill>
          </w14:textFill>
        </w:rPr>
        <w:t>2021年</w:t>
      </w:r>
      <w:r>
        <w:rPr>
          <w:rFonts w:hint="eastAsia" w:ascii="宋体" w:hAnsi="宋体" w:cs="宋体"/>
          <w:color w:val="000000" w:themeColor="text1"/>
          <w:sz w:val="24"/>
          <w:lang w:val="en-US" w:eastAsia="zh-CN"/>
          <w14:textFill>
            <w14:solidFill>
              <w14:schemeClr w14:val="tx1"/>
            </w14:solidFill>
          </w14:textFill>
        </w:rPr>
        <w:t>11</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lang w:val="en-US" w:eastAsia="zh-CN"/>
          <w14:textFill>
            <w14:solidFill>
              <w14:schemeClr w14:val="tx1"/>
            </w14:solidFill>
          </w14:textFill>
        </w:rPr>
        <w:t>22</w:t>
      </w:r>
      <w:r>
        <w:rPr>
          <w:rFonts w:hint="eastAsia" w:ascii="宋体" w:hAnsi="宋体" w:cs="宋体"/>
          <w:color w:val="000000" w:themeColor="text1"/>
          <w:sz w:val="24"/>
          <w14:textFill>
            <w14:solidFill>
              <w14:schemeClr w14:val="tx1"/>
            </w14:solidFill>
          </w14:textFill>
        </w:rPr>
        <w:t>日10：00</w:t>
      </w:r>
      <w:r>
        <w:rPr>
          <w:rFonts w:hint="eastAsia" w:ascii="宋体" w:hAnsi="宋体" w:cs="宋体"/>
          <w:color w:val="000000" w:themeColor="text1"/>
          <w:sz w:val="24"/>
          <w:szCs w:val="28"/>
          <w14:textFill>
            <w14:solidFill>
              <w14:schemeClr w14:val="tx1"/>
            </w14:solidFill>
          </w14:textFill>
        </w:rPr>
        <w:t>（北京时间）。</w:t>
      </w:r>
    </w:p>
    <w:p>
      <w:pPr>
        <w:pStyle w:val="13"/>
        <w:adjustRightInd w:val="0"/>
        <w:snapToGrid w:val="0"/>
        <w:spacing w:after="0" w:line="500" w:lineRule="exact"/>
        <w:ind w:firstLine="480" w:firstLineChars="200"/>
        <w:rPr>
          <w:rFonts w:ascii="宋体" w:hAnsi="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14:textFill>
            <w14:solidFill>
              <w14:schemeClr w14:val="tx1"/>
            </w14:solidFill>
          </w14:textFill>
        </w:rPr>
        <w:t>投标截止时间前，投标人应将加密的电子投标文件递交至“政府采购云平台”对应项目。</w:t>
      </w:r>
    </w:p>
    <w:p>
      <w:pPr>
        <w:adjustRightInd w:val="0"/>
        <w:snapToGrid w:val="0"/>
        <w:spacing w:after="0" w:line="500" w:lineRule="exact"/>
        <w:ind w:firstLine="482" w:firstLineChars="200"/>
        <w:rPr>
          <w:rFonts w:ascii="宋体" w:hAnsi="宋体" w:cs="宋体"/>
          <w:b/>
          <w:color w:val="000000" w:themeColor="text1"/>
          <w:sz w:val="24"/>
          <w:szCs w:val="28"/>
          <w14:textFill>
            <w14:solidFill>
              <w14:schemeClr w14:val="tx1"/>
            </w14:solidFill>
          </w14:textFill>
        </w:rPr>
      </w:pPr>
      <w:r>
        <w:rPr>
          <w:rFonts w:hint="eastAsia" w:ascii="宋体" w:hAnsi="宋体" w:cs="宋体"/>
          <w:b/>
          <w:color w:val="000000" w:themeColor="text1"/>
          <w:sz w:val="24"/>
          <w:szCs w:val="28"/>
          <w14:textFill>
            <w14:solidFill>
              <w14:schemeClr w14:val="tx1"/>
            </w14:solidFill>
          </w14:textFill>
        </w:rPr>
        <w:t>九、开标地点：</w:t>
      </w:r>
    </w:p>
    <w:p>
      <w:pPr>
        <w:adjustRightInd w:val="0"/>
        <w:snapToGrid w:val="0"/>
        <w:spacing w:after="0" w:line="500" w:lineRule="exact"/>
        <w:ind w:firstLine="480" w:firstLineChars="200"/>
        <w:rPr>
          <w:rFonts w:ascii="宋体" w:hAnsi="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14:textFill>
            <w14:solidFill>
              <w14:schemeClr w14:val="tx1"/>
            </w14:solidFill>
          </w14:textFill>
        </w:rPr>
        <w:t>（1）本项目为不见面开标项目。</w:t>
      </w:r>
    </w:p>
    <w:p>
      <w:pPr>
        <w:adjustRightInd w:val="0"/>
        <w:snapToGrid w:val="0"/>
        <w:spacing w:after="0" w:line="500" w:lineRule="exact"/>
        <w:ind w:firstLine="480" w:firstLineChars="200"/>
        <w:rPr>
          <w:rFonts w:ascii="宋体" w:hAnsi="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14:textFill>
            <w14:solidFill>
              <w14:schemeClr w14:val="tx1"/>
            </w14:solidFill>
          </w14:textFill>
        </w:rPr>
        <w:t>（2）开标地点：政府采购云平台(https://www.zcygov.cn)。</w:t>
      </w:r>
    </w:p>
    <w:p>
      <w:pPr>
        <w:adjustRightInd w:val="0"/>
        <w:snapToGrid w:val="0"/>
        <w:spacing w:after="0" w:line="500" w:lineRule="exact"/>
        <w:ind w:firstLine="480" w:firstLineChars="200"/>
        <w:rPr>
          <w:rFonts w:ascii="宋体" w:hAnsi="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14:textFill>
            <w14:solidFill>
              <w14:schemeClr w14:val="tx1"/>
            </w14:solidFill>
          </w14:textFill>
        </w:rPr>
        <w:t>（3）本项目只接受投标人加密并递交至“政府采购云平台”的投标文件。</w:t>
      </w:r>
    </w:p>
    <w:p>
      <w:pPr>
        <w:pStyle w:val="63"/>
        <w:adjustRightInd w:val="0"/>
        <w:snapToGrid w:val="0"/>
        <w:spacing w:after="0" w:line="500" w:lineRule="exact"/>
        <w:ind w:firstLine="482"/>
        <w:rPr>
          <w:rFonts w:ascii="宋体" w:hAnsi="宋体" w:cs="宋体"/>
          <w:color w:val="000000" w:themeColor="text1"/>
          <w:sz w:val="24"/>
          <w14:textFill>
            <w14:solidFill>
              <w14:schemeClr w14:val="tx1"/>
            </w14:solidFill>
          </w14:textFill>
        </w:rPr>
      </w:pPr>
      <w:bookmarkStart w:id="14" w:name="PO_默认文件内容_33"/>
      <w:r>
        <w:rPr>
          <w:rFonts w:hint="eastAsia" w:ascii="宋体" w:hAnsi="宋体" w:cs="宋体"/>
          <w:b/>
          <w:color w:val="000000" w:themeColor="text1"/>
          <w:sz w:val="24"/>
          <w14:textFill>
            <w14:solidFill>
              <w14:schemeClr w14:val="tx1"/>
            </w14:solidFill>
          </w14:textFill>
        </w:rPr>
        <w:t>十、</w:t>
      </w:r>
      <w:r>
        <w:rPr>
          <w:rFonts w:hint="eastAsia" w:ascii="宋体" w:hAnsi="宋体" w:cs="宋体"/>
          <w:color w:val="000000" w:themeColor="text1"/>
          <w:sz w:val="24"/>
          <w14:textFill>
            <w14:solidFill>
              <w14:schemeClr w14:val="tx1"/>
            </w14:solidFill>
          </w14:textFill>
        </w:rPr>
        <w:t>本投标邀请在四川政府采购网上以公告形式发布。</w:t>
      </w:r>
      <w:bookmarkEnd w:id="14"/>
    </w:p>
    <w:p>
      <w:pPr>
        <w:pStyle w:val="63"/>
        <w:adjustRightInd w:val="0"/>
        <w:snapToGrid w:val="0"/>
        <w:spacing w:after="0" w:line="500" w:lineRule="exact"/>
        <w:ind w:firstLine="482"/>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十一、供应商信用融资：</w:t>
      </w:r>
    </w:p>
    <w:p>
      <w:pPr>
        <w:pStyle w:val="63"/>
        <w:adjustRightInd w:val="0"/>
        <w:snapToGrid w:val="0"/>
        <w:spacing w:after="0" w:line="50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63"/>
        <w:adjustRightInd w:val="0"/>
        <w:snapToGrid w:val="0"/>
        <w:spacing w:after="0" w:line="50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2020〕20号”）。</w:t>
      </w:r>
    </w:p>
    <w:p>
      <w:pPr>
        <w:pStyle w:val="63"/>
        <w:adjustRightInd w:val="0"/>
        <w:snapToGrid w:val="0"/>
        <w:spacing w:after="0" w:line="500" w:lineRule="exact"/>
        <w:ind w:firstLine="482"/>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十二、联系方式</w:t>
      </w:r>
    </w:p>
    <w:p>
      <w:pPr>
        <w:pStyle w:val="63"/>
        <w:adjustRightInd w:val="0"/>
        <w:snapToGrid w:val="0"/>
        <w:spacing w:after="0" w:line="500" w:lineRule="exact"/>
        <w:ind w:firstLine="482"/>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采 购 人：成都市规划和自然资源局</w:t>
      </w:r>
    </w:p>
    <w:p>
      <w:pPr>
        <w:pStyle w:val="63"/>
        <w:adjustRightInd w:val="0"/>
        <w:snapToGrid w:val="0"/>
        <w:spacing w:after="0" w:line="50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地    址：成都市高新区蜀绣西路69号</w:t>
      </w:r>
    </w:p>
    <w:p>
      <w:pPr>
        <w:pStyle w:val="63"/>
        <w:adjustRightInd w:val="0"/>
        <w:snapToGrid w:val="0"/>
        <w:spacing w:after="0" w:line="50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 系 人：黄老师</w:t>
      </w:r>
    </w:p>
    <w:p>
      <w:pPr>
        <w:pStyle w:val="63"/>
        <w:adjustRightInd w:val="0"/>
        <w:snapToGrid w:val="0"/>
        <w:spacing w:after="0" w:line="50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联系电话：028-</w:t>
      </w:r>
      <w:r>
        <w:rPr>
          <w:rFonts w:ascii="宋体" w:hAnsi="宋体" w:cs="宋体"/>
          <w:color w:val="000000" w:themeColor="text1"/>
          <w:sz w:val="24"/>
          <w14:textFill>
            <w14:solidFill>
              <w14:schemeClr w14:val="tx1"/>
            </w14:solidFill>
          </w14:textFill>
        </w:rPr>
        <w:t>61884214</w:t>
      </w:r>
    </w:p>
    <w:p>
      <w:pPr>
        <w:pStyle w:val="63"/>
        <w:adjustRightInd w:val="0"/>
        <w:snapToGrid w:val="0"/>
        <w:spacing w:after="0" w:line="500" w:lineRule="exact"/>
        <w:ind w:firstLine="482"/>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采购代理机构：成都科益工程咨询有限公司</w:t>
      </w:r>
    </w:p>
    <w:p>
      <w:pPr>
        <w:pStyle w:val="63"/>
        <w:adjustRightInd w:val="0"/>
        <w:snapToGrid w:val="0"/>
        <w:spacing w:after="0" w:line="50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地    址：成都市金牛区一环路西三段31号嘉园大厦15楼</w:t>
      </w:r>
    </w:p>
    <w:p>
      <w:pPr>
        <w:pStyle w:val="63"/>
        <w:adjustRightInd w:val="0"/>
        <w:snapToGrid w:val="0"/>
        <w:spacing w:after="0" w:line="50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邮    编：610000</w:t>
      </w:r>
    </w:p>
    <w:p>
      <w:pPr>
        <w:pStyle w:val="63"/>
        <w:adjustRightInd w:val="0"/>
        <w:snapToGrid w:val="0"/>
        <w:spacing w:after="0" w:line="50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联系人：吴女士</w:t>
      </w:r>
    </w:p>
    <w:p>
      <w:pPr>
        <w:pStyle w:val="63"/>
        <w:adjustRightInd w:val="0"/>
        <w:snapToGrid w:val="0"/>
        <w:spacing w:after="0" w:line="50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联系电话：028-86736328</w:t>
      </w:r>
    </w:p>
    <w:p>
      <w:pPr>
        <w:pStyle w:val="63"/>
        <w:adjustRightInd w:val="0"/>
        <w:snapToGrid w:val="0"/>
        <w:spacing w:after="0" w:line="50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传    真：028-86737315</w:t>
      </w:r>
    </w:p>
    <w:p>
      <w:pPr>
        <w:pStyle w:val="63"/>
        <w:spacing w:line="42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w:t>
      </w:r>
    </w:p>
    <w:p>
      <w:pPr>
        <w:pStyle w:val="63"/>
        <w:spacing w:line="420" w:lineRule="exact"/>
        <w:ind w:firstLine="480"/>
        <w:rPr>
          <w:rFonts w:ascii="宋体" w:hAnsi="宋体" w:cs="宋体"/>
          <w:color w:val="000000" w:themeColor="text1"/>
          <w:sz w:val="24"/>
          <w14:textFill>
            <w14:solidFill>
              <w14:schemeClr w14:val="tx1"/>
            </w14:solidFill>
          </w14:textFill>
        </w:rPr>
        <w:sectPr>
          <w:footerReference r:id="rId5" w:type="default"/>
          <w:footerReference r:id="rId6" w:type="even"/>
          <w:pgSz w:w="11907" w:h="16840"/>
          <w:pgMar w:top="1440" w:right="1559" w:bottom="1440" w:left="1559" w:header="851" w:footer="992" w:gutter="0"/>
          <w:pgNumType w:start="1"/>
          <w:cols w:space="720" w:num="1"/>
          <w:docGrid w:linePitch="312" w:charSpace="0"/>
        </w:sectPr>
      </w:pPr>
    </w:p>
    <w:p>
      <w:pPr>
        <w:pStyle w:val="4"/>
        <w:rPr>
          <w:rFonts w:ascii="宋体" w:hAnsi="宋体" w:cs="宋体"/>
          <w:color w:val="000000" w:themeColor="text1"/>
          <w:sz w:val="36"/>
          <w:szCs w:val="36"/>
          <w14:textFill>
            <w14:solidFill>
              <w14:schemeClr w14:val="tx1"/>
            </w14:solidFill>
          </w14:textFill>
        </w:rPr>
      </w:pPr>
      <w:bookmarkStart w:id="15" w:name="_Toc82010456"/>
      <w:r>
        <w:rPr>
          <w:rFonts w:hint="eastAsia" w:ascii="宋体" w:hAnsi="宋体" w:cs="宋体"/>
          <w:color w:val="000000" w:themeColor="text1"/>
          <w:sz w:val="36"/>
          <w:szCs w:val="36"/>
          <w14:textFill>
            <w14:solidFill>
              <w14:schemeClr w14:val="tx1"/>
            </w14:solidFill>
          </w14:textFill>
        </w:rPr>
        <w:t>第二章  投标人须知</w:t>
      </w:r>
      <w:bookmarkEnd w:id="4"/>
      <w:bookmarkEnd w:id="15"/>
    </w:p>
    <w:p>
      <w:pPr>
        <w:pStyle w:val="6"/>
        <w:spacing w:line="240" w:lineRule="atLeas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一、投标人须知附表</w:t>
      </w:r>
    </w:p>
    <w:bookmarkEnd w:id="5"/>
    <w:bookmarkEnd w:id="6"/>
    <w:bookmarkEnd w:id="7"/>
    <w:bookmarkEnd w:id="8"/>
    <w:bookmarkEnd w:id="9"/>
    <w:tbl>
      <w:tblPr>
        <w:tblStyle w:val="28"/>
        <w:tblW w:w="0" w:type="auto"/>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84"/>
        <w:gridCol w:w="1760"/>
        <w:gridCol w:w="6298"/>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684" w:type="dxa"/>
            <w:vAlign w:val="center"/>
          </w:tcPr>
          <w:p>
            <w:pPr>
              <w:pStyle w:val="57"/>
              <w:snapToGrid w:val="0"/>
              <w:spacing w:line="300" w:lineRule="exact"/>
              <w:ind w:left="9"/>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序号</w:t>
            </w:r>
          </w:p>
        </w:tc>
        <w:tc>
          <w:tcPr>
            <w:tcW w:w="1760" w:type="dxa"/>
            <w:vAlign w:val="center"/>
          </w:tcPr>
          <w:p>
            <w:pPr>
              <w:pStyle w:val="57"/>
              <w:snapToGrid w:val="0"/>
              <w:spacing w:line="300" w:lineRule="exact"/>
              <w:ind w:left="38"/>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条款名称</w:t>
            </w:r>
          </w:p>
        </w:tc>
        <w:tc>
          <w:tcPr>
            <w:tcW w:w="6298" w:type="dxa"/>
            <w:vAlign w:val="center"/>
          </w:tcPr>
          <w:p>
            <w:pPr>
              <w:pStyle w:val="57"/>
              <w:snapToGrid w:val="0"/>
              <w:spacing w:line="300" w:lineRule="exact"/>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84" w:type="dxa"/>
            <w:vMerge w:val="restart"/>
            <w:vAlign w:val="center"/>
          </w:tcPr>
          <w:p>
            <w:pPr>
              <w:pStyle w:val="57"/>
              <w:snapToGrid w:val="0"/>
              <w:spacing w:line="300" w:lineRule="exact"/>
              <w:ind w:right="230"/>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1</w:t>
            </w:r>
          </w:p>
        </w:tc>
        <w:tc>
          <w:tcPr>
            <w:tcW w:w="1760" w:type="dxa"/>
            <w:tcBorders>
              <w:bottom w:val="single" w:color="auto" w:sz="4" w:space="0"/>
            </w:tcBorders>
            <w:vAlign w:val="center"/>
          </w:tcPr>
          <w:p>
            <w:pPr>
              <w:pStyle w:val="57"/>
              <w:snapToGrid w:val="0"/>
              <w:spacing w:line="300" w:lineRule="exact"/>
              <w:ind w:left="38"/>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采购预算</w:t>
            </w:r>
          </w:p>
          <w:p>
            <w:pPr>
              <w:pStyle w:val="57"/>
              <w:snapToGrid w:val="0"/>
              <w:spacing w:line="300" w:lineRule="exact"/>
              <w:ind w:left="38"/>
              <w:jc w:val="center"/>
              <w:rPr>
                <w:color w:val="000000" w:themeColor="text1"/>
                <w:kern w:val="2"/>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（实质性要求）</w:t>
            </w:r>
          </w:p>
        </w:tc>
        <w:tc>
          <w:tcPr>
            <w:tcW w:w="6298" w:type="dxa"/>
            <w:tcBorders>
              <w:bottom w:val="single" w:color="auto" w:sz="4" w:space="0"/>
            </w:tcBorders>
            <w:vAlign w:val="center"/>
          </w:tcPr>
          <w:p>
            <w:pPr>
              <w:widowControl/>
              <w:adjustRightInd w:val="0"/>
              <w:snapToGrid w:val="0"/>
              <w:spacing w:line="300" w:lineRule="exac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采购预算：110万元</w:t>
            </w:r>
          </w:p>
          <w:p>
            <w:pPr>
              <w:pStyle w:val="57"/>
              <w:snapToGrid w:val="0"/>
              <w:spacing w:line="300" w:lineRule="exact"/>
              <w:jc w:val="both"/>
              <w:rPr>
                <w:color w:val="000000" w:themeColor="text1"/>
                <w:kern w:val="2"/>
                <w:sz w:val="21"/>
                <w:szCs w:val="21"/>
                <w14:textFill>
                  <w14:solidFill>
                    <w14:schemeClr w14:val="tx1"/>
                  </w14:solidFill>
                </w14:textFill>
              </w:rPr>
            </w:pPr>
            <w:r>
              <w:rPr>
                <w:rFonts w:hint="eastAsia"/>
                <w:color w:val="000000" w:themeColor="text1"/>
                <w:sz w:val="21"/>
                <w:szCs w:val="21"/>
                <w14:textFill>
                  <w14:solidFill>
                    <w14:schemeClr w14:val="tx1"/>
                  </w14:solidFill>
                </w14:textFill>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84" w:type="dxa"/>
            <w:vMerge w:val="continue"/>
            <w:vAlign w:val="center"/>
          </w:tcPr>
          <w:p>
            <w:pPr>
              <w:adjustRightInd w:val="0"/>
              <w:snapToGrid w:val="0"/>
              <w:spacing w:line="300" w:lineRule="exact"/>
              <w:rPr>
                <w:rFonts w:ascii="宋体" w:hAnsi="宋体" w:cs="宋体"/>
                <w:color w:val="000000" w:themeColor="text1"/>
                <w:szCs w:val="21"/>
                <w14:textFill>
                  <w14:solidFill>
                    <w14:schemeClr w14:val="tx1"/>
                  </w14:solidFill>
                </w14:textFill>
              </w:rPr>
            </w:pPr>
          </w:p>
        </w:tc>
        <w:tc>
          <w:tcPr>
            <w:tcW w:w="1760" w:type="dxa"/>
            <w:tcBorders>
              <w:top w:val="single" w:color="auto" w:sz="4" w:space="0"/>
            </w:tcBorders>
            <w:vAlign w:val="center"/>
          </w:tcPr>
          <w:p>
            <w:pPr>
              <w:pStyle w:val="57"/>
              <w:snapToGrid w:val="0"/>
              <w:spacing w:line="300" w:lineRule="exact"/>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最高限价</w:t>
            </w:r>
          </w:p>
          <w:p>
            <w:pPr>
              <w:pStyle w:val="57"/>
              <w:snapToGrid w:val="0"/>
              <w:spacing w:line="300" w:lineRule="exact"/>
              <w:jc w:val="center"/>
              <w:rPr>
                <w:color w:val="000000" w:themeColor="text1"/>
                <w:kern w:val="2"/>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（实质性要求）</w:t>
            </w:r>
          </w:p>
        </w:tc>
        <w:tc>
          <w:tcPr>
            <w:tcW w:w="6298" w:type="dxa"/>
            <w:tcBorders>
              <w:top w:val="single" w:color="auto" w:sz="4" w:space="0"/>
            </w:tcBorders>
            <w:vAlign w:val="center"/>
          </w:tcPr>
          <w:p>
            <w:pPr>
              <w:pStyle w:val="57"/>
              <w:snapToGrid w:val="0"/>
              <w:spacing w:line="300" w:lineRule="exact"/>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最高限价：110万元</w:t>
            </w:r>
          </w:p>
          <w:p>
            <w:pPr>
              <w:pStyle w:val="57"/>
              <w:widowControl/>
              <w:snapToGrid w:val="0"/>
              <w:spacing w:line="300" w:lineRule="exact"/>
              <w:rPr>
                <w:color w:val="000000" w:themeColor="text1"/>
                <w:szCs w:val="21"/>
                <w14:textFill>
                  <w14:solidFill>
                    <w14:schemeClr w14:val="tx1"/>
                  </w14:solidFill>
                </w14:textFill>
              </w:rPr>
            </w:pPr>
            <w:bookmarkStart w:id="16" w:name="PO_默认文件内容_1"/>
            <w:r>
              <w:rPr>
                <w:rFonts w:hint="eastAsia"/>
                <w:color w:val="000000" w:themeColor="text1"/>
                <w:sz w:val="21"/>
                <w:szCs w:val="21"/>
                <w14:textFill>
                  <w14:solidFill>
                    <w14:schemeClr w14:val="tx1"/>
                  </w14:solidFill>
                </w14:textFill>
              </w:rPr>
              <w:t>超过最高限价的报价为无效投标。</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84" w:type="dxa"/>
            <w:vAlign w:val="center"/>
          </w:tcPr>
          <w:p>
            <w:pPr>
              <w:adjustRightInd w:val="0"/>
              <w:snapToGrid w:val="0"/>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tc>
        <w:tc>
          <w:tcPr>
            <w:tcW w:w="1760" w:type="dxa"/>
            <w:tcBorders>
              <w:top w:val="single" w:color="auto" w:sz="4" w:space="0"/>
            </w:tcBorders>
            <w:vAlign w:val="center"/>
          </w:tcPr>
          <w:p>
            <w:pPr>
              <w:pStyle w:val="57"/>
              <w:snapToGrid w:val="0"/>
              <w:spacing w:line="30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服务期限</w:t>
            </w:r>
          </w:p>
        </w:tc>
        <w:tc>
          <w:tcPr>
            <w:tcW w:w="6298" w:type="dxa"/>
            <w:tcBorders>
              <w:top w:val="single" w:color="auto" w:sz="4" w:space="0"/>
            </w:tcBorders>
            <w:vAlign w:val="center"/>
          </w:tcPr>
          <w:p>
            <w:pPr>
              <w:pStyle w:val="57"/>
              <w:widowControl/>
              <w:snapToGrid w:val="0"/>
              <w:spacing w:line="300" w:lineRule="exact"/>
              <w:rPr>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服务期限：</w:t>
            </w:r>
            <w:bookmarkStart w:id="17" w:name="_Hlk86328774"/>
            <w:r>
              <w:rPr>
                <w:rFonts w:hint="eastAsia"/>
                <w:color w:val="000000" w:themeColor="text1"/>
                <w14:textFill>
                  <w14:solidFill>
                    <w14:schemeClr w14:val="tx1"/>
                  </w14:solidFill>
                </w14:textFill>
              </w:rPr>
              <w:t>拟采购服务期限</w:t>
            </w:r>
            <w:r>
              <w:rPr>
                <w:rFonts w:hint="eastAsia"/>
                <w:color w:val="000000" w:themeColor="text1"/>
                <w:u w:val="single"/>
                <w14:textFill>
                  <w14:solidFill>
                    <w14:schemeClr w14:val="tx1"/>
                  </w14:solidFill>
                </w14:textFill>
              </w:rPr>
              <w:t xml:space="preserve">  3  </w:t>
            </w:r>
            <w:r>
              <w:rPr>
                <w:rFonts w:hint="eastAsia"/>
                <w:color w:val="000000" w:themeColor="text1"/>
                <w14:textFill>
                  <w14:solidFill>
                    <w14:schemeClr w14:val="tx1"/>
                  </w14:solidFill>
                </w14:textFill>
              </w:rPr>
              <w:t>年，服务协议一年一签，每年采购预算为110万元，每年须经采购人考核合格，考核合格续签第二年合同，考核不合格将被取消后期服务资格。考核内容详见附件四。</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84" w:type="dxa"/>
            <w:vAlign w:val="center"/>
          </w:tcPr>
          <w:p>
            <w:pPr>
              <w:pStyle w:val="57"/>
              <w:snapToGrid w:val="0"/>
              <w:spacing w:line="300" w:lineRule="exact"/>
              <w:ind w:right="230"/>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3</w:t>
            </w:r>
          </w:p>
        </w:tc>
        <w:tc>
          <w:tcPr>
            <w:tcW w:w="1760" w:type="dxa"/>
            <w:vAlign w:val="center"/>
          </w:tcPr>
          <w:p>
            <w:pPr>
              <w:pStyle w:val="57"/>
              <w:snapToGrid w:val="0"/>
              <w:spacing w:line="300" w:lineRule="exact"/>
              <w:ind w:left="38"/>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不正当竞争预防措施</w:t>
            </w:r>
          </w:p>
          <w:p>
            <w:pPr>
              <w:pStyle w:val="57"/>
              <w:snapToGrid w:val="0"/>
              <w:spacing w:line="300" w:lineRule="exact"/>
              <w:ind w:left="38"/>
              <w:jc w:val="center"/>
              <w:rPr>
                <w:color w:val="000000" w:themeColor="text1"/>
                <w:kern w:val="2"/>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（实质性要求）</w:t>
            </w:r>
          </w:p>
        </w:tc>
        <w:tc>
          <w:tcPr>
            <w:tcW w:w="6298" w:type="dxa"/>
            <w:vAlign w:val="center"/>
          </w:tcPr>
          <w:p>
            <w:pPr>
              <w:pStyle w:val="57"/>
              <w:snapToGrid w:val="0"/>
              <w:spacing w:line="300" w:lineRule="exact"/>
              <w:jc w:val="both"/>
              <w:rPr>
                <w:color w:val="000000" w:themeColor="text1"/>
                <w:sz w:val="21"/>
                <w:szCs w:val="21"/>
                <w14:textFill>
                  <w14:solidFill>
                    <w14:schemeClr w14:val="tx1"/>
                  </w14:solidFill>
                </w14:textFill>
              </w:rPr>
            </w:pPr>
            <w:bookmarkStart w:id="18" w:name="PO_默认文件内容_111"/>
            <w:r>
              <w:rPr>
                <w:rFonts w:hint="eastAsia"/>
                <w:color w:val="000000" w:themeColor="text1"/>
                <w:sz w:val="21"/>
                <w:szCs w:val="21"/>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pPr>
              <w:pStyle w:val="57"/>
              <w:snapToGrid w:val="0"/>
              <w:spacing w:line="300" w:lineRule="exact"/>
              <w:jc w:val="both"/>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注：</w:t>
            </w:r>
            <w:r>
              <w:rPr>
                <w:rFonts w:hint="eastAsia"/>
                <w:b/>
                <w:bCs/>
                <w:color w:val="000000" w:themeColor="text1"/>
                <w:sz w:val="21"/>
                <w:szCs w:val="21"/>
                <w:lang w:val="zh-CN"/>
                <w14:textFill>
                  <w14:solidFill>
                    <w14:schemeClr w14:val="tx1"/>
                  </w14:solidFill>
                </w14:textFill>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b/>
                <w:bCs/>
                <w:color w:val="000000" w:themeColor="text1"/>
                <w:sz w:val="21"/>
                <w:szCs w:val="21"/>
                <w14:textFill>
                  <w14:solidFill>
                    <w14:schemeClr w14:val="tx1"/>
                  </w14:solidFill>
                </w14:textFill>
              </w:rPr>
              <w:t>30分钟，供应商已明确表示澄清、说明完毕的除外</w:t>
            </w:r>
            <w:r>
              <w:rPr>
                <w:rFonts w:hint="eastAsia"/>
                <w:b/>
                <w:bCs/>
                <w:color w:val="000000" w:themeColor="text1"/>
                <w:sz w:val="21"/>
                <w:szCs w:val="21"/>
                <w:lang w:val="zh-CN"/>
                <w14:textFill>
                  <w14:solidFill>
                    <w14:schemeClr w14:val="tx1"/>
                  </w14:solidFill>
                </w14:textFill>
              </w:rPr>
              <w:t>）。如因系统故障（</w:t>
            </w:r>
            <w:r>
              <w:rPr>
                <w:rFonts w:hint="eastAsia"/>
                <w:b/>
                <w:bCs/>
                <w:color w:val="000000" w:themeColor="text1"/>
                <w:sz w:val="21"/>
                <w:szCs w:val="21"/>
                <w14:textFill>
                  <w14:solidFill>
                    <w14:schemeClr w14:val="tx1"/>
                  </w14:solidFill>
                </w14:textFill>
              </w:rPr>
              <w:t>包括组织场所停电、断网等）</w:t>
            </w:r>
            <w:r>
              <w:rPr>
                <w:rFonts w:hint="eastAsia"/>
                <w:b/>
                <w:bCs/>
                <w:color w:val="000000" w:themeColor="text1"/>
                <w:sz w:val="21"/>
                <w:szCs w:val="21"/>
                <w:lang w:val="zh-CN"/>
                <w14:textFill>
                  <w14:solidFill>
                    <w14:schemeClr w14:val="tx1"/>
                  </w14:solidFill>
                </w14:textFill>
              </w:rPr>
              <w:t>导致系统无法使用的，由投标人按评标委员会的要求进行澄清或者说明。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84" w:type="dxa"/>
            <w:vAlign w:val="center"/>
          </w:tcPr>
          <w:p>
            <w:pPr>
              <w:pStyle w:val="57"/>
              <w:snapToGrid w:val="0"/>
              <w:spacing w:line="300" w:lineRule="exact"/>
              <w:ind w:right="230"/>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4</w:t>
            </w:r>
          </w:p>
        </w:tc>
        <w:tc>
          <w:tcPr>
            <w:tcW w:w="1760" w:type="dxa"/>
            <w:vAlign w:val="center"/>
          </w:tcPr>
          <w:p>
            <w:pPr>
              <w:pStyle w:val="57"/>
              <w:snapToGrid w:val="0"/>
              <w:spacing w:line="300" w:lineRule="exact"/>
              <w:ind w:left="38"/>
              <w:jc w:val="center"/>
              <w:rPr>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进口产品（实质性要求）</w:t>
            </w:r>
          </w:p>
        </w:tc>
        <w:tc>
          <w:tcPr>
            <w:tcW w:w="6298" w:type="dxa"/>
            <w:vAlign w:val="center"/>
          </w:tcPr>
          <w:p>
            <w:pPr>
              <w:pStyle w:val="57"/>
              <w:snapToGrid w:val="0"/>
              <w:spacing w:line="300" w:lineRule="exact"/>
              <w:ind w:firstLine="210" w:firstLineChars="100"/>
              <w:jc w:val="both"/>
              <w:rPr>
                <w:color w:val="000000" w:themeColor="text1"/>
                <w:sz w:val="21"/>
                <w:szCs w:val="21"/>
                <w:lang w:val="zh-CN"/>
                <w14:textFill>
                  <w14:solidFill>
                    <w14:schemeClr w14:val="tx1"/>
                  </w14:solidFill>
                </w14:textFill>
              </w:rPr>
            </w:pPr>
            <w:bookmarkStart w:id="19" w:name="PO_默认文件内容_34"/>
            <w:r>
              <w:rPr>
                <w:rFonts w:hint="eastAsia"/>
                <w:color w:val="000000" w:themeColor="text1"/>
                <w:sz w:val="21"/>
                <w:szCs w:val="21"/>
                <w14:textFill>
                  <w14:solidFill>
                    <w14:schemeClr w14:val="tx1"/>
                  </w14:solidFill>
                </w14:textFill>
              </w:rPr>
              <w:t>本项目招标文件中未载明“允许采购进口产品”的产品，视为拒绝进口产品参与竞争，供应商以进口产品投标时，将按无效投标处理。载明“允许采购进口产品”的产品，不限制国产产品参与竞争。</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84" w:type="dxa"/>
            <w:vAlign w:val="center"/>
          </w:tcPr>
          <w:p>
            <w:pPr>
              <w:pStyle w:val="57"/>
              <w:snapToGrid w:val="0"/>
              <w:spacing w:line="300" w:lineRule="exact"/>
              <w:ind w:right="230"/>
              <w:jc w:val="center"/>
              <w:rPr>
                <w:color w:val="000000" w:themeColor="text1"/>
                <w:sz w:val="21"/>
                <w:szCs w:val="21"/>
                <w:lang w:val="zh-CN"/>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760" w:type="dxa"/>
            <w:vAlign w:val="center"/>
          </w:tcPr>
          <w:p>
            <w:pPr>
              <w:pStyle w:val="57"/>
              <w:snapToGrid w:val="0"/>
              <w:spacing w:line="300" w:lineRule="exact"/>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小微企业（监狱企业、残疾人福利性单位</w:t>
            </w:r>
            <w:r>
              <w:rPr>
                <w:rFonts w:hint="eastAsia"/>
                <w:color w:val="000000" w:themeColor="text1"/>
                <w:sz w:val="21"/>
                <w:szCs w:val="21"/>
                <w14:textFill>
                  <w14:solidFill>
                    <w14:schemeClr w14:val="tx1"/>
                  </w14:solidFill>
                </w14:textFill>
              </w:rPr>
              <w:t>视同小微企业</w:t>
            </w:r>
            <w:r>
              <w:rPr>
                <w:rFonts w:hint="eastAsia"/>
                <w:color w:val="000000" w:themeColor="text1"/>
                <w:kern w:val="2"/>
                <w:sz w:val="21"/>
                <w:szCs w:val="21"/>
                <w14:textFill>
                  <w14:solidFill>
                    <w14:schemeClr w14:val="tx1"/>
                  </w14:solidFill>
                </w14:textFill>
              </w:rPr>
              <w:t>）价格扣除</w:t>
            </w:r>
          </w:p>
        </w:tc>
        <w:tc>
          <w:tcPr>
            <w:tcW w:w="6298" w:type="dxa"/>
            <w:vAlign w:val="center"/>
          </w:tcPr>
          <w:p>
            <w:pPr>
              <w:widowControl/>
              <w:adjustRightInd w:val="0"/>
              <w:snapToGrid w:val="0"/>
              <w:spacing w:after="120" w:line="300" w:lineRule="exact"/>
              <w:jc w:val="left"/>
              <w:rPr>
                <w:rFonts w:ascii="宋体" w:hAnsi="宋体" w:cs="宋体"/>
                <w:color w:val="000000" w:themeColor="text1"/>
                <w:kern w:val="0"/>
                <w:szCs w:val="21"/>
                <w14:textFill>
                  <w14:solidFill>
                    <w14:schemeClr w14:val="tx1"/>
                  </w14:solidFill>
                </w14:textFill>
              </w:rPr>
            </w:pPr>
            <w:bookmarkStart w:id="20" w:name="PO_默认文件内容_3"/>
            <w:r>
              <w:rPr>
                <w:rFonts w:hint="eastAsia" w:ascii="宋体" w:hAnsi="宋体" w:cs="宋体"/>
                <w:color w:val="000000" w:themeColor="text1"/>
                <w:kern w:val="0"/>
                <w:szCs w:val="21"/>
                <w14:textFill>
                  <w14:solidFill>
                    <w14:schemeClr w14:val="tx1"/>
                  </w14:solidFill>
                </w14:textFill>
              </w:rPr>
              <w:t>一、小微企业（监狱企业、残疾人福利性单位均视同小微企业）价格扣除</w:t>
            </w:r>
          </w:p>
          <w:p>
            <w:pPr>
              <w:widowControl/>
              <w:adjustRightInd w:val="0"/>
              <w:snapToGrid w:val="0"/>
              <w:spacing w:after="120" w:line="30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widowControl/>
              <w:adjustRightInd w:val="0"/>
              <w:snapToGrid w:val="0"/>
              <w:spacing w:after="120" w:line="30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2、参加政府采购活动的中小企业提供《中小企业声明函》原件，未提供的，视为放弃享受小微企业价格扣除优惠政策。</w:t>
            </w:r>
          </w:p>
          <w:p>
            <w:pPr>
              <w:widowControl/>
              <w:adjustRightInd w:val="0"/>
              <w:snapToGrid w:val="0"/>
              <w:spacing w:after="120" w:line="30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widowControl/>
              <w:adjustRightInd w:val="0"/>
              <w:snapToGrid w:val="0"/>
              <w:spacing w:after="120" w:line="30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联合体各方均为小型、微型企业的，联合体视同为小型、微型企业享受规定的扶持政策。组成联合体的大中型企业和其他自然人、法人或者其他组织，与小型、微型企业之间不得存在投资关系。</w:t>
            </w:r>
          </w:p>
          <w:p>
            <w:pPr>
              <w:widowControl/>
              <w:adjustRightInd w:val="0"/>
              <w:snapToGrid w:val="0"/>
              <w:spacing w:after="120" w:line="30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4、参加政府采购活动的残疾人福利性单位应当提供《残疾人福利性单位声明函》原件，未提供的，视为放弃享受小微企业价格扣除优惠政策。</w:t>
            </w:r>
          </w:p>
          <w:p>
            <w:pPr>
              <w:widowControl/>
              <w:adjustRightInd w:val="0"/>
              <w:snapToGrid w:val="0"/>
              <w:spacing w:after="120" w:line="30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5、参加政府采购活动的监狱企业提供由省级以上监狱管理局、戒毒管理局(含新疆生产建设兵团)出具的属于监狱企业的证明文件，未提供的，视为放弃享受小微企业价格扣除优惠政策。</w:t>
            </w:r>
          </w:p>
          <w:p>
            <w:pPr>
              <w:widowControl/>
              <w:adjustRightInd w:val="0"/>
              <w:snapToGrid w:val="0"/>
              <w:spacing w:after="120" w:line="30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6、符合中小企业划分标准的个体工商户，在政府采购活动中视同中小企业。</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84" w:type="dxa"/>
            <w:vAlign w:val="center"/>
          </w:tcPr>
          <w:p>
            <w:pPr>
              <w:pStyle w:val="57"/>
              <w:snapToGrid w:val="0"/>
              <w:spacing w:before="72" w:after="72" w:line="300" w:lineRule="exact"/>
              <w:ind w:right="264"/>
              <w:jc w:val="center"/>
              <w:rPr>
                <w:color w:val="000000" w:themeColor="text1"/>
                <w:sz w:val="21"/>
                <w:szCs w:val="21"/>
                <w:lang w:val="zh-CN"/>
                <w14:textFill>
                  <w14:solidFill>
                    <w14:schemeClr w14:val="tx1"/>
                  </w14:solidFill>
                </w14:textFill>
              </w:rPr>
            </w:pPr>
            <w:r>
              <w:rPr>
                <w:rFonts w:hint="eastAsia"/>
                <w:color w:val="000000" w:themeColor="text1"/>
                <w:kern w:val="2"/>
                <w:sz w:val="21"/>
                <w:szCs w:val="21"/>
                <w14:textFill>
                  <w14:solidFill>
                    <w14:schemeClr w14:val="tx1"/>
                  </w14:solidFill>
                </w14:textFill>
              </w:rPr>
              <w:t>6</w:t>
            </w:r>
          </w:p>
        </w:tc>
        <w:tc>
          <w:tcPr>
            <w:tcW w:w="1760" w:type="dxa"/>
            <w:vAlign w:val="center"/>
          </w:tcPr>
          <w:p>
            <w:pPr>
              <w:adjustRightInd w:val="0"/>
              <w:snapToGrid w:val="0"/>
              <w:spacing w:line="300" w:lineRule="exact"/>
              <w:ind w:left="105" w:leftChars="50" w:right="105" w:rightChars="5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节能、环保及无线局域网产品政府采购政策</w:t>
            </w:r>
            <w:r>
              <w:rPr>
                <w:rFonts w:hint="eastAsia" w:ascii="宋体" w:hAnsi="宋体" w:cs="宋体"/>
                <w:b/>
                <w:color w:val="000000" w:themeColor="text1"/>
                <w:kern w:val="0"/>
                <w:szCs w:val="21"/>
                <w14:textFill>
                  <w14:solidFill>
                    <w14:schemeClr w14:val="tx1"/>
                  </w14:solidFill>
                </w14:textFill>
              </w:rPr>
              <w:t>（本项目不适用）</w:t>
            </w:r>
          </w:p>
        </w:tc>
        <w:tc>
          <w:tcPr>
            <w:tcW w:w="6298" w:type="dxa"/>
            <w:vAlign w:val="center"/>
          </w:tcPr>
          <w:p>
            <w:pPr>
              <w:adjustRightInd w:val="0"/>
              <w:snapToGrid w:val="0"/>
              <w:spacing w:after="0" w:line="300" w:lineRule="exact"/>
              <w:ind w:right="105" w:rightChars="50"/>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一、节能、环保产品政府采购政策：</w:t>
            </w:r>
          </w:p>
          <w:p>
            <w:pPr>
              <w:adjustRightInd w:val="0"/>
              <w:snapToGrid w:val="0"/>
              <w:spacing w:after="0" w:line="300" w:lineRule="exact"/>
              <w:ind w:right="105" w:rightChars="5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adjustRightInd w:val="0"/>
              <w:snapToGrid w:val="0"/>
              <w:spacing w:after="0" w:line="300" w:lineRule="exact"/>
              <w:ind w:right="105" w:rightChars="5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本项目采购的产品属于品目清单强制采购范围的，供应商应按上述要求提供产品认证证书复印件并加盖供应商单位公章，否则投标无效。</w:t>
            </w:r>
            <w:r>
              <w:rPr>
                <w:rFonts w:hint="eastAsia" w:ascii="宋体" w:hAnsi="宋体" w:cs="宋体"/>
                <w:b/>
                <w:color w:val="000000" w:themeColor="text1"/>
                <w:szCs w:val="21"/>
                <w14:textFill>
                  <w14:solidFill>
                    <w14:schemeClr w14:val="tx1"/>
                  </w14:solidFill>
                </w14:textFill>
              </w:rPr>
              <w:t>（实质性要求）</w:t>
            </w:r>
          </w:p>
          <w:p>
            <w:pPr>
              <w:adjustRightInd w:val="0"/>
              <w:snapToGrid w:val="0"/>
              <w:spacing w:after="0" w:line="300" w:lineRule="exact"/>
              <w:ind w:right="105" w:rightChars="5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本项目采购的产品属于品目清单优先采购范围的，按照第七章《综合评分明细表》的规则进行加分。</w:t>
            </w:r>
          </w:p>
          <w:p>
            <w:pPr>
              <w:adjustRightInd w:val="0"/>
              <w:snapToGrid w:val="0"/>
              <w:spacing w:after="0" w:line="300" w:lineRule="exact"/>
              <w:ind w:right="105" w:rightChars="5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注：对政府采购节能产品、环境标志产品实施品目清单管理。财政部、发展改革委、生态环境部等部门确定实施政府优先采购和强制采购的产品类别，以品目清单的形式发布并适时调整。</w:t>
            </w:r>
          </w:p>
          <w:p>
            <w:pPr>
              <w:adjustRightInd w:val="0"/>
              <w:snapToGrid w:val="0"/>
              <w:spacing w:after="0" w:line="300" w:lineRule="exact"/>
              <w:ind w:right="105" w:rightChars="50"/>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二、无线局域网产品政府采购政策：</w:t>
            </w:r>
          </w:p>
          <w:p>
            <w:pPr>
              <w:adjustRightInd w:val="0"/>
              <w:snapToGrid w:val="0"/>
              <w:spacing w:after="120" w:line="300" w:lineRule="exact"/>
              <w:ind w:left="105" w:leftChars="50" w:right="105" w:rightChars="5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本项目采购的产品属于中国政府采购网公布的《无线局域网认证产品政府采购清单》的，按照第七章《综合评分明细表》的规则进行加分。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84" w:type="dxa"/>
            <w:vAlign w:val="center"/>
          </w:tcPr>
          <w:p>
            <w:pPr>
              <w:pStyle w:val="57"/>
              <w:snapToGrid w:val="0"/>
              <w:spacing w:line="300" w:lineRule="exact"/>
              <w:ind w:right="230"/>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7</w:t>
            </w:r>
          </w:p>
        </w:tc>
        <w:tc>
          <w:tcPr>
            <w:tcW w:w="1760" w:type="dxa"/>
            <w:vAlign w:val="center"/>
          </w:tcPr>
          <w:p>
            <w:pPr>
              <w:adjustRightInd w:val="0"/>
              <w:snapToGrid w:val="0"/>
              <w:spacing w:line="300" w:lineRule="exact"/>
              <w:ind w:left="105" w:leftChars="50" w:right="105" w:rightChars="5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评标情况公告</w:t>
            </w:r>
          </w:p>
        </w:tc>
        <w:tc>
          <w:tcPr>
            <w:tcW w:w="6298" w:type="dxa"/>
            <w:vAlign w:val="center"/>
          </w:tcPr>
          <w:p>
            <w:pPr>
              <w:widowControl/>
              <w:adjustRightInd w:val="0"/>
              <w:snapToGrid w:val="0"/>
              <w:spacing w:line="300" w:lineRule="exact"/>
              <w:jc w:val="left"/>
              <w:rPr>
                <w:rFonts w:ascii="宋体" w:hAnsi="宋体" w:cs="宋体"/>
                <w:color w:val="000000" w:themeColor="text1"/>
                <w:szCs w:val="21"/>
                <w14:textFill>
                  <w14:solidFill>
                    <w14:schemeClr w14:val="tx1"/>
                  </w14:solidFill>
                </w14:textFill>
              </w:rPr>
            </w:pPr>
            <w:bookmarkStart w:id="21" w:name="PO_默认文件内容_7"/>
            <w:r>
              <w:rPr>
                <w:rFonts w:hint="eastAsia" w:ascii="宋体" w:hAnsi="宋体" w:cs="宋体"/>
                <w:color w:val="000000" w:themeColor="text1"/>
                <w:kern w:val="0"/>
                <w:szCs w:val="21"/>
                <w14:textFill>
                  <w14:solidFill>
                    <w14:schemeClr w14:val="tx1"/>
                  </w14:solidFill>
                </w14:textFill>
              </w:rPr>
              <w:t>所有供应商投标文件资格性、符合性检查情况、采用综合评分法时的总得分和分项汇总得分情况、评标结果等将在四川政府采购网上采购结果公告栏中予以公告。</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84" w:type="dxa"/>
            <w:vAlign w:val="center"/>
          </w:tcPr>
          <w:p>
            <w:pPr>
              <w:pStyle w:val="57"/>
              <w:snapToGrid w:val="0"/>
              <w:spacing w:line="300" w:lineRule="exact"/>
              <w:ind w:right="230"/>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8</w:t>
            </w:r>
          </w:p>
        </w:tc>
        <w:tc>
          <w:tcPr>
            <w:tcW w:w="1760" w:type="dxa"/>
            <w:vAlign w:val="center"/>
          </w:tcPr>
          <w:p>
            <w:pPr>
              <w:pStyle w:val="57"/>
              <w:snapToGrid w:val="0"/>
              <w:spacing w:line="300" w:lineRule="exact"/>
              <w:ind w:left="96"/>
              <w:jc w:val="center"/>
              <w:rPr>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投标保证金</w:t>
            </w:r>
          </w:p>
        </w:tc>
        <w:tc>
          <w:tcPr>
            <w:tcW w:w="6298" w:type="dxa"/>
            <w:vAlign w:val="center"/>
          </w:tcPr>
          <w:p>
            <w:pPr>
              <w:adjustRightInd w:val="0"/>
              <w:snapToGrid w:val="0"/>
              <w:spacing w:line="300" w:lineRule="exact"/>
              <w:rPr>
                <w:rFonts w:ascii="宋体" w:hAnsi="宋体" w:cs="宋体"/>
                <w:b/>
                <w:color w:val="000000" w:themeColor="text1"/>
                <w:szCs w:val="21"/>
                <w:lang w:val="zh-CN"/>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84" w:type="dxa"/>
            <w:vAlign w:val="center"/>
          </w:tcPr>
          <w:p>
            <w:pPr>
              <w:pStyle w:val="57"/>
              <w:snapToGrid w:val="0"/>
              <w:spacing w:line="300" w:lineRule="exact"/>
              <w:ind w:right="264"/>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9</w:t>
            </w:r>
          </w:p>
        </w:tc>
        <w:tc>
          <w:tcPr>
            <w:tcW w:w="1760" w:type="dxa"/>
            <w:vAlign w:val="center"/>
          </w:tcPr>
          <w:p>
            <w:pPr>
              <w:pStyle w:val="57"/>
              <w:snapToGrid w:val="0"/>
              <w:spacing w:line="300" w:lineRule="exact"/>
              <w:ind w:left="96"/>
              <w:jc w:val="center"/>
              <w:rPr>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履约保证金</w:t>
            </w:r>
          </w:p>
        </w:tc>
        <w:tc>
          <w:tcPr>
            <w:tcW w:w="6298" w:type="dxa"/>
            <w:vAlign w:val="center"/>
          </w:tcPr>
          <w:p>
            <w:pPr>
              <w:pStyle w:val="57"/>
              <w:snapToGrid w:val="0"/>
              <w:spacing w:line="300" w:lineRule="exact"/>
              <w:rPr>
                <w:color w:val="000000" w:themeColor="text1"/>
                <w:sz w:val="21"/>
                <w:szCs w:val="21"/>
                <w:lang w:val="zh-CN"/>
                <w14:textFill>
                  <w14:solidFill>
                    <w14:schemeClr w14:val="tx1"/>
                  </w14:solidFill>
                </w14:textFill>
              </w:rPr>
            </w:pPr>
            <w:r>
              <w:rPr>
                <w:rFonts w:hint="eastAsia"/>
                <w:bCs/>
                <w:color w:val="000000" w:themeColor="text1"/>
                <w:kern w:val="2"/>
                <w:sz w:val="21"/>
                <w:szCs w:val="21"/>
                <w:lang w:val="zh-CN"/>
                <w14:textFill>
                  <w14:solidFill>
                    <w14:schemeClr w14:val="tx1"/>
                  </w14:solidFill>
                </w14:textFill>
              </w:rPr>
              <w:t>本项目不收取</w:t>
            </w:r>
            <w:r>
              <w:rPr>
                <w:rFonts w:hint="eastAsia"/>
                <w:bCs/>
                <w:color w:val="000000" w:themeColor="text1"/>
                <w:kern w:val="2"/>
                <w:sz w:val="21"/>
                <w:szCs w:val="21"/>
                <w14:textFill>
                  <w14:solidFill>
                    <w14:schemeClr w14:val="tx1"/>
                  </w14:solidFill>
                </w14:textFill>
              </w:rPr>
              <w:t>履约保证金</w:t>
            </w:r>
            <w:r>
              <w:rPr>
                <w:rFonts w:hint="eastAsia"/>
                <w:bCs/>
                <w:color w:val="000000" w:themeColor="text1"/>
                <w:kern w:val="2"/>
                <w:sz w:val="21"/>
                <w:szCs w:val="21"/>
                <w:lang w:val="zh-CN"/>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684" w:type="dxa"/>
            <w:tcBorders>
              <w:top w:val="single" w:color="auto" w:sz="4" w:space="0"/>
              <w:bottom w:val="single" w:color="auto" w:sz="4" w:space="0"/>
            </w:tcBorders>
            <w:vAlign w:val="center"/>
          </w:tcPr>
          <w:p>
            <w:pPr>
              <w:pStyle w:val="57"/>
              <w:snapToGrid w:val="0"/>
              <w:spacing w:line="300" w:lineRule="exact"/>
              <w:ind w:right="264"/>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10</w:t>
            </w:r>
          </w:p>
        </w:tc>
        <w:tc>
          <w:tcPr>
            <w:tcW w:w="1760" w:type="dxa"/>
            <w:vAlign w:val="center"/>
          </w:tcPr>
          <w:p>
            <w:pPr>
              <w:adjustRightInd w:val="0"/>
              <w:snapToGrid w:val="0"/>
              <w:spacing w:line="300" w:lineRule="exact"/>
              <w:ind w:firstLine="105" w:firstLineChars="5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合同分包</w:t>
            </w:r>
          </w:p>
          <w:p>
            <w:pPr>
              <w:pStyle w:val="57"/>
              <w:snapToGrid w:val="0"/>
              <w:spacing w:line="300" w:lineRule="exact"/>
              <w:jc w:val="center"/>
              <w:rPr>
                <w:b/>
                <w:bCs/>
                <w:color w:val="000000" w:themeColor="text1"/>
                <w:kern w:val="2"/>
                <w:sz w:val="21"/>
                <w:szCs w:val="21"/>
                <w14:textFill>
                  <w14:solidFill>
                    <w14:schemeClr w14:val="tx1"/>
                  </w14:solidFill>
                </w14:textFill>
              </w:rPr>
            </w:pPr>
            <w:r>
              <w:rPr>
                <w:rFonts w:hint="eastAsia"/>
                <w:b/>
                <w:bCs/>
                <w:color w:val="000000" w:themeColor="text1"/>
                <w:kern w:val="2"/>
                <w:sz w:val="21"/>
                <w:szCs w:val="21"/>
                <w14:textFill>
                  <w14:solidFill>
                    <w14:schemeClr w14:val="tx1"/>
                  </w14:solidFill>
                </w14:textFill>
              </w:rPr>
              <w:t>（实质性要求）</w:t>
            </w:r>
          </w:p>
        </w:tc>
        <w:tc>
          <w:tcPr>
            <w:tcW w:w="6298" w:type="dxa"/>
            <w:vAlign w:val="center"/>
          </w:tcPr>
          <w:p>
            <w:pPr>
              <w:pStyle w:val="57"/>
              <w:snapToGrid w:val="0"/>
              <w:spacing w:line="300" w:lineRule="exact"/>
              <w:jc w:val="both"/>
              <w:rPr>
                <w:b/>
                <w:color w:val="000000" w:themeColor="text1"/>
                <w:kern w:val="2"/>
                <w:sz w:val="21"/>
                <w:szCs w:val="21"/>
                <w14:textFill>
                  <w14:solidFill>
                    <w14:schemeClr w14:val="tx1"/>
                  </w14:solidFill>
                </w14:textFill>
              </w:rPr>
            </w:pPr>
            <w:r>
              <w:rPr>
                <w:rFonts w:hint="eastAsia"/>
                <w:color w:val="000000" w:themeColor="text1"/>
                <w:kern w:val="2"/>
                <w14:textFill>
                  <w14:solidFill>
                    <w14:schemeClr w14:val="tx1"/>
                  </w14:solidFill>
                </w14:textFill>
              </w:rPr>
              <w:t>☑</w:t>
            </w:r>
            <w:r>
              <w:rPr>
                <w:rFonts w:hint="eastAsia"/>
                <w:b/>
                <w:color w:val="000000" w:themeColor="text1"/>
                <w:kern w:val="2"/>
                <w:sz w:val="21"/>
                <w:szCs w:val="21"/>
                <w14:textFill>
                  <w14:solidFill>
                    <w14:schemeClr w14:val="tx1"/>
                  </w14:solidFill>
                </w14:textFill>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684" w:type="dxa"/>
            <w:tcBorders>
              <w:top w:val="single" w:color="auto" w:sz="4" w:space="0"/>
              <w:bottom w:val="single" w:color="auto" w:sz="4" w:space="0"/>
            </w:tcBorders>
            <w:vAlign w:val="center"/>
          </w:tcPr>
          <w:p>
            <w:pPr>
              <w:pStyle w:val="57"/>
              <w:snapToGrid w:val="0"/>
              <w:spacing w:line="300" w:lineRule="exact"/>
              <w:ind w:right="264"/>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11</w:t>
            </w:r>
          </w:p>
        </w:tc>
        <w:tc>
          <w:tcPr>
            <w:tcW w:w="1760" w:type="dxa"/>
            <w:tcBorders>
              <w:top w:val="single" w:color="auto" w:sz="4" w:space="0"/>
              <w:bottom w:val="single" w:color="auto" w:sz="4" w:space="0"/>
            </w:tcBorders>
            <w:vAlign w:val="center"/>
          </w:tcPr>
          <w:p>
            <w:pPr>
              <w:pStyle w:val="57"/>
              <w:snapToGrid w:val="0"/>
              <w:spacing w:line="300" w:lineRule="exact"/>
              <w:jc w:val="center"/>
              <w:rPr>
                <w:color w:val="000000" w:themeColor="text1"/>
                <w:kern w:val="2"/>
                <w:sz w:val="21"/>
                <w:szCs w:val="21"/>
                <w14:textFill>
                  <w14:solidFill>
                    <w14:schemeClr w14:val="tx1"/>
                  </w14:solidFill>
                </w14:textFill>
              </w:rPr>
            </w:pPr>
            <w:r>
              <w:rPr>
                <w:rFonts w:hint="eastAsia"/>
                <w:b/>
                <w:bCs/>
                <w:color w:val="000000" w:themeColor="text1"/>
                <w:kern w:val="2"/>
                <w:sz w:val="21"/>
                <w:szCs w:val="21"/>
                <w14:textFill>
                  <w14:solidFill>
                    <w14:schemeClr w14:val="tx1"/>
                  </w14:solidFill>
                </w14:textFill>
              </w:rPr>
              <w:t>采购项目具体事项/采购文件内容咨询</w:t>
            </w:r>
          </w:p>
        </w:tc>
        <w:tc>
          <w:tcPr>
            <w:tcW w:w="6298" w:type="dxa"/>
            <w:tcBorders>
              <w:top w:val="single" w:color="auto" w:sz="4" w:space="0"/>
              <w:bottom w:val="single" w:color="auto" w:sz="4" w:space="0"/>
            </w:tcBorders>
            <w:vAlign w:val="center"/>
          </w:tcPr>
          <w:p>
            <w:pPr>
              <w:adjustRightInd w:val="0"/>
              <w:snapToGrid w:val="0"/>
              <w:spacing w:line="300" w:lineRule="exact"/>
              <w:ind w:right="105" w:rightChars="5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联系人：吴女士。 </w:t>
            </w:r>
          </w:p>
          <w:p>
            <w:pPr>
              <w:adjustRightInd w:val="0"/>
              <w:snapToGrid w:val="0"/>
              <w:spacing w:line="300" w:lineRule="exact"/>
              <w:ind w:right="105" w:rightChars="5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联系电话：028-86736328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684" w:type="dxa"/>
            <w:tcBorders>
              <w:top w:val="single" w:color="auto" w:sz="4" w:space="0"/>
              <w:bottom w:val="single" w:color="auto" w:sz="4" w:space="0"/>
            </w:tcBorders>
            <w:vAlign w:val="center"/>
          </w:tcPr>
          <w:p>
            <w:pPr>
              <w:pStyle w:val="57"/>
              <w:snapToGrid w:val="0"/>
              <w:spacing w:before="72" w:after="72" w:line="300" w:lineRule="exact"/>
              <w:ind w:right="264"/>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12</w:t>
            </w:r>
          </w:p>
        </w:tc>
        <w:tc>
          <w:tcPr>
            <w:tcW w:w="1760" w:type="dxa"/>
            <w:tcBorders>
              <w:top w:val="single" w:color="auto" w:sz="4" w:space="0"/>
              <w:bottom w:val="single" w:color="auto" w:sz="4" w:space="0"/>
            </w:tcBorders>
            <w:vAlign w:val="center"/>
          </w:tcPr>
          <w:p>
            <w:pPr>
              <w:pStyle w:val="57"/>
              <w:snapToGrid w:val="0"/>
              <w:spacing w:line="300" w:lineRule="exact"/>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开标、评标工作咨询</w:t>
            </w:r>
          </w:p>
        </w:tc>
        <w:tc>
          <w:tcPr>
            <w:tcW w:w="6298" w:type="dxa"/>
            <w:tcBorders>
              <w:top w:val="single" w:color="auto" w:sz="4" w:space="0"/>
              <w:bottom w:val="single" w:color="auto" w:sz="4" w:space="0"/>
            </w:tcBorders>
            <w:vAlign w:val="center"/>
          </w:tcPr>
          <w:p>
            <w:pPr>
              <w:adjustRightInd w:val="0"/>
              <w:snapToGrid w:val="0"/>
              <w:spacing w:line="300" w:lineRule="exact"/>
              <w:ind w:right="105" w:rightChars="5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联系人：吴女士</w:t>
            </w:r>
          </w:p>
          <w:p>
            <w:pPr>
              <w:adjustRightInd w:val="0"/>
              <w:snapToGrid w:val="0"/>
              <w:spacing w:line="300" w:lineRule="exact"/>
              <w:ind w:right="105" w:rightChars="5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联系电话： 028-86736328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84" w:type="dxa"/>
            <w:tcBorders>
              <w:top w:val="single" w:color="auto" w:sz="4" w:space="0"/>
            </w:tcBorders>
            <w:vAlign w:val="center"/>
          </w:tcPr>
          <w:p>
            <w:pPr>
              <w:pStyle w:val="57"/>
              <w:snapToGrid w:val="0"/>
              <w:spacing w:line="300" w:lineRule="exact"/>
              <w:ind w:right="264"/>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13</w:t>
            </w:r>
          </w:p>
        </w:tc>
        <w:tc>
          <w:tcPr>
            <w:tcW w:w="1760" w:type="dxa"/>
            <w:tcBorders>
              <w:top w:val="single" w:color="auto" w:sz="4" w:space="0"/>
            </w:tcBorders>
            <w:vAlign w:val="center"/>
          </w:tcPr>
          <w:p>
            <w:pPr>
              <w:adjustRightInd w:val="0"/>
              <w:snapToGrid w:val="0"/>
              <w:spacing w:line="300" w:lineRule="exact"/>
              <w:ind w:left="105" w:leftChars="50" w:right="105" w:rightChars="5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中标通知书领取</w:t>
            </w:r>
          </w:p>
        </w:tc>
        <w:tc>
          <w:tcPr>
            <w:tcW w:w="6298" w:type="dxa"/>
            <w:tcBorders>
              <w:top w:val="single" w:color="auto" w:sz="4" w:space="0"/>
            </w:tcBorders>
            <w:vAlign w:val="center"/>
          </w:tcPr>
          <w:p>
            <w:pPr>
              <w:adjustRightInd w:val="0"/>
              <w:snapToGrid w:val="0"/>
              <w:spacing w:line="300" w:lineRule="exact"/>
              <w:rPr>
                <w:rFonts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在四川政府采购网公告中标结果同时发出中标通知书，中标供应商自行登录政府采购云平台下载中标通知书。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84" w:type="dxa"/>
            <w:tcBorders>
              <w:top w:val="single" w:color="auto" w:sz="4" w:space="0"/>
            </w:tcBorders>
            <w:vAlign w:val="center"/>
          </w:tcPr>
          <w:p>
            <w:pPr>
              <w:pStyle w:val="57"/>
              <w:snapToGrid w:val="0"/>
              <w:spacing w:line="300" w:lineRule="exact"/>
              <w:ind w:right="264"/>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14</w:t>
            </w:r>
          </w:p>
        </w:tc>
        <w:tc>
          <w:tcPr>
            <w:tcW w:w="1760" w:type="dxa"/>
            <w:tcBorders>
              <w:top w:val="single" w:color="auto" w:sz="4" w:space="0"/>
            </w:tcBorders>
            <w:vAlign w:val="center"/>
          </w:tcPr>
          <w:p>
            <w:pPr>
              <w:pStyle w:val="57"/>
              <w:snapToGrid w:val="0"/>
              <w:spacing w:line="300" w:lineRule="exact"/>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供应商询问</w:t>
            </w:r>
          </w:p>
        </w:tc>
        <w:tc>
          <w:tcPr>
            <w:tcW w:w="6298" w:type="dxa"/>
            <w:tcBorders>
              <w:top w:val="single" w:color="auto" w:sz="4" w:space="0"/>
            </w:tcBorders>
            <w:vAlign w:val="center"/>
          </w:tcPr>
          <w:p>
            <w:pPr>
              <w:adjustRightInd w:val="0"/>
              <w:snapToGrid w:val="0"/>
              <w:spacing w:line="300" w:lineRule="exact"/>
              <w:rPr>
                <w:rFonts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根据委托代理协议约定，供应商询问由采购代理机构负责答复。</w:t>
            </w:r>
          </w:p>
          <w:p>
            <w:pPr>
              <w:adjustRightInd w:val="0"/>
              <w:snapToGrid w:val="0"/>
              <w:spacing w:line="300" w:lineRule="exact"/>
              <w:rPr>
                <w:rFonts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项目问题询问：</w:t>
            </w:r>
          </w:p>
          <w:p>
            <w:pPr>
              <w:adjustRightInd w:val="0"/>
              <w:snapToGrid w:val="0"/>
              <w:spacing w:line="300" w:lineRule="exac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联系人：吴女士。 </w:t>
            </w:r>
          </w:p>
          <w:p>
            <w:pPr>
              <w:adjustRightInd w:val="0"/>
              <w:snapToGrid w:val="0"/>
              <w:spacing w:line="300" w:lineRule="exac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联系电话：028-86736328</w:t>
            </w:r>
          </w:p>
          <w:p>
            <w:pPr>
              <w:adjustRightInd w:val="0"/>
              <w:snapToGrid w:val="0"/>
              <w:spacing w:line="300" w:lineRule="exac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服务质量投诉：</w:t>
            </w:r>
            <w:r>
              <w:rPr>
                <w:rFonts w:hint="eastAsia" w:ascii="宋体" w:hAnsi="宋体" w:cs="宋体"/>
                <w:color w:val="000000" w:themeColor="text1"/>
                <w:szCs w:val="21"/>
                <w14:textFill>
                  <w14:solidFill>
                    <w14:schemeClr w14:val="tx1"/>
                  </w14:solidFill>
                </w14:textFill>
              </w:rPr>
              <w:t>028-86737318</w:t>
            </w:r>
          </w:p>
          <w:p>
            <w:pPr>
              <w:adjustRightInd w:val="0"/>
              <w:snapToGrid w:val="0"/>
              <w:spacing w:line="300" w:lineRule="exac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递交地址</w:t>
            </w:r>
            <w:r>
              <w:rPr>
                <w:rFonts w:hint="eastAsia" w:ascii="宋体" w:hAnsi="宋体" w:cs="宋体"/>
                <w:color w:val="000000" w:themeColor="text1"/>
                <w:szCs w:val="21"/>
                <w14:textFill>
                  <w14:solidFill>
                    <w14:schemeClr w14:val="tx1"/>
                  </w14:solidFill>
                </w14:textFill>
              </w:rPr>
              <w:t>：</w:t>
            </w:r>
            <w:r>
              <w:rPr>
                <w:rFonts w:hint="eastAsia" w:ascii="宋体" w:hAnsi="宋体" w:cs="宋体"/>
                <w:color w:val="000000" w:themeColor="text1"/>
                <w:sz w:val="24"/>
                <w:szCs w:val="28"/>
                <w14:textFill>
                  <w14:solidFill>
                    <w14:schemeClr w14:val="tx1"/>
                  </w14:solidFill>
                </w14:textFill>
              </w:rPr>
              <w:t>https://www.zcygov.cn</w:t>
            </w:r>
            <w:r>
              <w:rPr>
                <w:rFonts w:hint="eastAsia" w:ascii="宋体" w:hAnsi="宋体" w:cs="宋体"/>
                <w:color w:val="000000" w:themeColor="text1"/>
                <w:szCs w:val="21"/>
                <w:lang w:val="zh-CN"/>
                <w14:textFill>
                  <w14:solidFill>
                    <w14:schemeClr w14:val="tx1"/>
                  </w14:solidFill>
                </w14:textFill>
              </w:rPr>
              <w:t>。（须通过政采云平台递交，请勿线下提交。）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84" w:type="dxa"/>
            <w:vAlign w:val="center"/>
          </w:tcPr>
          <w:p>
            <w:pPr>
              <w:pStyle w:val="57"/>
              <w:snapToGrid w:val="0"/>
              <w:spacing w:line="300" w:lineRule="exact"/>
              <w:ind w:right="264"/>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15</w:t>
            </w:r>
          </w:p>
        </w:tc>
        <w:tc>
          <w:tcPr>
            <w:tcW w:w="1760" w:type="dxa"/>
            <w:vAlign w:val="center"/>
          </w:tcPr>
          <w:p>
            <w:pPr>
              <w:pStyle w:val="57"/>
              <w:snapToGrid w:val="0"/>
              <w:spacing w:line="300" w:lineRule="exact"/>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供应商质疑</w:t>
            </w:r>
          </w:p>
        </w:tc>
        <w:tc>
          <w:tcPr>
            <w:tcW w:w="6298" w:type="dxa"/>
            <w:vAlign w:val="center"/>
          </w:tcPr>
          <w:p>
            <w:pPr>
              <w:adjustRightInd w:val="0"/>
              <w:snapToGrid w:val="0"/>
              <w:spacing w:line="300" w:lineRule="exact"/>
              <w:ind w:right="105" w:rightChars="5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根据委托代理协议约定，供应商质疑由采购代理机构负责答复。</w:t>
            </w:r>
          </w:p>
          <w:p>
            <w:pPr>
              <w:adjustRightInd w:val="0"/>
              <w:snapToGrid w:val="0"/>
              <w:spacing w:line="300" w:lineRule="exact"/>
              <w:ind w:right="105" w:rightChars="5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联系方式：028-86736328。</w:t>
            </w:r>
          </w:p>
          <w:p>
            <w:pPr>
              <w:adjustRightInd w:val="0"/>
              <w:snapToGrid w:val="0"/>
              <w:spacing w:line="300" w:lineRule="exact"/>
              <w:ind w:right="105" w:rightChars="5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递交地址：</w:t>
            </w:r>
            <w:r>
              <w:rPr>
                <w:rFonts w:hint="eastAsia" w:ascii="宋体" w:hAnsi="宋体" w:cs="宋体"/>
                <w:color w:val="000000" w:themeColor="text1"/>
                <w:sz w:val="24"/>
                <w:szCs w:val="28"/>
                <w14:textFill>
                  <w14:solidFill>
                    <w14:schemeClr w14:val="tx1"/>
                  </w14:solidFill>
                </w14:textFill>
              </w:rPr>
              <w:t>https://www.zcygov.cn</w:t>
            </w:r>
            <w:r>
              <w:rPr>
                <w:rFonts w:hint="eastAsia"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lang w:val="zh-CN"/>
                <w14:textFill>
                  <w14:solidFill>
                    <w14:schemeClr w14:val="tx1"/>
                  </w14:solidFill>
                </w14:textFill>
              </w:rPr>
              <w:t>（须通过政采云平台递交，请勿线下提交。）</w:t>
            </w:r>
          </w:p>
          <w:p>
            <w:pPr>
              <w:adjustRightInd w:val="0"/>
              <w:snapToGrid w:val="0"/>
              <w:spacing w:line="300" w:lineRule="exact"/>
              <w:ind w:right="105" w:rightChars="5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84" w:type="dxa"/>
            <w:vAlign w:val="center"/>
          </w:tcPr>
          <w:p>
            <w:pPr>
              <w:adjustRightInd w:val="0"/>
              <w:snapToGrid w:val="0"/>
              <w:spacing w:line="300" w:lineRule="exact"/>
              <w:ind w:firstLine="105" w:firstLineChars="5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16</w:t>
            </w:r>
          </w:p>
        </w:tc>
        <w:tc>
          <w:tcPr>
            <w:tcW w:w="1760" w:type="dxa"/>
            <w:vAlign w:val="center"/>
          </w:tcPr>
          <w:p>
            <w:pPr>
              <w:pStyle w:val="57"/>
              <w:snapToGrid w:val="0"/>
              <w:spacing w:line="300" w:lineRule="exact"/>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供应商投诉</w:t>
            </w:r>
          </w:p>
        </w:tc>
        <w:tc>
          <w:tcPr>
            <w:tcW w:w="6298" w:type="dxa"/>
            <w:vAlign w:val="center"/>
          </w:tcPr>
          <w:p>
            <w:pPr>
              <w:adjustRightInd w:val="0"/>
              <w:snapToGrid w:val="0"/>
              <w:spacing w:line="300" w:lineRule="exact"/>
              <w:ind w:right="105" w:rightChars="5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投诉受理单位：本采购项目同级财政部门，即成都市财政局。</w:t>
            </w:r>
          </w:p>
          <w:p>
            <w:pPr>
              <w:adjustRightInd w:val="0"/>
              <w:snapToGrid w:val="0"/>
              <w:spacing w:line="300" w:lineRule="exact"/>
              <w:ind w:right="105" w:rightChars="5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联系电话：028-61882648。</w:t>
            </w:r>
          </w:p>
          <w:p>
            <w:pPr>
              <w:adjustRightInd w:val="0"/>
              <w:snapToGrid w:val="0"/>
              <w:spacing w:line="300" w:lineRule="exact"/>
              <w:ind w:right="105" w:rightChars="5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地址：成都市锦城大道366号。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84" w:type="dxa"/>
            <w:vAlign w:val="center"/>
          </w:tcPr>
          <w:p>
            <w:pPr>
              <w:adjustRightInd w:val="0"/>
              <w:snapToGrid w:val="0"/>
              <w:spacing w:line="300" w:lineRule="exact"/>
              <w:ind w:firstLine="105" w:firstLineChars="5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17</w:t>
            </w:r>
          </w:p>
        </w:tc>
        <w:tc>
          <w:tcPr>
            <w:tcW w:w="1760" w:type="dxa"/>
            <w:tcBorders>
              <w:right w:val="single" w:color="auto" w:sz="4" w:space="0"/>
            </w:tcBorders>
            <w:vAlign w:val="center"/>
          </w:tcPr>
          <w:p>
            <w:pPr>
              <w:adjustRightInd w:val="0"/>
              <w:snapToGrid w:val="0"/>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政府采购合同</w:t>
            </w:r>
          </w:p>
          <w:p>
            <w:pPr>
              <w:adjustRightInd w:val="0"/>
              <w:snapToGrid w:val="0"/>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公告备案</w:t>
            </w:r>
          </w:p>
        </w:tc>
        <w:tc>
          <w:tcPr>
            <w:tcW w:w="6298" w:type="dxa"/>
            <w:tcBorders>
              <w:left w:val="single" w:color="auto" w:sz="4" w:space="0"/>
            </w:tcBorders>
            <w:vAlign w:val="center"/>
          </w:tcPr>
          <w:p>
            <w:pPr>
              <w:adjustRightInd w:val="0"/>
              <w:snapToGrid w:val="0"/>
              <w:spacing w:line="300" w:lineRule="exact"/>
              <w:rPr>
                <w:rFonts w:ascii="宋体" w:hAnsi="宋体" w:cs="宋体"/>
                <w:color w:val="000000" w:themeColor="text1"/>
                <w:szCs w:val="21"/>
                <w14:textFill>
                  <w14:solidFill>
                    <w14:schemeClr w14:val="tx1"/>
                  </w14:solidFill>
                </w14:textFill>
              </w:rPr>
            </w:pPr>
            <w:bookmarkStart w:id="22" w:name="PO_默认文件内容_28"/>
            <w:r>
              <w:rPr>
                <w:rFonts w:hint="eastAsia" w:ascii="宋体" w:hAnsi="宋体" w:cs="宋体"/>
                <w:color w:val="000000" w:themeColor="text1"/>
                <w:szCs w:val="21"/>
                <w14:textFill>
                  <w14:solidFill>
                    <w14:schemeClr w14:val="tx1"/>
                  </w14:solidFill>
                </w14:textFill>
              </w:rPr>
              <w:t>政府采购合同签订之日起2个工作日内，采购人应将政府采购合同在四川政府采购网公告；政府采购合同签订之日起七个工作日内，政府采购合同将向本采购项目同级财政部门备案</w:t>
            </w:r>
            <w:r>
              <w:rPr>
                <w:rFonts w:hint="eastAsia" w:ascii="宋体" w:hAnsi="宋体" w:cs="宋体"/>
                <w:color w:val="000000" w:themeColor="text1"/>
                <w:szCs w:val="21"/>
                <w:lang w:val="zh-CN"/>
                <w14:textFill>
                  <w14:solidFill>
                    <w14:schemeClr w14:val="tx1"/>
                  </w14:solidFill>
                </w14:textFill>
              </w:rPr>
              <w:t>。</w:t>
            </w:r>
            <w:bookmarkEnd w:id="2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84" w:type="dxa"/>
            <w:vAlign w:val="center"/>
          </w:tcPr>
          <w:p>
            <w:pPr>
              <w:adjustRightInd w:val="0"/>
              <w:snapToGrid w:val="0"/>
              <w:spacing w:line="300" w:lineRule="exact"/>
              <w:ind w:firstLine="105" w:firstLineChars="5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18</w:t>
            </w:r>
          </w:p>
        </w:tc>
        <w:tc>
          <w:tcPr>
            <w:tcW w:w="1760" w:type="dxa"/>
            <w:tcBorders>
              <w:right w:val="single" w:color="auto" w:sz="4" w:space="0"/>
            </w:tcBorders>
            <w:vAlign w:val="center"/>
          </w:tcPr>
          <w:p>
            <w:pPr>
              <w:pStyle w:val="57"/>
              <w:snapToGrid w:val="0"/>
              <w:spacing w:line="300" w:lineRule="exact"/>
              <w:ind w:left="96"/>
              <w:jc w:val="center"/>
              <w:rPr>
                <w:color w:val="000000" w:themeColor="text1"/>
                <w:sz w:val="21"/>
                <w:szCs w:val="21"/>
                <w14:textFill>
                  <w14:solidFill>
                    <w14:schemeClr w14:val="tx1"/>
                  </w14:solidFill>
                </w14:textFill>
              </w:rPr>
            </w:pPr>
            <w:r>
              <w:rPr>
                <w:rFonts w:hint="eastAsia"/>
                <w:color w:val="000000" w:themeColor="text1"/>
                <w:sz w:val="21"/>
                <w:szCs w:val="21"/>
                <w:lang w:val="zh-CN"/>
                <w14:textFill>
                  <w14:solidFill>
                    <w14:schemeClr w14:val="tx1"/>
                  </w14:solidFill>
                </w14:textFill>
              </w:rPr>
              <w:t>招标服务费</w:t>
            </w:r>
          </w:p>
        </w:tc>
        <w:tc>
          <w:tcPr>
            <w:tcW w:w="6298" w:type="dxa"/>
            <w:tcBorders>
              <w:left w:val="single" w:color="auto" w:sz="4" w:space="0"/>
            </w:tcBorders>
            <w:vAlign w:val="center"/>
          </w:tcPr>
          <w:p>
            <w:pPr>
              <w:pStyle w:val="57"/>
              <w:snapToGrid w:val="0"/>
              <w:spacing w:line="300" w:lineRule="exact"/>
              <w:rPr>
                <w:color w:val="000000" w:themeColor="text1"/>
                <w:sz w:val="21"/>
                <w:szCs w:val="21"/>
                <w:lang w:val="zh-CN"/>
                <w14:textFill>
                  <w14:solidFill>
                    <w14:schemeClr w14:val="tx1"/>
                  </w14:solidFill>
                </w14:textFill>
              </w:rPr>
            </w:pPr>
            <w:bookmarkStart w:id="23" w:name="PO_默认文件内容_8"/>
            <w:r>
              <w:rPr>
                <w:rFonts w:hint="eastAsia"/>
                <w:color w:val="000000" w:themeColor="text1"/>
                <w:sz w:val="21"/>
                <w:szCs w:val="21"/>
                <w:lang w:val="zh-CN"/>
                <w14:textFill>
                  <w14:solidFill>
                    <w14:schemeClr w14:val="tx1"/>
                  </w14:solidFill>
                </w14:textFill>
              </w:rPr>
              <w:t>依照成本加合理利润的原则,以中标金额作为计算基数,</w:t>
            </w:r>
            <w:r>
              <w:rPr>
                <w:rFonts w:hint="eastAsia"/>
                <w:color w:val="000000" w:themeColor="text1"/>
                <w14:textFill>
                  <w14:solidFill>
                    <w14:schemeClr w14:val="tx1"/>
                  </w14:solidFill>
                </w14:textFill>
              </w:rPr>
              <w:t xml:space="preserve"> </w:t>
            </w:r>
            <w:r>
              <w:rPr>
                <w:rFonts w:hint="eastAsia"/>
                <w:color w:val="000000" w:themeColor="text1"/>
                <w:sz w:val="21"/>
                <w:szCs w:val="21"/>
                <w:lang w:val="zh-CN"/>
                <w14:textFill>
                  <w14:solidFill>
                    <w14:schemeClr w14:val="tx1"/>
                  </w14:solidFill>
                </w14:textFill>
              </w:rPr>
              <w:t>按下列收费标准</w:t>
            </w:r>
            <w:bookmarkEnd w:id="23"/>
            <w:r>
              <w:rPr>
                <w:rFonts w:hint="eastAsia"/>
                <w:color w:val="000000" w:themeColor="text1"/>
                <w:sz w:val="21"/>
                <w:szCs w:val="21"/>
                <w:lang w:val="zh-CN"/>
                <w14:textFill>
                  <w14:solidFill>
                    <w14:schemeClr w14:val="tx1"/>
                  </w14:solidFill>
                </w14:textFill>
              </w:rPr>
              <w:t>进行收取:</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478"/>
              <w:gridCol w:w="1477"/>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1827" w:type="dxa"/>
                </w:tcPr>
                <w:p>
                  <w:pPr>
                    <w:adjustRightInd w:val="0"/>
                    <w:snapToGrid w:val="0"/>
                    <w:spacing w:line="300" w:lineRule="exact"/>
                    <w:rPr>
                      <w:rFonts w:ascii="宋体" w:hAnsi="宋体" w:cs="宋体"/>
                      <w:b/>
                      <w:color w:val="000000" w:themeColor="text1"/>
                      <w:sz w:val="15"/>
                      <w:szCs w:val="15"/>
                      <w14:textFill>
                        <w14:solidFill>
                          <w14:schemeClr w14:val="tx1"/>
                        </w14:solidFill>
                      </w14:textFill>
                    </w:rPr>
                  </w:pPr>
                  <w:r>
                    <w:rPr>
                      <w:rFonts w:hint="eastAsia" w:ascii="宋体" w:hAnsi="宋体" w:cs="宋体"/>
                      <w:b/>
                      <w:color w:val="000000" w:themeColor="text1"/>
                      <w:sz w:val="15"/>
                      <w:szCs w:val="15"/>
                      <w14:textFill>
                        <w14:solidFill>
                          <w14:schemeClr w14:val="tx1"/>
                        </w14:solidFill>
                      </w14:textFill>
                    </w:rPr>
                    <w:t>服务类型</w:t>
                  </w:r>
                </w:p>
                <w:p>
                  <w:pPr>
                    <w:adjustRightInd w:val="0"/>
                    <w:snapToGrid w:val="0"/>
                    <w:spacing w:line="300" w:lineRule="exact"/>
                    <w:rPr>
                      <w:rFonts w:ascii="宋体" w:hAnsi="宋体" w:cs="宋体"/>
                      <w:b/>
                      <w:color w:val="000000" w:themeColor="text1"/>
                      <w:sz w:val="15"/>
                      <w:szCs w:val="15"/>
                      <w14:textFill>
                        <w14:solidFill>
                          <w14:schemeClr w14:val="tx1"/>
                        </w14:solidFill>
                      </w14:textFill>
                    </w:rPr>
                  </w:pPr>
                  <w:r>
                    <w:rPr>
                      <w:rFonts w:hint="eastAsia" w:ascii="宋体" w:hAnsi="宋体" w:cs="宋体"/>
                      <w:b/>
                      <w:color w:val="000000" w:themeColor="text1"/>
                      <w:sz w:val="15"/>
                      <w:szCs w:val="15"/>
                      <w14:textFill>
                        <w14:solidFill>
                          <w14:schemeClr w14:val="tx1"/>
                        </w14:solidFill>
                      </w14:textFill>
                    </w:rPr>
                    <w:t>费率</w:t>
                  </w:r>
                </w:p>
                <w:p>
                  <w:pPr>
                    <w:adjustRightInd w:val="0"/>
                    <w:snapToGrid w:val="0"/>
                    <w:spacing w:line="300" w:lineRule="exact"/>
                    <w:rPr>
                      <w:rFonts w:ascii="宋体" w:hAnsi="宋体" w:cs="宋体"/>
                      <w:b/>
                      <w:color w:val="000000" w:themeColor="text1"/>
                      <w:sz w:val="15"/>
                      <w:szCs w:val="15"/>
                      <w14:textFill>
                        <w14:solidFill>
                          <w14:schemeClr w14:val="tx1"/>
                        </w14:solidFill>
                      </w14:textFill>
                    </w:rPr>
                  </w:pPr>
                  <w:r>
                    <w:rPr>
                      <w:rFonts w:hint="eastAsia" w:ascii="宋体" w:hAnsi="宋体" w:cs="宋体"/>
                      <w:b/>
                      <w:color w:val="000000" w:themeColor="text1"/>
                      <w:sz w:val="15"/>
                      <w:szCs w:val="15"/>
                      <w14:textFill>
                        <w14:solidFill>
                          <w14:schemeClr w14:val="tx1"/>
                        </w14:solidFill>
                      </w14:textFill>
                    </w:rPr>
                    <w:t>中标金额（万元）</w:t>
                  </w:r>
                </w:p>
              </w:tc>
              <w:tc>
                <w:tcPr>
                  <w:tcW w:w="1478" w:type="dxa"/>
                  <w:vAlign w:val="center"/>
                </w:tcPr>
                <w:p>
                  <w:pPr>
                    <w:adjustRightInd w:val="0"/>
                    <w:snapToGrid w:val="0"/>
                    <w:spacing w:line="300" w:lineRule="exact"/>
                    <w:jc w:val="center"/>
                    <w:rPr>
                      <w:rFonts w:ascii="宋体" w:hAnsi="宋体" w:cs="宋体"/>
                      <w:b/>
                      <w:color w:val="000000" w:themeColor="text1"/>
                      <w:sz w:val="15"/>
                      <w:szCs w:val="15"/>
                      <w14:textFill>
                        <w14:solidFill>
                          <w14:schemeClr w14:val="tx1"/>
                        </w14:solidFill>
                      </w14:textFill>
                    </w:rPr>
                  </w:pPr>
                  <w:r>
                    <w:rPr>
                      <w:rFonts w:hint="eastAsia" w:ascii="宋体" w:hAnsi="宋体" w:cs="宋体"/>
                      <w:b/>
                      <w:color w:val="000000" w:themeColor="text1"/>
                      <w:sz w:val="15"/>
                      <w:szCs w:val="15"/>
                      <w14:textFill>
                        <w14:solidFill>
                          <w14:schemeClr w14:val="tx1"/>
                        </w14:solidFill>
                      </w14:textFill>
                    </w:rPr>
                    <w:t>货物招标</w:t>
                  </w:r>
                </w:p>
              </w:tc>
              <w:tc>
                <w:tcPr>
                  <w:tcW w:w="1477" w:type="dxa"/>
                  <w:vAlign w:val="center"/>
                </w:tcPr>
                <w:p>
                  <w:pPr>
                    <w:adjustRightInd w:val="0"/>
                    <w:snapToGrid w:val="0"/>
                    <w:spacing w:line="300" w:lineRule="exact"/>
                    <w:jc w:val="center"/>
                    <w:rPr>
                      <w:rFonts w:ascii="宋体" w:hAnsi="宋体" w:cs="宋体"/>
                      <w:b/>
                      <w:color w:val="000000" w:themeColor="text1"/>
                      <w:sz w:val="15"/>
                      <w:szCs w:val="15"/>
                      <w14:textFill>
                        <w14:solidFill>
                          <w14:schemeClr w14:val="tx1"/>
                        </w14:solidFill>
                      </w14:textFill>
                    </w:rPr>
                  </w:pPr>
                  <w:r>
                    <w:rPr>
                      <w:rFonts w:hint="eastAsia" w:ascii="宋体" w:hAnsi="宋体" w:cs="宋体"/>
                      <w:b/>
                      <w:color w:val="000000" w:themeColor="text1"/>
                      <w:sz w:val="15"/>
                      <w:szCs w:val="15"/>
                      <w14:textFill>
                        <w14:solidFill>
                          <w14:schemeClr w14:val="tx1"/>
                        </w14:solidFill>
                      </w14:textFill>
                    </w:rPr>
                    <w:t>服务招标</w:t>
                  </w:r>
                </w:p>
              </w:tc>
              <w:tc>
                <w:tcPr>
                  <w:tcW w:w="1478" w:type="dxa"/>
                  <w:vAlign w:val="center"/>
                </w:tcPr>
                <w:p>
                  <w:pPr>
                    <w:adjustRightInd w:val="0"/>
                    <w:snapToGrid w:val="0"/>
                    <w:spacing w:line="300" w:lineRule="exact"/>
                    <w:jc w:val="center"/>
                    <w:rPr>
                      <w:rFonts w:ascii="宋体" w:hAnsi="宋体" w:cs="宋体"/>
                      <w:b/>
                      <w:color w:val="000000" w:themeColor="text1"/>
                      <w:sz w:val="15"/>
                      <w:szCs w:val="15"/>
                      <w14:textFill>
                        <w14:solidFill>
                          <w14:schemeClr w14:val="tx1"/>
                        </w14:solidFill>
                      </w14:textFill>
                    </w:rPr>
                  </w:pPr>
                  <w:r>
                    <w:rPr>
                      <w:rFonts w:hint="eastAsia" w:ascii="宋体" w:hAnsi="宋体" w:cs="宋体"/>
                      <w:b/>
                      <w:color w:val="000000" w:themeColor="text1"/>
                      <w:sz w:val="15"/>
                      <w:szCs w:val="15"/>
                      <w14:textFill>
                        <w14:solidFill>
                          <w14:schemeClr w14:val="tx1"/>
                        </w14:solidFill>
                      </w14:textFill>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827" w:type="dxa"/>
                </w:tcPr>
                <w:p>
                  <w:pPr>
                    <w:adjustRightInd w:val="0"/>
                    <w:snapToGrid w:val="0"/>
                    <w:spacing w:line="300" w:lineRule="exact"/>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100以下</w:t>
                  </w:r>
                </w:p>
              </w:tc>
              <w:tc>
                <w:tcPr>
                  <w:tcW w:w="1478" w:type="dxa"/>
                </w:tcPr>
                <w:p>
                  <w:pPr>
                    <w:adjustRightInd w:val="0"/>
                    <w:snapToGrid w:val="0"/>
                    <w:spacing w:line="300" w:lineRule="exact"/>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1.5%</w:t>
                  </w:r>
                </w:p>
              </w:tc>
              <w:tc>
                <w:tcPr>
                  <w:tcW w:w="1477" w:type="dxa"/>
                </w:tcPr>
                <w:p>
                  <w:pPr>
                    <w:adjustRightInd w:val="0"/>
                    <w:snapToGrid w:val="0"/>
                    <w:spacing w:line="300" w:lineRule="exact"/>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1.5%</w:t>
                  </w:r>
                </w:p>
              </w:tc>
              <w:tc>
                <w:tcPr>
                  <w:tcW w:w="1478" w:type="dxa"/>
                </w:tcPr>
                <w:p>
                  <w:pPr>
                    <w:adjustRightInd w:val="0"/>
                    <w:snapToGrid w:val="0"/>
                    <w:spacing w:line="300" w:lineRule="exact"/>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Pr>
                <w:p>
                  <w:pPr>
                    <w:adjustRightInd w:val="0"/>
                    <w:snapToGrid w:val="0"/>
                    <w:spacing w:line="300" w:lineRule="exact"/>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100-500</w:t>
                  </w:r>
                </w:p>
              </w:tc>
              <w:tc>
                <w:tcPr>
                  <w:tcW w:w="1478" w:type="dxa"/>
                </w:tcPr>
                <w:p>
                  <w:pPr>
                    <w:adjustRightInd w:val="0"/>
                    <w:snapToGrid w:val="0"/>
                    <w:spacing w:line="300" w:lineRule="exact"/>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1.1%</w:t>
                  </w:r>
                </w:p>
              </w:tc>
              <w:tc>
                <w:tcPr>
                  <w:tcW w:w="1477" w:type="dxa"/>
                </w:tcPr>
                <w:p>
                  <w:pPr>
                    <w:adjustRightInd w:val="0"/>
                    <w:snapToGrid w:val="0"/>
                    <w:spacing w:line="300" w:lineRule="exact"/>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0.8%</w:t>
                  </w:r>
                </w:p>
              </w:tc>
              <w:tc>
                <w:tcPr>
                  <w:tcW w:w="1478" w:type="dxa"/>
                </w:tcPr>
                <w:p>
                  <w:pPr>
                    <w:adjustRightInd w:val="0"/>
                    <w:snapToGrid w:val="0"/>
                    <w:spacing w:line="300" w:lineRule="exact"/>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Pr>
                <w:p>
                  <w:pPr>
                    <w:adjustRightInd w:val="0"/>
                    <w:snapToGrid w:val="0"/>
                    <w:spacing w:line="300" w:lineRule="exact"/>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500-1000</w:t>
                  </w:r>
                </w:p>
              </w:tc>
              <w:tc>
                <w:tcPr>
                  <w:tcW w:w="1478" w:type="dxa"/>
                </w:tcPr>
                <w:p>
                  <w:pPr>
                    <w:adjustRightInd w:val="0"/>
                    <w:snapToGrid w:val="0"/>
                    <w:spacing w:line="300" w:lineRule="exact"/>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0.8%</w:t>
                  </w:r>
                </w:p>
              </w:tc>
              <w:tc>
                <w:tcPr>
                  <w:tcW w:w="1477" w:type="dxa"/>
                </w:tcPr>
                <w:p>
                  <w:pPr>
                    <w:adjustRightInd w:val="0"/>
                    <w:snapToGrid w:val="0"/>
                    <w:spacing w:line="300" w:lineRule="exact"/>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0.45%</w:t>
                  </w:r>
                </w:p>
              </w:tc>
              <w:tc>
                <w:tcPr>
                  <w:tcW w:w="1478" w:type="dxa"/>
                </w:tcPr>
                <w:p>
                  <w:pPr>
                    <w:adjustRightInd w:val="0"/>
                    <w:snapToGrid w:val="0"/>
                    <w:spacing w:line="300" w:lineRule="exact"/>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Pr>
                <w:p>
                  <w:pPr>
                    <w:adjustRightInd w:val="0"/>
                    <w:snapToGrid w:val="0"/>
                    <w:spacing w:line="300" w:lineRule="exact"/>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1000-5000</w:t>
                  </w:r>
                </w:p>
              </w:tc>
              <w:tc>
                <w:tcPr>
                  <w:tcW w:w="1478" w:type="dxa"/>
                </w:tcPr>
                <w:p>
                  <w:pPr>
                    <w:adjustRightInd w:val="0"/>
                    <w:snapToGrid w:val="0"/>
                    <w:spacing w:line="300" w:lineRule="exact"/>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0.5%</w:t>
                  </w:r>
                </w:p>
              </w:tc>
              <w:tc>
                <w:tcPr>
                  <w:tcW w:w="1477" w:type="dxa"/>
                </w:tcPr>
                <w:p>
                  <w:pPr>
                    <w:adjustRightInd w:val="0"/>
                    <w:snapToGrid w:val="0"/>
                    <w:spacing w:line="300" w:lineRule="exact"/>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0.25%</w:t>
                  </w:r>
                </w:p>
              </w:tc>
              <w:tc>
                <w:tcPr>
                  <w:tcW w:w="1478" w:type="dxa"/>
                </w:tcPr>
                <w:p>
                  <w:pPr>
                    <w:adjustRightInd w:val="0"/>
                    <w:snapToGrid w:val="0"/>
                    <w:spacing w:line="300" w:lineRule="exact"/>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Pr>
                <w:p>
                  <w:pPr>
                    <w:adjustRightInd w:val="0"/>
                    <w:snapToGrid w:val="0"/>
                    <w:spacing w:line="300" w:lineRule="exact"/>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5000-10000</w:t>
                  </w:r>
                </w:p>
              </w:tc>
              <w:tc>
                <w:tcPr>
                  <w:tcW w:w="1478" w:type="dxa"/>
                </w:tcPr>
                <w:p>
                  <w:pPr>
                    <w:adjustRightInd w:val="0"/>
                    <w:snapToGrid w:val="0"/>
                    <w:spacing w:line="300" w:lineRule="exact"/>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0.25%</w:t>
                  </w:r>
                </w:p>
              </w:tc>
              <w:tc>
                <w:tcPr>
                  <w:tcW w:w="1477" w:type="dxa"/>
                </w:tcPr>
                <w:p>
                  <w:pPr>
                    <w:adjustRightInd w:val="0"/>
                    <w:snapToGrid w:val="0"/>
                    <w:spacing w:line="300" w:lineRule="exact"/>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0.1%</w:t>
                  </w:r>
                </w:p>
              </w:tc>
              <w:tc>
                <w:tcPr>
                  <w:tcW w:w="1478" w:type="dxa"/>
                </w:tcPr>
                <w:p>
                  <w:pPr>
                    <w:adjustRightInd w:val="0"/>
                    <w:snapToGrid w:val="0"/>
                    <w:spacing w:line="300" w:lineRule="exact"/>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Pr>
                <w:p>
                  <w:pPr>
                    <w:adjustRightInd w:val="0"/>
                    <w:snapToGrid w:val="0"/>
                    <w:spacing w:line="300" w:lineRule="exact"/>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10000-100000</w:t>
                  </w:r>
                </w:p>
              </w:tc>
              <w:tc>
                <w:tcPr>
                  <w:tcW w:w="1478" w:type="dxa"/>
                </w:tcPr>
                <w:p>
                  <w:pPr>
                    <w:adjustRightInd w:val="0"/>
                    <w:snapToGrid w:val="0"/>
                    <w:spacing w:line="300" w:lineRule="exact"/>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0.05%</w:t>
                  </w:r>
                </w:p>
              </w:tc>
              <w:tc>
                <w:tcPr>
                  <w:tcW w:w="1477" w:type="dxa"/>
                </w:tcPr>
                <w:p>
                  <w:pPr>
                    <w:adjustRightInd w:val="0"/>
                    <w:snapToGrid w:val="0"/>
                    <w:spacing w:line="300" w:lineRule="exact"/>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0.05%</w:t>
                  </w:r>
                </w:p>
              </w:tc>
              <w:tc>
                <w:tcPr>
                  <w:tcW w:w="1478" w:type="dxa"/>
                </w:tcPr>
                <w:p>
                  <w:pPr>
                    <w:adjustRightInd w:val="0"/>
                    <w:snapToGrid w:val="0"/>
                    <w:spacing w:line="300" w:lineRule="exact"/>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827" w:type="dxa"/>
                </w:tcPr>
                <w:p>
                  <w:pPr>
                    <w:adjustRightInd w:val="0"/>
                    <w:snapToGrid w:val="0"/>
                    <w:spacing w:line="300" w:lineRule="exact"/>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1000000以上</w:t>
                  </w:r>
                </w:p>
              </w:tc>
              <w:tc>
                <w:tcPr>
                  <w:tcW w:w="1478" w:type="dxa"/>
                </w:tcPr>
                <w:p>
                  <w:pPr>
                    <w:adjustRightInd w:val="0"/>
                    <w:snapToGrid w:val="0"/>
                    <w:spacing w:line="300" w:lineRule="exact"/>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0.01%</w:t>
                  </w:r>
                </w:p>
              </w:tc>
              <w:tc>
                <w:tcPr>
                  <w:tcW w:w="1477" w:type="dxa"/>
                </w:tcPr>
                <w:p>
                  <w:pPr>
                    <w:adjustRightInd w:val="0"/>
                    <w:snapToGrid w:val="0"/>
                    <w:spacing w:line="300" w:lineRule="exact"/>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0.01%</w:t>
                  </w:r>
                </w:p>
              </w:tc>
              <w:tc>
                <w:tcPr>
                  <w:tcW w:w="1478" w:type="dxa"/>
                </w:tcPr>
                <w:p>
                  <w:pPr>
                    <w:adjustRightInd w:val="0"/>
                    <w:snapToGrid w:val="0"/>
                    <w:spacing w:line="300" w:lineRule="exact"/>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0.01%</w:t>
                  </w:r>
                </w:p>
              </w:tc>
            </w:tr>
          </w:tbl>
          <w:p>
            <w:pPr>
              <w:pStyle w:val="57"/>
              <w:snapToGrid w:val="0"/>
              <w:spacing w:line="300" w:lineRule="exact"/>
              <w:rPr>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注: 1.按本表费率计算的收费为招标代理服务全过程的收费基准价格。</w:t>
            </w:r>
          </w:p>
          <w:p>
            <w:pPr>
              <w:pStyle w:val="57"/>
              <w:snapToGrid w:val="0"/>
              <w:spacing w:line="300" w:lineRule="exact"/>
              <w:rPr>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 xml:space="preserve">    2.招标代理服务收费按差额定率累进法计算。</w:t>
            </w:r>
          </w:p>
          <w:p>
            <w:pPr>
              <w:pStyle w:val="57"/>
              <w:snapToGrid w:val="0"/>
              <w:spacing w:line="300" w:lineRule="exact"/>
              <w:ind w:left="420"/>
              <w:rPr>
                <w:b/>
                <w:bCs/>
                <w:color w:val="000000" w:themeColor="text1"/>
                <w:sz w:val="21"/>
                <w:szCs w:val="21"/>
                <w:lang w:val="zh-CN"/>
                <w14:textFill>
                  <w14:solidFill>
                    <w14:schemeClr w14:val="tx1"/>
                  </w14:solidFill>
                </w14:textFill>
              </w:rPr>
            </w:pPr>
            <w:r>
              <w:rPr>
                <w:rFonts w:hint="eastAsia"/>
                <w:b/>
                <w:bCs/>
                <w:color w:val="000000" w:themeColor="text1"/>
                <w:sz w:val="21"/>
                <w:szCs w:val="21"/>
                <w14:textFill>
                  <w14:solidFill>
                    <w14:schemeClr w14:val="tx1"/>
                  </w14:solidFill>
                </w14:textFill>
              </w:rPr>
              <w:t>3.</w:t>
            </w:r>
            <w:r>
              <w:rPr>
                <w:rFonts w:hint="eastAsia"/>
                <w:b/>
                <w:bCs/>
                <w:color w:val="000000" w:themeColor="text1"/>
                <w:sz w:val="21"/>
                <w:szCs w:val="21"/>
                <w:lang w:val="zh-CN"/>
                <w14:textFill>
                  <w14:solidFill>
                    <w14:schemeClr w14:val="tx1"/>
                  </w14:solidFill>
                </w14:textFill>
              </w:rPr>
              <w:t>中标人在领取中标通知书前向招标代理机构交纳招标代理服务费。</w:t>
            </w:r>
          </w:p>
          <w:p>
            <w:pPr>
              <w:widowControl/>
              <w:adjustRightInd w:val="0"/>
              <w:snapToGrid w:val="0"/>
              <w:spacing w:after="0" w:line="300" w:lineRule="exact"/>
              <w:ind w:firstLine="422" w:firstLineChars="200"/>
              <w:jc w:val="left"/>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4</w:t>
            </w:r>
            <w:r>
              <w:rPr>
                <w:rFonts w:hint="eastAsia" w:ascii="宋体" w:hAnsi="宋体" w:cs="宋体"/>
                <w:b/>
                <w:bCs/>
                <w:color w:val="000000" w:themeColor="text1"/>
                <w:szCs w:val="21"/>
                <w:lang w:val="zh-CN"/>
                <w14:textFill>
                  <w14:solidFill>
                    <w14:schemeClr w14:val="tx1"/>
                  </w14:solidFill>
                </w14:textFill>
              </w:rPr>
              <w:t>.服务费交纳账户：</w:t>
            </w:r>
            <w:r>
              <w:rPr>
                <w:rFonts w:hint="eastAsia" w:ascii="宋体" w:hAnsi="宋体" w:cs="宋体"/>
                <w:b/>
                <w:bCs/>
                <w:color w:val="000000" w:themeColor="text1"/>
                <w:kern w:val="0"/>
                <w:szCs w:val="21"/>
                <w14:textFill>
                  <w14:solidFill>
                    <w14:schemeClr w14:val="tx1"/>
                  </w14:solidFill>
                </w14:textFill>
              </w:rPr>
              <w:t xml:space="preserve"> </w:t>
            </w:r>
          </w:p>
          <w:p>
            <w:pPr>
              <w:widowControl/>
              <w:adjustRightInd w:val="0"/>
              <w:snapToGrid w:val="0"/>
              <w:spacing w:after="0" w:line="300" w:lineRule="exact"/>
              <w:ind w:firstLine="422" w:firstLineChars="200"/>
              <w:jc w:val="left"/>
              <w:rPr>
                <w:rFonts w:ascii="宋体" w:hAnsi="宋体" w:cs="宋体"/>
                <w:b/>
                <w:bCs/>
                <w:color w:val="000000" w:themeColor="text1"/>
                <w:szCs w:val="21"/>
                <w:lang w:val="zh-CN"/>
                <w14:textFill>
                  <w14:solidFill>
                    <w14:schemeClr w14:val="tx1"/>
                  </w14:solidFill>
                </w14:textFill>
              </w:rPr>
            </w:pPr>
            <w:r>
              <w:rPr>
                <w:rFonts w:hint="eastAsia" w:ascii="宋体" w:hAnsi="宋体" w:cs="宋体"/>
                <w:b/>
                <w:bCs/>
                <w:color w:val="000000" w:themeColor="text1"/>
                <w:kern w:val="0"/>
                <w:szCs w:val="21"/>
                <w:lang w:val="zh-CN"/>
                <w14:textFill>
                  <w14:solidFill>
                    <w14:schemeClr w14:val="tx1"/>
                  </w14:solidFill>
                </w14:textFill>
              </w:rPr>
              <w:t>（</w:t>
            </w:r>
            <w:r>
              <w:rPr>
                <w:rFonts w:hint="eastAsia" w:ascii="宋体" w:hAnsi="宋体" w:cs="宋体"/>
                <w:b/>
                <w:bCs/>
                <w:color w:val="000000" w:themeColor="text1"/>
                <w:kern w:val="0"/>
                <w:szCs w:val="21"/>
                <w14:textFill>
                  <w14:solidFill>
                    <w14:schemeClr w14:val="tx1"/>
                  </w14:solidFill>
                </w14:textFill>
              </w:rPr>
              <w:t>1</w:t>
            </w:r>
            <w:r>
              <w:rPr>
                <w:rFonts w:hint="eastAsia" w:ascii="宋体" w:hAnsi="宋体" w:cs="宋体"/>
                <w:b/>
                <w:bCs/>
                <w:color w:val="000000" w:themeColor="text1"/>
                <w:kern w:val="0"/>
                <w:szCs w:val="21"/>
                <w:lang w:val="zh-CN"/>
                <w14:textFill>
                  <w14:solidFill>
                    <w14:schemeClr w14:val="tx1"/>
                  </w14:solidFill>
                </w14:textFill>
              </w:rPr>
              <w:t>）</w:t>
            </w:r>
            <w:r>
              <w:rPr>
                <w:rFonts w:hint="eastAsia" w:ascii="宋体" w:hAnsi="宋体" w:cs="宋体"/>
                <w:b/>
                <w:bCs/>
                <w:color w:val="000000" w:themeColor="text1"/>
                <w:szCs w:val="21"/>
                <w:lang w:val="zh-CN"/>
                <w14:textFill>
                  <w14:solidFill>
                    <w14:schemeClr w14:val="tx1"/>
                  </w14:solidFill>
                </w14:textFill>
              </w:rPr>
              <w:t>收款单位：成都科益工程咨询有限公司</w:t>
            </w:r>
          </w:p>
          <w:p>
            <w:pPr>
              <w:widowControl/>
              <w:adjustRightInd w:val="0"/>
              <w:snapToGrid w:val="0"/>
              <w:spacing w:after="0" w:line="300" w:lineRule="exact"/>
              <w:ind w:firstLine="422" w:firstLineChars="200"/>
              <w:jc w:val="left"/>
              <w:rPr>
                <w:rFonts w:ascii="宋体" w:hAnsi="宋体" w:cs="宋体"/>
                <w:b/>
                <w:bCs/>
                <w:color w:val="000000" w:themeColor="text1"/>
                <w:szCs w:val="21"/>
                <w:lang w:val="zh-CN"/>
                <w14:textFill>
                  <w14:solidFill>
                    <w14:schemeClr w14:val="tx1"/>
                  </w14:solidFill>
                </w14:textFill>
              </w:rPr>
            </w:pPr>
            <w:r>
              <w:rPr>
                <w:rFonts w:hint="eastAsia" w:ascii="宋体" w:hAnsi="宋体" w:cs="宋体"/>
                <w:b/>
                <w:bCs/>
                <w:color w:val="000000" w:themeColor="text1"/>
                <w:szCs w:val="21"/>
                <w:lang w:val="zh-CN"/>
                <w14:textFill>
                  <w14:solidFill>
                    <w14:schemeClr w14:val="tx1"/>
                  </w14:solidFill>
                </w14:textFill>
              </w:rPr>
              <w:t>（</w:t>
            </w:r>
            <w:r>
              <w:rPr>
                <w:rFonts w:hint="eastAsia" w:ascii="宋体" w:hAnsi="宋体" w:cs="宋体"/>
                <w:b/>
                <w:bCs/>
                <w:color w:val="000000" w:themeColor="text1"/>
                <w:szCs w:val="21"/>
                <w14:textFill>
                  <w14:solidFill>
                    <w14:schemeClr w14:val="tx1"/>
                  </w14:solidFill>
                </w14:textFill>
              </w:rPr>
              <w:t>2</w:t>
            </w:r>
            <w:r>
              <w:rPr>
                <w:rFonts w:hint="eastAsia" w:ascii="宋体" w:hAnsi="宋体" w:cs="宋体"/>
                <w:b/>
                <w:bCs/>
                <w:color w:val="000000" w:themeColor="text1"/>
                <w:szCs w:val="21"/>
                <w:lang w:val="zh-CN"/>
                <w14:textFill>
                  <w14:solidFill>
                    <w14:schemeClr w14:val="tx1"/>
                  </w14:solidFill>
                </w14:textFill>
              </w:rPr>
              <w:t>）开 户 行：交通银行成都西安路支行</w:t>
            </w:r>
          </w:p>
          <w:p>
            <w:pPr>
              <w:pStyle w:val="57"/>
              <w:snapToGrid w:val="0"/>
              <w:spacing w:line="300" w:lineRule="exact"/>
              <w:ind w:firstLine="422" w:firstLineChars="200"/>
              <w:rPr>
                <w:color w:val="000000" w:themeColor="text1"/>
                <w:sz w:val="21"/>
                <w:szCs w:val="21"/>
                <w:lang w:val="zh-CN"/>
                <w14:textFill>
                  <w14:solidFill>
                    <w14:schemeClr w14:val="tx1"/>
                  </w14:solidFill>
                </w14:textFill>
              </w:rPr>
            </w:pPr>
            <w:r>
              <w:rPr>
                <w:rFonts w:hint="eastAsia"/>
                <w:b/>
                <w:bCs/>
                <w:color w:val="000000" w:themeColor="text1"/>
                <w:sz w:val="21"/>
                <w:szCs w:val="21"/>
                <w:lang w:val="zh-CN"/>
                <w14:textFill>
                  <w14:solidFill>
                    <w14:schemeClr w14:val="tx1"/>
                  </w14:solidFill>
                </w14:textFill>
              </w:rPr>
              <w:t>（</w:t>
            </w:r>
            <w:r>
              <w:rPr>
                <w:rFonts w:hint="eastAsia"/>
                <w:b/>
                <w:bCs/>
                <w:color w:val="000000" w:themeColor="text1"/>
                <w:sz w:val="21"/>
                <w:szCs w:val="21"/>
                <w14:textFill>
                  <w14:solidFill>
                    <w14:schemeClr w14:val="tx1"/>
                  </w14:solidFill>
                </w14:textFill>
              </w:rPr>
              <w:t>3</w:t>
            </w:r>
            <w:r>
              <w:rPr>
                <w:rFonts w:hint="eastAsia"/>
                <w:b/>
                <w:bCs/>
                <w:color w:val="000000" w:themeColor="text1"/>
                <w:sz w:val="21"/>
                <w:szCs w:val="21"/>
                <w:lang w:val="zh-CN"/>
                <w14:textFill>
                  <w14:solidFill>
                    <w14:schemeClr w14:val="tx1"/>
                  </w14:solidFill>
                </w14:textFill>
              </w:rPr>
              <w:t>）银行账号：511619012018010008426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84" w:type="dxa"/>
            <w:vAlign w:val="center"/>
          </w:tcPr>
          <w:p>
            <w:pPr>
              <w:adjustRightInd w:val="0"/>
              <w:snapToGrid w:val="0"/>
              <w:spacing w:line="300" w:lineRule="exact"/>
              <w:ind w:firstLine="105" w:firstLineChars="5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19</w:t>
            </w:r>
          </w:p>
        </w:tc>
        <w:tc>
          <w:tcPr>
            <w:tcW w:w="1760" w:type="dxa"/>
            <w:tcBorders>
              <w:right w:val="single" w:color="auto" w:sz="4" w:space="0"/>
            </w:tcBorders>
            <w:vAlign w:val="center"/>
          </w:tcPr>
          <w:p>
            <w:pPr>
              <w:pStyle w:val="57"/>
              <w:snapToGrid w:val="0"/>
              <w:spacing w:line="300" w:lineRule="exact"/>
              <w:ind w:left="96"/>
              <w:jc w:val="center"/>
              <w:rPr>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承诺提醒</w:t>
            </w:r>
          </w:p>
        </w:tc>
        <w:tc>
          <w:tcPr>
            <w:tcW w:w="6298" w:type="dxa"/>
            <w:tcBorders>
              <w:left w:val="single" w:color="auto" w:sz="4" w:space="0"/>
            </w:tcBorders>
            <w:vAlign w:val="center"/>
          </w:tcPr>
          <w:p>
            <w:pPr>
              <w:pStyle w:val="57"/>
              <w:snapToGrid w:val="0"/>
              <w:spacing w:line="300" w:lineRule="exact"/>
              <w:rPr>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84" w:type="dxa"/>
            <w:vAlign w:val="center"/>
          </w:tcPr>
          <w:p>
            <w:pPr>
              <w:adjustRightInd w:val="0"/>
              <w:snapToGrid w:val="0"/>
              <w:spacing w:line="300" w:lineRule="exact"/>
              <w:ind w:firstLine="105" w:firstLineChars="5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20</w:t>
            </w:r>
          </w:p>
        </w:tc>
        <w:tc>
          <w:tcPr>
            <w:tcW w:w="1760" w:type="dxa"/>
            <w:tcBorders>
              <w:right w:val="single" w:color="auto" w:sz="4" w:space="0"/>
            </w:tcBorders>
            <w:vAlign w:val="center"/>
          </w:tcPr>
          <w:p>
            <w:pPr>
              <w:pStyle w:val="57"/>
              <w:snapToGrid w:val="0"/>
              <w:spacing w:line="300" w:lineRule="exact"/>
              <w:ind w:left="96"/>
              <w:jc w:val="center"/>
              <w:rPr>
                <w:color w:val="000000" w:themeColor="text1"/>
                <w:sz w:val="21"/>
                <w:szCs w:val="21"/>
                <w14:textFill>
                  <w14:solidFill>
                    <w14:schemeClr w14:val="tx1"/>
                  </w14:solidFill>
                </w14:textFill>
              </w:rPr>
            </w:pPr>
            <w:r>
              <w:rPr>
                <w:rFonts w:hint="eastAsia"/>
                <w:color w:val="000000" w:themeColor="text1"/>
                <w:sz w:val="21"/>
                <w:szCs w:val="21"/>
                <w:lang w:val="zh-CN"/>
                <w14:textFill>
                  <w14:solidFill>
                    <w14:schemeClr w14:val="tx1"/>
                  </w14:solidFill>
                </w14:textFill>
              </w:rPr>
              <w:t>联合体（实质性要求）</w:t>
            </w:r>
          </w:p>
        </w:tc>
        <w:tc>
          <w:tcPr>
            <w:tcW w:w="6298" w:type="dxa"/>
            <w:tcBorders>
              <w:left w:val="single" w:color="auto" w:sz="4" w:space="0"/>
            </w:tcBorders>
            <w:vAlign w:val="center"/>
          </w:tcPr>
          <w:p>
            <w:pPr>
              <w:pStyle w:val="57"/>
              <w:snapToGrid w:val="0"/>
              <w:spacing w:line="300" w:lineRule="exact"/>
              <w:rPr>
                <w:b/>
                <w:color w:val="000000" w:themeColor="text1"/>
                <w:sz w:val="21"/>
                <w:szCs w:val="21"/>
                <w:lang w:val="zh-CN"/>
                <w14:textFill>
                  <w14:solidFill>
                    <w14:schemeClr w14:val="tx1"/>
                  </w14:solidFill>
                </w14:textFill>
              </w:rPr>
            </w:pPr>
            <w:r>
              <w:rPr>
                <w:rFonts w:hint="eastAsia"/>
                <w:b/>
                <w:color w:val="000000" w:themeColor="text1"/>
                <w:kern w:val="2"/>
                <w14:textFill>
                  <w14:solidFill>
                    <w14:schemeClr w14:val="tx1"/>
                  </w14:solidFill>
                </w14:textFill>
              </w:rPr>
              <w:t>☑</w:t>
            </w:r>
            <w:r>
              <w:rPr>
                <w:rFonts w:hint="eastAsia"/>
                <w:b/>
                <w:color w:val="000000" w:themeColor="text1"/>
                <w:sz w:val="21"/>
                <w:szCs w:val="21"/>
                <w:lang w:val="zh-CN"/>
                <w14:textFill>
                  <w14:solidFill>
                    <w14:schemeClr w14:val="tx1"/>
                  </w14:solidFill>
                </w14:textFill>
              </w:rPr>
              <w:t xml:space="preserve">本项目不允许联合体参加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84" w:type="dxa"/>
            <w:vAlign w:val="center"/>
          </w:tcPr>
          <w:p>
            <w:pPr>
              <w:adjustRightInd w:val="0"/>
              <w:snapToGrid w:val="0"/>
              <w:spacing w:line="300" w:lineRule="exact"/>
              <w:ind w:firstLine="105" w:firstLineChars="5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21</w:t>
            </w:r>
          </w:p>
        </w:tc>
        <w:tc>
          <w:tcPr>
            <w:tcW w:w="1760" w:type="dxa"/>
            <w:tcBorders>
              <w:right w:val="single" w:color="auto" w:sz="4" w:space="0"/>
            </w:tcBorders>
            <w:vAlign w:val="center"/>
          </w:tcPr>
          <w:p>
            <w:pPr>
              <w:pStyle w:val="57"/>
              <w:snapToGrid w:val="0"/>
              <w:spacing w:line="300" w:lineRule="exact"/>
              <w:ind w:left="96"/>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所属行业</w:t>
            </w:r>
          </w:p>
        </w:tc>
        <w:tc>
          <w:tcPr>
            <w:tcW w:w="6298" w:type="dxa"/>
            <w:tcBorders>
              <w:left w:val="single" w:color="auto" w:sz="4" w:space="0"/>
            </w:tcBorders>
            <w:vAlign w:val="center"/>
          </w:tcPr>
          <w:p>
            <w:pPr>
              <w:pStyle w:val="57"/>
              <w:snapToGrid w:val="0"/>
              <w:spacing w:line="300" w:lineRule="exact"/>
              <w:rPr>
                <w:b/>
                <w:color w:val="000000" w:themeColor="text1"/>
                <w:kern w:val="2"/>
                <w14:textFill>
                  <w14:solidFill>
                    <w14:schemeClr w14:val="tx1"/>
                  </w14:solidFill>
                </w14:textFill>
              </w:rPr>
            </w:pPr>
            <w:r>
              <w:rPr>
                <w:rFonts w:hint="eastAsia"/>
                <w:color w:val="000000" w:themeColor="text1"/>
                <w:sz w:val="21"/>
                <w:szCs w:val="21"/>
                <w:lang w:val="zh-CN"/>
                <w14:textFill>
                  <w14:solidFill>
                    <w14:schemeClr w14:val="tx1"/>
                  </w14:solidFill>
                </w14:textFill>
              </w:rPr>
              <w:t>其他未列明行业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84" w:type="dxa"/>
            <w:vAlign w:val="center"/>
          </w:tcPr>
          <w:p>
            <w:pPr>
              <w:adjustRightInd w:val="0"/>
              <w:snapToGrid w:val="0"/>
              <w:spacing w:line="300" w:lineRule="exact"/>
              <w:ind w:firstLine="105" w:firstLineChars="5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22</w:t>
            </w:r>
          </w:p>
        </w:tc>
        <w:tc>
          <w:tcPr>
            <w:tcW w:w="1760" w:type="dxa"/>
            <w:tcBorders>
              <w:right w:val="single" w:color="auto" w:sz="4" w:space="0"/>
            </w:tcBorders>
            <w:vAlign w:val="center"/>
          </w:tcPr>
          <w:p>
            <w:pPr>
              <w:pStyle w:val="57"/>
              <w:snapToGrid w:val="0"/>
              <w:spacing w:line="300" w:lineRule="exact"/>
              <w:ind w:left="96"/>
              <w:jc w:val="center"/>
              <w:rPr>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现场考察或标前答疑会</w:t>
            </w:r>
          </w:p>
        </w:tc>
        <w:tc>
          <w:tcPr>
            <w:tcW w:w="6298" w:type="dxa"/>
            <w:tcBorders>
              <w:left w:val="single" w:color="auto" w:sz="4" w:space="0"/>
            </w:tcBorders>
            <w:vAlign w:val="center"/>
          </w:tcPr>
          <w:p>
            <w:pPr>
              <w:pStyle w:val="57"/>
              <w:snapToGrid w:val="0"/>
              <w:spacing w:line="300" w:lineRule="exact"/>
              <w:rPr>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现场考察或标前答疑会时间：</w:t>
            </w:r>
            <w:r>
              <w:rPr>
                <w:rFonts w:hint="eastAsia"/>
                <w:color w:val="000000" w:themeColor="text1"/>
                <w:sz w:val="21"/>
                <w:szCs w:val="21"/>
                <w14:textFill>
                  <w14:solidFill>
                    <w14:schemeClr w14:val="tx1"/>
                  </w14:solidFill>
                </w14:textFill>
              </w:rPr>
              <w:t>本项目不组织</w:t>
            </w:r>
            <w:r>
              <w:rPr>
                <w:rFonts w:hint="eastAsia"/>
                <w:color w:val="000000" w:themeColor="text1"/>
                <w:sz w:val="21"/>
                <w:szCs w:val="21"/>
                <w:lang w:val="zh-CN"/>
                <w14:textFill>
                  <w14:solidFill>
                    <w14:schemeClr w14:val="tx1"/>
                  </w14:solidFill>
                </w14:textFill>
              </w:rPr>
              <w:t>。</w:t>
            </w:r>
          </w:p>
          <w:p>
            <w:pPr>
              <w:pStyle w:val="57"/>
              <w:snapToGrid w:val="0"/>
              <w:spacing w:line="300" w:lineRule="exact"/>
              <w:rPr>
                <w:b/>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现场考察或标前答疑会地点：</w:t>
            </w:r>
            <w:r>
              <w:rPr>
                <w:rFonts w:hint="eastAsia"/>
                <w:color w:val="000000" w:themeColor="text1"/>
                <w:sz w:val="21"/>
                <w:szCs w:val="21"/>
                <w14:textFill>
                  <w14:solidFill>
                    <w14:schemeClr w14:val="tx1"/>
                  </w14:solidFill>
                </w14:textFill>
              </w:rPr>
              <w:t>本项目不组织</w:t>
            </w:r>
            <w:r>
              <w:rPr>
                <w:rFonts w:hint="eastAsia"/>
                <w:color w:val="000000" w:themeColor="text1"/>
                <w:sz w:val="21"/>
                <w:szCs w:val="21"/>
                <w:lang w:val="zh-CN"/>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84" w:type="dxa"/>
            <w:vAlign w:val="center"/>
          </w:tcPr>
          <w:p>
            <w:pPr>
              <w:adjustRightInd w:val="0"/>
              <w:snapToGrid w:val="0"/>
              <w:spacing w:line="300" w:lineRule="exact"/>
              <w:ind w:firstLine="105" w:firstLineChars="5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23</w:t>
            </w:r>
          </w:p>
        </w:tc>
        <w:tc>
          <w:tcPr>
            <w:tcW w:w="1760" w:type="dxa"/>
            <w:tcBorders>
              <w:right w:val="single" w:color="auto" w:sz="4" w:space="0"/>
            </w:tcBorders>
            <w:vAlign w:val="center"/>
          </w:tcPr>
          <w:p>
            <w:pPr>
              <w:pStyle w:val="57"/>
              <w:snapToGrid w:val="0"/>
              <w:spacing w:line="300" w:lineRule="exact"/>
              <w:ind w:left="96"/>
              <w:jc w:val="center"/>
              <w:rPr>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温馨提示</w:t>
            </w:r>
          </w:p>
        </w:tc>
        <w:tc>
          <w:tcPr>
            <w:tcW w:w="6298" w:type="dxa"/>
            <w:tcBorders>
              <w:left w:val="single" w:color="auto" w:sz="4" w:space="0"/>
            </w:tcBorders>
            <w:vAlign w:val="center"/>
          </w:tcPr>
          <w:p>
            <w:pPr>
              <w:pStyle w:val="57"/>
              <w:snapToGrid w:val="0"/>
              <w:spacing w:line="300" w:lineRule="exact"/>
              <w:rPr>
                <w:b/>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供应商需准备全流程所必需的硬件设备包括电脑（版本 win7 64位及以上）、麦克风、摄像头、CA证书等。建议使用同一台电脑完成投标、评标相关事宜，推荐安装 chrome 浏览器，且解密CA必须和加密CA为同一把。</w:t>
            </w:r>
          </w:p>
        </w:tc>
      </w:tr>
    </w:tbl>
    <w:p>
      <w:pPr>
        <w:rPr>
          <w:rFonts w:ascii="宋体" w:hAnsi="宋体" w:cs="宋体"/>
          <w:color w:val="000000" w:themeColor="text1"/>
          <w14:textFill>
            <w14:solidFill>
              <w14:schemeClr w14:val="tx1"/>
            </w14:solidFill>
          </w14:textFill>
        </w:rPr>
      </w:pPr>
    </w:p>
    <w:p>
      <w:pPr>
        <w:pStyle w:val="6"/>
        <w:snapToGrid w:val="0"/>
        <w:spacing w:line="400" w:lineRule="exact"/>
        <w:jc w:val="center"/>
        <w:rPr>
          <w:rFonts w:ascii="宋体" w:hAnsi="宋体" w:eastAsia="宋体" w:cs="宋体"/>
          <w:bCs w:val="0"/>
          <w:color w:val="000000" w:themeColor="text1"/>
          <w14:textFill>
            <w14:solidFill>
              <w14:schemeClr w14:val="tx1"/>
            </w14:solidFill>
          </w14:textFill>
        </w:rPr>
      </w:pPr>
      <w:r>
        <w:rPr>
          <w:rFonts w:hint="eastAsia" w:ascii="宋体" w:hAnsi="宋体" w:eastAsia="宋体" w:cs="宋体"/>
          <w:bCs w:val="0"/>
          <w:color w:val="000000" w:themeColor="text1"/>
          <w14:textFill>
            <w14:solidFill>
              <w14:schemeClr w14:val="tx1"/>
            </w14:solidFill>
          </w14:textFill>
        </w:rPr>
        <w:t>二、总则</w:t>
      </w:r>
    </w:p>
    <w:p>
      <w:pPr>
        <w:pStyle w:val="7"/>
        <w:snapToGrid w:val="0"/>
        <w:spacing w:line="400" w:lineRule="exact"/>
        <w:ind w:firstLine="482" w:firstLineChars="200"/>
        <w:rPr>
          <w:rFonts w:ascii="宋体" w:hAnsi="宋体" w:cs="宋体"/>
          <w:color w:val="000000" w:themeColor="text1"/>
          <w:sz w:val="24"/>
          <w:szCs w:val="24"/>
          <w14:textFill>
            <w14:solidFill>
              <w14:schemeClr w14:val="tx1"/>
            </w14:solidFill>
          </w14:textFill>
        </w:rPr>
      </w:pPr>
      <w:bookmarkStart w:id="24" w:name="_Toc183582205"/>
      <w:bookmarkStart w:id="25" w:name="_Toc183682342"/>
      <w:bookmarkStart w:id="26" w:name="_Toc217446034"/>
      <w:bookmarkStart w:id="27" w:name="PO_默认文件内容_24"/>
      <w:r>
        <w:rPr>
          <w:rFonts w:hint="eastAsia" w:ascii="宋体" w:hAnsi="宋体" w:cs="宋体"/>
          <w:color w:val="000000" w:themeColor="text1"/>
          <w:sz w:val="24"/>
          <w:szCs w:val="24"/>
          <w14:textFill>
            <w14:solidFill>
              <w14:schemeClr w14:val="tx1"/>
            </w14:solidFill>
          </w14:textFill>
        </w:rPr>
        <w:t>1.</w:t>
      </w:r>
      <w:bookmarkEnd w:id="24"/>
      <w:bookmarkEnd w:id="25"/>
      <w:r>
        <w:rPr>
          <w:rFonts w:hint="eastAsia" w:ascii="宋体" w:hAnsi="宋体" w:cs="宋体"/>
          <w:color w:val="000000" w:themeColor="text1"/>
          <w:sz w:val="24"/>
          <w:szCs w:val="24"/>
          <w14:textFill>
            <w14:solidFill>
              <w14:schemeClr w14:val="tx1"/>
            </w14:solidFill>
          </w14:textFill>
        </w:rPr>
        <w:t xml:space="preserve"> 适用范围</w:t>
      </w:r>
      <w:bookmarkEnd w:id="26"/>
    </w:p>
    <w:p>
      <w:pPr>
        <w:tabs>
          <w:tab w:val="left" w:pos="7665"/>
        </w:tabs>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 本招标文件仅适用于本次招标采购项目。</w:t>
      </w:r>
    </w:p>
    <w:p>
      <w:pPr>
        <w:pStyle w:val="7"/>
        <w:snapToGrid w:val="0"/>
        <w:spacing w:line="400" w:lineRule="exact"/>
        <w:ind w:firstLine="482" w:firstLineChars="200"/>
        <w:rPr>
          <w:rFonts w:ascii="宋体" w:hAnsi="宋体" w:cs="宋体"/>
          <w:color w:val="000000" w:themeColor="text1"/>
          <w:sz w:val="24"/>
          <w14:textFill>
            <w14:solidFill>
              <w14:schemeClr w14:val="tx1"/>
            </w14:solidFill>
          </w14:textFill>
        </w:rPr>
      </w:pPr>
      <w:bookmarkStart w:id="28" w:name="_Toc183682343"/>
      <w:bookmarkStart w:id="29" w:name="_Toc183582206"/>
      <w:bookmarkStart w:id="30" w:name="_Toc217446035"/>
      <w:r>
        <w:rPr>
          <w:rFonts w:hint="eastAsia" w:ascii="宋体" w:hAnsi="宋体" w:cs="宋体"/>
          <w:color w:val="000000" w:themeColor="text1"/>
          <w:sz w:val="24"/>
          <w14:textFill>
            <w14:solidFill>
              <w14:schemeClr w14:val="tx1"/>
            </w14:solidFill>
          </w14:textFill>
        </w:rPr>
        <w:t xml:space="preserve">2. </w:t>
      </w:r>
      <w:bookmarkEnd w:id="28"/>
      <w:bookmarkEnd w:id="29"/>
      <w:r>
        <w:rPr>
          <w:rFonts w:hint="eastAsia" w:ascii="宋体" w:hAnsi="宋体" w:cs="宋体"/>
          <w:color w:val="000000" w:themeColor="text1"/>
          <w:sz w:val="24"/>
          <w14:textFill>
            <w14:solidFill>
              <w14:schemeClr w14:val="tx1"/>
            </w14:solidFill>
          </w14:textFill>
        </w:rPr>
        <w:t>有关</w:t>
      </w:r>
      <w:r>
        <w:rPr>
          <w:rFonts w:hint="eastAsia" w:ascii="宋体" w:hAnsi="宋体" w:cs="宋体"/>
          <w:color w:val="000000" w:themeColor="text1"/>
          <w:sz w:val="24"/>
          <w:szCs w:val="24"/>
          <w14:textFill>
            <w14:solidFill>
              <w14:schemeClr w14:val="tx1"/>
            </w14:solidFill>
          </w14:textFill>
        </w:rPr>
        <w:t>定义</w:t>
      </w:r>
      <w:bookmarkEnd w:id="30"/>
    </w:p>
    <w:p>
      <w:pPr>
        <w:tabs>
          <w:tab w:val="left" w:pos="7665"/>
        </w:tabs>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 “采购人”系指依法进行政府采购的国家机关、事业单位、团体组织。本次招标的采购人是</w:t>
      </w:r>
      <w:bookmarkEnd w:id="27"/>
      <w:r>
        <w:rPr>
          <w:rFonts w:hint="eastAsia" w:ascii="宋体" w:hAnsi="宋体" w:cs="宋体"/>
          <w:b/>
          <w:color w:val="000000" w:themeColor="text1"/>
          <w:sz w:val="24"/>
          <w:u w:val="single"/>
          <w14:textFill>
            <w14:solidFill>
              <w14:schemeClr w14:val="tx1"/>
            </w14:solidFill>
          </w14:textFill>
        </w:rPr>
        <w:t>成都市规划和自然资源局</w:t>
      </w:r>
      <w:r>
        <w:rPr>
          <w:rFonts w:hint="eastAsia" w:ascii="宋体" w:hAnsi="宋体" w:cs="宋体"/>
          <w:color w:val="000000" w:themeColor="text1"/>
          <w:sz w:val="24"/>
          <w14:textFill>
            <w14:solidFill>
              <w14:schemeClr w14:val="tx1"/>
            </w14:solidFill>
          </w14:textFill>
        </w:rPr>
        <w:t>。</w:t>
      </w:r>
    </w:p>
    <w:p>
      <w:pPr>
        <w:tabs>
          <w:tab w:val="left" w:pos="7665"/>
        </w:tabs>
        <w:snapToGrid w:val="0"/>
        <w:spacing w:line="400" w:lineRule="exact"/>
        <w:ind w:firstLine="480" w:firstLineChars="200"/>
        <w:rPr>
          <w:rFonts w:ascii="宋体" w:hAnsi="宋体" w:cs="宋体"/>
          <w:color w:val="000000" w:themeColor="text1"/>
          <w:sz w:val="24"/>
          <w14:textFill>
            <w14:solidFill>
              <w14:schemeClr w14:val="tx1"/>
            </w14:solidFill>
          </w14:textFill>
        </w:rPr>
      </w:pPr>
      <w:bookmarkStart w:id="31" w:name="PO_默认文件内容_35"/>
      <w:r>
        <w:rPr>
          <w:rFonts w:hint="eastAsia" w:ascii="宋体" w:hAnsi="宋体" w:cs="宋体"/>
          <w:color w:val="000000" w:themeColor="text1"/>
          <w:sz w:val="24"/>
          <w14:textFill>
            <w14:solidFill>
              <w14:schemeClr w14:val="tx1"/>
            </w14:solidFill>
          </w14:textFill>
        </w:rPr>
        <w:t>2.2 “采购代理机构” 系指根据采购人的委托依法办理招标事宜的采购机构。本次招标的采购代理机构是</w:t>
      </w:r>
      <w:r>
        <w:rPr>
          <w:rFonts w:hint="eastAsia" w:ascii="宋体" w:hAnsi="宋体" w:cs="宋体"/>
          <w:b/>
          <w:bCs/>
          <w:color w:val="000000" w:themeColor="text1"/>
          <w:sz w:val="24"/>
          <w:u w:val="single"/>
          <w14:textFill>
            <w14:solidFill>
              <w14:schemeClr w14:val="tx1"/>
            </w14:solidFill>
          </w14:textFill>
        </w:rPr>
        <w:t>成都科益工程咨询有限公司</w:t>
      </w:r>
      <w:r>
        <w:rPr>
          <w:rFonts w:hint="eastAsia" w:ascii="宋体" w:hAnsi="宋体" w:cs="宋体"/>
          <w:color w:val="000000" w:themeColor="text1"/>
          <w:sz w:val="24"/>
          <w14:textFill>
            <w14:solidFill>
              <w14:schemeClr w14:val="tx1"/>
            </w14:solidFill>
          </w14:textFill>
        </w:rPr>
        <w:t>。</w:t>
      </w:r>
    </w:p>
    <w:p>
      <w:pPr>
        <w:tabs>
          <w:tab w:val="left" w:pos="7665"/>
        </w:tabs>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2.3 “招标采购单位”系指“采购人”和“采购代理机构”的统称。</w:t>
      </w:r>
    </w:p>
    <w:p>
      <w:pPr>
        <w:tabs>
          <w:tab w:val="left" w:pos="7665"/>
        </w:tabs>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2.4 “投标人”系指获取了招标文件拟参加投标和向采购人提供货物及相应服务的供应商。</w:t>
      </w:r>
    </w:p>
    <w:p>
      <w:pPr>
        <w:pStyle w:val="7"/>
        <w:snapToGrid w:val="0"/>
        <w:spacing w:line="400" w:lineRule="exact"/>
        <w:ind w:firstLine="482" w:firstLineChars="200"/>
        <w:rPr>
          <w:rFonts w:ascii="宋体" w:hAnsi="宋体" w:cs="宋体"/>
          <w:color w:val="000000" w:themeColor="text1"/>
          <w:sz w:val="24"/>
          <w14:textFill>
            <w14:solidFill>
              <w14:schemeClr w14:val="tx1"/>
            </w14:solidFill>
          </w14:textFill>
        </w:rPr>
      </w:pPr>
      <w:bookmarkStart w:id="32" w:name="_Toc217446036"/>
      <w:bookmarkStart w:id="33" w:name="_Toc217390843"/>
      <w:bookmarkStart w:id="34" w:name="_Toc183582207"/>
      <w:bookmarkStart w:id="35" w:name="_Toc183682344"/>
      <w:r>
        <w:rPr>
          <w:rFonts w:hint="eastAsia" w:ascii="宋体" w:hAnsi="宋体" w:cs="宋体"/>
          <w:color w:val="000000" w:themeColor="text1"/>
          <w:sz w:val="24"/>
          <w14:textFill>
            <w14:solidFill>
              <w14:schemeClr w14:val="tx1"/>
            </w14:solidFill>
          </w14:textFill>
        </w:rPr>
        <w:t>3. 合格的投标人</w:t>
      </w:r>
      <w:bookmarkEnd w:id="32"/>
      <w:bookmarkEnd w:id="33"/>
      <w:bookmarkEnd w:id="34"/>
      <w:bookmarkEnd w:id="35"/>
    </w:p>
    <w:p>
      <w:pPr>
        <w:tabs>
          <w:tab w:val="left" w:pos="7665"/>
        </w:tabs>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合格的投标人应具备以下条件：</w:t>
      </w:r>
    </w:p>
    <w:p>
      <w:pPr>
        <w:tabs>
          <w:tab w:val="left" w:pos="7665"/>
        </w:tabs>
        <w:snapToGrid w:val="0"/>
        <w:spacing w:line="400" w:lineRule="exact"/>
        <w:ind w:firstLine="480" w:firstLineChars="200"/>
        <w:rPr>
          <w:rFonts w:ascii="宋体" w:hAnsi="宋体" w:cs="宋体"/>
          <w:color w:val="000000" w:themeColor="text1"/>
          <w:spacing w:val="-4"/>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（1）本招标文件规定的供应商资格条件</w:t>
      </w:r>
      <w:r>
        <w:rPr>
          <w:rFonts w:hint="eastAsia" w:ascii="宋体" w:hAnsi="宋体" w:cs="宋体"/>
          <w:color w:val="000000" w:themeColor="text1"/>
          <w:spacing w:val="-4"/>
          <w:sz w:val="24"/>
          <w14:textFill>
            <w14:solidFill>
              <w14:schemeClr w14:val="tx1"/>
            </w14:solidFill>
          </w14:textFill>
        </w:rPr>
        <w:t>；</w:t>
      </w:r>
    </w:p>
    <w:p>
      <w:pPr>
        <w:tabs>
          <w:tab w:val="left" w:pos="7665"/>
        </w:tabs>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（2）遵守国家有关的法律、法规、规章和其他政策制度；</w:t>
      </w:r>
    </w:p>
    <w:p>
      <w:pPr>
        <w:tabs>
          <w:tab w:val="left" w:pos="7665"/>
        </w:tabs>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（3）按照招标文件第一章第七条要求规定获取了招标文件。</w:t>
      </w:r>
    </w:p>
    <w:p>
      <w:pPr>
        <w:pStyle w:val="7"/>
        <w:snapToGrid w:val="0"/>
        <w:spacing w:line="400" w:lineRule="exact"/>
        <w:ind w:firstLine="482" w:firstLineChars="200"/>
        <w:rPr>
          <w:rFonts w:ascii="宋体" w:hAnsi="宋体" w:cs="宋体"/>
          <w:color w:val="000000" w:themeColor="text1"/>
          <w:sz w:val="24"/>
          <w14:textFill>
            <w14:solidFill>
              <w14:schemeClr w14:val="tx1"/>
            </w14:solidFill>
          </w14:textFill>
        </w:rPr>
      </w:pPr>
      <w:bookmarkStart w:id="36" w:name="_Toc183682345"/>
      <w:bookmarkStart w:id="37" w:name="_Toc183582208"/>
      <w:bookmarkStart w:id="38" w:name="_Toc217446037"/>
      <w:r>
        <w:rPr>
          <w:rFonts w:hint="eastAsia" w:ascii="宋体" w:hAnsi="宋体" w:cs="宋体"/>
          <w:color w:val="000000" w:themeColor="text1"/>
          <w:sz w:val="24"/>
          <w14:textFill>
            <w14:solidFill>
              <w14:schemeClr w14:val="tx1"/>
            </w14:solidFill>
          </w14:textFill>
        </w:rPr>
        <w:t>4. 投标费用</w:t>
      </w:r>
      <w:bookmarkEnd w:id="36"/>
      <w:bookmarkEnd w:id="37"/>
      <w:bookmarkEnd w:id="38"/>
      <w:r>
        <w:rPr>
          <w:rFonts w:hint="eastAsia" w:ascii="宋体" w:hAnsi="宋体" w:cs="宋体"/>
          <w:color w:val="000000" w:themeColor="text1"/>
          <w:sz w:val="24"/>
          <w:szCs w:val="24"/>
          <w14:textFill>
            <w14:solidFill>
              <w14:schemeClr w14:val="tx1"/>
            </w14:solidFill>
          </w14:textFill>
        </w:rPr>
        <w:t>（实质性要求）</w:t>
      </w:r>
    </w:p>
    <w:p>
      <w:pPr>
        <w:tabs>
          <w:tab w:val="left" w:pos="7665"/>
        </w:tabs>
        <w:snapToGrid w:val="0"/>
        <w:spacing w:line="40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投标人参加投标的有关费用由投标人自行承担。</w:t>
      </w:r>
    </w:p>
    <w:p>
      <w:pPr>
        <w:pStyle w:val="7"/>
        <w:snapToGrid w:val="0"/>
        <w:spacing w:line="40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 充分、公平竞争保障措施</w:t>
      </w:r>
      <w:r>
        <w:rPr>
          <w:rFonts w:hint="eastAsia" w:ascii="宋体" w:hAnsi="宋体" w:cs="宋体"/>
          <w:color w:val="000000" w:themeColor="text1"/>
          <w:sz w:val="24"/>
          <w:szCs w:val="24"/>
          <w14:textFill>
            <w14:solidFill>
              <w14:schemeClr w14:val="tx1"/>
            </w14:solidFill>
          </w14:textFill>
        </w:rPr>
        <w:t>（实质性要求）</w:t>
      </w:r>
    </w:p>
    <w:p>
      <w:pPr>
        <w:pStyle w:val="62"/>
        <w:snapToGrid w:val="0"/>
        <w:spacing w:line="400" w:lineRule="exact"/>
        <w:ind w:left="1" w:firstLine="482" w:firstLineChars="200"/>
        <w:rPr>
          <w:rFonts w:hAnsi="宋体" w:cs="宋体"/>
          <w:color w:val="000000" w:themeColor="text1"/>
          <w:sz w:val="24"/>
          <w14:textFill>
            <w14:solidFill>
              <w14:schemeClr w14:val="tx1"/>
            </w14:solidFill>
          </w14:textFill>
        </w:rPr>
      </w:pPr>
      <w:r>
        <w:rPr>
          <w:rFonts w:hint="eastAsia" w:hAnsi="宋体" w:cs="宋体"/>
          <w:b/>
          <w:color w:val="000000" w:themeColor="text1"/>
          <w:sz w:val="24"/>
          <w14:textFill>
            <w14:solidFill>
              <w14:schemeClr w14:val="tx1"/>
            </w14:solidFill>
          </w14:textFill>
        </w:rPr>
        <w:t>5.1 利害关系供应商处理。</w:t>
      </w:r>
      <w:r>
        <w:rPr>
          <w:rFonts w:hint="eastAsia" w:hAnsi="宋体" w:cs="宋体"/>
          <w:color w:val="000000" w:themeColor="text1"/>
          <w:sz w:val="24"/>
          <w14:textFill>
            <w14:solidFill>
              <w14:schemeClr w14:val="tx1"/>
            </w14:solidFill>
          </w14:textFill>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62"/>
        <w:spacing w:line="460" w:lineRule="exact"/>
        <w:ind w:left="1" w:firstLine="482" w:firstLineChars="200"/>
        <w:rPr>
          <w:rFonts w:hint="eastAsia" w:hAnsi="宋体" w:cs="宋体"/>
          <w:color w:val="000000" w:themeColor="text1"/>
          <w:sz w:val="24"/>
          <w14:textFill>
            <w14:solidFill>
              <w14:schemeClr w14:val="tx1"/>
            </w14:solidFill>
          </w14:textFill>
        </w:rPr>
      </w:pPr>
      <w:r>
        <w:rPr>
          <w:rFonts w:hint="eastAsia" w:hAnsi="宋体" w:cs="宋体"/>
          <w:b/>
          <w:color w:val="000000" w:themeColor="text1"/>
          <w:sz w:val="24"/>
          <w14:textFill>
            <w14:solidFill>
              <w14:schemeClr w14:val="tx1"/>
            </w14:solidFill>
          </w14:textFill>
        </w:rPr>
        <w:t>5.2 前期参与供应商处理。</w:t>
      </w:r>
      <w:r>
        <w:rPr>
          <w:rFonts w:hint="eastAsia" w:hAnsi="宋体" w:cs="宋体"/>
          <w:color w:val="000000" w:themeColor="text1"/>
          <w:sz w:val="24"/>
          <w14:textFill>
            <w14:solidFill>
              <w14:schemeClr w14:val="tx1"/>
            </w14:solidFill>
          </w14:textFill>
        </w:rPr>
        <w:t>为采购项目提供整体设计、规范编制或者项目管理、监理、检测等服务的供应商，不得再参加该采购项目的其他采购活动。</w:t>
      </w:r>
    </w:p>
    <w:p>
      <w:pPr>
        <w:pStyle w:val="6"/>
        <w:snapToGrid w:val="0"/>
        <w:spacing w:line="400" w:lineRule="exact"/>
        <w:jc w:val="center"/>
        <w:rPr>
          <w:rFonts w:ascii="宋体" w:hAnsi="宋体" w:eastAsia="宋体" w:cs="宋体"/>
          <w:bCs w:val="0"/>
          <w:color w:val="000000" w:themeColor="text1"/>
          <w14:textFill>
            <w14:solidFill>
              <w14:schemeClr w14:val="tx1"/>
            </w14:solidFill>
          </w14:textFill>
        </w:rPr>
      </w:pPr>
      <w:bookmarkStart w:id="39" w:name="_Toc77400779"/>
      <w:bookmarkStart w:id="40" w:name="_Toc217446038"/>
      <w:bookmarkStart w:id="41" w:name="_Toc183582209"/>
      <w:bookmarkStart w:id="42" w:name="_Toc89075875"/>
      <w:bookmarkStart w:id="43" w:name="_Toc183682346"/>
      <w:r>
        <w:rPr>
          <w:rFonts w:hint="eastAsia" w:ascii="宋体" w:hAnsi="宋体" w:eastAsia="宋体" w:cs="宋体"/>
          <w:bCs w:val="0"/>
          <w:color w:val="000000" w:themeColor="text1"/>
          <w14:textFill>
            <w14:solidFill>
              <w14:schemeClr w14:val="tx1"/>
            </w14:solidFill>
          </w14:textFill>
        </w:rPr>
        <w:t>三、招标文件</w:t>
      </w:r>
      <w:bookmarkEnd w:id="39"/>
      <w:bookmarkEnd w:id="40"/>
      <w:bookmarkEnd w:id="41"/>
      <w:bookmarkEnd w:id="42"/>
      <w:bookmarkEnd w:id="43"/>
    </w:p>
    <w:p>
      <w:pPr>
        <w:pStyle w:val="7"/>
        <w:snapToGrid w:val="0"/>
        <w:spacing w:line="400" w:lineRule="exact"/>
        <w:ind w:firstLine="482" w:firstLineChars="200"/>
        <w:rPr>
          <w:rFonts w:ascii="宋体" w:hAnsi="宋体" w:cs="宋体"/>
          <w:color w:val="000000" w:themeColor="text1"/>
          <w:sz w:val="24"/>
          <w14:textFill>
            <w14:solidFill>
              <w14:schemeClr w14:val="tx1"/>
            </w14:solidFill>
          </w14:textFill>
        </w:rPr>
      </w:pPr>
      <w:bookmarkStart w:id="44" w:name="_Toc183582210"/>
      <w:bookmarkStart w:id="45" w:name="_Toc217446039"/>
      <w:bookmarkStart w:id="46" w:name="_Toc183682347"/>
      <w:r>
        <w:rPr>
          <w:rFonts w:hint="eastAsia" w:ascii="宋体" w:hAnsi="宋体" w:cs="宋体"/>
          <w:color w:val="000000" w:themeColor="text1"/>
          <w:sz w:val="24"/>
          <w14:textFill>
            <w14:solidFill>
              <w14:schemeClr w14:val="tx1"/>
            </w14:solidFill>
          </w14:textFill>
        </w:rPr>
        <w:t>6</w:t>
      </w:r>
      <w:r>
        <w:rPr>
          <w:rFonts w:ascii="宋体" w:hAnsi="宋体" w:cs="宋体"/>
          <w:color w:val="000000" w:themeColor="text1"/>
          <w:sz w:val="24"/>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招标文件的构成</w:t>
      </w:r>
      <w:bookmarkEnd w:id="44"/>
      <w:bookmarkEnd w:id="45"/>
      <w:bookmarkEnd w:id="46"/>
    </w:p>
    <w:p>
      <w:pPr>
        <w:tabs>
          <w:tab w:val="left" w:pos="7665"/>
        </w:tabs>
        <w:snapToGrid w:val="0"/>
        <w:spacing w:line="400" w:lineRule="exact"/>
        <w:ind w:firstLine="480" w:firstLineChars="200"/>
        <w:rPr>
          <w:rFonts w:ascii="宋体" w:hAnsi="宋体" w:cs="宋体"/>
          <w:color w:val="000000" w:themeColor="text1"/>
          <w:kern w:val="0"/>
          <w:sz w:val="24"/>
          <w:szCs w:val="22"/>
          <w14:textFill>
            <w14:solidFill>
              <w14:schemeClr w14:val="tx1"/>
            </w14:solidFill>
          </w14:textFill>
        </w:rPr>
      </w:pPr>
      <w:r>
        <w:rPr>
          <w:rFonts w:hint="eastAsia" w:ascii="宋体" w:hAnsi="宋体" w:cs="宋体"/>
          <w:color w:val="000000" w:themeColor="text1"/>
          <w:kern w:val="0"/>
          <w:sz w:val="24"/>
          <w:szCs w:val="22"/>
          <w14:textFill>
            <w14:solidFill>
              <w14:schemeClr w14:val="tx1"/>
            </w14:solidFill>
          </w14:textFill>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szCs w:val="22"/>
          <w14:textFill>
            <w14:solidFill>
              <w14:schemeClr w14:val="tx1"/>
            </w14:solidFill>
          </w14:textFill>
        </w:rPr>
        <w:t>（一）投标</w:t>
      </w:r>
      <w:r>
        <w:rPr>
          <w:rFonts w:hint="eastAsia" w:ascii="宋体" w:hAnsi="宋体" w:cs="宋体"/>
          <w:color w:val="000000" w:themeColor="text1"/>
          <w:sz w:val="24"/>
          <w14:textFill>
            <w14:solidFill>
              <w14:schemeClr w14:val="tx1"/>
            </w14:solidFill>
          </w14:textFill>
        </w:rPr>
        <w:t>邀请；</w:t>
      </w:r>
    </w:p>
    <w:p>
      <w:pPr>
        <w:tabs>
          <w:tab w:val="left" w:pos="720"/>
        </w:tabs>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（二）投标人须知；</w:t>
      </w:r>
    </w:p>
    <w:p>
      <w:pPr>
        <w:tabs>
          <w:tab w:val="left" w:pos="720"/>
        </w:tabs>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（三）投标文件格式；</w:t>
      </w:r>
    </w:p>
    <w:p>
      <w:pPr>
        <w:tabs>
          <w:tab w:val="left" w:pos="720"/>
        </w:tabs>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（四）投标人和投标产品的资格、资质性及其他类似效力要求；</w:t>
      </w:r>
    </w:p>
    <w:p>
      <w:pPr>
        <w:pStyle w:val="12"/>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（五）</w:t>
      </w:r>
      <w:r>
        <w:rPr>
          <w:rFonts w:hint="eastAsia" w:ascii="宋体" w:hAnsi="宋体" w:cs="宋体"/>
          <w:bCs/>
          <w:color w:val="000000" w:themeColor="text1"/>
          <w:sz w:val="24"/>
          <w14:textFill>
            <w14:solidFill>
              <w14:schemeClr w14:val="tx1"/>
            </w14:solidFill>
          </w14:textFill>
        </w:rPr>
        <w:t>资格性审查要求</w:t>
      </w:r>
      <w:r>
        <w:rPr>
          <w:rFonts w:hint="eastAsia" w:ascii="宋体" w:hAnsi="宋体" w:cs="宋体"/>
          <w:color w:val="000000" w:themeColor="text1"/>
          <w:sz w:val="24"/>
          <w14:textFill>
            <w14:solidFill>
              <w14:schemeClr w14:val="tx1"/>
            </w14:solidFill>
          </w14:textFill>
        </w:rPr>
        <w:t>；</w:t>
      </w:r>
    </w:p>
    <w:p>
      <w:pPr>
        <w:tabs>
          <w:tab w:val="left" w:pos="720"/>
        </w:tabs>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（六）招标项目技术、服务、政府采购合同内容条款及其他商务要求；</w:t>
      </w:r>
    </w:p>
    <w:p>
      <w:pPr>
        <w:tabs>
          <w:tab w:val="left" w:pos="720"/>
        </w:tabs>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（七）评标办法；</w:t>
      </w:r>
    </w:p>
    <w:p>
      <w:pPr>
        <w:tabs>
          <w:tab w:val="left" w:pos="720"/>
        </w:tabs>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（八）合同主要条款。</w:t>
      </w:r>
    </w:p>
    <w:p>
      <w:pPr>
        <w:pStyle w:val="7"/>
        <w:snapToGrid w:val="0"/>
        <w:spacing w:line="400" w:lineRule="exact"/>
        <w:ind w:firstLine="482" w:firstLineChars="200"/>
        <w:rPr>
          <w:rFonts w:ascii="宋体" w:hAnsi="宋体" w:cs="宋体"/>
          <w:color w:val="000000" w:themeColor="text1"/>
          <w:sz w:val="24"/>
          <w14:textFill>
            <w14:solidFill>
              <w14:schemeClr w14:val="tx1"/>
            </w14:solidFill>
          </w14:textFill>
        </w:rPr>
      </w:pPr>
      <w:bookmarkStart w:id="47" w:name="_Toc183582211"/>
      <w:bookmarkStart w:id="48" w:name="_Toc183682348"/>
      <w:bookmarkStart w:id="49" w:name="_Toc217446040"/>
      <w:r>
        <w:rPr>
          <w:rFonts w:hint="eastAsia" w:ascii="宋体" w:hAnsi="宋体" w:cs="宋体"/>
          <w:color w:val="000000" w:themeColor="text1"/>
          <w:sz w:val="24"/>
          <w14:textFill>
            <w14:solidFill>
              <w14:schemeClr w14:val="tx1"/>
            </w14:solidFill>
          </w14:textFill>
        </w:rPr>
        <w:t>7. 招标文件的澄清</w:t>
      </w:r>
      <w:bookmarkEnd w:id="47"/>
      <w:bookmarkEnd w:id="48"/>
      <w:r>
        <w:rPr>
          <w:rFonts w:hint="eastAsia" w:ascii="宋体" w:hAnsi="宋体" w:cs="宋体"/>
          <w:color w:val="000000" w:themeColor="text1"/>
          <w:sz w:val="24"/>
          <w14:textFill>
            <w14:solidFill>
              <w14:schemeClr w14:val="tx1"/>
            </w14:solidFill>
          </w14:textFill>
        </w:rPr>
        <w:t>和修改</w:t>
      </w:r>
      <w:bookmarkEnd w:id="49"/>
    </w:p>
    <w:p>
      <w:pPr>
        <w:tabs>
          <w:tab w:val="left" w:pos="7665"/>
        </w:tabs>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7.1 招标采购单位可以依法对招标文件进行澄清或者修改。</w:t>
      </w:r>
    </w:p>
    <w:p>
      <w:pPr>
        <w:tabs>
          <w:tab w:val="left" w:pos="7665"/>
        </w:tabs>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更正通知通过政府采购云平台通知所有获取招标文件的潜在供应商。</w:t>
      </w:r>
    </w:p>
    <w:p>
      <w:pPr>
        <w:tabs>
          <w:tab w:val="left" w:pos="7665"/>
        </w:tabs>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7.4 投标人认为需要对招标文件进行澄清或者修改的，可以以书面形式向招标采购单位提出申请，但招标采购单位可以决定是否采纳投标人的申请事项。</w:t>
      </w:r>
    </w:p>
    <w:p>
      <w:pPr>
        <w:pStyle w:val="7"/>
        <w:snapToGrid w:val="0"/>
        <w:spacing w:line="400" w:lineRule="exact"/>
        <w:ind w:firstLine="482" w:firstLineChars="200"/>
        <w:rPr>
          <w:rFonts w:ascii="宋体" w:hAnsi="宋体" w:cs="宋体"/>
          <w:color w:val="000000" w:themeColor="text1"/>
          <w:sz w:val="24"/>
          <w14:textFill>
            <w14:solidFill>
              <w14:schemeClr w14:val="tx1"/>
            </w14:solidFill>
          </w14:textFill>
        </w:rPr>
      </w:pPr>
      <w:bookmarkStart w:id="50" w:name="_Toc208848971"/>
      <w:bookmarkStart w:id="51" w:name="_Toc217446041"/>
      <w:r>
        <w:rPr>
          <w:rFonts w:ascii="宋体" w:hAnsi="宋体" w:cs="宋体"/>
          <w:color w:val="000000" w:themeColor="text1"/>
          <w:sz w:val="24"/>
          <w14:textFill>
            <w14:solidFill>
              <w14:schemeClr w14:val="tx1"/>
            </w14:solidFill>
          </w14:textFill>
        </w:rPr>
        <w:t xml:space="preserve">8. </w:t>
      </w:r>
      <w:r>
        <w:rPr>
          <w:rFonts w:hint="eastAsia" w:ascii="宋体" w:hAnsi="宋体" w:cs="宋体"/>
          <w:color w:val="000000" w:themeColor="text1"/>
          <w:sz w:val="24"/>
          <w14:textFill>
            <w14:solidFill>
              <w14:schemeClr w14:val="tx1"/>
            </w14:solidFill>
          </w14:textFill>
        </w:rPr>
        <w:t>答疑会和现场考察</w:t>
      </w:r>
      <w:bookmarkEnd w:id="50"/>
      <w:bookmarkEnd w:id="51"/>
    </w:p>
    <w:p>
      <w:pPr>
        <w:tabs>
          <w:tab w:val="left" w:pos="7665"/>
        </w:tabs>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8.1 根据采购项目和具体情况，招标采购单位认为有必要，可以在招标文件提供期限截止后，组织已获取招标文件的潜在投标人现场考察或者召开开标前答疑会。</w:t>
      </w:r>
    </w:p>
    <w:p>
      <w:pPr>
        <w:tabs>
          <w:tab w:val="left" w:pos="7665"/>
        </w:tabs>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现场考察或标前答疑会时间：详见投标人须知表。</w:t>
      </w:r>
    </w:p>
    <w:p>
      <w:pPr>
        <w:tabs>
          <w:tab w:val="left" w:pos="7665"/>
        </w:tabs>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现场考察或标前答疑会地点：详见投标人须知表。</w:t>
      </w:r>
    </w:p>
    <w:p>
      <w:pPr>
        <w:tabs>
          <w:tab w:val="left" w:pos="7665"/>
        </w:tabs>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8.2 供应商考察现场所发生的一切费用由供应商自己承担。</w:t>
      </w:r>
    </w:p>
    <w:p>
      <w:pPr>
        <w:pStyle w:val="6"/>
        <w:snapToGrid w:val="0"/>
        <w:spacing w:line="400" w:lineRule="exact"/>
        <w:jc w:val="center"/>
        <w:rPr>
          <w:rFonts w:ascii="宋体" w:hAnsi="宋体" w:eastAsia="宋体" w:cs="宋体"/>
          <w:bCs w:val="0"/>
          <w:color w:val="000000" w:themeColor="text1"/>
          <w14:textFill>
            <w14:solidFill>
              <w14:schemeClr w14:val="tx1"/>
            </w14:solidFill>
          </w14:textFill>
        </w:rPr>
      </w:pPr>
      <w:bookmarkStart w:id="52" w:name="_Toc89075876"/>
      <w:bookmarkStart w:id="53" w:name="_Toc77400780"/>
      <w:bookmarkStart w:id="54" w:name="_Toc217446042"/>
      <w:bookmarkStart w:id="55" w:name="_Toc183582214"/>
      <w:bookmarkStart w:id="56" w:name="_Toc183682351"/>
      <w:r>
        <w:rPr>
          <w:rFonts w:hint="eastAsia" w:ascii="宋体" w:hAnsi="宋体" w:eastAsia="宋体" w:cs="宋体"/>
          <w:bCs w:val="0"/>
          <w:color w:val="000000" w:themeColor="text1"/>
          <w14:textFill>
            <w14:solidFill>
              <w14:schemeClr w14:val="tx1"/>
            </w14:solidFill>
          </w14:textFill>
        </w:rPr>
        <w:t>四、投标文件</w:t>
      </w:r>
      <w:bookmarkEnd w:id="52"/>
      <w:bookmarkEnd w:id="53"/>
      <w:bookmarkEnd w:id="54"/>
      <w:bookmarkEnd w:id="55"/>
      <w:bookmarkEnd w:id="56"/>
    </w:p>
    <w:p>
      <w:pPr>
        <w:pStyle w:val="7"/>
        <w:snapToGrid w:val="0"/>
        <w:spacing w:line="400" w:lineRule="exact"/>
        <w:ind w:firstLine="482" w:firstLineChars="200"/>
        <w:rPr>
          <w:rFonts w:ascii="宋体" w:hAnsi="宋体" w:cs="宋体"/>
          <w:bCs w:val="0"/>
          <w:color w:val="000000" w:themeColor="text1"/>
          <w:sz w:val="24"/>
          <w14:textFill>
            <w14:solidFill>
              <w14:schemeClr w14:val="tx1"/>
            </w14:solidFill>
          </w14:textFill>
        </w:rPr>
      </w:pPr>
      <w:bookmarkStart w:id="57" w:name="_Toc183682352"/>
      <w:bookmarkStart w:id="58" w:name="_Toc183582215"/>
      <w:bookmarkStart w:id="59" w:name="_Toc217446043"/>
      <w:r>
        <w:rPr>
          <w:rFonts w:hint="eastAsia" w:ascii="宋体" w:hAnsi="宋体" w:cs="宋体"/>
          <w:bCs w:val="0"/>
          <w:color w:val="000000" w:themeColor="text1"/>
          <w:sz w:val="24"/>
          <w14:textFill>
            <w14:solidFill>
              <w14:schemeClr w14:val="tx1"/>
            </w14:solidFill>
          </w14:textFill>
        </w:rPr>
        <w:t>9</w:t>
      </w:r>
      <w:r>
        <w:rPr>
          <w:rFonts w:hint="eastAsia" w:ascii="宋体" w:hAnsi="宋体" w:cs="宋体"/>
          <w:color w:val="000000" w:themeColor="text1"/>
          <w:sz w:val="24"/>
          <w14:textFill>
            <w14:solidFill>
              <w14:schemeClr w14:val="tx1"/>
            </w14:solidFill>
          </w14:textFill>
        </w:rPr>
        <w:t>.</w:t>
      </w:r>
      <w:r>
        <w:rPr>
          <w:rFonts w:ascii="宋体" w:hAnsi="宋体" w:cs="宋体"/>
          <w:color w:val="000000" w:themeColor="text1"/>
          <w:sz w:val="24"/>
          <w14:textFill>
            <w14:solidFill>
              <w14:schemeClr w14:val="tx1"/>
            </w14:solidFill>
          </w14:textFill>
        </w:rPr>
        <w:t xml:space="preserve"> </w:t>
      </w:r>
      <w:r>
        <w:rPr>
          <w:rFonts w:hint="eastAsia" w:ascii="宋体" w:hAnsi="宋体" w:cs="宋体"/>
          <w:bCs w:val="0"/>
          <w:color w:val="000000" w:themeColor="text1"/>
          <w:sz w:val="24"/>
          <w14:textFill>
            <w14:solidFill>
              <w14:schemeClr w14:val="tx1"/>
            </w14:solidFill>
          </w14:textFill>
        </w:rPr>
        <w:t>投标文件的语言</w:t>
      </w:r>
      <w:bookmarkEnd w:id="57"/>
      <w:bookmarkEnd w:id="58"/>
      <w:bookmarkEnd w:id="59"/>
    </w:p>
    <w:p>
      <w:pPr>
        <w:tabs>
          <w:tab w:val="left" w:pos="1134"/>
        </w:tabs>
        <w:snapToGrid w:val="0"/>
        <w:spacing w:line="400" w:lineRule="exact"/>
        <w:ind w:firstLine="480" w:firstLineChars="200"/>
        <w:jc w:val="left"/>
        <w:rPr>
          <w:rFonts w:ascii="宋体" w:hAnsi="宋体" w:cs="宋体"/>
          <w:color w:val="000000" w:themeColor="text1"/>
          <w:sz w:val="24"/>
          <w14:textFill>
            <w14:solidFill>
              <w14:schemeClr w14:val="tx1"/>
            </w14:solidFill>
          </w14:textFill>
        </w:rPr>
      </w:pPr>
      <w:bookmarkStart w:id="60" w:name="_Toc183682353"/>
      <w:bookmarkStart w:id="61" w:name="_Toc183582216"/>
      <w:bookmarkStart w:id="62" w:name="_Toc217446044"/>
      <w:r>
        <w:rPr>
          <w:rFonts w:hint="eastAsia" w:ascii="宋体" w:hAnsi="宋体" w:cs="宋体"/>
          <w:color w:val="000000" w:themeColor="text1"/>
          <w:sz w:val="24"/>
          <w14:textFill>
            <w14:solidFill>
              <w14:schemeClr w14:val="tx1"/>
            </w14:solidFill>
          </w14:textFill>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pPr>
        <w:tabs>
          <w:tab w:val="left" w:pos="1134"/>
        </w:tabs>
        <w:snapToGrid w:val="0"/>
        <w:spacing w:line="400" w:lineRule="exact"/>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9.2 翻译的中文资料与外文资料如果出现差异和矛盾时，以中文为准。涉嫌虚假响应的按照相关法律法规处理。</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9.3 如因未翻译而造成的废标，由投标人承担。</w:t>
      </w:r>
    </w:p>
    <w:p>
      <w:pPr>
        <w:pStyle w:val="7"/>
        <w:snapToGrid w:val="0"/>
        <w:spacing w:line="40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w:t>
      </w:r>
      <w:r>
        <w:rPr>
          <w:rFonts w:ascii="宋体" w:hAnsi="宋体" w:cs="宋体"/>
          <w:color w:val="000000" w:themeColor="text1"/>
          <w:sz w:val="24"/>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计量单位</w:t>
      </w:r>
      <w:bookmarkEnd w:id="60"/>
      <w:bookmarkEnd w:id="61"/>
      <w:bookmarkEnd w:id="62"/>
      <w:r>
        <w:rPr>
          <w:rFonts w:hint="eastAsia" w:ascii="宋体" w:hAnsi="宋体" w:cs="宋体"/>
          <w:color w:val="000000" w:themeColor="text1"/>
          <w:sz w:val="24"/>
          <w:szCs w:val="24"/>
          <w14:textFill>
            <w14:solidFill>
              <w14:schemeClr w14:val="tx1"/>
            </w14:solidFill>
          </w14:textFill>
        </w:rPr>
        <w:t>（实质性要求）</w:t>
      </w:r>
    </w:p>
    <w:p>
      <w:pPr>
        <w:snapToGrid w:val="0"/>
        <w:spacing w:line="400" w:lineRule="exact"/>
        <w:ind w:firstLine="470" w:firstLineChars="19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除招标文件中另有规定外，本次采购项目所有合同项下的投标均采用国家法定的计量单位。</w:t>
      </w:r>
    </w:p>
    <w:p>
      <w:pPr>
        <w:pStyle w:val="7"/>
        <w:snapToGrid w:val="0"/>
        <w:spacing w:line="400" w:lineRule="exact"/>
        <w:ind w:firstLine="482" w:firstLineChars="200"/>
        <w:rPr>
          <w:rFonts w:ascii="宋体" w:hAnsi="宋体" w:cs="宋体"/>
          <w:color w:val="000000" w:themeColor="text1"/>
          <w:sz w:val="24"/>
          <w14:textFill>
            <w14:solidFill>
              <w14:schemeClr w14:val="tx1"/>
            </w14:solidFill>
          </w14:textFill>
        </w:rPr>
      </w:pPr>
      <w:bookmarkStart w:id="63" w:name="_Toc217446045"/>
      <w:r>
        <w:rPr>
          <w:rFonts w:hint="eastAsia" w:ascii="宋体" w:hAnsi="宋体" w:cs="宋体"/>
          <w:color w:val="000000" w:themeColor="text1"/>
          <w:sz w:val="24"/>
          <w14:textFill>
            <w14:solidFill>
              <w14:schemeClr w14:val="tx1"/>
            </w14:solidFill>
          </w14:textFill>
        </w:rPr>
        <w:t>11. 投标货币</w:t>
      </w:r>
      <w:bookmarkEnd w:id="63"/>
      <w:r>
        <w:rPr>
          <w:rFonts w:hint="eastAsia" w:ascii="宋体" w:hAnsi="宋体" w:cs="宋体"/>
          <w:color w:val="000000" w:themeColor="text1"/>
          <w:sz w:val="24"/>
          <w14:textFill>
            <w14:solidFill>
              <w14:schemeClr w14:val="tx1"/>
            </w14:solidFill>
          </w14:textFill>
        </w:rPr>
        <w:t>（实质性要求）</w:t>
      </w:r>
    </w:p>
    <w:p>
      <w:pPr>
        <w:snapToGrid w:val="0"/>
        <w:spacing w:line="400" w:lineRule="exact"/>
        <w:ind w:firstLine="470" w:firstLineChars="19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本次招标项目的投标均以人民币报价。</w:t>
      </w:r>
    </w:p>
    <w:p>
      <w:pPr>
        <w:pStyle w:val="7"/>
        <w:snapToGrid w:val="0"/>
        <w:spacing w:line="400" w:lineRule="exact"/>
        <w:ind w:firstLine="482" w:firstLineChars="200"/>
        <w:rPr>
          <w:rFonts w:ascii="宋体" w:hAnsi="宋体" w:cs="宋体"/>
          <w:color w:val="000000" w:themeColor="text1"/>
          <w:sz w:val="24"/>
          <w14:textFill>
            <w14:solidFill>
              <w14:schemeClr w14:val="tx1"/>
            </w14:solidFill>
          </w14:textFill>
        </w:rPr>
      </w:pPr>
      <w:bookmarkStart w:id="64" w:name="_Toc217446046"/>
      <w:bookmarkStart w:id="65" w:name="_Toc217446047"/>
      <w:r>
        <w:rPr>
          <w:rFonts w:hint="eastAsia" w:ascii="宋体" w:hAnsi="宋体" w:cs="宋体"/>
          <w:color w:val="000000" w:themeColor="text1"/>
          <w:sz w:val="24"/>
          <w14:textFill>
            <w14:solidFill>
              <w14:schemeClr w14:val="tx1"/>
            </w14:solidFill>
          </w14:textFill>
        </w:rPr>
        <w:t>12. 联合体投标</w:t>
      </w:r>
      <w:bookmarkEnd w:id="64"/>
      <w:r>
        <w:rPr>
          <w:rFonts w:hint="eastAsia" w:ascii="宋体" w:hAnsi="宋体" w:cs="宋体"/>
          <w:color w:val="000000" w:themeColor="text1"/>
          <w:sz w:val="24"/>
          <w14:textFill>
            <w14:solidFill>
              <w14:schemeClr w14:val="tx1"/>
            </w14:solidFill>
          </w14:textFill>
        </w:rPr>
        <w:t>（仅适用于允许联合体参与的项目）</w:t>
      </w:r>
    </w:p>
    <w:p>
      <w:pPr>
        <w:snapToGrid w:val="0"/>
        <w:spacing w:line="400" w:lineRule="exact"/>
        <w:ind w:firstLine="470" w:firstLineChars="19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联合体各方应当共同与采购人签订采购合同，就采购合同约定的事项对采购人承担连带责任。</w:t>
      </w:r>
    </w:p>
    <w:p>
      <w:pPr>
        <w:pStyle w:val="7"/>
        <w:snapToGrid w:val="0"/>
        <w:spacing w:line="400" w:lineRule="exact"/>
        <w:ind w:firstLine="482" w:firstLineChars="200"/>
        <w:rPr>
          <w:rFonts w:ascii="宋体" w:hAnsi="宋体" w:cs="宋体"/>
          <w:color w:val="000000" w:themeColor="text1"/>
          <w:sz w:val="24"/>
          <w14:textFill>
            <w14:solidFill>
              <w14:schemeClr w14:val="tx1"/>
            </w14:solidFill>
          </w14:textFill>
        </w:rPr>
      </w:pPr>
      <w:bookmarkStart w:id="66" w:name="_Toc308164797"/>
      <w:r>
        <w:rPr>
          <w:rFonts w:hint="eastAsia" w:ascii="宋体" w:hAnsi="宋体" w:cs="宋体"/>
          <w:color w:val="000000" w:themeColor="text1"/>
          <w:sz w:val="24"/>
          <w14:textFill>
            <w14:solidFill>
              <w14:schemeClr w14:val="tx1"/>
            </w14:solidFill>
          </w14:textFill>
        </w:rPr>
        <w:t>13. 知识产权</w:t>
      </w:r>
      <w:bookmarkEnd w:id="65"/>
      <w:bookmarkEnd w:id="66"/>
      <w:r>
        <w:rPr>
          <w:rFonts w:hint="eastAsia" w:ascii="宋体" w:hAnsi="宋体" w:cs="宋体"/>
          <w:color w:val="000000" w:themeColor="text1"/>
          <w:sz w:val="24"/>
          <w14:textFill>
            <w14:solidFill>
              <w14:schemeClr w14:val="tx1"/>
            </w14:solidFill>
          </w14:textFill>
        </w:rPr>
        <w:t>（实质性要求）</w:t>
      </w:r>
    </w:p>
    <w:p>
      <w:pPr>
        <w:pStyle w:val="13"/>
        <w:snapToGrid w:val="0"/>
        <w:spacing w:line="40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3"/>
        <w:snapToGrid w:val="0"/>
        <w:spacing w:line="40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13.2 采购人享有本项目实施过程中产生的知识成果及知识产权。</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napToGrid w:val="0"/>
        <w:spacing w:line="400" w:lineRule="exact"/>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13.4 如采用投标人所不拥有的知识产权，则在投标报价中必须包括合法获取该知识产权的相关费用。 </w:t>
      </w:r>
    </w:p>
    <w:p>
      <w:pPr>
        <w:pStyle w:val="7"/>
        <w:snapToGrid w:val="0"/>
        <w:spacing w:line="400" w:lineRule="exact"/>
        <w:ind w:firstLine="482" w:firstLineChars="200"/>
        <w:rPr>
          <w:rFonts w:ascii="宋体" w:hAnsi="宋体" w:cs="宋体"/>
          <w:color w:val="000000" w:themeColor="text1"/>
          <w:sz w:val="24"/>
          <w14:textFill>
            <w14:solidFill>
              <w14:schemeClr w14:val="tx1"/>
            </w14:solidFill>
          </w14:textFill>
        </w:rPr>
      </w:pPr>
      <w:bookmarkStart w:id="67" w:name="_Toc217446048"/>
      <w:bookmarkStart w:id="68" w:name="_Toc308164798"/>
      <w:bookmarkStart w:id="69" w:name="_Toc183682354"/>
      <w:bookmarkStart w:id="70" w:name="_Toc183582217"/>
      <w:r>
        <w:rPr>
          <w:rFonts w:hint="eastAsia" w:ascii="宋体" w:hAnsi="宋体" w:cs="宋体"/>
          <w:color w:val="000000" w:themeColor="text1"/>
          <w:sz w:val="24"/>
          <w14:textFill>
            <w14:solidFill>
              <w14:schemeClr w14:val="tx1"/>
            </w14:solidFill>
          </w14:textFill>
        </w:rPr>
        <w:t>14.</w:t>
      </w:r>
      <w:r>
        <w:rPr>
          <w:rFonts w:ascii="宋体" w:hAnsi="宋体" w:cs="宋体"/>
          <w:color w:val="000000" w:themeColor="text1"/>
          <w:sz w:val="24"/>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投标文件的组成</w:t>
      </w:r>
      <w:bookmarkEnd w:id="67"/>
      <w:bookmarkEnd w:id="68"/>
      <w:bookmarkEnd w:id="69"/>
      <w:bookmarkEnd w:id="70"/>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投标人应按照招标文件的规定和要求编制投标文件。投标人编写的投标文件应至少包括下列两部分文件：</w:t>
      </w:r>
    </w:p>
    <w:p>
      <w:pPr>
        <w:snapToGrid w:val="0"/>
        <w:spacing w:line="400" w:lineRule="exact"/>
        <w:ind w:firstLine="482" w:firstLineChars="2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文件一：资格性投标文件</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严格按照第四、五章要求提供相关资格、资质性及其他类似效力要求的相关证明材料。</w:t>
      </w:r>
    </w:p>
    <w:p>
      <w:pPr>
        <w:snapToGrid w:val="0"/>
        <w:spacing w:line="400" w:lineRule="exact"/>
        <w:ind w:firstLine="482" w:firstLineChars="2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文件二：其他响应性投标文件</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严格按照招标文件要求提供以下四个方面的相关材料：</w:t>
      </w:r>
    </w:p>
    <w:p>
      <w:pPr>
        <w:pStyle w:val="66"/>
        <w:numPr>
          <w:ilvl w:val="0"/>
          <w:numId w:val="3"/>
        </w:numPr>
        <w:snapToGrid w:val="0"/>
        <w:spacing w:line="400" w:lineRule="exact"/>
        <w:ind w:firstLineChars="0"/>
        <w:rPr>
          <w:rFonts w:ascii="宋体" w:hAnsi="宋体" w:cs="宋体"/>
          <w:bCs/>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报价部分。</w:t>
      </w:r>
    </w:p>
    <w:p>
      <w:pPr>
        <w:snapToGrid w:val="0"/>
        <w:spacing w:line="400" w:lineRule="exact"/>
        <w:ind w:left="48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1、投标人按照招标文件要求填写的“开标一览表”、“报价明细表”（如涉及）。 </w:t>
      </w:r>
    </w:p>
    <w:p>
      <w:pPr>
        <w:snapToGrid w:val="0"/>
        <w:spacing w:line="400" w:lineRule="exact"/>
        <w:ind w:left="48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2、本次招标报价要求：</w:t>
      </w:r>
    </w:p>
    <w:p>
      <w:pPr>
        <w:snapToGrid w:val="0"/>
        <w:spacing w:line="40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（1）投标人的报价是投标人响应招标项目要求的全部工作内容的价格体现，包括投标人完成本项目所需的一切费用（实质性要求）。</w:t>
      </w:r>
    </w:p>
    <w:p>
      <w:pPr>
        <w:snapToGrid w:val="0"/>
        <w:spacing w:line="40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（2）投标人每种服务只允许有一个报价，并且在合同履行过程中是固定不变的，任何有选择或可调整的报价将不予接受，并按无效投标处理（实质性要求）。</w:t>
      </w:r>
    </w:p>
    <w:p>
      <w:pPr>
        <w:snapToGrid w:val="0"/>
        <w:spacing w:line="400" w:lineRule="exact"/>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（二）服务部分。</w:t>
      </w:r>
      <w:r>
        <w:rPr>
          <w:rFonts w:hint="eastAsia" w:ascii="宋体" w:hAnsi="宋体" w:cs="宋体"/>
          <w:color w:val="000000" w:themeColor="text1"/>
          <w:sz w:val="24"/>
          <w14:textFill>
            <w14:solidFill>
              <w14:schemeClr w14:val="tx1"/>
            </w14:solidFill>
          </w14:textFill>
        </w:rPr>
        <w:t>投标人按照招标文件要求做出的技术应答，主要是针对招标项目的技术指标、参数和技术要求做出的实质性响应和满足。投标人的技术应答包括下列内容（如涉及）：</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（1）服务方案、项目实施方案；</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（2）验收标准和验收方法；</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（3）服务应答表；</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（4）投标人认为需要提供的文件和资料。</w:t>
      </w:r>
    </w:p>
    <w:p>
      <w:pPr>
        <w:snapToGrid w:val="0"/>
        <w:spacing w:line="40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（三）商务部分。</w:t>
      </w:r>
      <w:r>
        <w:rPr>
          <w:rFonts w:hint="eastAsia" w:ascii="宋体" w:hAnsi="宋体" w:cs="宋体"/>
          <w:color w:val="000000" w:themeColor="text1"/>
          <w:sz w:val="24"/>
          <w14:textFill>
            <w14:solidFill>
              <w14:schemeClr w14:val="tx1"/>
            </w14:solidFill>
          </w14:textFill>
        </w:rPr>
        <w:t>投标人按照招标文件要求提供的有关文件及优惠承诺。包括以下内容（如涉及）：</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（1）投标函；</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（2）证明投标人业绩和荣誉的有关材料复印件；</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（3）商务应答表；</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（4）其他投标人认为需要提供的文件和资料。</w:t>
      </w:r>
    </w:p>
    <w:p>
      <w:pPr>
        <w:snapToGrid w:val="0"/>
        <w:spacing w:line="40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（四）其他部分。</w:t>
      </w:r>
      <w:r>
        <w:rPr>
          <w:rFonts w:hint="eastAsia" w:ascii="宋体" w:hAnsi="宋体" w:cs="宋体"/>
          <w:bCs/>
          <w:color w:val="000000" w:themeColor="text1"/>
          <w:sz w:val="24"/>
          <w14:textFill>
            <w14:solidFill>
              <w14:schemeClr w14:val="tx1"/>
            </w14:solidFill>
          </w14:textFill>
        </w:rPr>
        <w:t>投标人按照招标文件要求作出的其他应答和承诺。</w:t>
      </w:r>
    </w:p>
    <w:p>
      <w:pPr>
        <w:pStyle w:val="7"/>
        <w:tabs>
          <w:tab w:val="left" w:pos="3480"/>
        </w:tabs>
        <w:snapToGrid w:val="0"/>
        <w:spacing w:line="400" w:lineRule="exact"/>
        <w:ind w:firstLine="482" w:firstLineChars="200"/>
        <w:rPr>
          <w:rFonts w:ascii="宋体" w:hAnsi="宋体" w:cs="宋体"/>
          <w:color w:val="000000" w:themeColor="text1"/>
          <w:sz w:val="24"/>
          <w14:textFill>
            <w14:solidFill>
              <w14:schemeClr w14:val="tx1"/>
            </w14:solidFill>
          </w14:textFill>
        </w:rPr>
      </w:pPr>
      <w:bookmarkStart w:id="71" w:name="_Toc217446049"/>
      <w:bookmarkStart w:id="72" w:name="_Toc183582218"/>
      <w:bookmarkStart w:id="73" w:name="_Toc308164799"/>
      <w:bookmarkStart w:id="74" w:name="_Toc183682355"/>
      <w:r>
        <w:rPr>
          <w:rFonts w:hint="eastAsia" w:ascii="宋体" w:hAnsi="宋体" w:cs="宋体"/>
          <w:color w:val="000000" w:themeColor="text1"/>
          <w:sz w:val="24"/>
          <w14:textFill>
            <w14:solidFill>
              <w14:schemeClr w14:val="tx1"/>
            </w14:solidFill>
          </w14:textFill>
        </w:rPr>
        <w:t>15.</w:t>
      </w:r>
      <w:r>
        <w:rPr>
          <w:rFonts w:ascii="宋体" w:hAnsi="宋体" w:cs="宋体"/>
          <w:color w:val="000000" w:themeColor="text1"/>
          <w:sz w:val="24"/>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投标文件格式</w:t>
      </w:r>
      <w:bookmarkEnd w:id="71"/>
      <w:bookmarkEnd w:id="72"/>
      <w:bookmarkEnd w:id="73"/>
      <w:bookmarkEnd w:id="74"/>
    </w:p>
    <w:p>
      <w:pPr>
        <w:tabs>
          <w:tab w:val="left" w:pos="7665"/>
        </w:tabs>
        <w:snapToGrid w:val="0"/>
        <w:spacing w:line="400" w:lineRule="exact"/>
        <w:ind w:left="13" w:leftChars="6"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15.1 投标人应执行招标文件第三章的规定要求。第三章格式中“注”的内容，投标人可自行决定是否保留在投标文件中，未保留的视为投标人默认接受“注”的内容。</w:t>
      </w:r>
    </w:p>
    <w:p>
      <w:pPr>
        <w:tabs>
          <w:tab w:val="left" w:pos="7665"/>
        </w:tabs>
        <w:snapToGrid w:val="0"/>
        <w:spacing w:line="400" w:lineRule="exact"/>
        <w:ind w:left="13" w:leftChars="6"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15.2 对于没有格式要求的投标文件由投标人自行编写。</w:t>
      </w:r>
    </w:p>
    <w:p>
      <w:pPr>
        <w:pStyle w:val="7"/>
        <w:snapToGrid w:val="0"/>
        <w:spacing w:line="400" w:lineRule="exact"/>
        <w:ind w:firstLine="482" w:firstLineChars="200"/>
        <w:rPr>
          <w:rFonts w:ascii="宋体" w:hAnsi="宋体" w:cs="宋体"/>
          <w:bCs w:val="0"/>
          <w:color w:val="000000" w:themeColor="text1"/>
          <w:sz w:val="24"/>
          <w14:textFill>
            <w14:solidFill>
              <w14:schemeClr w14:val="tx1"/>
            </w14:solidFill>
          </w14:textFill>
        </w:rPr>
      </w:pPr>
      <w:bookmarkStart w:id="75" w:name="_Toc183582224"/>
      <w:bookmarkStart w:id="76" w:name="_Toc308164801"/>
      <w:bookmarkStart w:id="77" w:name="_Toc183682361"/>
      <w:bookmarkStart w:id="78" w:name="_Toc217446051"/>
      <w:r>
        <w:rPr>
          <w:rFonts w:hint="eastAsia" w:ascii="宋体" w:hAnsi="宋体" w:cs="宋体"/>
          <w:bCs w:val="0"/>
          <w:color w:val="000000" w:themeColor="text1"/>
          <w:sz w:val="24"/>
          <w14:textFill>
            <w14:solidFill>
              <w14:schemeClr w14:val="tx1"/>
            </w14:solidFill>
          </w14:textFill>
        </w:rPr>
        <w:t>16</w:t>
      </w:r>
      <w:r>
        <w:rPr>
          <w:rFonts w:hint="eastAsia" w:ascii="宋体" w:hAnsi="宋体" w:cs="宋体"/>
          <w:color w:val="000000" w:themeColor="text1"/>
          <w:sz w:val="24"/>
          <w14:textFill>
            <w14:solidFill>
              <w14:schemeClr w14:val="tx1"/>
            </w14:solidFill>
          </w14:textFill>
        </w:rPr>
        <w:t>.</w:t>
      </w:r>
      <w:r>
        <w:rPr>
          <w:rFonts w:ascii="宋体" w:hAnsi="宋体" w:cs="宋体"/>
          <w:color w:val="000000" w:themeColor="text1"/>
          <w:sz w:val="24"/>
          <w14:textFill>
            <w14:solidFill>
              <w14:schemeClr w14:val="tx1"/>
            </w14:solidFill>
          </w14:textFill>
        </w:rPr>
        <w:t xml:space="preserve"> </w:t>
      </w:r>
      <w:r>
        <w:rPr>
          <w:rFonts w:hint="eastAsia" w:ascii="宋体" w:hAnsi="宋体" w:cs="宋体"/>
          <w:bCs w:val="0"/>
          <w:color w:val="000000" w:themeColor="text1"/>
          <w:sz w:val="24"/>
          <w14:textFill>
            <w14:solidFill>
              <w14:schemeClr w14:val="tx1"/>
            </w14:solidFill>
          </w14:textFill>
        </w:rPr>
        <w:t>投标有效期</w:t>
      </w:r>
      <w:bookmarkEnd w:id="75"/>
      <w:bookmarkEnd w:id="76"/>
      <w:bookmarkEnd w:id="77"/>
      <w:bookmarkEnd w:id="78"/>
      <w:r>
        <w:rPr>
          <w:rFonts w:hint="eastAsia" w:ascii="宋体" w:hAnsi="宋体" w:cs="宋体"/>
          <w:color w:val="000000" w:themeColor="text1"/>
          <w:sz w:val="24"/>
          <w:szCs w:val="24"/>
          <w14:textFill>
            <w14:solidFill>
              <w14:schemeClr w14:val="tx1"/>
            </w14:solidFill>
          </w14:textFill>
        </w:rPr>
        <w:t>（实质性要求）</w:t>
      </w:r>
    </w:p>
    <w:p>
      <w:pPr>
        <w:tabs>
          <w:tab w:val="left" w:pos="7665"/>
        </w:tabs>
        <w:snapToGrid w:val="0"/>
        <w:spacing w:line="400" w:lineRule="exact"/>
        <w:ind w:left="13" w:leftChars="6"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16.1 本项目投标有效期为投标截止时间届满后</w:t>
      </w:r>
      <w:r>
        <w:rPr>
          <w:rFonts w:hint="eastAsia" w:ascii="宋体" w:hAnsi="宋体" w:cs="宋体"/>
          <w:b/>
          <w:bCs/>
          <w:color w:val="000000" w:themeColor="text1"/>
          <w:sz w:val="24"/>
          <w14:textFill>
            <w14:solidFill>
              <w14:schemeClr w14:val="tx1"/>
            </w14:solidFill>
          </w14:textFill>
        </w:rPr>
        <w:t>90</w:t>
      </w:r>
      <w:r>
        <w:rPr>
          <w:rFonts w:hint="eastAsia" w:ascii="宋体" w:hAnsi="宋体" w:cs="宋体"/>
          <w:color w:val="000000" w:themeColor="text1"/>
          <w:sz w:val="24"/>
          <w14:textFill>
            <w14:solidFill>
              <w14:schemeClr w14:val="tx1"/>
            </w14:solidFill>
          </w14:textFill>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napToGrid w:val="0"/>
        <w:spacing w:line="400" w:lineRule="exact"/>
        <w:ind w:left="13" w:leftChars="6" w:firstLine="360" w:firstLineChars="1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napToGrid w:val="0"/>
        <w:spacing w:line="400" w:lineRule="exact"/>
        <w:ind w:left="13" w:leftChars="6" w:firstLine="360" w:firstLineChars="1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7"/>
        <w:snapToGrid w:val="0"/>
        <w:spacing w:line="400" w:lineRule="exact"/>
        <w:ind w:firstLine="482" w:firstLineChars="200"/>
        <w:rPr>
          <w:rFonts w:ascii="宋体" w:hAnsi="宋体" w:cs="宋体"/>
          <w:bCs w:val="0"/>
          <w:color w:val="000000" w:themeColor="text1"/>
          <w:sz w:val="24"/>
          <w14:textFill>
            <w14:solidFill>
              <w14:schemeClr w14:val="tx1"/>
            </w14:solidFill>
          </w14:textFill>
        </w:rPr>
      </w:pPr>
      <w:bookmarkStart w:id="79" w:name="_Toc217446052"/>
      <w:bookmarkStart w:id="80" w:name="_Toc308164802"/>
      <w:bookmarkStart w:id="81" w:name="_Toc183682362"/>
      <w:bookmarkStart w:id="82" w:name="_Toc183582225"/>
      <w:r>
        <w:rPr>
          <w:rFonts w:hint="eastAsia" w:ascii="宋体" w:hAnsi="宋体" w:cs="宋体"/>
          <w:bCs w:val="0"/>
          <w:color w:val="000000" w:themeColor="text1"/>
          <w:sz w:val="24"/>
          <w14:textFill>
            <w14:solidFill>
              <w14:schemeClr w14:val="tx1"/>
            </w14:solidFill>
          </w14:textFill>
        </w:rPr>
        <w:t>17</w:t>
      </w:r>
      <w:r>
        <w:rPr>
          <w:rFonts w:hint="eastAsia" w:ascii="宋体" w:hAnsi="宋体" w:cs="宋体"/>
          <w:color w:val="000000" w:themeColor="text1"/>
          <w:sz w:val="24"/>
          <w14:textFill>
            <w14:solidFill>
              <w14:schemeClr w14:val="tx1"/>
            </w14:solidFill>
          </w14:textFill>
        </w:rPr>
        <w:t>.</w:t>
      </w:r>
      <w:r>
        <w:rPr>
          <w:rFonts w:ascii="宋体" w:hAnsi="宋体" w:cs="宋体"/>
          <w:color w:val="000000" w:themeColor="text1"/>
          <w:sz w:val="24"/>
          <w14:textFill>
            <w14:solidFill>
              <w14:schemeClr w14:val="tx1"/>
            </w14:solidFill>
          </w14:textFill>
        </w:rPr>
        <w:t xml:space="preserve"> </w:t>
      </w:r>
      <w:bookmarkEnd w:id="79"/>
      <w:bookmarkEnd w:id="80"/>
      <w:bookmarkEnd w:id="81"/>
      <w:bookmarkEnd w:id="82"/>
      <w:r>
        <w:rPr>
          <w:rFonts w:hint="eastAsia" w:ascii="宋体" w:hAnsi="宋体" w:cs="宋体"/>
          <w:bCs w:val="0"/>
          <w:color w:val="000000" w:themeColor="text1"/>
          <w:sz w:val="24"/>
          <w14:textFill>
            <w14:solidFill>
              <w14:schemeClr w14:val="tx1"/>
            </w14:solidFill>
          </w14:textFill>
        </w:rPr>
        <w:t>投标文件的制作和签章、加密</w:t>
      </w:r>
    </w:p>
    <w:p>
      <w:pPr>
        <w:tabs>
          <w:tab w:val="left" w:pos="7665"/>
        </w:tabs>
        <w:snapToGrid w:val="0"/>
        <w:spacing w:line="400" w:lineRule="exact"/>
        <w:ind w:left="13" w:leftChars="6" w:firstLine="360" w:firstLineChars="1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pPr>
        <w:tabs>
          <w:tab w:val="left" w:pos="7665"/>
        </w:tabs>
        <w:snapToGrid w:val="0"/>
        <w:spacing w:line="400" w:lineRule="exact"/>
        <w:ind w:left="13" w:leftChars="6" w:firstLine="361" w:firstLineChars="15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17.2 资格性投标文件、其他响应性投标文件封面均应加盖投标人（法定名称）电子印章确认，不得使用投标人专用章（如经济合同章、投标专用章等）或下属单位印章代替。（实质性要求）</w:t>
      </w:r>
    </w:p>
    <w:p>
      <w:pPr>
        <w:tabs>
          <w:tab w:val="left" w:pos="7665"/>
        </w:tabs>
        <w:snapToGrid w:val="0"/>
        <w:spacing w:line="400" w:lineRule="exact"/>
        <w:ind w:left="13" w:leftChars="6" w:firstLine="360" w:firstLineChars="1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17.3 投标人应使用CA数字证书对投标文件进行加密。</w:t>
      </w:r>
    </w:p>
    <w:p>
      <w:pPr>
        <w:tabs>
          <w:tab w:val="left" w:pos="7665"/>
        </w:tabs>
        <w:snapToGrid w:val="0"/>
        <w:spacing w:line="400" w:lineRule="exact"/>
        <w:ind w:left="13" w:leftChars="6" w:firstLine="360" w:firstLineChars="1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17.4 招标文件若有修改，投标人根据修改后的招标文件制作或修改并递交投标文件。</w:t>
      </w:r>
    </w:p>
    <w:p>
      <w:pPr>
        <w:tabs>
          <w:tab w:val="left" w:pos="1080"/>
        </w:tabs>
        <w:snapToGrid w:val="0"/>
        <w:spacing w:line="400" w:lineRule="exact"/>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pPr>
        <w:tabs>
          <w:tab w:val="left" w:pos="7665"/>
        </w:tabs>
        <w:snapToGrid w:val="0"/>
        <w:spacing w:line="400" w:lineRule="exact"/>
        <w:ind w:left="13" w:leftChars="6" w:firstLine="360" w:firstLineChars="1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17.6本次招标要求的复印件是指对图文进行复制后的文件，包括扫描、复印、影印等方式复制的材料。</w:t>
      </w:r>
    </w:p>
    <w:p>
      <w:pPr>
        <w:pStyle w:val="7"/>
        <w:snapToGrid w:val="0"/>
        <w:spacing w:line="400" w:lineRule="exact"/>
        <w:ind w:firstLine="482" w:firstLineChars="200"/>
        <w:rPr>
          <w:rFonts w:ascii="宋体" w:hAnsi="宋体" w:cs="宋体"/>
          <w:bCs w:val="0"/>
          <w:color w:val="000000" w:themeColor="text1"/>
          <w:sz w:val="24"/>
          <w:szCs w:val="24"/>
          <w14:textFill>
            <w14:solidFill>
              <w14:schemeClr w14:val="tx1"/>
            </w14:solidFill>
          </w14:textFill>
        </w:rPr>
      </w:pPr>
      <w:bookmarkStart w:id="83" w:name="_Toc308164805"/>
      <w:bookmarkStart w:id="84" w:name="_Toc77400782"/>
      <w:bookmarkStart w:id="85" w:name="_Toc217446056"/>
      <w:bookmarkStart w:id="86" w:name="_Toc89075878"/>
      <w:bookmarkStart w:id="87" w:name="_Toc183682368"/>
      <w:bookmarkStart w:id="88" w:name="_Toc183582231"/>
      <w:r>
        <w:rPr>
          <w:rFonts w:hint="eastAsia" w:ascii="宋体" w:hAnsi="宋体" w:cs="宋体"/>
          <w:bCs w:val="0"/>
          <w:color w:val="000000" w:themeColor="text1"/>
          <w:sz w:val="24"/>
          <w:szCs w:val="24"/>
          <w14:textFill>
            <w14:solidFill>
              <w14:schemeClr w14:val="tx1"/>
            </w14:solidFill>
          </w14:textFill>
        </w:rPr>
        <w:t>18</w:t>
      </w:r>
      <w:r>
        <w:rPr>
          <w:rFonts w:hint="eastAsia" w:ascii="宋体" w:hAnsi="宋体" w:cs="宋体"/>
          <w:color w:val="000000" w:themeColor="text1"/>
          <w:sz w:val="24"/>
          <w14:textFill>
            <w14:solidFill>
              <w14:schemeClr w14:val="tx1"/>
            </w14:solidFill>
          </w14:textFill>
        </w:rPr>
        <w:t>.</w:t>
      </w:r>
      <w:r>
        <w:rPr>
          <w:rFonts w:ascii="宋体" w:hAnsi="宋体" w:cs="宋体"/>
          <w:color w:val="000000" w:themeColor="text1"/>
          <w:sz w:val="24"/>
          <w14:textFill>
            <w14:solidFill>
              <w14:schemeClr w14:val="tx1"/>
            </w14:solidFill>
          </w14:textFill>
        </w:rPr>
        <w:t xml:space="preserve"> </w:t>
      </w:r>
      <w:r>
        <w:rPr>
          <w:rFonts w:hint="eastAsia" w:ascii="宋体" w:hAnsi="宋体" w:cs="宋体"/>
          <w:bCs w:val="0"/>
          <w:color w:val="000000" w:themeColor="text1"/>
          <w:sz w:val="24"/>
          <w:szCs w:val="24"/>
          <w14:textFill>
            <w14:solidFill>
              <w14:schemeClr w14:val="tx1"/>
            </w14:solidFill>
          </w14:textFill>
        </w:rPr>
        <w:t>投标文件的递交</w:t>
      </w:r>
    </w:p>
    <w:p>
      <w:pPr>
        <w:tabs>
          <w:tab w:val="left" w:pos="1095"/>
        </w:tabs>
        <w:snapToGrid w:val="0"/>
        <w:spacing w:line="400" w:lineRule="exact"/>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18.1 投标人应当在投标文件递交截止时间前，将编制完成并且已加密的电子投标文件成功递交至“政府采购云平台”。</w:t>
      </w:r>
    </w:p>
    <w:p>
      <w:pPr>
        <w:tabs>
          <w:tab w:val="left" w:pos="1095"/>
        </w:tabs>
        <w:snapToGrid w:val="0"/>
        <w:spacing w:line="400" w:lineRule="exact"/>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18.2投标人应充分考虑递交文件的不可预见因素，在投标截止时间后将无法递交。</w:t>
      </w:r>
    </w:p>
    <w:p>
      <w:pPr>
        <w:pStyle w:val="7"/>
        <w:snapToGrid w:val="0"/>
        <w:spacing w:line="400" w:lineRule="exact"/>
        <w:ind w:firstLine="482" w:firstLineChars="200"/>
        <w:rPr>
          <w:rFonts w:ascii="宋体" w:hAnsi="宋体" w:cs="宋体"/>
          <w:bCs w:val="0"/>
          <w:color w:val="000000" w:themeColor="text1"/>
          <w:sz w:val="24"/>
          <w:szCs w:val="24"/>
          <w14:textFill>
            <w14:solidFill>
              <w14:schemeClr w14:val="tx1"/>
            </w14:solidFill>
          </w14:textFill>
        </w:rPr>
      </w:pPr>
      <w:bookmarkStart w:id="89" w:name="_Toc183682365"/>
      <w:bookmarkStart w:id="90" w:name="_Toc183582228"/>
      <w:bookmarkStart w:id="91" w:name="_Toc217446055"/>
      <w:r>
        <w:rPr>
          <w:rFonts w:hint="eastAsia" w:ascii="宋体" w:hAnsi="宋体" w:cs="宋体"/>
          <w:bCs w:val="0"/>
          <w:color w:val="000000" w:themeColor="text1"/>
          <w:sz w:val="24"/>
          <w:szCs w:val="24"/>
          <w14:textFill>
            <w14:solidFill>
              <w14:schemeClr w14:val="tx1"/>
            </w14:solidFill>
          </w14:textFill>
        </w:rPr>
        <w:t>19.</w:t>
      </w:r>
      <w:r>
        <w:rPr>
          <w:rFonts w:ascii="宋体" w:hAnsi="宋体" w:cs="宋体"/>
          <w:bCs w:val="0"/>
          <w:color w:val="000000" w:themeColor="text1"/>
          <w:sz w:val="24"/>
          <w:szCs w:val="24"/>
          <w14:textFill>
            <w14:solidFill>
              <w14:schemeClr w14:val="tx1"/>
            </w14:solidFill>
          </w14:textFill>
        </w:rPr>
        <w:t xml:space="preserve"> </w:t>
      </w:r>
      <w:r>
        <w:rPr>
          <w:rFonts w:hint="eastAsia" w:ascii="宋体" w:hAnsi="宋体" w:cs="宋体"/>
          <w:bCs w:val="0"/>
          <w:color w:val="000000" w:themeColor="text1"/>
          <w:sz w:val="24"/>
          <w:szCs w:val="24"/>
          <w14:textFill>
            <w14:solidFill>
              <w14:schemeClr w14:val="tx1"/>
            </w14:solidFill>
          </w14:textFill>
        </w:rPr>
        <w:t>投标文件的补充、修改或撤</w:t>
      </w:r>
      <w:bookmarkEnd w:id="89"/>
      <w:bookmarkEnd w:id="90"/>
      <w:r>
        <w:rPr>
          <w:rFonts w:hint="eastAsia" w:ascii="宋体" w:hAnsi="宋体" w:cs="宋体"/>
          <w:bCs w:val="0"/>
          <w:color w:val="000000" w:themeColor="text1"/>
          <w:sz w:val="24"/>
          <w:szCs w:val="24"/>
          <w14:textFill>
            <w14:solidFill>
              <w14:schemeClr w14:val="tx1"/>
            </w14:solidFill>
          </w14:textFill>
        </w:rPr>
        <w:t>回</w:t>
      </w:r>
      <w:bookmarkEnd w:id="91"/>
    </w:p>
    <w:p>
      <w:pPr>
        <w:snapToGrid w:val="0"/>
        <w:spacing w:line="400" w:lineRule="exact"/>
        <w:ind w:firstLine="470" w:firstLineChars="196"/>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19.1投标截止时间前，投标人可对已递交的投标文件进行补充、修改或撤回。补充或者修改投标文件的，应当先行撤回已递交的投标文件，在“政采云投标客户端”补充、修改投标文件并加密后重新递交。</w:t>
      </w:r>
      <w:r>
        <w:rPr>
          <w:rFonts w:hint="eastAsia" w:ascii="宋体" w:hAnsi="宋体" w:cs="宋体"/>
          <w:b/>
          <w:bCs/>
          <w:color w:val="000000" w:themeColor="text1"/>
          <w:sz w:val="24"/>
          <w14:textFill>
            <w14:solidFill>
              <w14:schemeClr w14:val="tx1"/>
            </w14:solidFill>
          </w14:textFill>
        </w:rPr>
        <w:t>撤回投标文件进行补充、修改，在投标截止时间前未重新递交的，视为撤回投标文件。</w:t>
      </w:r>
    </w:p>
    <w:p>
      <w:pPr>
        <w:snapToGrid w:val="0"/>
        <w:spacing w:line="400" w:lineRule="exact"/>
        <w:ind w:firstLine="470" w:firstLineChars="19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19.2投标截止时间后，投标人不得对其递交的投标文件做任何补充、修改。</w:t>
      </w:r>
    </w:p>
    <w:p>
      <w:pPr>
        <w:snapToGrid w:val="0"/>
        <w:spacing w:line="400" w:lineRule="exact"/>
        <w:ind w:firstLine="472" w:firstLineChars="196"/>
        <w:outlineLvl w:val="2"/>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20.</w:t>
      </w:r>
      <w:r>
        <w:rPr>
          <w:rFonts w:ascii="宋体" w:hAnsi="宋体" w:cs="宋体"/>
          <w:b/>
          <w:bCs/>
          <w:color w:val="000000" w:themeColor="text1"/>
          <w:sz w:val="24"/>
          <w14:textFill>
            <w14:solidFill>
              <w14:schemeClr w14:val="tx1"/>
            </w14:solidFill>
          </w14:textFill>
        </w:rPr>
        <w:t xml:space="preserve"> </w:t>
      </w:r>
      <w:r>
        <w:rPr>
          <w:rFonts w:hint="eastAsia" w:ascii="宋体" w:hAnsi="宋体" w:cs="宋体"/>
          <w:b/>
          <w:bCs/>
          <w:color w:val="000000" w:themeColor="text1"/>
          <w:sz w:val="24"/>
          <w14:textFill>
            <w14:solidFill>
              <w14:schemeClr w14:val="tx1"/>
            </w14:solidFill>
          </w14:textFill>
        </w:rPr>
        <w:t>投标文件的解密</w:t>
      </w:r>
    </w:p>
    <w:p>
      <w:pPr>
        <w:snapToGrid w:val="0"/>
        <w:spacing w:line="400" w:lineRule="exact"/>
        <w:ind w:firstLine="470" w:firstLineChars="196"/>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投标人登录政府采购云平台，点击“项目采购—开标评标”模块，进入本项目“开标大厅”，等待代理机构开启解密后，进行线上解密。</w:t>
      </w:r>
      <w:r>
        <w:rPr>
          <w:rFonts w:hint="eastAsia" w:ascii="宋体" w:hAnsi="宋体" w:cs="宋体"/>
          <w:b/>
          <w:bCs/>
          <w:color w:val="000000" w:themeColor="text1"/>
          <w:sz w:val="24"/>
          <w14:textFill>
            <w14:solidFill>
              <w14:schemeClr w14:val="tx1"/>
            </w14:solidFill>
          </w14:textFill>
        </w:rPr>
        <w:t>除因系统发生故障</w:t>
      </w:r>
      <w:r>
        <w:rPr>
          <w:rFonts w:hint="eastAsia" w:ascii="宋体" w:hAnsi="宋体" w:cs="宋体"/>
          <w:b/>
          <w:bCs/>
          <w:color w:val="000000" w:themeColor="text1"/>
          <w:sz w:val="24"/>
          <w:lang w:val="zh-CN"/>
          <w14:textFill>
            <w14:solidFill>
              <w14:schemeClr w14:val="tx1"/>
            </w14:solidFill>
          </w14:textFill>
        </w:rPr>
        <w:t>（</w:t>
      </w:r>
      <w:r>
        <w:rPr>
          <w:rFonts w:hint="eastAsia" w:ascii="宋体" w:hAnsi="宋体" w:cs="宋体"/>
          <w:b/>
          <w:bCs/>
          <w:color w:val="000000" w:themeColor="text1"/>
          <w:sz w:val="24"/>
          <w14:textFill>
            <w14:solidFill>
              <w14:schemeClr w14:val="tx1"/>
            </w14:solidFill>
          </w14:textFill>
        </w:rPr>
        <w:t>包括组织场所停电、断网等）导致投标文件无法按时解密外，投标文件未按时解密的作为无效投标处理。</w:t>
      </w:r>
    </w:p>
    <w:p>
      <w:pPr>
        <w:pStyle w:val="6"/>
        <w:snapToGrid w:val="0"/>
        <w:spacing w:line="400" w:lineRule="exact"/>
        <w:jc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五、开标和中标</w:t>
      </w:r>
      <w:bookmarkEnd w:id="83"/>
      <w:bookmarkEnd w:id="84"/>
      <w:bookmarkEnd w:id="85"/>
      <w:bookmarkEnd w:id="86"/>
      <w:bookmarkEnd w:id="87"/>
      <w:bookmarkEnd w:id="88"/>
    </w:p>
    <w:p>
      <w:pPr>
        <w:pStyle w:val="7"/>
        <w:snapToGrid w:val="0"/>
        <w:spacing w:line="400" w:lineRule="exact"/>
        <w:ind w:firstLine="482" w:firstLineChars="200"/>
        <w:rPr>
          <w:rFonts w:ascii="宋体" w:hAnsi="宋体" w:cs="宋体"/>
          <w:bCs w:val="0"/>
          <w:color w:val="000000" w:themeColor="text1"/>
          <w:sz w:val="24"/>
          <w14:textFill>
            <w14:solidFill>
              <w14:schemeClr w14:val="tx1"/>
            </w14:solidFill>
          </w14:textFill>
        </w:rPr>
      </w:pPr>
      <w:bookmarkStart w:id="92" w:name="_Toc217446057"/>
      <w:bookmarkStart w:id="93" w:name="_Toc183582232"/>
      <w:bookmarkStart w:id="94" w:name="_Toc308164806"/>
      <w:bookmarkStart w:id="95" w:name="_Toc183682369"/>
      <w:bookmarkStart w:id="96" w:name="_Toc217446083"/>
      <w:r>
        <w:rPr>
          <w:rFonts w:hint="eastAsia" w:ascii="宋体" w:hAnsi="宋体" w:cs="宋体"/>
          <w:bCs w:val="0"/>
          <w:color w:val="000000" w:themeColor="text1"/>
          <w:sz w:val="24"/>
          <w14:textFill>
            <w14:solidFill>
              <w14:schemeClr w14:val="tx1"/>
            </w14:solidFill>
          </w14:textFill>
        </w:rPr>
        <w:t>21</w:t>
      </w:r>
      <w:r>
        <w:rPr>
          <w:rFonts w:hint="eastAsia" w:ascii="宋体" w:hAnsi="宋体" w:cs="宋体"/>
          <w:color w:val="000000" w:themeColor="text1"/>
          <w:sz w:val="24"/>
          <w14:textFill>
            <w14:solidFill>
              <w14:schemeClr w14:val="tx1"/>
            </w14:solidFill>
          </w14:textFill>
        </w:rPr>
        <w:t>.</w:t>
      </w:r>
      <w:r>
        <w:rPr>
          <w:rFonts w:ascii="宋体" w:hAnsi="宋体" w:cs="宋体"/>
          <w:color w:val="000000" w:themeColor="text1"/>
          <w:sz w:val="24"/>
          <w14:textFill>
            <w14:solidFill>
              <w14:schemeClr w14:val="tx1"/>
            </w14:solidFill>
          </w14:textFill>
        </w:rPr>
        <w:t xml:space="preserve"> </w:t>
      </w:r>
      <w:r>
        <w:rPr>
          <w:rFonts w:hint="eastAsia" w:ascii="宋体" w:hAnsi="宋体" w:cs="宋体"/>
          <w:bCs w:val="0"/>
          <w:color w:val="000000" w:themeColor="text1"/>
          <w:sz w:val="24"/>
          <w14:textFill>
            <w14:solidFill>
              <w14:schemeClr w14:val="tx1"/>
            </w14:solidFill>
          </w14:textFill>
        </w:rPr>
        <w:t>开标</w:t>
      </w:r>
      <w:bookmarkEnd w:id="92"/>
      <w:bookmarkEnd w:id="93"/>
      <w:bookmarkEnd w:id="94"/>
      <w:bookmarkEnd w:id="95"/>
      <w:r>
        <w:rPr>
          <w:rFonts w:hint="eastAsia" w:ascii="宋体" w:hAnsi="宋体" w:cs="宋体"/>
          <w:bCs w:val="0"/>
          <w:color w:val="000000" w:themeColor="text1"/>
          <w:sz w:val="24"/>
          <w14:textFill>
            <w14:solidFill>
              <w14:schemeClr w14:val="tx1"/>
            </w14:solidFill>
          </w14:textFill>
        </w:rPr>
        <w:t>及开标程序</w:t>
      </w:r>
    </w:p>
    <w:p>
      <w:pPr>
        <w:snapToGrid w:val="0"/>
        <w:spacing w:line="400" w:lineRule="exact"/>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t>21.1本项目为不见面开标项目。（递交电子投标文件的投标人不足3家的，不予开标。）</w:t>
      </w:r>
    </w:p>
    <w:p>
      <w:pPr>
        <w:snapToGrid w:val="0"/>
        <w:spacing w:before="120"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21.2开标准备工作。投标人需在开标当日、投标截止时间前登录“政府采购云平台”，通过本项目“开标大厅”参与不见面开标。登录政府采购云平台—项目采购—开标评标—开标大厅（确保进入本项目开标大厅）。</w:t>
      </w:r>
    </w:p>
    <w:p>
      <w:pPr>
        <w:snapToGrid w:val="0"/>
        <w:spacing w:before="120" w:line="400" w:lineRule="exact"/>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提示：投标人未按时登录不见面开标系统，错过开标解密时间的，由投标人自行承担不利后果。</w:t>
      </w:r>
    </w:p>
    <w:p>
      <w:pPr>
        <w:snapToGrid w:val="0"/>
        <w:spacing w:before="120"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21.3解密投标文件。等待代理机构开启解密后，投标人进行线上解密。开启解密后，投标人应在</w:t>
      </w:r>
      <w:r>
        <w:rPr>
          <w:rFonts w:hint="eastAsia" w:ascii="宋体" w:hAnsi="宋体" w:cs="宋体"/>
          <w:b/>
          <w:bCs/>
          <w:color w:val="000000" w:themeColor="text1"/>
          <w:sz w:val="24"/>
          <w14:textFill>
            <w14:solidFill>
              <w14:schemeClr w14:val="tx1"/>
            </w14:solidFill>
          </w14:textFill>
        </w:rPr>
        <w:t>60分钟</w:t>
      </w:r>
      <w:r>
        <w:rPr>
          <w:rFonts w:hint="eastAsia" w:ascii="宋体" w:hAnsi="宋体" w:cs="宋体"/>
          <w:color w:val="000000" w:themeColor="text1"/>
          <w:sz w:val="24"/>
          <w14:textFill>
            <w14:solidFill>
              <w14:schemeClr w14:val="tx1"/>
            </w14:solidFill>
          </w14:textFill>
        </w:rPr>
        <w:t>内，使用加密该投标文件的CA数字证书在线完成投标文件的解密。除因系统故障</w:t>
      </w:r>
      <w:r>
        <w:rPr>
          <w:rFonts w:hint="eastAsia" w:ascii="宋体" w:hAnsi="宋体" w:cs="宋体"/>
          <w:bCs/>
          <w:color w:val="000000" w:themeColor="text1"/>
          <w:sz w:val="24"/>
          <w:lang w:val="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包括组织场所停电、断网等）导致系统无法使用外，投标人在规定的解密时间内，未成功解密的投标文件将视为无效投标文件。</w:t>
      </w:r>
    </w:p>
    <w:p>
      <w:pPr>
        <w:snapToGrid w:val="0"/>
        <w:spacing w:before="120"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21.4确认开标记录。解密时间截止或者所有投标人投标文件均完成解密后（以发生在先的时间为准），由“政府采购云平台”系统展示投标人名称、投标文件解密情况、投标报价等唱标内容。</w:t>
      </w:r>
      <w:r>
        <w:rPr>
          <w:rFonts w:hint="eastAsia" w:ascii="宋体" w:hAnsi="宋体" w:cs="宋体"/>
          <w:b/>
          <w:bCs/>
          <w:color w:val="000000" w:themeColor="text1"/>
          <w:sz w:val="24"/>
          <w14:textFill>
            <w14:solidFill>
              <w14:schemeClr w14:val="tx1"/>
            </w14:solidFill>
          </w14:textFill>
        </w:rPr>
        <w:t>如成功解密投标文件的投标人不足三家的，则只展示投标人名称、投标文件解密情况。投标人对开标记录（包含解密情况、投标报价、其他情况等）在规定时间内确认，如未确认，视为认可开标记录。</w:t>
      </w:r>
    </w:p>
    <w:p>
      <w:pPr>
        <w:snapToGrid w:val="0"/>
        <w:spacing w:before="120" w:line="400" w:lineRule="exact"/>
        <w:ind w:firstLine="480" w:firstLineChars="200"/>
        <w:rPr>
          <w:rFonts w:ascii="宋体" w:hAnsi="宋体" w:cs="宋体"/>
          <w:color w:val="000000" w:themeColor="text1"/>
          <w:sz w:val="24"/>
          <w14:textFill>
            <w14:solidFill>
              <w14:schemeClr w14:val="tx1"/>
            </w14:solidFill>
          </w14:textFill>
        </w:rPr>
      </w:pPr>
      <w:bookmarkStart w:id="97" w:name="_Toc217446058"/>
      <w:bookmarkStart w:id="98" w:name="_Toc308164807"/>
      <w:r>
        <w:rPr>
          <w:rFonts w:hint="eastAsia" w:ascii="宋体" w:hAnsi="宋体" w:cs="宋体"/>
          <w:color w:val="000000" w:themeColor="text1"/>
          <w:sz w:val="24"/>
          <w14:textFill>
            <w14:solidFill>
              <w14:schemeClr w14:val="tx1"/>
            </w14:solidFill>
          </w14:textFill>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pPr>
        <w:snapToGrid w:val="0"/>
        <w:spacing w:line="400" w:lineRule="exact"/>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t>21.6因组织场所断电、断网、系统故障或其他不可抗力等因素导致不见面开标系统无法正常运行的，开标活动中止或延迟，待系统恢复正常后继续进行开标活动。</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21.7不见面开标过程中，各方主体均应遵守互联网有关规定，不得发表与交易活动无关的言论。</w:t>
      </w:r>
    </w:p>
    <w:bookmarkEnd w:id="97"/>
    <w:bookmarkEnd w:id="98"/>
    <w:p>
      <w:pPr>
        <w:pStyle w:val="7"/>
        <w:snapToGrid w:val="0"/>
        <w:spacing w:line="40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22.</w:t>
      </w:r>
      <w:r>
        <w:rPr>
          <w:rFonts w:ascii="宋体" w:hAnsi="宋体" w:cs="宋体"/>
          <w:color w:val="000000" w:themeColor="text1"/>
          <w:sz w:val="24"/>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开评标过程存档</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开标和评标过程进行全过程电子监控，并将电子监控资料存储介质留存归档。</w:t>
      </w:r>
    </w:p>
    <w:p>
      <w:pPr>
        <w:pStyle w:val="7"/>
        <w:snapToGrid w:val="0"/>
        <w:spacing w:line="40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23.</w:t>
      </w:r>
      <w:r>
        <w:rPr>
          <w:rFonts w:ascii="宋体" w:hAnsi="宋体" w:cs="宋体"/>
          <w:color w:val="000000" w:themeColor="text1"/>
          <w:sz w:val="24"/>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评标情况公告</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所有供应商投标文件资格性、符合性检查情况、采用综合评分法时的总得分和分项汇总得分情况、评标结果等将在四川政府采购网上采购结果公告栏中予以公告。</w:t>
      </w:r>
    </w:p>
    <w:p>
      <w:pPr>
        <w:pStyle w:val="7"/>
        <w:keepNext w:val="0"/>
        <w:keepLines w:val="0"/>
        <w:snapToGrid w:val="0"/>
        <w:spacing w:before="0" w:after="0" w:line="400" w:lineRule="exact"/>
        <w:ind w:firstLine="482" w:firstLineChars="200"/>
        <w:rPr>
          <w:rFonts w:ascii="宋体" w:hAnsi="宋体" w:cs="宋体"/>
          <w:b w:val="0"/>
          <w:color w:val="000000" w:themeColor="text1"/>
          <w:sz w:val="24"/>
          <w:szCs w:val="24"/>
          <w14:textFill>
            <w14:solidFill>
              <w14:schemeClr w14:val="tx1"/>
            </w14:solidFill>
          </w14:textFill>
        </w:rPr>
      </w:pPr>
      <w:bookmarkStart w:id="99" w:name="_Toc308164810"/>
      <w:bookmarkStart w:id="100" w:name="_Toc217446064"/>
      <w:bookmarkStart w:id="101" w:name="_Toc183682377"/>
      <w:bookmarkStart w:id="102" w:name="_Toc183582240"/>
      <w:r>
        <w:rPr>
          <w:rFonts w:hint="eastAsia" w:ascii="宋体" w:hAnsi="宋体" w:cs="宋体"/>
          <w:bCs w:val="0"/>
          <w:color w:val="000000" w:themeColor="text1"/>
          <w:sz w:val="24"/>
          <w:szCs w:val="24"/>
          <w14:textFill>
            <w14:solidFill>
              <w14:schemeClr w14:val="tx1"/>
            </w14:solidFill>
          </w14:textFill>
        </w:rPr>
        <w:t>24</w:t>
      </w:r>
      <w:r>
        <w:rPr>
          <w:rFonts w:hint="eastAsia" w:ascii="宋体" w:hAnsi="宋体" w:cs="宋体"/>
          <w:color w:val="000000" w:themeColor="text1"/>
          <w:sz w:val="24"/>
          <w14:textFill>
            <w14:solidFill>
              <w14:schemeClr w14:val="tx1"/>
            </w14:solidFill>
          </w14:textFill>
        </w:rPr>
        <w:t>.</w:t>
      </w:r>
      <w:r>
        <w:rPr>
          <w:rFonts w:ascii="宋体" w:hAnsi="宋体" w:cs="宋体"/>
          <w:color w:val="000000" w:themeColor="text1"/>
          <w:sz w:val="24"/>
          <w14:textFill>
            <w14:solidFill>
              <w14:schemeClr w14:val="tx1"/>
            </w14:solidFill>
          </w14:textFill>
        </w:rPr>
        <w:t xml:space="preserve"> </w:t>
      </w:r>
      <w:r>
        <w:rPr>
          <w:rFonts w:hint="eastAsia" w:ascii="宋体" w:hAnsi="宋体" w:cs="宋体"/>
          <w:bCs w:val="0"/>
          <w:color w:val="000000" w:themeColor="text1"/>
          <w:sz w:val="24"/>
          <w:szCs w:val="24"/>
          <w14:textFill>
            <w14:solidFill>
              <w14:schemeClr w14:val="tx1"/>
            </w14:solidFill>
          </w14:textFill>
        </w:rPr>
        <w:t>采购人确定中标人过程中，发现中标候选人有下列情形之一的，应当不予确定其为中标人：</w:t>
      </w:r>
    </w:p>
    <w:p>
      <w:pPr>
        <w:snapToGrid w:val="0"/>
        <w:spacing w:after="0"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（1）发现中标候选人存在禁止参加本项目采购活动的违法行为的；</w:t>
      </w:r>
    </w:p>
    <w:p>
      <w:pPr>
        <w:snapToGrid w:val="0"/>
        <w:spacing w:after="0"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（2）中标候选人因不可抗力，不能继续参加政府采购活动；</w:t>
      </w:r>
    </w:p>
    <w:p>
      <w:pPr>
        <w:snapToGrid w:val="0"/>
        <w:spacing w:after="0"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（3）中标候选人无偿赠与或者低于成本价竞争；</w:t>
      </w:r>
    </w:p>
    <w:p>
      <w:pPr>
        <w:snapToGrid w:val="0"/>
        <w:spacing w:after="0"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（4）中标候选人提供虚假材料；</w:t>
      </w:r>
    </w:p>
    <w:p>
      <w:pPr>
        <w:snapToGrid w:val="0"/>
        <w:spacing w:after="0"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（5）中标候选人恶意串通。</w:t>
      </w:r>
    </w:p>
    <w:p>
      <w:pPr>
        <w:pStyle w:val="7"/>
        <w:snapToGrid w:val="0"/>
        <w:spacing w:line="400" w:lineRule="exact"/>
        <w:ind w:firstLine="482" w:firstLineChars="200"/>
        <w:rPr>
          <w:rFonts w:ascii="宋体" w:hAnsi="宋体" w:cs="宋体"/>
          <w:bCs w:val="0"/>
          <w:color w:val="000000" w:themeColor="text1"/>
          <w:sz w:val="24"/>
          <w:szCs w:val="24"/>
          <w14:textFill>
            <w14:solidFill>
              <w14:schemeClr w14:val="tx1"/>
            </w14:solidFill>
          </w14:textFill>
        </w:rPr>
      </w:pPr>
      <w:r>
        <w:rPr>
          <w:rFonts w:hint="eastAsia" w:ascii="宋体" w:hAnsi="宋体" w:cs="宋体"/>
          <w:bCs w:val="0"/>
          <w:color w:val="000000" w:themeColor="text1"/>
          <w:sz w:val="24"/>
          <w:szCs w:val="24"/>
          <w14:textFill>
            <w14:solidFill>
              <w14:schemeClr w14:val="tx1"/>
            </w14:solidFill>
          </w14:textFill>
        </w:rPr>
        <w:t>25</w:t>
      </w:r>
      <w:r>
        <w:rPr>
          <w:rFonts w:hint="eastAsia" w:ascii="宋体" w:hAnsi="宋体" w:cs="宋体"/>
          <w:color w:val="000000" w:themeColor="text1"/>
          <w:sz w:val="24"/>
          <w14:textFill>
            <w14:solidFill>
              <w14:schemeClr w14:val="tx1"/>
            </w14:solidFill>
          </w14:textFill>
        </w:rPr>
        <w:t>.</w:t>
      </w:r>
      <w:r>
        <w:rPr>
          <w:rFonts w:ascii="宋体" w:hAnsi="宋体" w:cs="宋体"/>
          <w:color w:val="000000" w:themeColor="text1"/>
          <w:sz w:val="24"/>
          <w14:textFill>
            <w14:solidFill>
              <w14:schemeClr w14:val="tx1"/>
            </w14:solidFill>
          </w14:textFill>
        </w:rPr>
        <w:t xml:space="preserve"> </w:t>
      </w:r>
      <w:r>
        <w:rPr>
          <w:rFonts w:hint="eastAsia" w:ascii="宋体" w:hAnsi="宋体" w:cs="宋体"/>
          <w:bCs w:val="0"/>
          <w:color w:val="000000" w:themeColor="text1"/>
          <w:sz w:val="24"/>
          <w:szCs w:val="24"/>
          <w14:textFill>
            <w14:solidFill>
              <w14:schemeClr w14:val="tx1"/>
            </w14:solidFill>
          </w14:textFill>
        </w:rPr>
        <w:t>中标通知书</w:t>
      </w:r>
    </w:p>
    <w:p>
      <w:pPr>
        <w:tabs>
          <w:tab w:val="left" w:pos="7665"/>
        </w:tabs>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25</w:t>
      </w:r>
      <w:r>
        <w:rPr>
          <w:rFonts w:hint="eastAsia" w:ascii="宋体" w:hAnsi="宋体" w:cs="宋体"/>
          <w:bCs/>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1 中标通知书为签订政府采购合同的依据之一，是合同的有效组成部分。</w:t>
      </w:r>
    </w:p>
    <w:p>
      <w:pPr>
        <w:tabs>
          <w:tab w:val="left" w:pos="7665"/>
        </w:tabs>
        <w:snapToGrid w:val="0"/>
        <w:spacing w:line="40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25.2 中标通知书对采购人和中标人均具有法律效力。中标通知书发出后，采购人改变中标结果，或者中标人无正当理由放弃中标的，应当承担相应的法律责任。</w:t>
      </w:r>
    </w:p>
    <w:p>
      <w:pPr>
        <w:tabs>
          <w:tab w:val="left" w:pos="7665"/>
        </w:tabs>
        <w:snapToGrid w:val="0"/>
        <w:spacing w:line="40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napToGrid w:val="0"/>
        <w:spacing w:line="40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25.4</w:t>
      </w:r>
      <w:r>
        <w:rPr>
          <w:rFonts w:hint="eastAsia" w:ascii="宋体" w:hAnsi="宋体" w:cs="宋体"/>
          <w:b/>
          <w:bCs/>
          <w:color w:val="000000" w:themeColor="text1"/>
          <w:sz w:val="24"/>
          <w:lang w:val="zh-CN"/>
          <w14:textFill>
            <w14:solidFill>
              <w14:schemeClr w14:val="tx1"/>
            </w14:solidFill>
          </w14:textFill>
        </w:rPr>
        <w:t>在四川政府采购网公告中标结果同时发出中标通知书，中标供应商自行登录政府采购云平台下载中标通知书</w:t>
      </w:r>
      <w:r>
        <w:rPr>
          <w:rFonts w:hint="eastAsia" w:ascii="宋体" w:hAnsi="宋体" w:cs="宋体"/>
          <w:color w:val="000000" w:themeColor="text1"/>
          <w:sz w:val="24"/>
          <w:lang w:val="zh-CN"/>
          <w14:textFill>
            <w14:solidFill>
              <w14:schemeClr w14:val="tx1"/>
            </w14:solidFill>
          </w14:textFill>
        </w:rPr>
        <w:t>。</w:t>
      </w:r>
    </w:p>
    <w:p>
      <w:pPr>
        <w:pStyle w:val="6"/>
        <w:snapToGrid w:val="0"/>
        <w:spacing w:line="400" w:lineRule="exact"/>
        <w:jc w:val="center"/>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六、签订及履行合同和验收</w:t>
      </w:r>
      <w:bookmarkEnd w:id="99"/>
      <w:bookmarkEnd w:id="100"/>
    </w:p>
    <w:p>
      <w:pPr>
        <w:pStyle w:val="7"/>
        <w:snapToGrid w:val="0"/>
        <w:spacing w:line="400" w:lineRule="exact"/>
        <w:ind w:firstLine="482" w:firstLineChars="200"/>
        <w:rPr>
          <w:rFonts w:ascii="宋体" w:hAnsi="宋体" w:cs="宋体"/>
          <w:b w:val="0"/>
          <w:color w:val="000000" w:themeColor="text1"/>
          <w:sz w:val="24"/>
          <w:szCs w:val="24"/>
          <w14:textFill>
            <w14:solidFill>
              <w14:schemeClr w14:val="tx1"/>
            </w14:solidFill>
          </w14:textFill>
        </w:rPr>
      </w:pPr>
      <w:bookmarkStart w:id="103" w:name="_Toc217446065"/>
      <w:bookmarkStart w:id="104" w:name="_Toc308164811"/>
      <w:r>
        <w:rPr>
          <w:rFonts w:hint="eastAsia" w:ascii="宋体" w:hAnsi="宋体" w:cs="宋体"/>
          <w:color w:val="000000" w:themeColor="text1"/>
          <w:sz w:val="24"/>
          <w14:textFill>
            <w14:solidFill>
              <w14:schemeClr w14:val="tx1"/>
            </w14:solidFill>
          </w14:textFill>
        </w:rPr>
        <w:t>26.</w:t>
      </w:r>
      <w:r>
        <w:rPr>
          <w:rFonts w:ascii="宋体" w:hAnsi="宋体" w:cs="宋体"/>
          <w:color w:val="000000" w:themeColor="text1"/>
          <w:sz w:val="24"/>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签订合同</w:t>
      </w:r>
      <w:bookmarkEnd w:id="103"/>
      <w:bookmarkEnd w:id="104"/>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26.1 中标人应在中标通知书发出之日起三十日内与采购人签订采购合同。由于中标人的原因逾期未与采购人签订采购合同的，将视为放弃中标，取消其中标资格并将按相关规定进行处理。</w:t>
      </w:r>
    </w:p>
    <w:p>
      <w:pPr>
        <w:snapToGrid w:val="0"/>
        <w:spacing w:line="400" w:lineRule="exact"/>
        <w:ind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pPr>
        <w:snapToGrid w:val="0"/>
        <w:spacing w:line="400" w:lineRule="exact"/>
        <w:ind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26.3 中标人拒绝与采购人签订合同的，采购人可以按照评审报告推荐的中标候选人名单排序，确定下一候选人为中标供应商，也可以重新开展政府采购活动。</w:t>
      </w:r>
    </w:p>
    <w:p>
      <w:pPr>
        <w:pStyle w:val="7"/>
        <w:snapToGrid w:val="0"/>
        <w:spacing w:line="400" w:lineRule="exact"/>
        <w:ind w:firstLine="482"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27. 合同分包（实质性要求）</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27.1本项目合同接受分包与否，以“投标人须知附表”勾选项为准。</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27.2 中小企业依据《政府采购促进中小企业发展管理办法》（财库〔2020〕46号）规定的政策获取政府采购合同后，小型、微型企业不得分包或转包给大型、中型企业，中型企业不得分包或转包给大型企业。</w:t>
      </w:r>
    </w:p>
    <w:p>
      <w:pPr>
        <w:pStyle w:val="7"/>
        <w:snapToGrid w:val="0"/>
        <w:spacing w:line="400" w:lineRule="exact"/>
        <w:ind w:firstLine="482" w:firstLineChars="200"/>
        <w:rPr>
          <w:rFonts w:ascii="宋体" w:hAnsi="宋体" w:cs="宋体"/>
          <w:color w:val="000000" w:themeColor="text1"/>
          <w:sz w:val="24"/>
          <w:szCs w:val="24"/>
          <w14:textFill>
            <w14:solidFill>
              <w14:schemeClr w14:val="tx1"/>
            </w14:solidFill>
          </w14:textFill>
        </w:rPr>
      </w:pPr>
      <w:bookmarkStart w:id="105" w:name="_Toc217446066"/>
      <w:r>
        <w:rPr>
          <w:rFonts w:hint="eastAsia" w:ascii="宋体" w:hAnsi="宋体" w:cs="宋体"/>
          <w:color w:val="000000" w:themeColor="text1"/>
          <w:sz w:val="24"/>
          <w:szCs w:val="24"/>
          <w14:textFill>
            <w14:solidFill>
              <w14:schemeClr w14:val="tx1"/>
            </w14:solidFill>
          </w14:textFill>
        </w:rPr>
        <w:t>28.</w:t>
      </w:r>
      <w:r>
        <w:rPr>
          <w:rFonts w:ascii="宋体" w:hAnsi="宋体" w:cs="宋体"/>
          <w:color w:val="000000" w:themeColor="text1"/>
          <w:sz w:val="24"/>
          <w:szCs w:val="24"/>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合同转包（实质性要求）</w:t>
      </w:r>
    </w:p>
    <w:p>
      <w:pPr>
        <w:snapToGrid w:val="0"/>
        <w:spacing w:line="400" w:lineRule="exact"/>
        <w:ind w:firstLine="540" w:firstLineChars="22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napToGrid w:val="0"/>
        <w:spacing w:line="400" w:lineRule="exact"/>
        <w:ind w:firstLine="540" w:firstLineChars="22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中标人转包的，视同拒绝履行政府采购合同义务，将依法追究法律责任。</w:t>
      </w:r>
    </w:p>
    <w:bookmarkEnd w:id="105"/>
    <w:p>
      <w:pPr>
        <w:pStyle w:val="7"/>
        <w:snapToGrid w:val="0"/>
        <w:spacing w:line="400" w:lineRule="exact"/>
        <w:ind w:firstLine="482" w:firstLineChars="200"/>
        <w:rPr>
          <w:rFonts w:ascii="宋体" w:hAnsi="宋体" w:cs="宋体"/>
          <w:color w:val="000000" w:themeColor="text1"/>
          <w:sz w:val="24"/>
          <w:szCs w:val="24"/>
          <w14:textFill>
            <w14:solidFill>
              <w14:schemeClr w14:val="tx1"/>
            </w14:solidFill>
          </w14:textFill>
        </w:rPr>
      </w:pPr>
      <w:bookmarkStart w:id="106" w:name="_Toc308164812"/>
      <w:bookmarkStart w:id="107" w:name="_Toc217446068"/>
      <w:r>
        <w:rPr>
          <w:rFonts w:hint="eastAsia" w:ascii="宋体" w:hAnsi="宋体" w:cs="宋体"/>
          <w:color w:val="000000" w:themeColor="text1"/>
          <w:sz w:val="24"/>
          <w:szCs w:val="24"/>
          <w14:textFill>
            <w14:solidFill>
              <w14:schemeClr w14:val="tx1"/>
            </w14:solidFill>
          </w14:textFill>
        </w:rPr>
        <w:t>29. 补充合同</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bookmarkEnd w:id="106"/>
    <w:bookmarkEnd w:id="107"/>
    <w:p>
      <w:pPr>
        <w:pStyle w:val="7"/>
        <w:snapToGrid w:val="0"/>
        <w:spacing w:line="400" w:lineRule="exact"/>
        <w:ind w:firstLine="482" w:firstLineChars="200"/>
        <w:rPr>
          <w:rFonts w:ascii="宋体" w:hAnsi="宋体" w:cs="宋体"/>
          <w:b w:val="0"/>
          <w:color w:val="000000" w:themeColor="text1"/>
          <w:sz w:val="24"/>
          <w:szCs w:val="24"/>
          <w14:textFill>
            <w14:solidFill>
              <w14:schemeClr w14:val="tx1"/>
            </w14:solidFill>
          </w14:textFill>
        </w:rPr>
      </w:pPr>
      <w:bookmarkStart w:id="108" w:name="_Toc308164813"/>
      <w:bookmarkStart w:id="109" w:name="_Toc217446069"/>
      <w:r>
        <w:rPr>
          <w:rFonts w:hint="eastAsia" w:ascii="宋体" w:hAnsi="宋体" w:cs="宋体"/>
          <w:color w:val="000000" w:themeColor="text1"/>
          <w:sz w:val="24"/>
          <w:szCs w:val="24"/>
          <w14:textFill>
            <w14:solidFill>
              <w14:schemeClr w14:val="tx1"/>
            </w14:solidFill>
          </w14:textFill>
        </w:rPr>
        <w:t>30</w:t>
      </w:r>
      <w:r>
        <w:rPr>
          <w:rFonts w:hint="eastAsia" w:ascii="宋体" w:hAnsi="宋体" w:cs="宋体"/>
          <w:b w:val="0"/>
          <w:color w:val="000000" w:themeColor="text1"/>
          <w:sz w:val="24"/>
          <w:szCs w:val="24"/>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履约保证金（实质性要求）</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30.1 中标人应在合同签订之前交纳招标文件规定数额的履约保证金。</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30.2 如果中标人在规定的合同签订时间内，没有按照招标文件的规定交纳履约保证金，且又无正当理由的，将视为放弃中标。</w:t>
      </w:r>
    </w:p>
    <w:p>
      <w:pPr>
        <w:pStyle w:val="7"/>
        <w:snapToGrid w:val="0"/>
        <w:spacing w:line="400" w:lineRule="exact"/>
        <w:ind w:firstLine="482"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31.</w:t>
      </w:r>
      <w:r>
        <w:rPr>
          <w:rFonts w:ascii="宋体" w:hAnsi="宋体" w:cs="宋体"/>
          <w:color w:val="000000" w:themeColor="text1"/>
          <w:sz w:val="24"/>
          <w:szCs w:val="24"/>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合同公告</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采购人应当自政府采购合同签订之日起2个工作日内，将政府采购合同在省级以上人民政府财政部门指定的媒体上公告（四川政府采购网），但政府采购合同中涉及国家秘密、商业秘密的内容除外。</w:t>
      </w:r>
    </w:p>
    <w:p>
      <w:pPr>
        <w:pStyle w:val="7"/>
        <w:snapToGrid w:val="0"/>
        <w:spacing w:line="400" w:lineRule="exact"/>
        <w:ind w:firstLine="482"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32.</w:t>
      </w:r>
      <w:r>
        <w:rPr>
          <w:rFonts w:ascii="宋体" w:hAnsi="宋体" w:cs="宋体"/>
          <w:color w:val="000000" w:themeColor="text1"/>
          <w:sz w:val="24"/>
          <w:szCs w:val="24"/>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合同备案</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采购人应当将政府采购合同副本自签订之日起七个工作日内通过四川政府采购网报同级财政部门备案。</w:t>
      </w:r>
    </w:p>
    <w:bookmarkEnd w:id="108"/>
    <w:bookmarkEnd w:id="109"/>
    <w:p>
      <w:pPr>
        <w:pStyle w:val="7"/>
        <w:snapToGrid w:val="0"/>
        <w:spacing w:line="400" w:lineRule="exact"/>
        <w:ind w:firstLine="482" w:firstLineChars="200"/>
        <w:rPr>
          <w:rFonts w:ascii="宋体" w:hAnsi="宋体" w:cs="宋体"/>
          <w:b w:val="0"/>
          <w:color w:val="000000" w:themeColor="text1"/>
          <w:sz w:val="24"/>
          <w:szCs w:val="24"/>
          <w14:textFill>
            <w14:solidFill>
              <w14:schemeClr w14:val="tx1"/>
            </w14:solidFill>
          </w14:textFill>
        </w:rPr>
      </w:pPr>
      <w:bookmarkStart w:id="110" w:name="_Toc308164814"/>
      <w:bookmarkStart w:id="111" w:name="_Toc217446070"/>
      <w:r>
        <w:rPr>
          <w:rFonts w:hint="eastAsia" w:ascii="宋体" w:hAnsi="宋体" w:cs="宋体"/>
          <w:color w:val="000000" w:themeColor="text1"/>
          <w:sz w:val="24"/>
          <w:szCs w:val="24"/>
          <w14:textFill>
            <w14:solidFill>
              <w14:schemeClr w14:val="tx1"/>
            </w14:solidFill>
          </w14:textFill>
        </w:rPr>
        <w:t>33.</w:t>
      </w:r>
      <w:r>
        <w:rPr>
          <w:rFonts w:ascii="宋体" w:hAnsi="宋体" w:cs="宋体"/>
          <w:color w:val="000000" w:themeColor="text1"/>
          <w:sz w:val="24"/>
          <w:szCs w:val="24"/>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履行合同</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33.1 中标人与采购人签订合同后，合同双方应严格执行合同条款，履行合同规定的义务，保证合同的顺利完成。</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33.2 在合同履行过程中，如发生合同纠纷，合同双方应按照《中华人民共和国民法典》的有关规定进行处理。</w:t>
      </w:r>
    </w:p>
    <w:bookmarkEnd w:id="110"/>
    <w:bookmarkEnd w:id="111"/>
    <w:p>
      <w:pPr>
        <w:pStyle w:val="7"/>
        <w:snapToGrid w:val="0"/>
        <w:spacing w:line="400" w:lineRule="exact"/>
        <w:ind w:firstLine="482" w:firstLineChars="200"/>
        <w:rPr>
          <w:rFonts w:ascii="宋体" w:hAnsi="宋体" w:cs="宋体"/>
          <w:b w:val="0"/>
          <w:color w:val="000000" w:themeColor="text1"/>
          <w:sz w:val="24"/>
          <w:szCs w:val="24"/>
          <w14:textFill>
            <w14:solidFill>
              <w14:schemeClr w14:val="tx1"/>
            </w14:solidFill>
          </w14:textFill>
        </w:rPr>
      </w:pPr>
      <w:bookmarkStart w:id="112" w:name="_Toc217446071"/>
      <w:r>
        <w:rPr>
          <w:rFonts w:hint="eastAsia" w:ascii="宋体" w:hAnsi="宋体" w:cs="宋体"/>
          <w:color w:val="000000" w:themeColor="text1"/>
          <w:sz w:val="24"/>
          <w:szCs w:val="24"/>
          <w14:textFill>
            <w14:solidFill>
              <w14:schemeClr w14:val="tx1"/>
            </w14:solidFill>
          </w14:textFill>
        </w:rPr>
        <w:t>34.</w:t>
      </w:r>
      <w:r>
        <w:rPr>
          <w:rFonts w:ascii="宋体" w:hAnsi="宋体" w:cs="宋体"/>
          <w:color w:val="000000" w:themeColor="text1"/>
          <w:sz w:val="24"/>
          <w:szCs w:val="24"/>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验收</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34.1本项目采购人及其委托的采购代理机构将严格按照《财政部关于进一步加强政府采购需求和履约验收管理的指导意见》（财库〔2016〕205号）等政府采购相关法律法规的要求进行验收。</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34.2 验收结果合格的，中标人凭验收报告办理相关手续；验收结果不合格的，履约保证金将不予退还，也将不予支付采购资金，还可能会报告本项目同级财政部门按照政府采购法律法规有关规定给予行政处罚。</w:t>
      </w:r>
    </w:p>
    <w:p>
      <w:pPr>
        <w:pStyle w:val="7"/>
        <w:snapToGrid w:val="0"/>
        <w:spacing w:line="400" w:lineRule="exact"/>
        <w:ind w:firstLine="482" w:firstLineChars="200"/>
        <w:rPr>
          <w:rFonts w:ascii="宋体" w:hAnsi="宋体" w:cs="宋体"/>
          <w:color w:val="000000" w:themeColor="text1"/>
          <w:sz w:val="24"/>
          <w:szCs w:val="24"/>
          <w14:textFill>
            <w14:solidFill>
              <w14:schemeClr w14:val="tx1"/>
            </w14:solidFill>
          </w14:textFill>
        </w:rPr>
      </w:pPr>
      <w:bookmarkStart w:id="113" w:name="_Toc308164818"/>
      <w:bookmarkStart w:id="114" w:name="_Toc217446077"/>
      <w:r>
        <w:rPr>
          <w:rFonts w:hint="eastAsia" w:ascii="宋体" w:hAnsi="宋体" w:cs="宋体"/>
          <w:color w:val="000000" w:themeColor="text1"/>
          <w:sz w:val="24"/>
          <w:szCs w:val="24"/>
          <w14:textFill>
            <w14:solidFill>
              <w14:schemeClr w14:val="tx1"/>
            </w14:solidFill>
          </w14:textFill>
        </w:rPr>
        <w:t>35.</w:t>
      </w:r>
      <w:r>
        <w:rPr>
          <w:rFonts w:ascii="宋体" w:hAnsi="宋体" w:cs="宋体"/>
          <w:color w:val="000000" w:themeColor="text1"/>
          <w:sz w:val="24"/>
          <w:szCs w:val="24"/>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资金支付</w:t>
      </w:r>
      <w:bookmarkEnd w:id="113"/>
      <w:bookmarkEnd w:id="114"/>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采购人将按照政府采购合同规定，及时向中标供应商支付采购资金。本项目采购资金付款详见第六章商务要求中付款方式。</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p>
    <w:bookmarkEnd w:id="101"/>
    <w:bookmarkEnd w:id="102"/>
    <w:bookmarkEnd w:id="112"/>
    <w:p>
      <w:pPr>
        <w:pStyle w:val="6"/>
        <w:snapToGrid w:val="0"/>
        <w:spacing w:line="400" w:lineRule="exact"/>
        <w:jc w:val="center"/>
        <w:rPr>
          <w:rFonts w:ascii="宋体" w:hAnsi="宋体" w:eastAsia="宋体" w:cs="宋体"/>
          <w:color w:val="000000" w:themeColor="text1"/>
          <w:szCs w:val="28"/>
          <w14:textFill>
            <w14:solidFill>
              <w14:schemeClr w14:val="tx1"/>
            </w14:solidFill>
          </w14:textFill>
        </w:rPr>
      </w:pPr>
      <w:bookmarkStart w:id="115" w:name="_Toc308164815"/>
      <w:bookmarkStart w:id="116" w:name="_Toc217446074"/>
      <w:bookmarkStart w:id="117" w:name="_Toc183582243"/>
      <w:bookmarkStart w:id="118" w:name="_Toc183682380"/>
      <w:r>
        <w:rPr>
          <w:rFonts w:hint="eastAsia" w:ascii="宋体" w:hAnsi="宋体" w:eastAsia="宋体" w:cs="宋体"/>
          <w:color w:val="000000" w:themeColor="text1"/>
          <w:szCs w:val="28"/>
          <w14:textFill>
            <w14:solidFill>
              <w14:schemeClr w14:val="tx1"/>
            </w14:solidFill>
          </w14:textFill>
        </w:rPr>
        <w:t>七、投标纪律要求</w:t>
      </w:r>
      <w:bookmarkEnd w:id="115"/>
      <w:bookmarkEnd w:id="116"/>
    </w:p>
    <w:p>
      <w:pPr>
        <w:pStyle w:val="7"/>
        <w:snapToGrid w:val="0"/>
        <w:spacing w:line="400" w:lineRule="exact"/>
        <w:ind w:firstLine="482" w:firstLineChars="200"/>
        <w:rPr>
          <w:rFonts w:ascii="宋体" w:hAnsi="宋体" w:cs="宋体"/>
          <w:bCs w:val="0"/>
          <w:color w:val="000000" w:themeColor="text1"/>
          <w:sz w:val="24"/>
          <w:szCs w:val="24"/>
          <w14:textFill>
            <w14:solidFill>
              <w14:schemeClr w14:val="tx1"/>
            </w14:solidFill>
          </w14:textFill>
        </w:rPr>
      </w:pPr>
      <w:bookmarkStart w:id="119" w:name="_Toc308164816"/>
      <w:bookmarkStart w:id="120" w:name="_Toc217446075"/>
      <w:r>
        <w:rPr>
          <w:rFonts w:hint="eastAsia" w:ascii="宋体" w:hAnsi="宋体" w:cs="宋体"/>
          <w:color w:val="000000" w:themeColor="text1"/>
          <w:sz w:val="24"/>
          <w14:textFill>
            <w14:solidFill>
              <w14:schemeClr w14:val="tx1"/>
            </w14:solidFill>
          </w14:textFill>
        </w:rPr>
        <w:t xml:space="preserve">36. </w:t>
      </w:r>
      <w:r>
        <w:rPr>
          <w:rFonts w:hint="eastAsia" w:ascii="宋体" w:hAnsi="宋体" w:cs="宋体"/>
          <w:bCs w:val="0"/>
          <w:color w:val="000000" w:themeColor="text1"/>
          <w:sz w:val="24"/>
          <w:szCs w:val="24"/>
          <w14:textFill>
            <w14:solidFill>
              <w14:schemeClr w14:val="tx1"/>
            </w14:solidFill>
          </w14:textFill>
        </w:rPr>
        <w:t>投标人</w:t>
      </w:r>
      <w:bookmarkEnd w:id="119"/>
      <w:bookmarkEnd w:id="120"/>
      <w:r>
        <w:rPr>
          <w:rFonts w:hint="eastAsia" w:ascii="宋体" w:hAnsi="宋体" w:cs="宋体"/>
          <w:bCs w:val="0"/>
          <w:color w:val="000000" w:themeColor="text1"/>
          <w:sz w:val="24"/>
          <w:szCs w:val="24"/>
          <w14:textFill>
            <w14:solidFill>
              <w14:schemeClr w14:val="tx1"/>
            </w14:solidFill>
          </w14:textFill>
        </w:rPr>
        <w:t>纪律要求</w:t>
      </w:r>
    </w:p>
    <w:p>
      <w:pPr>
        <w:pStyle w:val="10"/>
        <w:snapToGrid w:val="0"/>
        <w:spacing w:line="40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投标人应当遵循公平竞争的原则，不得恶意串通，不得妨碍其他投标人的竞争行为，不得损害采购人或者其他投标人的合法权益。</w:t>
      </w:r>
    </w:p>
    <w:p>
      <w:pPr>
        <w:pStyle w:val="10"/>
        <w:snapToGrid w:val="0"/>
        <w:spacing w:line="40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在评标过程中发现投标人有上述情形的，评标委员会应当认定其投标无效，并书面报告本级财政部门。</w:t>
      </w:r>
    </w:p>
    <w:p>
      <w:pPr>
        <w:pStyle w:val="7"/>
        <w:snapToGrid w:val="0"/>
        <w:spacing w:line="400" w:lineRule="exact"/>
        <w:ind w:firstLine="482" w:firstLineChars="200"/>
        <w:rPr>
          <w:rFonts w:ascii="宋体" w:hAnsi="宋体" w:cs="宋体"/>
          <w:bCs w:val="0"/>
          <w:color w:val="000000" w:themeColor="text1"/>
          <w:sz w:val="24"/>
          <w:szCs w:val="24"/>
          <w14:textFill>
            <w14:solidFill>
              <w14:schemeClr w14:val="tx1"/>
            </w14:solidFill>
          </w14:textFill>
        </w:rPr>
      </w:pPr>
      <w:r>
        <w:rPr>
          <w:rFonts w:hint="eastAsia" w:ascii="宋体" w:hAnsi="宋体" w:cs="宋体"/>
          <w:bCs w:val="0"/>
          <w:color w:val="000000" w:themeColor="text1"/>
          <w:sz w:val="24"/>
          <w:szCs w:val="24"/>
          <w14:textFill>
            <w14:solidFill>
              <w14:schemeClr w14:val="tx1"/>
            </w14:solidFill>
          </w14:textFill>
        </w:rPr>
        <w:t>37. 投标人参加本项目投标不得有下列情形：</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（1）提供虚假材料谋取中标；</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（2）采取不正当手段诋毁、排挤其他投标人；</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（3）与招标采购单位、其他投标人恶意串通；</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（4）向招标采购单位、评标委员会成员行贿或者提供其他不正当利益；</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（5）在招标过程中与招标采购单位进行协商谈判；</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（6）中标或者成交后无正当理由拒不与采购人签订政府采购合同；</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（7）未按照采购文件确定的事项签订政府采购合同；</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（8）将政府采购合同转包或者违规分包；</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（9）提供假冒伪劣产品；</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（10）擅自变更、中止或者终止政府采购合同；</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（11）拒绝有关部门的监督检查或者向监督检查部门提供虚假情况；</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（12）法律法规规定的其他情形。</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投标人有上述情形的，按照规定追究法律责任，具备（1）-（10）条情形之一的，同时将取消中标资格或者认定中标无效。</w:t>
      </w:r>
    </w:p>
    <w:p>
      <w:pPr>
        <w:snapToGrid w:val="0"/>
        <w:spacing w:line="400" w:lineRule="exact"/>
        <w:ind w:firstLine="241" w:firstLineChars="100"/>
        <w:outlineLvl w:val="2"/>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38. 投标人有下列情形之一的，视为投标人串通投标，其投标无效：</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（1）不同投标人的投标文件由同一单位或者个人编制；</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（2）不同投标人委托同一单位或者个人办理投标事宜；</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（3）不同投标人的投标文件载明的项目管理成员或者联系人员为同一人；</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（4）不同投标人的投标文件异常一致或者投标报价呈规律性差异；</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（5）不同投标人的投标文件相互混装；</w:t>
      </w:r>
    </w:p>
    <w:p>
      <w:pPr>
        <w:snapToGrid w:val="0"/>
        <w:spacing w:line="400" w:lineRule="exact"/>
        <w:ind w:firstLine="480" w:firstLineChars="200"/>
        <w:rPr>
          <w:rFonts w:ascii="宋体" w:hAnsi="宋体" w:cs="宋体"/>
          <w:color w:val="000000" w:themeColor="text1"/>
          <w:sz w:val="24"/>
          <w14:textFill>
            <w14:solidFill>
              <w14:schemeClr w14:val="tx1"/>
            </w14:solidFill>
          </w14:textFill>
        </w:rPr>
      </w:pPr>
    </w:p>
    <w:p>
      <w:pPr>
        <w:pStyle w:val="6"/>
        <w:snapToGrid w:val="0"/>
        <w:spacing w:line="400" w:lineRule="exact"/>
        <w:jc w:val="center"/>
        <w:rPr>
          <w:rFonts w:ascii="宋体" w:hAnsi="宋体" w:eastAsia="宋体" w:cs="宋体"/>
          <w:bCs w:val="0"/>
          <w:color w:val="000000" w:themeColor="text1"/>
          <w:szCs w:val="28"/>
          <w14:textFill>
            <w14:solidFill>
              <w14:schemeClr w14:val="tx1"/>
            </w14:solidFill>
          </w14:textFill>
        </w:rPr>
      </w:pPr>
      <w:bookmarkStart w:id="121" w:name="_Toc308164819"/>
      <w:bookmarkStart w:id="122" w:name="_Toc217446078"/>
      <w:r>
        <w:rPr>
          <w:rFonts w:hint="eastAsia" w:ascii="宋体" w:hAnsi="宋体" w:eastAsia="宋体" w:cs="宋体"/>
          <w:bCs w:val="0"/>
          <w:color w:val="000000" w:themeColor="text1"/>
          <w:szCs w:val="28"/>
          <w14:textFill>
            <w14:solidFill>
              <w14:schemeClr w14:val="tx1"/>
            </w14:solidFill>
          </w14:textFill>
        </w:rPr>
        <w:t>八、询问、质疑和投诉</w:t>
      </w:r>
      <w:bookmarkEnd w:id="121"/>
      <w:bookmarkEnd w:id="122"/>
      <w:bookmarkStart w:id="123" w:name="_Toc217446079"/>
    </w:p>
    <w:bookmarkEnd w:id="123"/>
    <w:p>
      <w:pPr>
        <w:widowControl/>
        <w:snapToGrid w:val="0"/>
        <w:spacing w:line="400" w:lineRule="exact"/>
        <w:ind w:firstLine="472" w:firstLineChars="196"/>
        <w:jc w:val="left"/>
        <w:outlineLvl w:val="2"/>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3</w:t>
      </w:r>
      <w:bookmarkEnd w:id="117"/>
      <w:bookmarkEnd w:id="118"/>
      <w:r>
        <w:rPr>
          <w:rFonts w:hint="eastAsia" w:ascii="宋体" w:hAnsi="宋体" w:cs="宋体"/>
          <w:b/>
          <w:color w:val="000000" w:themeColor="text1"/>
          <w:sz w:val="24"/>
          <w14:textFill>
            <w14:solidFill>
              <w14:schemeClr w14:val="tx1"/>
            </w14:solidFill>
          </w14:textFill>
        </w:rPr>
        <w:t>9．</w:t>
      </w:r>
      <w:r>
        <w:rPr>
          <w:rFonts w:hint="eastAsia" w:ascii="宋体" w:hAnsi="宋体" w:cs="宋体"/>
          <w:color w:val="000000" w:themeColor="text1"/>
          <w:sz w:val="24"/>
          <w14:textFill>
            <w14:solidFill>
              <w14:schemeClr w14:val="tx1"/>
            </w14:solidFill>
          </w14:textFill>
        </w:rPr>
        <w:t>询问、质疑、投诉的接收和处理严格按照《中华人民共和国政府采购法》、《中华人民共和国政府采购法实施条例》、《政府采购货物和服务招标投标管理办法》、《</w:t>
      </w:r>
      <w:r>
        <w:rPr>
          <w:rFonts w:hint="eastAsia" w:ascii="宋体" w:hAnsi="宋体" w:cs="宋体"/>
          <w:bCs/>
          <w:color w:val="000000" w:themeColor="text1"/>
          <w:sz w:val="24"/>
          <w14:textFill>
            <w14:solidFill>
              <w14:schemeClr w14:val="tx1"/>
            </w14:solidFill>
          </w14:textFill>
        </w:rPr>
        <w:t>政府采购质疑和投诉办法</w:t>
      </w:r>
      <w:r>
        <w:rPr>
          <w:rFonts w:hint="eastAsia" w:ascii="宋体" w:hAnsi="宋体" w:cs="宋体"/>
          <w:color w:val="000000" w:themeColor="text1"/>
          <w:sz w:val="24"/>
          <w14:textFill>
            <w14:solidFill>
              <w14:schemeClr w14:val="tx1"/>
            </w14:solidFill>
          </w14:textFill>
        </w:rPr>
        <w:t>》、《财政部关于加强政府采购供应商投诉受理审查工作的通知》和《四川省政府采购供应商投诉处理工作规程》的规定办理（详细规定请在四川政府采购网政策法规模块查询）。</w:t>
      </w:r>
    </w:p>
    <w:p>
      <w:pPr>
        <w:pStyle w:val="6"/>
        <w:snapToGrid w:val="0"/>
        <w:spacing w:line="400" w:lineRule="exact"/>
        <w:jc w:val="center"/>
        <w:rPr>
          <w:rFonts w:ascii="宋体" w:hAnsi="宋体" w:eastAsia="宋体" w:cs="宋体"/>
          <w:bCs w:val="0"/>
          <w:color w:val="000000" w:themeColor="text1"/>
          <w:szCs w:val="28"/>
          <w14:textFill>
            <w14:solidFill>
              <w14:schemeClr w14:val="tx1"/>
            </w14:solidFill>
          </w14:textFill>
        </w:rPr>
      </w:pPr>
      <w:r>
        <w:rPr>
          <w:rFonts w:hint="eastAsia" w:ascii="宋体" w:hAnsi="宋体" w:eastAsia="宋体" w:cs="宋体"/>
          <w:bCs w:val="0"/>
          <w:color w:val="000000" w:themeColor="text1"/>
          <w:szCs w:val="28"/>
          <w14:textFill>
            <w14:solidFill>
              <w14:schemeClr w14:val="tx1"/>
            </w14:solidFill>
          </w14:textFill>
        </w:rPr>
        <w:t>九、其他</w:t>
      </w:r>
    </w:p>
    <w:p>
      <w:pPr>
        <w:widowControl/>
        <w:snapToGrid w:val="0"/>
        <w:spacing w:line="400" w:lineRule="exact"/>
        <w:ind w:firstLine="482" w:firstLineChars="200"/>
        <w:jc w:val="left"/>
        <w:outlineLvl w:val="2"/>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40.</w:t>
      </w:r>
      <w:r>
        <w:rPr>
          <w:rFonts w:ascii="宋体" w:hAnsi="宋体" w:cs="宋体"/>
          <w:b/>
          <w:color w:val="000000" w:themeColor="text1"/>
          <w:sz w:val="24"/>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napToGrid w:val="0"/>
        <w:spacing w:line="400" w:lineRule="exact"/>
        <w:ind w:firstLine="482" w:firstLineChars="200"/>
        <w:jc w:val="left"/>
        <w:outlineLvl w:val="2"/>
        <w:rPr>
          <w:rFonts w:ascii="宋体" w:hAnsi="宋体" w:cs="宋体"/>
          <w:color w:val="000000" w:themeColor="text1"/>
          <w:kern w:val="0"/>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41.</w:t>
      </w:r>
      <w:r>
        <w:rPr>
          <w:rFonts w:ascii="宋体" w:hAnsi="宋体" w:cs="宋体"/>
          <w:b/>
          <w:color w:val="000000" w:themeColor="text1"/>
          <w:sz w:val="24"/>
          <w14:textFill>
            <w14:solidFill>
              <w14:schemeClr w14:val="tx1"/>
            </w14:solidFill>
          </w14:textFill>
        </w:rPr>
        <w:t xml:space="preserve"> </w:t>
      </w:r>
      <w:r>
        <w:rPr>
          <w:rFonts w:hint="eastAsia" w:ascii="宋体" w:hAnsi="宋体" w:cs="宋体"/>
          <w:b/>
          <w:color w:val="000000" w:themeColor="text1"/>
          <w:sz w:val="24"/>
          <w14:textFill>
            <w14:solidFill>
              <w14:schemeClr w14:val="tx1"/>
            </w14:solidFill>
          </w14:textFill>
        </w:rPr>
        <w:t>（实质性要求）</w:t>
      </w:r>
      <w:r>
        <w:rPr>
          <w:rFonts w:hint="eastAsia" w:ascii="宋体" w:hAnsi="宋体" w:cs="宋体"/>
          <w:color w:val="000000" w:themeColor="text1"/>
          <w:sz w:val="24"/>
          <w14:textFill>
            <w14:solidFill>
              <w14:schemeClr w14:val="tx1"/>
            </w14:solidFill>
          </w14:textFill>
        </w:rPr>
        <w:t>国家或行业主管部门对采购产品的技术标准、质量标准和资格资质条件等有强制性规定的，必须符合其要求。</w:t>
      </w:r>
    </w:p>
    <w:p>
      <w:pPr>
        <w:widowControl/>
        <w:snapToGrid w:val="0"/>
        <w:spacing w:after="0" w:line="400" w:lineRule="exact"/>
        <w:jc w:val="left"/>
        <w:rPr>
          <w:rFonts w:ascii="宋体" w:hAnsi="宋体" w:cs="宋体"/>
          <w:color w:val="000000" w:themeColor="text1"/>
          <w:sz w:val="24"/>
          <w14:textFill>
            <w14:solidFill>
              <w14:schemeClr w14:val="tx1"/>
            </w14:solidFill>
          </w14:textFill>
        </w:rPr>
      </w:pPr>
      <w:bookmarkStart w:id="124" w:name="_Toc1368"/>
      <w:r>
        <w:rPr>
          <w:rFonts w:hint="eastAsia" w:ascii="宋体" w:hAnsi="宋体" w:cs="宋体"/>
          <w:b/>
          <w:bCs/>
          <w:color w:val="000000" w:themeColor="text1"/>
          <w:sz w:val="24"/>
          <w14:textFill>
            <w14:solidFill>
              <w14:schemeClr w14:val="tx1"/>
            </w14:solidFill>
          </w14:textFill>
        </w:rPr>
        <w:br w:type="page"/>
      </w:r>
    </w:p>
    <w:p>
      <w:pPr>
        <w:pStyle w:val="4"/>
        <w:snapToGrid w:val="0"/>
        <w:spacing w:line="400" w:lineRule="exact"/>
        <w:rPr>
          <w:rFonts w:ascii="宋体" w:hAnsi="宋体" w:cs="宋体"/>
          <w:color w:val="000000" w:themeColor="text1"/>
          <w:sz w:val="36"/>
          <w:szCs w:val="36"/>
          <w14:textFill>
            <w14:solidFill>
              <w14:schemeClr w14:val="tx1"/>
            </w14:solidFill>
          </w14:textFill>
        </w:rPr>
      </w:pPr>
      <w:bookmarkStart w:id="125" w:name="_Toc82010457"/>
      <w:r>
        <w:rPr>
          <w:rFonts w:hint="eastAsia" w:ascii="宋体" w:hAnsi="宋体" w:cs="宋体"/>
          <w:color w:val="000000" w:themeColor="text1"/>
          <w:sz w:val="36"/>
          <w:szCs w:val="36"/>
          <w14:textFill>
            <w14:solidFill>
              <w14:schemeClr w14:val="tx1"/>
            </w14:solidFill>
          </w14:textFill>
        </w:rPr>
        <w:t>第三章  投标文件格式</w:t>
      </w:r>
      <w:bookmarkEnd w:id="124"/>
      <w:bookmarkEnd w:id="125"/>
      <w:bookmarkStart w:id="126" w:name="_Toc308164821"/>
      <w:bookmarkStart w:id="127" w:name="_Toc217446082"/>
    </w:p>
    <w:p>
      <w:pPr>
        <w:widowControl/>
        <w:snapToGrid w:val="0"/>
        <w:spacing w:line="400" w:lineRule="exact"/>
        <w:jc w:val="center"/>
        <w:rPr>
          <w:rFonts w:ascii="宋体" w:hAnsi="宋体" w:cs="宋体"/>
          <w:b/>
          <w:color w:val="000000" w:themeColor="text1"/>
          <w:sz w:val="24"/>
          <w14:textFill>
            <w14:solidFill>
              <w14:schemeClr w14:val="tx1"/>
            </w14:solidFill>
          </w14:textFill>
        </w:rPr>
      </w:pPr>
    </w:p>
    <w:p>
      <w:pPr>
        <w:widowControl/>
        <w:snapToGrid w:val="0"/>
        <w:spacing w:line="400" w:lineRule="exact"/>
        <w:ind w:firstLine="470" w:firstLineChars="19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一、本章所制投标文件格式，除格式中明确将该格式作为实质性要求的，一律不具有强制性。</w:t>
      </w:r>
    </w:p>
    <w:p>
      <w:pPr>
        <w:widowControl/>
        <w:snapToGrid w:val="0"/>
        <w:spacing w:line="400" w:lineRule="exact"/>
        <w:ind w:firstLine="470" w:firstLineChars="19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二、本章所制投标文件格式有关表格中的备注栏，由投标人根据自身投标情况作解释性说明，不作为必填项。</w:t>
      </w:r>
    </w:p>
    <w:p>
      <w:pPr>
        <w:widowControl/>
        <w:snapToGrid w:val="0"/>
        <w:spacing w:line="400" w:lineRule="exact"/>
        <w:ind w:firstLine="470" w:firstLineChars="19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三、本章所制投标文件格式中需要填写的相关内容事项，可能会与本采购项目无关，在不改变投标文件原义、不影响本项目采购需求的情况下，投标人可以不予填写，但应当注明。</w:t>
      </w:r>
    </w:p>
    <w:p>
      <w:pPr>
        <w:snapToGrid w:val="0"/>
        <w:spacing w:line="400" w:lineRule="exact"/>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四、提示本章中格式1-1、2-1封面，盖章为实质性要求，格式内容不作实质性要求。按照招标文件第二章17．2要求，加盖投标人（法定名称）电子印章。</w:t>
      </w:r>
    </w:p>
    <w:p>
      <w:pPr>
        <w:tabs>
          <w:tab w:val="left" w:pos="900"/>
        </w:tabs>
        <w:snapToGrid w:val="0"/>
        <w:spacing w:line="400" w:lineRule="exact"/>
        <w:jc w:val="center"/>
        <w:outlineLvl w:val="1"/>
        <w:rPr>
          <w:rFonts w:ascii="宋体" w:hAnsi="宋体" w:cs="宋体"/>
          <w:b/>
          <w:color w:val="000000" w:themeColor="text1"/>
          <w:sz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br w:type="page"/>
      </w:r>
      <w:r>
        <w:rPr>
          <w:rFonts w:hint="eastAsia" w:ascii="宋体" w:hAnsi="宋体" w:cs="宋体"/>
          <w:b/>
          <w:color w:val="000000" w:themeColor="text1"/>
          <w:sz w:val="32"/>
          <w14:textFill>
            <w14:solidFill>
              <w14:schemeClr w14:val="tx1"/>
            </w14:solidFill>
          </w14:textFill>
        </w:rPr>
        <w:t>第一部分     “资格性投标文件”格式</w:t>
      </w:r>
    </w:p>
    <w:p>
      <w:pPr>
        <w:spacing w:line="360" w:lineRule="auto"/>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格式1-1</w:t>
      </w:r>
    </w:p>
    <w:p>
      <w:pPr>
        <w:spacing w:line="360" w:lineRule="auto"/>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封面：</w:t>
      </w:r>
    </w:p>
    <w:p>
      <w:pPr>
        <w:spacing w:line="360" w:lineRule="auto"/>
        <w:jc w:val="right"/>
        <w:rPr>
          <w:rFonts w:ascii="宋体" w:hAnsi="宋体" w:cs="宋体"/>
          <w:b/>
          <w:color w:val="000000" w:themeColor="text1"/>
          <w:sz w:val="36"/>
          <w14:textFill>
            <w14:solidFill>
              <w14:schemeClr w14:val="tx1"/>
            </w14:solidFill>
          </w14:textFill>
        </w:rPr>
      </w:pPr>
    </w:p>
    <w:p>
      <w:pPr>
        <w:spacing w:line="360" w:lineRule="auto"/>
        <w:rPr>
          <w:rFonts w:ascii="宋体" w:hAnsi="宋体" w:cs="宋体"/>
          <w:b/>
          <w:color w:val="000000" w:themeColor="text1"/>
          <w:sz w:val="32"/>
          <w:szCs w:val="32"/>
          <w14:textFill>
            <w14:solidFill>
              <w14:schemeClr w14:val="tx1"/>
            </w14:solidFill>
          </w14:textFill>
        </w:rPr>
      </w:pPr>
    </w:p>
    <w:p>
      <w:pPr>
        <w:spacing w:line="360" w:lineRule="auto"/>
        <w:jc w:val="center"/>
        <w:rPr>
          <w:rFonts w:ascii="宋体" w:hAnsi="宋体" w:cs="宋体"/>
          <w:b/>
          <w:color w:val="000000" w:themeColor="text1"/>
          <w:sz w:val="72"/>
          <w14:textFill>
            <w14:solidFill>
              <w14:schemeClr w14:val="tx1"/>
            </w14:solidFill>
          </w14:textFill>
        </w:rPr>
      </w:pPr>
      <w:r>
        <w:rPr>
          <w:rFonts w:hint="eastAsia" w:ascii="宋体" w:hAnsi="宋体" w:cs="宋体"/>
          <w:b/>
          <w:color w:val="000000" w:themeColor="text1"/>
          <w:sz w:val="40"/>
          <w:szCs w:val="48"/>
          <w:u w:val="single"/>
          <w14:textFill>
            <w14:solidFill>
              <w14:schemeClr w14:val="tx1"/>
            </w14:solidFill>
          </w14:textFill>
        </w:rPr>
        <w:t>xxxxx</w:t>
      </w:r>
      <w:r>
        <w:rPr>
          <w:rFonts w:hint="eastAsia" w:ascii="宋体" w:hAnsi="宋体" w:cs="宋体"/>
          <w:b/>
          <w:color w:val="000000" w:themeColor="text1"/>
          <w:sz w:val="40"/>
          <w:szCs w:val="48"/>
          <w14:textFill>
            <w14:solidFill>
              <w14:schemeClr w14:val="tx1"/>
            </w14:solidFill>
          </w14:textFill>
        </w:rPr>
        <w:t>项目</w:t>
      </w:r>
    </w:p>
    <w:p>
      <w:pPr>
        <w:spacing w:line="360" w:lineRule="auto"/>
        <w:rPr>
          <w:rFonts w:ascii="宋体" w:hAnsi="宋体" w:cs="宋体"/>
          <w:b/>
          <w:color w:val="000000" w:themeColor="text1"/>
          <w:sz w:val="52"/>
          <w:szCs w:val="52"/>
          <w14:textFill>
            <w14:solidFill>
              <w14:schemeClr w14:val="tx1"/>
            </w14:solidFill>
          </w14:textFill>
        </w:rPr>
      </w:pPr>
    </w:p>
    <w:p>
      <w:pPr>
        <w:spacing w:line="360" w:lineRule="auto"/>
        <w:jc w:val="center"/>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52"/>
          <w:szCs w:val="52"/>
          <w14:textFill>
            <w14:solidFill>
              <w14:schemeClr w14:val="tx1"/>
            </w14:solidFill>
          </w14:textFill>
        </w:rPr>
        <w:t>资格性投标文件</w:t>
      </w:r>
    </w:p>
    <w:p>
      <w:pPr>
        <w:spacing w:line="360" w:lineRule="auto"/>
        <w:rPr>
          <w:rFonts w:ascii="宋体" w:hAnsi="宋体" w:cs="宋体"/>
          <w:b/>
          <w:color w:val="000000" w:themeColor="text1"/>
          <w:sz w:val="36"/>
          <w14:textFill>
            <w14:solidFill>
              <w14:schemeClr w14:val="tx1"/>
            </w14:solidFill>
          </w14:textFill>
        </w:rPr>
      </w:pPr>
    </w:p>
    <w:p>
      <w:pPr>
        <w:spacing w:line="360" w:lineRule="auto"/>
        <w:rPr>
          <w:rFonts w:ascii="宋体" w:hAnsi="宋体" w:cs="宋体"/>
          <w:b/>
          <w:color w:val="000000" w:themeColor="text1"/>
          <w:sz w:val="36"/>
          <w14:textFill>
            <w14:solidFill>
              <w14:schemeClr w14:val="tx1"/>
            </w14:solidFill>
          </w14:textFill>
        </w:rPr>
      </w:pPr>
    </w:p>
    <w:p>
      <w:pPr>
        <w:spacing w:line="360" w:lineRule="auto"/>
        <w:jc w:val="left"/>
        <w:rPr>
          <w:rFonts w:ascii="宋体" w:hAnsi="宋体" w:cs="宋体"/>
          <w:b/>
          <w:color w:val="000000" w:themeColor="text1"/>
          <w:sz w:val="32"/>
          <w:u w:val="single"/>
          <w14:textFill>
            <w14:solidFill>
              <w14:schemeClr w14:val="tx1"/>
            </w14:solidFill>
          </w14:textFill>
        </w:rPr>
      </w:pPr>
      <w:r>
        <w:rPr>
          <w:rFonts w:hint="eastAsia" w:ascii="宋体" w:hAnsi="宋体" w:cs="宋体"/>
          <w:b/>
          <w:color w:val="000000" w:themeColor="text1"/>
          <w:sz w:val="32"/>
          <w14:textFill>
            <w14:solidFill>
              <w14:schemeClr w14:val="tx1"/>
            </w14:solidFill>
          </w14:textFill>
        </w:rPr>
        <w:t>投 标 人名称（电子印章）：</w:t>
      </w:r>
    </w:p>
    <w:p>
      <w:pPr>
        <w:spacing w:line="360" w:lineRule="auto"/>
        <w:jc w:val="left"/>
        <w:rPr>
          <w:rFonts w:ascii="宋体" w:hAnsi="宋体" w:cs="宋体"/>
          <w:b/>
          <w:color w:val="000000" w:themeColor="text1"/>
          <w:sz w:val="32"/>
          <w:u w:val="single"/>
          <w14:textFill>
            <w14:solidFill>
              <w14:schemeClr w14:val="tx1"/>
            </w14:solidFill>
          </w14:textFill>
        </w:rPr>
      </w:pPr>
      <w:r>
        <w:rPr>
          <w:rFonts w:hint="eastAsia" w:ascii="宋体" w:hAnsi="宋体" w:cs="宋体"/>
          <w:b/>
          <w:color w:val="000000" w:themeColor="text1"/>
          <w:sz w:val="32"/>
          <w14:textFill>
            <w14:solidFill>
              <w14:schemeClr w14:val="tx1"/>
            </w14:solidFill>
          </w14:textFill>
        </w:rPr>
        <w:t>采购项目编号：</w:t>
      </w:r>
    </w:p>
    <w:p>
      <w:pPr>
        <w:spacing w:line="360" w:lineRule="auto"/>
        <w:ind w:firstLine="790" w:firstLineChars="246"/>
        <w:jc w:val="center"/>
        <w:rPr>
          <w:rFonts w:ascii="宋体" w:hAnsi="宋体" w:cs="宋体"/>
          <w:b/>
          <w:color w:val="000000" w:themeColor="text1"/>
          <w:sz w:val="32"/>
          <w14:textFill>
            <w14:solidFill>
              <w14:schemeClr w14:val="tx1"/>
            </w14:solidFill>
          </w14:textFill>
        </w:rPr>
      </w:pPr>
    </w:p>
    <w:p>
      <w:pPr>
        <w:spacing w:line="360" w:lineRule="auto"/>
        <w:ind w:firstLine="790" w:firstLineChars="246"/>
        <w:jc w:val="center"/>
        <w:rPr>
          <w:rFonts w:ascii="宋体" w:hAnsi="宋体" w:cs="宋体"/>
          <w:b/>
          <w:color w:val="000000" w:themeColor="text1"/>
          <w:sz w:val="32"/>
          <w14:textFill>
            <w14:solidFill>
              <w14:schemeClr w14:val="tx1"/>
            </w14:solidFill>
          </w14:textFill>
        </w:rPr>
      </w:pPr>
      <w:r>
        <w:rPr>
          <w:rFonts w:hint="eastAsia" w:ascii="宋体" w:hAnsi="宋体" w:cs="宋体"/>
          <w:b/>
          <w:color w:val="000000" w:themeColor="text1"/>
          <w:sz w:val="32"/>
          <w14:textFill>
            <w14:solidFill>
              <w14:schemeClr w14:val="tx1"/>
            </w14:solidFill>
          </w14:textFill>
        </w:rPr>
        <w:t>投标时间： 年 月 日</w:t>
      </w:r>
    </w:p>
    <w:p>
      <w:pPr>
        <w:spacing w:line="360" w:lineRule="auto"/>
        <w:rPr>
          <w:rFonts w:ascii="宋体" w:hAnsi="宋体" w:cs="宋体"/>
          <w:b/>
          <w:color w:val="000000" w:themeColor="text1"/>
          <w:sz w:val="32"/>
          <w:szCs w:val="32"/>
          <w14:textFill>
            <w14:solidFill>
              <w14:schemeClr w14:val="tx1"/>
            </w14:solidFill>
          </w14:textFill>
        </w:rPr>
      </w:pPr>
    </w:p>
    <w:p>
      <w:pPr>
        <w:widowControl/>
        <w:spacing w:after="0" w:line="240" w:lineRule="auto"/>
        <w:jc w:val="left"/>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br w:type="page"/>
      </w:r>
    </w:p>
    <w:p>
      <w:pPr>
        <w:spacing w:line="360" w:lineRule="auto"/>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格式1-2</w:t>
      </w:r>
    </w:p>
    <w:p>
      <w:pPr>
        <w:widowControl/>
        <w:spacing w:line="360" w:lineRule="atLeast"/>
        <w:jc w:val="center"/>
        <w:outlineLvl w:val="2"/>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一、承诺函</w:t>
      </w:r>
    </w:p>
    <w:p>
      <w:pPr>
        <w:widowControl/>
        <w:spacing w:line="360" w:lineRule="atLeast"/>
        <w:jc w:val="center"/>
        <w:rPr>
          <w:rFonts w:ascii="宋体" w:hAnsi="宋体" w:cs="宋体"/>
          <w:b/>
          <w:color w:val="000000" w:themeColor="text1"/>
          <w:sz w:val="24"/>
          <w14:textFill>
            <w14:solidFill>
              <w14:schemeClr w14:val="tx1"/>
            </w14:solidFill>
          </w14:textFill>
        </w:rPr>
      </w:pPr>
    </w:p>
    <w:p>
      <w:pPr>
        <w:widowControl/>
        <w:spacing w:line="360" w:lineRule="atLeas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XXXX（采购代理机构名称）：</w:t>
      </w:r>
    </w:p>
    <w:p>
      <w:pPr>
        <w:widowControl/>
        <w:spacing w:line="360" w:lineRule="atLeast"/>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我单位作为本次采购项目的投标人，根据招标文件要求，现郑重承诺如下：</w:t>
      </w:r>
    </w:p>
    <w:p>
      <w:pPr>
        <w:widowControl/>
        <w:spacing w:line="360" w:lineRule="atLeast"/>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具备《中华人民共和国政府采购法》第二十二条第一款和本项目规定的条件：</w:t>
      </w:r>
    </w:p>
    <w:p>
      <w:pPr>
        <w:widowControl/>
        <w:spacing w:line="360" w:lineRule="atLeast"/>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（一）具有独立承担民事责任的能力；</w:t>
      </w:r>
    </w:p>
    <w:p>
      <w:pPr>
        <w:widowControl/>
        <w:spacing w:line="360" w:lineRule="atLeast"/>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（二）具有良好的商业信誉和健全的财务会计制度；</w:t>
      </w:r>
    </w:p>
    <w:p>
      <w:pPr>
        <w:widowControl/>
        <w:spacing w:line="360" w:lineRule="atLeast"/>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（三）具有履行合同所必需的设备和专业技术能力；</w:t>
      </w:r>
    </w:p>
    <w:p>
      <w:pPr>
        <w:widowControl/>
        <w:spacing w:line="360" w:lineRule="atLeast"/>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（四）有依法缴纳税收和社会保障资金的良好记录；</w:t>
      </w:r>
    </w:p>
    <w:p>
      <w:pPr>
        <w:widowControl/>
        <w:spacing w:line="360" w:lineRule="atLeast"/>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（五）参加政府采购活动前三年内，在经营活动中没有重大违法记录；</w:t>
      </w:r>
    </w:p>
    <w:p>
      <w:pPr>
        <w:widowControl/>
        <w:spacing w:line="360" w:lineRule="atLeast"/>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（六）法律、行政法规规定的其他条件；</w:t>
      </w:r>
    </w:p>
    <w:p>
      <w:pPr>
        <w:widowControl/>
        <w:spacing w:line="360" w:lineRule="atLeast"/>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（七）根据采购项目提出的特殊条件。</w:t>
      </w:r>
    </w:p>
    <w:p>
      <w:pPr>
        <w:widowControl/>
        <w:spacing w:line="360" w:lineRule="atLeast"/>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投标人名称：XXXX。</w:t>
      </w: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期：XXXX。</w:t>
      </w:r>
    </w:p>
    <w:p>
      <w:pPr>
        <w:spacing w:line="360" w:lineRule="auto"/>
        <w:rPr>
          <w:rFonts w:ascii="宋体" w:hAnsi="宋体" w:cs="宋体"/>
          <w:b/>
          <w:color w:val="000000" w:themeColor="text1"/>
          <w:sz w:val="32"/>
          <w:szCs w:val="32"/>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r>
        <w:rPr>
          <w:rFonts w:hint="eastAsia" w:ascii="宋体" w:hAnsi="宋体" w:cs="宋体"/>
          <w:b/>
          <w:color w:val="000000" w:themeColor="text1"/>
          <w:sz w:val="32"/>
          <w:szCs w:val="32"/>
          <w14:textFill>
            <w14:solidFill>
              <w14:schemeClr w14:val="tx1"/>
            </w14:solidFill>
          </w14:textFill>
        </w:rPr>
        <w:t>格式1-3</w:t>
      </w:r>
    </w:p>
    <w:p>
      <w:pPr>
        <w:spacing w:line="360" w:lineRule="auto"/>
        <w:ind w:firstLine="790" w:firstLineChars="246"/>
        <w:jc w:val="center"/>
        <w:outlineLvl w:val="2"/>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二、投标人和投标产品其他资格、资质性及其他类似效力要求的相关证明材料</w:t>
      </w:r>
    </w:p>
    <w:p>
      <w:p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注：投标人应按招标文件第五章相关要求提供佐证材料，有格式要求的从其要求，无格式要求的格式自拟。</w:t>
      </w:r>
    </w:p>
    <w:p>
      <w:pPr>
        <w:widowControl/>
        <w:spacing w:after="0" w:line="240" w:lineRule="auto"/>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br w:type="page"/>
      </w:r>
    </w:p>
    <w:p>
      <w:pPr>
        <w:spacing w:line="360" w:lineRule="auto"/>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格式1-4</w:t>
      </w:r>
    </w:p>
    <w:p>
      <w:pPr>
        <w:widowControl/>
        <w:spacing w:line="360" w:lineRule="atLeast"/>
        <w:jc w:val="center"/>
        <w:outlineLvl w:val="2"/>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三、承诺函（如涉及）</w:t>
      </w:r>
    </w:p>
    <w:p>
      <w:pPr>
        <w:widowControl/>
        <w:spacing w:line="360" w:lineRule="atLeast"/>
        <w:jc w:val="center"/>
        <w:rPr>
          <w:rFonts w:ascii="宋体" w:hAnsi="宋体" w:cs="宋体"/>
          <w:b/>
          <w:color w:val="000000" w:themeColor="text1"/>
          <w:sz w:val="24"/>
          <w14:textFill>
            <w14:solidFill>
              <w14:schemeClr w14:val="tx1"/>
            </w14:solidFill>
          </w14:textFill>
        </w:rPr>
      </w:pPr>
    </w:p>
    <w:p>
      <w:p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XXXX（采购代理机构名称）：</w:t>
      </w:r>
    </w:p>
    <w:p>
      <w:p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我单位作为本次采购项目的投标人，现郑重承诺如下：</w:t>
      </w:r>
    </w:p>
    <w:p>
      <w:p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根据本项目招标文件第四章资格证明要求中第</w:t>
      </w:r>
      <w:r>
        <w:rPr>
          <w:rFonts w:hint="eastAsia"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项，我单位应具备</w:t>
      </w:r>
      <w:r>
        <w:rPr>
          <w:rFonts w:hint="eastAsia"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（备案、登记、其他证照）。但因我单位所在地已对上述备案、登记、其他证照实行“多证合一”，故在此次采购活动中提供满足资格要求：</w:t>
      </w:r>
      <w:r>
        <w:rPr>
          <w:rFonts w:hint="eastAsia"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（营业执照中对该备案、登记、其他证照的描述）的“多证合一”营业执照。</w:t>
      </w:r>
    </w:p>
    <w:p>
      <w:pPr>
        <w:spacing w:line="360" w:lineRule="auto"/>
        <w:rPr>
          <w:rFonts w:ascii="宋体" w:hAnsi="宋体" w:cs="宋体"/>
          <w:bCs/>
          <w:color w:val="000000" w:themeColor="text1"/>
          <w:sz w:val="24"/>
          <w14:textFill>
            <w14:solidFill>
              <w14:schemeClr w14:val="tx1"/>
            </w14:solidFill>
          </w14:textFill>
        </w:rPr>
      </w:pPr>
    </w:p>
    <w:p>
      <w:p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我单位对上述承诺的内容事项真实性负责。如经查实上述承诺内容存在虚假，我单位愿意接受以提供虚假材料谋取成交追究法律责任。</w:t>
      </w:r>
    </w:p>
    <w:p>
      <w:pPr>
        <w:spacing w:line="360" w:lineRule="auto"/>
        <w:rPr>
          <w:rFonts w:ascii="宋体" w:hAnsi="宋体" w:cs="宋体"/>
          <w:bCs/>
          <w:color w:val="000000" w:themeColor="text1"/>
          <w:sz w:val="24"/>
          <w14:textFill>
            <w14:solidFill>
              <w14:schemeClr w14:val="tx1"/>
            </w14:solidFill>
          </w14:textFill>
        </w:rPr>
      </w:pPr>
    </w:p>
    <w:p>
      <w:p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投标人名称：XXXX。</w:t>
      </w:r>
    </w:p>
    <w:p>
      <w:p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日    期：XXXX。</w:t>
      </w:r>
    </w:p>
    <w:p>
      <w:p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注：1.根据国务院办公厅关于加快推进“多证合一”改革的指导意见（国办发【2017】41号）等政策要求，</w:t>
      </w:r>
      <w:r>
        <w:rPr>
          <w:rFonts w:hint="eastAsia" w:ascii="宋体" w:hAnsi="宋体" w:cs="宋体"/>
          <w:b/>
          <w:bCs/>
          <w:color w:val="000000" w:themeColor="text1"/>
          <w:sz w:val="24"/>
          <w14:textFill>
            <w14:solidFill>
              <w14:schemeClr w14:val="tx1"/>
            </w14:solidFill>
          </w14:textFill>
        </w:rPr>
        <w:t>若资格要求涉及的登记、备案等有关事项和各类证照已实行多证合一导致供应商无法提供该类证明材料的</w:t>
      </w:r>
      <w:r>
        <w:rPr>
          <w:rFonts w:hint="eastAsia" w:ascii="宋体" w:hAnsi="宋体" w:cs="宋体"/>
          <w:bCs/>
          <w:color w:val="000000" w:themeColor="text1"/>
          <w:sz w:val="24"/>
          <w14:textFill>
            <w14:solidFill>
              <w14:schemeClr w14:val="tx1"/>
            </w14:solidFill>
          </w14:textFill>
        </w:rPr>
        <w:t>，供应商须提供该承诺。</w:t>
      </w:r>
    </w:p>
    <w:p>
      <w:pPr>
        <w:spacing w:line="360" w:lineRule="auto"/>
        <w:ind w:firstLine="360" w:firstLineChars="15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2.若已提供资格要求涉及的登记、备案等有关事项和各类证照的证明材料，无需提供该承诺。</w:t>
      </w:r>
    </w:p>
    <w:p>
      <w:pPr>
        <w:spacing w:line="360" w:lineRule="auto"/>
        <w:ind w:firstLine="360" w:firstLineChars="15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3.若本项目资格要求不涉及，无需提供该承诺。</w:t>
      </w:r>
    </w:p>
    <w:p>
      <w:pPr>
        <w:spacing w:after="0" w:line="360" w:lineRule="auto"/>
        <w:jc w:val="left"/>
        <w:rPr>
          <w:rFonts w:ascii="宋体" w:hAnsi="宋体" w:cs="宋体"/>
          <w:color w:val="000000" w:themeColor="text1"/>
          <w:sz w:val="24"/>
          <w14:textFill>
            <w14:solidFill>
              <w14:schemeClr w14:val="tx1"/>
            </w14:solidFill>
          </w14:textFill>
        </w:rPr>
        <w:sectPr>
          <w:footerReference r:id="rId7" w:type="default"/>
          <w:pgSz w:w="11906" w:h="16838"/>
          <w:pgMar w:top="1440" w:right="1559" w:bottom="1440" w:left="1559" w:header="851" w:footer="992" w:gutter="0"/>
          <w:cols w:space="720" w:num="1"/>
          <w:docGrid w:linePitch="312" w:charSpace="0"/>
        </w:sectPr>
      </w:pPr>
      <w:r>
        <w:rPr>
          <w:rFonts w:hint="eastAsia" w:ascii="宋体" w:hAnsi="宋体" w:cs="宋体"/>
          <w:b/>
          <w:color w:val="000000" w:themeColor="text1"/>
          <w:sz w:val="32"/>
          <w:szCs w:val="32"/>
          <w14:textFill>
            <w14:solidFill>
              <w14:schemeClr w14:val="tx1"/>
            </w14:solidFill>
          </w14:textFill>
        </w:rPr>
        <w:br w:type="page"/>
      </w:r>
    </w:p>
    <w:p>
      <w:pPr>
        <w:tabs>
          <w:tab w:val="left" w:pos="900"/>
        </w:tabs>
        <w:spacing w:line="360" w:lineRule="auto"/>
        <w:jc w:val="center"/>
        <w:outlineLvl w:val="1"/>
        <w:rPr>
          <w:rFonts w:ascii="宋体" w:hAnsi="宋体" w:cs="宋体"/>
          <w:b/>
          <w:color w:val="000000" w:themeColor="text1"/>
          <w:sz w:val="32"/>
          <w14:textFill>
            <w14:solidFill>
              <w14:schemeClr w14:val="tx1"/>
            </w14:solidFill>
          </w14:textFill>
        </w:rPr>
      </w:pPr>
      <w:r>
        <w:rPr>
          <w:rFonts w:hint="eastAsia" w:ascii="宋体" w:hAnsi="宋体" w:cs="宋体"/>
          <w:b/>
          <w:color w:val="000000" w:themeColor="text1"/>
          <w:sz w:val="32"/>
          <w14:textFill>
            <w14:solidFill>
              <w14:schemeClr w14:val="tx1"/>
            </w14:solidFill>
          </w14:textFill>
        </w:rPr>
        <w:t>第二部分     “其他响应性投标文件”格式</w:t>
      </w:r>
    </w:p>
    <w:p>
      <w:pPr>
        <w:spacing w:line="360" w:lineRule="auto"/>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格式2-1</w:t>
      </w:r>
    </w:p>
    <w:p>
      <w:pPr>
        <w:spacing w:line="360" w:lineRule="auto"/>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封面：</w:t>
      </w:r>
    </w:p>
    <w:p>
      <w:pPr>
        <w:spacing w:line="360" w:lineRule="auto"/>
        <w:jc w:val="right"/>
        <w:rPr>
          <w:rFonts w:ascii="宋体" w:hAnsi="宋体" w:cs="宋体"/>
          <w:b/>
          <w:color w:val="000000" w:themeColor="text1"/>
          <w:sz w:val="36"/>
          <w14:textFill>
            <w14:solidFill>
              <w14:schemeClr w14:val="tx1"/>
            </w14:solidFill>
          </w14:textFill>
        </w:rPr>
      </w:pPr>
    </w:p>
    <w:p>
      <w:pPr>
        <w:spacing w:line="360" w:lineRule="auto"/>
        <w:rPr>
          <w:rFonts w:ascii="宋体" w:hAnsi="宋体" w:cs="宋体"/>
          <w:b/>
          <w:color w:val="000000" w:themeColor="text1"/>
          <w:sz w:val="32"/>
          <w:szCs w:val="32"/>
          <w14:textFill>
            <w14:solidFill>
              <w14:schemeClr w14:val="tx1"/>
            </w14:solidFill>
          </w14:textFill>
        </w:rPr>
      </w:pPr>
    </w:p>
    <w:p>
      <w:pPr>
        <w:spacing w:line="360" w:lineRule="auto"/>
        <w:jc w:val="center"/>
        <w:rPr>
          <w:rFonts w:ascii="宋体" w:hAnsi="宋体" w:cs="宋体"/>
          <w:b/>
          <w:color w:val="000000" w:themeColor="text1"/>
          <w:sz w:val="72"/>
          <w14:textFill>
            <w14:solidFill>
              <w14:schemeClr w14:val="tx1"/>
            </w14:solidFill>
          </w14:textFill>
        </w:rPr>
      </w:pPr>
      <w:r>
        <w:rPr>
          <w:rFonts w:hint="eastAsia" w:ascii="宋体" w:hAnsi="宋体" w:cs="宋体"/>
          <w:b/>
          <w:color w:val="000000" w:themeColor="text1"/>
          <w:sz w:val="40"/>
          <w:szCs w:val="48"/>
          <w:u w:val="single"/>
          <w14:textFill>
            <w14:solidFill>
              <w14:schemeClr w14:val="tx1"/>
            </w14:solidFill>
          </w14:textFill>
        </w:rPr>
        <w:t>xxxxx</w:t>
      </w:r>
      <w:r>
        <w:rPr>
          <w:rFonts w:hint="eastAsia" w:ascii="宋体" w:hAnsi="宋体" w:cs="宋体"/>
          <w:b/>
          <w:color w:val="000000" w:themeColor="text1"/>
          <w:sz w:val="40"/>
          <w:szCs w:val="48"/>
          <w14:textFill>
            <w14:solidFill>
              <w14:schemeClr w14:val="tx1"/>
            </w14:solidFill>
          </w14:textFill>
        </w:rPr>
        <w:t>项目</w:t>
      </w:r>
    </w:p>
    <w:p>
      <w:pPr>
        <w:spacing w:line="360" w:lineRule="auto"/>
        <w:rPr>
          <w:rFonts w:ascii="宋体" w:hAnsi="宋体" w:cs="宋体"/>
          <w:b/>
          <w:color w:val="000000" w:themeColor="text1"/>
          <w:sz w:val="52"/>
          <w:szCs w:val="52"/>
          <w14:textFill>
            <w14:solidFill>
              <w14:schemeClr w14:val="tx1"/>
            </w14:solidFill>
          </w14:textFill>
        </w:rPr>
      </w:pPr>
    </w:p>
    <w:p>
      <w:pPr>
        <w:spacing w:line="360" w:lineRule="auto"/>
        <w:jc w:val="center"/>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52"/>
          <w:szCs w:val="52"/>
          <w14:textFill>
            <w14:solidFill>
              <w14:schemeClr w14:val="tx1"/>
            </w14:solidFill>
          </w14:textFill>
        </w:rPr>
        <w:t>其他响应性投标文件</w:t>
      </w:r>
    </w:p>
    <w:p>
      <w:pPr>
        <w:spacing w:line="360" w:lineRule="auto"/>
        <w:rPr>
          <w:rFonts w:ascii="宋体" w:hAnsi="宋体" w:cs="宋体"/>
          <w:b/>
          <w:color w:val="000000" w:themeColor="text1"/>
          <w:sz w:val="36"/>
          <w14:textFill>
            <w14:solidFill>
              <w14:schemeClr w14:val="tx1"/>
            </w14:solidFill>
          </w14:textFill>
        </w:rPr>
      </w:pPr>
    </w:p>
    <w:p>
      <w:pPr>
        <w:spacing w:line="360" w:lineRule="auto"/>
        <w:rPr>
          <w:rFonts w:ascii="宋体" w:hAnsi="宋体" w:cs="宋体"/>
          <w:b/>
          <w:color w:val="000000" w:themeColor="text1"/>
          <w:sz w:val="36"/>
          <w14:textFill>
            <w14:solidFill>
              <w14:schemeClr w14:val="tx1"/>
            </w14:solidFill>
          </w14:textFill>
        </w:rPr>
      </w:pPr>
    </w:p>
    <w:p>
      <w:pPr>
        <w:spacing w:line="360" w:lineRule="auto"/>
        <w:jc w:val="left"/>
        <w:rPr>
          <w:rFonts w:ascii="宋体" w:hAnsi="宋体" w:cs="宋体"/>
          <w:b/>
          <w:color w:val="000000" w:themeColor="text1"/>
          <w:sz w:val="32"/>
          <w:u w:val="single"/>
          <w14:textFill>
            <w14:solidFill>
              <w14:schemeClr w14:val="tx1"/>
            </w14:solidFill>
          </w14:textFill>
        </w:rPr>
      </w:pPr>
      <w:r>
        <w:rPr>
          <w:rFonts w:hint="eastAsia" w:ascii="宋体" w:hAnsi="宋体" w:cs="宋体"/>
          <w:b/>
          <w:color w:val="000000" w:themeColor="text1"/>
          <w:sz w:val="32"/>
          <w14:textFill>
            <w14:solidFill>
              <w14:schemeClr w14:val="tx1"/>
            </w14:solidFill>
          </w14:textFill>
        </w:rPr>
        <w:t>投 标 人名称（电子印章）：</w:t>
      </w:r>
    </w:p>
    <w:p>
      <w:pPr>
        <w:spacing w:line="360" w:lineRule="auto"/>
        <w:jc w:val="left"/>
        <w:rPr>
          <w:rFonts w:ascii="宋体" w:hAnsi="宋体" w:cs="宋体"/>
          <w:b/>
          <w:color w:val="000000" w:themeColor="text1"/>
          <w:sz w:val="32"/>
          <w:u w:val="single"/>
          <w14:textFill>
            <w14:solidFill>
              <w14:schemeClr w14:val="tx1"/>
            </w14:solidFill>
          </w14:textFill>
        </w:rPr>
      </w:pPr>
      <w:r>
        <w:rPr>
          <w:rFonts w:hint="eastAsia" w:ascii="宋体" w:hAnsi="宋体" w:cs="宋体"/>
          <w:b/>
          <w:color w:val="000000" w:themeColor="text1"/>
          <w:sz w:val="32"/>
          <w14:textFill>
            <w14:solidFill>
              <w14:schemeClr w14:val="tx1"/>
            </w14:solidFill>
          </w14:textFill>
        </w:rPr>
        <w:t>采购项目编号：</w:t>
      </w:r>
    </w:p>
    <w:p>
      <w:pPr>
        <w:spacing w:line="360" w:lineRule="auto"/>
        <w:ind w:firstLine="790" w:firstLineChars="246"/>
        <w:jc w:val="center"/>
        <w:rPr>
          <w:rFonts w:ascii="宋体" w:hAnsi="宋体" w:cs="宋体"/>
          <w:b/>
          <w:color w:val="000000" w:themeColor="text1"/>
          <w:sz w:val="32"/>
          <w14:textFill>
            <w14:solidFill>
              <w14:schemeClr w14:val="tx1"/>
            </w14:solidFill>
          </w14:textFill>
        </w:rPr>
      </w:pPr>
    </w:p>
    <w:p>
      <w:pPr>
        <w:spacing w:line="360" w:lineRule="auto"/>
        <w:ind w:firstLine="790" w:firstLineChars="246"/>
        <w:jc w:val="center"/>
        <w:rPr>
          <w:rFonts w:ascii="宋体" w:hAnsi="宋体" w:cs="宋体"/>
          <w:b/>
          <w:color w:val="000000" w:themeColor="text1"/>
          <w:sz w:val="32"/>
          <w14:textFill>
            <w14:solidFill>
              <w14:schemeClr w14:val="tx1"/>
            </w14:solidFill>
          </w14:textFill>
        </w:rPr>
      </w:pPr>
      <w:r>
        <w:rPr>
          <w:rFonts w:hint="eastAsia" w:ascii="宋体" w:hAnsi="宋体" w:cs="宋体"/>
          <w:b/>
          <w:color w:val="000000" w:themeColor="text1"/>
          <w:sz w:val="32"/>
          <w14:textFill>
            <w14:solidFill>
              <w14:schemeClr w14:val="tx1"/>
            </w14:solidFill>
          </w14:textFill>
        </w:rPr>
        <w:t>投标时间： 年 月 日</w:t>
      </w:r>
    </w:p>
    <w:p>
      <w:pPr>
        <w:widowControl/>
        <w:spacing w:after="0" w:line="240" w:lineRule="auto"/>
        <w:jc w:val="left"/>
        <w:rPr>
          <w:rFonts w:ascii="宋体" w:hAnsi="宋体" w:cs="宋体"/>
          <w:b/>
          <w:color w:val="000000" w:themeColor="text1"/>
          <w:sz w:val="32"/>
          <w14:textFill>
            <w14:solidFill>
              <w14:schemeClr w14:val="tx1"/>
            </w14:solidFill>
          </w14:textFill>
        </w:rPr>
      </w:pPr>
      <w:r>
        <w:rPr>
          <w:rFonts w:hint="eastAsia" w:ascii="宋体" w:hAnsi="宋体" w:cs="宋体"/>
          <w:b/>
          <w:color w:val="000000" w:themeColor="text1"/>
          <w:sz w:val="32"/>
          <w14:textFill>
            <w14:solidFill>
              <w14:schemeClr w14:val="tx1"/>
            </w14:solidFill>
          </w14:textFill>
        </w:rPr>
        <w:br w:type="page"/>
      </w:r>
    </w:p>
    <w:p>
      <w:pPr>
        <w:spacing w:line="360" w:lineRule="auto"/>
        <w:ind w:firstLine="790" w:firstLineChars="246"/>
        <w:jc w:val="center"/>
        <w:rPr>
          <w:rFonts w:ascii="宋体" w:hAnsi="宋体" w:cs="宋体"/>
          <w:b/>
          <w:color w:val="000000" w:themeColor="text1"/>
          <w:sz w:val="32"/>
          <w14:textFill>
            <w14:solidFill>
              <w14:schemeClr w14:val="tx1"/>
            </w14:solidFill>
          </w14:textFill>
        </w:rPr>
      </w:pPr>
    </w:p>
    <w:p>
      <w:pPr>
        <w:spacing w:line="360" w:lineRule="auto"/>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格式2-2</w:t>
      </w:r>
    </w:p>
    <w:p>
      <w:pPr>
        <w:widowControl/>
        <w:spacing w:line="360" w:lineRule="atLeast"/>
        <w:jc w:val="center"/>
        <w:outlineLvl w:val="2"/>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一、投标函</w:t>
      </w:r>
      <w:bookmarkEnd w:id="126"/>
      <w:bookmarkEnd w:id="127"/>
    </w:p>
    <w:p>
      <w:pPr>
        <w:widowControl/>
        <w:spacing w:line="360" w:lineRule="atLeast"/>
        <w:jc w:val="center"/>
        <w:rPr>
          <w:rFonts w:ascii="宋体" w:hAnsi="宋体" w:cs="宋体"/>
          <w:b/>
          <w:color w:val="000000" w:themeColor="text1"/>
          <w:sz w:val="24"/>
          <w14:textFill>
            <w14:solidFill>
              <w14:schemeClr w14:val="tx1"/>
            </w14:solidFill>
          </w14:textFill>
        </w:rPr>
      </w:pPr>
    </w:p>
    <w:p>
      <w:pPr>
        <w:widowControl/>
        <w:spacing w:line="360" w:lineRule="atLeas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XXXX（采购代理机构名称）：</w:t>
      </w: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我方全面研究了“</w:t>
      </w:r>
      <w:r>
        <w:rPr>
          <w:rFonts w:hint="eastAsia" w:ascii="宋体" w:hAnsi="宋体" w:cs="宋体"/>
          <w:color w:val="000000" w:themeColor="text1"/>
          <w:sz w:val="24"/>
          <w:u w:val="single"/>
          <w14:textFill>
            <w14:solidFill>
              <w14:schemeClr w14:val="tx1"/>
            </w14:solidFill>
          </w14:textFill>
        </w:rPr>
        <w:t>XXXXXXXX</w:t>
      </w:r>
      <w:r>
        <w:rPr>
          <w:rFonts w:hint="eastAsia" w:ascii="宋体" w:hAnsi="宋体" w:cs="宋体"/>
          <w:color w:val="000000" w:themeColor="text1"/>
          <w:sz w:val="24"/>
          <w14:textFill>
            <w14:solidFill>
              <w14:schemeClr w14:val="tx1"/>
            </w14:solidFill>
          </w14:textFill>
        </w:rPr>
        <w:t>”项目（招标编号：</w:t>
      </w:r>
      <w:r>
        <w:rPr>
          <w:rFonts w:hint="eastAsia" w:ascii="宋体" w:hAnsi="宋体" w:cs="宋体"/>
          <w:color w:val="000000" w:themeColor="text1"/>
          <w:sz w:val="24"/>
          <w:u w:val="single"/>
          <w14:textFill>
            <w14:solidFill>
              <w14:schemeClr w14:val="tx1"/>
            </w14:solidFill>
          </w14:textFill>
        </w:rPr>
        <w:t>XXXX</w:t>
      </w:r>
      <w:r>
        <w:rPr>
          <w:rFonts w:hint="eastAsia" w:ascii="宋体" w:hAnsi="宋体" w:cs="宋体"/>
          <w:color w:val="000000" w:themeColor="text1"/>
          <w:sz w:val="24"/>
          <w14:textFill>
            <w14:solidFill>
              <w14:schemeClr w14:val="tx1"/>
            </w14:solidFill>
          </w14:textFill>
        </w:rPr>
        <w:t>）招标文件，决定参加贵单位组织的本项目投标。我方授权</w:t>
      </w:r>
      <w:r>
        <w:rPr>
          <w:rFonts w:hint="eastAsia" w:ascii="宋体" w:hAnsi="宋体" w:cs="宋体"/>
          <w:color w:val="000000" w:themeColor="text1"/>
          <w:sz w:val="24"/>
          <w:u w:val="single"/>
          <w14:textFill>
            <w14:solidFill>
              <w14:schemeClr w14:val="tx1"/>
            </w14:solidFill>
          </w14:textFill>
        </w:rPr>
        <w:t>XXXX</w:t>
      </w:r>
      <w:r>
        <w:rPr>
          <w:rFonts w:hint="eastAsia" w:ascii="宋体" w:hAnsi="宋体" w:cs="宋体"/>
          <w:color w:val="000000" w:themeColor="text1"/>
          <w:sz w:val="24"/>
          <w14:textFill>
            <w14:solidFill>
              <w14:schemeClr w14:val="tx1"/>
            </w14:solidFill>
          </w14:textFill>
        </w:rPr>
        <w:t>（姓名、职务）代表我方</w:t>
      </w:r>
      <w:r>
        <w:rPr>
          <w:rFonts w:hint="eastAsia" w:ascii="宋体" w:hAnsi="宋体" w:cs="宋体"/>
          <w:color w:val="000000" w:themeColor="text1"/>
          <w:sz w:val="24"/>
          <w:u w:val="single"/>
          <w14:textFill>
            <w14:solidFill>
              <w14:schemeClr w14:val="tx1"/>
            </w14:solidFill>
          </w14:textFill>
        </w:rPr>
        <w:t>XXXXXXXX</w:t>
      </w:r>
      <w:r>
        <w:rPr>
          <w:rFonts w:hint="eastAsia" w:ascii="宋体" w:hAnsi="宋体" w:cs="宋体"/>
          <w:color w:val="000000" w:themeColor="text1"/>
          <w:sz w:val="24"/>
          <w14:textFill>
            <w14:solidFill>
              <w14:schemeClr w14:val="tx1"/>
            </w14:solidFill>
          </w14:textFill>
        </w:rPr>
        <w:t>（投标单位的名称）全权处理本项目投标的有关事宜。</w:t>
      </w: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一、我方自愿按照招标文件规定的各项要求向采购人提供所需服务。</w:t>
      </w: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二、一旦我方中标，我方将严格履行政府采购合同规定的责任和义务。</w:t>
      </w: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三、我方同意本次招标的投标有效期为投标截止时间届满后</w:t>
      </w:r>
      <w:r>
        <w:rPr>
          <w:rFonts w:hint="eastAsia" w:ascii="宋体" w:hAnsi="宋体" w:cs="宋体"/>
          <w:color w:val="000000" w:themeColor="text1"/>
          <w:sz w:val="24"/>
          <w:u w:val="single"/>
          <w14:textFill>
            <w14:solidFill>
              <w14:schemeClr w14:val="tx1"/>
            </w14:solidFill>
          </w14:textFill>
        </w:rPr>
        <w:t>XXXX</w:t>
      </w:r>
      <w:r>
        <w:rPr>
          <w:rFonts w:hint="eastAsia" w:ascii="宋体" w:hAnsi="宋体" w:cs="宋体"/>
          <w:color w:val="000000" w:themeColor="text1"/>
          <w:sz w:val="24"/>
          <w14:textFill>
            <w14:solidFill>
              <w14:schemeClr w14:val="tx1"/>
            </w14:solidFill>
          </w14:textFill>
        </w:rPr>
        <w:t>天，并同意招标文件中其他关于投标有效期的实质性要求。</w:t>
      </w: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四、我方愿意提供贵单位可能另外要求的，与投标有关的文件资料，并保证我方已提供和将要提供的文件资料是真实、准确的。</w:t>
      </w: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投标人名称：XXXX。</w:t>
      </w: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通讯地址：XXXX。</w:t>
      </w: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邮政编码：XXXX。</w:t>
      </w: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联系电话：XXXX。</w:t>
      </w: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传    真：XXXX。</w:t>
      </w: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期：XXXX年XXXX月XXXX日。</w:t>
      </w:r>
    </w:p>
    <w:p>
      <w:pPr>
        <w:spacing w:after="0" w:line="360" w:lineRule="auto"/>
        <w:rPr>
          <w:rFonts w:ascii="宋体" w:hAnsi="宋体" w:cs="宋体"/>
          <w:b/>
          <w:color w:val="000000" w:themeColor="text1"/>
          <w:sz w:val="32"/>
          <w:szCs w:val="32"/>
          <w14:textFill>
            <w14:solidFill>
              <w14:schemeClr w14:val="tx1"/>
            </w14:solidFill>
          </w14:textFill>
        </w:rPr>
      </w:pPr>
      <w:bookmarkStart w:id="128" w:name="_Toc308164824"/>
      <w:r>
        <w:rPr>
          <w:rFonts w:hint="eastAsia" w:ascii="宋体" w:hAnsi="宋体" w:cs="宋体"/>
          <w:b/>
          <w:color w:val="000000" w:themeColor="text1"/>
          <w:sz w:val="32"/>
          <w:szCs w:val="32"/>
          <w14:textFill>
            <w14:solidFill>
              <w14:schemeClr w14:val="tx1"/>
            </w14:solidFill>
          </w14:textFill>
        </w:rPr>
        <w:br w:type="page"/>
      </w:r>
      <w:r>
        <w:rPr>
          <w:rFonts w:hint="eastAsia" w:ascii="宋体" w:hAnsi="宋体" w:cs="宋体"/>
          <w:b/>
          <w:color w:val="000000" w:themeColor="text1"/>
          <w:sz w:val="32"/>
          <w:szCs w:val="32"/>
          <w14:textFill>
            <w14:solidFill>
              <w14:schemeClr w14:val="tx1"/>
            </w14:solidFill>
          </w14:textFill>
        </w:rPr>
        <w:t>格式2-3</w:t>
      </w:r>
    </w:p>
    <w:p>
      <w:pPr>
        <w:widowControl/>
        <w:spacing w:after="0" w:line="240" w:lineRule="auto"/>
        <w:jc w:val="center"/>
        <w:outlineLvl w:val="2"/>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二、承诺函</w:t>
      </w:r>
    </w:p>
    <w:p>
      <w:pPr>
        <w:widowControl/>
        <w:spacing w:after="0" w:line="240" w:lineRule="auto"/>
        <w:jc w:val="center"/>
        <w:rPr>
          <w:rFonts w:ascii="宋体" w:hAnsi="宋体" w:cs="宋体"/>
          <w:b/>
          <w:color w:val="000000" w:themeColor="text1"/>
          <w:sz w:val="24"/>
          <w14:textFill>
            <w14:solidFill>
              <w14:schemeClr w14:val="tx1"/>
            </w14:solidFill>
          </w14:textFill>
        </w:rPr>
      </w:pPr>
    </w:p>
    <w:p>
      <w:pPr>
        <w:widowControl/>
        <w:spacing w:after="0" w:line="24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XXXX（采购代理机构名称）：</w:t>
      </w:r>
    </w:p>
    <w:p>
      <w:pPr>
        <w:widowControl/>
        <w:spacing w:after="0" w:line="24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我方作为本次采购项目的投标人，根据招标文件要求，现郑重承诺如下：</w:t>
      </w:r>
    </w:p>
    <w:p>
      <w:pPr>
        <w:widowControl/>
        <w:spacing w:after="0" w:line="24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一、我方已认真阅读并接受本项目招标文件第二章的全部实质性要求，如对招标文件有异议，已依法进行维权救济，不存在对招标文件有异议的同时又参加投标以求侥幸中标或者为实现其他非法目的的行为。</w:t>
      </w:r>
    </w:p>
    <w:p>
      <w:pPr>
        <w:widowControl/>
        <w:spacing w:after="0" w:line="24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二、参加本次招标采购活动，不存在与单位负责人为同一人或者存在直接控股、管理关系的其他供应商参与同一合同项下的政府采购活动的行为。</w:t>
      </w:r>
    </w:p>
    <w:p>
      <w:pPr>
        <w:widowControl/>
        <w:spacing w:after="0" w:line="24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三、为采购项目提供整体设计、规范编制或者项目管理、监理、检测等服务的供应商，不得再参加该采购项目的其他采购活动，我方承诺不属于此类禁止参加本项目的供应商。</w:t>
      </w:r>
    </w:p>
    <w:p>
      <w:pPr>
        <w:widowControl/>
        <w:spacing w:after="0" w:line="24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四、参加本次招标采购活动，不存在和其他供应商在同一合同项下的采购项目中，同时委托同一个自然人、同一家庭的人员、同一单位的人员作为代理人的行为。</w:t>
      </w:r>
    </w:p>
    <w:p>
      <w:pPr>
        <w:widowControl/>
        <w:spacing w:after="0" w:line="24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五、投标文件中提供的能够给予我方带来优惠、好处的任何材料资料和技术、服务、商务、响应产品等响应承诺情况都是真实的、有效的、合法的。</w:t>
      </w:r>
    </w:p>
    <w:p>
      <w:pPr>
        <w:widowControl/>
        <w:spacing w:after="0" w:line="24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widowControl/>
        <w:spacing w:after="0" w:line="24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七、国家或行业主管部门对采购产品的技术标准、质量标准和资格资质条件等有强制性规定的，我方承诺符合其要求。</w:t>
      </w:r>
    </w:p>
    <w:p>
      <w:pPr>
        <w:widowControl/>
        <w:spacing w:after="0" w:line="24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八、参加本次招标采购活动，我方完全同意招标文件第二章关于“投标费用”、“合同分包”、“合同转包”、“履约保证金”的实质性要求，并承诺严格按照招标文件要求履行。</w:t>
      </w:r>
    </w:p>
    <w:p>
      <w:pPr>
        <w:widowControl/>
        <w:spacing w:after="0" w:line="24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九、在本次投标之前一周年内，投标人本次投标中对同一品牌同一型号相同配置的产品报价与其在中国境内其他地方的最低报价比例不得高于20%，我方承诺符合该要求。</w:t>
      </w:r>
    </w:p>
    <w:p>
      <w:pPr>
        <w:widowControl/>
        <w:spacing w:after="0" w:line="24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24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十一、本次投标报价是响应招标项目要求的全部工作内容的价格体现，包括完成本项目所需的一切费用。</w:t>
      </w:r>
    </w:p>
    <w:p>
      <w:pPr>
        <w:widowControl/>
        <w:spacing w:after="0" w:line="24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十二、与我方存在直接控股关系的单位为：XXX；存在管理关系单位为：XXX</w:t>
      </w:r>
    </w:p>
    <w:p>
      <w:pPr>
        <w:widowControl/>
        <w:spacing w:after="0" w:line="24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我方对上述承诺的内容事项真实性负责。如经查实上述承诺的内容事项存在虚假，我方愿意接受以提供虚假材料谋取中标追究法律责任。</w:t>
      </w:r>
    </w:p>
    <w:p>
      <w:pPr>
        <w:widowControl/>
        <w:spacing w:after="0" w:line="240" w:lineRule="auto"/>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投标人名称：XXXX。</w:t>
      </w:r>
    </w:p>
    <w:p>
      <w:pPr>
        <w:spacing w:after="0" w:line="240" w:lineRule="auto"/>
        <w:rPr>
          <w:rFonts w:ascii="宋体" w:hAnsi="宋体" w:cs="宋体"/>
          <w:b/>
          <w:color w:val="000000" w:themeColor="text1"/>
          <w:sz w:val="32"/>
          <w:szCs w:val="32"/>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日    期：XXXX。</w:t>
      </w:r>
      <w:r>
        <w:rPr>
          <w:rFonts w:hint="eastAsia" w:ascii="宋体" w:hAnsi="宋体" w:cs="宋体"/>
          <w:b/>
          <w:color w:val="000000" w:themeColor="text1"/>
          <w:sz w:val="32"/>
          <w:szCs w:val="32"/>
          <w14:textFill>
            <w14:solidFill>
              <w14:schemeClr w14:val="tx1"/>
            </w14:solidFill>
          </w14:textFill>
        </w:rPr>
        <w:br w:type="page"/>
      </w:r>
      <w:r>
        <w:rPr>
          <w:rFonts w:hint="eastAsia" w:ascii="宋体" w:hAnsi="宋体" w:cs="宋体"/>
          <w:b/>
          <w:color w:val="000000" w:themeColor="text1"/>
          <w:sz w:val="32"/>
          <w:szCs w:val="32"/>
          <w14:textFill>
            <w14:solidFill>
              <w14:schemeClr w14:val="tx1"/>
            </w14:solidFill>
          </w14:textFill>
        </w:rPr>
        <w:t>格式2-4</w:t>
      </w:r>
    </w:p>
    <w:bookmarkEnd w:id="96"/>
    <w:bookmarkEnd w:id="128"/>
    <w:p>
      <w:pPr>
        <w:spacing w:line="400" w:lineRule="exact"/>
        <w:jc w:val="center"/>
        <w:outlineLvl w:val="2"/>
        <w:rPr>
          <w:rFonts w:ascii="宋体" w:hAnsi="宋体" w:cs="宋体"/>
          <w:b/>
          <w:color w:val="000000" w:themeColor="text1"/>
          <w:sz w:val="32"/>
          <w:szCs w:val="32"/>
          <w14:textFill>
            <w14:solidFill>
              <w14:schemeClr w14:val="tx1"/>
            </w14:solidFill>
          </w14:textFill>
        </w:rPr>
      </w:pPr>
      <w:bookmarkStart w:id="129" w:name="_Toc217446085"/>
      <w:r>
        <w:rPr>
          <w:rFonts w:hint="eastAsia" w:ascii="宋体" w:hAnsi="宋体" w:cs="宋体"/>
          <w:b/>
          <w:color w:val="000000" w:themeColor="text1"/>
          <w:sz w:val="32"/>
          <w:szCs w:val="32"/>
          <w14:textFill>
            <w14:solidFill>
              <w14:schemeClr w14:val="tx1"/>
            </w14:solidFill>
          </w14:textFill>
        </w:rPr>
        <w:t>三、开标一览表</w:t>
      </w:r>
      <w:bookmarkEnd w:id="129"/>
    </w:p>
    <w:p>
      <w:pPr>
        <w:pStyle w:val="2"/>
        <w:rPr>
          <w:rFonts w:ascii="宋体" w:hAnsi="宋体" w:cs="宋体"/>
          <w:color w:val="000000" w:themeColor="text1"/>
          <w14:textFill>
            <w14:solidFill>
              <w14:schemeClr w14:val="tx1"/>
            </w14:solidFill>
          </w14:textFill>
        </w:rPr>
      </w:pPr>
    </w:p>
    <w:tbl>
      <w:tblPr>
        <w:tblStyle w:val="28"/>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354"/>
        <w:gridCol w:w="1386"/>
        <w:gridCol w:w="2036"/>
        <w:gridCol w:w="3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819" w:type="dxa"/>
            <w:vAlign w:val="center"/>
          </w:tcPr>
          <w:p>
            <w:pPr>
              <w:widowControl/>
              <w:spacing w:line="360" w:lineRule="auto"/>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序号</w:t>
            </w:r>
          </w:p>
        </w:tc>
        <w:tc>
          <w:tcPr>
            <w:tcW w:w="2740" w:type="dxa"/>
            <w:gridSpan w:val="2"/>
            <w:vAlign w:val="center"/>
          </w:tcPr>
          <w:p>
            <w:pPr>
              <w:widowControl/>
              <w:spacing w:line="360" w:lineRule="auto"/>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服务内容</w:t>
            </w:r>
          </w:p>
        </w:tc>
        <w:tc>
          <w:tcPr>
            <w:tcW w:w="2036" w:type="dxa"/>
            <w:vAlign w:val="center"/>
          </w:tcPr>
          <w:p>
            <w:pPr>
              <w:spacing w:line="360" w:lineRule="auto"/>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服务时间</w:t>
            </w:r>
          </w:p>
        </w:tc>
        <w:tc>
          <w:tcPr>
            <w:tcW w:w="3625" w:type="dxa"/>
            <w:vAlign w:val="center"/>
          </w:tcPr>
          <w:p>
            <w:pPr>
              <w:widowControl/>
              <w:spacing w:line="360" w:lineRule="auto"/>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报价（万元）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819" w:type="dxa"/>
            <w:vAlign w:val="center"/>
          </w:tcPr>
          <w:p>
            <w:pPr>
              <w:widowControl/>
              <w:spacing w:line="360" w:lineRule="auto"/>
              <w:jc w:val="center"/>
              <w:rPr>
                <w:rFonts w:ascii="宋体" w:hAnsi="宋体" w:cs="宋体"/>
                <w:bCs/>
                <w:color w:val="000000" w:themeColor="text1"/>
                <w:kern w:val="0"/>
                <w:sz w:val="24"/>
                <w14:textFill>
                  <w14:solidFill>
                    <w14:schemeClr w14:val="tx1"/>
                  </w14:solidFill>
                </w14:textFill>
              </w:rPr>
            </w:pPr>
          </w:p>
        </w:tc>
        <w:tc>
          <w:tcPr>
            <w:tcW w:w="2740" w:type="dxa"/>
            <w:gridSpan w:val="2"/>
            <w:vAlign w:val="center"/>
          </w:tcPr>
          <w:p>
            <w:pPr>
              <w:widowControl/>
              <w:spacing w:line="360" w:lineRule="auto"/>
              <w:jc w:val="center"/>
              <w:rPr>
                <w:rFonts w:ascii="宋体" w:hAnsi="宋体" w:cs="宋体"/>
                <w:bCs/>
                <w:color w:val="000000" w:themeColor="text1"/>
                <w:kern w:val="0"/>
                <w:sz w:val="24"/>
                <w14:textFill>
                  <w14:solidFill>
                    <w14:schemeClr w14:val="tx1"/>
                  </w14:solidFill>
                </w14:textFill>
              </w:rPr>
            </w:pPr>
          </w:p>
        </w:tc>
        <w:tc>
          <w:tcPr>
            <w:tcW w:w="2036" w:type="dxa"/>
            <w:vAlign w:val="center"/>
          </w:tcPr>
          <w:p>
            <w:pPr>
              <w:spacing w:line="360" w:lineRule="auto"/>
              <w:jc w:val="center"/>
              <w:rPr>
                <w:rFonts w:ascii="宋体" w:hAnsi="宋体" w:cs="宋体"/>
                <w:bCs/>
                <w:color w:val="000000" w:themeColor="text1"/>
                <w:kern w:val="0"/>
                <w:sz w:val="24"/>
                <w14:textFill>
                  <w14:solidFill>
                    <w14:schemeClr w14:val="tx1"/>
                  </w14:solidFill>
                </w14:textFill>
              </w:rPr>
            </w:pPr>
          </w:p>
        </w:tc>
        <w:tc>
          <w:tcPr>
            <w:tcW w:w="3625" w:type="dxa"/>
            <w:vAlign w:val="center"/>
          </w:tcPr>
          <w:p>
            <w:pPr>
              <w:widowControl/>
              <w:spacing w:line="360" w:lineRule="auto"/>
              <w:jc w:val="center"/>
              <w:rPr>
                <w:rFonts w:ascii="宋体" w:hAnsi="宋体" w:cs="宋体"/>
                <w:bCs/>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819" w:type="dxa"/>
            <w:vAlign w:val="center"/>
          </w:tcPr>
          <w:p>
            <w:pPr>
              <w:widowControl/>
              <w:spacing w:line="360" w:lineRule="auto"/>
              <w:jc w:val="center"/>
              <w:rPr>
                <w:rFonts w:ascii="宋体" w:hAnsi="宋体" w:cs="宋体"/>
                <w:bCs/>
                <w:color w:val="000000" w:themeColor="text1"/>
                <w:kern w:val="0"/>
                <w:sz w:val="24"/>
                <w14:textFill>
                  <w14:solidFill>
                    <w14:schemeClr w14:val="tx1"/>
                  </w14:solidFill>
                </w14:textFill>
              </w:rPr>
            </w:pPr>
          </w:p>
        </w:tc>
        <w:tc>
          <w:tcPr>
            <w:tcW w:w="2740" w:type="dxa"/>
            <w:gridSpan w:val="2"/>
            <w:vAlign w:val="center"/>
          </w:tcPr>
          <w:p>
            <w:pPr>
              <w:widowControl/>
              <w:spacing w:line="360" w:lineRule="auto"/>
              <w:jc w:val="center"/>
              <w:rPr>
                <w:rFonts w:ascii="宋体" w:hAnsi="宋体" w:cs="宋体"/>
                <w:bCs/>
                <w:color w:val="000000" w:themeColor="text1"/>
                <w:kern w:val="0"/>
                <w:sz w:val="24"/>
                <w14:textFill>
                  <w14:solidFill>
                    <w14:schemeClr w14:val="tx1"/>
                  </w14:solidFill>
                </w14:textFill>
              </w:rPr>
            </w:pPr>
          </w:p>
        </w:tc>
        <w:tc>
          <w:tcPr>
            <w:tcW w:w="2036" w:type="dxa"/>
            <w:vAlign w:val="center"/>
          </w:tcPr>
          <w:p>
            <w:pPr>
              <w:spacing w:line="360" w:lineRule="auto"/>
              <w:jc w:val="center"/>
              <w:rPr>
                <w:rFonts w:ascii="宋体" w:hAnsi="宋体" w:cs="宋体"/>
                <w:bCs/>
                <w:color w:val="000000" w:themeColor="text1"/>
                <w:kern w:val="0"/>
                <w:sz w:val="24"/>
                <w14:textFill>
                  <w14:solidFill>
                    <w14:schemeClr w14:val="tx1"/>
                  </w14:solidFill>
                </w14:textFill>
              </w:rPr>
            </w:pPr>
          </w:p>
        </w:tc>
        <w:tc>
          <w:tcPr>
            <w:tcW w:w="3625" w:type="dxa"/>
            <w:vAlign w:val="center"/>
          </w:tcPr>
          <w:p>
            <w:pPr>
              <w:widowControl/>
              <w:spacing w:line="360" w:lineRule="auto"/>
              <w:jc w:val="center"/>
              <w:rPr>
                <w:rFonts w:ascii="宋体" w:hAnsi="宋体" w:cs="宋体"/>
                <w:bCs/>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819" w:type="dxa"/>
            <w:vAlign w:val="center"/>
          </w:tcPr>
          <w:p>
            <w:pPr>
              <w:widowControl/>
              <w:spacing w:line="360" w:lineRule="auto"/>
              <w:jc w:val="center"/>
              <w:rPr>
                <w:rFonts w:ascii="宋体" w:hAnsi="宋体" w:cs="宋体"/>
                <w:bCs/>
                <w:color w:val="000000" w:themeColor="text1"/>
                <w:kern w:val="0"/>
                <w:sz w:val="24"/>
                <w14:textFill>
                  <w14:solidFill>
                    <w14:schemeClr w14:val="tx1"/>
                  </w14:solidFill>
                </w14:textFill>
              </w:rPr>
            </w:pPr>
          </w:p>
        </w:tc>
        <w:tc>
          <w:tcPr>
            <w:tcW w:w="2740" w:type="dxa"/>
            <w:gridSpan w:val="2"/>
            <w:vAlign w:val="center"/>
          </w:tcPr>
          <w:p>
            <w:pPr>
              <w:widowControl/>
              <w:spacing w:line="360" w:lineRule="auto"/>
              <w:jc w:val="center"/>
              <w:rPr>
                <w:rFonts w:ascii="宋体" w:hAnsi="宋体" w:cs="宋体"/>
                <w:bCs/>
                <w:color w:val="000000" w:themeColor="text1"/>
                <w:kern w:val="0"/>
                <w:sz w:val="24"/>
                <w14:textFill>
                  <w14:solidFill>
                    <w14:schemeClr w14:val="tx1"/>
                  </w14:solidFill>
                </w14:textFill>
              </w:rPr>
            </w:pPr>
          </w:p>
        </w:tc>
        <w:tc>
          <w:tcPr>
            <w:tcW w:w="2036" w:type="dxa"/>
            <w:vAlign w:val="center"/>
          </w:tcPr>
          <w:p>
            <w:pPr>
              <w:spacing w:line="360" w:lineRule="auto"/>
              <w:jc w:val="center"/>
              <w:rPr>
                <w:rFonts w:ascii="宋体" w:hAnsi="宋体" w:cs="宋体"/>
                <w:bCs/>
                <w:color w:val="000000" w:themeColor="text1"/>
                <w:kern w:val="0"/>
                <w:sz w:val="24"/>
                <w14:textFill>
                  <w14:solidFill>
                    <w14:schemeClr w14:val="tx1"/>
                  </w14:solidFill>
                </w14:textFill>
              </w:rPr>
            </w:pPr>
          </w:p>
        </w:tc>
        <w:tc>
          <w:tcPr>
            <w:tcW w:w="3625" w:type="dxa"/>
            <w:vAlign w:val="center"/>
          </w:tcPr>
          <w:p>
            <w:pPr>
              <w:widowControl/>
              <w:spacing w:line="360" w:lineRule="auto"/>
              <w:jc w:val="center"/>
              <w:rPr>
                <w:rFonts w:ascii="宋体" w:hAnsi="宋体" w:cs="宋体"/>
                <w:bCs/>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5595" w:type="dxa"/>
            <w:gridSpan w:val="4"/>
            <w:vAlign w:val="center"/>
          </w:tcPr>
          <w:p>
            <w:pPr>
              <w:widowControl/>
              <w:spacing w:line="360" w:lineRule="auto"/>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合  计(万元)</w:t>
            </w:r>
          </w:p>
        </w:tc>
        <w:tc>
          <w:tcPr>
            <w:tcW w:w="3625" w:type="dxa"/>
            <w:vAlign w:val="center"/>
          </w:tcPr>
          <w:p>
            <w:pPr>
              <w:widowControl/>
              <w:spacing w:line="360" w:lineRule="auto"/>
              <w:rPr>
                <w:rFonts w:ascii="宋体" w:hAnsi="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2173" w:type="dxa"/>
            <w:gridSpan w:val="2"/>
            <w:vAlign w:val="center"/>
          </w:tcPr>
          <w:p>
            <w:pPr>
              <w:widowControl/>
              <w:spacing w:line="360" w:lineRule="auto"/>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投标总价</w:t>
            </w:r>
          </w:p>
        </w:tc>
        <w:tc>
          <w:tcPr>
            <w:tcW w:w="7047" w:type="dxa"/>
            <w:gridSpan w:val="3"/>
            <w:vAlign w:val="center"/>
          </w:tcPr>
          <w:p>
            <w:pPr>
              <w:widowControl/>
              <w:spacing w:line="360" w:lineRule="auto"/>
              <w:rPr>
                <w:rFonts w:ascii="宋体" w:hAnsi="宋体" w:cs="宋体"/>
                <w:color w:val="000000" w:themeColor="text1"/>
                <w:kern w:val="0"/>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人民币大写：          （人民币小写：           万元）</w:t>
            </w:r>
          </w:p>
        </w:tc>
      </w:tr>
    </w:tbl>
    <w:p>
      <w:pPr>
        <w:widowControl/>
        <w:spacing w:line="360" w:lineRule="atLeast"/>
        <w:jc w:val="left"/>
        <w:rPr>
          <w:rFonts w:ascii="宋体" w:hAnsi="宋体" w:cs="宋体"/>
          <w:color w:val="000000" w:themeColor="text1"/>
          <w:sz w:val="24"/>
          <w14:textFill>
            <w14:solidFill>
              <w14:schemeClr w14:val="tx1"/>
            </w14:solidFill>
          </w14:textFill>
        </w:rPr>
      </w:pP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注：1. 报价应是最终用户验收合格后的总价，包括人工、保险、代理、培训、税费等实施本次采购项目的所有费用。 </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2.“开标一览表”以包为单位填写。</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3.如是进口设备，须在表格中标明“进口”。招标文件未明确“允许进口”的，供应商以进口产品进行投标时，将视为无效投标。</w:t>
      </w: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投标人名称：XXXX。</w:t>
      </w:r>
    </w:p>
    <w:p>
      <w:pPr>
        <w:widowControl/>
        <w:spacing w:line="360" w:lineRule="atLeast"/>
        <w:ind w:firstLine="470" w:firstLineChars="196"/>
        <w:jc w:val="left"/>
        <w:rPr>
          <w:rFonts w:ascii="宋体" w:hAnsi="宋体" w:cs="宋体"/>
          <w:b/>
          <w:color w:val="000000" w:themeColor="text1"/>
          <w:sz w:val="24"/>
          <w14:textFill>
            <w14:solidFill>
              <w14:schemeClr w14:val="tx1"/>
            </w14:solidFill>
          </w14:textFill>
        </w:rPr>
        <w:sectPr>
          <w:pgSz w:w="11907" w:h="16840"/>
          <w:pgMar w:top="1440" w:right="1559" w:bottom="1440" w:left="1559" w:header="851" w:footer="992" w:gutter="0"/>
          <w:cols w:space="720" w:num="1"/>
          <w:docGrid w:linePitch="312" w:charSpace="0"/>
        </w:sectPr>
      </w:pPr>
      <w:r>
        <w:rPr>
          <w:rFonts w:hint="eastAsia" w:ascii="宋体" w:hAnsi="宋体" w:cs="宋体"/>
          <w:color w:val="000000" w:themeColor="text1"/>
          <w:sz w:val="24"/>
          <w14:textFill>
            <w14:solidFill>
              <w14:schemeClr w14:val="tx1"/>
            </w14:solidFill>
          </w14:textFill>
        </w:rPr>
        <w:t>投标日期：XXXX。</w:t>
      </w:r>
    </w:p>
    <w:p>
      <w:pPr>
        <w:spacing w:after="0" w:line="360" w:lineRule="auto"/>
        <w:rPr>
          <w:rFonts w:ascii="宋体" w:hAnsi="宋体" w:cs="宋体"/>
          <w:b/>
          <w:color w:val="000000" w:themeColor="text1"/>
          <w:sz w:val="32"/>
          <w:szCs w:val="32"/>
          <w14:textFill>
            <w14:solidFill>
              <w14:schemeClr w14:val="tx1"/>
            </w14:solidFill>
          </w14:textFill>
        </w:rPr>
      </w:pPr>
      <w:bookmarkStart w:id="130" w:name="_Toc217446086"/>
      <w:r>
        <w:rPr>
          <w:rFonts w:hint="eastAsia" w:ascii="宋体" w:hAnsi="宋体" w:cs="宋体"/>
          <w:b/>
          <w:color w:val="000000" w:themeColor="text1"/>
          <w:sz w:val="32"/>
          <w:szCs w:val="32"/>
          <w14:textFill>
            <w14:solidFill>
              <w14:schemeClr w14:val="tx1"/>
            </w14:solidFill>
          </w14:textFill>
        </w:rPr>
        <w:t>格式2-5</w:t>
      </w:r>
    </w:p>
    <w:p>
      <w:pPr>
        <w:widowControl/>
        <w:spacing w:after="0" w:line="360" w:lineRule="atLeast"/>
        <w:jc w:val="center"/>
        <w:outlineLvl w:val="2"/>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四、分项报价明细表</w:t>
      </w:r>
      <w:bookmarkEnd w:id="130"/>
    </w:p>
    <w:p>
      <w:pPr>
        <w:widowControl/>
        <w:spacing w:after="0" w:line="360" w:lineRule="atLeast"/>
        <w:ind w:firstLine="472" w:firstLineChars="196"/>
        <w:jc w:val="left"/>
        <w:rPr>
          <w:rFonts w:ascii="宋体" w:hAnsi="宋体" w:cs="宋体"/>
          <w:b/>
          <w:color w:val="000000" w:themeColor="text1"/>
          <w:sz w:val="24"/>
          <w14:textFill>
            <w14:solidFill>
              <w14:schemeClr w14:val="tx1"/>
            </w14:solidFill>
          </w14:textFill>
        </w:rPr>
      </w:pPr>
    </w:p>
    <w:p>
      <w:pPr>
        <w:widowControl/>
        <w:spacing w:after="0" w:line="360" w:lineRule="atLeast"/>
        <w:ind w:firstLine="470" w:firstLineChars="196"/>
        <w:jc w:val="left"/>
        <w:rPr>
          <w:rFonts w:ascii="宋体" w:hAnsi="宋体" w:cs="宋体"/>
          <w:color w:val="000000" w:themeColor="text1"/>
          <w:sz w:val="24"/>
          <w14:textFill>
            <w14:solidFill>
              <w14:schemeClr w14:val="tx1"/>
            </w14:solidFill>
          </w14:textFill>
        </w:rPr>
      </w:pP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4190"/>
        <w:gridCol w:w="3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6"/>
              <w:spacing w:before="120" w:beforeLines="50" w:after="0" w:line="360" w:lineRule="auto"/>
              <w:jc w:val="center"/>
              <w:rPr>
                <w:rFonts w:hAnsi="宋体" w:cs="宋体"/>
                <w:color w:val="000000" w:themeColor="text1"/>
                <w:kern w:val="0"/>
                <w:sz w:val="24"/>
                <w14:textFill>
                  <w14:solidFill>
                    <w14:schemeClr w14:val="tx1"/>
                  </w14:solidFill>
                </w14:textFill>
              </w:rPr>
            </w:pPr>
            <w:r>
              <w:rPr>
                <w:rFonts w:hint="eastAsia" w:hAnsi="宋体" w:cs="宋体"/>
                <w:color w:val="000000" w:themeColor="text1"/>
                <w:kern w:val="0"/>
                <w:sz w:val="24"/>
                <w14:textFill>
                  <w14:solidFill>
                    <w14:schemeClr w14:val="tx1"/>
                  </w14:solidFill>
                </w14:textFill>
              </w:rPr>
              <w:t>序号</w:t>
            </w:r>
          </w:p>
        </w:tc>
        <w:tc>
          <w:tcPr>
            <w:tcW w:w="4190" w:type="dxa"/>
            <w:vAlign w:val="center"/>
          </w:tcPr>
          <w:p>
            <w:pPr>
              <w:pStyle w:val="16"/>
              <w:spacing w:before="120" w:beforeLines="50" w:after="0" w:line="360" w:lineRule="auto"/>
              <w:jc w:val="center"/>
              <w:rPr>
                <w:rFonts w:hAnsi="宋体" w:cs="宋体"/>
                <w:color w:val="000000" w:themeColor="text1"/>
                <w:kern w:val="0"/>
                <w:sz w:val="24"/>
                <w14:textFill>
                  <w14:solidFill>
                    <w14:schemeClr w14:val="tx1"/>
                  </w14:solidFill>
                </w14:textFill>
              </w:rPr>
            </w:pPr>
            <w:r>
              <w:rPr>
                <w:rFonts w:hint="eastAsia" w:hAnsi="宋体" w:cs="宋体"/>
                <w:color w:val="000000" w:themeColor="text1"/>
                <w:kern w:val="0"/>
                <w:sz w:val="24"/>
                <w14:textFill>
                  <w14:solidFill>
                    <w14:schemeClr w14:val="tx1"/>
                  </w14:solidFill>
                </w14:textFill>
              </w:rPr>
              <w:t>服务内容</w:t>
            </w:r>
          </w:p>
        </w:tc>
        <w:tc>
          <w:tcPr>
            <w:tcW w:w="3556" w:type="dxa"/>
            <w:vAlign w:val="center"/>
          </w:tcPr>
          <w:p>
            <w:pPr>
              <w:pStyle w:val="16"/>
              <w:spacing w:before="120" w:beforeLines="50" w:after="0" w:line="360" w:lineRule="auto"/>
              <w:jc w:val="center"/>
              <w:rPr>
                <w:rFonts w:hAnsi="宋体" w:cs="宋体"/>
                <w:color w:val="000000" w:themeColor="text1"/>
                <w:kern w:val="0"/>
                <w:sz w:val="24"/>
                <w14:textFill>
                  <w14:solidFill>
                    <w14:schemeClr w14:val="tx1"/>
                  </w14:solidFill>
                </w14:textFill>
              </w:rPr>
            </w:pPr>
            <w:r>
              <w:rPr>
                <w:rFonts w:hint="eastAsia" w:hAnsi="宋体" w:cs="宋体"/>
                <w:color w:val="000000" w:themeColor="text1"/>
                <w:kern w:val="0"/>
                <w:sz w:val="24"/>
                <w14:textFill>
                  <w14:solidFill>
                    <w14:schemeClr w14:val="tx1"/>
                  </w14:solidFill>
                </w14:textFill>
              </w:rPr>
              <w:t>单项价格（单位：万元）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after="0"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4190" w:type="dxa"/>
            <w:vAlign w:val="center"/>
          </w:tcPr>
          <w:p>
            <w:pPr>
              <w:pStyle w:val="16"/>
              <w:spacing w:after="0" w:line="360" w:lineRule="auto"/>
              <w:jc w:val="center"/>
              <w:rPr>
                <w:rFonts w:hAnsi="宋体" w:cs="宋体"/>
                <w:color w:val="000000" w:themeColor="text1"/>
                <w:kern w:val="0"/>
                <w:sz w:val="24"/>
                <w14:textFill>
                  <w14:solidFill>
                    <w14:schemeClr w14:val="tx1"/>
                  </w14:solidFill>
                </w14:textFill>
              </w:rPr>
            </w:pPr>
          </w:p>
        </w:tc>
        <w:tc>
          <w:tcPr>
            <w:tcW w:w="3556" w:type="dxa"/>
            <w:vAlign w:val="center"/>
          </w:tcPr>
          <w:p>
            <w:pPr>
              <w:pStyle w:val="16"/>
              <w:spacing w:after="0" w:line="360" w:lineRule="auto"/>
              <w:jc w:val="center"/>
              <w:rPr>
                <w:rFonts w:hAnsi="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after="0"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p>
        </w:tc>
        <w:tc>
          <w:tcPr>
            <w:tcW w:w="4190" w:type="dxa"/>
            <w:vAlign w:val="center"/>
          </w:tcPr>
          <w:p>
            <w:pPr>
              <w:pStyle w:val="16"/>
              <w:spacing w:after="0" w:line="360" w:lineRule="auto"/>
              <w:jc w:val="center"/>
              <w:rPr>
                <w:rFonts w:hAnsi="宋体" w:cs="宋体"/>
                <w:color w:val="000000" w:themeColor="text1"/>
                <w:kern w:val="0"/>
                <w:sz w:val="24"/>
                <w14:textFill>
                  <w14:solidFill>
                    <w14:schemeClr w14:val="tx1"/>
                  </w14:solidFill>
                </w14:textFill>
              </w:rPr>
            </w:pPr>
          </w:p>
        </w:tc>
        <w:tc>
          <w:tcPr>
            <w:tcW w:w="3556" w:type="dxa"/>
            <w:vAlign w:val="center"/>
          </w:tcPr>
          <w:p>
            <w:pPr>
              <w:pStyle w:val="16"/>
              <w:spacing w:after="0" w:line="360" w:lineRule="auto"/>
              <w:jc w:val="center"/>
              <w:rPr>
                <w:rFonts w:hAnsi="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after="0"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w:t>
            </w:r>
          </w:p>
        </w:tc>
        <w:tc>
          <w:tcPr>
            <w:tcW w:w="4190" w:type="dxa"/>
            <w:vAlign w:val="center"/>
          </w:tcPr>
          <w:p>
            <w:pPr>
              <w:pStyle w:val="16"/>
              <w:spacing w:after="0" w:line="360" w:lineRule="auto"/>
              <w:jc w:val="center"/>
              <w:rPr>
                <w:rFonts w:hAnsi="宋体" w:cs="宋体"/>
                <w:color w:val="000000" w:themeColor="text1"/>
                <w:kern w:val="0"/>
                <w:sz w:val="24"/>
                <w14:textFill>
                  <w14:solidFill>
                    <w14:schemeClr w14:val="tx1"/>
                  </w14:solidFill>
                </w14:textFill>
              </w:rPr>
            </w:pPr>
          </w:p>
        </w:tc>
        <w:tc>
          <w:tcPr>
            <w:tcW w:w="3556" w:type="dxa"/>
            <w:vAlign w:val="center"/>
          </w:tcPr>
          <w:p>
            <w:pPr>
              <w:pStyle w:val="16"/>
              <w:spacing w:after="0" w:line="360" w:lineRule="auto"/>
              <w:jc w:val="center"/>
              <w:rPr>
                <w:rFonts w:hAnsi="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58" w:type="dxa"/>
            <w:vAlign w:val="center"/>
          </w:tcPr>
          <w:p>
            <w:pPr>
              <w:pStyle w:val="16"/>
              <w:spacing w:after="0" w:line="360" w:lineRule="auto"/>
              <w:jc w:val="center"/>
              <w:rPr>
                <w:rFonts w:hAnsi="宋体" w:cs="宋体"/>
                <w:color w:val="000000" w:themeColor="text1"/>
                <w:kern w:val="0"/>
                <w:sz w:val="24"/>
                <w14:textFill>
                  <w14:solidFill>
                    <w14:schemeClr w14:val="tx1"/>
                  </w14:solidFill>
                </w14:textFill>
              </w:rPr>
            </w:pPr>
            <w:r>
              <w:rPr>
                <w:rFonts w:hint="eastAsia" w:hAnsi="宋体" w:cs="宋体"/>
                <w:color w:val="000000" w:themeColor="text1"/>
                <w:kern w:val="0"/>
                <w:sz w:val="24"/>
                <w14:textFill>
                  <w14:solidFill>
                    <w14:schemeClr w14:val="tx1"/>
                  </w14:solidFill>
                </w14:textFill>
              </w:rPr>
              <w:t>…</w:t>
            </w:r>
          </w:p>
        </w:tc>
        <w:tc>
          <w:tcPr>
            <w:tcW w:w="4190" w:type="dxa"/>
            <w:vAlign w:val="center"/>
          </w:tcPr>
          <w:p>
            <w:pPr>
              <w:pStyle w:val="16"/>
              <w:spacing w:after="0" w:line="360" w:lineRule="auto"/>
              <w:jc w:val="center"/>
              <w:rPr>
                <w:rFonts w:hAnsi="宋体" w:cs="宋体"/>
                <w:color w:val="000000" w:themeColor="text1"/>
                <w:kern w:val="0"/>
                <w:sz w:val="24"/>
                <w14:textFill>
                  <w14:solidFill>
                    <w14:schemeClr w14:val="tx1"/>
                  </w14:solidFill>
                </w14:textFill>
              </w:rPr>
            </w:pPr>
          </w:p>
        </w:tc>
        <w:tc>
          <w:tcPr>
            <w:tcW w:w="3556" w:type="dxa"/>
            <w:vAlign w:val="center"/>
          </w:tcPr>
          <w:p>
            <w:pPr>
              <w:pStyle w:val="16"/>
              <w:spacing w:after="0" w:line="360" w:lineRule="auto"/>
              <w:jc w:val="center"/>
              <w:rPr>
                <w:rFonts w:hAnsi="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6"/>
              <w:spacing w:after="0" w:line="360" w:lineRule="auto"/>
              <w:jc w:val="center"/>
              <w:rPr>
                <w:rFonts w:hAnsi="宋体" w:cs="宋体"/>
                <w:color w:val="000000" w:themeColor="text1"/>
                <w:kern w:val="0"/>
                <w:sz w:val="24"/>
                <w14:textFill>
                  <w14:solidFill>
                    <w14:schemeClr w14:val="tx1"/>
                  </w14:solidFill>
                </w14:textFill>
              </w:rPr>
            </w:pPr>
          </w:p>
        </w:tc>
        <w:tc>
          <w:tcPr>
            <w:tcW w:w="4190" w:type="dxa"/>
            <w:vAlign w:val="center"/>
          </w:tcPr>
          <w:p>
            <w:pPr>
              <w:pStyle w:val="16"/>
              <w:spacing w:after="0" w:line="360" w:lineRule="auto"/>
              <w:jc w:val="center"/>
              <w:rPr>
                <w:rFonts w:hAnsi="宋体" w:cs="宋体"/>
                <w:color w:val="000000" w:themeColor="text1"/>
                <w:kern w:val="0"/>
                <w:sz w:val="24"/>
                <w14:textFill>
                  <w14:solidFill>
                    <w14:schemeClr w14:val="tx1"/>
                  </w14:solidFill>
                </w14:textFill>
              </w:rPr>
            </w:pPr>
          </w:p>
        </w:tc>
        <w:tc>
          <w:tcPr>
            <w:tcW w:w="3556" w:type="dxa"/>
            <w:vAlign w:val="center"/>
          </w:tcPr>
          <w:p>
            <w:pPr>
              <w:pStyle w:val="16"/>
              <w:spacing w:after="0" w:line="360" w:lineRule="auto"/>
              <w:jc w:val="center"/>
              <w:rPr>
                <w:rFonts w:hAnsi="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6"/>
              <w:spacing w:after="0" w:line="360" w:lineRule="auto"/>
              <w:jc w:val="center"/>
              <w:rPr>
                <w:rFonts w:hAnsi="宋体" w:cs="宋体"/>
                <w:color w:val="000000" w:themeColor="text1"/>
                <w:kern w:val="0"/>
                <w:sz w:val="24"/>
                <w14:textFill>
                  <w14:solidFill>
                    <w14:schemeClr w14:val="tx1"/>
                  </w14:solidFill>
                </w14:textFill>
              </w:rPr>
            </w:pPr>
          </w:p>
        </w:tc>
        <w:tc>
          <w:tcPr>
            <w:tcW w:w="4190" w:type="dxa"/>
            <w:vAlign w:val="center"/>
          </w:tcPr>
          <w:p>
            <w:pPr>
              <w:pStyle w:val="16"/>
              <w:spacing w:after="0" w:line="360" w:lineRule="auto"/>
              <w:jc w:val="center"/>
              <w:rPr>
                <w:rFonts w:hAnsi="宋体" w:cs="宋体"/>
                <w:color w:val="000000" w:themeColor="text1"/>
                <w:kern w:val="0"/>
                <w:sz w:val="24"/>
                <w14:textFill>
                  <w14:solidFill>
                    <w14:schemeClr w14:val="tx1"/>
                  </w14:solidFill>
                </w14:textFill>
              </w:rPr>
            </w:pPr>
          </w:p>
        </w:tc>
        <w:tc>
          <w:tcPr>
            <w:tcW w:w="3556" w:type="dxa"/>
            <w:vAlign w:val="center"/>
          </w:tcPr>
          <w:p>
            <w:pPr>
              <w:pStyle w:val="16"/>
              <w:spacing w:after="0" w:line="360" w:lineRule="auto"/>
              <w:jc w:val="center"/>
              <w:rPr>
                <w:rFonts w:hAnsi="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6"/>
              <w:spacing w:after="0" w:line="360" w:lineRule="auto"/>
              <w:jc w:val="center"/>
              <w:rPr>
                <w:rFonts w:hAnsi="宋体" w:cs="宋体"/>
                <w:color w:val="000000" w:themeColor="text1"/>
                <w:kern w:val="0"/>
                <w:sz w:val="24"/>
                <w14:textFill>
                  <w14:solidFill>
                    <w14:schemeClr w14:val="tx1"/>
                  </w14:solidFill>
                </w14:textFill>
              </w:rPr>
            </w:pPr>
          </w:p>
        </w:tc>
        <w:tc>
          <w:tcPr>
            <w:tcW w:w="4190" w:type="dxa"/>
            <w:vAlign w:val="center"/>
          </w:tcPr>
          <w:p>
            <w:pPr>
              <w:pStyle w:val="16"/>
              <w:spacing w:after="0" w:line="360" w:lineRule="auto"/>
              <w:jc w:val="center"/>
              <w:rPr>
                <w:rFonts w:hAnsi="宋体" w:cs="宋体"/>
                <w:color w:val="000000" w:themeColor="text1"/>
                <w:kern w:val="0"/>
                <w:sz w:val="24"/>
                <w14:textFill>
                  <w14:solidFill>
                    <w14:schemeClr w14:val="tx1"/>
                  </w14:solidFill>
                </w14:textFill>
              </w:rPr>
            </w:pPr>
          </w:p>
        </w:tc>
        <w:tc>
          <w:tcPr>
            <w:tcW w:w="3556" w:type="dxa"/>
            <w:vAlign w:val="center"/>
          </w:tcPr>
          <w:p>
            <w:pPr>
              <w:pStyle w:val="16"/>
              <w:spacing w:after="0" w:line="360" w:lineRule="auto"/>
              <w:jc w:val="center"/>
              <w:rPr>
                <w:rFonts w:hAnsi="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6"/>
              <w:spacing w:after="0" w:line="360" w:lineRule="auto"/>
              <w:jc w:val="center"/>
              <w:rPr>
                <w:rFonts w:hAnsi="宋体" w:cs="宋体"/>
                <w:color w:val="000000" w:themeColor="text1"/>
                <w:kern w:val="0"/>
                <w:sz w:val="24"/>
                <w14:textFill>
                  <w14:solidFill>
                    <w14:schemeClr w14:val="tx1"/>
                  </w14:solidFill>
                </w14:textFill>
              </w:rPr>
            </w:pPr>
          </w:p>
        </w:tc>
        <w:tc>
          <w:tcPr>
            <w:tcW w:w="4190" w:type="dxa"/>
            <w:vAlign w:val="center"/>
          </w:tcPr>
          <w:p>
            <w:pPr>
              <w:pStyle w:val="16"/>
              <w:spacing w:after="0" w:line="360" w:lineRule="auto"/>
              <w:jc w:val="center"/>
              <w:rPr>
                <w:rFonts w:hAnsi="宋体" w:cs="宋体"/>
                <w:color w:val="000000" w:themeColor="text1"/>
                <w:kern w:val="0"/>
                <w:sz w:val="24"/>
                <w14:textFill>
                  <w14:solidFill>
                    <w14:schemeClr w14:val="tx1"/>
                  </w14:solidFill>
                </w14:textFill>
              </w:rPr>
            </w:pPr>
          </w:p>
        </w:tc>
        <w:tc>
          <w:tcPr>
            <w:tcW w:w="3556" w:type="dxa"/>
            <w:vAlign w:val="center"/>
          </w:tcPr>
          <w:p>
            <w:pPr>
              <w:pStyle w:val="16"/>
              <w:spacing w:after="0" w:line="360" w:lineRule="auto"/>
              <w:jc w:val="center"/>
              <w:rPr>
                <w:rFonts w:hAnsi="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6"/>
              <w:spacing w:after="0" w:line="360" w:lineRule="auto"/>
              <w:jc w:val="center"/>
              <w:rPr>
                <w:rFonts w:hAnsi="宋体" w:cs="宋体"/>
                <w:color w:val="000000" w:themeColor="text1"/>
                <w:kern w:val="0"/>
                <w:sz w:val="24"/>
                <w14:textFill>
                  <w14:solidFill>
                    <w14:schemeClr w14:val="tx1"/>
                  </w14:solidFill>
                </w14:textFill>
              </w:rPr>
            </w:pPr>
          </w:p>
        </w:tc>
        <w:tc>
          <w:tcPr>
            <w:tcW w:w="4190" w:type="dxa"/>
            <w:vAlign w:val="center"/>
          </w:tcPr>
          <w:p>
            <w:pPr>
              <w:pStyle w:val="16"/>
              <w:spacing w:after="0" w:line="360" w:lineRule="auto"/>
              <w:jc w:val="center"/>
              <w:rPr>
                <w:rFonts w:hAnsi="宋体" w:cs="宋体"/>
                <w:color w:val="000000" w:themeColor="text1"/>
                <w:kern w:val="0"/>
                <w:sz w:val="24"/>
                <w14:textFill>
                  <w14:solidFill>
                    <w14:schemeClr w14:val="tx1"/>
                  </w14:solidFill>
                </w14:textFill>
              </w:rPr>
            </w:pPr>
          </w:p>
        </w:tc>
        <w:tc>
          <w:tcPr>
            <w:tcW w:w="3556" w:type="dxa"/>
            <w:vAlign w:val="center"/>
          </w:tcPr>
          <w:p>
            <w:pPr>
              <w:pStyle w:val="16"/>
              <w:spacing w:after="0" w:line="360" w:lineRule="auto"/>
              <w:jc w:val="center"/>
              <w:rPr>
                <w:rFonts w:hAnsi="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6"/>
              <w:spacing w:after="0" w:line="360" w:lineRule="auto"/>
              <w:jc w:val="center"/>
              <w:rPr>
                <w:rFonts w:hAnsi="宋体" w:cs="宋体"/>
                <w:color w:val="000000" w:themeColor="text1"/>
                <w:kern w:val="0"/>
                <w:sz w:val="24"/>
                <w14:textFill>
                  <w14:solidFill>
                    <w14:schemeClr w14:val="tx1"/>
                  </w14:solidFill>
                </w14:textFill>
              </w:rPr>
            </w:pPr>
          </w:p>
        </w:tc>
        <w:tc>
          <w:tcPr>
            <w:tcW w:w="4190" w:type="dxa"/>
            <w:vAlign w:val="center"/>
          </w:tcPr>
          <w:p>
            <w:pPr>
              <w:pStyle w:val="16"/>
              <w:spacing w:after="0" w:line="360" w:lineRule="auto"/>
              <w:jc w:val="center"/>
              <w:rPr>
                <w:rFonts w:hAnsi="宋体" w:cs="宋体"/>
                <w:color w:val="000000" w:themeColor="text1"/>
                <w:kern w:val="0"/>
                <w:sz w:val="24"/>
                <w14:textFill>
                  <w14:solidFill>
                    <w14:schemeClr w14:val="tx1"/>
                  </w14:solidFill>
                </w14:textFill>
              </w:rPr>
            </w:pPr>
          </w:p>
        </w:tc>
        <w:tc>
          <w:tcPr>
            <w:tcW w:w="3556" w:type="dxa"/>
            <w:vAlign w:val="center"/>
          </w:tcPr>
          <w:p>
            <w:pPr>
              <w:pStyle w:val="16"/>
              <w:spacing w:after="0" w:line="360" w:lineRule="auto"/>
              <w:jc w:val="center"/>
              <w:rPr>
                <w:rFonts w:hAnsi="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6"/>
              <w:spacing w:after="0" w:line="360" w:lineRule="auto"/>
              <w:jc w:val="center"/>
              <w:rPr>
                <w:rFonts w:hAnsi="宋体" w:cs="宋体"/>
                <w:color w:val="000000" w:themeColor="text1"/>
                <w:kern w:val="0"/>
                <w:sz w:val="24"/>
                <w14:textFill>
                  <w14:solidFill>
                    <w14:schemeClr w14:val="tx1"/>
                  </w14:solidFill>
                </w14:textFill>
              </w:rPr>
            </w:pPr>
          </w:p>
        </w:tc>
        <w:tc>
          <w:tcPr>
            <w:tcW w:w="4190" w:type="dxa"/>
            <w:vAlign w:val="center"/>
          </w:tcPr>
          <w:p>
            <w:pPr>
              <w:pStyle w:val="16"/>
              <w:spacing w:after="0" w:line="360" w:lineRule="auto"/>
              <w:jc w:val="center"/>
              <w:rPr>
                <w:rFonts w:hAnsi="宋体" w:cs="宋体"/>
                <w:color w:val="000000" w:themeColor="text1"/>
                <w:kern w:val="0"/>
                <w:sz w:val="24"/>
                <w14:textFill>
                  <w14:solidFill>
                    <w14:schemeClr w14:val="tx1"/>
                  </w14:solidFill>
                </w14:textFill>
              </w:rPr>
            </w:pPr>
          </w:p>
        </w:tc>
        <w:tc>
          <w:tcPr>
            <w:tcW w:w="3556" w:type="dxa"/>
            <w:vAlign w:val="center"/>
          </w:tcPr>
          <w:p>
            <w:pPr>
              <w:pStyle w:val="16"/>
              <w:spacing w:after="0" w:line="360" w:lineRule="auto"/>
              <w:jc w:val="center"/>
              <w:rPr>
                <w:rFonts w:hAnsi="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8" w:type="dxa"/>
            <w:gridSpan w:val="2"/>
            <w:vAlign w:val="center"/>
          </w:tcPr>
          <w:p>
            <w:pPr>
              <w:pStyle w:val="16"/>
              <w:spacing w:after="0" w:line="360" w:lineRule="auto"/>
              <w:ind w:firstLine="361" w:firstLineChars="150"/>
              <w:rPr>
                <w:rFonts w:hAnsi="宋体" w:cs="宋体"/>
                <w:b/>
                <w:color w:val="000000" w:themeColor="text1"/>
                <w:kern w:val="0"/>
                <w:sz w:val="24"/>
                <w14:textFill>
                  <w14:solidFill>
                    <w14:schemeClr w14:val="tx1"/>
                  </w14:solidFill>
                </w14:textFill>
              </w:rPr>
            </w:pPr>
            <w:r>
              <w:rPr>
                <w:rFonts w:hint="eastAsia" w:hAnsi="宋体" w:cs="宋体"/>
                <w:b/>
                <w:color w:val="000000" w:themeColor="text1"/>
                <w:kern w:val="0"/>
                <w:sz w:val="24"/>
                <w14:textFill>
                  <w14:solidFill>
                    <w14:schemeClr w14:val="tx1"/>
                  </w14:solidFill>
                </w14:textFill>
              </w:rPr>
              <w:t>总    价(万元)</w:t>
            </w:r>
          </w:p>
        </w:tc>
        <w:tc>
          <w:tcPr>
            <w:tcW w:w="3556" w:type="dxa"/>
            <w:vAlign w:val="center"/>
          </w:tcPr>
          <w:p>
            <w:pPr>
              <w:pStyle w:val="16"/>
              <w:spacing w:after="0" w:line="360" w:lineRule="auto"/>
              <w:jc w:val="center"/>
              <w:rPr>
                <w:rFonts w:hAnsi="宋体" w:cs="宋体"/>
                <w:color w:val="000000" w:themeColor="text1"/>
                <w:kern w:val="0"/>
                <w:sz w:val="24"/>
                <w14:textFill>
                  <w14:solidFill>
                    <w14:schemeClr w14:val="tx1"/>
                  </w14:solidFill>
                </w14:textFill>
              </w:rPr>
            </w:pPr>
          </w:p>
        </w:tc>
      </w:tr>
    </w:tbl>
    <w:p>
      <w:pPr>
        <w:widowControl/>
        <w:spacing w:after="0" w:line="360" w:lineRule="atLeast"/>
        <w:jc w:val="left"/>
        <w:rPr>
          <w:rFonts w:ascii="宋体" w:hAnsi="宋体" w:cs="宋体"/>
          <w:color w:val="000000" w:themeColor="text1"/>
          <w:sz w:val="24"/>
          <w14:textFill>
            <w14:solidFill>
              <w14:schemeClr w14:val="tx1"/>
            </w14:solidFill>
          </w14:textFill>
        </w:rPr>
      </w:pPr>
    </w:p>
    <w:p>
      <w:pPr>
        <w:widowControl/>
        <w:spacing w:after="0"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注：1.投标人应按“分项报价明细表”的格式详细报出投标总价的各个组成部分的报价。</w:t>
      </w:r>
    </w:p>
    <w:p>
      <w:pPr>
        <w:widowControl/>
        <w:spacing w:after="0"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2.“分项报价明细表”各分项报价合计应当与“开标一览表”报价合计相等。</w:t>
      </w:r>
    </w:p>
    <w:p>
      <w:pPr>
        <w:widowControl/>
        <w:spacing w:after="0" w:line="360" w:lineRule="atLeast"/>
        <w:ind w:firstLine="472" w:firstLineChars="196"/>
        <w:jc w:val="left"/>
        <w:rPr>
          <w:rFonts w:ascii="宋体" w:hAnsi="宋体" w:cs="宋体"/>
          <w:b/>
          <w:color w:val="000000" w:themeColor="text1"/>
          <w:sz w:val="24"/>
          <w14:textFill>
            <w14:solidFill>
              <w14:schemeClr w14:val="tx1"/>
            </w14:solidFill>
          </w14:textFill>
        </w:rPr>
      </w:pPr>
    </w:p>
    <w:p>
      <w:pPr>
        <w:widowControl/>
        <w:spacing w:after="0" w:line="360" w:lineRule="atLeast"/>
        <w:ind w:firstLine="472" w:firstLineChars="196"/>
        <w:jc w:val="left"/>
        <w:rPr>
          <w:rFonts w:ascii="宋体" w:hAnsi="宋体" w:cs="宋体"/>
          <w:b/>
          <w:color w:val="000000" w:themeColor="text1"/>
          <w:sz w:val="24"/>
          <w14:textFill>
            <w14:solidFill>
              <w14:schemeClr w14:val="tx1"/>
            </w14:solidFill>
          </w14:textFill>
        </w:rPr>
      </w:pPr>
    </w:p>
    <w:p>
      <w:pPr>
        <w:widowControl/>
        <w:spacing w:after="0"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投标人名称：XXXX。</w:t>
      </w:r>
    </w:p>
    <w:p>
      <w:pPr>
        <w:widowControl/>
        <w:spacing w:after="0"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投标日期：XXXX。</w:t>
      </w:r>
      <w:bookmarkStart w:id="131" w:name="_Toc217446087"/>
    </w:p>
    <w:p>
      <w:pPr>
        <w:widowControl/>
        <w:spacing w:line="360" w:lineRule="atLeast"/>
        <w:ind w:firstLine="470" w:firstLineChars="196"/>
        <w:jc w:val="left"/>
        <w:rPr>
          <w:rFonts w:ascii="宋体" w:hAnsi="宋体" w:cs="宋体"/>
          <w:b/>
          <w:color w:val="000000" w:themeColor="text1"/>
          <w:sz w:val="32"/>
          <w:szCs w:val="32"/>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r>
        <w:rPr>
          <w:rFonts w:hint="eastAsia" w:ascii="宋体" w:hAnsi="宋体" w:cs="宋体"/>
          <w:b/>
          <w:color w:val="000000" w:themeColor="text1"/>
          <w:sz w:val="32"/>
          <w:szCs w:val="32"/>
          <w14:textFill>
            <w14:solidFill>
              <w14:schemeClr w14:val="tx1"/>
            </w14:solidFill>
          </w14:textFill>
        </w:rPr>
        <w:t>格式2-6</w:t>
      </w:r>
    </w:p>
    <w:p>
      <w:pPr>
        <w:widowControl/>
        <w:spacing w:line="360" w:lineRule="atLeast"/>
        <w:jc w:val="center"/>
        <w:outlineLvl w:val="2"/>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五、商务应答表</w:t>
      </w:r>
      <w:bookmarkEnd w:id="131"/>
    </w:p>
    <w:p>
      <w:pPr>
        <w:widowControl/>
        <w:spacing w:line="360" w:lineRule="atLeast"/>
        <w:ind w:firstLine="472" w:firstLineChars="196"/>
        <w:jc w:val="left"/>
        <w:rPr>
          <w:rFonts w:ascii="宋体" w:hAnsi="宋体" w:cs="宋体"/>
          <w:b/>
          <w:color w:val="000000" w:themeColor="text1"/>
          <w:sz w:val="24"/>
          <w14:textFill>
            <w14:solidFill>
              <w14:schemeClr w14:val="tx1"/>
            </w14:solidFill>
          </w14:textFill>
        </w:rPr>
      </w:pP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招标编号：</w:t>
      </w:r>
    </w:p>
    <w:tbl>
      <w:tblPr>
        <w:tblStyle w:val="2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1516"/>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56" w:type="dxa"/>
            <w:vAlign w:val="center"/>
          </w:tcPr>
          <w:p>
            <w:pPr>
              <w:widowControl/>
              <w:spacing w:line="360" w:lineRule="atLeas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序号</w:t>
            </w:r>
          </w:p>
        </w:tc>
        <w:tc>
          <w:tcPr>
            <w:tcW w:w="956" w:type="dxa"/>
            <w:vAlign w:val="center"/>
          </w:tcPr>
          <w:p>
            <w:pPr>
              <w:widowControl/>
              <w:spacing w:line="360" w:lineRule="atLeas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包号</w:t>
            </w:r>
          </w:p>
        </w:tc>
        <w:tc>
          <w:tcPr>
            <w:tcW w:w="1516" w:type="dxa"/>
            <w:vAlign w:val="center"/>
          </w:tcPr>
          <w:p>
            <w:pPr>
              <w:widowControl/>
              <w:spacing w:line="360" w:lineRule="atLeas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招标要求</w:t>
            </w:r>
          </w:p>
        </w:tc>
        <w:tc>
          <w:tcPr>
            <w:tcW w:w="4852" w:type="dxa"/>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956"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516"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4852"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956"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516"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4852"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956"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516"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4852"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956"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516"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4852"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r>
    </w:tbl>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r>
        <w:rPr>
          <w:rFonts w:hint="eastAsia" w:ascii="宋体" w:hAnsi="宋体" w:cs="宋体"/>
          <w:color w:val="000000" w:themeColor="text1"/>
          <w:sz w:val="24"/>
          <w14:textFill>
            <w14:solidFill>
              <w14:schemeClr w14:val="tx1"/>
            </w14:solidFill>
          </w14:textFill>
        </w:rPr>
        <w:t>如与招标文件</w:t>
      </w:r>
      <w:r>
        <w:rPr>
          <w:rFonts w:hint="eastAsia" w:ascii="宋体" w:hAnsi="宋体" w:cs="宋体"/>
          <w:b/>
          <w:bCs/>
          <w:color w:val="000000" w:themeColor="text1"/>
          <w:sz w:val="24"/>
          <w14:textFill>
            <w14:solidFill>
              <w14:schemeClr w14:val="tx1"/>
            </w14:solidFill>
          </w14:textFill>
        </w:rPr>
        <w:t>第六章全部商务要求</w:t>
      </w:r>
      <w:r>
        <w:rPr>
          <w:rFonts w:hint="eastAsia" w:ascii="宋体" w:hAnsi="宋体" w:cs="宋体"/>
          <w:color w:val="000000" w:themeColor="text1"/>
          <w:sz w:val="24"/>
          <w14:textFill>
            <w14:solidFill>
              <w14:schemeClr w14:val="tx1"/>
            </w14:solidFill>
          </w14:textFill>
        </w:rPr>
        <w:t>的内容有偏离(包括正偏离和负偏离)，请将偏离条款逐条应答。如与招标文件第六章商务要求所有条款无偏离，则无须在此表中应答，视为默认完全响应和接受招标文件所有技术、商务要求，供应商不得以未作应答而拒不接受。供应商必须据实填写，不得虚假应答，否则将取消其中标资格</w:t>
      </w:r>
      <w:r>
        <w:rPr>
          <w:rFonts w:hint="eastAsia" w:asciiTheme="minorEastAsia" w:hAnsiTheme="minorEastAsia" w:eastAsiaTheme="minorEastAsia"/>
          <w:color w:val="000000" w:themeColor="text1"/>
          <w:sz w:val="24"/>
          <w14:textFill>
            <w14:solidFill>
              <w14:schemeClr w14:val="tx1"/>
            </w14:solidFill>
          </w14:textFill>
        </w:rPr>
        <w:t>。</w:t>
      </w: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投标人名称：XXXX。</w:t>
      </w: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投标日期: XXXX。</w:t>
      </w:r>
    </w:p>
    <w:p>
      <w:pPr>
        <w:spacing w:after="0" w:line="360" w:lineRule="auto"/>
        <w:rPr>
          <w:rFonts w:ascii="宋体" w:hAnsi="宋体" w:cs="宋体"/>
          <w:b/>
          <w:color w:val="000000" w:themeColor="text1"/>
          <w:sz w:val="32"/>
          <w:szCs w:val="32"/>
          <w14:textFill>
            <w14:solidFill>
              <w14:schemeClr w14:val="tx1"/>
            </w14:solidFill>
          </w14:textFill>
        </w:rPr>
      </w:pPr>
      <w:bookmarkStart w:id="132" w:name="_Toc217446088"/>
      <w:r>
        <w:rPr>
          <w:rFonts w:hint="eastAsia" w:ascii="宋体" w:hAnsi="宋体" w:cs="宋体"/>
          <w:b/>
          <w:color w:val="000000" w:themeColor="text1"/>
          <w:sz w:val="32"/>
          <w:szCs w:val="32"/>
          <w14:textFill>
            <w14:solidFill>
              <w14:schemeClr w14:val="tx1"/>
            </w14:solidFill>
          </w14:textFill>
        </w:rPr>
        <w:br w:type="page"/>
      </w:r>
      <w:r>
        <w:rPr>
          <w:rFonts w:hint="eastAsia" w:ascii="宋体" w:hAnsi="宋体" w:cs="宋体"/>
          <w:b/>
          <w:color w:val="000000" w:themeColor="text1"/>
          <w:sz w:val="32"/>
          <w:szCs w:val="32"/>
          <w14:textFill>
            <w14:solidFill>
              <w14:schemeClr w14:val="tx1"/>
            </w14:solidFill>
          </w14:textFill>
        </w:rPr>
        <w:t>格式2-7</w:t>
      </w:r>
    </w:p>
    <w:p>
      <w:pPr>
        <w:widowControl/>
        <w:spacing w:after="0" w:line="360" w:lineRule="atLeast"/>
        <w:jc w:val="center"/>
        <w:outlineLvl w:val="2"/>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六、投标人基本情况表</w:t>
      </w:r>
      <w:bookmarkEnd w:id="132"/>
    </w:p>
    <w:tbl>
      <w:tblPr>
        <w:tblStyle w:val="28"/>
        <w:tblW w:w="0" w:type="auto"/>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w:t>
            </w:r>
          </w:p>
        </w:tc>
        <w:tc>
          <w:tcPr>
            <w:tcW w:w="6693" w:type="dxa"/>
            <w:gridSpan w:val="7"/>
            <w:vAlign w:val="center"/>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注册地址</w:t>
            </w:r>
          </w:p>
        </w:tc>
        <w:tc>
          <w:tcPr>
            <w:tcW w:w="3443" w:type="dxa"/>
            <w:gridSpan w:val="3"/>
            <w:vAlign w:val="center"/>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p>
        </w:tc>
        <w:tc>
          <w:tcPr>
            <w:tcW w:w="1320" w:type="dxa"/>
            <w:vAlign w:val="center"/>
          </w:tcPr>
          <w:p>
            <w:pPr>
              <w:widowControl/>
              <w:spacing w:after="0" w:line="360" w:lineRule="atLeast"/>
              <w:jc w:val="left"/>
              <w:outlineLvl w:val="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邮政编码</w:t>
            </w:r>
          </w:p>
        </w:tc>
        <w:tc>
          <w:tcPr>
            <w:tcW w:w="1930" w:type="dxa"/>
            <w:gridSpan w:val="3"/>
            <w:vAlign w:val="center"/>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widowControl/>
              <w:spacing w:after="0" w:line="360" w:lineRule="atLeast"/>
              <w:jc w:val="left"/>
              <w:outlineLvl w:val="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联系方式</w:t>
            </w:r>
          </w:p>
        </w:tc>
        <w:tc>
          <w:tcPr>
            <w:tcW w:w="957" w:type="dxa"/>
            <w:vAlign w:val="center"/>
          </w:tcPr>
          <w:p>
            <w:pPr>
              <w:widowControl/>
              <w:spacing w:after="0" w:line="360" w:lineRule="atLeast"/>
              <w:jc w:val="left"/>
              <w:outlineLvl w:val="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联系人</w:t>
            </w:r>
          </w:p>
        </w:tc>
        <w:tc>
          <w:tcPr>
            <w:tcW w:w="2486" w:type="dxa"/>
            <w:gridSpan w:val="2"/>
            <w:vAlign w:val="center"/>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p>
        </w:tc>
        <w:tc>
          <w:tcPr>
            <w:tcW w:w="1320" w:type="dxa"/>
            <w:vAlign w:val="center"/>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电话</w:t>
            </w:r>
          </w:p>
        </w:tc>
        <w:tc>
          <w:tcPr>
            <w:tcW w:w="1930" w:type="dxa"/>
            <w:gridSpan w:val="3"/>
            <w:vAlign w:val="center"/>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spacing w:after="0"/>
              <w:rPr>
                <w:rFonts w:ascii="宋体" w:hAnsi="宋体" w:cs="宋体"/>
                <w:color w:val="000000" w:themeColor="text1"/>
                <w14:textFill>
                  <w14:solidFill>
                    <w14:schemeClr w14:val="tx1"/>
                  </w14:solidFill>
                </w14:textFill>
              </w:rPr>
            </w:pPr>
          </w:p>
        </w:tc>
        <w:tc>
          <w:tcPr>
            <w:tcW w:w="957" w:type="dxa"/>
            <w:vAlign w:val="center"/>
          </w:tcPr>
          <w:p>
            <w:pPr>
              <w:widowControl/>
              <w:spacing w:after="0" w:line="360" w:lineRule="atLeast"/>
              <w:jc w:val="left"/>
              <w:outlineLvl w:val="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传真</w:t>
            </w:r>
          </w:p>
        </w:tc>
        <w:tc>
          <w:tcPr>
            <w:tcW w:w="2486" w:type="dxa"/>
            <w:gridSpan w:val="2"/>
            <w:vAlign w:val="center"/>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p>
        </w:tc>
        <w:tc>
          <w:tcPr>
            <w:tcW w:w="1320" w:type="dxa"/>
            <w:vAlign w:val="center"/>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网址</w:t>
            </w:r>
          </w:p>
        </w:tc>
        <w:tc>
          <w:tcPr>
            <w:tcW w:w="1930" w:type="dxa"/>
            <w:gridSpan w:val="3"/>
            <w:vAlign w:val="center"/>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组织结构</w:t>
            </w:r>
          </w:p>
        </w:tc>
        <w:tc>
          <w:tcPr>
            <w:tcW w:w="6693" w:type="dxa"/>
            <w:gridSpan w:val="7"/>
            <w:vAlign w:val="center"/>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widowControl/>
              <w:spacing w:after="0" w:line="360" w:lineRule="atLeast"/>
              <w:jc w:val="left"/>
              <w:outlineLvl w:val="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法定代表人/单位负责人</w:t>
            </w:r>
          </w:p>
        </w:tc>
        <w:tc>
          <w:tcPr>
            <w:tcW w:w="957" w:type="dxa"/>
            <w:vAlign w:val="center"/>
          </w:tcPr>
          <w:p>
            <w:pPr>
              <w:widowControl/>
              <w:spacing w:after="0" w:line="360" w:lineRule="atLeast"/>
              <w:jc w:val="left"/>
              <w:outlineLvl w:val="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姓名</w:t>
            </w:r>
          </w:p>
        </w:tc>
        <w:tc>
          <w:tcPr>
            <w:tcW w:w="1239" w:type="dxa"/>
            <w:vAlign w:val="center"/>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p>
        </w:tc>
        <w:tc>
          <w:tcPr>
            <w:tcW w:w="1247" w:type="dxa"/>
            <w:vAlign w:val="center"/>
          </w:tcPr>
          <w:p>
            <w:pPr>
              <w:widowControl/>
              <w:spacing w:after="0" w:line="360" w:lineRule="atLeast"/>
              <w:jc w:val="left"/>
              <w:outlineLvl w:val="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技术职称</w:t>
            </w:r>
          </w:p>
        </w:tc>
        <w:tc>
          <w:tcPr>
            <w:tcW w:w="1320" w:type="dxa"/>
            <w:vAlign w:val="center"/>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p>
        </w:tc>
        <w:tc>
          <w:tcPr>
            <w:tcW w:w="850" w:type="dxa"/>
            <w:gridSpan w:val="2"/>
            <w:vAlign w:val="center"/>
          </w:tcPr>
          <w:p>
            <w:pPr>
              <w:widowControl/>
              <w:spacing w:after="0" w:line="360" w:lineRule="atLeast"/>
              <w:jc w:val="left"/>
              <w:outlineLvl w:val="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电话</w:t>
            </w:r>
          </w:p>
        </w:tc>
        <w:tc>
          <w:tcPr>
            <w:tcW w:w="1080" w:type="dxa"/>
            <w:vAlign w:val="center"/>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widowControl/>
              <w:spacing w:after="0" w:line="360" w:lineRule="atLeast"/>
              <w:jc w:val="left"/>
              <w:outlineLvl w:val="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技术负责人</w:t>
            </w:r>
          </w:p>
        </w:tc>
        <w:tc>
          <w:tcPr>
            <w:tcW w:w="957" w:type="dxa"/>
            <w:vAlign w:val="center"/>
          </w:tcPr>
          <w:p>
            <w:pPr>
              <w:widowControl/>
              <w:spacing w:after="0" w:line="360" w:lineRule="atLeast"/>
              <w:jc w:val="left"/>
              <w:outlineLvl w:val="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姓名</w:t>
            </w:r>
          </w:p>
        </w:tc>
        <w:tc>
          <w:tcPr>
            <w:tcW w:w="1239" w:type="dxa"/>
            <w:vAlign w:val="center"/>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p>
        </w:tc>
        <w:tc>
          <w:tcPr>
            <w:tcW w:w="1247" w:type="dxa"/>
            <w:vAlign w:val="center"/>
          </w:tcPr>
          <w:p>
            <w:pPr>
              <w:widowControl/>
              <w:spacing w:after="0" w:line="360" w:lineRule="atLeast"/>
              <w:jc w:val="left"/>
              <w:outlineLvl w:val="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技术职称</w:t>
            </w:r>
          </w:p>
        </w:tc>
        <w:tc>
          <w:tcPr>
            <w:tcW w:w="1320" w:type="dxa"/>
            <w:vAlign w:val="center"/>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p>
        </w:tc>
        <w:tc>
          <w:tcPr>
            <w:tcW w:w="850" w:type="dxa"/>
            <w:gridSpan w:val="2"/>
            <w:vAlign w:val="center"/>
          </w:tcPr>
          <w:p>
            <w:pPr>
              <w:widowControl/>
              <w:spacing w:after="0" w:line="360" w:lineRule="atLeast"/>
              <w:jc w:val="left"/>
              <w:outlineLvl w:val="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电话</w:t>
            </w:r>
          </w:p>
        </w:tc>
        <w:tc>
          <w:tcPr>
            <w:tcW w:w="1080" w:type="dxa"/>
            <w:vAlign w:val="center"/>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成立时间</w:t>
            </w:r>
          </w:p>
        </w:tc>
        <w:tc>
          <w:tcPr>
            <w:tcW w:w="2196" w:type="dxa"/>
            <w:gridSpan w:val="2"/>
            <w:vAlign w:val="center"/>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p>
        </w:tc>
        <w:tc>
          <w:tcPr>
            <w:tcW w:w="4497" w:type="dxa"/>
            <w:gridSpan w:val="5"/>
            <w:vAlign w:val="center"/>
          </w:tcPr>
          <w:p>
            <w:pPr>
              <w:widowControl/>
              <w:spacing w:after="0" w:line="360" w:lineRule="atLeast"/>
              <w:jc w:val="left"/>
              <w:outlineLvl w:val="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企业资质等级</w:t>
            </w:r>
          </w:p>
        </w:tc>
        <w:tc>
          <w:tcPr>
            <w:tcW w:w="2196" w:type="dxa"/>
            <w:gridSpan w:val="2"/>
            <w:vAlign w:val="center"/>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p>
        </w:tc>
        <w:tc>
          <w:tcPr>
            <w:tcW w:w="1247" w:type="dxa"/>
            <w:vMerge w:val="restart"/>
            <w:vAlign w:val="center"/>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其中</w:t>
            </w:r>
          </w:p>
        </w:tc>
        <w:tc>
          <w:tcPr>
            <w:tcW w:w="1478" w:type="dxa"/>
            <w:gridSpan w:val="2"/>
            <w:vAlign w:val="center"/>
          </w:tcPr>
          <w:p>
            <w:pPr>
              <w:widowControl/>
              <w:spacing w:after="0" w:line="360" w:lineRule="atLeast"/>
              <w:jc w:val="left"/>
              <w:outlineLvl w:val="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项目经理</w:t>
            </w:r>
          </w:p>
        </w:tc>
        <w:tc>
          <w:tcPr>
            <w:tcW w:w="1772" w:type="dxa"/>
            <w:gridSpan w:val="2"/>
            <w:vAlign w:val="center"/>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营业执照号</w:t>
            </w:r>
          </w:p>
        </w:tc>
        <w:tc>
          <w:tcPr>
            <w:tcW w:w="2196" w:type="dxa"/>
            <w:gridSpan w:val="2"/>
            <w:vAlign w:val="center"/>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p>
        </w:tc>
        <w:tc>
          <w:tcPr>
            <w:tcW w:w="1247" w:type="dxa"/>
            <w:vMerge w:val="continue"/>
            <w:vAlign w:val="center"/>
          </w:tcPr>
          <w:p>
            <w:pPr>
              <w:spacing w:after="0"/>
              <w:rPr>
                <w:rFonts w:ascii="宋体" w:hAnsi="宋体" w:cs="宋体"/>
                <w:color w:val="000000" w:themeColor="text1"/>
                <w14:textFill>
                  <w14:solidFill>
                    <w14:schemeClr w14:val="tx1"/>
                  </w14:solidFill>
                </w14:textFill>
              </w:rPr>
            </w:pPr>
          </w:p>
        </w:tc>
        <w:tc>
          <w:tcPr>
            <w:tcW w:w="1478" w:type="dxa"/>
            <w:gridSpan w:val="2"/>
            <w:vAlign w:val="center"/>
          </w:tcPr>
          <w:p>
            <w:pPr>
              <w:widowControl/>
              <w:spacing w:after="0" w:line="360" w:lineRule="atLeast"/>
              <w:jc w:val="left"/>
              <w:outlineLvl w:val="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高级职称人员</w:t>
            </w:r>
          </w:p>
        </w:tc>
        <w:tc>
          <w:tcPr>
            <w:tcW w:w="1772" w:type="dxa"/>
            <w:gridSpan w:val="2"/>
            <w:vAlign w:val="center"/>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注册资金</w:t>
            </w:r>
          </w:p>
        </w:tc>
        <w:tc>
          <w:tcPr>
            <w:tcW w:w="2196" w:type="dxa"/>
            <w:gridSpan w:val="2"/>
            <w:vAlign w:val="center"/>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p>
        </w:tc>
        <w:tc>
          <w:tcPr>
            <w:tcW w:w="1247" w:type="dxa"/>
            <w:vMerge w:val="continue"/>
            <w:vAlign w:val="center"/>
          </w:tcPr>
          <w:p>
            <w:pPr>
              <w:spacing w:after="0"/>
              <w:rPr>
                <w:rFonts w:ascii="宋体" w:hAnsi="宋体" w:cs="宋体"/>
                <w:color w:val="000000" w:themeColor="text1"/>
                <w14:textFill>
                  <w14:solidFill>
                    <w14:schemeClr w14:val="tx1"/>
                  </w14:solidFill>
                </w14:textFill>
              </w:rPr>
            </w:pPr>
          </w:p>
        </w:tc>
        <w:tc>
          <w:tcPr>
            <w:tcW w:w="1478" w:type="dxa"/>
            <w:gridSpan w:val="2"/>
            <w:vAlign w:val="center"/>
          </w:tcPr>
          <w:p>
            <w:pPr>
              <w:widowControl/>
              <w:spacing w:after="0" w:line="360" w:lineRule="atLeast"/>
              <w:jc w:val="left"/>
              <w:outlineLvl w:val="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中级职称人员</w:t>
            </w:r>
          </w:p>
        </w:tc>
        <w:tc>
          <w:tcPr>
            <w:tcW w:w="1772" w:type="dxa"/>
            <w:gridSpan w:val="2"/>
            <w:vAlign w:val="center"/>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开户银行</w:t>
            </w:r>
          </w:p>
        </w:tc>
        <w:tc>
          <w:tcPr>
            <w:tcW w:w="2196" w:type="dxa"/>
            <w:gridSpan w:val="2"/>
            <w:vAlign w:val="center"/>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p>
        </w:tc>
        <w:tc>
          <w:tcPr>
            <w:tcW w:w="1247" w:type="dxa"/>
            <w:vMerge w:val="continue"/>
            <w:vAlign w:val="center"/>
          </w:tcPr>
          <w:p>
            <w:pPr>
              <w:spacing w:after="0"/>
              <w:rPr>
                <w:rFonts w:ascii="宋体" w:hAnsi="宋体" w:cs="宋体"/>
                <w:color w:val="000000" w:themeColor="text1"/>
                <w14:textFill>
                  <w14:solidFill>
                    <w14:schemeClr w14:val="tx1"/>
                  </w14:solidFill>
                </w14:textFill>
              </w:rPr>
            </w:pPr>
          </w:p>
        </w:tc>
        <w:tc>
          <w:tcPr>
            <w:tcW w:w="1478" w:type="dxa"/>
            <w:gridSpan w:val="2"/>
            <w:vAlign w:val="center"/>
          </w:tcPr>
          <w:p>
            <w:pPr>
              <w:widowControl/>
              <w:spacing w:after="0" w:line="360" w:lineRule="atLeast"/>
              <w:jc w:val="left"/>
              <w:outlineLvl w:val="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初级职称人员</w:t>
            </w:r>
          </w:p>
        </w:tc>
        <w:tc>
          <w:tcPr>
            <w:tcW w:w="1772" w:type="dxa"/>
            <w:gridSpan w:val="2"/>
            <w:vAlign w:val="center"/>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账号</w:t>
            </w:r>
          </w:p>
        </w:tc>
        <w:tc>
          <w:tcPr>
            <w:tcW w:w="2196" w:type="dxa"/>
            <w:gridSpan w:val="2"/>
            <w:vAlign w:val="center"/>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p>
        </w:tc>
        <w:tc>
          <w:tcPr>
            <w:tcW w:w="1247" w:type="dxa"/>
            <w:vMerge w:val="continue"/>
            <w:vAlign w:val="center"/>
          </w:tcPr>
          <w:p>
            <w:pPr>
              <w:spacing w:after="0"/>
              <w:rPr>
                <w:rFonts w:ascii="宋体" w:hAnsi="宋体" w:cs="宋体"/>
                <w:color w:val="000000" w:themeColor="text1"/>
                <w14:textFill>
                  <w14:solidFill>
                    <w14:schemeClr w14:val="tx1"/>
                  </w14:solidFill>
                </w14:textFill>
              </w:rPr>
            </w:pPr>
          </w:p>
        </w:tc>
        <w:tc>
          <w:tcPr>
            <w:tcW w:w="1478" w:type="dxa"/>
            <w:gridSpan w:val="2"/>
            <w:vAlign w:val="center"/>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技工</w:t>
            </w:r>
          </w:p>
        </w:tc>
        <w:tc>
          <w:tcPr>
            <w:tcW w:w="1772" w:type="dxa"/>
            <w:gridSpan w:val="2"/>
            <w:vAlign w:val="center"/>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522" w:type="dxa"/>
            <w:vAlign w:val="center"/>
          </w:tcPr>
          <w:p>
            <w:pPr>
              <w:widowControl/>
              <w:spacing w:after="0" w:line="360" w:lineRule="atLeast"/>
              <w:jc w:val="left"/>
              <w:outlineLvl w:val="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经营范围</w:t>
            </w:r>
          </w:p>
        </w:tc>
        <w:tc>
          <w:tcPr>
            <w:tcW w:w="6693" w:type="dxa"/>
            <w:gridSpan w:val="7"/>
            <w:vAlign w:val="center"/>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22" w:type="dxa"/>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备注</w:t>
            </w:r>
          </w:p>
        </w:tc>
        <w:tc>
          <w:tcPr>
            <w:tcW w:w="6693" w:type="dxa"/>
            <w:gridSpan w:val="7"/>
          </w:tcPr>
          <w:p>
            <w:pPr>
              <w:widowControl/>
              <w:spacing w:after="0" w:line="360" w:lineRule="atLeast"/>
              <w:ind w:firstLine="470" w:firstLineChars="196"/>
              <w:jc w:val="left"/>
              <w:outlineLvl w:val="1"/>
              <w:rPr>
                <w:rFonts w:ascii="宋体" w:hAnsi="宋体" w:cs="宋体"/>
                <w:color w:val="000000" w:themeColor="text1"/>
                <w:sz w:val="24"/>
                <w14:textFill>
                  <w14:solidFill>
                    <w14:schemeClr w14:val="tx1"/>
                  </w14:solidFill>
                </w14:textFill>
              </w:rPr>
            </w:pPr>
          </w:p>
        </w:tc>
      </w:tr>
    </w:tbl>
    <w:p>
      <w:pPr>
        <w:widowControl/>
        <w:spacing w:after="0"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投标人名称：XXXX。</w:t>
      </w:r>
    </w:p>
    <w:p>
      <w:pPr>
        <w:widowControl/>
        <w:spacing w:after="0"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投标日期: XXXX。</w:t>
      </w:r>
    </w:p>
    <w:p>
      <w:pPr>
        <w:spacing w:line="360" w:lineRule="auto"/>
        <w:rPr>
          <w:rFonts w:ascii="宋体" w:hAnsi="宋体" w:cs="宋体"/>
          <w:b/>
          <w:color w:val="000000" w:themeColor="text1"/>
          <w:sz w:val="32"/>
          <w:szCs w:val="32"/>
          <w14:textFill>
            <w14:solidFill>
              <w14:schemeClr w14:val="tx1"/>
            </w14:solidFill>
          </w14:textFill>
        </w:rPr>
      </w:pPr>
      <w:bookmarkStart w:id="133" w:name="_Toc217446089"/>
      <w:r>
        <w:rPr>
          <w:rFonts w:hint="eastAsia" w:ascii="宋体" w:hAnsi="宋体" w:cs="宋体"/>
          <w:b/>
          <w:color w:val="000000" w:themeColor="text1"/>
          <w:sz w:val="36"/>
          <w:szCs w:val="36"/>
          <w14:textFill>
            <w14:solidFill>
              <w14:schemeClr w14:val="tx1"/>
            </w14:solidFill>
          </w14:textFill>
        </w:rPr>
        <w:br w:type="page"/>
      </w:r>
      <w:r>
        <w:rPr>
          <w:rFonts w:hint="eastAsia" w:ascii="宋体" w:hAnsi="宋体" w:cs="宋体"/>
          <w:b/>
          <w:color w:val="000000" w:themeColor="text1"/>
          <w:sz w:val="32"/>
          <w:szCs w:val="32"/>
          <w14:textFill>
            <w14:solidFill>
              <w14:schemeClr w14:val="tx1"/>
            </w14:solidFill>
          </w14:textFill>
        </w:rPr>
        <w:t>格式2-8</w:t>
      </w:r>
    </w:p>
    <w:p>
      <w:pPr>
        <w:widowControl/>
        <w:spacing w:line="360" w:lineRule="atLeast"/>
        <w:jc w:val="center"/>
        <w:outlineLvl w:val="2"/>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七、类似项目业绩一览表</w:t>
      </w:r>
      <w:bookmarkEnd w:id="133"/>
    </w:p>
    <w:p>
      <w:pPr>
        <w:widowControl/>
        <w:spacing w:line="360" w:lineRule="atLeast"/>
        <w:ind w:firstLine="472" w:firstLineChars="196"/>
        <w:jc w:val="left"/>
        <w:rPr>
          <w:rFonts w:ascii="宋体" w:hAnsi="宋体" w:cs="宋体"/>
          <w:b/>
          <w:color w:val="000000" w:themeColor="text1"/>
          <w:sz w:val="24"/>
          <w14:textFill>
            <w14:solidFill>
              <w14:schemeClr w14:val="tx1"/>
            </w14:solidFill>
          </w14:textFill>
        </w:rPr>
      </w:pP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年份</w:t>
            </w:r>
          </w:p>
        </w:tc>
        <w:tc>
          <w:tcPr>
            <w:tcW w:w="1440" w:type="dxa"/>
            <w:vAlign w:val="center"/>
          </w:tcPr>
          <w:p>
            <w:pPr>
              <w:widowControl/>
              <w:spacing w:line="360" w:lineRule="atLeas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用户名称</w:t>
            </w:r>
          </w:p>
        </w:tc>
        <w:tc>
          <w:tcPr>
            <w:tcW w:w="1320" w:type="dxa"/>
            <w:vAlign w:val="center"/>
          </w:tcPr>
          <w:p>
            <w:pPr>
              <w:widowControl/>
              <w:spacing w:line="360" w:lineRule="atLeas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项目名称</w:t>
            </w:r>
          </w:p>
        </w:tc>
        <w:tc>
          <w:tcPr>
            <w:tcW w:w="1161" w:type="dxa"/>
            <w:vAlign w:val="center"/>
          </w:tcPr>
          <w:p>
            <w:pPr>
              <w:widowControl/>
              <w:spacing w:line="360" w:lineRule="atLeas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完成时间</w:t>
            </w:r>
          </w:p>
        </w:tc>
        <w:tc>
          <w:tcPr>
            <w:tcW w:w="1260" w:type="dxa"/>
            <w:vAlign w:val="center"/>
          </w:tcPr>
          <w:p>
            <w:pPr>
              <w:widowControl/>
              <w:spacing w:line="360" w:lineRule="atLeas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合同金额</w:t>
            </w:r>
          </w:p>
        </w:tc>
        <w:tc>
          <w:tcPr>
            <w:tcW w:w="1630" w:type="dxa"/>
            <w:gridSpan w:val="2"/>
            <w:tcBorders>
              <w:right w:val="single" w:color="auto" w:sz="4" w:space="0"/>
            </w:tcBorders>
            <w:vAlign w:val="center"/>
          </w:tcPr>
          <w:p>
            <w:pPr>
              <w:widowControl/>
              <w:spacing w:line="360" w:lineRule="atLeas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是否通过验收</w:t>
            </w:r>
          </w:p>
        </w:tc>
        <w:tc>
          <w:tcPr>
            <w:tcW w:w="992" w:type="dxa"/>
            <w:tcBorders>
              <w:left w:val="single" w:color="auto" w:sz="4" w:space="0"/>
            </w:tcBorders>
            <w:vAlign w:val="center"/>
          </w:tcPr>
          <w:p>
            <w:pPr>
              <w:widowControl/>
              <w:spacing w:line="360" w:lineRule="atLeas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600" w:hRule="atLeast"/>
          <w:jc w:val="center"/>
        </w:trPr>
        <w:tc>
          <w:tcPr>
            <w:tcW w:w="720" w:type="dxa"/>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440" w:type="dxa"/>
            <w:tcBorders>
              <w:righ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320" w:type="dxa"/>
            <w:tcBorders>
              <w:lef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600" w:hRule="atLeast"/>
          <w:jc w:val="center"/>
        </w:trPr>
        <w:tc>
          <w:tcPr>
            <w:tcW w:w="720" w:type="dxa"/>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440" w:type="dxa"/>
            <w:tcBorders>
              <w:bottom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320" w:type="dxa"/>
            <w:tcBorders>
              <w:bottom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161" w:type="dxa"/>
            <w:tcBorders>
              <w:bottom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440" w:type="dxa"/>
            <w:tcBorders>
              <w:top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320" w:type="dxa"/>
            <w:tcBorders>
              <w:top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161" w:type="dxa"/>
            <w:tcBorders>
              <w:top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r>
    </w:tbl>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注：以上业绩需提供招标文件要求的有关书面证明材料。</w:t>
      </w: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投标人名称：XXXX。</w:t>
      </w:r>
    </w:p>
    <w:p>
      <w:pPr>
        <w:widowControl/>
        <w:spacing w:line="360" w:lineRule="atLeast"/>
        <w:ind w:firstLine="470" w:firstLineChars="196"/>
        <w:jc w:val="left"/>
        <w:rPr>
          <w:rFonts w:ascii="宋体" w:hAnsi="宋体" w:cs="宋体"/>
          <w:b/>
          <w:color w:val="000000" w:themeColor="text1"/>
          <w:sz w:val="32"/>
          <w:szCs w:val="32"/>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投标日期: XXXX。</w:t>
      </w:r>
      <w:bookmarkStart w:id="134" w:name="_Toc217446090"/>
      <w:r>
        <w:rPr>
          <w:rFonts w:hint="eastAsia" w:ascii="宋体" w:hAnsi="宋体" w:cs="宋体"/>
          <w:b/>
          <w:color w:val="000000" w:themeColor="text1"/>
          <w:sz w:val="32"/>
          <w:szCs w:val="32"/>
          <w14:textFill>
            <w14:solidFill>
              <w14:schemeClr w14:val="tx1"/>
            </w14:solidFill>
          </w14:textFill>
        </w:rPr>
        <w:br w:type="page"/>
      </w:r>
      <w:r>
        <w:rPr>
          <w:rFonts w:hint="eastAsia" w:ascii="宋体" w:hAnsi="宋体" w:cs="宋体"/>
          <w:b/>
          <w:color w:val="000000" w:themeColor="text1"/>
          <w:sz w:val="32"/>
          <w:szCs w:val="32"/>
          <w14:textFill>
            <w14:solidFill>
              <w14:schemeClr w14:val="tx1"/>
            </w14:solidFill>
          </w14:textFill>
        </w:rPr>
        <w:t>格式2-9</w:t>
      </w:r>
    </w:p>
    <w:p>
      <w:pPr>
        <w:widowControl/>
        <w:spacing w:line="360" w:lineRule="atLeast"/>
        <w:jc w:val="center"/>
        <w:outlineLvl w:val="2"/>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八、服务应答表</w:t>
      </w:r>
      <w:bookmarkEnd w:id="134"/>
    </w:p>
    <w:p>
      <w:pPr>
        <w:widowControl/>
        <w:spacing w:line="360" w:lineRule="atLeast"/>
        <w:ind w:firstLine="472" w:firstLineChars="196"/>
        <w:jc w:val="left"/>
        <w:rPr>
          <w:rFonts w:ascii="宋体" w:hAnsi="宋体" w:cs="宋体"/>
          <w:b/>
          <w:color w:val="000000" w:themeColor="text1"/>
          <w:sz w:val="24"/>
          <w14:textFill>
            <w14:solidFill>
              <w14:schemeClr w14:val="tx1"/>
            </w14:solidFill>
          </w14:textFill>
        </w:rPr>
      </w:pP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招标编号：</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81"/>
        <w:gridCol w:w="1801"/>
        <w:gridCol w:w="210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pPr>
              <w:widowControl/>
              <w:spacing w:line="360" w:lineRule="atLeas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序号</w:t>
            </w:r>
          </w:p>
        </w:tc>
        <w:tc>
          <w:tcPr>
            <w:tcW w:w="881" w:type="dxa"/>
            <w:vAlign w:val="center"/>
          </w:tcPr>
          <w:p>
            <w:pPr>
              <w:widowControl/>
              <w:spacing w:line="360" w:lineRule="atLeas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包号 </w:t>
            </w:r>
          </w:p>
        </w:tc>
        <w:tc>
          <w:tcPr>
            <w:tcW w:w="1801" w:type="dxa"/>
            <w:vAlign w:val="center"/>
          </w:tcPr>
          <w:p>
            <w:pPr>
              <w:widowControl/>
              <w:spacing w:line="360" w:lineRule="atLeas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招标文件条目号</w:t>
            </w:r>
          </w:p>
        </w:tc>
        <w:tc>
          <w:tcPr>
            <w:tcW w:w="2100" w:type="dxa"/>
            <w:vAlign w:val="center"/>
          </w:tcPr>
          <w:p>
            <w:pPr>
              <w:widowControl/>
              <w:spacing w:line="360" w:lineRule="atLeas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招标文件要求</w:t>
            </w:r>
          </w:p>
        </w:tc>
        <w:tc>
          <w:tcPr>
            <w:tcW w:w="2340" w:type="dxa"/>
            <w:vAlign w:val="center"/>
          </w:tcPr>
          <w:p>
            <w:pPr>
              <w:widowControl/>
              <w:spacing w:line="360" w:lineRule="atLeas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81"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801"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2100"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2340"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81"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801"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2100"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2340"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81"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801"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2100"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2340"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81"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801"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2100"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2340"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81"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801"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2100"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2340"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81"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801"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2100"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2340"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81"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1801"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2100"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2340"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r>
    </w:tbl>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r>
        <w:rPr>
          <w:rFonts w:hint="eastAsia" w:ascii="宋体" w:hAnsi="宋体" w:cs="宋体"/>
          <w:color w:val="000000" w:themeColor="text1"/>
          <w:sz w:val="24"/>
          <w14:textFill>
            <w14:solidFill>
              <w14:schemeClr w14:val="tx1"/>
            </w14:solidFill>
          </w14:textFill>
        </w:rPr>
        <w:t>如与招标文件</w:t>
      </w:r>
      <w:r>
        <w:rPr>
          <w:rFonts w:hint="eastAsia" w:ascii="宋体" w:hAnsi="宋体" w:cs="宋体"/>
          <w:b/>
          <w:bCs/>
          <w:color w:val="000000" w:themeColor="text1"/>
          <w:sz w:val="24"/>
          <w14:textFill>
            <w14:solidFill>
              <w14:schemeClr w14:val="tx1"/>
            </w14:solidFill>
          </w14:textFill>
        </w:rPr>
        <w:t>第六章技术服务要求</w:t>
      </w:r>
      <w:r>
        <w:rPr>
          <w:rFonts w:hint="eastAsia" w:ascii="宋体" w:hAnsi="宋体" w:cs="宋体"/>
          <w:color w:val="000000" w:themeColor="text1"/>
          <w:sz w:val="24"/>
          <w14:textFill>
            <w14:solidFill>
              <w14:schemeClr w14:val="tx1"/>
            </w14:solidFill>
          </w14:textFill>
        </w:rPr>
        <w:t>的内容有偏离(包括正偏离和负偏离)，请将偏离条款逐条应答。如与招标文件第六章服务内容及要求所有条款无偏离，则无须在此表中应答，视为默认完全响应和接受招标文件所有技术、商务要求，供应商不得以未作应答而拒不接受。供应商必须据实填写，不得虚假应答，否则将取消其中标资格</w:t>
      </w:r>
      <w:r>
        <w:rPr>
          <w:rFonts w:hint="eastAsia" w:asciiTheme="minorEastAsia" w:hAnsiTheme="minorEastAsia" w:eastAsiaTheme="minorEastAsia"/>
          <w:color w:val="000000" w:themeColor="text1"/>
          <w:sz w:val="24"/>
          <w14:textFill>
            <w14:solidFill>
              <w14:schemeClr w14:val="tx1"/>
            </w14:solidFill>
          </w14:textFill>
        </w:rPr>
        <w:t>。</w:t>
      </w: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投标人名称：XXXX。</w:t>
      </w: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投标日期: XXXX。</w:t>
      </w: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p>
      <w:pPr>
        <w:spacing w:line="360" w:lineRule="auto"/>
        <w:rPr>
          <w:rFonts w:ascii="宋体" w:hAnsi="宋体" w:cs="宋体"/>
          <w:b/>
          <w:color w:val="000000" w:themeColor="text1"/>
          <w:sz w:val="32"/>
          <w:szCs w:val="32"/>
          <w14:textFill>
            <w14:solidFill>
              <w14:schemeClr w14:val="tx1"/>
            </w14:solidFill>
          </w14:textFill>
        </w:rPr>
      </w:pPr>
      <w:bookmarkStart w:id="135" w:name="_Toc217446091"/>
      <w:r>
        <w:rPr>
          <w:rFonts w:hint="eastAsia" w:ascii="宋体" w:hAnsi="宋体" w:cs="宋体"/>
          <w:b/>
          <w:color w:val="000000" w:themeColor="text1"/>
          <w:sz w:val="32"/>
          <w:szCs w:val="32"/>
          <w14:textFill>
            <w14:solidFill>
              <w14:schemeClr w14:val="tx1"/>
            </w14:solidFill>
          </w14:textFill>
        </w:rPr>
        <w:br w:type="page"/>
      </w:r>
      <w:r>
        <w:rPr>
          <w:rFonts w:hint="eastAsia" w:ascii="宋体" w:hAnsi="宋体" w:cs="宋体"/>
          <w:b/>
          <w:color w:val="000000" w:themeColor="text1"/>
          <w:sz w:val="32"/>
          <w:szCs w:val="32"/>
          <w14:textFill>
            <w14:solidFill>
              <w14:schemeClr w14:val="tx1"/>
            </w14:solidFill>
          </w14:textFill>
        </w:rPr>
        <w:t>格式2-10</w:t>
      </w:r>
    </w:p>
    <w:p>
      <w:pPr>
        <w:widowControl/>
        <w:spacing w:line="360" w:lineRule="atLeast"/>
        <w:jc w:val="center"/>
        <w:outlineLvl w:val="2"/>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九、投标人本项目管理、技术、服务人员情况表</w:t>
      </w:r>
      <w:bookmarkEnd w:id="135"/>
    </w:p>
    <w:p>
      <w:pPr>
        <w:widowControl/>
        <w:spacing w:line="360" w:lineRule="atLeast"/>
        <w:ind w:firstLine="472" w:firstLineChars="196"/>
        <w:jc w:val="left"/>
        <w:rPr>
          <w:rFonts w:ascii="宋体" w:hAnsi="宋体" w:cs="宋体"/>
          <w:b/>
          <w:color w:val="000000" w:themeColor="text1"/>
          <w:sz w:val="24"/>
          <w14:textFill>
            <w14:solidFill>
              <w14:schemeClr w14:val="tx1"/>
            </w14:solidFill>
          </w14:textFill>
        </w:rPr>
      </w:pP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招标编号：</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vAlign w:val="center"/>
          </w:tcPr>
          <w:p>
            <w:pPr>
              <w:widowControl/>
              <w:spacing w:line="360" w:lineRule="atLeas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类别</w:t>
            </w:r>
          </w:p>
        </w:tc>
        <w:tc>
          <w:tcPr>
            <w:tcW w:w="807" w:type="dxa"/>
            <w:vMerge w:val="restart"/>
            <w:vAlign w:val="center"/>
          </w:tcPr>
          <w:p>
            <w:pPr>
              <w:widowControl/>
              <w:spacing w:line="360" w:lineRule="atLeas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职务</w:t>
            </w:r>
          </w:p>
        </w:tc>
        <w:tc>
          <w:tcPr>
            <w:tcW w:w="807" w:type="dxa"/>
            <w:vMerge w:val="restart"/>
            <w:vAlign w:val="center"/>
          </w:tcPr>
          <w:p>
            <w:pPr>
              <w:widowControl/>
              <w:spacing w:line="360" w:lineRule="atLeas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姓名</w:t>
            </w:r>
          </w:p>
        </w:tc>
        <w:tc>
          <w:tcPr>
            <w:tcW w:w="807" w:type="dxa"/>
            <w:vMerge w:val="restart"/>
            <w:vAlign w:val="center"/>
          </w:tcPr>
          <w:p>
            <w:pPr>
              <w:widowControl/>
              <w:spacing w:line="360" w:lineRule="atLeas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职称</w:t>
            </w:r>
          </w:p>
        </w:tc>
        <w:tc>
          <w:tcPr>
            <w:tcW w:w="807" w:type="dxa"/>
            <w:vMerge w:val="restart"/>
            <w:vAlign w:val="center"/>
          </w:tcPr>
          <w:p>
            <w:pPr>
              <w:widowControl/>
              <w:spacing w:line="360" w:lineRule="atLeas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常住地</w:t>
            </w:r>
          </w:p>
        </w:tc>
        <w:tc>
          <w:tcPr>
            <w:tcW w:w="3390" w:type="dxa"/>
            <w:gridSpan w:val="4"/>
            <w:vAlign w:val="center"/>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vAlign w:val="center"/>
          </w:tcPr>
          <w:p>
            <w:pPr>
              <w:rPr>
                <w:rFonts w:ascii="宋体" w:hAnsi="宋体" w:cs="宋体"/>
                <w:color w:val="000000" w:themeColor="text1"/>
                <w14:textFill>
                  <w14:solidFill>
                    <w14:schemeClr w14:val="tx1"/>
                  </w14:solidFill>
                </w14:textFill>
              </w:rPr>
            </w:pPr>
          </w:p>
        </w:tc>
        <w:tc>
          <w:tcPr>
            <w:tcW w:w="807" w:type="dxa"/>
            <w:vMerge w:val="continue"/>
            <w:vAlign w:val="center"/>
          </w:tcPr>
          <w:p>
            <w:pPr>
              <w:rPr>
                <w:rFonts w:ascii="宋体" w:hAnsi="宋体" w:cs="宋体"/>
                <w:color w:val="000000" w:themeColor="text1"/>
                <w14:textFill>
                  <w14:solidFill>
                    <w14:schemeClr w14:val="tx1"/>
                  </w14:solidFill>
                </w14:textFill>
              </w:rPr>
            </w:pPr>
          </w:p>
        </w:tc>
        <w:tc>
          <w:tcPr>
            <w:tcW w:w="807" w:type="dxa"/>
            <w:vMerge w:val="continue"/>
            <w:vAlign w:val="center"/>
          </w:tcPr>
          <w:p>
            <w:pPr>
              <w:rPr>
                <w:rFonts w:ascii="宋体" w:hAnsi="宋体" w:cs="宋体"/>
                <w:color w:val="000000" w:themeColor="text1"/>
                <w14:textFill>
                  <w14:solidFill>
                    <w14:schemeClr w14:val="tx1"/>
                  </w14:solidFill>
                </w14:textFill>
              </w:rPr>
            </w:pPr>
          </w:p>
        </w:tc>
        <w:tc>
          <w:tcPr>
            <w:tcW w:w="807" w:type="dxa"/>
            <w:vMerge w:val="continue"/>
            <w:vAlign w:val="center"/>
          </w:tcPr>
          <w:p>
            <w:pPr>
              <w:rPr>
                <w:rFonts w:ascii="宋体" w:hAnsi="宋体" w:cs="宋体"/>
                <w:color w:val="000000" w:themeColor="text1"/>
                <w14:textFill>
                  <w14:solidFill>
                    <w14:schemeClr w14:val="tx1"/>
                  </w14:solidFill>
                </w14:textFill>
              </w:rPr>
            </w:pPr>
          </w:p>
        </w:tc>
        <w:tc>
          <w:tcPr>
            <w:tcW w:w="807" w:type="dxa"/>
            <w:vMerge w:val="continue"/>
            <w:vAlign w:val="center"/>
          </w:tcPr>
          <w:p>
            <w:pPr>
              <w:rPr>
                <w:rFonts w:ascii="宋体" w:hAnsi="宋体" w:cs="宋体"/>
                <w:color w:val="000000" w:themeColor="text1"/>
                <w14:textFill>
                  <w14:solidFill>
                    <w14:schemeClr w14:val="tx1"/>
                  </w14:solidFill>
                </w14:textFill>
              </w:rPr>
            </w:pPr>
          </w:p>
        </w:tc>
        <w:tc>
          <w:tcPr>
            <w:tcW w:w="851" w:type="dxa"/>
            <w:vAlign w:val="center"/>
          </w:tcPr>
          <w:p>
            <w:pPr>
              <w:widowControl/>
              <w:spacing w:line="360" w:lineRule="atLeas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证书</w:t>
            </w:r>
          </w:p>
          <w:p>
            <w:pPr>
              <w:widowControl/>
              <w:spacing w:line="360" w:lineRule="atLeas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名称</w:t>
            </w:r>
          </w:p>
        </w:tc>
        <w:tc>
          <w:tcPr>
            <w:tcW w:w="960" w:type="dxa"/>
            <w:vAlign w:val="center"/>
          </w:tcPr>
          <w:p>
            <w:pPr>
              <w:widowControl/>
              <w:spacing w:line="360" w:lineRule="atLeas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级别</w:t>
            </w:r>
          </w:p>
        </w:tc>
        <w:tc>
          <w:tcPr>
            <w:tcW w:w="847" w:type="dxa"/>
            <w:vAlign w:val="center"/>
          </w:tcPr>
          <w:p>
            <w:pPr>
              <w:widowControl/>
              <w:spacing w:line="360" w:lineRule="atLeas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证号</w:t>
            </w:r>
          </w:p>
        </w:tc>
        <w:tc>
          <w:tcPr>
            <w:tcW w:w="732" w:type="dxa"/>
            <w:vAlign w:val="center"/>
          </w:tcPr>
          <w:p>
            <w:pPr>
              <w:widowControl/>
              <w:spacing w:line="360" w:lineRule="atLeas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管理</w:t>
            </w:r>
          </w:p>
          <w:p>
            <w:pPr>
              <w:widowControl/>
              <w:spacing w:line="360" w:lineRule="atLeas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人员</w:t>
            </w:r>
          </w:p>
        </w:tc>
        <w:tc>
          <w:tcPr>
            <w:tcW w:w="80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宋体" w:hAnsi="宋体" w:cs="宋体"/>
                <w:color w:val="000000" w:themeColor="text1"/>
                <w14:textFill>
                  <w14:solidFill>
                    <w14:schemeClr w14:val="tx1"/>
                  </w14:solidFill>
                </w14:textFill>
              </w:rPr>
            </w:pPr>
          </w:p>
        </w:tc>
        <w:tc>
          <w:tcPr>
            <w:tcW w:w="80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宋体" w:hAnsi="宋体" w:cs="宋体"/>
                <w:color w:val="000000" w:themeColor="text1"/>
                <w14:textFill>
                  <w14:solidFill>
                    <w14:schemeClr w14:val="tx1"/>
                  </w14:solidFill>
                </w14:textFill>
              </w:rPr>
            </w:pPr>
          </w:p>
        </w:tc>
        <w:tc>
          <w:tcPr>
            <w:tcW w:w="80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tcPr>
          <w:p>
            <w:pPr>
              <w:widowControl/>
              <w:spacing w:line="360" w:lineRule="atLeas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技术</w:t>
            </w:r>
          </w:p>
          <w:p>
            <w:pPr>
              <w:widowControl/>
              <w:spacing w:line="360" w:lineRule="atLeas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人员</w:t>
            </w:r>
          </w:p>
        </w:tc>
        <w:tc>
          <w:tcPr>
            <w:tcW w:w="80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宋体" w:hAnsi="宋体" w:cs="宋体"/>
                <w:color w:val="000000" w:themeColor="text1"/>
                <w14:textFill>
                  <w14:solidFill>
                    <w14:schemeClr w14:val="tx1"/>
                  </w14:solidFill>
                </w14:textFill>
              </w:rPr>
            </w:pPr>
          </w:p>
        </w:tc>
        <w:tc>
          <w:tcPr>
            <w:tcW w:w="80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宋体" w:hAnsi="宋体" w:cs="宋体"/>
                <w:color w:val="000000" w:themeColor="text1"/>
                <w14:textFill>
                  <w14:solidFill>
                    <w14:schemeClr w14:val="tx1"/>
                  </w14:solidFill>
                </w14:textFill>
              </w:rPr>
            </w:pPr>
          </w:p>
        </w:tc>
        <w:tc>
          <w:tcPr>
            <w:tcW w:w="80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售后服务人员</w:t>
            </w:r>
          </w:p>
        </w:tc>
        <w:tc>
          <w:tcPr>
            <w:tcW w:w="80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Borders>
              <w:bottom w:val="single" w:color="auto" w:sz="4" w:space="0"/>
            </w:tcBorders>
          </w:tcPr>
          <w:p>
            <w:pPr>
              <w:rPr>
                <w:rFonts w:ascii="宋体" w:hAnsi="宋体" w:cs="宋体"/>
                <w:color w:val="000000" w:themeColor="text1"/>
                <w14:textFill>
                  <w14:solidFill>
                    <w14:schemeClr w14:val="tx1"/>
                  </w14:solidFill>
                </w14:textFill>
              </w:rPr>
            </w:pPr>
          </w:p>
        </w:tc>
        <w:tc>
          <w:tcPr>
            <w:tcW w:w="807" w:type="dxa"/>
            <w:tcBorders>
              <w:bottom w:val="single" w:color="auto" w:sz="4" w:space="0"/>
            </w:tcBorders>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tc>
      </w:tr>
    </w:tbl>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投标人名称：XXXX。</w:t>
      </w: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投标日期: XXXX。</w:t>
      </w:r>
    </w:p>
    <w:p>
      <w:pPr>
        <w:widowControl/>
        <w:spacing w:line="360" w:lineRule="atLeast"/>
        <w:ind w:firstLine="470" w:firstLineChars="19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备注：此表填写的管理人员将作为判定《政府采购货物和服务招标投标管理办法》（中华人民共和国财政部令第87号）第37条规定情形的依据。</w:t>
      </w:r>
    </w:p>
    <w:p>
      <w:pPr>
        <w:widowControl/>
        <w:spacing w:line="360" w:lineRule="atLeast"/>
        <w:ind w:firstLine="472" w:firstLineChars="196"/>
        <w:jc w:val="left"/>
        <w:rPr>
          <w:rFonts w:ascii="宋体" w:hAnsi="宋体" w:cs="宋体"/>
          <w:b/>
          <w:color w:val="000000" w:themeColor="text1"/>
          <w:sz w:val="24"/>
          <w14:textFill>
            <w14:solidFill>
              <w14:schemeClr w14:val="tx1"/>
            </w14:solidFill>
          </w14:textFill>
        </w:rPr>
      </w:pPr>
    </w:p>
    <w:p>
      <w:pPr>
        <w:spacing w:after="0" w:line="360" w:lineRule="auto"/>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24"/>
          <w14:textFill>
            <w14:solidFill>
              <w14:schemeClr w14:val="tx1"/>
            </w14:solidFill>
          </w14:textFill>
        </w:rPr>
        <w:br w:type="page"/>
      </w:r>
    </w:p>
    <w:p>
      <w:pPr>
        <w:spacing w:after="0" w:line="360" w:lineRule="auto"/>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格式2-11</w:t>
      </w:r>
    </w:p>
    <w:p>
      <w:pPr>
        <w:widowControl/>
        <w:spacing w:after="0" w:line="360" w:lineRule="atLeast"/>
        <w:jc w:val="center"/>
        <w:outlineLvl w:val="2"/>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十、中小企业声明函（服务）</w:t>
      </w:r>
    </w:p>
    <w:p>
      <w:pPr>
        <w:jc w:val="center"/>
        <w:rPr>
          <w:rFonts w:ascii="宋体" w:hAnsi="宋体" w:cs="宋体"/>
          <w:b/>
          <w:color w:val="000000" w:themeColor="text1"/>
          <w:sz w:val="24"/>
          <w14:textFill>
            <w14:solidFill>
              <w14:schemeClr w14:val="tx1"/>
            </w14:solidFill>
          </w14:textFill>
        </w:rPr>
      </w:pPr>
    </w:p>
    <w:p>
      <w:pPr>
        <w:widowControl/>
        <w:spacing w:after="0" w:line="360" w:lineRule="atLeast"/>
        <w:jc w:val="center"/>
        <w:rPr>
          <w:rFonts w:ascii="宋体" w:hAnsi="宋体" w:cs="宋体"/>
          <w:b/>
          <w:color w:val="000000" w:themeColor="text1"/>
          <w:sz w:val="32"/>
          <w:szCs w:val="32"/>
          <w14:textFill>
            <w14:solidFill>
              <w14:schemeClr w14:val="tx1"/>
            </w14:solidFill>
          </w14:textFill>
        </w:rPr>
      </w:pPr>
    </w:p>
    <w:p>
      <w:pPr>
        <w:spacing w:after="0"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本公司（联合体）郑重声明，根据《政府采购促进中小企业发展管理办法》（财库〔2020〕46 号）的规定，本公司（联合体）参加 </w:t>
      </w:r>
      <w:r>
        <w:rPr>
          <w:rFonts w:hint="eastAsia" w:ascii="宋体" w:hAnsi="宋体" w:cs="宋体"/>
          <w:color w:val="000000" w:themeColor="text1"/>
          <w:sz w:val="24"/>
          <w:u w:val="single"/>
          <w14:textFill>
            <w14:solidFill>
              <w14:schemeClr w14:val="tx1"/>
            </w14:solidFill>
          </w14:textFill>
        </w:rPr>
        <w:t xml:space="preserve">（单位名称） </w:t>
      </w:r>
      <w:r>
        <w:rPr>
          <w:rFonts w:hint="eastAsia" w:ascii="宋体" w:hAnsi="宋体" w:cs="宋体"/>
          <w:color w:val="000000" w:themeColor="text1"/>
          <w:sz w:val="24"/>
          <w14:textFill>
            <w14:solidFill>
              <w14:schemeClr w14:val="tx1"/>
            </w14:solidFill>
          </w14:textFill>
        </w:rPr>
        <w:t xml:space="preserve">的 </w:t>
      </w:r>
      <w:r>
        <w:rPr>
          <w:rFonts w:hint="eastAsia" w:ascii="宋体" w:hAnsi="宋体" w:cs="宋体"/>
          <w:color w:val="000000" w:themeColor="text1"/>
          <w:sz w:val="24"/>
          <w:u w:val="single"/>
          <w14:textFill>
            <w14:solidFill>
              <w14:schemeClr w14:val="tx1"/>
            </w14:solidFill>
          </w14:textFill>
        </w:rPr>
        <w:t xml:space="preserve">（项目名称） </w:t>
      </w:r>
      <w:r>
        <w:rPr>
          <w:rFonts w:hint="eastAsia" w:ascii="宋体" w:hAnsi="宋体" w:cs="宋体"/>
          <w:color w:val="000000" w:themeColor="text1"/>
          <w:sz w:val="24"/>
          <w14:textFill>
            <w14:solidFill>
              <w14:schemeClr w14:val="tx1"/>
            </w14:solidFill>
          </w14:textFill>
        </w:rPr>
        <w:t>采购活动，服务全部由符合政策要求的中小企业承接。相关企业（含联合体中的中小企业、签订分包意向协议的中小企业）的具体情况如下：</w:t>
      </w:r>
      <w:r>
        <w:rPr>
          <w:rFonts w:hint="eastAsia" w:ascii="宋体" w:hAnsi="宋体" w:cs="宋体"/>
          <w:color w:val="000000" w:themeColor="text1"/>
          <w:sz w:val="24"/>
          <w14:textFill>
            <w14:solidFill>
              <w14:schemeClr w14:val="tx1"/>
            </w14:solidFill>
          </w14:textFill>
        </w:rPr>
        <w:br w:type="textWrapping"/>
      </w:r>
      <w:r>
        <w:rPr>
          <w:rFonts w:hint="eastAsia" w:ascii="宋体" w:hAnsi="宋体" w:cs="宋体"/>
          <w:color w:val="000000" w:themeColor="text1"/>
          <w:sz w:val="24"/>
          <w14:textFill>
            <w14:solidFill>
              <w14:schemeClr w14:val="tx1"/>
            </w14:solidFill>
          </w14:textFill>
        </w:rPr>
        <w:t>　　</w:t>
      </w:r>
      <w:bookmarkStart w:id="136" w:name="_Toc387147344"/>
      <w:bookmarkStart w:id="137" w:name="_Toc417911732"/>
      <w:bookmarkStart w:id="138" w:name="_Toc413748654"/>
      <w:bookmarkStart w:id="139" w:name="_Toc387658050"/>
      <w:bookmarkStart w:id="140" w:name="_Toc419811733"/>
      <w:r>
        <w:rPr>
          <w:rFonts w:hint="eastAsia" w:ascii="宋体" w:hAnsi="宋体" w:cs="宋体"/>
          <w:color w:val="000000" w:themeColor="text1"/>
          <w:sz w:val="24"/>
          <w14:textFill>
            <w14:solidFill>
              <w14:schemeClr w14:val="tx1"/>
            </w14:solidFill>
          </w14:textFill>
        </w:rPr>
        <w:t xml:space="preserve">1. </w:t>
      </w:r>
      <w:r>
        <w:rPr>
          <w:rFonts w:hint="eastAsia" w:ascii="宋体" w:hAnsi="宋体" w:cs="宋体"/>
          <w:color w:val="000000" w:themeColor="text1"/>
          <w:sz w:val="24"/>
          <w:u w:val="single"/>
          <w14:textFill>
            <w14:solidFill>
              <w14:schemeClr w14:val="tx1"/>
            </w14:solidFill>
          </w14:textFill>
        </w:rPr>
        <w:t xml:space="preserve">（标的名称） </w:t>
      </w:r>
      <w:r>
        <w:rPr>
          <w:rFonts w:hint="eastAsia" w:ascii="宋体" w:hAnsi="宋体" w:cs="宋体"/>
          <w:color w:val="000000" w:themeColor="text1"/>
          <w:sz w:val="24"/>
          <w14:textFill>
            <w14:solidFill>
              <w14:schemeClr w14:val="tx1"/>
            </w14:solidFill>
          </w14:textFill>
        </w:rPr>
        <w:t>，属于</w:t>
      </w:r>
      <w:r>
        <w:rPr>
          <w:rFonts w:hint="eastAsia" w:ascii="宋体" w:hAnsi="宋体" w:cs="宋体"/>
          <w:color w:val="000000" w:themeColor="text1"/>
          <w:sz w:val="24"/>
          <w:u w:val="single"/>
          <w14:textFill>
            <w14:solidFill>
              <w14:schemeClr w14:val="tx1"/>
            </w14:solidFill>
          </w14:textFill>
        </w:rPr>
        <w:t xml:space="preserve"> （采购文件中明确的所属行业） </w:t>
      </w:r>
      <w:r>
        <w:rPr>
          <w:rFonts w:hint="eastAsia" w:ascii="宋体" w:hAnsi="宋体" w:cs="宋体"/>
          <w:color w:val="000000" w:themeColor="text1"/>
          <w:sz w:val="24"/>
          <w14:textFill>
            <w14:solidFill>
              <w14:schemeClr w14:val="tx1"/>
            </w14:solidFill>
          </w14:textFill>
        </w:rPr>
        <w:t>；承接企业为</w:t>
      </w:r>
      <w:r>
        <w:rPr>
          <w:rFonts w:hint="eastAsia" w:ascii="宋体" w:hAnsi="宋体" w:cs="宋体"/>
          <w:color w:val="000000" w:themeColor="text1"/>
          <w:sz w:val="24"/>
          <w:u w:val="single"/>
          <w14:textFill>
            <w14:solidFill>
              <w14:schemeClr w14:val="tx1"/>
            </w14:solidFill>
          </w14:textFill>
        </w:rPr>
        <w:t xml:space="preserve"> （企业名称） </w:t>
      </w:r>
      <w:r>
        <w:rPr>
          <w:rFonts w:hint="eastAsia" w:ascii="宋体" w:hAnsi="宋体" w:cs="宋体"/>
          <w:color w:val="000000" w:themeColor="text1"/>
          <w:sz w:val="24"/>
          <w14:textFill>
            <w14:solidFill>
              <w14:schemeClr w14:val="tx1"/>
            </w14:solidFill>
          </w14:textFill>
        </w:rPr>
        <w:t>，从业人员</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人，营业收入为</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万元，资产总额为</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万元，属于</w:t>
      </w:r>
      <w:r>
        <w:rPr>
          <w:rFonts w:hint="eastAsia" w:ascii="宋体" w:hAnsi="宋体" w:cs="宋体"/>
          <w:color w:val="000000" w:themeColor="text1"/>
          <w:sz w:val="24"/>
          <w:u w:val="single"/>
          <w14:textFill>
            <w14:solidFill>
              <w14:schemeClr w14:val="tx1"/>
            </w14:solidFill>
          </w14:textFill>
        </w:rPr>
        <w:t xml:space="preserve"> （中型企业、小型企业、微型企业） </w:t>
      </w:r>
      <w:r>
        <w:rPr>
          <w:rFonts w:hint="eastAsia" w:ascii="宋体" w:hAnsi="宋体" w:cs="宋体"/>
          <w:color w:val="000000" w:themeColor="text1"/>
          <w:sz w:val="24"/>
          <w14:textFill>
            <w14:solidFill>
              <w14:schemeClr w14:val="tx1"/>
            </w14:solidFill>
          </w14:textFill>
        </w:rPr>
        <w:t>；</w:t>
      </w:r>
    </w:p>
    <w:p>
      <w:pPr>
        <w:spacing w:after="0" w:line="360" w:lineRule="auto"/>
        <w:ind w:firstLine="600" w:firstLineChars="25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u w:val="single"/>
          <w14:textFill>
            <w14:solidFill>
              <w14:schemeClr w14:val="tx1"/>
            </w14:solidFill>
          </w14:textFill>
        </w:rPr>
        <w:t xml:space="preserve"> （标的名称） </w:t>
      </w:r>
      <w:r>
        <w:rPr>
          <w:rFonts w:hint="eastAsia" w:ascii="宋体" w:hAnsi="宋体" w:cs="宋体"/>
          <w:color w:val="000000" w:themeColor="text1"/>
          <w:sz w:val="24"/>
          <w14:textFill>
            <w14:solidFill>
              <w14:schemeClr w14:val="tx1"/>
            </w14:solidFill>
          </w14:textFill>
        </w:rPr>
        <w:t>，属于</w:t>
      </w:r>
      <w:r>
        <w:rPr>
          <w:rFonts w:hint="eastAsia" w:ascii="宋体" w:hAnsi="宋体" w:cs="宋体"/>
          <w:color w:val="000000" w:themeColor="text1"/>
          <w:sz w:val="24"/>
          <w:u w:val="single"/>
          <w14:textFill>
            <w14:solidFill>
              <w14:schemeClr w14:val="tx1"/>
            </w14:solidFill>
          </w14:textFill>
        </w:rPr>
        <w:t xml:space="preserve"> （采购文件中明确的所属行业） </w:t>
      </w:r>
      <w:r>
        <w:rPr>
          <w:rFonts w:hint="eastAsia" w:ascii="宋体" w:hAnsi="宋体" w:cs="宋体"/>
          <w:color w:val="000000" w:themeColor="text1"/>
          <w:sz w:val="24"/>
          <w14:textFill>
            <w14:solidFill>
              <w14:schemeClr w14:val="tx1"/>
            </w14:solidFill>
          </w14:textFill>
        </w:rPr>
        <w:t>；承接企业为</w:t>
      </w:r>
      <w:r>
        <w:rPr>
          <w:rFonts w:hint="eastAsia" w:ascii="宋体" w:hAnsi="宋体" w:cs="宋体"/>
          <w:color w:val="000000" w:themeColor="text1"/>
          <w:sz w:val="24"/>
          <w:u w:val="single"/>
          <w14:textFill>
            <w14:solidFill>
              <w14:schemeClr w14:val="tx1"/>
            </w14:solidFill>
          </w14:textFill>
        </w:rPr>
        <w:t xml:space="preserve"> （企业名称） </w:t>
      </w:r>
      <w:r>
        <w:rPr>
          <w:rFonts w:hint="eastAsia" w:ascii="宋体" w:hAnsi="宋体" w:cs="宋体"/>
          <w:color w:val="000000" w:themeColor="text1"/>
          <w:sz w:val="24"/>
          <w14:textFill>
            <w14:solidFill>
              <w14:schemeClr w14:val="tx1"/>
            </w14:solidFill>
          </w14:textFill>
        </w:rPr>
        <w:t>，从业人员</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人，营业收入为</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万元，资产总额为</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万元，属于</w:t>
      </w:r>
      <w:r>
        <w:rPr>
          <w:rFonts w:hint="eastAsia" w:ascii="宋体" w:hAnsi="宋体" w:cs="宋体"/>
          <w:color w:val="000000" w:themeColor="text1"/>
          <w:sz w:val="24"/>
          <w:u w:val="single"/>
          <w14:textFill>
            <w14:solidFill>
              <w14:schemeClr w14:val="tx1"/>
            </w14:solidFill>
          </w14:textFill>
        </w:rPr>
        <w:t xml:space="preserve"> （中型企业、小型企业、微型企业） </w:t>
      </w:r>
      <w:r>
        <w:rPr>
          <w:rFonts w:hint="eastAsia" w:ascii="宋体" w:hAnsi="宋体" w:cs="宋体"/>
          <w:color w:val="000000" w:themeColor="text1"/>
          <w:sz w:val="24"/>
          <w14:textFill>
            <w14:solidFill>
              <w14:schemeClr w14:val="tx1"/>
            </w14:solidFill>
          </w14:textFill>
        </w:rPr>
        <w:t>；</w:t>
      </w:r>
    </w:p>
    <w:p>
      <w:pPr>
        <w:spacing w:after="0" w:line="360" w:lineRule="auto"/>
        <w:ind w:firstLine="600" w:firstLineChars="25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t>
      </w:r>
    </w:p>
    <w:p>
      <w:pPr>
        <w:spacing w:after="0" w:line="360" w:lineRule="auto"/>
        <w:ind w:firstLine="600" w:firstLineChars="25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pPr>
        <w:spacing w:after="0" w:line="360" w:lineRule="auto"/>
        <w:ind w:firstLine="600" w:firstLineChars="25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本企业对上述声明内容的真实性负责。如有虚假，将依法承担相应责任。</w:t>
      </w:r>
    </w:p>
    <w:p>
      <w:pPr>
        <w:spacing w:after="0"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企业名称（盖章）：</w:t>
      </w:r>
    </w:p>
    <w:p>
      <w:pPr>
        <w:spacing w:after="0"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日 期：</w:t>
      </w:r>
    </w:p>
    <w:p>
      <w:pPr>
        <w:spacing w:after="0"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p>
    <w:p>
      <w:pPr>
        <w:spacing w:after="0"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bookmarkEnd w:id="136"/>
      <w:bookmarkEnd w:id="137"/>
      <w:bookmarkEnd w:id="138"/>
      <w:bookmarkEnd w:id="139"/>
      <w:bookmarkEnd w:id="140"/>
      <w:bookmarkStart w:id="141" w:name="_Toc28495"/>
      <w:r>
        <w:rPr>
          <w:rFonts w:hint="eastAsia" w:ascii="宋体" w:hAnsi="宋体" w:cs="宋体"/>
          <w:color w:val="000000" w:themeColor="text1"/>
          <w:sz w:val="24"/>
          <w14:textFill>
            <w14:solidFill>
              <w14:schemeClr w14:val="tx1"/>
            </w14:solidFill>
          </w14:textFill>
        </w:rPr>
        <w:t>.从业人员、营业收入、资产总额填报上一年度数据，无上一年度数据的新成立企业可不填报。</w:t>
      </w:r>
    </w:p>
    <w:p>
      <w:pPr>
        <w:spacing w:line="360" w:lineRule="auto"/>
        <w:rPr>
          <w:rFonts w:ascii="宋体" w:hAnsi="宋体" w:cs="宋体"/>
          <w:b/>
          <w:color w:val="000000" w:themeColor="text1"/>
          <w:sz w:val="32"/>
          <w:szCs w:val="32"/>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r>
        <w:rPr>
          <w:rFonts w:hint="eastAsia" w:ascii="宋体" w:hAnsi="宋体" w:cs="宋体"/>
          <w:b/>
          <w:color w:val="000000" w:themeColor="text1"/>
          <w:sz w:val="32"/>
          <w:szCs w:val="32"/>
          <w14:textFill>
            <w14:solidFill>
              <w14:schemeClr w14:val="tx1"/>
            </w14:solidFill>
          </w14:textFill>
        </w:rPr>
        <w:t>格式2-12</w:t>
      </w:r>
    </w:p>
    <w:p>
      <w:pPr>
        <w:jc w:val="center"/>
        <w:outlineLvl w:val="2"/>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十一、残疾人福利性单位声明函</w:t>
      </w: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spacing w:line="588" w:lineRule="exact"/>
        <w:ind w:firstLine="504" w:firstLineChars="200"/>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本单位郑重声明，根据《财政部 民政部 中国残疾人联合会关于促进残疾人就业政府采购政策的通知》（财库</w:t>
      </w:r>
      <w:r>
        <w:rPr>
          <w:rFonts w:hint="eastAsia" w:ascii="宋体" w:hAnsi="宋体" w:cs="宋体"/>
          <w:color w:val="000000" w:themeColor="text1"/>
          <w:sz w:val="24"/>
          <w14:textFill>
            <w14:solidFill>
              <w14:schemeClr w14:val="tx1"/>
            </w14:solidFill>
          </w14:textFill>
        </w:rPr>
        <w:t>〔2017〕 141</w:t>
      </w:r>
      <w:r>
        <w:rPr>
          <w:rFonts w:hint="eastAsia" w:ascii="宋体" w:hAnsi="宋体" w:cs="宋体"/>
          <w:color w:val="000000" w:themeColor="text1"/>
          <w:spacing w:val="6"/>
          <w:sz w:val="24"/>
          <w14:textFill>
            <w14:solidFill>
              <w14:schemeClr w14:val="tx1"/>
            </w14:solidFill>
          </w14:textFill>
        </w:rPr>
        <w:t>号）的规定，本单位为符合条件的残疾人福利性单位，且本单位参加_</w:t>
      </w:r>
      <w:r>
        <w:rPr>
          <w:rFonts w:hint="eastAsia" w:ascii="宋体" w:hAnsi="宋体" w:cs="宋体"/>
          <w:color w:val="000000" w:themeColor="text1"/>
          <w:sz w:val="24"/>
          <w:u w:val="single"/>
          <w14:textFill>
            <w14:solidFill>
              <w14:schemeClr w14:val="tx1"/>
            </w14:solidFill>
          </w14:textFill>
        </w:rPr>
        <w:t>XXXX</w:t>
      </w:r>
      <w:r>
        <w:rPr>
          <w:rFonts w:hint="eastAsia" w:ascii="宋体" w:hAnsi="宋体" w:cs="宋体"/>
          <w:color w:val="000000" w:themeColor="text1"/>
          <w:spacing w:val="6"/>
          <w:sz w:val="24"/>
          <w14:textFill>
            <w14:solidFill>
              <w14:schemeClr w14:val="tx1"/>
            </w14:solidFill>
          </w14:textFill>
        </w:rPr>
        <w:t>_单位的</w:t>
      </w:r>
      <w:r>
        <w:rPr>
          <w:rFonts w:hint="eastAsia" w:ascii="宋体" w:hAnsi="宋体" w:cs="宋体"/>
          <w:color w:val="000000" w:themeColor="text1"/>
          <w:sz w:val="24"/>
          <w:u w:val="single"/>
          <w14:textFill>
            <w14:solidFill>
              <w14:schemeClr w14:val="tx1"/>
            </w14:solidFill>
          </w14:textFill>
        </w:rPr>
        <w:t>XXXX</w:t>
      </w:r>
      <w:r>
        <w:rPr>
          <w:rFonts w:hint="eastAsia" w:ascii="宋体" w:hAnsi="宋体" w:cs="宋体"/>
          <w:color w:val="000000" w:themeColor="text1"/>
          <w:spacing w:val="6"/>
          <w:sz w:val="24"/>
          <w14:textFill>
            <w14:solidFill>
              <w14:schemeClr w14:val="tx1"/>
            </w14:solidFill>
          </w14:textFill>
        </w:rPr>
        <w:t>_项目采购活动提供本单位制造的货物（由本单位承担工程/提供服务），或者提供其他残疾人福利性单位制造的货物（不包括使用非残疾人福利性单位注册商标的货物）。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本单位对上述声明的真实性负责。如有虚假，将依法承担相应责任。</w:t>
      </w:r>
    </w:p>
    <w:p>
      <w:pPr>
        <w:spacing w:line="588" w:lineRule="exact"/>
        <w:rPr>
          <w:rFonts w:ascii="宋体" w:hAnsi="宋体" w:cs="宋体"/>
          <w:color w:val="000000" w:themeColor="text1"/>
          <w:spacing w:val="6"/>
          <w:sz w:val="24"/>
          <w14:textFill>
            <w14:solidFill>
              <w14:schemeClr w14:val="tx1"/>
            </w14:solidFill>
          </w14:textFill>
        </w:rPr>
      </w:pPr>
    </w:p>
    <w:p>
      <w:pPr>
        <w:spacing w:line="588" w:lineRule="exact"/>
        <w:rPr>
          <w:rFonts w:ascii="宋体" w:hAnsi="宋体" w:cs="宋体"/>
          <w:color w:val="000000" w:themeColor="text1"/>
          <w:spacing w:val="6"/>
          <w:sz w:val="24"/>
          <w14:textFill>
            <w14:solidFill>
              <w14:schemeClr w14:val="tx1"/>
            </w14:solidFill>
          </w14:textFill>
        </w:rPr>
      </w:pPr>
    </w:p>
    <w:p>
      <w:pPr>
        <w:tabs>
          <w:tab w:val="left" w:pos="4860"/>
        </w:tabs>
        <w:spacing w:line="588" w:lineRule="exact"/>
        <w:ind w:right="1560"/>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单位名称（盖章）：</w:t>
      </w:r>
    </w:p>
    <w:p>
      <w:pP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日  期：</w:t>
      </w:r>
    </w:p>
    <w:p>
      <w:pPr>
        <w:spacing w:line="360" w:lineRule="auto"/>
        <w:rPr>
          <w:rFonts w:ascii="宋体" w:hAnsi="宋体" w:cs="宋体"/>
          <w:color w:val="000000" w:themeColor="text1"/>
          <w:sz w:val="24"/>
          <w14:textFill>
            <w14:solidFill>
              <w14:schemeClr w14:val="tx1"/>
            </w14:solidFill>
          </w14:textFill>
        </w:rPr>
      </w:pP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1.残疾人福利性单位视同小型、微型企业，享受预留份额、评审中价格扣除等促进中小企业发展的政府采购政策。残疾人福利性单位属于小型、微型企业的，不重复享受政策。</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2.投标人为非残疾人福利性单位的，可不提供此声明。</w:t>
      </w:r>
    </w:p>
    <w:p>
      <w:pPr>
        <w:rPr>
          <w:rFonts w:ascii="宋体" w:hAnsi="宋体" w:cs="宋体"/>
          <w:color w:val="000000" w:themeColor="text1"/>
          <w:spacing w:val="6"/>
          <w:sz w:val="24"/>
          <w14:textFill>
            <w14:solidFill>
              <w14:schemeClr w14:val="tx1"/>
            </w14:solidFill>
          </w14:textFill>
        </w:rPr>
      </w:pPr>
    </w:p>
    <w:p>
      <w:pPr>
        <w:widowControl/>
        <w:spacing w:after="0" w:line="240" w:lineRule="auto"/>
        <w:jc w:val="left"/>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br w:type="page"/>
      </w:r>
    </w:p>
    <w:p>
      <w:pPr>
        <w:spacing w:line="360" w:lineRule="auto"/>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格式2-13</w:t>
      </w:r>
    </w:p>
    <w:p>
      <w:pPr>
        <w:jc w:val="center"/>
        <w:outlineLvl w:val="2"/>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十二、监狱企业</w:t>
      </w:r>
    </w:p>
    <w:p>
      <w:pPr>
        <w:spacing w:after="0" w:line="360" w:lineRule="auto"/>
        <w:ind w:firstLine="480" w:firstLineChars="200"/>
        <w:jc w:val="left"/>
        <w:rPr>
          <w:rFonts w:ascii="宋体" w:hAnsi="宋体" w:cs="宋体"/>
          <w:color w:val="000000" w:themeColor="text1"/>
          <w:sz w:val="24"/>
          <w14:textFill>
            <w14:solidFill>
              <w14:schemeClr w14:val="tx1"/>
            </w14:solidFill>
          </w14:textFill>
        </w:rPr>
      </w:pPr>
    </w:p>
    <w:p>
      <w:pPr>
        <w:spacing w:after="0"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根据《政府采购支持监狱企业发展有关问题的通知》（财库〔2014〕68号）的规定监狱企业参加采购活动的，应提供由省级以上监狱管理局、戒毒管理局(含新疆生产建设兵团)出具的属于监狱企业的证明文件。</w:t>
      </w:r>
    </w:p>
    <w:p>
      <w:pPr>
        <w:spacing w:after="0"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p>
    <w:p>
      <w:pPr>
        <w:spacing w:after="0"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1.投标人符合《政府采购支持监狱企业发展有关问题的通知》（财库〔2014〕68号）规定的划分标准为监狱企业适用。</w:t>
      </w:r>
    </w:p>
    <w:p>
      <w:pPr>
        <w:spacing w:line="300" w:lineRule="exact"/>
        <w:rPr>
          <w:rFonts w:ascii="宋体" w:hAnsi="宋体" w:cs="宋体"/>
          <w:color w:val="000000" w:themeColor="text1"/>
          <w:sz w:val="24"/>
          <w14:textFill>
            <w14:solidFill>
              <w14:schemeClr w14:val="tx1"/>
            </w14:solidFill>
          </w14:textFill>
        </w:rPr>
        <w:sectPr>
          <w:footerReference r:id="rId8" w:type="default"/>
          <w:pgSz w:w="11906" w:h="16838"/>
          <w:pgMar w:top="1440" w:right="1559" w:bottom="1440" w:left="1559" w:header="851" w:footer="992" w:gutter="0"/>
          <w:cols w:space="720" w:num="1"/>
          <w:docGrid w:linePitch="312" w:charSpace="0"/>
        </w:sectPr>
      </w:pPr>
      <w:r>
        <w:rPr>
          <w:rFonts w:hint="eastAsia" w:ascii="宋体" w:hAnsi="宋体" w:cs="宋体"/>
          <w:color w:val="000000" w:themeColor="text1"/>
          <w:sz w:val="24"/>
          <w14:textFill>
            <w14:solidFill>
              <w14:schemeClr w14:val="tx1"/>
            </w14:solidFill>
          </w14:textFill>
        </w:rPr>
        <w:t>2.在政府采购活动中，监狱企业视同小型、微型企业，享受预留份额、评审中价格扣除等政府采购促进中小企业发展的政府采购政策。</w:t>
      </w:r>
    </w:p>
    <w:p>
      <w:pPr>
        <w:pStyle w:val="4"/>
        <w:rPr>
          <w:rFonts w:ascii="宋体" w:hAnsi="宋体" w:cs="宋体"/>
          <w:color w:val="000000" w:themeColor="text1"/>
          <w:sz w:val="36"/>
          <w:szCs w:val="36"/>
          <w14:textFill>
            <w14:solidFill>
              <w14:schemeClr w14:val="tx1"/>
            </w14:solidFill>
          </w14:textFill>
        </w:rPr>
      </w:pPr>
      <w:bookmarkStart w:id="142" w:name="_Toc82010458"/>
      <w:r>
        <w:rPr>
          <w:rFonts w:hint="eastAsia" w:ascii="宋体" w:hAnsi="宋体" w:cs="宋体"/>
          <w:color w:val="000000" w:themeColor="text1"/>
          <w:sz w:val="36"/>
          <w:szCs w:val="36"/>
          <w14:textFill>
            <w14:solidFill>
              <w14:schemeClr w14:val="tx1"/>
            </w14:solidFill>
          </w14:textFill>
        </w:rPr>
        <w:t>第四章  投标人和投标产品的资格、资质性及其他类似效力要求</w:t>
      </w:r>
      <w:bookmarkEnd w:id="141"/>
      <w:bookmarkEnd w:id="142"/>
    </w:p>
    <w:p>
      <w:pPr>
        <w:pStyle w:val="6"/>
        <w:spacing w:line="360" w:lineRule="exac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一、投标人资格、资质性及其他类似效力要求</w:t>
      </w:r>
    </w:p>
    <w:p>
      <w:pPr>
        <w:pStyle w:val="63"/>
        <w:spacing w:line="420" w:lineRule="exact"/>
        <w:ind w:firstLine="0" w:firstLineChars="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（一）资格要求：详见第五章资格性审查。</w:t>
      </w:r>
    </w:p>
    <w:p>
      <w:pPr>
        <w:pStyle w:val="63"/>
        <w:spacing w:line="420" w:lineRule="exact"/>
        <w:ind w:firstLine="0" w:firstLineChars="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（二）资质性要求：详见第五章资格性审查。</w:t>
      </w:r>
    </w:p>
    <w:p>
      <w:pPr>
        <w:pStyle w:val="63"/>
        <w:spacing w:line="420" w:lineRule="exact"/>
        <w:ind w:firstLine="0" w:firstLineChars="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（三）其他类似效力要求：详见第五章资格性审查。</w:t>
      </w:r>
    </w:p>
    <w:p>
      <w:pPr>
        <w:pStyle w:val="6"/>
        <w:spacing w:line="360" w:lineRule="exac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二、</w:t>
      </w:r>
      <w:r>
        <w:rPr>
          <w:rFonts w:hint="eastAsia" w:ascii="宋体" w:hAnsi="宋体" w:eastAsia="宋体" w:cs="宋体"/>
          <w:color w:val="000000" w:themeColor="text1"/>
          <w:sz w:val="24"/>
          <w:szCs w:val="24"/>
          <w14:textFill>
            <w14:solidFill>
              <w14:schemeClr w14:val="tx1"/>
            </w14:solidFill>
          </w14:textFill>
        </w:rPr>
        <w:t>投标产品的资格、资质性及其他具有类似效力的要求</w:t>
      </w:r>
    </w:p>
    <w:p>
      <w:pP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（一）资格要求：详见第五章资格性审查。</w:t>
      </w:r>
    </w:p>
    <w:p>
      <w:pP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（二）资质性要求：详见第五章资格性审查。</w:t>
      </w:r>
    </w:p>
    <w:p>
      <w:pP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（三）其他类似效力要求：详见第五章资格性审查。</w:t>
      </w:r>
    </w:p>
    <w:p>
      <w:pPr>
        <w:pStyle w:val="63"/>
        <w:spacing w:line="420" w:lineRule="exact"/>
        <w:ind w:firstLine="0" w:firstLineChars="0"/>
        <w:rPr>
          <w:rFonts w:ascii="宋体" w:hAnsi="宋体" w:cs="宋体"/>
          <w:b/>
          <w:color w:val="000000" w:themeColor="text1"/>
          <w:sz w:val="24"/>
          <w14:textFill>
            <w14:solidFill>
              <w14:schemeClr w14:val="tx1"/>
            </w14:solidFill>
          </w14:textFill>
        </w:rPr>
      </w:pPr>
    </w:p>
    <w:p>
      <w:pPr>
        <w:pStyle w:val="63"/>
        <w:spacing w:line="420" w:lineRule="exact"/>
        <w:ind w:firstLine="0" w:firstLineChars="0"/>
        <w:rPr>
          <w:rFonts w:ascii="宋体" w:hAnsi="宋体" w:cs="宋体"/>
          <w:b/>
          <w:color w:val="000000" w:themeColor="text1"/>
          <w:sz w:val="24"/>
          <w14:textFill>
            <w14:solidFill>
              <w14:schemeClr w14:val="tx1"/>
            </w14:solidFill>
          </w14:textFill>
        </w:rPr>
      </w:pPr>
    </w:p>
    <w:p>
      <w:pPr>
        <w:pStyle w:val="4"/>
        <w:rPr>
          <w:rFonts w:ascii="宋体" w:hAnsi="宋体" w:cs="宋体"/>
          <w:color w:val="000000" w:themeColor="text1"/>
          <w:sz w:val="36"/>
          <w:szCs w:val="36"/>
          <w14:textFill>
            <w14:solidFill>
              <w14:schemeClr w14:val="tx1"/>
            </w14:solidFill>
          </w14:textFill>
        </w:rPr>
      </w:pPr>
      <w:bookmarkStart w:id="143" w:name="_Toc1588"/>
      <w:r>
        <w:rPr>
          <w:rFonts w:hint="eastAsia" w:ascii="宋体" w:hAnsi="宋体" w:cs="宋体"/>
          <w:color w:val="000000" w:themeColor="text1"/>
          <w:sz w:val="36"/>
          <w:szCs w:val="36"/>
          <w14:textFill>
            <w14:solidFill>
              <w14:schemeClr w14:val="tx1"/>
            </w14:solidFill>
          </w14:textFill>
        </w:rPr>
        <w:br w:type="page"/>
      </w:r>
      <w:bookmarkStart w:id="144" w:name="_Toc82010459"/>
      <w:r>
        <w:rPr>
          <w:rFonts w:hint="eastAsia" w:ascii="宋体" w:hAnsi="宋体" w:cs="宋体"/>
          <w:color w:val="000000" w:themeColor="text1"/>
          <w:sz w:val="36"/>
          <w:szCs w:val="36"/>
          <w14:textFill>
            <w14:solidFill>
              <w14:schemeClr w14:val="tx1"/>
            </w14:solidFill>
          </w14:textFill>
        </w:rPr>
        <w:t xml:space="preserve">第五章  </w:t>
      </w:r>
      <w:bookmarkEnd w:id="143"/>
      <w:r>
        <w:rPr>
          <w:rFonts w:hint="eastAsia" w:ascii="宋体" w:hAnsi="宋体" w:cs="宋体"/>
          <w:color w:val="000000" w:themeColor="text1"/>
          <w:sz w:val="36"/>
          <w:szCs w:val="36"/>
          <w14:textFill>
            <w14:solidFill>
              <w14:schemeClr w14:val="tx1"/>
            </w14:solidFill>
          </w14:textFill>
        </w:rPr>
        <w:t>资格性审查要求</w:t>
      </w:r>
      <w:bookmarkEnd w:id="144"/>
    </w:p>
    <w:p>
      <w:pPr>
        <w:spacing w:line="360" w:lineRule="auto"/>
        <w:jc w:val="left"/>
        <w:rPr>
          <w:rFonts w:ascii="宋体" w:hAns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采购人或者采购代理机构应当依法对投标人的资格进行审查，资格审查内容详见下表。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2417"/>
        <w:gridCol w:w="3720"/>
        <w:gridCol w:w="1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78" w:type="dxa"/>
            <w:gridSpan w:val="4"/>
            <w:shd w:val="clear" w:color="auto" w:fill="auto"/>
            <w:vAlign w:val="center"/>
          </w:tcPr>
          <w:p>
            <w:pPr>
              <w:spacing w:line="360" w:lineRule="auto"/>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 w:val="24"/>
                <w14:textFill>
                  <w14:solidFill>
                    <w14:schemeClr w14:val="tx1"/>
                  </w14:solidFill>
                </w14:textFill>
              </w:rPr>
              <w:t>资格性审查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dxa"/>
            <w:shd w:val="clear" w:color="auto" w:fill="auto"/>
            <w:vAlign w:val="center"/>
          </w:tcPr>
          <w:p>
            <w:pPr>
              <w:tabs>
                <w:tab w:val="left" w:pos="851"/>
              </w:tabs>
              <w:spacing w:line="360" w:lineRule="auto"/>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序号</w:t>
            </w:r>
          </w:p>
        </w:tc>
        <w:tc>
          <w:tcPr>
            <w:tcW w:w="2417" w:type="dxa"/>
            <w:shd w:val="clear" w:color="auto" w:fill="auto"/>
            <w:vAlign w:val="center"/>
          </w:tcPr>
          <w:p>
            <w:pPr>
              <w:tabs>
                <w:tab w:val="left" w:pos="851"/>
              </w:tabs>
              <w:spacing w:line="360" w:lineRule="auto"/>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第四章  投标人和投标产品的资格、资质性及其他类似效力要求</w:t>
            </w:r>
          </w:p>
        </w:tc>
        <w:tc>
          <w:tcPr>
            <w:tcW w:w="3720" w:type="dxa"/>
            <w:shd w:val="clear" w:color="auto" w:fill="auto"/>
            <w:vAlign w:val="center"/>
          </w:tcPr>
          <w:p>
            <w:pPr>
              <w:tabs>
                <w:tab w:val="left" w:pos="851"/>
              </w:tabs>
              <w:spacing w:line="360" w:lineRule="auto"/>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资格审查要求</w:t>
            </w:r>
          </w:p>
        </w:tc>
        <w:tc>
          <w:tcPr>
            <w:tcW w:w="1826" w:type="dxa"/>
            <w:shd w:val="clear" w:color="auto" w:fill="auto"/>
            <w:vAlign w:val="center"/>
          </w:tcPr>
          <w:p>
            <w:pPr>
              <w:spacing w:line="360" w:lineRule="auto"/>
              <w:jc w:val="center"/>
              <w:rPr>
                <w:rFonts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6" w:hRule="atLeast"/>
        </w:trPr>
        <w:tc>
          <w:tcPr>
            <w:tcW w:w="815" w:type="dxa"/>
            <w:vMerge w:val="restart"/>
            <w:shd w:val="clear" w:color="auto" w:fill="auto"/>
            <w:vAlign w:val="center"/>
          </w:tcPr>
          <w:p>
            <w:pPr>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1</w:t>
            </w:r>
          </w:p>
        </w:tc>
        <w:tc>
          <w:tcPr>
            <w:tcW w:w="2417" w:type="dxa"/>
            <w:vMerge w:val="restart"/>
            <w:shd w:val="clear" w:color="auto" w:fill="auto"/>
            <w:vAlign w:val="center"/>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1.满足《中华人民共和国政府采购法》第二十二条规定；</w:t>
            </w:r>
          </w:p>
        </w:tc>
        <w:tc>
          <w:tcPr>
            <w:tcW w:w="3720" w:type="dxa"/>
            <w:shd w:val="clear" w:color="auto" w:fill="auto"/>
            <w:vAlign w:val="center"/>
          </w:tcPr>
          <w:p>
            <w:pPr>
              <w:pStyle w:val="63"/>
              <w:spacing w:line="420" w:lineRule="exact"/>
              <w:ind w:firstLine="0" w:firstLineChars="0"/>
              <w:rPr>
                <w:rFonts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826" w:type="dxa"/>
            <w:shd w:val="clear" w:color="auto" w:fill="auto"/>
            <w:vAlign w:val="center"/>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投标人按照要求上传证明材料，</w:t>
            </w:r>
            <w:r>
              <w:rPr>
                <w:rFonts w:hint="eastAsia" w:ascii="宋体" w:hAnsi="宋体" w:cs="宋体"/>
                <w:color w:val="000000" w:themeColor="text1"/>
                <w:szCs w:val="21"/>
                <w14:textFill>
                  <w14:solidFill>
                    <w14:schemeClr w14:val="tx1"/>
                  </w14:solidFill>
                </w14:textFill>
              </w:rPr>
              <w:t>采购人或者采购代理机构</w:t>
            </w:r>
            <w:r>
              <w:rPr>
                <w:rFonts w:hint="eastAsia" w:ascii="宋体" w:hAnsi="宋体" w:cs="宋体"/>
                <w:bCs/>
                <w:color w:val="000000" w:themeColor="text1"/>
                <w:szCs w:val="21"/>
                <w14:textFill>
                  <w14:solidFill>
                    <w14:schemeClr w14:val="tx1"/>
                  </w14:solidFill>
                </w14:textFill>
              </w:rPr>
              <w:t>根据上传内容</w:t>
            </w:r>
            <w:r>
              <w:rPr>
                <w:rFonts w:hint="eastAsia" w:ascii="宋体" w:hAnsi="宋体" w:cs="宋体"/>
                <w:color w:val="000000" w:themeColor="text1"/>
                <w:szCs w:val="21"/>
                <w14:textFill>
                  <w14:solidFill>
                    <w14:schemeClr w14:val="tx1"/>
                  </w14:solidFill>
                </w14:textFill>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Merge w:val="continue"/>
            <w:shd w:val="clear" w:color="auto" w:fill="auto"/>
            <w:vAlign w:val="center"/>
          </w:tcPr>
          <w:p>
            <w:pPr>
              <w:jc w:val="center"/>
              <w:rPr>
                <w:rFonts w:ascii="宋体" w:hAnsi="宋体" w:cs="宋体"/>
                <w:bCs/>
                <w:color w:val="000000" w:themeColor="text1"/>
                <w:szCs w:val="21"/>
                <w14:textFill>
                  <w14:solidFill>
                    <w14:schemeClr w14:val="tx1"/>
                  </w14:solidFill>
                </w14:textFill>
              </w:rPr>
            </w:pPr>
          </w:p>
        </w:tc>
        <w:tc>
          <w:tcPr>
            <w:tcW w:w="2417" w:type="dxa"/>
            <w:vMerge w:val="continue"/>
            <w:shd w:val="clear" w:color="auto" w:fill="auto"/>
            <w:vAlign w:val="center"/>
          </w:tcPr>
          <w:p>
            <w:pPr>
              <w:rPr>
                <w:rFonts w:ascii="宋体" w:hAnsi="宋体" w:cs="宋体"/>
                <w:bCs/>
                <w:color w:val="000000" w:themeColor="text1"/>
                <w:szCs w:val="21"/>
                <w14:textFill>
                  <w14:solidFill>
                    <w14:schemeClr w14:val="tx1"/>
                  </w14:solidFill>
                </w14:textFill>
              </w:rPr>
            </w:pPr>
          </w:p>
        </w:tc>
        <w:tc>
          <w:tcPr>
            <w:tcW w:w="3720" w:type="dxa"/>
            <w:shd w:val="clear" w:color="auto" w:fill="auto"/>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1.2具备良好商业信誉的证明材料（可提供承诺函，格式详见第三章）</w:t>
            </w:r>
          </w:p>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1826" w:type="dxa"/>
            <w:shd w:val="clear" w:color="auto" w:fill="auto"/>
            <w:vAlign w:val="center"/>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投标人按照要求上传证明材料，</w:t>
            </w:r>
            <w:r>
              <w:rPr>
                <w:rFonts w:hint="eastAsia" w:ascii="宋体" w:hAnsi="宋体" w:cs="宋体"/>
                <w:color w:val="000000" w:themeColor="text1"/>
                <w:szCs w:val="21"/>
                <w14:textFill>
                  <w14:solidFill>
                    <w14:schemeClr w14:val="tx1"/>
                  </w14:solidFill>
                </w14:textFill>
              </w:rPr>
              <w:t>采购人或者采购代理机构</w:t>
            </w:r>
            <w:r>
              <w:rPr>
                <w:rFonts w:hint="eastAsia" w:ascii="宋体" w:hAnsi="宋体" w:cs="宋体"/>
                <w:bCs/>
                <w:color w:val="000000" w:themeColor="text1"/>
                <w:szCs w:val="21"/>
                <w14:textFill>
                  <w14:solidFill>
                    <w14:schemeClr w14:val="tx1"/>
                  </w14:solidFill>
                </w14:textFill>
              </w:rPr>
              <w:t>根据上传内容</w:t>
            </w:r>
            <w:r>
              <w:rPr>
                <w:rFonts w:hint="eastAsia" w:ascii="宋体" w:hAnsi="宋体" w:cs="宋体"/>
                <w:color w:val="000000" w:themeColor="text1"/>
                <w:szCs w:val="21"/>
                <w14:textFill>
                  <w14:solidFill>
                    <w14:schemeClr w14:val="tx1"/>
                  </w14:solidFill>
                </w14:textFill>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Merge w:val="continue"/>
            <w:shd w:val="clear" w:color="auto" w:fill="auto"/>
            <w:vAlign w:val="center"/>
          </w:tcPr>
          <w:p>
            <w:pPr>
              <w:jc w:val="center"/>
              <w:rPr>
                <w:rFonts w:ascii="宋体" w:hAnsi="宋体" w:cs="宋体"/>
                <w:bCs/>
                <w:color w:val="000000" w:themeColor="text1"/>
                <w:szCs w:val="21"/>
                <w14:textFill>
                  <w14:solidFill>
                    <w14:schemeClr w14:val="tx1"/>
                  </w14:solidFill>
                </w14:textFill>
              </w:rPr>
            </w:pPr>
          </w:p>
        </w:tc>
        <w:tc>
          <w:tcPr>
            <w:tcW w:w="2417" w:type="dxa"/>
            <w:vMerge w:val="continue"/>
            <w:shd w:val="clear" w:color="auto" w:fill="auto"/>
            <w:vAlign w:val="center"/>
          </w:tcPr>
          <w:p>
            <w:pPr>
              <w:rPr>
                <w:rFonts w:ascii="宋体" w:hAnsi="宋体" w:cs="宋体"/>
                <w:bCs/>
                <w:color w:val="000000" w:themeColor="text1"/>
                <w:szCs w:val="21"/>
                <w14:textFill>
                  <w14:solidFill>
                    <w14:schemeClr w14:val="tx1"/>
                  </w14:solidFill>
                </w14:textFill>
              </w:rPr>
            </w:pPr>
          </w:p>
        </w:tc>
        <w:tc>
          <w:tcPr>
            <w:tcW w:w="3720" w:type="dxa"/>
            <w:shd w:val="clear" w:color="auto" w:fill="auto"/>
            <w:vAlign w:val="center"/>
          </w:tcPr>
          <w:p>
            <w:pPr>
              <w:pStyle w:val="63"/>
              <w:spacing w:line="420" w:lineRule="exact"/>
              <w:ind w:firstLine="0" w:firstLineChars="0"/>
              <w:rPr>
                <w:rFonts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部门印章的公司章程复印件。｝</w:t>
            </w:r>
          </w:p>
        </w:tc>
        <w:tc>
          <w:tcPr>
            <w:tcW w:w="1826" w:type="dxa"/>
            <w:shd w:val="clear" w:color="auto" w:fill="auto"/>
            <w:vAlign w:val="center"/>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投标人按照要求上传证明材料，</w:t>
            </w:r>
            <w:r>
              <w:rPr>
                <w:rFonts w:hint="eastAsia" w:ascii="宋体" w:hAnsi="宋体" w:cs="宋体"/>
                <w:color w:val="000000" w:themeColor="text1"/>
                <w:szCs w:val="21"/>
                <w14:textFill>
                  <w14:solidFill>
                    <w14:schemeClr w14:val="tx1"/>
                  </w14:solidFill>
                </w14:textFill>
              </w:rPr>
              <w:t>采购人或者采购代理机构</w:t>
            </w:r>
            <w:r>
              <w:rPr>
                <w:rFonts w:hint="eastAsia" w:ascii="宋体" w:hAnsi="宋体" w:cs="宋体"/>
                <w:bCs/>
                <w:color w:val="000000" w:themeColor="text1"/>
                <w:szCs w:val="21"/>
                <w14:textFill>
                  <w14:solidFill>
                    <w14:schemeClr w14:val="tx1"/>
                  </w14:solidFill>
                </w14:textFill>
              </w:rPr>
              <w:t>根据上传内容</w:t>
            </w:r>
            <w:r>
              <w:rPr>
                <w:rFonts w:hint="eastAsia" w:ascii="宋体" w:hAnsi="宋体" w:cs="宋体"/>
                <w:color w:val="000000" w:themeColor="text1"/>
                <w:szCs w:val="21"/>
                <w14:textFill>
                  <w14:solidFill>
                    <w14:schemeClr w14:val="tx1"/>
                  </w14:solidFill>
                </w14:textFill>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5" w:type="dxa"/>
            <w:vMerge w:val="continue"/>
            <w:shd w:val="clear" w:color="auto" w:fill="auto"/>
            <w:vAlign w:val="center"/>
          </w:tcPr>
          <w:p>
            <w:pPr>
              <w:jc w:val="center"/>
              <w:rPr>
                <w:rFonts w:ascii="宋体" w:hAnsi="宋体" w:cs="宋体"/>
                <w:bCs/>
                <w:color w:val="000000" w:themeColor="text1"/>
                <w:szCs w:val="21"/>
                <w14:textFill>
                  <w14:solidFill>
                    <w14:schemeClr w14:val="tx1"/>
                  </w14:solidFill>
                </w14:textFill>
              </w:rPr>
            </w:pPr>
          </w:p>
        </w:tc>
        <w:tc>
          <w:tcPr>
            <w:tcW w:w="2417" w:type="dxa"/>
            <w:vMerge w:val="continue"/>
            <w:shd w:val="clear" w:color="auto" w:fill="auto"/>
            <w:vAlign w:val="center"/>
          </w:tcPr>
          <w:p>
            <w:pPr>
              <w:rPr>
                <w:rFonts w:ascii="宋体" w:hAnsi="宋体" w:cs="宋体"/>
                <w:bCs/>
                <w:color w:val="000000" w:themeColor="text1"/>
                <w:szCs w:val="21"/>
                <w14:textFill>
                  <w14:solidFill>
                    <w14:schemeClr w14:val="tx1"/>
                  </w14:solidFill>
                </w14:textFill>
              </w:rPr>
            </w:pPr>
          </w:p>
        </w:tc>
        <w:tc>
          <w:tcPr>
            <w:tcW w:w="3720" w:type="dxa"/>
            <w:shd w:val="clear" w:color="auto" w:fill="auto"/>
            <w:vAlign w:val="center"/>
          </w:tcPr>
          <w:p>
            <w:pPr>
              <w:rPr>
                <w:rFonts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1.4具有依法缴纳税收和社会保障资金的良好记录（可提供承诺函，格式详见第三章）；</w:t>
            </w:r>
          </w:p>
        </w:tc>
        <w:tc>
          <w:tcPr>
            <w:tcW w:w="1826" w:type="dxa"/>
            <w:shd w:val="clear" w:color="auto" w:fill="auto"/>
            <w:vAlign w:val="center"/>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投标人按照要求上传证明材料，</w:t>
            </w:r>
            <w:r>
              <w:rPr>
                <w:rFonts w:hint="eastAsia" w:ascii="宋体" w:hAnsi="宋体" w:cs="宋体"/>
                <w:color w:val="000000" w:themeColor="text1"/>
                <w:szCs w:val="21"/>
                <w14:textFill>
                  <w14:solidFill>
                    <w14:schemeClr w14:val="tx1"/>
                  </w14:solidFill>
                </w14:textFill>
              </w:rPr>
              <w:t>采购人或者采购代理机构</w:t>
            </w:r>
            <w:r>
              <w:rPr>
                <w:rFonts w:hint="eastAsia" w:ascii="宋体" w:hAnsi="宋体" w:cs="宋体"/>
                <w:bCs/>
                <w:color w:val="000000" w:themeColor="text1"/>
                <w:szCs w:val="21"/>
                <w14:textFill>
                  <w14:solidFill>
                    <w14:schemeClr w14:val="tx1"/>
                  </w14:solidFill>
                </w14:textFill>
              </w:rPr>
              <w:t>根据上传内容</w:t>
            </w:r>
            <w:r>
              <w:rPr>
                <w:rFonts w:hint="eastAsia" w:ascii="宋体" w:hAnsi="宋体" w:cs="宋体"/>
                <w:color w:val="000000" w:themeColor="text1"/>
                <w:szCs w:val="21"/>
                <w14:textFill>
                  <w14:solidFill>
                    <w14:schemeClr w14:val="tx1"/>
                  </w14:solidFill>
                </w14:textFill>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Merge w:val="continue"/>
            <w:shd w:val="clear" w:color="auto" w:fill="auto"/>
            <w:vAlign w:val="center"/>
          </w:tcPr>
          <w:p>
            <w:pPr>
              <w:jc w:val="center"/>
              <w:rPr>
                <w:rFonts w:ascii="宋体" w:hAnsi="宋体" w:cs="宋体"/>
                <w:bCs/>
                <w:color w:val="000000" w:themeColor="text1"/>
                <w:szCs w:val="21"/>
                <w14:textFill>
                  <w14:solidFill>
                    <w14:schemeClr w14:val="tx1"/>
                  </w14:solidFill>
                </w14:textFill>
              </w:rPr>
            </w:pPr>
          </w:p>
        </w:tc>
        <w:tc>
          <w:tcPr>
            <w:tcW w:w="2417" w:type="dxa"/>
            <w:vMerge w:val="continue"/>
            <w:shd w:val="clear" w:color="auto" w:fill="auto"/>
            <w:vAlign w:val="center"/>
          </w:tcPr>
          <w:p>
            <w:pPr>
              <w:rPr>
                <w:rFonts w:ascii="宋体" w:hAnsi="宋体" w:cs="宋体"/>
                <w:bCs/>
                <w:color w:val="000000" w:themeColor="text1"/>
                <w:szCs w:val="21"/>
                <w14:textFill>
                  <w14:solidFill>
                    <w14:schemeClr w14:val="tx1"/>
                  </w14:solidFill>
                </w14:textFill>
              </w:rPr>
            </w:pPr>
          </w:p>
        </w:tc>
        <w:tc>
          <w:tcPr>
            <w:tcW w:w="3720" w:type="dxa"/>
            <w:shd w:val="clear" w:color="auto" w:fill="auto"/>
            <w:vAlign w:val="center"/>
          </w:tcPr>
          <w:p>
            <w:pPr>
              <w:pStyle w:val="63"/>
              <w:spacing w:line="420" w:lineRule="exact"/>
              <w:ind w:firstLine="0" w:firstLineChars="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1.5具备履行合同所必需的设备和专业技术能力的证明材料（可提供承诺函，格式详见第三章）；</w:t>
            </w:r>
          </w:p>
          <w:p>
            <w:pPr>
              <w:rPr>
                <w:rFonts w:ascii="宋体" w:hAnsi="宋体" w:cs="宋体"/>
                <w:bCs/>
                <w:color w:val="000000" w:themeColor="text1"/>
                <w:szCs w:val="21"/>
                <w14:textFill>
                  <w14:solidFill>
                    <w14:schemeClr w14:val="tx1"/>
                  </w14:solidFill>
                </w14:textFill>
              </w:rPr>
            </w:pPr>
          </w:p>
        </w:tc>
        <w:tc>
          <w:tcPr>
            <w:tcW w:w="1826" w:type="dxa"/>
            <w:shd w:val="clear" w:color="auto" w:fill="auto"/>
            <w:vAlign w:val="center"/>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投标人按照要求上传证明材料，</w:t>
            </w:r>
            <w:r>
              <w:rPr>
                <w:rFonts w:hint="eastAsia" w:ascii="宋体" w:hAnsi="宋体" w:cs="宋体"/>
                <w:color w:val="000000" w:themeColor="text1"/>
                <w:szCs w:val="21"/>
                <w14:textFill>
                  <w14:solidFill>
                    <w14:schemeClr w14:val="tx1"/>
                  </w14:solidFill>
                </w14:textFill>
              </w:rPr>
              <w:t>采购人或者采购代理机构</w:t>
            </w:r>
            <w:r>
              <w:rPr>
                <w:rFonts w:hint="eastAsia" w:ascii="宋体" w:hAnsi="宋体" w:cs="宋体"/>
                <w:bCs/>
                <w:color w:val="000000" w:themeColor="text1"/>
                <w:szCs w:val="21"/>
                <w14:textFill>
                  <w14:solidFill>
                    <w14:schemeClr w14:val="tx1"/>
                  </w14:solidFill>
                </w14:textFill>
              </w:rPr>
              <w:t>根据上传内容</w:t>
            </w:r>
            <w:r>
              <w:rPr>
                <w:rFonts w:hint="eastAsia" w:ascii="宋体" w:hAnsi="宋体" w:cs="宋体"/>
                <w:color w:val="000000" w:themeColor="text1"/>
                <w:szCs w:val="21"/>
                <w14:textFill>
                  <w14:solidFill>
                    <w14:schemeClr w14:val="tx1"/>
                  </w14:solidFill>
                </w14:textFill>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Merge w:val="continue"/>
            <w:shd w:val="clear" w:color="auto" w:fill="auto"/>
            <w:vAlign w:val="center"/>
          </w:tcPr>
          <w:p>
            <w:pPr>
              <w:jc w:val="center"/>
              <w:rPr>
                <w:rFonts w:ascii="宋体" w:hAnsi="宋体" w:cs="宋体"/>
                <w:bCs/>
                <w:color w:val="000000" w:themeColor="text1"/>
                <w:szCs w:val="21"/>
                <w14:textFill>
                  <w14:solidFill>
                    <w14:schemeClr w14:val="tx1"/>
                  </w14:solidFill>
                </w14:textFill>
              </w:rPr>
            </w:pPr>
          </w:p>
        </w:tc>
        <w:tc>
          <w:tcPr>
            <w:tcW w:w="2417" w:type="dxa"/>
            <w:vMerge w:val="continue"/>
            <w:shd w:val="clear" w:color="auto" w:fill="auto"/>
            <w:vAlign w:val="center"/>
          </w:tcPr>
          <w:p>
            <w:pPr>
              <w:rPr>
                <w:rFonts w:ascii="宋体" w:hAnsi="宋体" w:cs="宋体"/>
                <w:bCs/>
                <w:color w:val="000000" w:themeColor="text1"/>
                <w:szCs w:val="21"/>
                <w14:textFill>
                  <w14:solidFill>
                    <w14:schemeClr w14:val="tx1"/>
                  </w14:solidFill>
                </w14:textFill>
              </w:rPr>
            </w:pPr>
          </w:p>
        </w:tc>
        <w:tc>
          <w:tcPr>
            <w:tcW w:w="3720" w:type="dxa"/>
            <w:shd w:val="clear" w:color="auto" w:fill="auto"/>
            <w:vAlign w:val="center"/>
          </w:tcPr>
          <w:p>
            <w:pPr>
              <w:pStyle w:val="63"/>
              <w:spacing w:line="420" w:lineRule="exact"/>
              <w:ind w:firstLine="0" w:firstLineChars="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1.6参加政府采购活动前3年内在经营活动中没有重大违法记录的承诺函（格式详见第三章）；</w:t>
            </w:r>
          </w:p>
          <w:p>
            <w:pPr>
              <w:pStyle w:val="63"/>
              <w:spacing w:line="420" w:lineRule="exact"/>
              <w:ind w:firstLine="0" w:firstLineChars="0"/>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826" w:type="dxa"/>
            <w:shd w:val="clear" w:color="auto" w:fill="auto"/>
            <w:vAlign w:val="center"/>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投标人按照要求上传证明材料，</w:t>
            </w:r>
            <w:r>
              <w:rPr>
                <w:rFonts w:hint="eastAsia" w:ascii="宋体" w:hAnsi="宋体" w:cs="宋体"/>
                <w:color w:val="000000" w:themeColor="text1"/>
                <w:szCs w:val="21"/>
                <w14:textFill>
                  <w14:solidFill>
                    <w14:schemeClr w14:val="tx1"/>
                  </w14:solidFill>
                </w14:textFill>
              </w:rPr>
              <w:t>采购人或者采购代理机构</w:t>
            </w:r>
            <w:r>
              <w:rPr>
                <w:rFonts w:hint="eastAsia" w:ascii="宋体" w:hAnsi="宋体" w:cs="宋体"/>
                <w:bCs/>
                <w:color w:val="000000" w:themeColor="text1"/>
                <w:szCs w:val="21"/>
                <w14:textFill>
                  <w14:solidFill>
                    <w14:schemeClr w14:val="tx1"/>
                  </w14:solidFill>
                </w14:textFill>
              </w:rPr>
              <w:t>根据上传内容</w:t>
            </w:r>
            <w:r>
              <w:rPr>
                <w:rFonts w:hint="eastAsia" w:ascii="宋体" w:hAnsi="宋体" w:cs="宋体"/>
                <w:color w:val="000000" w:themeColor="text1"/>
                <w:szCs w:val="21"/>
                <w14:textFill>
                  <w14:solidFill>
                    <w14:schemeClr w14:val="tx1"/>
                  </w14:solidFill>
                </w14:textFill>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Merge w:val="continue"/>
            <w:shd w:val="clear" w:color="auto" w:fill="auto"/>
            <w:vAlign w:val="center"/>
          </w:tcPr>
          <w:p>
            <w:pPr>
              <w:jc w:val="center"/>
              <w:rPr>
                <w:rFonts w:ascii="宋体" w:hAnsi="宋体" w:cs="宋体"/>
                <w:bCs/>
                <w:color w:val="000000" w:themeColor="text1"/>
                <w:szCs w:val="21"/>
                <w14:textFill>
                  <w14:solidFill>
                    <w14:schemeClr w14:val="tx1"/>
                  </w14:solidFill>
                </w14:textFill>
              </w:rPr>
            </w:pPr>
          </w:p>
        </w:tc>
        <w:tc>
          <w:tcPr>
            <w:tcW w:w="2417" w:type="dxa"/>
            <w:vMerge w:val="continue"/>
            <w:shd w:val="clear" w:color="auto" w:fill="auto"/>
            <w:vAlign w:val="center"/>
          </w:tcPr>
          <w:p>
            <w:pPr>
              <w:rPr>
                <w:rFonts w:ascii="宋体" w:hAnsi="宋体" w:cs="宋体"/>
                <w:bCs/>
                <w:color w:val="000000" w:themeColor="text1"/>
                <w:szCs w:val="21"/>
                <w14:textFill>
                  <w14:solidFill>
                    <w14:schemeClr w14:val="tx1"/>
                  </w14:solidFill>
                </w14:textFill>
              </w:rPr>
            </w:pPr>
          </w:p>
        </w:tc>
        <w:tc>
          <w:tcPr>
            <w:tcW w:w="3720" w:type="dxa"/>
            <w:shd w:val="clear" w:color="auto" w:fill="auto"/>
            <w:vAlign w:val="center"/>
          </w:tcPr>
          <w:p>
            <w:pPr>
              <w:rPr>
                <w:rFonts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1.7具备法律、行政法规规定的其他条件的证明材料（可提供承诺函，格式详见第三章）；</w:t>
            </w:r>
          </w:p>
        </w:tc>
        <w:tc>
          <w:tcPr>
            <w:tcW w:w="1826" w:type="dxa"/>
            <w:shd w:val="clear" w:color="auto" w:fill="auto"/>
            <w:vAlign w:val="center"/>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投标人按照要求上传证明材料，</w:t>
            </w:r>
            <w:r>
              <w:rPr>
                <w:rFonts w:hint="eastAsia" w:ascii="宋体" w:hAnsi="宋体" w:cs="宋体"/>
                <w:color w:val="000000" w:themeColor="text1"/>
                <w:szCs w:val="21"/>
                <w14:textFill>
                  <w14:solidFill>
                    <w14:schemeClr w14:val="tx1"/>
                  </w14:solidFill>
                </w14:textFill>
              </w:rPr>
              <w:t>采购人或者采购代理机构</w:t>
            </w:r>
            <w:r>
              <w:rPr>
                <w:rFonts w:hint="eastAsia" w:ascii="宋体" w:hAnsi="宋体" w:cs="宋体"/>
                <w:bCs/>
                <w:color w:val="000000" w:themeColor="text1"/>
                <w:szCs w:val="21"/>
                <w14:textFill>
                  <w14:solidFill>
                    <w14:schemeClr w14:val="tx1"/>
                  </w14:solidFill>
                </w14:textFill>
              </w:rPr>
              <w:t>根据上传内容</w:t>
            </w:r>
            <w:r>
              <w:rPr>
                <w:rFonts w:hint="eastAsia" w:ascii="宋体" w:hAnsi="宋体" w:cs="宋体"/>
                <w:color w:val="000000" w:themeColor="text1"/>
                <w:szCs w:val="21"/>
                <w14:textFill>
                  <w14:solidFill>
                    <w14:schemeClr w14:val="tx1"/>
                  </w14:solidFill>
                </w14:textFill>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shd w:val="clear" w:color="auto" w:fill="auto"/>
            <w:vAlign w:val="center"/>
          </w:tcPr>
          <w:p>
            <w:pPr>
              <w:rPr>
                <w:rFonts w:hint="eastAsia" w:ascii="宋体" w:hAnsi="宋体" w:eastAsia="宋体" w:cs="宋体"/>
                <w:bCs/>
                <w:color w:val="000000" w:themeColor="text1"/>
                <w:szCs w:val="21"/>
                <w:lang w:eastAsia="zh-CN"/>
                <w14:textFill>
                  <w14:solidFill>
                    <w14:schemeClr w14:val="tx1"/>
                  </w14:solidFill>
                </w14:textFill>
              </w:rPr>
            </w:pPr>
            <w:r>
              <w:rPr>
                <w:rFonts w:hint="eastAsia" w:ascii="宋体" w:hAnsi="宋体" w:cs="宋体"/>
                <w:bCs/>
                <w:color w:val="000000" w:themeColor="text1"/>
                <w:szCs w:val="21"/>
                <w:lang w:val="en-US" w:eastAsia="zh-CN"/>
                <w14:textFill>
                  <w14:solidFill>
                    <w14:schemeClr w14:val="tx1"/>
                  </w14:solidFill>
                </w14:textFill>
              </w:rPr>
              <w:t>2</w:t>
            </w:r>
          </w:p>
        </w:tc>
        <w:tc>
          <w:tcPr>
            <w:tcW w:w="2417" w:type="dxa"/>
            <w:shd w:val="clear" w:color="auto" w:fill="auto"/>
            <w:vAlign w:val="center"/>
          </w:tcPr>
          <w:p>
            <w:pPr>
              <w:pStyle w:val="63"/>
              <w:adjustRightInd w:val="0"/>
              <w:snapToGrid w:val="0"/>
              <w:spacing w:after="0" w:line="500" w:lineRule="exact"/>
              <w:ind w:firstLine="0" w:firstLineChars="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.本项目的特定资格要求：</w:t>
            </w:r>
          </w:p>
          <w:p>
            <w:pPr>
              <w:tabs>
                <w:tab w:val="left" w:pos="7665"/>
              </w:tabs>
              <w:spacing w:line="400" w:lineRule="exact"/>
              <w:rPr>
                <w:rFonts w:ascii="宋体" w:hAnsi="宋体" w:cs="宋体"/>
                <w:color w:val="000000" w:themeColor="text1"/>
                <w:szCs w:val="21"/>
                <w14:textFill>
                  <w14:solidFill>
                    <w14:schemeClr w14:val="tx1"/>
                  </w14:solidFill>
                </w14:textFill>
              </w:rPr>
            </w:pPr>
          </w:p>
        </w:tc>
        <w:tc>
          <w:tcPr>
            <w:tcW w:w="3720" w:type="dxa"/>
            <w:shd w:val="clear" w:color="auto" w:fill="auto"/>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.1供应商具有行政主管部门颁发的城乡规划编制乙级或以上资质证书。</w:t>
            </w:r>
          </w:p>
          <w:p>
            <w:pPr>
              <w:rPr>
                <w:rFonts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.2本项目参加政府采购活动的供应商、法定代表人或主要负责人在前3年内不得具有行贿犯罪记录</w:t>
            </w:r>
            <w:r>
              <w:rPr>
                <w:rFonts w:hint="eastAsia" w:ascii="宋体" w:hAnsi="宋体" w:cs="宋体"/>
                <w:color w:val="000000" w:themeColor="text1"/>
                <w:szCs w:val="21"/>
                <w:lang w:val="en-US" w:eastAsia="zh-CN"/>
                <w14:textFill>
                  <w14:solidFill>
                    <w14:schemeClr w14:val="tx1"/>
                  </w14:solidFill>
                </w14:textFill>
              </w:rPr>
              <w:t>的承诺函</w:t>
            </w:r>
            <w:r>
              <w:rPr>
                <w:rFonts w:hint="eastAsia" w:ascii="宋体" w:hAnsi="宋体" w:cs="宋体"/>
                <w:color w:val="000000" w:themeColor="text1"/>
                <w:szCs w:val="21"/>
                <w14:textFill>
                  <w14:solidFill>
                    <w14:schemeClr w14:val="tx1"/>
                  </w14:solidFill>
                </w14:textFill>
              </w:rPr>
              <w:t>。</w:t>
            </w:r>
          </w:p>
        </w:tc>
        <w:tc>
          <w:tcPr>
            <w:tcW w:w="1826" w:type="dxa"/>
            <w:shd w:val="clear" w:color="auto" w:fill="auto"/>
            <w:vAlign w:val="center"/>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投标人按照要求上传证明材料，</w:t>
            </w:r>
            <w:r>
              <w:rPr>
                <w:rFonts w:hint="eastAsia" w:ascii="宋体" w:hAnsi="宋体" w:cs="宋体"/>
                <w:color w:val="000000" w:themeColor="text1"/>
                <w:szCs w:val="21"/>
                <w14:textFill>
                  <w14:solidFill>
                    <w14:schemeClr w14:val="tx1"/>
                  </w14:solidFill>
                </w14:textFill>
              </w:rPr>
              <w:t>采购人或者采购代理机构</w:t>
            </w:r>
            <w:r>
              <w:rPr>
                <w:rFonts w:hint="eastAsia" w:ascii="宋体" w:hAnsi="宋体" w:cs="宋体"/>
                <w:bCs/>
                <w:color w:val="000000" w:themeColor="text1"/>
                <w:szCs w:val="21"/>
                <w14:textFill>
                  <w14:solidFill>
                    <w14:schemeClr w14:val="tx1"/>
                  </w14:solidFill>
                </w14:textFill>
              </w:rPr>
              <w:t>根据上传内容</w:t>
            </w:r>
            <w:r>
              <w:rPr>
                <w:rFonts w:hint="eastAsia" w:ascii="宋体" w:hAnsi="宋体" w:cs="宋体"/>
                <w:color w:val="000000" w:themeColor="text1"/>
                <w:szCs w:val="21"/>
                <w14:textFill>
                  <w14:solidFill>
                    <w14:schemeClr w14:val="tx1"/>
                  </w14:solidFill>
                </w14:textFill>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shd w:val="clear" w:color="auto" w:fill="auto"/>
            <w:vAlign w:val="center"/>
          </w:tcPr>
          <w:p>
            <w:pPr>
              <w:rPr>
                <w:rFonts w:hint="eastAsia" w:ascii="宋体" w:hAnsi="宋体" w:eastAsia="宋体" w:cs="宋体"/>
                <w:bCs/>
                <w:color w:val="000000" w:themeColor="text1"/>
                <w:szCs w:val="21"/>
                <w:lang w:eastAsia="zh-CN"/>
                <w14:textFill>
                  <w14:solidFill>
                    <w14:schemeClr w14:val="tx1"/>
                  </w14:solidFill>
                </w14:textFill>
              </w:rPr>
            </w:pPr>
            <w:r>
              <w:rPr>
                <w:rFonts w:hint="eastAsia" w:ascii="宋体" w:hAnsi="宋体" w:cs="宋体"/>
                <w:bCs/>
                <w:color w:val="000000" w:themeColor="text1"/>
                <w:szCs w:val="21"/>
                <w:lang w:val="en-US" w:eastAsia="zh-CN"/>
                <w14:textFill>
                  <w14:solidFill>
                    <w14:schemeClr w14:val="tx1"/>
                  </w14:solidFill>
                </w14:textFill>
              </w:rPr>
              <w:t>3</w:t>
            </w:r>
          </w:p>
        </w:tc>
        <w:tc>
          <w:tcPr>
            <w:tcW w:w="2417" w:type="dxa"/>
            <w:shd w:val="clear" w:color="auto" w:fill="auto"/>
            <w:vAlign w:val="center"/>
          </w:tcPr>
          <w:p>
            <w:pPr>
              <w:spacing w:after="0" w:line="340" w:lineRule="exact"/>
              <w:ind w:right="105" w:rightChars="50"/>
              <w:rPr>
                <w:rFonts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3720" w:type="dxa"/>
            <w:shd w:val="clear" w:color="auto" w:fill="auto"/>
            <w:vAlign w:val="center"/>
          </w:tcPr>
          <w:p>
            <w:pPr>
              <w:rPr>
                <w:rFonts w:ascii="宋体" w:hAnsi="宋体" w:cs="宋体"/>
                <w:b/>
                <w:bCs/>
                <w:color w:val="000000" w:themeColor="text1"/>
                <w:szCs w:val="21"/>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Pr>
                <w:rFonts w:hint="eastAsia" w:ascii="宋体" w:hAnsi="宋体" w:cs="宋体"/>
                <w:b/>
                <w:bCs/>
                <w:color w:val="000000" w:themeColor="text1"/>
                <w:szCs w:val="21"/>
                <w14:textFill>
                  <w14:solidFill>
                    <w14:schemeClr w14:val="tx1"/>
                  </w14:solidFill>
                </w14:textFill>
              </w:rPr>
              <w:t>（此项由采购人或采购代理机构查询，投标人不提供证明材料）</w:t>
            </w:r>
          </w:p>
          <w:p>
            <w:pPr>
              <w:spacing w:after="0" w:line="340" w:lineRule="exact"/>
              <w:ind w:right="105" w:rightChars="50"/>
              <w:rPr>
                <w:rFonts w:ascii="宋体" w:hAnsi="宋体" w:cs="宋体"/>
                <w:bCs/>
                <w:color w:val="000000" w:themeColor="text1"/>
                <w:szCs w:val="21"/>
                <w14:textFill>
                  <w14:solidFill>
                    <w14:schemeClr w14:val="tx1"/>
                  </w14:solidFill>
                </w14:textFill>
              </w:rPr>
            </w:pPr>
          </w:p>
        </w:tc>
        <w:tc>
          <w:tcPr>
            <w:tcW w:w="1826" w:type="dxa"/>
            <w:shd w:val="clear" w:color="auto" w:fill="auto"/>
            <w:vAlign w:val="center"/>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投标人可上传空白页，上传内容不作资格审查。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shd w:val="clear" w:color="auto" w:fill="auto"/>
            <w:vAlign w:val="center"/>
          </w:tcPr>
          <w:p>
            <w:pPr>
              <w:rPr>
                <w:rFonts w:hint="eastAsia" w:ascii="宋体" w:hAnsi="宋体" w:eastAsia="宋体" w:cs="宋体"/>
                <w:bCs/>
                <w:color w:val="000000" w:themeColor="text1"/>
                <w:szCs w:val="21"/>
                <w:lang w:eastAsia="zh-CN"/>
                <w14:textFill>
                  <w14:solidFill>
                    <w14:schemeClr w14:val="tx1"/>
                  </w14:solidFill>
                </w14:textFill>
              </w:rPr>
            </w:pPr>
            <w:r>
              <w:rPr>
                <w:rFonts w:hint="eastAsia" w:ascii="宋体" w:hAnsi="宋体" w:cs="宋体"/>
                <w:bCs/>
                <w:color w:val="000000" w:themeColor="text1"/>
                <w:szCs w:val="21"/>
                <w:lang w:val="en-US" w:eastAsia="zh-CN"/>
                <w14:textFill>
                  <w14:solidFill>
                    <w14:schemeClr w14:val="tx1"/>
                  </w14:solidFill>
                </w14:textFill>
              </w:rPr>
              <w:t>4</w:t>
            </w:r>
          </w:p>
        </w:tc>
        <w:tc>
          <w:tcPr>
            <w:tcW w:w="2417" w:type="dxa"/>
            <w:shd w:val="clear" w:color="auto" w:fill="auto"/>
            <w:vAlign w:val="center"/>
          </w:tcPr>
          <w:p>
            <w:pPr>
              <w:pStyle w:val="63"/>
              <w:spacing w:line="420" w:lineRule="exact"/>
              <w:ind w:firstLine="0" w:firstLineChars="0"/>
              <w:rPr>
                <w:rFonts w:ascii="宋体" w:hAnsi="宋体" w:cs="宋体"/>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资质性要求：无</w:t>
            </w:r>
          </w:p>
        </w:tc>
        <w:tc>
          <w:tcPr>
            <w:tcW w:w="3720" w:type="dxa"/>
            <w:shd w:val="clear" w:color="auto" w:fill="auto"/>
            <w:vAlign w:val="center"/>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w:t>
            </w:r>
          </w:p>
        </w:tc>
        <w:tc>
          <w:tcPr>
            <w:tcW w:w="1826" w:type="dxa"/>
            <w:shd w:val="clear" w:color="auto" w:fill="auto"/>
            <w:vAlign w:val="center"/>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shd w:val="clear" w:color="auto" w:fill="auto"/>
            <w:vAlign w:val="center"/>
          </w:tcPr>
          <w:p>
            <w:pPr>
              <w:rPr>
                <w:rFonts w:hint="eastAsia" w:ascii="宋体" w:hAnsi="宋体" w:eastAsia="宋体" w:cs="宋体"/>
                <w:bCs/>
                <w:color w:val="000000" w:themeColor="text1"/>
                <w:szCs w:val="21"/>
                <w:lang w:eastAsia="zh-CN"/>
                <w14:textFill>
                  <w14:solidFill>
                    <w14:schemeClr w14:val="tx1"/>
                  </w14:solidFill>
                </w14:textFill>
              </w:rPr>
            </w:pPr>
            <w:r>
              <w:rPr>
                <w:rFonts w:hint="eastAsia" w:ascii="宋体" w:hAnsi="宋体" w:cs="宋体"/>
                <w:bCs/>
                <w:color w:val="000000" w:themeColor="text1"/>
                <w:szCs w:val="21"/>
                <w:lang w:val="en-US" w:eastAsia="zh-CN"/>
                <w14:textFill>
                  <w14:solidFill>
                    <w14:schemeClr w14:val="tx1"/>
                  </w14:solidFill>
                </w14:textFill>
              </w:rPr>
              <w:t>5</w:t>
            </w:r>
          </w:p>
        </w:tc>
        <w:tc>
          <w:tcPr>
            <w:tcW w:w="2417" w:type="dxa"/>
            <w:shd w:val="clear" w:color="auto" w:fill="auto"/>
            <w:vAlign w:val="center"/>
          </w:tcPr>
          <w:p>
            <w:pPr>
              <w:pStyle w:val="63"/>
              <w:spacing w:line="420" w:lineRule="exact"/>
              <w:ind w:firstLine="0" w:firstLineChars="0"/>
              <w:rPr>
                <w:rFonts w:ascii="宋体" w:hAnsi="宋体" w:cs="宋体"/>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其他类似效力要求：无</w:t>
            </w:r>
          </w:p>
        </w:tc>
        <w:tc>
          <w:tcPr>
            <w:tcW w:w="3720" w:type="dxa"/>
            <w:shd w:val="clear" w:color="auto" w:fill="auto"/>
            <w:vAlign w:val="center"/>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w:t>
            </w:r>
          </w:p>
        </w:tc>
        <w:tc>
          <w:tcPr>
            <w:tcW w:w="1826" w:type="dxa"/>
            <w:shd w:val="clear" w:color="auto" w:fill="auto"/>
            <w:vAlign w:val="center"/>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w:t>
            </w:r>
          </w:p>
        </w:tc>
      </w:tr>
    </w:tbl>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br w:type="page"/>
      </w:r>
    </w:p>
    <w:p>
      <w:pPr>
        <w:pStyle w:val="4"/>
        <w:rPr>
          <w:rFonts w:ascii="宋体" w:hAnsi="宋体" w:cs="宋体"/>
          <w:color w:val="000000" w:themeColor="text1"/>
          <w:sz w:val="36"/>
          <w:szCs w:val="36"/>
          <w14:textFill>
            <w14:solidFill>
              <w14:schemeClr w14:val="tx1"/>
            </w14:solidFill>
          </w14:textFill>
        </w:rPr>
      </w:pPr>
      <w:bookmarkStart w:id="145" w:name="_Toc82010460"/>
      <w:bookmarkStart w:id="146" w:name="_Toc217446093"/>
      <w:r>
        <w:rPr>
          <w:rFonts w:hint="eastAsia" w:ascii="宋体" w:hAnsi="宋体" w:cs="宋体"/>
          <w:color w:val="000000" w:themeColor="text1"/>
          <w:sz w:val="36"/>
          <w:szCs w:val="36"/>
          <w14:textFill>
            <w14:solidFill>
              <w14:schemeClr w14:val="tx1"/>
            </w14:solidFill>
          </w14:textFill>
        </w:rPr>
        <w:t>第六章  招标项目技术、服务、政府采购合同内容条款及其他商务要求</w:t>
      </w:r>
      <w:bookmarkEnd w:id="145"/>
    </w:p>
    <w:bookmarkEnd w:id="146"/>
    <w:p>
      <w:pP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（一）项目概述</w:t>
      </w:r>
    </w:p>
    <w:p>
      <w:pPr>
        <w:pStyle w:val="2"/>
        <w:spacing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贯彻落实《中共中央国务院关于建立国土空间规划体系并监督实施的若干意见》和“健全规划实时监测、定期评估、动态维护制度，建立城市体检评估机制”的指示精神，依据《中华人民共和国城乡规划法》《中华人民共和国土地管理法》等法律，自然资源部制定并发布了《国土空间规划城市体检评估规程》（以下简称《规程》），按照《自然资源部办公厅关于认真抓好&lt;国土空间规划城市体检评估规程&gt;贯彻落实工作的通知》（自然资办发﹝2021﹞55号）以及自然资源部“一年一体检、五年一评估”工作要求，成都作为原国务院审批城市总体规划、土地利用总体规划的城市，需按要求于2021年、2022年、2023年分别开展2020年、2021年、2022年度城市体检评估工作。</w:t>
      </w:r>
    </w:p>
    <w:p>
      <w:pP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（二）工作范围及年限</w:t>
      </w:r>
    </w:p>
    <w:p>
      <w:pPr>
        <w:pStyle w:val="2"/>
        <w:spacing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本次工作范围为成都市全域，总面积为14335平方公里，其中城区为按照自然资源部要求确定的城区范围。</w:t>
      </w:r>
    </w:p>
    <w:p>
      <w:pPr>
        <w:pStyle w:val="2"/>
        <w:spacing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本次工作开展年份为2021年、2022年、2023年，评估年限分别为2020年、2021年、2022年。</w:t>
      </w:r>
    </w:p>
    <w:p>
      <w:pP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（三）技术与服务要求</w:t>
      </w:r>
    </w:p>
    <w:p>
      <w:pPr>
        <w:pStyle w:val="2"/>
        <w:spacing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按照自然资源部关于开展城市体检评估以及《规程》的最新要求，成都市年度城市体检评估工作应包括以下工作内容：</w:t>
      </w:r>
    </w:p>
    <w:p>
      <w:pPr>
        <w:pStyle w:val="2"/>
        <w:spacing w:line="50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1、细化体检评估维度。</w:t>
      </w:r>
      <w:r>
        <w:rPr>
          <w:rFonts w:hint="eastAsia" w:ascii="宋体" w:hAnsi="宋体" w:cs="宋体"/>
          <w:color w:val="000000" w:themeColor="text1"/>
          <w:sz w:val="24"/>
          <w14:textFill>
            <w14:solidFill>
              <w14:schemeClr w14:val="tx1"/>
            </w14:solidFill>
          </w14:textFill>
        </w:rPr>
        <w:t>结合《规程》对体检评估内容的要求与成都具体情况，重点围绕战略定位、底线管控、规模结构、空间布局、支撑体系、实施保障六个维度开展评估。</w:t>
      </w:r>
    </w:p>
    <w:p>
      <w:pPr>
        <w:pStyle w:val="2"/>
        <w:spacing w:line="500" w:lineRule="exact"/>
        <w:ind w:firstLine="482" w:firstLineChars="200"/>
        <w:rPr>
          <w:rFonts w:ascii="宋体" w:hAnsi="宋体" w:cs="宋体"/>
          <w:bCs/>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2、构建体检评估指标体系。</w:t>
      </w:r>
      <w:r>
        <w:rPr>
          <w:rFonts w:hint="eastAsia" w:ascii="宋体" w:hAnsi="宋体" w:cs="宋体"/>
          <w:bCs/>
          <w:color w:val="000000" w:themeColor="text1"/>
          <w:sz w:val="24"/>
          <w14:textFill>
            <w14:solidFill>
              <w14:schemeClr w14:val="tx1"/>
            </w14:solidFill>
          </w14:textFill>
        </w:rPr>
        <w:t>在落实《规程》要求的基本指标和国务院审批城市的必选指标基础上，结合成都国家责任与自身特色，并延续历年年度体检评估特色指标，构建符合评估要求又体现成都建设践行新发展理念的公园城市示范区特色的体检评估指标体系。</w:t>
      </w:r>
    </w:p>
    <w:p>
      <w:pPr>
        <w:pStyle w:val="2"/>
        <w:spacing w:line="50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3、开展体检评估分析。</w:t>
      </w:r>
      <w:r>
        <w:rPr>
          <w:rFonts w:hint="eastAsia" w:ascii="宋体" w:hAnsi="宋体" w:cs="宋体"/>
          <w:color w:val="000000" w:themeColor="text1"/>
          <w:sz w:val="24"/>
          <w14:textFill>
            <w14:solidFill>
              <w14:schemeClr w14:val="tx1"/>
            </w14:solidFill>
          </w14:textFill>
        </w:rPr>
        <w:t>采取历年趋势、横向城市对比等方法，依托第三次全国国土调查数据及变更调查数据，适当结合手机信令、POI等大数据，围绕战略定位、底线管控、规模结构、空间布局、支撑体系、实施保障六大维度进行体检评估分析，并明确各个维度的成效及问题。</w:t>
      </w:r>
    </w:p>
    <w:p>
      <w:pPr>
        <w:pStyle w:val="2"/>
        <w:spacing w:line="50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4、明确年度体检评估问题的整改落实情况。</w:t>
      </w:r>
      <w:r>
        <w:rPr>
          <w:rFonts w:hint="eastAsia" w:ascii="宋体" w:hAnsi="宋体" w:cs="宋体"/>
          <w:color w:val="000000" w:themeColor="text1"/>
          <w:sz w:val="24"/>
          <w14:textFill>
            <w14:solidFill>
              <w14:schemeClr w14:val="tx1"/>
            </w14:solidFill>
          </w14:textFill>
        </w:rPr>
        <w:t>聚焦上一年度体检评估识别的安全底线、规模结构、空间布局、城市竞争力、城市品质以及实施政策六大问题短板，对评估年度成都市针对性开展整治提升行动的成效进行梳理和评估。</w:t>
      </w:r>
    </w:p>
    <w:p>
      <w:pPr>
        <w:pStyle w:val="2"/>
        <w:spacing w:line="500" w:lineRule="exact"/>
        <w:ind w:firstLine="482" w:firstLineChars="200"/>
        <w:rPr>
          <w:rFonts w:ascii="宋体" w:hAnsi="宋体" w:cs="宋体"/>
          <w:color w:val="000000" w:themeColor="text1"/>
          <w14:textFill>
            <w14:solidFill>
              <w14:schemeClr w14:val="tx1"/>
            </w14:solidFill>
          </w14:textFill>
        </w:rPr>
      </w:pPr>
      <w:r>
        <w:rPr>
          <w:rFonts w:hint="eastAsia" w:ascii="宋体" w:hAnsi="宋体" w:cs="宋体"/>
          <w:b/>
          <w:color w:val="000000" w:themeColor="text1"/>
          <w:sz w:val="24"/>
          <w14:textFill>
            <w14:solidFill>
              <w14:schemeClr w14:val="tx1"/>
            </w14:solidFill>
          </w14:textFill>
        </w:rPr>
        <w:t>5、提出对策建议</w:t>
      </w:r>
      <w:r>
        <w:rPr>
          <w:rFonts w:hint="eastAsia" w:ascii="宋体" w:hAnsi="宋体" w:cs="宋体"/>
          <w:color w:val="000000" w:themeColor="text1"/>
          <w:sz w:val="24"/>
          <w14:textFill>
            <w14:solidFill>
              <w14:schemeClr w14:val="tx1"/>
            </w14:solidFill>
          </w14:textFill>
        </w:rPr>
        <w:t>。针对体检评估识别出的问题，结合国土空间规划面临的新形势和新要求，对标新理念、新需求，重点聚焦战略定位、底线管控、规模结构、空间布局、支撑体系、实施保障六个维度，针对性提出对策建议。</w:t>
      </w:r>
    </w:p>
    <w:p>
      <w:pP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（四）成果要求</w:t>
      </w:r>
    </w:p>
    <w:p>
      <w:pPr>
        <w:pStyle w:val="2"/>
        <w:spacing w:line="500" w:lineRule="exact"/>
        <w:ind w:firstLine="482" w:firstLineChars="2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1、投标时应当提供2020年度成都市国土空间规划体检评估初步方案。</w:t>
      </w:r>
    </w:p>
    <w:p>
      <w:pPr>
        <w:pStyle w:val="2"/>
        <w:spacing w:line="500" w:lineRule="exact"/>
        <w:ind w:firstLine="482" w:firstLineChars="2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2、中标后按以下要求提供最终成果：</w:t>
      </w:r>
    </w:p>
    <w:p>
      <w:pPr>
        <w:pStyle w:val="2"/>
        <w:spacing w:line="50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（1）成果内容：</w:t>
      </w:r>
      <w:r>
        <w:rPr>
          <w:rFonts w:hint="eastAsia" w:ascii="宋体" w:hAnsi="宋体" w:cs="宋体"/>
          <w:color w:val="000000" w:themeColor="text1"/>
          <w:sz w:val="24"/>
          <w14:textFill>
            <w14:solidFill>
              <w14:schemeClr w14:val="tx1"/>
            </w14:solidFill>
          </w14:textFill>
        </w:rPr>
        <w:t>成都市国土空间规划城市体检评估成果包含年度体检评估报告与附件。</w:t>
      </w:r>
      <w:r>
        <w:rPr>
          <w:rFonts w:hint="eastAsia" w:ascii="宋体" w:hAnsi="宋体" w:cs="宋体"/>
          <w:b/>
          <w:color w:val="000000" w:themeColor="text1"/>
          <w:sz w:val="24"/>
          <w14:textFill>
            <w14:solidFill>
              <w14:schemeClr w14:val="tx1"/>
            </w14:solidFill>
          </w14:textFill>
        </w:rPr>
        <w:t>年度体检评估报告</w:t>
      </w:r>
      <w:r>
        <w:rPr>
          <w:rFonts w:hint="eastAsia" w:ascii="宋体" w:hAnsi="宋体" w:cs="宋体"/>
          <w:color w:val="000000" w:themeColor="text1"/>
          <w:sz w:val="24"/>
          <w14:textFill>
            <w14:solidFill>
              <w14:schemeClr w14:val="tx1"/>
            </w14:solidFill>
          </w14:textFill>
        </w:rPr>
        <w:t>包括评估维度及指标体系、体检评估分析、上一年度体检评估问题的整改落实情况、对策建议等方面内容。</w:t>
      </w:r>
      <w:r>
        <w:rPr>
          <w:rFonts w:hint="eastAsia" w:ascii="宋体" w:hAnsi="宋体" w:cs="宋体"/>
          <w:b/>
          <w:color w:val="000000" w:themeColor="text1"/>
          <w:sz w:val="24"/>
          <w14:textFill>
            <w14:solidFill>
              <w14:schemeClr w14:val="tx1"/>
            </w14:solidFill>
          </w14:textFill>
        </w:rPr>
        <w:t>附件</w:t>
      </w:r>
      <w:r>
        <w:rPr>
          <w:rFonts w:hint="eastAsia" w:ascii="宋体" w:hAnsi="宋体" w:cs="宋体"/>
          <w:color w:val="000000" w:themeColor="text1"/>
          <w:sz w:val="24"/>
          <w14:textFill>
            <w14:solidFill>
              <w14:schemeClr w14:val="tx1"/>
            </w14:solidFill>
          </w14:textFill>
        </w:rPr>
        <w:t>包括①城市体检指标表，含指标类型、范围、数据来源等；②年度规划实施分析图，含生态保护红线、消防救援5分钟可达覆盖率、标准化菜市场（生鲜超市）步行10分钟覆盖率、市区级医院2公里覆盖率等分析图；③年度体检基础数据库建设情况说明，含体检评估基础数据库建设情况、数据收集情况、数据支撑体检评估工作情况等说明。</w:t>
      </w:r>
    </w:p>
    <w:p>
      <w:pPr>
        <w:pStyle w:val="2"/>
        <w:spacing w:line="500" w:lineRule="exact"/>
        <w:ind w:firstLine="482" w:firstLineChars="200"/>
        <w:rPr>
          <w:rFonts w:ascii="宋体" w:hAnsi="宋体" w:cs="宋体"/>
          <w:bCs/>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（2）成果数量。</w:t>
      </w:r>
      <w:r>
        <w:rPr>
          <w:rFonts w:hint="eastAsia" w:ascii="宋体" w:hAnsi="宋体" w:cs="宋体"/>
          <w:bCs/>
          <w:color w:val="000000" w:themeColor="text1"/>
          <w:sz w:val="24"/>
          <w14:textFill>
            <w14:solidFill>
              <w14:schemeClr w14:val="tx1"/>
            </w14:solidFill>
          </w14:textFill>
        </w:rPr>
        <w:t>正式成果提供纸质成果两份，电子光盘两份。</w:t>
      </w:r>
    </w:p>
    <w:p>
      <w:pP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（五）商务要求</w:t>
      </w:r>
    </w:p>
    <w:p>
      <w:pPr>
        <w:spacing w:line="500" w:lineRule="exact"/>
        <w:ind w:firstLine="482" w:firstLineChars="200"/>
        <w:rPr>
          <w:rFonts w:ascii="宋体" w:hAnsi="宋体" w:cs="宋体"/>
          <w:bCs/>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1、合同采购时间：</w:t>
      </w:r>
      <w:r>
        <w:rPr>
          <w:rFonts w:hint="eastAsia" w:ascii="宋体" w:hAnsi="宋体" w:cs="宋体"/>
          <w:bCs/>
          <w:color w:val="000000" w:themeColor="text1"/>
          <w:sz w:val="24"/>
          <w14:textFill>
            <w14:solidFill>
              <w14:schemeClr w14:val="tx1"/>
            </w14:solidFill>
          </w14:textFill>
        </w:rPr>
        <w:t>本项目拟采购服务期限三年，服务合同一年一签，每年须经采购人考核，考核合格续签第二年合同，考核不合格将被取消后期服务资格。考核内容详见附件四。</w:t>
      </w:r>
    </w:p>
    <w:p>
      <w:pPr>
        <w:spacing w:line="500" w:lineRule="exact"/>
        <w:ind w:firstLine="482" w:firstLineChars="200"/>
        <w:rPr>
          <w:rFonts w:ascii="宋体" w:hAnsi="宋体" w:cs="宋体"/>
          <w:bCs/>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2、</w:t>
      </w:r>
      <w:bookmarkStart w:id="147" w:name="_Hlk86249403"/>
      <w:r>
        <w:rPr>
          <w:rFonts w:hint="eastAsia" w:ascii="宋体" w:hAnsi="宋体" w:cs="宋体"/>
          <w:b/>
          <w:color w:val="000000" w:themeColor="text1"/>
          <w:sz w:val="24"/>
          <w14:textFill>
            <w14:solidFill>
              <w14:schemeClr w14:val="tx1"/>
            </w14:solidFill>
          </w14:textFill>
        </w:rPr>
        <w:t>合同工期</w:t>
      </w:r>
      <w:r>
        <w:rPr>
          <w:rFonts w:hint="eastAsia" w:ascii="宋体" w:hAnsi="宋体" w:cs="宋体"/>
          <w:bCs/>
          <w:color w:val="000000" w:themeColor="text1"/>
          <w:sz w:val="24"/>
          <w14:textFill>
            <w14:solidFill>
              <w14:schemeClr w14:val="tx1"/>
            </w14:solidFill>
          </w14:textFill>
        </w:rPr>
        <w:t>：</w:t>
      </w:r>
      <w:bookmarkStart w:id="148" w:name="_Hlk86329915"/>
      <w:r>
        <w:rPr>
          <w:rFonts w:hint="eastAsia" w:ascii="宋体" w:hAnsi="宋体" w:cs="宋体"/>
          <w:bCs/>
          <w:color w:val="000000" w:themeColor="text1"/>
          <w:sz w:val="24"/>
          <w14:textFill>
            <w14:solidFill>
              <w14:schemeClr w14:val="tx1"/>
            </w14:solidFill>
          </w14:textFill>
        </w:rPr>
        <w:t>自合同签字生效之日起1个月内通过专家审查会并提交送审成果，通过专家审查会后1</w:t>
      </w:r>
      <w:r>
        <w:rPr>
          <w:rFonts w:ascii="宋体" w:hAnsi="宋体" w:cs="宋体"/>
          <w:bCs/>
          <w:color w:val="000000" w:themeColor="text1"/>
          <w:sz w:val="24"/>
          <w14:textFill>
            <w14:solidFill>
              <w14:schemeClr w14:val="tx1"/>
            </w14:solidFill>
          </w14:textFill>
        </w:rPr>
        <w:t>5</w:t>
      </w:r>
      <w:r>
        <w:rPr>
          <w:rFonts w:hint="eastAsia" w:ascii="宋体" w:hAnsi="宋体" w:cs="宋体"/>
          <w:bCs/>
          <w:color w:val="000000" w:themeColor="text1"/>
          <w:sz w:val="24"/>
          <w14:textFill>
            <w14:solidFill>
              <w14:schemeClr w14:val="tx1"/>
            </w14:solidFill>
          </w14:textFill>
        </w:rPr>
        <w:t>个工作日内根据专家审查意见或建议进行修改完善并提交正式成果通过履约验收会，通过履约验收会的视为投标人交付合格。签订合同后，非因采购人原因，投标人不得推迟或延误验收时间，否则，按投标人逾期交付承担由投标人向采购人支付合同总价款3</w:t>
      </w:r>
      <w:r>
        <w:rPr>
          <w:rFonts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每日的违约金的责任，逾期达1</w:t>
      </w:r>
      <w:r>
        <w:rPr>
          <w:rFonts w:ascii="宋体" w:hAnsi="宋体" w:cs="宋体"/>
          <w:bCs/>
          <w:color w:val="000000" w:themeColor="text1"/>
          <w:sz w:val="24"/>
          <w14:textFill>
            <w14:solidFill>
              <w14:schemeClr w14:val="tx1"/>
            </w14:solidFill>
          </w14:textFill>
        </w:rPr>
        <w:t>0</w:t>
      </w:r>
      <w:r>
        <w:rPr>
          <w:rFonts w:hint="eastAsia" w:ascii="宋体" w:hAnsi="宋体" w:cs="宋体"/>
          <w:bCs/>
          <w:color w:val="000000" w:themeColor="text1"/>
          <w:sz w:val="24"/>
          <w14:textFill>
            <w14:solidFill>
              <w14:schemeClr w14:val="tx1"/>
            </w14:solidFill>
          </w14:textFill>
        </w:rPr>
        <w:t>日的，采购人有权单方面解除合同。如遇不可抗力原因造成工作延误，经合同双方同意，合同约定时间可自然顺延，或重新约定。</w:t>
      </w:r>
      <w:bookmarkEnd w:id="147"/>
      <w:bookmarkEnd w:id="148"/>
    </w:p>
    <w:p>
      <w:pPr>
        <w:spacing w:line="500" w:lineRule="exact"/>
        <w:ind w:firstLine="482" w:firstLineChars="200"/>
        <w:rPr>
          <w:rFonts w:ascii="宋体" w:hAnsi="宋体" w:cs="宋体"/>
          <w:bCs/>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3、服务地点</w:t>
      </w:r>
      <w:r>
        <w:rPr>
          <w:rFonts w:hint="eastAsia" w:ascii="宋体" w:hAnsi="宋体" w:cs="宋体"/>
          <w:bCs/>
          <w:color w:val="000000" w:themeColor="text1"/>
          <w:sz w:val="24"/>
          <w14:textFill>
            <w14:solidFill>
              <w14:schemeClr w14:val="tx1"/>
            </w14:solidFill>
          </w14:textFill>
        </w:rPr>
        <w:t>：成都市。</w:t>
      </w:r>
    </w:p>
    <w:p>
      <w:pPr>
        <w:spacing w:line="50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4、付款方式</w:t>
      </w:r>
      <w:r>
        <w:rPr>
          <w:rFonts w:hint="eastAsia" w:ascii="宋体" w:hAnsi="宋体" w:cs="宋体"/>
          <w:color w:val="000000" w:themeColor="text1"/>
          <w:sz w:val="24"/>
          <w14:textFill>
            <w14:solidFill>
              <w14:schemeClr w14:val="tx1"/>
            </w14:solidFill>
          </w14:textFill>
        </w:rPr>
        <w:t>： 1.第一次付款：政府采购合同签订后15个工作日内支付合同总金额的</w:t>
      </w:r>
      <w:r>
        <w:rPr>
          <w:rFonts w:ascii="宋体" w:hAnsi="宋体" w:cs="宋体"/>
          <w:color w:val="000000" w:themeColor="text1"/>
          <w:sz w:val="24"/>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0%；2.第二次付款：投标人提交正式成果且项目通过履约验收会后15个工作日内支付合同总金额的</w:t>
      </w:r>
      <w:r>
        <w:rPr>
          <w:rFonts w:ascii="宋体" w:hAnsi="宋体" w:cs="宋体"/>
          <w:color w:val="000000" w:themeColor="text1"/>
          <w:sz w:val="24"/>
          <w14:textFill>
            <w14:solidFill>
              <w14:schemeClr w14:val="tx1"/>
            </w14:solidFill>
          </w14:textFill>
        </w:rPr>
        <w:t>7</w:t>
      </w:r>
      <w:r>
        <w:rPr>
          <w:rFonts w:hint="eastAsia" w:ascii="宋体" w:hAnsi="宋体" w:cs="宋体"/>
          <w:color w:val="000000" w:themeColor="text1"/>
          <w:sz w:val="24"/>
          <w14:textFill>
            <w14:solidFill>
              <w14:schemeClr w14:val="tx1"/>
            </w14:solidFill>
          </w14:textFill>
        </w:rPr>
        <w:t>0%；3.投标人须向采购人出具合法有效完整的完税发票及凭证资料进行支付结算。投标人应当于采购人付款前出具合法等额经采购人认可的发票，否则，采购人有权暂缓付款且不因此承担违约责任，投标人不得以此为由拒绝履行合同义务。</w:t>
      </w:r>
    </w:p>
    <w:p>
      <w:pPr>
        <w:spacing w:line="50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5、验收标准和方法</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按照国家有关规定、招标文件的质量要求和技术指标、投标人的投标文件及承诺以及合同条款进行验收。</w:t>
      </w:r>
    </w:p>
    <w:p>
      <w:pPr>
        <w:rPr>
          <w:rFonts w:ascii="宋体" w:hAnsi="宋体" w:cs="宋体"/>
          <w:color w:val="000000" w:themeColor="text1"/>
          <w:sz w:val="24"/>
          <w14:textFill>
            <w14:solidFill>
              <w14:schemeClr w14:val="tx1"/>
            </w14:solidFill>
          </w14:textFill>
        </w:rPr>
      </w:pPr>
    </w:p>
    <w:p>
      <w:pPr>
        <w:widowControl/>
        <w:spacing w:after="0" w:line="240" w:lineRule="auto"/>
        <w:jc w:val="left"/>
        <w:rPr>
          <w:rFonts w:ascii="宋体" w:hAnsi="宋体" w:cs="宋体"/>
          <w:b/>
          <w:bCs/>
          <w:color w:val="000000" w:themeColor="text1"/>
          <w:kern w:val="0"/>
          <w:sz w:val="36"/>
          <w:szCs w:val="36"/>
          <w14:textFill>
            <w14:solidFill>
              <w14:schemeClr w14:val="tx1"/>
            </w14:solidFill>
          </w14:textFill>
        </w:rPr>
        <w:sectPr>
          <w:pgSz w:w="11906" w:h="16838"/>
          <w:pgMar w:top="1440" w:right="1559" w:bottom="1440" w:left="1559" w:header="720" w:footer="720" w:gutter="0"/>
          <w:cols w:space="720" w:num="1"/>
          <w:docGrid w:linePitch="312" w:charSpace="0"/>
        </w:sectPr>
      </w:pPr>
      <w:r>
        <w:rPr>
          <w:rFonts w:hint="eastAsia" w:ascii="宋体" w:hAnsi="宋体" w:cs="宋体"/>
          <w:color w:val="000000" w:themeColor="text1"/>
          <w:sz w:val="24"/>
          <w14:textFill>
            <w14:solidFill>
              <w14:schemeClr w14:val="tx1"/>
            </w14:solidFill>
          </w14:textFill>
        </w:rPr>
        <w:br w:type="page"/>
      </w:r>
    </w:p>
    <w:p>
      <w:pPr>
        <w:rPr>
          <w:rFonts w:ascii="宋体" w:hAnsi="宋体" w:cs="宋体"/>
          <w:color w:val="000000" w:themeColor="text1"/>
          <w:sz w:val="32"/>
          <w:szCs w:val="32"/>
          <w14:textFill>
            <w14:solidFill>
              <w14:schemeClr w14:val="tx1"/>
            </w14:solidFill>
          </w14:textFill>
        </w:rPr>
      </w:pPr>
      <w:r>
        <w:rPr>
          <w:rFonts w:hint="eastAsia" w:ascii="宋体" w:hAnsi="宋体" w:cs="宋体"/>
          <w:color w:val="000000" w:themeColor="text1"/>
          <w:sz w:val="32"/>
          <w:szCs w:val="32"/>
          <w14:textFill>
            <w14:solidFill>
              <w14:schemeClr w14:val="tx1"/>
            </w14:solidFill>
          </w14:textFill>
        </w:rPr>
        <w:t xml:space="preserve"> </w:t>
      </w:r>
    </w:p>
    <w:p>
      <w:pPr>
        <w:pStyle w:val="4"/>
        <w:spacing w:line="400" w:lineRule="exact"/>
        <w:rPr>
          <w:rFonts w:ascii="宋体" w:hAnsi="宋体" w:cs="宋体"/>
          <w:color w:val="000000" w:themeColor="text1"/>
          <w:sz w:val="36"/>
          <w:szCs w:val="36"/>
          <w14:textFill>
            <w14:solidFill>
              <w14:schemeClr w14:val="tx1"/>
            </w14:solidFill>
          </w14:textFill>
        </w:rPr>
      </w:pPr>
      <w:bookmarkStart w:id="149" w:name="_Toc24786"/>
      <w:bookmarkStart w:id="150" w:name="_Toc82010461"/>
      <w:r>
        <w:rPr>
          <w:rFonts w:hint="eastAsia" w:ascii="宋体" w:hAnsi="宋体" w:cs="宋体"/>
          <w:color w:val="000000" w:themeColor="text1"/>
          <w:sz w:val="36"/>
          <w:szCs w:val="36"/>
          <w14:textFill>
            <w14:solidFill>
              <w14:schemeClr w14:val="tx1"/>
            </w14:solidFill>
          </w14:textFill>
        </w:rPr>
        <w:t>第七章  评标办法</w:t>
      </w:r>
      <w:bookmarkEnd w:id="149"/>
      <w:bookmarkEnd w:id="150"/>
      <w:bookmarkStart w:id="151" w:name="_Hlt101846155"/>
      <w:bookmarkEnd w:id="151"/>
      <w:bookmarkStart w:id="152" w:name="_Toc217446097"/>
      <w:bookmarkStart w:id="153" w:name="_Toc183582280"/>
      <w:bookmarkStart w:id="154" w:name="_Toc183682415"/>
      <w:bookmarkStart w:id="155" w:name="_Toc208849007"/>
    </w:p>
    <w:p>
      <w:pPr>
        <w:pStyle w:val="6"/>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 总则</w:t>
      </w:r>
      <w:bookmarkEnd w:id="152"/>
      <w:bookmarkEnd w:id="153"/>
      <w:bookmarkEnd w:id="154"/>
      <w:bookmarkEnd w:id="155"/>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 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合格投标人不足三家的，不得评标。</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1.3 评标工作应遵循公平、公正、科学及择优的原则，并以相同的评标程序和标准对待所有的投标人。</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1.4 评标委员会按照招标文件规定的评标方法和标准进行评标，并独立履行下列职责：</w:t>
      </w:r>
    </w:p>
    <w:p>
      <w:pPr>
        <w:spacing w:line="400" w:lineRule="exact"/>
        <w:ind w:firstLine="480" w:firstLineChars="200"/>
        <w:rPr>
          <w:rFonts w:ascii="宋体" w:hAnsi="宋体" w:cs="宋体"/>
          <w:color w:val="000000" w:themeColor="text1"/>
          <w:sz w:val="24"/>
          <w14:textFill>
            <w14:solidFill>
              <w14:schemeClr w14:val="tx1"/>
            </w14:solidFill>
          </w14:textFill>
        </w:rPr>
      </w:pPr>
      <w:bookmarkStart w:id="156" w:name="_Toc217446098"/>
      <w:r>
        <w:rPr>
          <w:rFonts w:hint="eastAsia" w:ascii="宋体" w:hAnsi="宋体" w:cs="宋体"/>
          <w:color w:val="000000" w:themeColor="text1"/>
          <w:sz w:val="24"/>
          <w14:textFill>
            <w14:solidFill>
              <w14:schemeClr w14:val="tx1"/>
            </w14:solidFill>
          </w14:textFill>
        </w:rPr>
        <w:t>（一）熟悉和理解招标文件；</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（二）审查供应商（已通过资格审查）的投标文件是否满足招标文件要求，并作出评价；</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（三）根据需要要求招标采购单位对招标文件作出解释；根据需要要求供应商对投标文件有关事项作出澄清、说明或者更正；</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（四）推荐中标候选供应商，或者受采购人委托确定中标供应商；</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（五）起草评标报告并进行签署；</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（六）向招标采购单位、财政部门或者其他监督部门报告非法干预评标工作的行为；</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（七）法律、法规和规章规定的其他职责。</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1.5 评标过程独立、保密。投标人非法干预评标过程的行为将导致其投标文件作为无效处理。</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1.6 评标委员会评价投标文件的响应性，对于投标人而言，除评标委员会要求其澄清、说明或者更正而提供的资料外，仅依据投标文件本身的内容，不寻求其他外部证据。</w:t>
      </w:r>
    </w:p>
    <w:p>
      <w:pPr>
        <w:pStyle w:val="6"/>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 评标</w:t>
      </w:r>
      <w:bookmarkEnd w:id="156"/>
      <w:r>
        <w:rPr>
          <w:rFonts w:hint="eastAsia" w:ascii="宋体" w:hAnsi="宋体" w:eastAsia="宋体" w:cs="宋体"/>
          <w:color w:val="000000" w:themeColor="text1"/>
          <w:sz w:val="24"/>
          <w:szCs w:val="24"/>
          <w14:textFill>
            <w14:solidFill>
              <w14:schemeClr w14:val="tx1"/>
            </w14:solidFill>
          </w14:textFill>
        </w:rPr>
        <w:t>方法</w:t>
      </w:r>
    </w:p>
    <w:p>
      <w:pPr>
        <w:spacing w:line="360" w:lineRule="auto"/>
        <w:ind w:firstLine="480" w:firstLineChars="200"/>
        <w:rPr>
          <w:rFonts w:ascii="宋体" w:hAnsi="宋体" w:cs="宋体"/>
          <w:color w:val="000000" w:themeColor="text1"/>
          <w:sz w:val="24"/>
          <w14:textFill>
            <w14:solidFill>
              <w14:schemeClr w14:val="tx1"/>
            </w14:solidFill>
          </w14:textFill>
        </w:rPr>
      </w:pPr>
      <w:bookmarkStart w:id="157" w:name="_Toc217446103"/>
      <w:bookmarkStart w:id="158" w:name="_Toc217446099"/>
      <w:r>
        <w:rPr>
          <w:rFonts w:hint="eastAsia" w:ascii="宋体" w:hAnsi="宋体" w:cs="宋体"/>
          <w:color w:val="000000" w:themeColor="text1"/>
          <w:sz w:val="24"/>
          <w14:textFill>
            <w14:solidFill>
              <w14:schemeClr w14:val="tx1"/>
            </w14:solidFill>
          </w14:textFill>
        </w:rPr>
        <w:t>2.1本项目评标方法为：</w:t>
      </w:r>
      <w:r>
        <w:rPr>
          <w:rFonts w:hint="eastAsia" w:ascii="宋体" w:hAnsi="宋体" w:cs="宋体"/>
          <w:b/>
          <w:bCs/>
          <w:color w:val="000000" w:themeColor="text1"/>
          <w:sz w:val="24"/>
          <w14:textFill>
            <w14:solidFill>
              <w14:schemeClr w14:val="tx1"/>
            </w14:solidFill>
          </w14:textFill>
        </w:rPr>
        <w:t>综合评分法</w:t>
      </w:r>
      <w:r>
        <w:rPr>
          <w:rFonts w:hint="eastAsia" w:ascii="宋体" w:hAnsi="宋体" w:cs="宋体"/>
          <w:color w:val="000000" w:themeColor="text1"/>
          <w:sz w:val="24"/>
          <w14:textFill>
            <w14:solidFill>
              <w14:schemeClr w14:val="tx1"/>
            </w14:solidFill>
          </w14:textFill>
        </w:rPr>
        <w:t>。</w:t>
      </w:r>
    </w:p>
    <w:p>
      <w:pPr>
        <w:pStyle w:val="6"/>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w:t>
      </w:r>
      <w:r>
        <w:rPr>
          <w:rFonts w:ascii="宋体" w:hAnsi="宋体" w:eastAsia="宋体" w:cs="宋体"/>
          <w:color w:val="000000" w:themeColor="text1"/>
          <w:sz w:val="24"/>
          <w:szCs w:val="24"/>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评标程序</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3.1熟悉和理解招标文件和停止评标。</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3.1.2评标委员会熟悉和理解招标文件以及评标过程中，发现本招标文件有下列情形之一的，评标委员会应当停止评标：</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（1）招标文件的规定存在歧义、重大缺陷的；</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（2）招标文件明显以不合理条件对供应商实行差别待遇或者歧视待遇的；</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（3）采购项目属于国家规定的优先、强制采购范围，但是招标文件未依法体现优先、强制采购相关规定的；</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（4）采购项目属于政府采购促进中小企业发展的范围，但是招标文件未依法体现促进中小企业发展相关规定的；</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（6）招标文件将投标人的资格条件列为评分因素的；</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（7）招标文件有违反国家其他有关强制性规定的情形。</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3.2符合性检查。</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3.2.1评标委员会依据本招标文件的</w:t>
      </w:r>
      <w:r>
        <w:rPr>
          <w:rFonts w:hint="eastAsia" w:ascii="宋体" w:hAnsi="宋体" w:cs="宋体"/>
          <w:b/>
          <w:bCs/>
          <w:color w:val="000000" w:themeColor="text1"/>
          <w:sz w:val="24"/>
          <w14:textFill>
            <w14:solidFill>
              <w14:schemeClr w14:val="tx1"/>
            </w14:solidFill>
          </w14:textFill>
        </w:rPr>
        <w:t>实质性要求及无效投标情形</w:t>
      </w:r>
      <w:r>
        <w:rPr>
          <w:rFonts w:hint="eastAsia" w:ascii="宋体" w:hAnsi="宋体" w:cs="宋体"/>
          <w:color w:val="000000" w:themeColor="text1"/>
          <w:sz w:val="24"/>
          <w14:textFill>
            <w14:solidFill>
              <w14:schemeClr w14:val="tx1"/>
            </w14:solidFill>
          </w14:textFill>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28"/>
        <w:tblW w:w="10405" w:type="dxa"/>
        <w:tblInd w:w="-6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1808"/>
        <w:gridCol w:w="4645"/>
        <w:gridCol w:w="2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0405" w:type="dxa"/>
            <w:gridSpan w:val="4"/>
            <w:shd w:val="clear" w:color="auto" w:fill="auto"/>
            <w:vAlign w:val="center"/>
          </w:tcPr>
          <w:p>
            <w:pPr>
              <w:spacing w:line="360" w:lineRule="auto"/>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 w:val="24"/>
                <w14:textFill>
                  <w14:solidFill>
                    <w14:schemeClr w14:val="tx1"/>
                  </w14:solidFill>
                </w14:textFill>
              </w:rPr>
              <w:t>符合性审查表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1126" w:type="dxa"/>
            <w:shd w:val="clear" w:color="auto" w:fill="auto"/>
            <w:vAlign w:val="center"/>
          </w:tcPr>
          <w:p>
            <w:pPr>
              <w:tabs>
                <w:tab w:val="left" w:pos="851"/>
              </w:tabs>
              <w:spacing w:line="360" w:lineRule="auto"/>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序号</w:t>
            </w:r>
          </w:p>
        </w:tc>
        <w:tc>
          <w:tcPr>
            <w:tcW w:w="1808" w:type="dxa"/>
            <w:shd w:val="clear" w:color="auto" w:fill="auto"/>
            <w:vAlign w:val="center"/>
          </w:tcPr>
          <w:p>
            <w:pPr>
              <w:tabs>
                <w:tab w:val="left" w:pos="851"/>
              </w:tabs>
              <w:spacing w:line="360" w:lineRule="auto"/>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招标文件条目</w:t>
            </w:r>
          </w:p>
        </w:tc>
        <w:tc>
          <w:tcPr>
            <w:tcW w:w="4645" w:type="dxa"/>
            <w:shd w:val="clear" w:color="auto" w:fill="auto"/>
            <w:vAlign w:val="center"/>
          </w:tcPr>
          <w:p>
            <w:pPr>
              <w:tabs>
                <w:tab w:val="left" w:pos="851"/>
              </w:tabs>
              <w:spacing w:line="360" w:lineRule="auto"/>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实质性要求及无效投标情形</w:t>
            </w:r>
          </w:p>
        </w:tc>
        <w:tc>
          <w:tcPr>
            <w:tcW w:w="2826" w:type="dxa"/>
            <w:shd w:val="clear" w:color="auto" w:fill="auto"/>
            <w:vAlign w:val="center"/>
          </w:tcPr>
          <w:p>
            <w:pPr>
              <w:spacing w:line="360" w:lineRule="auto"/>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shd w:val="clear" w:color="auto" w:fill="auto"/>
          </w:tcPr>
          <w:p>
            <w:pPr>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1</w:t>
            </w:r>
          </w:p>
        </w:tc>
        <w:tc>
          <w:tcPr>
            <w:tcW w:w="1808" w:type="dxa"/>
            <w:shd w:val="clear" w:color="auto" w:fill="auto"/>
          </w:tcPr>
          <w:p>
            <w:pPr>
              <w:widowControl/>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招标文件第二章一、投标人须知附表序号1采购预算</w:t>
            </w:r>
          </w:p>
          <w:p>
            <w:pPr>
              <w:rPr>
                <w:rFonts w:ascii="宋体" w:hAnsi="宋体" w:cs="宋体"/>
                <w:bCs/>
                <w:color w:val="000000" w:themeColor="text1"/>
                <w:szCs w:val="21"/>
                <w14:textFill>
                  <w14:solidFill>
                    <w14:schemeClr w14:val="tx1"/>
                  </w14:solidFill>
                </w14:textFill>
              </w:rPr>
            </w:pPr>
          </w:p>
        </w:tc>
        <w:tc>
          <w:tcPr>
            <w:tcW w:w="4645" w:type="dxa"/>
            <w:shd w:val="clear" w:color="auto" w:fill="auto"/>
          </w:tcPr>
          <w:p>
            <w:pPr>
              <w:widowControl/>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本项目采购预算为:</w:t>
            </w:r>
            <w:r>
              <w:rPr>
                <w:rFonts w:hint="eastAsia" w:ascii="宋体" w:hAnsi="宋体" w:cs="宋体"/>
                <w:color w:val="000000" w:themeColor="text1"/>
                <w:szCs w:val="21"/>
                <w14:textFill>
                  <w14:solidFill>
                    <w14:schemeClr w14:val="tx1"/>
                  </w14:solidFill>
                </w14:textFill>
              </w:rPr>
              <w:t>110</w:t>
            </w:r>
            <w:r>
              <w:rPr>
                <w:rFonts w:hint="eastAsia" w:ascii="宋体" w:hAnsi="宋体" w:cs="宋体"/>
                <w:bCs/>
                <w:color w:val="000000" w:themeColor="text1"/>
                <w:kern w:val="0"/>
                <w:szCs w:val="21"/>
                <w14:textFill>
                  <w14:solidFill>
                    <w14:schemeClr w14:val="tx1"/>
                  </w14:solidFill>
                </w14:textFill>
              </w:rPr>
              <w:t>万元</w:t>
            </w:r>
          </w:p>
          <w:p>
            <w:pPr>
              <w:widowControl/>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超过采购预算的投标为无效投标。</w:t>
            </w:r>
          </w:p>
          <w:p>
            <w:pPr>
              <w:widowControl/>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本项目最高限价为：110万元</w:t>
            </w:r>
          </w:p>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超过最高限价的报价为无效投标。</w:t>
            </w:r>
          </w:p>
        </w:tc>
        <w:tc>
          <w:tcPr>
            <w:tcW w:w="2826" w:type="dxa"/>
            <w:shd w:val="clear" w:color="auto" w:fill="auto"/>
          </w:tcPr>
          <w:p>
            <w:pPr>
              <w:jc w:val="left"/>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投标人根据招标文件第三章格式2-4填写。评标委员会对上传内容按照招标文件要求进行评审。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shd w:val="clear" w:color="auto" w:fill="auto"/>
          </w:tcPr>
          <w:p>
            <w:pPr>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2</w:t>
            </w:r>
          </w:p>
        </w:tc>
        <w:tc>
          <w:tcPr>
            <w:tcW w:w="1808" w:type="dxa"/>
            <w:shd w:val="clear" w:color="auto" w:fill="auto"/>
          </w:tcPr>
          <w:p>
            <w:pPr>
              <w:widowControl/>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招标文件第二章一、投标人须知附表序号2不正当竞争预防措施</w:t>
            </w:r>
          </w:p>
          <w:p>
            <w:pPr>
              <w:rPr>
                <w:rFonts w:ascii="宋体" w:hAnsi="宋体" w:cs="宋体"/>
                <w:bCs/>
                <w:color w:val="000000" w:themeColor="text1"/>
                <w:szCs w:val="21"/>
                <w14:textFill>
                  <w14:solidFill>
                    <w14:schemeClr w14:val="tx1"/>
                  </w14:solidFill>
                </w14:textFill>
              </w:rPr>
            </w:pPr>
          </w:p>
        </w:tc>
        <w:tc>
          <w:tcPr>
            <w:tcW w:w="4645" w:type="dxa"/>
            <w:shd w:val="clear" w:color="auto" w:fill="auto"/>
          </w:tcPr>
          <w:p>
            <w:pPr>
              <w:pStyle w:val="57"/>
              <w:jc w:val="both"/>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注：</w:t>
            </w:r>
            <w:r>
              <w:rPr>
                <w:rFonts w:hint="eastAsia" w:ascii="宋体" w:hAnsi="宋体" w:cs="宋体"/>
                <w:bCs/>
                <w:color w:val="000000" w:themeColor="text1"/>
                <w:szCs w:val="21"/>
                <w:lang w:val="zh-CN"/>
                <w14:textFill>
                  <w14:solidFill>
                    <w14:schemeClr w14:val="tx1"/>
                  </w14:solidFill>
                </w14:textFill>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宋体" w:hAnsi="宋体" w:cs="宋体"/>
                <w:bCs/>
                <w:color w:val="000000" w:themeColor="text1"/>
                <w:szCs w:val="21"/>
                <w14:textFill>
                  <w14:solidFill>
                    <w14:schemeClr w14:val="tx1"/>
                  </w14:solidFill>
                </w14:textFill>
              </w:rPr>
              <w:t>30分钟，供应商已明确表示澄清、说明完毕的除外</w:t>
            </w:r>
            <w:r>
              <w:rPr>
                <w:rFonts w:hint="eastAsia" w:ascii="宋体" w:hAnsi="宋体" w:cs="宋体"/>
                <w:bCs/>
                <w:color w:val="000000" w:themeColor="text1"/>
                <w:szCs w:val="21"/>
                <w:lang w:val="zh-CN"/>
                <w14:textFill>
                  <w14:solidFill>
                    <w14:schemeClr w14:val="tx1"/>
                  </w14:solidFill>
                </w14:textFill>
              </w:rPr>
              <w:t>）。如因系统故障（</w:t>
            </w:r>
            <w:r>
              <w:rPr>
                <w:rFonts w:hint="eastAsia" w:ascii="宋体" w:hAnsi="宋体" w:cs="宋体"/>
                <w:bCs/>
                <w:color w:val="000000" w:themeColor="text1"/>
                <w:szCs w:val="21"/>
                <w14:textFill>
                  <w14:solidFill>
                    <w14:schemeClr w14:val="tx1"/>
                  </w14:solidFill>
                </w14:textFill>
              </w:rPr>
              <w:t>包括组织场所停电、断网等）</w:t>
            </w:r>
            <w:r>
              <w:rPr>
                <w:rFonts w:hint="eastAsia" w:ascii="宋体" w:hAnsi="宋体" w:cs="宋体"/>
                <w:bCs/>
                <w:color w:val="000000" w:themeColor="text1"/>
                <w:szCs w:val="21"/>
                <w:lang w:val="zh-CN"/>
                <w14:textFill>
                  <w14:solidFill>
                    <w14:schemeClr w14:val="tx1"/>
                  </w14:solidFill>
                </w14:textFill>
              </w:rPr>
              <w:t>导致系统无法使用的，由投标人按评标委员会的要求进行澄清或者说明。</w:t>
            </w:r>
          </w:p>
        </w:tc>
        <w:tc>
          <w:tcPr>
            <w:tcW w:w="28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上传空白页即可，不对本项上传的材料作符合性审查。若有需要请按评标委员会要求提供书面说明、相关证明材料</w:t>
            </w:r>
            <w:r>
              <w:rPr>
                <w:rFonts w:hint="eastAsia" w:ascii="宋体" w:hAnsi="宋体" w:cs="宋体"/>
                <w:bCs/>
                <w:color w:val="000000" w:themeColor="text1"/>
                <w:szCs w:val="21"/>
                <w:lang w:val="zh-CN"/>
                <w14:textFill>
                  <w14:solidFill>
                    <w14:schemeClr w14:val="tx1"/>
                  </w14:solidFill>
                </w14:textFill>
              </w:rPr>
              <w:t>（如涉及）</w:t>
            </w:r>
            <w:r>
              <w:rPr>
                <w:rFonts w:hint="eastAsia" w:ascii="宋体" w:hAnsi="宋体" w:cs="宋体"/>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3</w:t>
            </w:r>
          </w:p>
        </w:tc>
        <w:tc>
          <w:tcPr>
            <w:tcW w:w="1808"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招标文件第二章一、投标人须知附表序号3进口产品</w:t>
            </w:r>
          </w:p>
        </w:tc>
        <w:tc>
          <w:tcPr>
            <w:tcW w:w="4645"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本项目招标文件中未载明“允许采购进口产品”的产品，视为拒绝进口产品参与竞争，供应商以进口产品投标时，将按无效投标处理。载明“允许采购进口产品”的产品，不限制国产产品参与竞争。</w:t>
            </w:r>
          </w:p>
        </w:tc>
        <w:tc>
          <w:tcPr>
            <w:tcW w:w="28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上传空白页即可，不对本项上传的材料作符合性审查。评标委员会根据投标产品响应情况评审。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4</w:t>
            </w:r>
          </w:p>
        </w:tc>
        <w:tc>
          <w:tcPr>
            <w:tcW w:w="1808" w:type="dxa"/>
            <w:shd w:val="clear" w:color="auto" w:fill="auto"/>
          </w:tcPr>
          <w:p>
            <w:pPr>
              <w:spacing w:after="0" w:line="340" w:lineRule="exact"/>
              <w:ind w:right="105" w:rightChars="50"/>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招标文件第二章一、投标人须知附表序号5</w:t>
            </w:r>
            <w:r>
              <w:rPr>
                <w:rFonts w:hint="eastAsia" w:ascii="宋体" w:hAnsi="宋体" w:cs="宋体"/>
                <w:bCs/>
                <w:color w:val="000000" w:themeColor="text1"/>
                <w:kern w:val="0"/>
                <w:szCs w:val="21"/>
                <w14:textFill>
                  <w14:solidFill>
                    <w14:schemeClr w14:val="tx1"/>
                  </w14:solidFill>
                </w14:textFill>
              </w:rPr>
              <w:t>节能、环保及无线局域网产品政府采购政策（</w:t>
            </w:r>
            <w:r>
              <w:rPr>
                <w:rFonts w:hint="eastAsia" w:ascii="宋体" w:hAnsi="宋体" w:cs="宋体"/>
                <w:b/>
                <w:bCs/>
                <w:color w:val="000000" w:themeColor="text1"/>
                <w:kern w:val="0"/>
                <w:szCs w:val="21"/>
                <w14:textFill>
                  <w14:solidFill>
                    <w14:schemeClr w14:val="tx1"/>
                  </w14:solidFill>
                </w14:textFill>
              </w:rPr>
              <w:t>本项目不适用</w:t>
            </w:r>
            <w:r>
              <w:rPr>
                <w:rFonts w:hint="eastAsia" w:ascii="宋体" w:hAnsi="宋体" w:cs="宋体"/>
                <w:bCs/>
                <w:color w:val="000000" w:themeColor="text1"/>
                <w:kern w:val="0"/>
                <w:szCs w:val="21"/>
                <w14:textFill>
                  <w14:solidFill>
                    <w14:schemeClr w14:val="tx1"/>
                  </w14:solidFill>
                </w14:textFill>
              </w:rPr>
              <w:t>）</w:t>
            </w:r>
          </w:p>
        </w:tc>
        <w:tc>
          <w:tcPr>
            <w:tcW w:w="4645" w:type="dxa"/>
            <w:shd w:val="clear" w:color="auto" w:fill="auto"/>
          </w:tcPr>
          <w:p>
            <w:pPr>
              <w:spacing w:after="0" w:line="340" w:lineRule="exact"/>
              <w:ind w:right="105" w:rightChars="50"/>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一、节能、环保产品政府采购政策：</w:t>
            </w:r>
          </w:p>
          <w:p>
            <w:pPr>
              <w:spacing w:after="0" w:line="340" w:lineRule="exact"/>
              <w:ind w:right="105" w:rightChars="50"/>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340" w:lineRule="exact"/>
              <w:ind w:right="105" w:rightChars="50"/>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本项目采购的产品属于品目清单强制采购范围的，供应商应按上述要求提供产品认证证书复印件并加盖供应商单位公章，否则投标无效。</w:t>
            </w:r>
          </w:p>
        </w:tc>
        <w:tc>
          <w:tcPr>
            <w:tcW w:w="28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若不涉及上传空白页即可，若涉及按照要求提供证明材料，评标委员会根据上传内容进行评审。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5</w:t>
            </w:r>
          </w:p>
        </w:tc>
        <w:tc>
          <w:tcPr>
            <w:tcW w:w="1808"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招标文件第二章一、投标人须知附表序号9合同分包</w:t>
            </w:r>
          </w:p>
        </w:tc>
        <w:tc>
          <w:tcPr>
            <w:tcW w:w="4645" w:type="dxa"/>
            <w:shd w:val="clear" w:color="auto" w:fill="auto"/>
          </w:tcPr>
          <w:p>
            <w:pPr>
              <w:pStyle w:val="57"/>
              <w:spacing w:line="360" w:lineRule="auto"/>
              <w:ind w:firstLine="210" w:firstLineChars="100"/>
              <w:jc w:val="both"/>
              <w:rPr>
                <w:bCs/>
                <w:color w:val="000000" w:themeColor="text1"/>
                <w:kern w:val="2"/>
                <w:sz w:val="21"/>
                <w:szCs w:val="21"/>
                <w14:textFill>
                  <w14:solidFill>
                    <w14:schemeClr w14:val="tx1"/>
                  </w14:solidFill>
                </w14:textFill>
              </w:rPr>
            </w:pPr>
            <w:r>
              <w:rPr>
                <w:rFonts w:hint="eastAsia"/>
                <w:bCs/>
                <w:color w:val="000000" w:themeColor="text1"/>
                <w:kern w:val="2"/>
                <w:sz w:val="21"/>
                <w:szCs w:val="21"/>
                <w14:textFill>
                  <w14:solidFill>
                    <w14:schemeClr w14:val="tx1"/>
                  </w14:solidFill>
                </w14:textFill>
              </w:rPr>
              <w:t>☑本项目不接受合同分包。</w:t>
            </w:r>
          </w:p>
        </w:tc>
        <w:tc>
          <w:tcPr>
            <w:tcW w:w="28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上传空白页即可，</w:t>
            </w:r>
            <w:r>
              <w:rPr>
                <w:rFonts w:hint="eastAsia" w:ascii="宋体" w:hAnsi="宋体" w:cs="宋体"/>
                <w:color w:val="000000" w:themeColor="text1"/>
                <w:szCs w:val="21"/>
                <w14:textFill>
                  <w14:solidFill>
                    <w14:schemeClr w14:val="tx1"/>
                  </w14:solidFill>
                </w14:textFill>
              </w:rPr>
              <w:t>不对本项上传的材料作符合性审查。评标委员会根据招标文件要求进行评审。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6</w:t>
            </w:r>
          </w:p>
        </w:tc>
        <w:tc>
          <w:tcPr>
            <w:tcW w:w="1808"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招标文件第二章一、投标人须知附表序号20</w:t>
            </w:r>
            <w:r>
              <w:rPr>
                <w:rFonts w:hint="eastAsia" w:ascii="宋体" w:hAnsi="宋体" w:cs="宋体"/>
                <w:bCs/>
                <w:color w:val="000000" w:themeColor="text1"/>
                <w:szCs w:val="21"/>
                <w:lang w:val="zh-CN"/>
                <w14:textFill>
                  <w14:solidFill>
                    <w14:schemeClr w14:val="tx1"/>
                  </w14:solidFill>
                </w14:textFill>
              </w:rPr>
              <w:t>联合体</w:t>
            </w:r>
          </w:p>
        </w:tc>
        <w:tc>
          <w:tcPr>
            <w:tcW w:w="4645" w:type="dxa"/>
            <w:shd w:val="clear" w:color="auto" w:fill="auto"/>
          </w:tcPr>
          <w:p>
            <w:pPr>
              <w:pStyle w:val="57"/>
              <w:jc w:val="both"/>
              <w:rPr>
                <w:bCs/>
                <w:color w:val="000000" w:themeColor="text1"/>
                <w:sz w:val="21"/>
                <w:szCs w:val="21"/>
                <w:lang w:val="zh-CN"/>
                <w14:textFill>
                  <w14:solidFill>
                    <w14:schemeClr w14:val="tx1"/>
                  </w14:solidFill>
                </w14:textFill>
              </w:rPr>
            </w:pPr>
            <w:r>
              <w:rPr>
                <w:rFonts w:hint="eastAsia"/>
                <w:bCs/>
                <w:color w:val="000000" w:themeColor="text1"/>
                <w:kern w:val="2"/>
                <w:sz w:val="21"/>
                <w:szCs w:val="21"/>
                <w14:textFill>
                  <w14:solidFill>
                    <w14:schemeClr w14:val="tx1"/>
                  </w14:solidFill>
                </w14:textFill>
              </w:rPr>
              <w:t>☑</w:t>
            </w:r>
            <w:r>
              <w:rPr>
                <w:rFonts w:hint="eastAsia"/>
                <w:bCs/>
                <w:color w:val="000000" w:themeColor="text1"/>
                <w:sz w:val="21"/>
                <w:szCs w:val="21"/>
                <w:lang w:val="zh-CN"/>
                <w14:textFill>
                  <w14:solidFill>
                    <w14:schemeClr w14:val="tx1"/>
                  </w14:solidFill>
                </w14:textFill>
              </w:rPr>
              <w:t xml:space="preserve">本项目不允许联合体参加    </w:t>
            </w:r>
          </w:p>
        </w:tc>
        <w:tc>
          <w:tcPr>
            <w:tcW w:w="28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上传空白页即可，</w:t>
            </w:r>
            <w:r>
              <w:rPr>
                <w:rFonts w:hint="eastAsia" w:ascii="宋体" w:hAnsi="宋体" w:cs="宋体"/>
                <w:color w:val="000000" w:themeColor="text1"/>
                <w:szCs w:val="21"/>
                <w14:textFill>
                  <w14:solidFill>
                    <w14:schemeClr w14:val="tx1"/>
                  </w14:solidFill>
                </w14:textFill>
              </w:rPr>
              <w:t>不对本项上传的材料作符合性审查。评标委员会根据招标文件要求进行评审。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7</w:t>
            </w:r>
          </w:p>
        </w:tc>
        <w:tc>
          <w:tcPr>
            <w:tcW w:w="1808" w:type="dxa"/>
            <w:shd w:val="clear" w:color="auto" w:fill="auto"/>
          </w:tcPr>
          <w:p>
            <w:pPr>
              <w:rPr>
                <w:rFonts w:ascii="宋体" w:hAnsi="宋体" w:cs="宋体"/>
                <w:bCs/>
                <w:color w:val="000000" w:themeColor="text1"/>
                <w:szCs w:val="21"/>
                <w:lang w:val="zh-CN"/>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招标文件</w:t>
            </w:r>
            <w:r>
              <w:rPr>
                <w:rFonts w:hint="eastAsia" w:ascii="宋体" w:hAnsi="宋体" w:cs="宋体"/>
                <w:bCs/>
                <w:color w:val="000000" w:themeColor="text1"/>
                <w:szCs w:val="21"/>
                <w:lang w:val="zh-CN"/>
                <w14:textFill>
                  <w14:solidFill>
                    <w14:schemeClr w14:val="tx1"/>
                  </w14:solidFill>
                </w14:textFill>
              </w:rPr>
              <w:t>第二章</w:t>
            </w:r>
            <w:r>
              <w:rPr>
                <w:rFonts w:hint="eastAsia" w:ascii="宋体" w:hAnsi="宋体" w:cs="宋体"/>
                <w:bCs/>
                <w:color w:val="000000" w:themeColor="text1"/>
                <w:szCs w:val="21"/>
                <w14:textFill>
                  <w14:solidFill>
                    <w14:schemeClr w14:val="tx1"/>
                  </w14:solidFill>
                </w14:textFill>
              </w:rPr>
              <w:t>4.</w:t>
            </w:r>
            <w:r>
              <w:rPr>
                <w:rFonts w:hint="eastAsia" w:ascii="宋体" w:hAnsi="宋体" w:cs="宋体"/>
                <w:bCs/>
                <w:color w:val="000000" w:themeColor="text1"/>
                <w:szCs w:val="21"/>
                <w:lang w:val="zh-CN"/>
                <w14:textFill>
                  <w14:solidFill>
                    <w14:schemeClr w14:val="tx1"/>
                  </w14:solidFill>
                </w14:textFill>
              </w:rPr>
              <w:t>投标费用</w:t>
            </w:r>
          </w:p>
        </w:tc>
        <w:tc>
          <w:tcPr>
            <w:tcW w:w="4645"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投标人参加投标的有关费用由投标人自行承担。</w:t>
            </w:r>
          </w:p>
        </w:tc>
        <w:tc>
          <w:tcPr>
            <w:tcW w:w="28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8</w:t>
            </w:r>
          </w:p>
        </w:tc>
        <w:tc>
          <w:tcPr>
            <w:tcW w:w="1808" w:type="dxa"/>
            <w:shd w:val="clear" w:color="auto" w:fill="auto"/>
          </w:tcPr>
          <w:p>
            <w:pPr>
              <w:rPr>
                <w:rFonts w:ascii="宋体" w:hAnsi="宋体" w:cs="宋体"/>
                <w:bCs/>
                <w:color w:val="000000" w:themeColor="text1"/>
                <w:szCs w:val="21"/>
                <w:lang w:val="zh-CN"/>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招标文件</w:t>
            </w:r>
            <w:r>
              <w:rPr>
                <w:rFonts w:hint="eastAsia" w:ascii="宋体" w:hAnsi="宋体" w:cs="宋体"/>
                <w:bCs/>
                <w:color w:val="000000" w:themeColor="text1"/>
                <w:szCs w:val="21"/>
                <w:lang w:val="zh-CN"/>
                <w14:textFill>
                  <w14:solidFill>
                    <w14:schemeClr w14:val="tx1"/>
                  </w14:solidFill>
                </w14:textFill>
              </w:rPr>
              <w:t>第二章5.充分、公平竞争保障措施</w:t>
            </w:r>
          </w:p>
        </w:tc>
        <w:tc>
          <w:tcPr>
            <w:tcW w:w="4645" w:type="dxa"/>
            <w:shd w:val="clear" w:color="auto" w:fill="auto"/>
          </w:tcPr>
          <w:p>
            <w:pPr>
              <w:pStyle w:val="62"/>
              <w:spacing w:line="460" w:lineRule="exact"/>
              <w:ind w:left="1" w:firstLine="422" w:firstLineChars="200"/>
              <w:rPr>
                <w:rFonts w:hAnsi="宋体" w:cs="宋体"/>
                <w:color w:val="000000" w:themeColor="text1"/>
                <w:sz w:val="21"/>
                <w:szCs w:val="21"/>
                <w14:textFill>
                  <w14:solidFill>
                    <w14:schemeClr w14:val="tx1"/>
                  </w14:solidFill>
                </w14:textFill>
              </w:rPr>
            </w:pPr>
            <w:r>
              <w:rPr>
                <w:rFonts w:hint="eastAsia" w:hAnsi="宋体" w:cs="宋体"/>
                <w:b/>
                <w:color w:val="000000" w:themeColor="text1"/>
                <w:sz w:val="21"/>
                <w:szCs w:val="21"/>
                <w14:textFill>
                  <w14:solidFill>
                    <w14:schemeClr w14:val="tx1"/>
                  </w14:solidFill>
                </w14:textFill>
              </w:rPr>
              <w:t>5.1 利害关系供应商处理。</w:t>
            </w:r>
            <w:r>
              <w:rPr>
                <w:rFonts w:hint="eastAsia" w:hAnsi="宋体" w:cs="宋体"/>
                <w:color w:val="000000" w:themeColor="text1"/>
                <w:sz w:val="21"/>
                <w:szCs w:val="21"/>
                <w14:textFill>
                  <w14:solidFill>
                    <w14:schemeClr w14:val="tx1"/>
                  </w14:solidFill>
                </w14:textFill>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62"/>
              <w:spacing w:line="460" w:lineRule="exact"/>
              <w:ind w:left="1" w:firstLine="422" w:firstLineChars="200"/>
              <w:rPr>
                <w:rFonts w:hAnsi="宋体" w:cs="宋体"/>
                <w:bCs/>
                <w:color w:val="000000" w:themeColor="text1"/>
                <w:sz w:val="21"/>
                <w:szCs w:val="21"/>
                <w14:textFill>
                  <w14:solidFill>
                    <w14:schemeClr w14:val="tx1"/>
                  </w14:solidFill>
                </w14:textFill>
              </w:rPr>
            </w:pPr>
            <w:r>
              <w:rPr>
                <w:rFonts w:hint="eastAsia" w:hAnsi="宋体" w:cs="宋体"/>
                <w:b/>
                <w:color w:val="000000" w:themeColor="text1"/>
                <w:sz w:val="21"/>
                <w:szCs w:val="21"/>
                <w14:textFill>
                  <w14:solidFill>
                    <w14:schemeClr w14:val="tx1"/>
                  </w14:solidFill>
                </w14:textFill>
              </w:rPr>
              <w:t>5.2 前期参与供应商处理。</w:t>
            </w:r>
            <w:r>
              <w:rPr>
                <w:rFonts w:hint="eastAsia" w:hAnsi="宋体" w:cs="宋体"/>
                <w:color w:val="000000" w:themeColor="text1"/>
                <w:sz w:val="21"/>
                <w:szCs w:val="21"/>
                <w14:textFill>
                  <w14:solidFill>
                    <w14:schemeClr w14:val="tx1"/>
                  </w14:solidFill>
                </w14:textFill>
              </w:rPr>
              <w:t>为采购项目提供整体设计、规范编制或者项目管理、监理、检测等服务的供应商，不得再参加该采购项目的其他采购活动。</w:t>
            </w:r>
          </w:p>
        </w:tc>
        <w:tc>
          <w:tcPr>
            <w:tcW w:w="2826" w:type="dxa"/>
            <w:shd w:val="clear" w:color="auto" w:fill="auto"/>
            <w:vAlign w:val="center"/>
          </w:tcPr>
          <w:p>
            <w:pPr>
              <w:jc w:val="left"/>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9</w:t>
            </w:r>
          </w:p>
        </w:tc>
        <w:tc>
          <w:tcPr>
            <w:tcW w:w="1808"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招标文件</w:t>
            </w:r>
            <w:r>
              <w:rPr>
                <w:rFonts w:hint="eastAsia" w:ascii="宋体" w:hAnsi="宋体" w:cs="宋体"/>
                <w:bCs/>
                <w:color w:val="000000" w:themeColor="text1"/>
                <w:szCs w:val="21"/>
                <w:lang w:val="zh-CN"/>
                <w14:textFill>
                  <w14:solidFill>
                    <w14:schemeClr w14:val="tx1"/>
                  </w14:solidFill>
                </w14:textFill>
              </w:rPr>
              <w:t>第二章10．计量单位</w:t>
            </w:r>
          </w:p>
        </w:tc>
        <w:tc>
          <w:tcPr>
            <w:tcW w:w="4645"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除招标文件中另有规定外，本次采购项目所有合同项下的投标均采用国家法定的计量单位。</w:t>
            </w:r>
          </w:p>
        </w:tc>
        <w:tc>
          <w:tcPr>
            <w:tcW w:w="28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上传空白页即可，</w:t>
            </w:r>
            <w:r>
              <w:rPr>
                <w:rFonts w:hint="eastAsia" w:ascii="宋体" w:hAnsi="宋体" w:cs="宋体"/>
                <w:color w:val="000000" w:themeColor="text1"/>
                <w:szCs w:val="21"/>
                <w14:textFill>
                  <w14:solidFill>
                    <w14:schemeClr w14:val="tx1"/>
                  </w14:solidFill>
                </w14:textFill>
              </w:rPr>
              <w:t>不对本项上传的材料作符合性审查，</w:t>
            </w:r>
            <w:r>
              <w:rPr>
                <w:rFonts w:hint="eastAsia" w:ascii="宋体" w:hAnsi="宋体" w:cs="宋体"/>
                <w:bCs/>
                <w:color w:val="000000" w:themeColor="text1"/>
                <w:szCs w:val="21"/>
                <w14:textFill>
                  <w14:solidFill>
                    <w14:schemeClr w14:val="tx1"/>
                  </w14:solidFill>
                </w14:textFill>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10</w:t>
            </w:r>
          </w:p>
        </w:tc>
        <w:tc>
          <w:tcPr>
            <w:tcW w:w="1808"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招标文件第二章11. 投标货币</w:t>
            </w:r>
          </w:p>
        </w:tc>
        <w:tc>
          <w:tcPr>
            <w:tcW w:w="4645"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本次招标项目的投标均以人民币报价。</w:t>
            </w:r>
          </w:p>
        </w:tc>
        <w:tc>
          <w:tcPr>
            <w:tcW w:w="28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上传空白页即可，</w:t>
            </w:r>
            <w:r>
              <w:rPr>
                <w:rFonts w:hint="eastAsia" w:ascii="宋体" w:hAnsi="宋体" w:cs="宋体"/>
                <w:color w:val="000000" w:themeColor="text1"/>
                <w:szCs w:val="21"/>
                <w14:textFill>
                  <w14:solidFill>
                    <w14:schemeClr w14:val="tx1"/>
                  </w14:solidFill>
                </w14:textFill>
              </w:rPr>
              <w:t>不对本项上传的材料作符合性审查，</w:t>
            </w:r>
            <w:r>
              <w:rPr>
                <w:rFonts w:hint="eastAsia" w:ascii="宋体" w:hAnsi="宋体" w:cs="宋体"/>
                <w:bCs/>
                <w:color w:val="000000" w:themeColor="text1"/>
                <w:szCs w:val="21"/>
                <w14:textFill>
                  <w14:solidFill>
                    <w14:schemeClr w14:val="tx1"/>
                  </w14:solidFill>
                </w14:textFill>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11</w:t>
            </w:r>
          </w:p>
        </w:tc>
        <w:tc>
          <w:tcPr>
            <w:tcW w:w="1808" w:type="dxa"/>
            <w:shd w:val="clear" w:color="auto" w:fill="auto"/>
          </w:tcPr>
          <w:p>
            <w:pPr>
              <w:rPr>
                <w:rFonts w:ascii="宋体" w:hAnsi="宋体" w:cs="宋体"/>
                <w:bCs/>
                <w:color w:val="000000" w:themeColor="text1"/>
                <w:szCs w:val="21"/>
                <w:lang w:val="zh-CN"/>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招标文件第二章13. 知识产权</w:t>
            </w:r>
          </w:p>
        </w:tc>
        <w:tc>
          <w:tcPr>
            <w:tcW w:w="4645" w:type="dxa"/>
            <w:shd w:val="clear" w:color="auto" w:fill="auto"/>
          </w:tcPr>
          <w:p>
            <w:pPr>
              <w:rPr>
                <w:rFonts w:ascii="宋体" w:hAnsi="宋体" w:cs="宋体"/>
                <w:bCs/>
                <w:color w:val="000000" w:themeColor="text1"/>
                <w:szCs w:val="21"/>
                <w:lang w:val="zh-CN"/>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rPr>
                <w:rFonts w:ascii="宋体" w:hAnsi="宋体" w:cs="宋体"/>
                <w:bCs/>
                <w:color w:val="000000" w:themeColor="text1"/>
                <w:szCs w:val="21"/>
                <w:lang w:val="zh-CN"/>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13.2 采购人享有本项目实施过程中产生的知识成果及知识产权。</w:t>
            </w:r>
          </w:p>
          <w:p>
            <w:pPr>
              <w:rPr>
                <w:rFonts w:ascii="宋体" w:hAnsi="宋体" w:cs="宋体"/>
                <w:bCs/>
                <w:color w:val="000000" w:themeColor="text1"/>
                <w:szCs w:val="21"/>
                <w:lang w:val="zh-CN"/>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rPr>
                <w:rFonts w:ascii="宋体" w:hAnsi="宋体" w:cs="宋体"/>
                <w:bCs/>
                <w:color w:val="000000" w:themeColor="text1"/>
                <w:szCs w:val="21"/>
                <w:lang w:val="zh-CN"/>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 xml:space="preserve">13.4 如采用投标人所不拥有的知识产权，则在投标报价中必须包括合法获取该知识产权的相关费用。 </w:t>
            </w:r>
          </w:p>
        </w:tc>
        <w:tc>
          <w:tcPr>
            <w:tcW w:w="2826" w:type="dxa"/>
            <w:shd w:val="clear" w:color="auto" w:fill="auto"/>
            <w:vAlign w:val="center"/>
          </w:tcPr>
          <w:p>
            <w:pPr>
              <w:jc w:val="both"/>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12</w:t>
            </w:r>
          </w:p>
        </w:tc>
        <w:tc>
          <w:tcPr>
            <w:tcW w:w="1808" w:type="dxa"/>
            <w:shd w:val="clear" w:color="auto" w:fill="auto"/>
          </w:tcPr>
          <w:p>
            <w:pPr>
              <w:rPr>
                <w:rFonts w:ascii="宋体" w:hAnsi="宋体" w:cs="宋体"/>
                <w:bCs/>
                <w:color w:val="000000" w:themeColor="text1"/>
                <w:szCs w:val="21"/>
                <w:lang w:val="zh-CN"/>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招标文件第二章14．投标文件的组成，其他响应性投标文件（一）报价部分</w:t>
            </w:r>
          </w:p>
        </w:tc>
        <w:tc>
          <w:tcPr>
            <w:tcW w:w="4645" w:type="dxa"/>
            <w:shd w:val="clear" w:color="auto" w:fill="auto"/>
          </w:tcPr>
          <w:p>
            <w:pPr>
              <w:rPr>
                <w:rFonts w:ascii="宋体" w:hAnsi="宋体" w:cs="宋体"/>
                <w:bCs/>
                <w:color w:val="000000" w:themeColor="text1"/>
                <w:szCs w:val="21"/>
                <w:lang w:val="zh-CN"/>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2.本次招标报价要求：</w:t>
            </w:r>
          </w:p>
          <w:p>
            <w:pPr>
              <w:rPr>
                <w:rFonts w:ascii="宋体" w:hAnsi="宋体" w:cs="宋体"/>
                <w:bCs/>
                <w:color w:val="000000" w:themeColor="text1"/>
                <w:szCs w:val="21"/>
                <w:lang w:val="zh-CN"/>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（1）投标人的报价是投标人响应招标项目要求的全部工作内容的价格体现，包括投标人完成本项目所需的一切费用。</w:t>
            </w:r>
          </w:p>
        </w:tc>
        <w:tc>
          <w:tcPr>
            <w:tcW w:w="28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13</w:t>
            </w:r>
          </w:p>
        </w:tc>
        <w:tc>
          <w:tcPr>
            <w:tcW w:w="1808" w:type="dxa"/>
            <w:shd w:val="clear" w:color="auto" w:fill="auto"/>
          </w:tcPr>
          <w:p>
            <w:pPr>
              <w:rPr>
                <w:rFonts w:ascii="宋体" w:hAnsi="宋体" w:cs="宋体"/>
                <w:bCs/>
                <w:color w:val="000000" w:themeColor="text1"/>
                <w:szCs w:val="21"/>
                <w:lang w:val="zh-CN"/>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招标文件第二章16．投标有效期</w:t>
            </w:r>
          </w:p>
          <w:p>
            <w:pPr>
              <w:rPr>
                <w:rFonts w:ascii="宋体" w:hAnsi="宋体" w:cs="宋体"/>
                <w:bCs/>
                <w:color w:val="000000" w:themeColor="text1"/>
                <w:szCs w:val="21"/>
                <w:lang w:val="zh-CN"/>
                <w14:textFill>
                  <w14:solidFill>
                    <w14:schemeClr w14:val="tx1"/>
                  </w14:solidFill>
                </w14:textFill>
              </w:rPr>
            </w:pPr>
          </w:p>
        </w:tc>
        <w:tc>
          <w:tcPr>
            <w:tcW w:w="4645" w:type="dxa"/>
            <w:shd w:val="clear" w:color="auto" w:fill="auto"/>
          </w:tcPr>
          <w:p>
            <w:pPr>
              <w:rPr>
                <w:rFonts w:ascii="宋体" w:hAnsi="宋体" w:cs="宋体"/>
                <w:bCs/>
                <w:color w:val="000000" w:themeColor="text1"/>
                <w:szCs w:val="21"/>
                <w:lang w:val="zh-CN"/>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rPr>
                <w:rFonts w:ascii="宋体" w:hAnsi="宋体" w:cs="宋体"/>
                <w:bCs/>
                <w:color w:val="000000" w:themeColor="text1"/>
                <w:szCs w:val="21"/>
                <w:lang w:val="zh-CN"/>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rPr>
                <w:rFonts w:ascii="宋体" w:hAnsi="宋体" w:cs="宋体"/>
                <w:bCs/>
                <w:color w:val="000000" w:themeColor="text1"/>
                <w:szCs w:val="21"/>
                <w:lang w:val="zh-CN"/>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8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投标人按照招标文件第三章格式2-2填写，评标委员会根据上传内容评审。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14</w:t>
            </w:r>
          </w:p>
        </w:tc>
        <w:tc>
          <w:tcPr>
            <w:tcW w:w="1808" w:type="dxa"/>
            <w:shd w:val="clear" w:color="auto" w:fill="auto"/>
          </w:tcPr>
          <w:p>
            <w:pPr>
              <w:tabs>
                <w:tab w:val="left" w:pos="7665"/>
              </w:tabs>
              <w:spacing w:line="400" w:lineRule="exact"/>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招标文件第二章17．投标文件的制作和签章、加密</w:t>
            </w:r>
          </w:p>
          <w:p>
            <w:pPr>
              <w:rPr>
                <w:rFonts w:ascii="宋体" w:hAnsi="宋体" w:cs="宋体"/>
                <w:bCs/>
                <w:color w:val="000000" w:themeColor="text1"/>
                <w:szCs w:val="21"/>
                <w:lang w:val="zh-CN"/>
                <w14:textFill>
                  <w14:solidFill>
                    <w14:schemeClr w14:val="tx1"/>
                  </w14:solidFill>
                </w14:textFill>
              </w:rPr>
            </w:pPr>
          </w:p>
        </w:tc>
        <w:tc>
          <w:tcPr>
            <w:tcW w:w="4645" w:type="dxa"/>
            <w:shd w:val="clear" w:color="auto" w:fill="auto"/>
          </w:tcPr>
          <w:p>
            <w:pPr>
              <w:tabs>
                <w:tab w:val="left" w:pos="7665"/>
              </w:tabs>
              <w:spacing w:line="400" w:lineRule="exact"/>
              <w:rPr>
                <w:rFonts w:ascii="宋体" w:hAnsi="宋体" w:cs="宋体"/>
                <w:bCs/>
                <w:color w:val="000000" w:themeColor="text1"/>
                <w:szCs w:val="21"/>
                <w:lang w:val="zh-CN"/>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17.2 资格性投标文件、其他响应性投标文件封面均应加盖投标人（法定名称）电子印章，不得使用投标人专用章（如经济合同章、投标专用章等）或下属单位印章代替。</w:t>
            </w:r>
          </w:p>
        </w:tc>
        <w:tc>
          <w:tcPr>
            <w:tcW w:w="28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上传空白页即可，</w:t>
            </w:r>
            <w:r>
              <w:rPr>
                <w:rFonts w:hint="eastAsia" w:ascii="宋体" w:hAnsi="宋体" w:cs="宋体"/>
                <w:color w:val="000000" w:themeColor="text1"/>
                <w:szCs w:val="21"/>
                <w14:textFill>
                  <w14:solidFill>
                    <w14:schemeClr w14:val="tx1"/>
                  </w14:solidFill>
                </w14:textFill>
              </w:rPr>
              <w:t>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shd w:val="clear" w:color="auto" w:fill="auto"/>
          </w:tcPr>
          <w:p>
            <w:pPr>
              <w:rPr>
                <w:rFonts w:ascii="宋体" w:hAnsi="宋体" w:cs="宋体"/>
                <w:bCs/>
                <w:color w:val="000000" w:themeColor="text1"/>
                <w:szCs w:val="21"/>
                <w14:textFill>
                  <w14:solidFill>
                    <w14:schemeClr w14:val="tx1"/>
                  </w14:solidFill>
                </w14:textFill>
              </w:rPr>
            </w:pPr>
          </w:p>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15</w:t>
            </w:r>
          </w:p>
        </w:tc>
        <w:tc>
          <w:tcPr>
            <w:tcW w:w="1808" w:type="dxa"/>
            <w:shd w:val="clear" w:color="auto" w:fill="auto"/>
          </w:tcPr>
          <w:p>
            <w:pPr>
              <w:rPr>
                <w:rFonts w:ascii="宋体" w:hAnsi="宋体" w:cs="宋体"/>
                <w:bCs/>
                <w:color w:val="000000" w:themeColor="text1"/>
                <w:szCs w:val="21"/>
                <w:lang w:val="zh-CN"/>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招标文件第二章27.合同分包</w:t>
            </w:r>
          </w:p>
        </w:tc>
        <w:tc>
          <w:tcPr>
            <w:tcW w:w="4645" w:type="dxa"/>
            <w:shd w:val="clear" w:color="auto" w:fill="auto"/>
          </w:tcPr>
          <w:p>
            <w:pPr>
              <w:rPr>
                <w:rFonts w:ascii="宋体" w:hAnsi="宋体" w:cs="宋体"/>
                <w:bCs/>
                <w:color w:val="000000" w:themeColor="text1"/>
                <w:szCs w:val="21"/>
                <w:lang w:val="zh-CN"/>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27.1本项目合同接受分包与否，以“投标人须知附表”勾选项为准。</w:t>
            </w:r>
          </w:p>
          <w:p>
            <w:pPr>
              <w:rPr>
                <w:rFonts w:ascii="宋体" w:hAnsi="宋体" w:cs="宋体"/>
                <w:bCs/>
                <w:color w:val="000000" w:themeColor="text1"/>
                <w:szCs w:val="21"/>
                <w:lang w:val="zh-CN"/>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27.2 中小企业依据《政府采购促进中小企业发展管理办法》（财库〔2020〕46号）规定的政策获取政府采购合同后，小型、微型企业不得分包或转包给大型、中型企业，中型企业不得分包或转包给大型企业。</w:t>
            </w:r>
          </w:p>
          <w:p>
            <w:pPr>
              <w:rPr>
                <w:rFonts w:ascii="宋体" w:hAnsi="宋体" w:cs="宋体"/>
                <w:bCs/>
                <w:color w:val="000000" w:themeColor="text1"/>
                <w:szCs w:val="21"/>
                <w:lang w:val="zh-CN"/>
                <w14:textFill>
                  <w14:solidFill>
                    <w14:schemeClr w14:val="tx1"/>
                  </w14:solidFill>
                </w14:textFill>
              </w:rPr>
            </w:pPr>
          </w:p>
        </w:tc>
        <w:tc>
          <w:tcPr>
            <w:tcW w:w="28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16</w:t>
            </w:r>
          </w:p>
        </w:tc>
        <w:tc>
          <w:tcPr>
            <w:tcW w:w="1808" w:type="dxa"/>
            <w:shd w:val="clear" w:color="auto" w:fill="auto"/>
          </w:tcPr>
          <w:p>
            <w:pPr>
              <w:rPr>
                <w:rFonts w:ascii="宋体" w:hAnsi="宋体" w:cs="宋体"/>
                <w:bCs/>
                <w:color w:val="000000" w:themeColor="text1"/>
                <w:szCs w:val="21"/>
                <w:lang w:val="zh-CN"/>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招标文件第二章2</w:t>
            </w:r>
            <w:r>
              <w:rPr>
                <w:rFonts w:hint="eastAsia" w:ascii="宋体" w:hAnsi="宋体" w:cs="宋体"/>
                <w:bCs/>
                <w:color w:val="000000" w:themeColor="text1"/>
                <w:szCs w:val="21"/>
                <w14:textFill>
                  <w14:solidFill>
                    <w14:schemeClr w14:val="tx1"/>
                  </w14:solidFill>
                </w14:textFill>
              </w:rPr>
              <w:t>8</w:t>
            </w:r>
            <w:r>
              <w:rPr>
                <w:rFonts w:hint="eastAsia" w:ascii="宋体" w:hAnsi="宋体" w:cs="宋体"/>
                <w:bCs/>
                <w:color w:val="000000" w:themeColor="text1"/>
                <w:szCs w:val="21"/>
                <w:lang w:val="zh-CN"/>
                <w14:textFill>
                  <w14:solidFill>
                    <w14:schemeClr w14:val="tx1"/>
                  </w14:solidFill>
                </w14:textFill>
              </w:rPr>
              <w:t>.合同分包</w:t>
            </w:r>
          </w:p>
        </w:tc>
        <w:tc>
          <w:tcPr>
            <w:tcW w:w="4645" w:type="dxa"/>
            <w:shd w:val="clear" w:color="auto" w:fill="auto"/>
          </w:tcPr>
          <w:p>
            <w:pPr>
              <w:rPr>
                <w:rFonts w:ascii="宋体" w:hAnsi="宋体" w:cs="宋体"/>
                <w:bCs/>
                <w:color w:val="000000" w:themeColor="text1"/>
                <w:szCs w:val="21"/>
                <w:lang w:val="zh-CN"/>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28.合同转包</w:t>
            </w:r>
          </w:p>
          <w:p>
            <w:pPr>
              <w:rPr>
                <w:rFonts w:ascii="宋体" w:hAnsi="宋体" w:cs="宋体"/>
                <w:bCs/>
                <w:color w:val="000000" w:themeColor="text1"/>
                <w:szCs w:val="21"/>
                <w:lang w:val="zh-CN"/>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rPr>
                <w:rFonts w:ascii="宋体" w:hAnsi="宋体" w:cs="宋体"/>
                <w:bCs/>
                <w:color w:val="000000" w:themeColor="text1"/>
                <w:szCs w:val="21"/>
                <w:lang w:val="zh-CN"/>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中标人转包的，视同拒绝履行政府采购合同义务，将依法追究法律责任。</w:t>
            </w:r>
          </w:p>
        </w:tc>
        <w:tc>
          <w:tcPr>
            <w:tcW w:w="2826" w:type="dxa"/>
            <w:shd w:val="clear" w:color="auto" w:fill="auto"/>
            <w:vAlign w:val="center"/>
          </w:tcPr>
          <w:p>
            <w:pPr>
              <w:jc w:val="both"/>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2" w:hRule="atLeast"/>
        </w:trPr>
        <w:tc>
          <w:tcPr>
            <w:tcW w:w="11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17</w:t>
            </w:r>
          </w:p>
        </w:tc>
        <w:tc>
          <w:tcPr>
            <w:tcW w:w="1808" w:type="dxa"/>
            <w:shd w:val="clear" w:color="auto" w:fill="auto"/>
          </w:tcPr>
          <w:p>
            <w:pPr>
              <w:rPr>
                <w:rFonts w:ascii="宋体" w:hAnsi="宋体" w:cs="宋体"/>
                <w:bCs/>
                <w:color w:val="000000" w:themeColor="text1"/>
                <w:szCs w:val="21"/>
                <w:lang w:val="zh-CN"/>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招标文件第二章30. 履约保证金</w:t>
            </w:r>
          </w:p>
        </w:tc>
        <w:tc>
          <w:tcPr>
            <w:tcW w:w="4645" w:type="dxa"/>
            <w:shd w:val="clear" w:color="auto" w:fill="auto"/>
          </w:tcPr>
          <w:p>
            <w:pPr>
              <w:spacing w:line="400" w:lineRule="exac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30.1 中标人应在合同签订之前交纳招标文件规定数额的履约保证金。</w:t>
            </w:r>
          </w:p>
          <w:p>
            <w:pPr>
              <w:spacing w:line="400" w:lineRule="exact"/>
              <w:rPr>
                <w:rFonts w:ascii="宋体" w:hAnsi="宋体" w:cs="宋体"/>
                <w:bCs/>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30.2 如果中标人在规定的合同签订时间内，没有按照招标文件的规定交纳履约保证金，且又无正当理由的，将视为放弃中标。</w:t>
            </w:r>
          </w:p>
        </w:tc>
        <w:tc>
          <w:tcPr>
            <w:tcW w:w="2826" w:type="dxa"/>
            <w:shd w:val="clear" w:color="auto" w:fill="auto"/>
            <w:vAlign w:val="center"/>
          </w:tcPr>
          <w:p>
            <w:pPr>
              <w:jc w:val="both"/>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18</w:t>
            </w:r>
          </w:p>
        </w:tc>
        <w:tc>
          <w:tcPr>
            <w:tcW w:w="1808" w:type="dxa"/>
            <w:shd w:val="clear" w:color="auto" w:fill="auto"/>
          </w:tcPr>
          <w:p>
            <w:pPr>
              <w:rPr>
                <w:rFonts w:ascii="宋体" w:hAnsi="宋体" w:cs="宋体"/>
                <w:bCs/>
                <w:color w:val="000000" w:themeColor="text1"/>
                <w:szCs w:val="21"/>
                <w:lang w:val="zh-CN"/>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招标文件第二章</w:t>
            </w:r>
            <w:r>
              <w:rPr>
                <w:rFonts w:hint="eastAsia" w:ascii="宋体" w:hAnsi="宋体" w:cs="宋体"/>
                <w:bCs/>
                <w:color w:val="000000" w:themeColor="text1"/>
                <w:szCs w:val="21"/>
                <w14:textFill>
                  <w14:solidFill>
                    <w14:schemeClr w14:val="tx1"/>
                  </w14:solidFill>
                </w14:textFill>
              </w:rPr>
              <w:t>41</w:t>
            </w:r>
          </w:p>
        </w:tc>
        <w:tc>
          <w:tcPr>
            <w:tcW w:w="4645" w:type="dxa"/>
            <w:shd w:val="clear" w:color="auto" w:fill="auto"/>
          </w:tcPr>
          <w:p>
            <w:pPr>
              <w:rPr>
                <w:rFonts w:ascii="宋体" w:hAnsi="宋体" w:cs="宋体"/>
                <w:bCs/>
                <w:color w:val="000000" w:themeColor="text1"/>
                <w:szCs w:val="21"/>
                <w:lang w:val="zh-CN"/>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国家或行业主管部门对采购产品的技术标准、质量标准和资格资质条件等有强制性规定的，必须符合其要求。</w:t>
            </w:r>
          </w:p>
        </w:tc>
        <w:tc>
          <w:tcPr>
            <w:tcW w:w="28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trPr>
        <w:tc>
          <w:tcPr>
            <w:tcW w:w="11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19</w:t>
            </w:r>
          </w:p>
        </w:tc>
        <w:tc>
          <w:tcPr>
            <w:tcW w:w="1808" w:type="dxa"/>
            <w:shd w:val="clear" w:color="auto" w:fill="auto"/>
          </w:tcPr>
          <w:p>
            <w:pPr>
              <w:rPr>
                <w:rFonts w:ascii="宋体" w:hAnsi="宋体" w:cs="宋体"/>
                <w:bCs/>
                <w:color w:val="000000" w:themeColor="text1"/>
                <w:szCs w:val="21"/>
                <w:lang w:val="zh-CN"/>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招标文件第二章14．投标文件的组成，其他响应性投标文件（一）报价部分</w:t>
            </w:r>
          </w:p>
        </w:tc>
        <w:tc>
          <w:tcPr>
            <w:tcW w:w="4645" w:type="dxa"/>
            <w:shd w:val="clear" w:color="auto" w:fill="auto"/>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2.本次招标报价要求：</w:t>
            </w:r>
          </w:p>
          <w:p>
            <w:pPr>
              <w:rPr>
                <w:rFonts w:ascii="宋体" w:hAnsi="宋体" w:cs="宋体"/>
                <w:bCs/>
                <w:color w:val="000000" w:themeColor="text1"/>
                <w:szCs w:val="21"/>
                <w:lang w:val="zh-CN"/>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（2）投标人每种服务只允许有一个报价，并且在合同履行过程中是固定不变的，任何有选择或可调整的报价将不予接受，并按无效投标处理。</w:t>
            </w:r>
          </w:p>
        </w:tc>
        <w:tc>
          <w:tcPr>
            <w:tcW w:w="28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20</w:t>
            </w:r>
          </w:p>
        </w:tc>
        <w:tc>
          <w:tcPr>
            <w:tcW w:w="1808"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招标文件第二章</w:t>
            </w:r>
            <w:r>
              <w:rPr>
                <w:rFonts w:hint="eastAsia" w:ascii="宋体" w:hAnsi="宋体" w:cs="宋体"/>
                <w:bCs/>
                <w:color w:val="000000" w:themeColor="text1"/>
                <w:szCs w:val="21"/>
                <w14:textFill>
                  <w14:solidFill>
                    <w14:schemeClr w14:val="tx1"/>
                  </w14:solidFill>
                </w14:textFill>
              </w:rPr>
              <w:t>38</w:t>
            </w:r>
          </w:p>
        </w:tc>
        <w:tc>
          <w:tcPr>
            <w:tcW w:w="4645" w:type="dxa"/>
            <w:shd w:val="clear" w:color="auto" w:fill="auto"/>
          </w:tcPr>
          <w:p>
            <w:pPr>
              <w:rPr>
                <w:rFonts w:ascii="宋体" w:hAnsi="宋体" w:cs="宋体"/>
                <w:bCs/>
                <w:color w:val="000000" w:themeColor="text1"/>
                <w:szCs w:val="21"/>
                <w:lang w:val="zh-CN"/>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38. 投标人有下列情形之一的，视为投标</w:t>
            </w:r>
            <w:r>
              <w:rPr>
                <w:rFonts w:hint="eastAsia" w:ascii="宋体" w:hAnsi="宋体" w:cs="宋体"/>
                <w:bCs/>
                <w:color w:val="000000" w:themeColor="text1"/>
                <w:szCs w:val="21"/>
                <w:lang w:val="zh-CN"/>
                <w14:textFill>
                  <w14:solidFill>
                    <w14:schemeClr w14:val="tx1"/>
                  </w14:solidFill>
                </w14:textFill>
              </w:rPr>
              <w:t>人串通投标，其投标无效：</w:t>
            </w:r>
          </w:p>
          <w:p>
            <w:pPr>
              <w:rPr>
                <w:rFonts w:ascii="宋体" w:hAnsi="宋体" w:cs="宋体"/>
                <w:bCs/>
                <w:color w:val="000000" w:themeColor="text1"/>
                <w:szCs w:val="21"/>
                <w:lang w:val="zh-CN"/>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（1）不同投标人的投标文件由同一单位或者个人编制；</w:t>
            </w:r>
          </w:p>
          <w:p>
            <w:pPr>
              <w:rPr>
                <w:rFonts w:ascii="宋体" w:hAnsi="宋体" w:cs="宋体"/>
                <w:bCs/>
                <w:color w:val="000000" w:themeColor="text1"/>
                <w:szCs w:val="21"/>
                <w:lang w:val="zh-CN"/>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（2）不同投标人委托同一单位或者个人办理投标事宜；</w:t>
            </w:r>
          </w:p>
          <w:p>
            <w:pPr>
              <w:rPr>
                <w:rFonts w:ascii="宋体" w:hAnsi="宋体" w:cs="宋体"/>
                <w:bCs/>
                <w:color w:val="000000" w:themeColor="text1"/>
                <w:szCs w:val="21"/>
                <w:lang w:val="zh-CN"/>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（3）不同投标人的投标文件载明的项目管理成员或者联系人员为同一人；</w:t>
            </w:r>
          </w:p>
          <w:p>
            <w:pPr>
              <w:rPr>
                <w:rFonts w:ascii="宋体" w:hAnsi="宋体" w:cs="宋体"/>
                <w:bCs/>
                <w:color w:val="000000" w:themeColor="text1"/>
                <w:szCs w:val="21"/>
                <w:lang w:val="zh-CN"/>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（4）不同投标人的投标文件异常一致或者投标报价呈规律性差异；</w:t>
            </w:r>
          </w:p>
          <w:p>
            <w:pPr>
              <w:rPr>
                <w:rFonts w:ascii="宋体" w:hAnsi="宋体" w:cs="宋体"/>
                <w:bCs/>
                <w:color w:val="000000" w:themeColor="text1"/>
                <w:szCs w:val="21"/>
                <w:lang w:val="zh-CN"/>
                <w14:textFill>
                  <w14:solidFill>
                    <w14:schemeClr w14:val="tx1"/>
                  </w14:solidFill>
                </w14:textFill>
              </w:rPr>
            </w:pPr>
            <w:r>
              <w:rPr>
                <w:rFonts w:hint="eastAsia" w:ascii="宋体" w:hAnsi="宋体" w:cs="宋体"/>
                <w:bCs/>
                <w:color w:val="000000" w:themeColor="text1"/>
                <w:szCs w:val="21"/>
                <w:lang w:val="zh-CN"/>
                <w14:textFill>
                  <w14:solidFill>
                    <w14:schemeClr w14:val="tx1"/>
                  </w14:solidFill>
                </w14:textFill>
              </w:rPr>
              <w:t>（5）不同投标人的投标文件相互混装；</w:t>
            </w:r>
          </w:p>
        </w:tc>
        <w:tc>
          <w:tcPr>
            <w:tcW w:w="2826" w:type="dxa"/>
            <w:shd w:val="clear" w:color="auto" w:fill="auto"/>
            <w:vAlign w:val="center"/>
          </w:tcPr>
          <w:p>
            <w:pPr>
              <w:jc w:val="both"/>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trPr>
        <w:tc>
          <w:tcPr>
            <w:tcW w:w="11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21</w:t>
            </w:r>
          </w:p>
        </w:tc>
        <w:tc>
          <w:tcPr>
            <w:tcW w:w="1808" w:type="dxa"/>
            <w:shd w:val="clear" w:color="auto" w:fill="auto"/>
          </w:tcPr>
          <w:p>
            <w:pPr>
              <w:spacing w:line="400" w:lineRule="exact"/>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招标文件第七章3.2.3</w:t>
            </w:r>
          </w:p>
          <w:p>
            <w:pPr>
              <w:spacing w:line="400" w:lineRule="exact"/>
              <w:ind w:firstLine="420" w:firstLineChars="200"/>
              <w:rPr>
                <w:rFonts w:ascii="宋体" w:hAnsi="宋体" w:cs="宋体"/>
                <w:bCs/>
                <w:color w:val="000000" w:themeColor="text1"/>
                <w:szCs w:val="21"/>
                <w14:textFill>
                  <w14:solidFill>
                    <w14:schemeClr w14:val="tx1"/>
                  </w14:solidFill>
                </w14:textFill>
              </w:rPr>
            </w:pPr>
          </w:p>
          <w:p>
            <w:pPr>
              <w:rPr>
                <w:rFonts w:ascii="宋体" w:hAnsi="宋体" w:cs="宋体"/>
                <w:bCs/>
                <w:color w:val="000000" w:themeColor="text1"/>
                <w:szCs w:val="21"/>
                <w:lang w:val="zh-CN"/>
                <w14:textFill>
                  <w14:solidFill>
                    <w14:schemeClr w14:val="tx1"/>
                  </w14:solidFill>
                </w14:textFill>
              </w:rPr>
            </w:pPr>
          </w:p>
        </w:tc>
        <w:tc>
          <w:tcPr>
            <w:tcW w:w="4645" w:type="dxa"/>
            <w:shd w:val="clear" w:color="auto" w:fill="auto"/>
          </w:tcPr>
          <w:p>
            <w:pPr>
              <w:numPr>
                <w:ilvl w:val="0"/>
                <w:numId w:val="4"/>
              </w:numPr>
              <w:spacing w:line="400" w:lineRule="exact"/>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投标文件组成明显不符合招标文件的规定要求，影响评标委员会评判的；</w:t>
            </w:r>
          </w:p>
          <w:p>
            <w:pPr>
              <w:spacing w:line="400" w:lineRule="exact"/>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（二）投标文件未按招标文件第二章17.2要求盖电子印章的；</w:t>
            </w:r>
          </w:p>
          <w:p>
            <w:pPr>
              <w:rPr>
                <w:rFonts w:ascii="宋体" w:hAnsi="宋体" w:cs="宋体"/>
                <w:bCs/>
                <w:color w:val="000000" w:themeColor="text1"/>
                <w:szCs w:val="21"/>
                <w:lang w:val="zh-CN"/>
                <w14:textFill>
                  <w14:solidFill>
                    <w14:schemeClr w14:val="tx1"/>
                  </w14:solidFill>
                </w14:textFill>
              </w:rPr>
            </w:pPr>
          </w:p>
        </w:tc>
        <w:tc>
          <w:tcPr>
            <w:tcW w:w="2826" w:type="dxa"/>
            <w:shd w:val="clear" w:color="auto" w:fill="auto"/>
          </w:tcPr>
          <w:p>
            <w:pP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上传空白页即可，评标委员会根据投标文件按照招标文件第七章3.2.3第（一）、（二）项进行评审。</w:t>
            </w:r>
          </w:p>
        </w:tc>
      </w:tr>
    </w:tbl>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3.2.2投标文件出现其他不影响采购项目实质性要求的情形，不作为符合性审查事项，不得作为无效投标处理。</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3.2.3除政府采购法律制度规定的情形外，本项目投标人或者其投标文件有下列情形之一的，作为无效投标处理：</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（一）投标文件组成明显不符合招标文件的规定要求，影响评标委员会评判的；</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（二）投标文件未按招标文件</w:t>
      </w:r>
      <w:r>
        <w:rPr>
          <w:rFonts w:hint="eastAsia" w:ascii="宋体" w:hAnsi="宋体" w:cs="宋体"/>
          <w:b/>
          <w:bCs/>
          <w:color w:val="000000" w:themeColor="text1"/>
          <w:sz w:val="24"/>
          <w14:textFill>
            <w14:solidFill>
              <w14:schemeClr w14:val="tx1"/>
            </w14:solidFill>
          </w14:textFill>
        </w:rPr>
        <w:t>第二章17.2</w:t>
      </w:r>
      <w:r>
        <w:rPr>
          <w:rFonts w:hint="eastAsia" w:ascii="宋体" w:hAnsi="宋体" w:cs="宋体"/>
          <w:color w:val="000000" w:themeColor="text1"/>
          <w:sz w:val="24"/>
          <w14:textFill>
            <w14:solidFill>
              <w14:schemeClr w14:val="tx1"/>
            </w14:solidFill>
          </w14:textFill>
        </w:rPr>
        <w:t>要求盖电子印章的。</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3.6出具评标报告。评标委员会推荐中标候选供应商后，应当向招标采购单位出具评标报告。评标报告应当包括下列内容：</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（一）招标公告刊登的媒体名称、开标日期和地点；</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（二）获取招标文件的投标人名单和评标委员会成员名单；</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（三）评标方法和标准；</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（四）开标记录和评标情况及说明，包括无效投标人名单及原因；</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（五）评标结果和中标候选供应商排序表；</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（六）评标委员会授标建议；</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（七）报价最高的投标人为中标候选人的，评标委员会应当对其报价的合理性予以特别说明。</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3.8供应商应当书面澄清、说明或者更正。</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3.8.2</w:t>
      </w:r>
      <w:r>
        <w:rPr>
          <w:rFonts w:hint="eastAsia" w:ascii="宋体" w:hAnsi="宋体" w:cs="宋体"/>
          <w:color w:val="000000" w:themeColor="text1"/>
          <w:sz w:val="24"/>
          <w:lang w:val="zh-CN"/>
          <w14:textFill>
            <w14:solidFill>
              <w14:schemeClr w14:val="tx1"/>
            </w14:solidFill>
          </w14:textFill>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hint="eastAsia" w:ascii="宋体" w:hAnsi="宋体" w:cs="宋体"/>
          <w:color w:val="000000" w:themeColor="text1"/>
          <w:sz w:val="24"/>
          <w14:textFill>
            <w14:solidFill>
              <w14:schemeClr w14:val="tx1"/>
            </w14:solidFill>
          </w14:textFill>
        </w:rPr>
        <w:t>澄清、说明或者更正不影响投标文件的效力，有效的澄清、说明或者更正材料，是投标文件的组成部分。</w:t>
      </w:r>
      <w:r>
        <w:rPr>
          <w:rFonts w:hint="eastAsia" w:ascii="宋体" w:hAnsi="宋体" w:cs="宋体"/>
          <w:color w:val="000000" w:themeColor="text1"/>
          <w:sz w:val="24"/>
          <w:lang w:val="zh-CN"/>
          <w14:textFill>
            <w14:solidFill>
              <w14:schemeClr w14:val="tx1"/>
            </w14:solidFill>
          </w14:textFill>
        </w:rPr>
        <w:t>如因系统故障（</w:t>
      </w:r>
      <w:r>
        <w:rPr>
          <w:rFonts w:hint="eastAsia" w:ascii="宋体" w:hAnsi="宋体" w:cs="宋体"/>
          <w:color w:val="000000" w:themeColor="text1"/>
          <w:sz w:val="24"/>
          <w14:textFill>
            <w14:solidFill>
              <w14:schemeClr w14:val="tx1"/>
            </w14:solidFill>
          </w14:textFill>
        </w:rPr>
        <w:t>包括组织场所停电、断网等）</w:t>
      </w:r>
      <w:r>
        <w:rPr>
          <w:rFonts w:hint="eastAsia" w:ascii="宋体" w:hAnsi="宋体" w:cs="宋体"/>
          <w:color w:val="000000" w:themeColor="text1"/>
          <w:sz w:val="24"/>
          <w:lang w:val="zh-CN"/>
          <w14:textFill>
            <w14:solidFill>
              <w14:schemeClr w14:val="tx1"/>
            </w14:solidFill>
          </w14:textFill>
        </w:rPr>
        <w:t>导致系统无法使用的，由投标人按评标委员会的要求进行澄清或者说明。</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（一）按财政部规定应当在评标时不予承认的投标文件内容事项；</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（二）投标文件中已经明确的内容事项；</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3.8.4 本项目采购过程中，投标文件报价出现前后不一致的，按照下列规定修正：</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（一）投标文件中开标一览表（报价表）内容与投标文件中相应内容不一致的，以开标一览表（报价表）为准；</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（二）大写金额和小写金额不一致的，以大写金额为准；</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（三）单价金额小数点或者百分比有明显错位的，以开标一览表的总价为准，并修改单价；</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（四）总价金额与按单价汇总金额不一致的，以单价金额计算结果为准。</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同时出现两种以上不一致的，按照前款规定的顺序修正。修正后的报价按照本章3.8.1-3.8.3的规定经投标人确认后产生约束力，投标人不确认的，其投标无效。</w:t>
      </w:r>
    </w:p>
    <w:p>
      <w:pPr>
        <w:spacing w:line="400" w:lineRule="exact"/>
        <w:ind w:firstLine="482" w:firstLineChars="2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注：评标委员会当积极履行澄清、说明或者更正的职责，不得滥用权力。供应商的投标文件应当要求澄清、说明或者更正的，不得未经澄清、说明或者更正而直接作无效投标处理。</w:t>
      </w:r>
    </w:p>
    <w:p>
      <w:pPr>
        <w:pStyle w:val="57"/>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3.9 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57"/>
        <w:ind w:firstLine="482" w:firstLineChars="200"/>
        <w:jc w:val="both"/>
        <w:rPr>
          <w:b/>
          <w:bCs/>
          <w:color w:val="000000" w:themeColor="text1"/>
          <w:lang w:val="zh-CN"/>
          <w14:textFill>
            <w14:solidFill>
              <w14:schemeClr w14:val="tx1"/>
            </w14:solidFill>
          </w14:textFill>
        </w:rPr>
      </w:pPr>
      <w:r>
        <w:rPr>
          <w:rFonts w:hint="eastAsia"/>
          <w:b/>
          <w:bCs/>
          <w:color w:val="000000" w:themeColor="text1"/>
          <w14:textFill>
            <w14:solidFill>
              <w14:schemeClr w14:val="tx1"/>
            </w14:solidFill>
          </w14:textFill>
        </w:rPr>
        <w:t>注：</w:t>
      </w:r>
      <w:r>
        <w:rPr>
          <w:rFonts w:hint="eastAsia"/>
          <w:b/>
          <w:bCs/>
          <w:color w:val="000000" w:themeColor="text1"/>
          <w:lang w:val="zh-CN"/>
          <w14:textFill>
            <w14:solidFill>
              <w14:schemeClr w14:val="tx1"/>
            </w14:solidFill>
          </w14:textFill>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b/>
          <w:bCs/>
          <w:color w:val="000000" w:themeColor="text1"/>
          <w14:textFill>
            <w14:solidFill>
              <w14:schemeClr w14:val="tx1"/>
            </w14:solidFill>
          </w14:textFill>
        </w:rPr>
        <w:t>30分钟，供应商已明确表示澄清、说明完毕的除外</w:t>
      </w:r>
      <w:r>
        <w:rPr>
          <w:rFonts w:hint="eastAsia"/>
          <w:b/>
          <w:bCs/>
          <w:color w:val="000000" w:themeColor="text1"/>
          <w:lang w:val="zh-CN"/>
          <w14:textFill>
            <w14:solidFill>
              <w14:schemeClr w14:val="tx1"/>
            </w14:solidFill>
          </w14:textFill>
        </w:rPr>
        <w:t>）。如因系统故障（</w:t>
      </w:r>
      <w:r>
        <w:rPr>
          <w:rFonts w:hint="eastAsia"/>
          <w:b/>
          <w:bCs/>
          <w:color w:val="000000" w:themeColor="text1"/>
          <w14:textFill>
            <w14:solidFill>
              <w14:schemeClr w14:val="tx1"/>
            </w14:solidFill>
          </w14:textFill>
        </w:rPr>
        <w:t>包括组织场所停电、断网等）</w:t>
      </w:r>
      <w:r>
        <w:rPr>
          <w:rFonts w:hint="eastAsia"/>
          <w:b/>
          <w:bCs/>
          <w:color w:val="000000" w:themeColor="text1"/>
          <w:lang w:val="zh-CN"/>
          <w14:textFill>
            <w14:solidFill>
              <w14:schemeClr w14:val="tx1"/>
            </w14:solidFill>
          </w14:textFill>
        </w:rPr>
        <w:t>导致系统无法使用的，由投标人按评标委员会的要求进行澄清或者说明。</w:t>
      </w:r>
    </w:p>
    <w:p>
      <w:pPr>
        <w:pStyle w:val="57"/>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3.10招标采购单位现场复核评标结果。</w:t>
      </w:r>
    </w:p>
    <w:p>
      <w:pPr>
        <w:pStyle w:val="57"/>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57"/>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（一）分值汇总计算错误的；</w:t>
      </w:r>
    </w:p>
    <w:p>
      <w:pPr>
        <w:pStyle w:val="57"/>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（二）分项评分超出评分标准范围的；</w:t>
      </w:r>
    </w:p>
    <w:p>
      <w:pPr>
        <w:pStyle w:val="57"/>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（三）客观评分不一致的；</w:t>
      </w:r>
    </w:p>
    <w:p>
      <w:pPr>
        <w:pStyle w:val="57"/>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（四）经评标委员会认定评分畸高畸低的。</w:t>
      </w:r>
    </w:p>
    <w:p>
      <w:pPr>
        <w:pStyle w:val="57"/>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57"/>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3.10.2有下列情形之一的，不得修改评标结果或者重新评审：</w:t>
      </w:r>
    </w:p>
    <w:p>
      <w:pPr>
        <w:pStyle w:val="57"/>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（一）招标采购单位现场复核时，复核工作人员数量不足的；</w:t>
      </w:r>
    </w:p>
    <w:p>
      <w:pPr>
        <w:pStyle w:val="57"/>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（二）招标采购单位现场复核时，没有采购监督人员现场监督的；</w:t>
      </w:r>
    </w:p>
    <w:p>
      <w:pPr>
        <w:pStyle w:val="57"/>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（三）招标采购单位现场复核内容超出规定范围的；</w:t>
      </w:r>
    </w:p>
    <w:p>
      <w:pPr>
        <w:pStyle w:val="57"/>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（四）招标采购单位未提供书面建议的。</w:t>
      </w:r>
    </w:p>
    <w:p>
      <w:pPr>
        <w:pStyle w:val="57"/>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3.10.3出现下列情形之一的，应当中止电子化采购活动，并保留相关证明材料备查： </w:t>
      </w:r>
    </w:p>
    <w:p>
      <w:pPr>
        <w:pStyle w:val="57"/>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（一）系统发生故障（包括感染病毒、应用或数据库出错）而无法正常使用的；</w:t>
      </w:r>
    </w:p>
    <w:p>
      <w:pPr>
        <w:pStyle w:val="57"/>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（二）因组织场所停电、断网等原因，导致采购活动无法继续通过交易系统实施的；</w:t>
      </w:r>
    </w:p>
    <w:p>
      <w:pPr>
        <w:pStyle w:val="57"/>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（三）其他无法保证电子化交易的公平、公正和安全的情况。</w:t>
      </w:r>
    </w:p>
    <w:p>
      <w:pPr>
        <w:pStyle w:val="57"/>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出现前款规定的情形，不影响采购公平、公正的，待上述情形消除后继续组织采购活动；影响或者可能影响采购公平、公正的，应当依法废标或者终止采购活动。</w:t>
      </w:r>
    </w:p>
    <w:p>
      <w:pPr>
        <w:pStyle w:val="6"/>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 评标细则及标准</w:t>
      </w:r>
      <w:bookmarkEnd w:id="157"/>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4.1本项目采用综合评分法，评分因素详见综合评分明细表。</w:t>
      </w:r>
    </w:p>
    <w:p>
      <w:pPr>
        <w:pStyle w:val="57"/>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3"/>
        <w:tabs>
          <w:tab w:val="left" w:pos="600"/>
        </w:tabs>
        <w:spacing w:line="40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4.3综合评分明细表</w:t>
      </w:r>
    </w:p>
    <w:p>
      <w:pPr>
        <w:pStyle w:val="13"/>
        <w:tabs>
          <w:tab w:val="left" w:pos="600"/>
        </w:tabs>
        <w:spacing w:line="40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4.3.1综合评分明细表的制定以科学合理、降低评委会自由裁量权为原则。</w:t>
      </w:r>
    </w:p>
    <w:p>
      <w:pPr>
        <w:widowControl/>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4.3.2 综合评分明细表按须知表中的相关要求进行价格调整，再参与价格分评审。</w:t>
      </w:r>
    </w:p>
    <w:p>
      <w:pPr>
        <w:pStyle w:val="13"/>
        <w:tabs>
          <w:tab w:val="left" w:pos="600"/>
        </w:tabs>
        <w:spacing w:line="40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4.3.3综合评分明细表</w:t>
      </w:r>
    </w:p>
    <w:tbl>
      <w:tblPr>
        <w:tblStyle w:val="28"/>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802"/>
        <w:gridCol w:w="802"/>
        <w:gridCol w:w="655"/>
        <w:gridCol w:w="4085"/>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trPr>
        <w:tc>
          <w:tcPr>
            <w:tcW w:w="484" w:type="dxa"/>
            <w:vAlign w:val="center"/>
          </w:tcPr>
          <w:p>
            <w:pPr>
              <w:widowControl/>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序号</w:t>
            </w:r>
          </w:p>
        </w:tc>
        <w:tc>
          <w:tcPr>
            <w:tcW w:w="1604" w:type="dxa"/>
            <w:gridSpan w:val="2"/>
            <w:vAlign w:val="center"/>
          </w:tcPr>
          <w:p>
            <w:pPr>
              <w:widowControl/>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评审项目</w:t>
            </w:r>
          </w:p>
        </w:tc>
        <w:tc>
          <w:tcPr>
            <w:tcW w:w="655" w:type="dxa"/>
            <w:vAlign w:val="center"/>
          </w:tcPr>
          <w:p>
            <w:pPr>
              <w:widowControl/>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分值</w:t>
            </w:r>
          </w:p>
        </w:tc>
        <w:tc>
          <w:tcPr>
            <w:tcW w:w="4085" w:type="dxa"/>
            <w:vAlign w:val="center"/>
          </w:tcPr>
          <w:p>
            <w:pPr>
              <w:widowControl/>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评分标准</w:t>
            </w:r>
          </w:p>
        </w:tc>
        <w:tc>
          <w:tcPr>
            <w:tcW w:w="1950" w:type="dxa"/>
            <w:vAlign w:val="center"/>
          </w:tcPr>
          <w:p>
            <w:pPr>
              <w:widowControl/>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484"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w:t>
            </w:r>
          </w:p>
        </w:tc>
        <w:tc>
          <w:tcPr>
            <w:tcW w:w="1604" w:type="dxa"/>
            <w:gridSpan w:val="2"/>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报价10%</w:t>
            </w:r>
          </w:p>
        </w:tc>
        <w:tc>
          <w:tcPr>
            <w:tcW w:w="655" w:type="dxa"/>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10分</w:t>
            </w:r>
          </w:p>
        </w:tc>
        <w:tc>
          <w:tcPr>
            <w:tcW w:w="4085" w:type="dxa"/>
            <w:vAlign w:val="center"/>
          </w:tcPr>
          <w:p>
            <w:pPr>
              <w:widowControl/>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满足招标文件要求且投标价格最低的报价为基准价，其价格分为满分。其他供应商的价格分统一按照下列公式计算：</w:t>
            </w:r>
          </w:p>
          <w:p>
            <w:pPr>
              <w:widowControl/>
              <w:jc w:val="left"/>
              <w:rPr>
                <w:rFonts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报价得分=(基准价／报价)* 10%*100。</w:t>
            </w:r>
          </w:p>
        </w:tc>
        <w:tc>
          <w:tcPr>
            <w:tcW w:w="1950" w:type="dxa"/>
            <w:vAlign w:val="center"/>
          </w:tcPr>
          <w:p>
            <w:pPr>
              <w:jc w:val="center"/>
              <w:rPr>
                <w:rFonts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484" w:type="dxa"/>
            <w:vMerge w:val="restart"/>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w:t>
            </w:r>
          </w:p>
        </w:tc>
        <w:tc>
          <w:tcPr>
            <w:tcW w:w="802" w:type="dxa"/>
            <w:vMerge w:val="restart"/>
            <w:vAlign w:val="center"/>
          </w:tcPr>
          <w:p>
            <w:pPr>
              <w:widowControl/>
              <w:jc w:val="center"/>
              <w:rPr>
                <w:rFonts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服务方案43%</w:t>
            </w:r>
          </w:p>
        </w:tc>
        <w:tc>
          <w:tcPr>
            <w:tcW w:w="802" w:type="dxa"/>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项目认识9%</w:t>
            </w:r>
          </w:p>
        </w:tc>
        <w:tc>
          <w:tcPr>
            <w:tcW w:w="655" w:type="dxa"/>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9分</w:t>
            </w:r>
          </w:p>
        </w:tc>
        <w:tc>
          <w:tcPr>
            <w:tcW w:w="4085" w:type="dxa"/>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根据供应商针对本项目提供的项目认识</w:t>
            </w:r>
            <w:r>
              <w:rPr>
                <w:rFonts w:hint="eastAsia"/>
                <w:color w:val="000000" w:themeColor="text1"/>
                <w:lang w:val="en-US" w:eastAsia="zh-CN"/>
                <w14:textFill>
                  <w14:solidFill>
                    <w14:schemeClr w14:val="tx1"/>
                  </w14:solidFill>
                </w14:textFill>
              </w:rPr>
              <w:t>方案</w:t>
            </w:r>
            <w:r>
              <w:rPr>
                <w:rFonts w:hint="eastAsia"/>
                <w:color w:val="000000" w:themeColor="text1"/>
                <w14:textFill>
                  <w14:solidFill>
                    <w14:schemeClr w14:val="tx1"/>
                  </w14:solidFill>
                </w14:textFill>
              </w:rPr>
              <w:t>进行综合比较与评价，包括</w:t>
            </w:r>
            <w:r>
              <w:rPr>
                <w:rFonts w:hint="eastAsia"/>
                <w:color w:val="000000" w:themeColor="text1"/>
                <w:lang w:val="en-US" w:eastAsia="zh-CN"/>
                <w14:textFill>
                  <w14:solidFill>
                    <w14:schemeClr w14:val="tx1"/>
                  </w14:solidFill>
                </w14:textFill>
              </w:rPr>
              <w:t>但不限于</w:t>
            </w:r>
            <w:r>
              <w:rPr>
                <w:rFonts w:hint="eastAsia"/>
                <w:color w:val="000000" w:themeColor="text1"/>
                <w14:textFill>
                  <w14:solidFill>
                    <w14:schemeClr w14:val="tx1"/>
                  </w14:solidFill>
                </w14:textFill>
              </w:rPr>
              <w:t>①评估背景、②评估原则、③评估年限、④评估范围、</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5 \* GB3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⑤</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评估思路、</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6 \* GB3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⑥</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技术路线。</w:t>
            </w:r>
          </w:p>
          <w:p>
            <w:pPr>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方案包括以上内容得</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分，方案每有一项</w:t>
            </w:r>
            <w:r>
              <w:rPr>
                <w:rFonts w:hint="eastAsia"/>
                <w:color w:val="000000" w:themeColor="text1"/>
                <w:lang w:val="en-US" w:eastAsia="zh-CN"/>
                <w14:textFill>
                  <w14:solidFill>
                    <w14:schemeClr w14:val="tx1"/>
                  </w14:solidFill>
                </w14:textFill>
              </w:rPr>
              <w:t>漏项</w:t>
            </w:r>
            <w:r>
              <w:rPr>
                <w:rFonts w:hint="eastAsia"/>
                <w:color w:val="000000" w:themeColor="text1"/>
                <w14:textFill>
                  <w14:solidFill>
                    <w14:schemeClr w14:val="tx1"/>
                  </w14:solidFill>
                </w14:textFill>
              </w:rPr>
              <w:t>的扣1.5分，扣完为止；方案每有一项存在内容缺陷扣</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分。（内容缺陷是指： 非专门针对本项目或不适用项目特性的情形、内容不完整或缺少关键节点、套用其他项目方案、内容前后矛盾、涉及的规范及标准错误、不利于项目实施、不可能实现的情形等任意一种情形。）</w:t>
            </w:r>
          </w:p>
          <w:p>
            <w:pPr>
              <w:pStyle w:val="3"/>
              <w:rPr>
                <w:rFonts w:hint="eastAsia" w:hAnsi="Times New Roman"/>
                <w:b w:val="0"/>
                <w:bCs/>
                <w:color w:val="000000" w:themeColor="text1"/>
                <w:sz w:val="21"/>
                <w:szCs w:val="21"/>
                <w14:textFill>
                  <w14:solidFill>
                    <w14:schemeClr w14:val="tx1"/>
                  </w14:solidFill>
                </w14:textFill>
              </w:rPr>
            </w:pPr>
          </w:p>
        </w:tc>
        <w:tc>
          <w:tcPr>
            <w:tcW w:w="1950" w:type="dxa"/>
            <w:vAlign w:val="center"/>
          </w:tcPr>
          <w:p>
            <w:pPr>
              <w:jc w:val="center"/>
              <w:rPr>
                <w:rFonts w:ascii="宋体" w:hAnsi="宋体" w:cs="宋体"/>
                <w:color w:val="000000" w:themeColor="text1"/>
                <w:szCs w:val="21"/>
                <w14:textFill>
                  <w14:solidFill>
                    <w14:schemeClr w14:val="tx1"/>
                  </w14:solidFill>
                </w14:textFill>
              </w:rPr>
            </w:pPr>
          </w:p>
          <w:p>
            <w:pPr>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484" w:type="dxa"/>
            <w:vMerge w:val="continue"/>
            <w:vAlign w:val="center"/>
          </w:tcPr>
          <w:p>
            <w:pPr>
              <w:widowControl/>
              <w:jc w:val="center"/>
              <w:rPr>
                <w:rFonts w:ascii="宋体" w:hAnsi="宋体" w:cs="宋体"/>
                <w:color w:val="000000" w:themeColor="text1"/>
                <w:kern w:val="0"/>
                <w:szCs w:val="21"/>
                <w14:textFill>
                  <w14:solidFill>
                    <w14:schemeClr w14:val="tx1"/>
                  </w14:solidFill>
                </w14:textFill>
              </w:rPr>
            </w:pPr>
          </w:p>
        </w:tc>
        <w:tc>
          <w:tcPr>
            <w:tcW w:w="802" w:type="dxa"/>
            <w:vMerge w:val="continue"/>
            <w:vAlign w:val="center"/>
          </w:tcPr>
          <w:p>
            <w:pPr>
              <w:widowControl/>
              <w:jc w:val="center"/>
              <w:rPr>
                <w:rFonts w:ascii="宋体" w:hAnsi="宋体" w:cs="宋体"/>
                <w:bCs/>
                <w:color w:val="000000" w:themeColor="text1"/>
                <w:szCs w:val="21"/>
                <w14:textFill>
                  <w14:solidFill>
                    <w14:schemeClr w14:val="tx1"/>
                  </w14:solidFill>
                </w14:textFill>
              </w:rPr>
            </w:pPr>
          </w:p>
        </w:tc>
        <w:tc>
          <w:tcPr>
            <w:tcW w:w="802" w:type="dxa"/>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初步方案的规划思路26%</w:t>
            </w:r>
          </w:p>
        </w:tc>
        <w:tc>
          <w:tcPr>
            <w:tcW w:w="655" w:type="dxa"/>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26分</w:t>
            </w:r>
          </w:p>
        </w:tc>
        <w:tc>
          <w:tcPr>
            <w:tcW w:w="4085" w:type="dxa"/>
            <w:vAlign w:val="center"/>
          </w:tcPr>
          <w:p>
            <w:pPr>
              <w:jc w:val="left"/>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根据供应商针对本项目提供的初步</w:t>
            </w:r>
            <w:r>
              <w:rPr>
                <w:rFonts w:hint="eastAsia" w:ascii="宋体" w:hAnsi="宋体" w:cs="宋体"/>
                <w:color w:val="000000" w:themeColor="text1"/>
                <w:szCs w:val="21"/>
                <w:lang w:val="en-US" w:eastAsia="zh-CN"/>
                <w14:textFill>
                  <w14:solidFill>
                    <w14:schemeClr w14:val="tx1"/>
                  </w14:solidFill>
                </w14:textFill>
              </w:rPr>
              <w:t>方案的规划思路</w:t>
            </w:r>
            <w:r>
              <w:rPr>
                <w:rFonts w:hint="eastAsia" w:ascii="宋体" w:hAnsi="宋体" w:cs="宋体"/>
                <w:color w:val="000000" w:themeColor="text1"/>
                <w:szCs w:val="21"/>
                <w14:textFill>
                  <w14:solidFill>
                    <w14:schemeClr w14:val="tx1"/>
                  </w14:solidFill>
                </w14:textFill>
              </w:rPr>
              <w:t>进行综合比较与评价，</w:t>
            </w:r>
            <w:r>
              <w:rPr>
                <w:rFonts w:hint="eastAsia" w:ascii="宋体" w:hAnsi="宋体" w:cs="宋体"/>
                <w:color w:val="000000" w:themeColor="text1"/>
                <w:szCs w:val="21"/>
                <w:lang w:val="en-US" w:eastAsia="zh-CN"/>
                <w14:textFill>
                  <w14:solidFill>
                    <w14:schemeClr w14:val="tx1"/>
                  </w14:solidFill>
                </w14:textFill>
              </w:rPr>
              <w:t>包括但不限于：</w:t>
            </w:r>
          </w:p>
          <w:p>
            <w:pPr>
              <w:jc w:val="left"/>
              <w:rPr>
                <w:rFonts w:hint="eastAsia"/>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①落实《国土空间规划城市体检评估规程》要求，并延续历年年度体检评估特色指标，构建符合评估要求又体现成都建设践行新发展理念的公园城市示范区特色的体检评估指标体系</w:t>
            </w:r>
            <w:r>
              <w:rPr>
                <w:rFonts w:hint="eastAsia"/>
                <w:color w:val="000000" w:themeColor="text1"/>
                <w14:textFill>
                  <w14:solidFill>
                    <w14:schemeClr w14:val="tx1"/>
                  </w14:solidFill>
                </w14:textFill>
              </w:rPr>
              <w:t>。</w:t>
            </w:r>
          </w:p>
          <w:p>
            <w:pPr>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方案</w:t>
            </w:r>
            <w:r>
              <w:rPr>
                <w:rFonts w:hint="eastAsia"/>
                <w:color w:val="000000" w:themeColor="text1"/>
                <w:lang w:val="en-US" w:eastAsia="zh-CN"/>
                <w14:textFill>
                  <w14:solidFill>
                    <w14:schemeClr w14:val="tx1"/>
                  </w14:solidFill>
                </w14:textFill>
              </w:rPr>
              <w:t>有</w:t>
            </w:r>
            <w:r>
              <w:rPr>
                <w:rFonts w:hint="eastAsia"/>
                <w:color w:val="000000" w:themeColor="text1"/>
                <w14:textFill>
                  <w14:solidFill>
                    <w14:schemeClr w14:val="tx1"/>
                  </w14:solidFill>
                </w14:textFill>
              </w:rPr>
              <w:t>以上内容得</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分</w:t>
            </w:r>
            <w:r>
              <w:rPr>
                <w:rFonts w:hint="eastAsia"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lang w:val="en-US" w:eastAsia="zh-CN"/>
                <w14:textFill>
                  <w14:solidFill>
                    <w14:schemeClr w14:val="tx1"/>
                  </w14:solidFill>
                </w14:textFill>
              </w:rPr>
              <w:t>方案中没有此项内容的</w:t>
            </w:r>
            <w:r>
              <w:rPr>
                <w:rFonts w:hint="eastAsia" w:ascii="宋体" w:hAnsi="宋体" w:cs="宋体"/>
                <w:color w:val="000000" w:themeColor="text1"/>
                <w:szCs w:val="21"/>
                <w14:textFill>
                  <w14:solidFill>
                    <w14:schemeClr w14:val="tx1"/>
                  </w14:solidFill>
                </w14:textFill>
              </w:rPr>
              <w:t>，扣2分；扣完为止；</w:t>
            </w:r>
            <w:r>
              <w:rPr>
                <w:rFonts w:hint="eastAsia"/>
                <w:color w:val="000000" w:themeColor="text1"/>
                <w14:textFill>
                  <w14:solidFill>
                    <w14:schemeClr w14:val="tx1"/>
                  </w14:solidFill>
                </w14:textFill>
              </w:rPr>
              <w:t>方案有缺陷扣</w:t>
            </w:r>
            <w:r>
              <w:rPr>
                <w:rFonts w:hint="eastAsia"/>
                <w:color w:val="000000" w:themeColor="text1"/>
                <w:lang w:val="en-US" w:eastAsia="zh-CN"/>
                <w14:textFill>
                  <w14:solidFill>
                    <w14:schemeClr w14:val="tx1"/>
                  </w14:solidFill>
                </w14:textFill>
              </w:rPr>
              <w:t>1.5</w:t>
            </w:r>
            <w:r>
              <w:rPr>
                <w:rFonts w:hint="eastAsia"/>
                <w:color w:val="000000" w:themeColor="text1"/>
                <w14:textFill>
                  <w14:solidFill>
                    <w14:schemeClr w14:val="tx1"/>
                  </w14:solidFill>
                </w14:textFill>
              </w:rPr>
              <w:t>分。（内容缺陷是指： 非专门针对本项目或不适用项目特性的情形、内容不完整或缺少关键节点、套用其他项目方案、内容前后矛盾、涉及的规范及标准错误、不利于项目实施、不可能实现的情形等任意一种情形。）</w:t>
            </w:r>
          </w:p>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②围绕战略定位、底线管控、规模结构、空间布局、支撑体系、实施保障六个维度开展评估。</w:t>
            </w:r>
          </w:p>
          <w:p>
            <w:pPr>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方案包括以上</w:t>
            </w:r>
            <w:r>
              <w:rPr>
                <w:rFonts w:hint="eastAsia" w:ascii="宋体" w:hAnsi="宋体" w:cs="宋体"/>
                <w:color w:val="000000" w:themeColor="text1"/>
                <w:szCs w:val="21"/>
                <w14:textFill>
                  <w14:solidFill>
                    <w14:schemeClr w14:val="tx1"/>
                  </w14:solidFill>
                </w14:textFill>
              </w:rPr>
              <w:t>六个维度开展评估</w:t>
            </w:r>
            <w:r>
              <w:rPr>
                <w:rFonts w:hint="eastAsia"/>
                <w:color w:val="000000" w:themeColor="text1"/>
                <w14:textFill>
                  <w14:solidFill>
                    <w14:schemeClr w14:val="tx1"/>
                  </w14:solidFill>
                </w14:textFill>
              </w:rPr>
              <w:t>得</w:t>
            </w:r>
            <w:r>
              <w:rPr>
                <w:rFonts w:hint="eastAsia"/>
                <w:color w:val="000000" w:themeColor="text1"/>
                <w:lang w:val="en-US" w:eastAsia="zh-CN"/>
                <w14:textFill>
                  <w14:solidFill>
                    <w14:schemeClr w14:val="tx1"/>
                  </w14:solidFill>
                </w14:textFill>
              </w:rPr>
              <w:t>12</w:t>
            </w:r>
            <w:r>
              <w:rPr>
                <w:rFonts w:hint="eastAsia"/>
                <w:color w:val="000000" w:themeColor="text1"/>
                <w14:textFill>
                  <w14:solidFill>
                    <w14:schemeClr w14:val="tx1"/>
                  </w14:solidFill>
                </w14:textFill>
              </w:rPr>
              <w:t>分，方案每有一项</w:t>
            </w:r>
            <w:r>
              <w:rPr>
                <w:rFonts w:hint="eastAsia"/>
                <w:color w:val="000000" w:themeColor="text1"/>
                <w:lang w:val="en-US" w:eastAsia="zh-CN"/>
                <w14:textFill>
                  <w14:solidFill>
                    <w14:schemeClr w14:val="tx1"/>
                  </w14:solidFill>
                </w14:textFill>
              </w:rPr>
              <w:t>漏项</w:t>
            </w:r>
            <w:r>
              <w:rPr>
                <w:rFonts w:hint="eastAsia"/>
                <w:color w:val="000000" w:themeColor="text1"/>
                <w14:textFill>
                  <w14:solidFill>
                    <w14:schemeClr w14:val="tx1"/>
                  </w14:solidFill>
                </w14:textFill>
              </w:rPr>
              <w:t>的扣</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分，扣完为止；方案每有一项存在内容缺陷扣</w:t>
            </w:r>
            <w:r>
              <w:rPr>
                <w:rFonts w:hint="eastAsia"/>
                <w:color w:val="000000" w:themeColor="text1"/>
                <w:lang w:val="en-US" w:eastAsia="zh-CN"/>
                <w14:textFill>
                  <w14:solidFill>
                    <w14:schemeClr w14:val="tx1"/>
                  </w14:solidFill>
                </w14:textFill>
              </w:rPr>
              <w:t>1.5</w:t>
            </w:r>
            <w:r>
              <w:rPr>
                <w:rFonts w:hint="eastAsia"/>
                <w:color w:val="000000" w:themeColor="text1"/>
                <w14:textFill>
                  <w14:solidFill>
                    <w14:schemeClr w14:val="tx1"/>
                  </w14:solidFill>
                </w14:textFill>
              </w:rPr>
              <w:t>分。（内容缺陷是指： 非专门针对本项目或不适用项目特性的情形、内容不完整或缺少关键节点、套用其他项目方案、内容前后矛盾、涉及的规范及标准错误、不利于项目实施、不可能实现的情形等任意一种情形。）</w:t>
            </w:r>
          </w:p>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③梳理本年度针对上一年度识别的六个维度问题短板，分别开展的整治提升行动及成效。</w:t>
            </w:r>
          </w:p>
          <w:p>
            <w:pPr>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方案包括以上</w:t>
            </w:r>
            <w:r>
              <w:rPr>
                <w:rFonts w:hint="eastAsia" w:ascii="宋体" w:hAnsi="宋体" w:cs="宋体"/>
                <w:color w:val="000000" w:themeColor="text1"/>
                <w:szCs w:val="21"/>
                <w14:textFill>
                  <w14:solidFill>
                    <w14:schemeClr w14:val="tx1"/>
                  </w14:solidFill>
                </w14:textFill>
              </w:rPr>
              <w:t>六个维度</w:t>
            </w:r>
            <w:r>
              <w:rPr>
                <w:rFonts w:hint="eastAsia"/>
                <w:color w:val="000000" w:themeColor="text1"/>
                <w14:textFill>
                  <w14:solidFill>
                    <w14:schemeClr w14:val="tx1"/>
                  </w14:solidFill>
                </w14:textFill>
              </w:rPr>
              <w:t>得</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分，方案每有一项</w:t>
            </w:r>
            <w:r>
              <w:rPr>
                <w:rFonts w:hint="eastAsia"/>
                <w:color w:val="000000" w:themeColor="text1"/>
                <w:lang w:val="en-US" w:eastAsia="zh-CN"/>
                <w14:textFill>
                  <w14:solidFill>
                    <w14:schemeClr w14:val="tx1"/>
                  </w14:solidFill>
                </w14:textFill>
              </w:rPr>
              <w:t>漏项</w:t>
            </w:r>
            <w:r>
              <w:rPr>
                <w:rFonts w:hint="eastAsia"/>
                <w:color w:val="000000" w:themeColor="text1"/>
                <w14:textFill>
                  <w14:solidFill>
                    <w14:schemeClr w14:val="tx1"/>
                  </w14:solidFill>
                </w14:textFill>
              </w:rPr>
              <w:t>的扣</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分，扣完为止；方案每有一项存在内容缺陷扣</w:t>
            </w:r>
            <w:r>
              <w:rPr>
                <w:rFonts w:hint="eastAsia"/>
                <w:color w:val="000000" w:themeColor="text1"/>
                <w:lang w:val="en-US" w:eastAsia="zh-CN"/>
                <w14:textFill>
                  <w14:solidFill>
                    <w14:schemeClr w14:val="tx1"/>
                  </w14:solidFill>
                </w14:textFill>
              </w:rPr>
              <w:t>0.5</w:t>
            </w:r>
            <w:r>
              <w:rPr>
                <w:rFonts w:hint="eastAsia"/>
                <w:color w:val="000000" w:themeColor="text1"/>
                <w14:textFill>
                  <w14:solidFill>
                    <w14:schemeClr w14:val="tx1"/>
                  </w14:solidFill>
                </w14:textFill>
              </w:rPr>
              <w:t>分。（内容缺陷是指： 非专门针对本项目或不适用项目特性的情形、内容不完整或缺少关键节点、套用其他项目方案、内容前后矛盾、涉及的规范及标准错误、不利于项目实施、不可能实现的情形等任意一种情形。）</w:t>
            </w:r>
          </w:p>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④针对体检评估识别出的问题，结合国土空间规划面临的新形势和新要求，对标新理念、新需求，重点聚焦战略定位、底线管控、规模结构、空间布局、支撑体系、实施保障六个维度，针对性提出对策建议。</w:t>
            </w:r>
          </w:p>
          <w:p>
            <w:pPr>
              <w:jc w:val="left"/>
              <w:rPr>
                <w:rFonts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方案包括以上</w:t>
            </w:r>
            <w:r>
              <w:rPr>
                <w:rFonts w:hint="eastAsia" w:ascii="宋体" w:hAnsi="宋体" w:cs="宋体"/>
                <w:color w:val="000000" w:themeColor="text1"/>
                <w:szCs w:val="21"/>
                <w14:textFill>
                  <w14:solidFill>
                    <w14:schemeClr w14:val="tx1"/>
                  </w14:solidFill>
                </w14:textFill>
              </w:rPr>
              <w:t>六个维度</w:t>
            </w:r>
            <w:r>
              <w:rPr>
                <w:rFonts w:hint="eastAsia"/>
                <w:color w:val="000000" w:themeColor="text1"/>
                <w14:textFill>
                  <w14:solidFill>
                    <w14:schemeClr w14:val="tx1"/>
                  </w14:solidFill>
                </w14:textFill>
              </w:rPr>
              <w:t>得</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分，方案每有一项</w:t>
            </w:r>
            <w:r>
              <w:rPr>
                <w:rFonts w:hint="eastAsia"/>
                <w:color w:val="000000" w:themeColor="text1"/>
                <w:lang w:val="en-US" w:eastAsia="zh-CN"/>
                <w14:textFill>
                  <w14:solidFill>
                    <w14:schemeClr w14:val="tx1"/>
                  </w14:solidFill>
                </w14:textFill>
              </w:rPr>
              <w:t>漏项</w:t>
            </w:r>
            <w:r>
              <w:rPr>
                <w:rFonts w:hint="eastAsia"/>
                <w:color w:val="000000" w:themeColor="text1"/>
                <w14:textFill>
                  <w14:solidFill>
                    <w14:schemeClr w14:val="tx1"/>
                  </w14:solidFill>
                </w14:textFill>
              </w:rPr>
              <w:t>的扣</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分，扣完为止；方案每有一项存在内容缺陷扣</w:t>
            </w:r>
            <w:r>
              <w:rPr>
                <w:rFonts w:hint="eastAsia"/>
                <w:color w:val="000000" w:themeColor="text1"/>
                <w:lang w:val="en-US" w:eastAsia="zh-CN"/>
                <w14:textFill>
                  <w14:solidFill>
                    <w14:schemeClr w14:val="tx1"/>
                  </w14:solidFill>
                </w14:textFill>
              </w:rPr>
              <w:t>0.5</w:t>
            </w:r>
            <w:r>
              <w:rPr>
                <w:rFonts w:hint="eastAsia"/>
                <w:color w:val="000000" w:themeColor="text1"/>
                <w14:textFill>
                  <w14:solidFill>
                    <w14:schemeClr w14:val="tx1"/>
                  </w14:solidFill>
                </w14:textFill>
              </w:rPr>
              <w:t>分。（内容缺陷是指： 非专门针对本项目或不适用项目特性的情形、内容不完整或缺少关键节点、套用其他项目方案、内容前后矛盾、涉及的规范及标准错误、不利于项目实施、不可能实现的情形等任意一种情形。）</w:t>
            </w:r>
          </w:p>
        </w:tc>
        <w:tc>
          <w:tcPr>
            <w:tcW w:w="1950" w:type="dxa"/>
            <w:vAlign w:val="center"/>
          </w:tcPr>
          <w:p>
            <w:pPr>
              <w:jc w:val="left"/>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484" w:type="dxa"/>
            <w:vMerge w:val="continue"/>
            <w:vAlign w:val="center"/>
          </w:tcPr>
          <w:p>
            <w:pPr>
              <w:widowControl/>
              <w:jc w:val="center"/>
              <w:rPr>
                <w:rFonts w:ascii="宋体" w:hAnsi="宋体" w:cs="宋体"/>
                <w:color w:val="000000" w:themeColor="text1"/>
                <w:kern w:val="0"/>
                <w:szCs w:val="21"/>
                <w14:textFill>
                  <w14:solidFill>
                    <w14:schemeClr w14:val="tx1"/>
                  </w14:solidFill>
                </w14:textFill>
              </w:rPr>
            </w:pPr>
          </w:p>
        </w:tc>
        <w:tc>
          <w:tcPr>
            <w:tcW w:w="802" w:type="dxa"/>
            <w:vMerge w:val="continue"/>
            <w:vAlign w:val="center"/>
          </w:tcPr>
          <w:p>
            <w:pPr>
              <w:widowControl/>
              <w:jc w:val="center"/>
              <w:rPr>
                <w:rFonts w:ascii="宋体" w:hAnsi="宋体" w:cs="宋体"/>
                <w:bCs/>
                <w:color w:val="000000" w:themeColor="text1"/>
                <w:szCs w:val="21"/>
                <w14:textFill>
                  <w14:solidFill>
                    <w14:schemeClr w14:val="tx1"/>
                  </w14:solidFill>
                </w14:textFill>
              </w:rPr>
            </w:pPr>
          </w:p>
        </w:tc>
        <w:tc>
          <w:tcPr>
            <w:tcW w:w="802" w:type="dxa"/>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进度安排5%</w:t>
            </w:r>
          </w:p>
        </w:tc>
        <w:tc>
          <w:tcPr>
            <w:tcW w:w="655" w:type="dxa"/>
            <w:vAlign w:val="center"/>
          </w:tcPr>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5分</w:t>
            </w:r>
          </w:p>
        </w:tc>
        <w:tc>
          <w:tcPr>
            <w:tcW w:w="4085" w:type="dxa"/>
            <w:vAlign w:val="center"/>
          </w:tcPr>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项目进度安排中包含了</w:t>
            </w:r>
            <w:r>
              <w:rPr>
                <w:rFonts w:hint="eastAsia" w:ascii="宋体" w:hAnsi="宋体" w:cs="宋体"/>
                <w:color w:val="000000" w:themeColor="text1"/>
                <w:szCs w:val="21"/>
                <w14:textFill>
                  <w14:solidFill>
                    <w14:schemeClr w14:val="tx1"/>
                  </w14:solidFill>
                </w14:textFill>
              </w:rPr>
              <w:t>①</w:t>
            </w:r>
            <w:r>
              <w:rPr>
                <w:rFonts w:hint="eastAsia" w:ascii="宋体" w:hAnsi="宋体" w:cs="宋体"/>
                <w:color w:val="000000" w:themeColor="text1"/>
                <w:szCs w:val="21"/>
                <w:lang w:val="zh-CN"/>
                <w14:textFill>
                  <w14:solidFill>
                    <w14:schemeClr w14:val="tx1"/>
                  </w14:solidFill>
                </w14:textFill>
              </w:rPr>
              <w:t>工期安排、</w:t>
            </w:r>
            <w:r>
              <w:rPr>
                <w:rFonts w:hint="eastAsia" w:ascii="宋体" w:hAnsi="宋体" w:cs="宋体"/>
                <w:color w:val="000000" w:themeColor="text1"/>
                <w:szCs w:val="21"/>
                <w14:textFill>
                  <w14:solidFill>
                    <w14:schemeClr w14:val="tx1"/>
                  </w14:solidFill>
                </w14:textFill>
              </w:rPr>
              <w:t>②</w:t>
            </w:r>
            <w:r>
              <w:rPr>
                <w:rFonts w:hint="eastAsia" w:ascii="宋体" w:hAnsi="宋体" w:cs="宋体"/>
                <w:color w:val="000000" w:themeColor="text1"/>
                <w:szCs w:val="21"/>
                <w:lang w:val="zh-CN"/>
                <w14:textFill>
                  <w14:solidFill>
                    <w14:schemeClr w14:val="tx1"/>
                  </w14:solidFill>
                </w14:textFill>
              </w:rPr>
              <w:t>工作任务完成的时限的,项目进度安排内容完整、符合本项目要求的得5分；每有一项内容缺失的扣2.5分，扣完为止；每有一项内容存在内容不完整或不符合本项目要求的扣</w:t>
            </w:r>
            <w:r>
              <w:rPr>
                <w:rFonts w:hint="eastAsia" w:ascii="宋体" w:hAnsi="宋体" w:cs="宋体"/>
                <w:color w:val="000000" w:themeColor="text1"/>
                <w:szCs w:val="21"/>
                <w:lang w:val="en-US" w:eastAsia="zh-CN"/>
                <w14:textFill>
                  <w14:solidFill>
                    <w14:schemeClr w14:val="tx1"/>
                  </w14:solidFill>
                </w14:textFill>
              </w:rPr>
              <w:t>2</w:t>
            </w:r>
            <w:r>
              <w:rPr>
                <w:rFonts w:hint="eastAsia" w:ascii="宋体" w:hAnsi="宋体" w:cs="宋体"/>
                <w:color w:val="000000" w:themeColor="text1"/>
                <w:szCs w:val="21"/>
                <w:lang w:val="zh-CN"/>
                <w14:textFill>
                  <w14:solidFill>
                    <w14:schemeClr w14:val="tx1"/>
                  </w14:solidFill>
                </w14:textFill>
              </w:rPr>
              <w:t>分。</w:t>
            </w:r>
          </w:p>
        </w:tc>
        <w:tc>
          <w:tcPr>
            <w:tcW w:w="1950" w:type="dxa"/>
            <w:vAlign w:val="center"/>
          </w:tcPr>
          <w:p>
            <w:pPr>
              <w:jc w:val="left"/>
              <w:rPr>
                <w:rFonts w:ascii="宋体" w:hAnsi="宋体" w:cs="宋体"/>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484" w:type="dxa"/>
            <w:vMerge w:val="continue"/>
            <w:vAlign w:val="center"/>
          </w:tcPr>
          <w:p>
            <w:pPr>
              <w:widowControl/>
              <w:jc w:val="center"/>
              <w:rPr>
                <w:rFonts w:ascii="宋体" w:hAnsi="宋体" w:cs="宋体"/>
                <w:color w:val="000000" w:themeColor="text1"/>
                <w:kern w:val="0"/>
                <w:szCs w:val="21"/>
                <w14:textFill>
                  <w14:solidFill>
                    <w14:schemeClr w14:val="tx1"/>
                  </w14:solidFill>
                </w14:textFill>
              </w:rPr>
            </w:pPr>
          </w:p>
        </w:tc>
        <w:tc>
          <w:tcPr>
            <w:tcW w:w="802" w:type="dxa"/>
            <w:vMerge w:val="continue"/>
            <w:vAlign w:val="center"/>
          </w:tcPr>
          <w:p>
            <w:pPr>
              <w:widowControl/>
              <w:jc w:val="center"/>
              <w:rPr>
                <w:rFonts w:ascii="宋体" w:hAnsi="宋体" w:cs="宋体"/>
                <w:bCs/>
                <w:color w:val="000000" w:themeColor="text1"/>
                <w:szCs w:val="21"/>
                <w14:textFill>
                  <w14:solidFill>
                    <w14:schemeClr w14:val="tx1"/>
                  </w14:solidFill>
                </w14:textFill>
              </w:rPr>
            </w:pPr>
          </w:p>
        </w:tc>
        <w:tc>
          <w:tcPr>
            <w:tcW w:w="802" w:type="dxa"/>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跟踪服务承诺3%</w:t>
            </w:r>
          </w:p>
        </w:tc>
        <w:tc>
          <w:tcPr>
            <w:tcW w:w="655" w:type="dxa"/>
            <w:vAlign w:val="center"/>
          </w:tcPr>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3分</w:t>
            </w:r>
          </w:p>
        </w:tc>
        <w:tc>
          <w:tcPr>
            <w:tcW w:w="4085" w:type="dxa"/>
            <w:vAlign w:val="center"/>
          </w:tcPr>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项目跟踪服务承诺包含了</w:t>
            </w:r>
            <w:r>
              <w:rPr>
                <w:rFonts w:hint="eastAsia" w:ascii="宋体" w:hAnsi="宋体" w:cs="宋体"/>
                <w:color w:val="000000" w:themeColor="text1"/>
                <w:szCs w:val="21"/>
                <w14:textFill>
                  <w14:solidFill>
                    <w14:schemeClr w14:val="tx1"/>
                  </w14:solidFill>
                </w14:textFill>
              </w:rPr>
              <w:t>①</w:t>
            </w:r>
            <w:r>
              <w:rPr>
                <w:rFonts w:hint="eastAsia" w:ascii="宋体" w:hAnsi="宋体" w:cs="宋体"/>
                <w:color w:val="000000" w:themeColor="text1"/>
                <w:szCs w:val="21"/>
                <w:lang w:val="zh-CN"/>
                <w14:textFill>
                  <w14:solidFill>
                    <w14:schemeClr w14:val="tx1"/>
                  </w14:solidFill>
                </w14:textFill>
              </w:rPr>
              <w:t>保证设计质量</w:t>
            </w:r>
            <w:r>
              <w:rPr>
                <w:rFonts w:hint="eastAsia" w:ascii="宋体" w:hAnsi="宋体" w:cs="宋体"/>
                <w:color w:val="000000" w:themeColor="text1"/>
                <w:szCs w:val="21"/>
                <w14:textFill>
                  <w14:solidFill>
                    <w14:schemeClr w14:val="tx1"/>
                  </w14:solidFill>
                </w14:textFill>
              </w:rPr>
              <w:t>②</w:t>
            </w:r>
            <w:r>
              <w:rPr>
                <w:rFonts w:hint="eastAsia" w:ascii="宋体" w:hAnsi="宋体" w:cs="宋体"/>
                <w:color w:val="000000" w:themeColor="text1"/>
                <w:szCs w:val="21"/>
                <w:lang w:val="zh-CN"/>
                <w14:textFill>
                  <w14:solidFill>
                    <w14:schemeClr w14:val="tx1"/>
                  </w14:solidFill>
                </w14:textFill>
              </w:rPr>
              <w:t>配合项目实施</w:t>
            </w:r>
            <w:r>
              <w:rPr>
                <w:rFonts w:hint="eastAsia" w:ascii="宋体" w:hAnsi="宋体" w:cs="宋体"/>
                <w:color w:val="000000" w:themeColor="text1"/>
                <w:szCs w:val="21"/>
                <w14:textFill>
                  <w14:solidFill>
                    <w14:schemeClr w14:val="tx1"/>
                  </w14:solidFill>
                </w14:textFill>
              </w:rPr>
              <w:t>③</w:t>
            </w:r>
            <w:r>
              <w:rPr>
                <w:rFonts w:hint="eastAsia" w:ascii="宋体" w:hAnsi="宋体" w:cs="宋体"/>
                <w:color w:val="000000" w:themeColor="text1"/>
                <w:szCs w:val="21"/>
                <w:lang w:val="zh-CN"/>
                <w14:textFill>
                  <w14:solidFill>
                    <w14:schemeClr w14:val="tx1"/>
                  </w14:solidFill>
                </w14:textFill>
              </w:rPr>
              <w:t>提供优质服务且内容详实合理的得</w:t>
            </w:r>
            <w:r>
              <w:rPr>
                <w:rFonts w:hint="eastAsia" w:ascii="宋体" w:hAnsi="宋体" w:cs="宋体"/>
                <w:color w:val="000000" w:themeColor="text1"/>
                <w:szCs w:val="21"/>
                <w14:textFill>
                  <w14:solidFill>
                    <w14:schemeClr w14:val="tx1"/>
                  </w14:solidFill>
                </w14:textFill>
              </w:rPr>
              <w:t>3分；</w:t>
            </w:r>
            <w:r>
              <w:rPr>
                <w:rFonts w:hint="eastAsia" w:ascii="宋体" w:hAnsi="宋体" w:cs="宋体"/>
                <w:color w:val="000000" w:themeColor="text1"/>
                <w:szCs w:val="21"/>
                <w:lang w:val="zh-CN"/>
                <w14:textFill>
                  <w14:solidFill>
                    <w14:schemeClr w14:val="tx1"/>
                  </w14:solidFill>
                </w14:textFill>
              </w:rPr>
              <w:t>每有一项内容缺失的扣</w:t>
            </w:r>
            <w:r>
              <w:rPr>
                <w:rFonts w:hint="eastAsia" w:ascii="宋体" w:hAnsi="宋体" w:cs="宋体"/>
                <w:color w:val="000000" w:themeColor="text1"/>
                <w:szCs w:val="21"/>
                <w14:textFill>
                  <w14:solidFill>
                    <w14:schemeClr w14:val="tx1"/>
                  </w14:solidFill>
                </w14:textFill>
              </w:rPr>
              <w:t>1分，扣完为止。每有一项内容存在</w:t>
            </w:r>
            <w:r>
              <w:rPr>
                <w:rFonts w:hint="eastAsia" w:ascii="宋体" w:hAnsi="宋体" w:cs="宋体"/>
                <w:color w:val="000000" w:themeColor="text1"/>
                <w:szCs w:val="21"/>
                <w:lang w:val="en-US" w:eastAsia="zh-CN"/>
                <w14:textFill>
                  <w14:solidFill>
                    <w14:schemeClr w14:val="tx1"/>
                  </w14:solidFill>
                </w14:textFill>
              </w:rPr>
              <w:t>缺陷</w:t>
            </w:r>
            <w:r>
              <w:rPr>
                <w:rFonts w:hint="eastAsia" w:ascii="宋体" w:hAnsi="宋体" w:cs="宋体"/>
                <w:color w:val="000000" w:themeColor="text1"/>
                <w:szCs w:val="21"/>
                <w14:textFill>
                  <w14:solidFill>
                    <w14:schemeClr w14:val="tx1"/>
                  </w14:solidFill>
                </w14:textFill>
              </w:rPr>
              <w:t>扣0.5分（</w:t>
            </w:r>
            <w:r>
              <w:rPr>
                <w:rFonts w:hint="eastAsia"/>
                <w:color w:val="000000" w:themeColor="text1"/>
                <w14:textFill>
                  <w14:solidFill>
                    <w14:schemeClr w14:val="tx1"/>
                  </w14:solidFill>
                </w14:textFill>
              </w:rPr>
              <w:t>内容缺陷是指： 非专门针对本项目或不适用项目特性的情形、内容不完整或缺少关键节点、套用其他项目方案、内容前后矛盾、涉及的规范及标准错误、不利于项目实施、不可能实现的情形等任意一种情形。</w:t>
            </w:r>
            <w:r>
              <w:rPr>
                <w:rFonts w:hint="eastAsia" w:ascii="宋体" w:hAnsi="宋体" w:cs="宋体"/>
                <w:color w:val="000000" w:themeColor="text1"/>
                <w:szCs w:val="21"/>
                <w14:textFill>
                  <w14:solidFill>
                    <w14:schemeClr w14:val="tx1"/>
                  </w14:solidFill>
                </w14:textFill>
              </w:rPr>
              <w:t>）</w:t>
            </w:r>
          </w:p>
        </w:tc>
        <w:tc>
          <w:tcPr>
            <w:tcW w:w="1950" w:type="dxa"/>
            <w:vAlign w:val="center"/>
          </w:tcPr>
          <w:p>
            <w:pPr>
              <w:jc w:val="left"/>
              <w:rPr>
                <w:rFonts w:ascii="宋体" w:hAnsi="宋体" w:cs="宋体"/>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84" w:type="dxa"/>
            <w:vMerge w:val="restart"/>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w:t>
            </w:r>
          </w:p>
        </w:tc>
        <w:tc>
          <w:tcPr>
            <w:tcW w:w="802" w:type="dxa"/>
            <w:vMerge w:val="restart"/>
            <w:vAlign w:val="center"/>
          </w:tcPr>
          <w:p>
            <w:pPr>
              <w:widowControl/>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团队实力17%</w:t>
            </w:r>
          </w:p>
        </w:tc>
        <w:tc>
          <w:tcPr>
            <w:tcW w:w="802" w:type="dxa"/>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项目负责人5%</w:t>
            </w:r>
          </w:p>
        </w:tc>
        <w:tc>
          <w:tcPr>
            <w:tcW w:w="655" w:type="dxa"/>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5分</w:t>
            </w:r>
          </w:p>
        </w:tc>
        <w:tc>
          <w:tcPr>
            <w:tcW w:w="4085" w:type="dxa"/>
            <w:vAlign w:val="center"/>
          </w:tcPr>
          <w:p>
            <w:pPr>
              <w:jc w:val="left"/>
              <w:rPr>
                <w:rFonts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项目负责人：具有规划类专业高级</w:t>
            </w:r>
            <w:r>
              <w:rPr>
                <w:rFonts w:hint="eastAsia" w:ascii="宋体" w:hAnsi="宋体" w:cs="宋体"/>
                <w:color w:val="000000" w:themeColor="text1"/>
                <w:szCs w:val="21"/>
                <w14:textFill>
                  <w14:solidFill>
                    <w14:schemeClr w14:val="tx1"/>
                  </w14:solidFill>
                </w14:textFill>
              </w:rPr>
              <w:t>及以上</w:t>
            </w:r>
            <w:r>
              <w:rPr>
                <w:rFonts w:hint="eastAsia" w:ascii="宋体" w:hAnsi="宋体" w:cs="宋体"/>
                <w:color w:val="000000" w:themeColor="text1"/>
                <w:szCs w:val="21"/>
                <w:lang w:val="zh-CN"/>
                <w14:textFill>
                  <w14:solidFill>
                    <w14:schemeClr w14:val="tx1"/>
                  </w14:solidFill>
                </w14:textFill>
              </w:rPr>
              <w:t>职称并同时具有注册城市（或城乡）规划师注册证书的，得5分，只具有其中之一的，得2分，其他不得分。</w:t>
            </w:r>
          </w:p>
          <w:p>
            <w:pPr>
              <w:jc w:val="left"/>
              <w:rPr>
                <w:rFonts w:ascii="宋体" w:hAnsi="宋体" w:cs="宋体"/>
                <w:color w:val="000000" w:themeColor="text1"/>
                <w:szCs w:val="21"/>
                <w14:textFill>
                  <w14:solidFill>
                    <w14:schemeClr w14:val="tx1"/>
                  </w14:solidFill>
                </w14:textFill>
              </w:rPr>
            </w:pPr>
          </w:p>
        </w:tc>
        <w:tc>
          <w:tcPr>
            <w:tcW w:w="1950" w:type="dxa"/>
            <w:vAlign w:val="center"/>
          </w:tcPr>
          <w:p>
            <w:pPr>
              <w:jc w:val="left"/>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提供相关人员有效的证书复印件及人员在职证明复印件并加盖投标人公章。</w:t>
            </w:r>
          </w:p>
          <w:p>
            <w:pPr>
              <w:jc w:val="center"/>
              <w:rPr>
                <w:rFonts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4" w:type="dxa"/>
            <w:vMerge w:val="continue"/>
            <w:vAlign w:val="center"/>
          </w:tcPr>
          <w:p>
            <w:pPr>
              <w:widowControl/>
              <w:jc w:val="center"/>
              <w:rPr>
                <w:rFonts w:ascii="宋体" w:hAnsi="宋体" w:cs="宋体"/>
                <w:color w:val="000000" w:themeColor="text1"/>
                <w:kern w:val="0"/>
                <w:szCs w:val="21"/>
                <w14:textFill>
                  <w14:solidFill>
                    <w14:schemeClr w14:val="tx1"/>
                  </w14:solidFill>
                </w14:textFill>
              </w:rPr>
            </w:pPr>
          </w:p>
        </w:tc>
        <w:tc>
          <w:tcPr>
            <w:tcW w:w="802" w:type="dxa"/>
            <w:vMerge w:val="continue"/>
            <w:vAlign w:val="center"/>
          </w:tcPr>
          <w:p>
            <w:pPr>
              <w:widowControl/>
              <w:jc w:val="center"/>
              <w:rPr>
                <w:rFonts w:ascii="宋体" w:hAnsi="宋体" w:cs="宋体"/>
                <w:bCs/>
                <w:color w:val="000000" w:themeColor="text1"/>
                <w:szCs w:val="21"/>
                <w14:textFill>
                  <w14:solidFill>
                    <w14:schemeClr w14:val="tx1"/>
                  </w14:solidFill>
                </w14:textFill>
              </w:rPr>
            </w:pPr>
          </w:p>
        </w:tc>
        <w:tc>
          <w:tcPr>
            <w:tcW w:w="802" w:type="dxa"/>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团队成员12%</w:t>
            </w:r>
          </w:p>
        </w:tc>
        <w:tc>
          <w:tcPr>
            <w:tcW w:w="655" w:type="dxa"/>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12分</w:t>
            </w:r>
          </w:p>
        </w:tc>
        <w:tc>
          <w:tcPr>
            <w:tcW w:w="4085" w:type="dxa"/>
            <w:vAlign w:val="center"/>
          </w:tcPr>
          <w:p>
            <w:pPr>
              <w:jc w:val="left"/>
              <w:rPr>
                <w:rFonts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项目组（不含项目负责人）：每有一名成员具备规划类专业高级及以上职称或具有注册城市（或城乡）规划师证书的得2分，具备规划专业工程师职称的得1分，本项最多得12分。</w:t>
            </w:r>
          </w:p>
          <w:p>
            <w:pPr>
              <w:jc w:val="left"/>
              <w:rPr>
                <w:rFonts w:ascii="宋体" w:hAnsi="宋体" w:cs="宋体"/>
                <w:color w:val="000000" w:themeColor="text1"/>
                <w:szCs w:val="21"/>
                <w14:textFill>
                  <w14:solidFill>
                    <w14:schemeClr w14:val="tx1"/>
                  </w14:solidFill>
                </w14:textFill>
              </w:rPr>
            </w:pPr>
          </w:p>
        </w:tc>
        <w:tc>
          <w:tcPr>
            <w:tcW w:w="1950" w:type="dxa"/>
            <w:vAlign w:val="center"/>
          </w:tcPr>
          <w:p>
            <w:pPr>
              <w:pStyle w:val="2"/>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提供相关人员有效的证书复印件及人员在职证明复印件并加盖投标人公章。</w:t>
            </w:r>
          </w:p>
          <w:p>
            <w:pPr>
              <w:pStyle w:val="2"/>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同一人员不重复计分，同一人员证书以得分最高的为准。</w:t>
            </w:r>
          </w:p>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4"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w:t>
            </w:r>
          </w:p>
        </w:tc>
        <w:tc>
          <w:tcPr>
            <w:tcW w:w="802" w:type="dxa"/>
            <w:vAlign w:val="center"/>
          </w:tcPr>
          <w:p>
            <w:pPr>
              <w:widowControl/>
              <w:jc w:val="center"/>
              <w:rPr>
                <w:rFonts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获奖情况12%</w:t>
            </w:r>
          </w:p>
        </w:tc>
        <w:tc>
          <w:tcPr>
            <w:tcW w:w="1457" w:type="dxa"/>
            <w:gridSpan w:val="2"/>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12分</w:t>
            </w:r>
          </w:p>
        </w:tc>
        <w:tc>
          <w:tcPr>
            <w:tcW w:w="4085" w:type="dxa"/>
            <w:vAlign w:val="center"/>
          </w:tcPr>
          <w:p>
            <w:pPr>
              <w:spacing w:line="360" w:lineRule="auto"/>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投标人在2017年至今规划类项目获得国家级、省级、市级优秀城乡规划设计的, 每有一个项目获奖得2分，最多得</w:t>
            </w:r>
            <w:r>
              <w:rPr>
                <w:rFonts w:hint="eastAsia" w:ascii="宋体" w:hAnsi="宋体" w:cs="宋体"/>
                <w:color w:val="000000" w:themeColor="text1"/>
                <w:szCs w:val="21"/>
                <w14:textFill>
                  <w14:solidFill>
                    <w14:schemeClr w14:val="tx1"/>
                  </w14:solidFill>
                </w14:textFill>
              </w:rPr>
              <w:t>12</w:t>
            </w:r>
            <w:r>
              <w:rPr>
                <w:rFonts w:hint="eastAsia" w:ascii="宋体" w:hAnsi="宋体" w:cs="宋体"/>
                <w:color w:val="000000" w:themeColor="text1"/>
                <w:szCs w:val="21"/>
                <w:lang w:val="zh-CN"/>
                <w14:textFill>
                  <w14:solidFill>
                    <w14:schemeClr w14:val="tx1"/>
                  </w14:solidFill>
                </w14:textFill>
              </w:rPr>
              <w:t>分；</w:t>
            </w:r>
            <w:r>
              <w:rPr>
                <w:rFonts w:hint="eastAsia" w:ascii="宋体" w:hAnsi="宋体" w:cs="宋体"/>
                <w:color w:val="000000" w:themeColor="text1"/>
                <w:szCs w:val="21"/>
                <w14:textFill>
                  <w14:solidFill>
                    <w14:schemeClr w14:val="tx1"/>
                  </w14:solidFill>
                </w14:textFill>
              </w:rPr>
              <w:t>其余不得分。</w:t>
            </w:r>
          </w:p>
        </w:tc>
        <w:tc>
          <w:tcPr>
            <w:tcW w:w="1950" w:type="dxa"/>
            <w:vAlign w:val="center"/>
          </w:tcPr>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注：须提供相关证书复印件，并加盖投标人公章。</w:t>
            </w:r>
          </w:p>
          <w:p>
            <w:pPr>
              <w:pStyle w:val="2"/>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4"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w:t>
            </w:r>
          </w:p>
        </w:tc>
        <w:tc>
          <w:tcPr>
            <w:tcW w:w="802" w:type="dxa"/>
            <w:vAlign w:val="center"/>
          </w:tcPr>
          <w:p>
            <w:pPr>
              <w:spacing w:line="360" w:lineRule="auto"/>
              <w:ind w:firstLine="28"/>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业绩15%</w:t>
            </w:r>
          </w:p>
        </w:tc>
        <w:tc>
          <w:tcPr>
            <w:tcW w:w="1457" w:type="dxa"/>
            <w:gridSpan w:val="2"/>
            <w:vAlign w:val="center"/>
          </w:tcPr>
          <w:p>
            <w:pPr>
              <w:spacing w:line="360" w:lineRule="auto"/>
              <w:ind w:firstLine="28"/>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15分</w:t>
            </w:r>
          </w:p>
        </w:tc>
        <w:tc>
          <w:tcPr>
            <w:tcW w:w="4085" w:type="dxa"/>
            <w:vAlign w:val="center"/>
          </w:tcPr>
          <w:p>
            <w:pPr>
              <w:spacing w:line="360" w:lineRule="auto"/>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投标人2017年1月1日至投标时间截止时每具有1个国土空间规划类类似业绩的，得3分，本项最多得15分</w:t>
            </w:r>
            <w:r>
              <w:rPr>
                <w:rFonts w:hint="eastAsia" w:ascii="宋体" w:hAnsi="宋体" w:cs="宋体"/>
                <w:color w:val="000000" w:themeColor="text1"/>
                <w:szCs w:val="21"/>
                <w:lang w:val="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其余不得分。</w:t>
            </w:r>
          </w:p>
        </w:tc>
        <w:tc>
          <w:tcPr>
            <w:tcW w:w="1950" w:type="dxa"/>
            <w:vAlign w:val="center"/>
          </w:tcPr>
          <w:p>
            <w:pPr>
              <w:pStyle w:val="2"/>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注：须提供合同复印件，并加盖投标人公章。</w:t>
            </w:r>
          </w:p>
          <w:p>
            <w:pPr>
              <w:pStyle w:val="3"/>
              <w:rPr>
                <w:rFonts w:cs="宋体"/>
                <w:b w:val="0"/>
                <w:color w:val="000000" w:themeColor="text1"/>
                <w:sz w:val="21"/>
                <w:szCs w:val="21"/>
                <w14:textFill>
                  <w14:solidFill>
                    <w14:schemeClr w14:val="tx1"/>
                  </w14:solidFill>
                </w14:textFill>
              </w:rPr>
            </w:pPr>
            <w:r>
              <w:rPr>
                <w:rFonts w:hint="eastAsia" w:cs="宋体"/>
                <w:b w:val="0"/>
                <w:color w:val="000000" w:themeColor="text1"/>
                <w:sz w:val="21"/>
                <w:szCs w:val="21"/>
                <w14:textFill>
                  <w14:solidFill>
                    <w14:schemeClr w14:val="tx1"/>
                  </w14:solidFill>
                </w14:textFill>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4" w:type="dxa"/>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w:t>
            </w:r>
          </w:p>
        </w:tc>
        <w:tc>
          <w:tcPr>
            <w:tcW w:w="802" w:type="dxa"/>
            <w:vAlign w:val="center"/>
          </w:tcPr>
          <w:p>
            <w:pPr>
              <w:spacing w:after="120"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资信3%</w:t>
            </w:r>
          </w:p>
        </w:tc>
        <w:tc>
          <w:tcPr>
            <w:tcW w:w="1457" w:type="dxa"/>
            <w:gridSpan w:val="2"/>
            <w:vAlign w:val="center"/>
          </w:tcPr>
          <w:p>
            <w:pPr>
              <w:spacing w:after="120"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3分</w:t>
            </w:r>
          </w:p>
        </w:tc>
        <w:tc>
          <w:tcPr>
            <w:tcW w:w="4085" w:type="dxa"/>
            <w:vAlign w:val="center"/>
          </w:tcPr>
          <w:p>
            <w:pPr>
              <w:pStyle w:val="2"/>
              <w:spacing w:line="36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具有有效的质量管理体系认证证书的得3分，未提供或者无效的不得分。</w:t>
            </w:r>
          </w:p>
          <w:p>
            <w:pPr>
              <w:spacing w:after="120" w:line="360" w:lineRule="auto"/>
              <w:ind w:firstLine="420" w:firstLineChars="200"/>
              <w:rPr>
                <w:rFonts w:ascii="宋体" w:hAnsi="宋体" w:cs="宋体"/>
                <w:color w:val="000000" w:themeColor="text1"/>
                <w:szCs w:val="21"/>
                <w14:textFill>
                  <w14:solidFill>
                    <w14:schemeClr w14:val="tx1"/>
                  </w14:solidFill>
                </w14:textFill>
              </w:rPr>
            </w:pPr>
          </w:p>
        </w:tc>
        <w:tc>
          <w:tcPr>
            <w:tcW w:w="1950" w:type="dxa"/>
            <w:vAlign w:val="center"/>
          </w:tcPr>
          <w:p>
            <w:pPr>
              <w:pStyle w:val="2"/>
              <w:rPr>
                <w:rFonts w:ascii="宋体" w:hAnsi="宋体" w:cs="宋体"/>
                <w:color w:val="000000" w:themeColor="text1"/>
                <w:sz w:val="21"/>
                <w:szCs w:val="21"/>
                <w:lang w:val="zh-CN"/>
                <w14:textFill>
                  <w14:solidFill>
                    <w14:schemeClr w14:val="tx1"/>
                  </w14:solidFill>
                </w14:textFill>
              </w:rPr>
            </w:pPr>
            <w:r>
              <w:rPr>
                <w:rFonts w:hint="eastAsia" w:ascii="宋体" w:hAnsi="宋体" w:cs="宋体"/>
                <w:color w:val="000000" w:themeColor="text1"/>
                <w:sz w:val="21"/>
                <w:szCs w:val="21"/>
                <w:lang w:val="zh-CN"/>
                <w14:textFill>
                  <w14:solidFill>
                    <w14:schemeClr w14:val="tx1"/>
                  </w14:solidFill>
                </w14:textFill>
              </w:rPr>
              <w:t>注：提供证书复印件，并加盖投标人单位</w:t>
            </w:r>
            <w:r>
              <w:rPr>
                <w:rFonts w:hint="eastAsia" w:ascii="宋体" w:hAnsi="宋体" w:cs="宋体"/>
                <w:color w:val="000000" w:themeColor="text1"/>
                <w:sz w:val="21"/>
                <w:szCs w:val="21"/>
                <w:lang w:val="en-US" w:eastAsia="zh-CN"/>
                <w14:textFill>
                  <w14:solidFill>
                    <w14:schemeClr w14:val="tx1"/>
                  </w14:solidFill>
                </w14:textFill>
              </w:rPr>
              <w:t>公章</w:t>
            </w:r>
            <w:r>
              <w:rPr>
                <w:rFonts w:hint="eastAsia" w:ascii="宋体" w:hAnsi="宋体" w:cs="宋体"/>
                <w:color w:val="000000" w:themeColor="text1"/>
                <w:sz w:val="21"/>
                <w:szCs w:val="21"/>
                <w:lang w:val="zh-CN"/>
                <w14:textFill>
                  <w14:solidFill>
                    <w14:schemeClr w14:val="tx1"/>
                  </w14:solidFill>
                </w14:textFill>
              </w:rPr>
              <w:t>，</w:t>
            </w:r>
          </w:p>
          <w:p>
            <w:pPr>
              <w:pStyle w:val="3"/>
              <w:rPr>
                <w:rFonts w:cs="宋体"/>
                <w:color w:val="000000" w:themeColor="text1"/>
                <w:sz w:val="21"/>
                <w:szCs w:val="21"/>
                <w14:textFill>
                  <w14:solidFill>
                    <w14:schemeClr w14:val="tx1"/>
                  </w14:solidFill>
                </w14:textFill>
              </w:rPr>
            </w:pPr>
            <w:r>
              <w:rPr>
                <w:rFonts w:hint="eastAsia" w:cs="宋体"/>
                <w:b w:val="0"/>
                <w:bCs/>
                <w:color w:val="000000" w:themeColor="text1"/>
                <w:sz w:val="21"/>
                <w:szCs w:val="21"/>
                <w14:textFill>
                  <w14:solidFill>
                    <w14:schemeClr w14:val="tx1"/>
                  </w14:solidFill>
                </w14:textFill>
              </w:rPr>
              <w:t>（共同评分因素）</w:t>
            </w:r>
          </w:p>
        </w:tc>
      </w:tr>
    </w:tbl>
    <w:p>
      <w:pPr>
        <w:rPr>
          <w:rFonts w:ascii="宋体" w:hAnsi="宋体" w:cs="宋体"/>
          <w:color w:val="000000" w:themeColor="text1"/>
          <w:sz w:val="24"/>
          <w14:textFill>
            <w14:solidFill>
              <w14:schemeClr w14:val="tx1"/>
            </w14:solidFill>
          </w14:textFill>
        </w:rPr>
      </w:pPr>
    </w:p>
    <w:p>
      <w:pPr>
        <w:ind w:firstLine="360" w:firstLineChars="1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 评分的取值按四舍五入法，保留小数点后两位。</w:t>
      </w:r>
    </w:p>
    <w:p>
      <w:pPr>
        <w:pStyle w:val="12"/>
        <w:ind w:firstLine="420" w:firstLineChars="175"/>
        <w:rPr>
          <w:rFonts w:ascii="宋体" w:hAnsi="宋体" w:cs="宋体"/>
          <w:color w:val="000000" w:themeColor="text1"/>
          <w:sz w:val="24"/>
          <w14:textFill>
            <w14:solidFill>
              <w14:schemeClr w14:val="tx1"/>
            </w14:solidFill>
          </w14:textFill>
        </w:rPr>
      </w:pPr>
      <w:bookmarkStart w:id="159" w:name="_Toc217446059"/>
      <w:r>
        <w:rPr>
          <w:rFonts w:hint="eastAsia" w:ascii="宋体" w:hAnsi="宋体" w:cs="宋体"/>
          <w:color w:val="000000" w:themeColor="text1"/>
          <w:sz w:val="24"/>
          <w14:textFill>
            <w14:solidFill>
              <w14:schemeClr w14:val="tx1"/>
            </w14:solidFill>
          </w14:textFill>
        </w:rPr>
        <w:t xml:space="preserve">4.3.4 本次综合评分法由评标委员会各成员独立对通过初审（资格检查和符合性检查）的投标人的投标文件进行评审和打分，    </w:t>
      </w:r>
    </w:p>
    <w:p>
      <w:pPr>
        <w:pStyle w:val="1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评标得分＝（A1＋A2＋……＋An）/N</w:t>
      </w:r>
      <w:r>
        <w:rPr>
          <w:rFonts w:hint="eastAsia" w:ascii="宋体" w:hAnsi="宋体" w:cs="宋体"/>
          <w:color w:val="000000" w:themeColor="text1"/>
          <w:sz w:val="24"/>
          <w:vertAlign w:val="subscript"/>
          <w14:textFill>
            <w14:solidFill>
              <w14:schemeClr w14:val="tx1"/>
            </w14:solidFill>
          </w14:textFill>
        </w:rPr>
        <w:t>A</w:t>
      </w:r>
      <w:r>
        <w:rPr>
          <w:rFonts w:hint="eastAsia" w:ascii="宋体" w:hAnsi="宋体" w:cs="宋体"/>
          <w:color w:val="000000" w:themeColor="text1"/>
          <w:sz w:val="24"/>
          <w14:textFill>
            <w14:solidFill>
              <w14:schemeClr w14:val="tx1"/>
            </w14:solidFill>
          </w14:textFill>
        </w:rPr>
        <w:t>＋（B1＋B2＋……＋Bn）/ N</w:t>
      </w:r>
      <w:r>
        <w:rPr>
          <w:rFonts w:hint="eastAsia" w:ascii="宋体" w:hAnsi="宋体" w:cs="宋体"/>
          <w:color w:val="000000" w:themeColor="text1"/>
          <w:sz w:val="24"/>
          <w:vertAlign w:val="subscript"/>
          <w14:textFill>
            <w14:solidFill>
              <w14:schemeClr w14:val="tx1"/>
            </w14:solidFill>
          </w14:textFill>
        </w:rPr>
        <w:t>B</w:t>
      </w:r>
      <w:r>
        <w:rPr>
          <w:rFonts w:hint="eastAsia" w:ascii="宋体" w:hAnsi="宋体" w:cs="宋体"/>
          <w:color w:val="000000" w:themeColor="text1"/>
          <w:sz w:val="24"/>
          <w14:textFill>
            <w14:solidFill>
              <w14:schemeClr w14:val="tx1"/>
            </w14:solidFill>
          </w14:textFill>
        </w:rPr>
        <w:t>＋（C1＋C2＋……＋Cn）/ N</w:t>
      </w:r>
      <w:r>
        <w:rPr>
          <w:rFonts w:hint="eastAsia" w:ascii="宋体" w:hAnsi="宋体" w:cs="宋体"/>
          <w:color w:val="000000" w:themeColor="text1"/>
          <w:sz w:val="24"/>
          <w:vertAlign w:val="subscript"/>
          <w14:textFill>
            <w14:solidFill>
              <w14:schemeClr w14:val="tx1"/>
            </w14:solidFill>
          </w14:textFill>
        </w:rPr>
        <w:t>C</w:t>
      </w:r>
      <w:r>
        <w:rPr>
          <w:rFonts w:hint="eastAsia" w:ascii="宋体" w:hAnsi="宋体" w:cs="宋体"/>
          <w:color w:val="000000" w:themeColor="text1"/>
          <w:sz w:val="24"/>
          <w14:textFill>
            <w14:solidFill>
              <w14:schemeClr w14:val="tx1"/>
            </w14:solidFill>
          </w14:textFill>
        </w:rPr>
        <w:t>＋（D1＋D2＋……＋Dn）/ N</w:t>
      </w:r>
      <w:r>
        <w:rPr>
          <w:rFonts w:hint="eastAsia" w:ascii="宋体" w:hAnsi="宋体" w:cs="宋体"/>
          <w:color w:val="000000" w:themeColor="text1"/>
          <w:sz w:val="24"/>
          <w:vertAlign w:val="subscript"/>
          <w14:textFill>
            <w14:solidFill>
              <w14:schemeClr w14:val="tx1"/>
            </w14:solidFill>
          </w14:textFill>
        </w:rPr>
        <w:t>D</w:t>
      </w:r>
    </w:p>
    <w:p>
      <w:pPr>
        <w:pStyle w:val="12"/>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A1、A2……An分别为每个经济类评委（经济类专家）的打分，N</w:t>
      </w:r>
      <w:r>
        <w:rPr>
          <w:rFonts w:hint="eastAsia" w:ascii="宋体" w:hAnsi="宋体" w:cs="宋体"/>
          <w:color w:val="000000" w:themeColor="text1"/>
          <w:sz w:val="24"/>
          <w:vertAlign w:val="subscript"/>
          <w14:textFill>
            <w14:solidFill>
              <w14:schemeClr w14:val="tx1"/>
            </w14:solidFill>
          </w14:textFill>
        </w:rPr>
        <w:t>A</w:t>
      </w:r>
      <w:r>
        <w:rPr>
          <w:rFonts w:hint="eastAsia" w:ascii="宋体" w:hAnsi="宋体" w:cs="宋体"/>
          <w:color w:val="000000" w:themeColor="text1"/>
          <w:sz w:val="24"/>
          <w14:textFill>
            <w14:solidFill>
              <w14:schemeClr w14:val="tx1"/>
            </w14:solidFill>
          </w14:textFill>
        </w:rPr>
        <w:t>为经济类评委（经济类专家）人数；B1、B2＋……Bn 分别为每个技术类评委（技术类专家和采购人代表）的打分，N</w:t>
      </w:r>
      <w:r>
        <w:rPr>
          <w:rFonts w:hint="eastAsia" w:ascii="宋体" w:hAnsi="宋体" w:cs="宋体"/>
          <w:color w:val="000000" w:themeColor="text1"/>
          <w:sz w:val="24"/>
          <w:vertAlign w:val="subscript"/>
          <w14:textFill>
            <w14:solidFill>
              <w14:schemeClr w14:val="tx1"/>
            </w14:solidFill>
          </w14:textFill>
        </w:rPr>
        <w:t>B</w:t>
      </w:r>
      <w:r>
        <w:rPr>
          <w:rFonts w:hint="eastAsia" w:ascii="宋体" w:hAnsi="宋体" w:cs="宋体"/>
          <w:color w:val="000000" w:themeColor="text1"/>
          <w:sz w:val="24"/>
          <w14:textFill>
            <w14:solidFill>
              <w14:schemeClr w14:val="tx1"/>
            </w14:solidFill>
          </w14:textFill>
        </w:rPr>
        <w:t>为技术类评委（技术类专家和采购人代表）人数；C1、C2……Cn 分别为每个政策合同类评委（法律类专家）的打分，N</w:t>
      </w:r>
      <w:r>
        <w:rPr>
          <w:rFonts w:hint="eastAsia" w:ascii="宋体" w:hAnsi="宋体" w:cs="宋体"/>
          <w:color w:val="000000" w:themeColor="text1"/>
          <w:sz w:val="24"/>
          <w:vertAlign w:val="subscript"/>
          <w14:textFill>
            <w14:solidFill>
              <w14:schemeClr w14:val="tx1"/>
            </w14:solidFill>
          </w14:textFill>
        </w:rPr>
        <w:t>C</w:t>
      </w:r>
      <w:r>
        <w:rPr>
          <w:rFonts w:hint="eastAsia" w:ascii="宋体" w:hAnsi="宋体" w:cs="宋体"/>
          <w:color w:val="000000" w:themeColor="text1"/>
          <w:sz w:val="24"/>
          <w14:textFill>
            <w14:solidFill>
              <w14:schemeClr w14:val="tx1"/>
            </w14:solidFill>
          </w14:textFill>
        </w:rPr>
        <w:t>为政策合同类评委（法律类专家）人数；D1、D2……Dn 分别为评审委员会每个成员的打分（共同评分类），N</w:t>
      </w:r>
      <w:r>
        <w:rPr>
          <w:rFonts w:hint="eastAsia" w:ascii="宋体" w:hAnsi="宋体" w:cs="宋体"/>
          <w:color w:val="000000" w:themeColor="text1"/>
          <w:sz w:val="24"/>
          <w:vertAlign w:val="subscript"/>
          <w14:textFill>
            <w14:solidFill>
              <w14:schemeClr w14:val="tx1"/>
            </w14:solidFill>
          </w14:textFill>
        </w:rPr>
        <w:t>D</w:t>
      </w:r>
      <w:r>
        <w:rPr>
          <w:rFonts w:hint="eastAsia" w:ascii="宋体" w:hAnsi="宋体" w:cs="宋体"/>
          <w:color w:val="000000" w:themeColor="text1"/>
          <w:sz w:val="24"/>
          <w14:textFill>
            <w14:solidFill>
              <w14:schemeClr w14:val="tx1"/>
            </w14:solidFill>
          </w14:textFill>
        </w:rPr>
        <w:t>为评标委员会人</w:t>
      </w:r>
      <w:r>
        <w:rPr>
          <w:rFonts w:hint="eastAsia" w:ascii="宋体" w:hAnsi="宋体" w:cs="宋体"/>
          <w:bCs/>
          <w:color w:val="000000" w:themeColor="text1"/>
          <w:sz w:val="24"/>
          <w14:textFill>
            <w14:solidFill>
              <w14:schemeClr w14:val="tx1"/>
            </w14:solidFill>
          </w14:textFill>
        </w:rPr>
        <w:t>数。</w:t>
      </w:r>
    </w:p>
    <w:bookmarkEnd w:id="159"/>
    <w:p>
      <w:pPr>
        <w:pStyle w:val="6"/>
        <w:spacing w:line="400" w:lineRule="exact"/>
        <w:ind w:firstLine="472" w:firstLineChars="196"/>
        <w:rPr>
          <w:rFonts w:ascii="宋体" w:hAnsi="宋体" w:eastAsia="宋体" w:cs="宋体"/>
          <w:color w:val="000000" w:themeColor="text1"/>
          <w:sz w:val="24"/>
          <w:szCs w:val="24"/>
          <w14:textFill>
            <w14:solidFill>
              <w14:schemeClr w14:val="tx1"/>
            </w14:solidFill>
          </w14:textFill>
        </w:rPr>
      </w:pPr>
      <w:bookmarkStart w:id="160" w:name="_Toc217446060"/>
      <w:r>
        <w:rPr>
          <w:rFonts w:hint="eastAsia" w:ascii="宋体" w:hAnsi="宋体" w:eastAsia="宋体" w:cs="宋体"/>
          <w:color w:val="000000" w:themeColor="text1"/>
          <w:sz w:val="24"/>
          <w:szCs w:val="24"/>
          <w14:textFill>
            <w14:solidFill>
              <w14:schemeClr w14:val="tx1"/>
            </w14:solidFill>
          </w14:textFill>
        </w:rPr>
        <w:t>5.</w:t>
      </w:r>
      <w:r>
        <w:rPr>
          <w:rFonts w:ascii="宋体" w:hAnsi="宋体" w:eastAsia="宋体" w:cs="宋体"/>
          <w:color w:val="000000" w:themeColor="text1"/>
          <w:sz w:val="24"/>
          <w:szCs w:val="24"/>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废标</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5.1本次政府采购活动中，出现下列情形之一的，予以废标：</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（1）符合专业条件的供应商或者对招标文件作实质响应的供应商不足三家的；</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（2）出现影响采购公正的违法、违规行为的；</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（3）投标人的报价均超过了采购预算，采购人不能支付的；</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（4）因重大变故，采购任务取消的。</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5.2对于评标过程中废标的采购项目，评标委员会应当对招标文件是否存在倾向性和歧视性、是否存在不合理条款进行论证，并出具书面论证意见。</w:t>
      </w:r>
    </w:p>
    <w:p>
      <w:pPr>
        <w:spacing w:line="400" w:lineRule="exact"/>
        <w:ind w:firstLine="480" w:firstLineChars="200"/>
        <w:rPr>
          <w:rFonts w:ascii="宋体" w:hAnsi="宋体" w:cs="宋体"/>
          <w:color w:val="000000" w:themeColor="text1"/>
          <w:sz w:val="24"/>
          <w14:textFill>
            <w14:solidFill>
              <w14:schemeClr w14:val="tx1"/>
            </w14:solidFill>
          </w14:textFill>
        </w:rPr>
      </w:pPr>
    </w:p>
    <w:p>
      <w:pPr>
        <w:pStyle w:val="6"/>
        <w:spacing w:line="400" w:lineRule="exact"/>
        <w:ind w:firstLine="472" w:firstLineChars="196"/>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w:t>
      </w:r>
      <w:r>
        <w:rPr>
          <w:rFonts w:ascii="宋体" w:hAnsi="宋体" w:eastAsia="宋体" w:cs="宋体"/>
          <w:color w:val="000000" w:themeColor="text1"/>
          <w:sz w:val="24"/>
          <w:szCs w:val="24"/>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定标</w:t>
      </w:r>
      <w:bookmarkEnd w:id="160"/>
      <w:bookmarkStart w:id="161" w:name="_Toc217446061"/>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6.1. 定标原则</w:t>
      </w:r>
      <w:bookmarkEnd w:id="161"/>
      <w:r>
        <w:rPr>
          <w:rFonts w:hint="eastAsia" w:ascii="宋体" w:hAnsi="宋体" w:cs="宋体"/>
          <w:color w:val="000000" w:themeColor="text1"/>
          <w:sz w:val="24"/>
          <w14:textFill>
            <w14:solidFill>
              <w14:schemeClr w14:val="tx1"/>
            </w14:solidFill>
          </w14:textFill>
        </w:rPr>
        <w:t>：本项目根据评标委员会推荐的中标候选供应商名单，按顺序确定中标供应商。</w:t>
      </w:r>
    </w:p>
    <w:p>
      <w:pPr>
        <w:spacing w:line="400" w:lineRule="exact"/>
        <w:ind w:firstLine="480" w:firstLineChars="200"/>
        <w:rPr>
          <w:rFonts w:ascii="宋体" w:hAnsi="宋体" w:cs="宋体"/>
          <w:color w:val="000000" w:themeColor="text1"/>
          <w:sz w:val="24"/>
          <w14:textFill>
            <w14:solidFill>
              <w14:schemeClr w14:val="tx1"/>
            </w14:solidFill>
          </w14:textFill>
        </w:rPr>
      </w:pPr>
      <w:bookmarkStart w:id="162" w:name="_Toc217446062"/>
      <w:r>
        <w:rPr>
          <w:rFonts w:hint="eastAsia" w:ascii="宋体" w:hAnsi="宋体" w:cs="宋体"/>
          <w:color w:val="000000" w:themeColor="text1"/>
          <w:sz w:val="24"/>
          <w14:textFill>
            <w14:solidFill>
              <w14:schemeClr w14:val="tx1"/>
            </w14:solidFill>
          </w14:textFill>
        </w:rPr>
        <w:t>6.2. 定标程序</w:t>
      </w:r>
      <w:bookmarkEnd w:id="162"/>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6.2.1 评标委员会将评标情况写出书面报告，推荐中标候选供应商。</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6.2.2 采购代理机构在评标结束后2个工作日内将评标报告送采购人。</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6.2.5 招标采购单位不退回投标人投标文件和其他投标资料。</w:t>
      </w:r>
    </w:p>
    <w:bookmarkEnd w:id="158"/>
    <w:p>
      <w:pPr>
        <w:pStyle w:val="6"/>
        <w:spacing w:line="400" w:lineRule="exact"/>
        <w:ind w:firstLine="482" w:firstLineChars="200"/>
        <w:rPr>
          <w:rFonts w:ascii="宋体" w:hAnsi="宋体" w:eastAsia="宋体" w:cs="宋体"/>
          <w:bCs w:val="0"/>
          <w:color w:val="000000" w:themeColor="text1"/>
          <w:sz w:val="24"/>
          <w:szCs w:val="24"/>
          <w14:textFill>
            <w14:solidFill>
              <w14:schemeClr w14:val="tx1"/>
            </w14:solidFill>
          </w14:textFill>
        </w:rPr>
      </w:pPr>
      <w:bookmarkStart w:id="163" w:name="_Toc217446105"/>
      <w:bookmarkStart w:id="164" w:name="_Toc183582297"/>
      <w:bookmarkStart w:id="165" w:name="_Toc183682432"/>
      <w:bookmarkStart w:id="166" w:name="_Toc208849022"/>
      <w:r>
        <w:rPr>
          <w:rFonts w:hint="eastAsia" w:ascii="宋体" w:hAnsi="宋体" w:eastAsia="宋体" w:cs="宋体"/>
          <w:bCs w:val="0"/>
          <w:color w:val="000000" w:themeColor="text1"/>
          <w:sz w:val="24"/>
          <w:szCs w:val="24"/>
          <w14:textFill>
            <w14:solidFill>
              <w14:schemeClr w14:val="tx1"/>
            </w14:solidFill>
          </w14:textFill>
        </w:rPr>
        <w:t xml:space="preserve">7. </w:t>
      </w:r>
      <w:bookmarkEnd w:id="163"/>
      <w:bookmarkEnd w:id="164"/>
      <w:bookmarkEnd w:id="165"/>
      <w:bookmarkEnd w:id="166"/>
      <w:r>
        <w:rPr>
          <w:rFonts w:hint="eastAsia" w:ascii="宋体" w:hAnsi="宋体" w:eastAsia="宋体" w:cs="宋体"/>
          <w:color w:val="000000" w:themeColor="text1"/>
          <w:sz w:val="24"/>
          <w:szCs w:val="24"/>
          <w14:textFill>
            <w14:solidFill>
              <w14:schemeClr w14:val="tx1"/>
            </w14:solidFill>
          </w14:textFill>
        </w:rPr>
        <w:t>评标专家在</w:t>
      </w:r>
      <w:r>
        <w:rPr>
          <w:rFonts w:hint="eastAsia" w:ascii="宋体" w:hAnsi="宋体" w:eastAsia="宋体" w:cs="宋体"/>
          <w:color w:val="000000" w:themeColor="text1"/>
          <w:sz w:val="24"/>
          <w14:textFill>
            <w14:solidFill>
              <w14:schemeClr w14:val="tx1"/>
            </w14:solidFill>
          </w14:textFill>
        </w:rPr>
        <w:t>政府采购活动</w:t>
      </w:r>
      <w:r>
        <w:rPr>
          <w:rFonts w:hint="eastAsia" w:ascii="宋体" w:hAnsi="宋体" w:eastAsia="宋体" w:cs="宋体"/>
          <w:color w:val="000000" w:themeColor="text1"/>
          <w:sz w:val="24"/>
          <w:szCs w:val="24"/>
          <w14:textFill>
            <w14:solidFill>
              <w14:schemeClr w14:val="tx1"/>
            </w14:solidFill>
          </w14:textFill>
        </w:rPr>
        <w:t>中承担以下义务：</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（一）遵守评审工作纪律； </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（二）按照客观、公正、审慎的原则，根据采购文件规定的评审程序、评审方法和评审标准进行独立评审；</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（三）不得泄露评审文件、评审情况和在评审过程中获悉的商业秘密；</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（四）及时向监督部门报告评审过程中采购组织单位向评审专家做倾向性、误导性的解释或者说明，供应商行贿、提供虚假材料或者串通、受到的非法干预情况等违法违规行为；</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（五）发现采购文件内容违反国家有关强制性规定或者存在歧义、重大缺陷导致评审工作无法进行时，停止评审并向采购组织单位书面说明情况；</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（六）配合答复处理供应商的询问、质疑和投诉等事项；</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（七）法律、法规和规章规定的其他义务。</w:t>
      </w:r>
    </w:p>
    <w:p>
      <w:pPr>
        <w:pStyle w:val="6"/>
        <w:spacing w:line="400" w:lineRule="exact"/>
        <w:ind w:firstLine="482" w:firstLineChars="200"/>
        <w:rPr>
          <w:rFonts w:ascii="宋体" w:hAnsi="宋体" w:eastAsia="宋体" w:cs="宋体"/>
          <w:bCs w:val="0"/>
          <w:color w:val="000000" w:themeColor="text1"/>
          <w:sz w:val="24"/>
          <w:szCs w:val="24"/>
          <w14:textFill>
            <w14:solidFill>
              <w14:schemeClr w14:val="tx1"/>
            </w14:solidFill>
          </w14:textFill>
        </w:rPr>
      </w:pPr>
      <w:r>
        <w:rPr>
          <w:rFonts w:hint="eastAsia" w:ascii="宋体" w:hAnsi="宋体" w:eastAsia="宋体" w:cs="宋体"/>
          <w:bCs w:val="0"/>
          <w:color w:val="000000" w:themeColor="text1"/>
          <w:sz w:val="24"/>
          <w:szCs w:val="24"/>
          <w14:textFill>
            <w14:solidFill>
              <w14:schemeClr w14:val="tx1"/>
            </w14:solidFill>
          </w14:textFill>
        </w:rPr>
        <w:t>8.</w:t>
      </w:r>
      <w:r>
        <w:rPr>
          <w:rFonts w:ascii="宋体" w:hAnsi="宋体" w:eastAsia="宋体" w:cs="宋体"/>
          <w:bCs w:val="0"/>
          <w:color w:val="000000" w:themeColor="text1"/>
          <w:sz w:val="24"/>
          <w:szCs w:val="24"/>
          <w14:textFill>
            <w14:solidFill>
              <w14:schemeClr w14:val="tx1"/>
            </w14:solidFill>
          </w14:textFill>
        </w:rPr>
        <w:t xml:space="preserve"> </w:t>
      </w:r>
      <w:r>
        <w:rPr>
          <w:rFonts w:hint="eastAsia" w:ascii="宋体" w:hAnsi="宋体" w:eastAsia="宋体" w:cs="宋体"/>
          <w:bCs w:val="0"/>
          <w:color w:val="000000" w:themeColor="text1"/>
          <w:sz w:val="24"/>
          <w:szCs w:val="24"/>
          <w14:textFill>
            <w14:solidFill>
              <w14:schemeClr w14:val="tx1"/>
            </w14:solidFill>
          </w14:textFill>
        </w:rPr>
        <w:t>评标专家在政府采购活动中应当遵守以下工作纪律：</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（一）遵行《政府采购法》第十二条和《政府采购法实施条例》第九条及财政部关于回避的规定。</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（二）评标前，应当将通讯工具或者相关电子设备交由招标采购单位统一保管。</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（三）评标过程中，不得与外界联系，因发生不可预见情况，确实需要与外界联系的，应当在监督人员监督之下办理。</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（五）在评标过程中和评标结束后，不得记录、复制或带走任何评标资料，除因规定的义务外，不得向外界透露评标内容。</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（六）服从评标现场招标采购单位的现场秩序管理，接受评标现场监督人员的合法监督。</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（七）遵守有关廉洁自律规定，不得私下接触供应商，不得收受供应商及有关业务单位和个人的财物或好处，不得接受采购组织单位的请托。</w:t>
      </w:r>
    </w:p>
    <w:p>
      <w:pPr>
        <w:pStyle w:val="4"/>
        <w:spacing w:line="400" w:lineRule="exact"/>
        <w:rPr>
          <w:rFonts w:ascii="宋体" w:hAnsi="宋体" w:cs="宋体"/>
          <w:color w:val="000000" w:themeColor="text1"/>
          <w:sz w:val="36"/>
          <w:szCs w:val="36"/>
          <w14:textFill>
            <w14:solidFill>
              <w14:schemeClr w14:val="tx1"/>
            </w14:solidFill>
          </w14:textFill>
        </w:rPr>
      </w:pPr>
      <w:bookmarkStart w:id="167" w:name="_Toc23042"/>
      <w:r>
        <w:rPr>
          <w:rFonts w:hint="eastAsia" w:ascii="宋体" w:hAnsi="宋体" w:cs="宋体"/>
          <w:color w:val="000000" w:themeColor="text1"/>
          <w:sz w:val="36"/>
          <w:szCs w:val="36"/>
          <w14:textFill>
            <w14:solidFill>
              <w14:schemeClr w14:val="tx1"/>
            </w14:solidFill>
          </w14:textFill>
        </w:rPr>
        <w:br w:type="page"/>
      </w:r>
      <w:bookmarkStart w:id="168" w:name="_Toc82010462"/>
      <w:r>
        <w:rPr>
          <w:rFonts w:hint="eastAsia" w:ascii="宋体" w:hAnsi="宋体" w:cs="宋体"/>
          <w:color w:val="000000" w:themeColor="text1"/>
          <w:sz w:val="36"/>
          <w:szCs w:val="36"/>
          <w14:textFill>
            <w14:solidFill>
              <w14:schemeClr w14:val="tx1"/>
            </w14:solidFill>
          </w14:textFill>
        </w:rPr>
        <w:t>第八章  政府采购合同</w:t>
      </w:r>
      <w:bookmarkEnd w:id="167"/>
      <w:bookmarkEnd w:id="168"/>
    </w:p>
    <w:bookmarkEnd w:id="31"/>
    <w:p>
      <w:pPr>
        <w:spacing w:line="360" w:lineRule="auto"/>
        <w:jc w:val="left"/>
        <w:rPr>
          <w:rFonts w:ascii="宋体" w:hAnsi="宋体" w:cs="宋体"/>
          <w:color w:val="000000" w:themeColor="text1"/>
          <w:sz w:val="24"/>
          <w14:textFill>
            <w14:solidFill>
              <w14:schemeClr w14:val="tx1"/>
            </w14:solidFill>
          </w14:textFill>
        </w:rPr>
      </w:pPr>
    </w:p>
    <w:p>
      <w:pPr>
        <w:pStyle w:val="2"/>
        <w:rPr>
          <w:color w:val="000000" w:themeColor="text1"/>
          <w14:textFill>
            <w14:solidFill>
              <w14:schemeClr w14:val="tx1"/>
            </w14:solidFill>
          </w14:textFill>
        </w:rPr>
      </w:pPr>
    </w:p>
    <w:p>
      <w:pPr>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项目名称：成都市国土空间规划年度城市体检评估采购项目</w:t>
      </w:r>
    </w:p>
    <w:p>
      <w:pPr>
        <w:spacing w:line="360" w:lineRule="auto"/>
        <w:jc w:val="center"/>
        <w:rPr>
          <w:rFonts w:ascii="宋体" w:hAnsi="宋体" w:cs="宋体"/>
          <w:color w:val="000000" w:themeColor="text1"/>
          <w:sz w:val="24"/>
          <w14:textFill>
            <w14:solidFill>
              <w14:schemeClr w14:val="tx1"/>
            </w14:solidFill>
          </w14:textFill>
        </w:rPr>
      </w:pPr>
    </w:p>
    <w:p>
      <w:pPr>
        <w:autoSpaceDE w:val="0"/>
        <w:autoSpaceDN w:val="0"/>
        <w:adjustRightInd w:val="0"/>
        <w:spacing w:line="360" w:lineRule="auto"/>
        <w:ind w:right="1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项目地点：成都市</w:t>
      </w:r>
    </w:p>
    <w:p>
      <w:pPr>
        <w:spacing w:line="360" w:lineRule="auto"/>
        <w:rPr>
          <w:rFonts w:ascii="宋体" w:hAnsi="宋体" w:cs="宋体"/>
          <w:color w:val="000000" w:themeColor="text1"/>
          <w:sz w:val="24"/>
          <w14:textFill>
            <w14:solidFill>
              <w14:schemeClr w14:val="tx1"/>
            </w14:solidFill>
          </w14:textFill>
        </w:rPr>
      </w:pPr>
    </w:p>
    <w:p>
      <w:pPr>
        <w:spacing w:line="360" w:lineRule="auto"/>
        <w:rPr>
          <w:rFonts w:ascii="宋体" w:hAnsi="宋体" w:cs="宋体"/>
          <w:color w:val="000000" w:themeColor="text1"/>
          <w:sz w:val="24"/>
          <w14:textFill>
            <w14:solidFill>
              <w14:schemeClr w14:val="tx1"/>
            </w14:solidFill>
          </w14:textFill>
        </w:rPr>
      </w:pPr>
    </w:p>
    <w:p>
      <w:pPr>
        <w:pStyle w:val="2"/>
        <w:rPr>
          <w:rFonts w:ascii="宋体" w:hAnsi="宋体" w:cs="宋体"/>
          <w:color w:val="000000" w:themeColor="text1"/>
          <w:sz w:val="24"/>
          <w14:textFill>
            <w14:solidFill>
              <w14:schemeClr w14:val="tx1"/>
            </w14:solidFill>
          </w14:textFill>
        </w:rPr>
      </w:pPr>
    </w:p>
    <w:p>
      <w:pPr>
        <w:pStyle w:val="3"/>
        <w:rPr>
          <w:rFonts w:cs="宋体"/>
          <w:color w:val="000000" w:themeColor="text1"/>
          <w:szCs w:val="24"/>
          <w14:textFill>
            <w14:solidFill>
              <w14:schemeClr w14:val="tx1"/>
            </w14:solidFill>
          </w14:textFill>
        </w:rPr>
      </w:pPr>
    </w:p>
    <w:p>
      <w:pPr>
        <w:pStyle w:val="3"/>
        <w:rPr>
          <w:rFonts w:cs="宋体"/>
          <w:color w:val="000000" w:themeColor="text1"/>
          <w:szCs w:val="24"/>
          <w14:textFill>
            <w14:solidFill>
              <w14:schemeClr w14:val="tx1"/>
            </w14:solidFill>
          </w14:textFill>
        </w:rPr>
      </w:pPr>
    </w:p>
    <w:p>
      <w:pPr>
        <w:pStyle w:val="3"/>
        <w:rPr>
          <w:rFonts w:cs="宋体"/>
          <w:color w:val="000000" w:themeColor="text1"/>
          <w:szCs w:val="24"/>
          <w14:textFill>
            <w14:solidFill>
              <w14:schemeClr w14:val="tx1"/>
            </w14:solidFill>
          </w14:textFill>
        </w:rPr>
      </w:pPr>
    </w:p>
    <w:p>
      <w:pPr>
        <w:pStyle w:val="3"/>
        <w:rPr>
          <w:rFonts w:cs="宋体"/>
          <w:color w:val="000000" w:themeColor="text1"/>
          <w:szCs w:val="24"/>
          <w14:textFill>
            <w14:solidFill>
              <w14:schemeClr w14:val="tx1"/>
            </w14:solidFill>
          </w14:textFill>
        </w:rPr>
      </w:pPr>
    </w:p>
    <w:p>
      <w:pPr>
        <w:pStyle w:val="3"/>
        <w:rPr>
          <w:rFonts w:cs="宋体"/>
          <w:color w:val="000000" w:themeColor="text1"/>
          <w:szCs w:val="24"/>
          <w14:textFill>
            <w14:solidFill>
              <w14:schemeClr w14:val="tx1"/>
            </w14:solidFill>
          </w14:textFill>
        </w:rPr>
      </w:pPr>
    </w:p>
    <w:p>
      <w:pPr>
        <w:pStyle w:val="3"/>
        <w:rPr>
          <w:rFonts w:cs="宋体"/>
          <w:color w:val="000000" w:themeColor="text1"/>
          <w:szCs w:val="24"/>
          <w14:textFill>
            <w14:solidFill>
              <w14:schemeClr w14:val="tx1"/>
            </w14:solidFill>
          </w14:textFill>
        </w:rPr>
      </w:pP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委 托 方： </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（甲方）  </w:t>
      </w:r>
    </w:p>
    <w:p>
      <w:pPr>
        <w:spacing w:line="360" w:lineRule="auto"/>
        <w:rPr>
          <w:rFonts w:ascii="宋体" w:hAnsi="宋体" w:cs="宋体"/>
          <w:color w:val="000000" w:themeColor="text1"/>
          <w:sz w:val="24"/>
          <w14:textFill>
            <w14:solidFill>
              <w14:schemeClr w14:val="tx1"/>
            </w14:solidFill>
          </w14:textFill>
        </w:rPr>
      </w:pPr>
    </w:p>
    <w:p>
      <w:pPr>
        <w:spacing w:line="360" w:lineRule="auto"/>
        <w:rPr>
          <w:rFonts w:ascii="宋体" w:hAnsi="宋体" w:cs="宋体"/>
          <w:color w:val="000000" w:themeColor="text1"/>
          <w:sz w:val="24"/>
          <w14:textFill>
            <w14:solidFill>
              <w14:schemeClr w14:val="tx1"/>
            </w14:solidFill>
          </w14:textFill>
        </w:rPr>
      </w:pP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规划设计方： </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w:t>
      </w:r>
    </w:p>
    <w:p>
      <w:pPr>
        <w:spacing w:line="360" w:lineRule="auto"/>
        <w:rPr>
          <w:rFonts w:ascii="宋体" w:hAnsi="宋体" w:cs="宋体"/>
          <w:color w:val="000000" w:themeColor="text1"/>
          <w:sz w:val="24"/>
          <w14:textFill>
            <w14:solidFill>
              <w14:schemeClr w14:val="tx1"/>
            </w14:solidFill>
          </w14:textFill>
        </w:rPr>
      </w:pPr>
    </w:p>
    <w:p>
      <w:pPr>
        <w:tabs>
          <w:tab w:val="left" w:pos="5565"/>
        </w:tabs>
        <w:snapToGrid w:val="0"/>
        <w:spacing w:line="360" w:lineRule="auto"/>
        <w:rPr>
          <w:rFonts w:ascii="宋体" w:hAnsi="宋体" w:cs="宋体"/>
          <w:color w:val="000000" w:themeColor="text1"/>
          <w:sz w:val="24"/>
          <w14:textFill>
            <w14:solidFill>
              <w14:schemeClr w14:val="tx1"/>
            </w14:solidFill>
          </w14:textFill>
        </w:rPr>
      </w:pPr>
    </w:p>
    <w:p>
      <w:pPr>
        <w:tabs>
          <w:tab w:val="left" w:pos="5565"/>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签订地点：成都市</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项目名称（以下简称项目）：成都市国土空间规划年度城市体检评估采购项目</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委托单位（以下简称甲方）： </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设计单位（以下简称乙方）： </w:t>
      </w:r>
    </w:p>
    <w:p>
      <w:pPr>
        <w:spacing w:line="360" w:lineRule="auto"/>
        <w:ind w:firstLine="480" w:firstLineChars="200"/>
        <w:jc w:val="left"/>
        <w:rPr>
          <w:rFonts w:ascii="宋体" w:hAnsi="宋体" w:cs="宋体"/>
          <w:color w:val="000000" w:themeColor="text1"/>
          <w:sz w:val="24"/>
          <w14:textFill>
            <w14:solidFill>
              <w14:schemeClr w14:val="tx1"/>
            </w14:solidFill>
          </w14:textFill>
        </w:rPr>
      </w:pP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甲方委托乙方承担成都市国土空间规划年度城市体检评估采购项目编制服务，经双方协商一致，签订本合同。</w:t>
      </w:r>
    </w:p>
    <w:p>
      <w:pPr>
        <w:spacing w:line="360" w:lineRule="auto"/>
        <w:ind w:right="-100"/>
        <w:outlineLvl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第一条  本合同签订依据</w:t>
      </w:r>
    </w:p>
    <w:p>
      <w:pPr>
        <w:spacing w:line="360" w:lineRule="auto"/>
        <w:ind w:right="-100" w:firstLine="57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 《中华人民共和国民法典》、《中华人民共和国城乡规划法》。</w:t>
      </w:r>
    </w:p>
    <w:p>
      <w:pPr>
        <w:spacing w:line="360" w:lineRule="auto"/>
        <w:ind w:right="-100" w:firstLine="57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 国家及地方有关城市规划设计管理法规和规章。</w:t>
      </w:r>
    </w:p>
    <w:p>
      <w:pPr>
        <w:spacing w:line="360" w:lineRule="auto"/>
        <w:ind w:right="-100"/>
        <w:outlineLvl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第二条  甲方向乙方提供的技术资料和工作条件</w:t>
      </w:r>
    </w:p>
    <w:p>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本项目甲方协助乙方收集主要技术资料，且乙方可在项目内对其进行复制和使用，技术资料根据沟通协调会确定。</w:t>
      </w:r>
    </w:p>
    <w:p>
      <w:pPr>
        <w:pStyle w:val="19"/>
        <w:spacing w:line="380" w:lineRule="exact"/>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第三条 工作内容</w:t>
      </w:r>
    </w:p>
    <w:p>
      <w:pPr>
        <w:pStyle w:val="2"/>
        <w:spacing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贯彻落实《中共中央国务院关于建立国土空间规划体系并监督实施的若干意见》和“健全规划实时监测、定期评估、动态维护制度，建立城市体检评估机制”的指示精神，依据《中华人民共和国城乡规划法》《中华人民共和国土地管理法》等法律，自然资源部制定并发布了《国土空间规划城市体检评估规程》（以下简称《规程》），按照《自然资源部办公厅关于认真抓好&lt;国土空间规划城市体检评估规程&gt;贯彻落实工作的通知》（自然资办发﹝2021﹞55号）以及“一年一体检、五年一评估”工作要求，成都作为原国务院审批城市总体规划、土地利用总体规划的城市，需按要求于2021年、2022年、2023年分别开展2020年、2021年、2022年度城市体检评估工作。</w:t>
      </w:r>
    </w:p>
    <w:p>
      <w:pPr>
        <w:spacing w:line="360" w:lineRule="auto"/>
        <w:ind w:firstLine="482" w:firstLineChars="200"/>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1、工作范围及年限</w:t>
      </w:r>
    </w:p>
    <w:p>
      <w:pPr>
        <w:pStyle w:val="2"/>
        <w:spacing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本次工作范围为成都市全域，总面积为14335平方公里，其中城区为按照自然资源部要求确定的城区范围。</w:t>
      </w:r>
    </w:p>
    <w:p>
      <w:pPr>
        <w:pStyle w:val="2"/>
        <w:spacing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工作开展年份为2021年、2022年、2023年，评估年限分别为2020年、2021年、2022年。</w:t>
      </w:r>
    </w:p>
    <w:p>
      <w:pPr>
        <w:spacing w:line="360" w:lineRule="auto"/>
        <w:ind w:firstLine="482" w:firstLineChars="200"/>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2、成果质量要求</w:t>
      </w:r>
    </w:p>
    <w:p>
      <w:pPr>
        <w:pStyle w:val="2"/>
        <w:spacing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按照自然资源部关于开展城市体检评估以及《规程》的最新要求，成都市年度城市体检评估工作应包括以下工作内容：</w:t>
      </w:r>
    </w:p>
    <w:p>
      <w:pPr>
        <w:pStyle w:val="2"/>
        <w:spacing w:line="50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(1)细化体检评估维度。</w:t>
      </w:r>
      <w:r>
        <w:rPr>
          <w:rFonts w:hint="eastAsia" w:ascii="宋体" w:hAnsi="宋体" w:cs="宋体"/>
          <w:color w:val="000000" w:themeColor="text1"/>
          <w:sz w:val="24"/>
          <w14:textFill>
            <w14:solidFill>
              <w14:schemeClr w14:val="tx1"/>
            </w14:solidFill>
          </w14:textFill>
        </w:rPr>
        <w:t>结合《规程》对体检评估内容的要求与成都具体情况，重点围绕战略定位、底线管控、规模结构、空间布局、支撑体系、实施保障六个维度开展评估。</w:t>
      </w:r>
    </w:p>
    <w:p>
      <w:pPr>
        <w:pStyle w:val="2"/>
        <w:spacing w:line="500" w:lineRule="exact"/>
        <w:ind w:firstLine="482" w:firstLineChars="200"/>
        <w:rPr>
          <w:rFonts w:ascii="宋体" w:hAnsi="宋体" w:cs="宋体"/>
          <w:bCs/>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(2)构建体检评估指标体系。</w:t>
      </w:r>
      <w:r>
        <w:rPr>
          <w:rFonts w:hint="eastAsia" w:ascii="宋体" w:hAnsi="宋体" w:cs="宋体"/>
          <w:bCs/>
          <w:color w:val="000000" w:themeColor="text1"/>
          <w:sz w:val="24"/>
          <w14:textFill>
            <w14:solidFill>
              <w14:schemeClr w14:val="tx1"/>
            </w14:solidFill>
          </w14:textFill>
        </w:rPr>
        <w:t>在落实《规程》要求的基本指标和国务院审批城市的必选指标基础上，结合成都国家责任与自身特色，并延续历年年度体检评估特色指标，构建符合评估要求又体现成都建设践行新发展理念的公园城市示范区特色的体检评估指标体系。</w:t>
      </w:r>
    </w:p>
    <w:p>
      <w:pPr>
        <w:pStyle w:val="2"/>
        <w:spacing w:line="50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（3）开展体检评估分析。</w:t>
      </w:r>
      <w:r>
        <w:rPr>
          <w:rFonts w:hint="eastAsia" w:ascii="宋体" w:hAnsi="宋体" w:cs="宋体"/>
          <w:color w:val="000000" w:themeColor="text1"/>
          <w:sz w:val="24"/>
          <w14:textFill>
            <w14:solidFill>
              <w14:schemeClr w14:val="tx1"/>
            </w14:solidFill>
          </w14:textFill>
        </w:rPr>
        <w:t>采取历年趋势、横向城市对比等方法，依托第三次全国国土调查数据及变更调查数据，适当结合手机信令、POI等大数据，围绕战略定位、底线管控、规模结构、空间布局、支撑体系、实施保障六大维度进行体检评估分析，并明确各个维度的成效及问题。</w:t>
      </w:r>
    </w:p>
    <w:p>
      <w:pPr>
        <w:pStyle w:val="2"/>
        <w:spacing w:line="50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（4）明确年度体检评估问题的整改落实情况。</w:t>
      </w:r>
      <w:r>
        <w:rPr>
          <w:rFonts w:hint="eastAsia" w:ascii="宋体" w:hAnsi="宋体" w:cs="宋体"/>
          <w:color w:val="000000" w:themeColor="text1"/>
          <w:sz w:val="24"/>
          <w14:textFill>
            <w14:solidFill>
              <w14:schemeClr w14:val="tx1"/>
            </w14:solidFill>
          </w14:textFill>
        </w:rPr>
        <w:t>聚焦上一年度体检评估识别的安全底线、规模结构、空间布局、城市竞争力、城市品质以及实施政策六大问题短板，对评估年度成都市针对性开展整治提升行动的成效进行梳理和评估。</w:t>
      </w:r>
    </w:p>
    <w:p>
      <w:pPr>
        <w:pStyle w:val="2"/>
        <w:spacing w:line="500" w:lineRule="exact"/>
        <w:ind w:firstLine="482" w:firstLineChars="200"/>
        <w:rPr>
          <w:rFonts w:ascii="宋体" w:hAnsi="宋体" w:cs="宋体"/>
          <w:color w:val="000000" w:themeColor="text1"/>
          <w14:textFill>
            <w14:solidFill>
              <w14:schemeClr w14:val="tx1"/>
            </w14:solidFill>
          </w14:textFill>
        </w:rPr>
      </w:pPr>
      <w:r>
        <w:rPr>
          <w:rFonts w:hint="eastAsia" w:ascii="宋体" w:hAnsi="宋体" w:cs="宋体"/>
          <w:b/>
          <w:color w:val="000000" w:themeColor="text1"/>
          <w:sz w:val="24"/>
          <w14:textFill>
            <w14:solidFill>
              <w14:schemeClr w14:val="tx1"/>
            </w14:solidFill>
          </w14:textFill>
        </w:rPr>
        <w:t>（5）提出对策建议</w:t>
      </w:r>
      <w:r>
        <w:rPr>
          <w:rFonts w:hint="eastAsia" w:ascii="宋体" w:hAnsi="宋体" w:cs="宋体"/>
          <w:color w:val="000000" w:themeColor="text1"/>
          <w:sz w:val="24"/>
          <w14:textFill>
            <w14:solidFill>
              <w14:schemeClr w14:val="tx1"/>
            </w14:solidFill>
          </w14:textFill>
        </w:rPr>
        <w:t>。针对体检评估识别出的问题，结合国土空间规划面临的新形势和新要求，对标新理念、新需求，重点聚焦战略定位、底线管控、规模结构、空间布局、支撑体系、实施保障六个维度，针对性提出对策建议。</w:t>
      </w:r>
    </w:p>
    <w:p>
      <w:pPr>
        <w:spacing w:line="360" w:lineRule="auto"/>
        <w:ind w:firstLine="482" w:firstLineChars="200"/>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3、成果要求</w:t>
      </w:r>
    </w:p>
    <w:p>
      <w:pPr>
        <w:pStyle w:val="2"/>
        <w:spacing w:line="50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（1）成果内容：</w:t>
      </w:r>
      <w:r>
        <w:rPr>
          <w:rFonts w:hint="eastAsia" w:ascii="宋体" w:hAnsi="宋体" w:cs="宋体"/>
          <w:color w:val="000000" w:themeColor="text1"/>
          <w:sz w:val="24"/>
          <w14:textFill>
            <w14:solidFill>
              <w14:schemeClr w14:val="tx1"/>
            </w14:solidFill>
          </w14:textFill>
        </w:rPr>
        <w:t>成都市国土空间规划城市体检评估成果包含年度体检评估报告与附件。</w:t>
      </w:r>
      <w:r>
        <w:rPr>
          <w:rFonts w:hint="eastAsia" w:ascii="宋体" w:hAnsi="宋体" w:cs="宋体"/>
          <w:b/>
          <w:color w:val="000000" w:themeColor="text1"/>
          <w:sz w:val="24"/>
          <w14:textFill>
            <w14:solidFill>
              <w14:schemeClr w14:val="tx1"/>
            </w14:solidFill>
          </w14:textFill>
        </w:rPr>
        <w:t>年度体检评估报告，</w:t>
      </w:r>
      <w:r>
        <w:rPr>
          <w:rFonts w:hint="eastAsia" w:ascii="宋体" w:hAnsi="宋体" w:cs="宋体"/>
          <w:color w:val="000000" w:themeColor="text1"/>
          <w:sz w:val="24"/>
          <w14:textFill>
            <w14:solidFill>
              <w14:schemeClr w14:val="tx1"/>
            </w14:solidFill>
          </w14:textFill>
        </w:rPr>
        <w:t>包括评估维度及指标体系、体检评估分析、上一年度体检评估问题的整改落实情况、对策建议等方面内容。</w:t>
      </w:r>
      <w:r>
        <w:rPr>
          <w:rFonts w:hint="eastAsia" w:ascii="宋体" w:hAnsi="宋体" w:cs="宋体"/>
          <w:b/>
          <w:color w:val="000000" w:themeColor="text1"/>
          <w:sz w:val="24"/>
          <w14:textFill>
            <w14:solidFill>
              <w14:schemeClr w14:val="tx1"/>
            </w14:solidFill>
          </w14:textFill>
        </w:rPr>
        <w:t>附件，</w:t>
      </w:r>
      <w:r>
        <w:rPr>
          <w:rFonts w:hint="eastAsia" w:ascii="宋体" w:hAnsi="宋体" w:cs="宋体"/>
          <w:color w:val="000000" w:themeColor="text1"/>
          <w:sz w:val="24"/>
          <w14:textFill>
            <w14:solidFill>
              <w14:schemeClr w14:val="tx1"/>
            </w14:solidFill>
          </w14:textFill>
        </w:rPr>
        <w:t>包括①城市体检指标表，含指标类型、范围、数据来源等；②年度规划实施分析图，含生态保护红线、消防救援5分钟可达覆盖率、标准化菜市场（生鲜超市）步行10分钟覆盖率、市区级医院2公里覆盖率等分析图；③年度体检基础数据库建设情况说明，含体检评估基础数据库建设情况、数据收集情况、数据支撑体检评估工作情况等说明。</w:t>
      </w:r>
    </w:p>
    <w:p>
      <w:pPr>
        <w:spacing w:line="360" w:lineRule="auto"/>
        <w:ind w:firstLine="420"/>
        <w:jc w:val="left"/>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（2）交付形式：</w:t>
      </w:r>
      <w:r>
        <w:rPr>
          <w:rFonts w:hint="eastAsia" w:ascii="宋体" w:hAnsi="宋体" w:cs="宋体"/>
          <w:color w:val="000000" w:themeColor="text1"/>
          <w:sz w:val="24"/>
          <w14:textFill>
            <w14:solidFill>
              <w14:schemeClr w14:val="tx1"/>
            </w14:solidFill>
          </w14:textFill>
        </w:rPr>
        <w:t>纸质体检评估报告及附件一式六份，刻录光盘两张。</w:t>
      </w:r>
    </w:p>
    <w:p>
      <w:pPr>
        <w:spacing w:line="360" w:lineRule="auto"/>
        <w:ind w:firstLine="482" w:firstLineChars="200"/>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4、进度安排</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自合同签字生效之日起1个月内通过专家审查会并提交送审成果，通过专家审查会后1</w:t>
      </w:r>
      <w:r>
        <w:rPr>
          <w:rFonts w:ascii="宋体" w:hAnsi="宋体" w:cs="宋体"/>
          <w:bCs/>
          <w:color w:val="000000" w:themeColor="text1"/>
          <w:sz w:val="24"/>
          <w14:textFill>
            <w14:solidFill>
              <w14:schemeClr w14:val="tx1"/>
            </w14:solidFill>
          </w14:textFill>
        </w:rPr>
        <w:t>5</w:t>
      </w:r>
      <w:r>
        <w:rPr>
          <w:rFonts w:hint="eastAsia" w:ascii="宋体" w:hAnsi="宋体" w:cs="宋体"/>
          <w:bCs/>
          <w:color w:val="000000" w:themeColor="text1"/>
          <w:sz w:val="24"/>
          <w14:textFill>
            <w14:solidFill>
              <w14:schemeClr w14:val="tx1"/>
            </w14:solidFill>
          </w14:textFill>
        </w:rPr>
        <w:t>个工作日内根据专家审查意见或建议进行修改完善并提交正式成果通过履约验收会，通过履约验收会的视为乙方交付合格。签订合同后，非因甲方原因，乙方不得推迟或延误验收时间，否则，按乙方逾期交付承担由乙方向甲方支付合同总价款3</w:t>
      </w:r>
      <w:r>
        <w:rPr>
          <w:rFonts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每日的违约金的责任，逾期达1</w:t>
      </w:r>
      <w:r>
        <w:rPr>
          <w:rFonts w:ascii="宋体" w:hAnsi="宋体" w:cs="宋体"/>
          <w:bCs/>
          <w:color w:val="000000" w:themeColor="text1"/>
          <w:sz w:val="24"/>
          <w14:textFill>
            <w14:solidFill>
              <w14:schemeClr w14:val="tx1"/>
            </w14:solidFill>
          </w14:textFill>
        </w:rPr>
        <w:t>0</w:t>
      </w:r>
      <w:r>
        <w:rPr>
          <w:rFonts w:hint="eastAsia" w:ascii="宋体" w:hAnsi="宋体" w:cs="宋体"/>
          <w:bCs/>
          <w:color w:val="000000" w:themeColor="text1"/>
          <w:sz w:val="24"/>
          <w14:textFill>
            <w14:solidFill>
              <w14:schemeClr w14:val="tx1"/>
            </w14:solidFill>
          </w14:textFill>
        </w:rPr>
        <w:t>日的，甲方有权单方面解除合同。如遇不可抗力原因造成工作延误，经合同双方同意，合同约定时间可自然顺延，或重新约定。</w:t>
      </w:r>
    </w:p>
    <w:p>
      <w:pPr>
        <w:pStyle w:val="4"/>
        <w:spacing w:before="0" w:after="0" w:line="360" w:lineRule="auto"/>
        <w:jc w:val="both"/>
        <w:rPr>
          <w:rFonts w:ascii="宋体" w:hAnsi="宋体" w:cs="宋体"/>
          <w:b w:val="0"/>
          <w:color w:val="000000" w:themeColor="text1"/>
          <w:kern w:val="0"/>
          <w:sz w:val="24"/>
          <w:szCs w:val="24"/>
          <w14:textFill>
            <w14:solidFill>
              <w14:schemeClr w14:val="tx1"/>
            </w14:solidFill>
          </w14:textFill>
        </w:rPr>
      </w:pPr>
      <w:r>
        <w:rPr>
          <w:rFonts w:hint="eastAsia" w:ascii="宋体" w:hAnsi="宋体" w:cs="宋体"/>
          <w:b w:val="0"/>
          <w:color w:val="000000" w:themeColor="text1"/>
          <w:kern w:val="0"/>
          <w:sz w:val="24"/>
          <w:szCs w:val="24"/>
          <w14:textFill>
            <w14:solidFill>
              <w14:schemeClr w14:val="tx1"/>
            </w14:solidFill>
          </w14:textFill>
        </w:rPr>
        <w:t>第四条  报酬及支付方式</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4.1 服务费用：</w:t>
      </w:r>
    </w:p>
    <w:p>
      <w:pPr>
        <w:pStyle w:val="71"/>
        <w:spacing w:line="360" w:lineRule="auto"/>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甲方向乙方支付本项目服务费为¥</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元（大写：人民币</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元整）。该费用包含乙方履行本合同项下义务的所有费用及税金，除双方另有约定外，甲方不再向乙方支付任何其他费用。</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4.2乙方应于甲方付款前向甲方提交合法、有效的完税发票，否则，甲方有权暂缓付款且不因此承担违约责任，乙方不得以此为由拒绝履行合同义务。</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4.3服务费支付方法：</w:t>
      </w:r>
    </w:p>
    <w:tbl>
      <w:tblPr>
        <w:tblStyle w:val="28"/>
        <w:tblW w:w="9435" w:type="dxa"/>
        <w:jc w:val="center"/>
        <w:tblCellSpacing w:w="0" w:type="dxa"/>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Layout w:type="fixed"/>
        <w:tblCellMar>
          <w:top w:w="45" w:type="dxa"/>
          <w:left w:w="45" w:type="dxa"/>
          <w:bottom w:w="45" w:type="dxa"/>
          <w:right w:w="45" w:type="dxa"/>
        </w:tblCellMar>
      </w:tblPr>
      <w:tblGrid>
        <w:gridCol w:w="1341"/>
        <w:gridCol w:w="2374"/>
        <w:gridCol w:w="1920"/>
        <w:gridCol w:w="3800"/>
      </w:tblGrid>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45" w:type="dxa"/>
            <w:left w:w="45" w:type="dxa"/>
            <w:bottom w:w="45" w:type="dxa"/>
            <w:right w:w="45" w:type="dxa"/>
          </w:tblCellMar>
        </w:tblPrEx>
        <w:trPr>
          <w:trHeight w:val="819" w:hRule="atLeast"/>
          <w:tblCellSpacing w:w="0" w:type="dxa"/>
          <w:jc w:val="center"/>
        </w:trPr>
        <w:tc>
          <w:tcPr>
            <w:tcW w:w="1341" w:type="dxa"/>
            <w:tcBorders>
              <w:top w:val="outset" w:color="CCCCCC" w:sz="6" w:space="0"/>
              <w:left w:val="outset" w:color="CCCCCC" w:sz="6" w:space="0"/>
              <w:bottom w:val="outset" w:color="CCCCCC" w:sz="6" w:space="0"/>
              <w:right w:val="outset" w:color="CCCCCC" w:sz="6" w:space="0"/>
            </w:tcBorders>
            <w:vAlign w:val="center"/>
          </w:tcPr>
          <w:p>
            <w:pPr>
              <w:pStyle w:val="72"/>
              <w:spacing w:line="460" w:lineRule="exact"/>
              <w:jc w:val="center"/>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付费次序</w:t>
            </w:r>
          </w:p>
        </w:tc>
        <w:tc>
          <w:tcPr>
            <w:tcW w:w="2374" w:type="dxa"/>
            <w:tcBorders>
              <w:top w:val="outset" w:color="CCCCCC" w:sz="6" w:space="0"/>
              <w:left w:val="outset" w:color="CCCCCC" w:sz="6" w:space="0"/>
              <w:bottom w:val="outset" w:color="CCCCCC" w:sz="6" w:space="0"/>
              <w:right w:val="outset" w:color="CCCCCC" w:sz="6" w:space="0"/>
            </w:tcBorders>
            <w:vAlign w:val="center"/>
          </w:tcPr>
          <w:p>
            <w:pPr>
              <w:pStyle w:val="72"/>
              <w:spacing w:line="460" w:lineRule="exact"/>
              <w:jc w:val="center"/>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占合同金额（％）</w:t>
            </w:r>
          </w:p>
        </w:tc>
        <w:tc>
          <w:tcPr>
            <w:tcW w:w="1920" w:type="dxa"/>
            <w:tcBorders>
              <w:top w:val="outset" w:color="CCCCCC" w:sz="6" w:space="0"/>
              <w:left w:val="outset" w:color="CCCCCC" w:sz="6" w:space="0"/>
              <w:bottom w:val="outset" w:color="CCCCCC" w:sz="6" w:space="0"/>
              <w:right w:val="outset" w:color="CCCCCC" w:sz="6" w:space="0"/>
            </w:tcBorders>
            <w:vAlign w:val="center"/>
          </w:tcPr>
          <w:p>
            <w:pPr>
              <w:pStyle w:val="72"/>
              <w:spacing w:line="460" w:lineRule="exact"/>
              <w:jc w:val="center"/>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实际付费额</w:t>
            </w:r>
          </w:p>
        </w:tc>
        <w:tc>
          <w:tcPr>
            <w:tcW w:w="3800" w:type="dxa"/>
            <w:tcBorders>
              <w:top w:val="outset" w:color="CCCCCC" w:sz="6" w:space="0"/>
              <w:left w:val="outset" w:color="CCCCCC" w:sz="6" w:space="0"/>
              <w:bottom w:val="outset" w:color="CCCCCC" w:sz="6" w:space="0"/>
              <w:right w:val="outset" w:color="CCCCCC" w:sz="6" w:space="0"/>
            </w:tcBorders>
            <w:vAlign w:val="center"/>
          </w:tcPr>
          <w:p>
            <w:pPr>
              <w:pStyle w:val="72"/>
              <w:spacing w:line="460" w:lineRule="exact"/>
              <w:jc w:val="center"/>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付费时间</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45" w:type="dxa"/>
            <w:left w:w="45" w:type="dxa"/>
            <w:bottom w:w="45" w:type="dxa"/>
            <w:right w:w="45" w:type="dxa"/>
          </w:tblCellMar>
        </w:tblPrEx>
        <w:trPr>
          <w:trHeight w:val="854" w:hRule="atLeast"/>
          <w:tblCellSpacing w:w="0" w:type="dxa"/>
          <w:jc w:val="center"/>
        </w:trPr>
        <w:tc>
          <w:tcPr>
            <w:tcW w:w="1341" w:type="dxa"/>
            <w:tcBorders>
              <w:top w:val="outset" w:color="CCCCCC" w:sz="6" w:space="0"/>
              <w:left w:val="outset" w:color="CCCCCC" w:sz="6" w:space="0"/>
              <w:bottom w:val="outset" w:color="CCCCCC" w:sz="6" w:space="0"/>
              <w:right w:val="outset" w:color="CCCCCC" w:sz="6" w:space="0"/>
            </w:tcBorders>
            <w:vAlign w:val="center"/>
          </w:tcPr>
          <w:p>
            <w:pPr>
              <w:pStyle w:val="72"/>
              <w:spacing w:line="460" w:lineRule="exact"/>
              <w:jc w:val="center"/>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第一次付款</w:t>
            </w:r>
          </w:p>
        </w:tc>
        <w:tc>
          <w:tcPr>
            <w:tcW w:w="2374" w:type="dxa"/>
            <w:tcBorders>
              <w:top w:val="outset" w:color="CCCCCC" w:sz="6" w:space="0"/>
              <w:left w:val="outset" w:color="CCCCCC" w:sz="6" w:space="0"/>
              <w:bottom w:val="outset" w:color="CCCCCC" w:sz="6" w:space="0"/>
              <w:right w:val="outset" w:color="CCCCCC" w:sz="6" w:space="0"/>
            </w:tcBorders>
            <w:vAlign w:val="center"/>
          </w:tcPr>
          <w:p>
            <w:pPr>
              <w:pStyle w:val="72"/>
              <w:spacing w:line="460" w:lineRule="exact"/>
              <w:ind w:firstLine="960" w:firstLineChars="400"/>
              <w:rPr>
                <w:rFonts w:ascii="宋体" w:hAnsi="宋体" w:cs="宋体"/>
                <w:color w:val="000000" w:themeColor="text1"/>
                <w:sz w:val="24"/>
                <w:szCs w:val="20"/>
                <w14:textFill>
                  <w14:solidFill>
                    <w14:schemeClr w14:val="tx1"/>
                  </w14:solidFill>
                </w14:textFill>
              </w:rPr>
            </w:pPr>
            <w:r>
              <w:rPr>
                <w:rFonts w:ascii="宋体" w:hAnsi="宋体" w:cs="宋体"/>
                <w:color w:val="000000" w:themeColor="text1"/>
                <w:sz w:val="24"/>
                <w:szCs w:val="20"/>
                <w14:textFill>
                  <w14:solidFill>
                    <w14:schemeClr w14:val="tx1"/>
                  </w14:solidFill>
                </w14:textFill>
              </w:rPr>
              <w:t>3</w:t>
            </w:r>
            <w:r>
              <w:rPr>
                <w:rFonts w:hint="eastAsia" w:ascii="宋体" w:hAnsi="宋体" w:cs="宋体"/>
                <w:color w:val="000000" w:themeColor="text1"/>
                <w:sz w:val="24"/>
                <w:szCs w:val="20"/>
                <w14:textFill>
                  <w14:solidFill>
                    <w14:schemeClr w14:val="tx1"/>
                  </w14:solidFill>
                </w14:textFill>
              </w:rPr>
              <w:t>0%</w:t>
            </w:r>
          </w:p>
        </w:tc>
        <w:tc>
          <w:tcPr>
            <w:tcW w:w="1920" w:type="dxa"/>
            <w:tcBorders>
              <w:top w:val="outset" w:color="CCCCCC" w:sz="6" w:space="0"/>
              <w:left w:val="outset" w:color="CCCCCC" w:sz="6" w:space="0"/>
              <w:bottom w:val="outset" w:color="CCCCCC" w:sz="6" w:space="0"/>
              <w:right w:val="outset" w:color="CCCCCC" w:sz="6" w:space="0"/>
            </w:tcBorders>
            <w:vAlign w:val="center"/>
          </w:tcPr>
          <w:p>
            <w:pPr>
              <w:pStyle w:val="72"/>
              <w:spacing w:line="460" w:lineRule="exact"/>
              <w:jc w:val="center"/>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w:t>
            </w:r>
          </w:p>
        </w:tc>
        <w:tc>
          <w:tcPr>
            <w:tcW w:w="3800" w:type="dxa"/>
            <w:tcBorders>
              <w:top w:val="outset" w:color="CCCCCC" w:sz="6" w:space="0"/>
              <w:left w:val="outset" w:color="CCCCCC" w:sz="6" w:space="0"/>
              <w:bottom w:val="outset" w:color="CCCCCC" w:sz="6" w:space="0"/>
              <w:right w:val="outset" w:color="CCCCCC" w:sz="6" w:space="0"/>
            </w:tcBorders>
            <w:vAlign w:val="center"/>
          </w:tcPr>
          <w:p>
            <w:pPr>
              <w:pStyle w:val="72"/>
              <w:spacing w:line="460" w:lineRule="exac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14:textFill>
                  <w14:solidFill>
                    <w14:schemeClr w14:val="tx1"/>
                  </w14:solidFill>
                </w14:textFill>
              </w:rPr>
              <w:t>合同签订之日起15个工作日内</w:t>
            </w:r>
          </w:p>
        </w:tc>
      </w:tr>
      <w:tr>
        <w:tblPrEx>
          <w:tblBorders>
            <w:top w:val="outset" w:color="CCCCCC" w:sz="6" w:space="0"/>
            <w:left w:val="outset" w:color="CCCCCC" w:sz="6" w:space="0"/>
            <w:bottom w:val="outset" w:color="CCCCCC" w:sz="6" w:space="0"/>
            <w:right w:val="outset" w:color="CCCCCC" w:sz="6" w:space="0"/>
            <w:insideH w:val="none" w:color="auto" w:sz="0" w:space="0"/>
            <w:insideV w:val="none" w:color="auto" w:sz="0" w:space="0"/>
          </w:tblBorders>
          <w:tblCellMar>
            <w:top w:w="45" w:type="dxa"/>
            <w:left w:w="45" w:type="dxa"/>
            <w:bottom w:w="45" w:type="dxa"/>
            <w:right w:w="45" w:type="dxa"/>
          </w:tblCellMar>
        </w:tblPrEx>
        <w:trPr>
          <w:trHeight w:val="854" w:hRule="atLeast"/>
          <w:tblCellSpacing w:w="0" w:type="dxa"/>
          <w:jc w:val="center"/>
        </w:trPr>
        <w:tc>
          <w:tcPr>
            <w:tcW w:w="1341" w:type="dxa"/>
            <w:tcBorders>
              <w:top w:val="outset" w:color="CCCCCC" w:sz="6" w:space="0"/>
              <w:left w:val="outset" w:color="CCCCCC" w:sz="6" w:space="0"/>
              <w:bottom w:val="outset" w:color="CCCCCC" w:sz="6" w:space="0"/>
              <w:right w:val="outset" w:color="CCCCCC" w:sz="6" w:space="0"/>
            </w:tcBorders>
            <w:vAlign w:val="center"/>
          </w:tcPr>
          <w:p>
            <w:pPr>
              <w:pStyle w:val="72"/>
              <w:spacing w:line="460" w:lineRule="exact"/>
              <w:jc w:val="center"/>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第二次付款</w:t>
            </w:r>
          </w:p>
        </w:tc>
        <w:tc>
          <w:tcPr>
            <w:tcW w:w="2374" w:type="dxa"/>
            <w:tcBorders>
              <w:top w:val="outset" w:color="CCCCCC" w:sz="6" w:space="0"/>
              <w:left w:val="outset" w:color="CCCCCC" w:sz="6" w:space="0"/>
              <w:bottom w:val="outset" w:color="CCCCCC" w:sz="6" w:space="0"/>
              <w:right w:val="outset" w:color="CCCCCC" w:sz="6" w:space="0"/>
            </w:tcBorders>
            <w:vAlign w:val="center"/>
          </w:tcPr>
          <w:p>
            <w:pPr>
              <w:pStyle w:val="72"/>
              <w:spacing w:line="460" w:lineRule="exact"/>
              <w:ind w:firstLine="960" w:firstLineChars="400"/>
              <w:rPr>
                <w:rFonts w:ascii="宋体" w:hAnsi="宋体" w:cs="宋体"/>
                <w:color w:val="000000" w:themeColor="text1"/>
                <w:sz w:val="24"/>
                <w:szCs w:val="20"/>
                <w14:textFill>
                  <w14:solidFill>
                    <w14:schemeClr w14:val="tx1"/>
                  </w14:solidFill>
                </w14:textFill>
              </w:rPr>
            </w:pPr>
            <w:r>
              <w:rPr>
                <w:rFonts w:ascii="宋体" w:hAnsi="宋体" w:cs="宋体"/>
                <w:color w:val="000000" w:themeColor="text1"/>
                <w:sz w:val="24"/>
                <w14:textFill>
                  <w14:solidFill>
                    <w14:schemeClr w14:val="tx1"/>
                  </w14:solidFill>
                </w14:textFill>
              </w:rPr>
              <w:t>7</w:t>
            </w:r>
            <w:r>
              <w:rPr>
                <w:rFonts w:hint="eastAsia" w:ascii="宋体" w:hAnsi="宋体" w:cs="宋体"/>
                <w:color w:val="000000" w:themeColor="text1"/>
                <w:sz w:val="24"/>
                <w14:textFill>
                  <w14:solidFill>
                    <w14:schemeClr w14:val="tx1"/>
                  </w14:solidFill>
                </w14:textFill>
              </w:rPr>
              <w:t>0%</w:t>
            </w:r>
          </w:p>
        </w:tc>
        <w:tc>
          <w:tcPr>
            <w:tcW w:w="1920" w:type="dxa"/>
            <w:tcBorders>
              <w:top w:val="outset" w:color="CCCCCC" w:sz="6" w:space="0"/>
              <w:left w:val="outset" w:color="CCCCCC" w:sz="6" w:space="0"/>
              <w:bottom w:val="outset" w:color="CCCCCC" w:sz="6" w:space="0"/>
              <w:right w:val="outset" w:color="CCCCCC" w:sz="6" w:space="0"/>
            </w:tcBorders>
            <w:vAlign w:val="center"/>
          </w:tcPr>
          <w:p>
            <w:pPr>
              <w:pStyle w:val="72"/>
              <w:spacing w:line="460" w:lineRule="exact"/>
              <w:jc w:val="center"/>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w:t>
            </w:r>
          </w:p>
        </w:tc>
        <w:tc>
          <w:tcPr>
            <w:tcW w:w="3800" w:type="dxa"/>
            <w:tcBorders>
              <w:top w:val="outset" w:color="CCCCCC" w:sz="6" w:space="0"/>
              <w:left w:val="outset" w:color="CCCCCC" w:sz="6" w:space="0"/>
              <w:bottom w:val="outset" w:color="CCCCCC" w:sz="6" w:space="0"/>
              <w:right w:val="outset" w:color="CCCCCC" w:sz="6" w:space="0"/>
            </w:tcBorders>
            <w:vAlign w:val="center"/>
          </w:tcPr>
          <w:p>
            <w:pPr>
              <w:pStyle w:val="72"/>
              <w:spacing w:line="460" w:lineRule="exac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投标人提交正式成果且项目通过履约验收会后15个工作日内。</w:t>
            </w:r>
          </w:p>
        </w:tc>
      </w:tr>
    </w:tbl>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4.4其他辅助收费：</w:t>
      </w:r>
    </w:p>
    <w:p>
      <w:pPr>
        <w:spacing w:line="360" w:lineRule="auto"/>
        <w:ind w:firstLine="600" w:firstLineChars="2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如果甲方要求制作本合同第五条约定以外的专业工作成果，乙方有义务配合进行。具体费用由双方根据具体情况商定。</w:t>
      </w:r>
    </w:p>
    <w:p>
      <w:pPr>
        <w:spacing w:line="360" w:lineRule="auto"/>
        <w:ind w:right="-100"/>
        <w:jc w:val="left"/>
        <w:outlineLvl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第五条  双方责任</w:t>
      </w:r>
    </w:p>
    <w:p>
      <w:pPr>
        <w:spacing w:line="360" w:lineRule="auto"/>
        <w:ind w:right="-100"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5.1 甲方责任</w:t>
      </w:r>
    </w:p>
    <w:p>
      <w:pPr>
        <w:spacing w:line="360" w:lineRule="auto"/>
        <w:ind w:right="-100"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5.1.1 甲方按本合同规定的内容，在规定的时间内向乙方提交乙方规划设计需要的资料及文件，并对其完整性、正确性及时限性负责。由于甲方原因，造成规划设计所需资料不齐、不准、错误或收集困难时，乙方按本合同第三条规定的交付规划设计文件时间顺延。</w:t>
      </w:r>
    </w:p>
    <w:p>
      <w:pPr>
        <w:spacing w:line="360" w:lineRule="auto"/>
        <w:ind w:right="-100" w:firstLine="57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5.1.2在合同履行期间，甲方要求终止或解除合同，应及时书面通知乙方。乙方已开始工作的，甲方应根据乙方已进行的实际工作量支付。</w:t>
      </w:r>
    </w:p>
    <w:p>
      <w:pPr>
        <w:spacing w:line="360" w:lineRule="auto"/>
        <w:ind w:right="-100" w:firstLine="57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5.1.3甲方应协助配合乙方设计人员收集国土空间规划城市体检评估需要的政府部门相关数据。</w:t>
      </w:r>
    </w:p>
    <w:p>
      <w:pPr>
        <w:spacing w:line="360" w:lineRule="auto"/>
        <w:ind w:right="-100" w:firstLine="57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5.1.4甲方应保护乙方的规划设计方案、文件、资料图纸、数据、计算软件等知识产权，未经乙方同意，甲方对乙方交付的规划设计资料文件及图纸不得擅自修改、复制或向第三方转让，如发生以上情况，乙方有权索赔。</w:t>
      </w:r>
    </w:p>
    <w:p>
      <w:pPr>
        <w:spacing w:line="360" w:lineRule="auto"/>
        <w:ind w:right="-100" w:firstLine="57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5.1.5乙方交付甲方规划设计方案征求意见，甲方超过三个月仍未将对规划设计方案的意见返交乙方的，时间超过三个月，本合同再继续履行时，应对规划设计周期及规划设计费予以重新商定；如不继续履行时，则视为甲方终止合同，按5.1.2条处理。</w:t>
      </w:r>
    </w:p>
    <w:p>
      <w:pPr>
        <w:spacing w:line="360" w:lineRule="auto"/>
        <w:ind w:right="-100" w:firstLine="57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5.1.6规划设计方案需城市规划主管部门审批或需专家评审的，由甲方组织评审。</w:t>
      </w:r>
    </w:p>
    <w:p>
      <w:pPr>
        <w:spacing w:line="360" w:lineRule="auto"/>
        <w:ind w:right="-100" w:firstLine="57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5.1.7 甲方变更委托设计项目、规模、条件或因提交的资料错误，或所提交资料做较大修改，以致造成乙方设计需返工时，双方除需另行协商签订补充协议，重新明确有关条款，并按本合同的内容根据乙方已完成的工作量支付设计费外，甲方还应按乙方所耗工作量向乙方增付设计费。</w:t>
      </w:r>
    </w:p>
    <w:p>
      <w:pPr>
        <w:spacing w:line="360" w:lineRule="auto"/>
        <w:ind w:right="-100" w:firstLine="57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5.2 乙方责任</w:t>
      </w:r>
    </w:p>
    <w:p>
      <w:pPr>
        <w:spacing w:line="360" w:lineRule="auto"/>
        <w:ind w:right="-100" w:firstLine="57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5.2.1 乙方按本合同第三条规定的内容、时间及份数向甲方交付规划设计文件。</w:t>
      </w:r>
    </w:p>
    <w:p>
      <w:pPr>
        <w:spacing w:line="360" w:lineRule="auto"/>
        <w:ind w:right="-100" w:firstLine="57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5.2.2 乙方根据甲方提供的基础资料，经过现场踏勘和分析后，按照国家、自然资源部、地方的有关法规和规范，以及相关规划的要求，为甲方作出规划设计方案。规划方案应征求甲方意见，规划设计方案需城市规划主管部门或专家审批的，待审批意见下达后出正式规划设计文件。</w:t>
      </w:r>
    </w:p>
    <w:p>
      <w:pPr>
        <w:spacing w:line="360" w:lineRule="auto"/>
        <w:ind w:right="-100" w:firstLine="57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5.2.3 乙方对规划设计文件出现的遗漏、错误或与实际使用不相符的部分负责修改、补充；提供对规划资料文件和图纸中涉及的数据、术语等相关咨询服务。</w:t>
      </w:r>
    </w:p>
    <w:p>
      <w:pPr>
        <w:spacing w:line="360" w:lineRule="auto"/>
        <w:ind w:right="-100" w:firstLine="57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5.2.4 乙方交付规划设计文件后，按照分级评审原则，负责参加有关上级组织的评审，并根据评审意见负责不超过本合同规定范围内的必要修改和补充。</w:t>
      </w:r>
    </w:p>
    <w:p>
      <w:pPr>
        <w:spacing w:line="360" w:lineRule="auto"/>
        <w:ind w:right="-100" w:firstLine="57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5.2.5 乙方不得向第三方扩散、转让甲方提交的图纸等技术资料，如发生以上情况并给甲方造成经济损失，甲方有权索赔。</w:t>
      </w:r>
    </w:p>
    <w:p>
      <w:pPr>
        <w:spacing w:line="360" w:lineRule="auto"/>
        <w:ind w:right="-100" w:firstLine="57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 xml:space="preserve">5.2.6 </w:t>
      </w:r>
      <w:r>
        <w:rPr>
          <w:rFonts w:hint="eastAsia" w:ascii="宋体" w:hAnsi="宋体" w:cs="宋体"/>
          <w:color w:val="000000" w:themeColor="text1"/>
          <w:sz w:val="24"/>
          <w14:textFill>
            <w14:solidFill>
              <w14:schemeClr w14:val="tx1"/>
            </w14:solidFill>
          </w14:textFill>
        </w:rPr>
        <w:t>乙方在体检评估过程所需的手机信令、P</w:t>
      </w:r>
      <w:r>
        <w:rPr>
          <w:rFonts w:ascii="宋体" w:hAnsi="宋体" w:cs="宋体"/>
          <w:color w:val="000000" w:themeColor="text1"/>
          <w:sz w:val="24"/>
          <w14:textFill>
            <w14:solidFill>
              <w14:schemeClr w14:val="tx1"/>
            </w14:solidFill>
          </w14:textFill>
        </w:rPr>
        <w:t>OI</w:t>
      </w:r>
      <w:r>
        <w:rPr>
          <w:rFonts w:hint="eastAsia" w:ascii="宋体" w:hAnsi="宋体" w:cs="宋体"/>
          <w:color w:val="000000" w:themeColor="text1"/>
          <w:sz w:val="24"/>
          <w14:textFill>
            <w14:solidFill>
              <w14:schemeClr w14:val="tx1"/>
            </w14:solidFill>
          </w14:textFill>
        </w:rPr>
        <w:t>等大数据，由乙方自行购买并承担相关费用。</w:t>
      </w:r>
    </w:p>
    <w:p>
      <w:pPr>
        <w:spacing w:line="360" w:lineRule="auto"/>
        <w:ind w:right="-100" w:firstLine="57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 xml:space="preserve">5.2.7 </w:t>
      </w:r>
      <w:r>
        <w:rPr>
          <w:rFonts w:hint="eastAsia" w:ascii="宋体" w:hAnsi="宋体" w:cs="宋体"/>
          <w:color w:val="000000" w:themeColor="text1"/>
          <w:sz w:val="24"/>
          <w14:textFill>
            <w14:solidFill>
              <w14:schemeClr w14:val="tx1"/>
            </w14:solidFill>
          </w14:textFill>
        </w:rPr>
        <w:t>未经甲方书面许可,乙方在为甲方服务期间接触或因接触而知悉的属于甲方的任何信息，不得以泄露、告知、公布、发布或者其他任何方式泄露给任何第三方；乙方在本合同约定的服务工作全部完成后，仍对其承担前述保密义务。此外，就乙方在本合同约定的服务工作完成后所承担的保密义务，甲方不再向乙方支付任何保密费用。</w:t>
      </w:r>
    </w:p>
    <w:p>
      <w:pPr>
        <w:spacing w:line="360" w:lineRule="auto"/>
        <w:ind w:right="-100"/>
        <w:outlineLvl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第六条  违约责任</w:t>
      </w:r>
    </w:p>
    <w:p>
      <w:pPr>
        <w:spacing w:line="360" w:lineRule="auto"/>
        <w:ind w:right="-100" w:firstLine="57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6.1甲、乙任何一方不履行本合同义务或者履行本合同义务不符合本合同规定的，应当承担继续履行、采取补救措施或者赔偿损失等违约责任。</w:t>
      </w:r>
    </w:p>
    <w:p>
      <w:pPr>
        <w:spacing w:line="360" w:lineRule="auto"/>
        <w:ind w:right="-100" w:firstLine="57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6.2在合同签订后，甲方无故要求终止或解除合同，乙方未开始设计工作的，退还甲方已付的启动费；已开始设计工作的，甲方应根据乙方已进行的实际工作量支付。</w:t>
      </w:r>
    </w:p>
    <w:p>
      <w:pPr>
        <w:spacing w:line="360" w:lineRule="auto"/>
        <w:ind w:right="-100" w:firstLine="57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6.3 甲方应按本合同第四条所约定的金额和时间支付设计费，每逾期支付一天，应按应付金额的万分之五/天承担违约金。逾期超过三十天，乙方有权停止履行下阶段设计工作。在甲方结清应付款项前。不予拒绝提交设计资料文件、图纸，并书面通知甲方。且逾期支付超过三十天的乙方有权解除本协议，并要求甲方按支付合同总金额千分之二/天的标准计付违约金，但违约金累计不得超过合同总金额的20%。</w:t>
      </w:r>
    </w:p>
    <w:p>
      <w:pPr>
        <w:spacing w:line="360" w:lineRule="auto"/>
        <w:ind w:right="-100" w:firstLine="57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6.4 由于乙方自身原因延误，按本合同第三条规定的设计资料文件、图纸的交付时间，每延误一天，应按该阶段应收设计费的万分之五/天承担违约金。由于乙方自身原因延误超过三十30天的，甲方有权解除本协议，并有权按同等标准要求支付违约金，但违约金累计不得超过合同总金额的20%并要求乙方支付合同总金额千分之二的违约金。</w:t>
      </w:r>
    </w:p>
    <w:p>
      <w:pPr>
        <w:spacing w:line="360" w:lineRule="auto"/>
        <w:ind w:right="-100" w:firstLine="57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6.5当事人一方不履行合同义务或者履行合同义务不符合约定，给对方造成损失的，损失赔偿额应当相当于因违约所造成的损失，包括诉讼费用（仲裁费用）、律师费用等相关费用。但是损失赔偿金额总额以甲方已向乙方支付的服务费用为限，在任何情况下累计赔偿金额不超过设计咨询服务费金额总额。</w:t>
      </w:r>
    </w:p>
    <w:p>
      <w:pPr>
        <w:spacing w:line="360" w:lineRule="auto"/>
        <w:ind w:right="-100" w:firstLine="57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6.6</w:t>
      </w:r>
      <w:r>
        <w:rPr>
          <w:rFonts w:hint="eastAsia" w:ascii="宋体" w:hAnsi="宋体" w:cs="宋体"/>
          <w:color w:val="000000" w:themeColor="text1"/>
          <w:sz w:val="24"/>
          <w14:textFill>
            <w14:solidFill>
              <w14:schemeClr w14:val="tx1"/>
            </w14:solidFill>
          </w14:textFill>
        </w:rPr>
        <w:t>乙方违反保密义务的，乙方除应当立刻停止侵权行为并向甲方支付违约金1</w:t>
      </w:r>
      <w:r>
        <w:rPr>
          <w:rFonts w:ascii="宋体" w:hAnsi="宋体" w:cs="宋体"/>
          <w:color w:val="000000" w:themeColor="text1"/>
          <w:sz w:val="24"/>
          <w14:textFill>
            <w14:solidFill>
              <w14:schemeClr w14:val="tx1"/>
            </w14:solidFill>
          </w14:textFill>
        </w:rPr>
        <w:t>0</w:t>
      </w:r>
      <w:r>
        <w:rPr>
          <w:rFonts w:hint="eastAsia" w:ascii="宋体" w:hAnsi="宋体" w:cs="宋体"/>
          <w:color w:val="000000" w:themeColor="text1"/>
          <w:sz w:val="24"/>
          <w14:textFill>
            <w14:solidFill>
              <w14:schemeClr w14:val="tx1"/>
            </w14:solidFill>
          </w14:textFill>
        </w:rPr>
        <w:t>万元外，还应当消除乙方侵权行为造成的影响。</w:t>
      </w:r>
    </w:p>
    <w:p>
      <w:pPr>
        <w:spacing w:line="360" w:lineRule="auto"/>
        <w:ind w:right="-100"/>
        <w:outlineLvl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第七条  知识产权</w:t>
      </w:r>
    </w:p>
    <w:p>
      <w:pPr>
        <w:spacing w:line="360" w:lineRule="auto"/>
        <w:ind w:right="-100" w:firstLine="57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7.1 乙方对设计完成的成果享有著作权，甲方将委托设计的所有费用结算完毕后，乙方可将该著作权转让甲方。双方共享署名权。</w:t>
      </w:r>
    </w:p>
    <w:p>
      <w:pPr>
        <w:spacing w:line="360" w:lineRule="auto"/>
        <w:ind w:right="-100" w:firstLine="57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7.2 甲方在未结清所有委托设计费用并取得著作权之前，甲方对该成果不享有任何权利。</w:t>
      </w:r>
    </w:p>
    <w:p>
      <w:pPr>
        <w:spacing w:line="360" w:lineRule="auto"/>
        <w:ind w:right="-100"/>
        <w:outlineLvl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第八条  其它</w:t>
      </w:r>
    </w:p>
    <w:p>
      <w:pPr>
        <w:spacing w:line="360" w:lineRule="auto"/>
        <w:ind w:right="-100" w:firstLine="57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8.1 本项目为一次采购三年项目，合同每年签订一次。从第一次合同签订生效之日起三年内，甲方可对乙方每年的工作情况进行满意度评价（具体评分细则参见附件四），满分100分。若评定总分小于80分，甲方有权决定次年是否与乙方签订次年合同；若评定总分大于等于80分，甲方须继续与乙方签订次年合同。</w:t>
      </w:r>
    </w:p>
    <w:p>
      <w:pPr>
        <w:pStyle w:val="2"/>
        <w:ind w:firstLine="573"/>
        <w:rPr>
          <w:rFonts w:ascii="宋体" w:hAnsi="宋体" w:cs="宋体"/>
          <w:color w:val="000000" w:themeColor="text1"/>
          <w:sz w:val="24"/>
          <w14:textFill>
            <w14:solidFill>
              <w14:schemeClr w14:val="tx1"/>
            </w14:solidFill>
          </w14:textFill>
        </w:rPr>
      </w:pPr>
      <w:r>
        <w:rPr>
          <w:rFonts w:ascii="宋体" w:hAnsi="宋体" w:cs="宋体"/>
          <w:color w:val="000000" w:themeColor="text1"/>
          <w:kern w:val="2"/>
          <w:sz w:val="24"/>
          <w14:textFill>
            <w14:solidFill>
              <w14:schemeClr w14:val="tx1"/>
            </w14:solidFill>
          </w14:textFill>
        </w:rPr>
        <w:t xml:space="preserve">8.2 </w:t>
      </w:r>
      <w:r>
        <w:rPr>
          <w:rFonts w:hint="eastAsia" w:ascii="宋体" w:hAnsi="宋体" w:cs="宋体"/>
          <w:color w:val="000000" w:themeColor="text1"/>
          <w:kern w:val="2"/>
          <w:sz w:val="24"/>
          <w14:textFill>
            <w14:solidFill>
              <w14:schemeClr w14:val="tx1"/>
            </w14:solidFill>
          </w14:textFill>
        </w:rPr>
        <w:t>乙方有义务努力做好相关后续服务工作。</w:t>
      </w:r>
    </w:p>
    <w:p>
      <w:pPr>
        <w:spacing w:line="360" w:lineRule="auto"/>
        <w:ind w:right="-100" w:firstLine="57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w:t>
      </w:r>
      <w:r>
        <w:rPr>
          <w:rFonts w:ascii="宋体" w:hAnsi="宋体" w:cs="宋体"/>
          <w:color w:val="000000" w:themeColor="text1"/>
          <w:sz w:val="24"/>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 xml:space="preserve"> 甲方委托乙方承担本合同内容以外的工作服务，应另外支付费用。</w:t>
      </w:r>
    </w:p>
    <w:p>
      <w:pPr>
        <w:spacing w:line="360" w:lineRule="auto"/>
        <w:ind w:right="-100" w:firstLine="57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w:t>
      </w:r>
      <w:r>
        <w:rPr>
          <w:rFonts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 xml:space="preserve"> 由于不可抗力因素造成本合同无法履行时，双方应及时协商解决。</w:t>
      </w:r>
    </w:p>
    <w:p>
      <w:pPr>
        <w:spacing w:line="360" w:lineRule="auto"/>
        <w:ind w:right="-100" w:firstLine="57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w:t>
      </w:r>
      <w:r>
        <w:rPr>
          <w:rFonts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1不可抗力是指地震、台风、水灾、火灾、战争或其它不能预见、不能避免并不能克服的客观情况。如果一方当事人认为不可抗力发生并影响其履行本合同义务，应在第一时间通知另一方当事人，并在不可抗力发生后的10日内提交书面证明材料。按照不可抗力对履行合同影响的程度，由双方协商决定是否免除或者部分免除合同义务，或者延期履行合同。</w:t>
      </w:r>
    </w:p>
    <w:p>
      <w:pPr>
        <w:spacing w:line="360" w:lineRule="auto"/>
        <w:ind w:right="-100" w:firstLine="57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w:t>
      </w:r>
      <w:r>
        <w:rPr>
          <w:rFonts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2不可抗力发生时，任何一方均不能被视为违约或不履行本合同义务。在合同签订后，乙方尚未开始设计工作的，乙方退还甲方已付的启动费；乙方已开始设计工作的，甲方应根据乙方已进行的实际工作量，支付设计费。费用由双方协商后书面确定。</w:t>
      </w:r>
    </w:p>
    <w:p>
      <w:pPr>
        <w:spacing w:line="360" w:lineRule="auto"/>
        <w:ind w:right="-100" w:firstLine="57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w:t>
      </w:r>
      <w:r>
        <w:rPr>
          <w:rFonts w:ascii="宋体" w:hAnsi="宋体" w:cs="宋体"/>
          <w:color w:val="000000" w:themeColor="text1"/>
          <w:sz w:val="24"/>
          <w14:textFill>
            <w14:solidFill>
              <w14:schemeClr w14:val="tx1"/>
            </w14:solidFill>
          </w14:textFill>
        </w:rPr>
        <w:t xml:space="preserve">5 </w:t>
      </w:r>
      <w:r>
        <w:rPr>
          <w:rFonts w:hint="eastAsia" w:ascii="宋体" w:hAnsi="宋体" w:cs="宋体"/>
          <w:color w:val="000000" w:themeColor="text1"/>
          <w:sz w:val="24"/>
          <w14:textFill>
            <w14:solidFill>
              <w14:schemeClr w14:val="tx1"/>
            </w14:solidFill>
          </w14:textFill>
        </w:rPr>
        <w:t>在本合同履行期间，双方发生争议时应协商解决，协商不成时则向甲方所在地人民法院提起诉讼。</w:t>
      </w:r>
    </w:p>
    <w:p>
      <w:pPr>
        <w:spacing w:line="360" w:lineRule="auto"/>
        <w:ind w:right="-100" w:firstLine="57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w:t>
      </w:r>
      <w:r>
        <w:rPr>
          <w:rFonts w:ascii="宋体" w:hAnsi="宋体" w:cs="宋体"/>
          <w:color w:val="000000" w:themeColor="text1"/>
          <w:sz w:val="24"/>
          <w14:textFill>
            <w14:solidFill>
              <w14:schemeClr w14:val="tx1"/>
            </w14:solidFill>
          </w14:textFill>
        </w:rPr>
        <w:t>6</w:t>
      </w:r>
      <w:r>
        <w:rPr>
          <w:rFonts w:hint="eastAsia" w:ascii="宋体" w:hAnsi="宋体" w:cs="宋体"/>
          <w:color w:val="000000" w:themeColor="text1"/>
          <w:sz w:val="24"/>
          <w14:textFill>
            <w14:solidFill>
              <w14:schemeClr w14:val="tx1"/>
            </w14:solidFill>
          </w14:textFill>
        </w:rPr>
        <w:t xml:space="preserve"> 本合同未尽事宜，由双方协商解决，并及时签订补充协议，补充协议经双方签字生效后，与本合同具有同等效力。</w:t>
      </w:r>
    </w:p>
    <w:p>
      <w:pPr>
        <w:spacing w:line="360" w:lineRule="auto"/>
        <w:ind w:right="-100" w:firstLine="57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w:t>
      </w:r>
      <w:r>
        <w:rPr>
          <w:rFonts w:ascii="宋体" w:hAnsi="宋体" w:cs="宋体"/>
          <w:color w:val="000000" w:themeColor="text1"/>
          <w:sz w:val="24"/>
          <w14:textFill>
            <w14:solidFill>
              <w14:schemeClr w14:val="tx1"/>
            </w14:solidFill>
          </w14:textFill>
        </w:rPr>
        <w:t>7</w:t>
      </w:r>
      <w:r>
        <w:rPr>
          <w:rFonts w:hint="eastAsia" w:ascii="宋体" w:hAnsi="宋体" w:cs="宋体"/>
          <w:color w:val="000000" w:themeColor="text1"/>
          <w:sz w:val="24"/>
          <w14:textFill>
            <w14:solidFill>
              <w14:schemeClr w14:val="tx1"/>
            </w14:solidFill>
          </w14:textFill>
        </w:rPr>
        <w:t xml:space="preserve"> 甲乙双方履行完本合同规定的权利和义务后，本合同自行终止。</w:t>
      </w:r>
    </w:p>
    <w:p>
      <w:pPr>
        <w:spacing w:line="360" w:lineRule="auto"/>
        <w:ind w:right="-100" w:firstLine="57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w:t>
      </w:r>
      <w:r>
        <w:rPr>
          <w:rFonts w:ascii="宋体" w:hAnsi="宋体" w:cs="宋体"/>
          <w:color w:val="000000" w:themeColor="text1"/>
          <w:sz w:val="24"/>
          <w14:textFill>
            <w14:solidFill>
              <w14:schemeClr w14:val="tx1"/>
            </w14:solidFill>
          </w14:textFill>
        </w:rPr>
        <w:t xml:space="preserve">8 </w:t>
      </w:r>
      <w:r>
        <w:rPr>
          <w:rFonts w:hint="eastAsia" w:ascii="宋体" w:hAnsi="宋体" w:cs="宋体"/>
          <w:color w:val="000000" w:themeColor="text1"/>
          <w:sz w:val="24"/>
          <w14:textFill>
            <w14:solidFill>
              <w14:schemeClr w14:val="tx1"/>
            </w14:solidFill>
          </w14:textFill>
        </w:rPr>
        <w:t>本合同一式八份，甲方执四份，乙方执四份，双方签字盖章后生效。</w:t>
      </w:r>
    </w:p>
    <w:p>
      <w:pPr>
        <w:pageBreakBefore/>
        <w:spacing w:line="360" w:lineRule="auto"/>
        <w:ind w:right="-10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委托方单位（盖章）             受托单位（盖章）</w:t>
      </w:r>
    </w:p>
    <w:p>
      <w:pPr>
        <w:spacing w:line="360" w:lineRule="auto"/>
        <w:ind w:right="-100"/>
        <w:rPr>
          <w:rFonts w:ascii="宋体" w:hAnsi="宋体" w:cs="宋体"/>
          <w:color w:val="000000" w:themeColor="text1"/>
          <w:sz w:val="24"/>
          <w14:textFill>
            <w14:solidFill>
              <w14:schemeClr w14:val="tx1"/>
            </w14:solidFill>
          </w14:textFill>
        </w:rPr>
      </w:pPr>
    </w:p>
    <w:p>
      <w:pPr>
        <w:spacing w:line="360" w:lineRule="auto"/>
        <w:ind w:right="-100"/>
        <w:rPr>
          <w:rFonts w:ascii="宋体" w:hAnsi="宋体" w:cs="宋体"/>
          <w:color w:val="000000" w:themeColor="text1"/>
          <w:sz w:val="24"/>
          <w14:textFill>
            <w14:solidFill>
              <w14:schemeClr w14:val="tx1"/>
            </w14:solidFill>
          </w14:textFill>
        </w:rPr>
      </w:pPr>
    </w:p>
    <w:p>
      <w:pPr>
        <w:spacing w:line="360" w:lineRule="auto"/>
        <w:ind w:right="-100"/>
        <w:rPr>
          <w:rFonts w:ascii="宋体" w:hAnsi="宋体" w:cs="宋体"/>
          <w:color w:val="000000" w:themeColor="text1"/>
          <w:sz w:val="24"/>
          <w14:textFill>
            <w14:solidFill>
              <w14:schemeClr w14:val="tx1"/>
            </w14:solidFill>
          </w14:textFill>
        </w:rPr>
      </w:pPr>
    </w:p>
    <w:p>
      <w:pPr>
        <w:spacing w:line="360" w:lineRule="auto"/>
        <w:ind w:right="-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法定代表人（签字）            法定代表人（签字）</w:t>
      </w:r>
    </w:p>
    <w:p>
      <w:pPr>
        <w:spacing w:line="360" w:lineRule="auto"/>
        <w:ind w:right="-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（或授权代表）              （或授权代表）</w:t>
      </w:r>
    </w:p>
    <w:p>
      <w:pPr>
        <w:spacing w:line="360" w:lineRule="auto"/>
        <w:ind w:right="-100"/>
        <w:rPr>
          <w:rFonts w:ascii="宋体" w:hAnsi="宋体" w:cs="宋体"/>
          <w:color w:val="000000" w:themeColor="text1"/>
          <w:sz w:val="24"/>
          <w14:textFill>
            <w14:solidFill>
              <w14:schemeClr w14:val="tx1"/>
            </w14:solidFill>
          </w14:textFill>
        </w:rPr>
      </w:pPr>
    </w:p>
    <w:p>
      <w:pPr>
        <w:spacing w:line="360" w:lineRule="auto"/>
        <w:ind w:right="-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单位地址：                   单位地址：</w:t>
      </w:r>
    </w:p>
    <w:p>
      <w:pPr>
        <w:spacing w:line="360" w:lineRule="auto"/>
        <w:ind w:right="-100"/>
        <w:rPr>
          <w:rFonts w:ascii="宋体" w:hAnsi="宋体" w:cs="宋体"/>
          <w:color w:val="000000" w:themeColor="text1"/>
          <w:sz w:val="24"/>
          <w14:textFill>
            <w14:solidFill>
              <w14:schemeClr w14:val="tx1"/>
            </w14:solidFill>
          </w14:textFill>
        </w:rPr>
      </w:pPr>
    </w:p>
    <w:p>
      <w:pPr>
        <w:spacing w:line="360" w:lineRule="auto"/>
        <w:ind w:right="-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邮政编码：                   邮政编码：</w:t>
      </w:r>
    </w:p>
    <w:p>
      <w:pPr>
        <w:spacing w:line="360" w:lineRule="auto"/>
        <w:ind w:right="-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电    话：                   电    话：</w:t>
      </w:r>
    </w:p>
    <w:p>
      <w:pPr>
        <w:spacing w:line="360" w:lineRule="auto"/>
        <w:ind w:right="-100" w:firstLine="1200" w:firstLineChars="5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w:t>
      </w:r>
    </w:p>
    <w:p>
      <w:pPr>
        <w:spacing w:line="360" w:lineRule="auto"/>
        <w:ind w:right="-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传    真：                   传    真：</w:t>
      </w:r>
    </w:p>
    <w:p>
      <w:pPr>
        <w:spacing w:line="360" w:lineRule="auto"/>
        <w:ind w:right="-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开户银行：                   开户银行： </w:t>
      </w:r>
    </w:p>
    <w:p>
      <w:pPr>
        <w:spacing w:line="360" w:lineRule="auto"/>
        <w:ind w:right="-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银行帐号：                   银行帐号：</w:t>
      </w:r>
    </w:p>
    <w:p>
      <w:pPr>
        <w:spacing w:line="360" w:lineRule="auto"/>
        <w:ind w:right="-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甲方代表（签字）：            乙方代表（签字）：</w:t>
      </w:r>
    </w:p>
    <w:p>
      <w:pPr>
        <w:spacing w:line="360" w:lineRule="auto"/>
        <w:ind w:right="-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（联系人）                   （联系人）</w:t>
      </w:r>
    </w:p>
    <w:p>
      <w:pPr>
        <w:spacing w:line="360" w:lineRule="auto"/>
        <w:ind w:right="-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签字日期：                   签字日期：</w:t>
      </w:r>
    </w:p>
    <w:p>
      <w:pPr>
        <w:spacing w:line="400" w:lineRule="exact"/>
        <w:ind w:firstLine="480" w:firstLineChars="200"/>
        <w:rPr>
          <w:rFonts w:ascii="宋体" w:hAnsi="宋体" w:cs="宋体"/>
          <w:color w:val="000000" w:themeColor="text1"/>
          <w:sz w:val="24"/>
          <w14:textFill>
            <w14:solidFill>
              <w14:schemeClr w14:val="tx1"/>
            </w14:solidFill>
          </w14:textFill>
        </w:rPr>
      </w:pPr>
    </w:p>
    <w:p>
      <w:pPr>
        <w:pStyle w:val="2"/>
        <w:rPr>
          <w:rFonts w:ascii="宋体" w:hAnsi="宋体" w:cs="宋体"/>
          <w:color w:val="000000" w:themeColor="text1"/>
          <w:sz w:val="24"/>
          <w14:textFill>
            <w14:solidFill>
              <w14:schemeClr w14:val="tx1"/>
            </w14:solidFill>
          </w14:textFill>
        </w:rPr>
      </w:pPr>
    </w:p>
    <w:p>
      <w:pPr>
        <w:pStyle w:val="3"/>
        <w:rPr>
          <w:rFonts w:cs="宋体"/>
          <w:color w:val="000000" w:themeColor="text1"/>
          <w14:textFill>
            <w14:solidFill>
              <w14:schemeClr w14:val="tx1"/>
            </w14:solidFill>
          </w14:textFill>
        </w:rPr>
      </w:pPr>
    </w:p>
    <w:p>
      <w:pPr>
        <w:pStyle w:val="3"/>
        <w:rPr>
          <w:rFonts w:cs="宋体"/>
          <w:color w:val="000000" w:themeColor="text1"/>
          <w14:textFill>
            <w14:solidFill>
              <w14:schemeClr w14:val="tx1"/>
            </w14:solidFill>
          </w14:textFill>
        </w:rPr>
      </w:pPr>
    </w:p>
    <w:p>
      <w:pPr>
        <w:pStyle w:val="3"/>
        <w:rPr>
          <w:rFonts w:cs="宋体"/>
          <w:color w:val="000000" w:themeColor="text1"/>
          <w14:textFill>
            <w14:solidFill>
              <w14:schemeClr w14:val="tx1"/>
            </w14:solidFill>
          </w14:textFill>
        </w:rPr>
      </w:pPr>
    </w:p>
    <w:p>
      <w:pPr>
        <w:pStyle w:val="3"/>
        <w:rPr>
          <w:rFonts w:cs="宋体"/>
          <w:color w:val="000000" w:themeColor="text1"/>
          <w14:textFill>
            <w14:solidFill>
              <w14:schemeClr w14:val="tx1"/>
            </w14:solidFill>
          </w14:textFill>
        </w:rPr>
      </w:pPr>
    </w:p>
    <w:p>
      <w:pPr>
        <w:pStyle w:val="3"/>
        <w:rPr>
          <w:rFonts w:cs="宋体"/>
          <w:color w:val="000000" w:themeColor="text1"/>
          <w14:textFill>
            <w14:solidFill>
              <w14:schemeClr w14:val="tx1"/>
            </w14:solidFill>
          </w14:textFill>
        </w:rPr>
      </w:pPr>
    </w:p>
    <w:p>
      <w:pPr>
        <w:spacing w:line="360" w:lineRule="auto"/>
        <w:outlineLvl w:val="1"/>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附件一：《四川省财政厅关于推进四川省政府采购供应商信用融资工作的通知》</w:t>
      </w: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5132070" cy="7292340"/>
            <wp:effectExtent l="0" t="0" r="11430" b="3810"/>
            <wp:docPr id="1"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Administrator\AppData\Roaming\DingTalk\18198513_v2\ImageFiles\49\lALPDgQ9qzkb4y3NA4nNAn0_637_9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pPr>
        <w:widowControl/>
        <w:jc w:val="left"/>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br w:type="page"/>
      </w: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5941060" cy="8337550"/>
            <wp:effectExtent l="0" t="0" r="0" b="0"/>
            <wp:docPr id="2"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Administrator\AppData\Roaming\DingTalk\18198513_v2\ImageFiles\8a\lALPDgQ9qzkdtwTNA4XNAoI_642_9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1060" cy="8337550"/>
                    </a:xfrm>
                    <a:prstGeom prst="rect">
                      <a:avLst/>
                    </a:prstGeom>
                    <a:noFill/>
                    <a:ln>
                      <a:noFill/>
                    </a:ln>
                  </pic:spPr>
                </pic:pic>
              </a:graphicData>
            </a:graphic>
          </wp:inline>
        </w:drawing>
      </w: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5941060" cy="8237220"/>
            <wp:effectExtent l="0" t="0" r="0" b="0"/>
            <wp:docPr id="3"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C:\Users\Administrator\AppData\Roaming\DingTalk\18198513_v2\ImageFiles\36\lALPDgQ9qzkb_mjNA3bNAn8_639_88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237220"/>
                    </a:xfrm>
                    <a:prstGeom prst="rect">
                      <a:avLst/>
                    </a:prstGeom>
                    <a:noFill/>
                    <a:ln>
                      <a:noFill/>
                    </a:ln>
                  </pic:spPr>
                </pic:pic>
              </a:graphicData>
            </a:graphic>
          </wp:inline>
        </w:drawing>
      </w: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5940425" cy="8124825"/>
            <wp:effectExtent l="0" t="0" r="0" b="0"/>
            <wp:docPr id="4"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C:\Users\Administrator\AppData\Roaming\DingTalk\18198513_v2\ImageFiles\78\lALPDgQ9qzkb4yrNA3LNAnc_631_88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0425" cy="8124825"/>
                    </a:xfrm>
                    <a:prstGeom prst="rect">
                      <a:avLst/>
                    </a:prstGeom>
                    <a:noFill/>
                    <a:ln>
                      <a:noFill/>
                    </a:ln>
                  </pic:spPr>
                </pic:pic>
              </a:graphicData>
            </a:graphic>
          </wp:inline>
        </w:drawing>
      </w: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5940425" cy="8963025"/>
            <wp:effectExtent l="0" t="0" r="0" b="0"/>
            <wp:docPr id="5"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C:\Users\Administrator\AppData\Roaming\DingTalk\18198513_v2\ImageFiles\72\lALPDgQ9qzkdtwHNA2LNAn0_637_86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0425" cy="8963025"/>
                    </a:xfrm>
                    <a:prstGeom prst="rect">
                      <a:avLst/>
                    </a:prstGeom>
                    <a:noFill/>
                    <a:ln>
                      <a:noFill/>
                    </a:ln>
                  </pic:spPr>
                </pic:pic>
              </a:graphicData>
            </a:graphic>
          </wp:inline>
        </w:drawing>
      </w: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5940425" cy="8058150"/>
            <wp:effectExtent l="0" t="0" r="0" b="0"/>
            <wp:docPr id="6"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C:\Users\Administrator\AppData\Roaming\DingTalk\18198513_v2\ImageFiles\65\lALPDgQ9qzkb_mnNA3zNAoA_640_89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0425" cy="8058150"/>
                    </a:xfrm>
                    <a:prstGeom prst="rect">
                      <a:avLst/>
                    </a:prstGeom>
                    <a:noFill/>
                    <a:ln>
                      <a:noFill/>
                    </a:ln>
                  </pic:spPr>
                </pic:pic>
              </a:graphicData>
            </a:graphic>
          </wp:inline>
        </w:drawing>
      </w: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5941060" cy="8360410"/>
            <wp:effectExtent l="0" t="0" r="0" b="0"/>
            <wp:docPr id="7"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C:\Users\Administrator\AppData\Roaming\DingTalk\18198513_v2\ImageFiles\97\lALPDgQ9qzkb4yzNA3_NAnw_636_89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60410"/>
                    </a:xfrm>
                    <a:prstGeom prst="rect">
                      <a:avLst/>
                    </a:prstGeom>
                    <a:noFill/>
                    <a:ln>
                      <a:noFill/>
                    </a:ln>
                  </pic:spPr>
                </pic:pic>
              </a:graphicData>
            </a:graphic>
          </wp:inline>
        </w:drawing>
      </w: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5940425" cy="8001000"/>
            <wp:effectExtent l="0" t="0" r="0" b="0"/>
            <wp:docPr id="8"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C:\Users\Administrator\AppData\Roaming\DingTalk\18198513_v2\ImageFiles\e8\lALPDgQ9qzkdtwPNA3bNAnY_630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0425" cy="8001000"/>
                    </a:xfrm>
                    <a:prstGeom prst="rect">
                      <a:avLst/>
                    </a:prstGeom>
                    <a:noFill/>
                    <a:ln>
                      <a:noFill/>
                    </a:ln>
                  </pic:spPr>
                </pic:pic>
              </a:graphicData>
            </a:graphic>
          </wp:inline>
        </w:drawing>
      </w: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5940425" cy="8905875"/>
            <wp:effectExtent l="0" t="0" r="0" b="0"/>
            <wp:docPr id="9"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C:\Users\Administrator\AppData\Roaming\DingTalk\18198513_v2\ImageFiles\43\lALPDgQ9qzkb_mrNA2LNAnw_636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0425" cy="8905875"/>
                    </a:xfrm>
                    <a:prstGeom prst="rect">
                      <a:avLst/>
                    </a:prstGeom>
                    <a:noFill/>
                    <a:ln>
                      <a:noFill/>
                    </a:ln>
                  </pic:spPr>
                </pic:pic>
              </a:graphicData>
            </a:graphic>
          </wp:inline>
        </w:drawing>
      </w:r>
    </w:p>
    <w:p>
      <w:pPr>
        <w:spacing w:line="400" w:lineRule="exact"/>
        <w:outlineLvl w:val="1"/>
        <w:rPr>
          <w:rFonts w:ascii="宋体" w:hAnsi="宋体" w:cs="宋体"/>
          <w:b/>
          <w:color w:val="000000" w:themeColor="text1"/>
          <w:szCs w:val="2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5940425" cy="8010525"/>
            <wp:effectExtent l="0" t="0" r="0" b="0"/>
            <wp:docPr id="10"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C:\Users\Administrator\AppData\Roaming\DingTalk\18198513_v2\ImageFiles\5e\lALPDgQ9qzkb4yvNA2TNAnU_629_86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0425" cy="8010525"/>
                    </a:xfrm>
                    <a:prstGeom prst="rect">
                      <a:avLst/>
                    </a:prstGeom>
                    <a:noFill/>
                    <a:ln>
                      <a:noFill/>
                    </a:ln>
                  </pic:spPr>
                </pic:pic>
              </a:graphicData>
            </a:graphic>
          </wp:inline>
        </w:drawing>
      </w:r>
      <w:r>
        <w:rPr>
          <w:rFonts w:hint="eastAsia" w:ascii="宋体" w:hAnsi="宋体" w:cs="宋体"/>
          <w:color w:val="000000" w:themeColor="text1"/>
          <w14:textFill>
            <w14:solidFill>
              <w14:schemeClr w14:val="tx1"/>
            </w14:solidFill>
          </w14:textFill>
        </w:rPr>
        <w:drawing>
          <wp:inline distT="0" distB="0" distL="0" distR="0">
            <wp:extent cx="5940425" cy="8810625"/>
            <wp:effectExtent l="0" t="0" r="0" b="0"/>
            <wp:docPr id="11"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C:\Users\Administrator\AppData\Roaming\DingTalk\18198513_v2\ImageFiles\bb\lALPDgQ9qzkdtwLNA33NAoA_640_89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0425" cy="8810625"/>
                    </a:xfrm>
                    <a:prstGeom prst="rect">
                      <a:avLst/>
                    </a:prstGeom>
                    <a:noFill/>
                    <a:ln>
                      <a:noFill/>
                    </a:ln>
                  </pic:spPr>
                </pic:pic>
              </a:graphicData>
            </a:graphic>
          </wp:inline>
        </w:drawing>
      </w:r>
      <w:r>
        <w:rPr>
          <w:rFonts w:hint="eastAsia" w:ascii="宋体" w:hAnsi="宋体" w:cs="宋体"/>
          <w:b/>
          <w:color w:val="000000" w:themeColor="text1"/>
          <w:szCs w:val="21"/>
          <w14:textFill>
            <w14:solidFill>
              <w14:schemeClr w14:val="tx1"/>
            </w14:solidFill>
          </w14:textFill>
        </w:rPr>
        <w:t>附件二：《成都市中小企业政府采购信用融资暂行办法》和《成都市级支持中小企业政府采购信用融资实施方案》</w:t>
      </w:r>
    </w:p>
    <w:p>
      <w:pPr>
        <w:rPr>
          <w:rFonts w:ascii="宋体" w:hAnsi="宋体" w:cs="宋体"/>
          <w:color w:val="000000" w:themeColor="text1"/>
          <w14:textFill>
            <w14:solidFill>
              <w14:schemeClr w14:val="tx1"/>
            </w14:solidFill>
          </w14:textFill>
        </w:rPr>
      </w:pPr>
    </w:p>
    <w:p>
      <w:pPr>
        <w:spacing w:line="400" w:lineRule="exact"/>
        <w:rPr>
          <w:rFonts w:ascii="宋体" w:hAnsi="宋体" w:cs="宋体"/>
          <w:b/>
          <w:color w:val="000000" w:themeColor="text1"/>
          <w:sz w:val="30"/>
          <w:szCs w:val="30"/>
          <w14:textFill>
            <w14:solidFill>
              <w14:schemeClr w14:val="tx1"/>
            </w14:solidFill>
          </w14:textFill>
        </w:rPr>
      </w:pP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5591810" cy="7490460"/>
            <wp:effectExtent l="0" t="0" r="0"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591810" cy="7490460"/>
                    </a:xfrm>
                    <a:prstGeom prst="rect">
                      <a:avLst/>
                    </a:prstGeom>
                    <a:noFill/>
                    <a:ln>
                      <a:noFill/>
                    </a:ln>
                  </pic:spPr>
                </pic:pic>
              </a:graphicData>
            </a:graphic>
          </wp:inline>
        </w:drawing>
      </w: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5910580" cy="8364220"/>
            <wp:effectExtent l="0" t="0" r="0" b="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10580" cy="8364220"/>
                    </a:xfrm>
                    <a:prstGeom prst="rect">
                      <a:avLst/>
                    </a:prstGeom>
                    <a:noFill/>
                    <a:ln>
                      <a:noFill/>
                    </a:ln>
                  </pic:spPr>
                </pic:pic>
              </a:graphicData>
            </a:graphic>
          </wp:inline>
        </w:drawing>
      </w:r>
    </w:p>
    <w:p>
      <w:pPr>
        <w:rPr>
          <w:rFonts w:ascii="宋体" w:hAnsi="宋体" w:cs="宋体"/>
          <w:color w:val="000000" w:themeColor="text1"/>
          <w14:textFill>
            <w14:solidFill>
              <w14:schemeClr w14:val="tx1"/>
            </w14:solidFill>
          </w14:textFill>
        </w:rPr>
      </w:pP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5930900" cy="7664450"/>
            <wp:effectExtent l="0" t="0" r="0" b="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30900" cy="7664450"/>
                    </a:xfrm>
                    <a:prstGeom prst="rect">
                      <a:avLst/>
                    </a:prstGeom>
                    <a:noFill/>
                    <a:ln>
                      <a:noFill/>
                    </a:ln>
                  </pic:spPr>
                </pic:pic>
              </a:graphicData>
            </a:graphic>
          </wp:inline>
        </w:drawing>
      </w:r>
    </w:p>
    <w:p>
      <w:pPr>
        <w:rPr>
          <w:rFonts w:ascii="宋体" w:hAnsi="宋体" w:cs="宋体"/>
          <w:color w:val="000000" w:themeColor="text1"/>
          <w14:textFill>
            <w14:solidFill>
              <w14:schemeClr w14:val="tx1"/>
            </w14:solidFill>
          </w14:textFill>
        </w:rPr>
      </w:pP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5882640" cy="8896350"/>
            <wp:effectExtent l="0" t="0" r="0" b="0"/>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882640" cy="8896350"/>
                    </a:xfrm>
                    <a:prstGeom prst="rect">
                      <a:avLst/>
                    </a:prstGeom>
                    <a:noFill/>
                    <a:ln>
                      <a:noFill/>
                    </a:ln>
                  </pic:spPr>
                </pic:pic>
              </a:graphicData>
            </a:graphic>
          </wp:inline>
        </w:drawing>
      </w:r>
    </w:p>
    <w:p>
      <w:pPr>
        <w:rPr>
          <w:rFonts w:ascii="宋体" w:hAnsi="宋体" w:cs="宋体"/>
          <w:color w:val="000000" w:themeColor="text1"/>
          <w14:textFill>
            <w14:solidFill>
              <w14:schemeClr w14:val="tx1"/>
            </w14:solidFill>
          </w14:textFill>
        </w:rPr>
      </w:pP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5860415" cy="7603490"/>
            <wp:effectExtent l="0" t="0" r="0" b="0"/>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860415" cy="7603490"/>
                    </a:xfrm>
                    <a:prstGeom prst="rect">
                      <a:avLst/>
                    </a:prstGeom>
                    <a:noFill/>
                    <a:ln>
                      <a:noFill/>
                    </a:ln>
                  </pic:spPr>
                </pic:pic>
              </a:graphicData>
            </a:graphic>
          </wp:inline>
        </w:drawing>
      </w:r>
    </w:p>
    <w:p>
      <w:pPr>
        <w:rPr>
          <w:rFonts w:ascii="宋体" w:hAnsi="宋体" w:cs="宋体"/>
          <w:color w:val="000000" w:themeColor="text1"/>
          <w14:textFill>
            <w14:solidFill>
              <w14:schemeClr w14:val="tx1"/>
            </w14:solidFill>
          </w14:textFill>
        </w:rPr>
      </w:pP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5875655" cy="8314690"/>
            <wp:effectExtent l="0" t="0" r="0" b="0"/>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875655" cy="8314690"/>
                    </a:xfrm>
                    <a:prstGeom prst="rect">
                      <a:avLst/>
                    </a:prstGeom>
                    <a:noFill/>
                    <a:ln>
                      <a:noFill/>
                    </a:ln>
                  </pic:spPr>
                </pic:pic>
              </a:graphicData>
            </a:graphic>
          </wp:inline>
        </w:drawing>
      </w:r>
    </w:p>
    <w:p>
      <w:pPr>
        <w:rPr>
          <w:rFonts w:ascii="宋体" w:hAnsi="宋体" w:cs="宋体"/>
          <w:color w:val="000000" w:themeColor="text1"/>
          <w14:textFill>
            <w14:solidFill>
              <w14:schemeClr w14:val="tx1"/>
            </w14:solidFill>
          </w14:textFill>
        </w:rPr>
      </w:pP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5970905" cy="8053705"/>
            <wp:effectExtent l="0" t="0" r="0" b="0"/>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70905" cy="8053705"/>
                    </a:xfrm>
                    <a:prstGeom prst="rect">
                      <a:avLst/>
                    </a:prstGeom>
                    <a:noFill/>
                    <a:ln>
                      <a:noFill/>
                    </a:ln>
                  </pic:spPr>
                </pic:pic>
              </a:graphicData>
            </a:graphic>
          </wp:inline>
        </w:drawing>
      </w:r>
    </w:p>
    <w:p>
      <w:pPr>
        <w:rPr>
          <w:rFonts w:ascii="宋体" w:hAnsi="宋体" w:cs="宋体"/>
          <w:color w:val="000000" w:themeColor="text1"/>
          <w14:textFill>
            <w14:solidFill>
              <w14:schemeClr w14:val="tx1"/>
            </w14:solidFill>
          </w14:textFill>
        </w:rPr>
      </w:pP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5920105" cy="8364220"/>
            <wp:effectExtent l="0" t="0" r="0" b="0"/>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20105" cy="8364220"/>
                    </a:xfrm>
                    <a:prstGeom prst="rect">
                      <a:avLst/>
                    </a:prstGeom>
                    <a:noFill/>
                    <a:ln>
                      <a:noFill/>
                    </a:ln>
                  </pic:spPr>
                </pic:pic>
              </a:graphicData>
            </a:graphic>
          </wp:inline>
        </w:drawing>
      </w:r>
    </w:p>
    <w:p>
      <w:pPr>
        <w:rPr>
          <w:rFonts w:ascii="宋体" w:hAnsi="宋体" w:cs="宋体"/>
          <w:color w:val="000000" w:themeColor="text1"/>
          <w14:textFill>
            <w14:solidFill>
              <w14:schemeClr w14:val="tx1"/>
            </w14:solidFill>
          </w14:textFill>
        </w:rPr>
      </w:pP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5868035" cy="7672705"/>
            <wp:effectExtent l="0" t="0" r="0" b="0"/>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868035" cy="7672705"/>
                    </a:xfrm>
                    <a:prstGeom prst="rect">
                      <a:avLst/>
                    </a:prstGeom>
                    <a:noFill/>
                    <a:ln>
                      <a:noFill/>
                    </a:ln>
                  </pic:spPr>
                </pic:pic>
              </a:graphicData>
            </a:graphic>
          </wp:inline>
        </w:drawing>
      </w:r>
    </w:p>
    <w:p>
      <w:pPr>
        <w:rPr>
          <w:rFonts w:ascii="宋体" w:hAnsi="宋体" w:cs="宋体"/>
          <w:color w:val="000000" w:themeColor="text1"/>
          <w14:textFill>
            <w14:solidFill>
              <w14:schemeClr w14:val="tx1"/>
            </w14:solidFill>
          </w14:textFill>
        </w:rPr>
      </w:pP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5899785" cy="8348980"/>
            <wp:effectExtent l="0" t="0" r="0" b="0"/>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899785" cy="8348980"/>
                    </a:xfrm>
                    <a:prstGeom prst="rect">
                      <a:avLst/>
                    </a:prstGeom>
                    <a:noFill/>
                    <a:ln>
                      <a:noFill/>
                    </a:ln>
                  </pic:spPr>
                </pic:pic>
              </a:graphicData>
            </a:graphic>
          </wp:inline>
        </w:drawing>
      </w:r>
    </w:p>
    <w:p>
      <w:pPr>
        <w:rPr>
          <w:rFonts w:ascii="宋体" w:hAnsi="宋体" w:cs="宋体"/>
          <w:color w:val="000000" w:themeColor="text1"/>
          <w14:textFill>
            <w14:solidFill>
              <w14:schemeClr w14:val="tx1"/>
            </w14:solidFill>
          </w14:textFill>
        </w:rPr>
      </w:pP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5923280" cy="7786370"/>
            <wp:effectExtent l="0" t="0" r="0" b="0"/>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23280" cy="7786370"/>
                    </a:xfrm>
                    <a:prstGeom prst="rect">
                      <a:avLst/>
                    </a:prstGeom>
                    <a:noFill/>
                    <a:ln>
                      <a:noFill/>
                    </a:ln>
                  </pic:spPr>
                </pic:pic>
              </a:graphicData>
            </a:graphic>
          </wp:inline>
        </w:drawing>
      </w:r>
    </w:p>
    <w:p>
      <w:pPr>
        <w:rPr>
          <w:rFonts w:ascii="宋体" w:hAnsi="宋体" w:cs="宋体"/>
          <w:color w:val="000000" w:themeColor="text1"/>
          <w14:textFill>
            <w14:solidFill>
              <w14:schemeClr w14:val="tx1"/>
            </w14:solidFill>
          </w14:textFill>
        </w:rPr>
      </w:pP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5899785" cy="8335010"/>
            <wp:effectExtent l="0" t="0" r="0" b="0"/>
            <wp:docPr id="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899785" cy="8335010"/>
                    </a:xfrm>
                    <a:prstGeom prst="rect">
                      <a:avLst/>
                    </a:prstGeom>
                    <a:noFill/>
                    <a:ln>
                      <a:noFill/>
                    </a:ln>
                  </pic:spPr>
                </pic:pic>
              </a:graphicData>
            </a:graphic>
          </wp:inline>
        </w:drawing>
      </w:r>
    </w:p>
    <w:p>
      <w:pPr>
        <w:rPr>
          <w:rFonts w:ascii="宋体" w:hAnsi="宋体" w:cs="宋体"/>
          <w:color w:val="000000" w:themeColor="text1"/>
          <w14:textFill>
            <w14:solidFill>
              <w14:schemeClr w14:val="tx1"/>
            </w14:solidFill>
          </w14:textFill>
        </w:rPr>
      </w:pP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6010910" cy="7740015"/>
            <wp:effectExtent l="0" t="0" r="0" b="0"/>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6010910" cy="7740015"/>
                    </a:xfrm>
                    <a:prstGeom prst="rect">
                      <a:avLst/>
                    </a:prstGeom>
                    <a:noFill/>
                    <a:ln>
                      <a:noFill/>
                    </a:ln>
                  </pic:spPr>
                </pic:pic>
              </a:graphicData>
            </a:graphic>
          </wp:inline>
        </w:drawing>
      </w:r>
    </w:p>
    <w:p>
      <w:pPr>
        <w:rPr>
          <w:rFonts w:ascii="宋体" w:hAnsi="宋体" w:cs="宋体"/>
          <w:color w:val="000000" w:themeColor="text1"/>
          <w14:textFill>
            <w14:solidFill>
              <w14:schemeClr w14:val="tx1"/>
            </w14:solidFill>
          </w14:textFill>
        </w:rPr>
      </w:pP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5899785" cy="8348980"/>
            <wp:effectExtent l="0" t="0" r="0" b="0"/>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899785" cy="8348980"/>
                    </a:xfrm>
                    <a:prstGeom prst="rect">
                      <a:avLst/>
                    </a:prstGeom>
                    <a:noFill/>
                    <a:ln>
                      <a:noFill/>
                    </a:ln>
                  </pic:spPr>
                </pic:pic>
              </a:graphicData>
            </a:graphic>
          </wp:inline>
        </w:drawing>
      </w:r>
    </w:p>
    <w:p>
      <w:pPr>
        <w:rPr>
          <w:rFonts w:ascii="宋体" w:hAnsi="宋体" w:cs="宋体"/>
          <w:color w:val="000000" w:themeColor="text1"/>
          <w14:textFill>
            <w14:solidFill>
              <w14:schemeClr w14:val="tx1"/>
            </w14:solidFill>
          </w14:textFill>
        </w:rPr>
      </w:pPr>
    </w:p>
    <w:p>
      <w:pPr>
        <w:rPr>
          <w:rFonts w:ascii="宋体" w:hAnsi="宋体" w:cs="宋体"/>
          <w:color w:val="000000" w:themeColor="text1"/>
          <w14:textFill>
            <w14:solidFill>
              <w14:schemeClr w14:val="tx1"/>
            </w14:solidFill>
          </w14:textFill>
        </w:rPr>
      </w:pP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5970905" cy="7463790"/>
            <wp:effectExtent l="0" t="0" r="0" b="0"/>
            <wp:docPr id="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970905" cy="7463790"/>
                    </a:xfrm>
                    <a:prstGeom prst="rect">
                      <a:avLst/>
                    </a:prstGeom>
                    <a:noFill/>
                    <a:ln>
                      <a:noFill/>
                    </a:ln>
                  </pic:spPr>
                </pic:pic>
              </a:graphicData>
            </a:graphic>
          </wp:inline>
        </w:drawing>
      </w:r>
    </w:p>
    <w:p>
      <w:pPr>
        <w:widowControl/>
        <w:spacing w:after="0" w:line="24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5629275" cy="7543800"/>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629275" cy="7543800"/>
                    </a:xfrm>
                    <a:prstGeom prst="rect">
                      <a:avLst/>
                    </a:prstGeom>
                    <a:noFill/>
                    <a:ln>
                      <a:noFill/>
                    </a:ln>
                  </pic:spPr>
                </pic:pic>
              </a:graphicData>
            </a:graphic>
          </wp:inline>
        </w:drawing>
      </w:r>
      <w:r>
        <w:rPr>
          <w:rFonts w:hint="eastAsia" w:ascii="宋体" w:hAnsi="宋体" w:cs="宋体"/>
          <w:color w:val="000000" w:themeColor="text1"/>
          <w14:textFill>
            <w14:solidFill>
              <w14:schemeClr w14:val="tx1"/>
            </w14:solidFill>
          </w14:textFill>
        </w:rPr>
        <w:drawing>
          <wp:inline distT="0" distB="0" distL="0" distR="0">
            <wp:extent cx="5591175" cy="81438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591175" cy="8143875"/>
                    </a:xfrm>
                    <a:prstGeom prst="rect">
                      <a:avLst/>
                    </a:prstGeom>
                    <a:noFill/>
                    <a:ln>
                      <a:noFill/>
                    </a:ln>
                  </pic:spPr>
                </pic:pic>
              </a:graphicData>
            </a:graphic>
          </wp:inline>
        </w:drawing>
      </w:r>
    </w:p>
    <w:p>
      <w:pPr>
        <w:spacing w:line="360" w:lineRule="auto"/>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5941060" cy="3790950"/>
            <wp:effectExtent l="0" t="0" r="0" b="0"/>
            <wp:docPr id="2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941060" cy="3790950"/>
                    </a:xfrm>
                    <a:prstGeom prst="rect">
                      <a:avLst/>
                    </a:prstGeom>
                    <a:noFill/>
                    <a:ln>
                      <a:noFill/>
                    </a:ln>
                  </pic:spPr>
                </pic:pic>
              </a:graphicData>
            </a:graphic>
          </wp:inline>
        </w:drawing>
      </w:r>
    </w:p>
    <w:p>
      <w:pPr>
        <w:rPr>
          <w:rFonts w:ascii="宋体" w:hAnsi="宋体" w:cs="宋体"/>
          <w:color w:val="000000" w:themeColor="text1"/>
          <w14:textFill>
            <w14:solidFill>
              <w14:schemeClr w14:val="tx1"/>
            </w14:solidFill>
          </w14:textFill>
        </w:rPr>
        <w:sectPr>
          <w:footerReference r:id="rId9" w:type="default"/>
          <w:footerReference r:id="rId10" w:type="even"/>
          <w:pgSz w:w="11906" w:h="16838"/>
          <w:pgMar w:top="720" w:right="1559" w:bottom="720" w:left="1559" w:header="851" w:footer="992" w:gutter="0"/>
          <w:cols w:space="720" w:num="1"/>
          <w:docGrid w:linePitch="312" w:charSpace="0"/>
        </w:sectPr>
      </w:pPr>
      <w:r>
        <w:rPr>
          <w:rFonts w:hint="eastAsia" w:ascii="宋体" w:hAnsi="宋体" w:cs="宋体"/>
          <w:color w:val="000000" w:themeColor="text1"/>
          <w14:textFill>
            <w14:solidFill>
              <w14:schemeClr w14:val="tx1"/>
            </w14:solidFill>
          </w14:textFill>
        </w:rPr>
        <w:br w:type="page"/>
      </w:r>
    </w:p>
    <w:p>
      <w:pPr>
        <w:rPr>
          <w:rFonts w:ascii="宋体" w:hAnsi="宋体" w:cs="宋体"/>
          <w:color w:val="000000" w:themeColor="text1"/>
          <w14:textFill>
            <w14:solidFill>
              <w14:schemeClr w14:val="tx1"/>
            </w14:solidFill>
          </w14:textFill>
        </w:rPr>
      </w:pPr>
    </w:p>
    <w:p>
      <w:pPr>
        <w:outlineLvl w:val="1"/>
        <w:rPr>
          <w:rFonts w:ascii="宋体" w:hAnsi="宋体" w:cs="宋体"/>
          <w:b/>
          <w:bCs/>
          <w:color w:val="000000" w:themeColor="text1"/>
          <w:sz w:val="24"/>
          <w:szCs w:val="32"/>
          <w14:textFill>
            <w14:solidFill>
              <w14:schemeClr w14:val="tx1"/>
            </w14:solidFill>
          </w14:textFill>
        </w:rPr>
      </w:pPr>
      <w:r>
        <w:rPr>
          <w:rFonts w:hint="eastAsia" w:ascii="宋体" w:hAnsi="宋体" w:cs="宋体"/>
          <w:b/>
          <w:bCs/>
          <w:color w:val="000000" w:themeColor="text1"/>
          <w:sz w:val="24"/>
          <w:szCs w:val="32"/>
          <w14:textFill>
            <w14:solidFill>
              <w14:schemeClr w14:val="tx1"/>
            </w14:solidFill>
          </w14:textFill>
        </w:rPr>
        <w:t>附件三：政府采购云平台使用介绍</w:t>
      </w:r>
    </w:p>
    <w:p>
      <w:pPr>
        <w:rPr>
          <w:rFonts w:ascii="宋体" w:hAnsi="宋体" w:cs="宋体"/>
          <w:b/>
          <w:bCs/>
          <w:color w:val="000000" w:themeColor="text1"/>
          <w:sz w:val="24"/>
          <w:szCs w:val="32"/>
          <w14:textFill>
            <w14:solidFill>
              <w14:schemeClr w14:val="tx1"/>
            </w14:solidFill>
          </w14:textFill>
        </w:rPr>
      </w:pPr>
      <w:r>
        <w:rPr>
          <w:rFonts w:hint="eastAsia" w:ascii="宋体" w:hAnsi="宋体" w:cs="宋体"/>
          <w:b/>
          <w:bCs/>
          <w:color w:val="000000" w:themeColor="text1"/>
          <w:sz w:val="24"/>
          <w:szCs w:val="32"/>
          <w14:textFill>
            <w14:solidFill>
              <w14:schemeClr w14:val="tx1"/>
            </w14:solidFill>
          </w14:textFill>
        </w:rPr>
        <w:t>1.输入网址：</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"https://www.zcygov.cn" </w:instrText>
      </w:r>
      <w:r>
        <w:rPr>
          <w:color w:val="000000" w:themeColor="text1"/>
          <w14:textFill>
            <w14:solidFill>
              <w14:schemeClr w14:val="tx1"/>
            </w14:solidFill>
          </w14:textFill>
        </w:rPr>
        <w:fldChar w:fldCharType="separate"/>
      </w:r>
      <w:r>
        <w:rPr>
          <w:rStyle w:val="32"/>
          <w:rFonts w:hint="eastAsia" w:ascii="宋体" w:hAnsi="宋体" w:cs="宋体"/>
          <w:b/>
          <w:bCs/>
          <w:color w:val="000000" w:themeColor="text1"/>
          <w:sz w:val="24"/>
          <w:szCs w:val="32"/>
          <w14:textFill>
            <w14:solidFill>
              <w14:schemeClr w14:val="tx1"/>
            </w14:solidFill>
          </w14:textFill>
        </w:rPr>
        <w:t>https://www.zcygov.cn</w:t>
      </w:r>
      <w:r>
        <w:rPr>
          <w:rStyle w:val="32"/>
          <w:rFonts w:hint="eastAsia" w:ascii="宋体" w:hAnsi="宋体" w:cs="宋体"/>
          <w:b/>
          <w:bCs/>
          <w:color w:val="000000" w:themeColor="text1"/>
          <w:sz w:val="24"/>
          <w:szCs w:val="32"/>
          <w14:textFill>
            <w14:solidFill>
              <w14:schemeClr w14:val="tx1"/>
            </w14:solidFill>
          </w14:textFill>
        </w:rPr>
        <w:fldChar w:fldCharType="end"/>
      </w:r>
    </w:p>
    <w:p>
      <w:pPr>
        <w:rPr>
          <w:rFonts w:ascii="宋体" w:hAnsi="宋体" w:cs="宋体"/>
          <w:b/>
          <w:bCs/>
          <w:color w:val="000000" w:themeColor="text1"/>
          <w:sz w:val="24"/>
          <w:szCs w:val="32"/>
          <w14:textFill>
            <w14:solidFill>
              <w14:schemeClr w14:val="tx1"/>
            </w14:solidFill>
          </w14:textFill>
        </w:rPr>
      </w:pPr>
      <w:r>
        <w:rPr>
          <w:rFonts w:hint="eastAsia" w:ascii="宋体" w:hAnsi="宋体" w:cs="宋体"/>
          <w:b/>
          <w:bCs/>
          <w:color w:val="000000" w:themeColor="text1"/>
          <w:sz w:val="24"/>
          <w:szCs w:val="32"/>
          <w14:textFill>
            <w14:solidFill>
              <w14:schemeClr w14:val="tx1"/>
            </w14:solidFill>
          </w14:textFill>
        </w:rPr>
        <w:t>2.选择与项目对应的行政区域如：四川省-成都市-成都市本级</w:t>
      </w: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4653915" cy="2910840"/>
            <wp:effectExtent l="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653915" cy="2910840"/>
                    </a:xfrm>
                    <a:prstGeom prst="rect">
                      <a:avLst/>
                    </a:prstGeom>
                    <a:noFill/>
                    <a:ln>
                      <a:noFill/>
                    </a:ln>
                  </pic:spPr>
                </pic:pic>
              </a:graphicData>
            </a:graphic>
          </wp:inline>
        </w:drawing>
      </w:r>
    </w:p>
    <w:p>
      <w:pPr>
        <w:rPr>
          <w:rFonts w:ascii="宋体" w:hAnsi="宋体" w:cs="宋体"/>
          <w:color w:val="000000" w:themeColor="text1"/>
          <w14:textFill>
            <w14:solidFill>
              <w14:schemeClr w14:val="tx1"/>
            </w14:solidFill>
          </w14:textFill>
        </w:rPr>
      </w:pPr>
    </w:p>
    <w:p>
      <w:pPr>
        <w:numPr>
          <w:ilvl w:val="0"/>
          <w:numId w:val="5"/>
        </w:numPr>
        <w:rPr>
          <w:rFonts w:ascii="宋体" w:hAnsi="宋体" w:cs="宋体"/>
          <w:b/>
          <w:bCs/>
          <w:color w:val="000000" w:themeColor="text1"/>
          <w:sz w:val="24"/>
          <w:szCs w:val="32"/>
          <w14:textFill>
            <w14:solidFill>
              <w14:schemeClr w14:val="tx1"/>
            </w14:solidFill>
          </w14:textFill>
        </w:rPr>
      </w:pPr>
      <w:r>
        <w:rPr>
          <w:rFonts w:hint="eastAsia" w:ascii="宋体" w:hAnsi="宋体" w:cs="宋体"/>
          <w:b/>
          <w:bCs/>
          <w:color w:val="000000" w:themeColor="text1"/>
          <w:sz w:val="24"/>
          <w:szCs w:val="32"/>
          <w14:textFill>
            <w14:solidFill>
              <w14:schemeClr w14:val="tx1"/>
            </w14:solidFill>
          </w14:textFill>
        </w:rPr>
        <w:t>点击操作指南-供应商</w:t>
      </w:r>
    </w:p>
    <w:p>
      <w:pPr>
        <w:rPr>
          <w:rFonts w:ascii="宋体" w:hAnsi="宋体" w:cs="宋体"/>
          <w:b/>
          <w:bCs/>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8854440" cy="4585335"/>
            <wp:effectExtent l="0" t="0" r="0" b="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8854440" cy="4585335"/>
                    </a:xfrm>
                    <a:prstGeom prst="rect">
                      <a:avLst/>
                    </a:prstGeom>
                    <a:noFill/>
                    <a:ln>
                      <a:noFill/>
                    </a:ln>
                  </pic:spPr>
                </pic:pic>
              </a:graphicData>
            </a:graphic>
          </wp:inline>
        </w:drawing>
      </w:r>
      <w:r>
        <w:rPr>
          <w:rFonts w:hint="eastAsia" w:ascii="宋体" w:hAnsi="宋体" w:cs="宋体"/>
          <w:color w:val="000000" w:themeColor="text1"/>
          <w14:textFill>
            <w14:solidFill>
              <w14:schemeClr w14:val="tx1"/>
            </w14:solidFill>
          </w14:textFill>
        </w:rPr>
        <w:br w:type="page"/>
      </w:r>
      <w:r>
        <w:rPr>
          <w:rFonts w:hint="eastAsia" w:ascii="宋体" w:hAnsi="宋体" w:cs="宋体"/>
          <w:b/>
          <w:bCs/>
          <w:color w:val="000000" w:themeColor="text1"/>
          <w:sz w:val="24"/>
          <w:szCs w:val="32"/>
          <w14:textFill>
            <w14:solidFill>
              <w14:schemeClr w14:val="tx1"/>
            </w14:solidFill>
          </w14:textFill>
        </w:rPr>
        <w:t>4.进入政采云供应商学习专题页面</w:t>
      </w:r>
      <w:r>
        <w:rPr>
          <w:rFonts w:hint="eastAsia" w:ascii="宋体" w:hAnsi="宋体" w:cs="宋体"/>
          <w:b/>
          <w:bCs/>
          <w:color w:val="000000" w:themeColor="text1"/>
          <w14:textFill>
            <w14:solidFill>
              <w14:schemeClr w14:val="tx1"/>
            </w14:solidFill>
          </w14:textFill>
        </w:rPr>
        <w:t>（https://edu.zcygov.cn/luban/xxzt-chengdu-gys?utm=a0017.b1347.cl50.5.0917bc90b7bb11eb807c353645758db6）</w:t>
      </w: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7841615" cy="3902710"/>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7841615" cy="3902710"/>
                    </a:xfrm>
                    <a:prstGeom prst="rect">
                      <a:avLst/>
                    </a:prstGeom>
                    <a:noFill/>
                    <a:ln>
                      <a:noFill/>
                    </a:ln>
                  </pic:spPr>
                </pic:pic>
              </a:graphicData>
            </a:graphic>
          </wp:inline>
        </w:drawing>
      </w:r>
    </w:p>
    <w:p>
      <w:pPr>
        <w:rPr>
          <w:rFonts w:ascii="宋体" w:hAnsi="宋体" w:cs="宋体"/>
          <w:b/>
          <w:bCs/>
          <w:color w:val="000000" w:themeColor="text1"/>
          <w:sz w:val="24"/>
          <w:szCs w:val="32"/>
          <w14:textFill>
            <w14:solidFill>
              <w14:schemeClr w14:val="tx1"/>
            </w14:solidFill>
          </w14:textFill>
        </w:rPr>
      </w:pPr>
      <w:r>
        <w:rPr>
          <w:rFonts w:hint="eastAsia" w:ascii="宋体" w:hAnsi="宋体" w:cs="宋体"/>
          <w:color w:val="000000" w:themeColor="text1"/>
          <w14:textFill>
            <w14:solidFill>
              <w14:schemeClr w14:val="tx1"/>
            </w14:solidFill>
          </w14:textFill>
        </w:rPr>
        <w:br w:type="page"/>
      </w:r>
      <w:r>
        <w:rPr>
          <w:rFonts w:hint="eastAsia" w:ascii="宋体" w:hAnsi="宋体" w:cs="宋体"/>
          <w:b/>
          <w:bCs/>
          <w:color w:val="000000" w:themeColor="text1"/>
          <w:sz w:val="24"/>
          <w:szCs w:val="32"/>
          <w14:textFill>
            <w14:solidFill>
              <w14:schemeClr w14:val="tx1"/>
            </w14:solidFill>
          </w14:textFill>
        </w:rPr>
        <w:t>5.供应商资讯服务渠道</w:t>
      </w: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9380855" cy="3362960"/>
            <wp:effectExtent l="0" t="0" r="0" b="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9380855" cy="3362960"/>
                    </a:xfrm>
                    <a:prstGeom prst="rect">
                      <a:avLst/>
                    </a:prstGeom>
                    <a:noFill/>
                    <a:ln>
                      <a:noFill/>
                    </a:ln>
                  </pic:spPr>
                </pic:pic>
              </a:graphicData>
            </a:graphic>
          </wp:inline>
        </w:drawing>
      </w: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br w:type="page"/>
      </w:r>
      <w:r>
        <w:rPr>
          <w:rFonts w:hint="eastAsia" w:ascii="宋体" w:hAnsi="宋体" w:cs="宋体"/>
          <w:b/>
          <w:bCs/>
          <w:color w:val="000000" w:themeColor="text1"/>
          <w:sz w:val="24"/>
          <w:szCs w:val="32"/>
          <w14:textFill>
            <w14:solidFill>
              <w14:schemeClr w14:val="tx1"/>
            </w14:solidFill>
          </w14:textFill>
        </w:rPr>
        <w:t>6.入驻政府采购云平台（注册）</w:t>
      </w: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8853805" cy="3604895"/>
            <wp:effectExtent l="0" t="0" r="0" b="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8853805" cy="3604895"/>
                    </a:xfrm>
                    <a:prstGeom prst="rect">
                      <a:avLst/>
                    </a:prstGeom>
                    <a:noFill/>
                    <a:ln>
                      <a:noFill/>
                    </a:ln>
                  </pic:spPr>
                </pic:pic>
              </a:graphicData>
            </a:graphic>
          </wp:inline>
        </w:drawing>
      </w: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br w:type="page"/>
      </w:r>
      <w:r>
        <w:rPr>
          <w:rFonts w:hint="eastAsia" w:ascii="宋体" w:hAnsi="宋体" w:cs="宋体"/>
          <w:b/>
          <w:bCs/>
          <w:color w:val="000000" w:themeColor="text1"/>
          <w:sz w:val="24"/>
          <w:szCs w:val="32"/>
          <w14:textFill>
            <w14:solidFill>
              <w14:schemeClr w14:val="tx1"/>
            </w14:solidFill>
          </w14:textFill>
        </w:rPr>
        <w:t>7.下载《供应商政府采购项目电子交易操作指南》</w:t>
      </w: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0" distR="0">
            <wp:extent cx="7598410" cy="4210050"/>
            <wp:effectExtent l="0" t="0" r="0" b="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7598410" cy="4210050"/>
                    </a:xfrm>
                    <a:prstGeom prst="rect">
                      <a:avLst/>
                    </a:prstGeom>
                    <a:noFill/>
                    <a:ln>
                      <a:noFill/>
                    </a:ln>
                  </pic:spPr>
                </pic:pic>
              </a:graphicData>
            </a:graphic>
          </wp:inline>
        </w:drawing>
      </w:r>
    </w:p>
    <w:p>
      <w:pPr>
        <w:pStyle w:val="2"/>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6"/>
        <w:spacing w:line="360" w:lineRule="exact"/>
        <w:rPr>
          <w:b w:val="0"/>
          <w:bCs w:val="0"/>
          <w:color w:val="000000" w:themeColor="text1"/>
          <w:sz w:val="24"/>
          <w:szCs w:val="24"/>
          <w14:textFill>
            <w14:solidFill>
              <w14:schemeClr w14:val="tx1"/>
            </w14:solidFill>
          </w14:textFill>
        </w:rPr>
        <w:sectPr>
          <w:pgSz w:w="16838" w:h="11906" w:orient="landscape"/>
          <w:pgMar w:top="1276" w:right="1559" w:bottom="1274" w:left="1559" w:header="851" w:footer="992" w:gutter="0"/>
          <w:cols w:space="720" w:num="1"/>
          <w:docGrid w:linePitch="312" w:charSpace="0"/>
        </w:sectPr>
      </w:pPr>
    </w:p>
    <w:p>
      <w:pPr>
        <w:pStyle w:val="6"/>
        <w:spacing w:line="360" w:lineRule="exact"/>
        <w:rPr>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附件四：签订次年合同评分细则</w:t>
      </w:r>
    </w:p>
    <w:p>
      <w:pPr>
        <w:spacing w:line="500" w:lineRule="exact"/>
        <w:ind w:right="735" w:rightChars="350" w:firstLine="480" w:firstLineChars="200"/>
        <w:rPr>
          <w:rFonts w:ascii="宋体" w:hAnsi="宋体" w:cs="宋体"/>
          <w:color w:val="000000" w:themeColor="text1"/>
          <w:kern w:val="0"/>
          <w:sz w:val="24"/>
          <w:szCs w:val="20"/>
          <w14:textFill>
            <w14:solidFill>
              <w14:schemeClr w14:val="tx1"/>
            </w14:solidFill>
          </w14:textFill>
        </w:rPr>
      </w:pPr>
      <w:r>
        <w:rPr>
          <w:rFonts w:hint="eastAsia" w:ascii="宋体" w:hAnsi="宋体" w:cs="宋体"/>
          <w:color w:val="000000" w:themeColor="text1"/>
          <w:kern w:val="0"/>
          <w:sz w:val="24"/>
          <w:szCs w:val="20"/>
          <w14:textFill>
            <w14:solidFill>
              <w14:schemeClr w14:val="tx1"/>
            </w14:solidFill>
          </w14:textFill>
        </w:rPr>
        <w:t>从第一次合同签订生效之日起三年内，甲方可按照以下评分细则对乙方每年的工作情况进行满意度评价，满分</w:t>
      </w:r>
      <w:r>
        <w:rPr>
          <w:rFonts w:ascii="宋体" w:hAnsi="宋体" w:cs="宋体"/>
          <w:color w:val="000000" w:themeColor="text1"/>
          <w:kern w:val="0"/>
          <w:sz w:val="24"/>
          <w:szCs w:val="20"/>
          <w14:textFill>
            <w14:solidFill>
              <w14:schemeClr w14:val="tx1"/>
            </w14:solidFill>
          </w14:textFill>
        </w:rPr>
        <w:t>100</w:t>
      </w:r>
      <w:r>
        <w:rPr>
          <w:rFonts w:hint="eastAsia" w:ascii="宋体" w:hAnsi="宋体" w:cs="宋体"/>
          <w:color w:val="000000" w:themeColor="text1"/>
          <w:kern w:val="0"/>
          <w:sz w:val="24"/>
          <w:szCs w:val="20"/>
          <w14:textFill>
            <w14:solidFill>
              <w14:schemeClr w14:val="tx1"/>
            </w14:solidFill>
          </w14:textFill>
        </w:rPr>
        <w:t>分。若评定总分小于8</w:t>
      </w:r>
      <w:r>
        <w:rPr>
          <w:rFonts w:ascii="宋体" w:hAnsi="宋体" w:cs="宋体"/>
          <w:color w:val="000000" w:themeColor="text1"/>
          <w:kern w:val="0"/>
          <w:sz w:val="24"/>
          <w:szCs w:val="20"/>
          <w14:textFill>
            <w14:solidFill>
              <w14:schemeClr w14:val="tx1"/>
            </w14:solidFill>
          </w14:textFill>
        </w:rPr>
        <w:t>0</w:t>
      </w:r>
      <w:r>
        <w:rPr>
          <w:rFonts w:hint="eastAsia" w:ascii="宋体" w:hAnsi="宋体" w:cs="宋体"/>
          <w:color w:val="000000" w:themeColor="text1"/>
          <w:kern w:val="0"/>
          <w:sz w:val="24"/>
          <w:szCs w:val="20"/>
          <w14:textFill>
            <w14:solidFill>
              <w14:schemeClr w14:val="tx1"/>
            </w14:solidFill>
          </w14:textFill>
        </w:rPr>
        <w:t>分，甲方有权决定次年是否与乙方签订次年合同；若评定总分大于等于8</w:t>
      </w:r>
      <w:r>
        <w:rPr>
          <w:rFonts w:ascii="宋体" w:hAnsi="宋体" w:cs="宋体"/>
          <w:color w:val="000000" w:themeColor="text1"/>
          <w:kern w:val="0"/>
          <w:sz w:val="24"/>
          <w:szCs w:val="20"/>
          <w14:textFill>
            <w14:solidFill>
              <w14:schemeClr w14:val="tx1"/>
            </w14:solidFill>
          </w14:textFill>
        </w:rPr>
        <w:t>0</w:t>
      </w:r>
      <w:r>
        <w:rPr>
          <w:rFonts w:hint="eastAsia" w:ascii="宋体" w:hAnsi="宋体" w:cs="宋体"/>
          <w:color w:val="000000" w:themeColor="text1"/>
          <w:kern w:val="0"/>
          <w:sz w:val="24"/>
          <w:szCs w:val="20"/>
          <w14:textFill>
            <w14:solidFill>
              <w14:schemeClr w14:val="tx1"/>
            </w14:solidFill>
          </w14:textFill>
        </w:rPr>
        <w:t>分，甲方须继续与乙方签订次年合同。</w:t>
      </w:r>
    </w:p>
    <w:tbl>
      <w:tblPr>
        <w:tblStyle w:val="28"/>
        <w:tblpPr w:leftFromText="180" w:rightFromText="180" w:vertAnchor="text" w:horzAnchor="margin" w:tblpY="351"/>
        <w:tblOverlap w:val="never"/>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34"/>
        <w:gridCol w:w="709"/>
        <w:gridCol w:w="5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04" w:type="dxa"/>
            <w:vAlign w:val="center"/>
          </w:tcPr>
          <w:p>
            <w:pPr>
              <w:ind w:firstLine="28"/>
              <w:jc w:val="center"/>
              <w:rPr>
                <w:rFonts w:hAnsi="宋体" w:cs="宋体"/>
                <w:b/>
                <w:bCs/>
                <w:color w:val="000000" w:themeColor="text1"/>
                <w14:textFill>
                  <w14:solidFill>
                    <w14:schemeClr w14:val="tx1"/>
                  </w14:solidFill>
                </w14:textFill>
              </w:rPr>
            </w:pPr>
            <w:r>
              <w:rPr>
                <w:rFonts w:hint="eastAsia" w:hAnsi="宋体" w:cs="宋体"/>
                <w:b/>
                <w:bCs/>
                <w:color w:val="000000" w:themeColor="text1"/>
                <w14:textFill>
                  <w14:solidFill>
                    <w14:schemeClr w14:val="tx1"/>
                  </w14:solidFill>
                </w14:textFill>
              </w:rPr>
              <w:t>序号</w:t>
            </w:r>
          </w:p>
        </w:tc>
        <w:tc>
          <w:tcPr>
            <w:tcW w:w="1134" w:type="dxa"/>
            <w:vAlign w:val="center"/>
          </w:tcPr>
          <w:p>
            <w:pPr>
              <w:ind w:firstLine="28"/>
              <w:jc w:val="center"/>
              <w:rPr>
                <w:rFonts w:hAnsi="宋体" w:cs="宋体"/>
                <w:b/>
                <w:bCs/>
                <w:color w:val="000000" w:themeColor="text1"/>
                <w14:textFill>
                  <w14:solidFill>
                    <w14:schemeClr w14:val="tx1"/>
                  </w14:solidFill>
                </w14:textFill>
              </w:rPr>
            </w:pPr>
            <w:r>
              <w:rPr>
                <w:rFonts w:hint="eastAsia" w:hAnsi="宋体" w:cs="宋体"/>
                <w:b/>
                <w:bCs/>
                <w:color w:val="000000" w:themeColor="text1"/>
                <w14:textFill>
                  <w14:solidFill>
                    <w14:schemeClr w14:val="tx1"/>
                  </w14:solidFill>
                </w14:textFill>
              </w:rPr>
              <w:t>评分因素</w:t>
            </w:r>
          </w:p>
        </w:tc>
        <w:tc>
          <w:tcPr>
            <w:tcW w:w="709" w:type="dxa"/>
            <w:vAlign w:val="center"/>
          </w:tcPr>
          <w:p>
            <w:pPr>
              <w:ind w:firstLine="28"/>
              <w:jc w:val="center"/>
              <w:rPr>
                <w:rFonts w:hAnsi="宋体" w:cs="宋体"/>
                <w:b/>
                <w:bCs/>
                <w:color w:val="000000" w:themeColor="text1"/>
                <w14:textFill>
                  <w14:solidFill>
                    <w14:schemeClr w14:val="tx1"/>
                  </w14:solidFill>
                </w14:textFill>
              </w:rPr>
            </w:pPr>
            <w:r>
              <w:rPr>
                <w:rFonts w:hint="eastAsia" w:hAnsi="宋体" w:cs="宋体"/>
                <w:b/>
                <w:bCs/>
                <w:color w:val="000000" w:themeColor="text1"/>
                <w14:textFill>
                  <w14:solidFill>
                    <w14:schemeClr w14:val="tx1"/>
                  </w14:solidFill>
                </w14:textFill>
              </w:rPr>
              <w:t>分值</w:t>
            </w:r>
          </w:p>
        </w:tc>
        <w:tc>
          <w:tcPr>
            <w:tcW w:w="5812" w:type="dxa"/>
            <w:vAlign w:val="center"/>
          </w:tcPr>
          <w:p>
            <w:pPr>
              <w:ind w:firstLine="28"/>
              <w:jc w:val="center"/>
              <w:rPr>
                <w:rFonts w:hAnsi="宋体" w:cs="宋体"/>
                <w:b/>
                <w:bCs/>
                <w:color w:val="000000" w:themeColor="text1"/>
                <w14:textFill>
                  <w14:solidFill>
                    <w14:schemeClr w14:val="tx1"/>
                  </w14:solidFill>
                </w14:textFill>
              </w:rPr>
            </w:pPr>
            <w:r>
              <w:rPr>
                <w:rFonts w:hint="eastAsia" w:hAnsi="宋体" w:cs="宋体"/>
                <w:b/>
                <w:bCs/>
                <w:color w:val="000000" w:themeColor="text1"/>
                <w14:textFill>
                  <w14:solidFill>
                    <w14:schemeClr w14:val="tx1"/>
                  </w14:solidFill>
                </w14:textFill>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04" w:type="dxa"/>
            <w:vAlign w:val="center"/>
          </w:tcPr>
          <w:p>
            <w:pPr>
              <w:spacing w:line="360" w:lineRule="auto"/>
              <w:ind w:firstLine="28"/>
              <w:jc w:val="center"/>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1</w:t>
            </w:r>
          </w:p>
        </w:tc>
        <w:tc>
          <w:tcPr>
            <w:tcW w:w="1134" w:type="dxa"/>
            <w:vAlign w:val="center"/>
          </w:tcPr>
          <w:p>
            <w:pPr>
              <w:spacing w:line="360" w:lineRule="auto"/>
              <w:ind w:firstLine="28"/>
              <w:jc w:val="center"/>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成果完整情况</w:t>
            </w:r>
          </w:p>
        </w:tc>
        <w:tc>
          <w:tcPr>
            <w:tcW w:w="709" w:type="dxa"/>
            <w:vAlign w:val="center"/>
          </w:tcPr>
          <w:p>
            <w:pPr>
              <w:spacing w:line="360" w:lineRule="auto"/>
              <w:ind w:firstLine="28"/>
              <w:jc w:val="center"/>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12分</w:t>
            </w:r>
          </w:p>
        </w:tc>
        <w:tc>
          <w:tcPr>
            <w:tcW w:w="5812" w:type="dxa"/>
            <w:vAlign w:val="center"/>
          </w:tcPr>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提交的年度体检评估报告必须包括评估维度及指标体系、体检评估分析、上一年度体检评估问题的整改落实情况、对策建议等方面内容。【共</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分，每有一项存在缺陷（缺陷是指内容与项目需求不符或存在逻辑问题或与实际情况不符或不完善）扣</w:t>
            </w:r>
            <w:r>
              <w:rPr>
                <w:color w:val="000000" w:themeColor="text1"/>
                <w14:textFill>
                  <w14:solidFill>
                    <w14:schemeClr w14:val="tx1"/>
                  </w14:solidFill>
                </w14:textFill>
              </w:rPr>
              <w:t>1.5</w:t>
            </w:r>
            <w:r>
              <w:rPr>
                <w:rFonts w:hint="eastAsia"/>
                <w:color w:val="000000" w:themeColor="text1"/>
                <w14:textFill>
                  <w14:solidFill>
                    <w14:schemeClr w14:val="tx1"/>
                  </w14:solidFill>
                </w14:textFill>
              </w:rPr>
              <w:t>分，直至扣完为止。】</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提交的附件必须包括①城市体检指标表；②年度规划实施分析图；③年度体检基础数据库建设情况说明。【共</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分，每有一项存在缺陷（缺陷是指内容与项目需求不符或存在逻辑问题或与实际情况不符或不完善）扣2分，直至扣完为止。】由于政策变化导致的成果要求变化另行制定评分指标。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704" w:type="dxa"/>
            <w:vAlign w:val="center"/>
          </w:tcPr>
          <w:p>
            <w:pPr>
              <w:spacing w:line="360" w:lineRule="auto"/>
              <w:ind w:firstLine="28"/>
              <w:jc w:val="center"/>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2</w:t>
            </w:r>
          </w:p>
        </w:tc>
        <w:tc>
          <w:tcPr>
            <w:tcW w:w="1134" w:type="dxa"/>
            <w:vAlign w:val="center"/>
          </w:tcPr>
          <w:p>
            <w:pPr>
              <w:spacing w:line="360" w:lineRule="auto"/>
              <w:ind w:firstLine="28"/>
              <w:jc w:val="center"/>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指标体系情况</w:t>
            </w:r>
          </w:p>
        </w:tc>
        <w:tc>
          <w:tcPr>
            <w:tcW w:w="709" w:type="dxa"/>
            <w:vAlign w:val="center"/>
          </w:tcPr>
          <w:p>
            <w:pPr>
              <w:spacing w:line="360" w:lineRule="auto"/>
              <w:jc w:val="center"/>
              <w:rPr>
                <w:rFonts w:hAnsi="宋体" w:cs="宋体"/>
                <w:color w:val="000000" w:themeColor="text1"/>
                <w14:textFill>
                  <w14:solidFill>
                    <w14:schemeClr w14:val="tx1"/>
                  </w14:solidFill>
                </w14:textFill>
              </w:rPr>
            </w:pPr>
            <w:r>
              <w:rPr>
                <w:rFonts w:hAnsi="宋体" w:cs="宋体"/>
                <w:color w:val="000000" w:themeColor="text1"/>
                <w14:textFill>
                  <w14:solidFill>
                    <w14:schemeClr w14:val="tx1"/>
                  </w14:solidFill>
                </w14:textFill>
              </w:rPr>
              <w:t>20</w:t>
            </w:r>
            <w:r>
              <w:rPr>
                <w:rFonts w:hint="eastAsia" w:hAnsi="宋体" w:cs="宋体"/>
                <w:color w:val="000000" w:themeColor="text1"/>
                <w14:textFill>
                  <w14:solidFill>
                    <w14:schemeClr w14:val="tx1"/>
                  </w14:solidFill>
                </w14:textFill>
              </w:rPr>
              <w:t>分</w:t>
            </w:r>
          </w:p>
        </w:tc>
        <w:tc>
          <w:tcPr>
            <w:tcW w:w="5812" w:type="dxa"/>
            <w:vAlign w:val="center"/>
          </w:tcPr>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构建的体检评估指标体系必须包含《国土空间规划城市体检评估规程》明确的国务院审批城市的必选指标【共</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分，如无正当合理理由，每缺失一项国务院审批城市的必选指标扣</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分，直至扣完为止。】</w:t>
            </w:r>
          </w:p>
          <w:p>
            <w:pPr>
              <w:ind w:firstLine="420" w:firstLineChars="200"/>
              <w:rPr>
                <w:rFonts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构建的体检评估指标体系应该适当选取《国土空间规划城市体检评估规程》的推荐指标，并结合成都特色构建符合成都实际的特色指标。【共</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分，未选取推荐指标构建指标体系或选取的推荐指标不合理的扣</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分，未选取成都特色指标构建指标体系或特色指标无法体现成都实际情况的扣</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分。】由于</w:t>
            </w:r>
            <w:r>
              <w:rPr>
                <w:color w:val="000000" w:themeColor="text1"/>
                <w14:textFill>
                  <w14:solidFill>
                    <w14:schemeClr w14:val="tx1"/>
                  </w14:solidFill>
                </w14:textFill>
              </w:rPr>
              <w:t>政策变化导致的</w:t>
            </w:r>
            <w:r>
              <w:rPr>
                <w:rFonts w:hint="eastAsia"/>
                <w:color w:val="000000" w:themeColor="text1"/>
                <w14:textFill>
                  <w14:solidFill>
                    <w14:schemeClr w14:val="tx1"/>
                  </w14:solidFill>
                </w14:textFill>
              </w:rPr>
              <w:t>成果</w:t>
            </w:r>
            <w:r>
              <w:rPr>
                <w:color w:val="000000" w:themeColor="text1"/>
                <w14:textFill>
                  <w14:solidFill>
                    <w14:schemeClr w14:val="tx1"/>
                  </w14:solidFill>
                </w14:textFill>
              </w:rPr>
              <w:t>要求变化另行制定评分</w:t>
            </w:r>
            <w:r>
              <w:rPr>
                <w:rFonts w:hint="eastAsia"/>
                <w:color w:val="000000" w:themeColor="text1"/>
                <w14:textFill>
                  <w14:solidFill>
                    <w14:schemeClr w14:val="tx1"/>
                  </w14:solidFill>
                </w14:textFill>
              </w:rPr>
              <w:t>指标</w:t>
            </w:r>
            <w:r>
              <w:rPr>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3" w:hRule="atLeast"/>
        </w:trPr>
        <w:tc>
          <w:tcPr>
            <w:tcW w:w="704" w:type="dxa"/>
            <w:vAlign w:val="center"/>
          </w:tcPr>
          <w:p>
            <w:pPr>
              <w:spacing w:line="360" w:lineRule="auto"/>
              <w:ind w:firstLine="28"/>
              <w:jc w:val="center"/>
              <w:rPr>
                <w:rFonts w:hAnsi="宋体" w:cs="宋体"/>
                <w:color w:val="000000" w:themeColor="text1"/>
                <w14:textFill>
                  <w14:solidFill>
                    <w14:schemeClr w14:val="tx1"/>
                  </w14:solidFill>
                </w14:textFill>
              </w:rPr>
            </w:pPr>
            <w:r>
              <w:rPr>
                <w:rFonts w:hAnsi="宋体" w:cs="宋体"/>
                <w:color w:val="000000" w:themeColor="text1"/>
                <w14:textFill>
                  <w14:solidFill>
                    <w14:schemeClr w14:val="tx1"/>
                  </w14:solidFill>
                </w14:textFill>
              </w:rPr>
              <w:t>3</w:t>
            </w:r>
          </w:p>
        </w:tc>
        <w:tc>
          <w:tcPr>
            <w:tcW w:w="1134" w:type="dxa"/>
            <w:vAlign w:val="center"/>
          </w:tcPr>
          <w:p>
            <w:pPr>
              <w:spacing w:line="360" w:lineRule="auto"/>
              <w:ind w:firstLine="28"/>
              <w:jc w:val="center"/>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完成质量情况</w:t>
            </w:r>
          </w:p>
        </w:tc>
        <w:tc>
          <w:tcPr>
            <w:tcW w:w="709" w:type="dxa"/>
            <w:vAlign w:val="center"/>
          </w:tcPr>
          <w:p>
            <w:pPr>
              <w:spacing w:line="360" w:lineRule="auto"/>
              <w:ind w:firstLine="28"/>
              <w:jc w:val="center"/>
              <w:rPr>
                <w:rFonts w:hAnsi="宋体" w:cs="宋体"/>
                <w:color w:val="000000" w:themeColor="text1"/>
                <w14:textFill>
                  <w14:solidFill>
                    <w14:schemeClr w14:val="tx1"/>
                  </w14:solidFill>
                </w14:textFill>
              </w:rPr>
            </w:pPr>
            <w:r>
              <w:rPr>
                <w:rFonts w:hAnsi="宋体" w:cs="宋体"/>
                <w:color w:val="000000" w:themeColor="text1"/>
                <w14:textFill>
                  <w14:solidFill>
                    <w14:schemeClr w14:val="tx1"/>
                  </w14:solidFill>
                </w14:textFill>
              </w:rPr>
              <w:t>42</w:t>
            </w:r>
            <w:r>
              <w:rPr>
                <w:rFonts w:hint="eastAsia" w:hAnsi="宋体" w:cs="宋体"/>
                <w:color w:val="000000" w:themeColor="text1"/>
                <w14:textFill>
                  <w14:solidFill>
                    <w14:schemeClr w14:val="tx1"/>
                  </w14:solidFill>
                </w14:textFill>
              </w:rPr>
              <w:t>分</w:t>
            </w:r>
          </w:p>
        </w:tc>
        <w:tc>
          <w:tcPr>
            <w:tcW w:w="5812" w:type="dxa"/>
            <w:vAlign w:val="center"/>
          </w:tcPr>
          <w:p>
            <w:pPr>
              <w:ind w:firstLine="420" w:firstLineChars="200"/>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围绕战略定位、底线管控、规模结构、空间布局、支撑体系、实施保障六大维度进行体检评估分析，并明确各个维度的成效及问题。【共</w:t>
            </w:r>
            <w:r>
              <w:rPr>
                <w:rFonts w:hAnsi="宋体" w:cs="宋体"/>
                <w:color w:val="000000" w:themeColor="text1"/>
                <w14:textFill>
                  <w14:solidFill>
                    <w14:schemeClr w14:val="tx1"/>
                  </w14:solidFill>
                </w14:textFill>
              </w:rPr>
              <w:t>18</w:t>
            </w:r>
            <w:r>
              <w:rPr>
                <w:rFonts w:hint="eastAsia" w:hAnsi="宋体" w:cs="宋体"/>
                <w:color w:val="000000" w:themeColor="text1"/>
                <w14:textFill>
                  <w14:solidFill>
                    <w14:schemeClr w14:val="tx1"/>
                  </w14:solidFill>
                </w14:textFill>
              </w:rPr>
              <w:t>分，每有一维度存在缺陷（缺陷是指未分析相应成效问题，或分析的成效问题存在逻辑问题，或成效问题与实际情况不符或不全面的）扣</w:t>
            </w:r>
            <w:r>
              <w:rPr>
                <w:rFonts w:hAnsi="宋体" w:cs="宋体"/>
                <w:color w:val="000000" w:themeColor="text1"/>
                <w14:textFill>
                  <w14:solidFill>
                    <w14:schemeClr w14:val="tx1"/>
                  </w14:solidFill>
                </w14:textFill>
              </w:rPr>
              <w:t>3</w:t>
            </w:r>
            <w:r>
              <w:rPr>
                <w:rFonts w:hint="eastAsia" w:hAnsi="宋体" w:cs="宋体"/>
                <w:color w:val="000000" w:themeColor="text1"/>
                <w14:textFill>
                  <w14:solidFill>
                    <w14:schemeClr w14:val="tx1"/>
                  </w14:solidFill>
                </w14:textFill>
              </w:rPr>
              <w:t>分，直至扣完为止。】</w:t>
            </w:r>
          </w:p>
          <w:p>
            <w:pPr>
              <w:ind w:firstLine="420" w:firstLineChars="200"/>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聚焦上一年度体检评估识别的安全底线、规模结构、空间布局、城市竞争力、城市品质以及实施政策六大问题短板，对评估年度成都市针对性开展整治提升行动的成效进行梳理和评估。【共</w:t>
            </w:r>
            <w:r>
              <w:rPr>
                <w:rFonts w:hAnsi="宋体" w:cs="宋体"/>
                <w:color w:val="000000" w:themeColor="text1"/>
                <w14:textFill>
                  <w14:solidFill>
                    <w14:schemeClr w14:val="tx1"/>
                  </w14:solidFill>
                </w14:textFill>
              </w:rPr>
              <w:t>12</w:t>
            </w:r>
            <w:r>
              <w:rPr>
                <w:rFonts w:hint="eastAsia" w:hAnsi="宋体" w:cs="宋体"/>
                <w:color w:val="000000" w:themeColor="text1"/>
                <w14:textFill>
                  <w14:solidFill>
                    <w14:schemeClr w14:val="tx1"/>
                  </w14:solidFill>
                </w14:textFill>
              </w:rPr>
              <w:t>分，每有一维度存在缺陷（缺陷是指未评估上一年问题整治情况，问题治理评估存在逻辑问题，或问题治理评估与实际情况不符或不全面的未扣</w:t>
            </w:r>
            <w:r>
              <w:rPr>
                <w:rFonts w:hAnsi="宋体" w:cs="宋体"/>
                <w:color w:val="000000" w:themeColor="text1"/>
                <w14:textFill>
                  <w14:solidFill>
                    <w14:schemeClr w14:val="tx1"/>
                  </w14:solidFill>
                </w14:textFill>
              </w:rPr>
              <w:t>2</w:t>
            </w:r>
            <w:r>
              <w:rPr>
                <w:rFonts w:hint="eastAsia" w:hAnsi="宋体" w:cs="宋体"/>
                <w:color w:val="000000" w:themeColor="text1"/>
                <w14:textFill>
                  <w14:solidFill>
                    <w14:schemeClr w14:val="tx1"/>
                  </w14:solidFill>
                </w14:textFill>
              </w:rPr>
              <w:t>分，直至扣完为止。】</w:t>
            </w:r>
          </w:p>
          <w:p>
            <w:pPr>
              <w:ind w:firstLine="420" w:firstLineChars="200"/>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针对体检评估识别出的问题，结合国土空间规划面临的新形势和新要求，对标新理念、新需求，重点聚焦战略定位、底线管控、规模结构、空间布局、支撑体系、实施保障六个维度，针对性提出对策建议。【共</w:t>
            </w:r>
            <w:r>
              <w:rPr>
                <w:rFonts w:hAnsi="宋体" w:cs="宋体"/>
                <w:color w:val="000000" w:themeColor="text1"/>
                <w14:textFill>
                  <w14:solidFill>
                    <w14:schemeClr w14:val="tx1"/>
                  </w14:solidFill>
                </w14:textFill>
              </w:rPr>
              <w:t>12</w:t>
            </w:r>
            <w:r>
              <w:rPr>
                <w:rFonts w:hint="eastAsia" w:hAnsi="宋体" w:cs="宋体"/>
                <w:color w:val="000000" w:themeColor="text1"/>
                <w14:textFill>
                  <w14:solidFill>
                    <w14:schemeClr w14:val="tx1"/>
                  </w14:solidFill>
                </w14:textFill>
              </w:rPr>
              <w:t>分，每有一维度存在缺陷（缺陷是指未提出相应对策建议，或提出的对策建议存在逻辑问题，或对策建议可操作性较差）扣</w:t>
            </w:r>
            <w:r>
              <w:rPr>
                <w:rFonts w:hAnsi="宋体" w:cs="宋体"/>
                <w:color w:val="000000" w:themeColor="text1"/>
                <w14:textFill>
                  <w14:solidFill>
                    <w14:schemeClr w14:val="tx1"/>
                  </w14:solidFill>
                </w14:textFill>
              </w:rPr>
              <w:t>2</w:t>
            </w:r>
            <w:r>
              <w:rPr>
                <w:rFonts w:hint="eastAsia" w:hAnsi="宋体" w:cs="宋体"/>
                <w:color w:val="000000" w:themeColor="text1"/>
                <w14:textFill>
                  <w14:solidFill>
                    <w14:schemeClr w14:val="tx1"/>
                  </w14:solidFill>
                </w14:textFill>
              </w:rPr>
              <w:t>分，直至扣完为止。】</w:t>
            </w:r>
          </w:p>
          <w:p>
            <w:pPr>
              <w:pStyle w:val="2"/>
              <w:rPr>
                <w:rFonts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由于</w:t>
            </w:r>
            <w:r>
              <w:rPr>
                <w:color w:val="000000" w:themeColor="text1"/>
                <w14:textFill>
                  <w14:solidFill>
                    <w14:schemeClr w14:val="tx1"/>
                  </w14:solidFill>
                </w14:textFill>
              </w:rPr>
              <w:t>政策变化导致的</w:t>
            </w:r>
            <w:r>
              <w:rPr>
                <w:rFonts w:hint="eastAsia"/>
                <w:color w:val="000000" w:themeColor="text1"/>
                <w14:textFill>
                  <w14:solidFill>
                    <w14:schemeClr w14:val="tx1"/>
                  </w14:solidFill>
                </w14:textFill>
              </w:rPr>
              <w:t>成果</w:t>
            </w:r>
            <w:r>
              <w:rPr>
                <w:color w:val="000000" w:themeColor="text1"/>
                <w14:textFill>
                  <w14:solidFill>
                    <w14:schemeClr w14:val="tx1"/>
                  </w14:solidFill>
                </w14:textFill>
              </w:rPr>
              <w:t>要求变化</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验收标准变化的，另行制定评分</w:t>
            </w:r>
            <w:r>
              <w:rPr>
                <w:rFonts w:hint="eastAsia"/>
                <w:color w:val="000000" w:themeColor="text1"/>
                <w14:textFill>
                  <w14:solidFill>
                    <w14:schemeClr w14:val="tx1"/>
                  </w14:solidFill>
                </w14:textFill>
              </w:rPr>
              <w:t>指标</w:t>
            </w:r>
            <w:r>
              <w:rPr>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704" w:type="dxa"/>
            <w:vAlign w:val="center"/>
          </w:tcPr>
          <w:p>
            <w:pPr>
              <w:spacing w:line="360" w:lineRule="auto"/>
              <w:jc w:val="center"/>
              <w:rPr>
                <w:rFonts w:hAnsi="宋体" w:cs="宋体"/>
                <w:color w:val="000000" w:themeColor="text1"/>
                <w14:textFill>
                  <w14:solidFill>
                    <w14:schemeClr w14:val="tx1"/>
                  </w14:solidFill>
                </w14:textFill>
              </w:rPr>
            </w:pPr>
            <w:r>
              <w:rPr>
                <w:rFonts w:hAnsi="宋体" w:cs="宋体"/>
                <w:color w:val="000000" w:themeColor="text1"/>
                <w14:textFill>
                  <w14:solidFill>
                    <w14:schemeClr w14:val="tx1"/>
                  </w14:solidFill>
                </w14:textFill>
              </w:rPr>
              <w:t>4</w:t>
            </w:r>
          </w:p>
        </w:tc>
        <w:tc>
          <w:tcPr>
            <w:tcW w:w="1134" w:type="dxa"/>
            <w:vAlign w:val="center"/>
          </w:tcPr>
          <w:p>
            <w:pPr>
              <w:spacing w:line="360" w:lineRule="auto"/>
              <w:jc w:val="center"/>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验收通过情况</w:t>
            </w:r>
          </w:p>
        </w:tc>
        <w:tc>
          <w:tcPr>
            <w:tcW w:w="709" w:type="dxa"/>
            <w:vAlign w:val="center"/>
          </w:tcPr>
          <w:p>
            <w:pPr>
              <w:spacing w:line="360" w:lineRule="auto"/>
              <w:jc w:val="center"/>
              <w:rPr>
                <w:rFonts w:hAnsi="宋体" w:cs="宋体"/>
                <w:color w:val="000000" w:themeColor="text1"/>
                <w14:textFill>
                  <w14:solidFill>
                    <w14:schemeClr w14:val="tx1"/>
                  </w14:solidFill>
                </w14:textFill>
              </w:rPr>
            </w:pPr>
            <w:r>
              <w:rPr>
                <w:rFonts w:hAnsi="宋体" w:cs="宋体"/>
                <w:color w:val="000000" w:themeColor="text1"/>
                <w14:textFill>
                  <w14:solidFill>
                    <w14:schemeClr w14:val="tx1"/>
                  </w14:solidFill>
                </w14:textFill>
              </w:rPr>
              <w:t>14</w:t>
            </w:r>
            <w:r>
              <w:rPr>
                <w:rFonts w:hint="eastAsia" w:hAnsi="宋体" w:cs="宋体"/>
                <w:color w:val="000000" w:themeColor="text1"/>
                <w14:textFill>
                  <w14:solidFill>
                    <w14:schemeClr w14:val="tx1"/>
                  </w14:solidFill>
                </w14:textFill>
              </w:rPr>
              <w:t>分</w:t>
            </w:r>
          </w:p>
        </w:tc>
        <w:tc>
          <w:tcPr>
            <w:tcW w:w="5812" w:type="dxa"/>
            <w:vAlign w:val="center"/>
          </w:tcPr>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乙方一次性通过专家审查会的情况。【共</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分，若乙方第一次专家审查会未通过的，扣</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分，若乙方第二次专家审查会仍未通过的，再扣</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分。】</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乙方一次性通过履约验收会的情况。【共</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分，若乙方第一次履约验收会未通过的，扣</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分，若乙方第二次履约验收会仍未通过的，再扣</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704" w:type="dxa"/>
            <w:vAlign w:val="center"/>
          </w:tcPr>
          <w:p>
            <w:pPr>
              <w:spacing w:line="360" w:lineRule="auto"/>
              <w:ind w:firstLine="28"/>
              <w:jc w:val="center"/>
              <w:rPr>
                <w:rFonts w:hAnsi="宋体" w:cs="宋体"/>
                <w:color w:val="000000" w:themeColor="text1"/>
                <w14:textFill>
                  <w14:solidFill>
                    <w14:schemeClr w14:val="tx1"/>
                  </w14:solidFill>
                </w14:textFill>
              </w:rPr>
            </w:pPr>
            <w:r>
              <w:rPr>
                <w:rFonts w:hAnsi="宋体" w:cs="宋体"/>
                <w:color w:val="000000" w:themeColor="text1"/>
                <w14:textFill>
                  <w14:solidFill>
                    <w14:schemeClr w14:val="tx1"/>
                  </w14:solidFill>
                </w14:textFill>
              </w:rPr>
              <w:t>5</w:t>
            </w:r>
          </w:p>
        </w:tc>
        <w:tc>
          <w:tcPr>
            <w:tcW w:w="1134" w:type="dxa"/>
            <w:shd w:val="clear" w:color="auto" w:fill="auto"/>
            <w:vAlign w:val="center"/>
          </w:tcPr>
          <w:p>
            <w:pPr>
              <w:spacing w:line="360" w:lineRule="auto"/>
              <w:ind w:firstLine="28"/>
              <w:jc w:val="center"/>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服务态度情况</w:t>
            </w:r>
          </w:p>
        </w:tc>
        <w:tc>
          <w:tcPr>
            <w:tcW w:w="709" w:type="dxa"/>
            <w:shd w:val="clear" w:color="auto" w:fill="auto"/>
            <w:vAlign w:val="center"/>
          </w:tcPr>
          <w:p>
            <w:pPr>
              <w:spacing w:line="360" w:lineRule="auto"/>
              <w:ind w:firstLine="28"/>
              <w:jc w:val="center"/>
              <w:rPr>
                <w:rFonts w:hAnsi="宋体" w:cs="宋体"/>
                <w:color w:val="000000" w:themeColor="text1"/>
                <w14:textFill>
                  <w14:solidFill>
                    <w14:schemeClr w14:val="tx1"/>
                  </w14:solidFill>
                </w14:textFill>
              </w:rPr>
            </w:pPr>
            <w:r>
              <w:rPr>
                <w:rFonts w:hAnsi="宋体" w:cs="宋体"/>
                <w:color w:val="000000" w:themeColor="text1"/>
                <w14:textFill>
                  <w14:solidFill>
                    <w14:schemeClr w14:val="tx1"/>
                  </w14:solidFill>
                </w14:textFill>
              </w:rPr>
              <w:t>12</w:t>
            </w:r>
            <w:r>
              <w:rPr>
                <w:rFonts w:hint="eastAsia" w:hAnsi="宋体" w:cs="宋体"/>
                <w:color w:val="000000" w:themeColor="text1"/>
                <w14:textFill>
                  <w14:solidFill>
                    <w14:schemeClr w14:val="tx1"/>
                  </w14:solidFill>
                </w14:textFill>
              </w:rPr>
              <w:t>分</w:t>
            </w:r>
          </w:p>
        </w:tc>
        <w:tc>
          <w:tcPr>
            <w:tcW w:w="5812" w:type="dxa"/>
            <w:shd w:val="clear" w:color="auto" w:fill="auto"/>
            <w:vAlign w:val="center"/>
          </w:tcPr>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乙方在履约过程中的服务态度情况。【共1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分，在无充分理由的情况下，乙方对甲方提出的合理修改意见拒不修改或者修改情况未达到预期的，每有一条意见未修改或未达到要求的，扣</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分，直至扣完为止。】</w:t>
            </w:r>
          </w:p>
        </w:tc>
      </w:tr>
    </w:tbl>
    <w:p>
      <w:pPr>
        <w:spacing w:line="420" w:lineRule="exact"/>
        <w:ind w:firstLine="482" w:firstLineChars="200"/>
        <w:rPr>
          <w:rFonts w:hAnsi="宋体"/>
          <w:b/>
          <w:bCs/>
          <w:color w:val="000000" w:themeColor="text1"/>
          <w:sz w:val="24"/>
          <w14:textFill>
            <w14:solidFill>
              <w14:schemeClr w14:val="tx1"/>
            </w14:solidFill>
          </w14:textFill>
        </w:rPr>
      </w:pPr>
    </w:p>
    <w:p>
      <w:pPr>
        <w:pStyle w:val="2"/>
        <w:rPr>
          <w:color w:val="000000" w:themeColor="text1"/>
          <w14:textFill>
            <w14:solidFill>
              <w14:schemeClr w14:val="tx1"/>
            </w14:solidFill>
          </w14:textFill>
        </w:rPr>
      </w:pPr>
    </w:p>
    <w:bookmarkEnd w:id="169"/>
    <w:sectPr>
      <w:pgSz w:w="11906" w:h="16838"/>
      <w:pgMar w:top="1559" w:right="1274" w:bottom="1559" w:left="1276" w:header="851" w:footer="992" w:gutter="0"/>
      <w:cols w:space="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Eʩ">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8420" cy="25209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58420" cy="252095"/>
                      </a:xfrm>
                      <a:prstGeom prst="rect">
                        <a:avLst/>
                      </a:prstGeom>
                      <a:noFill/>
                      <a:ln w="6350">
                        <a:noFill/>
                      </a:ln>
                    </wps:spPr>
                    <wps:txbx>
                      <w:txbxContent>
                        <w:p>
                          <w:pPr>
                            <w:pStyle w:val="19"/>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9.85pt;width:4.6pt;mso-position-horizontal:center;mso-position-horizontal-relative:margin;mso-wrap-style:none;z-index:251659264;mso-width-relative:page;mso-height-relative:page;" filled="f" stroked="f" coordsize="21600,21600" o:gfxdata="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C//KM0gAAAAIBAAAPAAAAAAAAAAEAIAAAACIAAABkcnMvZG93bnJldi54bWxQSwECFAAU&#10;AAAACACHTuJADBkPNDACAABUBAAADgAAAAAAAAABACAAAAAhAQAAZHJzL2Uyb0RvYy54bWxQSwUG&#10;AAAAAAYABgBZAQAAwwUAAAAA&#10;">
              <v:fill on="f" focussize="0,0"/>
              <v:stroke on="f" weight="0.5pt"/>
              <v:imagedata o:title=""/>
              <o:lock v:ext="edit" aspectratio="f"/>
              <v:textbox inset="0mm,0mm,0mm,0mm" style="mso-fit-shape-to-text:t;">
                <w:txbxContent>
                  <w:p>
                    <w:pPr>
                      <w:pStyle w:val="19"/>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8420" cy="25209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58420" cy="252095"/>
                      </a:xfrm>
                      <a:prstGeom prst="rect">
                        <a:avLst/>
                      </a:prstGeom>
                      <a:noFill/>
                      <a:ln w="6350">
                        <a:noFill/>
                      </a:ln>
                    </wps:spPr>
                    <wps:txbx>
                      <w:txbxContent>
                        <w:p>
                          <w:pPr>
                            <w:pStyle w:val="19"/>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9.85pt;width:4.6pt;mso-position-horizontal:center;mso-position-horizontal-relative:margin;mso-wrap-style:none;z-index:251660288;mso-width-relative:page;mso-height-relative:page;" filled="f" stroked="f" coordsize="21600,21600" o:gfxdata="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v/yjNIAAAACAQAADwAAAAAAAAABACAAAAAiAAAAZHJzL2Rvd25yZXYueG1sUEsBAhQA&#10;FAAAAAgAh07iQMTFXDkxAgAAVAQAAA4AAAAAAAAAAQAgAAAAIQEAAGRycy9lMm9Eb2MueG1sUEsF&#10;BgAAAAAGAAYAWQEAAMQFAAAAAA==&#10;">
              <v:fill on="f" focussize="0,0"/>
              <v:stroke on="f" weight="0.5pt"/>
              <v:imagedata o:title=""/>
              <o:lock v:ext="edit" aspectratio="f"/>
              <v:textbox inset="0mm,0mm,0mm,0mm" style="mso-fit-shape-to-text:t;">
                <w:txbxContent>
                  <w:p>
                    <w:pPr>
                      <w:pStyle w:val="19"/>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pPr>
                          <w:r>
                            <w:rPr>
                              <w:rFonts w:hint="eastAsia"/>
                            </w:rPr>
                            <w:fldChar w:fldCharType="begin"/>
                          </w:r>
                          <w:r>
                            <w:rPr>
                              <w:rFonts w:hint="eastAsia"/>
                            </w:rPr>
                            <w:instrText xml:space="preserve"> PAGE  \* MERGEFORMAT </w:instrText>
                          </w:r>
                          <w:r>
                            <w:rPr>
                              <w:rFonts w:hint="eastAsia"/>
                            </w:rPr>
                            <w:fldChar w:fldCharType="separate"/>
                          </w:r>
                          <w:r>
                            <w:t>29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cOrUyAgAAZQ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6hgr0jScYSKlvvRohW7b&#10;nXluTXkETWf6SfGWrxuUsmE+3DGH0UD5eDzhFkslDVKas0VJbdzXf53HeHQMXkpajFpBNV4WJfKD&#10;RicBGAbDDcZ2MPRe3RjMLpqDWpKJCy7IwaycUV/wopYxB1xMc2QqaBjMm9CPO14kF8tlCsLsWRY2&#10;+t7yCB3l8Xa5D5AzqRxF6ZVAd+IG05f6dH4pcbz/3Keox7/D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b9w6tTICAABlBAAADgAAAAAAAAABACAAAAAfAQAAZHJzL2Uyb0RvYy54bWxQSwUG&#10;AAAAAAYABgBZAQAAwwUAAAAA&#10;">
              <v:fill on="f" focussize="0,0"/>
              <v:stroke on="f" weight="0.5pt"/>
              <v:imagedata o:title=""/>
              <o:lock v:ext="edit" aspectratio="f"/>
              <v:textbox inset="0mm,0mm,0mm,0mm" style="mso-fit-shape-to-text:t;">
                <w:txbxContent>
                  <w:p>
                    <w:pPr>
                      <w:pStyle w:val="19"/>
                    </w:pPr>
                    <w:r>
                      <w:rPr>
                        <w:rFonts w:hint="eastAsia"/>
                      </w:rPr>
                      <w:fldChar w:fldCharType="begin"/>
                    </w:r>
                    <w:r>
                      <w:rPr>
                        <w:rFonts w:hint="eastAsia"/>
                      </w:rPr>
                      <w:instrText xml:space="preserve"> PAGE  \* MERGEFORMAT </w:instrText>
                    </w:r>
                    <w:r>
                      <w:rPr>
                        <w:rFonts w:hint="eastAsia"/>
                      </w:rPr>
                      <w:fldChar w:fldCharType="separate"/>
                    </w:r>
                    <w:r>
                      <w:t>29</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9"/>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19"/>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9"/>
                          </w:pPr>
                          <w:r>
                            <w:rPr>
                              <w:rFonts w:hint="eastAsia"/>
                            </w:rPr>
                            <w:fldChar w:fldCharType="begin"/>
                          </w:r>
                          <w:r>
                            <w:rPr>
                              <w:rFonts w:hint="eastAsia"/>
                            </w:rPr>
                            <w:instrText xml:space="preserve"> PAGE  \* MERGEFORMAT </w:instrText>
                          </w:r>
                          <w:r>
                            <w:rPr>
                              <w:rFonts w:hint="eastAsia"/>
                            </w:rPr>
                            <w:fldChar w:fldCharType="separate"/>
                          </w:r>
                          <w:r>
                            <w:t>105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19"/>
                    </w:pPr>
                    <w:r>
                      <w:rPr>
                        <w:rFonts w:hint="eastAsia"/>
                      </w:rPr>
                      <w:fldChar w:fldCharType="begin"/>
                    </w:r>
                    <w:r>
                      <w:rPr>
                        <w:rFonts w:hint="eastAsia"/>
                      </w:rPr>
                      <w:instrText xml:space="preserve"> PAGE  \* MERGEFORMAT </w:instrText>
                    </w:r>
                    <w:r>
                      <w:rPr>
                        <w:rFonts w:hint="eastAsia"/>
                      </w:rPr>
                      <w:fldChar w:fldCharType="separate"/>
                    </w:r>
                    <w:r>
                      <w:t>105</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9"/>
                          </w:pPr>
                          <w:r>
                            <w:rPr>
                              <w:rFonts w:hint="eastAsia"/>
                            </w:rPr>
                            <w:fldChar w:fldCharType="begin"/>
                          </w:r>
                          <w:r>
                            <w:rPr>
                              <w:rFonts w:hint="eastAsia"/>
                            </w:rPr>
                            <w:instrText xml:space="preserve"> PAGE  \* MERGEFORMAT </w:instrText>
                          </w:r>
                          <w:r>
                            <w:rPr>
                              <w:rFonts w:hint="eastAsia"/>
                            </w:rPr>
                            <w:fldChar w:fldCharType="separate"/>
                          </w:r>
                          <w:r>
                            <w:t>102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19"/>
                    </w:pPr>
                    <w:r>
                      <w:rPr>
                        <w:rFonts w:hint="eastAsia"/>
                      </w:rPr>
                      <w:fldChar w:fldCharType="begin"/>
                    </w:r>
                    <w:r>
                      <w:rPr>
                        <w:rFonts w:hint="eastAsia"/>
                      </w:rPr>
                      <w:instrText xml:space="preserve"> PAGE  \* MERGEFORMAT </w:instrText>
                    </w:r>
                    <w:r>
                      <w:rPr>
                        <w:rFonts w:hint="eastAsia"/>
                      </w:rPr>
                      <w:fldChar w:fldCharType="separate"/>
                    </w:r>
                    <w:r>
                      <w:t>102</w:t>
                    </w:r>
                    <w:r>
                      <w:rPr>
                        <w:rFonts w:hint="eastAsia"/>
                      </w:rPr>
                      <w:fldChar w:fldCharType="end"/>
                    </w:r>
                  </w:p>
                </w:txbxContent>
              </v:textbox>
            </v:shape>
          </w:pict>
        </mc:Fallback>
      </mc:AlternateContent>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8108E7"/>
    <w:multiLevelType w:val="singleLevel"/>
    <w:tmpl w:val="B48108E7"/>
    <w:lvl w:ilvl="0" w:tentative="0">
      <w:start w:val="3"/>
      <w:numFmt w:val="decimal"/>
      <w:lvlText w:val="%1."/>
      <w:lvlJc w:val="left"/>
      <w:pPr>
        <w:tabs>
          <w:tab w:val="left" w:pos="312"/>
        </w:tabs>
      </w:pPr>
    </w:lvl>
  </w:abstractNum>
  <w:abstractNum w:abstractNumId="1">
    <w:nsid w:val="0000000C"/>
    <w:multiLevelType w:val="multilevel"/>
    <w:tmpl w:val="0000000C"/>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decimal"/>
      <w:pStyle w:val="69"/>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1517B247"/>
    <w:multiLevelType w:val="singleLevel"/>
    <w:tmpl w:val="1517B247"/>
    <w:lvl w:ilvl="0" w:tentative="0">
      <w:start w:val="3"/>
      <w:numFmt w:val="decimal"/>
      <w:lvlText w:val="%1."/>
      <w:lvlJc w:val="left"/>
      <w:pPr>
        <w:tabs>
          <w:tab w:val="left" w:pos="312"/>
        </w:tabs>
      </w:pPr>
    </w:lvl>
  </w:abstractNum>
  <w:abstractNum w:abstractNumId="3">
    <w:nsid w:val="7E9F563D"/>
    <w:multiLevelType w:val="singleLevel"/>
    <w:tmpl w:val="7E9F563D"/>
    <w:lvl w:ilvl="0" w:tentative="0">
      <w:start w:val="1"/>
      <w:numFmt w:val="chineseCounting"/>
      <w:suff w:val="nothing"/>
      <w:lvlText w:val="（%1）"/>
      <w:lvlJc w:val="left"/>
      <w:rPr>
        <w:rFonts w:hint="eastAsia"/>
      </w:rPr>
    </w:lvl>
  </w:abstractNum>
  <w:abstractNum w:abstractNumId="4">
    <w:nsid w:val="7E9F6F7D"/>
    <w:multiLevelType w:val="multilevel"/>
    <w:tmpl w:val="7E9F6F7D"/>
    <w:lvl w:ilvl="0" w:tentative="0">
      <w:start w:val="1"/>
      <w:numFmt w:val="japaneseCounting"/>
      <w:lvlText w:val="（%1）"/>
      <w:lvlJc w:val="left"/>
      <w:pPr>
        <w:ind w:left="1247" w:hanging="765"/>
      </w:pPr>
      <w:rPr>
        <w:rFonts w:hint="default"/>
        <w:b/>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319"/>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2DB7"/>
    <w:rsid w:val="00005DD3"/>
    <w:rsid w:val="00007BD1"/>
    <w:rsid w:val="00012AD0"/>
    <w:rsid w:val="00012C2E"/>
    <w:rsid w:val="00013ADD"/>
    <w:rsid w:val="00020B5C"/>
    <w:rsid w:val="0003159C"/>
    <w:rsid w:val="0003174E"/>
    <w:rsid w:val="00035357"/>
    <w:rsid w:val="0003636B"/>
    <w:rsid w:val="00036EEF"/>
    <w:rsid w:val="0003748E"/>
    <w:rsid w:val="00041CB4"/>
    <w:rsid w:val="00043411"/>
    <w:rsid w:val="00043BD7"/>
    <w:rsid w:val="000453E3"/>
    <w:rsid w:val="000504B2"/>
    <w:rsid w:val="000557FD"/>
    <w:rsid w:val="00056EB2"/>
    <w:rsid w:val="000608CE"/>
    <w:rsid w:val="00062DAC"/>
    <w:rsid w:val="00067FFA"/>
    <w:rsid w:val="00080C10"/>
    <w:rsid w:val="00082BFC"/>
    <w:rsid w:val="00084443"/>
    <w:rsid w:val="00084ED2"/>
    <w:rsid w:val="000860FB"/>
    <w:rsid w:val="00095709"/>
    <w:rsid w:val="000964BE"/>
    <w:rsid w:val="000A138A"/>
    <w:rsid w:val="000A1718"/>
    <w:rsid w:val="000A246A"/>
    <w:rsid w:val="000A4465"/>
    <w:rsid w:val="000A6E82"/>
    <w:rsid w:val="000A70F2"/>
    <w:rsid w:val="000B20FB"/>
    <w:rsid w:val="000B248C"/>
    <w:rsid w:val="000B510A"/>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4138"/>
    <w:rsid w:val="00120F20"/>
    <w:rsid w:val="001300AD"/>
    <w:rsid w:val="001324D0"/>
    <w:rsid w:val="00132EA0"/>
    <w:rsid w:val="00136436"/>
    <w:rsid w:val="00141D6D"/>
    <w:rsid w:val="001428A0"/>
    <w:rsid w:val="001442A1"/>
    <w:rsid w:val="0014780B"/>
    <w:rsid w:val="001503DF"/>
    <w:rsid w:val="00151E37"/>
    <w:rsid w:val="00155AAC"/>
    <w:rsid w:val="00157055"/>
    <w:rsid w:val="00175D34"/>
    <w:rsid w:val="001833F5"/>
    <w:rsid w:val="001976B7"/>
    <w:rsid w:val="001A34F3"/>
    <w:rsid w:val="001A5C03"/>
    <w:rsid w:val="001A6131"/>
    <w:rsid w:val="001B1735"/>
    <w:rsid w:val="001B3D1C"/>
    <w:rsid w:val="001B4294"/>
    <w:rsid w:val="001B6171"/>
    <w:rsid w:val="001C03A0"/>
    <w:rsid w:val="001C0578"/>
    <w:rsid w:val="001C2181"/>
    <w:rsid w:val="001C32CC"/>
    <w:rsid w:val="001C6ECA"/>
    <w:rsid w:val="001D22AA"/>
    <w:rsid w:val="001D4690"/>
    <w:rsid w:val="001D4B8D"/>
    <w:rsid w:val="001E1ED1"/>
    <w:rsid w:val="001E48F7"/>
    <w:rsid w:val="001E714D"/>
    <w:rsid w:val="001E7DDD"/>
    <w:rsid w:val="001F1371"/>
    <w:rsid w:val="00204A0D"/>
    <w:rsid w:val="002120E1"/>
    <w:rsid w:val="0021276E"/>
    <w:rsid w:val="002129B6"/>
    <w:rsid w:val="00213E1D"/>
    <w:rsid w:val="00215550"/>
    <w:rsid w:val="002219F1"/>
    <w:rsid w:val="00223F63"/>
    <w:rsid w:val="00227111"/>
    <w:rsid w:val="0023234A"/>
    <w:rsid w:val="002345B5"/>
    <w:rsid w:val="00235C5D"/>
    <w:rsid w:val="002377B0"/>
    <w:rsid w:val="0024052C"/>
    <w:rsid w:val="00243F3F"/>
    <w:rsid w:val="00245839"/>
    <w:rsid w:val="002504CA"/>
    <w:rsid w:val="00255293"/>
    <w:rsid w:val="00261B14"/>
    <w:rsid w:val="002636ED"/>
    <w:rsid w:val="002678E1"/>
    <w:rsid w:val="002703ED"/>
    <w:rsid w:val="00280DAE"/>
    <w:rsid w:val="00285CF5"/>
    <w:rsid w:val="00286A2D"/>
    <w:rsid w:val="002A44C8"/>
    <w:rsid w:val="002B2897"/>
    <w:rsid w:val="002B2C3E"/>
    <w:rsid w:val="002B3F90"/>
    <w:rsid w:val="002B5934"/>
    <w:rsid w:val="002B6198"/>
    <w:rsid w:val="002B734E"/>
    <w:rsid w:val="002C1197"/>
    <w:rsid w:val="002D2655"/>
    <w:rsid w:val="002E2CD1"/>
    <w:rsid w:val="002E5B6F"/>
    <w:rsid w:val="002F2C9B"/>
    <w:rsid w:val="002F56EB"/>
    <w:rsid w:val="002F5B9B"/>
    <w:rsid w:val="00300293"/>
    <w:rsid w:val="00301AC0"/>
    <w:rsid w:val="00303552"/>
    <w:rsid w:val="00303E08"/>
    <w:rsid w:val="00314A71"/>
    <w:rsid w:val="00316030"/>
    <w:rsid w:val="0031619E"/>
    <w:rsid w:val="0033181B"/>
    <w:rsid w:val="00340DA5"/>
    <w:rsid w:val="00341228"/>
    <w:rsid w:val="0034212B"/>
    <w:rsid w:val="00347D96"/>
    <w:rsid w:val="003523E4"/>
    <w:rsid w:val="00353219"/>
    <w:rsid w:val="00363398"/>
    <w:rsid w:val="003651A1"/>
    <w:rsid w:val="003738E0"/>
    <w:rsid w:val="00374D58"/>
    <w:rsid w:val="0038006F"/>
    <w:rsid w:val="00381DA3"/>
    <w:rsid w:val="00383724"/>
    <w:rsid w:val="00394A7E"/>
    <w:rsid w:val="00396C58"/>
    <w:rsid w:val="003A0382"/>
    <w:rsid w:val="003A1953"/>
    <w:rsid w:val="003A377C"/>
    <w:rsid w:val="003B2DCF"/>
    <w:rsid w:val="003B5429"/>
    <w:rsid w:val="003B60B2"/>
    <w:rsid w:val="003C2287"/>
    <w:rsid w:val="003C6143"/>
    <w:rsid w:val="003C6641"/>
    <w:rsid w:val="003D36A3"/>
    <w:rsid w:val="003E01B3"/>
    <w:rsid w:val="003E1ABC"/>
    <w:rsid w:val="003E207C"/>
    <w:rsid w:val="003E77F8"/>
    <w:rsid w:val="003E7E7A"/>
    <w:rsid w:val="003F0AB3"/>
    <w:rsid w:val="003F5469"/>
    <w:rsid w:val="003F5BCC"/>
    <w:rsid w:val="00400DA8"/>
    <w:rsid w:val="00401FAB"/>
    <w:rsid w:val="00406398"/>
    <w:rsid w:val="004065FA"/>
    <w:rsid w:val="00410564"/>
    <w:rsid w:val="00412BD8"/>
    <w:rsid w:val="00414296"/>
    <w:rsid w:val="00422803"/>
    <w:rsid w:val="00424066"/>
    <w:rsid w:val="00440990"/>
    <w:rsid w:val="00445E84"/>
    <w:rsid w:val="00447D55"/>
    <w:rsid w:val="00450099"/>
    <w:rsid w:val="0045072B"/>
    <w:rsid w:val="00460537"/>
    <w:rsid w:val="004669AB"/>
    <w:rsid w:val="0047346B"/>
    <w:rsid w:val="004754E1"/>
    <w:rsid w:val="00475D4E"/>
    <w:rsid w:val="00476799"/>
    <w:rsid w:val="0047730B"/>
    <w:rsid w:val="00482EF1"/>
    <w:rsid w:val="004931CA"/>
    <w:rsid w:val="0049391B"/>
    <w:rsid w:val="004941BE"/>
    <w:rsid w:val="00494706"/>
    <w:rsid w:val="004949C7"/>
    <w:rsid w:val="004B0037"/>
    <w:rsid w:val="004B0E46"/>
    <w:rsid w:val="004D104E"/>
    <w:rsid w:val="004D1906"/>
    <w:rsid w:val="004E315D"/>
    <w:rsid w:val="004F18F5"/>
    <w:rsid w:val="004F7496"/>
    <w:rsid w:val="00516420"/>
    <w:rsid w:val="00517396"/>
    <w:rsid w:val="00521311"/>
    <w:rsid w:val="00522DAA"/>
    <w:rsid w:val="00523645"/>
    <w:rsid w:val="00523B39"/>
    <w:rsid w:val="00532F79"/>
    <w:rsid w:val="00550AED"/>
    <w:rsid w:val="005548CD"/>
    <w:rsid w:val="00563B72"/>
    <w:rsid w:val="00565BA7"/>
    <w:rsid w:val="005662BB"/>
    <w:rsid w:val="005717CE"/>
    <w:rsid w:val="005772D0"/>
    <w:rsid w:val="00592FA0"/>
    <w:rsid w:val="005934BF"/>
    <w:rsid w:val="0059525C"/>
    <w:rsid w:val="0059535F"/>
    <w:rsid w:val="00596A30"/>
    <w:rsid w:val="005A3B30"/>
    <w:rsid w:val="005B7E1E"/>
    <w:rsid w:val="005C29DA"/>
    <w:rsid w:val="005C3B14"/>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03F25"/>
    <w:rsid w:val="0061070B"/>
    <w:rsid w:val="006200BC"/>
    <w:rsid w:val="00621179"/>
    <w:rsid w:val="006243C6"/>
    <w:rsid w:val="006259E2"/>
    <w:rsid w:val="00626DF7"/>
    <w:rsid w:val="00627915"/>
    <w:rsid w:val="00633A8B"/>
    <w:rsid w:val="00635EF8"/>
    <w:rsid w:val="00643229"/>
    <w:rsid w:val="0064389F"/>
    <w:rsid w:val="00646C87"/>
    <w:rsid w:val="00646D79"/>
    <w:rsid w:val="00653218"/>
    <w:rsid w:val="00662E2F"/>
    <w:rsid w:val="006656B4"/>
    <w:rsid w:val="0067387B"/>
    <w:rsid w:val="00680957"/>
    <w:rsid w:val="00681856"/>
    <w:rsid w:val="006818B1"/>
    <w:rsid w:val="00683A41"/>
    <w:rsid w:val="006853DD"/>
    <w:rsid w:val="00686FE1"/>
    <w:rsid w:val="006A1067"/>
    <w:rsid w:val="006A5C53"/>
    <w:rsid w:val="006B17AE"/>
    <w:rsid w:val="006C0888"/>
    <w:rsid w:val="006C287B"/>
    <w:rsid w:val="006C770A"/>
    <w:rsid w:val="006D5B77"/>
    <w:rsid w:val="006D68EE"/>
    <w:rsid w:val="006E0AC8"/>
    <w:rsid w:val="006E2EC7"/>
    <w:rsid w:val="006E3110"/>
    <w:rsid w:val="006F1ACB"/>
    <w:rsid w:val="006F2FC8"/>
    <w:rsid w:val="006F518F"/>
    <w:rsid w:val="006F6DD0"/>
    <w:rsid w:val="007014F1"/>
    <w:rsid w:val="00707412"/>
    <w:rsid w:val="0071016D"/>
    <w:rsid w:val="00712E8B"/>
    <w:rsid w:val="0072289E"/>
    <w:rsid w:val="007244E6"/>
    <w:rsid w:val="00727576"/>
    <w:rsid w:val="00737D7E"/>
    <w:rsid w:val="00737E35"/>
    <w:rsid w:val="0074294C"/>
    <w:rsid w:val="007452BC"/>
    <w:rsid w:val="00745398"/>
    <w:rsid w:val="00750878"/>
    <w:rsid w:val="007508FA"/>
    <w:rsid w:val="00752227"/>
    <w:rsid w:val="0076081B"/>
    <w:rsid w:val="00761BF0"/>
    <w:rsid w:val="00765369"/>
    <w:rsid w:val="00770205"/>
    <w:rsid w:val="007710FF"/>
    <w:rsid w:val="007722C3"/>
    <w:rsid w:val="00780725"/>
    <w:rsid w:val="0078713E"/>
    <w:rsid w:val="00791C59"/>
    <w:rsid w:val="00793D1A"/>
    <w:rsid w:val="007A06CA"/>
    <w:rsid w:val="007A21C4"/>
    <w:rsid w:val="007A4232"/>
    <w:rsid w:val="007A5395"/>
    <w:rsid w:val="007A683D"/>
    <w:rsid w:val="007A6B90"/>
    <w:rsid w:val="007C0E57"/>
    <w:rsid w:val="007C2E13"/>
    <w:rsid w:val="007C4463"/>
    <w:rsid w:val="007D0EDC"/>
    <w:rsid w:val="007D1567"/>
    <w:rsid w:val="007D60B4"/>
    <w:rsid w:val="007D75CD"/>
    <w:rsid w:val="007F3288"/>
    <w:rsid w:val="00800A51"/>
    <w:rsid w:val="00802EA2"/>
    <w:rsid w:val="00804993"/>
    <w:rsid w:val="00807AA2"/>
    <w:rsid w:val="00810496"/>
    <w:rsid w:val="008120D6"/>
    <w:rsid w:val="00812F02"/>
    <w:rsid w:val="00813725"/>
    <w:rsid w:val="00814FCC"/>
    <w:rsid w:val="00822F80"/>
    <w:rsid w:val="008274C3"/>
    <w:rsid w:val="00827C4C"/>
    <w:rsid w:val="00831363"/>
    <w:rsid w:val="00835F45"/>
    <w:rsid w:val="0083602E"/>
    <w:rsid w:val="00840854"/>
    <w:rsid w:val="00846872"/>
    <w:rsid w:val="008547C1"/>
    <w:rsid w:val="00857824"/>
    <w:rsid w:val="00860A8B"/>
    <w:rsid w:val="00862444"/>
    <w:rsid w:val="00864303"/>
    <w:rsid w:val="00864F1F"/>
    <w:rsid w:val="00874357"/>
    <w:rsid w:val="00880309"/>
    <w:rsid w:val="008803C4"/>
    <w:rsid w:val="00882228"/>
    <w:rsid w:val="00884F0B"/>
    <w:rsid w:val="0088578D"/>
    <w:rsid w:val="00891B05"/>
    <w:rsid w:val="00893DAE"/>
    <w:rsid w:val="00893E4C"/>
    <w:rsid w:val="00896E72"/>
    <w:rsid w:val="008B3181"/>
    <w:rsid w:val="008B4263"/>
    <w:rsid w:val="008B4EEB"/>
    <w:rsid w:val="008C3587"/>
    <w:rsid w:val="008C3996"/>
    <w:rsid w:val="008C3E93"/>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37F10"/>
    <w:rsid w:val="009458C9"/>
    <w:rsid w:val="00947DB1"/>
    <w:rsid w:val="00960995"/>
    <w:rsid w:val="00964B1A"/>
    <w:rsid w:val="00967537"/>
    <w:rsid w:val="00975E4A"/>
    <w:rsid w:val="00976578"/>
    <w:rsid w:val="0098738F"/>
    <w:rsid w:val="00992DFA"/>
    <w:rsid w:val="00996F31"/>
    <w:rsid w:val="009979FD"/>
    <w:rsid w:val="009A3ADE"/>
    <w:rsid w:val="009A55F3"/>
    <w:rsid w:val="009B10BE"/>
    <w:rsid w:val="009B78C2"/>
    <w:rsid w:val="009C29A3"/>
    <w:rsid w:val="009C517C"/>
    <w:rsid w:val="009C5643"/>
    <w:rsid w:val="009C6DAD"/>
    <w:rsid w:val="009C7273"/>
    <w:rsid w:val="009D5343"/>
    <w:rsid w:val="009D55C4"/>
    <w:rsid w:val="009E0530"/>
    <w:rsid w:val="009E49C7"/>
    <w:rsid w:val="009E7598"/>
    <w:rsid w:val="009F00D4"/>
    <w:rsid w:val="009F2F4A"/>
    <w:rsid w:val="009F3EDF"/>
    <w:rsid w:val="009F4CCF"/>
    <w:rsid w:val="00A03844"/>
    <w:rsid w:val="00A14601"/>
    <w:rsid w:val="00A20E85"/>
    <w:rsid w:val="00A35BA6"/>
    <w:rsid w:val="00A403CB"/>
    <w:rsid w:val="00A42BDC"/>
    <w:rsid w:val="00A448EF"/>
    <w:rsid w:val="00A44B42"/>
    <w:rsid w:val="00A44F9D"/>
    <w:rsid w:val="00A479E9"/>
    <w:rsid w:val="00A52C1D"/>
    <w:rsid w:val="00A53715"/>
    <w:rsid w:val="00A55A7F"/>
    <w:rsid w:val="00A5752F"/>
    <w:rsid w:val="00A63064"/>
    <w:rsid w:val="00A63261"/>
    <w:rsid w:val="00A64D4F"/>
    <w:rsid w:val="00A66C2F"/>
    <w:rsid w:val="00A70669"/>
    <w:rsid w:val="00A879A4"/>
    <w:rsid w:val="00A977EC"/>
    <w:rsid w:val="00A97A6F"/>
    <w:rsid w:val="00AA60AF"/>
    <w:rsid w:val="00AA7CAF"/>
    <w:rsid w:val="00AB049B"/>
    <w:rsid w:val="00AB131C"/>
    <w:rsid w:val="00AC1677"/>
    <w:rsid w:val="00AC42B7"/>
    <w:rsid w:val="00AC5B81"/>
    <w:rsid w:val="00AD0386"/>
    <w:rsid w:val="00AD36EA"/>
    <w:rsid w:val="00AE10E1"/>
    <w:rsid w:val="00AE28E6"/>
    <w:rsid w:val="00AE45A0"/>
    <w:rsid w:val="00AF0D6C"/>
    <w:rsid w:val="00AF3848"/>
    <w:rsid w:val="00AF4428"/>
    <w:rsid w:val="00AF60F9"/>
    <w:rsid w:val="00B0193A"/>
    <w:rsid w:val="00B04EE9"/>
    <w:rsid w:val="00B0680F"/>
    <w:rsid w:val="00B07FA0"/>
    <w:rsid w:val="00B10039"/>
    <w:rsid w:val="00B115E1"/>
    <w:rsid w:val="00B2007F"/>
    <w:rsid w:val="00B219E5"/>
    <w:rsid w:val="00B27568"/>
    <w:rsid w:val="00B27C33"/>
    <w:rsid w:val="00B27E55"/>
    <w:rsid w:val="00B3031B"/>
    <w:rsid w:val="00B30932"/>
    <w:rsid w:val="00B3547F"/>
    <w:rsid w:val="00B358F5"/>
    <w:rsid w:val="00B45F68"/>
    <w:rsid w:val="00B53500"/>
    <w:rsid w:val="00B54455"/>
    <w:rsid w:val="00B54EE8"/>
    <w:rsid w:val="00B6404E"/>
    <w:rsid w:val="00B80536"/>
    <w:rsid w:val="00B960A9"/>
    <w:rsid w:val="00B97136"/>
    <w:rsid w:val="00BA0384"/>
    <w:rsid w:val="00BA0A8B"/>
    <w:rsid w:val="00BA69F9"/>
    <w:rsid w:val="00BB0F71"/>
    <w:rsid w:val="00BB4E79"/>
    <w:rsid w:val="00BC1157"/>
    <w:rsid w:val="00BC1700"/>
    <w:rsid w:val="00BC3165"/>
    <w:rsid w:val="00BC58A7"/>
    <w:rsid w:val="00BC7B90"/>
    <w:rsid w:val="00BE414D"/>
    <w:rsid w:val="00BE547C"/>
    <w:rsid w:val="00BF6B62"/>
    <w:rsid w:val="00C017FE"/>
    <w:rsid w:val="00C049EB"/>
    <w:rsid w:val="00C06829"/>
    <w:rsid w:val="00C11623"/>
    <w:rsid w:val="00C1271E"/>
    <w:rsid w:val="00C20E1B"/>
    <w:rsid w:val="00C2417D"/>
    <w:rsid w:val="00C36E81"/>
    <w:rsid w:val="00C37D4D"/>
    <w:rsid w:val="00C421B6"/>
    <w:rsid w:val="00C4632C"/>
    <w:rsid w:val="00C508C1"/>
    <w:rsid w:val="00C54267"/>
    <w:rsid w:val="00C603AA"/>
    <w:rsid w:val="00C6242C"/>
    <w:rsid w:val="00C64E97"/>
    <w:rsid w:val="00C758E2"/>
    <w:rsid w:val="00C77FD2"/>
    <w:rsid w:val="00C832B1"/>
    <w:rsid w:val="00C90E3A"/>
    <w:rsid w:val="00C92C88"/>
    <w:rsid w:val="00C9305B"/>
    <w:rsid w:val="00C93B6F"/>
    <w:rsid w:val="00C96206"/>
    <w:rsid w:val="00C967AF"/>
    <w:rsid w:val="00C96930"/>
    <w:rsid w:val="00CA1DE6"/>
    <w:rsid w:val="00CC6527"/>
    <w:rsid w:val="00CD2E71"/>
    <w:rsid w:val="00CD399E"/>
    <w:rsid w:val="00CE0665"/>
    <w:rsid w:val="00CE4310"/>
    <w:rsid w:val="00CE4D4F"/>
    <w:rsid w:val="00CE4D93"/>
    <w:rsid w:val="00CE7D39"/>
    <w:rsid w:val="00CF27A1"/>
    <w:rsid w:val="00CF456F"/>
    <w:rsid w:val="00CF5C5E"/>
    <w:rsid w:val="00D05321"/>
    <w:rsid w:val="00D123E2"/>
    <w:rsid w:val="00D144B4"/>
    <w:rsid w:val="00D14F4B"/>
    <w:rsid w:val="00D23A6E"/>
    <w:rsid w:val="00D24346"/>
    <w:rsid w:val="00D254EB"/>
    <w:rsid w:val="00D258E9"/>
    <w:rsid w:val="00D25B44"/>
    <w:rsid w:val="00D27FD8"/>
    <w:rsid w:val="00D341E2"/>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953CE"/>
    <w:rsid w:val="00D9741C"/>
    <w:rsid w:val="00DA4A29"/>
    <w:rsid w:val="00DA51BA"/>
    <w:rsid w:val="00DA61CE"/>
    <w:rsid w:val="00DC05AA"/>
    <w:rsid w:val="00DC18EA"/>
    <w:rsid w:val="00DC1A76"/>
    <w:rsid w:val="00DD3E62"/>
    <w:rsid w:val="00DD4C4F"/>
    <w:rsid w:val="00DE238E"/>
    <w:rsid w:val="00DE30AA"/>
    <w:rsid w:val="00DE3801"/>
    <w:rsid w:val="00DF1201"/>
    <w:rsid w:val="00DF59FE"/>
    <w:rsid w:val="00DF5E45"/>
    <w:rsid w:val="00E01326"/>
    <w:rsid w:val="00E04AFF"/>
    <w:rsid w:val="00E04F85"/>
    <w:rsid w:val="00E13C91"/>
    <w:rsid w:val="00E13D86"/>
    <w:rsid w:val="00E165B0"/>
    <w:rsid w:val="00E21FCF"/>
    <w:rsid w:val="00E22201"/>
    <w:rsid w:val="00E2777C"/>
    <w:rsid w:val="00E30539"/>
    <w:rsid w:val="00E32B91"/>
    <w:rsid w:val="00E41E57"/>
    <w:rsid w:val="00E46283"/>
    <w:rsid w:val="00E51536"/>
    <w:rsid w:val="00E5235C"/>
    <w:rsid w:val="00E527B7"/>
    <w:rsid w:val="00E52F39"/>
    <w:rsid w:val="00E54656"/>
    <w:rsid w:val="00E55CA7"/>
    <w:rsid w:val="00E55E65"/>
    <w:rsid w:val="00E60A0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6220"/>
    <w:rsid w:val="00EF4E77"/>
    <w:rsid w:val="00EF5F4B"/>
    <w:rsid w:val="00F03DF2"/>
    <w:rsid w:val="00F1700E"/>
    <w:rsid w:val="00F2082F"/>
    <w:rsid w:val="00F24042"/>
    <w:rsid w:val="00F24E51"/>
    <w:rsid w:val="00F26FBC"/>
    <w:rsid w:val="00F311EF"/>
    <w:rsid w:val="00F34FBA"/>
    <w:rsid w:val="00F35789"/>
    <w:rsid w:val="00F4497B"/>
    <w:rsid w:val="00F51745"/>
    <w:rsid w:val="00F67E3B"/>
    <w:rsid w:val="00F72FB9"/>
    <w:rsid w:val="00F75689"/>
    <w:rsid w:val="00F7595C"/>
    <w:rsid w:val="00F81053"/>
    <w:rsid w:val="00F82C8A"/>
    <w:rsid w:val="00F84E58"/>
    <w:rsid w:val="00F86F59"/>
    <w:rsid w:val="00F90124"/>
    <w:rsid w:val="00F91616"/>
    <w:rsid w:val="00F9364C"/>
    <w:rsid w:val="00F94662"/>
    <w:rsid w:val="00F94F06"/>
    <w:rsid w:val="00F956B7"/>
    <w:rsid w:val="00F965F2"/>
    <w:rsid w:val="00FA7BC0"/>
    <w:rsid w:val="00FB4292"/>
    <w:rsid w:val="00FB4799"/>
    <w:rsid w:val="00FC1319"/>
    <w:rsid w:val="00FC1B42"/>
    <w:rsid w:val="00FC2F6B"/>
    <w:rsid w:val="00FC3D7A"/>
    <w:rsid w:val="00FC4688"/>
    <w:rsid w:val="00FC5AC5"/>
    <w:rsid w:val="00FC7AD4"/>
    <w:rsid w:val="00FD1CB6"/>
    <w:rsid w:val="00FD1E25"/>
    <w:rsid w:val="00FD56EB"/>
    <w:rsid w:val="00FE088E"/>
    <w:rsid w:val="00FE12AA"/>
    <w:rsid w:val="00FE31E8"/>
    <w:rsid w:val="00FE352D"/>
    <w:rsid w:val="00FE7650"/>
    <w:rsid w:val="01107DCD"/>
    <w:rsid w:val="01526812"/>
    <w:rsid w:val="016B3CA6"/>
    <w:rsid w:val="01CD7511"/>
    <w:rsid w:val="02430B2B"/>
    <w:rsid w:val="03366EC4"/>
    <w:rsid w:val="03386882"/>
    <w:rsid w:val="03CF276F"/>
    <w:rsid w:val="03E4059C"/>
    <w:rsid w:val="049F0990"/>
    <w:rsid w:val="05052E25"/>
    <w:rsid w:val="05930AF4"/>
    <w:rsid w:val="05C01831"/>
    <w:rsid w:val="0662250D"/>
    <w:rsid w:val="069756C9"/>
    <w:rsid w:val="06A43456"/>
    <w:rsid w:val="06EA41D2"/>
    <w:rsid w:val="06F82B78"/>
    <w:rsid w:val="072E42E3"/>
    <w:rsid w:val="0761100F"/>
    <w:rsid w:val="08866B3C"/>
    <w:rsid w:val="08D3679E"/>
    <w:rsid w:val="08F5525A"/>
    <w:rsid w:val="093D5292"/>
    <w:rsid w:val="0968446C"/>
    <w:rsid w:val="09880AD8"/>
    <w:rsid w:val="09C669B9"/>
    <w:rsid w:val="0A1749A3"/>
    <w:rsid w:val="0A28469F"/>
    <w:rsid w:val="0A8471B9"/>
    <w:rsid w:val="0AA5328F"/>
    <w:rsid w:val="0B134589"/>
    <w:rsid w:val="0B2F5B0C"/>
    <w:rsid w:val="0B6A3014"/>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8849AE"/>
    <w:rsid w:val="0FA45A47"/>
    <w:rsid w:val="0FAB756B"/>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D17A38"/>
    <w:rsid w:val="13E02767"/>
    <w:rsid w:val="13E661B5"/>
    <w:rsid w:val="143A0BDF"/>
    <w:rsid w:val="14537884"/>
    <w:rsid w:val="14593BBF"/>
    <w:rsid w:val="14884372"/>
    <w:rsid w:val="14AD5EB1"/>
    <w:rsid w:val="14D56C28"/>
    <w:rsid w:val="151C338A"/>
    <w:rsid w:val="1565002B"/>
    <w:rsid w:val="15954AE2"/>
    <w:rsid w:val="15A85782"/>
    <w:rsid w:val="160C5ED0"/>
    <w:rsid w:val="164973BC"/>
    <w:rsid w:val="165B60F7"/>
    <w:rsid w:val="16F14901"/>
    <w:rsid w:val="173D66F2"/>
    <w:rsid w:val="17430389"/>
    <w:rsid w:val="175C0959"/>
    <w:rsid w:val="177941D0"/>
    <w:rsid w:val="17DC532F"/>
    <w:rsid w:val="181E5A1F"/>
    <w:rsid w:val="18800267"/>
    <w:rsid w:val="19703EEB"/>
    <w:rsid w:val="19731B79"/>
    <w:rsid w:val="19D8289C"/>
    <w:rsid w:val="1A024AC4"/>
    <w:rsid w:val="1A532ADC"/>
    <w:rsid w:val="1AA57B5F"/>
    <w:rsid w:val="1ADC59C5"/>
    <w:rsid w:val="1B093F61"/>
    <w:rsid w:val="1B260840"/>
    <w:rsid w:val="1BE3189B"/>
    <w:rsid w:val="1C2407D2"/>
    <w:rsid w:val="1C392717"/>
    <w:rsid w:val="1CAF5838"/>
    <w:rsid w:val="1CCC1179"/>
    <w:rsid w:val="1CD54505"/>
    <w:rsid w:val="1CF66F54"/>
    <w:rsid w:val="1D314742"/>
    <w:rsid w:val="1D947067"/>
    <w:rsid w:val="1E291CEA"/>
    <w:rsid w:val="1E497E24"/>
    <w:rsid w:val="1E5006DD"/>
    <w:rsid w:val="1E626810"/>
    <w:rsid w:val="1E7C1444"/>
    <w:rsid w:val="1EAD7881"/>
    <w:rsid w:val="1EE44777"/>
    <w:rsid w:val="1F3544E8"/>
    <w:rsid w:val="1F3A1F0D"/>
    <w:rsid w:val="1F515A41"/>
    <w:rsid w:val="1FB36CD2"/>
    <w:rsid w:val="204A603E"/>
    <w:rsid w:val="207E3ED8"/>
    <w:rsid w:val="21432F64"/>
    <w:rsid w:val="21451E4F"/>
    <w:rsid w:val="21D218F6"/>
    <w:rsid w:val="21EE38EF"/>
    <w:rsid w:val="224A72AF"/>
    <w:rsid w:val="22547760"/>
    <w:rsid w:val="22723839"/>
    <w:rsid w:val="22BC30AB"/>
    <w:rsid w:val="23562DD7"/>
    <w:rsid w:val="23C823BC"/>
    <w:rsid w:val="24057464"/>
    <w:rsid w:val="24284321"/>
    <w:rsid w:val="24656529"/>
    <w:rsid w:val="24A42D4D"/>
    <w:rsid w:val="24F46692"/>
    <w:rsid w:val="24FE0C04"/>
    <w:rsid w:val="25113914"/>
    <w:rsid w:val="25557F8E"/>
    <w:rsid w:val="258F1A56"/>
    <w:rsid w:val="25C65F84"/>
    <w:rsid w:val="264609DC"/>
    <w:rsid w:val="26D60601"/>
    <w:rsid w:val="26E51EF5"/>
    <w:rsid w:val="26FE01DA"/>
    <w:rsid w:val="28012834"/>
    <w:rsid w:val="28017784"/>
    <w:rsid w:val="2868286B"/>
    <w:rsid w:val="287F157E"/>
    <w:rsid w:val="28A70A7E"/>
    <w:rsid w:val="28DD78F7"/>
    <w:rsid w:val="28E10BA8"/>
    <w:rsid w:val="2B7A199A"/>
    <w:rsid w:val="2B803AAD"/>
    <w:rsid w:val="2BB33004"/>
    <w:rsid w:val="2BB97180"/>
    <w:rsid w:val="2C0315C8"/>
    <w:rsid w:val="2C094880"/>
    <w:rsid w:val="2C1A0F52"/>
    <w:rsid w:val="2C5300D5"/>
    <w:rsid w:val="2D2864D4"/>
    <w:rsid w:val="2D6405B3"/>
    <w:rsid w:val="2DAA40C0"/>
    <w:rsid w:val="2DD24CCF"/>
    <w:rsid w:val="2DD32383"/>
    <w:rsid w:val="2DDB0AD7"/>
    <w:rsid w:val="2DE50909"/>
    <w:rsid w:val="2E9D30C1"/>
    <w:rsid w:val="2EA004C1"/>
    <w:rsid w:val="2EB1759E"/>
    <w:rsid w:val="2EE72320"/>
    <w:rsid w:val="2EE8455C"/>
    <w:rsid w:val="2EFE3658"/>
    <w:rsid w:val="2F7C3139"/>
    <w:rsid w:val="2F8C55CD"/>
    <w:rsid w:val="2FA547CB"/>
    <w:rsid w:val="2FC414F3"/>
    <w:rsid w:val="2FE60929"/>
    <w:rsid w:val="30D70117"/>
    <w:rsid w:val="31274B61"/>
    <w:rsid w:val="314B29C9"/>
    <w:rsid w:val="31792D33"/>
    <w:rsid w:val="31986FB8"/>
    <w:rsid w:val="32A81084"/>
    <w:rsid w:val="32D70991"/>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177FED"/>
    <w:rsid w:val="395378C4"/>
    <w:rsid w:val="39FF287F"/>
    <w:rsid w:val="3A006510"/>
    <w:rsid w:val="3A0562C0"/>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3FC823C7"/>
    <w:rsid w:val="3FDE549F"/>
    <w:rsid w:val="3FE9693B"/>
    <w:rsid w:val="40012E69"/>
    <w:rsid w:val="40017FE0"/>
    <w:rsid w:val="40275E65"/>
    <w:rsid w:val="404A6865"/>
    <w:rsid w:val="40BD25B1"/>
    <w:rsid w:val="41951843"/>
    <w:rsid w:val="41BC1F10"/>
    <w:rsid w:val="424B3AFB"/>
    <w:rsid w:val="42CE5F62"/>
    <w:rsid w:val="42E250CC"/>
    <w:rsid w:val="42E6415B"/>
    <w:rsid w:val="42EB534E"/>
    <w:rsid w:val="43765341"/>
    <w:rsid w:val="43C40B54"/>
    <w:rsid w:val="442570D2"/>
    <w:rsid w:val="445C34E0"/>
    <w:rsid w:val="445D4EF5"/>
    <w:rsid w:val="45273E4D"/>
    <w:rsid w:val="45E60474"/>
    <w:rsid w:val="46523D88"/>
    <w:rsid w:val="46886E13"/>
    <w:rsid w:val="46AD64D7"/>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8741A5"/>
    <w:rsid w:val="4A934388"/>
    <w:rsid w:val="4A9C1DE8"/>
    <w:rsid w:val="4AA012C3"/>
    <w:rsid w:val="4B363698"/>
    <w:rsid w:val="4BF77F17"/>
    <w:rsid w:val="4C787E8E"/>
    <w:rsid w:val="4CB33EBE"/>
    <w:rsid w:val="4CE6400E"/>
    <w:rsid w:val="4CF906E8"/>
    <w:rsid w:val="4D24345F"/>
    <w:rsid w:val="4D5670A7"/>
    <w:rsid w:val="4D5D1F52"/>
    <w:rsid w:val="4E1C47D1"/>
    <w:rsid w:val="4E390E43"/>
    <w:rsid w:val="4E540763"/>
    <w:rsid w:val="4EB0364A"/>
    <w:rsid w:val="4ED25786"/>
    <w:rsid w:val="4EDF4247"/>
    <w:rsid w:val="4F4A4BC7"/>
    <w:rsid w:val="4F5D7111"/>
    <w:rsid w:val="4F8E36B5"/>
    <w:rsid w:val="4F9E4DA9"/>
    <w:rsid w:val="4FA45F82"/>
    <w:rsid w:val="4FC20AA7"/>
    <w:rsid w:val="4FE80B78"/>
    <w:rsid w:val="505F1EFD"/>
    <w:rsid w:val="5072390C"/>
    <w:rsid w:val="50B70587"/>
    <w:rsid w:val="513D1102"/>
    <w:rsid w:val="519A03E7"/>
    <w:rsid w:val="51BC07BA"/>
    <w:rsid w:val="523978C1"/>
    <w:rsid w:val="52592C99"/>
    <w:rsid w:val="52B12F9C"/>
    <w:rsid w:val="52EC7E76"/>
    <w:rsid w:val="52F21058"/>
    <w:rsid w:val="53731B47"/>
    <w:rsid w:val="5388050B"/>
    <w:rsid w:val="53B034DF"/>
    <w:rsid w:val="54DC025E"/>
    <w:rsid w:val="54DE0F4F"/>
    <w:rsid w:val="54E53259"/>
    <w:rsid w:val="54EE0E0D"/>
    <w:rsid w:val="555C2D44"/>
    <w:rsid w:val="55B769EE"/>
    <w:rsid w:val="560B1770"/>
    <w:rsid w:val="563D07A6"/>
    <w:rsid w:val="568B360E"/>
    <w:rsid w:val="569C1CB1"/>
    <w:rsid w:val="56B86664"/>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080CC0"/>
    <w:rsid w:val="602A170A"/>
    <w:rsid w:val="602E6168"/>
    <w:rsid w:val="603A1525"/>
    <w:rsid w:val="605855B2"/>
    <w:rsid w:val="605A28BD"/>
    <w:rsid w:val="60643989"/>
    <w:rsid w:val="60D969BE"/>
    <w:rsid w:val="610B183C"/>
    <w:rsid w:val="611C2004"/>
    <w:rsid w:val="61613AC5"/>
    <w:rsid w:val="61B101C9"/>
    <w:rsid w:val="61D640C8"/>
    <w:rsid w:val="621D5FD0"/>
    <w:rsid w:val="62553A9B"/>
    <w:rsid w:val="628E1CEC"/>
    <w:rsid w:val="62A25819"/>
    <w:rsid w:val="62A954D2"/>
    <w:rsid w:val="62BB4D04"/>
    <w:rsid w:val="630061B9"/>
    <w:rsid w:val="6414729D"/>
    <w:rsid w:val="6445786C"/>
    <w:rsid w:val="647734A0"/>
    <w:rsid w:val="64E81FCA"/>
    <w:rsid w:val="650C051F"/>
    <w:rsid w:val="6567607D"/>
    <w:rsid w:val="657F0B88"/>
    <w:rsid w:val="65C02314"/>
    <w:rsid w:val="662319B7"/>
    <w:rsid w:val="66341C6D"/>
    <w:rsid w:val="66533E04"/>
    <w:rsid w:val="666653A9"/>
    <w:rsid w:val="6685543F"/>
    <w:rsid w:val="67AC14B0"/>
    <w:rsid w:val="681E3D6B"/>
    <w:rsid w:val="68567627"/>
    <w:rsid w:val="68B539E1"/>
    <w:rsid w:val="69247457"/>
    <w:rsid w:val="694073D1"/>
    <w:rsid w:val="695E5261"/>
    <w:rsid w:val="698A4060"/>
    <w:rsid w:val="69B96043"/>
    <w:rsid w:val="69E14866"/>
    <w:rsid w:val="6A1F477F"/>
    <w:rsid w:val="6A2C5B98"/>
    <w:rsid w:val="6A6358F4"/>
    <w:rsid w:val="6A967AE9"/>
    <w:rsid w:val="6B1242F8"/>
    <w:rsid w:val="6BA90006"/>
    <w:rsid w:val="6C01671F"/>
    <w:rsid w:val="6C161E18"/>
    <w:rsid w:val="6CBB08C6"/>
    <w:rsid w:val="6D2A351D"/>
    <w:rsid w:val="6D2C5AA6"/>
    <w:rsid w:val="6D547E3F"/>
    <w:rsid w:val="6D75534C"/>
    <w:rsid w:val="6DD044DF"/>
    <w:rsid w:val="6E3431D3"/>
    <w:rsid w:val="6E815E20"/>
    <w:rsid w:val="6F827E1F"/>
    <w:rsid w:val="6FBE33DD"/>
    <w:rsid w:val="70340B6B"/>
    <w:rsid w:val="70695629"/>
    <w:rsid w:val="70B51586"/>
    <w:rsid w:val="71AD543F"/>
    <w:rsid w:val="71C9438B"/>
    <w:rsid w:val="71E05C24"/>
    <w:rsid w:val="71EB232F"/>
    <w:rsid w:val="71F22395"/>
    <w:rsid w:val="720F1A95"/>
    <w:rsid w:val="72182FA2"/>
    <w:rsid w:val="728948C8"/>
    <w:rsid w:val="72C23865"/>
    <w:rsid w:val="731A6508"/>
    <w:rsid w:val="732F3A9D"/>
    <w:rsid w:val="734267D2"/>
    <w:rsid w:val="736E713E"/>
    <w:rsid w:val="73785D89"/>
    <w:rsid w:val="73821076"/>
    <w:rsid w:val="73AA2969"/>
    <w:rsid w:val="73B22405"/>
    <w:rsid w:val="73CF1F2D"/>
    <w:rsid w:val="73FC1BEE"/>
    <w:rsid w:val="740B75A3"/>
    <w:rsid w:val="7473615C"/>
    <w:rsid w:val="74822716"/>
    <w:rsid w:val="74A77D79"/>
    <w:rsid w:val="74BB2C8C"/>
    <w:rsid w:val="74EE2280"/>
    <w:rsid w:val="74F75FB0"/>
    <w:rsid w:val="750D3D28"/>
    <w:rsid w:val="75372041"/>
    <w:rsid w:val="756176A1"/>
    <w:rsid w:val="759A26B4"/>
    <w:rsid w:val="76461909"/>
    <w:rsid w:val="76471064"/>
    <w:rsid w:val="76661DD9"/>
    <w:rsid w:val="76D45B66"/>
    <w:rsid w:val="76FE2417"/>
    <w:rsid w:val="771E653D"/>
    <w:rsid w:val="77A73F53"/>
    <w:rsid w:val="77D0725C"/>
    <w:rsid w:val="77E43F55"/>
    <w:rsid w:val="788E700F"/>
    <w:rsid w:val="78A44D2E"/>
    <w:rsid w:val="79601F25"/>
    <w:rsid w:val="79780503"/>
    <w:rsid w:val="79932C52"/>
    <w:rsid w:val="79D85CE8"/>
    <w:rsid w:val="7A1E0BB7"/>
    <w:rsid w:val="7A322C02"/>
    <w:rsid w:val="7A7B24FD"/>
    <w:rsid w:val="7AB451B9"/>
    <w:rsid w:val="7ABA143A"/>
    <w:rsid w:val="7AC33E5C"/>
    <w:rsid w:val="7AF65F04"/>
    <w:rsid w:val="7B072853"/>
    <w:rsid w:val="7B4944AD"/>
    <w:rsid w:val="7BA10F88"/>
    <w:rsid w:val="7CA44252"/>
    <w:rsid w:val="7CDD0844"/>
    <w:rsid w:val="7CFC520A"/>
    <w:rsid w:val="7D2846D4"/>
    <w:rsid w:val="7D6A17FE"/>
    <w:rsid w:val="7DA71E82"/>
    <w:rsid w:val="7DB479EE"/>
    <w:rsid w:val="7DCD6635"/>
    <w:rsid w:val="7ECA11D8"/>
    <w:rsid w:val="7EE36967"/>
    <w:rsid w:val="7EF36A37"/>
    <w:rsid w:val="7F174889"/>
    <w:rsid w:val="7F4108E0"/>
    <w:rsid w:val="7F9663C3"/>
    <w:rsid w:val="7FA345E5"/>
    <w:rsid w:val="7FBE0F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qFormat="1"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4">
    <w:name w:val="heading 1"/>
    <w:basedOn w:val="5"/>
    <w:next w:val="1"/>
    <w:link w:val="41"/>
    <w:qFormat/>
    <w:uiPriority w:val="0"/>
    <w:pPr>
      <w:keepNext/>
      <w:keepLines/>
      <w:spacing w:before="340" w:after="330" w:line="578" w:lineRule="auto"/>
    </w:pPr>
    <w:rPr>
      <w:kern w:val="44"/>
      <w:sz w:val="44"/>
      <w:szCs w:val="44"/>
    </w:rPr>
  </w:style>
  <w:style w:type="paragraph" w:styleId="6">
    <w:name w:val="heading 2"/>
    <w:basedOn w:val="1"/>
    <w:next w:val="1"/>
    <w:link w:val="39"/>
    <w:qFormat/>
    <w:uiPriority w:val="99"/>
    <w:pPr>
      <w:keepNext/>
      <w:keepLines/>
      <w:spacing w:before="260" w:after="260" w:line="415" w:lineRule="auto"/>
      <w:outlineLvl w:val="1"/>
    </w:pPr>
    <w:rPr>
      <w:rFonts w:ascii="Arial" w:hAnsi="Arial" w:eastAsia="黑体"/>
      <w:b/>
      <w:bCs/>
      <w:sz w:val="32"/>
      <w:szCs w:val="32"/>
    </w:rPr>
  </w:style>
  <w:style w:type="paragraph" w:styleId="7">
    <w:name w:val="heading 3"/>
    <w:basedOn w:val="1"/>
    <w:next w:val="1"/>
    <w:qFormat/>
    <w:uiPriority w:val="0"/>
    <w:pPr>
      <w:keepNext/>
      <w:keepLines/>
      <w:spacing w:before="260" w:after="260" w:line="415" w:lineRule="auto"/>
      <w:outlineLvl w:val="2"/>
    </w:pPr>
    <w:rPr>
      <w:b/>
      <w:bCs/>
      <w:sz w:val="32"/>
      <w:szCs w:val="32"/>
    </w:rPr>
  </w:style>
  <w:style w:type="paragraph" w:styleId="8">
    <w:name w:val="heading 4"/>
    <w:basedOn w:val="1"/>
    <w:next w:val="1"/>
    <w:link w:val="55"/>
    <w:qFormat/>
    <w:uiPriority w:val="0"/>
    <w:pPr>
      <w:keepNext/>
      <w:keepLines/>
      <w:spacing w:before="280" w:after="290" w:line="376" w:lineRule="auto"/>
      <w:outlineLvl w:val="3"/>
    </w:pPr>
    <w:rPr>
      <w:rFonts w:ascii="Calibri Light" w:hAnsi="Calibri Light"/>
      <w:b/>
      <w:bCs/>
      <w:sz w:val="28"/>
      <w:szCs w:val="2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unhideWhenUsed/>
    <w:qFormat/>
    <w:uiPriority w:val="99"/>
    <w:pPr>
      <w:spacing w:after="120"/>
    </w:pPr>
    <w:rPr>
      <w:kern w:val="0"/>
      <w:sz w:val="20"/>
    </w:rPr>
  </w:style>
  <w:style w:type="paragraph" w:styleId="3">
    <w:name w:val="Body Text 2"/>
    <w:basedOn w:val="1"/>
    <w:qFormat/>
    <w:uiPriority w:val="0"/>
    <w:rPr>
      <w:rFonts w:ascii="宋体" w:hAnsi="宋体"/>
      <w:b/>
      <w:sz w:val="24"/>
      <w:szCs w:val="20"/>
    </w:rPr>
  </w:style>
  <w:style w:type="paragraph" w:styleId="5">
    <w:name w:val="Title"/>
    <w:basedOn w:val="1"/>
    <w:next w:val="1"/>
    <w:qFormat/>
    <w:uiPriority w:val="99"/>
    <w:pPr>
      <w:spacing w:before="240" w:after="60"/>
      <w:jc w:val="center"/>
      <w:outlineLvl w:val="0"/>
    </w:pPr>
    <w:rPr>
      <w:rFonts w:ascii="Cambria" w:hAnsi="Cambria"/>
      <w:b/>
      <w:bCs/>
      <w:sz w:val="32"/>
      <w:szCs w:val="32"/>
      <w:lang w:val="zh-CN"/>
    </w:rPr>
  </w:style>
  <w:style w:type="paragraph" w:styleId="9">
    <w:name w:val="toc 7"/>
    <w:basedOn w:val="1"/>
    <w:next w:val="1"/>
    <w:qFormat/>
    <w:uiPriority w:val="0"/>
    <w:pPr>
      <w:ind w:left="2520" w:leftChars="1200"/>
    </w:pPr>
  </w:style>
  <w:style w:type="paragraph" w:styleId="10">
    <w:name w:val="Normal Indent"/>
    <w:basedOn w:val="1"/>
    <w:qFormat/>
    <w:uiPriority w:val="0"/>
    <w:pPr>
      <w:ind w:firstLine="200" w:firstLineChars="200"/>
    </w:pPr>
  </w:style>
  <w:style w:type="paragraph" w:styleId="11">
    <w:name w:val="Document Map"/>
    <w:basedOn w:val="1"/>
    <w:link w:val="46"/>
    <w:qFormat/>
    <w:uiPriority w:val="0"/>
    <w:rPr>
      <w:rFonts w:ascii="宋体"/>
      <w:sz w:val="18"/>
      <w:szCs w:val="18"/>
    </w:rPr>
  </w:style>
  <w:style w:type="paragraph" w:styleId="12">
    <w:name w:val="annotation text"/>
    <w:basedOn w:val="1"/>
    <w:link w:val="45"/>
    <w:qFormat/>
    <w:uiPriority w:val="0"/>
    <w:pPr>
      <w:jc w:val="left"/>
    </w:pPr>
  </w:style>
  <w:style w:type="paragraph" w:styleId="13">
    <w:name w:val="Body Text Indent"/>
    <w:basedOn w:val="1"/>
    <w:qFormat/>
    <w:uiPriority w:val="0"/>
    <w:pPr>
      <w:ind w:firstLine="630"/>
    </w:pPr>
    <w:rPr>
      <w:sz w:val="32"/>
      <w:szCs w:val="20"/>
    </w:rPr>
  </w:style>
  <w:style w:type="paragraph" w:styleId="14">
    <w:name w:val="toc 5"/>
    <w:basedOn w:val="1"/>
    <w:next w:val="1"/>
    <w:qFormat/>
    <w:uiPriority w:val="0"/>
    <w:pPr>
      <w:ind w:left="1680" w:leftChars="800"/>
    </w:pPr>
  </w:style>
  <w:style w:type="paragraph" w:styleId="15">
    <w:name w:val="toc 3"/>
    <w:basedOn w:val="1"/>
    <w:next w:val="1"/>
    <w:qFormat/>
    <w:uiPriority w:val="0"/>
    <w:pPr>
      <w:ind w:left="840" w:leftChars="400"/>
    </w:pPr>
  </w:style>
  <w:style w:type="paragraph" w:styleId="16">
    <w:name w:val="Plain Text"/>
    <w:basedOn w:val="1"/>
    <w:qFormat/>
    <w:uiPriority w:val="0"/>
    <w:rPr>
      <w:rFonts w:ascii="宋体" w:hAnsi="Courier New"/>
    </w:rPr>
  </w:style>
  <w:style w:type="paragraph" w:styleId="17">
    <w:name w:val="toc 8"/>
    <w:basedOn w:val="1"/>
    <w:next w:val="1"/>
    <w:qFormat/>
    <w:uiPriority w:val="0"/>
    <w:pPr>
      <w:ind w:left="2940" w:leftChars="1400"/>
    </w:pPr>
  </w:style>
  <w:style w:type="paragraph" w:styleId="18">
    <w:name w:val="Balloon Text"/>
    <w:basedOn w:val="1"/>
    <w:link w:val="49"/>
    <w:qFormat/>
    <w:uiPriority w:val="0"/>
    <w:rPr>
      <w:sz w:val="18"/>
      <w:szCs w:val="18"/>
    </w:rPr>
  </w:style>
  <w:style w:type="paragraph" w:styleId="19">
    <w:name w:val="footer"/>
    <w:basedOn w:val="1"/>
    <w:link w:val="50"/>
    <w:qFormat/>
    <w:uiPriority w:val="99"/>
    <w:pPr>
      <w:tabs>
        <w:tab w:val="center" w:pos="4153"/>
        <w:tab w:val="right" w:pos="8306"/>
      </w:tabs>
      <w:snapToGrid w:val="0"/>
      <w:jc w:val="left"/>
    </w:pPr>
    <w:rPr>
      <w:sz w:val="18"/>
      <w:szCs w:val="20"/>
    </w:rPr>
  </w:style>
  <w:style w:type="paragraph" w:styleId="20">
    <w:name w:val="header"/>
    <w:basedOn w:val="1"/>
    <w:link w:val="51"/>
    <w:qFormat/>
    <w:uiPriority w:val="99"/>
    <w:pPr>
      <w:pBdr>
        <w:bottom w:val="single" w:color="auto" w:sz="6" w:space="1"/>
      </w:pBdr>
      <w:tabs>
        <w:tab w:val="center" w:pos="4153"/>
        <w:tab w:val="right" w:pos="8306"/>
      </w:tabs>
      <w:snapToGrid w:val="0"/>
      <w:jc w:val="center"/>
    </w:pPr>
    <w:rPr>
      <w:sz w:val="18"/>
      <w:szCs w:val="20"/>
    </w:rPr>
  </w:style>
  <w:style w:type="paragraph" w:styleId="21">
    <w:name w:val="toc 1"/>
    <w:basedOn w:val="1"/>
    <w:next w:val="1"/>
    <w:qFormat/>
    <w:uiPriority w:val="39"/>
  </w:style>
  <w:style w:type="paragraph" w:styleId="22">
    <w:name w:val="toc 4"/>
    <w:basedOn w:val="1"/>
    <w:next w:val="1"/>
    <w:qFormat/>
    <w:uiPriority w:val="0"/>
    <w:pPr>
      <w:ind w:left="1260" w:leftChars="600"/>
    </w:pPr>
  </w:style>
  <w:style w:type="paragraph" w:styleId="23">
    <w:name w:val="toc 6"/>
    <w:basedOn w:val="1"/>
    <w:next w:val="1"/>
    <w:qFormat/>
    <w:uiPriority w:val="0"/>
    <w:pPr>
      <w:ind w:left="2100" w:leftChars="1000"/>
    </w:pPr>
  </w:style>
  <w:style w:type="paragraph" w:styleId="24">
    <w:name w:val="toc 2"/>
    <w:basedOn w:val="1"/>
    <w:next w:val="1"/>
    <w:qFormat/>
    <w:uiPriority w:val="0"/>
    <w:pPr>
      <w:ind w:left="420" w:leftChars="200"/>
    </w:pPr>
  </w:style>
  <w:style w:type="paragraph" w:styleId="25">
    <w:name w:val="toc 9"/>
    <w:basedOn w:val="1"/>
    <w:next w:val="1"/>
    <w:qFormat/>
    <w:uiPriority w:val="0"/>
    <w:pPr>
      <w:ind w:left="3360" w:leftChars="1600"/>
    </w:pPr>
  </w:style>
  <w:style w:type="paragraph" w:styleId="26">
    <w:name w:val="Normal (Web)"/>
    <w:basedOn w:val="1"/>
    <w:qFormat/>
    <w:uiPriority w:val="99"/>
    <w:pPr>
      <w:widowControl/>
      <w:spacing w:before="100" w:beforeAutospacing="1" w:after="100" w:afterAutospacing="1"/>
      <w:jc w:val="left"/>
    </w:pPr>
    <w:rPr>
      <w:rFonts w:ascii="宋体"/>
      <w:kern w:val="0"/>
      <w:sz w:val="18"/>
      <w:szCs w:val="18"/>
    </w:rPr>
  </w:style>
  <w:style w:type="paragraph" w:styleId="27">
    <w:name w:val="annotation subject"/>
    <w:basedOn w:val="12"/>
    <w:next w:val="12"/>
    <w:link w:val="36"/>
    <w:qFormat/>
    <w:uiPriority w:val="0"/>
    <w:rPr>
      <w:b/>
      <w:bCs/>
    </w:r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qFormat/>
    <w:uiPriority w:val="0"/>
  </w:style>
  <w:style w:type="character" w:styleId="32">
    <w:name w:val="Hyperlink"/>
    <w:unhideWhenUsed/>
    <w:qFormat/>
    <w:uiPriority w:val="99"/>
    <w:rPr>
      <w:color w:val="0563C1"/>
      <w:u w:val="single"/>
    </w:rPr>
  </w:style>
  <w:style w:type="character" w:styleId="33">
    <w:name w:val="annotation reference"/>
    <w:qFormat/>
    <w:uiPriority w:val="99"/>
    <w:rPr>
      <w:sz w:val="21"/>
      <w:szCs w:val="21"/>
    </w:rPr>
  </w:style>
  <w:style w:type="character" w:customStyle="1" w:styleId="34">
    <w:name w:val="10"/>
    <w:qFormat/>
    <w:uiPriority w:val="0"/>
    <w:rPr>
      <w:rFonts w:hint="default" w:ascii="Calibri" w:hAnsi="Calibri" w:cs="Calibri"/>
    </w:rPr>
  </w:style>
  <w:style w:type="character" w:customStyle="1" w:styleId="35">
    <w:name w:val="font111"/>
    <w:qFormat/>
    <w:uiPriority w:val="0"/>
    <w:rPr>
      <w:rFonts w:hint="default" w:ascii="Eʩ" w:hAnsi="Eʩ" w:eastAsia="Eʩ" w:cs="Eʩ"/>
      <w:color w:val="000000"/>
      <w:sz w:val="21"/>
      <w:szCs w:val="21"/>
      <w:u w:val="single"/>
    </w:rPr>
  </w:style>
  <w:style w:type="character" w:customStyle="1" w:styleId="36">
    <w:name w:val="批注主题 字符"/>
    <w:link w:val="27"/>
    <w:qFormat/>
    <w:uiPriority w:val="0"/>
    <w:rPr>
      <w:b/>
      <w:bCs/>
      <w:kern w:val="2"/>
      <w:sz w:val="21"/>
      <w:szCs w:val="24"/>
    </w:rPr>
  </w:style>
  <w:style w:type="character" w:customStyle="1" w:styleId="37">
    <w:name w:val="font91"/>
    <w:qFormat/>
    <w:uiPriority w:val="0"/>
    <w:rPr>
      <w:rFonts w:hint="eastAsia" w:ascii="宋体" w:hAnsi="宋体" w:eastAsia="宋体" w:cs="宋体"/>
      <w:color w:val="FF0000"/>
      <w:sz w:val="21"/>
      <w:szCs w:val="21"/>
      <w:u w:val="single"/>
    </w:rPr>
  </w:style>
  <w:style w:type="character" w:customStyle="1" w:styleId="38">
    <w:name w:val="font101"/>
    <w:qFormat/>
    <w:uiPriority w:val="0"/>
    <w:rPr>
      <w:rFonts w:hint="eastAsia" w:ascii="宋体" w:hAnsi="宋体" w:eastAsia="宋体" w:cs="宋体"/>
      <w:color w:val="000000"/>
      <w:sz w:val="21"/>
      <w:szCs w:val="21"/>
      <w:u w:val="single"/>
    </w:rPr>
  </w:style>
  <w:style w:type="character" w:customStyle="1" w:styleId="39">
    <w:name w:val="标题 2 字符"/>
    <w:link w:val="6"/>
    <w:qFormat/>
    <w:uiPriority w:val="99"/>
    <w:rPr>
      <w:rFonts w:ascii="Arial" w:hAnsi="Arial" w:eastAsia="黑体"/>
      <w:b/>
      <w:bCs/>
      <w:kern w:val="2"/>
      <w:sz w:val="32"/>
      <w:szCs w:val="32"/>
    </w:rPr>
  </w:style>
  <w:style w:type="character" w:customStyle="1" w:styleId="40">
    <w:name w:val="font41"/>
    <w:qFormat/>
    <w:uiPriority w:val="0"/>
    <w:rPr>
      <w:rFonts w:hint="eastAsia" w:ascii="宋体" w:hAnsi="宋体" w:eastAsia="宋体" w:cs="宋体"/>
      <w:color w:val="000000"/>
      <w:sz w:val="22"/>
      <w:szCs w:val="22"/>
      <w:u w:val="none"/>
    </w:rPr>
  </w:style>
  <w:style w:type="character" w:customStyle="1" w:styleId="41">
    <w:name w:val="标题 1 字符"/>
    <w:link w:val="4"/>
    <w:qFormat/>
    <w:uiPriority w:val="0"/>
    <w:rPr>
      <w:b/>
      <w:bCs/>
      <w:kern w:val="44"/>
      <w:sz w:val="44"/>
      <w:szCs w:val="44"/>
    </w:rPr>
  </w:style>
  <w:style w:type="character" w:customStyle="1" w:styleId="42">
    <w:name w:val="15"/>
    <w:qFormat/>
    <w:uiPriority w:val="0"/>
    <w:rPr>
      <w:rFonts w:hint="default" w:ascii="Calibri" w:hAnsi="Calibri" w:cs="Calibri"/>
    </w:rPr>
  </w:style>
  <w:style w:type="character" w:customStyle="1" w:styleId="43">
    <w:name w:val="font61"/>
    <w:qFormat/>
    <w:uiPriority w:val="0"/>
    <w:rPr>
      <w:rFonts w:hint="eastAsia" w:ascii="宋体" w:hAnsi="宋体" w:eastAsia="宋体" w:cs="宋体"/>
      <w:color w:val="000000"/>
      <w:sz w:val="22"/>
      <w:szCs w:val="22"/>
      <w:u w:val="none"/>
    </w:rPr>
  </w:style>
  <w:style w:type="character" w:customStyle="1" w:styleId="44">
    <w:name w:val="font31"/>
    <w:qFormat/>
    <w:uiPriority w:val="0"/>
    <w:rPr>
      <w:rFonts w:hint="eastAsia" w:ascii="宋体" w:hAnsi="宋体" w:eastAsia="宋体" w:cs="宋体"/>
      <w:color w:val="000000"/>
      <w:sz w:val="21"/>
      <w:szCs w:val="21"/>
      <w:u w:val="none"/>
    </w:rPr>
  </w:style>
  <w:style w:type="character" w:customStyle="1" w:styleId="45">
    <w:name w:val="批注文字 字符"/>
    <w:link w:val="12"/>
    <w:qFormat/>
    <w:uiPriority w:val="0"/>
    <w:rPr>
      <w:kern w:val="2"/>
      <w:sz w:val="21"/>
      <w:szCs w:val="24"/>
    </w:rPr>
  </w:style>
  <w:style w:type="character" w:customStyle="1" w:styleId="46">
    <w:name w:val="文档结构图 字符"/>
    <w:link w:val="11"/>
    <w:qFormat/>
    <w:uiPriority w:val="0"/>
    <w:rPr>
      <w:rFonts w:ascii="宋体"/>
      <w:kern w:val="2"/>
      <w:sz w:val="18"/>
      <w:szCs w:val="18"/>
    </w:rPr>
  </w:style>
  <w:style w:type="character" w:customStyle="1" w:styleId="47">
    <w:name w:val="font51"/>
    <w:qFormat/>
    <w:uiPriority w:val="0"/>
    <w:rPr>
      <w:rFonts w:hint="eastAsia" w:ascii="宋体" w:hAnsi="宋体" w:eastAsia="宋体" w:cs="宋体"/>
      <w:color w:val="000000"/>
      <w:sz w:val="22"/>
      <w:szCs w:val="22"/>
      <w:u w:val="none"/>
    </w:rPr>
  </w:style>
  <w:style w:type="character" w:customStyle="1" w:styleId="48">
    <w:name w:val="批注文字 Char1"/>
    <w:qFormat/>
    <w:uiPriority w:val="0"/>
    <w:rPr>
      <w:rFonts w:ascii="Times New Roman" w:hAnsi="Times New Roman" w:eastAsia="宋体" w:cs="Times New Roman"/>
      <w:szCs w:val="24"/>
    </w:rPr>
  </w:style>
  <w:style w:type="character" w:customStyle="1" w:styleId="49">
    <w:name w:val="批注框文本 字符"/>
    <w:link w:val="18"/>
    <w:qFormat/>
    <w:uiPriority w:val="0"/>
    <w:rPr>
      <w:kern w:val="2"/>
      <w:sz w:val="18"/>
      <w:szCs w:val="18"/>
    </w:rPr>
  </w:style>
  <w:style w:type="character" w:customStyle="1" w:styleId="50">
    <w:name w:val="页脚 字符"/>
    <w:link w:val="19"/>
    <w:qFormat/>
    <w:uiPriority w:val="99"/>
    <w:rPr>
      <w:kern w:val="2"/>
      <w:sz w:val="18"/>
    </w:rPr>
  </w:style>
  <w:style w:type="character" w:customStyle="1" w:styleId="51">
    <w:name w:val="页眉 字符"/>
    <w:link w:val="20"/>
    <w:qFormat/>
    <w:uiPriority w:val="99"/>
    <w:rPr>
      <w:kern w:val="2"/>
      <w:sz w:val="18"/>
    </w:rPr>
  </w:style>
  <w:style w:type="character" w:customStyle="1" w:styleId="52">
    <w:name w:val="font01"/>
    <w:qFormat/>
    <w:uiPriority w:val="0"/>
    <w:rPr>
      <w:rFonts w:hint="eastAsia" w:ascii="宋体" w:hAnsi="宋体" w:eastAsia="宋体" w:cs="宋体"/>
      <w:color w:val="000000"/>
      <w:sz w:val="24"/>
      <w:szCs w:val="24"/>
      <w:u w:val="none"/>
    </w:rPr>
  </w:style>
  <w:style w:type="character" w:customStyle="1" w:styleId="53">
    <w:name w:val="font11"/>
    <w:qFormat/>
    <w:uiPriority w:val="0"/>
    <w:rPr>
      <w:rFonts w:hint="eastAsia" w:ascii="宋体" w:hAnsi="宋体" w:eastAsia="宋体" w:cs="宋体"/>
      <w:color w:val="000000"/>
      <w:sz w:val="24"/>
      <w:szCs w:val="24"/>
      <w:u w:val="none"/>
    </w:rPr>
  </w:style>
  <w:style w:type="character" w:customStyle="1" w:styleId="54">
    <w:name w:val="font71"/>
    <w:qFormat/>
    <w:uiPriority w:val="0"/>
    <w:rPr>
      <w:rFonts w:hint="eastAsia" w:ascii="宋体" w:hAnsi="宋体" w:eastAsia="宋体" w:cs="宋体"/>
      <w:color w:val="000000"/>
      <w:sz w:val="24"/>
      <w:szCs w:val="24"/>
      <w:u w:val="none"/>
    </w:rPr>
  </w:style>
  <w:style w:type="character" w:customStyle="1" w:styleId="55">
    <w:name w:val="标题 4 字符"/>
    <w:link w:val="8"/>
    <w:qFormat/>
    <w:uiPriority w:val="0"/>
    <w:rPr>
      <w:rFonts w:ascii="Calibri Light" w:hAnsi="Calibri Light"/>
      <w:b/>
      <w:bCs/>
      <w:kern w:val="2"/>
      <w:sz w:val="28"/>
      <w:szCs w:val="28"/>
    </w:rPr>
  </w:style>
  <w:style w:type="paragraph" w:customStyle="1" w:styleId="56">
    <w:name w:val="修订1"/>
    <w:semiHidden/>
    <w:qFormat/>
    <w:uiPriority w:val="99"/>
    <w:rPr>
      <w:rFonts w:ascii="Calibri" w:hAnsi="Calibri" w:eastAsia="宋体" w:cs="Times New Roman"/>
      <w:kern w:val="2"/>
      <w:sz w:val="21"/>
      <w:szCs w:val="24"/>
      <w:lang w:val="en-US" w:eastAsia="zh-CN" w:bidi="ar-SA"/>
    </w:rPr>
  </w:style>
  <w:style w:type="paragraph" w:customStyle="1" w:styleId="57">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58">
    <w:name w:val="文档正文"/>
    <w:basedOn w:val="1"/>
    <w:qFormat/>
    <w:uiPriority w:val="0"/>
    <w:pPr>
      <w:adjustRightInd w:val="0"/>
      <w:spacing w:before="60" w:after="60" w:line="360" w:lineRule="atLeast"/>
      <w:ind w:firstLine="482"/>
    </w:pPr>
    <w:rPr>
      <w:rFonts w:ascii="宋体" w:hAnsi="宋体" w:cs="宋体"/>
      <w:kern w:val="0"/>
      <w:sz w:val="24"/>
    </w:rPr>
  </w:style>
  <w:style w:type="paragraph" w:customStyle="1" w:styleId="59">
    <w:name w:val="列表段落1"/>
    <w:basedOn w:val="1"/>
    <w:unhideWhenUsed/>
    <w:qFormat/>
    <w:uiPriority w:val="34"/>
    <w:pPr>
      <w:widowControl/>
      <w:spacing w:after="0" w:line="240" w:lineRule="auto"/>
      <w:ind w:firstLine="420" w:firstLineChars="200"/>
      <w:jc w:val="left"/>
    </w:pPr>
    <w:rPr>
      <w:rFonts w:ascii="Times New Roman" w:hAnsi="Times New Roman"/>
      <w:kern w:val="0"/>
      <w:sz w:val="24"/>
      <w:szCs w:val="20"/>
    </w:rPr>
  </w:style>
  <w:style w:type="paragraph" w:customStyle="1" w:styleId="60">
    <w:name w:val="_Style 2"/>
    <w:basedOn w:val="1"/>
    <w:qFormat/>
    <w:uiPriority w:val="0"/>
    <w:pPr>
      <w:ind w:firstLine="420" w:firstLineChars="200"/>
    </w:pPr>
    <w:rPr>
      <w:sz w:val="18"/>
      <w:szCs w:val="18"/>
    </w:rPr>
  </w:style>
  <w:style w:type="paragraph" w:customStyle="1" w:styleId="61">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62">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63">
    <w:name w:val="正文首行缩进两字符"/>
    <w:basedOn w:val="1"/>
    <w:qFormat/>
    <w:uiPriority w:val="0"/>
    <w:pPr>
      <w:spacing w:line="360" w:lineRule="auto"/>
      <w:ind w:firstLine="200" w:firstLineChars="200"/>
    </w:pPr>
  </w:style>
  <w:style w:type="paragraph" w:customStyle="1" w:styleId="64">
    <w:name w:val="样式 首行缩进:  2 字符"/>
    <w:basedOn w:val="1"/>
    <w:qFormat/>
    <w:uiPriority w:val="0"/>
    <w:pPr>
      <w:spacing w:line="400" w:lineRule="exact"/>
      <w:ind w:firstLine="200" w:firstLineChars="200"/>
    </w:pPr>
    <w:rPr>
      <w:rFonts w:cs="宋体"/>
      <w:sz w:val="24"/>
    </w:rPr>
  </w:style>
  <w:style w:type="paragraph" w:customStyle="1" w:styleId="65">
    <w:name w:val="封面标准号2"/>
    <w:basedOn w:val="1"/>
    <w:qFormat/>
    <w:uiPriority w:val="99"/>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paragraph" w:styleId="66">
    <w:name w:val="List Paragraph"/>
    <w:basedOn w:val="1"/>
    <w:qFormat/>
    <w:uiPriority w:val="99"/>
    <w:pPr>
      <w:ind w:firstLine="420" w:firstLineChars="200"/>
    </w:pPr>
  </w:style>
  <w:style w:type="paragraph" w:customStyle="1" w:styleId="67">
    <w:name w:val="列出段落1"/>
    <w:basedOn w:val="1"/>
    <w:unhideWhenUsed/>
    <w:qFormat/>
    <w:uiPriority w:val="99"/>
    <w:pPr>
      <w:ind w:firstLine="420" w:firstLineChars="200"/>
    </w:pPr>
  </w:style>
  <w:style w:type="table" w:customStyle="1" w:styleId="68">
    <w:name w:val="网格型1"/>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9">
    <w:name w:val="标题 5（有编号）（绿盟科技）"/>
    <w:basedOn w:val="1"/>
    <w:next w:val="70"/>
    <w:qFormat/>
    <w:uiPriority w:val="0"/>
    <w:pPr>
      <w:keepNext/>
      <w:keepLines/>
      <w:numPr>
        <w:ilvl w:val="4"/>
        <w:numId w:val="1"/>
      </w:numPr>
      <w:spacing w:line="377" w:lineRule="auto"/>
      <w:outlineLvl w:val="4"/>
    </w:pPr>
    <w:rPr>
      <w:rFonts w:ascii="Arial" w:hAnsi="Arial" w:eastAsia="黑体" w:cs="Arial"/>
      <w:b/>
      <w:bCs/>
    </w:rPr>
  </w:style>
  <w:style w:type="paragraph" w:customStyle="1" w:styleId="70">
    <w:name w:val="正文（绿盟科技）"/>
    <w:qFormat/>
    <w:uiPriority w:val="0"/>
    <w:pPr>
      <w:spacing w:line="300" w:lineRule="auto"/>
    </w:pPr>
    <w:rPr>
      <w:rFonts w:ascii="Arial" w:hAnsi="Arial" w:eastAsia="宋体" w:cs="Arial"/>
      <w:sz w:val="21"/>
      <w:szCs w:val="21"/>
      <w:lang w:val="en-US" w:eastAsia="zh-CN" w:bidi="ar-SA"/>
    </w:rPr>
  </w:style>
  <w:style w:type="paragraph" w:customStyle="1" w:styleId="71">
    <w:name w:val="Char Char Char"/>
    <w:basedOn w:val="1"/>
    <w:qFormat/>
    <w:uiPriority w:val="0"/>
    <w:rPr>
      <w:rFonts w:ascii="Times New Roman"/>
    </w:rPr>
  </w:style>
  <w:style w:type="paragraph" w:customStyle="1" w:styleId="72">
    <w:name w:val="Char Char Char1"/>
    <w:basedOn w:val="1"/>
    <w:qFormat/>
    <w:uiPriority w:val="0"/>
    <w:rPr>
      <w:rFonts w:ascii="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295646-B50B-4BAC-AA54-339B21378F93}">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105</Pages>
  <Words>39047</Words>
  <Characters>40933</Characters>
  <Lines>316</Lines>
  <Paragraphs>89</Paragraphs>
  <TotalTime>129</TotalTime>
  <ScaleCrop>false</ScaleCrop>
  <LinksUpToDate>false</LinksUpToDate>
  <CharactersWithSpaces>41761</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2021-10-29T05:50:00Z</dcterms:created>
  <dc:creator>s</dc:creator>
  <cp:lastModifiedBy>PC-1</cp:lastModifiedBy>
  <cp:lastPrinted>2021-11-01T03:44:00Z</cp:lastPrinted>
  <dcterms:modified xsi:type="dcterms:W3CDTF">2021-11-01T07:02:41Z</dcterms:modified>
  <dc:title>招标编号：xxxx [xxxx] xx号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A94C211FF17E4C95BA2641D72F6DF536</vt:lpwstr>
  </property>
</Properties>
</file>