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25" w:rsidRPr="004026F4" w:rsidRDefault="004026F4">
      <w:pPr>
        <w:rPr>
          <w:rFonts w:asciiTheme="minorEastAsia" w:hAnsiTheme="minorEastAsia"/>
          <w:sz w:val="30"/>
          <w:szCs w:val="30"/>
        </w:rPr>
      </w:pPr>
      <w:r w:rsidRPr="004026F4">
        <w:rPr>
          <w:rFonts w:ascii="微软雅黑" w:eastAsia="微软雅黑" w:hAnsi="微软雅黑" w:hint="eastAsia"/>
          <w:color w:val="333333"/>
          <w:sz w:val="30"/>
          <w:szCs w:val="30"/>
          <w:shd w:val="clear" w:color="auto" w:fill="FFFFFF"/>
        </w:rPr>
        <w:t> </w:t>
      </w:r>
      <w:r w:rsidRPr="004026F4">
        <w:rPr>
          <w:rStyle w:val="HTML"/>
          <w:rFonts w:asciiTheme="minorEastAsia" w:eastAsiaTheme="minorEastAsia" w:hAnsiTheme="minorEastAsia"/>
          <w:color w:val="333333"/>
          <w:sz w:val="30"/>
          <w:szCs w:val="30"/>
          <w:shd w:val="clear" w:color="auto" w:fill="FFFFFF"/>
        </w:rPr>
        <w:t> 一、本项目情况：1、计划编号：510186-2021-[2021]261号-001，2、预算金额：31.9636万元，3、采购品目名称：A020207 LED显示屏。二、监督管理部门：四川天府新区财政金融局；联系电话：028-61889702。地址：天府新区宁波路377号中铁卓越中心17楼； 三、本项目需要落实的政府采购政策：促进中小企业发展、促进监狱企业发展、促进残疾人福利性单位发展； 四、供应商信用融资： 四川省正在推进政府采购供应商信用融资工作，相关要求详见《四川省财政厅关于推进四川省政府采购供应商信用融资工作的通知》（</w:t>
      </w:r>
      <w:proofErr w:type="gramStart"/>
      <w:r w:rsidRPr="004026F4">
        <w:rPr>
          <w:rStyle w:val="HTML"/>
          <w:rFonts w:asciiTheme="minorEastAsia" w:eastAsiaTheme="minorEastAsia" w:hAnsiTheme="minorEastAsia"/>
          <w:color w:val="333333"/>
          <w:sz w:val="30"/>
          <w:szCs w:val="30"/>
          <w:shd w:val="clear" w:color="auto" w:fill="FFFFFF"/>
        </w:rPr>
        <w:t>川财采</w:t>
      </w:r>
      <w:proofErr w:type="gramEnd"/>
      <w:r w:rsidRPr="004026F4">
        <w:rPr>
          <w:rStyle w:val="HTML"/>
          <w:rFonts w:asciiTheme="minorEastAsia" w:eastAsiaTheme="minorEastAsia" w:hAnsiTheme="minorEastAsia"/>
          <w:color w:val="333333"/>
          <w:sz w:val="30"/>
          <w:szCs w:val="30"/>
          <w:shd w:val="clear" w:color="auto" w:fill="FFFFFF"/>
        </w:rPr>
        <w:t>〔2018〕123 号）、《成都市中小企业政府采购信用融资暂行办法》（</w:t>
      </w:r>
      <w:proofErr w:type="gramStart"/>
      <w:r w:rsidRPr="004026F4">
        <w:rPr>
          <w:rStyle w:val="HTML"/>
          <w:rFonts w:asciiTheme="minorEastAsia" w:eastAsiaTheme="minorEastAsia" w:hAnsiTheme="minorEastAsia"/>
          <w:color w:val="333333"/>
          <w:sz w:val="30"/>
          <w:szCs w:val="30"/>
          <w:shd w:val="clear" w:color="auto" w:fill="FFFFFF"/>
        </w:rPr>
        <w:t>成财采</w:t>
      </w:r>
      <w:proofErr w:type="gramEnd"/>
      <w:r w:rsidRPr="004026F4">
        <w:rPr>
          <w:rStyle w:val="HTML"/>
          <w:rFonts w:asciiTheme="minorEastAsia" w:eastAsiaTheme="minorEastAsia" w:hAnsiTheme="minorEastAsia"/>
          <w:color w:val="333333"/>
          <w:sz w:val="30"/>
          <w:szCs w:val="30"/>
          <w:shd w:val="clear" w:color="auto" w:fill="FFFFFF"/>
        </w:rPr>
        <w:t>〔2019〕17 号）等有关规定，上述文件请在四川政府采购网查询。中标供应商为中小企业的，可依据政府采购合同申请政府采购信用融资。 五、本项目中供应商在经营活动中的重大违法记录的标准和范围：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标准金额为准。 六、投标保证金和履约保证金的收取方式：无。</w:t>
      </w:r>
    </w:p>
    <w:sectPr w:rsidR="00F81625" w:rsidRPr="004026F4" w:rsidSect="00F816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26F4"/>
    <w:rsid w:val="004026F4"/>
    <w:rsid w:val="00800FE8"/>
    <w:rsid w:val="00F816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basedOn w:val="a0"/>
    <w:uiPriority w:val="99"/>
    <w:semiHidden/>
    <w:unhideWhenUsed/>
    <w:rsid w:val="004026F4"/>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523</Characters>
  <Application>Microsoft Office Word</Application>
  <DocSecurity>0</DocSecurity>
  <Lines>4</Lines>
  <Paragraphs>1</Paragraphs>
  <ScaleCrop>false</ScaleCrop>
  <Company>china</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cp:revision>
  <dcterms:created xsi:type="dcterms:W3CDTF">2021-12-02T01:16:00Z</dcterms:created>
  <dcterms:modified xsi:type="dcterms:W3CDTF">2021-12-02T01:18:00Z</dcterms:modified>
</cp:coreProperties>
</file>