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ascii="华文中宋" w:hAnsi="华文中宋" w:eastAsia="华文中宋"/>
          <w:spacing w:val="42"/>
          <w:sz w:val="130"/>
          <w:szCs w:val="130"/>
        </w:rPr>
      </w:pPr>
      <w:r>
        <w:rPr>
          <w:rFonts w:hint="eastAsia" w:ascii="华文中宋" w:hAnsi="华文中宋" w:eastAsia="华文中宋"/>
          <w:spacing w:val="42"/>
          <w:sz w:val="130"/>
          <w:szCs w:val="130"/>
        </w:rPr>
        <w:t>招 标 文 件</w:t>
      </w: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rPr>
          <w:rFonts w:ascii="宋体" w:hAnsi="宋体"/>
        </w:rPr>
      </w:pPr>
    </w:p>
    <w:p>
      <w:pPr>
        <w:spacing w:line="360" w:lineRule="auto"/>
        <w:ind w:left="2409" w:leftChars="338" w:hanging="1699" w:hangingChars="531"/>
        <w:rPr>
          <w:rFonts w:hint="eastAsia" w:ascii="华文中宋" w:hAnsi="华文中宋" w:eastAsia="华文中宋"/>
          <w:sz w:val="32"/>
          <w:szCs w:val="32"/>
        </w:rPr>
      </w:pPr>
      <w:r>
        <w:rPr>
          <w:rFonts w:hint="eastAsia" w:ascii="华文中宋" w:hAnsi="华文中宋" w:eastAsia="华文中宋"/>
          <w:sz w:val="32"/>
          <w:szCs w:val="32"/>
        </w:rPr>
        <w:t>项目名称：</w:t>
      </w:r>
      <w:r>
        <w:rPr>
          <w:rFonts w:hint="eastAsia" w:ascii="华文中宋" w:hAnsi="华文中宋" w:eastAsia="华文中宋"/>
          <w:sz w:val="32"/>
          <w:szCs w:val="32"/>
        </w:rPr>
        <w:fldChar w:fldCharType="begin"/>
      </w:r>
      <w:r>
        <w:rPr>
          <w:rFonts w:hint="eastAsia" w:ascii="华文中宋" w:hAnsi="华文中宋" w:eastAsia="华文中宋"/>
          <w:sz w:val="32"/>
          <w:szCs w:val="32"/>
        </w:rPr>
        <w:instrText xml:space="preserve"> HYPERLINK "https://www.zcygov.cn/proj-procurement/project-result-detail/5f83cd05a512ba72?utm=web-project-center-front.54583802.0.0.5a677190a66111eca63175e3015e8d8f" \t "https://www.zcygov.cn/project-center/self-project/_blank" </w:instrText>
      </w:r>
      <w:r>
        <w:rPr>
          <w:rFonts w:hint="eastAsia" w:ascii="华文中宋" w:hAnsi="华文中宋" w:eastAsia="华文中宋"/>
          <w:sz w:val="32"/>
          <w:szCs w:val="32"/>
        </w:rPr>
        <w:fldChar w:fldCharType="separate"/>
      </w:r>
      <w:r>
        <w:rPr>
          <w:rFonts w:hint="eastAsia" w:ascii="华文中宋" w:hAnsi="华文中宋" w:eastAsia="华文中宋"/>
          <w:sz w:val="32"/>
          <w:szCs w:val="32"/>
        </w:rPr>
        <w:t>彭州市人民医院物业管理服务采购项目</w:t>
      </w:r>
      <w:r>
        <w:rPr>
          <w:rFonts w:hint="eastAsia" w:ascii="华文中宋" w:hAnsi="华文中宋" w:eastAsia="华文中宋"/>
          <w:sz w:val="32"/>
          <w:szCs w:val="32"/>
        </w:rPr>
        <w:fldChar w:fldCharType="end"/>
      </w:r>
    </w:p>
    <w:p>
      <w:pPr>
        <w:spacing w:line="360" w:lineRule="auto"/>
        <w:ind w:left="2409" w:leftChars="338" w:hanging="1699" w:hangingChars="531"/>
        <w:rPr>
          <w:rFonts w:hint="eastAsia" w:ascii="华文中宋" w:hAnsi="华文中宋" w:eastAsia="华文中宋"/>
          <w:sz w:val="32"/>
          <w:szCs w:val="32"/>
        </w:rPr>
      </w:pPr>
      <w:r>
        <w:rPr>
          <w:rFonts w:hint="eastAsia" w:ascii="华文中宋" w:hAnsi="华文中宋" w:eastAsia="华文中宋"/>
          <w:sz w:val="32"/>
          <w:szCs w:val="32"/>
        </w:rPr>
        <w:t>项目编号：彭州市政采（2021）A0048号</w:t>
      </w:r>
    </w:p>
    <w:p>
      <w:pPr>
        <w:spacing w:line="360" w:lineRule="auto"/>
        <w:ind w:firstLine="1280" w:firstLineChars="400"/>
        <w:rPr>
          <w:rFonts w:ascii="宋体" w:hAnsi="宋体"/>
          <w:sz w:val="32"/>
          <w:szCs w:val="32"/>
        </w:rPr>
      </w:pPr>
    </w:p>
    <w:p>
      <w:pPr>
        <w:spacing w:line="360" w:lineRule="auto"/>
        <w:ind w:firstLine="1256" w:firstLineChars="349"/>
        <w:rPr>
          <w:rFonts w:ascii="宋体" w:hAnsi="宋体"/>
          <w:spacing w:val="20"/>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rPr>
          <w:rFonts w:ascii="宋体" w:hAnsi="宋体"/>
          <w:kern w:val="24"/>
          <w:sz w:val="32"/>
          <w:szCs w:val="32"/>
        </w:rPr>
      </w:pPr>
    </w:p>
    <w:p>
      <w:pPr>
        <w:spacing w:line="360" w:lineRule="auto"/>
        <w:jc w:val="center"/>
        <w:rPr>
          <w:rFonts w:ascii="宋体" w:hAnsi="宋体"/>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彭州市人民医院、</w:t>
      </w:r>
      <w:r>
        <w:rPr>
          <w:rFonts w:hint="eastAsia" w:ascii="华文中宋" w:hAnsi="华文中宋" w:eastAsia="华文中宋"/>
          <w:sz w:val="32"/>
          <w:szCs w:val="32"/>
          <w:lang w:val="en-US" w:eastAsia="zh-CN"/>
        </w:rPr>
        <w:t>彭州</w:t>
      </w:r>
      <w:r>
        <w:rPr>
          <w:rFonts w:hint="eastAsia" w:ascii="华文中宋" w:hAnsi="华文中宋" w:eastAsia="华文中宋"/>
          <w:sz w:val="32"/>
          <w:szCs w:val="32"/>
        </w:rPr>
        <w:t>市公共资源交易服务中心共同编制</w:t>
      </w:r>
    </w:p>
    <w:p>
      <w:pPr>
        <w:spacing w:line="360" w:lineRule="auto"/>
        <w:jc w:val="center"/>
        <w:rPr>
          <w:rFonts w:ascii="华文中宋" w:hAnsi="华文中宋" w:eastAsia="华文中宋"/>
          <w:sz w:val="28"/>
          <w:szCs w:val="32"/>
        </w:rPr>
      </w:pPr>
      <w:r>
        <w:rPr>
          <w:rFonts w:hint="eastAsia" w:ascii="华文中宋" w:hAnsi="华文中宋" w:eastAsia="华文中宋"/>
          <w:sz w:val="32"/>
          <w:szCs w:val="32"/>
        </w:rPr>
        <w:t>二〇二</w:t>
      </w:r>
      <w:r>
        <w:rPr>
          <w:rFonts w:hint="eastAsia" w:ascii="华文中宋" w:hAnsi="华文中宋" w:eastAsia="华文中宋"/>
          <w:sz w:val="32"/>
          <w:szCs w:val="32"/>
          <w:lang w:eastAsia="zh-CN"/>
        </w:rPr>
        <w:t>二</w:t>
      </w:r>
      <w:r>
        <w:rPr>
          <w:rFonts w:hint="eastAsia" w:ascii="华文中宋" w:hAnsi="华文中宋" w:eastAsia="华文中宋"/>
          <w:sz w:val="32"/>
          <w:szCs w:val="32"/>
        </w:rPr>
        <w:t>年</w:t>
      </w:r>
      <w:r>
        <w:rPr>
          <w:rFonts w:hint="eastAsia" w:ascii="华文中宋" w:hAnsi="华文中宋" w:eastAsia="华文中宋"/>
          <w:sz w:val="32"/>
          <w:szCs w:val="32"/>
          <w:lang w:eastAsia="zh-CN"/>
        </w:rPr>
        <w:t>三</w:t>
      </w:r>
      <w:r>
        <w:rPr>
          <w:rFonts w:hint="eastAsia" w:ascii="华文中宋" w:hAnsi="华文中宋" w:eastAsia="华文中宋"/>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宋体" w:hAnsi="宋体"/>
          <w:b w:val="0"/>
          <w:bCs/>
          <w:sz w:val="36"/>
        </w:rPr>
      </w:pPr>
      <w:bookmarkStart w:id="0" w:name="_Toc101234248"/>
      <w:bookmarkStart w:id="1" w:name="_Toc148505181"/>
      <w:bookmarkStart w:id="2" w:name="_Toc101328520"/>
      <w:bookmarkStart w:id="3" w:name="_Toc101247312"/>
      <w:r>
        <w:rPr>
          <w:rFonts w:hint="eastAsia" w:ascii="宋体" w:hAnsi="宋体"/>
          <w:b w:val="0"/>
          <w:bCs/>
          <w:sz w:val="32"/>
          <w:szCs w:val="32"/>
        </w:rPr>
        <w:t>目 录</w:t>
      </w:r>
    </w:p>
    <w:p>
      <w:pPr>
        <w:pStyle w:val="29"/>
        <w:rPr>
          <w:rFonts w:asciiTheme="minorHAnsi" w:hAnsiTheme="minorHAnsi" w:eastAsiaTheme="minorEastAsia" w:cstheme="minorBidi"/>
          <w:b w:val="0"/>
          <w:bCs/>
          <w:caps w:val="0"/>
          <w:sz w:val="21"/>
          <w:szCs w:val="22"/>
        </w:rPr>
      </w:pPr>
      <w:r>
        <w:rPr>
          <w:rFonts w:hint="eastAsia"/>
          <w:b w:val="0"/>
          <w:bCs/>
        </w:rPr>
        <w:fldChar w:fldCharType="begin"/>
      </w:r>
      <w:r>
        <w:rPr>
          <w:rFonts w:hint="eastAsia" w:ascii="宋体" w:hAnsi="宋体"/>
          <w:b w:val="0"/>
          <w:bCs/>
          <w:smallCaps/>
        </w:rPr>
        <w:instrText xml:space="preserve"> TOC \o "1-2" \h \z \u </w:instrText>
      </w:r>
      <w:r>
        <w:rPr>
          <w:rFonts w:hint="eastAsia"/>
          <w:b w:val="0"/>
          <w:bCs/>
        </w:rPr>
        <w:fldChar w:fldCharType="separate"/>
      </w:r>
      <w:r>
        <w:rPr>
          <w:b w:val="0"/>
          <w:bCs/>
        </w:rPr>
        <w:fldChar w:fldCharType="begin"/>
      </w:r>
      <w:r>
        <w:rPr>
          <w:b w:val="0"/>
          <w:bCs/>
        </w:rPr>
        <w:instrText xml:space="preserve"> HYPERLINK \l "_Toc84599894" </w:instrText>
      </w:r>
      <w:r>
        <w:rPr>
          <w:b w:val="0"/>
          <w:bCs/>
        </w:rPr>
        <w:fldChar w:fldCharType="separate"/>
      </w:r>
      <w:r>
        <w:rPr>
          <w:rStyle w:val="48"/>
          <w:rFonts w:hint="eastAsia" w:ascii="Times New Roman" w:hAnsi="Times New Roman"/>
          <w:b w:val="0"/>
          <w:bCs/>
          <w:color w:val="auto"/>
          <w:spacing w:val="-20"/>
          <w:kern w:val="44"/>
        </w:rPr>
        <w:t>第1章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投标邀请</w:t>
      </w:r>
      <w:r>
        <w:rPr>
          <w:b w:val="0"/>
          <w:bCs/>
        </w:rPr>
        <w:tab/>
      </w:r>
      <w:r>
        <w:rPr>
          <w:b w:val="0"/>
          <w:bCs/>
        </w:rPr>
        <w:fldChar w:fldCharType="begin"/>
      </w:r>
      <w:r>
        <w:rPr>
          <w:b w:val="0"/>
          <w:bCs/>
        </w:rPr>
        <w:instrText xml:space="preserve"> PAGEREF _Toc84599894 \h </w:instrText>
      </w:r>
      <w:r>
        <w:rPr>
          <w:b w:val="0"/>
          <w:bCs/>
        </w:rPr>
        <w:fldChar w:fldCharType="separate"/>
      </w:r>
      <w:r>
        <w:rPr>
          <w:b w:val="0"/>
          <w:bCs/>
        </w:rPr>
        <w:t>3</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"_Toc84599895" </w:instrText>
      </w:r>
      <w:r>
        <w:rPr>
          <w:b w:val="0"/>
          <w:bCs/>
        </w:rPr>
        <w:fldChar w:fldCharType="separate"/>
      </w:r>
      <w:r>
        <w:rPr>
          <w:rStyle w:val="48"/>
          <w:rFonts w:hint="eastAsia" w:ascii="Times New Roman" w:hAnsi="Times New Roman"/>
          <w:b w:val="0"/>
          <w:bCs/>
          <w:color w:val="auto"/>
          <w:spacing w:val="-20"/>
          <w:kern w:val="44"/>
        </w:rPr>
        <w:t>第2章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投标人须知</w:t>
      </w:r>
      <w:r>
        <w:rPr>
          <w:b w:val="0"/>
          <w:bCs/>
        </w:rPr>
        <w:tab/>
      </w:r>
      <w:r>
        <w:rPr>
          <w:b w:val="0"/>
          <w:bCs/>
        </w:rPr>
        <w:fldChar w:fldCharType="begin"/>
      </w:r>
      <w:r>
        <w:rPr>
          <w:b w:val="0"/>
          <w:bCs/>
        </w:rPr>
        <w:instrText xml:space="preserve"> PAGEREF _Toc84599895 \h </w:instrText>
      </w:r>
      <w:r>
        <w:rPr>
          <w:b w:val="0"/>
          <w:bCs/>
        </w:rPr>
        <w:fldChar w:fldCharType="separate"/>
      </w:r>
      <w:r>
        <w:rPr>
          <w:b w:val="0"/>
          <w:bCs/>
        </w:rPr>
        <w:t>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"_Toc84599896" </w:instrText>
      </w:r>
      <w:r>
        <w:rPr>
          <w:b w:val="0"/>
          <w:bCs/>
        </w:rPr>
        <w:fldChar w:fldCharType="separate"/>
      </w:r>
      <w:r>
        <w:rPr>
          <w:rStyle w:val="48"/>
          <w:rFonts w:ascii="Times New Roman" w:hAnsi="Times New Roman"/>
          <w:b w:val="0"/>
          <w:bCs/>
          <w:color w:val="auto"/>
        </w:rPr>
        <w:t>2.1</w:t>
      </w:r>
      <w:r>
        <w:rPr>
          <w:rStyle w:val="48"/>
          <w:rFonts w:hint="eastAsia" w:ascii="宋体" w:hAnsi="宋体"/>
          <w:b w:val="0"/>
          <w:bCs/>
          <w:color w:val="auto"/>
        </w:rPr>
        <w:t xml:space="preserve"> 投标人须知前附表</w:t>
      </w:r>
      <w:r>
        <w:rPr>
          <w:b w:val="0"/>
          <w:bCs/>
        </w:rPr>
        <w:tab/>
      </w:r>
      <w:r>
        <w:rPr>
          <w:b w:val="0"/>
          <w:bCs/>
        </w:rPr>
        <w:fldChar w:fldCharType="begin"/>
      </w:r>
      <w:r>
        <w:rPr>
          <w:b w:val="0"/>
          <w:bCs/>
        </w:rPr>
        <w:instrText xml:space="preserve"> PAGEREF _Toc84599896 \h </w:instrText>
      </w:r>
      <w:r>
        <w:rPr>
          <w:b w:val="0"/>
          <w:bCs/>
        </w:rPr>
        <w:fldChar w:fldCharType="separate"/>
      </w:r>
      <w:r>
        <w:rPr>
          <w:b w:val="0"/>
          <w:bCs/>
        </w:rPr>
        <w:t>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"_Toc84599897" </w:instrText>
      </w:r>
      <w:r>
        <w:rPr>
          <w:b w:val="0"/>
          <w:bCs/>
        </w:rPr>
        <w:fldChar w:fldCharType="separate"/>
      </w:r>
      <w:r>
        <w:rPr>
          <w:rStyle w:val="48"/>
          <w:rFonts w:ascii="Times New Roman" w:hAnsi="Times New Roman"/>
          <w:b w:val="0"/>
          <w:bCs/>
          <w:color w:val="auto"/>
        </w:rPr>
        <w:t>2.2</w:t>
      </w:r>
      <w:r>
        <w:rPr>
          <w:rStyle w:val="48"/>
          <w:rFonts w:hint="eastAsia" w:ascii="宋体" w:hAnsi="宋体"/>
          <w:b w:val="0"/>
          <w:bCs/>
          <w:color w:val="auto"/>
        </w:rPr>
        <w:t xml:space="preserve"> 总则</w:t>
      </w:r>
      <w:r>
        <w:rPr>
          <w:b w:val="0"/>
          <w:bCs/>
        </w:rPr>
        <w:tab/>
      </w:r>
      <w:r>
        <w:rPr>
          <w:b w:val="0"/>
          <w:bCs/>
        </w:rPr>
        <w:fldChar w:fldCharType="begin"/>
      </w:r>
      <w:r>
        <w:rPr>
          <w:b w:val="0"/>
          <w:bCs/>
        </w:rPr>
        <w:instrText xml:space="preserve"> PAGEREF _Toc84599897 \h </w:instrText>
      </w:r>
      <w:r>
        <w:rPr>
          <w:b w:val="0"/>
          <w:bCs/>
        </w:rPr>
        <w:fldChar w:fldCharType="separate"/>
      </w:r>
      <w:r>
        <w:rPr>
          <w:b w:val="0"/>
          <w:bCs/>
        </w:rPr>
        <w:t>9</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"_Toc84599898" </w:instrText>
      </w:r>
      <w:r>
        <w:rPr>
          <w:b w:val="0"/>
          <w:bCs/>
        </w:rPr>
        <w:fldChar w:fldCharType="separate"/>
      </w:r>
      <w:r>
        <w:rPr>
          <w:rStyle w:val="48"/>
          <w:rFonts w:ascii="Times New Roman" w:hAnsi="Times New Roman"/>
          <w:b w:val="0"/>
          <w:bCs/>
          <w:color w:val="auto"/>
        </w:rPr>
        <w:t>2.3</w:t>
      </w:r>
      <w:r>
        <w:rPr>
          <w:rStyle w:val="48"/>
          <w:rFonts w:hint="eastAsia" w:ascii="宋体" w:hAnsi="宋体"/>
          <w:b w:val="0"/>
          <w:bCs/>
          <w:color w:val="auto"/>
        </w:rPr>
        <w:t xml:space="preserve"> 招标文件</w:t>
      </w:r>
      <w:r>
        <w:rPr>
          <w:b w:val="0"/>
          <w:bCs/>
        </w:rPr>
        <w:tab/>
      </w:r>
      <w:r>
        <w:rPr>
          <w:b w:val="0"/>
          <w:bCs/>
        </w:rPr>
        <w:fldChar w:fldCharType="begin"/>
      </w:r>
      <w:r>
        <w:rPr>
          <w:b w:val="0"/>
          <w:bCs/>
        </w:rPr>
        <w:instrText xml:space="preserve"> PAGEREF _Toc84599898 \h </w:instrText>
      </w:r>
      <w:r>
        <w:rPr>
          <w:b w:val="0"/>
          <w:bCs/>
        </w:rPr>
        <w:fldChar w:fldCharType="separate"/>
      </w:r>
      <w:r>
        <w:rPr>
          <w:b w:val="0"/>
          <w:bCs/>
        </w:rPr>
        <w:t>11</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"_Toc84599899" </w:instrText>
      </w:r>
      <w:r>
        <w:rPr>
          <w:b w:val="0"/>
          <w:bCs/>
        </w:rPr>
        <w:fldChar w:fldCharType="separate"/>
      </w:r>
      <w:r>
        <w:rPr>
          <w:rStyle w:val="48"/>
          <w:rFonts w:ascii="Times New Roman" w:hAnsi="Times New Roman"/>
          <w:b w:val="0"/>
          <w:bCs/>
          <w:color w:val="auto"/>
        </w:rPr>
        <w:t>2.4</w:t>
      </w:r>
      <w:r>
        <w:rPr>
          <w:rStyle w:val="48"/>
          <w:rFonts w:hint="eastAsia" w:ascii="宋体" w:hAnsi="宋体"/>
          <w:b w:val="0"/>
          <w:bCs/>
          <w:color w:val="auto"/>
        </w:rPr>
        <w:t xml:space="preserve"> 投标文件</w:t>
      </w:r>
      <w:r>
        <w:rPr>
          <w:b w:val="0"/>
          <w:bCs/>
        </w:rPr>
        <w:tab/>
      </w:r>
      <w:r>
        <w:rPr>
          <w:b w:val="0"/>
          <w:bCs/>
        </w:rPr>
        <w:fldChar w:fldCharType="begin"/>
      </w:r>
      <w:r>
        <w:rPr>
          <w:b w:val="0"/>
          <w:bCs/>
        </w:rPr>
        <w:instrText xml:space="preserve"> PAGEREF _Toc84599899 \h </w:instrText>
      </w:r>
      <w:r>
        <w:rPr>
          <w:b w:val="0"/>
          <w:bCs/>
        </w:rPr>
        <w:fldChar w:fldCharType="separate"/>
      </w:r>
      <w:r>
        <w:rPr>
          <w:b w:val="0"/>
          <w:bCs/>
        </w:rPr>
        <w:t>12</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"_Toc84599900" </w:instrText>
      </w:r>
      <w:r>
        <w:rPr>
          <w:b w:val="0"/>
          <w:bCs/>
        </w:rPr>
        <w:fldChar w:fldCharType="separate"/>
      </w:r>
      <w:r>
        <w:rPr>
          <w:rStyle w:val="48"/>
          <w:rFonts w:ascii="Times New Roman" w:hAnsi="Times New Roman"/>
          <w:b w:val="0"/>
          <w:bCs/>
          <w:color w:val="auto"/>
        </w:rPr>
        <w:t>2.5</w:t>
      </w:r>
      <w:r>
        <w:rPr>
          <w:rStyle w:val="48"/>
          <w:rFonts w:hint="eastAsia" w:ascii="宋体" w:hAnsi="宋体"/>
          <w:b w:val="0"/>
          <w:bCs/>
          <w:color w:val="auto"/>
        </w:rPr>
        <w:t xml:space="preserve"> 开标、资格审查、评标和中标</w:t>
      </w:r>
      <w:r>
        <w:rPr>
          <w:b w:val="0"/>
          <w:bCs/>
        </w:rPr>
        <w:tab/>
      </w:r>
      <w:r>
        <w:rPr>
          <w:b w:val="0"/>
          <w:bCs/>
        </w:rPr>
        <w:fldChar w:fldCharType="begin"/>
      </w:r>
      <w:r>
        <w:rPr>
          <w:b w:val="0"/>
          <w:bCs/>
        </w:rPr>
        <w:instrText xml:space="preserve"> PAGEREF _Toc84599900 \h </w:instrText>
      </w:r>
      <w:r>
        <w:rPr>
          <w:b w:val="0"/>
          <w:bCs/>
        </w:rPr>
        <w:fldChar w:fldCharType="separate"/>
      </w:r>
      <w:r>
        <w:rPr>
          <w:b w:val="0"/>
          <w:bCs/>
        </w:rPr>
        <w:t>18</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"_Toc84599901" </w:instrText>
      </w:r>
      <w:r>
        <w:rPr>
          <w:b w:val="0"/>
          <w:bCs/>
        </w:rPr>
        <w:fldChar w:fldCharType="separate"/>
      </w:r>
      <w:r>
        <w:rPr>
          <w:rStyle w:val="48"/>
          <w:rFonts w:ascii="Times New Roman" w:hAnsi="Times New Roman"/>
          <w:b w:val="0"/>
          <w:bCs/>
          <w:color w:val="auto"/>
        </w:rPr>
        <w:t>2.6</w:t>
      </w:r>
      <w:r>
        <w:rPr>
          <w:rStyle w:val="48"/>
          <w:rFonts w:hint="eastAsia" w:ascii="宋体" w:hAnsi="宋体"/>
          <w:b w:val="0"/>
          <w:bCs/>
          <w:color w:val="auto"/>
        </w:rPr>
        <w:t xml:space="preserve"> 签订及履行合同和验收</w:t>
      </w:r>
      <w:r>
        <w:rPr>
          <w:b w:val="0"/>
          <w:bCs/>
        </w:rPr>
        <w:tab/>
      </w:r>
      <w:r>
        <w:rPr>
          <w:b w:val="0"/>
          <w:bCs/>
        </w:rPr>
        <w:fldChar w:fldCharType="begin"/>
      </w:r>
      <w:r>
        <w:rPr>
          <w:b w:val="0"/>
          <w:bCs/>
        </w:rPr>
        <w:instrText xml:space="preserve"> PAGEREF _Toc84599901 \h </w:instrText>
      </w:r>
      <w:r>
        <w:rPr>
          <w:b w:val="0"/>
          <w:bCs/>
        </w:rPr>
        <w:fldChar w:fldCharType="separate"/>
      </w:r>
      <w:r>
        <w:rPr>
          <w:b w:val="0"/>
          <w:bCs/>
        </w:rPr>
        <w:t>20</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"_Toc84599902" </w:instrText>
      </w:r>
      <w:r>
        <w:rPr>
          <w:b w:val="0"/>
          <w:bCs/>
        </w:rPr>
        <w:fldChar w:fldCharType="separate"/>
      </w:r>
      <w:r>
        <w:rPr>
          <w:rStyle w:val="48"/>
          <w:rFonts w:ascii="Times New Roman" w:hAnsi="Times New Roman"/>
          <w:b w:val="0"/>
          <w:bCs/>
          <w:color w:val="auto"/>
        </w:rPr>
        <w:t>2.7</w:t>
      </w:r>
      <w:r>
        <w:rPr>
          <w:rStyle w:val="48"/>
          <w:rFonts w:hint="eastAsia" w:ascii="宋体" w:hAnsi="宋体"/>
          <w:b w:val="0"/>
          <w:bCs/>
          <w:color w:val="auto"/>
        </w:rPr>
        <w:t xml:space="preserve"> 投标纪律要求</w:t>
      </w:r>
      <w:r>
        <w:rPr>
          <w:b w:val="0"/>
          <w:bCs/>
        </w:rPr>
        <w:tab/>
      </w:r>
      <w:r>
        <w:rPr>
          <w:b w:val="0"/>
          <w:bCs/>
        </w:rPr>
        <w:fldChar w:fldCharType="begin"/>
      </w:r>
      <w:r>
        <w:rPr>
          <w:b w:val="0"/>
          <w:bCs/>
        </w:rPr>
        <w:instrText xml:space="preserve"> PAGEREF _Toc84599902 \h </w:instrText>
      </w:r>
      <w:r>
        <w:rPr>
          <w:b w:val="0"/>
          <w:bCs/>
        </w:rPr>
        <w:fldChar w:fldCharType="separate"/>
      </w:r>
      <w:r>
        <w:rPr>
          <w:b w:val="0"/>
          <w:bCs/>
        </w:rPr>
        <w:t>22</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"_Toc84599903" </w:instrText>
      </w:r>
      <w:r>
        <w:rPr>
          <w:b w:val="0"/>
          <w:bCs/>
        </w:rPr>
        <w:fldChar w:fldCharType="separate"/>
      </w:r>
      <w:r>
        <w:rPr>
          <w:rStyle w:val="48"/>
          <w:rFonts w:ascii="Times New Roman" w:hAnsi="Times New Roman"/>
          <w:b w:val="0"/>
          <w:bCs/>
          <w:color w:val="auto"/>
        </w:rPr>
        <w:t>2.8</w:t>
      </w:r>
      <w:r>
        <w:rPr>
          <w:rStyle w:val="48"/>
          <w:rFonts w:hint="eastAsia" w:ascii="宋体" w:hAnsi="宋体"/>
          <w:b w:val="0"/>
          <w:bCs/>
          <w:color w:val="auto"/>
        </w:rPr>
        <w:t xml:space="preserve"> 询问、质疑和投诉</w:t>
      </w:r>
      <w:r>
        <w:rPr>
          <w:b w:val="0"/>
          <w:bCs/>
        </w:rPr>
        <w:tab/>
      </w:r>
      <w:r>
        <w:rPr>
          <w:b w:val="0"/>
          <w:bCs/>
        </w:rPr>
        <w:fldChar w:fldCharType="begin"/>
      </w:r>
      <w:r>
        <w:rPr>
          <w:b w:val="0"/>
          <w:bCs/>
        </w:rPr>
        <w:instrText xml:space="preserve"> PAGEREF _Toc84599903 \h </w:instrText>
      </w:r>
      <w:r>
        <w:rPr>
          <w:b w:val="0"/>
          <w:bCs/>
        </w:rPr>
        <w:fldChar w:fldCharType="separate"/>
      </w:r>
      <w:r>
        <w:rPr>
          <w:b w:val="0"/>
          <w:bCs/>
        </w:rPr>
        <w:t>24</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"_Toc84599905" </w:instrText>
      </w:r>
      <w:r>
        <w:rPr>
          <w:b w:val="0"/>
          <w:bCs/>
        </w:rPr>
        <w:fldChar w:fldCharType="separate"/>
      </w:r>
      <w:r>
        <w:rPr>
          <w:rStyle w:val="48"/>
          <w:rFonts w:hint="eastAsia" w:ascii="Times New Roman" w:hAnsi="Times New Roman"/>
          <w:b w:val="0"/>
          <w:bCs/>
          <w:color w:val="auto"/>
          <w:spacing w:val="-20"/>
          <w:kern w:val="44"/>
        </w:rPr>
        <w:t>第3章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投标文件格式</w:t>
      </w:r>
      <w:r>
        <w:rPr>
          <w:b w:val="0"/>
          <w:bCs/>
        </w:rPr>
        <w:tab/>
      </w:r>
      <w:r>
        <w:rPr>
          <w:b w:val="0"/>
          <w:bCs/>
        </w:rPr>
        <w:fldChar w:fldCharType="begin"/>
      </w:r>
      <w:r>
        <w:rPr>
          <w:b w:val="0"/>
          <w:bCs/>
        </w:rPr>
        <w:instrText xml:space="preserve"> PAGEREF _Toc84599905 \h </w:instrText>
      </w:r>
      <w:r>
        <w:rPr>
          <w:b w:val="0"/>
          <w:bCs/>
        </w:rPr>
        <w:fldChar w:fldCharType="separate"/>
      </w:r>
      <w:r>
        <w:rPr>
          <w:b w:val="0"/>
          <w:bCs/>
        </w:rPr>
        <w:t>27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"_Toc84599906" </w:instrText>
      </w:r>
      <w:r>
        <w:rPr>
          <w:b w:val="0"/>
          <w:bCs/>
        </w:rPr>
        <w:fldChar w:fldCharType="separate"/>
      </w:r>
      <w:r>
        <w:rPr>
          <w:rStyle w:val="48"/>
          <w:rFonts w:ascii="Times New Roman" w:hAnsi="Times New Roman"/>
          <w:b w:val="0"/>
          <w:bCs/>
          <w:color w:val="auto"/>
        </w:rPr>
        <w:t>3.1</w:t>
      </w:r>
      <w:r>
        <w:rPr>
          <w:rStyle w:val="48"/>
          <w:rFonts w:hint="eastAsia" w:ascii="宋体" w:hAnsi="宋体"/>
          <w:b w:val="0"/>
          <w:bCs/>
          <w:color w:val="auto"/>
        </w:rPr>
        <w:t xml:space="preserve"> 投标文件封面格式</w:t>
      </w:r>
      <w:r>
        <w:rPr>
          <w:b w:val="0"/>
          <w:bCs/>
        </w:rPr>
        <w:tab/>
      </w:r>
      <w:r>
        <w:rPr>
          <w:b w:val="0"/>
          <w:bCs/>
        </w:rPr>
        <w:fldChar w:fldCharType="begin"/>
      </w:r>
      <w:r>
        <w:rPr>
          <w:b w:val="0"/>
          <w:bCs/>
        </w:rPr>
        <w:instrText xml:space="preserve"> PAGEREF _Toc84599906 \h </w:instrText>
      </w:r>
      <w:r>
        <w:rPr>
          <w:b w:val="0"/>
          <w:bCs/>
        </w:rPr>
        <w:fldChar w:fldCharType="separate"/>
      </w:r>
      <w:r>
        <w:rPr>
          <w:b w:val="0"/>
          <w:bCs/>
        </w:rPr>
        <w:t>27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"_Toc84599907" </w:instrText>
      </w:r>
      <w:r>
        <w:rPr>
          <w:b w:val="0"/>
          <w:bCs/>
        </w:rPr>
        <w:fldChar w:fldCharType="separate"/>
      </w:r>
      <w:r>
        <w:rPr>
          <w:rStyle w:val="48"/>
          <w:rFonts w:ascii="Times New Roman" w:hAnsi="Times New Roman"/>
          <w:b w:val="0"/>
          <w:bCs/>
          <w:color w:val="auto"/>
        </w:rPr>
        <w:t>3.2</w:t>
      </w:r>
      <w:r>
        <w:rPr>
          <w:rStyle w:val="48"/>
          <w:rFonts w:hint="eastAsia" w:ascii="宋体" w:hAnsi="宋体"/>
          <w:b w:val="0"/>
          <w:bCs/>
          <w:color w:val="auto"/>
        </w:rPr>
        <w:t xml:space="preserve"> 资格响应文件</w:t>
      </w:r>
      <w:r>
        <w:rPr>
          <w:b w:val="0"/>
          <w:bCs/>
        </w:rPr>
        <w:tab/>
      </w:r>
      <w:r>
        <w:rPr>
          <w:b w:val="0"/>
          <w:bCs/>
        </w:rPr>
        <w:fldChar w:fldCharType="begin"/>
      </w:r>
      <w:r>
        <w:rPr>
          <w:b w:val="0"/>
          <w:bCs/>
        </w:rPr>
        <w:instrText xml:space="preserve"> PAGEREF _Toc84599907 \h </w:instrText>
      </w:r>
      <w:r>
        <w:rPr>
          <w:b w:val="0"/>
          <w:bCs/>
        </w:rPr>
        <w:fldChar w:fldCharType="separate"/>
      </w:r>
      <w:r>
        <w:rPr>
          <w:b w:val="0"/>
          <w:bCs/>
        </w:rPr>
        <w:t>28</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"_Toc84599908" </w:instrText>
      </w:r>
      <w:r>
        <w:rPr>
          <w:b w:val="0"/>
          <w:bCs/>
        </w:rPr>
        <w:fldChar w:fldCharType="separate"/>
      </w:r>
      <w:r>
        <w:rPr>
          <w:rStyle w:val="48"/>
          <w:rFonts w:ascii="Times New Roman" w:hAnsi="Times New Roman"/>
          <w:b w:val="0"/>
          <w:bCs/>
          <w:color w:val="auto"/>
        </w:rPr>
        <w:t>3.3</w:t>
      </w:r>
      <w:r>
        <w:rPr>
          <w:rStyle w:val="48"/>
          <w:rFonts w:hint="eastAsia" w:ascii="宋体" w:hAnsi="宋体"/>
          <w:b w:val="0"/>
          <w:bCs/>
          <w:color w:val="auto"/>
        </w:rPr>
        <w:t xml:space="preserve"> 商务技术响应文件</w:t>
      </w:r>
      <w:r>
        <w:rPr>
          <w:b w:val="0"/>
          <w:bCs/>
        </w:rPr>
        <w:tab/>
      </w:r>
      <w:r>
        <w:rPr>
          <w:b w:val="0"/>
          <w:bCs/>
        </w:rPr>
        <w:fldChar w:fldCharType="begin"/>
      </w:r>
      <w:r>
        <w:rPr>
          <w:b w:val="0"/>
          <w:bCs/>
        </w:rPr>
        <w:instrText xml:space="preserve"> PAGEREF _Toc84599908 \h </w:instrText>
      </w:r>
      <w:r>
        <w:rPr>
          <w:b w:val="0"/>
          <w:bCs/>
        </w:rPr>
        <w:fldChar w:fldCharType="separate"/>
      </w:r>
      <w:r>
        <w:rPr>
          <w:b w:val="0"/>
          <w:bCs/>
        </w:rPr>
        <w:t>33</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"_Toc84599909" </w:instrText>
      </w:r>
      <w:r>
        <w:rPr>
          <w:b w:val="0"/>
          <w:bCs/>
        </w:rPr>
        <w:fldChar w:fldCharType="separate"/>
      </w:r>
      <w:r>
        <w:rPr>
          <w:rStyle w:val="48"/>
          <w:rFonts w:ascii="Times New Roman" w:hAnsi="Times New Roman"/>
          <w:b w:val="0"/>
          <w:bCs/>
          <w:color w:val="auto"/>
        </w:rPr>
        <w:t>3.4</w:t>
      </w:r>
      <w:r>
        <w:rPr>
          <w:rStyle w:val="48"/>
          <w:rFonts w:hint="eastAsia" w:ascii="宋体" w:hAnsi="宋体"/>
          <w:b w:val="0"/>
          <w:bCs/>
          <w:color w:val="auto"/>
        </w:rPr>
        <w:t xml:space="preserve"> 报价要求响应文件</w:t>
      </w:r>
      <w:r>
        <w:rPr>
          <w:b w:val="0"/>
          <w:bCs/>
        </w:rPr>
        <w:tab/>
      </w:r>
      <w:r>
        <w:rPr>
          <w:b w:val="0"/>
          <w:bCs/>
        </w:rPr>
        <w:fldChar w:fldCharType="begin"/>
      </w:r>
      <w:r>
        <w:rPr>
          <w:b w:val="0"/>
          <w:bCs/>
        </w:rPr>
        <w:instrText xml:space="preserve"> PAGEREF _Toc84599909 \h </w:instrText>
      </w:r>
      <w:r>
        <w:rPr>
          <w:b w:val="0"/>
          <w:bCs/>
        </w:rPr>
        <w:fldChar w:fldCharType="separate"/>
      </w:r>
      <w:r>
        <w:rPr>
          <w:b w:val="0"/>
          <w:bCs/>
        </w:rPr>
        <w:t>37</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"_Toc84599910" </w:instrText>
      </w:r>
      <w:r>
        <w:rPr>
          <w:b w:val="0"/>
          <w:bCs/>
        </w:rPr>
        <w:fldChar w:fldCharType="separate"/>
      </w:r>
      <w:r>
        <w:rPr>
          <w:rStyle w:val="48"/>
          <w:rFonts w:hint="eastAsia" w:ascii="Times New Roman" w:hAnsi="Times New Roman"/>
          <w:b w:val="0"/>
          <w:bCs/>
          <w:color w:val="auto"/>
          <w:spacing w:val="-20"/>
          <w:kern w:val="44"/>
        </w:rPr>
        <w:t>第4章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招标项目技术、服务、商务及其他要求</w:t>
      </w:r>
      <w:r>
        <w:rPr>
          <w:b w:val="0"/>
          <w:bCs/>
        </w:rPr>
        <w:tab/>
      </w:r>
      <w:r>
        <w:rPr>
          <w:b w:val="0"/>
          <w:bCs/>
        </w:rPr>
        <w:fldChar w:fldCharType="begin"/>
      </w:r>
      <w:r>
        <w:rPr>
          <w:b w:val="0"/>
          <w:bCs/>
        </w:rPr>
        <w:instrText xml:space="preserve"> PAGEREF _Toc84599910 \h </w:instrText>
      </w:r>
      <w:r>
        <w:rPr>
          <w:b w:val="0"/>
          <w:bCs/>
        </w:rPr>
        <w:fldChar w:fldCharType="separate"/>
      </w:r>
      <w:r>
        <w:rPr>
          <w:b w:val="0"/>
          <w:bCs/>
        </w:rPr>
        <w:t>41</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"_Toc84599911" </w:instrText>
      </w:r>
      <w:r>
        <w:rPr>
          <w:b w:val="0"/>
          <w:bCs/>
        </w:rPr>
        <w:fldChar w:fldCharType="separate"/>
      </w:r>
      <w:r>
        <w:rPr>
          <w:rStyle w:val="48"/>
          <w:rFonts w:ascii="Times New Roman" w:hAnsi="Times New Roman"/>
          <w:b w:val="0"/>
          <w:bCs/>
          <w:color w:val="auto"/>
        </w:rPr>
        <w:t>4.1</w:t>
      </w:r>
      <w:r>
        <w:rPr>
          <w:rStyle w:val="48"/>
          <w:rFonts w:hint="eastAsia"/>
          <w:b w:val="0"/>
          <w:bCs/>
          <w:color w:val="auto"/>
        </w:rPr>
        <w:t xml:space="preserve"> 项目概况</w:t>
      </w:r>
      <w:r>
        <w:rPr>
          <w:b w:val="0"/>
          <w:bCs/>
        </w:rPr>
        <w:tab/>
      </w:r>
      <w:r>
        <w:rPr>
          <w:b w:val="0"/>
          <w:bCs/>
        </w:rPr>
        <w:fldChar w:fldCharType="begin"/>
      </w:r>
      <w:r>
        <w:rPr>
          <w:b w:val="0"/>
          <w:bCs/>
        </w:rPr>
        <w:instrText xml:space="preserve"> PAGEREF _Toc84599911 \h </w:instrText>
      </w:r>
      <w:r>
        <w:rPr>
          <w:b w:val="0"/>
          <w:bCs/>
        </w:rPr>
        <w:fldChar w:fldCharType="separate"/>
      </w:r>
      <w:r>
        <w:rPr>
          <w:b w:val="0"/>
          <w:bCs/>
        </w:rPr>
        <w:t>41</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"_Toc84599912" </w:instrText>
      </w:r>
      <w:r>
        <w:rPr>
          <w:b w:val="0"/>
          <w:bCs/>
        </w:rPr>
        <w:fldChar w:fldCharType="separate"/>
      </w:r>
      <w:r>
        <w:rPr>
          <w:rStyle w:val="48"/>
          <w:rFonts w:ascii="Times New Roman" w:hAnsi="Times New Roman"/>
          <w:b w:val="0"/>
          <w:bCs/>
          <w:color w:val="auto"/>
        </w:rPr>
        <w:t>4.2</w:t>
      </w:r>
      <w:r>
        <w:rPr>
          <w:rStyle w:val="48"/>
          <w:rFonts w:hint="eastAsia"/>
          <w:b w:val="0"/>
          <w:bCs/>
          <w:color w:val="auto"/>
        </w:rPr>
        <w:t xml:space="preserve"> 服务内容及服务要求</w:t>
      </w:r>
      <w:r>
        <w:rPr>
          <w:b w:val="0"/>
          <w:bCs/>
        </w:rPr>
        <w:tab/>
      </w:r>
      <w:r>
        <w:rPr>
          <w:b w:val="0"/>
          <w:bCs/>
        </w:rPr>
        <w:fldChar w:fldCharType="begin"/>
      </w:r>
      <w:r>
        <w:rPr>
          <w:b w:val="0"/>
          <w:bCs/>
        </w:rPr>
        <w:instrText xml:space="preserve"> PAGEREF _Toc84599912 \h </w:instrText>
      </w:r>
      <w:r>
        <w:rPr>
          <w:b w:val="0"/>
          <w:bCs/>
        </w:rPr>
        <w:fldChar w:fldCharType="separate"/>
      </w:r>
      <w:r>
        <w:rPr>
          <w:b w:val="0"/>
          <w:bCs/>
        </w:rPr>
        <w:t>41</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"_Toc84599913" </w:instrText>
      </w:r>
      <w:r>
        <w:rPr>
          <w:b w:val="0"/>
          <w:bCs/>
        </w:rPr>
        <w:fldChar w:fldCharType="separate"/>
      </w:r>
      <w:r>
        <w:rPr>
          <w:rStyle w:val="48"/>
          <w:rFonts w:ascii="Times New Roman" w:hAnsi="Times New Roman"/>
          <w:b w:val="0"/>
          <w:bCs/>
          <w:color w:val="auto"/>
        </w:rPr>
        <w:t>4.3</w:t>
      </w:r>
      <w:r>
        <w:rPr>
          <w:rStyle w:val="48"/>
          <w:rFonts w:hint="eastAsia"/>
          <w:b w:val="0"/>
          <w:bCs/>
          <w:color w:val="auto"/>
        </w:rPr>
        <w:t xml:space="preserve"> 商务要求</w:t>
      </w:r>
      <w:r>
        <w:rPr>
          <w:b w:val="0"/>
          <w:bCs/>
        </w:rPr>
        <w:tab/>
      </w:r>
      <w:r>
        <w:rPr>
          <w:b w:val="0"/>
          <w:bCs/>
        </w:rPr>
        <w:fldChar w:fldCharType="begin"/>
      </w:r>
      <w:r>
        <w:rPr>
          <w:b w:val="0"/>
          <w:bCs/>
        </w:rPr>
        <w:instrText xml:space="preserve"> PAGEREF _Toc84599913 \h </w:instrText>
      </w:r>
      <w:r>
        <w:rPr>
          <w:b w:val="0"/>
          <w:bCs/>
        </w:rPr>
        <w:fldChar w:fldCharType="separate"/>
      </w:r>
      <w:r>
        <w:rPr>
          <w:b w:val="0"/>
          <w:bCs/>
        </w:rPr>
        <w:t>80</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"_Toc84599914" </w:instrText>
      </w:r>
      <w:r>
        <w:rPr>
          <w:b w:val="0"/>
          <w:bCs/>
        </w:rPr>
        <w:fldChar w:fldCharType="separate"/>
      </w:r>
      <w:r>
        <w:rPr>
          <w:rStyle w:val="48"/>
          <w:rFonts w:ascii="Times New Roman" w:hAnsi="Times New Roman"/>
          <w:b w:val="0"/>
          <w:bCs/>
          <w:color w:val="auto"/>
        </w:rPr>
        <w:t>4.1</w:t>
      </w:r>
      <w:r>
        <w:rPr>
          <w:rStyle w:val="48"/>
          <w:rFonts w:hint="eastAsia"/>
          <w:b w:val="0"/>
          <w:bCs/>
          <w:color w:val="auto"/>
        </w:rPr>
        <w:t xml:space="preserve"> 服务范围及内容：</w:t>
      </w:r>
      <w:r>
        <w:rPr>
          <w:b w:val="0"/>
          <w:bCs/>
        </w:rPr>
        <w:tab/>
      </w:r>
      <w:r>
        <w:rPr>
          <w:b w:val="0"/>
          <w:bCs/>
        </w:rPr>
        <w:fldChar w:fldCharType="begin"/>
      </w:r>
      <w:r>
        <w:rPr>
          <w:b w:val="0"/>
          <w:bCs/>
        </w:rPr>
        <w:instrText xml:space="preserve"> PAGEREF _Toc84599914 \h </w:instrText>
      </w:r>
      <w:r>
        <w:rPr>
          <w:b w:val="0"/>
          <w:bCs/>
        </w:rPr>
        <w:fldChar w:fldCharType="separate"/>
      </w:r>
      <w:r>
        <w:rPr>
          <w:b/>
        </w:rPr>
        <w:t>错误！未定义书签。</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"_Toc84599915" </w:instrText>
      </w:r>
      <w:r>
        <w:rPr>
          <w:b w:val="0"/>
          <w:bCs/>
        </w:rPr>
        <w:fldChar w:fldCharType="separate"/>
      </w:r>
      <w:r>
        <w:rPr>
          <w:rStyle w:val="48"/>
          <w:rFonts w:hint="eastAsia" w:ascii="Times New Roman" w:hAnsi="Times New Roman"/>
          <w:b w:val="0"/>
          <w:bCs/>
          <w:color w:val="auto"/>
          <w:spacing w:val="-20"/>
          <w:kern w:val="44"/>
        </w:rPr>
        <w:t>第5章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资格性审查</w:t>
      </w:r>
      <w:r>
        <w:rPr>
          <w:b w:val="0"/>
          <w:bCs/>
        </w:rPr>
        <w:tab/>
      </w:r>
      <w:r>
        <w:rPr>
          <w:b w:val="0"/>
          <w:bCs/>
        </w:rPr>
        <w:fldChar w:fldCharType="begin"/>
      </w:r>
      <w:r>
        <w:rPr>
          <w:b w:val="0"/>
          <w:bCs/>
        </w:rPr>
        <w:instrText xml:space="preserve"> PAGEREF _Toc84599915 \h </w:instrText>
      </w:r>
      <w:r>
        <w:rPr>
          <w:b w:val="0"/>
          <w:bCs/>
        </w:rPr>
        <w:fldChar w:fldCharType="separate"/>
      </w:r>
      <w:r>
        <w:rPr>
          <w:b w:val="0"/>
          <w:bCs/>
        </w:rPr>
        <w:t>92</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"_Toc84599916" </w:instrText>
      </w:r>
      <w:r>
        <w:rPr>
          <w:b w:val="0"/>
          <w:bCs/>
        </w:rPr>
        <w:fldChar w:fldCharType="separate"/>
      </w:r>
      <w:r>
        <w:rPr>
          <w:rStyle w:val="48"/>
          <w:rFonts w:hint="eastAsia" w:ascii="Times New Roman" w:hAnsi="Times New Roman"/>
          <w:b w:val="0"/>
          <w:bCs/>
          <w:color w:val="auto"/>
          <w:spacing w:val="-20"/>
          <w:kern w:val="44"/>
        </w:rPr>
        <w:t>第6章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评标办法</w:t>
      </w:r>
      <w:r>
        <w:rPr>
          <w:b w:val="0"/>
          <w:bCs/>
        </w:rPr>
        <w:tab/>
      </w:r>
      <w:r>
        <w:rPr>
          <w:b w:val="0"/>
          <w:bCs/>
        </w:rPr>
        <w:fldChar w:fldCharType="begin"/>
      </w:r>
      <w:r>
        <w:rPr>
          <w:b w:val="0"/>
          <w:bCs/>
        </w:rPr>
        <w:instrText xml:space="preserve"> PAGEREF _Toc84599916 \h </w:instrText>
      </w:r>
      <w:r>
        <w:rPr>
          <w:b w:val="0"/>
          <w:bCs/>
        </w:rPr>
        <w:fldChar w:fldCharType="separate"/>
      </w:r>
      <w:r>
        <w:rPr>
          <w:b w:val="0"/>
          <w:bCs/>
        </w:rPr>
        <w:t>95</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"_Toc84599917" </w:instrText>
      </w:r>
      <w:r>
        <w:rPr>
          <w:b w:val="0"/>
          <w:bCs/>
        </w:rPr>
        <w:fldChar w:fldCharType="separate"/>
      </w:r>
      <w:r>
        <w:rPr>
          <w:rStyle w:val="48"/>
          <w:rFonts w:ascii="Times New Roman" w:hAnsi="Times New Roman"/>
          <w:b w:val="0"/>
          <w:bCs/>
          <w:color w:val="auto"/>
        </w:rPr>
        <w:t>6.1</w:t>
      </w:r>
      <w:r>
        <w:rPr>
          <w:rStyle w:val="48"/>
          <w:rFonts w:hint="eastAsia" w:ascii="宋体" w:hAnsi="宋体"/>
          <w:b w:val="0"/>
          <w:bCs/>
          <w:color w:val="auto"/>
        </w:rPr>
        <w:t xml:space="preserve"> 总则</w:t>
      </w:r>
      <w:r>
        <w:rPr>
          <w:b w:val="0"/>
          <w:bCs/>
        </w:rPr>
        <w:tab/>
      </w:r>
      <w:r>
        <w:rPr>
          <w:b w:val="0"/>
          <w:bCs/>
        </w:rPr>
        <w:fldChar w:fldCharType="begin"/>
      </w:r>
      <w:r>
        <w:rPr>
          <w:b w:val="0"/>
          <w:bCs/>
        </w:rPr>
        <w:instrText xml:space="preserve"> PAGEREF _Toc84599917 \h </w:instrText>
      </w:r>
      <w:r>
        <w:rPr>
          <w:b w:val="0"/>
          <w:bCs/>
        </w:rPr>
        <w:fldChar w:fldCharType="separate"/>
      </w:r>
      <w:r>
        <w:rPr>
          <w:b w:val="0"/>
          <w:bCs/>
        </w:rPr>
        <w:t>95</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"_Toc84599918" </w:instrText>
      </w:r>
      <w:r>
        <w:rPr>
          <w:b w:val="0"/>
          <w:bCs/>
        </w:rPr>
        <w:fldChar w:fldCharType="separate"/>
      </w:r>
      <w:r>
        <w:rPr>
          <w:rStyle w:val="48"/>
          <w:rFonts w:ascii="Times New Roman" w:hAnsi="Times New Roman"/>
          <w:b w:val="0"/>
          <w:bCs/>
          <w:color w:val="auto"/>
        </w:rPr>
        <w:t>6.2</w:t>
      </w:r>
      <w:r>
        <w:rPr>
          <w:rStyle w:val="48"/>
          <w:rFonts w:hint="eastAsia" w:ascii="宋体" w:hAnsi="宋体"/>
          <w:b w:val="0"/>
          <w:bCs/>
          <w:color w:val="auto"/>
        </w:rPr>
        <w:t xml:space="preserve"> 评标方法</w:t>
      </w:r>
      <w:r>
        <w:rPr>
          <w:b w:val="0"/>
          <w:bCs/>
        </w:rPr>
        <w:tab/>
      </w:r>
      <w:r>
        <w:rPr>
          <w:b w:val="0"/>
          <w:bCs/>
        </w:rPr>
        <w:fldChar w:fldCharType="begin"/>
      </w:r>
      <w:r>
        <w:rPr>
          <w:b w:val="0"/>
          <w:bCs/>
        </w:rPr>
        <w:instrText xml:space="preserve"> PAGEREF _Toc84599918 \h </w:instrText>
      </w:r>
      <w:r>
        <w:rPr>
          <w:b w:val="0"/>
          <w:bCs/>
        </w:rPr>
        <w:fldChar w:fldCharType="separate"/>
      </w:r>
      <w:r>
        <w:rPr>
          <w:b w:val="0"/>
          <w:bCs/>
        </w:rPr>
        <w:t>97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"_Toc84599919" </w:instrText>
      </w:r>
      <w:r>
        <w:rPr>
          <w:b w:val="0"/>
          <w:bCs/>
        </w:rPr>
        <w:fldChar w:fldCharType="separate"/>
      </w:r>
      <w:r>
        <w:rPr>
          <w:rStyle w:val="48"/>
          <w:rFonts w:ascii="Times New Roman" w:hAnsi="Times New Roman"/>
          <w:b w:val="0"/>
          <w:bCs/>
          <w:color w:val="auto"/>
        </w:rPr>
        <w:t>6.3</w:t>
      </w:r>
      <w:r>
        <w:rPr>
          <w:rStyle w:val="48"/>
          <w:rFonts w:hint="eastAsia" w:ascii="宋体" w:hAnsi="宋体"/>
          <w:b w:val="0"/>
          <w:bCs/>
          <w:color w:val="auto"/>
        </w:rPr>
        <w:t xml:space="preserve"> 评标程序</w:t>
      </w:r>
      <w:r>
        <w:rPr>
          <w:b w:val="0"/>
          <w:bCs/>
        </w:rPr>
        <w:tab/>
      </w:r>
      <w:r>
        <w:rPr>
          <w:b w:val="0"/>
          <w:bCs/>
        </w:rPr>
        <w:fldChar w:fldCharType="begin"/>
      </w:r>
      <w:r>
        <w:rPr>
          <w:b w:val="0"/>
          <w:bCs/>
        </w:rPr>
        <w:instrText xml:space="preserve"> PAGEREF _Toc84599919 \h </w:instrText>
      </w:r>
      <w:r>
        <w:rPr>
          <w:b w:val="0"/>
          <w:bCs/>
        </w:rPr>
        <w:fldChar w:fldCharType="separate"/>
      </w:r>
      <w:r>
        <w:rPr>
          <w:b w:val="0"/>
          <w:bCs/>
        </w:rPr>
        <w:t>97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"_Toc84599920" </w:instrText>
      </w:r>
      <w:r>
        <w:rPr>
          <w:b w:val="0"/>
          <w:bCs/>
        </w:rPr>
        <w:fldChar w:fldCharType="separate"/>
      </w:r>
      <w:r>
        <w:rPr>
          <w:rStyle w:val="48"/>
          <w:rFonts w:ascii="Times New Roman" w:hAnsi="Times New Roman"/>
          <w:b w:val="0"/>
          <w:bCs/>
          <w:color w:val="auto"/>
        </w:rPr>
        <w:t>6.4</w:t>
      </w:r>
      <w:r>
        <w:rPr>
          <w:rStyle w:val="48"/>
          <w:rFonts w:hint="eastAsia" w:ascii="宋体" w:hAnsi="宋体"/>
          <w:b w:val="0"/>
          <w:bCs/>
          <w:color w:val="auto"/>
        </w:rPr>
        <w:t xml:space="preserve"> 评标争议处理规则</w:t>
      </w:r>
      <w:r>
        <w:rPr>
          <w:b w:val="0"/>
          <w:bCs/>
        </w:rPr>
        <w:tab/>
      </w:r>
      <w:r>
        <w:rPr>
          <w:b w:val="0"/>
          <w:bCs/>
        </w:rPr>
        <w:fldChar w:fldCharType="begin"/>
      </w:r>
      <w:r>
        <w:rPr>
          <w:b w:val="0"/>
          <w:bCs/>
        </w:rPr>
        <w:instrText xml:space="preserve"> PAGEREF _Toc84599920 \h </w:instrText>
      </w:r>
      <w:r>
        <w:rPr>
          <w:b w:val="0"/>
          <w:bCs/>
        </w:rPr>
        <w:fldChar w:fldCharType="separate"/>
      </w:r>
      <w:r>
        <w:rPr>
          <w:b w:val="0"/>
          <w:bCs/>
        </w:rPr>
        <w:t>103</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"_Toc84599921" </w:instrText>
      </w:r>
      <w:r>
        <w:rPr>
          <w:b w:val="0"/>
          <w:bCs/>
        </w:rPr>
        <w:fldChar w:fldCharType="separate"/>
      </w:r>
      <w:r>
        <w:rPr>
          <w:rStyle w:val="48"/>
          <w:rFonts w:ascii="Times New Roman" w:hAnsi="Times New Roman"/>
          <w:b w:val="0"/>
          <w:bCs/>
          <w:color w:val="auto"/>
        </w:rPr>
        <w:t>6.5</w:t>
      </w:r>
      <w:r>
        <w:rPr>
          <w:rStyle w:val="48"/>
          <w:rFonts w:hint="eastAsia" w:ascii="宋体" w:hAnsi="宋体"/>
          <w:b w:val="0"/>
          <w:bCs/>
          <w:color w:val="auto"/>
        </w:rPr>
        <w:t xml:space="preserve"> 评标细则及标准</w:t>
      </w:r>
      <w:r>
        <w:rPr>
          <w:b w:val="0"/>
          <w:bCs/>
        </w:rPr>
        <w:tab/>
      </w:r>
      <w:r>
        <w:rPr>
          <w:b w:val="0"/>
          <w:bCs/>
        </w:rPr>
        <w:fldChar w:fldCharType="begin"/>
      </w:r>
      <w:r>
        <w:rPr>
          <w:b w:val="0"/>
          <w:bCs/>
        </w:rPr>
        <w:instrText xml:space="preserve"> PAGEREF _Toc84599921 \h </w:instrText>
      </w:r>
      <w:r>
        <w:rPr>
          <w:b w:val="0"/>
          <w:bCs/>
        </w:rPr>
        <w:fldChar w:fldCharType="separate"/>
      </w:r>
      <w:r>
        <w:rPr>
          <w:b w:val="0"/>
          <w:bCs/>
        </w:rPr>
        <w:t>104</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"_Toc84599922" </w:instrText>
      </w:r>
      <w:r>
        <w:rPr>
          <w:b w:val="0"/>
          <w:bCs/>
        </w:rPr>
        <w:fldChar w:fldCharType="separate"/>
      </w:r>
      <w:r>
        <w:rPr>
          <w:rStyle w:val="48"/>
          <w:rFonts w:ascii="Times New Roman" w:hAnsi="Times New Roman"/>
          <w:b w:val="0"/>
          <w:bCs/>
          <w:color w:val="auto"/>
        </w:rPr>
        <w:t>6.6</w:t>
      </w:r>
      <w:r>
        <w:rPr>
          <w:rStyle w:val="48"/>
          <w:rFonts w:hint="eastAsia" w:ascii="宋体" w:hAnsi="宋体"/>
          <w:b w:val="0"/>
          <w:bCs/>
          <w:color w:val="auto"/>
        </w:rPr>
        <w:t xml:space="preserve"> 废标</w:t>
      </w:r>
      <w:r>
        <w:rPr>
          <w:b w:val="0"/>
          <w:bCs/>
        </w:rPr>
        <w:tab/>
      </w:r>
      <w:r>
        <w:rPr>
          <w:b w:val="0"/>
          <w:bCs/>
        </w:rPr>
        <w:fldChar w:fldCharType="begin"/>
      </w:r>
      <w:r>
        <w:rPr>
          <w:b w:val="0"/>
          <w:bCs/>
        </w:rPr>
        <w:instrText xml:space="preserve"> PAGEREF _Toc84599922 \h </w:instrText>
      </w:r>
      <w:r>
        <w:rPr>
          <w:b w:val="0"/>
          <w:bCs/>
        </w:rPr>
        <w:fldChar w:fldCharType="separate"/>
      </w:r>
      <w:r>
        <w:rPr>
          <w:b w:val="0"/>
          <w:bCs/>
        </w:rPr>
        <w:t>107</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"_Toc84599923" </w:instrText>
      </w:r>
      <w:r>
        <w:rPr>
          <w:b w:val="0"/>
          <w:bCs/>
        </w:rPr>
        <w:fldChar w:fldCharType="separate"/>
      </w:r>
      <w:r>
        <w:rPr>
          <w:rStyle w:val="48"/>
          <w:rFonts w:ascii="Times New Roman" w:hAnsi="Times New Roman"/>
          <w:b w:val="0"/>
          <w:bCs/>
          <w:color w:val="auto"/>
        </w:rPr>
        <w:t>6.7</w:t>
      </w:r>
      <w:r>
        <w:rPr>
          <w:rStyle w:val="48"/>
          <w:rFonts w:hint="eastAsia" w:ascii="宋体" w:hAnsi="宋体"/>
          <w:b w:val="0"/>
          <w:bCs/>
          <w:color w:val="auto"/>
        </w:rPr>
        <w:t xml:space="preserve"> 定标</w:t>
      </w:r>
      <w:r>
        <w:rPr>
          <w:b w:val="0"/>
          <w:bCs/>
        </w:rPr>
        <w:tab/>
      </w:r>
      <w:r>
        <w:rPr>
          <w:b w:val="0"/>
          <w:bCs/>
        </w:rPr>
        <w:fldChar w:fldCharType="begin"/>
      </w:r>
      <w:r>
        <w:rPr>
          <w:b w:val="0"/>
          <w:bCs/>
        </w:rPr>
        <w:instrText xml:space="preserve"> PAGEREF _Toc84599923 \h </w:instrText>
      </w:r>
      <w:r>
        <w:rPr>
          <w:b w:val="0"/>
          <w:bCs/>
        </w:rPr>
        <w:fldChar w:fldCharType="separate"/>
      </w:r>
      <w:r>
        <w:rPr>
          <w:b w:val="0"/>
          <w:bCs/>
        </w:rPr>
        <w:t>108</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"_Toc84599924" </w:instrText>
      </w:r>
      <w:r>
        <w:rPr>
          <w:b w:val="0"/>
          <w:bCs/>
        </w:rPr>
        <w:fldChar w:fldCharType="separate"/>
      </w:r>
      <w:r>
        <w:rPr>
          <w:rStyle w:val="48"/>
          <w:rFonts w:ascii="Times New Roman" w:hAnsi="Times New Roman"/>
          <w:b w:val="0"/>
          <w:bCs/>
          <w:color w:val="auto"/>
        </w:rPr>
        <w:t>6.8</w:t>
      </w:r>
      <w:r>
        <w:rPr>
          <w:rStyle w:val="48"/>
          <w:rFonts w:hint="eastAsia" w:ascii="宋体" w:hAnsi="宋体"/>
          <w:b w:val="0"/>
          <w:bCs/>
          <w:color w:val="auto"/>
        </w:rPr>
        <w:t xml:space="preserve"> 评审专家在政府采购活动中承担以下义务</w:t>
      </w:r>
      <w:r>
        <w:rPr>
          <w:b w:val="0"/>
          <w:bCs/>
        </w:rPr>
        <w:tab/>
      </w:r>
      <w:r>
        <w:rPr>
          <w:b w:val="0"/>
          <w:bCs/>
        </w:rPr>
        <w:fldChar w:fldCharType="begin"/>
      </w:r>
      <w:r>
        <w:rPr>
          <w:b w:val="0"/>
          <w:bCs/>
        </w:rPr>
        <w:instrText xml:space="preserve"> PAGEREF _Toc84599924 \h </w:instrText>
      </w:r>
      <w:r>
        <w:rPr>
          <w:b w:val="0"/>
          <w:bCs/>
        </w:rPr>
        <w:fldChar w:fldCharType="separate"/>
      </w:r>
      <w:r>
        <w:rPr>
          <w:b w:val="0"/>
          <w:bCs/>
        </w:rPr>
        <w:t>109</w:t>
      </w:r>
      <w:r>
        <w:rPr>
          <w:b w:val="0"/>
          <w:bCs/>
        </w:rPr>
        <w:fldChar w:fldCharType="end"/>
      </w:r>
      <w:r>
        <w:rPr>
          <w:b w:val="0"/>
          <w:bCs/>
        </w:rPr>
        <w:fldChar w:fldCharType="end"/>
      </w:r>
    </w:p>
    <w:p>
      <w:pPr>
        <w:pStyle w:val="35"/>
        <w:rPr>
          <w:rFonts w:asciiTheme="minorHAnsi" w:hAnsiTheme="minorHAnsi" w:eastAsiaTheme="minorEastAsia" w:cstheme="minorBidi"/>
          <w:b w:val="0"/>
          <w:bCs/>
          <w:smallCaps w:val="0"/>
          <w:sz w:val="21"/>
          <w:szCs w:val="22"/>
        </w:rPr>
      </w:pPr>
      <w:r>
        <w:rPr>
          <w:b w:val="0"/>
          <w:bCs/>
        </w:rPr>
        <w:fldChar w:fldCharType="begin"/>
      </w:r>
      <w:r>
        <w:rPr>
          <w:b w:val="0"/>
          <w:bCs/>
        </w:rPr>
        <w:instrText xml:space="preserve"> HYPERLINK \l "_Toc84599926" </w:instrText>
      </w:r>
      <w:r>
        <w:rPr>
          <w:b w:val="0"/>
          <w:bCs/>
        </w:rPr>
        <w:fldChar w:fldCharType="separate"/>
      </w:r>
      <w:r>
        <w:rPr>
          <w:rStyle w:val="48"/>
          <w:rFonts w:ascii="Times New Roman" w:hAnsi="Times New Roman"/>
          <w:b w:val="0"/>
          <w:bCs/>
          <w:color w:val="auto"/>
        </w:rPr>
        <w:t>6.9</w:t>
      </w:r>
      <w:r>
        <w:rPr>
          <w:rStyle w:val="48"/>
          <w:rFonts w:hint="eastAsia" w:ascii="宋体" w:hAnsi="宋体"/>
          <w:b w:val="0"/>
          <w:bCs/>
          <w:color w:val="auto"/>
        </w:rPr>
        <w:t xml:space="preserve"> 评审专家在政府采购活动中应当遵守以下工作纪律</w:t>
      </w:r>
      <w:r>
        <w:rPr>
          <w:b w:val="0"/>
          <w:bCs/>
        </w:rPr>
        <w:tab/>
      </w:r>
      <w:r>
        <w:rPr>
          <w:b w:val="0"/>
          <w:bCs/>
        </w:rPr>
        <w:fldChar w:fldCharType="begin"/>
      </w:r>
      <w:r>
        <w:rPr>
          <w:b w:val="0"/>
          <w:bCs/>
        </w:rPr>
        <w:instrText xml:space="preserve"> PAGEREF _Toc84599926 \h </w:instrText>
      </w:r>
      <w:r>
        <w:rPr>
          <w:b w:val="0"/>
          <w:bCs/>
        </w:rPr>
        <w:fldChar w:fldCharType="separate"/>
      </w:r>
      <w:r>
        <w:rPr>
          <w:b w:val="0"/>
          <w:bCs/>
        </w:rPr>
        <w:t>110</w:t>
      </w:r>
      <w:r>
        <w:rPr>
          <w:b w:val="0"/>
          <w:bCs/>
        </w:rPr>
        <w:fldChar w:fldCharType="end"/>
      </w:r>
      <w:r>
        <w:rPr>
          <w:b w:val="0"/>
          <w:bCs/>
        </w:rPr>
        <w:fldChar w:fldCharType="end"/>
      </w:r>
    </w:p>
    <w:p>
      <w:pPr>
        <w:pStyle w:val="29"/>
        <w:rPr>
          <w:rFonts w:asciiTheme="minorHAnsi" w:hAnsiTheme="minorHAnsi" w:eastAsiaTheme="minorEastAsia" w:cstheme="minorBidi"/>
          <w:b w:val="0"/>
          <w:bCs/>
          <w:caps w:val="0"/>
          <w:sz w:val="21"/>
          <w:szCs w:val="22"/>
        </w:rPr>
      </w:pPr>
      <w:r>
        <w:rPr>
          <w:b w:val="0"/>
          <w:bCs/>
        </w:rPr>
        <w:fldChar w:fldCharType="begin"/>
      </w:r>
      <w:r>
        <w:rPr>
          <w:b w:val="0"/>
          <w:bCs/>
        </w:rPr>
        <w:instrText xml:space="preserve"> HYPERLINK \l "_Toc84599927" </w:instrText>
      </w:r>
      <w:r>
        <w:rPr>
          <w:b w:val="0"/>
          <w:bCs/>
        </w:rPr>
        <w:fldChar w:fldCharType="separate"/>
      </w:r>
      <w:r>
        <w:rPr>
          <w:rStyle w:val="48"/>
          <w:rFonts w:hint="eastAsia" w:ascii="Times New Roman" w:hAnsi="Times New Roman"/>
          <w:b w:val="0"/>
          <w:bCs/>
          <w:color w:val="auto"/>
          <w:spacing w:val="-20"/>
          <w:kern w:val="44"/>
        </w:rPr>
        <w:t>第7章</w:t>
      </w:r>
      <w:r>
        <w:rPr>
          <w:rFonts w:asciiTheme="minorHAnsi" w:hAnsiTheme="minorHAnsi" w:eastAsiaTheme="minorEastAsia" w:cstheme="minorBidi"/>
          <w:b w:val="0"/>
          <w:bCs/>
          <w:caps w:val="0"/>
          <w:sz w:val="21"/>
          <w:szCs w:val="22"/>
        </w:rPr>
        <w:tab/>
      </w:r>
      <w:r>
        <w:rPr>
          <w:rStyle w:val="48"/>
          <w:rFonts w:hint="eastAsia" w:ascii="宋体" w:hAnsi="宋体"/>
          <w:b w:val="0"/>
          <w:bCs/>
          <w:color w:val="auto"/>
          <w:spacing w:val="-20"/>
          <w:kern w:val="44"/>
        </w:rPr>
        <w:t>拟签订的合同文本</w:t>
      </w:r>
      <w:r>
        <w:rPr>
          <w:b w:val="0"/>
          <w:bCs/>
        </w:rPr>
        <w:tab/>
      </w:r>
      <w:r>
        <w:rPr>
          <w:b w:val="0"/>
          <w:bCs/>
        </w:rPr>
        <w:fldChar w:fldCharType="begin"/>
      </w:r>
      <w:r>
        <w:rPr>
          <w:b w:val="0"/>
          <w:bCs/>
        </w:rPr>
        <w:instrText xml:space="preserve"> PAGEREF _Toc84599927 \h </w:instrText>
      </w:r>
      <w:r>
        <w:rPr>
          <w:b w:val="0"/>
          <w:bCs/>
        </w:rPr>
        <w:fldChar w:fldCharType="separate"/>
      </w:r>
      <w:r>
        <w:rPr>
          <w:b w:val="0"/>
          <w:bCs/>
        </w:rPr>
        <w:t>112</w:t>
      </w:r>
      <w:r>
        <w:rPr>
          <w:b w:val="0"/>
          <w:bCs/>
        </w:rPr>
        <w:fldChar w:fldCharType="end"/>
      </w:r>
      <w:r>
        <w:rPr>
          <w:b w:val="0"/>
          <w:bCs/>
        </w:rPr>
        <w:fldChar w:fldCharType="end"/>
      </w:r>
    </w:p>
    <w:p>
      <w:pPr>
        <w:tabs>
          <w:tab w:val="left" w:pos="620"/>
          <w:tab w:val="right" w:leader="dot" w:pos="8364"/>
        </w:tabs>
        <w:ind w:left="180"/>
        <w:rPr>
          <w:rFonts w:ascii="宋体" w:hAnsi="宋体"/>
          <w:b/>
          <w:bCs/>
          <w:caps/>
          <w:smallCaps/>
          <w:sz w:val="20"/>
          <w:szCs w:val="20"/>
        </w:rPr>
      </w:pPr>
      <w:r>
        <w:rPr>
          <w:rFonts w:hint="eastAsia"/>
          <w:b w:val="0"/>
          <w:bCs/>
        </w:rPr>
        <w:fldChar w:fldCharType="end"/>
      </w:r>
    </w:p>
    <w:p/>
    <w:p/>
    <w:p>
      <w:pPr>
        <w:pStyle w:val="17"/>
      </w:pPr>
    </w:p>
    <w:p/>
    <w:p>
      <w:pPr>
        <w:pStyle w:val="17"/>
      </w:pPr>
    </w:p>
    <w:p/>
    <w:p>
      <w:pPr>
        <w:keepNext/>
        <w:keepLines/>
        <w:numPr>
          <w:ilvl w:val="0"/>
          <w:numId w:val="5"/>
        </w:numPr>
        <w:spacing w:before="340" w:after="330" w:line="400" w:lineRule="exact"/>
        <w:ind w:left="3365" w:leftChars="0" w:firstLineChars="0"/>
        <w:jc w:val="center"/>
        <w:outlineLvl w:val="0"/>
        <w:rPr>
          <w:rFonts w:ascii="宋体" w:hAnsi="宋体"/>
          <w:b/>
          <w:bCs/>
          <w:spacing w:val="-20"/>
          <w:kern w:val="44"/>
          <w:sz w:val="32"/>
          <w:szCs w:val="32"/>
        </w:rPr>
      </w:pPr>
      <w:bookmarkStart w:id="4" w:name="_Toc204575871"/>
      <w:bookmarkStart w:id="5" w:name="_Toc84599894"/>
      <w:bookmarkStart w:id="6" w:name="_Toc181610856"/>
      <w:bookmarkStart w:id="7" w:name="_Toc181591102"/>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val="en-US" w:eastAsia="zh-CN"/>
        </w:rPr>
        <w:t>彭州</w:t>
      </w:r>
      <w:r>
        <w:rPr>
          <w:rFonts w:hint="eastAsia" w:ascii="宋体" w:hAnsi="宋体"/>
          <w:sz w:val="28"/>
          <w:szCs w:val="28"/>
        </w:rPr>
        <w:t>市公共资源交易服务中心(以下简称“市公资交易中心”)受</w:t>
      </w:r>
      <w:r>
        <w:rPr>
          <w:rFonts w:hint="eastAsia" w:ascii="华文中宋" w:hAnsi="华文中宋" w:eastAsia="华文中宋"/>
          <w:sz w:val="32"/>
          <w:szCs w:val="32"/>
        </w:rPr>
        <w:t>彭</w:t>
      </w:r>
      <w:r>
        <w:rPr>
          <w:rFonts w:hint="eastAsia" w:ascii="华文中宋" w:hAnsi="华文中宋" w:eastAsia="华文中宋"/>
          <w:sz w:val="28"/>
          <w:szCs w:val="28"/>
        </w:rPr>
        <w:t>州市人民医院</w:t>
      </w:r>
      <w:r>
        <w:rPr>
          <w:rFonts w:hint="eastAsia" w:ascii="宋体" w:hAnsi="宋体"/>
          <w:sz w:val="28"/>
          <w:szCs w:val="28"/>
        </w:rPr>
        <w:t>委托，拟对</w:t>
      </w:r>
      <w:r>
        <w:rPr>
          <w:rFonts w:hint="eastAsia" w:ascii="华文中宋" w:hAnsi="华文中宋" w:eastAsia="华文中宋"/>
          <w:sz w:val="28"/>
          <w:szCs w:val="28"/>
        </w:rPr>
        <w:fldChar w:fldCharType="begin"/>
      </w:r>
      <w:r>
        <w:rPr>
          <w:rFonts w:hint="eastAsia" w:ascii="华文中宋" w:hAnsi="华文中宋" w:eastAsia="华文中宋"/>
          <w:sz w:val="28"/>
          <w:szCs w:val="28"/>
        </w:rPr>
        <w:instrText xml:space="preserve"> HYPERLINK "https://www.zcygov.cn/proj-procurement/project-result-detail/5f83cd05a512ba72?utm=web-project-center-front.54583802.0.0.5a677190a66111eca63175e3015e8d8f" \t "https://www.zcygov.cn/project-center/self-project/_blank" </w:instrText>
      </w:r>
      <w:r>
        <w:rPr>
          <w:rFonts w:hint="eastAsia" w:ascii="华文中宋" w:hAnsi="华文中宋" w:eastAsia="华文中宋"/>
          <w:sz w:val="28"/>
          <w:szCs w:val="28"/>
        </w:rPr>
        <w:fldChar w:fldCharType="separate"/>
      </w:r>
      <w:r>
        <w:rPr>
          <w:rFonts w:hint="eastAsia" w:ascii="华文中宋" w:hAnsi="华文中宋" w:eastAsia="华文中宋"/>
          <w:sz w:val="28"/>
          <w:szCs w:val="28"/>
        </w:rPr>
        <w:t>彭州市人民医院物业管理服务采购项目</w:t>
      </w:r>
      <w:r>
        <w:rPr>
          <w:rFonts w:hint="eastAsia" w:ascii="华文中宋" w:hAnsi="华文中宋" w:eastAsia="华文中宋"/>
          <w:sz w:val="28"/>
          <w:szCs w:val="28"/>
        </w:rPr>
        <w:fldChar w:fldCharType="end"/>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项目编号：</w:t>
      </w:r>
      <w:r>
        <w:rPr>
          <w:rFonts w:hint="eastAsia" w:ascii="宋体" w:hAnsi="宋体"/>
          <w:b/>
          <w:sz w:val="28"/>
          <w:szCs w:val="28"/>
          <w:lang w:val="en-US" w:eastAsia="zh-CN"/>
        </w:rPr>
        <w:t>彭州</w:t>
      </w:r>
      <w:r>
        <w:rPr>
          <w:rFonts w:hint="eastAsia" w:ascii="宋体" w:hAnsi="宋体"/>
          <w:b/>
          <w:sz w:val="28"/>
          <w:szCs w:val="28"/>
        </w:rPr>
        <w:t>市政采（20</w:t>
      </w:r>
      <w:r>
        <w:rPr>
          <w:rFonts w:hint="eastAsia" w:ascii="宋体" w:hAnsi="宋体"/>
          <w:b/>
          <w:sz w:val="28"/>
          <w:szCs w:val="28"/>
          <w:lang w:val="en-US" w:eastAsia="zh-CN"/>
        </w:rPr>
        <w:t>21</w:t>
      </w:r>
      <w:r>
        <w:rPr>
          <w:rFonts w:hint="eastAsia" w:ascii="宋体" w:hAnsi="宋体"/>
          <w:b/>
          <w:sz w:val="28"/>
          <w:szCs w:val="28"/>
        </w:rPr>
        <w:t>）A0048号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（采购项目编号：510182202100373）</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项目名称：</w:t>
      </w:r>
      <w:r>
        <w:rPr>
          <w:rFonts w:hint="eastAsia" w:ascii="华文中宋" w:hAnsi="华文中宋" w:eastAsia="华文中宋"/>
          <w:sz w:val="28"/>
          <w:szCs w:val="28"/>
        </w:rPr>
        <w:fldChar w:fldCharType="begin"/>
      </w:r>
      <w:r>
        <w:rPr>
          <w:rFonts w:hint="eastAsia" w:ascii="华文中宋" w:hAnsi="华文中宋" w:eastAsia="华文中宋"/>
          <w:sz w:val="28"/>
          <w:szCs w:val="28"/>
        </w:rPr>
        <w:instrText xml:space="preserve"> HYPERLINK "https://www.zcygov.cn/proj-procurement/project-result-detail/5f83cd05a512ba72?utm=web-project-center-front.54583802.0.0.5a677190a66111eca63175e3015e8d8f" \t "https://www.zcygov.cn/project-center/self-project/_blank" </w:instrText>
      </w:r>
      <w:r>
        <w:rPr>
          <w:rFonts w:hint="eastAsia" w:ascii="华文中宋" w:hAnsi="华文中宋" w:eastAsia="华文中宋"/>
          <w:sz w:val="28"/>
          <w:szCs w:val="28"/>
        </w:rPr>
        <w:fldChar w:fldCharType="separate"/>
      </w:r>
      <w:r>
        <w:rPr>
          <w:rFonts w:hint="eastAsia" w:ascii="华文中宋" w:hAnsi="华文中宋" w:eastAsia="华文中宋"/>
          <w:sz w:val="28"/>
          <w:szCs w:val="28"/>
        </w:rPr>
        <w:t>彭州市人民医院物业管理服务采购项目</w:t>
      </w:r>
      <w:r>
        <w:rPr>
          <w:rFonts w:hint="eastAsia" w:ascii="华文中宋" w:hAnsi="华文中宋" w:eastAsia="华文中宋"/>
          <w:sz w:val="28"/>
          <w:szCs w:val="28"/>
        </w:rPr>
        <w:fldChar w:fldCharType="end"/>
      </w:r>
    </w:p>
    <w:p>
      <w:pPr>
        <w:numPr>
          <w:ilvl w:val="0"/>
          <w:numId w:val="6"/>
        </w:numPr>
        <w:spacing w:after="200" w:line="56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财政性资金，政府采购实施计划备案表号：(2021)0614号；预算品目：</w:t>
      </w:r>
      <w:r>
        <w:rPr>
          <w:rFonts w:hint="eastAsia" w:ascii="宋体" w:hAnsi="宋体"/>
          <w:sz w:val="28"/>
          <w:szCs w:val="28"/>
          <w:lang w:eastAsia="zh-CN"/>
        </w:rPr>
        <w:t>物业管理服务</w:t>
      </w:r>
      <w:r>
        <w:rPr>
          <w:rFonts w:hint="eastAsia" w:ascii="宋体" w:hAnsi="宋体"/>
          <w:sz w:val="28"/>
          <w:szCs w:val="28"/>
        </w:rPr>
        <w:t>；预算金额：</w:t>
      </w:r>
      <w:r>
        <w:rPr>
          <w:rFonts w:hint="eastAsia" w:ascii="仿宋" w:hAnsi="仿宋" w:eastAsia="仿宋" w:cs="仿宋"/>
          <w:sz w:val="30"/>
          <w:szCs w:val="30"/>
          <w:lang w:val="en-US" w:eastAsia="zh-CN"/>
        </w:rPr>
        <w:t>10838581</w:t>
      </w:r>
      <w:r>
        <w:rPr>
          <w:rFonts w:hint="eastAsia" w:ascii="宋体" w:hAnsi="宋体"/>
          <w:sz w:val="28"/>
          <w:szCs w:val="28"/>
        </w:rPr>
        <w:t>元/年；最高限价：</w:t>
      </w:r>
      <w:r>
        <w:rPr>
          <w:rFonts w:hint="eastAsia" w:ascii="仿宋" w:hAnsi="仿宋" w:eastAsia="仿宋" w:cs="仿宋"/>
          <w:sz w:val="30"/>
          <w:szCs w:val="30"/>
          <w:lang w:val="en-US" w:eastAsia="zh-CN"/>
        </w:rPr>
        <w:t>10838581</w:t>
      </w:r>
      <w:r>
        <w:rPr>
          <w:rFonts w:hint="eastAsia" w:ascii="宋体" w:hAnsi="宋体"/>
          <w:sz w:val="28"/>
          <w:szCs w:val="28"/>
        </w:rPr>
        <w:t>元/年；采购标的：</w:t>
      </w:r>
      <w:r>
        <w:rPr>
          <w:rFonts w:hint="eastAsia" w:ascii="宋体" w:hAnsi="宋体"/>
          <w:sz w:val="28"/>
          <w:szCs w:val="28"/>
          <w:lang w:eastAsia="zh-CN"/>
        </w:rPr>
        <w:t>彭州市人民医院物业管理服务采购项目</w:t>
      </w:r>
      <w:r>
        <w:rPr>
          <w:rFonts w:hint="eastAsia" w:ascii="宋体" w:hAnsi="宋体"/>
          <w:sz w:val="28"/>
          <w:szCs w:val="28"/>
        </w:rPr>
        <w:t>；所属行业：</w:t>
      </w:r>
      <w:r>
        <w:rPr>
          <w:rFonts w:hint="eastAsia" w:ascii="宋体" w:hAnsi="宋体"/>
          <w:sz w:val="28"/>
          <w:szCs w:val="28"/>
          <w:lang w:eastAsia="zh-CN"/>
        </w:rPr>
        <w:t>物业管理服务</w:t>
      </w:r>
      <w:r>
        <w:rPr>
          <w:rFonts w:hint="eastAsia" w:ascii="宋体" w:hAnsi="宋体"/>
          <w:sz w:val="28"/>
          <w:szCs w:val="28"/>
        </w:rPr>
        <w:t>。</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360" w:lineRule="auto"/>
        <w:ind w:firstLine="560" w:firstLineChars="200"/>
        <w:rPr>
          <w:rFonts w:ascii="宋体" w:hAnsi="宋体"/>
          <w:sz w:val="28"/>
          <w:szCs w:val="28"/>
        </w:rPr>
      </w:pPr>
      <w:r>
        <w:rPr>
          <w:rFonts w:hint="eastAsia" w:ascii="宋体" w:hAnsi="宋体"/>
          <w:sz w:val="28"/>
          <w:szCs w:val="28"/>
        </w:rPr>
        <w:t>本次采购服务内容为</w:t>
      </w:r>
      <w:r>
        <w:rPr>
          <w:rFonts w:hint="eastAsia" w:ascii="宋体" w:hAnsi="宋体"/>
          <w:sz w:val="28"/>
          <w:szCs w:val="28"/>
          <w:lang w:eastAsia="zh-CN"/>
        </w:rPr>
        <w:t>彭州市人民医院物业管理服务采购项目。</w:t>
      </w:r>
    </w:p>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w:t>
      </w:r>
      <w:r>
        <w:rPr>
          <w:rFonts w:hint="eastAsia" w:ascii="宋体" w:hAnsi="宋体"/>
          <w:sz w:val="28"/>
          <w:szCs w:val="28"/>
          <w:lang w:val="en-US" w:eastAsia="zh-CN"/>
        </w:rPr>
        <w:t>中华人民共和国</w:t>
      </w:r>
      <w:r>
        <w:rPr>
          <w:rFonts w:hint="eastAsia" w:ascii="宋体" w:hAnsi="宋体"/>
          <w:sz w:val="28"/>
          <w:szCs w:val="28"/>
        </w:rPr>
        <w:t>政府采购法》第二十二条第一款规定的条件；</w:t>
      </w:r>
    </w:p>
    <w:p>
      <w:pPr>
        <w:numPr>
          <w:ilvl w:val="1"/>
          <w:numId w:val="7"/>
        </w:numPr>
        <w:spacing w:line="360" w:lineRule="auto"/>
        <w:ind w:left="0" w:firstLine="567"/>
        <w:rPr>
          <w:rFonts w:ascii="宋体" w:hAnsi="宋体"/>
          <w:sz w:val="28"/>
          <w:szCs w:val="28"/>
        </w:rPr>
      </w:pPr>
      <w:r>
        <w:rPr>
          <w:rFonts w:ascii="宋体" w:hAnsi="宋体"/>
          <w:sz w:val="28"/>
          <w:szCs w:val="28"/>
        </w:rPr>
        <w:t xml:space="preserve"> </w:t>
      </w:r>
      <w:r>
        <w:rPr>
          <w:rFonts w:hint="eastAsia" w:ascii="宋体" w:hAnsi="宋体"/>
          <w:sz w:val="28"/>
          <w:szCs w:val="28"/>
        </w:rPr>
        <w:t xml:space="preserve">未被列入失信被执行人、重大税收违法案件当事人名单、政府采购严重违法失信行为记录名单； </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不属于国家相关法律法规规定的其他禁止参加投标的情形；</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rPr>
      </w:pPr>
      <w:r>
        <w:rPr>
          <w:rFonts w:hint="eastAsia" w:ascii="宋体" w:hAnsi="宋体"/>
          <w:b/>
          <w:sz w:val="28"/>
          <w:szCs w:val="28"/>
        </w:rPr>
        <w:t>招标文件获取时间：202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3</w:t>
      </w:r>
      <w:r>
        <w:rPr>
          <w:rFonts w:hint="eastAsia" w:ascii="宋体" w:hAnsi="宋体"/>
          <w:b/>
          <w:sz w:val="28"/>
          <w:szCs w:val="28"/>
        </w:rPr>
        <w:t>月</w:t>
      </w:r>
      <w:r>
        <w:rPr>
          <w:rFonts w:hint="eastAsia" w:ascii="宋体" w:hAnsi="宋体"/>
          <w:b/>
          <w:sz w:val="28"/>
          <w:szCs w:val="28"/>
          <w:lang w:val="en-US" w:eastAsia="zh-CN"/>
        </w:rPr>
        <w:t>31</w:t>
      </w:r>
      <w:r>
        <w:rPr>
          <w:rFonts w:hint="eastAsia" w:ascii="宋体" w:hAnsi="宋体"/>
          <w:b/>
          <w:sz w:val="28"/>
          <w:szCs w:val="28"/>
        </w:rPr>
        <w:t>日至</w:t>
      </w:r>
      <w:r>
        <w:rPr>
          <w:rFonts w:hint="eastAsia" w:ascii="宋体" w:hAnsi="宋体"/>
          <w:b/>
          <w:sz w:val="28"/>
          <w:szCs w:val="28"/>
          <w:lang w:val="en-US" w:eastAsia="zh-CN"/>
        </w:rPr>
        <w:t>4</w:t>
      </w:r>
      <w:r>
        <w:rPr>
          <w:rFonts w:hint="eastAsia" w:ascii="宋体" w:hAnsi="宋体"/>
          <w:b/>
          <w:sz w:val="28"/>
          <w:szCs w:val="28"/>
        </w:rPr>
        <w:t>月</w:t>
      </w:r>
      <w:r>
        <w:rPr>
          <w:rFonts w:hint="eastAsia" w:ascii="宋体" w:hAnsi="宋体"/>
          <w:b/>
          <w:sz w:val="28"/>
          <w:szCs w:val="28"/>
          <w:lang w:val="en-US" w:eastAsia="zh-CN"/>
        </w:rPr>
        <w:t>8</w:t>
      </w:r>
      <w:r>
        <w:rPr>
          <w:rFonts w:hint="eastAsia" w:ascii="宋体" w:hAnsi="宋体"/>
          <w:b/>
          <w:sz w:val="28"/>
          <w:szCs w:val="28"/>
        </w:rPr>
        <w:t>日。</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投标人要参加投标，应在成都市公共资源交易服务中心“政府采购云平台（www.zcygov.cn）”获取采购文件。登录政府采购云平台(www.zcygov.cn)—我的工作台—项目采购—获取采购文件—申请获取采购文件。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（3）首次登录政府采购云平台(www.zcygov.cn)的新用户,</w:t>
      </w:r>
      <w:r>
        <w:rPr>
          <w:rFonts w:hint="eastAsia"/>
        </w:rPr>
        <w:t xml:space="preserve"> </w:t>
      </w:r>
      <w:r>
        <w:rPr>
          <w:rFonts w:hint="eastAsia" w:ascii="宋体" w:hAnsi="宋体"/>
          <w:sz w:val="28"/>
          <w:szCs w:val="28"/>
        </w:rPr>
        <w:t>应先点击网页左上角切换至“成都市本级”，再点击“供应商入驻”，注册成功后即可登录。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登录政府采购云平台（www.zcygov.cn）获取。</w:t>
      </w:r>
    </w:p>
    <w:p>
      <w:pPr>
        <w:numPr>
          <w:ilvl w:val="0"/>
          <w:numId w:val="6"/>
        </w:numPr>
        <w:spacing w:line="360" w:lineRule="auto"/>
        <w:ind w:left="0" w:firstLine="567"/>
        <w:rPr>
          <w:rFonts w:ascii="宋体" w:hAnsi="宋体"/>
          <w:b/>
          <w:sz w:val="28"/>
          <w:szCs w:val="28"/>
        </w:rPr>
      </w:pPr>
      <w:bookmarkStart w:id="8" w:name="_Toc180051012"/>
      <w:bookmarkStart w:id="9" w:name="_Toc174185149"/>
      <w:bookmarkStart w:id="10" w:name="_Toc184013605"/>
      <w:bookmarkStart w:id="11" w:name="_Toc186274101"/>
      <w:bookmarkStart w:id="12" w:name="_Toc184023104"/>
      <w:r>
        <w:rPr>
          <w:rFonts w:hint="eastAsia" w:ascii="宋体" w:hAnsi="宋体"/>
          <w:b/>
          <w:sz w:val="28"/>
          <w:szCs w:val="28"/>
        </w:rPr>
        <w:t>投标文件提交截止时间及开标时间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（一）投标文件提交截止时间及开标时间：202</w:t>
      </w:r>
      <w:r>
        <w:rPr>
          <w:rFonts w:hint="eastAsia" w:ascii="宋体" w:hAnsi="宋体"/>
          <w:b/>
          <w:sz w:val="28"/>
          <w:szCs w:val="28"/>
          <w:lang w:val="en-US" w:eastAsia="zh-CN"/>
        </w:rPr>
        <w:t>2</w:t>
      </w:r>
      <w:r>
        <w:rPr>
          <w:rFonts w:hint="eastAsia" w:ascii="宋体" w:hAnsi="宋体"/>
          <w:b/>
          <w:sz w:val="28"/>
          <w:szCs w:val="28"/>
        </w:rPr>
        <w:t>年</w:t>
      </w:r>
      <w:r>
        <w:rPr>
          <w:rFonts w:hint="eastAsia" w:ascii="宋体" w:hAnsi="宋体"/>
          <w:b/>
          <w:sz w:val="28"/>
          <w:szCs w:val="28"/>
          <w:lang w:val="en-US" w:eastAsia="zh-CN"/>
        </w:rPr>
        <w:t>4</w:t>
      </w:r>
      <w:r>
        <w:rPr>
          <w:rFonts w:hint="eastAsia" w:ascii="宋体" w:hAnsi="宋体"/>
          <w:b/>
          <w:sz w:val="28"/>
          <w:szCs w:val="28"/>
        </w:rPr>
        <w:t>月</w:t>
      </w:r>
      <w:r>
        <w:rPr>
          <w:rFonts w:hint="eastAsia" w:ascii="宋体" w:hAnsi="宋体"/>
          <w:b/>
          <w:sz w:val="28"/>
          <w:szCs w:val="28"/>
          <w:lang w:val="en-US" w:eastAsia="zh-CN"/>
        </w:rPr>
        <w:t>20</w:t>
      </w:r>
      <w:r>
        <w:rPr>
          <w:rFonts w:hint="eastAsia" w:ascii="宋体" w:hAnsi="宋体"/>
          <w:b/>
          <w:sz w:val="28"/>
          <w:szCs w:val="28"/>
        </w:rPr>
        <w:t>日上午09:30。</w:t>
      </w:r>
    </w:p>
    <w:p>
      <w:pPr>
        <w:spacing w:line="560" w:lineRule="exact"/>
        <w:ind w:firstLine="565" w:firstLineChars="202"/>
        <w:rPr>
          <w:rFonts w:ascii="宋体" w:hAnsi="宋体"/>
          <w:sz w:val="28"/>
          <w:szCs w:val="28"/>
        </w:rPr>
      </w:pPr>
      <w:r>
        <w:rPr>
          <w:rFonts w:hint="eastAsia" w:ascii="宋体" w:hAnsi="宋体"/>
          <w:sz w:val="28"/>
          <w:szCs w:val="28"/>
        </w:rPr>
        <w:t>（二）投标文件提交方式、地点：投标截止时间前，投标人应将加密的电子投标文件提交至“政府采购云平台”对应项目（包件）。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530" w:lineRule="exact"/>
        <w:ind w:firstLine="420" w:firstLineChars="150"/>
        <w:jc w:val="left"/>
        <w:rPr>
          <w:rFonts w:ascii="宋体" w:hAnsi="宋体"/>
          <w:sz w:val="28"/>
          <w:szCs w:val="28"/>
        </w:rPr>
      </w:pPr>
      <w:r>
        <w:rPr>
          <w:rFonts w:hint="eastAsia" w:ascii="宋体" w:hAnsi="宋体"/>
          <w:sz w:val="28"/>
          <w:szCs w:val="28"/>
        </w:rPr>
        <w:t>（一）本项目为不见面开标项目。</w:t>
      </w:r>
    </w:p>
    <w:p>
      <w:pPr>
        <w:spacing w:line="530" w:lineRule="exact"/>
        <w:ind w:firstLine="420" w:firstLineChars="150"/>
        <w:jc w:val="left"/>
        <w:rPr>
          <w:rFonts w:ascii="宋体" w:hAnsi="宋体"/>
          <w:sz w:val="28"/>
          <w:szCs w:val="28"/>
        </w:rPr>
      </w:pPr>
      <w:r>
        <w:rPr>
          <w:rFonts w:hint="eastAsia" w:ascii="宋体" w:hAnsi="宋体"/>
          <w:sz w:val="28"/>
          <w:szCs w:val="28"/>
        </w:rPr>
        <w:t>（二）开标地点为：政府采购云平台（www.zcygov.cn）。</w:t>
      </w:r>
    </w:p>
    <w:p>
      <w:pPr>
        <w:spacing w:line="530" w:lineRule="exact"/>
        <w:ind w:firstLine="420" w:firstLineChars="150"/>
        <w:jc w:val="left"/>
        <w:rPr>
          <w:rFonts w:ascii="宋体" w:hAnsi="宋体"/>
          <w:sz w:val="28"/>
          <w:szCs w:val="28"/>
        </w:rPr>
      </w:pPr>
      <w:r>
        <w:rPr>
          <w:rFonts w:hint="eastAsia" w:ascii="宋体" w:hAnsi="宋体"/>
          <w:sz w:val="28"/>
          <w:szCs w:val="28"/>
        </w:rPr>
        <w:t>（三）本项目只接受投标人加密并递交至“政府采购云平台”的投标文件。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政采中小企业政府采购信用融资</w:t>
      </w:r>
    </w:p>
    <w:p>
      <w:pPr>
        <w:pStyle w:val="17"/>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567" w:leftChars="0"/>
        <w:textAlignment w:val="auto"/>
        <w:rPr>
          <w:rFonts w:ascii="宋体" w:hAnsi="宋体"/>
          <w:sz w:val="28"/>
          <w:szCs w:val="28"/>
        </w:rPr>
      </w:pPr>
      <w:r>
        <w:rPr>
          <w:rFonts w:hint="eastAsia" w:ascii="宋体" w:hAnsi="宋体"/>
          <w:sz w:val="28"/>
          <w:szCs w:val="28"/>
        </w:rPr>
        <w:t>（三）本地财政部门电话：028-83888323。</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kern w:val="0"/>
          <w:sz w:val="28"/>
          <w:szCs w:val="22"/>
        </w:rPr>
      </w:pPr>
      <w:r>
        <w:rPr>
          <w:rFonts w:hint="eastAsia" w:ascii="宋体" w:hAnsi="宋体"/>
          <w:kern w:val="0"/>
          <w:sz w:val="28"/>
          <w:szCs w:val="22"/>
        </w:rPr>
        <w:t>采购人：彭州市人民医院；</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kern w:val="0"/>
          <w:sz w:val="28"/>
          <w:szCs w:val="22"/>
        </w:rPr>
      </w:pPr>
      <w:r>
        <w:rPr>
          <w:rFonts w:hint="eastAsia" w:ascii="宋体" w:hAnsi="宋体"/>
          <w:kern w:val="0"/>
          <w:sz w:val="28"/>
          <w:szCs w:val="22"/>
        </w:rPr>
        <w:t>地  址：彭州市南三环255号；</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kern w:val="0"/>
          <w:sz w:val="28"/>
          <w:szCs w:val="22"/>
          <w:lang w:val="en-US" w:eastAsia="zh-CN"/>
        </w:rPr>
      </w:pPr>
      <w:r>
        <w:rPr>
          <w:rFonts w:hint="eastAsia" w:ascii="宋体" w:hAnsi="宋体"/>
          <w:kern w:val="0"/>
          <w:sz w:val="28"/>
          <w:szCs w:val="22"/>
        </w:rPr>
        <w:t>联系人：佘雨杭</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kern w:val="0"/>
          <w:sz w:val="28"/>
          <w:szCs w:val="22"/>
        </w:rPr>
      </w:pPr>
      <w:r>
        <w:rPr>
          <w:rFonts w:hint="eastAsia" w:ascii="宋体" w:hAnsi="宋体"/>
          <w:kern w:val="0"/>
          <w:sz w:val="28"/>
          <w:szCs w:val="22"/>
        </w:rPr>
        <w:t>联系电话：15378192599</w:t>
      </w:r>
    </w:p>
    <w:p>
      <w:pPr>
        <w:pStyle w:val="149"/>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49"/>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阳冶</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82"/>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82"/>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tabs>
          <w:tab w:val="left" w:pos="900"/>
        </w:tabs>
        <w:spacing w:line="360" w:lineRule="auto"/>
        <w:ind w:firstLine="560" w:firstLineChars="200"/>
        <w:rPr>
          <w:rFonts w:ascii="宋体" w:hAnsi="宋体" w:cstheme="minorBidi"/>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17"/>
      </w:pPr>
    </w:p>
    <w:p>
      <w:pPr>
        <w:pStyle w:val="17"/>
      </w:pPr>
    </w:p>
    <w:p>
      <w:pPr>
        <w:pStyle w:val="17"/>
      </w:pPr>
    </w:p>
    <w:p>
      <w:pPr>
        <w:pStyle w:val="17"/>
      </w:pPr>
    </w:p>
    <w:p>
      <w:pPr>
        <w:pStyle w:val="17"/>
      </w:pPr>
    </w:p>
    <w:p>
      <w:pPr>
        <w:widowControl/>
        <w:jc w:val="left"/>
        <w:rPr>
          <w:rFonts w:ascii="宋体" w:hAnsi="宋体"/>
          <w:b/>
          <w:bCs/>
          <w:spacing w:val="-20"/>
          <w:kern w:val="44"/>
          <w:sz w:val="32"/>
          <w:szCs w:val="32"/>
        </w:rPr>
      </w:pPr>
      <w:bookmarkStart w:id="13" w:name="_Toc84599895"/>
      <w:r>
        <w:rPr>
          <w:rFonts w:ascii="宋体" w:hAnsi="宋体"/>
          <w:b/>
          <w:bCs/>
          <w:spacing w:val="-20"/>
          <w:kern w:val="44"/>
          <w:sz w:val="32"/>
          <w:szCs w:val="32"/>
        </w:rPr>
        <w:br w:type="page"/>
      </w:r>
    </w:p>
    <w:p>
      <w:pPr>
        <w:keepNext/>
        <w:keepLines/>
        <w:numPr>
          <w:ilvl w:val="0"/>
          <w:numId w:val="5"/>
        </w:numPr>
        <w:spacing w:before="340" w:after="330" w:line="400" w:lineRule="exact"/>
        <w:ind w:left="3082" w:leftChars="0" w:firstLine="0" w:firstLineChars="0"/>
        <w:jc w:val="center"/>
        <w:outlineLvl w:val="0"/>
        <w:rPr>
          <w:rFonts w:ascii="宋体" w:hAnsi="宋体"/>
          <w:b/>
          <w:bCs/>
          <w:spacing w:val="-20"/>
          <w:kern w:val="44"/>
          <w:sz w:val="32"/>
          <w:szCs w:val="32"/>
        </w:rPr>
      </w:pPr>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213496268"/>
      <w:bookmarkStart w:id="15" w:name="_Toc189727030"/>
      <w:bookmarkStart w:id="16" w:name="_Toc213396760"/>
      <w:bookmarkStart w:id="17" w:name="_Toc84599896"/>
      <w:bookmarkStart w:id="18" w:name="_Toc213397010"/>
      <w:bookmarkStart w:id="19" w:name="_Toc217446032"/>
      <w:bookmarkStart w:id="20" w:name="_Toc316462344"/>
      <w:bookmarkStart w:id="21" w:name="_Toc213396946"/>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3"/>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6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cs="宋体"/>
                <w:b/>
                <w:lang w:val="zh-CN"/>
              </w:rPr>
            </w:pPr>
            <w:r>
              <w:rPr>
                <w:rFonts w:hint="eastAsia" w:ascii="宋体" w:hAnsi="宋体" w:cs="宋体"/>
                <w:b/>
                <w:lang w:val="zh-CN"/>
              </w:rPr>
              <w:t>人民币</w:t>
            </w:r>
            <w:r>
              <w:rPr>
                <w:rFonts w:hint="eastAsia" w:ascii="宋体" w:hAnsi="宋体" w:cs="宋体"/>
                <w:b/>
                <w:lang w:val="en-US" w:eastAsia="zh-CN"/>
              </w:rPr>
              <w:t>10838581</w:t>
            </w:r>
            <w:r>
              <w:rPr>
                <w:rFonts w:hint="eastAsia" w:ascii="宋体" w:hAnsi="宋体" w:cs="宋体"/>
                <w:b/>
                <w:lang w:val="zh-CN"/>
              </w:rPr>
              <w:t>元/年。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cs="宋体"/>
                <w:b/>
                <w:lang w:val="zh-CN"/>
              </w:rPr>
            </w:pPr>
            <w:r>
              <w:rPr>
                <w:rFonts w:hint="eastAsia" w:ascii="宋体" w:hAnsi="宋体" w:cs="宋体"/>
                <w:b/>
                <w:lang w:val="zh-CN"/>
              </w:rPr>
              <w:t>本项目最高限价为人民币</w:t>
            </w:r>
            <w:r>
              <w:rPr>
                <w:rFonts w:hint="eastAsia" w:ascii="宋体" w:hAnsi="宋体" w:cs="宋体"/>
                <w:b/>
                <w:lang w:val="en-US" w:eastAsia="zh-CN"/>
              </w:rPr>
              <w:t>10838581</w:t>
            </w:r>
            <w:r>
              <w:rPr>
                <w:rFonts w:hint="eastAsia" w:ascii="宋体" w:hAnsi="宋体" w:cs="宋体"/>
                <w:b/>
                <w:lang w:val="zh-CN"/>
              </w:rPr>
              <w:t>元/年，投标人投标报价高于最高限价的则其投标文件将按无效投标文件处理。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cs="宋体"/>
                <w:lang w:val="zh-CN"/>
              </w:rPr>
            </w:pPr>
            <w:r>
              <w:rPr>
                <w:rFonts w:hint="eastAsia" w:ascii="宋体" w:hAnsi="宋体" w:cs="宋体"/>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tcPr>
          <w:p>
            <w:pPr>
              <w:numPr>
                <w:ilvl w:val="0"/>
                <w:numId w:val="10"/>
              </w:numPr>
              <w:spacing w:line="360" w:lineRule="auto"/>
              <w:rPr>
                <w:rFonts w:hint="eastAsia" w:ascii="宋体" w:hAnsi="宋体" w:cs="宋体"/>
                <w:lang w:val="zh-CN"/>
              </w:rPr>
            </w:pPr>
            <w:r>
              <w:rPr>
                <w:rFonts w:hint="eastAsia" w:ascii="宋体" w:hAnsi="宋体" w:cs="宋体"/>
                <w:lang w:val="zh-CN"/>
              </w:rPr>
              <w:t>根据《政府采购促进中小企业发展管理办法》（财库[2020]46号）的规定，对小微企业承接的服务的价格给予10%的价格扣除，用扣除后的价格参加评审。</w:t>
            </w:r>
          </w:p>
          <w:p>
            <w:pPr>
              <w:numPr>
                <w:ilvl w:val="0"/>
                <w:numId w:val="0"/>
              </w:numPr>
              <w:spacing w:line="360" w:lineRule="auto"/>
              <w:rPr>
                <w:rFonts w:hint="eastAsia" w:ascii="宋体" w:hAnsi="宋体" w:cs="宋体"/>
                <w:lang w:val="zh-CN"/>
              </w:rPr>
            </w:pPr>
            <w:r>
              <w:rPr>
                <w:rFonts w:hint="eastAsia" w:ascii="宋体" w:hAnsi="宋体" w:cs="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cs="宋体"/>
                <w:lang w:val="zh-CN"/>
              </w:rPr>
            </w:pPr>
            <w:r>
              <w:rPr>
                <w:rFonts w:hint="eastAsia" w:ascii="宋体" w:hAnsi="宋体" w:cs="宋体"/>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w:t>
            </w:r>
            <w:r>
              <w:rPr>
                <w:rFonts w:hint="eastAsia" w:ascii="宋体" w:hAnsi="宋体"/>
              </w:rPr>
              <w:t>监狱企业视同小型、微型企业，</w:t>
            </w:r>
            <w:r>
              <w:rPr>
                <w:rFonts w:hint="eastAsia" w:ascii="宋体" w:hAnsi="宋体" w:cs="宋体"/>
                <w:lang w:val="zh-CN"/>
              </w:rPr>
              <w:t>对监狱企业承接的服务给予10%的价格扣除，用扣除后的价格参与评标。</w:t>
            </w:r>
          </w:p>
          <w:p>
            <w:pPr>
              <w:overflowPunct w:val="0"/>
              <w:spacing w:line="560" w:lineRule="exact"/>
              <w:rPr>
                <w:rFonts w:hint="eastAsia" w:ascii="宋体" w:hAnsi="宋体" w:cs="宋体"/>
                <w:lang w:val="zh-CN"/>
              </w:rPr>
            </w:pPr>
            <w:r>
              <w:rPr>
                <w:rFonts w:hint="eastAsia" w:ascii="宋体" w:hAnsi="宋体" w:cs="宋体"/>
                <w:lang w:val="zh-CN"/>
              </w:rPr>
              <w:t>2.投标产品中为监狱企业承接的服务应提供由省级以上监狱管理局、戒毒管理局（含新疆生产建设兵团）出具的属于监狱企业的证明文件复印件。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hint="eastAsia" w:ascii="宋体" w:hAnsi="宋体" w:cs="宋体"/>
                <w:lang w:val="zh-CN"/>
              </w:rPr>
            </w:pPr>
            <w:r>
              <w:rPr>
                <w:rFonts w:hint="eastAsia" w:ascii="宋体" w:hAnsi="宋体" w:cs="宋体"/>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tcPr>
          <w:p>
            <w:pPr>
              <w:spacing w:line="360" w:lineRule="auto"/>
              <w:rPr>
                <w:rFonts w:ascii="宋体" w:hAnsi="宋体" w:cs="宋体"/>
                <w:lang w:val="zh-CN"/>
              </w:rPr>
            </w:pPr>
            <w:r>
              <w:rPr>
                <w:rFonts w:hint="eastAsia" w:ascii="宋体" w:hAnsi="宋体" w:cs="宋体"/>
                <w:lang w:val="zh-CN"/>
              </w:rPr>
              <w:t>1.根据《三部门联合发布关于促进残疾人就业政府采购政策的通知》（财库[2017]141号）的规定，残疾人福利性单位视同小型、微型企业，对残疾人福利性单位承接的服务给予10%的价格扣除，用扣除后的价格参与评标。</w:t>
            </w:r>
          </w:p>
          <w:p>
            <w:pPr>
              <w:overflowPunct w:val="0"/>
              <w:spacing w:line="560" w:lineRule="exact"/>
              <w:rPr>
                <w:rFonts w:hint="eastAsia" w:ascii="宋体" w:hAnsi="宋体" w:cs="宋体"/>
                <w:lang w:val="zh-CN"/>
              </w:rPr>
            </w:pPr>
            <w:r>
              <w:rPr>
                <w:rFonts w:hint="eastAsia" w:ascii="宋体" w:hAnsi="宋体" w:cs="宋体"/>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8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tcPr>
          <w:p>
            <w:pPr>
              <w:overflowPunct w:val="0"/>
              <w:spacing w:line="560" w:lineRule="exact"/>
              <w:rPr>
                <w:rFonts w:ascii="宋体" w:hAnsi="宋体" w:cs="宋体"/>
                <w:lang w:val="zh-CN"/>
              </w:rPr>
            </w:pPr>
            <w:r>
              <w:rPr>
                <w:rFonts w:hint="eastAsia" w:ascii="宋体" w:hAnsi="宋体" w:cs="宋体"/>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投标文件的提交</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投标截止时间前，将电子投标文件上传至政府</w:t>
            </w:r>
            <w:r>
              <w:rPr>
                <w:rFonts w:ascii="宋体" w:hAnsi="宋体"/>
              </w:rPr>
              <w:t>采购</w:t>
            </w:r>
            <w:r>
              <w:rPr>
                <w:rFonts w:hint="eastAsia" w:ascii="宋体" w:hAnsi="宋体"/>
              </w:rPr>
              <w:t>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分钟内，使用对投标文件进行加密的CA证书在线完成对投标人提交至政府采购云平台的投标文件的解密。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eastAsia="宋体" w:cs="宋体"/>
                <w:lang w:eastAsia="zh-CN"/>
              </w:rPr>
            </w:pPr>
            <w:r>
              <w:rPr>
                <w:rFonts w:hint="eastAsia" w:ascii="宋体" w:hAnsi="宋体"/>
              </w:rPr>
              <w:t>向采购人提出，并由采购人按相关规定作出答复（详见投标人须知2.8）。</w:t>
            </w:r>
            <w:r>
              <w:rPr>
                <w:rFonts w:hint="eastAsia" w:ascii="宋体" w:hAnsi="宋体"/>
                <w:lang w:eastAsia="zh-CN"/>
              </w:rPr>
              <w:t>（质疑模板详见质疑附件）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向市公资交易中心提出，并由市公资交易中心按相关规定作出答复（详见投标人须知2.8）。</w:t>
            </w:r>
            <w:r>
              <w:rPr>
                <w:rFonts w:hint="eastAsia" w:ascii="宋体" w:hAnsi="宋体" w:eastAsia="宋体" w:cs="Times New Roman"/>
                <w:lang w:val="en-US" w:eastAsia="zh-CN"/>
              </w:rPr>
              <w:t>联系电话：028-60432620</w:t>
            </w:r>
            <w:r>
              <w:rPr>
                <w:rFonts w:hint="eastAsia" w:ascii="宋体" w:hAnsi="宋体"/>
                <w:lang w:eastAsia="zh-CN"/>
              </w:rPr>
              <w:t>（质疑模板详见质疑附件）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hint="eastAsia" w:ascii="宋体" w:hAnsi="宋体" w:eastAsia="宋体" w:cs="Times New Roman"/>
                <w:lang w:val="zh-CN"/>
              </w:rPr>
            </w:pPr>
            <w:r>
              <w:rPr>
                <w:rFonts w:hint="eastAsia" w:ascii="宋体" w:hAnsi="宋体" w:eastAsia="宋体" w:cs="Times New Roman"/>
                <w:lang w:val="zh-CN"/>
              </w:rPr>
              <w:t>投诉受理单位：彭州市财政局。</w:t>
            </w:r>
          </w:p>
          <w:p>
            <w:pPr>
              <w:tabs>
                <w:tab w:val="left" w:pos="7665"/>
              </w:tabs>
              <w:snapToGrid w:val="0"/>
              <w:spacing w:line="360" w:lineRule="auto"/>
              <w:ind w:right="210"/>
              <w:rPr>
                <w:rFonts w:hint="eastAsia" w:ascii="宋体" w:hAnsi="宋体" w:eastAsia="宋体" w:cs="Times New Roman"/>
                <w:lang w:val="zh-CN"/>
              </w:rPr>
            </w:pPr>
            <w:r>
              <w:rPr>
                <w:rFonts w:hint="eastAsia" w:ascii="宋体" w:hAnsi="宋体" w:eastAsia="宋体" w:cs="Times New Roman"/>
                <w:lang w:val="zh-CN"/>
              </w:rPr>
              <w:t>联系电话：028-83888323。</w:t>
            </w:r>
          </w:p>
          <w:p>
            <w:pPr>
              <w:tabs>
                <w:tab w:val="left" w:pos="7665"/>
              </w:tabs>
              <w:snapToGrid w:val="0"/>
              <w:spacing w:line="360" w:lineRule="auto"/>
              <w:rPr>
                <w:rFonts w:ascii="宋体" w:hAnsi="宋体"/>
              </w:rPr>
            </w:pPr>
            <w:r>
              <w:rPr>
                <w:rFonts w:hint="eastAsia" w:ascii="宋体" w:hAnsi="宋体" w:eastAsia="宋体" w:cs="Times New Roman"/>
                <w:lang w:val="zh-CN"/>
              </w:rPr>
              <w:t>地址：彭州市牡丹大道北二段486号</w:t>
            </w:r>
            <w:r>
              <w:rPr>
                <w:rFonts w:hint="eastAsia" w:ascii="宋体" w:hAnsi="宋体" w:eastAsia="宋体" w:cs="Times New Roman"/>
              </w:rPr>
              <w:t>。</w:t>
            </w:r>
            <w:r>
              <w:rPr>
                <w:rFonts w:hint="eastAsia" w:ascii="宋体" w:hAnsi="宋体"/>
                <w:lang w:eastAsia="zh-CN"/>
              </w:rPr>
              <w:t>（投诉书范本详见附件投诉书）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投标文件资格性、符合性审查情况、采用综合评分法时的得分情况、评标结果等将在成都市公共资源交易服务中心网、四川政府采购网上采购结果公告栏中予以公告。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eastAsia="宋体" w:cs="宋体"/>
                <w:lang w:val="zh-CN"/>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r>
              <w:rPr>
                <w:rFonts w:hint="eastAsia" w:ascii="仿宋" w:hAnsi="仿宋" w:eastAsia="仿宋"/>
                <w:szCs w:val="21"/>
                <w:lang w:val="zh-CN"/>
              </w:rPr>
              <w:t>（</w:t>
            </w:r>
            <w:r>
              <w:rPr>
                <w:rFonts w:ascii="仿宋" w:hAnsi="仿宋" w:eastAsia="仿宋"/>
                <w:szCs w:val="21"/>
                <w:lang w:val="zh-CN"/>
              </w:rPr>
              <w:t>实质性</w:t>
            </w:r>
            <w:r>
              <w:rPr>
                <w:rFonts w:hint="eastAsia" w:ascii="仿宋" w:hAnsi="仿宋" w:eastAsia="仿宋"/>
                <w:szCs w:val="21"/>
                <w:lang w:val="zh-CN"/>
              </w:rPr>
              <w:t>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84599897"/>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一、本招标文件仅适用于本次公开招标采购项目。</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lang w:val="en-US" w:eastAsia="zh-CN"/>
        </w:rPr>
        <w:t>彭州市</w:t>
      </w:r>
      <w:r>
        <w:rPr>
          <w:rFonts w:hint="eastAsia" w:ascii="宋体" w:hAnsi="宋体"/>
          <w:sz w:val="28"/>
          <w:szCs w:val="28"/>
        </w:rPr>
        <w:t>机关、事业单位、团体组织。本次招标的采购人是</w:t>
      </w:r>
      <w:r>
        <w:rPr>
          <w:rFonts w:hint="eastAsia" w:ascii="宋体" w:hAnsi="宋体"/>
          <w:b/>
          <w:sz w:val="28"/>
          <w:szCs w:val="28"/>
          <w:lang w:eastAsia="zh-CN"/>
        </w:rPr>
        <w:t>彭州市人民医院</w:t>
      </w:r>
      <w:r>
        <w:rPr>
          <w:rFonts w:hint="eastAsia" w:ascii="宋体" w:hAnsi="宋体"/>
          <w:sz w:val="28"/>
          <w:szCs w:val="28"/>
        </w:rPr>
        <w:t>。</w:t>
      </w:r>
    </w:p>
    <w:p>
      <w:pPr>
        <w:numPr>
          <w:ilvl w:val="0"/>
          <w:numId w:val="11"/>
        </w:numPr>
        <w:tabs>
          <w:tab w:val="left" w:pos="1134"/>
        </w:tabs>
        <w:spacing w:line="360" w:lineRule="auto"/>
        <w:ind w:left="0" w:firstLine="566"/>
        <w:rPr>
          <w:rFonts w:ascii="宋体" w:hAnsi="宋体"/>
          <w:sz w:val="28"/>
          <w:szCs w:val="28"/>
        </w:rPr>
      </w:pPr>
      <w:r>
        <w:rPr>
          <w:rFonts w:hint="eastAsia" w:ascii="宋体" w:hAnsi="宋体"/>
          <w:sz w:val="28"/>
          <w:szCs w:val="28"/>
        </w:rPr>
        <w:t xml:space="preserve"> “投标人”系指在按照招标文件“投标邀请”中第六、七、八条规定获取了招标文件，拟参加投标和向采购人提供服务的供应商。“乙方”是指本项目的中标供应商。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7"/>
        <w:rPr>
          <w:rFonts w:hint="eastAsia" w:ascii="宋体" w:hAnsi="宋体"/>
          <w:sz w:val="28"/>
          <w:szCs w:val="28"/>
        </w:rPr>
      </w:pPr>
      <w:r>
        <w:rPr>
          <w:rFonts w:hint="eastAsia" w:ascii="宋体" w:hAnsi="宋体"/>
          <w:sz w:val="28"/>
          <w:szCs w:val="28"/>
        </w:rPr>
        <w:t>本项目重大违法记录中的较大数额罚款的具体金额标准参照《财政部关于&lt;中华人民共和国政府采购法实施条例&gt;第十九条第一款“较大数额罚款”具体适用问题的意见》（财库〔2022〕3号）的规定执行。</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不见面开标是指，市公资交易中心依托政府采购云平台组织开标活动，供应商在线参与开标的一种组织形式。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183682344"/>
      <w:bookmarkStart w:id="24" w:name="_Toc183582207"/>
      <w:bookmarkStart w:id="25" w:name="_Toc217446036"/>
      <w:bookmarkStart w:id="26" w:name="_Toc217390843"/>
      <w:r>
        <w:rPr>
          <w:rFonts w:hint="eastAsia" w:ascii="宋体" w:hAnsi="宋体"/>
          <w:b/>
          <w:bCs/>
          <w:sz w:val="28"/>
          <w:szCs w:val="28"/>
        </w:rPr>
        <w:t>合格的投标人</w:t>
      </w:r>
      <w:bookmarkEnd w:id="23"/>
      <w:bookmarkEnd w:id="24"/>
      <w:bookmarkEnd w:id="25"/>
      <w:bookmarkEnd w:id="26"/>
      <w:r>
        <w:rPr>
          <w:rFonts w:hint="eastAsia" w:ascii="宋体" w:hAnsi="宋体"/>
          <w:b/>
          <w:bCs/>
          <w:sz w:val="28"/>
          <w:szCs w:val="28"/>
        </w:rPr>
        <w:t>（实质性要求）</w:t>
      </w:r>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投标费用（实质性要求）</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充分、公平竞争保障措施（实质性要求）</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color w:val="FF0000"/>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keepNext/>
        <w:keepLines/>
        <w:numPr>
          <w:ilvl w:val="1"/>
          <w:numId w:val="5"/>
        </w:numPr>
        <w:spacing w:line="360" w:lineRule="auto"/>
        <w:jc w:val="left"/>
        <w:outlineLvl w:val="1"/>
        <w:rPr>
          <w:rFonts w:ascii="宋体" w:hAnsi="宋体"/>
          <w:b/>
          <w:bCs/>
          <w:sz w:val="28"/>
          <w:szCs w:val="28"/>
        </w:rPr>
      </w:pPr>
      <w:bookmarkStart w:id="27" w:name="_Toc183582210"/>
      <w:bookmarkStart w:id="28" w:name="_Toc217446039"/>
      <w:bookmarkStart w:id="29" w:name="_Toc183682347"/>
      <w:bookmarkStart w:id="30" w:name="_Toc84599898"/>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217446042"/>
      <w:bookmarkStart w:id="35" w:name="_Toc183682351"/>
      <w:bookmarkStart w:id="36" w:name="_Toc89075876"/>
      <w:bookmarkStart w:id="37" w:name="_Toc77400780"/>
      <w:bookmarkStart w:id="38" w:name="_Toc183582214"/>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rPr>
        <w:t>市公资交易中心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市公资交易中心应当在投标截止时间至少15日前，通过政府采购云平台通知所有已获取招标文件的潜在投标人；不足15日的，采购人或市公资交易中心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84599899"/>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582215"/>
      <w:bookmarkStart w:id="42" w:name="_Toc183682352"/>
      <w:r>
        <w:rPr>
          <w:rFonts w:hint="eastAsia" w:ascii="宋体" w:hAnsi="宋体"/>
          <w:b/>
          <w:bCs/>
          <w:sz w:val="28"/>
          <w:szCs w:val="28"/>
        </w:rPr>
        <w:t>投标文件的语言</w:t>
      </w:r>
      <w:bookmarkEnd w:id="40"/>
      <w:bookmarkEnd w:id="41"/>
      <w:bookmarkEnd w:id="42"/>
      <w:r>
        <w:rPr>
          <w:rFonts w:hint="eastAsia" w:ascii="宋体" w:hAnsi="宋体"/>
          <w:b/>
          <w:bCs/>
          <w:sz w:val="28"/>
          <w:szCs w:val="28"/>
        </w:rPr>
        <w:t>（实质性要求）</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w:t>
      </w:r>
      <w:r>
        <w:rPr>
          <w:rFonts w:hint="eastAsia" w:ascii="宋体" w:hAnsi="宋体"/>
          <w:sz w:val="28"/>
          <w:szCs w:val="28"/>
        </w:rPr>
        <w:t>投标人提交的投标文件以及投标人与采购人或</w:t>
      </w:r>
      <w:r>
        <w:rPr>
          <w:rFonts w:hint="eastAsia" w:cs="Arial"/>
          <w:sz w:val="28"/>
          <w:szCs w:val="28"/>
        </w:rPr>
        <w:t>市公资交易中心</w:t>
      </w:r>
      <w:r>
        <w:rPr>
          <w:rFonts w:hint="eastAsia" w:ascii="宋体" w:hAnsi="宋体"/>
          <w:sz w:val="28"/>
          <w:szCs w:val="28"/>
        </w:rPr>
        <w:t>就有关投标的所有来往书面文件均须使用中文。投标文件中如附有外文资料，主要部分要对应翻译成中文并附在相关外文资料后面。</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w:t>
      </w:r>
      <w:r>
        <w:rPr>
          <w:rFonts w:hint="eastAsia" w:ascii="宋体" w:hAnsi="宋体"/>
          <w:sz w:val="28"/>
          <w:szCs w:val="28"/>
        </w:rPr>
        <w:t>翻译的中文资料与外文资料如果出现差异和矛盾时，以中文为准。涉嫌提供虚假材料的按照相关法律法规处理。</w:t>
      </w:r>
    </w:p>
    <w:p>
      <w:pPr>
        <w:spacing w:line="360" w:lineRule="auto"/>
        <w:ind w:firstLine="560" w:firstLineChars="200"/>
        <w:rPr>
          <w:rFonts w:ascii="宋体" w:hAnsi="宋体"/>
          <w:sz w:val="28"/>
          <w:szCs w:val="28"/>
        </w:rPr>
      </w:pPr>
      <w:r>
        <w:rPr>
          <w:rFonts w:hint="eastAsia" w:ascii="宋体" w:hAnsi="宋体"/>
          <w:sz w:val="28"/>
          <w:szCs w:val="28"/>
        </w:rPr>
        <w:t>三、如因未翻译而造成对供应商的不利后果，由供应商承担。</w:t>
      </w:r>
    </w:p>
    <w:p>
      <w:pPr>
        <w:keepNext/>
        <w:keepLines/>
        <w:numPr>
          <w:ilvl w:val="2"/>
          <w:numId w:val="5"/>
        </w:numPr>
        <w:spacing w:line="360" w:lineRule="auto"/>
        <w:ind w:left="0" w:firstLine="0"/>
        <w:outlineLvl w:val="2"/>
        <w:rPr>
          <w:rFonts w:ascii="宋体" w:hAnsi="宋体"/>
          <w:b/>
          <w:bCs/>
          <w:sz w:val="28"/>
          <w:szCs w:val="28"/>
        </w:rPr>
      </w:pPr>
      <w:bookmarkStart w:id="43" w:name="_Toc183682353"/>
      <w:bookmarkStart w:id="44" w:name="_Toc217446044"/>
      <w:bookmarkStart w:id="45" w:name="_Toc183582216"/>
      <w:r>
        <w:rPr>
          <w:rFonts w:hint="eastAsia" w:ascii="宋体" w:hAnsi="宋体"/>
          <w:b/>
          <w:bCs/>
          <w:sz w:val="28"/>
          <w:szCs w:val="28"/>
        </w:rPr>
        <w:t>计量单位</w:t>
      </w:r>
      <w:bookmarkEnd w:id="43"/>
      <w:bookmarkEnd w:id="44"/>
      <w:bookmarkEnd w:id="45"/>
      <w:r>
        <w:rPr>
          <w:rFonts w:hint="eastAsia" w:ascii="宋体" w:hAnsi="宋体"/>
          <w:b/>
          <w:bCs/>
          <w:sz w:val="28"/>
          <w:szCs w:val="28"/>
        </w:rPr>
        <w:t>（实质性要求）</w:t>
      </w:r>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r>
        <w:rPr>
          <w:rFonts w:hint="eastAsia" w:ascii="宋体" w:hAnsi="宋体"/>
          <w:b/>
          <w:bCs/>
          <w:sz w:val="28"/>
          <w:szCs w:val="28"/>
        </w:rPr>
        <w:t>（</w:t>
      </w:r>
      <w:r>
        <w:rPr>
          <w:rFonts w:ascii="宋体" w:hAnsi="宋体"/>
          <w:b/>
          <w:bCs/>
          <w:sz w:val="28"/>
          <w:szCs w:val="28"/>
        </w:rPr>
        <w:t>实质性</w:t>
      </w:r>
      <w:r>
        <w:rPr>
          <w:rFonts w:hint="eastAsia" w:ascii="宋体" w:hAnsi="宋体"/>
          <w:b/>
          <w:bCs/>
          <w:sz w:val="28"/>
          <w:szCs w:val="28"/>
        </w:rPr>
        <w:t>要求）</w:t>
      </w:r>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r>
        <w:rPr>
          <w:rFonts w:hint="eastAsia" w:ascii="宋体" w:hAnsi="宋体"/>
          <w:b/>
          <w:bCs/>
          <w:sz w:val="28"/>
          <w:szCs w:val="28"/>
        </w:rPr>
        <w:t>（实质性要求）</w:t>
      </w:r>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r>
        <w:rPr>
          <w:rFonts w:hint="eastAsia" w:ascii="宋体" w:hAnsi="宋体"/>
          <w:b/>
          <w:bCs/>
          <w:sz w:val="28"/>
          <w:szCs w:val="28"/>
        </w:rPr>
        <w:t>（实质性要求）</w:t>
      </w:r>
    </w:p>
    <w:p>
      <w:pPr>
        <w:pStyle w:val="120"/>
        <w:spacing w:line="360" w:lineRule="auto"/>
        <w:ind w:firstLine="560" w:firstLineChars="200"/>
        <w:jc w:val="both"/>
        <w:rPr>
          <w:rFonts w:cs="Times New Roman"/>
          <w:kern w:val="2"/>
          <w:sz w:val="28"/>
          <w:szCs w:val="28"/>
        </w:rPr>
      </w:pPr>
      <w:r>
        <w:rPr>
          <w:rFonts w:hint="eastAsia" w:cs="Times New Roman"/>
          <w:kern w:val="2"/>
          <w:sz w:val="28"/>
          <w:szCs w:val="28"/>
        </w:rPr>
        <w:t>一、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tabs>
          <w:tab w:val="left" w:pos="1134"/>
        </w:tabs>
        <w:spacing w:line="360" w:lineRule="auto"/>
        <w:ind w:firstLine="560" w:firstLineChars="200"/>
        <w:rPr>
          <w:rFonts w:hint="eastAsia"/>
          <w:sz w:val="28"/>
          <w:szCs w:val="28"/>
        </w:rPr>
      </w:pPr>
      <w:r>
        <w:rPr>
          <w:rFonts w:hint="eastAsia"/>
          <w:sz w:val="28"/>
          <w:szCs w:val="28"/>
        </w:rPr>
        <w:t>二、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w:t>
      </w: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Pr>
          <w:rFonts w:hint="eastAsia" w:ascii="宋体" w:hAnsi="宋体"/>
          <w:b/>
          <w:bCs/>
          <w:sz w:val="28"/>
          <w:szCs w:val="28"/>
        </w:rPr>
        <w:t>投标文件的组成</w:t>
      </w:r>
      <w:bookmarkEnd w:id="49"/>
      <w:bookmarkEnd w:id="50"/>
      <w:bookmarkEnd w:id="51"/>
      <w:r>
        <w:rPr>
          <w:rFonts w:hint="eastAsia" w:ascii="宋体" w:hAnsi="宋体"/>
          <w:b/>
          <w:bCs/>
          <w:sz w:val="28"/>
          <w:szCs w:val="28"/>
        </w:rPr>
        <w:t>（实质性要求）</w:t>
      </w:r>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2"/>
        <w:ind w:left="3858" w:leftChars="0" w:hanging="2410" w:firstLineChars="0"/>
      </w:pPr>
      <w:r>
        <w:rPr>
          <w:rFonts w:hint="eastAsia"/>
        </w:rPr>
        <w:t>资格响应文件</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关于投标人申明的函；</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50"/>
        <w:numPr>
          <w:ilvl w:val="0"/>
          <w:numId w:val="17"/>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r>
        <w:rPr>
          <w:rFonts w:hint="eastAsia" w:ascii="宋体" w:hAnsi="宋体"/>
          <w:b/>
          <w:sz w:val="28"/>
          <w:szCs w:val="28"/>
        </w:rPr>
        <w:t>或其他能够证明</w:t>
      </w:r>
      <w:r>
        <w:rPr>
          <w:rFonts w:ascii="宋体" w:hAnsi="宋体"/>
          <w:b/>
          <w:sz w:val="28"/>
          <w:szCs w:val="28"/>
        </w:rPr>
        <w:t>供应商具有独立承担民事责任能力的</w:t>
      </w:r>
      <w:r>
        <w:rPr>
          <w:rFonts w:hint="eastAsia" w:ascii="宋体" w:hAnsi="宋体"/>
          <w:b/>
          <w:sz w:val="28"/>
          <w:szCs w:val="28"/>
        </w:rPr>
        <w:t>相关证明材料复印件</w:t>
      </w:r>
      <w:r>
        <w:rPr>
          <w:rFonts w:hint="eastAsia" w:ascii="宋体" w:hAnsi="宋体"/>
          <w:b/>
          <w:bCs/>
          <w:kern w:val="0"/>
          <w:sz w:val="28"/>
          <w:szCs w:val="28"/>
        </w:rPr>
        <w:t>；</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采购人对投标人履行合同所必</w:t>
      </w:r>
      <w:r>
        <w:rPr>
          <w:rFonts w:hint="eastAsia" w:ascii="宋体" w:hAnsi="宋体"/>
          <w:b/>
          <w:bCs/>
          <w:kern w:val="0"/>
          <w:sz w:val="28"/>
          <w:szCs w:val="28"/>
          <w:lang w:val="en-US" w:eastAsia="zh-CN"/>
        </w:rPr>
        <w:t>需</w:t>
      </w:r>
      <w:r>
        <w:rPr>
          <w:rFonts w:hint="eastAsia" w:ascii="宋体" w:hAnsi="宋体"/>
          <w:b/>
          <w:bCs/>
          <w:kern w:val="0"/>
          <w:sz w:val="28"/>
          <w:szCs w:val="28"/>
        </w:rPr>
        <w:t>的设备和专业技术能力无其他特殊要求，投标人可不提供证明材料；</w:t>
      </w:r>
    </w:p>
    <w:p>
      <w:pPr>
        <w:pStyle w:val="150"/>
        <w:numPr>
          <w:ilvl w:val="0"/>
          <w:numId w:val="18"/>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采购人对法律、行政法规规定的其他条件无其他特殊要求，投标人可不提供证明材料。</w:t>
      </w:r>
    </w:p>
    <w:p>
      <w:pPr>
        <w:pStyle w:val="2"/>
        <w:ind w:left="3858" w:leftChars="0" w:hanging="2410" w:firstLineChars="0"/>
        <w:jc w:val="both"/>
      </w:pPr>
      <w:r>
        <w:rPr>
          <w:rFonts w:hint="eastAsia"/>
        </w:rPr>
        <w:t>商务技术响应文件</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法定代表人或主要负责人身份证明书（说明</w:t>
      </w:r>
      <w:r>
        <w:rPr>
          <w:rFonts w:ascii="宋体" w:hAnsi="宋体"/>
          <w:b/>
          <w:sz w:val="28"/>
          <w:szCs w:val="28"/>
        </w:rPr>
        <w:t>：</w:t>
      </w:r>
      <w:r>
        <w:rPr>
          <w:rFonts w:hint="eastAsia" w:ascii="宋体" w:hAnsi="宋体"/>
          <w:b/>
          <w:sz w:val="28"/>
          <w:szCs w:val="28"/>
          <w:lang w:val="zh-CN"/>
        </w:rPr>
        <w:t>主要</w:t>
      </w:r>
      <w:r>
        <w:rPr>
          <w:rFonts w:ascii="宋体" w:hAnsi="宋体"/>
          <w:b/>
          <w:sz w:val="28"/>
          <w:szCs w:val="28"/>
          <w:lang w:val="zh-CN"/>
        </w:rPr>
        <w:t>负责人为供应商提供的其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sz w:val="28"/>
          <w:szCs w:val="28"/>
        </w:rPr>
        <w:t>。</w:t>
      </w:r>
      <w:r>
        <w:rPr>
          <w:rFonts w:hint="eastAsia" w:ascii="宋体" w:hAnsi="宋体"/>
          <w:b/>
          <w:sz w:val="28"/>
          <w:szCs w:val="28"/>
        </w:rPr>
        <w:t>）。</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kern w:val="0"/>
          <w:sz w:val="28"/>
          <w:szCs w:val="28"/>
        </w:rPr>
        <w:t>服务方案及服务承诺</w:t>
      </w:r>
      <w:r>
        <w:rPr>
          <w:rFonts w:hint="eastAsia" w:ascii="宋体" w:hAnsi="宋体"/>
          <w:b/>
          <w:sz w:val="28"/>
          <w:szCs w:val="28"/>
        </w:rPr>
        <w:t>；</w:t>
      </w:r>
    </w:p>
    <w:p>
      <w:pPr>
        <w:numPr>
          <w:ilvl w:val="0"/>
          <w:numId w:val="19"/>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pStyle w:val="2"/>
        <w:ind w:left="3858" w:leftChars="0" w:hanging="2410" w:firstLineChars="0"/>
      </w:pPr>
      <w:r>
        <w:rPr>
          <w:rFonts w:hint="eastAsia"/>
        </w:rPr>
        <w:t>报价要求响应文件</w:t>
      </w:r>
    </w:p>
    <w:p>
      <w:pPr>
        <w:numPr>
          <w:ilvl w:val="0"/>
          <w:numId w:val="20"/>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pStyle w:val="80"/>
        <w:numPr>
          <w:ilvl w:val="0"/>
          <w:numId w:val="0"/>
        </w:numPr>
        <w:tabs>
          <w:tab w:val="left" w:pos="1134"/>
        </w:tabs>
        <w:spacing w:line="360" w:lineRule="auto"/>
        <w:ind w:firstLine="562" w:firstLineChars="200"/>
        <w:rPr>
          <w:rFonts w:hint="eastAsia" w:ascii="宋体" w:hAnsi="宋体"/>
          <w:b/>
          <w:sz w:val="28"/>
          <w:szCs w:val="28"/>
        </w:rPr>
      </w:pPr>
      <w:r>
        <w:rPr>
          <w:rFonts w:hint="eastAsia" w:ascii="宋体" w:hAnsi="宋体"/>
          <w:b/>
          <w:sz w:val="28"/>
          <w:szCs w:val="28"/>
          <w:lang w:eastAsia="zh-CN"/>
        </w:rPr>
        <w:t>二、</w:t>
      </w:r>
      <w:r>
        <w:rPr>
          <w:rFonts w:hint="eastAsia" w:ascii="宋体" w:hAnsi="宋体"/>
          <w:b/>
          <w:sz w:val="28"/>
          <w:szCs w:val="28"/>
        </w:rPr>
        <w:t>中小企业声明函（如未提供中小企业声明函，则其投标产品中的小型、微型企业</w:t>
      </w:r>
      <w:r>
        <w:rPr>
          <w:rFonts w:hint="eastAsia" w:ascii="宋体" w:hAnsi="宋体"/>
          <w:b/>
          <w:sz w:val="28"/>
          <w:szCs w:val="28"/>
          <w:lang w:eastAsia="zh-CN"/>
        </w:rPr>
        <w:t>承接</w:t>
      </w:r>
      <w:r>
        <w:rPr>
          <w:rFonts w:hint="eastAsia" w:ascii="宋体" w:hAnsi="宋体"/>
          <w:b/>
          <w:sz w:val="28"/>
          <w:szCs w:val="28"/>
        </w:rPr>
        <w:t>的</w:t>
      </w:r>
      <w:r>
        <w:rPr>
          <w:rFonts w:hint="eastAsia" w:ascii="宋体" w:hAnsi="宋体"/>
          <w:b/>
          <w:sz w:val="28"/>
          <w:szCs w:val="28"/>
          <w:lang w:eastAsia="zh-CN"/>
        </w:rPr>
        <w:t>服务</w:t>
      </w:r>
      <w:r>
        <w:rPr>
          <w:rFonts w:hint="eastAsia" w:ascii="宋体" w:hAnsi="宋体"/>
          <w:b/>
          <w:sz w:val="28"/>
          <w:szCs w:val="28"/>
        </w:rPr>
        <w:t>不能享受招标文件规定的价格扣除，但不影响投标人投标文件的有效性）；</w:t>
      </w:r>
    </w:p>
    <w:p>
      <w:pPr>
        <w:pStyle w:val="80"/>
        <w:numPr>
          <w:ilvl w:val="0"/>
          <w:numId w:val="21"/>
        </w:numPr>
        <w:tabs>
          <w:tab w:val="left" w:pos="1134"/>
        </w:tabs>
        <w:spacing w:line="360" w:lineRule="auto"/>
        <w:ind w:firstLine="562" w:firstLineChars="200"/>
        <w:rPr>
          <w:rFonts w:hint="eastAsia" w:ascii="宋体" w:hAnsi="宋体"/>
          <w:b/>
          <w:sz w:val="28"/>
          <w:szCs w:val="28"/>
        </w:rPr>
      </w:pPr>
      <w:r>
        <w:rPr>
          <w:rFonts w:hint="eastAsia" w:ascii="宋体" w:hAnsi="宋体"/>
          <w:b/>
          <w:sz w:val="28"/>
          <w:szCs w:val="28"/>
        </w:rPr>
        <w:t>残疾人福利性单位声明函（如未提供残疾人福利性单位声明函，则其投标产品中的残疾人福利性单位</w:t>
      </w:r>
      <w:r>
        <w:rPr>
          <w:rFonts w:hint="eastAsia" w:ascii="宋体" w:hAnsi="宋体"/>
          <w:b/>
          <w:sz w:val="28"/>
          <w:szCs w:val="28"/>
          <w:lang w:eastAsia="zh-CN"/>
        </w:rPr>
        <w:t>承接</w:t>
      </w:r>
      <w:r>
        <w:rPr>
          <w:rFonts w:hint="eastAsia" w:ascii="宋体" w:hAnsi="宋体"/>
          <w:b/>
          <w:sz w:val="28"/>
          <w:szCs w:val="28"/>
        </w:rPr>
        <w:t>的</w:t>
      </w:r>
      <w:r>
        <w:rPr>
          <w:rFonts w:hint="eastAsia" w:ascii="宋体" w:hAnsi="宋体"/>
          <w:b/>
          <w:sz w:val="28"/>
          <w:szCs w:val="28"/>
          <w:lang w:eastAsia="zh-CN"/>
        </w:rPr>
        <w:t>服务</w:t>
      </w:r>
      <w:r>
        <w:rPr>
          <w:rFonts w:hint="eastAsia" w:ascii="宋体" w:hAnsi="宋体"/>
          <w:b/>
          <w:sz w:val="28"/>
          <w:szCs w:val="28"/>
        </w:rPr>
        <w:t>不能享受招标文件规定的价格扣除，但不影响投标人投标文件的有效性）；</w:t>
      </w:r>
    </w:p>
    <w:p>
      <w:pPr>
        <w:pStyle w:val="80"/>
        <w:numPr>
          <w:ilvl w:val="0"/>
          <w:numId w:val="0"/>
        </w:numPr>
        <w:tabs>
          <w:tab w:val="left" w:pos="1134"/>
        </w:tabs>
        <w:spacing w:line="360" w:lineRule="auto"/>
        <w:ind w:firstLine="562" w:firstLineChars="200"/>
      </w:pPr>
      <w:r>
        <w:rPr>
          <w:rFonts w:hint="eastAsia" w:ascii="宋体" w:hAnsi="宋体"/>
          <w:b/>
          <w:sz w:val="28"/>
          <w:szCs w:val="28"/>
          <w:lang w:eastAsia="zh-CN"/>
        </w:rPr>
        <w:t>四、</w:t>
      </w:r>
      <w:r>
        <w:rPr>
          <w:rFonts w:hint="eastAsia" w:ascii="宋体" w:hAnsi="宋体"/>
          <w:b/>
          <w:bCs/>
          <w:color w:val="auto"/>
          <w:sz w:val="28"/>
          <w:szCs w:val="28"/>
          <w:lang w:eastAsia="zh-CN"/>
        </w:rPr>
        <w:t>承接的服务</w:t>
      </w:r>
      <w:r>
        <w:rPr>
          <w:rFonts w:ascii="宋体" w:hAnsi="宋体"/>
          <w:b/>
          <w:sz w:val="28"/>
          <w:szCs w:val="28"/>
        </w:rPr>
        <w:t>属于监狱企业的证明文件复印件</w:t>
      </w:r>
      <w:r>
        <w:rPr>
          <w:rFonts w:hint="eastAsia" w:ascii="宋体" w:hAnsi="宋体"/>
          <w:b/>
          <w:sz w:val="28"/>
          <w:szCs w:val="28"/>
        </w:rPr>
        <w:t>（1、</w:t>
      </w:r>
      <w:r>
        <w:rPr>
          <w:rFonts w:ascii="宋体" w:hAnsi="宋体"/>
          <w:b/>
          <w:sz w:val="28"/>
          <w:szCs w:val="28"/>
        </w:rPr>
        <w:t>投标产品中为监狱企业制造的货物应提供由省级以上监狱管理局、戒毒管理局（含新疆生产建设兵团）出具的属于监狱企业的证明文件复印件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w:t>
      </w:r>
      <w:r>
        <w:rPr>
          <w:rFonts w:hint="eastAsia" w:ascii="宋体" w:hAnsi="宋体"/>
          <w:b/>
          <w:sz w:val="28"/>
          <w:szCs w:val="28"/>
          <w:lang w:eastAsia="zh-CN"/>
        </w:rPr>
        <w:t>承接</w:t>
      </w:r>
      <w:r>
        <w:rPr>
          <w:rFonts w:ascii="宋体" w:hAnsi="宋体"/>
          <w:b/>
          <w:sz w:val="28"/>
          <w:szCs w:val="28"/>
        </w:rPr>
        <w:t>的</w:t>
      </w:r>
      <w:r>
        <w:rPr>
          <w:rFonts w:hint="eastAsia" w:ascii="宋体" w:hAnsi="宋体"/>
          <w:b/>
          <w:sz w:val="28"/>
          <w:szCs w:val="28"/>
          <w:lang w:eastAsia="zh-CN"/>
        </w:rPr>
        <w:t>服务</w:t>
      </w:r>
      <w:r>
        <w:rPr>
          <w:rFonts w:hint="eastAsia" w:ascii="宋体" w:hAnsi="宋体"/>
          <w:b/>
          <w:sz w:val="28"/>
          <w:szCs w:val="28"/>
        </w:rPr>
        <w:t>不能享受招标文件规定的价格扣除，但不影响投标人投标文件的有效性。）。</w:t>
      </w:r>
    </w:p>
    <w:p>
      <w:pPr>
        <w:pStyle w:val="17"/>
      </w:pPr>
    </w:p>
    <w:p>
      <w:pPr>
        <w:keepNext/>
        <w:keepLines/>
        <w:numPr>
          <w:ilvl w:val="2"/>
          <w:numId w:val="5"/>
        </w:numPr>
        <w:spacing w:line="360" w:lineRule="auto"/>
        <w:ind w:left="0" w:firstLine="0"/>
        <w:outlineLvl w:val="2"/>
        <w:rPr>
          <w:rFonts w:ascii="宋体" w:hAnsi="宋体"/>
          <w:b/>
          <w:bCs/>
          <w:sz w:val="28"/>
          <w:szCs w:val="28"/>
        </w:rPr>
      </w:pPr>
      <w:bookmarkStart w:id="52" w:name="_Toc316291395"/>
      <w:bookmarkEnd w:id="52"/>
      <w:bookmarkStart w:id="53" w:name="_Toc316291396"/>
      <w:bookmarkEnd w:id="53"/>
      <w:bookmarkStart w:id="54" w:name="_Toc316292020"/>
      <w:bookmarkEnd w:id="54"/>
      <w:bookmarkStart w:id="55" w:name="_Toc316292019"/>
      <w:bookmarkEnd w:id="55"/>
      <w:bookmarkStart w:id="56" w:name="_Toc183582218"/>
      <w:bookmarkStart w:id="57" w:name="_Toc217446049"/>
      <w:bookmarkStart w:id="58" w:name="_Toc183682355"/>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2"/>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投标报价（实质性要求）</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3"/>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217446050"/>
      <w:bookmarkStart w:id="60" w:name="_Toc183682360"/>
      <w:bookmarkStart w:id="61"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评标委员会不得未经要求投标人确认，直接将投标人投标文件作无效处理。如因断电、断网、系统故障或其他不可抗力等因素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4"/>
        </w:numPr>
        <w:tabs>
          <w:tab w:val="left" w:pos="1134"/>
        </w:tabs>
        <w:spacing w:line="360" w:lineRule="auto"/>
        <w:ind w:left="0" w:firstLine="567"/>
        <w:rPr>
          <w:rFonts w:ascii="宋体" w:hAnsi="宋体"/>
          <w:sz w:val="28"/>
          <w:szCs w:val="28"/>
        </w:rPr>
      </w:pPr>
      <w:r>
        <w:rPr>
          <w:rFonts w:hint="eastAsia" w:ascii="宋体" w:hAnsi="宋体"/>
          <w:b/>
          <w:bCs/>
          <w:sz w:val="28"/>
          <w:szCs w:val="28"/>
        </w:rPr>
        <w:t>（实质性要求）</w:t>
      </w: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4"/>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特殊情况下，采购人可于投标有效期满之前要求投标人同意延长有效期，要求与答复均应为书面形式。投标人可以拒绝上述要求。同意延长投标有效期的投标人不能修改其投标文件。</w:t>
      </w:r>
    </w:p>
    <w:p>
      <w:pPr>
        <w:pStyle w:val="5"/>
        <w:numPr>
          <w:ilvl w:val="2"/>
          <w:numId w:val="5"/>
        </w:numPr>
        <w:tabs>
          <w:tab w:val="left" w:pos="851"/>
        </w:tabs>
        <w:spacing w:after="200" w:line="240" w:lineRule="auto"/>
        <w:ind w:left="0" w:firstLine="0"/>
        <w:rPr>
          <w:color w:val="auto"/>
        </w:rPr>
      </w:pPr>
      <w:bookmarkStart w:id="67" w:name="_Toc217446054"/>
      <w:bookmarkStart w:id="68" w:name="_Toc183582227"/>
      <w:bookmarkStart w:id="69" w:name="_Toc18368236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b/>
          <w:bCs/>
          <w:sz w:val="28"/>
          <w:szCs w:val="28"/>
        </w:rPr>
        <w:t>（实质性要求）</w:t>
      </w:r>
      <w:r>
        <w:rPr>
          <w:rFonts w:hint="eastAsia" w:ascii="宋体" w:hAnsi="宋体"/>
          <w:sz w:val="28"/>
          <w:szCs w:val="28"/>
        </w:rPr>
        <w:t>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w:t>
      </w:r>
      <w:r>
        <w:rPr>
          <w:rFonts w:hint="eastAsia" w:ascii="宋体" w:hAnsi="宋体"/>
          <w:b/>
          <w:bCs/>
          <w:sz w:val="28"/>
          <w:szCs w:val="28"/>
        </w:rPr>
        <w:t>（实质性要求）</w:t>
      </w:r>
      <w:r>
        <w:rPr>
          <w:rFonts w:hint="eastAsia" w:ascii="宋体" w:hAnsi="宋体"/>
          <w:b/>
          <w:sz w:val="28"/>
          <w:szCs w:val="28"/>
        </w:rPr>
        <w:t>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pStyle w:val="5"/>
        <w:numPr>
          <w:ilvl w:val="2"/>
          <w:numId w:val="5"/>
        </w:numPr>
        <w:spacing w:after="200" w:line="240" w:lineRule="auto"/>
        <w:ind w:left="0" w:firstLine="0"/>
        <w:rPr>
          <w:color w:val="auto"/>
        </w:rPr>
      </w:pPr>
      <w:r>
        <w:rPr>
          <w:rFonts w:hint="eastAsia"/>
          <w:color w:val="auto"/>
        </w:rPr>
        <w:t>投标文件的</w:t>
      </w:r>
      <w:bookmarkEnd w:id="67"/>
      <w:bookmarkEnd w:id="68"/>
      <w:bookmarkEnd w:id="69"/>
      <w:r>
        <w:rPr>
          <w:rFonts w:hint="eastAsia"/>
          <w:color w:val="auto"/>
        </w:rPr>
        <w:t>提交</w:t>
      </w:r>
    </w:p>
    <w:p>
      <w:pPr>
        <w:tabs>
          <w:tab w:val="left" w:pos="0"/>
        </w:tabs>
        <w:spacing w:line="360" w:lineRule="auto"/>
        <w:ind w:firstLine="420" w:firstLineChars="150"/>
        <w:rPr>
          <w:rFonts w:ascii="宋体" w:hAnsi="宋体" w:eastAsiaTheme="minorEastAsia" w:cstheme="minorBidi"/>
          <w:bCs/>
          <w:sz w:val="28"/>
          <w:szCs w:val="28"/>
        </w:rPr>
      </w:pPr>
      <w:bookmarkStart w:id="70" w:name="_Toc316475587"/>
      <w:bookmarkEnd w:id="70"/>
      <w:bookmarkStart w:id="71" w:name="_Toc316475586"/>
      <w:bookmarkEnd w:id="71"/>
      <w:bookmarkStart w:id="72" w:name="_Toc183582228"/>
      <w:bookmarkStart w:id="73" w:name="_Toc217446055"/>
      <w:bookmarkStart w:id="74" w:name="_Toc183682365"/>
      <w:r>
        <w:rPr>
          <w:rFonts w:hint="eastAsia" w:ascii="宋体" w:hAnsi="宋体" w:eastAsiaTheme="minorEastAsia" w:cstheme="minorBidi"/>
          <w:bCs/>
          <w:sz w:val="28"/>
          <w:szCs w:val="28"/>
        </w:rPr>
        <w:t>一、</w:t>
      </w:r>
      <w:r>
        <w:rPr>
          <w:rFonts w:hint="eastAsia" w:ascii="宋体" w:hAnsi="宋体"/>
          <w:b/>
          <w:bCs/>
          <w:sz w:val="28"/>
          <w:szCs w:val="28"/>
        </w:rPr>
        <w:t>（实质性要求）</w:t>
      </w:r>
      <w:r>
        <w:rPr>
          <w:rFonts w:hint="eastAsia" w:ascii="宋体" w:hAnsi="宋体" w:eastAsiaTheme="minorEastAsia" w:cstheme="minorBidi"/>
          <w:bCs/>
          <w:sz w:val="28"/>
          <w:szCs w:val="28"/>
        </w:rPr>
        <w:t>投标人应当在投标文件提交截止时间前，将生成的已加密的电子投标文件成功提交至“政府采购云平台”。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二、因招标文件的修改推迟投标截止日期的，投标人按市公资交易中心在“四川政府采购网”和“成都市公共资源交易服务中心”网站上发布的澄清公告中修改的时间提交投标文件。</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三、投标人应充分考虑提交文件的不可预见因素，未在投标截止时间前完成提交的，在投标截止时间后将无法提交</w:t>
      </w:r>
      <w:r>
        <w:rPr>
          <w:rFonts w:hint="eastAsia" w:ascii="宋体" w:hAnsi="宋体"/>
          <w:bCs/>
          <w:sz w:val="28"/>
          <w:szCs w:val="28"/>
        </w:rPr>
        <w:t>。</w:t>
      </w:r>
    </w:p>
    <w:p>
      <w:pPr>
        <w:pStyle w:val="5"/>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补充、修改（实质性要求）</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提交的投标文件进行补充、修改。补充或者修改投标文件的，应当先撤回已提交的投标文件，在“政采云投标客户端”补充、修改投标文件并签章、加密后重新提交。撤回投标文件进行补充、修改，在投标截止时间前未重新提交的，视为撤回投标文件。</w:t>
      </w:r>
    </w:p>
    <w:p>
      <w:pPr>
        <w:numPr>
          <w:ilvl w:val="0"/>
          <w:numId w:val="25"/>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在投标截止时间之后，投标人不得对其提交的投标文件做任何补充、修改。</w:t>
      </w:r>
    </w:p>
    <w:p>
      <w:pPr>
        <w:pStyle w:val="5"/>
        <w:numPr>
          <w:ilvl w:val="2"/>
          <w:numId w:val="5"/>
        </w:numPr>
        <w:spacing w:after="200" w:line="276" w:lineRule="auto"/>
        <w:ind w:left="0" w:firstLine="0"/>
        <w:rPr>
          <w:color w:val="auto"/>
        </w:rPr>
      </w:pPr>
      <w:r>
        <w:rPr>
          <w:rFonts w:hint="eastAsia"/>
          <w:color w:val="auto"/>
        </w:rPr>
        <w:t>投标文件的撤回（实质性要求）</w:t>
      </w:r>
    </w:p>
    <w:p>
      <w:pPr>
        <w:spacing w:before="120" w:after="200" w:line="360" w:lineRule="auto"/>
        <w:ind w:firstLine="565" w:firstLineChars="202"/>
        <w:rPr>
          <w:rFonts w:ascii="宋体" w:hAnsi="宋体"/>
          <w:bCs/>
          <w:sz w:val="28"/>
          <w:szCs w:val="28"/>
        </w:rPr>
      </w:pPr>
      <w:bookmarkStart w:id="75" w:name="_Toc217446056"/>
      <w:bookmarkStart w:id="76" w:name="_Toc89075878"/>
      <w:bookmarkStart w:id="77" w:name="_Toc183682368"/>
      <w:bookmarkStart w:id="78" w:name="_Toc77400782"/>
      <w:bookmarkStart w:id="79" w:name="_Toc183582231"/>
      <w:r>
        <w:rPr>
          <w:rFonts w:hint="eastAsia" w:ascii="宋体" w:hAnsi="宋体"/>
          <w:bCs/>
          <w:sz w:val="28"/>
          <w:szCs w:val="28"/>
        </w:rPr>
        <w:t>在投标截止时间之前，投标人可对已提交的投标文件进行撤回。在投标截止时间之后，投标人不得撤回投标文件。</w:t>
      </w:r>
    </w:p>
    <w:p>
      <w:pPr>
        <w:pStyle w:val="5"/>
        <w:numPr>
          <w:ilvl w:val="2"/>
          <w:numId w:val="5"/>
        </w:numPr>
        <w:spacing w:after="200" w:line="276" w:lineRule="auto"/>
        <w:ind w:left="0" w:firstLine="0"/>
        <w:rPr>
          <w:color w:val="auto"/>
        </w:rPr>
      </w:pPr>
      <w:r>
        <w:rPr>
          <w:rFonts w:hint="eastAsia"/>
          <w:color w:val="auto"/>
        </w:rPr>
        <w:t>投标文件的解密（实质性要求）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登录政府采购云平台，点击“项目采购—开标评标”模块，找到对应项目，进入“开标大厅”，等待市公资交易中心开启解密后，进行线上解密。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84599900"/>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80"/>
        <w:numPr>
          <w:ilvl w:val="0"/>
          <w:numId w:val="26"/>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本项目为不见面开标项目。提交电子投标文件的投标人不足3家的，不予开标。</w:t>
      </w:r>
    </w:p>
    <w:p>
      <w:pPr>
        <w:pStyle w:val="80"/>
        <w:numPr>
          <w:ilvl w:val="0"/>
          <w:numId w:val="26"/>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p>
    <w:p>
      <w:pPr>
        <w:pStyle w:val="80"/>
        <w:numPr>
          <w:ilvl w:val="0"/>
          <w:numId w:val="26"/>
        </w:numPr>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政府采购云平台运行基本环境要求：电脑应安装并顺利运行</w:t>
      </w:r>
      <w:r>
        <w:rPr>
          <w:rFonts w:ascii="宋体" w:hAnsi="宋体" w:eastAsia="宋体" w:cs="宋体"/>
          <w:b/>
          <w:sz w:val="28"/>
          <w:szCs w:val="28"/>
        </w:rPr>
        <w:t>64位win7以上操作系统</w:t>
      </w:r>
      <w:r>
        <w:rPr>
          <w:rFonts w:hint="eastAsia" w:ascii="宋体" w:hAnsi="宋体" w:eastAsia="宋体" w:cs="宋体"/>
          <w:b/>
          <w:sz w:val="28"/>
          <w:szCs w:val="28"/>
        </w:rPr>
        <w:t>，</w:t>
      </w:r>
      <w:r>
        <w:rPr>
          <w:rFonts w:ascii="宋体" w:hAnsi="宋体" w:eastAsia="宋体" w:cs="宋体"/>
          <w:b/>
          <w:sz w:val="28"/>
          <w:szCs w:val="28"/>
        </w:rPr>
        <w:t>谷歌浏览器</w:t>
      </w:r>
      <w:r>
        <w:rPr>
          <w:rFonts w:hint="eastAsia" w:ascii="宋体" w:hAnsi="宋体" w:eastAsia="宋体" w:cs="宋体"/>
          <w:b/>
          <w:sz w:val="28"/>
          <w:szCs w:val="28"/>
        </w:rPr>
        <w:t>；</w:t>
      </w:r>
      <w:r>
        <w:rPr>
          <w:rFonts w:ascii="宋体" w:hAnsi="宋体" w:eastAsia="宋体" w:cs="宋体"/>
          <w:b/>
          <w:sz w:val="28"/>
          <w:szCs w:val="28"/>
        </w:rPr>
        <w:t>正确的CA及签章驱动</w:t>
      </w:r>
      <w:r>
        <w:rPr>
          <w:rFonts w:hint="eastAsia" w:ascii="宋体" w:hAnsi="宋体" w:eastAsia="宋体" w:cs="宋体"/>
          <w:b/>
          <w:sz w:val="28"/>
          <w:szCs w:val="28"/>
        </w:rPr>
        <w:t>等</w:t>
      </w:r>
      <w:r>
        <w:rPr>
          <w:rFonts w:ascii="宋体" w:hAnsi="宋体" w:eastAsia="宋体" w:cs="宋体"/>
          <w:b/>
          <w:sz w:val="28"/>
          <w:szCs w:val="28"/>
        </w:rPr>
        <w:t>；能流畅访问互联网</w:t>
      </w:r>
      <w:r>
        <w:rPr>
          <w:rFonts w:hint="eastAsia" w:ascii="宋体" w:hAnsi="宋体" w:eastAsia="宋体" w:cs="宋体"/>
          <w:b/>
          <w:sz w:val="28"/>
          <w:szCs w:val="28"/>
        </w:rPr>
        <w:t>。</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因市公资交易中心断电、断网、系统故障或其他不可抗力等因素导致不见面开标系统无法正常运行的，开标活动中止或延迟，待系统恢复正常后继续进行开标活动。</w:t>
      </w:r>
    </w:p>
    <w:p>
      <w:pPr>
        <w:pStyle w:val="80"/>
        <w:numPr>
          <w:ilvl w:val="0"/>
          <w:numId w:val="26"/>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682377"/>
      <w:bookmarkStart w:id="89" w:name="_Toc183582240"/>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hint="eastAsia" w:ascii="宋体" w:hAnsi="宋体"/>
          <w:sz w:val="28"/>
          <w:szCs w:val="28"/>
        </w:rPr>
      </w:pPr>
      <w:r>
        <w:rPr>
          <w:rFonts w:hint="eastAsia" w:ascii="宋体" w:hAnsi="宋体"/>
          <w:sz w:val="28"/>
          <w:szCs w:val="28"/>
        </w:rPr>
        <w:t>二、中标通知书对采购人和中标人均具有法律效力。</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84599901"/>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和转包（实质性要求）</w:t>
      </w:r>
    </w:p>
    <w:p>
      <w:pPr>
        <w:keepNext/>
        <w:keepLines/>
        <w:numPr>
          <w:ilvl w:val="3"/>
          <w:numId w:val="5"/>
        </w:numPr>
        <w:spacing w:line="360" w:lineRule="auto"/>
        <w:ind w:left="2723" w:leftChars="0" w:hanging="1275" w:firstLineChars="0"/>
        <w:outlineLvl w:val="2"/>
        <w:rPr>
          <w:rFonts w:ascii="宋体" w:hAnsi="宋体"/>
          <w:b/>
          <w:bCs/>
          <w:sz w:val="28"/>
          <w:szCs w:val="28"/>
        </w:rPr>
      </w:pPr>
      <w:r>
        <w:rPr>
          <w:rFonts w:hint="eastAsia" w:ascii="宋体" w:hAnsi="宋体"/>
          <w:b/>
          <w:bCs/>
          <w:sz w:val="28"/>
          <w:szCs w:val="28"/>
        </w:rPr>
        <w:t>合同分包</w:t>
      </w:r>
    </w:p>
    <w:p>
      <w:pPr>
        <w:pStyle w:val="120"/>
        <w:spacing w:line="360" w:lineRule="auto"/>
        <w:ind w:firstLine="560" w:firstLineChars="200"/>
        <w:rPr>
          <w:sz w:val="28"/>
          <w:szCs w:val="28"/>
          <w:lang w:val="zh-CN"/>
        </w:rPr>
      </w:pPr>
      <w:r>
        <w:rPr>
          <w:rFonts w:hint="eastAsia"/>
          <w:sz w:val="28"/>
          <w:szCs w:val="28"/>
          <w:lang w:val="zh-CN"/>
        </w:rPr>
        <w:t>本项目不允许分包</w:t>
      </w:r>
      <w:r>
        <w:rPr>
          <w:sz w:val="28"/>
          <w:szCs w:val="28"/>
          <w:lang w:val="zh-CN"/>
        </w:rPr>
        <w:t xml:space="preserve"> </w:t>
      </w:r>
    </w:p>
    <w:p>
      <w:pPr>
        <w:keepNext/>
        <w:keepLines/>
        <w:numPr>
          <w:ilvl w:val="3"/>
          <w:numId w:val="5"/>
        </w:numPr>
        <w:spacing w:line="360" w:lineRule="auto"/>
        <w:ind w:left="2723" w:leftChars="0" w:hanging="1275" w:firstLineChars="0"/>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r>
        <w:rPr>
          <w:rFonts w:hint="eastAsia" w:ascii="宋体" w:hAnsi="宋体"/>
          <w:b/>
          <w:bCs/>
          <w:sz w:val="28"/>
          <w:szCs w:val="28"/>
        </w:rPr>
        <w:t>（实质性要求）</w:t>
      </w:r>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考核</w:t>
      </w:r>
    </w:p>
    <w:bookmarkEnd w:id="88"/>
    <w:bookmarkEnd w:id="89"/>
    <w:p>
      <w:pPr>
        <w:pStyle w:val="25"/>
        <w:spacing w:line="360" w:lineRule="auto"/>
        <w:ind w:left="0" w:leftChars="0" w:firstLine="565" w:firstLineChars="202"/>
        <w:rPr>
          <w:rFonts w:ascii="宋体" w:hAnsi="宋体"/>
          <w:sz w:val="28"/>
          <w:szCs w:val="28"/>
        </w:rPr>
      </w:pPr>
      <w:bookmarkStart w:id="98" w:name="_Toc217446074"/>
      <w:bookmarkStart w:id="99" w:name="_Toc183582243"/>
      <w:bookmarkStart w:id="100" w:name="_Toc183682380"/>
      <w:r>
        <w:rPr>
          <w:rFonts w:hint="eastAsia" w:ascii="宋体" w:hAnsi="宋体"/>
          <w:sz w:val="28"/>
          <w:szCs w:val="28"/>
        </w:rPr>
        <w:t>采购人严格按照国家相关法律法规的要求组织验收或考核，采购</w:t>
      </w:r>
      <w:r>
        <w:rPr>
          <w:rFonts w:ascii="宋体" w:hAnsi="宋体"/>
          <w:sz w:val="28"/>
          <w:szCs w:val="28"/>
        </w:rPr>
        <w:t>预算金额大</w:t>
      </w:r>
      <w:r>
        <w:rPr>
          <w:rFonts w:hint="eastAsia" w:ascii="宋体" w:hAnsi="宋体"/>
          <w:sz w:val="28"/>
          <w:szCs w:val="28"/>
        </w:rPr>
        <w:t>的采购</w:t>
      </w:r>
      <w:r>
        <w:rPr>
          <w:rFonts w:ascii="宋体" w:hAnsi="宋体"/>
          <w:sz w:val="28"/>
          <w:szCs w:val="28"/>
        </w:rPr>
        <w:t>项目、政府</w:t>
      </w:r>
      <w:r>
        <w:rPr>
          <w:rFonts w:hint="eastAsia" w:ascii="宋体" w:hAnsi="宋体"/>
          <w:sz w:val="28"/>
          <w:szCs w:val="28"/>
        </w:rPr>
        <w:t>向</w:t>
      </w:r>
      <w:r>
        <w:rPr>
          <w:rFonts w:ascii="宋体" w:hAnsi="宋体"/>
          <w:sz w:val="28"/>
          <w:szCs w:val="28"/>
        </w:rPr>
        <w:t>社会公共提供的公共服务项目、采购人和实际使用人或者受益者分离、有质疑投诉举报的的采购项目，</w:t>
      </w:r>
      <w:r>
        <w:rPr>
          <w:rFonts w:hint="eastAsia" w:ascii="宋体" w:hAnsi="宋体"/>
          <w:sz w:val="28"/>
          <w:szCs w:val="28"/>
        </w:rPr>
        <w:t>可以</w:t>
      </w:r>
      <w:r>
        <w:rPr>
          <w:rFonts w:ascii="宋体" w:hAnsi="宋体"/>
          <w:sz w:val="28"/>
          <w:szCs w:val="28"/>
        </w:rPr>
        <w:t>邀请国家认可的</w:t>
      </w:r>
      <w:r>
        <w:rPr>
          <w:rFonts w:hint="eastAsia" w:ascii="宋体" w:hAnsi="宋体"/>
          <w:sz w:val="28"/>
          <w:szCs w:val="28"/>
        </w:rPr>
        <w:t>第三方</w:t>
      </w:r>
      <w:r>
        <w:rPr>
          <w:rFonts w:ascii="宋体" w:hAnsi="宋体"/>
          <w:sz w:val="28"/>
          <w:szCs w:val="28"/>
        </w:rPr>
        <w:t>检测机构或者集采机构参与</w:t>
      </w:r>
      <w:r>
        <w:rPr>
          <w:rFonts w:hint="eastAsia" w:ascii="宋体" w:hAnsi="宋体"/>
          <w:sz w:val="28"/>
          <w:szCs w:val="28"/>
        </w:rPr>
        <w:t>履约</w:t>
      </w:r>
      <w:r>
        <w:rPr>
          <w:rFonts w:ascii="宋体" w:hAnsi="宋体"/>
          <w:sz w:val="28"/>
          <w:szCs w:val="28"/>
        </w:rPr>
        <w:t>验收工作</w:t>
      </w:r>
      <w:r>
        <w:rPr>
          <w:rFonts w:hint="eastAsia" w:ascii="宋体" w:hAnsi="宋体"/>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84599902"/>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rPr>
        <w:t>市公资交易中心</w:t>
      </w:r>
      <w:r>
        <w:rPr>
          <w:rFonts w:hint="eastAsia" w:ascii="宋体" w:hAnsi="宋体"/>
          <w:sz w:val="28"/>
          <w:szCs w:val="28"/>
        </w:rPr>
        <w:t>、其他投标人恶意串通；</w:t>
      </w:r>
    </w:p>
    <w:p>
      <w:pPr>
        <w:numPr>
          <w:ilvl w:val="1"/>
          <w:numId w:val="27"/>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rPr>
        <w:t>市公资交易中心</w:t>
      </w:r>
      <w:r>
        <w:rPr>
          <w:rFonts w:hint="eastAsia" w:ascii="宋体" w:hAnsi="宋体"/>
          <w:sz w:val="28"/>
          <w:szCs w:val="28"/>
        </w:rPr>
        <w:t>、评标委员会成员行贿或者提供其他不正当利益；</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rPr>
        <w:t>市公资交易中心</w:t>
      </w:r>
      <w:r>
        <w:rPr>
          <w:rFonts w:hint="eastAsia" w:ascii="宋体" w:hAnsi="宋体"/>
          <w:sz w:val="28"/>
          <w:szCs w:val="28"/>
        </w:rPr>
        <w:t>进行协商谈判；</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7"/>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7"/>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left="567"/>
        <w:rPr>
          <w:rFonts w:ascii="宋体" w:hAnsi="宋体"/>
          <w:sz w:val="28"/>
          <w:szCs w:val="28"/>
        </w:rPr>
      </w:pPr>
      <w:r>
        <w:rPr>
          <w:rFonts w:hint="eastAsia" w:ascii="宋体" w:hAnsi="宋体"/>
          <w:sz w:val="28"/>
          <w:szCs w:val="28"/>
        </w:rPr>
        <w:t>十二、拒绝有关部门的监督检查或者向监督检查部门提供虚假情况；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十三、法律法规规定的其他禁止情形。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投标人有上述情形的，按照规定追究法律责任，具备一至十一条情形之一的，其</w:t>
      </w:r>
      <w:r>
        <w:rPr>
          <w:rFonts w:ascii="宋体" w:hAnsi="宋体"/>
          <w:b/>
          <w:sz w:val="28"/>
          <w:szCs w:val="28"/>
        </w:rPr>
        <w:t>投标文件无效，</w:t>
      </w:r>
      <w:r>
        <w:rPr>
          <w:rFonts w:hint="eastAsia" w:ascii="宋体" w:hAnsi="宋体"/>
          <w:b/>
          <w:sz w:val="28"/>
          <w:szCs w:val="28"/>
        </w:rPr>
        <w:t>或</w:t>
      </w:r>
      <w:r>
        <w:rPr>
          <w:rFonts w:ascii="宋体" w:hAnsi="宋体"/>
          <w:b/>
          <w:sz w:val="28"/>
          <w:szCs w:val="28"/>
        </w:rPr>
        <w:t>取消被</w:t>
      </w:r>
      <w:r>
        <w:rPr>
          <w:rFonts w:hint="eastAsia" w:ascii="宋体" w:hAnsi="宋体"/>
          <w:b/>
          <w:sz w:val="28"/>
          <w:szCs w:val="28"/>
        </w:rPr>
        <w:t>确认为中标</w:t>
      </w:r>
      <w:r>
        <w:rPr>
          <w:rFonts w:ascii="宋体" w:hAnsi="宋体"/>
          <w:b/>
          <w:sz w:val="28"/>
          <w:szCs w:val="28"/>
        </w:rPr>
        <w:t>供应商的资格或认定</w:t>
      </w:r>
      <w:r>
        <w:rPr>
          <w:rFonts w:hint="eastAsia" w:ascii="宋体" w:hAnsi="宋体"/>
          <w:b/>
          <w:sz w:val="28"/>
          <w:szCs w:val="28"/>
        </w:rPr>
        <w:t>中标</w:t>
      </w:r>
      <w:r>
        <w:rPr>
          <w:rFonts w:ascii="宋体" w:hAnsi="宋体"/>
          <w:b/>
          <w:sz w:val="28"/>
          <w:szCs w:val="28"/>
        </w:rPr>
        <w:t>无效</w:t>
      </w:r>
      <w:r>
        <w:rPr>
          <w:rFonts w:hint="eastAsia" w:ascii="宋体" w:hAnsi="宋体"/>
          <w:b/>
          <w:sz w:val="28"/>
          <w:szCs w:val="28"/>
        </w:rPr>
        <w:t>。</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在政府采购活动中，采购人员</w:t>
      </w:r>
      <w:r>
        <w:rPr>
          <w:rFonts w:hint="eastAsia" w:cs="Helvetica"/>
          <w:sz w:val="28"/>
          <w:szCs w:val="28"/>
        </w:rPr>
        <w:t>（如</w:t>
      </w:r>
      <w:r>
        <w:rPr>
          <w:rFonts w:hint="eastAsia"/>
          <w:sz w:val="28"/>
          <w:szCs w:val="28"/>
        </w:rPr>
        <w:t>采购人内部负责采购项目的具体经办工作人员或直接分管采购项目的负责人、</w:t>
      </w:r>
      <w:r>
        <w:rPr>
          <w:rFonts w:hint="eastAsia" w:cs="Arial"/>
          <w:sz w:val="28"/>
          <w:szCs w:val="28"/>
        </w:rPr>
        <w:t>市公资交易中心</w:t>
      </w:r>
      <w:r>
        <w:rPr>
          <w:rFonts w:hint="eastAsia"/>
          <w:sz w:val="28"/>
          <w:szCs w:val="28"/>
        </w:rPr>
        <w:t>负责采购项目的具体经办工作人员或直接分管采购活动的负责人等</w:t>
      </w:r>
      <w:r>
        <w:rPr>
          <w:rFonts w:hint="eastAsia" w:cs="Helvetica"/>
          <w:sz w:val="28"/>
          <w:szCs w:val="28"/>
        </w:rPr>
        <w:t>）</w:t>
      </w:r>
      <w:r>
        <w:rPr>
          <w:rFonts w:hint="eastAsia" w:ascii="宋体" w:hAnsi="宋体" w:cs="Helvetica"/>
          <w:sz w:val="28"/>
          <w:szCs w:val="28"/>
        </w:rPr>
        <w:t>及相关人员（包括</w:t>
      </w:r>
      <w:r>
        <w:rPr>
          <w:rFonts w:ascii="宋体" w:hAnsi="宋体" w:cs="Helvetica"/>
          <w:sz w:val="28"/>
          <w:szCs w:val="28"/>
        </w:rPr>
        <w:t>评标委员会的组成人员</w:t>
      </w:r>
      <w:r>
        <w:rPr>
          <w:rFonts w:hint="eastAsia" w:ascii="宋体" w:hAnsi="宋体" w:cs="Helvetica"/>
          <w:sz w:val="28"/>
          <w:szCs w:val="28"/>
        </w:rPr>
        <w:t>）与</w:t>
      </w:r>
      <w:r>
        <w:rPr>
          <w:rFonts w:hint="eastAsia" w:ascii="宋体" w:hAnsi="宋体"/>
          <w:sz w:val="28"/>
          <w:szCs w:val="28"/>
        </w:rPr>
        <w:t>供应商</w:t>
      </w:r>
      <w:r>
        <w:rPr>
          <w:rFonts w:hint="eastAsia" w:ascii="宋体" w:hAnsi="宋体" w:cs="Helvetica"/>
          <w:sz w:val="28"/>
          <w:szCs w:val="28"/>
        </w:rPr>
        <w:t>有下列利害关系之一的，应当回避：</w:t>
      </w:r>
    </w:p>
    <w:p>
      <w:pPr>
        <w:shd w:val="clear" w:color="auto" w:fill="FFFFFF"/>
        <w:spacing w:line="360" w:lineRule="auto"/>
        <w:ind w:left="708" w:hanging="708" w:hangingChars="253"/>
        <w:rPr>
          <w:rFonts w:ascii="宋体" w:hAnsi="宋体" w:cs="Helvetica"/>
          <w:sz w:val="28"/>
          <w:szCs w:val="28"/>
        </w:rPr>
      </w:pPr>
      <w:r>
        <w:rPr>
          <w:rFonts w:hint="eastAsia" w:ascii="宋体" w:hAnsi="宋体" w:cs="Helvetica"/>
          <w:sz w:val="28"/>
          <w:szCs w:val="28"/>
        </w:rPr>
        <w:t>　　（一）参加采购活动前3年内与</w:t>
      </w:r>
      <w:r>
        <w:rPr>
          <w:rFonts w:hint="eastAsia" w:ascii="宋体" w:hAnsi="宋体"/>
          <w:sz w:val="28"/>
          <w:szCs w:val="28"/>
        </w:rPr>
        <w:t>供应商</w:t>
      </w:r>
      <w:r>
        <w:rPr>
          <w:rFonts w:hint="eastAsia" w:ascii="宋体" w:hAnsi="宋体" w:cs="Helvetica"/>
          <w:sz w:val="28"/>
          <w:szCs w:val="28"/>
        </w:rPr>
        <w:t>存在劳动关系；</w:t>
      </w:r>
    </w:p>
    <w:p>
      <w:pPr>
        <w:shd w:val="clear" w:color="auto" w:fill="FFFFFF"/>
        <w:spacing w:line="360" w:lineRule="auto"/>
        <w:rPr>
          <w:rFonts w:ascii="宋体" w:hAnsi="宋体" w:cs="Helvetica"/>
          <w:sz w:val="28"/>
          <w:szCs w:val="28"/>
        </w:rPr>
      </w:pPr>
      <w:r>
        <w:rPr>
          <w:rFonts w:hint="eastAsia" w:ascii="宋体" w:hAnsi="宋体" w:cs="Helvetica"/>
          <w:sz w:val="28"/>
          <w:szCs w:val="28"/>
        </w:rPr>
        <w:t>　　（二）参加采购活动前3年内担任</w:t>
      </w:r>
      <w:r>
        <w:rPr>
          <w:rFonts w:hint="eastAsia" w:ascii="宋体" w:hAnsi="宋体"/>
          <w:sz w:val="28"/>
          <w:szCs w:val="28"/>
        </w:rPr>
        <w:t>供应商</w:t>
      </w:r>
      <w:r>
        <w:rPr>
          <w:rFonts w:hint="eastAsia" w:ascii="宋体" w:hAnsi="宋体" w:cs="Helvetica"/>
          <w:sz w:val="28"/>
          <w:szCs w:val="28"/>
        </w:rPr>
        <w:t>的董事、监事；</w:t>
      </w:r>
    </w:p>
    <w:p>
      <w:pPr>
        <w:shd w:val="clear" w:color="auto" w:fill="FFFFFF"/>
        <w:spacing w:line="360" w:lineRule="auto"/>
        <w:ind w:firstLine="560" w:firstLineChars="200"/>
        <w:rPr>
          <w:rFonts w:ascii="宋体" w:hAnsi="宋体" w:cs="Helvetica"/>
          <w:sz w:val="28"/>
          <w:szCs w:val="28"/>
        </w:rPr>
      </w:pPr>
      <w:r>
        <w:rPr>
          <w:rFonts w:hint="eastAsia" w:ascii="宋体" w:hAnsi="宋体" w:cs="Helvetica"/>
          <w:sz w:val="28"/>
          <w:szCs w:val="28"/>
        </w:rPr>
        <w:t>（三）参加采购活动前3年内是</w:t>
      </w:r>
      <w:r>
        <w:rPr>
          <w:rFonts w:hint="eastAsia" w:ascii="宋体" w:hAnsi="宋体"/>
          <w:sz w:val="28"/>
          <w:szCs w:val="28"/>
        </w:rPr>
        <w:t>供应商</w:t>
      </w:r>
      <w:r>
        <w:rPr>
          <w:rFonts w:hint="eastAsia" w:ascii="宋体" w:hAnsi="宋体" w:cs="Helvetica"/>
          <w:sz w:val="28"/>
          <w:szCs w:val="28"/>
        </w:rPr>
        <w:t>的控股股东或者实际控制人；</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（四）与</w:t>
      </w:r>
      <w:r>
        <w:rPr>
          <w:rFonts w:hint="eastAsia" w:ascii="宋体" w:hAnsi="宋体"/>
          <w:sz w:val="28"/>
          <w:szCs w:val="28"/>
        </w:rPr>
        <w:t>供应商</w:t>
      </w:r>
      <w:r>
        <w:rPr>
          <w:rFonts w:hint="eastAsia" w:ascii="宋体" w:hAnsi="宋体" w:cs="Helvetica"/>
          <w:sz w:val="28"/>
          <w:szCs w:val="28"/>
        </w:rPr>
        <w:t>的法定代表人或者负责人有夫妻、直系血亲、三代以内旁系血亲或者近姻亲关系；</w:t>
      </w:r>
    </w:p>
    <w:p>
      <w:pPr>
        <w:shd w:val="clear" w:color="auto" w:fill="FFFFFF"/>
        <w:spacing w:line="360" w:lineRule="auto"/>
        <w:ind w:firstLine="570"/>
        <w:rPr>
          <w:rFonts w:ascii="宋体" w:hAnsi="宋体" w:cs="Helvetica"/>
          <w:sz w:val="28"/>
          <w:szCs w:val="28"/>
        </w:rPr>
      </w:pPr>
      <w:r>
        <w:rPr>
          <w:rFonts w:hint="eastAsia" w:ascii="宋体" w:hAnsi="宋体" w:cs="Helvetica"/>
          <w:sz w:val="28"/>
          <w:szCs w:val="28"/>
        </w:rPr>
        <w:t>（五）与</w:t>
      </w:r>
      <w:r>
        <w:rPr>
          <w:rFonts w:hint="eastAsia" w:ascii="宋体" w:hAnsi="宋体"/>
          <w:sz w:val="28"/>
          <w:szCs w:val="28"/>
        </w:rPr>
        <w:t>供应商</w:t>
      </w:r>
      <w:r>
        <w:rPr>
          <w:rFonts w:hint="eastAsia" w:ascii="宋体" w:hAnsi="宋体" w:cs="Helvetica"/>
          <w:sz w:val="28"/>
          <w:szCs w:val="28"/>
        </w:rPr>
        <w:t>有其他可能影响政府采购活动公平、公正进行的关系。</w:t>
      </w:r>
    </w:p>
    <w:p>
      <w:pPr>
        <w:shd w:val="clear" w:color="auto" w:fill="FFFFFF"/>
        <w:spacing w:line="360" w:lineRule="auto"/>
        <w:ind w:firstLine="570"/>
        <w:rPr>
          <w:rFonts w:ascii="宋体" w:hAnsi="宋体" w:cs="Helvetica"/>
          <w:sz w:val="28"/>
          <w:szCs w:val="28"/>
        </w:rPr>
      </w:pPr>
      <w:r>
        <w:rPr>
          <w:rFonts w:hint="eastAsia" w:ascii="宋体" w:hAnsi="宋体"/>
          <w:sz w:val="28"/>
          <w:szCs w:val="28"/>
        </w:rPr>
        <w:t>供应商</w:t>
      </w:r>
      <w:r>
        <w:rPr>
          <w:rFonts w:hint="eastAsia" w:ascii="宋体" w:hAnsi="宋体" w:cs="Helvetica"/>
          <w:sz w:val="28"/>
          <w:szCs w:val="28"/>
        </w:rPr>
        <w:t>认为采购人员及相关人员与其他</w:t>
      </w:r>
      <w:r>
        <w:rPr>
          <w:rFonts w:hint="eastAsia" w:ascii="宋体" w:hAnsi="宋体"/>
          <w:sz w:val="28"/>
          <w:szCs w:val="28"/>
        </w:rPr>
        <w:t>供应商</w:t>
      </w:r>
      <w:r>
        <w:rPr>
          <w:rFonts w:hint="eastAsia" w:ascii="宋体" w:hAnsi="宋体" w:cs="Helvetica"/>
          <w:sz w:val="28"/>
          <w:szCs w:val="28"/>
        </w:rPr>
        <w:t>有利害关系的，可以向采购人或者</w:t>
      </w:r>
      <w:r>
        <w:rPr>
          <w:rFonts w:hint="eastAsia" w:ascii="宋体" w:hAnsi="宋体" w:cs="Arial"/>
          <w:sz w:val="28"/>
          <w:szCs w:val="28"/>
        </w:rPr>
        <w:t>采购代理机构</w:t>
      </w:r>
      <w:r>
        <w:rPr>
          <w:rFonts w:hint="eastAsia" w:ascii="宋体" w:hAnsi="宋体" w:cs="Helvetica"/>
          <w:sz w:val="28"/>
          <w:szCs w:val="28"/>
        </w:rPr>
        <w:t>书面提出回避申请，并说明理由。采购人或者</w:t>
      </w:r>
      <w:r>
        <w:rPr>
          <w:rFonts w:hint="eastAsia" w:ascii="宋体" w:hAnsi="宋体" w:cs="Arial"/>
          <w:sz w:val="28"/>
          <w:szCs w:val="28"/>
        </w:rPr>
        <w:t>采购代理机构</w:t>
      </w:r>
      <w:r>
        <w:rPr>
          <w:rFonts w:hint="eastAsia" w:ascii="宋体" w:hAnsi="宋体" w:cs="Helvetica"/>
          <w:sz w:val="28"/>
          <w:szCs w:val="28"/>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3" w:name="_Toc217446078"/>
      <w:bookmarkStart w:id="104" w:name="_Toc84599903"/>
      <w:r>
        <w:rPr>
          <w:rFonts w:hint="eastAsia" w:ascii="宋体" w:hAnsi="宋体"/>
          <w:b/>
          <w:bCs/>
          <w:sz w:val="28"/>
          <w:szCs w:val="28"/>
        </w:rPr>
        <w:t>询问、质疑和投诉</w:t>
      </w:r>
      <w:bookmarkEnd w:id="103"/>
      <w:bookmarkEnd w:id="104"/>
      <w:bookmarkStart w:id="105" w:name="_Toc217446079"/>
    </w:p>
    <w:bookmarkEnd w:id="99"/>
    <w:bookmarkEnd w:id="100"/>
    <w:bookmarkEnd w:id="105"/>
    <w:p>
      <w:pPr>
        <w:numPr>
          <w:ilvl w:val="0"/>
          <w:numId w:val="28"/>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28"/>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29"/>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供应商对除上述招标文件中的其他内容，采购过程及中标结果（除资格审查）提出询问或质疑的，向市公资交易中心提出</w:t>
      </w:r>
      <w:r>
        <w:rPr>
          <w:rFonts w:hint="eastAsia" w:ascii="宋体" w:hAnsi="宋体"/>
          <w:sz w:val="28"/>
          <w:szCs w:val="28"/>
        </w:rPr>
        <w:t>。</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供应商可通过“政府采购云平台”，或现场等方式向采购人或市公资交易中心提交质疑资料。</w:t>
      </w:r>
    </w:p>
    <w:p>
      <w:pPr>
        <w:numPr>
          <w:ilvl w:val="0"/>
          <w:numId w:val="28"/>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（二）法定代表人或主要负责人授权委托书1份（委托代理人办理质疑事宜的需提供）；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（三）法定代表人或主要负责人身份证复印件1份；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（四）委托代理人身份证复印件1份（委托代理人办理质疑事宜的需提供）；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rPr>
      </w:pPr>
      <w:r>
        <w:rPr>
          <w:rFonts w:hint="eastAsia" w:cs="Helvetica"/>
          <w:color w:val="auto"/>
          <w:sz w:val="28"/>
          <w:szCs w:val="28"/>
        </w:rPr>
        <w:t>（五）针对质疑事项必要的证明材料。</w:t>
      </w:r>
    </w:p>
    <w:p>
      <w:pPr>
        <w:numPr>
          <w:ilvl w:val="0"/>
          <w:numId w:val="28"/>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rPr>
        <w:t>市公资交易中心的质疑答复不满意，或者采购人</w:t>
      </w:r>
      <w:r>
        <w:rPr>
          <w:rFonts w:ascii="宋体" w:hAnsi="宋体"/>
          <w:sz w:val="28"/>
          <w:szCs w:val="28"/>
        </w:rPr>
        <w:t>或</w:t>
      </w:r>
      <w:r>
        <w:rPr>
          <w:rFonts w:hint="eastAsia" w:ascii="宋体" w:hAnsi="宋体"/>
          <w:sz w:val="28"/>
          <w:szCs w:val="28"/>
        </w:rPr>
        <w:t>市公资交易中心未在规定期限内作出答复的，供应商可以在答复期满后15个工作日内向同级财政部门提起投诉。</w:t>
      </w:r>
    </w:p>
    <w:p>
      <w:pPr>
        <w:tabs>
          <w:tab w:val="left" w:pos="1276"/>
        </w:tabs>
        <w:spacing w:line="360" w:lineRule="auto"/>
        <w:rPr>
          <w:rFonts w:ascii="宋体" w:hAnsi="宋体"/>
          <w:sz w:val="28"/>
          <w:szCs w:val="28"/>
        </w:rPr>
      </w:pPr>
    </w:p>
    <w:p>
      <w:pPr>
        <w:tabs>
          <w:tab w:val="left" w:pos="1276"/>
        </w:tabs>
        <w:spacing w:line="360" w:lineRule="auto"/>
        <w:rPr>
          <w:rFonts w:ascii="宋体" w:hAnsi="宋体"/>
          <w:sz w:val="28"/>
          <w:szCs w:val="28"/>
        </w:rPr>
      </w:pPr>
    </w:p>
    <w:p>
      <w:pPr>
        <w:pStyle w:val="17"/>
      </w:pPr>
    </w:p>
    <w:p>
      <w:pPr>
        <w:pStyle w:val="17"/>
      </w:pPr>
    </w:p>
    <w:p>
      <w:pPr>
        <w:pStyle w:val="17"/>
      </w:pPr>
    </w:p>
    <w:p>
      <w:pPr>
        <w:pStyle w:val="17"/>
      </w:pPr>
    </w:p>
    <w:p>
      <w:pPr>
        <w:pStyle w:val="17"/>
      </w:pPr>
    </w:p>
    <w:p>
      <w:pPr>
        <w:pStyle w:val="4"/>
        <w:numPr>
          <w:ilvl w:val="1"/>
          <w:numId w:val="5"/>
        </w:numPr>
        <w:tabs>
          <w:tab w:val="left" w:pos="426"/>
          <w:tab w:val="left" w:pos="567"/>
        </w:tabs>
        <w:spacing w:before="0" w:after="200"/>
        <w:ind w:left="1985" w:hanging="1985"/>
        <w:jc w:val="both"/>
      </w:pPr>
      <w:bookmarkStart w:id="106" w:name="_Toc58943334"/>
      <w:bookmarkStart w:id="107" w:name="_Toc87450112"/>
      <w:r>
        <w:rPr>
          <w:rFonts w:hint="eastAsia"/>
        </w:rPr>
        <w:t>其他</w:t>
      </w:r>
      <w:bookmarkEnd w:id="106"/>
      <w:bookmarkEnd w:id="107"/>
      <w:r>
        <w:rPr>
          <w:rFonts w:hint="eastAsia"/>
        </w:rPr>
        <w:t>要求（实质性要求）</w:t>
      </w:r>
    </w:p>
    <w:p>
      <w:pPr>
        <w:ind w:firstLine="562" w:firstLineChars="200"/>
        <w:rPr>
          <w:rFonts w:ascii="宋体" w:hAnsi="宋体"/>
          <w:sz w:val="28"/>
        </w:rPr>
      </w:pPr>
      <w:r>
        <w:rPr>
          <w:rFonts w:hint="eastAsia" w:ascii="宋体" w:hAnsi="宋体"/>
          <w:b/>
          <w:sz w:val="28"/>
          <w:szCs w:val="28"/>
        </w:rPr>
        <w:t>一、</w:t>
      </w:r>
      <w:r>
        <w:rPr>
          <w:rFonts w:hint="eastAsia" w:ascii="宋体" w:hAnsi="宋体"/>
          <w:sz w:val="28"/>
        </w:rPr>
        <w:t>供应商为本项目提供的所有服务符合现行的国家相关强制性标准、行业标准。</w:t>
      </w:r>
    </w:p>
    <w:p>
      <w:pPr>
        <w:ind w:firstLine="560" w:firstLineChars="200"/>
        <w:rPr>
          <w:rFonts w:ascii="宋体" w:hAnsi="宋体"/>
          <w:sz w:val="28"/>
        </w:rPr>
      </w:pPr>
      <w:r>
        <w:rPr>
          <w:rFonts w:hint="eastAsia" w:ascii="宋体" w:hAnsi="宋体"/>
          <w:sz w:val="28"/>
        </w:rPr>
        <w:t>二、本项目涉及产品采购且属于政府强制采购节能产品清单中的产品，投标人提供的该产品须具有国家确定的认证机构出具的节能产品认证证书。</w:t>
      </w: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widowControl/>
        <w:jc w:val="left"/>
        <w:rPr>
          <w:rFonts w:ascii="宋体" w:hAnsi="宋体"/>
          <w:b/>
          <w:bCs/>
          <w:spacing w:val="-20"/>
          <w:kern w:val="44"/>
          <w:sz w:val="32"/>
          <w:szCs w:val="32"/>
        </w:rPr>
      </w:pPr>
      <w:bookmarkStart w:id="108" w:name="_Toc315871049"/>
      <w:bookmarkEnd w:id="108"/>
      <w:bookmarkStart w:id="109" w:name="_Toc315871047"/>
      <w:bookmarkEnd w:id="109"/>
      <w:bookmarkStart w:id="110" w:name="_Toc316292050"/>
      <w:bookmarkEnd w:id="110"/>
      <w:bookmarkStart w:id="111" w:name="_Toc315871045"/>
      <w:bookmarkEnd w:id="111"/>
      <w:bookmarkStart w:id="112" w:name="_Toc316292051"/>
      <w:bookmarkEnd w:id="112"/>
      <w:bookmarkStart w:id="113" w:name="_Toc315871046"/>
      <w:bookmarkEnd w:id="113"/>
      <w:bookmarkStart w:id="114" w:name="_Toc316292048"/>
      <w:bookmarkEnd w:id="114"/>
      <w:bookmarkStart w:id="115" w:name="_Toc316292049"/>
      <w:bookmarkEnd w:id="115"/>
      <w:bookmarkStart w:id="116" w:name="_Toc315871050"/>
      <w:bookmarkEnd w:id="116"/>
      <w:bookmarkStart w:id="117" w:name="_Toc315871048"/>
      <w:bookmarkEnd w:id="117"/>
      <w:bookmarkStart w:id="118" w:name="_Toc316292052"/>
      <w:bookmarkEnd w:id="118"/>
      <w:bookmarkStart w:id="119" w:name="_Toc84599905"/>
      <w:r>
        <w:rPr>
          <w:rFonts w:ascii="宋体" w:hAnsi="宋体"/>
          <w:b/>
          <w:bCs/>
          <w:spacing w:val="-20"/>
          <w:kern w:val="44"/>
          <w:sz w:val="32"/>
          <w:szCs w:val="32"/>
        </w:rPr>
        <w:br w:type="page"/>
      </w:r>
    </w:p>
    <w:p>
      <w:pPr>
        <w:keepNext/>
        <w:keepLines/>
        <w:numPr>
          <w:ilvl w:val="0"/>
          <w:numId w:val="5"/>
        </w:numPr>
        <w:spacing w:before="340" w:after="330" w:line="400" w:lineRule="exact"/>
        <w:ind w:left="3365" w:leftChars="0" w:firstLineChars="0"/>
        <w:jc w:val="center"/>
        <w:outlineLvl w:val="0"/>
        <w:rPr>
          <w:rFonts w:ascii="宋体" w:hAnsi="宋体"/>
          <w:b/>
          <w:bCs/>
          <w:spacing w:val="-20"/>
          <w:kern w:val="44"/>
          <w:sz w:val="32"/>
          <w:szCs w:val="32"/>
        </w:rPr>
      </w:pPr>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84599906"/>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jc w:val="center"/>
        <w:rPr>
          <w:sz w:val="96"/>
          <w:szCs w:val="96"/>
        </w:rPr>
      </w:pPr>
      <w:r>
        <w:rPr>
          <w:rFonts w:hint="eastAsia"/>
          <w:sz w:val="96"/>
          <w:szCs w:val="96"/>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rPr>
          <w:rFonts w:hint="eastAsia" w:ascii="宋体" w:hAnsi="宋体"/>
          <w:b/>
          <w:sz w:val="32"/>
          <w:szCs w:val="32"/>
        </w:rPr>
      </w:pPr>
      <w:r>
        <w:rPr>
          <w:rFonts w:hint="eastAsia" w:ascii="宋体" w:hAnsi="宋体"/>
          <w:b/>
          <w:sz w:val="32"/>
          <w:szCs w:val="32"/>
        </w:rPr>
        <w:t>项目名称：</w:t>
      </w:r>
      <w:r>
        <w:rPr>
          <w:rFonts w:hint="eastAsia" w:ascii="宋体" w:hAnsi="宋体"/>
          <w:b/>
          <w:sz w:val="32"/>
          <w:szCs w:val="32"/>
        </w:rPr>
        <w:fldChar w:fldCharType="begin"/>
      </w:r>
      <w:r>
        <w:rPr>
          <w:rFonts w:hint="eastAsia" w:ascii="宋体" w:hAnsi="宋体"/>
          <w:b/>
          <w:sz w:val="32"/>
          <w:szCs w:val="32"/>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32"/>
          <w:szCs w:val="32"/>
        </w:rPr>
        <w:fldChar w:fldCharType="separate"/>
      </w:r>
      <w:r>
        <w:rPr>
          <w:rFonts w:hint="eastAsia" w:ascii="宋体" w:hAnsi="宋体"/>
          <w:b/>
          <w:sz w:val="32"/>
          <w:szCs w:val="32"/>
        </w:rPr>
        <w:t>彭州市人民医院物业管理服务采购项目</w:t>
      </w:r>
      <w:r>
        <w:rPr>
          <w:rFonts w:hint="eastAsia" w:ascii="宋体" w:hAnsi="宋体"/>
          <w:b/>
          <w:sz w:val="32"/>
          <w:szCs w:val="32"/>
        </w:rPr>
        <w:fldChar w:fldCharType="end"/>
      </w:r>
    </w:p>
    <w:p>
      <w:pPr>
        <w:rPr>
          <w:rFonts w:hint="eastAsia" w:ascii="宋体" w:hAnsi="宋体"/>
          <w:b/>
          <w:sz w:val="32"/>
          <w:szCs w:val="32"/>
        </w:rPr>
      </w:pPr>
      <w:r>
        <w:rPr>
          <w:rFonts w:hint="eastAsia" w:ascii="宋体" w:hAnsi="宋体"/>
          <w:b/>
          <w:sz w:val="32"/>
          <w:szCs w:val="32"/>
        </w:rPr>
        <w:t>项目编号：彭州市政采（2021）A0048号</w:t>
      </w:r>
    </w:p>
    <w:p>
      <w:pPr>
        <w:rPr>
          <w:rFonts w:ascii="宋体" w:hAnsi="宋体"/>
          <w:b/>
          <w:sz w:val="32"/>
          <w:szCs w:val="32"/>
        </w:rPr>
      </w:pPr>
    </w:p>
    <w:p>
      <w:pPr>
        <w:rPr>
          <w:rFonts w:ascii="宋体" w:hAnsi="宋体"/>
          <w:b/>
          <w:sz w:val="32"/>
          <w:szCs w:val="32"/>
        </w:rPr>
      </w:pPr>
    </w:p>
    <w:p>
      <w:pPr>
        <w:pStyle w:val="17"/>
      </w:pPr>
    </w:p>
    <w:p>
      <w:pPr>
        <w:pStyle w:val="17"/>
      </w:pPr>
    </w:p>
    <w:p>
      <w:pPr>
        <w:pStyle w:val="17"/>
      </w:pPr>
    </w:p>
    <w:p>
      <w:pPr>
        <w:pStyle w:val="17"/>
      </w:pPr>
    </w:p>
    <w:p>
      <w:pPr>
        <w:pStyle w:val="17"/>
      </w:pPr>
    </w:p>
    <w:p>
      <w:pPr>
        <w:pStyle w:val="17"/>
      </w:pPr>
    </w:p>
    <w:p>
      <w:pPr>
        <w:pStyle w:val="17"/>
      </w:pPr>
    </w:p>
    <w:p>
      <w:pPr>
        <w:pStyle w:val="17"/>
      </w:pPr>
    </w:p>
    <w:p>
      <w:pPr>
        <w:rPr>
          <w:rFonts w:ascii="宋体" w:hAnsi="宋体"/>
          <w:b/>
          <w:sz w:val="32"/>
          <w:szCs w:val="32"/>
        </w:rPr>
      </w:pPr>
      <w:r>
        <w:rPr>
          <w:rFonts w:hint="eastAsia" w:ascii="宋体" w:hAnsi="宋体"/>
          <w:b/>
          <w:sz w:val="32"/>
          <w:szCs w:val="32"/>
        </w:rPr>
        <w:t>投标人名称：XXXX</w:t>
      </w:r>
    </w:p>
    <w:p>
      <w:pPr>
        <w:rPr>
          <w:rFonts w:ascii="宋体" w:hAnsi="宋体"/>
          <w:b/>
          <w:sz w:val="32"/>
          <w:szCs w:val="32"/>
        </w:rPr>
      </w:pPr>
      <w:r>
        <w:rPr>
          <w:rFonts w:hint="eastAsia" w:ascii="宋体" w:hAnsi="宋体"/>
          <w:b/>
          <w:sz w:val="32"/>
          <w:szCs w:val="32"/>
        </w:rPr>
        <w:t>日       期：202X年XX月XX日</w:t>
      </w:r>
    </w:p>
    <w:p>
      <w:pPr>
        <w:rPr>
          <w:rFonts w:ascii="宋体" w:hAnsi="宋体"/>
          <w:b/>
          <w:sz w:val="32"/>
          <w:szCs w:val="32"/>
        </w:rPr>
      </w:pPr>
    </w:p>
    <w:p>
      <w:pPr>
        <w:spacing w:line="360" w:lineRule="auto"/>
        <w:ind w:firstLine="569" w:firstLineChars="177"/>
        <w:rPr>
          <w:rFonts w:ascii="宋体" w:hAnsi="宋体"/>
          <w:b/>
          <w:bCs/>
          <w:sz w:val="32"/>
          <w:szCs w:val="32"/>
        </w:rPr>
      </w:pPr>
    </w:p>
    <w:p>
      <w:pPr>
        <w:pStyle w:val="17"/>
        <w:rPr>
          <w:rFonts w:ascii="宋体" w:hAnsi="宋体"/>
          <w:b/>
          <w:bCs/>
          <w:sz w:val="32"/>
          <w:szCs w:val="32"/>
        </w:rPr>
      </w:pPr>
    </w:p>
    <w:p/>
    <w:p>
      <w:pPr>
        <w:keepNext/>
        <w:keepLines/>
        <w:numPr>
          <w:ilvl w:val="1"/>
          <w:numId w:val="5"/>
        </w:numPr>
        <w:spacing w:before="260" w:after="260" w:line="360" w:lineRule="auto"/>
        <w:jc w:val="left"/>
        <w:outlineLvl w:val="1"/>
        <w:rPr>
          <w:rFonts w:ascii="宋体" w:hAnsi="宋体"/>
          <w:b/>
          <w:bCs/>
          <w:sz w:val="28"/>
          <w:szCs w:val="28"/>
        </w:rPr>
      </w:pPr>
      <w:bookmarkStart w:id="121" w:name="_Toc84599907"/>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关于投标人申明的函</w:t>
      </w:r>
    </w:p>
    <w:p>
      <w:pPr>
        <w:spacing w:line="360" w:lineRule="auto"/>
        <w:rPr>
          <w:rFonts w:ascii="宋体" w:hAnsi="宋体"/>
          <w:sz w:val="28"/>
          <w:szCs w:val="28"/>
        </w:rPr>
      </w:pPr>
      <w:bookmarkStart w:id="122" w:name="_Toc238581782"/>
      <w:bookmarkStart w:id="123" w:name="_Toc119295087"/>
      <w:bookmarkStart w:id="124" w:name="_Toc119203988"/>
      <w:bookmarkStart w:id="125" w:name="_Toc52184753"/>
      <w:bookmarkStart w:id="126" w:name="_Toc119296788"/>
      <w:bookmarkStart w:id="127" w:name="_Toc146903609"/>
      <w:r>
        <w:rPr>
          <w:rFonts w:hint="eastAsia" w:ascii="宋体" w:hAnsi="宋体"/>
          <w:sz w:val="28"/>
          <w:szCs w:val="28"/>
        </w:rPr>
        <w:t>致：</w:t>
      </w:r>
      <w:r>
        <w:rPr>
          <w:rFonts w:hint="eastAsia" w:ascii="宋体" w:hAnsi="宋体"/>
          <w:sz w:val="28"/>
          <w:szCs w:val="28"/>
          <w:lang w:val="en-US" w:eastAsia="zh-CN"/>
        </w:rPr>
        <w:t>彭州</w:t>
      </w:r>
      <w:r>
        <w:rPr>
          <w:rFonts w:hint="eastAsia" w:ascii="宋体" w:hAnsi="宋体"/>
          <w:sz w:val="28"/>
          <w:szCs w:val="28"/>
        </w:rPr>
        <w:t>市公共资源交易服务中心</w:t>
      </w:r>
      <w:bookmarkEnd w:id="122"/>
    </w:p>
    <w:p>
      <w:pPr>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b/>
          <w:sz w:val="28"/>
          <w:szCs w:val="28"/>
          <w:u w:val="none"/>
        </w:rPr>
        <w:t>（</w:t>
      </w:r>
      <w:r>
        <w:rPr>
          <w:rFonts w:hint="eastAsia" w:ascii="宋体" w:hAnsi="宋体"/>
          <w:b/>
          <w:sz w:val="28"/>
          <w:szCs w:val="28"/>
          <w:u w:val="single"/>
        </w:rPr>
        <w:t>项目编号：彭州市政采（2021）A0048号</w:t>
      </w:r>
      <w:r>
        <w:rPr>
          <w:rFonts w:hint="eastAsia" w:ascii="宋体" w:hAnsi="宋体"/>
          <w:b/>
          <w:sz w:val="28"/>
          <w:szCs w:val="28"/>
          <w:u w:val="none"/>
        </w:rPr>
        <w:t>）</w:t>
      </w:r>
      <w:r>
        <w:rPr>
          <w:rFonts w:hint="eastAsia" w:ascii="宋体" w:hAnsi="宋体"/>
          <w:sz w:val="28"/>
          <w:szCs w:val="28"/>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1"/>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1"/>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法定代表人或主要负责人姓名：XXXX</w:t>
      </w:r>
    </w:p>
    <w:p>
      <w:pPr>
        <w:widowControl/>
        <w:numPr>
          <w:ilvl w:val="2"/>
          <w:numId w:val="30"/>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80" w:lineRule="exact"/>
        <w:rPr>
          <w:rFonts w:ascii="宋体" w:hAnsi="宋体"/>
          <w:sz w:val="28"/>
          <w:szCs w:val="28"/>
        </w:rPr>
      </w:pPr>
    </w:p>
    <w:p>
      <w:pPr>
        <w:spacing w:line="360" w:lineRule="auto"/>
        <w:rPr>
          <w:rFonts w:ascii="宋体" w:hAnsi="宋体"/>
          <w:b/>
          <w:bCs/>
          <w:sz w:val="32"/>
          <w:szCs w:val="32"/>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致：</w:t>
      </w:r>
      <w:r>
        <w:rPr>
          <w:rFonts w:hint="eastAsia" w:ascii="宋体" w:hAnsi="宋体"/>
          <w:sz w:val="28"/>
          <w:szCs w:val="28"/>
          <w:lang w:val="en-US" w:eastAsia="zh-CN"/>
        </w:rPr>
        <w:t>彭州</w:t>
      </w:r>
      <w:r>
        <w:rPr>
          <w:rFonts w:hint="eastAsia" w:ascii="宋体" w:hAnsi="宋体"/>
          <w:sz w:val="28"/>
          <w:szCs w:val="28"/>
        </w:rPr>
        <w:t>市公共资源交易服务中心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b/>
          <w:sz w:val="28"/>
          <w:szCs w:val="28"/>
          <w:u w:val="single"/>
        </w:rPr>
        <w:t>（项目编号：彭州市政采（2021）A0048号）</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三、与我单位负责人为同一人或者存在直接控股、管理关系的不同供应商：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bCs/>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rPr>
      </w:pPr>
      <w:r>
        <w:rPr>
          <w:rFonts w:hint="eastAsia" w:ascii="宋体" w:hAnsi="宋体"/>
          <w:sz w:val="28"/>
        </w:rPr>
        <w:t>七</w:t>
      </w:r>
      <w:r>
        <w:rPr>
          <w:rFonts w:ascii="宋体" w:hAnsi="宋体"/>
          <w:sz w:val="28"/>
        </w:rPr>
        <w:t>、</w:t>
      </w:r>
      <w:r>
        <w:rPr>
          <w:rFonts w:hint="eastAsia" w:ascii="宋体" w:hAnsi="宋体"/>
          <w:sz w:val="28"/>
        </w:rPr>
        <w:t>我单位</w:t>
      </w:r>
      <w:r>
        <w:rPr>
          <w:rFonts w:hint="eastAsia" w:ascii="宋体" w:hAnsi="宋体"/>
          <w:b/>
          <w:sz w:val="28"/>
          <w:u w:val="single"/>
        </w:rPr>
        <w:t>（说明：填写“具有”或“不具有”）</w:t>
      </w:r>
      <w:r>
        <w:rPr>
          <w:rFonts w:hint="eastAsia" w:ascii="宋体" w:hAnsi="宋体"/>
          <w:sz w:val="28"/>
        </w:rPr>
        <w:t>健全的</w:t>
      </w:r>
      <w:r>
        <w:rPr>
          <w:rFonts w:ascii="宋体" w:hAnsi="宋体"/>
          <w:sz w:val="28"/>
        </w:rPr>
        <w:t>财务会计制度</w:t>
      </w:r>
      <w:r>
        <w:rPr>
          <w:rFonts w:hint="eastAsia" w:ascii="宋体" w:hAnsi="宋体"/>
          <w:sz w:val="28"/>
        </w:rPr>
        <w:t>。</w:t>
      </w:r>
    </w:p>
    <w:p>
      <w:pPr>
        <w:pStyle w:val="17"/>
        <w:ind w:firstLine="560" w:firstLineChars="200"/>
        <w:rPr>
          <w:rFonts w:ascii="宋体" w:hAnsi="宋体"/>
          <w:bCs/>
          <w:sz w:val="28"/>
          <w:szCs w:val="28"/>
        </w:rPr>
      </w:pPr>
      <w:r>
        <w:rPr>
          <w:rFonts w:hint="eastAsia" w:ascii="宋体" w:hAnsi="宋体"/>
          <w:bCs/>
          <w:sz w:val="28"/>
          <w:szCs w:val="28"/>
        </w:rPr>
        <w:t>八</w:t>
      </w:r>
      <w:r>
        <w:rPr>
          <w:rFonts w:ascii="宋体" w:hAnsi="宋体"/>
          <w:bCs/>
          <w:sz w:val="28"/>
          <w:szCs w:val="28"/>
        </w:rPr>
        <w:t>、</w:t>
      </w:r>
      <w:r>
        <w:rPr>
          <w:rFonts w:hint="eastAsia"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依法缴纳社会</w:t>
      </w:r>
      <w:r>
        <w:rPr>
          <w:rFonts w:ascii="宋体" w:hAnsi="宋体"/>
          <w:bCs/>
          <w:sz w:val="28"/>
          <w:szCs w:val="28"/>
        </w:rPr>
        <w:t>保障资金的良好记录。</w:t>
      </w:r>
    </w:p>
    <w:p>
      <w:pPr>
        <w:pStyle w:val="17"/>
        <w:ind w:firstLine="560" w:firstLineChars="200"/>
      </w:pPr>
      <w:r>
        <w:rPr>
          <w:rFonts w:hint="eastAsia" w:ascii="宋体" w:hAnsi="宋体"/>
          <w:bCs/>
          <w:sz w:val="28"/>
          <w:szCs w:val="28"/>
        </w:rPr>
        <w:t>九</w:t>
      </w:r>
      <w:r>
        <w:rPr>
          <w:rFonts w:ascii="宋体" w:hAnsi="宋体"/>
          <w:bCs/>
          <w:sz w:val="28"/>
          <w:szCs w:val="28"/>
        </w:rPr>
        <w:t>、我单位</w:t>
      </w:r>
      <w:r>
        <w:rPr>
          <w:rFonts w:hint="eastAsia" w:ascii="宋体" w:hAnsi="宋体"/>
          <w:b/>
          <w:bCs/>
          <w:sz w:val="28"/>
          <w:szCs w:val="28"/>
          <w:u w:val="single"/>
        </w:rPr>
        <w:t>（说明：填写“有”或“无”）</w:t>
      </w:r>
      <w:r>
        <w:rPr>
          <w:rFonts w:hint="eastAsia" w:ascii="宋体" w:hAnsi="宋体"/>
          <w:bCs/>
          <w:sz w:val="28"/>
          <w:szCs w:val="28"/>
        </w:rPr>
        <w:t>依法缴纳税收</w:t>
      </w:r>
      <w:r>
        <w:rPr>
          <w:rFonts w:ascii="宋体" w:hAnsi="宋体"/>
          <w:bCs/>
          <w:sz w:val="28"/>
          <w:szCs w:val="28"/>
        </w:rPr>
        <w:t>的良好记录。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投标文件将被认定为无效；投标人如被列入政府采购严重违法失信行为记录名单，应填写“被列入”，投标人投标文件将被认定为无效；</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5.对声明中第六条的说明：如投标人处于被行政部门禁止参加政府采购活动期限内的，该声明填“处于”，投标人投标文件将被认定为无效。</w:t>
      </w:r>
    </w:p>
    <w:p>
      <w:pPr>
        <w:spacing w:line="360" w:lineRule="auto"/>
        <w:ind w:firstLine="560" w:firstLineChars="200"/>
        <w:rPr>
          <w:rFonts w:ascii="宋体" w:hAnsi="宋体"/>
          <w:sz w:val="28"/>
          <w:szCs w:val="28"/>
        </w:rPr>
      </w:pPr>
      <w:r>
        <w:rPr>
          <w:rFonts w:hint="eastAsia" w:ascii="宋体" w:hAnsi="宋体"/>
          <w:sz w:val="28"/>
          <w:szCs w:val="28"/>
        </w:rPr>
        <w:t>6.</w:t>
      </w:r>
      <w:r>
        <w:rPr>
          <w:rFonts w:ascii="宋体" w:hAnsi="宋体"/>
          <w:sz w:val="28"/>
          <w:szCs w:val="28"/>
        </w:rPr>
        <w:t>对声明中第七条的说明：</w:t>
      </w:r>
      <w:r>
        <w:rPr>
          <w:rFonts w:hint="eastAsia" w:ascii="宋体" w:hAnsi="宋体"/>
          <w:sz w:val="28"/>
          <w:szCs w:val="28"/>
        </w:rPr>
        <w:t>投标人</w:t>
      </w:r>
      <w:r>
        <w:rPr>
          <w:rFonts w:ascii="宋体" w:hAnsi="宋体"/>
          <w:sz w:val="28"/>
          <w:szCs w:val="28"/>
        </w:rPr>
        <w:t>不具有健全的财务会计制度的，应填写“</w:t>
      </w:r>
      <w:r>
        <w:rPr>
          <w:rFonts w:hint="eastAsia" w:ascii="宋体" w:hAnsi="宋体"/>
          <w:sz w:val="28"/>
          <w:szCs w:val="28"/>
        </w:rPr>
        <w:t>不具有</w:t>
      </w:r>
      <w:r>
        <w:rPr>
          <w:rFonts w:ascii="宋体" w:hAnsi="宋体"/>
          <w:sz w:val="28"/>
          <w:szCs w:val="28"/>
        </w:rPr>
        <w:t>”</w:t>
      </w:r>
      <w:r>
        <w:rPr>
          <w:rFonts w:hint="eastAsia" w:ascii="宋体" w:hAnsi="宋体"/>
          <w:sz w:val="28"/>
          <w:szCs w:val="28"/>
        </w:rPr>
        <w:t>，投标人投标文件将被认定为无效；</w:t>
      </w:r>
    </w:p>
    <w:p>
      <w:pPr>
        <w:spacing w:line="360" w:lineRule="auto"/>
        <w:ind w:firstLine="560" w:firstLineChars="200"/>
        <w:rPr>
          <w:rFonts w:ascii="宋体" w:hAnsi="宋体"/>
          <w:sz w:val="28"/>
          <w:szCs w:val="28"/>
        </w:rPr>
      </w:pPr>
      <w:r>
        <w:rPr>
          <w:rFonts w:ascii="宋体" w:hAnsi="宋体"/>
          <w:sz w:val="28"/>
          <w:szCs w:val="28"/>
        </w:rPr>
        <w:t>7</w:t>
      </w:r>
      <w:r>
        <w:rPr>
          <w:rFonts w:hint="eastAsia" w:ascii="宋体" w:hAnsi="宋体"/>
          <w:sz w:val="28"/>
          <w:szCs w:val="28"/>
        </w:rPr>
        <w:t>.</w:t>
      </w:r>
      <w:r>
        <w:rPr>
          <w:rFonts w:ascii="宋体" w:hAnsi="宋体"/>
          <w:sz w:val="28"/>
          <w:szCs w:val="28"/>
        </w:rPr>
        <w:t>对声明中第八条的说明：如</w:t>
      </w:r>
      <w:r>
        <w:rPr>
          <w:rFonts w:hint="eastAsia" w:ascii="宋体" w:hAnsi="宋体"/>
          <w:sz w:val="28"/>
          <w:szCs w:val="28"/>
        </w:rPr>
        <w:t>投标人无依法缴纳社会</w:t>
      </w:r>
      <w:r>
        <w:rPr>
          <w:rFonts w:ascii="宋体" w:hAnsi="宋体"/>
          <w:sz w:val="28"/>
          <w:szCs w:val="28"/>
        </w:rPr>
        <w:t>保障资金的良好记录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ascii="宋体" w:hAnsi="宋体"/>
          <w:sz w:val="28"/>
          <w:szCs w:val="28"/>
        </w:rPr>
        <w:t>8</w:t>
      </w:r>
      <w:r>
        <w:rPr>
          <w:rFonts w:hint="eastAsia" w:ascii="宋体" w:hAnsi="宋体"/>
          <w:sz w:val="28"/>
          <w:szCs w:val="28"/>
        </w:rPr>
        <w:t>.</w:t>
      </w:r>
      <w:r>
        <w:rPr>
          <w:rFonts w:ascii="宋体" w:hAnsi="宋体"/>
          <w:sz w:val="28"/>
          <w:szCs w:val="28"/>
        </w:rPr>
        <w:t>对声明中第九条的说明：如</w:t>
      </w:r>
      <w:r>
        <w:rPr>
          <w:rFonts w:hint="eastAsia" w:ascii="宋体" w:hAnsi="宋体"/>
          <w:sz w:val="28"/>
          <w:szCs w:val="28"/>
        </w:rPr>
        <w:t>投标人无依法缴纳税收</w:t>
      </w:r>
      <w:r>
        <w:rPr>
          <w:rFonts w:ascii="宋体" w:hAnsi="宋体"/>
          <w:sz w:val="28"/>
          <w:szCs w:val="28"/>
        </w:rPr>
        <w:t>的良好记录</w:t>
      </w:r>
      <w:r>
        <w:rPr>
          <w:rFonts w:hint="eastAsia" w:ascii="宋体" w:hAnsi="宋体"/>
          <w:sz w:val="28"/>
          <w:szCs w:val="28"/>
        </w:rPr>
        <w:t>的，</w:t>
      </w:r>
      <w:r>
        <w:rPr>
          <w:rFonts w:ascii="宋体" w:hAnsi="宋体"/>
          <w:sz w:val="28"/>
          <w:szCs w:val="28"/>
        </w:rPr>
        <w:t>应填写“</w:t>
      </w:r>
      <w:r>
        <w:rPr>
          <w:rFonts w:hint="eastAsia" w:ascii="宋体" w:hAnsi="宋体"/>
          <w:sz w:val="28"/>
          <w:szCs w:val="28"/>
        </w:rPr>
        <w:t>无</w:t>
      </w:r>
      <w:r>
        <w:rPr>
          <w:rFonts w:ascii="宋体" w:hAnsi="宋体"/>
          <w:sz w:val="28"/>
          <w:szCs w:val="28"/>
        </w:rPr>
        <w:t>”</w:t>
      </w:r>
      <w:r>
        <w:rPr>
          <w:rFonts w:hint="eastAsia" w:ascii="宋体" w:hAnsi="宋体"/>
          <w:sz w:val="28"/>
          <w:szCs w:val="28"/>
        </w:rPr>
        <w:t>，投标人投标文件将被认定为</w:t>
      </w:r>
      <w:r>
        <w:rPr>
          <w:rFonts w:ascii="宋体" w:hAnsi="宋体"/>
          <w:sz w:val="28"/>
          <w:szCs w:val="28"/>
        </w:rPr>
        <w:t>无效</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tabs>
          <w:tab w:val="left" w:pos="1260"/>
        </w:tabs>
        <w:spacing w:line="560" w:lineRule="exact"/>
        <w:ind w:firstLine="560" w:firstLineChars="200"/>
        <w:rPr>
          <w:rFonts w:ascii="宋体" w:hAnsi="宋体"/>
          <w:sz w:val="28"/>
          <w:szCs w:val="28"/>
        </w:rPr>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tabs>
          <w:tab w:val="left" w:pos="1260"/>
        </w:tabs>
        <w:spacing w:line="560" w:lineRule="exact"/>
        <w:ind w:firstLine="560" w:firstLineChars="200"/>
        <w:rPr>
          <w:rFonts w:ascii="宋体" w:hAnsi="宋体"/>
          <w:sz w:val="28"/>
          <w:szCs w:val="28"/>
        </w:rPr>
      </w:pPr>
    </w:p>
    <w:p>
      <w:pPr>
        <w:widowControl/>
        <w:jc w:val="left"/>
        <w:rPr>
          <w:rFonts w:ascii="宋体" w:hAnsi="宋体" w:cs="宋体"/>
          <w:b/>
          <w:bCs/>
          <w:kern w:val="0"/>
          <w:sz w:val="28"/>
          <w:szCs w:val="28"/>
        </w:rPr>
      </w:pPr>
      <w:r>
        <w:br w:type="page"/>
      </w:r>
    </w:p>
    <w:p>
      <w:pPr>
        <w:widowControl/>
        <w:jc w:val="left"/>
        <w:rPr>
          <w:rFonts w:ascii="宋体" w:hAnsi="宋体"/>
          <w:b/>
          <w:bCs/>
          <w:sz w:val="28"/>
          <w:szCs w:val="28"/>
        </w:rPr>
      </w:pP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rFonts w:ascii="宋体" w:hAnsi="宋体"/>
          <w:sz w:val="28"/>
          <w:szCs w:val="28"/>
        </w:rPr>
      </w:pPr>
      <w:r>
        <w:rPr>
          <w:rFonts w:hint="eastAsia" w:ascii="宋体" w:hAnsi="宋体"/>
          <w:sz w:val="28"/>
          <w:szCs w:val="28"/>
        </w:rPr>
        <w:t>投标人按招标文件要求，应提供以下相关资格证明材料：</w:t>
      </w:r>
    </w:p>
    <w:p>
      <w:pPr>
        <w:ind w:firstLine="560" w:firstLineChars="200"/>
        <w:rPr>
          <w:color w:val="FF0000"/>
          <w:sz w:val="28"/>
          <w:szCs w:val="28"/>
        </w:rPr>
      </w:pP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lang w:eastAsia="zh-CN"/>
        </w:rPr>
        <w:t>一</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营业执照复印件（正本或副本）或法人证书复印件（正本或副本）或其他能够证明供应商具有独立承担民事责任能力的相关证明材料复印件；</w:t>
      </w:r>
      <w:r>
        <w:rPr>
          <w:rFonts w:ascii="宋体" w:hAnsi="宋体" w:eastAsiaTheme="minorEastAsia" w:cstheme="minorBidi"/>
          <w:kern w:val="0"/>
          <w:sz w:val="28"/>
          <w:szCs w:val="28"/>
        </w:rPr>
        <w:t xml:space="preserve"> </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lang w:eastAsia="zh-CN"/>
        </w:rPr>
        <w:t>二</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采购人对投标人履行合同所必</w:t>
      </w:r>
      <w:r>
        <w:rPr>
          <w:rFonts w:hint="eastAsia" w:ascii="宋体" w:hAnsi="宋体" w:eastAsiaTheme="minorEastAsia" w:cstheme="minorBidi"/>
          <w:kern w:val="0"/>
          <w:sz w:val="28"/>
          <w:szCs w:val="28"/>
          <w:lang w:val="en-US" w:eastAsia="zh-CN"/>
        </w:rPr>
        <w:t>需</w:t>
      </w:r>
      <w:r>
        <w:rPr>
          <w:rFonts w:hint="eastAsia" w:ascii="宋体" w:hAnsi="宋体" w:eastAsiaTheme="minorEastAsia" w:cstheme="minorBidi"/>
          <w:kern w:val="0"/>
          <w:sz w:val="28"/>
          <w:szCs w:val="28"/>
        </w:rPr>
        <w:t>的设备和专业技术能力无其他特殊要求，投标人可不提供证明材料；</w:t>
      </w:r>
    </w:p>
    <w:p>
      <w:pPr>
        <w:spacing w:line="360" w:lineRule="auto"/>
        <w:ind w:firstLine="560" w:firstLineChars="200"/>
        <w:rPr>
          <w:rFonts w:ascii="宋体" w:hAnsi="宋体" w:eastAsiaTheme="minorEastAsia" w:cstheme="minorBidi"/>
          <w:kern w:val="0"/>
          <w:sz w:val="28"/>
          <w:szCs w:val="28"/>
        </w:rPr>
      </w:pPr>
      <w:r>
        <w:rPr>
          <w:rFonts w:hint="eastAsia" w:ascii="宋体" w:hAnsi="宋体" w:eastAsiaTheme="minorEastAsia" w:cstheme="minorBidi"/>
          <w:kern w:val="0"/>
          <w:sz w:val="28"/>
          <w:szCs w:val="28"/>
          <w:lang w:eastAsia="zh-CN"/>
        </w:rPr>
        <w:t>三</w:t>
      </w:r>
      <w:r>
        <w:rPr>
          <w:rFonts w:ascii="宋体" w:hAnsi="宋体" w:eastAsiaTheme="minorEastAsia" w:cstheme="minorBidi"/>
          <w:kern w:val="0"/>
          <w:sz w:val="28"/>
          <w:szCs w:val="28"/>
        </w:rPr>
        <w:t>、</w:t>
      </w:r>
      <w:r>
        <w:rPr>
          <w:rFonts w:hint="eastAsia" w:ascii="宋体" w:hAnsi="宋体" w:eastAsiaTheme="minorEastAsia" w:cstheme="minorBidi"/>
          <w:kern w:val="0"/>
          <w:sz w:val="28"/>
          <w:szCs w:val="28"/>
        </w:rPr>
        <w:t>采购人对法律、行政法规规定的其他条件无其他特殊要求，投标人可不提供证明材料。</w:t>
      </w:r>
    </w:p>
    <w:p>
      <w:pPr>
        <w:spacing w:line="360" w:lineRule="auto"/>
        <w:ind w:firstLine="560" w:firstLineChars="200"/>
        <w:rPr>
          <w:sz w:val="28"/>
          <w:szCs w:val="28"/>
        </w:rPr>
      </w:pPr>
    </w:p>
    <w:p>
      <w:pPr>
        <w:spacing w:line="360" w:lineRule="auto"/>
        <w:ind w:firstLine="560" w:firstLineChars="200"/>
        <w:rPr>
          <w:sz w:val="28"/>
          <w:szCs w:val="28"/>
        </w:rPr>
      </w:pPr>
    </w:p>
    <w:p>
      <w:pPr>
        <w:tabs>
          <w:tab w:val="left" w:pos="3969"/>
        </w:tabs>
        <w:spacing w:line="588" w:lineRule="exact"/>
        <w:ind w:right="-58"/>
        <w:rPr>
          <w:rFonts w:ascii="宋体" w:hAnsi="宋体"/>
          <w:bCs/>
          <w:sz w:val="28"/>
          <w:u w:val="single"/>
        </w:rPr>
      </w:pPr>
    </w:p>
    <w:p>
      <w:pPr>
        <w:widowControl/>
        <w:jc w:val="left"/>
        <w:rPr>
          <w:rFonts w:ascii="宋体" w:hAnsi="宋体"/>
          <w:b/>
          <w:bCs/>
          <w:sz w:val="28"/>
          <w:szCs w:val="28"/>
        </w:rPr>
      </w:pPr>
      <w:bookmarkStart w:id="130" w:name="_Toc84599908"/>
      <w:r>
        <w:rPr>
          <w:rFonts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val="en-US" w:eastAsia="zh-CN"/>
        </w:rPr>
        <w:t>彭州</w:t>
      </w:r>
      <w:r>
        <w:rPr>
          <w:rFonts w:hint="eastAsia" w:ascii="宋体" w:hAnsi="宋体"/>
          <w:bCs/>
          <w:sz w:val="28"/>
          <w:szCs w:val="28"/>
        </w:rPr>
        <w:t>市公共资源交易服务中心：</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b/>
          <w:bCs/>
          <w:sz w:val="28"/>
          <w:szCs w:val="28"/>
          <w:u w:val="single"/>
        </w:rPr>
        <w:t>”（项目编号：</w:t>
      </w:r>
      <w:r>
        <w:rPr>
          <w:rFonts w:hint="eastAsia" w:ascii="宋体" w:hAnsi="宋体"/>
          <w:b/>
          <w:sz w:val="28"/>
          <w:szCs w:val="28"/>
          <w:u w:val="single"/>
        </w:rPr>
        <w:t>彭州市政采（2021）A0048号</w:t>
      </w:r>
      <w:r>
        <w:rPr>
          <w:rFonts w:hint="eastAsia" w:ascii="宋体" w:hAnsi="宋体"/>
          <w:b/>
          <w:bCs/>
          <w:sz w:val="28"/>
          <w:szCs w:val="28"/>
          <w:u w:val="single"/>
        </w:rPr>
        <w:t>）</w:t>
      </w:r>
      <w:r>
        <w:rPr>
          <w:rFonts w:hint="eastAsia" w:ascii="宋体" w:hAnsi="宋体"/>
          <w:bCs/>
          <w:sz w:val="28"/>
          <w:szCs w:val="28"/>
        </w:rPr>
        <w:t>招标文件，决定参加贵单位组织的本项目投标。</w:t>
      </w:r>
    </w:p>
    <w:p>
      <w:pPr>
        <w:numPr>
          <w:ilvl w:val="1"/>
          <w:numId w:val="32"/>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2"/>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2"/>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spacing w:line="360" w:lineRule="auto"/>
        <w:ind w:left="283" w:leftChars="135" w:firstLine="700" w:firstLineChars="250"/>
        <w:rPr>
          <w:rFonts w:ascii="宋体" w:hAnsi="宋体"/>
          <w:sz w:val="28"/>
          <w:szCs w:val="28"/>
          <w:u w:val="single"/>
        </w:rPr>
      </w:pPr>
    </w:p>
    <w:p>
      <w:pPr>
        <w:tabs>
          <w:tab w:val="left" w:pos="630"/>
          <w:tab w:val="left" w:pos="7560"/>
        </w:tabs>
        <w:spacing w:line="360" w:lineRule="auto"/>
        <w:rPr>
          <w:rFonts w:ascii="宋体" w:hAnsi="宋体"/>
          <w:sz w:val="28"/>
          <w:szCs w:val="28"/>
        </w:rPr>
      </w:pPr>
      <w:bookmarkStart w:id="131" w:name="_Toc240865266"/>
      <w:bookmarkStart w:id="132" w:name="_Toc240367172"/>
      <w:bookmarkStart w:id="133" w:name="_Toc237145395"/>
      <w:bookmarkStart w:id="134" w:name="_Toc314574804"/>
      <w:bookmarkStart w:id="135" w:name="_Toc229802674"/>
      <w:bookmarkStart w:id="136" w:name="_Toc231030275"/>
      <w:bookmarkStart w:id="137" w:name="_Toc265494342"/>
      <w:bookmarkStart w:id="138" w:name="_Toc239849853"/>
      <w:bookmarkStart w:id="139" w:name="_Toc239846734"/>
    </w:p>
    <w:p>
      <w:pPr>
        <w:pStyle w:val="17"/>
      </w:pP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法定代表人或主要负责人身份证明书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lang w:val="zh-CN"/>
        </w:rPr>
        <w:t>。</w:t>
      </w: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pStyle w:val="17"/>
        <w:rPr>
          <w:lang w:val="zh-CN"/>
        </w:rPr>
      </w:pPr>
    </w:p>
    <w:p>
      <w:pPr>
        <w:pStyle w:val="17"/>
        <w:rPr>
          <w:lang w:val="zh-CN"/>
        </w:rPr>
      </w:pPr>
    </w:p>
    <w:p>
      <w:pPr>
        <w:pStyle w:val="17"/>
        <w:rPr>
          <w:lang w:val="zh-CN"/>
        </w:rPr>
      </w:pPr>
    </w:p>
    <w:p>
      <w:pPr>
        <w:pStyle w:val="17"/>
        <w:rPr>
          <w:lang w:val="zh-CN"/>
        </w:rPr>
      </w:pPr>
    </w:p>
    <w:p>
      <w:pPr>
        <w:pStyle w:val="17"/>
        <w:rPr>
          <w:lang w:val="zh-CN"/>
        </w:rPr>
      </w:pPr>
    </w:p>
    <w:p>
      <w:pPr>
        <w:pStyle w:val="17"/>
        <w:rPr>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p>
    <w:p>
      <w:pPr>
        <w:spacing w:after="180" w:line="300" w:lineRule="auto"/>
        <w:rPr>
          <w:rFonts w:ascii="宋体" w:hAnsi="宋体"/>
          <w:b/>
          <w:sz w:val="28"/>
          <w:szCs w:val="28"/>
        </w:rPr>
      </w:pPr>
    </w:p>
    <w:bookmarkEnd w:id="131"/>
    <w:bookmarkEnd w:id="132"/>
    <w:bookmarkEnd w:id="133"/>
    <w:bookmarkEnd w:id="134"/>
    <w:bookmarkEnd w:id="135"/>
    <w:bookmarkEnd w:id="136"/>
    <w:bookmarkEnd w:id="137"/>
    <w:bookmarkEnd w:id="138"/>
    <w:bookmarkEnd w:id="139"/>
    <w:p>
      <w:pPr>
        <w:pStyle w:val="5"/>
        <w:numPr>
          <w:ilvl w:val="2"/>
          <w:numId w:val="5"/>
        </w:numPr>
        <w:spacing w:after="200" w:line="240" w:lineRule="auto"/>
        <w:ind w:left="851"/>
        <w:rPr>
          <w:color w:val="auto"/>
        </w:rPr>
      </w:pPr>
      <w:bookmarkStart w:id="141" w:name="_Toc315871054"/>
      <w:bookmarkEnd w:id="141"/>
      <w:bookmarkStart w:id="142" w:name="_Toc316475719"/>
      <w:r>
        <w:rPr>
          <w:rFonts w:hint="eastAsia"/>
          <w:color w:val="auto"/>
        </w:rPr>
        <w:t>服务方案及服务承诺</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彭州市政采（2021）A0048号</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r>
        <w:rPr>
          <w:rFonts w:hint="eastAsia"/>
          <w:lang w:eastAsia="zh-CN"/>
        </w:rPr>
        <w:t>（无格式要求，格式自拟。根据招标文件提供相关服务方案及服务承诺，包含但不限于服务承诺、投标人业绩、整体策划方案、保洁服务方案、特殊科室保洁服务方案、中央运送服务方案、洗浆房服务方案、生活垃圾及医疗废物管理方案、疫情防控方案、应急措施方案、人员配置方案等）</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footerReference r:id="rId3" w:type="default"/>
          <w:pgSz w:w="11906" w:h="16838"/>
          <w:pgMar w:top="1440" w:right="1800" w:bottom="1440" w:left="1800" w:header="851" w:footer="992" w:gutter="0"/>
          <w:cols w:space="720" w:num="1"/>
        </w:sectPr>
      </w:pPr>
    </w:p>
    <w:p>
      <w:pPr>
        <w:keepNext/>
        <w:keepLines/>
        <w:numPr>
          <w:ilvl w:val="2"/>
          <w:numId w:val="5"/>
        </w:numPr>
        <w:spacing w:line="360" w:lineRule="auto"/>
        <w:ind w:hanging="3260"/>
        <w:outlineLvl w:val="2"/>
        <w:rPr>
          <w:rFonts w:ascii="宋体" w:hAnsi="宋体"/>
          <w:b/>
          <w:sz w:val="28"/>
          <w:szCs w:val="28"/>
        </w:rPr>
      </w:pPr>
      <w:r>
        <w:rPr>
          <w:rFonts w:hint="eastAsia" w:ascii="宋体" w:hAnsi="宋体"/>
          <w:b/>
          <w:sz w:val="28"/>
          <w:szCs w:val="28"/>
          <w:lang w:eastAsia="zh-CN"/>
        </w:rPr>
        <w:t>承诺函</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p>
    <w:p>
      <w:pPr>
        <w:snapToGrid w:val="0"/>
        <w:spacing w:line="360" w:lineRule="auto"/>
        <w:rPr>
          <w:rFonts w:ascii="宋体" w:hAnsi="宋体"/>
          <w:b/>
          <w:sz w:val="28"/>
          <w:szCs w:val="28"/>
        </w:rPr>
      </w:pPr>
      <w:r>
        <w:rPr>
          <w:rFonts w:hint="eastAsia" w:ascii="宋体" w:hAnsi="宋体"/>
          <w:b/>
          <w:sz w:val="28"/>
          <w:szCs w:val="28"/>
        </w:rPr>
        <w:t>项目编号：</w:t>
      </w:r>
      <w:r>
        <w:rPr>
          <w:rFonts w:hint="eastAsia" w:ascii="宋体" w:hAnsi="宋体"/>
          <w:b/>
          <w:sz w:val="28"/>
          <w:szCs w:val="28"/>
          <w:u w:val="single"/>
        </w:rPr>
        <w:t>彭州市政采（2021）A0048号</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ind w:firstLine="562" w:firstLineChars="200"/>
        <w:rPr>
          <w:rFonts w:ascii="宋体" w:hAnsi="宋体"/>
          <w:sz w:val="28"/>
        </w:rPr>
      </w:pPr>
      <w:r>
        <w:rPr>
          <w:rFonts w:hint="eastAsia" w:ascii="宋体" w:hAnsi="宋体"/>
          <w:b/>
          <w:sz w:val="28"/>
          <w:szCs w:val="28"/>
        </w:rPr>
        <w:t>一、</w:t>
      </w:r>
      <w:r>
        <w:rPr>
          <w:rFonts w:hint="eastAsia" w:ascii="宋体" w:hAnsi="宋体"/>
          <w:sz w:val="28"/>
        </w:rPr>
        <w:t>供应商为本项目提供的所有服务符合现行的国家相关强制性标准、行业标准。</w:t>
      </w:r>
    </w:p>
    <w:p>
      <w:pPr>
        <w:ind w:firstLine="560" w:firstLineChars="200"/>
        <w:rPr>
          <w:rFonts w:ascii="宋体" w:hAnsi="宋体"/>
          <w:sz w:val="28"/>
        </w:rPr>
      </w:pPr>
      <w:r>
        <w:rPr>
          <w:rFonts w:hint="eastAsia" w:ascii="宋体" w:hAnsi="宋体"/>
          <w:sz w:val="28"/>
        </w:rPr>
        <w:t>二、本项目涉及产品采购且属于政府强制采购节能产品清单中的产品，投标人提供的该产品须具有国家确定的认证机构出具的节能产品认证证书。</w:t>
      </w:r>
    </w:p>
    <w:p>
      <w:pPr>
        <w:ind w:firstLine="560" w:firstLineChars="200"/>
        <w:rPr>
          <w:rFonts w:ascii="宋体" w:hAnsi="宋体"/>
          <w:sz w:val="28"/>
        </w:rPr>
      </w:pPr>
      <w:r>
        <w:rPr>
          <w:rFonts w:hint="eastAsia" w:ascii="宋体" w:hAnsi="宋体"/>
          <w:sz w:val="28"/>
        </w:rPr>
        <w:t>三、参加本次采购活动，我方完全同意公开招标文件第二章关于 “投标</w:t>
      </w:r>
      <w:r>
        <w:rPr>
          <w:rFonts w:ascii="宋体" w:hAnsi="宋体"/>
          <w:sz w:val="28"/>
        </w:rPr>
        <w:t>费用</w:t>
      </w:r>
      <w:r>
        <w:rPr>
          <w:rFonts w:hint="eastAsia" w:ascii="宋体" w:hAnsi="宋体"/>
          <w:sz w:val="28"/>
        </w:rPr>
        <w:t>”、“知识产权”、“合同分包和</w:t>
      </w:r>
      <w:r>
        <w:rPr>
          <w:rFonts w:ascii="宋体" w:hAnsi="宋体"/>
          <w:sz w:val="28"/>
        </w:rPr>
        <w:t>转包</w:t>
      </w:r>
      <w:r>
        <w:rPr>
          <w:rFonts w:hint="eastAsia" w:ascii="宋体" w:hAnsi="宋体"/>
          <w:sz w:val="28"/>
        </w:rPr>
        <w:t>”、“履约保证金”等实质性要求，并承诺严格按照公开招标文件要求履行。</w:t>
      </w:r>
    </w:p>
    <w:p>
      <w:pPr>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我方对上述承诺的内容事项真实性负责。如经查实上述承诺的内容事项存在虚假，我方愿意接受以提供虚假材料谋取成交的法律责任。</w:t>
      </w:r>
    </w:p>
    <w:p>
      <w:pPr>
        <w:ind w:firstLine="560" w:firstLineChars="200"/>
      </w:pPr>
      <w:r>
        <w:rPr>
          <w:rFonts w:hint="eastAsia" w:ascii="宋体" w:hAnsi="宋体"/>
          <w:sz w:val="28"/>
          <w:szCs w:val="28"/>
        </w:rPr>
        <w:t>特此承诺。</w:t>
      </w:r>
    </w:p>
    <w:p>
      <w:pPr>
        <w:pStyle w:val="17"/>
      </w:pPr>
    </w:p>
    <w:p>
      <w:pPr>
        <w:pStyle w:val="17"/>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keepNext/>
        <w:keepLines/>
        <w:numPr>
          <w:ilvl w:val="1"/>
          <w:numId w:val="5"/>
        </w:numPr>
        <w:spacing w:before="260" w:after="260" w:line="360" w:lineRule="auto"/>
        <w:jc w:val="left"/>
        <w:outlineLvl w:val="1"/>
        <w:rPr>
          <w:rFonts w:ascii="宋体" w:hAnsi="宋体"/>
          <w:b/>
          <w:sz w:val="28"/>
        </w:rPr>
      </w:pPr>
      <w:bookmarkStart w:id="143" w:name="_Toc84599909"/>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3"/>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tabs>
          <w:tab w:val="left" w:pos="1134"/>
        </w:tabs>
        <w:spacing w:line="560" w:lineRule="exact"/>
        <w:ind w:firstLine="427" w:firstLineChars="152"/>
        <w:rPr>
          <w:rFonts w:ascii="宋体" w:hAnsi="宋体"/>
          <w:b/>
          <w:bCs/>
          <w:sz w:val="28"/>
          <w:szCs w:val="28"/>
        </w:rPr>
      </w:pPr>
      <w:r>
        <w:rPr>
          <w:rFonts w:hint="eastAsia" w:ascii="宋体" w:hAnsi="宋体"/>
          <w:b/>
          <w:bCs/>
          <w:sz w:val="28"/>
          <w:szCs w:val="28"/>
        </w:rPr>
        <w:t xml:space="preserve">标项1： </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r>
              <w:rPr>
                <w:rFonts w:hint="eastAsia" w:ascii="宋体" w:hAnsi="宋体"/>
                <w:kern w:val="0"/>
                <w:sz w:val="28"/>
                <w:szCs w:val="28"/>
                <w:lang w:val="en-US" w:eastAsia="zh-CN"/>
              </w:rPr>
              <w:t>/年</w:t>
            </w:r>
            <w:r>
              <w:rPr>
                <w:rFonts w:hint="eastAsia" w:ascii="宋体" w:hAnsi="宋体"/>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sz w:val="28"/>
          <w:szCs w:val="28"/>
        </w:rPr>
      </w:pPr>
      <w:r>
        <w:rPr>
          <w:rFonts w:hint="eastAsia" w:ascii="宋体" w:hAnsi="宋体"/>
          <w:b/>
          <w:sz w:val="28"/>
          <w:szCs w:val="28"/>
        </w:rPr>
        <w:t>投标报价以投标人在政府采购云平台开标一览表中填写的报价为准。</w:t>
      </w:r>
    </w:p>
    <w:p>
      <w:pPr>
        <w:pStyle w:val="17"/>
      </w:pPr>
    </w:p>
    <w:p>
      <w:pPr>
        <w:pStyle w:val="17"/>
      </w:pPr>
    </w:p>
    <w:p>
      <w:pPr>
        <w:pStyle w:val="17"/>
      </w:pPr>
    </w:p>
    <w:p>
      <w:pPr>
        <w:pStyle w:val="17"/>
      </w:pPr>
    </w:p>
    <w:p>
      <w:pPr>
        <w:pStyle w:val="17"/>
      </w:pPr>
    </w:p>
    <w:p>
      <w:pPr>
        <w:pStyle w:val="17"/>
      </w:pPr>
    </w:p>
    <w:p>
      <w:pPr>
        <w:pStyle w:val="17"/>
      </w:pPr>
    </w:p>
    <w:p>
      <w:pPr>
        <w:keepNext/>
        <w:keepLines/>
        <w:numPr>
          <w:ilvl w:val="0"/>
          <w:numId w:val="0"/>
        </w:numPr>
        <w:spacing w:line="360" w:lineRule="auto"/>
        <w:ind w:leftChars="0"/>
        <w:outlineLvl w:val="2"/>
        <w:rPr>
          <w:rFonts w:ascii="宋体" w:hAnsi="宋体"/>
          <w:b/>
          <w:bCs/>
          <w:color w:val="FF0000"/>
          <w:sz w:val="28"/>
          <w:szCs w:val="28"/>
        </w:rPr>
      </w:pPr>
    </w:p>
    <w:p>
      <w:pPr>
        <w:pStyle w:val="17"/>
        <w:rPr>
          <w:rFonts w:ascii="宋体" w:hAnsi="宋体"/>
          <w:b/>
          <w:bCs/>
          <w:color w:val="FF0000"/>
          <w:sz w:val="28"/>
          <w:szCs w:val="28"/>
        </w:rPr>
      </w:pPr>
    </w:p>
    <w:p>
      <w:pPr>
        <w:rPr>
          <w:rFonts w:ascii="宋体" w:hAnsi="宋体"/>
          <w:b/>
          <w:bCs/>
          <w:color w:val="FF0000"/>
          <w:sz w:val="28"/>
          <w:szCs w:val="28"/>
        </w:rPr>
      </w:pPr>
    </w:p>
    <w:p>
      <w:pPr>
        <w:pStyle w:val="17"/>
        <w:rPr>
          <w:rFonts w:ascii="宋体" w:hAnsi="宋体"/>
          <w:b/>
          <w:bCs/>
          <w:color w:val="FF0000"/>
          <w:sz w:val="28"/>
          <w:szCs w:val="28"/>
        </w:rPr>
      </w:pPr>
    </w:p>
    <w:p>
      <w:pPr>
        <w:rPr>
          <w:rFonts w:ascii="宋体" w:hAnsi="宋体"/>
          <w:b/>
          <w:bCs/>
          <w:color w:val="FF0000"/>
          <w:sz w:val="28"/>
          <w:szCs w:val="28"/>
        </w:rPr>
      </w:pPr>
    </w:p>
    <w:p>
      <w:pPr>
        <w:pStyle w:val="17"/>
        <w:rPr>
          <w:rFonts w:ascii="宋体" w:hAnsi="宋体"/>
          <w:b/>
          <w:bCs/>
          <w:color w:val="FF0000"/>
          <w:sz w:val="28"/>
          <w:szCs w:val="28"/>
        </w:rPr>
      </w:pPr>
    </w:p>
    <w:p>
      <w:pPr>
        <w:rPr>
          <w:rFonts w:ascii="宋体" w:hAnsi="宋体"/>
          <w:b/>
          <w:bCs/>
          <w:color w:val="FF0000"/>
          <w:sz w:val="28"/>
          <w:szCs w:val="28"/>
        </w:rPr>
      </w:pPr>
    </w:p>
    <w:p>
      <w:pPr>
        <w:pStyle w:val="2"/>
        <w:numPr>
          <w:ilvl w:val="3"/>
          <w:numId w:val="0"/>
        </w:numPr>
        <w:ind w:left="3150" w:leftChars="0"/>
      </w:pPr>
    </w:p>
    <w:p>
      <w:pPr>
        <w:pStyle w:val="17"/>
      </w:pPr>
    </w:p>
    <w:p>
      <w:pPr>
        <w:pStyle w:val="5"/>
        <w:numPr>
          <w:ilvl w:val="2"/>
          <w:numId w:val="5"/>
        </w:numPr>
        <w:spacing w:after="200" w:line="240" w:lineRule="auto"/>
        <w:ind w:left="851"/>
        <w:rPr>
          <w:color w:val="auto"/>
        </w:rPr>
      </w:pPr>
      <w:r>
        <w:rPr>
          <w:rFonts w:hint="eastAsia"/>
          <w:color w:val="auto"/>
        </w:rPr>
        <w:t>中小企业声明函</w:t>
      </w:r>
    </w:p>
    <w:p>
      <w:pPr>
        <w:spacing w:line="500" w:lineRule="exact"/>
        <w:jc w:val="center"/>
        <w:rPr>
          <w:rFonts w:ascii="宋体" w:hAnsi="宋体"/>
          <w:b/>
          <w:spacing w:val="6"/>
          <w:sz w:val="28"/>
          <w:szCs w:val="28"/>
        </w:rPr>
      </w:pPr>
      <w:r>
        <w:rPr>
          <w:rFonts w:hint="eastAsia" w:ascii="宋体" w:hAnsi="宋体"/>
          <w:b/>
          <w:spacing w:val="6"/>
          <w:sz w:val="28"/>
          <w:szCs w:val="28"/>
        </w:rPr>
        <w:t>中小企业声明函</w:t>
      </w:r>
    </w:p>
    <w:p>
      <w:pPr>
        <w:snapToGrid w:val="0"/>
        <w:spacing w:line="360" w:lineRule="auto"/>
        <w:rPr>
          <w:rFonts w:ascii="宋体" w:hAnsi="宋体"/>
          <w:spacing w:val="6"/>
          <w:sz w:val="28"/>
          <w:szCs w:val="28"/>
        </w:rPr>
      </w:pPr>
      <w:r>
        <w:rPr>
          <w:rFonts w:hint="eastAsia" w:ascii="宋体" w:hAnsi="宋体"/>
          <w:spacing w:val="6"/>
          <w:sz w:val="28"/>
          <w:szCs w:val="28"/>
        </w:rPr>
        <w:t>本公司郑重声明，根据《政府采购促进中小企业发展管理办法》（财库〔</w:t>
      </w:r>
      <w:r>
        <w:rPr>
          <w:rFonts w:ascii="宋体" w:hAnsi="宋体"/>
          <w:spacing w:val="6"/>
          <w:sz w:val="28"/>
          <w:szCs w:val="28"/>
        </w:rPr>
        <w:t>2020〕46号）的规定，本公司参加</w:t>
      </w:r>
      <w:r>
        <w:rPr>
          <w:rFonts w:hint="eastAsia" w:ascii="宋体" w:hAnsi="宋体"/>
          <w:b/>
          <w:sz w:val="28"/>
          <w:szCs w:val="28"/>
          <w:u w:val="single"/>
          <w:lang w:eastAsia="zh-CN"/>
        </w:rPr>
        <w:t>彭州市人民医院</w:t>
      </w:r>
      <w:r>
        <w:rPr>
          <w:rFonts w:hint="eastAsia" w:ascii="宋体" w:hAnsi="宋体"/>
          <w:spacing w:val="6"/>
          <w:sz w:val="28"/>
          <w:szCs w:val="28"/>
        </w:rPr>
        <w:t>的</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b/>
          <w:sz w:val="28"/>
          <w:szCs w:val="28"/>
          <w:u w:val="single"/>
        </w:rPr>
        <w:t>采购项目（彭州市政采（2021）A0048号）</w:t>
      </w:r>
      <w:r>
        <w:rPr>
          <w:rFonts w:hint="eastAsia" w:ascii="宋体" w:hAnsi="宋体"/>
          <w:spacing w:val="6"/>
          <w:sz w:val="28"/>
          <w:szCs w:val="28"/>
        </w:rPr>
        <w:t>采购活动，服务全部由符合政策要求的中小企业承接。相关企业的具体情况如下：</w:t>
      </w:r>
    </w:p>
    <w:p>
      <w:pPr>
        <w:tabs>
          <w:tab w:val="left" w:pos="1134"/>
        </w:tabs>
        <w:spacing w:line="500" w:lineRule="exact"/>
        <w:ind w:firstLine="562" w:firstLineChars="200"/>
        <w:rPr>
          <w:rFonts w:ascii="宋体" w:hAnsi="宋体"/>
          <w:spacing w:val="6"/>
          <w:sz w:val="28"/>
          <w:szCs w:val="28"/>
        </w:rPr>
      </w:pP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spacing w:val="6"/>
          <w:sz w:val="28"/>
          <w:szCs w:val="28"/>
        </w:rPr>
        <w:t>，属于</w:t>
      </w:r>
      <w:r>
        <w:rPr>
          <w:rFonts w:hint="eastAsia" w:ascii="宋体" w:hAnsi="宋体"/>
          <w:b/>
          <w:sz w:val="28"/>
          <w:szCs w:val="28"/>
          <w:u w:val="single"/>
          <w:lang w:eastAsia="zh-CN"/>
        </w:rPr>
        <w:t>物业管理服务</w:t>
      </w:r>
      <w:r>
        <w:rPr>
          <w:rFonts w:hint="eastAsia" w:ascii="宋体" w:hAnsi="宋体"/>
          <w:b w:val="0"/>
          <w:bCs/>
          <w:sz w:val="28"/>
          <w:szCs w:val="28"/>
          <w:u w:val="none"/>
          <w:lang w:eastAsia="zh-CN"/>
        </w:rPr>
        <w:t>行业</w:t>
      </w:r>
      <w:r>
        <w:rPr>
          <w:rFonts w:hint="eastAsia" w:ascii="宋体" w:hAnsi="宋体"/>
          <w:spacing w:val="6"/>
          <w:sz w:val="28"/>
          <w:szCs w:val="28"/>
        </w:rPr>
        <w:t>；承接企业为</w:t>
      </w:r>
      <w:r>
        <w:rPr>
          <w:rFonts w:ascii="宋体" w:hAnsi="宋体"/>
          <w:spacing w:val="6"/>
          <w:sz w:val="28"/>
          <w:szCs w:val="28"/>
          <w:u w:val="single"/>
        </w:rPr>
        <w:t>XXX</w:t>
      </w:r>
      <w:r>
        <w:rPr>
          <w:rFonts w:hint="eastAsia" w:ascii="宋体" w:hAnsi="宋体"/>
          <w:spacing w:val="6"/>
          <w:sz w:val="28"/>
          <w:szCs w:val="28"/>
          <w:u w:val="single"/>
        </w:rPr>
        <w:t>X</w:t>
      </w:r>
      <w:r>
        <w:rPr>
          <w:rFonts w:ascii="宋体" w:hAnsi="宋体"/>
          <w:spacing w:val="6"/>
          <w:sz w:val="28"/>
          <w:szCs w:val="28"/>
          <w:u w:val="single"/>
        </w:rPr>
        <w:t>（企业名称）</w:t>
      </w:r>
      <w:r>
        <w:rPr>
          <w:rFonts w:hint="eastAsia" w:ascii="宋体" w:hAnsi="宋体"/>
          <w:spacing w:val="6"/>
          <w:sz w:val="28"/>
          <w:szCs w:val="28"/>
        </w:rPr>
        <w:t>，从业人员</w:t>
      </w:r>
      <w:r>
        <w:rPr>
          <w:rFonts w:ascii="宋体" w:hAnsi="宋体"/>
          <w:spacing w:val="6"/>
          <w:sz w:val="28"/>
          <w:szCs w:val="28"/>
          <w:u w:val="single"/>
        </w:rPr>
        <w:t>XX</w:t>
      </w:r>
      <w:r>
        <w:rPr>
          <w:rFonts w:hint="eastAsia" w:ascii="宋体" w:hAnsi="宋体"/>
          <w:spacing w:val="6"/>
          <w:sz w:val="28"/>
          <w:szCs w:val="28"/>
        </w:rPr>
        <w:t>人，营业收入为</w:t>
      </w:r>
      <w:r>
        <w:rPr>
          <w:rFonts w:ascii="宋体" w:hAnsi="宋体"/>
          <w:spacing w:val="6"/>
          <w:sz w:val="28"/>
          <w:szCs w:val="28"/>
          <w:u w:val="single"/>
        </w:rPr>
        <w:t>XX</w:t>
      </w:r>
      <w:r>
        <w:rPr>
          <w:rFonts w:hint="eastAsia" w:ascii="宋体" w:hAnsi="宋体"/>
          <w:spacing w:val="6"/>
          <w:sz w:val="28"/>
          <w:szCs w:val="28"/>
        </w:rPr>
        <w:t>万元，资产总额为</w:t>
      </w:r>
      <w:r>
        <w:rPr>
          <w:rFonts w:ascii="宋体" w:hAnsi="宋体"/>
          <w:spacing w:val="6"/>
          <w:sz w:val="28"/>
          <w:szCs w:val="28"/>
          <w:u w:val="single"/>
        </w:rPr>
        <w:t>XX</w:t>
      </w:r>
      <w:r>
        <w:rPr>
          <w:rFonts w:hint="eastAsia" w:ascii="宋体" w:hAnsi="宋体"/>
          <w:spacing w:val="6"/>
          <w:sz w:val="28"/>
          <w:szCs w:val="28"/>
        </w:rPr>
        <w:t>万元，属于</w:t>
      </w:r>
      <w:r>
        <w:rPr>
          <w:rFonts w:ascii="宋体" w:hAnsi="宋体"/>
          <w:spacing w:val="6"/>
          <w:sz w:val="28"/>
          <w:szCs w:val="28"/>
          <w:u w:val="single"/>
        </w:rPr>
        <w:t>XXXX（中型企业、小型企业、微型企业）</w:t>
      </w:r>
      <w:r>
        <w:rPr>
          <w:rFonts w:hint="eastAsia" w:ascii="宋体" w:hAnsi="宋体"/>
          <w:spacing w:val="6"/>
          <w:sz w:val="28"/>
          <w:szCs w:val="28"/>
        </w:rPr>
        <w:t>。</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本企业对上述声明内容的真实性负责。如有虚假，将依法承担相应责任。</w:t>
      </w: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spacing w:line="500" w:lineRule="exact"/>
        <w:ind w:firstLine="586" w:firstLineChars="200"/>
        <w:rPr>
          <w:rFonts w:ascii="宋体" w:hAnsi="宋体"/>
          <w:b/>
          <w:spacing w:val="6"/>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pStyle w:val="80"/>
        <w:tabs>
          <w:tab w:val="left" w:pos="567"/>
          <w:tab w:val="left" w:pos="709"/>
          <w:tab w:val="left" w:pos="851"/>
        </w:tabs>
        <w:spacing w:before="60" w:line="360" w:lineRule="auto"/>
        <w:ind w:firstLine="562"/>
        <w:rPr>
          <w:rFonts w:hint="eastAsia" w:ascii="宋体" w:hAnsi="宋体"/>
          <w:b/>
          <w:sz w:val="28"/>
          <w:szCs w:val="28"/>
        </w:rPr>
      </w:pPr>
      <w:r>
        <w:rPr>
          <w:rFonts w:hint="eastAsia" w:ascii="宋体" w:hAnsi="宋体"/>
          <w:b/>
          <w:kern w:val="0"/>
          <w:sz w:val="28"/>
          <w:szCs w:val="28"/>
        </w:rPr>
        <w:t>说明：</w:t>
      </w:r>
      <w:r>
        <w:rPr>
          <w:rFonts w:hint="eastAsia" w:ascii="宋体" w:hAnsi="宋体"/>
          <w:b/>
          <w:sz w:val="28"/>
          <w:szCs w:val="28"/>
        </w:rPr>
        <w:t>从业人员、营业收入、资产总额填报上一年度数据，无上一年度数据的新成立企业可不填报。</w:t>
      </w:r>
    </w:p>
    <w:p>
      <w:pPr>
        <w:spacing w:line="500" w:lineRule="exact"/>
        <w:ind w:firstLine="562" w:firstLineChars="200"/>
        <w:jc w:val="both"/>
        <w:rPr>
          <w:rFonts w:ascii="宋体" w:hAnsi="宋体"/>
          <w:b/>
          <w:bCs/>
          <w:color w:val="FF0000"/>
          <w:sz w:val="28"/>
          <w:szCs w:val="28"/>
        </w:rPr>
      </w:pPr>
      <w:r>
        <w:rPr>
          <w:rFonts w:hint="eastAsia" w:ascii="宋体" w:hAnsi="宋体"/>
          <w:b/>
          <w:sz w:val="28"/>
          <w:szCs w:val="28"/>
        </w:rPr>
        <w:t>如未提供</w:t>
      </w:r>
      <w:r>
        <w:rPr>
          <w:rFonts w:hint="eastAsia" w:ascii="宋体" w:hAnsi="宋体"/>
          <w:b/>
          <w:spacing w:val="6"/>
          <w:sz w:val="28"/>
          <w:szCs w:val="28"/>
        </w:rPr>
        <w:t>中小企业声明函</w:t>
      </w:r>
      <w:r>
        <w:rPr>
          <w:rFonts w:hint="eastAsia" w:ascii="宋体" w:hAnsi="宋体"/>
          <w:b/>
          <w:sz w:val="28"/>
          <w:szCs w:val="28"/>
        </w:rPr>
        <w:t>，不能享受招标文件规定的价格扣除，但不影响投标人投标文件的有效性</w:t>
      </w:r>
    </w:p>
    <w:p>
      <w:pPr>
        <w:pStyle w:val="80"/>
        <w:tabs>
          <w:tab w:val="left" w:pos="567"/>
          <w:tab w:val="left" w:pos="709"/>
          <w:tab w:val="left" w:pos="851"/>
        </w:tabs>
        <w:spacing w:before="60" w:line="360" w:lineRule="auto"/>
        <w:ind w:firstLine="562"/>
        <w:rPr>
          <w:rFonts w:hint="eastAsia" w:ascii="宋体" w:hAnsi="宋体"/>
          <w:b/>
          <w:sz w:val="28"/>
          <w:szCs w:val="28"/>
        </w:rPr>
      </w:pPr>
    </w:p>
    <w:p>
      <w:pPr>
        <w:pStyle w:val="5"/>
        <w:numPr>
          <w:ilvl w:val="2"/>
          <w:numId w:val="5"/>
        </w:numPr>
        <w:spacing w:after="200" w:line="240" w:lineRule="auto"/>
        <w:ind w:left="851"/>
        <w:rPr>
          <w:color w:val="auto"/>
        </w:rPr>
      </w:pPr>
      <w:r>
        <w:rPr>
          <w:rFonts w:hint="eastAsia"/>
          <w:color w:val="auto"/>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lang w:eastAsia="zh-CN"/>
        </w:rPr>
        <w:t>彭州市人民医院</w:t>
      </w:r>
      <w:r>
        <w:rPr>
          <w:rFonts w:hint="eastAsia" w:ascii="宋体" w:hAnsi="宋体"/>
          <w:spacing w:val="6"/>
          <w:sz w:val="28"/>
          <w:szCs w:val="28"/>
        </w:rPr>
        <w:t>单位的</w:t>
      </w:r>
      <w:r>
        <w:rPr>
          <w:rFonts w:hint="eastAsia" w:ascii="宋体" w:hAnsi="宋体"/>
          <w:b/>
          <w:sz w:val="28"/>
          <w:szCs w:val="28"/>
          <w:u w:val="single"/>
        </w:rPr>
        <w:fldChar w:fldCharType="begin"/>
      </w:r>
      <w:r>
        <w:rPr>
          <w:rFonts w:hint="eastAsia" w:ascii="宋体" w:hAnsi="宋体"/>
          <w:b/>
          <w:sz w:val="28"/>
          <w:szCs w:val="28"/>
          <w:u w:val="single"/>
        </w:rPr>
        <w:instrText xml:space="preserve"> HYPERLINK "https://www.zcygov.cn/proj-procurement/project-result-detail/5f83cd05a512ba72?utm=web-project-center-front.54583802.0.0.d5fd9930a66411ec9b12bf46eef76df5" \t "https://www.zcygov.cn/project-center/self-project/_blank" </w:instrText>
      </w:r>
      <w:r>
        <w:rPr>
          <w:rFonts w:hint="eastAsia" w:ascii="宋体" w:hAnsi="宋体"/>
          <w:b/>
          <w:sz w:val="28"/>
          <w:szCs w:val="28"/>
          <w:u w:val="single"/>
        </w:rPr>
        <w:fldChar w:fldCharType="separate"/>
      </w:r>
      <w:r>
        <w:rPr>
          <w:rFonts w:hint="eastAsia" w:ascii="宋体" w:hAnsi="宋体"/>
          <w:b/>
          <w:sz w:val="28"/>
          <w:szCs w:val="28"/>
          <w:u w:val="single"/>
        </w:rPr>
        <w:t>彭州市人民医院物业管理服务采购项目</w:t>
      </w:r>
      <w:r>
        <w:rPr>
          <w:rFonts w:hint="eastAsia" w:ascii="宋体" w:hAnsi="宋体"/>
          <w:b/>
          <w:sz w:val="28"/>
          <w:szCs w:val="28"/>
          <w:u w:val="single"/>
        </w:rPr>
        <w:fldChar w:fldCharType="end"/>
      </w:r>
      <w:r>
        <w:rPr>
          <w:rFonts w:hint="eastAsia" w:ascii="宋体" w:hAnsi="宋体"/>
          <w:b/>
          <w:sz w:val="28"/>
          <w:szCs w:val="28"/>
          <w:u w:val="single"/>
        </w:rPr>
        <w:t>采购项目</w:t>
      </w:r>
      <w:r>
        <w:rPr>
          <w:rFonts w:hint="eastAsia" w:ascii="宋体" w:hAnsi="宋体"/>
          <w:spacing w:val="6"/>
          <w:sz w:val="28"/>
          <w:szCs w:val="28"/>
        </w:rPr>
        <w:t>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overflowPunct w:val="0"/>
        <w:spacing w:line="546"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pStyle w:val="17"/>
        <w:rPr>
          <w:rFonts w:ascii="宋体" w:hAnsi="宋体"/>
          <w:b/>
          <w:bCs/>
          <w:color w:val="FF0000"/>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rPr>
          <w:rFonts w:ascii="宋体" w:hAnsi="宋体"/>
          <w:b/>
          <w:bCs/>
          <w:color w:val="FF0000"/>
          <w:sz w:val="28"/>
          <w:szCs w:val="28"/>
        </w:rPr>
      </w:pPr>
    </w:p>
    <w:p>
      <w:pPr>
        <w:spacing w:line="500" w:lineRule="exact"/>
        <w:jc w:val="both"/>
        <w:rPr>
          <w:rFonts w:ascii="宋体" w:hAnsi="宋体"/>
          <w:b/>
          <w:bCs/>
          <w:color w:val="FF0000"/>
          <w:sz w:val="28"/>
          <w:szCs w:val="28"/>
        </w:rPr>
      </w:pPr>
      <w:r>
        <w:rPr>
          <w:rFonts w:hint="eastAsia" w:ascii="宋体" w:hAnsi="宋体"/>
          <w:b/>
          <w:spacing w:val="6"/>
          <w:sz w:val="28"/>
          <w:szCs w:val="28"/>
        </w:rPr>
        <w:t>说明：</w:t>
      </w:r>
      <w:r>
        <w:rPr>
          <w:rFonts w:hint="eastAsia" w:ascii="宋体" w:hAnsi="宋体"/>
          <w:b/>
          <w:sz w:val="28"/>
          <w:szCs w:val="28"/>
        </w:rPr>
        <w:t>如未提供</w:t>
      </w:r>
      <w:r>
        <w:rPr>
          <w:rFonts w:hint="eastAsia" w:ascii="宋体" w:hAnsi="宋体"/>
          <w:b/>
          <w:spacing w:val="6"/>
          <w:sz w:val="28"/>
          <w:szCs w:val="28"/>
        </w:rPr>
        <w:t>残疾人福利性单位声明函</w:t>
      </w:r>
      <w:r>
        <w:rPr>
          <w:rFonts w:hint="eastAsia" w:ascii="宋体" w:hAnsi="宋体"/>
          <w:b/>
          <w:sz w:val="28"/>
          <w:szCs w:val="28"/>
        </w:rPr>
        <w:t>的，不能享受招标文件规定的价格扣除，但不影响投标人投标文件的有效性</w:t>
      </w:r>
    </w:p>
    <w:p>
      <w:pPr>
        <w:rPr>
          <w:rFonts w:ascii="宋体" w:hAnsi="宋体"/>
          <w:b/>
          <w:bCs/>
          <w:color w:val="FF0000"/>
          <w:sz w:val="28"/>
          <w:szCs w:val="28"/>
        </w:rPr>
      </w:pPr>
    </w:p>
    <w:p>
      <w:pPr>
        <w:pStyle w:val="17"/>
        <w:rPr>
          <w:rFonts w:ascii="宋体" w:hAnsi="宋体"/>
          <w:b/>
          <w:bCs/>
          <w:color w:val="FF0000"/>
          <w:sz w:val="28"/>
          <w:szCs w:val="28"/>
        </w:rPr>
      </w:pPr>
    </w:p>
    <w:p>
      <w:pPr>
        <w:rPr>
          <w:rFonts w:ascii="宋体" w:hAnsi="宋体"/>
          <w:b/>
          <w:bCs/>
          <w:color w:val="FF0000"/>
          <w:sz w:val="28"/>
          <w:szCs w:val="28"/>
        </w:rPr>
      </w:pPr>
    </w:p>
    <w:p>
      <w:pPr>
        <w:pStyle w:val="17"/>
        <w:rPr>
          <w:rFonts w:ascii="宋体" w:hAnsi="宋体"/>
          <w:b/>
          <w:bCs/>
          <w:color w:val="FF0000"/>
          <w:sz w:val="28"/>
          <w:szCs w:val="28"/>
        </w:rPr>
      </w:pPr>
    </w:p>
    <w:p/>
    <w:p/>
    <w:p>
      <w:pPr>
        <w:pStyle w:val="17"/>
        <w:rPr>
          <w:rFonts w:ascii="宋体" w:hAnsi="宋体"/>
          <w:b/>
          <w:bCs/>
          <w:color w:val="FF0000"/>
          <w:sz w:val="28"/>
          <w:szCs w:val="28"/>
        </w:rPr>
      </w:pPr>
    </w:p>
    <w:p/>
    <w:p>
      <w:pPr>
        <w:keepNext/>
        <w:keepLines/>
        <w:numPr>
          <w:ilvl w:val="2"/>
          <w:numId w:val="5"/>
        </w:numPr>
        <w:spacing w:line="360" w:lineRule="auto"/>
        <w:ind w:left="3119" w:hanging="3119"/>
        <w:outlineLvl w:val="2"/>
        <w:rPr>
          <w:rFonts w:ascii="宋体" w:hAnsi="宋体"/>
          <w:b/>
          <w:bCs/>
          <w:color w:val="auto"/>
          <w:sz w:val="28"/>
          <w:szCs w:val="28"/>
        </w:rPr>
      </w:pPr>
      <w:r>
        <w:rPr>
          <w:rFonts w:hint="eastAsia" w:ascii="宋体" w:hAnsi="宋体"/>
          <w:b/>
          <w:bCs/>
          <w:color w:val="auto"/>
          <w:sz w:val="28"/>
          <w:szCs w:val="28"/>
          <w:lang w:eastAsia="zh-CN"/>
        </w:rPr>
        <w:t>承接的服务属于监狱企业的证明文件的复印件</w:t>
      </w:r>
    </w:p>
    <w:p>
      <w:pPr>
        <w:tabs>
          <w:tab w:val="left" w:pos="3969"/>
        </w:tabs>
        <w:spacing w:line="588" w:lineRule="exact"/>
        <w:ind w:right="-58" w:firstLine="708" w:firstLineChars="253"/>
        <w:rPr>
          <w:rFonts w:ascii="宋体" w:hAnsi="宋体"/>
          <w:spacing w:val="6"/>
          <w:sz w:val="28"/>
          <w:szCs w:val="28"/>
        </w:rPr>
      </w:pPr>
      <w:r>
        <w:rPr>
          <w:sz w:val="28"/>
          <w:szCs w:val="28"/>
        </w:rPr>
        <w:t>投标产品中为监狱企业</w:t>
      </w:r>
      <w:r>
        <w:rPr>
          <w:rFonts w:hint="eastAsia"/>
          <w:sz w:val="28"/>
          <w:szCs w:val="28"/>
          <w:lang w:eastAsia="zh-CN"/>
        </w:rPr>
        <w:t>承接的服务</w:t>
      </w:r>
      <w:r>
        <w:rPr>
          <w:sz w:val="28"/>
          <w:szCs w:val="28"/>
        </w:rPr>
        <w:t>应提供由省级以上监狱管理局、戒毒管理局（含新疆生产建设兵团）出具的属于监狱企业的证明文件复印件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Pr>
        <w:pStyle w:val="12"/>
        <w:spacing w:after="0" w:line="240" w:lineRule="auto"/>
        <w:ind w:firstLine="0"/>
        <w:rPr>
          <w:rFonts w:ascii="宋体" w:hAnsi="宋体"/>
          <w:b/>
          <w:sz w:val="28"/>
        </w:rPr>
      </w:pPr>
    </w:p>
    <w:p>
      <w:pPr>
        <w:pStyle w:val="12"/>
        <w:spacing w:after="0" w:line="240" w:lineRule="auto"/>
        <w:ind w:firstLine="0"/>
        <w:rPr>
          <w:rFonts w:ascii="宋体" w:hAnsi="宋体"/>
          <w:b/>
          <w:sz w:val="28"/>
        </w:rPr>
      </w:pPr>
    </w:p>
    <w:p>
      <w:pPr>
        <w:pStyle w:val="12"/>
        <w:spacing w:after="0" w:line="240" w:lineRule="auto"/>
        <w:ind w:firstLine="0"/>
        <w:rPr>
          <w:rFonts w:ascii="宋体" w:hAnsi="宋体"/>
          <w:b/>
          <w:color w:val="auto"/>
          <w:sz w:val="28"/>
        </w:rPr>
      </w:pPr>
    </w:p>
    <w:bookmarkEnd w:id="142"/>
    <w:p>
      <w:pPr>
        <w:keepNext/>
        <w:keepLines/>
        <w:numPr>
          <w:ilvl w:val="0"/>
          <w:numId w:val="5"/>
        </w:numPr>
        <w:spacing w:line="360" w:lineRule="auto"/>
        <w:ind w:left="3082" w:leftChars="0" w:firstLine="0" w:firstLineChars="0"/>
        <w:jc w:val="center"/>
        <w:outlineLvl w:val="0"/>
        <w:rPr>
          <w:rFonts w:ascii="宋体" w:hAnsi="宋体"/>
          <w:b/>
          <w:bCs/>
          <w:color w:val="auto"/>
          <w:spacing w:val="-20"/>
          <w:kern w:val="44"/>
          <w:sz w:val="32"/>
          <w:szCs w:val="32"/>
        </w:rPr>
      </w:pPr>
      <w:bookmarkStart w:id="144" w:name="_Toc217446093"/>
      <w:bookmarkStart w:id="145" w:name="_Toc84599910"/>
      <w:bookmarkStart w:id="146" w:name="_Toc321382057"/>
      <w:bookmarkStart w:id="147" w:name="_Toc316292231"/>
      <w:r>
        <w:rPr>
          <w:rFonts w:hint="eastAsia" w:ascii="宋体" w:hAnsi="宋体"/>
          <w:b/>
          <w:bCs/>
          <w:color w:val="auto"/>
          <w:spacing w:val="-20"/>
          <w:kern w:val="44"/>
          <w:sz w:val="32"/>
          <w:szCs w:val="32"/>
        </w:rPr>
        <w:t>招标项目技术、服务、商务及其他要求</w:t>
      </w:r>
      <w:bookmarkEnd w:id="144"/>
      <w:bookmarkEnd w:id="145"/>
    </w:p>
    <w:p>
      <w:pPr>
        <w:rPr>
          <w:color w:val="FF0000"/>
        </w:rPr>
      </w:pPr>
      <w:bookmarkStart w:id="148" w:name="_Toc513796936"/>
      <w:bookmarkStart w:id="149" w:name="_Toc529173741"/>
      <w:bookmarkStart w:id="150" w:name="_Toc533672602"/>
    </w:p>
    <w:p>
      <w:pPr>
        <w:pStyle w:val="4"/>
        <w:pageBreakBefore w:val="0"/>
        <w:widowControl w:val="0"/>
        <w:numPr>
          <w:ilvl w:val="1"/>
          <w:numId w:val="5"/>
        </w:numPr>
        <w:tabs>
          <w:tab w:val="left" w:pos="426"/>
          <w:tab w:val="left" w:pos="567"/>
        </w:tabs>
        <w:kinsoku/>
        <w:wordWrap/>
        <w:overflowPunct/>
        <w:topLinePunct w:val="0"/>
        <w:autoSpaceDE/>
        <w:autoSpaceDN/>
        <w:bidi w:val="0"/>
        <w:adjustRightInd/>
        <w:snapToGrid/>
        <w:spacing w:before="0" w:after="200" w:line="560" w:lineRule="exact"/>
        <w:jc w:val="both"/>
        <w:textAlignment w:val="auto"/>
        <w:rPr>
          <w:rFonts w:hint="eastAsia" w:ascii="宋体" w:hAnsi="宋体" w:eastAsia="宋体" w:cs="宋体"/>
          <w:b/>
          <w:bCs/>
          <w:kern w:val="2"/>
          <w:sz w:val="24"/>
          <w:szCs w:val="24"/>
          <w:lang w:val="en-US" w:eastAsia="zh-CN" w:bidi="ar-SA"/>
        </w:rPr>
      </w:pPr>
      <w:bookmarkStart w:id="151" w:name="_Toc77688489"/>
      <w:bookmarkStart w:id="152" w:name="_Toc84599911"/>
      <w:r>
        <w:rPr>
          <w:rFonts w:hint="eastAsia" w:ascii="宋体" w:hAnsi="宋体" w:eastAsia="宋体" w:cs="宋体"/>
          <w:b/>
          <w:bCs/>
          <w:kern w:val="2"/>
          <w:sz w:val="24"/>
          <w:szCs w:val="24"/>
          <w:lang w:val="en-US" w:eastAsia="zh-CN" w:bidi="ar-SA"/>
        </w:rPr>
        <w:t>项目概况</w:t>
      </w:r>
      <w:bookmarkEnd w:id="151"/>
      <w:bookmarkEnd w:id="152"/>
    </w:p>
    <w:p>
      <w:pPr>
        <w:pStyle w:val="152"/>
        <w:spacing w:line="360" w:lineRule="auto"/>
        <w:ind w:firstLine="480"/>
        <w:rPr>
          <w:rFonts w:hint="default" w:ascii="宋体" w:hAnsi="宋体" w:cs="宋体"/>
          <w:sz w:val="24"/>
          <w:szCs w:val="24"/>
          <w:lang w:val="en-US" w:eastAsia="zh-CN"/>
        </w:rPr>
      </w:pPr>
      <w:r>
        <w:rPr>
          <w:rFonts w:hint="eastAsia" w:ascii="宋体" w:hAnsi="宋体" w:cs="宋体"/>
          <w:sz w:val="24"/>
          <w:szCs w:val="24"/>
          <w:lang w:val="en-US" w:eastAsia="zh-CN"/>
        </w:rPr>
        <w:t>彭州市人民</w:t>
      </w:r>
      <w:r>
        <w:rPr>
          <w:rFonts w:hint="eastAsia" w:ascii="宋体" w:hAnsi="宋体" w:cs="宋体"/>
          <w:sz w:val="24"/>
          <w:szCs w:val="24"/>
        </w:rPr>
        <w:t>医院拟对“</w:t>
      </w:r>
      <w:r>
        <w:rPr>
          <w:rFonts w:hint="eastAsia" w:ascii="宋体" w:hAnsi="宋体" w:cs="宋体"/>
          <w:sz w:val="24"/>
          <w:szCs w:val="24"/>
          <w:lang w:val="en-US" w:eastAsia="zh-CN"/>
        </w:rPr>
        <w:t>彭州市人民</w:t>
      </w:r>
      <w:r>
        <w:rPr>
          <w:rFonts w:hint="eastAsia" w:ascii="宋体" w:hAnsi="宋体" w:cs="宋体"/>
          <w:sz w:val="24"/>
          <w:szCs w:val="24"/>
        </w:rPr>
        <w:t>医院2021年物业管理服务采购项目”依法进行政府采购。</w:t>
      </w:r>
      <w:r>
        <w:rPr>
          <w:rFonts w:hint="eastAsia" w:ascii="宋体" w:hAnsi="宋体" w:cs="宋体"/>
          <w:sz w:val="24"/>
          <w:szCs w:val="24"/>
          <w:lang w:val="en-US" w:eastAsia="zh-CN"/>
        </w:rPr>
        <w:t>彭州市人民医院是三级甲等综合医院，现在一院三区格局，分别为城南院区、金彭西路院区、祥福院区，编制床位799张，开放床位1106张。金彭西路院区占地面积30684.81㎡，总建筑面积25560.98㎡，其中门急诊、医技楼、住院大楼建筑面积20018.33㎡，体检中心建筑面积2150㎡，餐厅面积145.6㎡，血防综合楼建筑面积3247.05，机动车停车位：170个。 城南院区占地面积77905.72㎡，总建筑面积51101.7㎡，其中：门诊医技楼21205.1㎡；连廊142.8㎡；住院楼26823.4㎡，供应室面积943㎡，食堂面积1521.4㎡，绿化面积23181.9㎡，机动车停车位： 585个 ，非机动车停车位：1641.5㎡。本项目预算金额：10838581元/年，本项目最高限价10838581元/年，(含现有业务9991817元/年,拟开展业务EICU 169352.8元/年、高压氧仓84676.4元/年、内镜中心84676.4元/年、感染病区338705.6元/年、其他169352.8元/年)，物业管理项目实际支付服务费=现有业务费用+实际开展业务费用。</w:t>
      </w:r>
    </w:p>
    <w:p>
      <w:pPr>
        <w:pStyle w:val="4"/>
        <w:numPr>
          <w:ilvl w:val="1"/>
          <w:numId w:val="5"/>
        </w:numPr>
        <w:tabs>
          <w:tab w:val="left" w:pos="426"/>
          <w:tab w:val="left" w:pos="567"/>
        </w:tabs>
        <w:spacing w:before="0" w:after="200"/>
        <w:jc w:val="both"/>
        <w:rPr>
          <w:rFonts w:hint="eastAsia" w:ascii="宋体" w:hAnsi="宋体" w:eastAsia="宋体" w:cs="宋体"/>
          <w:b/>
          <w:bCs/>
          <w:kern w:val="2"/>
          <w:sz w:val="24"/>
          <w:szCs w:val="24"/>
          <w:lang w:val="en-US" w:eastAsia="zh-CN" w:bidi="ar-SA"/>
        </w:rPr>
      </w:pPr>
      <w:bookmarkStart w:id="153" w:name="_Toc77688490"/>
      <w:bookmarkStart w:id="154" w:name="_Toc84599912"/>
      <w:r>
        <w:rPr>
          <w:rFonts w:hint="eastAsia" w:ascii="宋体" w:hAnsi="宋体" w:eastAsia="宋体" w:cs="宋体"/>
          <w:b/>
          <w:bCs/>
          <w:kern w:val="2"/>
          <w:sz w:val="24"/>
          <w:szCs w:val="24"/>
          <w:lang w:val="en-US" w:eastAsia="zh-CN" w:bidi="ar-SA"/>
        </w:rPr>
        <w:t>总体要求</w:t>
      </w:r>
    </w:p>
    <w:p>
      <w:pPr>
        <w:pStyle w:val="312"/>
        <w:adjustRightInd w:val="0"/>
        <w:snapToGrid w:val="0"/>
        <w:spacing w:line="360" w:lineRule="auto"/>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根据2017年颁发的《国务院办公厅关于建立现代医院管理制度的指导意见》对“后勤一站式”服务模式给出了指导意见，以打造后勤一站式服务模式为目标，配备专业的后勤保障团队，协助院方建立符合自身实际的后勤管理制度和服务流程，对保洁、中央运送、被服洗涤、医废管理等后勤服务进行一站式闭环管理，从人员、安全、品质、成本、满意度等维度全面提升医院的后勤服务质量，提升医院的品牌形象。</w:t>
      </w:r>
    </w:p>
    <w:p>
      <w:pPr>
        <w:spacing w:line="360" w:lineRule="auto"/>
        <w:ind w:firstLine="480" w:firstLineChars="200"/>
        <w:rPr>
          <w:rFonts w:ascii="宋体" w:hAnsi="宋体" w:cs="宋体"/>
          <w:sz w:val="24"/>
          <w:szCs w:val="24"/>
        </w:rPr>
      </w:pPr>
      <w:r>
        <w:rPr>
          <w:rFonts w:hint="eastAsia" w:ascii="宋体" w:hAnsi="宋体" w:cs="宋体"/>
          <w:sz w:val="24"/>
          <w:szCs w:val="24"/>
        </w:rPr>
        <w:t>一、办公用房，由采购人提供。消洗中心设施设备，由投标人提供。消洗中心环境质量及污水排放要符合环保要求,清洗消毒灭菌流程应符合医院院感要求：可重复使用的清洁用具（如抹布、地巾（拖把头）等）进行复用处置；采取全院集中处置的形式；采用机械清洗，热力消毒（A0值要求≥600），机械干燥，装箱备用。对塑料类洁具（如，水桶、拖把柄等）可采用含氯消毒剂或其它适宜消毒剂进行擦拭或浸泡消毒。</w:t>
      </w:r>
    </w:p>
    <w:p>
      <w:pPr>
        <w:spacing w:line="360" w:lineRule="auto"/>
        <w:ind w:firstLine="480" w:firstLineChars="200"/>
        <w:rPr>
          <w:rFonts w:ascii="宋体" w:hAnsi="宋体" w:cs="宋体"/>
          <w:sz w:val="24"/>
          <w:szCs w:val="24"/>
        </w:rPr>
      </w:pPr>
      <w:r>
        <w:rPr>
          <w:rFonts w:hint="eastAsia" w:ascii="宋体" w:hAnsi="宋体" w:cs="宋体"/>
          <w:sz w:val="24"/>
          <w:szCs w:val="24"/>
        </w:rPr>
        <w:t>二、公共能耗费用由采购人承担；采购人提供各类垃圾桶、各类地垫、医用消毒品、厕所擦手纸、卷纸、洗手液、电梯消毒剂、医废垃圾运输车、医疗垃圾的外运和垃圾处理。</w:t>
      </w:r>
    </w:p>
    <w:p>
      <w:pPr>
        <w:spacing w:line="360" w:lineRule="auto"/>
        <w:ind w:firstLine="480" w:firstLineChars="200"/>
        <w:rPr>
          <w:rFonts w:ascii="宋体" w:hAnsi="宋体" w:cs="宋体"/>
          <w:sz w:val="24"/>
          <w:szCs w:val="24"/>
        </w:rPr>
      </w:pPr>
      <w:r>
        <w:rPr>
          <w:rFonts w:hint="eastAsia" w:ascii="宋体" w:hAnsi="宋体" w:cs="宋体"/>
          <w:sz w:val="24"/>
          <w:szCs w:val="24"/>
        </w:rPr>
        <w:t>三、中标人提供保洁用的工具、生活及医疗垃圾袋、生活垃圾运输车、清洁剂、洗涤剂、地面清洁材料。投标人提供的工具、耗材、设备符合国家相关规定，经正规渠道采购，具有产品合格证质量证明。</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四、本物业管理服务工作的所有费用，包含并不仅限于：</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（一） 人工费用 ： 包括正常作业所需的一切人员工资 、 各类奖金 、 超时和法定节假日加班费、夜餐费、五险、高温费、食宿与交通费等补贴；</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（二）设备器材费：包括行政办公、保洁、运送等所需的所有设备和工具；</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（三） 消耗材料 ： 包括生活垃圾袋 、 医用垃圾袋不足部分 、 拖把 、 扫把 、 一床一巾、不锈钢油、蜡（选用 3M 、庄臣或同档次及以上品牌）等提供物业服务所需要的所有消耗材料；</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（四）服装费用（符合医院文化及规范）；</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（五）专项费用如下，工作量依据年度计划可能会有增减：</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1.各类临时性任务（含院内搬迁）; </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2.PVC 地（墙）面养护费用不少于3次/年;</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3.石材地（墙）面养护不少于2次/年;</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4.突发事件应对，应急抢修抢险费用；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5.各种会场摆放、会议接待及服务；</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（六）安全保障费用；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（七）教育培训费用；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（八）管理费、税费、利润；</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（九）清洁用具复用处理费用；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（十）物业管理一站式服务平台费用；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（十一）完成合同所需的一切本身和不可或缺的所有工作开支、政策性文件规定及合同包含的所有风险、责任等各项全部费用，并承担一切风险责任。</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二）服务期内投标人应服从采购人的管理要求，对采购人提出的服务标准的提高及临时交办的其他物业服务应予以积极响应，投标人报价时应充分考虑此因素。应对突发事件根据需要临时增加服务人员，费用包含在投标报价中，不另行单独计算。</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五、投标人应有岗前培训机构，服务人员100%经过岗前培训合格才能上岗。定期进行职业培训和考核，教育员工节约用水用电，爱护公共财物。礼貌服务，日常工作中使用文明用语，遵守医院服务标准和要求。组织所有员工参加感染知识培训及学习基本的操作规程。</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六、保洁人员根据医院院感管理要求，协助各病区收集医废垃圾和生活垃圾。负责与医废垃圾回收人员办理交接手续，签字手续清楚，不得任意遗弃或以其他方式造成垃圾流失。其他废旧物资根据医院规定，由医院统一组织人员回收。</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七、投标人项目质量管理需满足质量管理、环境管理、职业健康安全管理的要求。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八、投标人应针对本项目，制定合理的物业服务分析，应满足采购需求，包含①一站式智慧后勤整体服务思路（包括政策理解、服务体系（服务理念、实施计划）、一站式服务模式、信息化与后勤服务相结合的内容。）②一站式智慧后勤整体管理目标（管理目标须从安全、人员、质量品质、效率、满意度等维度进行详细阐述，同时以上五点须通过信息化工具进行逐一展示。）③本项目特点的分析理解（分析体现了本项目的服务现状和重点难点）④项目入驻和承接查验方案（包括进场交接措施、人员安置及设备处置措施、承接查验措施）3个方面。</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九、投标人应根据本项目的采购需求制定保洁、中央运送、应急及新冠疫情关于物业相关的服务方案，保洁方案中应有保洁工作计划安排、保洁专项保养计划及专项治理措施、保洁作业操作规程、特殊科室保洁每日工作计划安排、特殊科室保洁人员防护措施、特殊科室保洁作业规程、新冠医疗废物处置规范及流程、医废管理系统应用能力描述；运送方案应有中央运送工作计划安排、作业操作规程、考核标准方案。</w:t>
      </w:r>
    </w:p>
    <w:p>
      <w:pPr>
        <w:spacing w:line="360" w:lineRule="auto"/>
        <w:ind w:firstLine="480" w:firstLineChars="200"/>
        <w:rPr>
          <w:rFonts w:hint="eastAsia" w:ascii="宋体" w:hAnsi="宋体" w:cs="宋体"/>
          <w:b/>
          <w:bCs/>
          <w:sz w:val="24"/>
          <w:szCs w:val="24"/>
        </w:rPr>
      </w:pPr>
      <w:r>
        <w:rPr>
          <w:rFonts w:hint="eastAsia" w:ascii="宋体" w:hAnsi="宋体" w:cs="宋体"/>
          <w:sz w:val="24"/>
          <w:szCs w:val="24"/>
        </w:rPr>
        <w:t>★</w:t>
      </w:r>
      <w:r>
        <w:rPr>
          <w:rFonts w:hint="eastAsia" w:ascii="宋体" w:hAnsi="宋体" w:cs="宋体"/>
          <w:b/>
          <w:bCs/>
          <w:sz w:val="24"/>
          <w:szCs w:val="24"/>
        </w:rPr>
        <w:t>十、投标人设立24小时的中央调度中心，设置24小时热线号码响应调度需求，为运送员工配备手持终端设备及对讲机。调度中心统一整合运送人力资源的安排，提高工作效率及运输准确率，有调度指令二十分钟之内到达指定地点提供服务</w:t>
      </w:r>
      <w:r>
        <w:rPr>
          <w:rFonts w:hint="eastAsia" w:ascii="宋体" w:hAnsi="宋体" w:cs="宋体"/>
          <w:b/>
          <w:bCs/>
          <w:sz w:val="24"/>
          <w:szCs w:val="24"/>
          <w:lang w:eastAsia="zh-CN"/>
        </w:rPr>
        <w:t>。（</w:t>
      </w:r>
      <w:r>
        <w:rPr>
          <w:rFonts w:hint="eastAsia" w:ascii="宋体" w:hAnsi="宋体" w:cs="宋体"/>
          <w:b/>
          <w:bCs/>
          <w:color w:val="auto"/>
          <w:sz w:val="24"/>
          <w:szCs w:val="24"/>
        </w:rPr>
        <w:t>投标人须提供承诺函</w:t>
      </w:r>
      <w:r>
        <w:rPr>
          <w:rFonts w:hint="eastAsia" w:ascii="宋体" w:hAnsi="宋体" w:cs="宋体"/>
          <w:b/>
          <w:bCs/>
          <w:sz w:val="24"/>
          <w:szCs w:val="24"/>
          <w:lang w:eastAsia="zh-CN"/>
        </w:rPr>
        <w:t>）</w:t>
      </w:r>
      <w:r>
        <w:rPr>
          <w:rFonts w:hint="eastAsia" w:ascii="宋体" w:hAnsi="宋体" w:cs="宋体"/>
          <w:b/>
          <w:bCs/>
          <w:sz w:val="24"/>
          <w:szCs w:val="24"/>
        </w:rPr>
        <w:t>。</w:t>
      </w:r>
    </w:p>
    <w:p>
      <w:pPr>
        <w:spacing w:line="360" w:lineRule="auto"/>
        <w:ind w:firstLine="480" w:firstLineChars="200"/>
        <w:rPr>
          <w:rFonts w:hint="eastAsia" w:ascii="宋体" w:hAnsi="宋体" w:cs="宋体"/>
          <w:sz w:val="24"/>
          <w:szCs w:val="24"/>
        </w:rPr>
      </w:pPr>
      <w:r>
        <w:rPr>
          <w:rFonts w:hint="eastAsia" w:ascii="宋体" w:hAnsi="宋体" w:cs="宋体"/>
          <w:b w:val="0"/>
          <w:bCs w:val="0"/>
          <w:color w:val="auto"/>
          <w:sz w:val="24"/>
          <w:szCs w:val="24"/>
        </w:rPr>
        <w:t>十一、投标人能运用中央运送、保洁软件系统对医院运送、保洁服务进行高效的派工和管理，进行服务标准、服务品质的监管，对数据进行汇总和统计，能随时提供相应的数据，给院方的决策进行支持。投标人提供的中央运送和保洁系统要符合医院实际情况并可接入医院现有的</w:t>
      </w:r>
      <w:r>
        <w:rPr>
          <w:rFonts w:hint="eastAsia" w:ascii="宋体" w:hAnsi="宋体" w:cs="宋体"/>
          <w:b w:val="0"/>
          <w:bCs w:val="0"/>
          <w:color w:val="auto"/>
          <w:sz w:val="24"/>
          <w:szCs w:val="24"/>
          <w:lang w:val="en-US" w:eastAsia="zh-CN"/>
        </w:rPr>
        <w:t>信息化平台</w:t>
      </w:r>
      <w:r>
        <w:rPr>
          <w:rFonts w:hint="eastAsia" w:ascii="宋体" w:hAnsi="宋体" w:cs="宋体"/>
          <w:b w:val="0"/>
          <w:bCs w:val="0"/>
          <w:color w:val="auto"/>
          <w:sz w:val="24"/>
          <w:szCs w:val="24"/>
        </w:rPr>
        <w:t>，对接方式包括单点登录+统一鉴权，用户登陆</w:t>
      </w:r>
      <w:r>
        <w:rPr>
          <w:rFonts w:hint="eastAsia" w:ascii="宋体" w:hAnsi="宋体" w:cs="宋体"/>
          <w:b w:val="0"/>
          <w:bCs w:val="0"/>
          <w:color w:val="auto"/>
          <w:sz w:val="24"/>
          <w:szCs w:val="24"/>
          <w:lang w:val="en-US" w:eastAsia="zh-CN"/>
        </w:rPr>
        <w:t>信息化</w:t>
      </w:r>
      <w:r>
        <w:rPr>
          <w:rFonts w:hint="eastAsia" w:ascii="宋体" w:hAnsi="宋体" w:cs="宋体"/>
          <w:b w:val="0"/>
          <w:bCs w:val="0"/>
          <w:color w:val="auto"/>
          <w:sz w:val="24"/>
          <w:szCs w:val="24"/>
        </w:rPr>
        <w:t>平台后，可以通过平台门户经过统一鉴权，直接进入并使用系统，无需二次登录，包括Web端和APP端，便于</w:t>
      </w:r>
      <w:r>
        <w:rPr>
          <w:rFonts w:hint="eastAsia" w:ascii="宋体" w:hAnsi="宋体" w:cs="宋体"/>
          <w:b w:val="0"/>
          <w:bCs w:val="0"/>
          <w:color w:val="auto"/>
          <w:sz w:val="24"/>
          <w:szCs w:val="24"/>
          <w:lang w:val="en-US" w:eastAsia="zh-CN"/>
        </w:rPr>
        <w:t>医院</w:t>
      </w:r>
      <w:r>
        <w:rPr>
          <w:rFonts w:hint="eastAsia" w:ascii="宋体" w:hAnsi="宋体" w:cs="宋体"/>
          <w:b w:val="0"/>
          <w:bCs w:val="0"/>
          <w:color w:val="auto"/>
          <w:sz w:val="24"/>
          <w:szCs w:val="24"/>
        </w:rPr>
        <w:t>信息化统一管理</w:t>
      </w:r>
      <w:r>
        <w:rPr>
          <w:rFonts w:hint="eastAsia" w:ascii="宋体" w:hAnsi="宋体" w:cs="宋体"/>
          <w:b w:val="0"/>
          <w:bCs w:val="0"/>
          <w:color w:val="auto"/>
          <w:sz w:val="24"/>
          <w:szCs w:val="24"/>
          <w:lang w:eastAsia="zh-CN"/>
        </w:rPr>
        <w:t>，</w:t>
      </w:r>
      <w:r>
        <w:rPr>
          <w:rFonts w:hint="eastAsia" w:ascii="宋体" w:hAnsi="宋体" w:cs="宋体"/>
          <w:b w:val="0"/>
          <w:bCs w:val="0"/>
          <w:color w:val="auto"/>
          <w:sz w:val="24"/>
          <w:szCs w:val="24"/>
          <w:lang w:val="en-US" w:eastAsia="zh-CN"/>
        </w:rPr>
        <w:t>接口对接费用包含在本次报价当中</w:t>
      </w:r>
      <w:r>
        <w:rPr>
          <w:rFonts w:hint="eastAsia" w:ascii="宋体" w:hAnsi="宋体" w:cs="宋体"/>
          <w:b w:val="0"/>
          <w:bCs w:val="0"/>
          <w:color w:val="auto"/>
          <w:sz w:val="24"/>
          <w:szCs w:val="24"/>
        </w:rPr>
        <w:t>。</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医院现有信息化平台接口采用</w:t>
      </w:r>
      <w:r>
        <w:rPr>
          <w:rFonts w:hint="eastAsia" w:ascii="宋体" w:hAnsi="宋体" w:cs="宋体"/>
          <w:b/>
          <w:bCs/>
          <w:color w:val="auto"/>
          <w:sz w:val="24"/>
          <w:szCs w:val="24"/>
          <w:lang w:val="en-US"/>
        </w:rPr>
        <w:t>SOAP 1.2协议</w:t>
      </w:r>
      <w:r>
        <w:rPr>
          <w:rFonts w:hint="eastAsia" w:ascii="宋体" w:hAnsi="宋体" w:cs="宋体"/>
          <w:b/>
          <w:bCs/>
          <w:color w:val="auto"/>
          <w:sz w:val="24"/>
          <w:szCs w:val="24"/>
          <w:lang w:val="en-US" w:eastAsia="zh-CN"/>
        </w:rPr>
        <w:t>开发定义，具体接口详见附件（接口）</w:t>
      </w: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 xml:space="preserve">     </w:t>
      </w:r>
      <w:r>
        <w:rPr>
          <w:rFonts w:hint="eastAsia" w:ascii="宋体" w:hAnsi="宋体" w:cs="宋体"/>
          <w:sz w:val="24"/>
          <w:szCs w:val="24"/>
          <w:lang w:val="en-US" w:eastAsia="zh-CN"/>
        </w:rPr>
        <w:t xml:space="preserve">      </w:t>
      </w:r>
    </w:p>
    <w:p>
      <w:pPr>
        <w:spacing w:line="360" w:lineRule="auto"/>
        <w:ind w:firstLine="482" w:firstLineChars="200"/>
        <w:rPr>
          <w:rFonts w:hint="eastAsia" w:ascii="宋体" w:hAnsi="宋体" w:eastAsia="宋体" w:cs="宋体"/>
          <w:b/>
          <w:sz w:val="24"/>
          <w:szCs w:val="24"/>
          <w:lang w:eastAsia="zh-CN"/>
        </w:rPr>
      </w:pPr>
      <w:r>
        <w:rPr>
          <w:rFonts w:hint="eastAsia" w:ascii="宋体" w:hAnsi="宋体" w:cs="宋体"/>
          <w:b/>
          <w:sz w:val="24"/>
          <w:szCs w:val="24"/>
        </w:rPr>
        <w:t>★十二、投标人承诺对本项目物业服务人员工作期间的疾病和人身安全、安全责任事故、劳务纠纷等，都由投标人自行负责，采购人对此不承担任何的责任和义务。</w:t>
      </w:r>
      <w:r>
        <w:rPr>
          <w:rFonts w:hint="eastAsia" w:ascii="宋体" w:hAnsi="宋体" w:cs="宋体"/>
          <w:b/>
          <w:sz w:val="24"/>
          <w:szCs w:val="24"/>
          <w:lang w:eastAsia="zh-CN"/>
        </w:rPr>
        <w:t>（</w:t>
      </w:r>
      <w:r>
        <w:rPr>
          <w:rFonts w:hint="eastAsia" w:ascii="宋体" w:hAnsi="宋体" w:cs="宋体"/>
          <w:b/>
          <w:bCs/>
          <w:color w:val="auto"/>
          <w:sz w:val="24"/>
          <w:szCs w:val="24"/>
        </w:rPr>
        <w:t>投标人须提供承诺函</w:t>
      </w:r>
      <w:r>
        <w:rPr>
          <w:rFonts w:hint="eastAsia" w:ascii="宋体" w:hAnsi="宋体" w:cs="宋体"/>
          <w:b/>
          <w:sz w:val="24"/>
          <w:szCs w:val="24"/>
          <w:lang w:eastAsia="zh-CN"/>
        </w:rPr>
        <w:t>）</w:t>
      </w:r>
      <w:r>
        <w:rPr>
          <w:rFonts w:hint="eastAsia" w:ascii="宋体" w:hAnsi="宋体" w:cs="宋体"/>
          <w:b/>
          <w:bCs/>
          <w:color w:val="auto"/>
          <w:sz w:val="24"/>
          <w:szCs w:val="24"/>
          <w:lang w:eastAsia="zh-CN"/>
        </w:rPr>
        <w:t>。</w:t>
      </w:r>
    </w:p>
    <w:p>
      <w:pPr>
        <w:spacing w:line="360" w:lineRule="auto"/>
        <w:ind w:firstLine="480" w:firstLineChars="200"/>
        <w:rPr>
          <w:rFonts w:ascii="宋体" w:hAnsi="宋体" w:cs="宋体"/>
          <w:sz w:val="24"/>
          <w:szCs w:val="24"/>
        </w:rPr>
      </w:pPr>
      <w:r>
        <w:rPr>
          <w:rFonts w:hint="eastAsia" w:ascii="宋体" w:hAnsi="宋体" w:cs="宋体"/>
          <w:sz w:val="24"/>
          <w:szCs w:val="24"/>
        </w:rPr>
        <w:t>十三、本项目物业服务人员薪资不得低于成都市最低薪酬标准。在职期间为其购买劳动法规定的各项保险，其人员工资标准、劳保、福利应执行国家和地方政府的相关法律、法规和部门规章。在合同期内，如因政府政策变化（如最低工资、社会保险上调），双方协商进行调整，调整时间：每年度调整1次,调整人员范围：属于中标公司聘用、在医院实际从事服务的、且属于本项目费用开支范围内的服务人员;调整审批程序：由中标公司按上述要求向采购人提出调整书面申请，经采购人同意后方可实施。</w:t>
      </w:r>
    </w:p>
    <w:p>
      <w:pPr>
        <w:spacing w:line="360" w:lineRule="auto"/>
        <w:ind w:firstLine="482" w:firstLineChars="200"/>
        <w:rPr>
          <w:rFonts w:hint="eastAsia" w:ascii="宋体" w:hAnsi="宋体" w:eastAsia="宋体" w:cs="宋体"/>
          <w:b/>
          <w:sz w:val="24"/>
          <w:szCs w:val="24"/>
          <w:lang w:eastAsia="zh-CN"/>
        </w:rPr>
      </w:pPr>
      <w:r>
        <w:rPr>
          <w:rFonts w:hint="eastAsia" w:ascii="宋体" w:hAnsi="宋体" w:cs="宋体"/>
          <w:b/>
          <w:sz w:val="24"/>
          <w:szCs w:val="24"/>
        </w:rPr>
        <w:t>★十四、对于投标人配置的物业项目经理、项目主管、物业服务人员，不能胜任岗位工作要求的，采购人有权随时通知投标人进行撤换。投标人接到采购人通知5个日历日内撤换配置到位。</w:t>
      </w:r>
      <w:r>
        <w:rPr>
          <w:rFonts w:hint="eastAsia" w:ascii="宋体" w:hAnsi="宋体" w:cs="宋体"/>
          <w:b/>
          <w:sz w:val="24"/>
          <w:szCs w:val="24"/>
          <w:lang w:eastAsia="zh-CN"/>
        </w:rPr>
        <w:t>（</w:t>
      </w:r>
      <w:r>
        <w:rPr>
          <w:rFonts w:hint="eastAsia" w:ascii="宋体" w:hAnsi="宋体" w:cs="宋体"/>
          <w:b/>
          <w:bCs/>
          <w:color w:val="auto"/>
          <w:sz w:val="24"/>
          <w:szCs w:val="24"/>
        </w:rPr>
        <w:t>投标人须提供承诺函</w:t>
      </w:r>
      <w:r>
        <w:rPr>
          <w:rFonts w:hint="eastAsia" w:ascii="宋体" w:hAnsi="宋体" w:cs="宋体"/>
          <w:b/>
          <w:sz w:val="24"/>
          <w:szCs w:val="24"/>
          <w:lang w:eastAsia="zh-CN"/>
        </w:rPr>
        <w:t>）</w:t>
      </w:r>
      <w:r>
        <w:rPr>
          <w:rFonts w:hint="eastAsia" w:ascii="宋体" w:hAnsi="宋体" w:cs="宋体"/>
          <w:b/>
          <w:bCs/>
          <w:color w:val="auto"/>
          <w:sz w:val="24"/>
          <w:szCs w:val="24"/>
          <w:lang w:eastAsia="zh-CN"/>
        </w:rPr>
        <w:t>。</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十五、投标人为本项目提供的所有服务符合现行的强制性国家相关标准、行业标准。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六、投标人承诺中标后拟投入本项目设备及清洁剂使用符合国家相关法律法规及环保要求、符合医院院感要求，如因清洁、洗涤剂、消毒剂、地面保养等产品使用不当给医院造成任何损失的由投标人负责恢复或依法赔偿。</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十七、投标人提供现场办公所需的电脑、投影仪、复印机、扫描仪、打印机办公设备、耗材、桌椅和文件柜等办公家具。</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十八、投标人在满足采购人所有物业服务需求基础上，遇重大活动、大型检查或其它创建工作，需临时增派人员协助。</w:t>
      </w:r>
    </w:p>
    <w:p>
      <w:pPr>
        <w:spacing w:line="360" w:lineRule="auto"/>
        <w:ind w:firstLine="480" w:firstLineChars="200"/>
        <w:rPr>
          <w:rFonts w:ascii="宋体" w:hAnsi="宋体" w:cs="宋体"/>
          <w:sz w:val="24"/>
          <w:szCs w:val="24"/>
        </w:rPr>
      </w:pPr>
      <w:r>
        <w:rPr>
          <w:rFonts w:hint="eastAsia" w:ascii="宋体" w:hAnsi="宋体" w:cs="宋体"/>
          <w:sz w:val="24"/>
          <w:szCs w:val="24"/>
        </w:rPr>
        <w:t>十九、投标人中标后应做好与原有物业公司的交接工作，制定详细的交接计划（含时间节点、人员配置、岗前培训、物资准备、工具配备、移交过程中的突发应急处置方案），妥善安排现有自愿留用人员的工作岗位，完成顺利交接工作。特殊科室人员配置应根据科室实际需求配置男女及年龄要求，在项目入场前应做好物业服务人员的培训工作。</w:t>
      </w:r>
    </w:p>
    <w:p>
      <w:pPr>
        <w:spacing w:line="360" w:lineRule="auto"/>
        <w:ind w:firstLine="480" w:firstLineChars="200"/>
        <w:rPr>
          <w:rFonts w:ascii="宋体" w:hAnsi="宋体" w:cs="宋体"/>
          <w:sz w:val="24"/>
          <w:szCs w:val="24"/>
        </w:rPr>
      </w:pPr>
      <w:r>
        <w:rPr>
          <w:rFonts w:hint="eastAsia" w:ascii="宋体" w:hAnsi="宋体" w:cs="宋体"/>
          <w:sz w:val="24"/>
          <w:szCs w:val="24"/>
        </w:rPr>
        <w:t>二十、投标人应具有本项目的履约能力，应具有非住宅类物业服务管理业绩，服务内容需至少包含保洁或中央运送（运送/中央配送）一项服务。</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二十一、临时加班完成迎检、搬运或其他紧急工作，按照不高于22元/人/小时（含税）, 200元/人/日（含税）进行结算并支付, </w:t>
      </w:r>
    </w:p>
    <w:p>
      <w:pPr>
        <w:spacing w:line="360" w:lineRule="auto"/>
        <w:ind w:firstLine="480" w:firstLineChars="200"/>
        <w:rPr>
          <w:rFonts w:ascii="宋体" w:hAnsi="宋体" w:cs="宋体"/>
          <w:sz w:val="24"/>
          <w:szCs w:val="24"/>
        </w:rPr>
      </w:pPr>
      <w:r>
        <w:rPr>
          <w:rFonts w:hint="eastAsia" w:ascii="宋体" w:hAnsi="宋体" w:cs="宋体"/>
          <w:sz w:val="24"/>
          <w:szCs w:val="24"/>
        </w:rPr>
        <w:t>二十二、上述内容仅为采购人基本要求，投标人可根据该项目的特点结合自身的实际进行管理实施方案的完善（如安全责任措施和承诺，违约处罚措施等）。</w:t>
      </w:r>
    </w:p>
    <w:p>
      <w:pPr>
        <w:spacing w:line="360" w:lineRule="auto"/>
        <w:ind w:firstLine="480" w:firstLineChars="200"/>
        <w:rPr>
          <w:rFonts w:ascii="宋体" w:hAnsi="宋体" w:cs="宋体"/>
          <w:sz w:val="24"/>
          <w:szCs w:val="24"/>
        </w:rPr>
      </w:pPr>
      <w:r>
        <w:rPr>
          <w:rFonts w:hint="eastAsia" w:ascii="宋体" w:hAnsi="宋体" w:cs="宋体"/>
          <w:sz w:val="24"/>
          <w:szCs w:val="24"/>
        </w:rPr>
        <w:t>二十三、投标人应充分了解医院服务相关要求，如出现因投标人管理不规范或员工疏忽不按操作流程操作出现的职业暴露等问题，所需费用及责任均由投标人自行承担。</w:t>
      </w:r>
    </w:p>
    <w:p>
      <w:pPr>
        <w:spacing w:line="360" w:lineRule="auto"/>
        <w:ind w:firstLine="480" w:firstLineChars="200"/>
        <w:rPr>
          <w:rFonts w:ascii="宋体" w:hAnsi="宋体" w:cs="宋体"/>
          <w:sz w:val="24"/>
          <w:szCs w:val="24"/>
        </w:rPr>
      </w:pPr>
      <w:r>
        <w:rPr>
          <w:rFonts w:hint="eastAsia" w:ascii="宋体" w:hAnsi="宋体" w:cs="宋体"/>
          <w:sz w:val="24"/>
          <w:szCs w:val="24"/>
        </w:rPr>
        <w:t>二十四、招标人不接受投标人任何因遗漏报价而发生的费用追加，因投标方违反《劳动法》等法律法规而造成院方的连带责任和损失全部由中标方承担。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二十五、投标人中标后应接受采购人的监督和考核，对外公布投诉电话，认真及时处理投诉意见和建议，将处理结果书面上报采购人主管部门和及时反馈给投诉者。</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二十六、1.</w:t>
      </w:r>
      <w:r>
        <w:rPr>
          <w:rFonts w:hint="eastAsia" w:ascii="宋体" w:hAnsi="宋体" w:cs="宋体"/>
          <w:sz w:val="24"/>
          <w:szCs w:val="24"/>
        </w:rPr>
        <w:t>采购人不组织统一现场踏勘。</w:t>
      </w:r>
      <w:r>
        <w:rPr>
          <w:rFonts w:hint="eastAsia" w:ascii="宋体" w:hAnsi="宋体" w:cs="宋体"/>
          <w:sz w:val="24"/>
          <w:szCs w:val="24"/>
          <w:lang w:val="en-US" w:eastAsia="zh-CN"/>
        </w:rPr>
        <w:t>2.</w:t>
      </w:r>
      <w:r>
        <w:rPr>
          <w:rFonts w:hint="eastAsia" w:ascii="宋体" w:hAnsi="宋体" w:cs="宋体"/>
          <w:sz w:val="24"/>
          <w:szCs w:val="24"/>
        </w:rPr>
        <w:t>投标人可在投标截止时间之前自行到现场进行踏勘。</w:t>
      </w:r>
      <w:r>
        <w:rPr>
          <w:rFonts w:hint="eastAsia" w:ascii="宋体" w:hAnsi="宋体" w:cs="宋体"/>
          <w:sz w:val="24"/>
          <w:szCs w:val="24"/>
          <w:lang w:val="en-US" w:eastAsia="zh-CN"/>
        </w:rPr>
        <w:t>3.</w:t>
      </w:r>
      <w:r>
        <w:rPr>
          <w:rFonts w:hint="eastAsia" w:ascii="宋体" w:hAnsi="宋体" w:cs="宋体"/>
          <w:sz w:val="24"/>
          <w:szCs w:val="24"/>
        </w:rPr>
        <w:t xml:space="preserve">投标人现场踏勘产生的一切费用及安全责任由投标人自行承担。 </w:t>
      </w:r>
    </w:p>
    <w:p>
      <w:pPr>
        <w:pStyle w:val="2"/>
        <w:numPr>
          <w:ilvl w:val="3"/>
          <w:numId w:val="0"/>
        </w:numPr>
        <w:rPr>
          <w:rFonts w:hint="eastAsia" w:ascii="宋体" w:hAnsi="宋体" w:cs="宋体"/>
          <w:sz w:val="24"/>
          <w:szCs w:val="24"/>
          <w:lang w:eastAsia="zh-CN"/>
        </w:rPr>
      </w:pPr>
      <w:r>
        <w:rPr>
          <w:rFonts w:hint="eastAsia" w:ascii="宋体" w:hAnsi="宋体" w:cs="宋体"/>
          <w:sz w:val="24"/>
          <w:szCs w:val="24"/>
          <w:lang w:eastAsia="zh-CN"/>
        </w:rPr>
        <w:t>附件（接口）：</w:t>
      </w:r>
    </w:p>
    <w:p>
      <w:pPr>
        <w:rPr>
          <w:rFonts w:hint="eastAsia" w:ascii="宋体" w:hAnsi="宋体" w:cs="宋体"/>
          <w:sz w:val="24"/>
          <w:szCs w:val="24"/>
          <w:lang w:eastAsia="zh-CN"/>
        </w:rPr>
      </w:pPr>
    </w:p>
    <w:p>
      <w:pPr>
        <w:jc w:val="center"/>
        <w:rPr>
          <w:rFonts w:hint="eastAsia" w:ascii="黑体" w:hAnsi="黑体" w:eastAsia="黑体" w:cs="黑体"/>
          <w:sz w:val="28"/>
          <w:szCs w:val="28"/>
          <w:lang w:val="en-US"/>
        </w:rPr>
      </w:pPr>
      <w:r>
        <w:rPr>
          <w:rFonts w:hint="eastAsia" w:ascii="黑体" w:hAnsi="黑体" w:eastAsia="黑体" w:cs="黑体"/>
          <w:sz w:val="28"/>
          <w:szCs w:val="28"/>
          <w:lang w:val="en-US" w:eastAsia="zh-CN"/>
        </w:rPr>
        <w:t>彭州市人民医院信息平台接口技术规范</w:t>
      </w:r>
    </w:p>
    <w:p>
      <w:pPr>
        <w:pStyle w:val="3"/>
        <w:numPr>
          <w:ilvl w:val="0"/>
          <w:numId w:val="33"/>
        </w:numPr>
        <w:rPr>
          <w:rFonts w:ascii="宋体" w:hAnsi="宋体"/>
        </w:rPr>
      </w:pPr>
      <w:bookmarkStart w:id="155" w:name="_Toc46753266"/>
      <w:r>
        <w:rPr>
          <w:rFonts w:hint="eastAsia" w:ascii="宋体" w:hAnsi="宋体"/>
        </w:rPr>
        <w:t>概述</w:t>
      </w:r>
      <w:bookmarkEnd w:id="155"/>
    </w:p>
    <w:p>
      <w:pPr>
        <w:ind w:firstLine="420"/>
      </w:pPr>
      <w:bookmarkStart w:id="156" w:name="系统设计_子系统1设计说明_功能描述"/>
      <w:r>
        <w:rPr>
          <w:rFonts w:hint="eastAsia"/>
        </w:rPr>
        <w:t>本文档针对对象为第三方接口迁入或集成到HSB集成平台的供应商开发工程师，主要功能为消费方请求数据接口调用说明，提供方提供或处理接口调用说明。</w:t>
      </w:r>
    </w:p>
    <w:p>
      <w:pPr>
        <w:ind w:firstLine="420"/>
      </w:pPr>
      <w:r>
        <w:rPr>
          <w:sz w:val="24"/>
        </w:rPr>
        <w:t>H</w:t>
      </w:r>
      <w:r>
        <w:rPr>
          <w:rFonts w:hint="eastAsia"/>
          <w:sz w:val="24"/>
        </w:rPr>
        <w:t>SB按照SOA的思想服务为中心进行设计开发。HSB系统将应用系统提供的服务注册到HSB体系之中，对这些服务进行统一管理，并且可以以“线路”的形式将多个服务重新组织成HSB服务供外界应用系统调用</w:t>
      </w:r>
      <w:r>
        <w:rPr>
          <w:rFonts w:hint="eastAsia"/>
        </w:rPr>
        <w:t>。</w:t>
      </w:r>
    </w:p>
    <w:p>
      <w:pPr>
        <w:ind w:firstLine="420"/>
      </w:pPr>
      <w:r>
        <w:rPr>
          <w:rFonts w:hint="eastAsia"/>
        </w:rPr>
        <w:t>HSB支持，本文档以接口采用S</w:t>
      </w:r>
      <w:r>
        <w:t>OAP 1.2</w:t>
      </w:r>
      <w:r>
        <w:rPr>
          <w:rFonts w:hint="eastAsia"/>
        </w:rPr>
        <w:t>协议开发实现定义规范说明。</w:t>
      </w:r>
    </w:p>
    <w:p>
      <w:pPr>
        <w:pStyle w:val="4"/>
        <w:numPr>
          <w:ilvl w:val="0"/>
          <w:numId w:val="0"/>
        </w:numPr>
        <w:ind w:left="576" w:hanging="576"/>
        <w:rPr>
          <w:rFonts w:ascii="宋体" w:hAnsi="宋体"/>
          <w:i w:val="0"/>
        </w:rPr>
      </w:pPr>
      <w:bookmarkStart w:id="157" w:name="_Toc46753267"/>
      <w:r>
        <w:rPr>
          <w:rFonts w:ascii="宋体" w:hAnsi="宋体"/>
          <w:i w:val="0"/>
        </w:rPr>
        <w:t>1</w:t>
      </w:r>
      <w:r>
        <w:rPr>
          <w:rFonts w:hint="eastAsia" w:ascii="宋体" w:hAnsi="宋体"/>
          <w:i w:val="0"/>
        </w:rPr>
        <w:t>.1定义描述</w:t>
      </w:r>
      <w:bookmarkEnd w:id="157"/>
    </w:p>
    <w:p>
      <w:pPr>
        <w:ind w:firstLine="426"/>
        <w:rPr>
          <w:sz w:val="24"/>
        </w:rPr>
      </w:pPr>
      <w:r>
        <w:rPr>
          <w:rFonts w:hint="eastAsia"/>
          <w:sz w:val="24"/>
        </w:rPr>
        <w:t>无论是接入到HSB还是使用HSB提供的服务都会涉及到服务接口规范，本节点是说明HSB接口的规范并且给出样例来详细说明如何使用这些接口。</w:t>
      </w:r>
    </w:p>
    <w:p>
      <w:pPr>
        <w:numPr>
          <w:ilvl w:val="0"/>
          <w:numId w:val="34"/>
        </w:numPr>
        <w:rPr>
          <w:sz w:val="24"/>
        </w:rPr>
      </w:pPr>
      <w:r>
        <w:rPr>
          <w:rFonts w:hint="eastAsia"/>
          <w:sz w:val="24"/>
        </w:rPr>
        <w:t>HSB和应用系统之间交互的消息包括以下几方面</w:t>
      </w:r>
    </w:p>
    <w:p>
      <w:pPr>
        <w:pStyle w:val="80"/>
        <w:numPr>
          <w:ilvl w:val="0"/>
          <w:numId w:val="35"/>
        </w:numPr>
        <w:spacing w:line="360" w:lineRule="auto"/>
        <w:ind w:firstLineChars="0"/>
        <w:rPr>
          <w:sz w:val="24"/>
          <w:szCs w:val="24"/>
        </w:rPr>
      </w:pPr>
      <w:r>
        <w:rPr>
          <w:rFonts w:hint="eastAsia"/>
          <w:sz w:val="24"/>
          <w:szCs w:val="24"/>
        </w:rPr>
        <w:t>消息内容的交互说明</w:t>
      </w:r>
    </w:p>
    <w:p>
      <w:pPr>
        <w:pStyle w:val="80"/>
        <w:numPr>
          <w:ilvl w:val="0"/>
          <w:numId w:val="35"/>
        </w:numPr>
        <w:spacing w:line="360" w:lineRule="auto"/>
        <w:ind w:firstLineChars="0"/>
        <w:rPr>
          <w:sz w:val="24"/>
          <w:szCs w:val="24"/>
        </w:rPr>
      </w:pPr>
      <w:r>
        <w:rPr>
          <w:rFonts w:hint="eastAsia"/>
          <w:sz w:val="24"/>
          <w:szCs w:val="24"/>
        </w:rPr>
        <w:t>消息传输接口规范说明</w:t>
      </w:r>
    </w:p>
    <w:p>
      <w:pPr>
        <w:pStyle w:val="80"/>
        <w:numPr>
          <w:ilvl w:val="0"/>
          <w:numId w:val="35"/>
        </w:numPr>
        <w:spacing w:line="360" w:lineRule="auto"/>
        <w:ind w:firstLineChars="0"/>
        <w:rPr>
          <w:sz w:val="24"/>
          <w:szCs w:val="24"/>
        </w:rPr>
      </w:pPr>
      <w:r>
        <w:rPr>
          <w:rFonts w:hint="eastAsia"/>
          <w:sz w:val="24"/>
          <w:szCs w:val="24"/>
        </w:rPr>
        <w:t>消息传输异常说明</w:t>
      </w:r>
    </w:p>
    <w:p>
      <w:pPr>
        <w:numPr>
          <w:ilvl w:val="0"/>
          <w:numId w:val="34"/>
        </w:numPr>
        <w:rPr>
          <w:sz w:val="24"/>
        </w:rPr>
      </w:pPr>
      <w:r>
        <w:rPr>
          <w:rFonts w:hint="eastAsia"/>
          <w:sz w:val="24"/>
        </w:rPr>
        <w:t>从提供还是消费HSB服务的角度而言，和HSB进行交互的应用系统分为</w:t>
      </w:r>
    </w:p>
    <w:p>
      <w:pPr>
        <w:pStyle w:val="80"/>
        <w:numPr>
          <w:ilvl w:val="0"/>
          <w:numId w:val="36"/>
        </w:numPr>
        <w:spacing w:line="360" w:lineRule="auto"/>
        <w:ind w:firstLineChars="0"/>
        <w:rPr>
          <w:sz w:val="24"/>
          <w:szCs w:val="24"/>
        </w:rPr>
      </w:pPr>
      <w:r>
        <w:rPr>
          <w:rFonts w:hint="eastAsia"/>
          <w:sz w:val="24"/>
          <w:szCs w:val="24"/>
        </w:rPr>
        <w:t>服务提供系统（实现Web</w:t>
      </w:r>
      <w:r>
        <w:rPr>
          <w:sz w:val="24"/>
          <w:szCs w:val="24"/>
        </w:rPr>
        <w:t xml:space="preserve"> Service</w:t>
      </w:r>
      <w:r>
        <w:rPr>
          <w:rFonts w:hint="eastAsia"/>
          <w:sz w:val="24"/>
          <w:szCs w:val="24"/>
        </w:rPr>
        <w:t>供HSB调用的系统）</w:t>
      </w:r>
    </w:p>
    <w:p>
      <w:pPr>
        <w:pStyle w:val="80"/>
        <w:numPr>
          <w:ilvl w:val="0"/>
          <w:numId w:val="36"/>
        </w:numPr>
        <w:spacing w:line="360" w:lineRule="auto"/>
        <w:ind w:firstLineChars="0"/>
        <w:rPr>
          <w:sz w:val="24"/>
          <w:szCs w:val="24"/>
        </w:rPr>
      </w:pPr>
      <w:r>
        <w:rPr>
          <w:rFonts w:hint="eastAsia"/>
          <w:sz w:val="24"/>
          <w:szCs w:val="24"/>
        </w:rPr>
        <w:t>服务消费系统（调用HSB提供的We</w:t>
      </w:r>
      <w:r>
        <w:rPr>
          <w:sz w:val="24"/>
          <w:szCs w:val="24"/>
        </w:rPr>
        <w:t>b Service</w:t>
      </w:r>
      <w:r>
        <w:rPr>
          <w:rFonts w:hint="eastAsia"/>
          <w:sz w:val="24"/>
          <w:szCs w:val="24"/>
        </w:rPr>
        <w:t>的系统）</w:t>
      </w:r>
    </w:p>
    <w:p>
      <w:pPr>
        <w:ind w:firstLine="420"/>
        <w:rPr>
          <w:sz w:val="24"/>
        </w:rPr>
      </w:pPr>
      <w:r>
        <w:rPr>
          <w:rFonts w:hint="eastAsia"/>
          <w:sz w:val="24"/>
        </w:rPr>
        <w:t>在文档后部分会分别说明提供服务的系统和消费服务的系统的接口规范。</w:t>
      </w:r>
    </w:p>
    <w:bookmarkEnd w:id="156"/>
    <w:p>
      <w:pPr>
        <w:pStyle w:val="3"/>
        <w:numPr>
          <w:ilvl w:val="0"/>
          <w:numId w:val="33"/>
        </w:numPr>
        <w:rPr>
          <w:rFonts w:ascii="宋体" w:hAnsi="宋体"/>
        </w:rPr>
      </w:pPr>
      <w:bookmarkStart w:id="158" w:name="_Toc46753268"/>
      <w:r>
        <w:rPr>
          <w:rFonts w:hint="eastAsia" w:ascii="宋体" w:hAnsi="宋体"/>
        </w:rPr>
        <w:t>安全说明</w:t>
      </w:r>
      <w:bookmarkEnd w:id="158"/>
    </w:p>
    <w:p>
      <w:pPr>
        <w:ind w:firstLine="420"/>
        <w:rPr>
          <w:rFonts w:hint="eastAsia"/>
          <w:sz w:val="24"/>
        </w:rPr>
      </w:pPr>
      <w:r>
        <w:rPr>
          <w:rFonts w:hint="eastAsia"/>
          <w:sz w:val="24"/>
        </w:rPr>
        <w:t>当每次接口调用时，消费方需要传给HSB验证字符串，即消息发起方需要进行请求参数签名，HSB会初步验证该准入签名的合法性，若验证不通过HSB直接抛出异常。</w:t>
      </w:r>
      <w:r>
        <w:rPr>
          <w:rFonts w:hint="eastAsia"/>
          <w:color w:val="FF0000"/>
          <w:sz w:val="24"/>
        </w:rPr>
        <w:t>若验证通过则集成平台将调用消息类型对应服务返回数据，如果验证签名错误返回结果</w:t>
      </w:r>
      <w:r>
        <w:rPr>
          <w:color w:val="FF0000"/>
          <w:sz w:val="24"/>
        </w:rPr>
        <w:t>Authenticate</w:t>
      </w:r>
      <w:r>
        <w:rPr>
          <w:rFonts w:hint="eastAsia"/>
          <w:color w:val="FF0000"/>
          <w:sz w:val="24"/>
        </w:rPr>
        <w:t>节点值为F</w:t>
      </w:r>
      <w:r>
        <w:rPr>
          <w:color w:val="FF0000"/>
          <w:sz w:val="24"/>
        </w:rPr>
        <w:t>alse(</w:t>
      </w:r>
      <w:r>
        <w:rPr>
          <w:rFonts w:hint="eastAsia"/>
          <w:color w:val="FF0000"/>
          <w:sz w:val="24"/>
        </w:rPr>
        <w:t>参考</w:t>
      </w:r>
      <w:r>
        <w:rPr>
          <w:color w:val="FF0000"/>
          <w:sz w:val="24"/>
        </w:rPr>
        <w:fldChar w:fldCharType="begin"/>
      </w:r>
      <w:r>
        <w:rPr>
          <w:color w:val="FF0000"/>
          <w:sz w:val="24"/>
        </w:rPr>
        <w:instrText xml:space="preserve"> HYPERLINK  \l "</w:instrText>
      </w:r>
      <w:r>
        <w:rPr>
          <w:rFonts w:hint="eastAsia"/>
          <w:color w:val="FF0000"/>
          <w:sz w:val="24"/>
        </w:rPr>
        <w:instrText xml:space="preserve">_3.1.2请求返回结果</w:instrText>
      </w:r>
      <w:r>
        <w:rPr>
          <w:color w:val="FF0000"/>
          <w:sz w:val="24"/>
        </w:rPr>
        <w:instrText xml:space="preserve">" </w:instrText>
      </w:r>
      <w:r>
        <w:rPr>
          <w:color w:val="FF0000"/>
          <w:sz w:val="24"/>
        </w:rPr>
        <w:fldChar w:fldCharType="separate"/>
      </w:r>
      <w:r>
        <w:rPr>
          <w:rStyle w:val="48"/>
          <w:rFonts w:hint="eastAsia"/>
          <w:sz w:val="24"/>
        </w:rPr>
        <w:t>3.1.2请求返回结果</w:t>
      </w:r>
      <w:r>
        <w:rPr>
          <w:color w:val="FF0000"/>
          <w:sz w:val="24"/>
        </w:rPr>
        <w:fldChar w:fldCharType="end"/>
      </w:r>
      <w:r>
        <w:rPr>
          <w:color w:val="FF0000"/>
          <w:sz w:val="24"/>
        </w:rPr>
        <w:t>)</w:t>
      </w:r>
      <w:r>
        <w:rPr>
          <w:rFonts w:hint="eastAsia"/>
          <w:sz w:val="24"/>
        </w:rPr>
        <w:t>。</w:t>
      </w:r>
    </w:p>
    <w:p>
      <w:pPr>
        <w:pStyle w:val="4"/>
        <w:numPr>
          <w:ilvl w:val="0"/>
          <w:numId w:val="0"/>
        </w:numPr>
        <w:rPr>
          <w:rFonts w:hint="eastAsia"/>
          <w:i w:val="0"/>
        </w:rPr>
      </w:pPr>
      <w:bookmarkStart w:id="159" w:name="_签名逻辑"/>
      <w:bookmarkEnd w:id="159"/>
      <w:bookmarkStart w:id="160" w:name="_2.1_签名逻辑"/>
      <w:bookmarkEnd w:id="160"/>
      <w:bookmarkStart w:id="161" w:name="_Toc46753269"/>
      <w:r>
        <w:rPr>
          <w:rFonts w:hint="eastAsia"/>
          <w:i w:val="0"/>
        </w:rPr>
        <w:t>2.</w:t>
      </w:r>
      <w:r>
        <w:rPr>
          <w:i w:val="0"/>
        </w:rPr>
        <w:t xml:space="preserve">1 </w:t>
      </w:r>
      <w:r>
        <w:rPr>
          <w:rFonts w:hint="eastAsia"/>
          <w:i w:val="0"/>
        </w:rPr>
        <w:t>签名逻辑</w:t>
      </w:r>
      <w:bookmarkEnd w:id="161"/>
    </w:p>
    <w:p>
      <w:pPr>
        <w:numPr>
          <w:ilvl w:val="0"/>
          <w:numId w:val="37"/>
        </w:numPr>
      </w:pPr>
      <w:r>
        <w:t>签名方式：MD5(string)</w:t>
      </w:r>
    </w:p>
    <w:p>
      <w:r>
        <w:rPr>
          <w:rFonts w:hint="eastAsia"/>
        </w:rPr>
        <w:t>加密串为：</w:t>
      </w:r>
      <w:r>
        <w:rPr>
          <w:rFonts w:hint="eastAsia" w:ascii="宋体" w:hAnsi="宋体"/>
          <w:color w:val="0070C0"/>
        </w:rPr>
        <w:t>syscode=</w:t>
      </w:r>
      <w:r>
        <w:rPr>
          <w:rFonts w:hint="eastAsia" w:ascii="宋体" w:hAnsi="宋体"/>
        </w:rPr>
        <w:t>系统编码&amp;</w:t>
      </w:r>
      <w:r>
        <w:rPr>
          <w:rFonts w:hint="eastAsia" w:ascii="宋体" w:hAnsi="宋体"/>
          <w:color w:val="0070C0"/>
        </w:rPr>
        <w:t>appsecret=</w:t>
      </w:r>
      <w:r>
        <w:rPr>
          <w:rFonts w:hint="eastAsia" w:ascii="宋体" w:hAnsi="宋体"/>
        </w:rPr>
        <w:t>密钥&amp;</w:t>
      </w:r>
      <w:r>
        <w:rPr>
          <w:rFonts w:ascii="宋体" w:hAnsi="宋体"/>
          <w:color w:val="0070C0"/>
        </w:rPr>
        <w:t>timestamp</w:t>
      </w:r>
      <w:r>
        <w:rPr>
          <w:rFonts w:ascii="宋体" w:hAnsi="宋体"/>
        </w:rPr>
        <w:t>=</w:t>
      </w:r>
      <w:r>
        <w:rPr>
          <w:rFonts w:hint="eastAsia" w:ascii="宋体" w:hAnsi="宋体"/>
        </w:rPr>
        <w:t>时间戳&amp;</w:t>
      </w:r>
      <w:r>
        <w:rPr>
          <w:rFonts w:hint="eastAsia" w:ascii="宋体" w:hAnsi="宋体"/>
          <w:color w:val="0070C0"/>
        </w:rPr>
        <w:t>data=</w:t>
      </w:r>
      <w:r>
        <w:rPr>
          <w:rFonts w:hint="eastAsia" w:ascii="宋体" w:hAnsi="宋体"/>
        </w:rPr>
        <w:t>请求入参</w:t>
      </w:r>
    </w:p>
    <w:p>
      <w:pPr>
        <w:rPr>
          <w:rFonts w:ascii="宋体" w:hAnsi="宋体"/>
          <w:color w:val="0070C0"/>
        </w:rPr>
      </w:pPr>
      <w:r>
        <w:rPr>
          <w:rFonts w:hint="eastAsia" w:ascii="宋体" w:hAnsi="宋体"/>
        </w:rPr>
        <w:t>MD5(</w:t>
      </w:r>
      <w:r>
        <w:rPr>
          <w:rFonts w:hint="eastAsia" w:ascii="宋体" w:hAnsi="宋体"/>
          <w:b/>
          <w:color w:val="FF0000"/>
        </w:rPr>
        <w:t>加密串转小写</w:t>
      </w:r>
      <w:r>
        <w:rPr>
          <w:rFonts w:hint="eastAsia" w:ascii="宋体" w:hAnsi="宋体"/>
          <w:color w:val="0070C0"/>
        </w:rPr>
        <w:t>)</w:t>
      </w:r>
    </w:p>
    <w:p>
      <w:pPr>
        <w:numPr>
          <w:ilvl w:val="0"/>
          <w:numId w:val="38"/>
        </w:numPr>
      </w:pPr>
      <w:r>
        <w:rPr>
          <w:rFonts w:hint="eastAsia"/>
        </w:rPr>
        <w:t>说明：</w:t>
      </w:r>
    </w:p>
    <w:tbl>
      <w:tblPr>
        <w:tblStyle w:val="4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317"/>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shd w:val="clear" w:color="auto" w:fill="D9D9D9"/>
            <w:noWrap w:val="0"/>
            <w:vAlign w:val="top"/>
          </w:tcPr>
          <w:p>
            <w:pPr>
              <w:widowControl w:val="0"/>
              <w:jc w:val="both"/>
              <w:rPr>
                <w:rFonts w:hint="eastAsia" w:ascii="宋体" w:hAnsi="宋体"/>
                <w:b/>
                <w:bCs/>
              </w:rPr>
            </w:pPr>
            <w:r>
              <w:rPr>
                <w:rFonts w:hint="eastAsia" w:ascii="宋体" w:hAnsi="宋体"/>
                <w:b/>
                <w:bCs/>
              </w:rPr>
              <w:t>代码</w:t>
            </w:r>
          </w:p>
        </w:tc>
        <w:tc>
          <w:tcPr>
            <w:tcW w:w="1317" w:type="dxa"/>
            <w:shd w:val="clear" w:color="auto" w:fill="D9D9D9"/>
            <w:noWrap w:val="0"/>
            <w:vAlign w:val="top"/>
          </w:tcPr>
          <w:p>
            <w:pPr>
              <w:widowControl w:val="0"/>
              <w:jc w:val="both"/>
              <w:rPr>
                <w:rFonts w:hint="eastAsia" w:ascii="宋体" w:hAnsi="宋体"/>
                <w:b/>
                <w:bCs/>
              </w:rPr>
            </w:pPr>
            <w:r>
              <w:rPr>
                <w:rFonts w:hint="eastAsia" w:ascii="宋体" w:hAnsi="宋体"/>
                <w:b/>
                <w:bCs/>
              </w:rPr>
              <w:t>说明</w:t>
            </w:r>
          </w:p>
        </w:tc>
        <w:tc>
          <w:tcPr>
            <w:tcW w:w="5954" w:type="dxa"/>
            <w:shd w:val="clear" w:color="auto" w:fill="D9D9D9"/>
            <w:noWrap w:val="0"/>
            <w:vAlign w:val="top"/>
          </w:tcPr>
          <w:p>
            <w:pPr>
              <w:widowControl w:val="0"/>
              <w:jc w:val="both"/>
              <w:rPr>
                <w:rFonts w:hint="eastAsia" w:ascii="宋体" w:hAnsi="宋体"/>
                <w:b/>
                <w:bCs/>
              </w:rPr>
            </w:pPr>
            <w:r>
              <w:rPr>
                <w:rFonts w:hint="eastAsia" w:ascii="宋体" w:hAnsi="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noWrap w:val="0"/>
            <w:vAlign w:val="top"/>
          </w:tcPr>
          <w:p>
            <w:pPr>
              <w:widowControl w:val="0"/>
              <w:jc w:val="both"/>
              <w:rPr>
                <w:rFonts w:hint="eastAsia"/>
              </w:rPr>
            </w:pPr>
            <w:r>
              <w:rPr>
                <w:rFonts w:hint="eastAsia"/>
              </w:rPr>
              <w:t>sys</w:t>
            </w:r>
            <w:r>
              <w:t>code</w:t>
            </w:r>
          </w:p>
        </w:tc>
        <w:tc>
          <w:tcPr>
            <w:tcW w:w="1317" w:type="dxa"/>
            <w:noWrap w:val="0"/>
            <w:vAlign w:val="top"/>
          </w:tcPr>
          <w:p>
            <w:pPr>
              <w:widowControl w:val="0"/>
              <w:jc w:val="both"/>
              <w:rPr>
                <w:rFonts w:hint="eastAsia"/>
              </w:rPr>
            </w:pPr>
            <w:r>
              <w:rPr>
                <w:rFonts w:hint="eastAsia"/>
              </w:rPr>
              <w:t>系统编码</w:t>
            </w:r>
          </w:p>
        </w:tc>
        <w:tc>
          <w:tcPr>
            <w:tcW w:w="5954" w:type="dxa"/>
            <w:noWrap w:val="0"/>
            <w:vAlign w:val="top"/>
          </w:tcPr>
          <w:p>
            <w:pPr>
              <w:widowControl w:val="0"/>
              <w:jc w:val="both"/>
              <w:rPr>
                <w:rFonts w:hint="eastAsia"/>
              </w:rPr>
            </w:pPr>
            <w:r>
              <w:t>由管理员在</w:t>
            </w:r>
            <w:r>
              <w:rPr>
                <w:rFonts w:hint="eastAsia"/>
              </w:rPr>
              <w:t>HSB</w:t>
            </w:r>
            <w:r>
              <w:t>系统的</w:t>
            </w:r>
            <w:r>
              <w:rPr>
                <w:rFonts w:hint="eastAsia"/>
              </w:rPr>
              <w:t>系统注册管理</w:t>
            </w:r>
            <w:r>
              <w:t>模块配置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noWrap w:val="0"/>
            <w:vAlign w:val="top"/>
          </w:tcPr>
          <w:p>
            <w:pPr>
              <w:widowControl w:val="0"/>
              <w:jc w:val="both"/>
              <w:rPr>
                <w:rFonts w:hint="eastAsia"/>
              </w:rPr>
            </w:pPr>
            <w:r>
              <w:t>appsecret</w:t>
            </w:r>
          </w:p>
        </w:tc>
        <w:tc>
          <w:tcPr>
            <w:tcW w:w="1317" w:type="dxa"/>
            <w:noWrap w:val="0"/>
            <w:vAlign w:val="top"/>
          </w:tcPr>
          <w:p>
            <w:pPr>
              <w:widowControl w:val="0"/>
              <w:jc w:val="both"/>
              <w:rPr>
                <w:rFonts w:hint="eastAsia"/>
              </w:rPr>
            </w:pPr>
            <w:r>
              <w:t>密钥</w:t>
            </w:r>
          </w:p>
        </w:tc>
        <w:tc>
          <w:tcPr>
            <w:tcW w:w="5954" w:type="dxa"/>
            <w:noWrap w:val="0"/>
            <w:vAlign w:val="top"/>
          </w:tcPr>
          <w:p>
            <w:pPr>
              <w:widowControl w:val="0"/>
              <w:jc w:val="both"/>
            </w:pPr>
            <w:r>
              <w:t>由管理员在</w:t>
            </w:r>
            <w:r>
              <w:rPr>
                <w:rFonts w:hint="eastAsia"/>
              </w:rPr>
              <w:t>HSB</w:t>
            </w:r>
            <w:r>
              <w:t>系统的</w:t>
            </w:r>
            <w:r>
              <w:rPr>
                <w:rFonts w:hint="eastAsia"/>
              </w:rPr>
              <w:t>系统注册管理</w:t>
            </w:r>
            <w:r>
              <w:t>模块配置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noWrap w:val="0"/>
            <w:vAlign w:val="top"/>
          </w:tcPr>
          <w:p>
            <w:pPr>
              <w:widowControl w:val="0"/>
              <w:jc w:val="both"/>
            </w:pPr>
            <w:r>
              <w:rPr>
                <w:rFonts w:hint="eastAsia"/>
              </w:rPr>
              <w:t>t</w:t>
            </w:r>
            <w:r>
              <w:t>imestamp</w:t>
            </w:r>
          </w:p>
        </w:tc>
        <w:tc>
          <w:tcPr>
            <w:tcW w:w="1317" w:type="dxa"/>
            <w:noWrap w:val="0"/>
            <w:vAlign w:val="top"/>
          </w:tcPr>
          <w:p>
            <w:pPr>
              <w:widowControl w:val="0"/>
              <w:jc w:val="both"/>
            </w:pPr>
            <w:r>
              <w:rPr>
                <w:rFonts w:hint="eastAsia"/>
              </w:rPr>
              <w:t>时间戳</w:t>
            </w:r>
          </w:p>
        </w:tc>
        <w:tc>
          <w:tcPr>
            <w:tcW w:w="5954" w:type="dxa"/>
            <w:noWrap w:val="0"/>
            <w:vAlign w:val="top"/>
          </w:tcPr>
          <w:p>
            <w:pPr>
              <w:widowControl w:val="0"/>
              <w:jc w:val="both"/>
            </w:pPr>
            <w:r>
              <w:rPr>
                <w:rFonts w:hint="eastAsia"/>
              </w:rPr>
              <w:t>是从1970年1月1日（UTC/GMT的午夜）开始至当前服务调用时间所经过的秒数，相关5分钟类有效。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1" w:type="dxa"/>
            <w:noWrap w:val="0"/>
            <w:vAlign w:val="top"/>
          </w:tcPr>
          <w:p>
            <w:pPr>
              <w:widowControl w:val="0"/>
              <w:jc w:val="both"/>
              <w:rPr>
                <w:rFonts w:hint="eastAsia"/>
              </w:rPr>
            </w:pPr>
            <w:r>
              <w:rPr>
                <w:rFonts w:hint="eastAsia"/>
              </w:rPr>
              <w:t>data</w:t>
            </w:r>
          </w:p>
        </w:tc>
        <w:tc>
          <w:tcPr>
            <w:tcW w:w="1317" w:type="dxa"/>
            <w:noWrap w:val="0"/>
            <w:vAlign w:val="top"/>
          </w:tcPr>
          <w:p>
            <w:pPr>
              <w:widowControl w:val="0"/>
              <w:jc w:val="both"/>
              <w:rPr>
                <w:rFonts w:hint="eastAsia"/>
              </w:rPr>
            </w:pPr>
            <w:r>
              <w:rPr>
                <w:rFonts w:hint="eastAsia"/>
              </w:rPr>
              <w:t>请求入参</w:t>
            </w:r>
          </w:p>
        </w:tc>
        <w:tc>
          <w:tcPr>
            <w:tcW w:w="5954" w:type="dxa"/>
            <w:noWrap w:val="0"/>
            <w:vAlign w:val="top"/>
          </w:tcPr>
          <w:p>
            <w:pPr>
              <w:widowControl w:val="0"/>
              <w:jc w:val="both"/>
            </w:pPr>
            <w:r>
              <w:rPr>
                <w:rFonts w:hint="eastAsia"/>
              </w:rPr>
              <w:t>实际请求入参xmlMsg</w:t>
            </w:r>
          </w:p>
        </w:tc>
      </w:tr>
    </w:tbl>
    <w:p>
      <w:pPr>
        <w:numPr>
          <w:ilvl w:val="0"/>
          <w:numId w:val="38"/>
        </w:numPr>
      </w:pPr>
      <w:r>
        <w:t>签名生成示例：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522" w:type="dxa"/>
            <w:shd w:val="clear" w:color="auto" w:fill="DEEAF6"/>
            <w:noWrap w:val="0"/>
            <w:vAlign w:val="top"/>
          </w:tcPr>
          <w:p>
            <w:pPr>
              <w:widowControl w:val="0"/>
              <w:spacing w:line="276" w:lineRule="auto"/>
              <w:jc w:val="both"/>
              <w:rPr>
                <w:rFonts w:hint="eastAsia" w:ascii="宋体" w:hAnsi="宋体" w:eastAsia="新宋体"/>
              </w:rPr>
            </w:pPr>
            <w:r>
              <w:rPr>
                <w:rFonts w:hint="eastAsia" w:ascii="宋体" w:hAnsi="宋体"/>
              </w:rPr>
              <w:t>MD5(</w:t>
            </w:r>
            <w:r>
              <w:rPr>
                <w:rFonts w:hint="eastAsia" w:ascii="宋体" w:hAnsi="宋体"/>
                <w:color w:val="0070C0"/>
              </w:rPr>
              <w:t>syscode=</w:t>
            </w:r>
            <w:r>
              <w:rPr>
                <w:rFonts w:hint="eastAsia" w:ascii="宋体" w:hAnsi="宋体"/>
              </w:rPr>
              <w:t>test1111&amp;</w:t>
            </w:r>
            <w:r>
              <w:rPr>
                <w:rFonts w:hint="eastAsia" w:ascii="宋体" w:hAnsi="宋体"/>
                <w:color w:val="0070C0"/>
              </w:rPr>
              <w:t>appsecret=</w:t>
            </w:r>
            <w:r>
              <w:rPr>
                <w:rFonts w:hint="eastAsia" w:ascii="宋体" w:hAnsi="宋体"/>
              </w:rPr>
              <w:t>123456&amp;</w:t>
            </w:r>
            <w:r>
              <w:rPr>
                <w:rFonts w:ascii="宋体" w:hAnsi="宋体"/>
                <w:color w:val="0070C0"/>
              </w:rPr>
              <w:t>timestamp</w:t>
            </w:r>
            <w:r>
              <w:rPr>
                <w:rFonts w:ascii="宋体" w:hAnsi="宋体"/>
              </w:rPr>
              <w:t>=12312235</w:t>
            </w:r>
            <w:r>
              <w:rPr>
                <w:rFonts w:hint="eastAsia" w:ascii="宋体" w:hAnsi="宋体"/>
              </w:rPr>
              <w:t>&amp;</w:t>
            </w:r>
            <w:r>
              <w:rPr>
                <w:rFonts w:hint="eastAsia" w:ascii="宋体" w:hAnsi="宋体"/>
                <w:color w:val="0070C0"/>
              </w:rPr>
              <w:t>data=</w:t>
            </w:r>
            <w:r>
              <w:rPr>
                <w:rFonts w:hint="eastAsia" w:ascii="宋体" w:hAnsi="宋体"/>
              </w:rPr>
              <w:t>&lt;hsbenvelope&gt;&lt;header&gt;&lt;syscode&gt;test1111&lt;/syscode&gt;&lt;msgtype&gt;getinpatrisapplyinfo&lt;/msgtype&gt;&lt;/header&gt;&lt;body&gt;&lt;msgcontent&gt;&lt;inparam&gt;&lt;type&gt;2&lt;/type&gt;&lt;visitno&gt;882682868&lt;/visitno&gt;&lt;indeptcode&gt;&lt;/indeptcode&gt;&lt;wardcode&gt;&lt;/wardcode&gt;&lt;visitdatebegin&gt;20200714&lt;/visitdatebegin&gt;&lt;visitdateend&gt;20200714&lt;/visitdateend&gt;&lt;/inparam&gt;&lt;/msgcontent&gt;&lt;/body&gt;&lt;/hsbenvelope&gt;)</w:t>
            </w:r>
          </w:p>
          <w:p>
            <w:pPr>
              <w:widowControl w:val="0"/>
              <w:spacing w:line="276" w:lineRule="auto"/>
              <w:jc w:val="both"/>
              <w:rPr>
                <w:rFonts w:hint="eastAsia" w:ascii="宋体" w:hAnsi="宋体"/>
              </w:rPr>
            </w:pPr>
            <w:r>
              <w:rPr>
                <w:rFonts w:hint="eastAsia" w:ascii="宋体" w:hAnsi="宋体"/>
              </w:rPr>
              <w:t>生成签名sign：</w:t>
            </w:r>
            <w:r>
              <w:rPr>
                <w:rFonts w:ascii="宋体" w:hAnsi="宋体"/>
              </w:rPr>
              <w:t>7ed2f6701fc8bbd88557a039782a8dda</w:t>
            </w:r>
          </w:p>
        </w:tc>
      </w:tr>
    </w:tbl>
    <w:p>
      <w:pPr>
        <w:numPr>
          <w:ilvl w:val="0"/>
          <w:numId w:val="38"/>
        </w:numPr>
        <w:rPr>
          <w:rFonts w:hint="eastAsia"/>
        </w:rPr>
      </w:pPr>
      <w:r>
        <w:rPr>
          <w:rFonts w:hint="eastAsia"/>
        </w:rPr>
        <w:t>代码实现示例：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522" w:type="dxa"/>
            <w:shd w:val="clear" w:color="auto" w:fill="DEEAF6"/>
            <w:noWrap w:val="0"/>
            <w:vAlign w:val="top"/>
          </w:tcPr>
          <w:p>
            <w:pPr>
              <w:widowControl w:val="0"/>
              <w:spacing w:line="276" w:lineRule="auto"/>
              <w:jc w:val="both"/>
              <w:rPr>
                <w:rFonts w:hint="eastAsia" w:ascii="宋体" w:hAnsi="宋体"/>
                <w:b/>
                <w:bCs/>
              </w:rPr>
            </w:pPr>
            <w:r>
              <w:rPr>
                <w:rFonts w:hint="eastAsia" w:ascii="宋体" w:hAnsi="宋体"/>
                <w:b/>
                <w:bCs/>
              </w:rPr>
              <w:t>.net实现MD5：</w:t>
            </w:r>
          </w:p>
          <w:p>
            <w:pPr>
              <w:spacing w:line="240" w:lineRule="auto"/>
              <w:rPr>
                <w:rFonts w:hint="eastAsia" w:ascii="Calibri" w:hAnsi="新宋体" w:eastAsia="新宋体"/>
                <w:color w:val="000000"/>
                <w:sz w:val="18"/>
                <w:szCs w:val="18"/>
              </w:rPr>
            </w:pPr>
            <w:r>
              <w:rPr>
                <w:rFonts w:hint="eastAsia" w:ascii="Calibri" w:hAnsi="新宋体" w:eastAsia="新宋体"/>
                <w:color w:val="0000FF"/>
                <w:sz w:val="18"/>
                <w:szCs w:val="18"/>
              </w:rPr>
              <w:t>private</w:t>
            </w: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static</w:t>
            </w: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string</w:t>
            </w:r>
            <w:r>
              <w:rPr>
                <w:rFonts w:hint="eastAsia" w:ascii="Calibri" w:hAnsi="新宋体" w:eastAsia="新宋体"/>
                <w:color w:val="000000"/>
                <w:sz w:val="18"/>
                <w:szCs w:val="18"/>
              </w:rPr>
              <w:t xml:space="preserve"> MD5(</w:t>
            </w:r>
            <w:r>
              <w:rPr>
                <w:rFonts w:hint="eastAsia" w:ascii="Calibri" w:hAnsi="新宋体" w:eastAsia="新宋体"/>
                <w:color w:val="0000FF"/>
                <w:sz w:val="18"/>
                <w:szCs w:val="18"/>
              </w:rPr>
              <w:t>string</w:t>
            </w:r>
            <w:r>
              <w:rPr>
                <w:rFonts w:hint="eastAsia" w:ascii="Calibri" w:hAnsi="新宋体" w:eastAsia="新宋体"/>
                <w:color w:val="000000"/>
                <w:sz w:val="18"/>
                <w:szCs w:val="18"/>
              </w:rPr>
              <w:t xml:space="preserve"> input)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byte</w:t>
            </w:r>
            <w:r>
              <w:rPr>
                <w:rFonts w:hint="eastAsia" w:ascii="Calibri" w:hAnsi="新宋体" w:eastAsia="新宋体"/>
                <w:color w:val="000000"/>
                <w:sz w:val="18"/>
                <w:szCs w:val="18"/>
              </w:rPr>
              <w:t>[] textBytes = System.Text.</w:t>
            </w:r>
            <w:r>
              <w:rPr>
                <w:rFonts w:hint="eastAsia" w:ascii="Calibri" w:hAnsi="新宋体" w:eastAsia="新宋体"/>
                <w:color w:val="2B91AF"/>
                <w:sz w:val="18"/>
                <w:szCs w:val="18"/>
              </w:rPr>
              <w:t>Encoding</w:t>
            </w:r>
            <w:r>
              <w:rPr>
                <w:rFonts w:hint="eastAsia" w:ascii="Calibri" w:hAnsi="新宋体" w:eastAsia="新宋体"/>
                <w:color w:val="000000"/>
                <w:sz w:val="18"/>
                <w:szCs w:val="18"/>
              </w:rPr>
              <w:t>.UTF8.GetBytes(input);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try</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System.Security.Cryptography.</w:t>
            </w:r>
            <w:r>
              <w:rPr>
                <w:rFonts w:hint="eastAsia" w:ascii="Calibri" w:hAnsi="新宋体" w:eastAsia="新宋体"/>
                <w:color w:val="2B91AF"/>
                <w:sz w:val="18"/>
                <w:szCs w:val="18"/>
              </w:rPr>
              <w:t>MD5CryptoServiceProvider</w:t>
            </w:r>
            <w:r>
              <w:rPr>
                <w:rFonts w:hint="eastAsia" w:ascii="Calibri" w:hAnsi="新宋体" w:eastAsia="新宋体"/>
                <w:color w:val="000000"/>
                <w:sz w:val="18"/>
                <w:szCs w:val="18"/>
              </w:rPr>
              <w:t xml:space="preserve"> cryptHandler;</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cryptHandler = </w:t>
            </w:r>
            <w:r>
              <w:rPr>
                <w:rFonts w:hint="eastAsia" w:ascii="Calibri" w:hAnsi="新宋体" w:eastAsia="新宋体"/>
                <w:color w:val="0000FF"/>
                <w:sz w:val="18"/>
                <w:szCs w:val="18"/>
              </w:rPr>
              <w:t>new</w:t>
            </w:r>
            <w:r>
              <w:rPr>
                <w:rFonts w:hint="eastAsia" w:ascii="Calibri" w:hAnsi="新宋体" w:eastAsia="新宋体"/>
                <w:color w:val="000000"/>
                <w:sz w:val="18"/>
                <w:szCs w:val="18"/>
              </w:rPr>
              <w:t xml:space="preserve"> System.Security.Cryptography.</w:t>
            </w:r>
            <w:r>
              <w:rPr>
                <w:rFonts w:hint="eastAsia" w:ascii="Calibri" w:hAnsi="新宋体" w:eastAsia="新宋体"/>
                <w:color w:val="2B91AF"/>
                <w:sz w:val="18"/>
                <w:szCs w:val="18"/>
              </w:rPr>
              <w:t>MD5CryptoServiceProvider</w:t>
            </w: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byte</w:t>
            </w:r>
            <w:r>
              <w:rPr>
                <w:rFonts w:hint="eastAsia" w:ascii="Calibri" w:hAnsi="新宋体" w:eastAsia="新宋体"/>
                <w:color w:val="000000"/>
                <w:sz w:val="18"/>
                <w:szCs w:val="18"/>
              </w:rPr>
              <w:t>[] hash = cryptHandler.ComputeHash(textBytes);</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2B91AF"/>
                <w:sz w:val="18"/>
                <w:szCs w:val="18"/>
              </w:rPr>
              <w:t>StringBuilder</w:t>
            </w:r>
            <w:r>
              <w:rPr>
                <w:rFonts w:hint="eastAsia" w:ascii="Calibri" w:hAnsi="新宋体" w:eastAsia="新宋体"/>
                <w:color w:val="000000"/>
                <w:sz w:val="18"/>
                <w:szCs w:val="18"/>
              </w:rPr>
              <w:t xml:space="preserve"> ret = </w:t>
            </w:r>
            <w:r>
              <w:rPr>
                <w:rFonts w:hint="eastAsia" w:ascii="Calibri" w:hAnsi="新宋体" w:eastAsia="新宋体"/>
                <w:color w:val="0000FF"/>
                <w:sz w:val="18"/>
                <w:szCs w:val="18"/>
              </w:rPr>
              <w:t>new</w:t>
            </w:r>
            <w:r>
              <w:rPr>
                <w:rFonts w:hint="eastAsia" w:ascii="Calibri" w:hAnsi="新宋体" w:eastAsia="新宋体"/>
                <w:color w:val="000000"/>
                <w:sz w:val="18"/>
                <w:szCs w:val="18"/>
              </w:rPr>
              <w:t xml:space="preserve"> </w:t>
            </w:r>
            <w:r>
              <w:rPr>
                <w:rFonts w:hint="eastAsia" w:ascii="Calibri" w:hAnsi="新宋体" w:eastAsia="新宋体"/>
                <w:color w:val="2B91AF"/>
                <w:sz w:val="18"/>
                <w:szCs w:val="18"/>
              </w:rPr>
              <w:t>StringBuilder</w:t>
            </w: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foreach</w:t>
            </w: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byte</w:t>
            </w:r>
            <w:r>
              <w:rPr>
                <w:rFonts w:hint="eastAsia" w:ascii="Calibri" w:hAnsi="新宋体" w:eastAsia="新宋体"/>
                <w:color w:val="000000"/>
                <w:sz w:val="18"/>
                <w:szCs w:val="18"/>
              </w:rPr>
              <w:t xml:space="preserve"> a </w:t>
            </w:r>
            <w:r>
              <w:rPr>
                <w:rFonts w:hint="eastAsia" w:ascii="Calibri" w:hAnsi="新宋体" w:eastAsia="新宋体"/>
                <w:color w:val="0000FF"/>
                <w:sz w:val="18"/>
                <w:szCs w:val="18"/>
              </w:rPr>
              <w:t>in</w:t>
            </w:r>
            <w:r>
              <w:rPr>
                <w:rFonts w:hint="eastAsia" w:ascii="Calibri" w:hAnsi="新宋体" w:eastAsia="新宋体"/>
                <w:color w:val="000000"/>
                <w:sz w:val="18"/>
                <w:szCs w:val="18"/>
              </w:rPr>
              <w:t xml:space="preserve"> hash)</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if</w:t>
            </w:r>
            <w:r>
              <w:rPr>
                <w:rFonts w:hint="eastAsia" w:ascii="Calibri" w:hAnsi="新宋体" w:eastAsia="新宋体"/>
                <w:color w:val="000000"/>
                <w:sz w:val="18"/>
                <w:szCs w:val="18"/>
              </w:rPr>
              <w:t xml:space="preserve"> (a &lt; 16)</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ret.Append(</w:t>
            </w:r>
            <w:r>
              <w:rPr>
                <w:rFonts w:hint="eastAsia" w:ascii="Calibri" w:hAnsi="新宋体" w:eastAsia="新宋体"/>
                <w:color w:val="A31515"/>
                <w:sz w:val="18"/>
                <w:szCs w:val="18"/>
              </w:rPr>
              <w:t>"0"</w:t>
            </w:r>
            <w:r>
              <w:rPr>
                <w:rFonts w:hint="eastAsia" w:ascii="Calibri" w:hAnsi="新宋体" w:eastAsia="新宋体"/>
                <w:color w:val="000000"/>
                <w:sz w:val="18"/>
                <w:szCs w:val="18"/>
              </w:rPr>
              <w:t xml:space="preserve"> + a.ToString(</w:t>
            </w:r>
            <w:r>
              <w:rPr>
                <w:rFonts w:hint="eastAsia" w:ascii="Calibri" w:hAnsi="新宋体" w:eastAsia="新宋体"/>
                <w:color w:val="A31515"/>
                <w:sz w:val="18"/>
                <w:szCs w:val="18"/>
              </w:rPr>
              <w:t>"x"</w:t>
            </w: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else</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ret.Append(a.ToString(</w:t>
            </w:r>
            <w:r>
              <w:rPr>
                <w:rFonts w:hint="eastAsia" w:ascii="Calibri" w:hAnsi="新宋体" w:eastAsia="新宋体"/>
                <w:color w:val="A31515"/>
                <w:sz w:val="18"/>
                <w:szCs w:val="18"/>
              </w:rPr>
              <w:t>"x"</w:t>
            </w: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return</w:t>
            </w:r>
            <w:r>
              <w:rPr>
                <w:rFonts w:hint="eastAsia" w:ascii="Calibri" w:hAnsi="新宋体" w:eastAsia="新宋体"/>
                <w:color w:val="000000"/>
                <w:sz w:val="18"/>
                <w:szCs w:val="18"/>
              </w:rPr>
              <w:t xml:space="preserve"> ret.ToString();</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catch</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r>
              <w:rPr>
                <w:rFonts w:hint="eastAsia" w:ascii="Calibri" w:hAnsi="新宋体" w:eastAsia="新宋体"/>
                <w:color w:val="0000FF"/>
                <w:sz w:val="18"/>
                <w:szCs w:val="18"/>
              </w:rPr>
              <w:t>throw</w:t>
            </w:r>
            <w:r>
              <w:rPr>
                <w:rFonts w:hint="eastAsia" w:ascii="Calibri" w:hAnsi="新宋体" w:eastAsia="新宋体"/>
                <w:color w:val="000000"/>
                <w:sz w:val="18"/>
                <w:szCs w:val="18"/>
              </w:rPr>
              <w:t>;</w:t>
            </w:r>
          </w:p>
          <w:p>
            <w:pPr>
              <w:spacing w:line="240" w:lineRule="auto"/>
              <w:rPr>
                <w:rFonts w:hint="eastAsia" w:ascii="Calibri" w:hAnsi="新宋体" w:eastAsia="新宋体"/>
                <w:color w:val="000000"/>
                <w:sz w:val="18"/>
                <w:szCs w:val="18"/>
              </w:rPr>
            </w:pPr>
            <w:r>
              <w:rPr>
                <w:rFonts w:hint="eastAsia" w:ascii="Calibri" w:hAnsi="新宋体" w:eastAsia="新宋体"/>
                <w:color w:val="000000"/>
                <w:sz w:val="18"/>
                <w:szCs w:val="18"/>
              </w:rPr>
              <w:t xml:space="preserve">    }</w:t>
            </w:r>
          </w:p>
          <w:p>
            <w:pPr>
              <w:widowControl w:val="0"/>
              <w:spacing w:line="240" w:lineRule="auto"/>
              <w:jc w:val="both"/>
              <w:rPr>
                <w:rFonts w:hint="eastAsia" w:ascii="宋体" w:hAnsi="宋体"/>
                <w:sz w:val="18"/>
                <w:szCs w:val="18"/>
              </w:rPr>
            </w:pPr>
            <w:r>
              <w:rPr>
                <w:rFonts w:hint="eastAsia" w:ascii="Calibri" w:hAnsi="新宋体" w:eastAsia="新宋体"/>
                <w:color w:val="000000"/>
                <w:sz w:val="18"/>
                <w:szCs w:val="18"/>
              </w:rPr>
              <w:t>}</w:t>
            </w:r>
          </w:p>
          <w:p>
            <w:pPr>
              <w:widowControl w:val="0"/>
              <w:spacing w:line="276" w:lineRule="auto"/>
              <w:jc w:val="both"/>
              <w:rPr>
                <w:rFonts w:hint="eastAsia" w:ascii="宋体" w:hAnsi="宋体"/>
                <w:b/>
                <w:bCs/>
              </w:rPr>
            </w:pPr>
            <w:r>
              <w:rPr>
                <w:rFonts w:hint="eastAsia" w:ascii="宋体" w:hAnsi="宋体"/>
                <w:b/>
                <w:bCs/>
              </w:rPr>
              <w:t>java实现MD5：</w:t>
            </w:r>
          </w:p>
          <w:p>
            <w:pPr>
              <w:widowControl w:val="0"/>
              <w:spacing w:line="276" w:lineRule="auto"/>
              <w:jc w:val="both"/>
              <w:rPr>
                <w:rFonts w:hint="eastAsia" w:ascii="宋体" w:hAnsi="宋体"/>
              </w:rPr>
            </w:pPr>
            <w:r>
              <w:rPr>
                <w:rFonts w:hint="eastAsia" w:ascii="宋体" w:hAnsi="宋体"/>
              </w:rPr>
              <w:t>JDK8:</w:t>
            </w:r>
          </w:p>
          <w:p>
            <w:pPr>
              <w:widowControl w:val="0"/>
              <w:spacing w:line="276" w:lineRule="auto"/>
              <w:jc w:val="both"/>
              <w:rPr>
                <w:rFonts w:hint="eastAsia" w:ascii="宋体" w:hAnsi="宋体"/>
                <w:b/>
                <w:bCs/>
              </w:rPr>
            </w:pPr>
            <w:r>
              <w:rPr>
                <w:rFonts w:hint="eastAsia" w:ascii="宋体" w:hAnsi="宋体"/>
              </w:rPr>
              <w:t>MD5Util.stringToMD5(password);</w:t>
            </w:r>
          </w:p>
        </w:tc>
      </w:tr>
    </w:tbl>
    <w:p>
      <w:pPr>
        <w:rPr>
          <w:rFonts w:hint="eastAsia"/>
          <w:b/>
          <w:color w:val="FF0000"/>
        </w:rPr>
      </w:pPr>
      <w:r>
        <w:rPr>
          <w:rFonts w:hint="eastAsia"/>
          <w:b/>
          <w:color w:val="FF0000"/>
        </w:rPr>
        <w:t>注：签名后的值作为</w:t>
      </w:r>
      <w:r>
        <w:rPr>
          <w:b/>
          <w:color w:val="FF0000"/>
        </w:rPr>
        <w:t>“</w:t>
      </w:r>
      <w:r>
        <w:rPr>
          <w:b/>
          <w:color w:val="FF0000"/>
        </w:rPr>
        <w:fldChar w:fldCharType="begin"/>
      </w:r>
      <w:r>
        <w:rPr>
          <w:b/>
          <w:color w:val="FF0000"/>
        </w:rPr>
        <w:instrText xml:space="preserve"> HYPERLINK  \l "</w:instrText>
      </w:r>
      <w:r>
        <w:rPr>
          <w:rFonts w:hint="eastAsia"/>
          <w:b/>
          <w:color w:val="FF0000"/>
        </w:rPr>
        <w:instrText xml:space="preserve">_3.1消费方请求数据接口调用说明</w:instrText>
      </w:r>
      <w:r>
        <w:rPr>
          <w:b/>
          <w:color w:val="FF0000"/>
        </w:rPr>
        <w:instrText xml:space="preserve">" </w:instrText>
      </w:r>
      <w:r>
        <w:rPr>
          <w:b/>
          <w:color w:val="FF0000"/>
        </w:rPr>
        <w:fldChar w:fldCharType="separate"/>
      </w:r>
      <w:r>
        <w:rPr>
          <w:rStyle w:val="48"/>
          <w:rFonts w:hint="eastAsia"/>
          <w:b/>
        </w:rPr>
        <w:t>3.</w:t>
      </w:r>
      <w:r>
        <w:rPr>
          <w:rStyle w:val="48"/>
          <w:b/>
        </w:rPr>
        <w:t>1</w:t>
      </w:r>
      <w:r>
        <w:rPr>
          <w:rStyle w:val="48"/>
          <w:rFonts w:hint="eastAsia" w:ascii="宋体" w:hAnsi="宋体"/>
          <w:b/>
        </w:rPr>
        <w:t>消费方请求数据接口调用说明</w:t>
      </w:r>
      <w:r>
        <w:rPr>
          <w:b/>
          <w:color w:val="FF0000"/>
        </w:rPr>
        <w:fldChar w:fldCharType="end"/>
      </w:r>
      <w:r>
        <w:rPr>
          <w:rFonts w:ascii="宋体" w:hAnsi="宋体"/>
          <w:b/>
          <w:color w:val="FF0000"/>
        </w:rPr>
        <w:t>”</w:t>
      </w:r>
      <w:r>
        <w:rPr>
          <w:rFonts w:hint="eastAsia" w:ascii="宋体" w:hAnsi="宋体"/>
          <w:b/>
          <w:color w:val="FF0000"/>
        </w:rPr>
        <w:t>里C</w:t>
      </w:r>
      <w:r>
        <w:rPr>
          <w:rFonts w:ascii="宋体" w:hAnsi="宋体"/>
          <w:b/>
          <w:color w:val="FF0000"/>
        </w:rPr>
        <w:t>osumeXmlMsg</w:t>
      </w:r>
      <w:r>
        <w:rPr>
          <w:rFonts w:hint="eastAsia" w:ascii="宋体" w:hAnsi="宋体"/>
          <w:b/>
          <w:color w:val="FF0000"/>
        </w:rPr>
        <w:t>方法的s</w:t>
      </w:r>
      <w:r>
        <w:rPr>
          <w:rFonts w:ascii="宋体" w:hAnsi="宋体"/>
          <w:b/>
          <w:color w:val="FF0000"/>
        </w:rPr>
        <w:t>ign</w:t>
      </w:r>
      <w:r>
        <w:rPr>
          <w:rFonts w:hint="eastAsia" w:ascii="宋体" w:hAnsi="宋体"/>
          <w:b/>
          <w:color w:val="FF0000"/>
        </w:rPr>
        <w:t>参数值。</w:t>
      </w:r>
    </w:p>
    <w:p>
      <w:pPr>
        <w:pStyle w:val="3"/>
        <w:numPr>
          <w:ilvl w:val="0"/>
          <w:numId w:val="33"/>
        </w:numPr>
        <w:rPr>
          <w:rFonts w:ascii="宋体" w:hAnsi="宋体"/>
        </w:rPr>
      </w:pPr>
      <w:r>
        <w:rPr>
          <w:rFonts w:hint="eastAsia" w:ascii="宋体" w:hAnsi="宋体"/>
        </w:rPr>
        <w:t>平台服务说明</w:t>
      </w:r>
    </w:p>
    <w:tbl>
      <w:tblPr>
        <w:tblStyle w:val="43"/>
        <w:tblW w:w="8222" w:type="dxa"/>
        <w:tblInd w:w="108" w:type="dxa"/>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
      <w:tblGrid>
        <w:gridCol w:w="2268"/>
        <w:gridCol w:w="5954"/>
      </w:tblGrid>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EEAF6"/>
            <w:noWrap w:val="0"/>
            <w:vAlign w:val="top"/>
          </w:tcPr>
          <w:p>
            <w:pPr>
              <w:autoSpaceDE w:val="0"/>
              <w:autoSpaceDN w:val="0"/>
              <w:adjustRightInd w:val="0"/>
              <w:rPr>
                <w:rFonts w:ascii="宋体" w:hAnsi="宋体"/>
                <w:bCs/>
                <w:szCs w:val="21"/>
                <w:lang w:bidi="en-US"/>
              </w:rPr>
            </w:pPr>
            <w:r>
              <w:rPr>
                <w:rFonts w:ascii="宋体" w:hAnsi="宋体"/>
                <w:bCs/>
                <w:szCs w:val="21"/>
                <w:lang w:bidi="en-US"/>
              </w:rPr>
              <w:t>通讯方式</w:t>
            </w:r>
          </w:p>
        </w:tc>
        <w:tc>
          <w:tcPr>
            <w:tcW w:w="5954" w:type="dxa"/>
            <w:tcBorders>
              <w:top w:val="single" w:color="auto" w:sz="4" w:space="0"/>
              <w:left w:val="single" w:color="auto" w:sz="4" w:space="0"/>
              <w:bottom w:val="single" w:color="auto" w:sz="4" w:space="0"/>
              <w:right w:val="single" w:color="auto" w:sz="4" w:space="0"/>
            </w:tcBorders>
            <w:shd w:val="clear" w:color="auto" w:fill="DEEAF6"/>
            <w:noWrap w:val="0"/>
            <w:vAlign w:val="top"/>
          </w:tcPr>
          <w:p>
            <w:pPr>
              <w:autoSpaceDE w:val="0"/>
              <w:autoSpaceDN w:val="0"/>
              <w:adjustRightInd w:val="0"/>
              <w:rPr>
                <w:rFonts w:ascii="宋体" w:hAnsi="宋体"/>
                <w:bCs/>
                <w:szCs w:val="21"/>
                <w:lang w:bidi="en-US"/>
              </w:rPr>
            </w:pPr>
            <w:r>
              <w:rPr>
                <w:rFonts w:hint="eastAsia" w:ascii="宋体" w:hAnsi="宋体"/>
                <w:bCs/>
                <w:szCs w:val="21"/>
                <w:lang w:bidi="en-US"/>
              </w:rPr>
              <w:t>WebServcie</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autoSpaceDE w:val="0"/>
              <w:autoSpaceDN w:val="0"/>
              <w:adjustRightInd w:val="0"/>
              <w:rPr>
                <w:rFonts w:ascii="宋体" w:hAnsi="宋体"/>
                <w:bCs/>
                <w:szCs w:val="21"/>
                <w:lang w:bidi="en-US"/>
              </w:rPr>
            </w:pPr>
            <w:r>
              <w:rPr>
                <w:rFonts w:hint="eastAsia" w:ascii="宋体" w:hAnsi="宋体"/>
                <w:bCs/>
                <w:szCs w:val="21"/>
                <w:lang w:bidi="en-US"/>
              </w:rPr>
              <w:t>消息编码</w:t>
            </w:r>
          </w:p>
        </w:tc>
        <w:tc>
          <w:tcPr>
            <w:tcW w:w="5954" w:type="dxa"/>
            <w:tcBorders>
              <w:top w:val="single" w:color="auto" w:sz="4" w:space="0"/>
              <w:left w:val="single" w:color="auto" w:sz="4" w:space="0"/>
              <w:bottom w:val="single" w:color="auto" w:sz="4" w:space="0"/>
              <w:right w:val="single" w:color="auto" w:sz="4" w:space="0"/>
            </w:tcBorders>
            <w:shd w:val="clear" w:color="auto" w:fill="FFFFFF"/>
            <w:noWrap w:val="0"/>
            <w:vAlign w:val="bottom"/>
          </w:tcPr>
          <w:p>
            <w:pPr>
              <w:autoSpaceDE w:val="0"/>
              <w:autoSpaceDN w:val="0"/>
              <w:adjustRightInd w:val="0"/>
              <w:rPr>
                <w:rFonts w:ascii="宋体" w:hAnsi="宋体"/>
                <w:bCs/>
                <w:szCs w:val="21"/>
                <w:lang w:bidi="en-US"/>
              </w:rPr>
            </w:pPr>
            <w:r>
              <w:rPr>
                <w:rFonts w:ascii="宋体" w:hAnsi="宋体"/>
                <w:bCs/>
                <w:szCs w:val="21"/>
                <w:lang w:bidi="en-US"/>
              </w:rPr>
              <w:t>UTF8</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4F81BD" w:sz="8" w:space="0"/>
              <w:right w:val="single" w:color="4F81BD" w:sz="8" w:space="0"/>
            </w:tcBorders>
            <w:shd w:val="clear" w:color="auto" w:fill="DEEAF6"/>
            <w:noWrap w:val="0"/>
            <w:vAlign w:val="bottom"/>
          </w:tcPr>
          <w:p>
            <w:pPr>
              <w:autoSpaceDE w:val="0"/>
              <w:autoSpaceDN w:val="0"/>
              <w:adjustRightInd w:val="0"/>
              <w:rPr>
                <w:rFonts w:ascii="宋体" w:hAnsi="宋体"/>
                <w:bCs/>
                <w:szCs w:val="21"/>
                <w:lang w:bidi="en-US"/>
              </w:rPr>
            </w:pPr>
            <w:r>
              <w:rPr>
                <w:rFonts w:hint="eastAsia" w:ascii="宋体" w:hAnsi="宋体"/>
                <w:bCs/>
                <w:szCs w:val="21"/>
                <w:lang w:bidi="en-US"/>
              </w:rPr>
              <w:t>消息协议</w:t>
            </w:r>
          </w:p>
        </w:tc>
        <w:tc>
          <w:tcPr>
            <w:tcW w:w="5954" w:type="dxa"/>
            <w:tcBorders>
              <w:top w:val="single" w:color="auto" w:sz="4" w:space="0"/>
            </w:tcBorders>
            <w:shd w:val="clear" w:color="auto" w:fill="DEEAF6"/>
            <w:noWrap w:val="0"/>
            <w:vAlign w:val="bottom"/>
          </w:tcPr>
          <w:p>
            <w:pPr>
              <w:autoSpaceDE w:val="0"/>
              <w:autoSpaceDN w:val="0"/>
              <w:adjustRightInd w:val="0"/>
              <w:rPr>
                <w:rFonts w:ascii="宋体" w:hAnsi="宋体"/>
                <w:bCs/>
                <w:szCs w:val="21"/>
                <w:lang w:bidi="en-US"/>
              </w:rPr>
            </w:pPr>
            <w:r>
              <w:rPr>
                <w:rFonts w:ascii="宋体" w:hAnsi="宋体"/>
                <w:bCs/>
                <w:szCs w:val="21"/>
                <w:lang w:bidi="en-US"/>
              </w:rPr>
              <w:t>SOAP1.2</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4F81BD" w:sz="8" w:space="0"/>
              <w:left w:val="single" w:color="4F81BD" w:sz="8" w:space="0"/>
              <w:bottom w:val="single" w:color="auto" w:sz="4" w:space="0"/>
              <w:right w:val="single" w:color="4F81BD" w:sz="8" w:space="0"/>
            </w:tcBorders>
            <w:noWrap w:val="0"/>
            <w:vAlign w:val="top"/>
          </w:tcPr>
          <w:p>
            <w:pPr>
              <w:autoSpaceDE w:val="0"/>
              <w:autoSpaceDN w:val="0"/>
              <w:adjustRightInd w:val="0"/>
              <w:rPr>
                <w:rFonts w:ascii="宋体" w:hAnsi="宋体"/>
                <w:bCs/>
                <w:szCs w:val="21"/>
                <w:lang w:bidi="en-US"/>
              </w:rPr>
            </w:pPr>
            <w:r>
              <w:rPr>
                <w:rFonts w:hint="eastAsia" w:ascii="宋体" w:hAnsi="宋体"/>
                <w:bCs/>
                <w:szCs w:val="21"/>
                <w:lang w:bidi="en-US"/>
              </w:rPr>
              <w:t>平台服务</w:t>
            </w:r>
            <w:r>
              <w:rPr>
                <w:rFonts w:ascii="宋体" w:hAnsi="宋体"/>
                <w:bCs/>
                <w:szCs w:val="21"/>
                <w:lang w:bidi="en-US"/>
              </w:rPr>
              <w:t>地址</w:t>
            </w:r>
          </w:p>
        </w:tc>
        <w:tc>
          <w:tcPr>
            <w:tcW w:w="5954" w:type="dxa"/>
            <w:tcBorders>
              <w:top w:val="single" w:color="4F81BD" w:sz="8" w:space="0"/>
              <w:bottom w:val="single" w:color="auto" w:sz="4" w:space="0"/>
              <w:right w:val="single" w:color="4F81BD" w:sz="8" w:space="0"/>
            </w:tcBorders>
            <w:noWrap w:val="0"/>
            <w:vAlign w:val="top"/>
          </w:tcPr>
          <w:p>
            <w:pPr>
              <w:autoSpaceDE w:val="0"/>
              <w:autoSpaceDN w:val="0"/>
              <w:adjustRightInd w:val="0"/>
              <w:rPr>
                <w:rFonts w:ascii="宋体" w:hAnsi="宋体"/>
                <w:szCs w:val="21"/>
              </w:rPr>
            </w:pPr>
            <w:r>
              <w:rPr>
                <w:rFonts w:hint="eastAsia" w:ascii="宋体" w:hAnsi="宋体"/>
                <w:szCs w:val="21"/>
              </w:rPr>
              <w:fldChar w:fldCharType="begin"/>
            </w:r>
            <w:r>
              <w:rPr>
                <w:rFonts w:hint="eastAsia" w:ascii="宋体" w:hAnsi="宋体"/>
                <w:szCs w:val="21"/>
              </w:rPr>
              <w:instrText xml:space="preserve"> HYPERLINK "http://IP地址:端口号/EMPIService.asmx" </w:instrText>
            </w:r>
            <w:r>
              <w:rPr>
                <w:rFonts w:hint="eastAsia" w:ascii="宋体" w:hAnsi="宋体"/>
                <w:szCs w:val="21"/>
              </w:rPr>
              <w:fldChar w:fldCharType="separate"/>
            </w:r>
            <w:r>
              <w:rPr>
                <w:rFonts w:hint="eastAsia" w:ascii="宋体" w:hAnsi="宋体"/>
                <w:szCs w:val="21"/>
              </w:rPr>
              <w:t>http://</w:t>
            </w:r>
            <w:r>
              <w:rPr>
                <w:rFonts w:hint="eastAsia" w:ascii="宋体" w:hAnsi="宋体"/>
                <w:szCs w:val="21"/>
              </w:rPr>
              <w:fldChar w:fldCharType="begin"/>
            </w:r>
            <w:r>
              <w:rPr>
                <w:rFonts w:hint="eastAsia" w:ascii="宋体" w:hAnsi="宋体"/>
                <w:szCs w:val="21"/>
              </w:rPr>
              <w:instrText xml:space="preserve"> HYPERLINK "http://192.168.70.16:8202/EMPIService.asmx" \t "_blank" </w:instrText>
            </w:r>
            <w:r>
              <w:rPr>
                <w:rFonts w:hint="eastAsia" w:ascii="宋体" w:hAnsi="宋体"/>
                <w:szCs w:val="21"/>
              </w:rPr>
              <w:fldChar w:fldCharType="separate"/>
            </w:r>
            <w:r>
              <w:rPr>
                <w:rFonts w:hint="eastAsia" w:ascii="宋体" w:hAnsi="宋体"/>
                <w:szCs w:val="21"/>
              </w:rPr>
              <w:t>XXXXX:70</w:t>
            </w:r>
            <w:r>
              <w:rPr>
                <w:rFonts w:hint="eastAsia" w:ascii="宋体" w:hAnsi="宋体"/>
                <w:szCs w:val="21"/>
              </w:rPr>
              <w:fldChar w:fldCharType="end"/>
            </w:r>
            <w:r>
              <w:rPr>
                <w:rFonts w:hint="eastAsia" w:ascii="宋体" w:hAnsi="宋体"/>
                <w:szCs w:val="21"/>
              </w:rPr>
              <w:t>20/WebMsgReceiver.asmx</w:t>
            </w:r>
            <w:r>
              <w:rPr>
                <w:rFonts w:hint="eastAsia" w:ascii="宋体" w:hAnsi="宋体"/>
                <w:szCs w:val="21"/>
              </w:rPr>
              <w:fldChar w:fldCharType="end"/>
            </w:r>
          </w:p>
          <w:p>
            <w:pPr>
              <w:autoSpaceDE w:val="0"/>
              <w:autoSpaceDN w:val="0"/>
              <w:adjustRightInd w:val="0"/>
              <w:rPr>
                <w:rFonts w:ascii="宋体" w:hAnsi="宋体"/>
                <w:b/>
                <w:bCs/>
                <w:color w:val="FF0000"/>
                <w:szCs w:val="21"/>
                <w:lang w:bidi="en-US"/>
              </w:rPr>
            </w:pPr>
            <w:r>
              <w:rPr>
                <w:rFonts w:hint="eastAsia" w:ascii="宋体" w:hAnsi="宋体"/>
                <w:b/>
                <w:color w:val="FF0000"/>
                <w:szCs w:val="21"/>
              </w:rPr>
              <w:t>注：现场请修改为实际平台服务地址</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EEAF6"/>
            <w:noWrap w:val="0"/>
            <w:vAlign w:val="top"/>
          </w:tcPr>
          <w:p>
            <w:pPr>
              <w:autoSpaceDE w:val="0"/>
              <w:autoSpaceDN w:val="0"/>
              <w:adjustRightInd w:val="0"/>
              <w:rPr>
                <w:rFonts w:ascii="宋体" w:hAnsi="宋体"/>
                <w:bCs/>
                <w:szCs w:val="21"/>
                <w:lang w:bidi="en-US"/>
              </w:rPr>
            </w:pPr>
            <w:r>
              <w:rPr>
                <w:rFonts w:hint="eastAsia" w:ascii="宋体" w:hAnsi="宋体"/>
                <w:bCs/>
                <w:szCs w:val="21"/>
                <w:lang w:bidi="en-US"/>
              </w:rPr>
              <w:t>服务方法</w:t>
            </w:r>
            <w:r>
              <w:rPr>
                <w:rFonts w:ascii="宋体" w:hAnsi="宋体"/>
                <w:bCs/>
                <w:szCs w:val="21"/>
                <w:lang w:bidi="en-US"/>
              </w:rPr>
              <w:t>名</w:t>
            </w:r>
          </w:p>
        </w:tc>
        <w:tc>
          <w:tcPr>
            <w:tcW w:w="5954" w:type="dxa"/>
            <w:tcBorders>
              <w:top w:val="single" w:color="auto" w:sz="4" w:space="0"/>
              <w:left w:val="single" w:color="auto" w:sz="4" w:space="0"/>
              <w:bottom w:val="single" w:color="auto" w:sz="4" w:space="0"/>
              <w:right w:val="single" w:color="auto" w:sz="4" w:space="0"/>
            </w:tcBorders>
            <w:shd w:val="clear" w:color="auto" w:fill="DEEAF6"/>
            <w:noWrap w:val="0"/>
            <w:vAlign w:val="top"/>
          </w:tcPr>
          <w:p>
            <w:pPr>
              <w:autoSpaceDE w:val="0"/>
              <w:autoSpaceDN w:val="0"/>
              <w:adjustRightInd w:val="0"/>
              <w:rPr>
                <w:rFonts w:ascii="宋体" w:hAnsi="宋体"/>
                <w:bCs/>
                <w:szCs w:val="21"/>
                <w:lang w:bidi="en-US"/>
              </w:rPr>
            </w:pPr>
            <w:r>
              <w:rPr>
                <w:rFonts w:ascii="宋体" w:hAnsi="宋体"/>
                <w:bCs/>
                <w:szCs w:val="21"/>
                <w:lang w:bidi="en-US"/>
              </w:rPr>
              <w:t>ConsumeXmlMsg(string xmlMsg)</w:t>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autoSpaceDE w:val="0"/>
              <w:autoSpaceDN w:val="0"/>
              <w:adjustRightInd w:val="0"/>
              <w:rPr>
                <w:rFonts w:hint="eastAsia" w:ascii="宋体" w:hAnsi="宋体"/>
                <w:bCs/>
                <w:szCs w:val="21"/>
                <w:lang w:bidi="en-US"/>
              </w:rPr>
            </w:pPr>
            <w:r>
              <w:rPr>
                <w:rFonts w:hint="eastAsia" w:ascii="宋体" w:hAnsi="宋体"/>
                <w:bCs/>
                <w:szCs w:val="21"/>
                <w:lang w:bidi="en-US"/>
              </w:rPr>
              <w:t>SOAP Header消息头</w:t>
            </w:r>
          </w:p>
        </w:tc>
        <w:tc>
          <w:tcPr>
            <w:tcW w:w="5954" w:type="dxa"/>
            <w:tcBorders>
              <w:top w:val="single" w:color="auto" w:sz="4" w:space="0"/>
              <w:left w:val="single" w:color="auto" w:sz="4" w:space="0"/>
              <w:bottom w:val="single" w:color="auto" w:sz="4" w:space="0"/>
              <w:right w:val="single" w:color="auto" w:sz="4" w:space="0"/>
            </w:tcBorders>
            <w:shd w:val="clear" w:color="auto" w:fill="FFFFFF"/>
            <w:noWrap w:val="0"/>
            <w:vAlign w:val="top"/>
          </w:tcPr>
          <w:p>
            <w:pPr>
              <w:autoSpaceDE w:val="0"/>
              <w:autoSpaceDN w:val="0"/>
              <w:adjustRightInd w:val="0"/>
              <w:rPr>
                <w:rFonts w:ascii="宋体" w:hAnsi="宋体"/>
                <w:bCs/>
                <w:szCs w:val="21"/>
                <w:lang w:bidi="en-US"/>
              </w:rPr>
            </w:pPr>
            <w:r>
              <w:rPr>
                <w:rFonts w:hint="eastAsia" w:ascii="宋体" w:hAnsi="宋体"/>
                <w:bCs/>
                <w:szCs w:val="21"/>
                <w:lang w:bidi="en-US"/>
              </w:rPr>
              <w:t>为SOAP Header消息头对象，请参考</w:t>
            </w:r>
            <w:r>
              <w:rPr>
                <w:rFonts w:ascii="宋体" w:hAnsi="宋体"/>
                <w:bCs/>
                <w:szCs w:val="21"/>
                <w:lang w:bidi="en-US"/>
              </w:rPr>
              <w:fldChar w:fldCharType="begin"/>
            </w:r>
            <w:r>
              <w:rPr>
                <w:rFonts w:ascii="宋体" w:hAnsi="宋体"/>
                <w:bCs/>
                <w:szCs w:val="21"/>
                <w:lang w:bidi="en-US"/>
              </w:rPr>
              <w:instrText xml:space="preserve"> HYPERLINK  \l "_3.1.1_请求说明" </w:instrText>
            </w:r>
            <w:r>
              <w:rPr>
                <w:rFonts w:ascii="宋体" w:hAnsi="宋体"/>
                <w:bCs/>
                <w:szCs w:val="21"/>
                <w:lang w:bidi="en-US"/>
              </w:rPr>
              <w:fldChar w:fldCharType="separate"/>
            </w:r>
            <w:r>
              <w:rPr>
                <w:rStyle w:val="48"/>
                <w:rFonts w:hint="eastAsia" w:ascii="宋体" w:hAnsi="宋体"/>
                <w:bCs/>
                <w:szCs w:val="21"/>
                <w:lang w:bidi="en-US"/>
              </w:rPr>
              <w:t>3.1.1 请求说明</w:t>
            </w:r>
            <w:r>
              <w:rPr>
                <w:rFonts w:ascii="宋体" w:hAnsi="宋体"/>
                <w:bCs/>
                <w:szCs w:val="21"/>
                <w:lang w:bidi="en-US"/>
              </w:rPr>
              <w:fldChar w:fldCharType="end"/>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DEEAF6"/>
            <w:noWrap w:val="0"/>
            <w:vAlign w:val="center"/>
          </w:tcPr>
          <w:p>
            <w:pPr>
              <w:autoSpaceDE w:val="0"/>
              <w:autoSpaceDN w:val="0"/>
              <w:adjustRightInd w:val="0"/>
              <w:rPr>
                <w:rFonts w:ascii="宋体" w:hAnsi="宋体"/>
                <w:bCs/>
                <w:szCs w:val="21"/>
                <w:lang w:bidi="en-US"/>
              </w:rPr>
            </w:pPr>
            <w:r>
              <w:rPr>
                <w:rFonts w:hint="eastAsia" w:ascii="宋体" w:hAnsi="宋体"/>
                <w:bCs/>
                <w:szCs w:val="21"/>
                <w:lang w:bidi="en-US"/>
              </w:rPr>
              <w:t>请求说明</w:t>
            </w:r>
          </w:p>
        </w:tc>
        <w:tc>
          <w:tcPr>
            <w:tcW w:w="5954" w:type="dxa"/>
            <w:tcBorders>
              <w:top w:val="single" w:color="auto" w:sz="4" w:space="0"/>
              <w:left w:val="single" w:color="auto" w:sz="4" w:space="0"/>
              <w:bottom w:val="single" w:color="auto" w:sz="4" w:space="0"/>
              <w:right w:val="single" w:color="auto" w:sz="4" w:space="0"/>
            </w:tcBorders>
            <w:shd w:val="clear" w:color="auto" w:fill="DEEAF6"/>
            <w:noWrap w:val="0"/>
            <w:vAlign w:val="center"/>
          </w:tcPr>
          <w:p>
            <w:pPr>
              <w:autoSpaceDE w:val="0"/>
              <w:autoSpaceDN w:val="0"/>
              <w:adjustRightInd w:val="0"/>
              <w:rPr>
                <w:rFonts w:ascii="宋体" w:hAnsi="宋体"/>
                <w:bCs/>
                <w:szCs w:val="21"/>
                <w:lang w:bidi="en-US"/>
              </w:rPr>
            </w:pPr>
            <w:r>
              <w:rPr>
                <w:rFonts w:ascii="宋体" w:hAnsi="宋体"/>
                <w:bCs/>
                <w:szCs w:val="21"/>
                <w:lang w:bidi="en-US"/>
              </w:rPr>
              <w:t>xmlMsg</w:t>
            </w:r>
            <w:r>
              <w:rPr>
                <w:rFonts w:hint="eastAsia" w:ascii="宋体" w:hAnsi="宋体"/>
                <w:bCs/>
                <w:szCs w:val="21"/>
                <w:lang w:bidi="en-US"/>
              </w:rPr>
              <w:t>类型为字符串，请参考</w:t>
            </w:r>
            <w:r>
              <w:rPr>
                <w:rFonts w:ascii="宋体" w:hAnsi="宋体"/>
                <w:bCs/>
                <w:szCs w:val="21"/>
                <w:lang w:bidi="en-US"/>
              </w:rPr>
              <w:fldChar w:fldCharType="begin"/>
            </w:r>
            <w:r>
              <w:rPr>
                <w:rFonts w:ascii="宋体" w:hAnsi="宋体"/>
                <w:bCs/>
                <w:szCs w:val="21"/>
                <w:lang w:bidi="en-US"/>
              </w:rPr>
              <w:instrText xml:space="preserve"> HYPERLINK  \l "_3.1.1_请求说明" </w:instrText>
            </w:r>
            <w:r>
              <w:rPr>
                <w:rFonts w:ascii="宋体" w:hAnsi="宋体"/>
                <w:bCs/>
                <w:szCs w:val="21"/>
                <w:lang w:bidi="en-US"/>
              </w:rPr>
              <w:fldChar w:fldCharType="separate"/>
            </w:r>
            <w:r>
              <w:rPr>
                <w:rStyle w:val="48"/>
                <w:rFonts w:hint="eastAsia" w:ascii="宋体" w:hAnsi="宋体"/>
                <w:bCs/>
                <w:szCs w:val="21"/>
                <w:lang w:bidi="en-US"/>
              </w:rPr>
              <w:t>3.1.1 请求说明</w:t>
            </w:r>
            <w:r>
              <w:rPr>
                <w:rFonts w:ascii="宋体" w:hAnsi="宋体"/>
                <w:bCs/>
                <w:szCs w:val="21"/>
                <w:lang w:bidi="en-US"/>
              </w:rPr>
              <w:fldChar w:fldCharType="end"/>
            </w:r>
          </w:p>
        </w:tc>
      </w:tr>
      <w:tr>
        <w:tblPrEx>
          <w:tblBorders>
            <w:top w:val="single" w:color="4F81BD" w:sz="8" w:space="0"/>
            <w:left w:val="single" w:color="4F81BD" w:sz="8" w:space="0"/>
            <w:bottom w:val="single" w:color="4F81BD" w:sz="8" w:space="0"/>
            <w:right w:val="single" w:color="4F81BD" w:sz="8"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autoSpaceDE w:val="0"/>
              <w:autoSpaceDN w:val="0"/>
              <w:adjustRightInd w:val="0"/>
              <w:rPr>
                <w:rFonts w:ascii="宋体" w:hAnsi="宋体"/>
                <w:bCs/>
                <w:szCs w:val="21"/>
                <w:lang w:bidi="en-US"/>
              </w:rPr>
            </w:pPr>
            <w:r>
              <w:rPr>
                <w:rFonts w:hint="eastAsia" w:ascii="宋体" w:hAnsi="宋体"/>
                <w:bCs/>
                <w:szCs w:val="21"/>
                <w:lang w:bidi="en-US"/>
              </w:rPr>
              <w:t>响应说明</w:t>
            </w:r>
          </w:p>
        </w:tc>
        <w:tc>
          <w:tcPr>
            <w:tcW w:w="595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autoSpaceDE w:val="0"/>
              <w:autoSpaceDN w:val="0"/>
              <w:adjustRightInd w:val="0"/>
              <w:rPr>
                <w:rFonts w:ascii="宋体" w:hAnsi="宋体"/>
                <w:bCs/>
                <w:szCs w:val="21"/>
                <w:lang w:bidi="en-US"/>
              </w:rPr>
            </w:pPr>
            <w:r>
              <w:rPr>
                <w:rFonts w:hint="eastAsia" w:ascii="宋体" w:hAnsi="宋体"/>
                <w:bCs/>
                <w:szCs w:val="21"/>
                <w:lang w:bidi="en-US"/>
              </w:rPr>
              <w:t>类型为字符流，输出服务响应字符流。</w:t>
            </w:r>
          </w:p>
        </w:tc>
      </w:tr>
    </w:tbl>
    <w:p>
      <w:r>
        <w:rPr>
          <w:rFonts w:hint="eastAsia"/>
        </w:rPr>
        <w:t>平台服务代码：</w:t>
      </w:r>
    </w:p>
    <w:tbl>
      <w:tblPr>
        <w:tblStyle w:val="43"/>
        <w:tblW w:w="8287"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7" w:type="dxa"/>
            <w:noWrap w:val="0"/>
            <w:vAlign w:val="top"/>
          </w:tcPr>
          <w:p>
            <w:pPr>
              <w:spacing w:line="240" w:lineRule="auto"/>
              <w:rPr>
                <w:rFonts w:hint="eastAsia" w:ascii="Calibri" w:hAnsi="新宋体" w:eastAsia="新宋体"/>
                <w:color w:val="000000"/>
                <w:szCs w:val="21"/>
                <w:highlight w:val="white"/>
              </w:rPr>
            </w:pPr>
            <w:r>
              <w:rPr>
                <w:rFonts w:hint="eastAsia" w:ascii="Calibri" w:hAnsi="新宋体" w:eastAsia="新宋体"/>
                <w:color w:val="000000"/>
                <w:szCs w:val="21"/>
                <w:highlight w:val="white"/>
              </w:rPr>
              <w:t>[</w:t>
            </w:r>
            <w:r>
              <w:rPr>
                <w:rFonts w:hint="eastAsia" w:ascii="Calibri" w:hAnsi="新宋体" w:eastAsia="新宋体"/>
                <w:color w:val="2B91AF"/>
                <w:szCs w:val="21"/>
                <w:highlight w:val="white"/>
              </w:rPr>
              <w:t>WebMethod</w:t>
            </w:r>
            <w:r>
              <w:rPr>
                <w:rFonts w:hint="eastAsia" w:ascii="Calibri" w:hAnsi="新宋体" w:eastAsia="新宋体"/>
                <w:color w:val="000000"/>
                <w:szCs w:val="21"/>
                <w:highlight w:val="white"/>
              </w:rPr>
              <w:t>]</w:t>
            </w:r>
          </w:p>
          <w:p>
            <w:pPr>
              <w:spacing w:line="240" w:lineRule="auto"/>
              <w:rPr>
                <w:rFonts w:hint="eastAsia" w:ascii="Calibri" w:hAnsi="新宋体" w:eastAsia="新宋体"/>
                <w:color w:val="000000"/>
                <w:szCs w:val="21"/>
                <w:highlight w:val="white"/>
              </w:rPr>
            </w:pPr>
            <w:r>
              <w:rPr>
                <w:rFonts w:hint="eastAsia" w:ascii="Calibri" w:hAnsi="新宋体" w:eastAsia="新宋体"/>
                <w:color w:val="000000"/>
                <w:szCs w:val="21"/>
                <w:highlight w:val="white"/>
              </w:rPr>
              <w:t>[</w:t>
            </w:r>
            <w:r>
              <w:rPr>
                <w:rFonts w:hint="eastAsia" w:ascii="Calibri" w:hAnsi="新宋体" w:eastAsia="新宋体"/>
                <w:color w:val="2B91AF"/>
                <w:szCs w:val="21"/>
                <w:highlight w:val="white"/>
              </w:rPr>
              <w:t>SoapHeader</w:t>
            </w:r>
            <w:r>
              <w:rPr>
                <w:rFonts w:hint="eastAsia" w:ascii="Calibri" w:hAnsi="新宋体" w:eastAsia="新宋体"/>
                <w:color w:val="000000"/>
                <w:szCs w:val="21"/>
                <w:highlight w:val="white"/>
              </w:rPr>
              <w:t>(</w:t>
            </w:r>
            <w:r>
              <w:rPr>
                <w:rFonts w:hint="eastAsia" w:ascii="Calibri" w:hAnsi="新宋体" w:eastAsia="新宋体"/>
                <w:color w:val="A31515"/>
                <w:szCs w:val="21"/>
                <w:highlight w:val="white"/>
              </w:rPr>
              <w:t>"</w:t>
            </w:r>
            <w:r>
              <w:rPr>
                <w:rFonts w:hint="eastAsia" w:ascii="新宋体" w:hAnsi="新宋体" w:eastAsia="新宋体"/>
                <w:color w:val="A31515"/>
                <w:sz w:val="19"/>
                <w:highlight w:val="white"/>
              </w:rPr>
              <w:t>soapHeader</w:t>
            </w:r>
            <w:r>
              <w:rPr>
                <w:rFonts w:hint="eastAsia" w:ascii="Calibri" w:hAnsi="新宋体" w:eastAsia="新宋体"/>
                <w:color w:val="A31515"/>
                <w:szCs w:val="21"/>
                <w:highlight w:val="white"/>
              </w:rPr>
              <w:t>"</w:t>
            </w:r>
            <w:r>
              <w:rPr>
                <w:rFonts w:hint="eastAsia" w:ascii="Calibri" w:hAnsi="新宋体" w:eastAsia="新宋体"/>
                <w:color w:val="000000"/>
                <w:szCs w:val="21"/>
                <w:highlight w:val="white"/>
              </w:rPr>
              <w:t>)]</w:t>
            </w:r>
          </w:p>
          <w:p>
            <w:pPr>
              <w:widowControl w:val="0"/>
              <w:spacing w:line="240" w:lineRule="auto"/>
              <w:jc w:val="both"/>
              <w:rPr>
                <w:rFonts w:ascii="Calibri" w:hAnsi="宋体"/>
                <w:szCs w:val="21"/>
              </w:rPr>
            </w:pPr>
            <w:r>
              <w:rPr>
                <w:rFonts w:hint="eastAsia" w:ascii="Calibri" w:hAnsi="新宋体" w:eastAsia="新宋体"/>
                <w:color w:val="0000FF"/>
                <w:szCs w:val="21"/>
                <w:highlight w:val="white"/>
              </w:rPr>
              <w:t>public</w:t>
            </w: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string</w:t>
            </w:r>
            <w:r>
              <w:rPr>
                <w:rFonts w:hint="eastAsia" w:ascii="Calibri" w:hAnsi="新宋体" w:eastAsia="新宋体"/>
                <w:color w:val="000000"/>
                <w:szCs w:val="21"/>
                <w:highlight w:val="white"/>
              </w:rPr>
              <w:t xml:space="preserve"> ConsumeXmlMsg(</w:t>
            </w:r>
            <w:r>
              <w:rPr>
                <w:rFonts w:hint="eastAsia" w:ascii="Calibri" w:hAnsi="新宋体" w:eastAsia="新宋体"/>
                <w:color w:val="0000FF"/>
                <w:szCs w:val="21"/>
                <w:highlight w:val="white"/>
              </w:rPr>
              <w:t>string</w:t>
            </w:r>
            <w:r>
              <w:rPr>
                <w:rFonts w:hint="eastAsia" w:ascii="Calibri" w:hAnsi="新宋体" w:eastAsia="新宋体"/>
                <w:color w:val="000000"/>
                <w:szCs w:val="21"/>
                <w:highlight w:val="white"/>
              </w:rPr>
              <w:t xml:space="preserve"> xmlMsg)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87" w:type="dxa"/>
            <w:noWrap w:val="0"/>
            <w:vAlign w:val="top"/>
          </w:tcPr>
          <w:p>
            <w:pPr>
              <w:spacing w:line="240" w:lineRule="auto"/>
              <w:rPr>
                <w:rFonts w:hint="eastAsia" w:ascii="Calibri" w:hAnsi="新宋体" w:eastAsia="新宋体"/>
                <w:color w:val="000000"/>
                <w:szCs w:val="21"/>
                <w:highlight w:val="white"/>
              </w:rPr>
            </w:pPr>
            <w:r>
              <w:rPr>
                <w:rFonts w:hint="eastAsia" w:ascii="Calibri" w:hAnsi="新宋体" w:eastAsia="新宋体"/>
                <w:color w:val="808080"/>
                <w:szCs w:val="21"/>
                <w:highlight w:val="white"/>
              </w:rPr>
              <w:t>///</w:t>
            </w:r>
            <w:r>
              <w:rPr>
                <w:rFonts w:hint="eastAsia" w:ascii="Calibri" w:hAnsi="新宋体" w:eastAsia="新宋体"/>
                <w:color w:val="008000"/>
                <w:szCs w:val="21"/>
                <w:highlight w:val="white"/>
              </w:rPr>
              <w:t xml:space="preserve"> </w:t>
            </w:r>
            <w:r>
              <w:rPr>
                <w:rFonts w:hint="eastAsia" w:ascii="Calibri" w:hAnsi="新宋体" w:eastAsia="新宋体"/>
                <w:color w:val="808080"/>
                <w:szCs w:val="21"/>
                <w:highlight w:val="white"/>
              </w:rPr>
              <w:t>&lt;summary&gt;</w:t>
            </w:r>
          </w:p>
          <w:p>
            <w:pPr>
              <w:spacing w:line="240" w:lineRule="auto"/>
              <w:rPr>
                <w:rFonts w:ascii="Calibri" w:hAnsi="新宋体" w:eastAsia="新宋体"/>
                <w:color w:val="000000"/>
                <w:szCs w:val="21"/>
                <w:highlight w:val="white"/>
              </w:rPr>
            </w:pPr>
            <w:r>
              <w:rPr>
                <w:rFonts w:hint="eastAsia" w:ascii="Calibri" w:hAnsi="新宋体" w:eastAsia="新宋体"/>
                <w:color w:val="808080"/>
                <w:szCs w:val="21"/>
                <w:highlight w:val="white"/>
              </w:rPr>
              <w:t>///</w:t>
            </w:r>
            <w:r>
              <w:rPr>
                <w:rFonts w:hint="eastAsia" w:ascii="Calibri" w:hAnsi="新宋体" w:eastAsia="新宋体"/>
                <w:color w:val="008000"/>
                <w:szCs w:val="21"/>
                <w:highlight w:val="white"/>
              </w:rPr>
              <w:t xml:space="preserve"> </w:t>
            </w:r>
            <w:r>
              <w:rPr>
                <w:rFonts w:hint="eastAsia" w:ascii="Calibri" w:hAnsi="新宋体" w:eastAsia="新宋体"/>
                <w:color w:val="000000"/>
                <w:szCs w:val="21"/>
                <w:highlight w:val="white"/>
              </w:rPr>
              <w:t>[</w:t>
            </w:r>
            <w:r>
              <w:rPr>
                <w:rFonts w:hint="eastAsia" w:ascii="Calibri" w:hAnsi="新宋体" w:eastAsia="新宋体"/>
                <w:color w:val="2B91AF"/>
                <w:szCs w:val="21"/>
                <w:highlight w:val="white"/>
              </w:rPr>
              <w:t>SoapHeader</w:t>
            </w:r>
            <w:r>
              <w:rPr>
                <w:rFonts w:hint="eastAsia" w:ascii="Calibri" w:hAnsi="新宋体" w:eastAsia="新宋体"/>
                <w:color w:val="000000"/>
                <w:szCs w:val="21"/>
                <w:highlight w:val="white"/>
              </w:rPr>
              <w:t>(</w:t>
            </w:r>
            <w:r>
              <w:rPr>
                <w:rFonts w:hint="eastAsia" w:ascii="Calibri" w:hAnsi="新宋体" w:eastAsia="新宋体"/>
                <w:color w:val="A31515"/>
                <w:szCs w:val="21"/>
                <w:highlight w:val="white"/>
              </w:rPr>
              <w:t>"</w:t>
            </w:r>
            <w:r>
              <w:rPr>
                <w:rFonts w:hint="eastAsia" w:ascii="新宋体" w:hAnsi="新宋体" w:eastAsia="新宋体"/>
                <w:color w:val="A31515"/>
                <w:sz w:val="19"/>
                <w:highlight w:val="white"/>
              </w:rPr>
              <w:t>soapHeader</w:t>
            </w:r>
            <w:r>
              <w:rPr>
                <w:rFonts w:hint="eastAsia" w:ascii="Calibri" w:hAnsi="新宋体" w:eastAsia="新宋体"/>
                <w:color w:val="A31515"/>
                <w:szCs w:val="21"/>
                <w:highlight w:val="white"/>
              </w:rPr>
              <w:t>"</w:t>
            </w:r>
            <w:r>
              <w:rPr>
                <w:rFonts w:hint="eastAsia" w:ascii="Calibri" w:hAnsi="新宋体" w:eastAsia="新宋体"/>
                <w:color w:val="000000"/>
                <w:szCs w:val="21"/>
                <w:highlight w:val="white"/>
              </w:rPr>
              <w:t>)]</w:t>
            </w:r>
            <w:r>
              <w:rPr>
                <w:rFonts w:hint="eastAsia" w:ascii="Calibri" w:hAnsi="新宋体" w:eastAsia="新宋体"/>
                <w:color w:val="008000"/>
                <w:szCs w:val="21"/>
                <w:highlight w:val="white"/>
              </w:rPr>
              <w:t>消息头对象</w:t>
            </w:r>
          </w:p>
          <w:p>
            <w:pPr>
              <w:spacing w:line="240" w:lineRule="auto"/>
              <w:rPr>
                <w:rFonts w:hint="eastAsia" w:ascii="Calibri" w:hAnsi="新宋体" w:eastAsia="新宋体"/>
                <w:color w:val="000000"/>
                <w:szCs w:val="21"/>
                <w:highlight w:val="white"/>
              </w:rPr>
            </w:pPr>
            <w:r>
              <w:rPr>
                <w:rFonts w:hint="eastAsia" w:ascii="Calibri" w:hAnsi="新宋体" w:eastAsia="新宋体"/>
                <w:color w:val="808080"/>
                <w:szCs w:val="21"/>
                <w:highlight w:val="white"/>
              </w:rPr>
              <w:t>///</w:t>
            </w:r>
            <w:r>
              <w:rPr>
                <w:rFonts w:hint="eastAsia" w:ascii="Calibri" w:hAnsi="新宋体" w:eastAsia="新宋体"/>
                <w:color w:val="008000"/>
                <w:szCs w:val="21"/>
                <w:highlight w:val="white"/>
              </w:rPr>
              <w:t xml:space="preserve"> </w:t>
            </w:r>
            <w:r>
              <w:rPr>
                <w:rFonts w:hint="eastAsia" w:ascii="Calibri" w:hAnsi="新宋体" w:eastAsia="新宋体"/>
                <w:color w:val="808080"/>
                <w:szCs w:val="21"/>
                <w:highlight w:val="white"/>
              </w:rPr>
              <w:t>&lt;/summary&gt;</w:t>
            </w:r>
          </w:p>
          <w:p>
            <w:pPr>
              <w:spacing w:line="240" w:lineRule="auto"/>
              <w:rPr>
                <w:rFonts w:hint="eastAsia" w:ascii="Calibri" w:hAnsi="新宋体" w:eastAsia="新宋体"/>
                <w:color w:val="000000"/>
                <w:szCs w:val="21"/>
                <w:highlight w:val="white"/>
              </w:rPr>
            </w:pPr>
            <w:r>
              <w:rPr>
                <w:rFonts w:hint="eastAsia" w:ascii="Calibri" w:hAnsi="新宋体" w:eastAsia="新宋体"/>
                <w:color w:val="0000FF"/>
                <w:szCs w:val="21"/>
                <w:highlight w:val="white"/>
              </w:rPr>
              <w:t>public</w:t>
            </w: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class</w:t>
            </w:r>
            <w:r>
              <w:rPr>
                <w:rFonts w:hint="eastAsia" w:ascii="Calibri" w:hAnsi="新宋体" w:eastAsia="新宋体"/>
                <w:color w:val="000000"/>
                <w:szCs w:val="21"/>
                <w:highlight w:val="white"/>
              </w:rPr>
              <w:t xml:space="preserve"> </w:t>
            </w:r>
            <w:r>
              <w:rPr>
                <w:rFonts w:hint="eastAsia" w:ascii="Calibri" w:hAnsi="新宋体" w:eastAsia="新宋体"/>
                <w:color w:val="2B91AF"/>
                <w:szCs w:val="21"/>
                <w:highlight w:val="white"/>
              </w:rPr>
              <w:t>MyHeader</w:t>
            </w:r>
            <w:r>
              <w:rPr>
                <w:rFonts w:hint="eastAsia" w:ascii="Calibri" w:hAnsi="新宋体" w:eastAsia="新宋体"/>
                <w:color w:val="000000"/>
                <w:szCs w:val="21"/>
                <w:highlight w:val="white"/>
              </w:rPr>
              <w:t xml:space="preserve"> : </w:t>
            </w:r>
            <w:r>
              <w:rPr>
                <w:rFonts w:hint="eastAsia" w:ascii="Calibri" w:hAnsi="新宋体" w:eastAsia="新宋体"/>
                <w:color w:val="2B91AF"/>
                <w:szCs w:val="21"/>
                <w:highlight w:val="white"/>
              </w:rPr>
              <w:t>SoapHeader</w:t>
            </w:r>
          </w:p>
          <w:p>
            <w:pPr>
              <w:spacing w:line="240" w:lineRule="auto"/>
              <w:rPr>
                <w:rFonts w:hint="eastAsia" w:ascii="Calibri" w:hAnsi="新宋体" w:eastAsia="新宋体"/>
                <w:color w:val="000000"/>
                <w:szCs w:val="21"/>
                <w:highlight w:val="white"/>
              </w:rPr>
            </w:pPr>
            <w:r>
              <w:rPr>
                <w:rFonts w:hint="eastAsia" w:ascii="Calibri" w:hAnsi="新宋体" w:eastAsia="新宋体"/>
                <w:color w:val="000000"/>
                <w:szCs w:val="21"/>
                <w:highlight w:val="white"/>
              </w:rPr>
              <w:t>{</w:t>
            </w:r>
          </w:p>
          <w:p>
            <w:pPr>
              <w:spacing w:line="240" w:lineRule="auto"/>
              <w:rPr>
                <w:rFonts w:hint="eastAsia" w:ascii="Calibri" w:hAnsi="新宋体" w:eastAsia="新宋体"/>
                <w:color w:val="000000"/>
                <w:szCs w:val="21"/>
                <w:highlight w:val="white"/>
              </w:rPr>
            </w:pP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public</w:t>
            </w: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string</w:t>
            </w:r>
            <w:r>
              <w:rPr>
                <w:rFonts w:hint="eastAsia" w:ascii="Calibri" w:hAnsi="新宋体" w:eastAsia="新宋体"/>
                <w:color w:val="000000"/>
                <w:szCs w:val="21"/>
                <w:highlight w:val="white"/>
              </w:rPr>
              <w:t xml:space="preserve"> Sign; </w:t>
            </w:r>
          </w:p>
          <w:p>
            <w:pPr>
              <w:spacing w:line="240" w:lineRule="auto"/>
              <w:rPr>
                <w:rFonts w:hint="eastAsia" w:ascii="Calibri" w:hAnsi="新宋体" w:eastAsia="新宋体"/>
                <w:color w:val="000000"/>
                <w:szCs w:val="21"/>
                <w:highlight w:val="white"/>
              </w:rPr>
            </w:pP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public</w:t>
            </w:r>
            <w:r>
              <w:rPr>
                <w:rFonts w:hint="eastAsia" w:ascii="Calibri" w:hAnsi="新宋体" w:eastAsia="新宋体"/>
                <w:color w:val="000000"/>
                <w:szCs w:val="21"/>
                <w:highlight w:val="white"/>
              </w:rPr>
              <w:t xml:space="preserve"> </w:t>
            </w:r>
            <w:r>
              <w:rPr>
                <w:rFonts w:hint="eastAsia" w:ascii="Calibri" w:hAnsi="新宋体" w:eastAsia="新宋体"/>
                <w:color w:val="0000FF"/>
                <w:szCs w:val="21"/>
                <w:highlight w:val="white"/>
              </w:rPr>
              <w:t>lo</w:t>
            </w:r>
            <w:r>
              <w:rPr>
                <w:rFonts w:ascii="Calibri" w:hAnsi="新宋体" w:eastAsia="新宋体"/>
                <w:color w:val="0000FF"/>
                <w:szCs w:val="21"/>
              </w:rPr>
              <w:t xml:space="preserve">ng </w:t>
            </w:r>
            <w:r>
              <w:t>TimeStamp</w:t>
            </w:r>
            <w:r>
              <w:rPr>
                <w:rFonts w:hint="eastAsia" w:ascii="Calibri" w:hAnsi="新宋体" w:eastAsia="新宋体"/>
                <w:color w:val="000000"/>
                <w:szCs w:val="21"/>
                <w:highlight w:val="white"/>
              </w:rPr>
              <w:t>;</w:t>
            </w:r>
          </w:p>
          <w:p>
            <w:pPr>
              <w:widowControl w:val="0"/>
              <w:spacing w:line="240" w:lineRule="auto"/>
              <w:jc w:val="both"/>
              <w:rPr>
                <w:rFonts w:ascii="Calibri" w:hAnsi="宋体"/>
                <w:szCs w:val="21"/>
              </w:rPr>
            </w:pPr>
            <w:r>
              <w:rPr>
                <w:rFonts w:hint="eastAsia" w:ascii="Calibri" w:hAnsi="新宋体" w:eastAsia="新宋体"/>
                <w:color w:val="000000"/>
                <w:szCs w:val="21"/>
                <w:highlight w:val="white"/>
              </w:rPr>
              <w:t>}</w:t>
            </w:r>
          </w:p>
        </w:tc>
      </w:tr>
    </w:tbl>
    <w:p>
      <w:pPr>
        <w:pStyle w:val="4"/>
        <w:numPr>
          <w:ilvl w:val="0"/>
          <w:numId w:val="0"/>
        </w:numPr>
        <w:ind w:left="576" w:hanging="576"/>
        <w:rPr>
          <w:rFonts w:hint="eastAsia" w:ascii="宋体" w:hAnsi="宋体"/>
          <w:i w:val="0"/>
        </w:rPr>
      </w:pPr>
      <w:bookmarkStart w:id="162" w:name="_3.1消费方请求数据接口调用说明"/>
      <w:bookmarkEnd w:id="162"/>
      <w:bookmarkStart w:id="163" w:name="_Toc46753271"/>
      <w:r>
        <w:rPr>
          <w:rFonts w:ascii="宋体" w:hAnsi="宋体"/>
          <w:i w:val="0"/>
        </w:rPr>
        <w:t>3.1</w:t>
      </w:r>
      <w:r>
        <w:rPr>
          <w:rFonts w:hint="eastAsia" w:ascii="宋体" w:hAnsi="宋体"/>
          <w:i w:val="0"/>
        </w:rPr>
        <w:t>参数说明</w:t>
      </w:r>
      <w:bookmarkEnd w:id="163"/>
    </w:p>
    <w:p>
      <w:pPr>
        <w:pStyle w:val="5"/>
        <w:numPr>
          <w:ilvl w:val="0"/>
          <w:numId w:val="0"/>
        </w:numPr>
        <w:rPr>
          <w:rFonts w:hint="eastAsia" w:ascii="宋体" w:hAnsi="宋体"/>
        </w:rPr>
      </w:pPr>
      <w:bookmarkStart w:id="164" w:name="_3.1.1_xmlMsg参数说明(HSB消息体)"/>
      <w:bookmarkEnd w:id="164"/>
      <w:bookmarkStart w:id="165" w:name="_3.1.1_请求说明"/>
      <w:bookmarkEnd w:id="165"/>
      <w:bookmarkStart w:id="166" w:name="_Toc46753272"/>
      <w:r>
        <w:rPr>
          <w:rFonts w:ascii="宋体" w:hAnsi="宋体"/>
        </w:rPr>
        <w:t xml:space="preserve">3.1.1 </w:t>
      </w:r>
      <w:r>
        <w:rPr>
          <w:rFonts w:hint="eastAsia" w:ascii="宋体" w:hAnsi="宋体"/>
        </w:rPr>
        <w:t>请求说明</w:t>
      </w:r>
      <w:bookmarkEnd w:id="166"/>
    </w:p>
    <w:tbl>
      <w:tblPr>
        <w:tblStyle w:val="43"/>
        <w:tblW w:w="826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63"/>
        <w:gridCol w:w="4875"/>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6" w:type="dxa"/>
            <w:shd w:val="clear" w:color="auto" w:fill="D7D7D7"/>
            <w:noWrap w:val="0"/>
            <w:vAlign w:val="top"/>
          </w:tcPr>
          <w:p>
            <w:pPr>
              <w:widowControl w:val="0"/>
              <w:jc w:val="both"/>
              <w:rPr>
                <w:rFonts w:ascii="宋体" w:hAnsi="宋体"/>
                <w:b/>
                <w:bCs/>
              </w:rPr>
            </w:pPr>
            <w:r>
              <w:rPr>
                <w:rFonts w:hint="eastAsia" w:ascii="宋体" w:hAnsi="宋体"/>
                <w:b/>
                <w:bCs/>
              </w:rPr>
              <w:t>参数名称</w:t>
            </w:r>
          </w:p>
        </w:tc>
        <w:tc>
          <w:tcPr>
            <w:tcW w:w="1063" w:type="dxa"/>
            <w:shd w:val="clear" w:color="auto" w:fill="D7D7D7"/>
            <w:noWrap w:val="0"/>
            <w:vAlign w:val="top"/>
          </w:tcPr>
          <w:p>
            <w:pPr>
              <w:widowControl w:val="0"/>
              <w:jc w:val="center"/>
              <w:rPr>
                <w:rFonts w:ascii="宋体" w:hAnsi="宋体"/>
                <w:b/>
                <w:bCs/>
              </w:rPr>
            </w:pPr>
            <w:r>
              <w:rPr>
                <w:rFonts w:hint="eastAsia" w:ascii="宋体" w:hAnsi="宋体"/>
                <w:b/>
                <w:bCs/>
              </w:rPr>
              <w:t>参数类型</w:t>
            </w:r>
          </w:p>
        </w:tc>
        <w:tc>
          <w:tcPr>
            <w:tcW w:w="4875" w:type="dxa"/>
            <w:shd w:val="clear" w:color="auto" w:fill="D7D7D7"/>
            <w:noWrap w:val="0"/>
            <w:vAlign w:val="top"/>
          </w:tcPr>
          <w:p>
            <w:pPr>
              <w:widowControl w:val="0"/>
              <w:jc w:val="both"/>
              <w:rPr>
                <w:rFonts w:ascii="宋体" w:hAnsi="宋体"/>
                <w:b/>
                <w:bCs/>
              </w:rPr>
            </w:pPr>
            <w:r>
              <w:rPr>
                <w:rFonts w:hint="eastAsia" w:ascii="宋体" w:hAnsi="宋体"/>
                <w:b/>
                <w:bCs/>
              </w:rPr>
              <w:t>说明</w:t>
            </w:r>
          </w:p>
        </w:tc>
        <w:tc>
          <w:tcPr>
            <w:tcW w:w="1059" w:type="dxa"/>
            <w:shd w:val="clear" w:color="auto" w:fill="D7D7D7"/>
            <w:noWrap w:val="0"/>
            <w:vAlign w:val="top"/>
          </w:tcPr>
          <w:p>
            <w:pPr>
              <w:widowControl w:val="0"/>
              <w:jc w:val="both"/>
              <w:rPr>
                <w:rFonts w:ascii="宋体" w:hAnsi="宋体"/>
                <w:b/>
                <w:bCs/>
              </w:rPr>
            </w:pPr>
            <w:r>
              <w:rPr>
                <w:rFonts w:hint="eastAsia" w:ascii="宋体" w:hAnsi="宋体"/>
                <w:b/>
                <w:bCs/>
              </w:rPr>
              <w:t>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66" w:type="dxa"/>
            <w:noWrap w:val="0"/>
            <w:vAlign w:val="top"/>
          </w:tcPr>
          <w:p>
            <w:pPr>
              <w:widowControl w:val="0"/>
              <w:jc w:val="both"/>
              <w:rPr>
                <w:rFonts w:ascii="宋体" w:hAnsi="宋体"/>
              </w:rPr>
            </w:pPr>
            <w:r>
              <w:rPr>
                <w:rFonts w:ascii="新宋体" w:eastAsia="新宋体" w:cs="新宋体"/>
                <w:color w:val="000000"/>
                <w:sz w:val="19"/>
                <w:szCs w:val="19"/>
                <w:highlight w:val="white"/>
              </w:rPr>
              <w:t>xmlMsg</w:t>
            </w:r>
          </w:p>
        </w:tc>
        <w:tc>
          <w:tcPr>
            <w:tcW w:w="1063" w:type="dxa"/>
            <w:noWrap w:val="0"/>
            <w:vAlign w:val="top"/>
          </w:tcPr>
          <w:p>
            <w:pPr>
              <w:widowControl w:val="0"/>
              <w:jc w:val="both"/>
              <w:rPr>
                <w:rFonts w:ascii="宋体" w:hAnsi="宋体"/>
              </w:rPr>
            </w:pPr>
            <w:r>
              <w:rPr>
                <w:rFonts w:hint="eastAsia" w:ascii="宋体" w:hAnsi="宋体"/>
              </w:rPr>
              <w:t>string</w:t>
            </w:r>
          </w:p>
        </w:tc>
        <w:tc>
          <w:tcPr>
            <w:tcW w:w="4875" w:type="dxa"/>
            <w:noWrap w:val="0"/>
            <w:vAlign w:val="top"/>
          </w:tcPr>
          <w:p>
            <w:pPr>
              <w:widowControl w:val="0"/>
              <w:jc w:val="both"/>
              <w:rPr>
                <w:rFonts w:ascii="宋体" w:hAnsi="宋体"/>
              </w:rPr>
            </w:pPr>
            <w:r>
              <w:rPr>
                <w:rFonts w:hint="eastAsia" w:ascii="宋体" w:hAnsi="宋体"/>
              </w:rPr>
              <w:t>消息入参实体</w:t>
            </w:r>
          </w:p>
        </w:tc>
        <w:tc>
          <w:tcPr>
            <w:tcW w:w="1059" w:type="dxa"/>
            <w:noWrap w:val="0"/>
            <w:vAlign w:val="top"/>
          </w:tcPr>
          <w:p>
            <w:pPr>
              <w:widowControl w:val="0"/>
              <w:jc w:val="both"/>
              <w:rPr>
                <w:rFonts w:ascii="宋体" w:hAnsi="宋体"/>
              </w:rPr>
            </w:pPr>
            <w:r>
              <w:rPr>
                <w:rFonts w:hint="eastAsia" w:ascii="宋体" w:hAnsi="宋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66" w:type="dxa"/>
            <w:noWrap w:val="0"/>
            <w:vAlign w:val="top"/>
          </w:tcPr>
          <w:p>
            <w:pPr>
              <w:widowControl w:val="0"/>
              <w:jc w:val="both"/>
              <w:rPr>
                <w:rFonts w:ascii="新宋体" w:eastAsia="新宋体" w:cs="新宋体"/>
                <w:color w:val="000000"/>
                <w:sz w:val="19"/>
                <w:szCs w:val="19"/>
                <w:highlight w:val="white"/>
              </w:rPr>
            </w:pPr>
            <w:r>
              <w:rPr>
                <w:rFonts w:hint="eastAsia" w:ascii="新宋体" w:eastAsia="新宋体" w:cs="新宋体"/>
                <w:color w:val="000000"/>
                <w:sz w:val="19"/>
                <w:szCs w:val="19"/>
                <w:highlight w:val="white"/>
              </w:rPr>
              <w:t>soapHeader</w:t>
            </w:r>
          </w:p>
        </w:tc>
        <w:tc>
          <w:tcPr>
            <w:tcW w:w="1063" w:type="dxa"/>
            <w:noWrap w:val="0"/>
            <w:vAlign w:val="top"/>
          </w:tcPr>
          <w:p>
            <w:pPr>
              <w:widowControl w:val="0"/>
              <w:jc w:val="both"/>
              <w:rPr>
                <w:rFonts w:ascii="宋体" w:hAnsi="宋体"/>
              </w:rPr>
            </w:pPr>
            <w:r>
              <w:rPr>
                <w:rFonts w:hint="eastAsia" w:ascii="宋体" w:hAnsi="宋体"/>
              </w:rPr>
              <w:t>Object</w:t>
            </w:r>
          </w:p>
        </w:tc>
        <w:tc>
          <w:tcPr>
            <w:tcW w:w="4875" w:type="dxa"/>
            <w:noWrap w:val="0"/>
            <w:vAlign w:val="top"/>
          </w:tcPr>
          <w:p>
            <w:pPr>
              <w:widowControl w:val="0"/>
              <w:jc w:val="both"/>
              <w:rPr>
                <w:rFonts w:ascii="宋体" w:hAnsi="宋体"/>
              </w:rPr>
            </w:pPr>
            <w:r>
              <w:rPr>
                <w:rFonts w:hint="eastAsia" w:ascii="宋体" w:hAnsi="宋体"/>
              </w:rPr>
              <w:t>为SOAP Header</w:t>
            </w:r>
            <w:r>
              <w:rPr>
                <w:rFonts w:hint="eastAsia" w:ascii="Calibri" w:hAnsi="新宋体" w:eastAsia="新宋体"/>
                <w:color w:val="008000"/>
                <w:szCs w:val="21"/>
                <w:highlight w:val="white"/>
              </w:rPr>
              <w:t>消息头对象，消息头对象参考MyHeader类结构，消息头对象Sign属性为</w:t>
            </w:r>
            <w:r>
              <w:rPr>
                <w:rFonts w:hint="eastAsia" w:ascii="宋体" w:hAnsi="宋体"/>
              </w:rPr>
              <w:t>请求参数经M</w:t>
            </w:r>
            <w:r>
              <w:rPr>
                <w:rFonts w:ascii="宋体" w:hAnsi="宋体"/>
              </w:rPr>
              <w:t>D5</w:t>
            </w:r>
            <w:r>
              <w:rPr>
                <w:rFonts w:hint="eastAsia" w:ascii="宋体" w:hAnsi="宋体"/>
              </w:rPr>
              <w:t>签名后的值，</w:t>
            </w:r>
            <w:r>
              <w:rPr>
                <w:rFonts w:hint="eastAsia" w:ascii="宋体" w:hAnsi="宋体"/>
                <w:b/>
                <w:color w:val="FF0000"/>
              </w:rPr>
              <w:t>系统搭建时配置是否签名验证。</w:t>
            </w:r>
            <w:r>
              <w:t>TimeStamp</w:t>
            </w:r>
            <w:r>
              <w:rPr>
                <w:rFonts w:hint="eastAsia"/>
              </w:rPr>
              <w:t>属性值为签名里的</w:t>
            </w:r>
            <w:r>
              <w:t>TimeStamp</w:t>
            </w:r>
            <w:r>
              <w:rPr>
                <w:rFonts w:hint="eastAsia"/>
              </w:rPr>
              <w:t>参数值。</w:t>
            </w:r>
            <w:r>
              <w:rPr>
                <w:rFonts w:hint="eastAsia" w:ascii="宋体" w:hAnsi="宋体"/>
                <w:b/>
                <w:color w:val="FF0000"/>
              </w:rPr>
              <w:t>签名逻辑参考</w:t>
            </w:r>
            <w:r>
              <w:rPr>
                <w:rFonts w:ascii="宋体" w:hAnsi="宋体"/>
                <w:b/>
                <w:color w:val="FF0000"/>
              </w:rPr>
              <w:fldChar w:fldCharType="begin"/>
            </w:r>
            <w:r>
              <w:rPr>
                <w:rFonts w:ascii="宋体" w:hAnsi="宋体"/>
                <w:b/>
                <w:color w:val="FF0000"/>
              </w:rPr>
              <w:instrText xml:space="preserve"> HYPERLINK  \l "_签名逻辑" </w:instrText>
            </w:r>
            <w:r>
              <w:rPr>
                <w:rFonts w:ascii="宋体" w:hAnsi="宋体"/>
                <w:b/>
                <w:color w:val="FF0000"/>
              </w:rPr>
              <w:fldChar w:fldCharType="separate"/>
            </w:r>
            <w:r>
              <w:rPr>
                <w:rStyle w:val="48"/>
                <w:rFonts w:hint="eastAsia" w:ascii="宋体" w:hAnsi="宋体"/>
                <w:b/>
              </w:rPr>
              <w:t>2</w:t>
            </w:r>
            <w:r>
              <w:rPr>
                <w:rStyle w:val="48"/>
                <w:rFonts w:ascii="宋体" w:hAnsi="宋体"/>
                <w:b/>
              </w:rPr>
              <w:t>.1</w:t>
            </w:r>
            <w:r>
              <w:rPr>
                <w:rStyle w:val="48"/>
                <w:rFonts w:hint="eastAsia" w:ascii="宋体" w:hAnsi="宋体"/>
                <w:b/>
              </w:rPr>
              <w:t>签名逻辑</w:t>
            </w:r>
            <w:r>
              <w:rPr>
                <w:rFonts w:ascii="宋体" w:hAnsi="宋体"/>
                <w:b/>
                <w:color w:val="FF0000"/>
              </w:rPr>
              <w:fldChar w:fldCharType="end"/>
            </w:r>
          </w:p>
        </w:tc>
        <w:tc>
          <w:tcPr>
            <w:tcW w:w="1059" w:type="dxa"/>
            <w:noWrap w:val="0"/>
            <w:vAlign w:val="top"/>
          </w:tcPr>
          <w:p>
            <w:pPr>
              <w:widowControl w:val="0"/>
              <w:jc w:val="both"/>
              <w:rPr>
                <w:rFonts w:hint="eastAsia" w:ascii="宋体" w:hAnsi="宋体"/>
              </w:rPr>
            </w:pPr>
            <w:r>
              <w:rPr>
                <w:rFonts w:ascii="宋体" w:hAnsi="宋体"/>
              </w:rPr>
              <w:t>N</w:t>
            </w:r>
          </w:p>
        </w:tc>
      </w:tr>
    </w:tbl>
    <w:p>
      <w:pPr>
        <w:pStyle w:val="313"/>
        <w:numPr>
          <w:ilvl w:val="3"/>
          <w:numId w:val="0"/>
        </w:numPr>
        <w:ind w:leftChars="100" w:right="210" w:rightChars="100"/>
      </w:pPr>
      <w:r>
        <w:rPr>
          <w:rFonts w:hint="eastAsia"/>
        </w:rPr>
        <w:t>请求入参</w:t>
      </w:r>
      <w:r>
        <w:t>xmlMsg</w:t>
      </w:r>
      <w:r>
        <w:rPr>
          <w:rFonts w:hint="eastAsia"/>
        </w:rPr>
        <w:t>说明</w:t>
      </w:r>
    </w:p>
    <w:tbl>
      <w:tblPr>
        <w:tblStyle w:val="4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3075"/>
        <w:gridCol w:w="666"/>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shd w:val="clear" w:color="auto" w:fill="808080"/>
            <w:noWrap w:val="0"/>
            <w:vAlign w:val="top"/>
          </w:tcPr>
          <w:p>
            <w:pPr>
              <w:widowControl w:val="0"/>
              <w:jc w:val="center"/>
              <w:rPr>
                <w:b/>
                <w:color w:val="FFFFFF"/>
                <w:szCs w:val="21"/>
              </w:rPr>
            </w:pPr>
            <w:r>
              <w:rPr>
                <w:rFonts w:hint="eastAsia"/>
                <w:b/>
                <w:color w:val="FFFFFF"/>
                <w:szCs w:val="21"/>
              </w:rPr>
              <w:t>元素名称</w:t>
            </w:r>
          </w:p>
        </w:tc>
        <w:tc>
          <w:tcPr>
            <w:tcW w:w="3075" w:type="dxa"/>
            <w:shd w:val="clear" w:color="auto" w:fill="808080"/>
            <w:noWrap w:val="0"/>
            <w:vAlign w:val="top"/>
          </w:tcPr>
          <w:p>
            <w:pPr>
              <w:widowControl w:val="0"/>
              <w:jc w:val="center"/>
              <w:rPr>
                <w:b/>
                <w:color w:val="FFFFFF"/>
                <w:szCs w:val="21"/>
              </w:rPr>
            </w:pPr>
            <w:r>
              <w:rPr>
                <w:rFonts w:hint="eastAsia"/>
                <w:b/>
                <w:color w:val="FFFFFF"/>
                <w:szCs w:val="21"/>
              </w:rPr>
              <w:t>元素说明</w:t>
            </w:r>
          </w:p>
        </w:tc>
        <w:tc>
          <w:tcPr>
            <w:tcW w:w="666" w:type="dxa"/>
            <w:shd w:val="clear" w:color="auto" w:fill="808080"/>
            <w:noWrap w:val="0"/>
            <w:vAlign w:val="top"/>
          </w:tcPr>
          <w:p>
            <w:pPr>
              <w:widowControl w:val="0"/>
              <w:jc w:val="center"/>
              <w:rPr>
                <w:rFonts w:hint="eastAsia"/>
                <w:b/>
                <w:color w:val="FFFFFF"/>
                <w:szCs w:val="21"/>
              </w:rPr>
            </w:pPr>
            <w:r>
              <w:rPr>
                <w:rFonts w:hint="eastAsia"/>
                <w:b/>
                <w:color w:val="FFFFFF"/>
                <w:szCs w:val="21"/>
              </w:rPr>
              <w:t>必填</w:t>
            </w:r>
          </w:p>
        </w:tc>
        <w:tc>
          <w:tcPr>
            <w:tcW w:w="2835" w:type="dxa"/>
            <w:shd w:val="clear" w:color="auto" w:fill="808080"/>
            <w:noWrap w:val="0"/>
            <w:vAlign w:val="top"/>
          </w:tcPr>
          <w:p>
            <w:pPr>
              <w:widowControl w:val="0"/>
              <w:jc w:val="center"/>
              <w:rPr>
                <w:b/>
                <w:color w:val="FFFFFF"/>
                <w:szCs w:val="21"/>
              </w:rPr>
            </w:pPr>
            <w:r>
              <w:rPr>
                <w:rFonts w:hint="eastAsia"/>
                <w:b/>
                <w:color w:val="FFFFFF"/>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noWrap w:val="0"/>
            <w:vAlign w:val="top"/>
          </w:tcPr>
          <w:p>
            <w:pPr>
              <w:widowControl w:val="0"/>
              <w:jc w:val="both"/>
              <w:rPr>
                <w:rFonts w:ascii="宋体" w:hAnsi="宋体"/>
                <w:color w:val="FF0000"/>
                <w:szCs w:val="21"/>
              </w:rPr>
            </w:pPr>
            <w:r>
              <w:rPr>
                <w:rFonts w:ascii="宋体" w:hAnsi="宋体"/>
              </w:rPr>
              <w:t>HSBEnvelope</w:t>
            </w:r>
          </w:p>
        </w:tc>
        <w:tc>
          <w:tcPr>
            <w:tcW w:w="3075" w:type="dxa"/>
            <w:noWrap w:val="0"/>
            <w:vAlign w:val="top"/>
          </w:tcPr>
          <w:p>
            <w:pPr>
              <w:widowControl w:val="0"/>
              <w:jc w:val="both"/>
              <w:rPr>
                <w:rFonts w:ascii="宋体" w:hAnsi="宋体"/>
                <w:color w:val="FF0000"/>
                <w:szCs w:val="21"/>
              </w:rPr>
            </w:pPr>
            <w:r>
              <w:rPr>
                <w:rFonts w:hint="eastAsia" w:ascii="宋体" w:hAnsi="宋体"/>
              </w:rPr>
              <w:t>HSB消息体根节点</w:t>
            </w:r>
          </w:p>
        </w:tc>
        <w:tc>
          <w:tcPr>
            <w:tcW w:w="666"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2835" w:type="dxa"/>
            <w:noWrap w:val="0"/>
            <w:vAlign w:val="top"/>
          </w:tcPr>
          <w:p>
            <w:pPr>
              <w:widowControl w:val="0"/>
              <w:jc w:val="both"/>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noWrap w:val="0"/>
            <w:vAlign w:val="top"/>
          </w:tcPr>
          <w:p>
            <w:pPr>
              <w:widowControl w:val="0"/>
              <w:jc w:val="both"/>
              <w:rPr>
                <w:rFonts w:ascii="宋体" w:hAnsi="宋体"/>
              </w:rPr>
            </w:pPr>
            <w:r>
              <w:rPr>
                <w:rFonts w:ascii="宋体" w:hAnsi="宋体"/>
              </w:rPr>
              <w:t>|-Header</w:t>
            </w:r>
          </w:p>
        </w:tc>
        <w:tc>
          <w:tcPr>
            <w:tcW w:w="3075" w:type="dxa"/>
            <w:noWrap w:val="0"/>
            <w:vAlign w:val="top"/>
          </w:tcPr>
          <w:p>
            <w:pPr>
              <w:widowControl w:val="0"/>
              <w:jc w:val="both"/>
              <w:rPr>
                <w:rFonts w:hint="eastAsia" w:ascii="宋体" w:hAnsi="宋体"/>
              </w:rPr>
            </w:pPr>
            <w:r>
              <w:rPr>
                <w:rFonts w:hint="eastAsia" w:ascii="宋体" w:hAnsi="宋体"/>
              </w:rPr>
              <w:t>HSB消息体的消息头</w:t>
            </w:r>
          </w:p>
        </w:tc>
        <w:tc>
          <w:tcPr>
            <w:tcW w:w="666"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2835" w:type="dxa"/>
            <w:noWrap w:val="0"/>
            <w:vAlign w:val="top"/>
          </w:tcPr>
          <w:p>
            <w:pPr>
              <w:widowControl w:val="0"/>
              <w:jc w:val="both"/>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noWrap w:val="0"/>
            <w:vAlign w:val="top"/>
          </w:tcPr>
          <w:p>
            <w:pPr>
              <w:widowControl w:val="0"/>
              <w:jc w:val="both"/>
              <w:rPr>
                <w:rFonts w:ascii="宋体" w:hAnsi="宋体"/>
              </w:rPr>
            </w:pPr>
            <w:r>
              <w:rPr>
                <w:rFonts w:ascii="宋体" w:hAnsi="宋体"/>
              </w:rPr>
              <w:t>|-|-</w:t>
            </w:r>
            <w:r>
              <w:rPr>
                <w:rFonts w:hint="eastAsia" w:ascii="宋体" w:hAnsi="宋体"/>
              </w:rPr>
              <w:t>SysCode</w:t>
            </w:r>
          </w:p>
        </w:tc>
        <w:tc>
          <w:tcPr>
            <w:tcW w:w="3075" w:type="dxa"/>
            <w:noWrap w:val="0"/>
            <w:vAlign w:val="top"/>
          </w:tcPr>
          <w:p>
            <w:pPr>
              <w:widowControl w:val="0"/>
              <w:jc w:val="both"/>
              <w:rPr>
                <w:rFonts w:hint="eastAsia" w:ascii="宋体" w:hAnsi="宋体"/>
              </w:rPr>
            </w:pPr>
            <w:r>
              <w:rPr>
                <w:rFonts w:hint="eastAsia" w:ascii="宋体" w:hAnsi="宋体"/>
              </w:rPr>
              <w:t>消息方系统代码(HSB监控管理</w:t>
            </w:r>
            <w:r>
              <w:rPr>
                <w:rFonts w:ascii="宋体" w:hAnsi="宋体"/>
              </w:rPr>
              <w:t>“</w:t>
            </w:r>
            <w:r>
              <w:rPr>
                <w:rFonts w:hint="eastAsia" w:ascii="宋体" w:hAnsi="宋体"/>
              </w:rPr>
              <w:t>系统注册管理</w:t>
            </w:r>
            <w:r>
              <w:rPr>
                <w:rFonts w:ascii="宋体" w:hAnsi="宋体"/>
              </w:rPr>
              <w:t>”</w:t>
            </w:r>
            <w:r>
              <w:rPr>
                <w:rFonts w:hint="eastAsia" w:ascii="宋体" w:hAnsi="宋体"/>
              </w:rPr>
              <w:t>模块分配</w:t>
            </w:r>
            <w:r>
              <w:rPr>
                <w:rFonts w:ascii="宋体" w:hAnsi="宋体"/>
              </w:rPr>
              <w:t>)</w:t>
            </w:r>
          </w:p>
        </w:tc>
        <w:tc>
          <w:tcPr>
            <w:tcW w:w="666"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2835" w:type="dxa"/>
            <w:noWrap w:val="0"/>
            <w:vAlign w:val="top"/>
          </w:tcPr>
          <w:p>
            <w:pPr>
              <w:widowControl w:val="0"/>
              <w:jc w:val="both"/>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shd w:val="clear" w:color="auto" w:fill="auto"/>
            <w:noWrap w:val="0"/>
            <w:vAlign w:val="top"/>
          </w:tcPr>
          <w:p>
            <w:pPr>
              <w:widowControl w:val="0"/>
              <w:jc w:val="both"/>
              <w:rPr>
                <w:rFonts w:ascii="宋体" w:hAnsi="宋体"/>
              </w:rPr>
            </w:pPr>
            <w:r>
              <w:rPr>
                <w:rFonts w:ascii="宋体" w:hAnsi="宋体"/>
              </w:rPr>
              <w:t>|-|-Password</w:t>
            </w:r>
          </w:p>
        </w:tc>
        <w:tc>
          <w:tcPr>
            <w:tcW w:w="3075" w:type="dxa"/>
            <w:shd w:val="clear" w:color="auto" w:fill="auto"/>
            <w:noWrap w:val="0"/>
            <w:vAlign w:val="top"/>
          </w:tcPr>
          <w:p>
            <w:pPr>
              <w:widowControl w:val="0"/>
              <w:jc w:val="both"/>
              <w:rPr>
                <w:rFonts w:ascii="宋体" w:hAnsi="宋体"/>
                <w:color w:val="FF0000"/>
                <w:szCs w:val="21"/>
              </w:rPr>
            </w:pPr>
            <w:r>
              <w:rPr>
                <w:rFonts w:hint="eastAsia" w:ascii="宋体" w:hAnsi="宋体"/>
              </w:rPr>
              <w:t>消息方请求密码(HSB监控管理</w:t>
            </w:r>
            <w:r>
              <w:rPr>
                <w:rFonts w:ascii="宋体" w:hAnsi="宋体"/>
              </w:rPr>
              <w:t>“</w:t>
            </w:r>
            <w:r>
              <w:rPr>
                <w:rFonts w:hint="eastAsia" w:ascii="宋体" w:hAnsi="宋体"/>
              </w:rPr>
              <w:t>系统注册管理</w:t>
            </w:r>
            <w:r>
              <w:rPr>
                <w:rFonts w:ascii="宋体" w:hAnsi="宋体"/>
              </w:rPr>
              <w:t>”</w:t>
            </w:r>
            <w:r>
              <w:rPr>
                <w:rFonts w:hint="eastAsia" w:ascii="宋体" w:hAnsi="宋体"/>
              </w:rPr>
              <w:t>模块分配</w:t>
            </w:r>
            <w:r>
              <w:rPr>
                <w:rFonts w:ascii="宋体" w:hAnsi="宋体"/>
              </w:rPr>
              <w:t>)</w:t>
            </w:r>
          </w:p>
        </w:tc>
        <w:tc>
          <w:tcPr>
            <w:tcW w:w="666" w:type="dxa"/>
            <w:shd w:val="clear" w:color="auto" w:fill="auto"/>
            <w:noWrap w:val="0"/>
            <w:vAlign w:val="top"/>
          </w:tcPr>
          <w:p>
            <w:pPr>
              <w:widowControl w:val="0"/>
              <w:jc w:val="center"/>
              <w:rPr>
                <w:rFonts w:hint="eastAsia" w:ascii="宋体" w:hAnsi="宋体"/>
              </w:rPr>
            </w:pPr>
            <w:r>
              <w:rPr>
                <w:rFonts w:ascii="宋体" w:hAnsi="宋体"/>
              </w:rPr>
              <w:t>0</w:t>
            </w:r>
            <w:r>
              <w:rPr>
                <w:sz w:val="18"/>
                <w:szCs w:val="18"/>
              </w:rPr>
              <w:t>..</w:t>
            </w:r>
            <w:r>
              <w:rPr>
                <w:rFonts w:ascii="宋体" w:hAnsi="宋体"/>
              </w:rPr>
              <w:t>1</w:t>
            </w:r>
          </w:p>
        </w:tc>
        <w:tc>
          <w:tcPr>
            <w:tcW w:w="2835" w:type="dxa"/>
            <w:shd w:val="clear" w:color="auto" w:fill="FFFF00"/>
            <w:noWrap w:val="0"/>
            <w:vAlign w:val="top"/>
          </w:tcPr>
          <w:p>
            <w:pPr>
              <w:widowControl w:val="0"/>
              <w:jc w:val="both"/>
              <w:rPr>
                <w:rFonts w:hint="eastAsia" w:ascii="宋体" w:hAnsi="宋体"/>
                <w:color w:val="FF0000"/>
                <w:szCs w:val="21"/>
              </w:rPr>
            </w:pPr>
            <w:r>
              <w:rPr>
                <w:rFonts w:hint="eastAsia" w:ascii="宋体" w:hAnsi="宋体"/>
                <w:b/>
                <w:color w:val="FF0000"/>
              </w:rPr>
              <w:t>系统搭建时配置通过明码验证时需要，通过签名验证时不需要。H</w:t>
            </w:r>
            <w:r>
              <w:rPr>
                <w:rFonts w:ascii="宋体" w:hAnsi="宋体"/>
                <w:b/>
                <w:color w:val="FF0000"/>
              </w:rPr>
              <w:t>SB</w:t>
            </w:r>
            <w:r>
              <w:rPr>
                <w:rFonts w:hint="eastAsia" w:ascii="宋体" w:hAnsi="宋体"/>
                <w:b/>
                <w:color w:val="FF0000"/>
              </w:rPr>
              <w:t>服务站点下的</w:t>
            </w:r>
            <w:r>
              <w:rPr>
                <w:rFonts w:ascii="宋体" w:hAnsi="宋体"/>
                <w:b/>
                <w:color w:val="FF0000"/>
              </w:rPr>
              <w:t>W</w:t>
            </w:r>
            <w:r>
              <w:rPr>
                <w:rFonts w:hint="eastAsia" w:ascii="宋体" w:hAnsi="宋体"/>
                <w:b/>
                <w:color w:val="FF0000"/>
              </w:rPr>
              <w:t>eb</w:t>
            </w:r>
            <w:r>
              <w:rPr>
                <w:rFonts w:ascii="宋体" w:hAnsi="宋体"/>
                <w:b/>
                <w:color w:val="FF0000"/>
              </w:rPr>
              <w:t>.config</w:t>
            </w:r>
            <w:r>
              <w:rPr>
                <w:rFonts w:hint="eastAsia" w:ascii="宋体" w:hAnsi="宋体"/>
                <w:b/>
                <w:color w:val="FF0000"/>
              </w:rPr>
              <w:t>里的</w:t>
            </w:r>
            <w:r>
              <w:rPr>
                <w:rFonts w:ascii="宋体" w:hAnsi="宋体"/>
                <w:b/>
                <w:color w:val="FF0000"/>
              </w:rPr>
              <w:t>appSetings</w:t>
            </w:r>
            <w:r>
              <w:rPr>
                <w:rFonts w:hint="eastAsia" w:ascii="宋体" w:hAnsi="宋体"/>
                <w:b/>
                <w:color w:val="FF0000"/>
              </w:rPr>
              <w:t>节点下增加k</w:t>
            </w:r>
            <w:r>
              <w:rPr>
                <w:rFonts w:ascii="宋体" w:hAnsi="宋体"/>
                <w:b/>
                <w:color w:val="FF0000"/>
              </w:rPr>
              <w:t>ey</w:t>
            </w:r>
            <w:r>
              <w:rPr>
                <w:rFonts w:hint="eastAsia" w:ascii="宋体" w:hAnsi="宋体"/>
                <w:b/>
                <w:color w:val="FF0000"/>
              </w:rPr>
              <w:t>为i</w:t>
            </w:r>
            <w:r>
              <w:rPr>
                <w:rFonts w:ascii="宋体" w:hAnsi="宋体"/>
                <w:b/>
                <w:color w:val="FF0000"/>
              </w:rPr>
              <w:t>sSign</w:t>
            </w:r>
            <w:r>
              <w:rPr>
                <w:rFonts w:hint="eastAsia" w:ascii="宋体" w:hAnsi="宋体"/>
                <w:b/>
                <w:color w:val="FF0000"/>
              </w:rPr>
              <w:t xml:space="preserve"> </w:t>
            </w:r>
            <w:r>
              <w:rPr>
                <w:rFonts w:ascii="宋体" w:hAnsi="宋体"/>
                <w:b/>
                <w:color w:val="FF0000"/>
              </w:rPr>
              <w:t>Value</w:t>
            </w:r>
            <w:r>
              <w:rPr>
                <w:rFonts w:hint="eastAsia" w:ascii="宋体" w:hAnsi="宋体"/>
                <w:b/>
                <w:color w:val="FF0000"/>
              </w:rPr>
              <w:t>为0是密码明码验证1是签名方式验证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noWrap w:val="0"/>
            <w:vAlign w:val="top"/>
          </w:tcPr>
          <w:p>
            <w:pPr>
              <w:widowControl w:val="0"/>
              <w:jc w:val="both"/>
              <w:rPr>
                <w:rFonts w:ascii="宋体" w:hAnsi="宋体"/>
              </w:rPr>
            </w:pPr>
            <w:r>
              <w:rPr>
                <w:rFonts w:ascii="宋体" w:hAnsi="宋体"/>
              </w:rPr>
              <w:t>|-|-MsgType</w:t>
            </w:r>
          </w:p>
        </w:tc>
        <w:tc>
          <w:tcPr>
            <w:tcW w:w="3075" w:type="dxa"/>
            <w:noWrap w:val="0"/>
            <w:vAlign w:val="top"/>
          </w:tcPr>
          <w:p>
            <w:pPr>
              <w:widowControl w:val="0"/>
              <w:jc w:val="both"/>
              <w:rPr>
                <w:rFonts w:ascii="宋体" w:hAnsi="宋体"/>
                <w:szCs w:val="21"/>
              </w:rPr>
            </w:pPr>
            <w:r>
              <w:rPr>
                <w:rFonts w:hint="eastAsia" w:ascii="宋体" w:hAnsi="宋体"/>
                <w:szCs w:val="21"/>
              </w:rPr>
              <w:t>请求消息类别</w:t>
            </w:r>
          </w:p>
        </w:tc>
        <w:tc>
          <w:tcPr>
            <w:tcW w:w="666" w:type="dxa"/>
            <w:noWrap w:val="0"/>
            <w:vAlign w:val="top"/>
          </w:tcPr>
          <w:p>
            <w:pPr>
              <w:widowControl w:val="0"/>
              <w:jc w:val="center"/>
              <w:rPr>
                <w:rFonts w:hint="eastAsia" w:ascii="宋体" w:hAnsi="宋体"/>
                <w:szCs w:val="21"/>
              </w:rPr>
            </w:pPr>
            <w:r>
              <w:rPr>
                <w:rFonts w:ascii="宋体" w:hAnsi="宋体"/>
              </w:rPr>
              <w:t>1</w:t>
            </w:r>
            <w:r>
              <w:rPr>
                <w:sz w:val="18"/>
                <w:szCs w:val="18"/>
              </w:rPr>
              <w:t>..</w:t>
            </w:r>
            <w:r>
              <w:rPr>
                <w:rFonts w:ascii="宋体" w:hAnsi="宋体"/>
              </w:rPr>
              <w:t>1</w:t>
            </w:r>
          </w:p>
        </w:tc>
        <w:tc>
          <w:tcPr>
            <w:tcW w:w="2835" w:type="dxa"/>
            <w:noWrap w:val="0"/>
            <w:vAlign w:val="top"/>
          </w:tcPr>
          <w:p>
            <w:pPr>
              <w:widowControl w:val="0"/>
              <w:jc w:val="both"/>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shd w:val="clear" w:color="auto" w:fill="auto"/>
            <w:noWrap w:val="0"/>
            <w:vAlign w:val="top"/>
          </w:tcPr>
          <w:p>
            <w:pPr>
              <w:widowControl w:val="0"/>
              <w:jc w:val="both"/>
              <w:rPr>
                <w:rFonts w:ascii="宋体" w:hAnsi="宋体"/>
              </w:rPr>
            </w:pPr>
            <w:r>
              <w:rPr>
                <w:rFonts w:ascii="宋体" w:hAnsi="宋体"/>
              </w:rPr>
              <w:t>|-|-CodomainF</w:t>
            </w:r>
            <w:r>
              <w:rPr>
                <w:rFonts w:hint="eastAsia" w:ascii="宋体" w:hAnsi="宋体"/>
              </w:rPr>
              <w:t>lag</w:t>
            </w:r>
          </w:p>
        </w:tc>
        <w:tc>
          <w:tcPr>
            <w:tcW w:w="3075" w:type="dxa"/>
            <w:shd w:val="clear" w:color="auto" w:fill="auto"/>
            <w:noWrap w:val="0"/>
            <w:vAlign w:val="top"/>
          </w:tcPr>
          <w:p>
            <w:pPr>
              <w:widowControl w:val="0"/>
              <w:jc w:val="both"/>
              <w:rPr>
                <w:rFonts w:hint="eastAsia" w:ascii="宋体" w:hAnsi="宋体"/>
                <w:szCs w:val="21"/>
              </w:rPr>
            </w:pPr>
            <w:r>
              <w:rPr>
                <w:rFonts w:hint="eastAsia" w:ascii="宋体" w:hAnsi="宋体"/>
              </w:rPr>
              <w:t>字段是否按照值域要求</w:t>
            </w:r>
          </w:p>
        </w:tc>
        <w:tc>
          <w:tcPr>
            <w:tcW w:w="666" w:type="dxa"/>
            <w:shd w:val="clear" w:color="auto" w:fill="auto"/>
            <w:noWrap w:val="0"/>
            <w:vAlign w:val="top"/>
          </w:tcPr>
          <w:p>
            <w:pPr>
              <w:widowControl w:val="0"/>
              <w:jc w:val="center"/>
              <w:rPr>
                <w:rFonts w:hint="eastAsia" w:ascii="宋体" w:hAnsi="宋体"/>
                <w:szCs w:val="21"/>
              </w:rPr>
            </w:pPr>
            <w:r>
              <w:rPr>
                <w:rFonts w:ascii="宋体" w:hAnsi="宋体"/>
              </w:rPr>
              <w:t>0</w:t>
            </w:r>
            <w:r>
              <w:rPr>
                <w:sz w:val="18"/>
                <w:szCs w:val="18"/>
              </w:rPr>
              <w:t>..</w:t>
            </w:r>
            <w:r>
              <w:rPr>
                <w:rFonts w:ascii="宋体" w:hAnsi="宋体"/>
              </w:rPr>
              <w:t>1</w:t>
            </w:r>
          </w:p>
        </w:tc>
        <w:tc>
          <w:tcPr>
            <w:tcW w:w="2835" w:type="dxa"/>
            <w:shd w:val="clear" w:color="auto" w:fill="FFFF00"/>
            <w:noWrap w:val="0"/>
            <w:vAlign w:val="top"/>
          </w:tcPr>
          <w:p>
            <w:pPr>
              <w:widowControl w:val="0"/>
              <w:jc w:val="both"/>
              <w:rPr>
                <w:rFonts w:ascii="宋体" w:hAnsi="宋体"/>
                <w:b/>
                <w:bCs/>
                <w:color w:val="FF0000"/>
                <w:szCs w:val="21"/>
              </w:rPr>
            </w:pPr>
            <w:r>
              <w:rPr>
                <w:rFonts w:hint="eastAsia" w:ascii="宋体" w:hAnsi="宋体"/>
                <w:b/>
                <w:bCs/>
                <w:color w:val="FF0000"/>
                <w:szCs w:val="21"/>
              </w:rPr>
              <w:t>如果是互联互通标准接口并且传入的字段为非标值域，则此节点不能为空并且填0，其他情况此节点可不存在。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noWrap w:val="0"/>
            <w:vAlign w:val="top"/>
          </w:tcPr>
          <w:p>
            <w:pPr>
              <w:widowControl w:val="0"/>
              <w:jc w:val="both"/>
              <w:rPr>
                <w:rFonts w:ascii="宋体" w:hAnsi="宋体"/>
              </w:rPr>
            </w:pPr>
            <w:r>
              <w:rPr>
                <w:rFonts w:ascii="宋体" w:hAnsi="宋体"/>
              </w:rPr>
              <w:t>|-Body</w:t>
            </w:r>
          </w:p>
        </w:tc>
        <w:tc>
          <w:tcPr>
            <w:tcW w:w="3075" w:type="dxa"/>
            <w:noWrap w:val="0"/>
            <w:vAlign w:val="top"/>
          </w:tcPr>
          <w:p>
            <w:pPr>
              <w:widowControl w:val="0"/>
              <w:jc w:val="both"/>
              <w:rPr>
                <w:rFonts w:ascii="宋体" w:hAnsi="宋体"/>
                <w:szCs w:val="21"/>
              </w:rPr>
            </w:pPr>
            <w:r>
              <w:rPr>
                <w:rFonts w:hint="eastAsia" w:ascii="宋体" w:hAnsi="宋体"/>
                <w:szCs w:val="21"/>
              </w:rPr>
              <w:t>HSB消息主体</w:t>
            </w:r>
          </w:p>
        </w:tc>
        <w:tc>
          <w:tcPr>
            <w:tcW w:w="666" w:type="dxa"/>
            <w:noWrap w:val="0"/>
            <w:vAlign w:val="top"/>
          </w:tcPr>
          <w:p>
            <w:pPr>
              <w:widowControl w:val="0"/>
              <w:jc w:val="center"/>
              <w:rPr>
                <w:rFonts w:hint="eastAsia" w:ascii="宋体" w:hAnsi="宋体"/>
                <w:szCs w:val="21"/>
              </w:rPr>
            </w:pPr>
            <w:r>
              <w:rPr>
                <w:rFonts w:ascii="宋体" w:hAnsi="宋体"/>
              </w:rPr>
              <w:t>1</w:t>
            </w:r>
            <w:r>
              <w:rPr>
                <w:sz w:val="18"/>
                <w:szCs w:val="18"/>
              </w:rPr>
              <w:t>..</w:t>
            </w:r>
            <w:r>
              <w:rPr>
                <w:rFonts w:ascii="宋体" w:hAnsi="宋体"/>
              </w:rPr>
              <w:t>1</w:t>
            </w:r>
          </w:p>
        </w:tc>
        <w:tc>
          <w:tcPr>
            <w:tcW w:w="2835" w:type="dxa"/>
            <w:noWrap w:val="0"/>
            <w:vAlign w:val="top"/>
          </w:tcPr>
          <w:p>
            <w:pPr>
              <w:widowControl w:val="0"/>
              <w:jc w:val="both"/>
              <w:rPr>
                <w:rFonts w:ascii="宋体" w:hAnsi="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96" w:type="dxa"/>
            <w:shd w:val="clear" w:color="auto" w:fill="auto"/>
            <w:noWrap w:val="0"/>
            <w:vAlign w:val="top"/>
          </w:tcPr>
          <w:p>
            <w:pPr>
              <w:widowControl w:val="0"/>
              <w:jc w:val="both"/>
              <w:rPr>
                <w:rFonts w:ascii="宋体" w:hAnsi="宋体"/>
              </w:rPr>
            </w:pPr>
            <w:r>
              <w:rPr>
                <w:rFonts w:ascii="宋体" w:hAnsi="宋体"/>
              </w:rPr>
              <w:t>|-|-MsgContent</w:t>
            </w:r>
          </w:p>
        </w:tc>
        <w:tc>
          <w:tcPr>
            <w:tcW w:w="3075" w:type="dxa"/>
            <w:shd w:val="clear" w:color="auto" w:fill="auto"/>
            <w:noWrap w:val="0"/>
            <w:vAlign w:val="top"/>
          </w:tcPr>
          <w:p>
            <w:pPr>
              <w:widowControl w:val="0"/>
              <w:jc w:val="both"/>
              <w:rPr>
                <w:rFonts w:ascii="宋体" w:hAnsi="宋体"/>
                <w:color w:val="FF0000"/>
                <w:szCs w:val="21"/>
              </w:rPr>
            </w:pPr>
            <w:r>
              <w:rPr>
                <w:rFonts w:hint="eastAsia"/>
              </w:rPr>
              <w:t>实际的请求消息内容</w:t>
            </w:r>
          </w:p>
        </w:tc>
        <w:tc>
          <w:tcPr>
            <w:tcW w:w="666" w:type="dxa"/>
            <w:shd w:val="clear" w:color="auto" w:fill="auto"/>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2835" w:type="dxa"/>
            <w:shd w:val="clear" w:color="auto" w:fill="FFFF00"/>
            <w:noWrap w:val="0"/>
            <w:vAlign w:val="top"/>
          </w:tcPr>
          <w:p>
            <w:pPr>
              <w:widowControl w:val="0"/>
              <w:jc w:val="both"/>
              <w:rPr>
                <w:rFonts w:hint="default" w:ascii="宋体" w:hAnsi="宋体" w:eastAsia="宋体"/>
                <w:b/>
                <w:bCs/>
                <w:color w:val="FF0000"/>
                <w:szCs w:val="21"/>
                <w:lang w:val="en-US" w:eastAsia="zh-CN"/>
              </w:rPr>
            </w:pPr>
            <w:r>
              <w:rPr>
                <w:rFonts w:hint="eastAsia" w:ascii="宋体" w:hAnsi="宋体"/>
                <w:b/>
                <w:bCs/>
                <w:color w:val="FF0000"/>
                <w:szCs w:val="21"/>
                <w:lang w:val="en-US" w:eastAsia="zh-CN"/>
              </w:rPr>
              <w:t>需支持自定义XML格式及HL7 V3格式。</w:t>
            </w:r>
          </w:p>
        </w:tc>
      </w:tr>
    </w:tbl>
    <w:p>
      <w:pPr>
        <w:rPr>
          <w:rFonts w:hint="eastAsia"/>
        </w:rPr>
      </w:pPr>
    </w:p>
    <w:p>
      <w:pPr>
        <w:pStyle w:val="313"/>
        <w:numPr>
          <w:ilvl w:val="3"/>
          <w:numId w:val="0"/>
        </w:numPr>
        <w:ind w:leftChars="100" w:right="210" w:rightChars="100"/>
      </w:pPr>
      <w:r>
        <w:rPr>
          <w:rFonts w:hint="eastAsia"/>
        </w:rPr>
        <w:t>请求示例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522" w:type="dxa"/>
            <w:shd w:val="clear" w:color="auto" w:fill="DEEAF6"/>
            <w:noWrap w:val="0"/>
            <w:vAlign w:val="top"/>
          </w:tcPr>
          <w:p>
            <w:pPr>
              <w:widowControl w:val="0"/>
              <w:spacing w:line="276" w:lineRule="auto"/>
              <w:jc w:val="both"/>
              <w:rPr>
                <w:rFonts w:ascii="宋体" w:hAnsi="宋体"/>
              </w:rPr>
            </w:pPr>
            <w:r>
              <w:rPr>
                <w:rFonts w:ascii="宋体" w:hAnsi="宋体"/>
              </w:rPr>
              <w:t xml:space="preserve">&lt;HSBEnvelope&gt; </w:t>
            </w:r>
          </w:p>
          <w:p>
            <w:pPr>
              <w:widowControl w:val="0"/>
              <w:spacing w:line="276" w:lineRule="auto"/>
              <w:jc w:val="both"/>
              <w:rPr>
                <w:rFonts w:ascii="宋体" w:hAnsi="宋体"/>
              </w:rPr>
            </w:pPr>
            <w:r>
              <w:rPr>
                <w:rFonts w:ascii="宋体" w:hAnsi="宋体"/>
              </w:rPr>
              <w:t xml:space="preserve">  &lt;Header&gt;</w:t>
            </w:r>
          </w:p>
          <w:p>
            <w:pPr>
              <w:widowControl w:val="0"/>
              <w:spacing w:line="276" w:lineRule="auto"/>
              <w:jc w:val="both"/>
              <w:rPr>
                <w:rFonts w:hint="eastAsia" w:ascii="宋体" w:hAnsi="宋体"/>
              </w:rPr>
            </w:pPr>
            <w:r>
              <w:rPr>
                <w:rFonts w:hint="eastAsia" w:ascii="宋体" w:hAnsi="宋体"/>
              </w:rPr>
              <w:t xml:space="preserve">    &lt;SysCode&gt;消息发起方系统代码&lt;/SysCode&gt;</w:t>
            </w:r>
          </w:p>
          <w:p>
            <w:pPr>
              <w:widowControl w:val="0"/>
              <w:spacing w:line="276" w:lineRule="auto"/>
              <w:jc w:val="both"/>
              <w:rPr>
                <w:rFonts w:hint="eastAsia" w:ascii="宋体" w:hAnsi="宋体"/>
                <w:color w:val="FF0000"/>
              </w:rPr>
            </w:pPr>
            <w:r>
              <w:rPr>
                <w:rFonts w:hint="eastAsia" w:ascii="宋体" w:hAnsi="宋体"/>
              </w:rPr>
              <w:t xml:space="preserve">    </w:t>
            </w:r>
            <w:r>
              <w:rPr>
                <w:rFonts w:hint="eastAsia" w:ascii="宋体" w:hAnsi="宋体"/>
                <w:color w:val="FF0000"/>
              </w:rPr>
              <w:t>&lt;Password&gt;消息发起方准入密码&lt;/Password&gt;</w:t>
            </w:r>
          </w:p>
          <w:p>
            <w:pPr>
              <w:widowControl w:val="0"/>
              <w:spacing w:line="276" w:lineRule="auto"/>
              <w:ind w:firstLine="420"/>
              <w:jc w:val="both"/>
              <w:rPr>
                <w:rFonts w:ascii="宋体" w:hAnsi="宋体"/>
              </w:rPr>
            </w:pPr>
            <w:r>
              <w:rPr>
                <w:rFonts w:hint="eastAsia" w:ascii="宋体" w:hAnsi="宋体"/>
              </w:rPr>
              <w:t>&lt;MsgType&gt;业务消息编码&lt;/MsgType&gt;</w:t>
            </w:r>
          </w:p>
          <w:p>
            <w:pPr>
              <w:widowControl w:val="0"/>
              <w:spacing w:line="276" w:lineRule="auto"/>
              <w:ind w:firstLine="420"/>
              <w:jc w:val="both"/>
              <w:rPr>
                <w:rFonts w:hint="eastAsia" w:ascii="宋体" w:hAnsi="宋体"/>
              </w:rPr>
            </w:pPr>
            <w:r>
              <w:rPr>
                <w:rFonts w:ascii="宋体" w:hAnsi="宋体"/>
              </w:rPr>
              <w:t>&lt;CodomainF</w:t>
            </w:r>
            <w:r>
              <w:rPr>
                <w:rFonts w:hint="eastAsia" w:ascii="宋体" w:hAnsi="宋体"/>
              </w:rPr>
              <w:t>lag</w:t>
            </w:r>
            <w:r>
              <w:rPr>
                <w:rFonts w:ascii="宋体" w:hAnsi="宋体"/>
              </w:rPr>
              <w:t>&gt;</w:t>
            </w:r>
            <w:r>
              <w:rPr>
                <w:rFonts w:hint="eastAsia" w:ascii="宋体" w:hAnsi="宋体"/>
              </w:rPr>
              <w:t>字段是否按照值域要求</w:t>
            </w:r>
            <w:r>
              <w:rPr>
                <w:rFonts w:ascii="宋体" w:hAnsi="宋体"/>
              </w:rPr>
              <w:t>&lt;/CodomainF</w:t>
            </w:r>
            <w:r>
              <w:rPr>
                <w:rFonts w:hint="eastAsia" w:ascii="宋体" w:hAnsi="宋体"/>
              </w:rPr>
              <w:t>lag</w:t>
            </w:r>
            <w:r>
              <w:rPr>
                <w:rFonts w:ascii="宋体" w:hAnsi="宋体"/>
              </w:rPr>
              <w:t>&gt;</w:t>
            </w:r>
          </w:p>
          <w:p>
            <w:pPr>
              <w:widowControl w:val="0"/>
              <w:spacing w:line="276" w:lineRule="auto"/>
              <w:jc w:val="both"/>
              <w:rPr>
                <w:rFonts w:ascii="宋体" w:hAnsi="宋体"/>
              </w:rPr>
            </w:pPr>
            <w:r>
              <w:rPr>
                <w:rFonts w:ascii="宋体" w:hAnsi="宋体"/>
              </w:rPr>
              <w:t xml:space="preserve">  &lt;/Header&gt;</w:t>
            </w:r>
          </w:p>
          <w:p>
            <w:pPr>
              <w:widowControl w:val="0"/>
              <w:spacing w:line="276" w:lineRule="auto"/>
              <w:jc w:val="both"/>
              <w:rPr>
                <w:rFonts w:ascii="宋体" w:hAnsi="宋体"/>
              </w:rPr>
            </w:pPr>
            <w:r>
              <w:rPr>
                <w:rFonts w:ascii="宋体" w:hAnsi="宋体"/>
              </w:rPr>
              <w:t xml:space="preserve">  &lt;Body&gt;</w:t>
            </w:r>
          </w:p>
          <w:p>
            <w:pPr>
              <w:widowControl w:val="0"/>
              <w:spacing w:line="276" w:lineRule="auto"/>
              <w:jc w:val="both"/>
              <w:rPr>
                <w:rFonts w:hint="eastAsia" w:ascii="宋体" w:hAnsi="宋体"/>
              </w:rPr>
            </w:pPr>
            <w:r>
              <w:rPr>
                <w:rFonts w:hint="eastAsia" w:ascii="宋体" w:hAnsi="宋体"/>
              </w:rPr>
              <w:t xml:space="preserve">    &lt;MsgContent&gt;</w:t>
            </w:r>
            <w:r>
              <w:rPr>
                <w:rFonts w:hint="eastAsia" w:ascii="宋体" w:hAnsi="宋体"/>
                <w:color w:val="A5A5A5"/>
              </w:rPr>
              <w:t>[实际请求消息]</w:t>
            </w:r>
            <w:r>
              <w:rPr>
                <w:rFonts w:hint="eastAsia" w:ascii="宋体" w:hAnsi="宋体"/>
              </w:rPr>
              <w:t>&lt;/MsgContent&gt;</w:t>
            </w:r>
          </w:p>
          <w:p>
            <w:pPr>
              <w:widowControl w:val="0"/>
              <w:spacing w:line="276" w:lineRule="auto"/>
              <w:jc w:val="both"/>
              <w:rPr>
                <w:rFonts w:ascii="宋体" w:hAnsi="宋体"/>
              </w:rPr>
            </w:pPr>
            <w:r>
              <w:rPr>
                <w:rFonts w:ascii="宋体" w:hAnsi="宋体"/>
              </w:rPr>
              <w:t xml:space="preserve">  &lt;/Body&gt;</w:t>
            </w:r>
          </w:p>
          <w:p>
            <w:pPr>
              <w:widowControl w:val="0"/>
              <w:spacing w:line="276" w:lineRule="auto"/>
              <w:jc w:val="both"/>
              <w:rPr>
                <w:rFonts w:hint="eastAsia" w:ascii="宋体" w:hAnsi="宋体"/>
              </w:rPr>
            </w:pPr>
            <w:r>
              <w:rPr>
                <w:rFonts w:ascii="宋体" w:hAnsi="宋体"/>
              </w:rPr>
              <w:t>&lt;/HSBEnvelope&gt;</w:t>
            </w:r>
          </w:p>
        </w:tc>
      </w:tr>
    </w:tbl>
    <w:p>
      <w:pPr>
        <w:rPr>
          <w:rFonts w:hint="eastAsia" w:ascii="宋体" w:hAnsi="宋体"/>
          <w:lang w:eastAsia="zh-CN"/>
        </w:rPr>
      </w:pPr>
      <w:r>
        <w:rPr>
          <w:rFonts w:hint="eastAsia"/>
        </w:rPr>
        <w:t>注：</w:t>
      </w:r>
      <w:r>
        <w:rPr>
          <w:rFonts w:hint="eastAsia" w:ascii="宋体" w:hAnsi="宋体"/>
          <w:color w:val="A5A5A5"/>
        </w:rPr>
        <w:t>[实际请求消息]</w:t>
      </w:r>
      <w:r>
        <w:rPr>
          <w:rFonts w:hint="eastAsia" w:ascii="宋体" w:hAnsi="宋体"/>
        </w:rPr>
        <w:t>为占位符</w:t>
      </w:r>
      <w:r>
        <w:rPr>
          <w:rFonts w:hint="eastAsia" w:ascii="宋体" w:hAnsi="宋体"/>
          <w:lang w:eastAsia="zh-CN"/>
        </w:rPr>
        <w:t>，</w:t>
      </w:r>
    </w:p>
    <w:p>
      <w:pPr>
        <w:rPr>
          <w:rFonts w:hint="default" w:eastAsia="宋体"/>
          <w:lang w:val="en-US" w:eastAsia="zh-CN"/>
        </w:rPr>
      </w:pPr>
      <w:r>
        <w:rPr>
          <w:rFonts w:hint="eastAsia" w:ascii="宋体" w:hAnsi="宋体"/>
          <w:lang w:val="en-US" w:eastAsia="zh-CN"/>
        </w:rPr>
        <w:t>如果提供方的同步方式是WebService，Oracle，SQLServer 一个参数string a节点</w:t>
      </w:r>
      <w:r>
        <w:rPr>
          <w:rFonts w:hint="eastAsia" w:ascii="宋体" w:hAnsi="宋体"/>
        </w:rPr>
        <w:t>MsgContent</w:t>
      </w:r>
      <w:r>
        <w:rPr>
          <w:rFonts w:hint="eastAsia" w:ascii="宋体" w:hAnsi="宋体"/>
          <w:lang w:val="en-US" w:eastAsia="zh-CN"/>
        </w:rPr>
        <w:t>里面的添加&lt;InParam&gt;&lt;a&gt;xx&lt;/a&lt;/InParam&gt;</w:t>
      </w:r>
    </w:p>
    <w:p>
      <w:pPr>
        <w:rPr>
          <w:rFonts w:hint="eastAsia" w:ascii="宋体" w:hAnsi="宋体"/>
          <w:lang w:val="en-US" w:eastAsia="zh-CN"/>
        </w:rPr>
      </w:pPr>
      <w:r>
        <w:rPr>
          <w:rFonts w:hint="eastAsia" w:ascii="宋体" w:hAnsi="宋体"/>
          <w:lang w:val="en-US" w:eastAsia="zh-CN"/>
        </w:rPr>
        <w:t>两个参数string a，string b，节点</w:t>
      </w:r>
      <w:r>
        <w:rPr>
          <w:rFonts w:hint="eastAsia" w:ascii="宋体" w:hAnsi="宋体"/>
        </w:rPr>
        <w:t>MsgContent</w:t>
      </w:r>
      <w:r>
        <w:rPr>
          <w:rFonts w:hint="eastAsia" w:ascii="宋体" w:hAnsi="宋体"/>
          <w:lang w:val="en-US" w:eastAsia="zh-CN"/>
        </w:rPr>
        <w:t>里面的添加&lt;InParam&gt;&lt;a&gt;xx&lt;/a&gt;&lt;b&gt;xx&lt;/b&gt;&lt;/InParam&gt;</w:t>
      </w:r>
    </w:p>
    <w:p>
      <w:pPr>
        <w:rPr>
          <w:rFonts w:hint="eastAsia" w:ascii="宋体" w:hAnsi="宋体"/>
          <w:lang w:val="en-US" w:eastAsia="zh-CN"/>
        </w:rPr>
      </w:pPr>
      <w:r>
        <w:rPr>
          <w:rFonts w:hint="eastAsia" w:ascii="宋体" w:hAnsi="宋体"/>
          <w:lang w:val="en-US" w:eastAsia="zh-CN"/>
        </w:rPr>
        <w:t>以此类推，</w:t>
      </w:r>
    </w:p>
    <w:p>
      <w:pPr>
        <w:rPr>
          <w:rFonts w:hint="eastAsia" w:ascii="宋体" w:hAnsi="宋体" w:eastAsia="宋体"/>
          <w:lang w:val="en-US" w:eastAsia="zh-CN"/>
        </w:rPr>
      </w:pPr>
      <w:r>
        <w:rPr>
          <w:rFonts w:hint="eastAsia" w:ascii="宋体" w:hAnsi="宋体"/>
          <w:lang w:val="en-US" w:eastAsia="zh-CN"/>
        </w:rPr>
        <w:t>如果提供方的同步方式是HIPServer(WCF)</w:t>
      </w:r>
      <w:r>
        <w:rPr>
          <w:rFonts w:hint="default" w:ascii="宋体" w:hAnsi="宋体"/>
          <w:lang w:eastAsia="zh-CN"/>
        </w:rPr>
        <w:t>或</w:t>
      </w:r>
      <w:r>
        <w:rPr>
          <w:rFonts w:hint="eastAsia" w:ascii="宋体" w:hAnsi="宋体"/>
          <w:lang w:val="en-US" w:eastAsia="zh-CN"/>
        </w:rPr>
        <w:t>HIPServer(WEB) 互联互通服务只需要将第三方的请求参数添加到</w:t>
      </w:r>
      <w:r>
        <w:rPr>
          <w:rFonts w:hint="eastAsia" w:ascii="宋体" w:hAnsi="宋体"/>
        </w:rPr>
        <w:t>MsgContent</w:t>
      </w:r>
      <w:r>
        <w:rPr>
          <w:rFonts w:hint="eastAsia" w:ascii="宋体" w:hAnsi="宋体"/>
          <w:lang w:val="en-US" w:eastAsia="zh-CN"/>
        </w:rPr>
        <w:t>即可。</w:t>
      </w:r>
    </w:p>
    <w:p>
      <w:pPr>
        <w:pStyle w:val="5"/>
        <w:numPr>
          <w:ilvl w:val="0"/>
          <w:numId w:val="0"/>
        </w:numPr>
        <w:rPr>
          <w:rFonts w:ascii="宋体" w:hAnsi="宋体"/>
        </w:rPr>
      </w:pPr>
      <w:bookmarkStart w:id="167" w:name="_3.1.2请求返回结果"/>
      <w:bookmarkEnd w:id="167"/>
      <w:bookmarkStart w:id="168" w:name="_3.1.2请求后返回"/>
      <w:bookmarkEnd w:id="168"/>
      <w:bookmarkStart w:id="169" w:name="_Toc46753273"/>
      <w:r>
        <w:rPr>
          <w:rFonts w:hint="eastAsia" w:ascii="宋体" w:hAnsi="宋体"/>
        </w:rPr>
        <w:t>3</w:t>
      </w:r>
      <w:r>
        <w:rPr>
          <w:rFonts w:ascii="宋体" w:hAnsi="宋体"/>
        </w:rPr>
        <w:t xml:space="preserve">.1.2 </w:t>
      </w:r>
      <w:bookmarkEnd w:id="169"/>
      <w:r>
        <w:rPr>
          <w:rFonts w:hint="eastAsia" w:ascii="宋体" w:hAnsi="宋体"/>
        </w:rPr>
        <w:t>响应说明</w:t>
      </w:r>
    </w:p>
    <w:p>
      <w:pPr>
        <w:rPr>
          <w:vanish/>
        </w:rPr>
      </w:pPr>
    </w:p>
    <w:tbl>
      <w:tblPr>
        <w:tblStyle w:val="43"/>
        <w:tblpPr w:leftFromText="180" w:rightFromText="180" w:vertAnchor="text" w:horzAnchor="page" w:tblpX="1931" w:tblpY="58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6"/>
        <w:gridCol w:w="1971"/>
        <w:gridCol w:w="709"/>
        <w:gridCol w:w="3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8522" w:type="dxa"/>
            <w:gridSpan w:val="4"/>
            <w:tcBorders>
              <w:top w:val="nil"/>
              <w:left w:val="nil"/>
              <w:bottom w:val="single" w:color="auto" w:sz="4" w:space="0"/>
              <w:right w:val="nil"/>
            </w:tcBorders>
            <w:noWrap w:val="0"/>
            <w:vAlign w:val="top"/>
          </w:tcPr>
          <w:p>
            <w:pPr>
              <w:rPr>
                <w:rFonts w:hint="eastAsia"/>
              </w:rPr>
            </w:pPr>
            <w:r>
              <w:rPr>
                <w:rFonts w:hint="eastAsia"/>
              </w:rPr>
              <w:t>返回结果说明: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106" w:type="dxa"/>
            <w:tcBorders>
              <w:top w:val="single" w:color="auto" w:sz="4" w:space="0"/>
            </w:tcBorders>
            <w:shd w:val="clear" w:color="auto" w:fill="808080"/>
            <w:noWrap w:val="0"/>
            <w:vAlign w:val="top"/>
          </w:tcPr>
          <w:p>
            <w:pPr>
              <w:widowControl w:val="0"/>
              <w:jc w:val="center"/>
              <w:rPr>
                <w:b/>
                <w:color w:val="FFFFFF"/>
                <w:szCs w:val="21"/>
              </w:rPr>
            </w:pPr>
            <w:r>
              <w:rPr>
                <w:rFonts w:hint="eastAsia"/>
                <w:b/>
                <w:color w:val="FFFFFF"/>
                <w:szCs w:val="21"/>
              </w:rPr>
              <w:t>元素名称</w:t>
            </w:r>
          </w:p>
        </w:tc>
        <w:tc>
          <w:tcPr>
            <w:tcW w:w="1971" w:type="dxa"/>
            <w:tcBorders>
              <w:top w:val="single" w:color="auto" w:sz="4" w:space="0"/>
            </w:tcBorders>
            <w:shd w:val="clear" w:color="auto" w:fill="808080"/>
            <w:noWrap w:val="0"/>
            <w:vAlign w:val="top"/>
          </w:tcPr>
          <w:p>
            <w:pPr>
              <w:widowControl w:val="0"/>
              <w:jc w:val="center"/>
              <w:rPr>
                <w:b/>
                <w:color w:val="FFFFFF"/>
                <w:szCs w:val="21"/>
              </w:rPr>
            </w:pPr>
            <w:r>
              <w:rPr>
                <w:rFonts w:hint="eastAsia"/>
                <w:b/>
                <w:color w:val="FFFFFF"/>
                <w:szCs w:val="21"/>
              </w:rPr>
              <w:t>元素说明</w:t>
            </w:r>
          </w:p>
        </w:tc>
        <w:tc>
          <w:tcPr>
            <w:tcW w:w="709" w:type="dxa"/>
            <w:tcBorders>
              <w:top w:val="single" w:color="auto" w:sz="4" w:space="0"/>
            </w:tcBorders>
            <w:shd w:val="clear" w:color="auto" w:fill="808080"/>
            <w:noWrap w:val="0"/>
            <w:vAlign w:val="top"/>
          </w:tcPr>
          <w:p>
            <w:pPr>
              <w:widowControl w:val="0"/>
              <w:jc w:val="center"/>
              <w:rPr>
                <w:rFonts w:hint="eastAsia" w:ascii="Calibri" w:hAnsi="Calibri"/>
                <w:b/>
                <w:color w:val="FFFFFF"/>
                <w:szCs w:val="21"/>
              </w:rPr>
            </w:pPr>
            <w:r>
              <w:rPr>
                <w:rFonts w:hint="eastAsia"/>
                <w:b/>
                <w:color w:val="FFFFFF"/>
                <w:szCs w:val="21"/>
              </w:rPr>
              <w:t>必填</w:t>
            </w:r>
          </w:p>
        </w:tc>
        <w:tc>
          <w:tcPr>
            <w:tcW w:w="3736" w:type="dxa"/>
            <w:tcBorders>
              <w:top w:val="single" w:color="auto" w:sz="4" w:space="0"/>
            </w:tcBorders>
            <w:shd w:val="clear" w:color="auto" w:fill="808080"/>
            <w:noWrap w:val="0"/>
            <w:vAlign w:val="top"/>
          </w:tcPr>
          <w:p>
            <w:pPr>
              <w:widowControl w:val="0"/>
              <w:jc w:val="center"/>
              <w:rPr>
                <w:b/>
                <w:color w:val="FFFFFF"/>
                <w:szCs w:val="21"/>
              </w:rPr>
            </w:pPr>
            <w:r>
              <w:rPr>
                <w:rFonts w:hint="eastAsia"/>
                <w:b/>
                <w:color w:val="FFFFFF"/>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106" w:type="dxa"/>
            <w:noWrap w:val="0"/>
            <w:vAlign w:val="center"/>
          </w:tcPr>
          <w:p>
            <w:pPr>
              <w:widowControl w:val="0"/>
              <w:rPr>
                <w:rFonts w:hint="eastAsia"/>
                <w:b/>
                <w:color w:val="FFFFFF"/>
                <w:szCs w:val="21"/>
              </w:rPr>
            </w:pPr>
            <w:r>
              <w:rPr>
                <w:rFonts w:ascii="宋体" w:hAnsi="宋体"/>
              </w:rPr>
              <w:t>Root</w:t>
            </w:r>
          </w:p>
        </w:tc>
        <w:tc>
          <w:tcPr>
            <w:tcW w:w="1971" w:type="dxa"/>
            <w:noWrap w:val="0"/>
            <w:vAlign w:val="center"/>
          </w:tcPr>
          <w:p>
            <w:pPr>
              <w:rPr>
                <w:b/>
                <w:color w:val="FFFFFF"/>
                <w:szCs w:val="21"/>
              </w:rPr>
            </w:pPr>
            <w:r>
              <w:rPr>
                <w:rFonts w:hint="eastAsia"/>
              </w:rPr>
              <w:t>HSB返回的根节点</w:t>
            </w:r>
          </w:p>
        </w:tc>
        <w:tc>
          <w:tcPr>
            <w:tcW w:w="709"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3736" w:type="dxa"/>
            <w:noWrap w:val="0"/>
            <w:vAlign w:val="center"/>
          </w:tcPr>
          <w:p>
            <w:pPr>
              <w:widowControl w:val="0"/>
              <w:rPr>
                <w:b/>
                <w:color w:val="FFFF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106" w:type="dxa"/>
            <w:noWrap w:val="0"/>
            <w:vAlign w:val="center"/>
          </w:tcPr>
          <w:p>
            <w:pPr>
              <w:widowControl w:val="0"/>
              <w:rPr>
                <w:rFonts w:hint="eastAsia"/>
                <w:b/>
                <w:color w:val="FFFFFF"/>
                <w:szCs w:val="21"/>
              </w:rPr>
            </w:pPr>
            <w:r>
              <w:rPr>
                <w:rFonts w:ascii="宋体" w:hAnsi="宋体"/>
              </w:rPr>
              <w:t>|-PramFormat</w:t>
            </w:r>
          </w:p>
        </w:tc>
        <w:tc>
          <w:tcPr>
            <w:tcW w:w="1971" w:type="dxa"/>
            <w:noWrap w:val="0"/>
            <w:vAlign w:val="center"/>
          </w:tcPr>
          <w:p>
            <w:pPr>
              <w:rPr>
                <w:rFonts w:hint="eastAsia"/>
                <w:b/>
                <w:color w:val="FFFFFF"/>
                <w:szCs w:val="21"/>
              </w:rPr>
            </w:pPr>
            <w:r>
              <w:rPr>
                <w:rFonts w:hint="eastAsia"/>
              </w:rPr>
              <w:t>入参格式</w:t>
            </w:r>
          </w:p>
        </w:tc>
        <w:tc>
          <w:tcPr>
            <w:tcW w:w="709"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3736" w:type="dxa"/>
            <w:noWrap w:val="0"/>
            <w:vAlign w:val="center"/>
          </w:tcPr>
          <w:p>
            <w:pPr>
              <w:widowControl w:val="0"/>
              <w:rPr>
                <w:rFonts w:hint="eastAsia"/>
                <w:b/>
                <w:color w:val="FFFF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106" w:type="dxa"/>
            <w:noWrap w:val="0"/>
            <w:vAlign w:val="center"/>
          </w:tcPr>
          <w:p>
            <w:pPr>
              <w:widowControl w:val="0"/>
              <w:rPr>
                <w:b/>
                <w:color w:val="FFFFFF"/>
                <w:szCs w:val="21"/>
              </w:rPr>
            </w:pPr>
            <w:r>
              <w:rPr>
                <w:rFonts w:ascii="宋体" w:hAnsi="宋体"/>
              </w:rPr>
              <w:t>|-|-Valid</w:t>
            </w:r>
          </w:p>
        </w:tc>
        <w:tc>
          <w:tcPr>
            <w:tcW w:w="1971" w:type="dxa"/>
            <w:noWrap w:val="0"/>
            <w:vAlign w:val="center"/>
          </w:tcPr>
          <w:p>
            <w:pPr>
              <w:rPr>
                <w:b/>
                <w:color w:val="FFFFFF"/>
                <w:szCs w:val="21"/>
              </w:rPr>
            </w:pPr>
            <w:r>
              <w:rPr>
                <w:rFonts w:hint="eastAsia"/>
              </w:rPr>
              <w:t>入参格式是否正确</w:t>
            </w:r>
          </w:p>
        </w:tc>
        <w:tc>
          <w:tcPr>
            <w:tcW w:w="709"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3736" w:type="dxa"/>
            <w:noWrap w:val="0"/>
            <w:vAlign w:val="center"/>
          </w:tcPr>
          <w:p>
            <w:pPr>
              <w:widowControl w:val="0"/>
            </w:pPr>
            <w:r>
              <w:rPr>
                <w:rFonts w:hint="eastAsia"/>
              </w:rPr>
              <w:t>True表示正确</w:t>
            </w:r>
          </w:p>
          <w:p>
            <w:pPr>
              <w:widowControl w:val="0"/>
              <w:rPr>
                <w:b/>
                <w:color w:val="FFFFFF"/>
                <w:szCs w:val="21"/>
              </w:rPr>
            </w:pPr>
            <w:r>
              <w:rPr>
                <w:rFonts w:hint="eastAsia"/>
              </w:rPr>
              <w:t>False表示不正确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2106" w:type="dxa"/>
            <w:noWrap w:val="0"/>
            <w:vAlign w:val="center"/>
          </w:tcPr>
          <w:p>
            <w:pPr>
              <w:widowControl w:val="0"/>
              <w:rPr>
                <w:rFonts w:hint="eastAsia"/>
                <w:b/>
                <w:color w:val="FFFFFF"/>
                <w:szCs w:val="21"/>
              </w:rPr>
            </w:pPr>
            <w:r>
              <w:rPr>
                <w:rFonts w:ascii="宋体" w:hAnsi="宋体"/>
              </w:rPr>
              <w:t>|-|-FalidResponse</w:t>
            </w:r>
          </w:p>
        </w:tc>
        <w:tc>
          <w:tcPr>
            <w:tcW w:w="1971" w:type="dxa"/>
            <w:noWrap w:val="0"/>
            <w:vAlign w:val="center"/>
          </w:tcPr>
          <w:p>
            <w:pPr>
              <w:widowControl w:val="0"/>
              <w:rPr>
                <w:rFonts w:hint="eastAsia"/>
                <w:b/>
                <w:color w:val="FFFFFF"/>
                <w:szCs w:val="21"/>
              </w:rPr>
            </w:pPr>
            <w:r>
              <w:rPr>
                <w:rFonts w:hint="eastAsia"/>
              </w:rPr>
              <w:t>失败说明</w:t>
            </w:r>
          </w:p>
        </w:tc>
        <w:tc>
          <w:tcPr>
            <w:tcW w:w="709" w:type="dxa"/>
            <w:noWrap w:val="0"/>
            <w:vAlign w:val="top"/>
          </w:tcPr>
          <w:p>
            <w:pPr>
              <w:widowControl w:val="0"/>
              <w:jc w:val="center"/>
              <w:rPr>
                <w:rFonts w:hint="eastAsia" w:ascii="宋体" w:hAnsi="宋体"/>
              </w:rPr>
            </w:pPr>
            <w:r>
              <w:rPr>
                <w:rFonts w:ascii="宋体" w:hAnsi="宋体"/>
              </w:rPr>
              <w:t>1</w:t>
            </w:r>
            <w:r>
              <w:rPr>
                <w:sz w:val="18"/>
                <w:szCs w:val="18"/>
              </w:rPr>
              <w:t>..</w:t>
            </w:r>
            <w:r>
              <w:rPr>
                <w:rFonts w:ascii="宋体" w:hAnsi="宋体"/>
              </w:rPr>
              <w:t>1</w:t>
            </w:r>
          </w:p>
        </w:tc>
        <w:tc>
          <w:tcPr>
            <w:tcW w:w="3736" w:type="dxa"/>
            <w:noWrap w:val="0"/>
            <w:vAlign w:val="center"/>
          </w:tcPr>
          <w:p>
            <w:pPr>
              <w:widowControl w:val="0"/>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hint="eastAsia"/>
                <w:b/>
                <w:color w:val="FFFFFF"/>
                <w:szCs w:val="21"/>
              </w:rPr>
            </w:pPr>
            <w:r>
              <w:rPr>
                <w:rFonts w:ascii="宋体" w:hAnsi="宋体"/>
              </w:rPr>
              <w:t>|-Authenticate</w:t>
            </w:r>
          </w:p>
        </w:tc>
        <w:tc>
          <w:tcPr>
            <w:tcW w:w="1971" w:type="dxa"/>
            <w:noWrap w:val="0"/>
            <w:vAlign w:val="center"/>
          </w:tcPr>
          <w:p>
            <w:pPr>
              <w:rPr>
                <w:rFonts w:hint="eastAsia"/>
                <w:b/>
                <w:color w:val="FFFFFF"/>
                <w:szCs w:val="21"/>
              </w:rPr>
            </w:pPr>
            <w:r>
              <w:rPr>
                <w:rFonts w:hint="eastAsia"/>
              </w:rPr>
              <w:t>验证是否通过标识</w:t>
            </w:r>
          </w:p>
        </w:tc>
        <w:tc>
          <w:tcPr>
            <w:tcW w:w="709" w:type="dxa"/>
            <w:noWrap w:val="0"/>
            <w:vAlign w:val="top"/>
          </w:tcPr>
          <w:p>
            <w:pPr>
              <w:widowControl w:val="0"/>
              <w:jc w:val="center"/>
              <w:rPr>
                <w:rFonts w:hint="eastAsia" w:ascii="宋体" w:hAnsi="宋体"/>
                <w:szCs w:val="21"/>
              </w:rPr>
            </w:pPr>
            <w:r>
              <w:rPr>
                <w:rFonts w:ascii="宋体" w:hAnsi="宋体"/>
              </w:rPr>
              <w:t>1</w:t>
            </w:r>
            <w:r>
              <w:rPr>
                <w:sz w:val="18"/>
                <w:szCs w:val="18"/>
              </w:rPr>
              <w:t>..</w:t>
            </w:r>
            <w:r>
              <w:rPr>
                <w:rFonts w:ascii="宋体" w:hAnsi="宋体"/>
              </w:rPr>
              <w:t>1</w:t>
            </w:r>
          </w:p>
        </w:tc>
        <w:tc>
          <w:tcPr>
            <w:tcW w:w="3736" w:type="dxa"/>
            <w:noWrap w:val="0"/>
            <w:vAlign w:val="center"/>
          </w:tcPr>
          <w:p>
            <w:r>
              <w:rPr>
                <w:rFonts w:hint="eastAsia"/>
              </w:rPr>
              <w:t>True表示通过</w:t>
            </w:r>
          </w:p>
          <w:p>
            <w:pPr>
              <w:rPr>
                <w:b/>
                <w:color w:val="FFFFFF"/>
                <w:szCs w:val="21"/>
              </w:rPr>
            </w:pPr>
            <w:r>
              <w:rPr>
                <w:rFonts w:hint="eastAsia"/>
              </w:rPr>
              <w:t>False表示未通过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ascii="宋体" w:hAnsi="宋体"/>
              </w:rPr>
            </w:pPr>
            <w:r>
              <w:rPr>
                <w:rFonts w:ascii="宋体" w:hAnsi="宋体"/>
              </w:rPr>
              <w:t>|-ValidRoute</w:t>
            </w:r>
          </w:p>
        </w:tc>
        <w:tc>
          <w:tcPr>
            <w:tcW w:w="1971" w:type="dxa"/>
            <w:noWrap w:val="0"/>
            <w:vAlign w:val="center"/>
          </w:tcPr>
          <w:p>
            <w:pPr>
              <w:rPr>
                <w:rFonts w:hint="eastAsia"/>
                <w:b/>
                <w:color w:val="FFFFFF"/>
                <w:szCs w:val="21"/>
              </w:rPr>
            </w:pPr>
            <w:r>
              <w:rPr>
                <w:rFonts w:hint="eastAsia"/>
              </w:rPr>
              <w:t>当前消息是否存在有效路由</w:t>
            </w:r>
          </w:p>
        </w:tc>
        <w:tc>
          <w:tcPr>
            <w:tcW w:w="709" w:type="dxa"/>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3736" w:type="dxa"/>
            <w:noWrap w:val="0"/>
            <w:vAlign w:val="center"/>
          </w:tcPr>
          <w:p>
            <w:r>
              <w:rPr>
                <w:rFonts w:hint="eastAsia"/>
              </w:rPr>
              <w:t>True表示存在</w:t>
            </w:r>
          </w:p>
          <w:p>
            <w:pPr>
              <w:rPr>
                <w:b/>
                <w:color w:val="FFFFFF"/>
                <w:szCs w:val="21"/>
              </w:rPr>
            </w:pPr>
            <w:r>
              <w:rPr>
                <w:rFonts w:hint="eastAsia"/>
              </w:rPr>
              <w:t>False表示不存在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ascii="宋体" w:hAnsi="宋体"/>
              </w:rPr>
            </w:pPr>
            <w:r>
              <w:rPr>
                <w:rFonts w:ascii="宋体" w:hAnsi="宋体"/>
              </w:rPr>
              <w:t>|-ResponseInfo</w:t>
            </w:r>
          </w:p>
        </w:tc>
        <w:tc>
          <w:tcPr>
            <w:tcW w:w="1971" w:type="dxa"/>
            <w:noWrap w:val="0"/>
            <w:vAlign w:val="center"/>
          </w:tcPr>
          <w:p>
            <w:pPr>
              <w:rPr>
                <w:rFonts w:hint="eastAsia"/>
                <w:b/>
                <w:color w:val="FFFFFF"/>
                <w:szCs w:val="21"/>
              </w:rPr>
            </w:pPr>
            <w:r>
              <w:rPr>
                <w:rFonts w:hint="eastAsia"/>
              </w:rPr>
              <w:t>响应路由根节点</w:t>
            </w:r>
          </w:p>
        </w:tc>
        <w:tc>
          <w:tcPr>
            <w:tcW w:w="709" w:type="dxa"/>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3736" w:type="dxa"/>
            <w:noWrap w:val="0"/>
            <w:vAlign w:val="center"/>
          </w:tcPr>
          <w:p>
            <w:pPr>
              <w:widowControl w:val="0"/>
              <w:rPr>
                <w:b/>
                <w:color w:val="FFFF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ascii="宋体" w:hAnsi="宋体"/>
              </w:rPr>
            </w:pPr>
            <w:r>
              <w:rPr>
                <w:rFonts w:ascii="宋体" w:hAnsi="宋体"/>
              </w:rPr>
              <w:t>|-|-TargetSys</w:t>
            </w:r>
          </w:p>
        </w:tc>
        <w:tc>
          <w:tcPr>
            <w:tcW w:w="1971" w:type="dxa"/>
            <w:noWrap w:val="0"/>
            <w:vAlign w:val="center"/>
          </w:tcPr>
          <w:p>
            <w:pPr>
              <w:rPr>
                <w:rFonts w:hint="eastAsia"/>
                <w:b/>
                <w:color w:val="FFFFFF"/>
                <w:szCs w:val="21"/>
              </w:rPr>
            </w:pPr>
            <w:r>
              <w:rPr>
                <w:rFonts w:hint="eastAsia"/>
              </w:rPr>
              <w:t>响应系统代码</w:t>
            </w:r>
          </w:p>
        </w:tc>
        <w:tc>
          <w:tcPr>
            <w:tcW w:w="709" w:type="dxa"/>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3736" w:type="dxa"/>
            <w:noWrap w:val="0"/>
            <w:vAlign w:val="center"/>
          </w:tcPr>
          <w:p>
            <w:pPr>
              <w:widowControl w:val="0"/>
              <w:rPr>
                <w:szCs w:val="21"/>
              </w:rPr>
            </w:pPr>
            <w:r>
              <w:rPr>
                <w:rFonts w:hint="eastAsia"/>
                <w:szCs w:val="21"/>
              </w:rPr>
              <w:t>HSB监控页面维护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ascii="宋体" w:hAnsi="宋体"/>
              </w:rPr>
            </w:pPr>
            <w:r>
              <w:rPr>
                <w:rFonts w:ascii="宋体" w:hAnsi="宋体"/>
              </w:rPr>
              <w:t>|-|-SendCompletely</w:t>
            </w:r>
          </w:p>
        </w:tc>
        <w:tc>
          <w:tcPr>
            <w:tcW w:w="1971" w:type="dxa"/>
            <w:noWrap w:val="0"/>
            <w:vAlign w:val="center"/>
          </w:tcPr>
          <w:p>
            <w:pPr>
              <w:widowControl w:val="0"/>
              <w:rPr>
                <w:rFonts w:hint="eastAsia"/>
                <w:b/>
                <w:color w:val="FFFFFF"/>
                <w:szCs w:val="21"/>
              </w:rPr>
            </w:pPr>
            <w:r>
              <w:rPr>
                <w:rFonts w:hint="eastAsia"/>
              </w:rPr>
              <w:t>是否成功发送</w:t>
            </w:r>
          </w:p>
        </w:tc>
        <w:tc>
          <w:tcPr>
            <w:tcW w:w="709" w:type="dxa"/>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3736" w:type="dxa"/>
            <w:noWrap w:val="0"/>
            <w:vAlign w:val="center"/>
          </w:tcPr>
          <w:p>
            <w:pPr>
              <w:widowControl w:val="0"/>
            </w:pPr>
            <w:r>
              <w:rPr>
                <w:rFonts w:hint="eastAsia"/>
              </w:rPr>
              <w:t>True表示成功</w:t>
            </w:r>
          </w:p>
          <w:p>
            <w:pPr>
              <w:widowControl w:val="0"/>
              <w:rPr>
                <w:b/>
                <w:color w:val="FFFFFF"/>
                <w:szCs w:val="21"/>
              </w:rPr>
            </w:pPr>
            <w:r>
              <w:rPr>
                <w:rFonts w:hint="eastAsia"/>
              </w:rPr>
              <w:t>False表示失败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2106" w:type="dxa"/>
            <w:noWrap w:val="0"/>
            <w:vAlign w:val="center"/>
          </w:tcPr>
          <w:p>
            <w:pPr>
              <w:widowControl w:val="0"/>
              <w:rPr>
                <w:rFonts w:ascii="宋体" w:hAnsi="宋体"/>
              </w:rPr>
            </w:pPr>
            <w:r>
              <w:rPr>
                <w:rFonts w:ascii="宋体" w:hAnsi="宋体"/>
              </w:rPr>
              <w:t>|-|-ReturnValue</w:t>
            </w:r>
          </w:p>
        </w:tc>
        <w:tc>
          <w:tcPr>
            <w:tcW w:w="1971" w:type="dxa"/>
            <w:noWrap w:val="0"/>
            <w:vAlign w:val="center"/>
          </w:tcPr>
          <w:p>
            <w:pPr>
              <w:widowControl w:val="0"/>
              <w:rPr>
                <w:rFonts w:hint="eastAsia"/>
                <w:b/>
                <w:color w:val="FFFFFF"/>
                <w:szCs w:val="21"/>
              </w:rPr>
            </w:pPr>
            <w:r>
              <w:rPr>
                <w:rFonts w:hint="eastAsia"/>
              </w:rPr>
              <w:t>响应返回值</w:t>
            </w:r>
          </w:p>
        </w:tc>
        <w:tc>
          <w:tcPr>
            <w:tcW w:w="709" w:type="dxa"/>
            <w:noWrap w:val="0"/>
            <w:vAlign w:val="top"/>
          </w:tcPr>
          <w:p>
            <w:pPr>
              <w:widowControl w:val="0"/>
              <w:jc w:val="center"/>
              <w:rPr>
                <w:rFonts w:hint="eastAsia"/>
              </w:rPr>
            </w:pPr>
            <w:r>
              <w:rPr>
                <w:rFonts w:ascii="宋体" w:hAnsi="宋体"/>
              </w:rPr>
              <w:t>1</w:t>
            </w:r>
            <w:r>
              <w:rPr>
                <w:sz w:val="18"/>
                <w:szCs w:val="18"/>
              </w:rPr>
              <w:t>..</w:t>
            </w:r>
            <w:r>
              <w:rPr>
                <w:rFonts w:ascii="宋体" w:hAnsi="宋体"/>
              </w:rPr>
              <w:t>1</w:t>
            </w:r>
          </w:p>
        </w:tc>
        <w:tc>
          <w:tcPr>
            <w:tcW w:w="3736" w:type="dxa"/>
            <w:noWrap w:val="0"/>
            <w:vAlign w:val="center"/>
          </w:tcPr>
          <w:p>
            <w:pPr>
              <w:widowControl w:val="0"/>
              <w:rPr>
                <w:rFonts w:hint="eastAsia"/>
              </w:rPr>
            </w:pPr>
            <w:r>
              <w:rPr>
                <w:rFonts w:hint="eastAsia"/>
              </w:rPr>
              <w:t>服务提供方实际返回的xml流</w:t>
            </w:r>
          </w:p>
          <w:p>
            <w:pPr>
              <w:widowControl w:val="0"/>
              <w:rPr>
                <w:rFonts w:hint="eastAsia"/>
                <w:b/>
                <w:color w:val="FFFFFF"/>
                <w:szCs w:val="21"/>
              </w:rPr>
            </w:pPr>
            <w:r>
              <w:rPr>
                <w:rFonts w:hint="eastAsia" w:ascii="宋体" w:hAnsi="宋体"/>
                <w:b/>
                <w:bCs/>
                <w:color w:val="FF0000"/>
                <w:szCs w:val="21"/>
              </w:rPr>
              <w:t>如果是互联互通标准服务，返回的xml格式详见互联互通标准【医院信息平台交互规范】X</w:t>
            </w:r>
            <w:r>
              <w:rPr>
                <w:rFonts w:ascii="宋体" w:hAnsi="宋体"/>
                <w:b/>
                <w:bCs/>
                <w:color w:val="FF0000"/>
                <w:szCs w:val="21"/>
              </w:rPr>
              <w:t>XXX</w:t>
            </w:r>
            <w:r>
              <w:rPr>
                <w:rFonts w:hint="eastAsia" w:ascii="宋体" w:hAnsi="宋体"/>
                <w:b/>
                <w:bCs/>
                <w:color w:val="FF0000"/>
                <w:szCs w:val="21"/>
              </w:rPr>
              <w:t>服务响应消息模型</w:t>
            </w:r>
          </w:p>
        </w:tc>
      </w:tr>
    </w:tbl>
    <w:p>
      <w:bookmarkStart w:id="170" w:name="_Toc46753274"/>
    </w:p>
    <w:p>
      <w:pPr>
        <w:pStyle w:val="80"/>
        <w:numPr>
          <w:ilvl w:val="0"/>
          <w:numId w:val="39"/>
        </w:numPr>
        <w:ind w:firstLineChars="0"/>
        <w:rPr>
          <w:rFonts w:ascii="宋体" w:hAnsi="宋体"/>
          <w:b/>
        </w:rPr>
      </w:pPr>
      <w:r>
        <w:rPr>
          <w:rFonts w:hint="eastAsia" w:ascii="宋体" w:hAnsi="宋体"/>
          <w:b/>
        </w:rPr>
        <w:t>响应示例</w:t>
      </w:r>
      <w:r>
        <w:rPr>
          <w:rFonts w:hint="eastAsia" w:ascii="宋体" w:hAnsi="宋体"/>
          <w:b/>
          <w:bCs/>
          <w:color w:val="FF0000"/>
          <w:sz w:val="21"/>
          <w:szCs w:val="21"/>
          <w:lang w:val="en-US" w:eastAsia="zh-CN" w:bidi="ar-SA"/>
        </w:rPr>
        <w:t>（提供方是webService时）</w:t>
      </w:r>
      <w:r>
        <w:rPr>
          <w:rFonts w:hint="eastAsia" w:ascii="宋体" w:hAnsi="宋体"/>
          <w:b/>
        </w:rPr>
        <w:t>：</w:t>
      </w:r>
    </w:p>
    <w:tbl>
      <w:tblPr>
        <w:tblStyle w:val="43"/>
        <w:tblW w:w="847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476" w:type="dxa"/>
            <w:shd w:val="clear" w:color="auto" w:fill="DEEAF6"/>
            <w:noWrap w:val="0"/>
            <w:vAlign w:val="top"/>
          </w:tcPr>
          <w:p>
            <w:pPr>
              <w:widowControl w:val="0"/>
              <w:spacing w:line="276" w:lineRule="auto"/>
              <w:jc w:val="both"/>
              <w:rPr>
                <w:rFonts w:ascii="宋体" w:hAnsi="宋体"/>
              </w:rPr>
            </w:pPr>
            <w:r>
              <w:rPr>
                <w:rFonts w:ascii="宋体" w:hAnsi="宋体"/>
              </w:rPr>
              <w:t xml:space="preserve">&lt;Root&gt;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&lt;Valid&gt;True&lt;/Valid&gt;  </w:t>
            </w:r>
          </w:p>
          <w:p>
            <w:pPr>
              <w:widowControl w:val="0"/>
              <w:spacing w:line="276" w:lineRule="auto"/>
              <w:jc w:val="both"/>
              <w:rPr>
                <w:rFonts w:ascii="宋体" w:hAnsi="宋体"/>
              </w:rPr>
            </w:pPr>
            <w:r>
              <w:rPr>
                <w:rFonts w:ascii="宋体" w:hAnsi="宋体"/>
              </w:rPr>
              <w:t xml:space="preserve">    &lt;FalidResponse/&gt;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&lt;Authenticate&gt;</w:t>
            </w:r>
            <w:r>
              <w:rPr>
                <w:rFonts w:hint="eastAsia" w:ascii="宋体" w:hAnsi="宋体"/>
              </w:rPr>
              <w:t>True</w:t>
            </w:r>
            <w:r>
              <w:rPr>
                <w:rFonts w:ascii="宋体" w:hAnsi="宋体"/>
              </w:rPr>
              <w:t xml:space="preserve">&lt;/Authenticate&gt;  </w:t>
            </w:r>
          </w:p>
          <w:p>
            <w:pPr>
              <w:widowControl w:val="0"/>
              <w:spacing w:line="276" w:lineRule="auto"/>
              <w:jc w:val="both"/>
              <w:rPr>
                <w:rFonts w:ascii="宋体" w:hAnsi="宋体"/>
              </w:rPr>
            </w:pPr>
            <w:r>
              <w:rPr>
                <w:rFonts w:ascii="宋体" w:hAnsi="宋体"/>
              </w:rPr>
              <w:t xml:space="preserve">  &lt;ValidRoute&gt;</w:t>
            </w:r>
            <w:r>
              <w:rPr>
                <w:rFonts w:hint="eastAsia" w:ascii="宋体" w:hAnsi="宋体"/>
              </w:rPr>
              <w:t>True</w:t>
            </w:r>
            <w:r>
              <w:rPr>
                <w:rFonts w:ascii="宋体" w:hAnsi="宋体"/>
              </w:rPr>
              <w:t xml:space="preserve">&lt;/ValidRoute&gt;  </w:t>
            </w:r>
          </w:p>
          <w:p>
            <w:pPr>
              <w:widowControl w:val="0"/>
              <w:spacing w:line="276" w:lineRule="auto"/>
              <w:jc w:val="both"/>
              <w:rPr>
                <w:rFonts w:hint="eastAsia" w:ascii="宋体" w:hAnsi="宋体"/>
              </w:rPr>
            </w:pPr>
            <w:r>
              <w:rPr>
                <w:rFonts w:ascii="宋体" w:hAnsi="宋体"/>
              </w:rPr>
              <w:t xml:space="preserve">  &lt;ResponseInfo&gt; </w:t>
            </w:r>
          </w:p>
          <w:p>
            <w:pPr>
              <w:widowControl w:val="0"/>
              <w:spacing w:line="276" w:lineRule="auto"/>
              <w:jc w:val="both"/>
              <w:rPr>
                <w:rFonts w:ascii="宋体" w:hAnsi="宋体"/>
              </w:rPr>
            </w:pPr>
            <w:r>
              <w:rPr>
                <w:rFonts w:ascii="宋体" w:hAnsi="宋体"/>
              </w:rPr>
              <w:t xml:space="preserve">    &lt;TargetSys&gt;</w:t>
            </w:r>
            <w:r>
              <w:rPr>
                <w:rFonts w:hint="eastAsia" w:ascii="宋体" w:hAnsi="宋体"/>
              </w:rPr>
              <w:t>HIS</w:t>
            </w:r>
            <w:r>
              <w:rPr>
                <w:rFonts w:ascii="宋体" w:hAnsi="宋体"/>
              </w:rPr>
              <w:t xml:space="preserve">&lt;/TargetSys&gt;  </w:t>
            </w:r>
          </w:p>
          <w:p>
            <w:pPr>
              <w:widowControl w:val="0"/>
              <w:spacing w:line="276" w:lineRule="auto"/>
              <w:jc w:val="both"/>
              <w:rPr>
                <w:rFonts w:ascii="宋体" w:hAnsi="宋体"/>
              </w:rPr>
            </w:pPr>
            <w:r>
              <w:rPr>
                <w:rFonts w:ascii="宋体" w:hAnsi="宋体"/>
              </w:rPr>
              <w:t xml:space="preserve">    &lt;SendCompletely&gt;</w:t>
            </w:r>
            <w:r>
              <w:rPr>
                <w:rFonts w:hint="eastAsia" w:ascii="宋体" w:hAnsi="宋体"/>
              </w:rPr>
              <w:t>True</w:t>
            </w:r>
            <w:r>
              <w:rPr>
                <w:rFonts w:ascii="宋体" w:hAnsi="宋体"/>
              </w:rPr>
              <w:t xml:space="preserve">&lt;/SendCompletely&gt;  </w:t>
            </w:r>
          </w:p>
          <w:p>
            <w:pPr>
              <w:widowControl w:val="0"/>
              <w:spacing w:line="276" w:lineRule="auto"/>
              <w:jc w:val="both"/>
              <w:rPr>
                <w:rFonts w:hint="eastAsia" w:ascii="宋体" w:hAnsi="宋体"/>
              </w:rPr>
            </w:pPr>
            <w:r>
              <w:rPr>
                <w:rFonts w:ascii="宋体" w:hAnsi="宋体"/>
              </w:rPr>
              <w:t xml:space="preserve">    &lt;ReturnValue&gt; </w:t>
            </w:r>
          </w:p>
          <w:p>
            <w:pPr>
              <w:widowControl w:val="0"/>
              <w:spacing w:line="276" w:lineRule="auto"/>
              <w:jc w:val="both"/>
              <w:rPr>
                <w:rFonts w:hint="eastAsia" w:ascii="宋体" w:hAnsi="宋体"/>
              </w:rPr>
            </w:pPr>
            <w:r>
              <w:rPr>
                <w:rFonts w:ascii="宋体" w:hAnsi="宋体"/>
              </w:rPr>
              <w:t xml:space="preserve">      &lt;![CDATA[</w:t>
            </w:r>
            <w:r>
              <w:rPr>
                <w:rFonts w:ascii="宋体" w:hAnsi="宋体"/>
                <w:color w:val="A5A5A5"/>
              </w:rPr>
              <w:t>[</w:t>
            </w:r>
            <w:r>
              <w:rPr>
                <w:rFonts w:hint="eastAsia" w:ascii="宋体" w:hAnsi="宋体"/>
                <w:color w:val="A5A5A5"/>
              </w:rPr>
              <w:t>正常情况返回提供方返回的值，异常情况返回错误消息</w:t>
            </w:r>
            <w:r>
              <w:rPr>
                <w:rFonts w:ascii="宋体" w:hAnsi="宋体"/>
                <w:color w:val="A5A5A5"/>
              </w:rPr>
              <w:t>]</w:t>
            </w:r>
            <w:r>
              <w:rPr>
                <w:rFonts w:ascii="宋体" w:hAnsi="宋体"/>
              </w:rPr>
              <w:t>]]&gt;</w:t>
            </w:r>
          </w:p>
          <w:p>
            <w:pPr>
              <w:widowControl w:val="0"/>
              <w:spacing w:line="276" w:lineRule="auto"/>
              <w:jc w:val="both"/>
              <w:rPr>
                <w:rFonts w:ascii="宋体" w:hAnsi="宋体"/>
              </w:rPr>
            </w:pPr>
            <w:r>
              <w:rPr>
                <w:rFonts w:ascii="宋体" w:hAnsi="宋体"/>
              </w:rPr>
              <w:t xml:space="preserve">    &lt;/ReturnValue&gt; </w:t>
            </w:r>
          </w:p>
          <w:p>
            <w:pPr>
              <w:widowControl w:val="0"/>
              <w:spacing w:line="276" w:lineRule="auto"/>
              <w:jc w:val="both"/>
              <w:rPr>
                <w:rFonts w:ascii="宋体" w:hAnsi="宋体"/>
              </w:rPr>
            </w:pPr>
            <w:r>
              <w:rPr>
                <w:rFonts w:ascii="宋体" w:hAnsi="宋体"/>
              </w:rPr>
              <w:t xml:space="preserve">  &lt;/ResponseInfo&gt; </w:t>
            </w:r>
          </w:p>
          <w:p>
            <w:pPr>
              <w:widowControl w:val="0"/>
              <w:spacing w:line="276" w:lineRule="auto"/>
              <w:jc w:val="both"/>
              <w:rPr>
                <w:rFonts w:hint="eastAsia" w:ascii="宋体" w:hAnsi="宋体"/>
              </w:rPr>
            </w:pPr>
            <w:r>
              <w:rPr>
                <w:rFonts w:ascii="宋体" w:hAnsi="宋体"/>
              </w:rPr>
              <w:t>&lt;/Root&gt;</w:t>
            </w:r>
          </w:p>
        </w:tc>
      </w:tr>
    </w:tbl>
    <w:p>
      <w:pPr>
        <w:rPr>
          <w:vanish/>
        </w:rPr>
      </w:pPr>
    </w:p>
    <w:p>
      <w:pPr>
        <w:rPr>
          <w:rFonts w:hint="eastAsia" w:ascii="宋体" w:hAnsi="宋体"/>
        </w:rPr>
      </w:pPr>
      <w:r>
        <w:rPr>
          <w:rFonts w:hint="eastAsia"/>
        </w:rPr>
        <w:t>注：</w:t>
      </w:r>
      <w:r>
        <w:rPr>
          <w:rFonts w:hint="eastAsia" w:ascii="宋体" w:hAnsi="宋体"/>
          <w:color w:val="A5A5A5"/>
        </w:rPr>
        <w:t>[正常情况返回提供方返回的值，异常情况返回错误消息]</w:t>
      </w:r>
      <w:r>
        <w:rPr>
          <w:rFonts w:hint="eastAsia" w:ascii="宋体" w:hAnsi="宋体"/>
        </w:rPr>
        <w:t>为占位符</w:t>
      </w:r>
    </w:p>
    <w:p>
      <w:pPr>
        <w:rPr>
          <w:rFonts w:hint="eastAsia" w:ascii="宋体" w:hAnsi="宋体"/>
        </w:rPr>
      </w:pPr>
    </w:p>
    <w:bookmarkEnd w:id="170"/>
    <w:p>
      <w:pPr>
        <w:pStyle w:val="80"/>
        <w:numPr>
          <w:ilvl w:val="0"/>
          <w:numId w:val="39"/>
        </w:numPr>
        <w:ind w:firstLineChars="0"/>
        <w:rPr>
          <w:rFonts w:ascii="宋体" w:hAnsi="宋体"/>
          <w:b/>
        </w:rPr>
      </w:pPr>
      <w:bookmarkStart w:id="171" w:name="_3.3_消息类型说明"/>
      <w:bookmarkEnd w:id="171"/>
      <w:bookmarkStart w:id="172" w:name="_3.3消息类型说明"/>
      <w:bookmarkEnd w:id="172"/>
      <w:r>
        <w:rPr>
          <w:rFonts w:hint="eastAsia" w:ascii="宋体" w:hAnsi="宋体"/>
          <w:b/>
        </w:rPr>
        <w:t>响应示例</w:t>
      </w:r>
      <w:r>
        <w:rPr>
          <w:rFonts w:hint="eastAsia" w:ascii="宋体" w:hAnsi="宋体"/>
          <w:b/>
          <w:bCs/>
          <w:color w:val="FF0000"/>
          <w:sz w:val="21"/>
          <w:szCs w:val="21"/>
          <w:lang w:val="en-US" w:eastAsia="zh-CN" w:bidi="ar-SA"/>
        </w:rPr>
        <w:t>（提供方是存储过程时SQLServer或Oracle）</w:t>
      </w:r>
      <w:r>
        <w:rPr>
          <w:rFonts w:hint="eastAsia" w:ascii="宋体" w:hAnsi="宋体"/>
          <w:b/>
        </w:rPr>
        <w:t>：</w:t>
      </w:r>
    </w:p>
    <w:tbl>
      <w:tblPr>
        <w:tblStyle w:val="43"/>
        <w:tblW w:w="847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476" w:type="dxa"/>
            <w:shd w:val="clear" w:color="auto" w:fill="DEEAF6"/>
            <w:noWrap w:val="0"/>
            <w:vAlign w:val="top"/>
          </w:tcPr>
          <w:p>
            <w:pPr>
              <w:widowControl w:val="0"/>
              <w:spacing w:line="276" w:lineRule="auto"/>
              <w:jc w:val="both"/>
              <w:rPr>
                <w:rFonts w:ascii="宋体" w:hAnsi="宋体"/>
              </w:rPr>
            </w:pPr>
            <w:r>
              <w:rPr>
                <w:rFonts w:ascii="宋体" w:hAnsi="宋体"/>
              </w:rPr>
              <w:t xml:space="preserve">&lt;Root&gt;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&lt;Valid&gt;True&lt;/Valid&gt;  </w:t>
            </w:r>
          </w:p>
          <w:p>
            <w:pPr>
              <w:widowControl w:val="0"/>
              <w:spacing w:line="276" w:lineRule="auto"/>
              <w:jc w:val="both"/>
              <w:rPr>
                <w:rFonts w:ascii="宋体" w:hAnsi="宋体"/>
              </w:rPr>
            </w:pPr>
            <w:r>
              <w:rPr>
                <w:rFonts w:ascii="宋体" w:hAnsi="宋体"/>
              </w:rPr>
              <w:t xml:space="preserve">    &lt;FalidResponse/&gt;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&lt;Authenticate&gt;</w:t>
            </w:r>
            <w:r>
              <w:rPr>
                <w:rFonts w:hint="eastAsia" w:ascii="宋体" w:hAnsi="宋体"/>
              </w:rPr>
              <w:t>True</w:t>
            </w:r>
            <w:r>
              <w:rPr>
                <w:rFonts w:ascii="宋体" w:hAnsi="宋体"/>
              </w:rPr>
              <w:t xml:space="preserve">&lt;/Authenticate&gt;  </w:t>
            </w:r>
          </w:p>
          <w:p>
            <w:pPr>
              <w:widowControl w:val="0"/>
              <w:spacing w:line="276" w:lineRule="auto"/>
              <w:jc w:val="both"/>
              <w:rPr>
                <w:rFonts w:ascii="宋体" w:hAnsi="宋体"/>
              </w:rPr>
            </w:pPr>
            <w:r>
              <w:rPr>
                <w:rFonts w:ascii="宋体" w:hAnsi="宋体"/>
              </w:rPr>
              <w:t xml:space="preserve">  &lt;ValidRoute&gt;</w:t>
            </w:r>
            <w:r>
              <w:rPr>
                <w:rFonts w:hint="eastAsia" w:ascii="宋体" w:hAnsi="宋体"/>
              </w:rPr>
              <w:t>True</w:t>
            </w:r>
            <w:r>
              <w:rPr>
                <w:rFonts w:ascii="宋体" w:hAnsi="宋体"/>
              </w:rPr>
              <w:t xml:space="preserve">&lt;/ValidRoute&gt;  </w:t>
            </w:r>
          </w:p>
          <w:p>
            <w:pPr>
              <w:widowControl w:val="0"/>
              <w:spacing w:line="276" w:lineRule="auto"/>
              <w:jc w:val="both"/>
              <w:rPr>
                <w:rFonts w:hint="eastAsia" w:ascii="宋体" w:hAnsi="宋体"/>
              </w:rPr>
            </w:pPr>
            <w:r>
              <w:rPr>
                <w:rFonts w:ascii="宋体" w:hAnsi="宋体"/>
              </w:rPr>
              <w:t xml:space="preserve">  &lt;ResponseInfo&gt; </w:t>
            </w:r>
          </w:p>
          <w:p>
            <w:pPr>
              <w:widowControl w:val="0"/>
              <w:spacing w:line="276" w:lineRule="auto"/>
              <w:jc w:val="both"/>
              <w:rPr>
                <w:rFonts w:ascii="宋体" w:hAnsi="宋体"/>
              </w:rPr>
            </w:pPr>
            <w:r>
              <w:rPr>
                <w:rFonts w:ascii="宋体" w:hAnsi="宋体"/>
              </w:rPr>
              <w:t xml:space="preserve">    &lt;TargetSys&gt;</w:t>
            </w:r>
            <w:r>
              <w:rPr>
                <w:rFonts w:hint="eastAsia" w:ascii="宋体" w:hAnsi="宋体"/>
              </w:rPr>
              <w:t>HIS</w:t>
            </w:r>
            <w:r>
              <w:rPr>
                <w:rFonts w:ascii="宋体" w:hAnsi="宋体"/>
              </w:rPr>
              <w:t xml:space="preserve">&lt;/TargetSys&gt;  </w:t>
            </w:r>
          </w:p>
          <w:p>
            <w:pPr>
              <w:widowControl w:val="0"/>
              <w:spacing w:line="276" w:lineRule="auto"/>
              <w:jc w:val="both"/>
              <w:rPr>
                <w:rFonts w:ascii="宋体" w:hAnsi="宋体"/>
              </w:rPr>
            </w:pPr>
            <w:r>
              <w:rPr>
                <w:rFonts w:ascii="宋体" w:hAnsi="宋体"/>
              </w:rPr>
              <w:t xml:space="preserve">    &lt;SendCompletely&gt;</w:t>
            </w:r>
            <w:r>
              <w:rPr>
                <w:rFonts w:hint="eastAsia" w:ascii="宋体" w:hAnsi="宋体"/>
              </w:rPr>
              <w:t>True</w:t>
            </w:r>
            <w:r>
              <w:rPr>
                <w:rFonts w:ascii="宋体" w:hAnsi="宋体"/>
              </w:rPr>
              <w:t xml:space="preserve">&lt;/SendCompletely&gt;  </w:t>
            </w:r>
          </w:p>
          <w:p>
            <w:pPr>
              <w:widowControl w:val="0"/>
              <w:spacing w:line="276" w:lineRule="auto"/>
              <w:jc w:val="both"/>
              <w:rPr>
                <w:rFonts w:hint="eastAsia" w:ascii="宋体" w:hAnsi="宋体"/>
              </w:rPr>
            </w:pPr>
            <w:r>
              <w:rPr>
                <w:rFonts w:ascii="宋体" w:hAnsi="宋体"/>
              </w:rPr>
              <w:t xml:space="preserve">    &lt;ReturnValue&gt; </w:t>
            </w:r>
          </w:p>
          <w:p>
            <w:pPr>
              <w:widowControl w:val="0"/>
              <w:spacing w:line="276" w:lineRule="auto"/>
              <w:jc w:val="both"/>
              <w:rPr>
                <w:rFonts w:ascii="宋体" w:hAnsi="宋体"/>
                <w:color w:val="A5A5A5"/>
              </w:rPr>
            </w:pPr>
            <w:r>
              <w:rPr>
                <w:rFonts w:ascii="宋体" w:hAnsi="宋体"/>
              </w:rPr>
              <w:t xml:space="preserve">      &lt;![CDATA[</w:t>
            </w:r>
          </w:p>
          <w:p>
            <w:pPr>
              <w:widowControl w:val="0"/>
              <w:spacing w:line="276" w:lineRule="auto"/>
              <w:ind w:firstLine="840" w:firstLineChars="400"/>
              <w:jc w:val="both"/>
              <w:rPr>
                <w:rFonts w:hint="eastAsia" w:ascii="宋体" w:hAnsi="宋体"/>
                <w:color w:val="A5A5A5"/>
              </w:rPr>
            </w:pPr>
            <w:r>
              <w:rPr>
                <w:rFonts w:hint="eastAsia" w:ascii="宋体" w:hAnsi="宋体"/>
                <w:color w:val="A5A5A5"/>
              </w:rPr>
              <w:t>&lt;RetMsg&gt;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&lt;ID&gt;39317&lt;/ID&gt;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&lt;User_ID&gt;2&lt;/User_ID&gt;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&lt;App_ID&gt;1&lt;/App_ID&gt;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&lt;AuditType&gt;SetUserPost&lt;/AuditType&gt;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&lt;CreateTime&gt;2020-10-21T17:11:39+08:00&lt;/CreateTime&gt;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&lt;AuditResult&gt;Success&lt;/AuditResult&gt;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&lt;Desciption&gt;变更用户"测试医生5"和岗位之间的关系&lt;/Desciption&gt;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&lt;Sender_ID&gt;126710&lt;/Sender_ID&gt;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&lt;SenderType&gt;User&lt;/SenderType&gt;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&lt;SenderName&gt;测试医生5&lt;/SenderName&gt;</w:t>
            </w:r>
          </w:p>
          <w:p>
            <w:pPr>
              <w:widowControl w:val="0"/>
              <w:spacing w:line="276" w:lineRule="auto"/>
              <w:ind w:firstLine="630" w:firstLineChars="300"/>
              <w:jc w:val="both"/>
              <w:rPr>
                <w:rFonts w:hint="eastAsia" w:ascii="宋体" w:hAnsi="宋体"/>
                <w:color w:val="A5A5A5"/>
              </w:rPr>
            </w:pPr>
            <w:r>
              <w:rPr>
                <w:rFonts w:hint="eastAsia" w:ascii="宋体" w:hAnsi="宋体"/>
                <w:color w:val="A5A5A5"/>
              </w:rPr>
              <w:t>&lt;/RetMsg&gt;</w:t>
            </w:r>
          </w:p>
          <w:p>
            <w:pPr>
              <w:widowControl w:val="0"/>
              <w:spacing w:line="276" w:lineRule="auto"/>
              <w:ind w:firstLine="630" w:firstLineChars="300"/>
              <w:jc w:val="both"/>
              <w:rPr>
                <w:rFonts w:hint="eastAsia" w:ascii="宋体" w:hAnsi="宋体"/>
                <w:color w:val="A5A5A5"/>
              </w:rPr>
            </w:pPr>
            <w:r>
              <w:rPr>
                <w:rFonts w:hint="eastAsia" w:ascii="宋体" w:hAnsi="宋体"/>
                <w:color w:val="A5A5A5"/>
              </w:rPr>
              <w:t>&lt;RetMsg&gt;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&lt;ID&gt;39318&lt;/ID&gt;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&lt;User_ID&gt;2&lt;/User_ID&gt;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&lt;App_ID&gt;1&lt;/App_ID&gt;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&lt;AuditType&gt;SetUserPost&lt;/AuditType&gt;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&lt;CreateTime&gt;2020-10-21T17:36:08+08:00&lt;/CreateTime&gt;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&lt;AuditResult&gt;Success&lt;/AuditResult&gt;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&lt;Desciption&gt;变更用户"测试医生5"和岗位之间的关系&lt;/Desciption&gt;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&lt;Sender_ID&gt;126710&lt;/Sender_ID&gt;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&lt;SenderType&gt;User&lt;/SenderType&gt;</w:t>
            </w:r>
          </w:p>
          <w:p>
            <w:pPr>
              <w:widowControl w:val="0"/>
              <w:spacing w:line="276" w:lineRule="auto"/>
              <w:ind w:firstLine="1260" w:firstLineChars="600"/>
              <w:jc w:val="both"/>
              <w:rPr>
                <w:rFonts w:hint="eastAsia" w:ascii="宋体" w:hAnsi="宋体"/>
                <w:color w:val="A5A5A5"/>
              </w:rPr>
            </w:pPr>
            <w:r>
              <w:rPr>
                <w:rFonts w:hint="eastAsia" w:ascii="宋体" w:hAnsi="宋体"/>
                <w:color w:val="A5A5A5"/>
              </w:rPr>
              <w:t>&lt;SenderName&gt;测试医生5&lt;/SenderName&gt;</w:t>
            </w:r>
          </w:p>
          <w:p>
            <w:pPr>
              <w:widowControl w:val="0"/>
              <w:spacing w:line="276" w:lineRule="auto"/>
              <w:ind w:firstLine="630" w:firstLineChars="300"/>
              <w:jc w:val="both"/>
              <w:rPr>
                <w:rFonts w:hint="eastAsia" w:ascii="宋体" w:hAnsi="宋体"/>
                <w:color w:val="A5A5A5"/>
              </w:rPr>
            </w:pPr>
            <w:r>
              <w:rPr>
                <w:rFonts w:hint="eastAsia" w:ascii="宋体" w:hAnsi="宋体"/>
                <w:color w:val="A5A5A5"/>
              </w:rPr>
              <w:t>&lt;/RetMsg&gt;</w:t>
            </w:r>
          </w:p>
          <w:p>
            <w:pPr>
              <w:widowControl w:val="0"/>
              <w:spacing w:line="276" w:lineRule="auto"/>
              <w:ind w:firstLine="840" w:firstLineChars="400"/>
              <w:jc w:val="both"/>
              <w:rPr>
                <w:rFonts w:hint="eastAsia" w:ascii="宋体" w:hAnsi="宋体"/>
              </w:rPr>
            </w:pPr>
            <w:r>
              <w:rPr>
                <w:rFonts w:ascii="宋体" w:hAnsi="宋体"/>
              </w:rPr>
              <w:t>]]&gt;</w:t>
            </w:r>
          </w:p>
          <w:p>
            <w:pPr>
              <w:widowControl w:val="0"/>
              <w:spacing w:line="276" w:lineRule="auto"/>
              <w:jc w:val="both"/>
              <w:rPr>
                <w:rFonts w:ascii="宋体" w:hAnsi="宋体"/>
              </w:rPr>
            </w:pPr>
            <w:r>
              <w:rPr>
                <w:rFonts w:ascii="宋体" w:hAnsi="宋体"/>
              </w:rPr>
              <w:t xml:space="preserve">    &lt;/ReturnValue&gt; </w:t>
            </w:r>
          </w:p>
          <w:p>
            <w:pPr>
              <w:widowControl w:val="0"/>
              <w:spacing w:line="276" w:lineRule="auto"/>
              <w:jc w:val="both"/>
              <w:rPr>
                <w:rFonts w:ascii="宋体" w:hAnsi="宋体"/>
              </w:rPr>
            </w:pPr>
            <w:r>
              <w:rPr>
                <w:rFonts w:ascii="宋体" w:hAnsi="宋体"/>
              </w:rPr>
              <w:t xml:space="preserve">  &lt;/ResponseInfo&gt; </w:t>
            </w:r>
          </w:p>
          <w:p>
            <w:pPr>
              <w:widowControl w:val="0"/>
              <w:spacing w:line="276" w:lineRule="auto"/>
              <w:jc w:val="both"/>
              <w:rPr>
                <w:rFonts w:hint="eastAsia" w:ascii="宋体" w:hAnsi="宋体"/>
              </w:rPr>
            </w:pPr>
            <w:r>
              <w:rPr>
                <w:rFonts w:ascii="宋体" w:hAnsi="宋体"/>
              </w:rPr>
              <w:t>&lt;/Root&gt;</w:t>
            </w:r>
          </w:p>
        </w:tc>
      </w:tr>
    </w:tbl>
    <w:p>
      <w:pPr>
        <w:rPr>
          <w:vanish/>
        </w:rPr>
      </w:pPr>
    </w:p>
    <w:p>
      <w:pPr>
        <w:rPr>
          <w:rFonts w:hint="eastAsia" w:ascii="宋体" w:hAnsi="宋体"/>
        </w:rPr>
      </w:pPr>
      <w:r>
        <w:rPr>
          <w:rFonts w:hint="eastAsia"/>
        </w:rPr>
        <w:t>注：</w:t>
      </w:r>
      <w:r>
        <w:rPr>
          <w:rFonts w:hint="eastAsia" w:ascii="宋体" w:hAnsi="宋体"/>
          <w:color w:val="A5A5A5"/>
        </w:rPr>
        <w:t>[正常情况返回提供方返回的值，异常情况返回错误消息]</w:t>
      </w:r>
      <w:r>
        <w:rPr>
          <w:rFonts w:hint="eastAsia" w:ascii="宋体" w:hAnsi="宋体"/>
        </w:rPr>
        <w:t>为占位符</w:t>
      </w:r>
    </w:p>
    <w:p>
      <w:pPr>
        <w:rPr>
          <w:rFonts w:hint="eastAsia"/>
        </w:rPr>
      </w:pPr>
    </w:p>
    <w:p>
      <w:pPr>
        <w:pStyle w:val="80"/>
        <w:numPr>
          <w:ilvl w:val="0"/>
          <w:numId w:val="39"/>
        </w:numPr>
        <w:ind w:firstLineChars="0"/>
        <w:rPr>
          <w:rFonts w:ascii="宋体" w:hAnsi="宋体"/>
          <w:b/>
        </w:rPr>
      </w:pPr>
      <w:r>
        <w:rPr>
          <w:rFonts w:hint="eastAsia" w:ascii="宋体" w:hAnsi="宋体"/>
          <w:b/>
        </w:rPr>
        <w:t>响应示例</w:t>
      </w:r>
      <w:r>
        <w:rPr>
          <w:rFonts w:hint="eastAsia" w:ascii="宋体" w:hAnsi="宋体"/>
          <w:b/>
          <w:bCs/>
          <w:color w:val="FF0000"/>
          <w:sz w:val="21"/>
          <w:szCs w:val="21"/>
          <w:lang w:val="en-US" w:eastAsia="zh-CN" w:bidi="ar-SA"/>
        </w:rPr>
        <w:t>（提供方是互联互通时）</w:t>
      </w:r>
      <w:r>
        <w:rPr>
          <w:rFonts w:hint="eastAsia" w:ascii="宋体" w:hAnsi="宋体"/>
          <w:b/>
        </w:rPr>
        <w:t>：</w:t>
      </w:r>
    </w:p>
    <w:tbl>
      <w:tblPr>
        <w:tblStyle w:val="43"/>
        <w:tblW w:w="847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
      <w:tblGrid>
        <w:gridCol w:w="8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108" w:type="dxa"/>
            <w:bottom w:w="0" w:type="dxa"/>
            <w:right w:w="108" w:type="dxa"/>
          </w:tblCellMar>
        </w:tblPrEx>
        <w:tc>
          <w:tcPr>
            <w:tcW w:w="8476" w:type="dxa"/>
            <w:shd w:val="clear" w:color="auto" w:fill="DEEAF6"/>
            <w:noWrap w:val="0"/>
            <w:vAlign w:val="top"/>
          </w:tcPr>
          <w:p>
            <w:pPr>
              <w:widowControl w:val="0"/>
              <w:spacing w:line="276" w:lineRule="auto"/>
              <w:jc w:val="both"/>
              <w:rPr>
                <w:rFonts w:ascii="宋体" w:hAnsi="宋体"/>
              </w:rPr>
            </w:pPr>
            <w:r>
              <w:rPr>
                <w:rFonts w:ascii="宋体" w:hAnsi="宋体"/>
              </w:rPr>
              <w:t xml:space="preserve">&lt;Root&gt;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&lt;Valid&gt;True&lt;/Valid&gt;  </w:t>
            </w:r>
          </w:p>
          <w:p>
            <w:pPr>
              <w:widowControl w:val="0"/>
              <w:spacing w:line="276" w:lineRule="auto"/>
              <w:jc w:val="both"/>
              <w:rPr>
                <w:rFonts w:ascii="宋体" w:hAnsi="宋体"/>
              </w:rPr>
            </w:pPr>
            <w:r>
              <w:rPr>
                <w:rFonts w:ascii="宋体" w:hAnsi="宋体"/>
              </w:rPr>
              <w:t xml:space="preserve">    &lt;FalidResponse/&gt; </w:t>
            </w:r>
          </w:p>
          <w:p>
            <w:pPr>
              <w:widowControl w:val="0"/>
              <w:spacing w:line="276" w:lineRule="auto"/>
              <w:jc w:val="both"/>
              <w:rPr>
                <w:rFonts w:ascii="宋体" w:hAnsi="宋体"/>
              </w:rPr>
            </w:pPr>
            <w:r>
              <w:rPr>
                <w:rFonts w:ascii="宋体" w:hAnsi="宋体"/>
              </w:rPr>
              <w:t xml:space="preserve">  &lt;/PramFormat&gt;  </w:t>
            </w:r>
          </w:p>
          <w:p>
            <w:pPr>
              <w:widowControl w:val="0"/>
              <w:spacing w:line="276" w:lineRule="auto"/>
              <w:jc w:val="both"/>
              <w:rPr>
                <w:rFonts w:ascii="宋体" w:hAnsi="宋体"/>
              </w:rPr>
            </w:pPr>
            <w:r>
              <w:rPr>
                <w:rFonts w:ascii="宋体" w:hAnsi="宋体"/>
              </w:rPr>
              <w:t xml:space="preserve">  &lt;Authenticate&gt;</w:t>
            </w:r>
            <w:r>
              <w:rPr>
                <w:rFonts w:hint="eastAsia" w:ascii="宋体" w:hAnsi="宋体"/>
              </w:rPr>
              <w:t>True</w:t>
            </w:r>
            <w:r>
              <w:rPr>
                <w:rFonts w:ascii="宋体" w:hAnsi="宋体"/>
              </w:rPr>
              <w:t xml:space="preserve">&lt;/Authenticate&gt;  </w:t>
            </w:r>
          </w:p>
          <w:p>
            <w:pPr>
              <w:widowControl w:val="0"/>
              <w:spacing w:line="276" w:lineRule="auto"/>
              <w:jc w:val="both"/>
              <w:rPr>
                <w:rFonts w:ascii="宋体" w:hAnsi="宋体"/>
              </w:rPr>
            </w:pPr>
            <w:r>
              <w:rPr>
                <w:rFonts w:ascii="宋体" w:hAnsi="宋体"/>
              </w:rPr>
              <w:t xml:space="preserve">  &lt;ValidRoute&gt;</w:t>
            </w:r>
            <w:r>
              <w:rPr>
                <w:rFonts w:hint="eastAsia" w:ascii="宋体" w:hAnsi="宋体"/>
              </w:rPr>
              <w:t>True</w:t>
            </w:r>
            <w:r>
              <w:rPr>
                <w:rFonts w:ascii="宋体" w:hAnsi="宋体"/>
              </w:rPr>
              <w:t xml:space="preserve">&lt;/ValidRoute&gt;  </w:t>
            </w:r>
          </w:p>
          <w:p>
            <w:pPr>
              <w:widowControl w:val="0"/>
              <w:spacing w:line="276" w:lineRule="auto"/>
              <w:jc w:val="both"/>
              <w:rPr>
                <w:rFonts w:hint="eastAsia" w:ascii="宋体" w:hAnsi="宋体"/>
              </w:rPr>
            </w:pPr>
            <w:r>
              <w:rPr>
                <w:rFonts w:ascii="宋体" w:hAnsi="宋体"/>
              </w:rPr>
              <w:t xml:space="preserve">  &lt;ResponseInfo&gt; </w:t>
            </w:r>
          </w:p>
          <w:p>
            <w:pPr>
              <w:widowControl w:val="0"/>
              <w:spacing w:line="276" w:lineRule="auto"/>
              <w:jc w:val="both"/>
              <w:rPr>
                <w:rFonts w:ascii="宋体" w:hAnsi="宋体"/>
              </w:rPr>
            </w:pPr>
            <w:r>
              <w:rPr>
                <w:rFonts w:ascii="宋体" w:hAnsi="宋体"/>
              </w:rPr>
              <w:t xml:space="preserve">    &lt;TargetSys&gt;</w:t>
            </w:r>
            <w:r>
              <w:rPr>
                <w:rFonts w:hint="eastAsia" w:ascii="宋体" w:hAnsi="宋体"/>
              </w:rPr>
              <w:t>HIS</w:t>
            </w:r>
            <w:r>
              <w:rPr>
                <w:rFonts w:ascii="宋体" w:hAnsi="宋体"/>
              </w:rPr>
              <w:t xml:space="preserve">&lt;/TargetSys&gt;  </w:t>
            </w:r>
          </w:p>
          <w:p>
            <w:pPr>
              <w:widowControl w:val="0"/>
              <w:spacing w:line="276" w:lineRule="auto"/>
              <w:jc w:val="both"/>
              <w:rPr>
                <w:rFonts w:ascii="宋体" w:hAnsi="宋体"/>
              </w:rPr>
            </w:pPr>
            <w:r>
              <w:rPr>
                <w:rFonts w:ascii="宋体" w:hAnsi="宋体"/>
              </w:rPr>
              <w:t xml:space="preserve">    &lt;SendCompletely&gt;</w:t>
            </w:r>
            <w:r>
              <w:rPr>
                <w:rFonts w:hint="eastAsia" w:ascii="宋体" w:hAnsi="宋体"/>
              </w:rPr>
              <w:t>True</w:t>
            </w:r>
            <w:r>
              <w:rPr>
                <w:rFonts w:ascii="宋体" w:hAnsi="宋体"/>
              </w:rPr>
              <w:t xml:space="preserve">&lt;/SendCompletely&gt;  </w:t>
            </w:r>
          </w:p>
          <w:p>
            <w:pPr>
              <w:widowControl w:val="0"/>
              <w:spacing w:line="276" w:lineRule="auto"/>
              <w:ind w:firstLine="420"/>
              <w:jc w:val="both"/>
              <w:rPr>
                <w:rFonts w:ascii="宋体" w:hAnsi="宋体"/>
              </w:rPr>
            </w:pPr>
            <w:r>
              <w:rPr>
                <w:rFonts w:ascii="宋体" w:hAnsi="宋体"/>
              </w:rPr>
              <w:t xml:space="preserve">&lt;ReturnValue&gt; </w:t>
            </w:r>
          </w:p>
          <w:p>
            <w:pPr>
              <w:widowControl w:val="0"/>
              <w:spacing w:line="276" w:lineRule="auto"/>
              <w:ind w:firstLine="630" w:firstLineChars="300"/>
              <w:jc w:val="both"/>
              <w:rPr>
                <w:rFonts w:hint="eastAsia" w:ascii="宋体" w:hAnsi="宋体"/>
              </w:rPr>
            </w:pPr>
            <w:r>
              <w:rPr>
                <w:rFonts w:hint="eastAsia" w:ascii="宋体" w:hAnsi="宋体"/>
              </w:rPr>
              <w:t>&lt;IsSucceed&gt;True&lt;/IsSucceed&gt;</w:t>
            </w:r>
          </w:p>
          <w:p>
            <w:pPr>
              <w:widowControl w:val="0"/>
              <w:spacing w:line="276" w:lineRule="auto"/>
              <w:jc w:val="both"/>
              <w:rPr>
                <w:rFonts w:hint="eastAsia" w:ascii="宋体" w:hAnsi="宋体"/>
              </w:rPr>
            </w:pPr>
            <w:r>
              <w:rPr>
                <w:rFonts w:ascii="宋体" w:hAnsi="宋体"/>
              </w:rPr>
              <w:t xml:space="preserve">      </w:t>
            </w:r>
            <w:r>
              <w:rPr>
                <w:rFonts w:hint="eastAsia" w:ascii="宋体" w:hAnsi="宋体"/>
              </w:rPr>
              <w:t>&lt;RetMsg&gt;</w:t>
            </w:r>
          </w:p>
          <w:p>
            <w:pPr>
              <w:widowControl w:val="0"/>
              <w:spacing w:line="276" w:lineRule="auto"/>
              <w:ind w:firstLine="1050" w:firstLineChars="500"/>
              <w:jc w:val="both"/>
              <w:rPr>
                <w:rFonts w:ascii="宋体" w:hAnsi="宋体"/>
              </w:rPr>
            </w:pPr>
            <w:r>
              <w:rPr>
                <w:rFonts w:ascii="宋体" w:hAnsi="宋体"/>
              </w:rPr>
              <w:t>&lt;![CDATA[</w:t>
            </w:r>
            <w:r>
              <w:rPr>
                <w:rFonts w:ascii="宋体" w:hAnsi="宋体"/>
                <w:color w:val="A5A5A5"/>
              </w:rPr>
              <w:t>[</w:t>
            </w:r>
            <w:r>
              <w:rPr>
                <w:rFonts w:hint="eastAsia" w:ascii="宋体" w:hAnsi="宋体"/>
                <w:color w:val="A5A5A5"/>
              </w:rPr>
              <w:t>正常情况返回提供方返回的值，异常情况返回错误消息</w:t>
            </w:r>
            <w:r>
              <w:rPr>
                <w:rFonts w:ascii="宋体" w:hAnsi="宋体"/>
                <w:color w:val="A5A5A5"/>
              </w:rPr>
              <w:t>]</w:t>
            </w:r>
            <w:r>
              <w:rPr>
                <w:rFonts w:ascii="宋体" w:hAnsi="宋体"/>
              </w:rPr>
              <w:t>]]&gt;</w:t>
            </w:r>
          </w:p>
          <w:p>
            <w:pPr>
              <w:widowControl w:val="0"/>
              <w:spacing w:line="276" w:lineRule="auto"/>
              <w:ind w:firstLine="630" w:firstLineChars="300"/>
              <w:jc w:val="both"/>
              <w:rPr>
                <w:rFonts w:hint="eastAsia" w:ascii="宋体" w:hAnsi="宋体"/>
              </w:rPr>
            </w:pPr>
            <w:r>
              <w:rPr>
                <w:rFonts w:hint="eastAsia" w:ascii="宋体" w:hAnsi="宋体"/>
              </w:rPr>
              <w:t>&lt;</w:t>
            </w:r>
            <w:r>
              <w:rPr>
                <w:rFonts w:hint="eastAsia" w:ascii="宋体" w:hAnsi="宋体"/>
                <w:lang w:val="en-US" w:eastAsia="zh-CN"/>
              </w:rPr>
              <w:t>/</w:t>
            </w:r>
            <w:r>
              <w:rPr>
                <w:rFonts w:hint="eastAsia" w:ascii="宋体" w:hAnsi="宋体"/>
              </w:rPr>
              <w:t>RetMsg&gt;</w:t>
            </w:r>
          </w:p>
          <w:p>
            <w:pPr>
              <w:widowControl w:val="0"/>
              <w:spacing w:line="276" w:lineRule="auto"/>
              <w:jc w:val="both"/>
              <w:rPr>
                <w:rFonts w:ascii="宋体" w:hAnsi="宋体"/>
              </w:rPr>
            </w:pPr>
            <w:r>
              <w:rPr>
                <w:rFonts w:ascii="宋体" w:hAnsi="宋体"/>
              </w:rPr>
              <w:t xml:space="preserve">    &lt;/ReturnValue&gt; </w:t>
            </w:r>
          </w:p>
          <w:p>
            <w:pPr>
              <w:widowControl w:val="0"/>
              <w:spacing w:line="276" w:lineRule="auto"/>
              <w:jc w:val="both"/>
              <w:rPr>
                <w:rFonts w:ascii="宋体" w:hAnsi="宋体"/>
              </w:rPr>
            </w:pPr>
            <w:r>
              <w:rPr>
                <w:rFonts w:ascii="宋体" w:hAnsi="宋体"/>
              </w:rPr>
              <w:t xml:space="preserve">  &lt;/ResponseInfo&gt; </w:t>
            </w:r>
          </w:p>
          <w:p>
            <w:pPr>
              <w:widowControl w:val="0"/>
              <w:spacing w:line="276" w:lineRule="auto"/>
              <w:jc w:val="both"/>
              <w:rPr>
                <w:rFonts w:hint="eastAsia" w:ascii="宋体" w:hAnsi="宋体"/>
              </w:rPr>
            </w:pPr>
            <w:r>
              <w:rPr>
                <w:rFonts w:ascii="宋体" w:hAnsi="宋体"/>
              </w:rPr>
              <w:t>&lt;/Root&gt;</w:t>
            </w:r>
          </w:p>
        </w:tc>
      </w:tr>
    </w:tbl>
    <w:p>
      <w:pPr>
        <w:rPr>
          <w:vanish/>
        </w:rPr>
      </w:pPr>
    </w:p>
    <w:p>
      <w:pPr>
        <w:rPr>
          <w:rFonts w:hint="eastAsia" w:ascii="宋体" w:hAnsi="宋体"/>
        </w:rPr>
      </w:pPr>
      <w:r>
        <w:rPr>
          <w:rFonts w:hint="eastAsia"/>
        </w:rPr>
        <w:t>注：</w:t>
      </w:r>
      <w:r>
        <w:rPr>
          <w:rFonts w:hint="eastAsia" w:ascii="宋体" w:hAnsi="宋体"/>
          <w:color w:val="A5A5A5"/>
        </w:rPr>
        <w:t>[正常情况返回提供方返回的值，异常情况返回错误消息]</w:t>
      </w:r>
      <w:r>
        <w:rPr>
          <w:rFonts w:hint="eastAsia" w:ascii="宋体" w:hAnsi="宋体"/>
        </w:rPr>
        <w:t>为占位符</w:t>
      </w:r>
    </w:p>
    <w:p>
      <w:pPr>
        <w:rPr>
          <w:rFonts w:hint="eastAsia" w:ascii="宋体" w:hAnsi="宋体"/>
        </w:rPr>
      </w:pPr>
    </w:p>
    <w:p>
      <w:pPr>
        <w:rPr>
          <w:rFonts w:hint="eastAsia"/>
        </w:rPr>
      </w:pPr>
    </w:p>
    <w:p>
      <w:pPr>
        <w:pStyle w:val="3"/>
        <w:numPr>
          <w:ilvl w:val="0"/>
          <w:numId w:val="33"/>
        </w:numPr>
        <w:rPr>
          <w:rFonts w:ascii="宋体" w:hAnsi="宋体"/>
        </w:rPr>
      </w:pPr>
      <w:r>
        <w:rPr>
          <w:rFonts w:hint="eastAsia" w:ascii="宋体" w:hAnsi="宋体"/>
        </w:rPr>
        <w:t>HSB消息服务代码示例</w:t>
      </w:r>
    </w:p>
    <w:p>
      <w:pPr>
        <w:pStyle w:val="4"/>
        <w:numPr>
          <w:ilvl w:val="0"/>
          <w:numId w:val="0"/>
        </w:numPr>
        <w:ind w:left="576" w:hanging="576"/>
        <w:rPr>
          <w:rFonts w:hint="eastAsia" w:ascii="宋体" w:hAnsi="宋体"/>
          <w:i w:val="0"/>
        </w:rPr>
      </w:pPr>
      <w:r>
        <w:rPr>
          <w:rFonts w:hint="eastAsia" w:ascii="宋体" w:hAnsi="宋体"/>
          <w:i w:val="0"/>
        </w:rPr>
        <w:t xml:space="preserve">4.1 </w:t>
      </w:r>
      <w:r>
        <w:rPr>
          <w:rFonts w:ascii="宋体" w:hAnsi="宋体"/>
          <w:i w:val="0"/>
        </w:rPr>
        <w:t>消费方调用</w:t>
      </w:r>
    </w:p>
    <w:p>
      <w:pPr>
        <w:pStyle w:val="5"/>
        <w:numPr>
          <w:ilvl w:val="0"/>
          <w:numId w:val="0"/>
        </w:numPr>
        <w:rPr>
          <w:rFonts w:hint="eastAsia" w:ascii="宋体" w:hAnsi="宋体"/>
        </w:rPr>
      </w:pPr>
      <w:r>
        <w:rPr>
          <w:rFonts w:hint="eastAsia" w:ascii="宋体" w:hAnsi="宋体"/>
        </w:rPr>
        <w:t>4.1.1 .Net FrameWork</w:t>
      </w:r>
    </w:p>
    <w:p>
      <w:r>
        <w:rPr>
          <w:rFonts w:hint="eastAsia"/>
        </w:rPr>
        <w:t>例如引用服务URL：</w:t>
      </w:r>
      <w:r>
        <w:fldChar w:fldCharType="begin"/>
      </w:r>
      <w:r>
        <w:instrText xml:space="preserve"> HYPERLINK "</w:instrText>
      </w:r>
      <w:r>
        <w:rPr>
          <w:rFonts w:hint="eastAsia"/>
        </w:rPr>
        <w:instrText xml:space="preserve">http://192.168.0.62:7010/WebMsgReceiver.asmx</w:instrText>
      </w:r>
      <w:r>
        <w:instrText xml:space="preserve">" </w:instrText>
      </w:r>
      <w:r>
        <w:fldChar w:fldCharType="separate"/>
      </w:r>
      <w:r>
        <w:rPr>
          <w:rStyle w:val="48"/>
          <w:rFonts w:hint="eastAsia"/>
        </w:rPr>
        <w:t>http://192.168.0.62:7010/WebMsgReceiver.asmx</w:t>
      </w:r>
      <w:r>
        <w:fldChar w:fldCharType="end"/>
      </w:r>
    </w:p>
    <w:p>
      <w:pPr>
        <w:rPr>
          <w:rFonts w:hint="eastAsia"/>
        </w:rPr>
      </w:pPr>
      <w:r>
        <w:rPr>
          <w:rFonts w:hint="eastAsia"/>
        </w:rPr>
        <w:t>使用</w:t>
      </w:r>
      <w:r>
        <w:t>Visual Studio</w:t>
      </w:r>
      <w:r>
        <w:rPr>
          <w:rFonts w:hint="eastAsia"/>
        </w:rPr>
        <w:t>新建项目后如下图引用H</w:t>
      </w:r>
      <w:r>
        <w:t>SB</w:t>
      </w:r>
      <w:r>
        <w:rPr>
          <w:rFonts w:hint="eastAsia"/>
        </w:rPr>
        <w:t>服务。</w:t>
      </w:r>
    </w:p>
    <w:p>
      <w:pPr>
        <w:rPr>
          <w:rFonts w:hint="eastAsia"/>
        </w:rPr>
      </w:pPr>
      <w:r>
        <w:drawing>
          <wp:inline distT="0" distB="0" distL="114300" distR="114300">
            <wp:extent cx="5271770" cy="4869815"/>
            <wp:effectExtent l="0" t="0" r="127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770" cy="4869815"/>
                    </a:xfrm>
                    <a:prstGeom prst="rect">
                      <a:avLst/>
                    </a:prstGeom>
                    <a:noFill/>
                    <a:ln>
                      <a:noFill/>
                    </a:ln>
                  </pic:spPr>
                </pic:pic>
              </a:graphicData>
            </a:graphic>
          </wp:inline>
        </w:drawing>
      </w:r>
    </w:p>
    <w:p>
      <w:r>
        <w:rPr>
          <w:rFonts w:hint="eastAsia"/>
        </w:rPr>
        <w:t>调用如下：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noWrap w:val="0"/>
            <w:vAlign w:val="top"/>
          </w:tcPr>
          <w:p>
            <w:pPr>
              <w:widowControl w:val="0"/>
              <w:rPr>
                <w:rFonts w:hint="eastAsia" w:ascii="新宋体" w:hAnsi="新宋体" w:eastAsia="新宋体"/>
                <w:color w:val="000000"/>
                <w:sz w:val="18"/>
                <w:szCs w:val="18"/>
                <w:highlight w:val="white"/>
              </w:rPr>
            </w:pPr>
            <w:r>
              <w:rPr>
                <w:rFonts w:hint="eastAsia" w:ascii="新宋体" w:hAnsi="新宋体" w:eastAsia="新宋体"/>
                <w:color w:val="0000FF"/>
                <w:sz w:val="18"/>
                <w:szCs w:val="18"/>
                <w:highlight w:val="white"/>
              </w:rPr>
              <w:t>static</w:t>
            </w:r>
            <w:r>
              <w:rPr>
                <w:rFonts w:hint="eastAsia" w:ascii="新宋体" w:hAnsi="新宋体" w:eastAsia="新宋体"/>
                <w:color w:val="000000"/>
                <w:sz w:val="18"/>
                <w:szCs w:val="18"/>
                <w:highlight w:val="white"/>
              </w:rPr>
              <w:t xml:space="preserve"> </w:t>
            </w:r>
            <w:r>
              <w:rPr>
                <w:rFonts w:hint="eastAsia" w:ascii="新宋体" w:hAnsi="新宋体" w:eastAsia="新宋体"/>
                <w:color w:val="0000FF"/>
                <w:sz w:val="18"/>
                <w:szCs w:val="18"/>
                <w:highlight w:val="white"/>
              </w:rPr>
              <w:t>void</w:t>
            </w:r>
            <w:r>
              <w:rPr>
                <w:rFonts w:hint="eastAsia" w:ascii="新宋体" w:hAnsi="新宋体" w:eastAsia="新宋体"/>
                <w:color w:val="000000"/>
                <w:sz w:val="18"/>
                <w:szCs w:val="18"/>
                <w:highlight w:val="white"/>
              </w:rPr>
              <w:t xml:space="preserve"> Main(</w:t>
            </w:r>
            <w:r>
              <w:rPr>
                <w:rFonts w:hint="eastAsia" w:ascii="新宋体" w:hAnsi="新宋体" w:eastAsia="新宋体"/>
                <w:color w:val="0000FF"/>
                <w:sz w:val="18"/>
                <w:szCs w:val="18"/>
                <w:highlight w:val="white"/>
              </w:rPr>
              <w:t>string</w:t>
            </w:r>
            <w:r>
              <w:rPr>
                <w:rFonts w:hint="eastAsia" w:ascii="新宋体" w:hAnsi="新宋体" w:eastAsia="新宋体"/>
                <w:color w:val="000000"/>
                <w:sz w:val="18"/>
                <w:szCs w:val="18"/>
                <w:highlight w:val="white"/>
              </w:rPr>
              <w:t>[] args)</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 xml:space="preserve">    </w:t>
            </w:r>
            <w:r>
              <w:rPr>
                <w:rFonts w:hint="eastAsia" w:ascii="新宋体" w:hAnsi="新宋体" w:eastAsia="新宋体"/>
                <w:color w:val="0000FF"/>
                <w:sz w:val="18"/>
                <w:szCs w:val="18"/>
                <w:highlight w:val="white"/>
              </w:rPr>
              <w:t>string</w:t>
            </w:r>
            <w:r>
              <w:rPr>
                <w:rFonts w:hint="eastAsia" w:ascii="新宋体" w:hAnsi="新宋体" w:eastAsia="新宋体"/>
                <w:color w:val="000000"/>
                <w:sz w:val="18"/>
                <w:szCs w:val="18"/>
                <w:highlight w:val="white"/>
              </w:rPr>
              <w:t xml:space="preserve"> paramCount = </w:t>
            </w:r>
            <w:r>
              <w:rPr>
                <w:rFonts w:hint="eastAsia" w:ascii="新宋体" w:hAnsi="新宋体" w:eastAsia="新宋体"/>
                <w:color w:val="A31515"/>
                <w:sz w:val="18"/>
                <w:szCs w:val="18"/>
                <w:highlight w:val="white"/>
              </w:rPr>
              <w:t>"&lt;HSBEnvelope&gt;&lt;Header&gt;&lt;SysCode&gt;2&lt;/SysCode&gt;&lt;MsgType&gt;3445&lt;/MsgType&gt;&lt;/Header&gt;&lt;Body&gt;&lt;MsgContent&gt;&lt;InParam&gt;&lt;myid&gt;39317&lt;/myid&gt;&lt;data&gt;11111&lt;/data&gt;&lt;/InParam&gt;&lt;/MsgContent&gt;&lt;/Body&gt;&lt;/HSBEnvelope&gt;"</w:t>
            </w:r>
            <w:r>
              <w:rPr>
                <w:rFonts w:hint="eastAsia" w:ascii="新宋体" w:hAnsi="新宋体" w:eastAsia="新宋体"/>
                <w:color w:val="000000"/>
                <w:sz w:val="18"/>
                <w:szCs w:val="18"/>
                <w:highlight w:val="white"/>
              </w:rPr>
              <w:t>;</w:t>
            </w:r>
            <w:r>
              <w:rPr>
                <w:rFonts w:hint="eastAsia" w:ascii="宋体" w:hAnsi="宋体"/>
                <w:color w:val="70AD47"/>
                <w:sz w:val="18"/>
                <w:szCs w:val="18"/>
                <w:highlight w:val="white"/>
              </w:rPr>
              <w:t>//</w:t>
            </w:r>
            <w:r>
              <w:rPr>
                <w:rFonts w:ascii="宋体" w:hAnsi="宋体"/>
                <w:color w:val="70AD47"/>
                <w:sz w:val="18"/>
                <w:szCs w:val="18"/>
                <w:highlight w:val="white"/>
              </w:rPr>
              <w:t xml:space="preserve"> </w:t>
            </w:r>
            <w:r>
              <w:rPr>
                <w:rFonts w:hint="eastAsia" w:ascii="宋体" w:hAnsi="宋体"/>
                <w:color w:val="70AD47"/>
                <w:sz w:val="18"/>
                <w:szCs w:val="18"/>
                <w:highlight w:val="white"/>
              </w:rPr>
              <w:t>请求参数，请</w:t>
            </w:r>
            <w:r>
              <w:rPr>
                <w:sz w:val="18"/>
                <w:szCs w:val="18"/>
                <w:highlight w:val="white"/>
              </w:rPr>
              <w:fldChar w:fldCharType="begin"/>
            </w:r>
            <w:r>
              <w:rPr>
                <w:rStyle w:val="48"/>
                <w:sz w:val="18"/>
                <w:szCs w:val="18"/>
                <w:highlight w:val="white"/>
              </w:rPr>
              <w:instrText xml:space="preserve">HYPERLINK  \l "_3.3_消息类型说明"</w:instrText>
            </w:r>
            <w:r>
              <w:rPr>
                <w:sz w:val="18"/>
                <w:szCs w:val="18"/>
                <w:highlight w:val="white"/>
              </w:rPr>
              <w:fldChar w:fldCharType="separate"/>
            </w:r>
            <w:r>
              <w:rPr>
                <w:rStyle w:val="48"/>
                <w:rFonts w:hint="eastAsia" w:ascii="宋体" w:hAnsi="宋体"/>
                <w:sz w:val="18"/>
                <w:szCs w:val="18"/>
                <w:highlight w:val="white"/>
              </w:rPr>
              <w:t>参考3</w:t>
            </w:r>
            <w:r>
              <w:rPr>
                <w:rStyle w:val="48"/>
                <w:rFonts w:ascii="宋体" w:hAnsi="宋体"/>
                <w:sz w:val="18"/>
                <w:szCs w:val="18"/>
                <w:highlight w:val="white"/>
              </w:rPr>
              <w:t>.3</w:t>
            </w:r>
            <w:r>
              <w:rPr>
                <w:rStyle w:val="48"/>
                <w:rFonts w:hint="eastAsia" w:ascii="宋体" w:hAnsi="宋体"/>
                <w:sz w:val="18"/>
                <w:szCs w:val="18"/>
                <w:highlight w:val="white"/>
              </w:rPr>
              <w:t>消息类型说明</w:t>
            </w:r>
            <w:r>
              <w:rPr>
                <w:sz w:val="18"/>
                <w:szCs w:val="18"/>
                <w:highlight w:val="white"/>
              </w:rPr>
              <w:fldChar w:fldCharType="end"/>
            </w:r>
            <w:r>
              <w:rPr>
                <w:rFonts w:hint="eastAsia" w:ascii="宋体" w:hAnsi="宋体"/>
                <w:color w:val="70AD47"/>
                <w:sz w:val="18"/>
                <w:szCs w:val="18"/>
              </w:rPr>
              <w:t>请求结构</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 xml:space="preserve">    ServiceReference1.</w:t>
            </w:r>
            <w:r>
              <w:rPr>
                <w:rFonts w:hint="eastAsia" w:ascii="新宋体" w:hAnsi="新宋体" w:eastAsia="新宋体"/>
                <w:color w:val="2B91AF"/>
                <w:sz w:val="18"/>
                <w:szCs w:val="18"/>
                <w:highlight w:val="white"/>
              </w:rPr>
              <w:t>WebMsgReceiverSoapClient</w:t>
            </w:r>
            <w:r>
              <w:rPr>
                <w:rFonts w:hint="eastAsia" w:ascii="新宋体" w:hAnsi="新宋体" w:eastAsia="新宋体"/>
                <w:color w:val="000000"/>
                <w:sz w:val="18"/>
                <w:szCs w:val="18"/>
                <w:highlight w:val="white"/>
              </w:rPr>
              <w:t xml:space="preserve"> client = </w:t>
            </w:r>
            <w:r>
              <w:rPr>
                <w:rFonts w:hint="eastAsia" w:ascii="新宋体" w:hAnsi="新宋体" w:eastAsia="新宋体"/>
                <w:color w:val="0000FF"/>
                <w:sz w:val="18"/>
                <w:szCs w:val="18"/>
                <w:highlight w:val="white"/>
              </w:rPr>
              <w:t>new</w:t>
            </w:r>
            <w:r>
              <w:rPr>
                <w:rFonts w:hint="eastAsia" w:ascii="新宋体" w:hAnsi="新宋体" w:eastAsia="新宋体"/>
                <w:color w:val="000000"/>
                <w:sz w:val="18"/>
                <w:szCs w:val="18"/>
                <w:highlight w:val="white"/>
              </w:rPr>
              <w:t xml:space="preserve"> ServiceReference1.</w:t>
            </w:r>
            <w:r>
              <w:rPr>
                <w:rFonts w:hint="eastAsia" w:ascii="新宋体" w:hAnsi="新宋体" w:eastAsia="新宋体"/>
                <w:color w:val="2B91AF"/>
                <w:sz w:val="18"/>
                <w:szCs w:val="18"/>
                <w:highlight w:val="white"/>
              </w:rPr>
              <w:t>WebMsgReceiverSoapClient</w:t>
            </w:r>
            <w:r>
              <w:rPr>
                <w:rFonts w:hint="eastAsia" w:ascii="新宋体" w:hAnsi="新宋体" w:eastAsia="新宋体"/>
                <w:color w:val="000000"/>
                <w:sz w:val="18"/>
                <w:szCs w:val="18"/>
                <w:highlight w:val="white"/>
              </w:rPr>
              <w:t>();</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 xml:space="preserve">    ServiceReference1.</w:t>
            </w:r>
            <w:r>
              <w:rPr>
                <w:rFonts w:hint="eastAsia" w:ascii="新宋体" w:hAnsi="新宋体" w:eastAsia="新宋体"/>
                <w:color w:val="2B91AF"/>
                <w:sz w:val="18"/>
                <w:szCs w:val="18"/>
                <w:highlight w:val="white"/>
              </w:rPr>
              <w:t>MyHeader</w:t>
            </w:r>
            <w:r>
              <w:rPr>
                <w:rFonts w:hint="eastAsia" w:ascii="新宋体" w:hAnsi="新宋体" w:eastAsia="新宋体"/>
                <w:color w:val="000000"/>
                <w:sz w:val="18"/>
                <w:szCs w:val="18"/>
                <w:highlight w:val="white"/>
              </w:rPr>
              <w:t xml:space="preserve"> myHeader = </w:t>
            </w:r>
            <w:r>
              <w:rPr>
                <w:rFonts w:hint="eastAsia" w:ascii="新宋体" w:hAnsi="新宋体" w:eastAsia="新宋体"/>
                <w:color w:val="0000FF"/>
                <w:sz w:val="18"/>
                <w:szCs w:val="18"/>
                <w:highlight w:val="white"/>
              </w:rPr>
              <w:t>new</w:t>
            </w:r>
            <w:r>
              <w:rPr>
                <w:rFonts w:hint="eastAsia" w:ascii="新宋体" w:hAnsi="新宋体" w:eastAsia="新宋体"/>
                <w:color w:val="000000"/>
                <w:sz w:val="18"/>
                <w:szCs w:val="18"/>
                <w:highlight w:val="white"/>
              </w:rPr>
              <w:t xml:space="preserve"> ServiceReference1.</w:t>
            </w:r>
            <w:r>
              <w:rPr>
                <w:rFonts w:hint="eastAsia" w:ascii="新宋体" w:hAnsi="新宋体" w:eastAsia="新宋体"/>
                <w:color w:val="2B91AF"/>
                <w:sz w:val="18"/>
                <w:szCs w:val="18"/>
                <w:highlight w:val="white"/>
              </w:rPr>
              <w:t>MyHeader</w:t>
            </w:r>
            <w:r>
              <w:rPr>
                <w:rFonts w:hint="eastAsia" w:ascii="新宋体" w:hAnsi="新宋体" w:eastAsia="新宋体"/>
                <w:color w:val="000000"/>
                <w:sz w:val="18"/>
                <w:szCs w:val="18"/>
                <w:highlight w:val="white"/>
              </w:rPr>
              <w:t>();</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 xml:space="preserve">    myHeader.Sign = </w:t>
            </w:r>
            <w:r>
              <w:rPr>
                <w:rFonts w:hint="eastAsia" w:ascii="新宋体" w:hAnsi="新宋体" w:eastAsia="新宋体"/>
                <w:color w:val="A31515"/>
                <w:sz w:val="18"/>
                <w:szCs w:val="18"/>
                <w:highlight w:val="white"/>
              </w:rPr>
              <w:t>"签名串"</w:t>
            </w:r>
            <w:r>
              <w:rPr>
                <w:rFonts w:hint="eastAsia" w:ascii="新宋体" w:hAnsi="新宋体" w:eastAsia="新宋体"/>
                <w:color w:val="000000"/>
                <w:sz w:val="18"/>
                <w:szCs w:val="18"/>
                <w:highlight w:val="white"/>
              </w:rPr>
              <w:t>;</w:t>
            </w:r>
            <w:r>
              <w:rPr>
                <w:rFonts w:hint="eastAsia" w:ascii="宋体" w:hAnsi="宋体"/>
                <w:color w:val="70AD47"/>
                <w:sz w:val="18"/>
                <w:szCs w:val="18"/>
                <w:highlight w:val="white"/>
              </w:rPr>
              <w:t>//</w:t>
            </w:r>
            <w:r>
              <w:rPr>
                <w:rFonts w:hint="eastAsia" w:ascii="宋体" w:hAnsi="宋体"/>
                <w:color w:val="70AD47"/>
                <w:sz w:val="18"/>
                <w:szCs w:val="18"/>
              </w:rPr>
              <w:t>系统搭建时配置通过明码验证时不需要，通过签名验证时需要。请参考</w:t>
            </w:r>
            <w:r>
              <w:rPr>
                <w:rFonts w:ascii="宋体" w:hAnsi="宋体"/>
                <w:color w:val="70AD47"/>
                <w:sz w:val="18"/>
                <w:szCs w:val="18"/>
                <w:highlight w:val="white"/>
              </w:rPr>
              <w:t xml:space="preserve"> </w:t>
            </w:r>
            <w:r>
              <w:rPr>
                <w:rFonts w:hint="eastAsia" w:ascii="宋体" w:hAnsi="宋体"/>
                <w:color w:val="70AD47"/>
                <w:sz w:val="18"/>
                <w:szCs w:val="18"/>
                <w:highlight w:val="white"/>
              </w:rPr>
              <w:t>签名串请</w:t>
            </w:r>
            <w:r>
              <w:rPr>
                <w:rFonts w:ascii="宋体" w:hAnsi="宋体"/>
                <w:color w:val="70AD47"/>
                <w:sz w:val="18"/>
                <w:szCs w:val="18"/>
                <w:highlight w:val="white"/>
              </w:rPr>
              <w:fldChar w:fldCharType="begin"/>
            </w:r>
            <w:r>
              <w:rPr>
                <w:rFonts w:ascii="宋体" w:hAnsi="宋体"/>
                <w:color w:val="70AD47"/>
                <w:sz w:val="18"/>
                <w:szCs w:val="18"/>
                <w:highlight w:val="white"/>
              </w:rPr>
              <w:instrText xml:space="preserve"> HYPERLINK  \l "_2.1_签名逻辑" </w:instrText>
            </w:r>
            <w:r>
              <w:rPr>
                <w:rFonts w:ascii="宋体" w:hAnsi="宋体"/>
                <w:color w:val="70AD47"/>
                <w:sz w:val="18"/>
                <w:szCs w:val="18"/>
                <w:highlight w:val="white"/>
              </w:rPr>
              <w:fldChar w:fldCharType="separate"/>
            </w:r>
            <w:r>
              <w:rPr>
                <w:rStyle w:val="48"/>
                <w:rFonts w:hint="eastAsia" w:ascii="宋体" w:hAnsi="宋体"/>
                <w:sz w:val="18"/>
                <w:szCs w:val="18"/>
                <w:highlight w:val="white"/>
              </w:rPr>
              <w:t>参考2.1 签名逻辑</w:t>
            </w:r>
            <w:r>
              <w:rPr>
                <w:rFonts w:ascii="宋体" w:hAnsi="宋体"/>
                <w:color w:val="70AD47"/>
                <w:sz w:val="18"/>
                <w:szCs w:val="18"/>
                <w:highlight w:val="white"/>
              </w:rPr>
              <w:fldChar w:fldCharType="end"/>
            </w:r>
            <w:r>
              <w:rPr>
                <w:rFonts w:hint="eastAsia" w:ascii="宋体" w:hAnsi="宋体"/>
                <w:color w:val="70AD47"/>
                <w:sz w:val="18"/>
                <w:szCs w:val="18"/>
                <w:highlight w:val="white"/>
              </w:rPr>
              <w:t>生成签名串</w:t>
            </w:r>
          </w:p>
          <w:p>
            <w:pPr>
              <w:widowControl w:val="0"/>
              <w:rPr>
                <w:rFonts w:hint="eastAsia" w:ascii="新宋体" w:hAnsi="新宋体" w:eastAsia="新宋体"/>
                <w:color w:val="000000"/>
                <w:sz w:val="18"/>
                <w:szCs w:val="18"/>
                <w:highlight w:val="white"/>
              </w:rPr>
            </w:pPr>
            <w:r>
              <w:rPr>
                <w:rFonts w:hint="eastAsia" w:ascii="新宋体" w:hAnsi="新宋体" w:eastAsia="新宋体"/>
                <w:color w:val="000000"/>
                <w:sz w:val="18"/>
                <w:szCs w:val="18"/>
                <w:highlight w:val="white"/>
              </w:rPr>
              <w:t xml:space="preserve">    </w:t>
            </w:r>
            <w:r>
              <w:rPr>
                <w:rFonts w:hint="eastAsia" w:ascii="新宋体" w:hAnsi="新宋体" w:eastAsia="新宋体"/>
                <w:color w:val="0000FF"/>
                <w:sz w:val="18"/>
                <w:szCs w:val="18"/>
                <w:highlight w:val="white"/>
              </w:rPr>
              <w:t>string</w:t>
            </w:r>
            <w:r>
              <w:rPr>
                <w:rFonts w:hint="eastAsia" w:ascii="新宋体" w:hAnsi="新宋体" w:eastAsia="新宋体"/>
                <w:color w:val="000000"/>
                <w:sz w:val="18"/>
                <w:szCs w:val="18"/>
                <w:highlight w:val="white"/>
              </w:rPr>
              <w:t xml:space="preserve"> msg = client.ConsumeXmlMsg(myHeader, paramCount);</w:t>
            </w:r>
            <w:r>
              <w:rPr>
                <w:rFonts w:hint="eastAsia" w:ascii="宋体" w:hAnsi="宋体"/>
                <w:color w:val="70AD47"/>
                <w:sz w:val="18"/>
                <w:szCs w:val="18"/>
                <w:highlight w:val="white"/>
              </w:rPr>
              <w:t xml:space="preserve"> //</w:t>
            </w:r>
            <w:r>
              <w:rPr>
                <w:rFonts w:ascii="宋体" w:hAnsi="宋体"/>
                <w:color w:val="70AD47"/>
                <w:sz w:val="18"/>
                <w:szCs w:val="18"/>
                <w:highlight w:val="white"/>
              </w:rPr>
              <w:t xml:space="preserve"> </w:t>
            </w:r>
            <w:r>
              <w:rPr>
                <w:rFonts w:hint="eastAsia" w:ascii="宋体" w:hAnsi="宋体"/>
                <w:color w:val="70AD47"/>
                <w:sz w:val="18"/>
                <w:szCs w:val="18"/>
                <w:highlight w:val="white"/>
              </w:rPr>
              <w:t>返回结果，请</w:t>
            </w:r>
            <w:r>
              <w:rPr>
                <w:sz w:val="18"/>
                <w:szCs w:val="18"/>
                <w:highlight w:val="white"/>
              </w:rPr>
              <w:fldChar w:fldCharType="begin"/>
            </w:r>
            <w:r>
              <w:rPr>
                <w:rStyle w:val="48"/>
                <w:sz w:val="18"/>
                <w:szCs w:val="18"/>
                <w:highlight w:val="white"/>
              </w:rPr>
              <w:instrText xml:space="preserve">HYPERLINK  \l "_3.3_消息类型说明"</w:instrText>
            </w:r>
            <w:r>
              <w:rPr>
                <w:sz w:val="18"/>
                <w:szCs w:val="18"/>
                <w:highlight w:val="white"/>
              </w:rPr>
              <w:fldChar w:fldCharType="separate"/>
            </w:r>
            <w:r>
              <w:rPr>
                <w:rStyle w:val="48"/>
                <w:rFonts w:hint="eastAsia" w:ascii="宋体" w:hAnsi="宋体"/>
                <w:sz w:val="18"/>
                <w:szCs w:val="18"/>
                <w:highlight w:val="white"/>
              </w:rPr>
              <w:t>参考3</w:t>
            </w:r>
            <w:r>
              <w:rPr>
                <w:rStyle w:val="48"/>
                <w:rFonts w:ascii="宋体" w:hAnsi="宋体"/>
                <w:sz w:val="18"/>
                <w:szCs w:val="18"/>
                <w:highlight w:val="white"/>
              </w:rPr>
              <w:t>.3</w:t>
            </w:r>
            <w:r>
              <w:rPr>
                <w:rStyle w:val="48"/>
                <w:rFonts w:hint="eastAsia" w:ascii="宋体" w:hAnsi="宋体"/>
                <w:sz w:val="18"/>
                <w:szCs w:val="18"/>
                <w:highlight w:val="white"/>
              </w:rPr>
              <w:t>消息类型说明</w:t>
            </w:r>
            <w:r>
              <w:rPr>
                <w:sz w:val="18"/>
                <w:szCs w:val="18"/>
                <w:highlight w:val="white"/>
              </w:rPr>
              <w:fldChar w:fldCharType="end"/>
            </w:r>
            <w:r>
              <w:rPr>
                <w:rFonts w:hint="eastAsia" w:ascii="宋体" w:hAnsi="宋体"/>
                <w:color w:val="70AD47"/>
                <w:sz w:val="18"/>
                <w:szCs w:val="18"/>
              </w:rPr>
              <w:t>返回结构</w:t>
            </w:r>
          </w:p>
          <w:p>
            <w:pPr>
              <w:widowControl w:val="0"/>
              <w:jc w:val="both"/>
              <w:rPr>
                <w:rFonts w:hint="eastAsia"/>
              </w:rPr>
            </w:pPr>
            <w:r>
              <w:rPr>
                <w:rFonts w:hint="eastAsia" w:ascii="新宋体" w:hAnsi="新宋体" w:eastAsia="新宋体"/>
                <w:color w:val="000000"/>
                <w:sz w:val="18"/>
                <w:szCs w:val="18"/>
                <w:highlight w:val="white"/>
              </w:rPr>
              <w:t>}</w:t>
            </w:r>
          </w:p>
        </w:tc>
      </w:tr>
    </w:tbl>
    <w:p>
      <w:pPr>
        <w:pStyle w:val="5"/>
        <w:numPr>
          <w:ilvl w:val="0"/>
          <w:numId w:val="0"/>
        </w:numPr>
        <w:rPr>
          <w:rFonts w:hint="eastAsia" w:ascii="宋体" w:hAnsi="宋体"/>
        </w:rPr>
      </w:pPr>
      <w:r>
        <w:rPr>
          <w:rFonts w:hint="eastAsia" w:ascii="宋体" w:hAnsi="宋体"/>
        </w:rPr>
        <w:t xml:space="preserve">4.1.2 .Net Core </w:t>
      </w:r>
    </w:p>
    <w:p>
      <w:r>
        <w:rPr>
          <w:rFonts w:hint="eastAsia"/>
        </w:rPr>
        <w:t>无</w:t>
      </w:r>
    </w:p>
    <w:p>
      <w:pPr>
        <w:pStyle w:val="5"/>
        <w:numPr>
          <w:ilvl w:val="0"/>
          <w:numId w:val="0"/>
        </w:numPr>
        <w:rPr>
          <w:rFonts w:ascii="宋体" w:hAnsi="宋体"/>
        </w:rPr>
      </w:pPr>
      <w:r>
        <w:rPr>
          <w:rFonts w:hint="eastAsia" w:ascii="宋体" w:hAnsi="宋体"/>
        </w:rPr>
        <w:t>4.1.3 Java</w:t>
      </w:r>
    </w:p>
    <w:p>
      <w:pPr>
        <w:rPr>
          <w:rFonts w:hint="eastAsia"/>
        </w:rPr>
      </w:pPr>
      <w:r>
        <w:rPr>
          <w:rFonts w:hint="eastAsia"/>
        </w:rPr>
        <w:t>无</w:t>
      </w:r>
    </w:p>
    <w:p>
      <w:pPr>
        <w:pStyle w:val="4"/>
        <w:numPr>
          <w:ilvl w:val="0"/>
          <w:numId w:val="0"/>
        </w:numPr>
        <w:ind w:left="576" w:hanging="576"/>
        <w:rPr>
          <w:rFonts w:hint="eastAsia" w:ascii="宋体" w:hAnsi="宋体"/>
          <w:i w:val="0"/>
        </w:rPr>
      </w:pPr>
      <w:r>
        <w:rPr>
          <w:rFonts w:hint="eastAsia" w:ascii="宋体" w:hAnsi="宋体"/>
          <w:i w:val="0"/>
        </w:rPr>
        <w:t>4.</w:t>
      </w:r>
      <w:r>
        <w:rPr>
          <w:rFonts w:hint="eastAsia" w:ascii="宋体" w:hAnsi="宋体"/>
          <w:i w:val="0"/>
          <w:lang w:val="en-US" w:eastAsia="zh-CN"/>
        </w:rPr>
        <w:t>2</w:t>
      </w:r>
      <w:r>
        <w:rPr>
          <w:rFonts w:hint="eastAsia" w:ascii="宋体" w:hAnsi="宋体"/>
          <w:i w:val="0"/>
        </w:rPr>
        <w:t xml:space="preserve"> 提供</w:t>
      </w:r>
      <w:r>
        <w:rPr>
          <w:rFonts w:ascii="宋体" w:hAnsi="宋体"/>
          <w:i w:val="0"/>
        </w:rPr>
        <w:t>方</w:t>
      </w:r>
      <w:r>
        <w:rPr>
          <w:rFonts w:hint="eastAsia" w:ascii="宋体" w:hAnsi="宋体"/>
          <w:i w:val="0"/>
        </w:rPr>
        <w:t>服务</w:t>
      </w:r>
    </w:p>
    <w:p>
      <w:pPr>
        <w:pStyle w:val="5"/>
        <w:numPr>
          <w:ilvl w:val="0"/>
          <w:numId w:val="0"/>
        </w:numPr>
        <w:rPr>
          <w:rFonts w:ascii="宋体" w:hAnsi="宋体"/>
        </w:rPr>
      </w:pPr>
      <w:r>
        <w:rPr>
          <w:rFonts w:hint="eastAsia" w:ascii="宋体" w:hAnsi="宋体"/>
        </w:rPr>
        <w:t>4.</w:t>
      </w:r>
      <w:r>
        <w:rPr>
          <w:rFonts w:hint="eastAsia" w:ascii="宋体" w:hAnsi="宋体"/>
          <w:lang w:val="en-US" w:eastAsia="zh-CN"/>
        </w:rPr>
        <w:t>2</w:t>
      </w:r>
      <w:r>
        <w:rPr>
          <w:rFonts w:hint="eastAsia" w:ascii="宋体" w:hAnsi="宋体"/>
        </w:rPr>
        <w:t>.1 .Net FrameWork</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noWrap w:val="0"/>
            <w:vAlign w:val="top"/>
          </w:tcPr>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using</w:t>
            </w:r>
            <w:r>
              <w:rPr>
                <w:rFonts w:hint="eastAsia" w:ascii="新宋体" w:hAnsi="新宋体" w:eastAsia="新宋体"/>
                <w:color w:val="000000"/>
                <w:sz w:val="19"/>
                <w:highlight w:val="white"/>
              </w:rPr>
              <w:t xml:space="preserve"> System;</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using</w:t>
            </w:r>
            <w:r>
              <w:rPr>
                <w:rFonts w:hint="eastAsia" w:ascii="新宋体" w:hAnsi="新宋体" w:eastAsia="新宋体"/>
                <w:color w:val="000000"/>
                <w:sz w:val="19"/>
                <w:highlight w:val="white"/>
              </w:rPr>
              <w:t xml:space="preserve"> System.Collections.Generic;</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using</w:t>
            </w:r>
            <w:r>
              <w:rPr>
                <w:rFonts w:hint="eastAsia" w:ascii="新宋体" w:hAnsi="新宋体" w:eastAsia="新宋体"/>
                <w:color w:val="000000"/>
                <w:sz w:val="19"/>
                <w:highlight w:val="white"/>
              </w:rPr>
              <w:t xml:space="preserve"> System.Linq;</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using</w:t>
            </w:r>
            <w:r>
              <w:rPr>
                <w:rFonts w:hint="eastAsia" w:ascii="新宋体" w:hAnsi="新宋体" w:eastAsia="新宋体"/>
                <w:color w:val="000000"/>
                <w:sz w:val="19"/>
                <w:highlight w:val="white"/>
              </w:rPr>
              <w:t xml:space="preserve"> System.Web;</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using</w:t>
            </w:r>
            <w:r>
              <w:rPr>
                <w:rFonts w:hint="eastAsia" w:ascii="新宋体" w:hAnsi="新宋体" w:eastAsia="新宋体"/>
                <w:color w:val="000000"/>
                <w:sz w:val="19"/>
                <w:highlight w:val="white"/>
              </w:rPr>
              <w:t xml:space="preserve"> System.Web.Services;</w:t>
            </w:r>
          </w:p>
          <w:p>
            <w:pPr>
              <w:widowControl w:val="0"/>
              <w:spacing w:line="240" w:lineRule="auto"/>
              <w:jc w:val="both"/>
              <w:rPr>
                <w:rFonts w:hint="eastAsia" w:ascii="新宋体" w:hAnsi="新宋体" w:eastAsia="新宋体"/>
                <w:color w:val="000000"/>
                <w:sz w:val="19"/>
                <w:highlight w:val="white"/>
              </w:rPr>
            </w:pP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FF"/>
                <w:sz w:val="19"/>
                <w:highlight w:val="white"/>
              </w:rPr>
              <w:t>namespace</w:t>
            </w:r>
            <w:r>
              <w:rPr>
                <w:rFonts w:hint="eastAsia" w:ascii="新宋体" w:hAnsi="新宋体" w:eastAsia="新宋体"/>
                <w:color w:val="000000"/>
                <w:sz w:val="19"/>
                <w:highlight w:val="white"/>
              </w:rPr>
              <w:t xml:space="preserve"> ESB</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808080"/>
                <w:sz w:val="19"/>
                <w:highlight w:val="white"/>
              </w:rPr>
              <w:t>///</w:t>
            </w:r>
            <w:r>
              <w:rPr>
                <w:rFonts w:hint="eastAsia" w:ascii="新宋体" w:hAnsi="新宋体" w:eastAsia="新宋体"/>
                <w:color w:val="008000"/>
                <w:sz w:val="19"/>
                <w:highlight w:val="white"/>
              </w:rPr>
              <w:t xml:space="preserve"> </w:t>
            </w:r>
            <w:r>
              <w:rPr>
                <w:rFonts w:hint="eastAsia" w:ascii="新宋体" w:hAnsi="新宋体" w:eastAsia="新宋体"/>
                <w:color w:val="808080"/>
                <w:sz w:val="19"/>
                <w:highlight w:val="white"/>
              </w:rPr>
              <w:t>&lt;summary&gt;</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808080"/>
                <w:sz w:val="19"/>
                <w:highlight w:val="white"/>
              </w:rPr>
              <w:t>///</w:t>
            </w:r>
            <w:r>
              <w:rPr>
                <w:rFonts w:hint="eastAsia" w:ascii="新宋体" w:hAnsi="新宋体" w:eastAsia="新宋体"/>
                <w:color w:val="008000"/>
                <w:sz w:val="19"/>
                <w:highlight w:val="white"/>
              </w:rPr>
              <w:t xml:space="preserve"> TestWebService1 的摘要说明</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808080"/>
                <w:sz w:val="19"/>
                <w:highlight w:val="white"/>
              </w:rPr>
              <w:t>///</w:t>
            </w:r>
            <w:r>
              <w:rPr>
                <w:rFonts w:hint="eastAsia" w:ascii="新宋体" w:hAnsi="新宋体" w:eastAsia="新宋体"/>
                <w:color w:val="008000"/>
                <w:sz w:val="19"/>
                <w:highlight w:val="white"/>
              </w:rPr>
              <w:t xml:space="preserve"> </w:t>
            </w:r>
            <w:r>
              <w:rPr>
                <w:rFonts w:hint="eastAsia" w:ascii="新宋体" w:hAnsi="新宋体" w:eastAsia="新宋体"/>
                <w:color w:val="808080"/>
                <w:sz w:val="19"/>
                <w:highlight w:val="white"/>
              </w:rPr>
              <w:t>&lt;/summary&gt;</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2B91AF"/>
                <w:sz w:val="19"/>
                <w:highlight w:val="white"/>
              </w:rPr>
              <w:t>WebService</w:t>
            </w:r>
            <w:r>
              <w:rPr>
                <w:rFonts w:hint="eastAsia" w:ascii="新宋体" w:hAnsi="新宋体" w:eastAsia="新宋体"/>
                <w:color w:val="000000"/>
                <w:sz w:val="19"/>
                <w:highlight w:val="white"/>
              </w:rPr>
              <w:t xml:space="preserve">(Namespace = </w:t>
            </w:r>
            <w:r>
              <w:rPr>
                <w:rFonts w:hint="eastAsia" w:ascii="新宋体" w:hAnsi="新宋体" w:eastAsia="新宋体"/>
                <w:color w:val="A31515"/>
                <w:sz w:val="19"/>
                <w:highlight w:val="white"/>
              </w:rPr>
              <w:t>"http://tempuri.org/"</w:t>
            </w:r>
            <w:r>
              <w:rPr>
                <w:rFonts w:hint="eastAsia" w:ascii="新宋体" w:hAnsi="新宋体" w:eastAsia="新宋体"/>
                <w:color w:val="000000"/>
                <w:sz w:val="19"/>
                <w:highlight w:val="white"/>
              </w:rPr>
              <w:t>)]</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2B91AF"/>
                <w:sz w:val="19"/>
                <w:highlight w:val="white"/>
              </w:rPr>
              <w:t>WebServiceBinding</w:t>
            </w:r>
            <w:r>
              <w:rPr>
                <w:rFonts w:hint="eastAsia" w:ascii="新宋体" w:hAnsi="新宋体" w:eastAsia="新宋体"/>
                <w:color w:val="000000"/>
                <w:sz w:val="19"/>
                <w:highlight w:val="white"/>
              </w:rPr>
              <w:t xml:space="preserve">(ConformsTo = </w:t>
            </w:r>
            <w:r>
              <w:rPr>
                <w:rFonts w:hint="eastAsia" w:ascii="新宋体" w:hAnsi="新宋体" w:eastAsia="新宋体"/>
                <w:color w:val="2B91AF"/>
                <w:sz w:val="19"/>
                <w:highlight w:val="white"/>
              </w:rPr>
              <w:t>WsiProfiles</w:t>
            </w:r>
            <w:r>
              <w:rPr>
                <w:rFonts w:hint="eastAsia" w:ascii="新宋体" w:hAnsi="新宋体" w:eastAsia="新宋体"/>
                <w:color w:val="000000"/>
                <w:sz w:val="19"/>
                <w:highlight w:val="white"/>
              </w:rPr>
              <w:t>.BasicProfile1_1)]</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[System.ComponentModel.</w:t>
            </w:r>
            <w:r>
              <w:rPr>
                <w:rFonts w:hint="eastAsia" w:ascii="新宋体" w:hAnsi="新宋体" w:eastAsia="新宋体"/>
                <w:color w:val="2B91AF"/>
                <w:sz w:val="19"/>
                <w:highlight w:val="white"/>
              </w:rPr>
              <w:t>ToolboxItem</w:t>
            </w:r>
            <w:r>
              <w:rPr>
                <w:rFonts w:hint="eastAsia" w:ascii="新宋体" w:hAnsi="新宋体" w:eastAsia="新宋体"/>
                <w:color w:val="000000"/>
                <w:sz w:val="19"/>
                <w:highlight w:val="white"/>
              </w:rPr>
              <w:t>(</w:t>
            </w:r>
            <w:r>
              <w:rPr>
                <w:rFonts w:hint="eastAsia" w:ascii="新宋体" w:hAnsi="新宋体" w:eastAsia="新宋体"/>
                <w:color w:val="0000FF"/>
                <w:sz w:val="19"/>
                <w:highlight w:val="white"/>
              </w:rPr>
              <w:t>false</w:t>
            </w:r>
            <w:r>
              <w:rPr>
                <w:rFonts w:hint="eastAsia" w:ascii="新宋体" w:hAnsi="新宋体" w:eastAsia="新宋体"/>
                <w:color w:val="000000"/>
                <w:sz w:val="19"/>
                <w:highlight w:val="white"/>
              </w:rPr>
              <w:t>)]</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008000"/>
                <w:sz w:val="19"/>
                <w:highlight w:val="white"/>
              </w:rPr>
              <w:t xml:space="preserve">// 若要允许使用 ASP.NET AJAX 从脚本中调用此 Web 服务，请取消注释以下行。 </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008000"/>
                <w:sz w:val="19"/>
                <w:highlight w:val="white"/>
              </w:rPr>
              <w:t>// [System.Web.Script.Services.ScriptService]</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0000FF"/>
                <w:sz w:val="19"/>
                <w:highlight w:val="white"/>
              </w:rPr>
              <w:t>public</w:t>
            </w:r>
            <w:r>
              <w:rPr>
                <w:rFonts w:hint="eastAsia" w:ascii="新宋体" w:hAnsi="新宋体" w:eastAsia="新宋体"/>
                <w:color w:val="000000"/>
                <w:sz w:val="19"/>
                <w:highlight w:val="white"/>
              </w:rPr>
              <w:t xml:space="preserve"> </w:t>
            </w:r>
            <w:r>
              <w:rPr>
                <w:rFonts w:hint="eastAsia" w:ascii="新宋体" w:hAnsi="新宋体" w:eastAsia="新宋体"/>
                <w:color w:val="0000FF"/>
                <w:sz w:val="19"/>
                <w:highlight w:val="white"/>
              </w:rPr>
              <w:t>class</w:t>
            </w:r>
            <w:r>
              <w:rPr>
                <w:rFonts w:hint="eastAsia" w:ascii="新宋体" w:hAnsi="新宋体" w:eastAsia="新宋体"/>
                <w:color w:val="000000"/>
                <w:sz w:val="19"/>
                <w:highlight w:val="white"/>
              </w:rPr>
              <w:t xml:space="preserve"> </w:t>
            </w:r>
            <w:r>
              <w:rPr>
                <w:rFonts w:hint="eastAsia" w:ascii="新宋体" w:hAnsi="新宋体" w:eastAsia="新宋体"/>
                <w:color w:val="2B91AF"/>
                <w:sz w:val="19"/>
                <w:highlight w:val="white"/>
              </w:rPr>
              <w:t>TestWebService1</w:t>
            </w:r>
            <w:r>
              <w:rPr>
                <w:rFonts w:hint="eastAsia" w:ascii="新宋体" w:hAnsi="新宋体" w:eastAsia="新宋体"/>
                <w:color w:val="000000"/>
                <w:sz w:val="19"/>
                <w:highlight w:val="white"/>
              </w:rPr>
              <w:t xml:space="preserve"> : System.Web.Services.</w:t>
            </w:r>
            <w:r>
              <w:rPr>
                <w:rFonts w:hint="eastAsia" w:ascii="新宋体" w:hAnsi="新宋体" w:eastAsia="新宋体"/>
                <w:color w:val="2B91AF"/>
                <w:sz w:val="19"/>
                <w:highlight w:val="white"/>
              </w:rPr>
              <w:t>WebService</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2B91AF"/>
                <w:sz w:val="19"/>
                <w:highlight w:val="white"/>
              </w:rPr>
              <w:t>WebMethod</w:t>
            </w:r>
            <w:r>
              <w:rPr>
                <w:rFonts w:hint="eastAsia" w:ascii="新宋体" w:hAnsi="新宋体" w:eastAsia="新宋体"/>
                <w:color w:val="000000"/>
                <w:sz w:val="19"/>
                <w:highlight w:val="white"/>
              </w:rPr>
              <w:t>]</w:t>
            </w:r>
          </w:p>
          <w:p>
            <w:pPr>
              <w:widowControl w:val="0"/>
              <w:spacing w:line="240" w:lineRule="auto"/>
              <w:ind w:firstLine="760" w:firstLineChars="400"/>
              <w:jc w:val="both"/>
              <w:rPr>
                <w:rFonts w:ascii="新宋体" w:hAnsi="新宋体" w:eastAsia="新宋体"/>
                <w:color w:val="000000"/>
                <w:sz w:val="19"/>
                <w:highlight w:val="white"/>
              </w:rPr>
            </w:pPr>
            <w:r>
              <w:rPr>
                <w:rFonts w:hint="eastAsia" w:ascii="新宋体" w:hAnsi="新宋体" w:eastAsia="新宋体"/>
                <w:color w:val="008000"/>
                <w:sz w:val="19"/>
                <w:highlight w:val="white"/>
              </w:rPr>
              <w:t>// 类名 参数根据实际情况自行定义</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0000FF"/>
                <w:sz w:val="19"/>
                <w:highlight w:val="white"/>
              </w:rPr>
              <w:t>public</w:t>
            </w:r>
            <w:r>
              <w:rPr>
                <w:rFonts w:hint="eastAsia" w:ascii="新宋体" w:hAnsi="新宋体" w:eastAsia="新宋体"/>
                <w:color w:val="000000"/>
                <w:sz w:val="19"/>
                <w:highlight w:val="white"/>
              </w:rPr>
              <w:t xml:space="preserve"> </w:t>
            </w:r>
            <w:r>
              <w:rPr>
                <w:rFonts w:hint="eastAsia" w:ascii="新宋体" w:hAnsi="新宋体" w:eastAsia="新宋体"/>
                <w:color w:val="0000FF"/>
                <w:sz w:val="19"/>
                <w:highlight w:val="white"/>
              </w:rPr>
              <w:t>string</w:t>
            </w:r>
            <w:r>
              <w:rPr>
                <w:rFonts w:hint="eastAsia" w:ascii="新宋体" w:hAnsi="新宋体" w:eastAsia="新宋体"/>
                <w:color w:val="000000"/>
                <w:sz w:val="19"/>
                <w:highlight w:val="white"/>
              </w:rPr>
              <w:t xml:space="preserve"> SendMsg(</w:t>
            </w:r>
            <w:r>
              <w:rPr>
                <w:rFonts w:hint="eastAsia" w:ascii="新宋体" w:hAnsi="新宋体" w:eastAsia="新宋体"/>
                <w:color w:val="0000FF"/>
                <w:sz w:val="19"/>
                <w:highlight w:val="white"/>
              </w:rPr>
              <w:t>string</w:t>
            </w:r>
            <w:r>
              <w:rPr>
                <w:rFonts w:hint="eastAsia" w:ascii="新宋体" w:hAnsi="新宋体" w:eastAsia="新宋体"/>
                <w:color w:val="000000"/>
                <w:sz w:val="19"/>
                <w:highlight w:val="white"/>
              </w:rPr>
              <w:t xml:space="preserve"> a)</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p>
          <w:p>
            <w:pPr>
              <w:widowControl w:val="0"/>
              <w:spacing w:line="240" w:lineRule="auto"/>
              <w:ind w:firstLine="1176" w:firstLineChars="619"/>
              <w:jc w:val="both"/>
              <w:rPr>
                <w:rFonts w:ascii="新宋体" w:hAnsi="新宋体" w:eastAsia="新宋体"/>
                <w:color w:val="000000"/>
                <w:sz w:val="19"/>
                <w:highlight w:val="white"/>
              </w:rPr>
            </w:pPr>
            <w:r>
              <w:rPr>
                <w:rFonts w:hint="eastAsia" w:ascii="新宋体" w:hAnsi="新宋体" w:eastAsia="新宋体"/>
                <w:color w:val="008000"/>
                <w:sz w:val="19"/>
                <w:highlight w:val="white"/>
              </w:rPr>
              <w:t>// 提供方逻辑</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r>
              <w:rPr>
                <w:rFonts w:hint="eastAsia" w:ascii="新宋体" w:hAnsi="新宋体" w:eastAsia="新宋体"/>
                <w:color w:val="0000FF"/>
                <w:sz w:val="19"/>
                <w:highlight w:val="white"/>
              </w:rPr>
              <w:t>return</w:t>
            </w:r>
            <w:r>
              <w:rPr>
                <w:rFonts w:hint="eastAsia" w:ascii="新宋体" w:hAnsi="新宋体" w:eastAsia="新宋体"/>
                <w:color w:val="000000"/>
                <w:sz w:val="19"/>
                <w:highlight w:val="white"/>
              </w:rPr>
              <w:t xml:space="preserve"> </w:t>
            </w:r>
            <w:r>
              <w:rPr>
                <w:rFonts w:hint="eastAsia" w:ascii="新宋体" w:hAnsi="新宋体" w:eastAsia="新宋体"/>
                <w:color w:val="A31515"/>
                <w:sz w:val="19"/>
                <w:highlight w:val="white"/>
              </w:rPr>
              <w:t>"提供方提供的消息"</w:t>
            </w:r>
            <w:r>
              <w:rPr>
                <w:rFonts w:hint="eastAsia" w:ascii="新宋体" w:hAnsi="新宋体" w:eastAsia="新宋体"/>
                <w:color w:val="000000"/>
                <w:sz w:val="19"/>
                <w:highlight w:val="white"/>
              </w:rPr>
              <w:t>+a;</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p>
          <w:p>
            <w:pPr>
              <w:widowControl w:val="0"/>
              <w:spacing w:line="240" w:lineRule="auto"/>
              <w:jc w:val="both"/>
              <w:rPr>
                <w:rFonts w:hint="eastAsia" w:ascii="新宋体" w:hAnsi="新宋体" w:eastAsia="新宋体"/>
                <w:color w:val="000000"/>
                <w:sz w:val="19"/>
                <w:highlight w:val="white"/>
              </w:rPr>
            </w:pPr>
            <w:r>
              <w:rPr>
                <w:rFonts w:hint="eastAsia" w:ascii="新宋体" w:hAnsi="新宋体" w:eastAsia="新宋体"/>
                <w:color w:val="000000"/>
                <w:sz w:val="19"/>
                <w:highlight w:val="white"/>
              </w:rPr>
              <w:t xml:space="preserve">    }</w:t>
            </w:r>
          </w:p>
          <w:p>
            <w:pPr>
              <w:widowControl w:val="0"/>
              <w:jc w:val="both"/>
            </w:pPr>
            <w:r>
              <w:rPr>
                <w:rFonts w:hint="eastAsia" w:ascii="新宋体" w:hAnsi="新宋体" w:eastAsia="新宋体"/>
                <w:color w:val="000000"/>
                <w:sz w:val="19"/>
                <w:highlight w:val="white"/>
              </w:rPr>
              <w:t>}</w:t>
            </w:r>
          </w:p>
        </w:tc>
      </w:tr>
    </w:tbl>
    <w:p>
      <w:pPr>
        <w:rPr>
          <w:rFonts w:hint="eastAsia"/>
        </w:rPr>
      </w:pPr>
      <w:r>
        <w:rPr>
          <w:rFonts w:hint="eastAsia"/>
        </w:rPr>
        <w:t>注：提供方W</w:t>
      </w:r>
      <w:r>
        <w:t>ebService</w:t>
      </w:r>
      <w:r>
        <w:rPr>
          <w:rFonts w:hint="eastAsia"/>
        </w:rPr>
        <w:t>无特殊要求</w:t>
      </w:r>
    </w:p>
    <w:p>
      <w:pPr>
        <w:pStyle w:val="5"/>
        <w:numPr>
          <w:ilvl w:val="0"/>
          <w:numId w:val="0"/>
        </w:numPr>
        <w:rPr>
          <w:rFonts w:ascii="宋体" w:hAnsi="宋体"/>
        </w:rPr>
      </w:pPr>
      <w:r>
        <w:rPr>
          <w:rFonts w:hint="eastAsia" w:ascii="宋体" w:hAnsi="宋体"/>
        </w:rPr>
        <w:t>4.</w:t>
      </w:r>
      <w:r>
        <w:rPr>
          <w:rFonts w:hint="eastAsia" w:ascii="宋体" w:hAnsi="宋体"/>
          <w:lang w:val="en-US" w:eastAsia="zh-CN"/>
        </w:rPr>
        <w:t>2</w:t>
      </w:r>
      <w:r>
        <w:rPr>
          <w:rFonts w:hint="eastAsia" w:ascii="宋体" w:hAnsi="宋体"/>
        </w:rPr>
        <w:t xml:space="preserve">.2 .Net Core </w:t>
      </w:r>
    </w:p>
    <w:p>
      <w:pPr>
        <w:rPr>
          <w:rFonts w:hint="eastAsia"/>
        </w:rPr>
      </w:pPr>
      <w:r>
        <w:rPr>
          <w:rFonts w:hint="eastAsia"/>
        </w:rPr>
        <w:t>无</w:t>
      </w:r>
    </w:p>
    <w:p>
      <w:pPr>
        <w:pStyle w:val="5"/>
        <w:numPr>
          <w:ilvl w:val="0"/>
          <w:numId w:val="0"/>
        </w:numPr>
        <w:rPr>
          <w:rFonts w:ascii="宋体" w:hAnsi="宋体"/>
        </w:rPr>
      </w:pPr>
      <w:r>
        <w:rPr>
          <w:rFonts w:hint="eastAsia" w:ascii="宋体" w:hAnsi="宋体"/>
        </w:rPr>
        <w:t>4.</w:t>
      </w:r>
      <w:r>
        <w:rPr>
          <w:rFonts w:hint="eastAsia" w:ascii="宋体" w:hAnsi="宋体"/>
          <w:lang w:val="en-US" w:eastAsia="zh-CN"/>
        </w:rPr>
        <w:t>2</w:t>
      </w:r>
      <w:r>
        <w:rPr>
          <w:rFonts w:hint="eastAsia" w:ascii="宋体" w:hAnsi="宋体"/>
        </w:rPr>
        <w:t>.3 Java</w:t>
      </w:r>
    </w:p>
    <w:p>
      <w:pPr>
        <w:rPr>
          <w:rFonts w:hint="eastAsia"/>
          <w:lang w:eastAsia="zh-CN"/>
        </w:rPr>
      </w:pPr>
      <w:r>
        <w:rPr>
          <w:rFonts w:hint="eastAsia"/>
        </w:rPr>
        <w:t>无</w:t>
      </w:r>
    </w:p>
    <w:p>
      <w:pPr>
        <w:pStyle w:val="4"/>
        <w:numPr>
          <w:ilvl w:val="1"/>
          <w:numId w:val="5"/>
        </w:numPr>
        <w:tabs>
          <w:tab w:val="left" w:pos="426"/>
          <w:tab w:val="left" w:pos="567"/>
        </w:tabs>
        <w:spacing w:before="0" w:after="200"/>
        <w:jc w:val="both"/>
        <w:rPr>
          <w:rFonts w:ascii="宋体" w:hAnsi="宋体" w:cs="宋体"/>
          <w:b/>
          <w:bCs/>
          <w:color w:val="auto"/>
          <w:kern w:val="0"/>
          <w:sz w:val="24"/>
          <w:szCs w:val="24"/>
        </w:rPr>
      </w:pPr>
      <w:r>
        <w:rPr>
          <w:rFonts w:hint="eastAsia"/>
          <w:color w:val="auto"/>
        </w:rPr>
        <w:t>服务内容及服务要求</w:t>
      </w:r>
      <w:bookmarkEnd w:id="153"/>
      <w:bookmarkEnd w:id="154"/>
    </w:p>
    <w:p>
      <w:pPr>
        <w:pStyle w:val="4"/>
        <w:numPr>
          <w:ilvl w:val="1"/>
          <w:numId w:val="0"/>
        </w:numPr>
        <w:tabs>
          <w:tab w:val="left" w:pos="426"/>
          <w:tab w:val="left" w:pos="567"/>
        </w:tabs>
        <w:spacing w:before="0" w:after="200"/>
        <w:ind w:leftChars="0"/>
        <w:jc w:val="both"/>
        <w:rPr>
          <w:rFonts w:ascii="宋体" w:hAnsi="宋体" w:cs="宋体"/>
          <w:b/>
          <w:bCs/>
          <w:color w:val="auto"/>
          <w:kern w:val="0"/>
          <w:sz w:val="24"/>
          <w:szCs w:val="24"/>
        </w:rPr>
      </w:pPr>
      <w:r>
        <w:rPr>
          <w:rFonts w:hint="eastAsia" w:ascii="宋体" w:hAnsi="宋体" w:cs="宋体"/>
          <w:b/>
          <w:bCs/>
          <w:color w:val="auto"/>
          <w:kern w:val="0"/>
          <w:sz w:val="24"/>
          <w:szCs w:val="24"/>
          <w:lang w:val="en-US" w:eastAsia="zh-CN"/>
        </w:rPr>
        <w:t>4.3.1</w:t>
      </w:r>
      <w:r>
        <w:rPr>
          <w:rFonts w:hint="eastAsia" w:ascii="宋体" w:hAnsi="宋体" w:cs="宋体"/>
          <w:b/>
          <w:bCs/>
          <w:color w:val="auto"/>
          <w:kern w:val="0"/>
          <w:sz w:val="24"/>
          <w:szCs w:val="24"/>
          <w:lang w:eastAsia="zh-CN"/>
        </w:rPr>
        <w:t>、</w:t>
      </w:r>
      <w:r>
        <w:rPr>
          <w:rFonts w:hint="eastAsia" w:ascii="宋体" w:hAnsi="宋体" w:cs="宋体"/>
          <w:b/>
          <w:bCs/>
          <w:color w:val="auto"/>
          <w:kern w:val="0"/>
          <w:sz w:val="24"/>
          <w:szCs w:val="24"/>
        </w:rPr>
        <w:t>服务内容及范围</w:t>
      </w:r>
    </w:p>
    <w:p>
      <w:pPr>
        <w:snapToGrid w:val="0"/>
        <w:spacing w:line="360" w:lineRule="auto"/>
        <w:rPr>
          <w:rFonts w:ascii="宋体" w:hAnsi="宋体" w:cs="宋体"/>
          <w:sz w:val="24"/>
          <w:szCs w:val="24"/>
        </w:rPr>
      </w:pPr>
      <w:r>
        <w:rPr>
          <w:rFonts w:hint="eastAsia" w:ascii="宋体" w:hAnsi="宋体" w:cs="宋体"/>
          <w:sz w:val="24"/>
          <w:szCs w:val="24"/>
          <w:lang w:eastAsia="zh-CN"/>
        </w:rPr>
        <w:t>一、</w:t>
      </w:r>
      <w:r>
        <w:rPr>
          <w:rFonts w:hint="eastAsia" w:ascii="宋体" w:hAnsi="宋体" w:cs="宋体"/>
          <w:sz w:val="24"/>
          <w:szCs w:val="24"/>
        </w:rPr>
        <w:t>负责保洁服务(服务区域城南院区、金彭西路院区）</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负责两院保洁服务；电梯、玻璃内侧面、地砖的专项保洁服务；生活垃圾和医疗垃圾的收集、分类、运输与记录服务。城南院区消洗中心的清洗消毒烘干服务。</w:t>
      </w:r>
    </w:p>
    <w:p>
      <w:pPr>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二、</w:t>
      </w:r>
      <w:r>
        <w:rPr>
          <w:rFonts w:hint="eastAsia" w:ascii="宋体" w:hAnsi="宋体" w:cs="宋体"/>
          <w:sz w:val="24"/>
          <w:szCs w:val="24"/>
        </w:rPr>
        <w:t>负责中央运送服务(服务区域城南院区、金彭西路院区）</w:t>
      </w:r>
    </w:p>
    <w:p>
      <w:pPr>
        <w:snapToGrid w:val="0"/>
        <w:spacing w:line="360" w:lineRule="auto"/>
        <w:ind w:firstLine="480" w:firstLineChars="200"/>
        <w:rPr>
          <w:rFonts w:ascii="宋体" w:hAnsi="宋体" w:cs="宋体"/>
          <w:sz w:val="24"/>
          <w:szCs w:val="24"/>
        </w:rPr>
      </w:pPr>
      <w:r>
        <w:rPr>
          <w:rFonts w:hint="eastAsia" w:ascii="宋体" w:hAnsi="宋体" w:cs="宋体"/>
          <w:sz w:val="24"/>
          <w:szCs w:val="24"/>
        </w:rPr>
        <w:t>设立24小时的中央调度中心，负责病患和标本等运送工作，负责120急救车的跟车服务，急救病人收送、护送工作。</w:t>
      </w:r>
    </w:p>
    <w:p>
      <w:pPr>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三、</w:t>
      </w:r>
      <w:r>
        <w:rPr>
          <w:rFonts w:hint="eastAsia" w:ascii="宋体" w:hAnsi="宋体" w:cs="宋体"/>
          <w:sz w:val="24"/>
          <w:szCs w:val="24"/>
        </w:rPr>
        <w:t>负责洗浆房的服务。</w:t>
      </w:r>
    </w:p>
    <w:p>
      <w:pPr>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四、</w:t>
      </w:r>
      <w:r>
        <w:rPr>
          <w:rFonts w:hint="eastAsia" w:ascii="宋体" w:hAnsi="宋体" w:cs="宋体"/>
          <w:sz w:val="24"/>
          <w:szCs w:val="24"/>
        </w:rPr>
        <w:t>院感管理</w:t>
      </w:r>
    </w:p>
    <w:p>
      <w:pPr>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五、</w:t>
      </w:r>
      <w:r>
        <w:rPr>
          <w:rFonts w:hint="eastAsia" w:ascii="宋体" w:hAnsi="宋体" w:cs="宋体"/>
          <w:sz w:val="24"/>
          <w:szCs w:val="24"/>
        </w:rPr>
        <w:t>新冠疫情防控</w:t>
      </w:r>
    </w:p>
    <w:p>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lang w:eastAsia="zh-CN"/>
        </w:rPr>
        <w:t>六、</w:t>
      </w:r>
      <w:r>
        <w:rPr>
          <w:rFonts w:hint="eastAsia" w:ascii="宋体" w:hAnsi="宋体" w:cs="宋体"/>
          <w:sz w:val="24"/>
          <w:szCs w:val="24"/>
        </w:rPr>
        <w:t>应急措施</w:t>
      </w:r>
    </w:p>
    <w:p>
      <w:pPr>
        <w:pStyle w:val="2"/>
        <w:numPr>
          <w:ilvl w:val="3"/>
          <w:numId w:val="0"/>
        </w:numPr>
        <w:rPr>
          <w:rFonts w:hint="eastAsia" w:eastAsia="宋体"/>
          <w:lang w:eastAsia="zh-CN"/>
        </w:rPr>
      </w:pPr>
      <w:r>
        <w:rPr>
          <w:rFonts w:hint="eastAsia" w:ascii="宋体" w:hAnsi="宋体" w:cs="宋体"/>
          <w:sz w:val="24"/>
          <w:szCs w:val="24"/>
          <w:lang w:val="en-US" w:eastAsia="zh-CN"/>
        </w:rPr>
        <w:t>4.3.2</w:t>
      </w:r>
      <w:r>
        <w:rPr>
          <w:rFonts w:hint="eastAsia" w:ascii="宋体" w:hAnsi="宋体" w:cs="宋体"/>
          <w:sz w:val="24"/>
          <w:szCs w:val="24"/>
          <w:lang w:eastAsia="zh-CN"/>
        </w:rPr>
        <w:t>具体服务内容</w:t>
      </w:r>
    </w:p>
    <w:p>
      <w:pPr>
        <w:keepNext/>
        <w:keepLines/>
        <w:numPr>
          <w:ilvl w:val="0"/>
          <w:numId w:val="0"/>
        </w:numPr>
        <w:spacing w:line="360" w:lineRule="auto"/>
        <w:outlineLvl w:val="2"/>
        <w:rPr>
          <w:rFonts w:hint="eastAsia" w:ascii="宋体" w:hAnsi="宋体" w:cs="宋体"/>
          <w:b/>
          <w:bCs/>
          <w:kern w:val="0"/>
          <w:sz w:val="24"/>
          <w:szCs w:val="24"/>
        </w:rPr>
      </w:pPr>
      <w:r>
        <w:rPr>
          <w:rFonts w:hint="eastAsia" w:ascii="宋体" w:hAnsi="宋体" w:cs="宋体"/>
          <w:b/>
          <w:bCs/>
          <w:kern w:val="0"/>
          <w:sz w:val="24"/>
          <w:szCs w:val="24"/>
          <w:lang w:val="en-US" w:eastAsia="zh-CN"/>
        </w:rPr>
        <w:t>4.3.2.1</w:t>
      </w:r>
      <w:r>
        <w:rPr>
          <w:rFonts w:hint="eastAsia" w:ascii="宋体" w:hAnsi="宋体" w:cs="宋体"/>
          <w:b/>
          <w:bCs/>
          <w:kern w:val="0"/>
          <w:sz w:val="24"/>
          <w:szCs w:val="24"/>
        </w:rPr>
        <w:t>保洁服务内容及标准</w:t>
      </w:r>
    </w:p>
    <w:p>
      <w:pPr>
        <w:pStyle w:val="2"/>
        <w:numPr>
          <w:ilvl w:val="3"/>
          <w:numId w:val="0"/>
        </w:numPr>
      </w:pPr>
      <w:r>
        <w:rPr>
          <w:rFonts w:hint="eastAsia"/>
          <w:lang w:val="en-US" w:eastAsia="zh-CN"/>
        </w:rPr>
        <w:t>一、保洁服务内容</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投标人负责医院楼内、公共区域、公有房屋的清洁卫生，对该区域按照保洁作业操作规程进行日常和计划的保洁、消毒工作，并做到定人、定点、定时管理、巡查和监督，并做好记录。采购人有权按照双方约定的工作制度和标准对投标人进行工作质量的考核。保洁区域包括楼内所有诊断室、治疗室、病房、医护办公室、行政办公室、辅助用房、公有房屋及公共区域、地下室、楼道通道、屋顶及雨棚顶、天台天井、楼外公共区域、3米以下玻璃幕墙、门窗、电动扶梯、电梯轿厢、专用电梯、室内家具电器、公共设施、强弱电井（含风井、设备井）、配电箱(含设施设备）的卫生清洁、维护工作；下水道、阴阳沟的疏通、垃圾的清运工作（含生活垃圾、医疗特殊垃圾）；遇医院创卫、重大节日等加强保洁频次，满足医院要求。</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（二）</w:t>
      </w:r>
      <w:r>
        <w:rPr>
          <w:rFonts w:hint="eastAsia" w:ascii="宋体" w:hAnsi="宋体" w:cs="宋体"/>
          <w:sz w:val="24"/>
          <w:szCs w:val="24"/>
        </w:rPr>
        <w:t>投标人晚上安排人员做好各区域保洁维护，特别是门诊区域、外围公共区、病区开水房、厕所、楼道等，重点加强急诊科保洁。</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（三）</w:t>
      </w:r>
      <w:r>
        <w:rPr>
          <w:rFonts w:hint="eastAsia" w:ascii="宋体" w:hAnsi="宋体" w:cs="宋体"/>
          <w:sz w:val="24"/>
          <w:szCs w:val="24"/>
        </w:rPr>
        <w:t>供应商应制定保洁专项保养计划及措施，专项保洁含医院所有灯具、玻璃、不锈钢、天花、顶灯、墙面、风口的基础除尘、玻璃幕墙内侧及3米以下外侧循环保洁及大楼内各种材质地板、墙面的保洁。</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（四）</w:t>
      </w:r>
      <w:r>
        <w:rPr>
          <w:rFonts w:hint="eastAsia" w:ascii="宋体" w:hAnsi="宋体" w:cs="宋体"/>
          <w:sz w:val="24"/>
          <w:szCs w:val="24"/>
        </w:rPr>
        <w:t>保洁人员根据医院院感管理要求，协助各病区收集医废垃圾、规范运输、登记管理、以及暂存处的清洗消毒。负责与医废垃圾回收人员办理交接手续，签字手续清楚，不得任意遗弃或以其他方式造成医废垃圾流失。其他废旧物资根据医院规定，由医院统一组织人员回收。</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（五）</w:t>
      </w:r>
      <w:r>
        <w:rPr>
          <w:rFonts w:hint="eastAsia" w:ascii="宋体" w:hAnsi="宋体" w:cs="宋体"/>
          <w:sz w:val="24"/>
          <w:szCs w:val="24"/>
        </w:rPr>
        <w:t>科室指派的零星物品搬运等事宜。</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（六）</w:t>
      </w:r>
      <w:r>
        <w:rPr>
          <w:rFonts w:hint="eastAsia" w:ascii="宋体" w:hAnsi="宋体" w:cs="宋体"/>
          <w:sz w:val="24"/>
          <w:szCs w:val="24"/>
        </w:rPr>
        <w:t>负责各类突发事件的应急清洁卫生和消毒保洁工作，非常时期协助无家属、无陪伴的病人送开水。</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（七）</w:t>
      </w:r>
      <w:r>
        <w:rPr>
          <w:rFonts w:hint="eastAsia" w:ascii="宋体" w:hAnsi="宋体" w:cs="宋体"/>
          <w:sz w:val="24"/>
          <w:szCs w:val="24"/>
        </w:rPr>
        <w:t>保洁人员足额，执行保洁时间到位。保洁工作有计划流程，保洁设备、工具、用品、药剂齐全。投标人根据医院工作性质制定工作流程。在规定服务时间内全体保洁人员着装统一，佩戴胸卡，按计划流程进行保洁。</w:t>
      </w:r>
    </w:p>
    <w:p>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（八）</w:t>
      </w:r>
      <w:r>
        <w:rPr>
          <w:rFonts w:hint="eastAsia" w:ascii="宋体" w:hAnsi="宋体" w:cs="宋体"/>
          <w:sz w:val="24"/>
          <w:szCs w:val="24"/>
        </w:rPr>
        <w:t>每天按时完成并认真做好床单元日常卫生，并随时做好环境保洁；管辖区域内务卫生死角。</w:t>
      </w:r>
    </w:p>
    <w:p>
      <w:pPr>
        <w:pStyle w:val="2"/>
        <w:numPr>
          <w:ilvl w:val="3"/>
          <w:numId w:val="0"/>
        </w:numPr>
        <w:ind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宋体" w:hAnsi="宋体" w:cs="宋体"/>
          <w:b w:val="0"/>
          <w:bCs w:val="0"/>
          <w:kern w:val="2"/>
          <w:sz w:val="24"/>
          <w:szCs w:val="24"/>
          <w:lang w:val="en-US" w:eastAsia="zh-CN" w:bidi="ar-SA"/>
        </w:rPr>
        <w:t>九</w:t>
      </w:r>
      <w:r>
        <w:rPr>
          <w:rFonts w:hint="eastAsia" w:ascii="宋体" w:hAnsi="宋体" w:eastAsia="宋体" w:cs="宋体"/>
          <w:b w:val="0"/>
          <w:bCs w:val="0"/>
          <w:kern w:val="2"/>
          <w:sz w:val="24"/>
          <w:szCs w:val="24"/>
          <w:lang w:val="en-US" w:eastAsia="zh-CN" w:bidi="ar-SA"/>
        </w:rPr>
        <w:t>）投标人提供的保洁服务方案中应包含保洁信息化管理系统的描述，保洁信息化管理系统至少包含对日常保洁任务、专项保洁任务、应急保洁任务、人员考勤、服务品质等5方面的管理。</w:t>
      </w:r>
    </w:p>
    <w:p>
      <w:pPr>
        <w:spacing w:line="360" w:lineRule="auto"/>
        <w:ind w:firstLine="480" w:firstLineChars="200"/>
        <w:rPr>
          <w:rFonts w:ascii="宋体" w:hAnsi="宋体" w:cs="宋体"/>
          <w:sz w:val="24"/>
          <w:szCs w:val="24"/>
        </w:rPr>
      </w:pPr>
      <w:r>
        <w:rPr>
          <w:rFonts w:hint="eastAsia" w:ascii="宋体" w:hAnsi="宋体" w:cs="宋体"/>
          <w:sz w:val="24"/>
          <w:szCs w:val="24"/>
          <w:lang w:val="en-US" w:eastAsia="zh-CN"/>
        </w:rPr>
        <w:t>二</w:t>
      </w:r>
      <w:r>
        <w:rPr>
          <w:rFonts w:hint="eastAsia" w:ascii="宋体" w:hAnsi="宋体" w:cs="宋体"/>
          <w:sz w:val="24"/>
          <w:szCs w:val="24"/>
        </w:rPr>
        <w:t>、保洁服务标准及要求</w:t>
      </w:r>
    </w:p>
    <w:p>
      <w:pPr>
        <w:spacing w:line="360" w:lineRule="auto"/>
        <w:ind w:firstLine="480" w:firstLineChars="200"/>
        <w:rPr>
          <w:rFonts w:ascii="宋体" w:hAnsi="宋体" w:cs="宋体"/>
          <w:sz w:val="24"/>
          <w:szCs w:val="24"/>
        </w:rPr>
      </w:pPr>
      <w:r>
        <w:rPr>
          <w:rFonts w:hint="eastAsia" w:ascii="宋体" w:hAnsi="宋体" w:cs="宋体"/>
          <w:sz w:val="24"/>
          <w:szCs w:val="24"/>
        </w:rPr>
        <w:t>保洁标准应符合医院院感要求及规定的相关标准和规范,符合《三级医院评审标准》要求。建立保洁管理制度并认真落实，实行标准化清扫保洁，由专人负责检查监督，清洁率100%。具体区域每日保洁工作计划安排和服务标准如下：</w:t>
      </w:r>
    </w:p>
    <w:tbl>
      <w:tblPr>
        <w:tblStyle w:val="43"/>
        <w:tblW w:w="8642"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76"/>
        <w:gridCol w:w="1151"/>
        <w:gridCol w:w="2137"/>
        <w:gridCol w:w="467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00"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服务类别</w:t>
            </w: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w:t>
            </w:r>
          </w:p>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细目</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服务标准</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sz w:val="24"/>
                <w:szCs w:val="24"/>
              </w:rPr>
            </w:pPr>
            <w:r>
              <w:rPr>
                <w:rFonts w:hint="eastAsia" w:ascii="宋体" w:hAnsi="宋体" w:cs="宋体"/>
                <w:b/>
                <w:kern w:val="0"/>
                <w:sz w:val="24"/>
                <w:szCs w:val="24"/>
              </w:rPr>
              <w:t>每日工作计划安排</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47" w:hRule="atLeast"/>
          <w:jc w:val="center"/>
        </w:trPr>
        <w:tc>
          <w:tcPr>
            <w:tcW w:w="676" w:type="dxa"/>
            <w:vMerge w:val="restart"/>
            <w:tcBorders>
              <w:top w:val="single" w:color="auto" w:sz="4" w:space="0"/>
              <w:left w:val="single" w:color="auto" w:sz="4" w:space="0"/>
              <w:bottom w:val="outset" w:color="auto" w:sz="6" w:space="0"/>
              <w:right w:val="single" w:color="auto" w:sz="4" w:space="0"/>
            </w:tcBorders>
            <w:noWrap/>
            <w:vAlign w:val="center"/>
          </w:tcPr>
          <w:p>
            <w:pPr>
              <w:spacing w:line="360" w:lineRule="auto"/>
              <w:jc w:val="center"/>
              <w:rPr>
                <w:rFonts w:ascii="宋体" w:hAnsi="宋体" w:cs="宋体"/>
                <w:b/>
                <w:sz w:val="24"/>
                <w:szCs w:val="24"/>
              </w:rPr>
            </w:pPr>
            <w:r>
              <w:rPr>
                <w:rFonts w:hint="eastAsia" w:ascii="宋体" w:hAnsi="宋体" w:cs="宋体"/>
                <w:b/>
                <w:sz w:val="24"/>
                <w:szCs w:val="24"/>
              </w:rPr>
              <w:t>日常保洁服务</w:t>
            </w:r>
          </w:p>
        </w:tc>
        <w:tc>
          <w:tcPr>
            <w:tcW w:w="115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bCs/>
                <w:sz w:val="24"/>
                <w:szCs w:val="24"/>
              </w:rPr>
            </w:pPr>
            <w:r>
              <w:rPr>
                <w:rFonts w:hint="eastAsia" w:ascii="宋体" w:hAnsi="宋体" w:cs="宋体"/>
                <w:bCs/>
                <w:sz w:val="24"/>
                <w:szCs w:val="24"/>
              </w:rPr>
              <w:t>病房</w:t>
            </w:r>
          </w:p>
        </w:tc>
        <w:tc>
          <w:tcPr>
            <w:tcW w:w="2137"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sz w:val="24"/>
                <w:szCs w:val="24"/>
              </w:rPr>
              <w:t>门、防火通道：光亮，无浮灰、手印、斑迹；</w:t>
            </w:r>
          </w:p>
          <w:p>
            <w:pPr>
              <w:spacing w:line="360" w:lineRule="auto"/>
              <w:rPr>
                <w:rFonts w:ascii="宋体" w:hAnsi="宋体" w:cs="宋体"/>
                <w:sz w:val="24"/>
                <w:szCs w:val="24"/>
              </w:rPr>
            </w:pPr>
            <w:r>
              <w:rPr>
                <w:rFonts w:hint="eastAsia" w:ascii="宋体" w:hAnsi="宋体" w:cs="宋体"/>
                <w:sz w:val="24"/>
                <w:szCs w:val="24"/>
              </w:rPr>
              <w:t>地面：无灰尘、污迹、水迹，清洁、干净、无斑迹；</w:t>
            </w:r>
          </w:p>
          <w:p>
            <w:pPr>
              <w:spacing w:line="360" w:lineRule="auto"/>
              <w:rPr>
                <w:rFonts w:ascii="宋体" w:hAnsi="宋体" w:cs="宋体"/>
                <w:sz w:val="24"/>
                <w:szCs w:val="24"/>
              </w:rPr>
            </w:pPr>
            <w:r>
              <w:rPr>
                <w:rFonts w:hint="eastAsia" w:ascii="宋体" w:hAnsi="宋体" w:cs="宋体"/>
                <w:sz w:val="24"/>
                <w:szCs w:val="24"/>
              </w:rPr>
              <w:t>床头柜：无灰尘、污迹、蟑螂，干净；</w:t>
            </w:r>
          </w:p>
          <w:p>
            <w:pPr>
              <w:spacing w:line="360" w:lineRule="auto"/>
              <w:rPr>
                <w:rFonts w:ascii="宋体" w:hAnsi="宋体" w:cs="宋体"/>
                <w:sz w:val="24"/>
                <w:szCs w:val="24"/>
              </w:rPr>
            </w:pPr>
            <w:r>
              <w:rPr>
                <w:rFonts w:hint="eastAsia" w:ascii="宋体" w:hAnsi="宋体" w:cs="宋体"/>
                <w:sz w:val="24"/>
                <w:szCs w:val="24"/>
              </w:rPr>
              <w:t>床：无灰尘、污迹、破损；</w:t>
            </w:r>
          </w:p>
          <w:p>
            <w:pPr>
              <w:spacing w:line="360" w:lineRule="auto"/>
              <w:rPr>
                <w:rFonts w:ascii="宋体" w:hAnsi="宋体" w:cs="宋体"/>
                <w:sz w:val="24"/>
                <w:szCs w:val="24"/>
              </w:rPr>
            </w:pPr>
            <w:r>
              <w:rPr>
                <w:rFonts w:hint="eastAsia" w:ascii="宋体" w:hAnsi="宋体" w:cs="宋体"/>
                <w:sz w:val="24"/>
                <w:szCs w:val="24"/>
              </w:rPr>
              <w:t>家具及各类诊疗设备表面：光亮，无浮灰、手印、斑迹；</w:t>
            </w:r>
          </w:p>
          <w:p>
            <w:pPr>
              <w:spacing w:line="360" w:lineRule="auto"/>
              <w:rPr>
                <w:rFonts w:ascii="宋体" w:hAnsi="宋体" w:cs="宋体"/>
                <w:sz w:val="24"/>
                <w:szCs w:val="24"/>
              </w:rPr>
            </w:pPr>
            <w:r>
              <w:rPr>
                <w:rFonts w:hint="eastAsia" w:ascii="宋体" w:hAnsi="宋体" w:cs="宋体"/>
                <w:sz w:val="24"/>
                <w:szCs w:val="24"/>
              </w:rPr>
              <w:t>垃圾收集:清除室内杂物及更换床旁生活垃圾袋,将生活垃圾袋放置于清洁车后面废物袋。</w:t>
            </w:r>
          </w:p>
        </w:tc>
        <w:tc>
          <w:tcPr>
            <w:tcW w:w="4678"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sz w:val="24"/>
                <w:szCs w:val="24"/>
              </w:rPr>
              <w:t>每日早上6：00开始对病房通道和办公区域地面进行清扫工作；每日早上8：00前完成病房的清洁工作,所有病床、床头柜等物体表面及治疗准备间、治疗室清洁要在早上临床治疗前完成（循环维护）；每日上午10:30前完成门、窗、桌、椅、开水房、厕所、设备带及其它区域的清洁卫生工作；及时完成出院、转科、转床、转院患者床单元的终末处置；每日下午15:00前完成厕所、开水房、设备井及辅助用房的清洁卫生；每20-30分钟巡视维护一次开水房、厕所、楼道的清洁卫生，保持干净整洁；及时完成垃圾桶内垃圾的清理转运工作。在完成本职工作下听从护士长的安排。</w:t>
            </w:r>
          </w:p>
          <w:p>
            <w:pPr>
              <w:spacing w:line="360" w:lineRule="auto"/>
              <w:rPr>
                <w:rFonts w:ascii="宋体" w:hAnsi="宋体" w:cs="宋体"/>
                <w:sz w:val="24"/>
                <w:szCs w:val="24"/>
              </w:rPr>
            </w:pPr>
            <w:r>
              <w:rPr>
                <w:rFonts w:hint="eastAsia" w:ascii="宋体" w:hAnsi="宋体" w:cs="宋体"/>
                <w:sz w:val="24"/>
                <w:szCs w:val="24"/>
              </w:rPr>
              <w:t>门、防火通道：每周三次；</w:t>
            </w:r>
          </w:p>
          <w:p>
            <w:pPr>
              <w:spacing w:line="360" w:lineRule="auto"/>
              <w:rPr>
                <w:rFonts w:ascii="宋体" w:hAnsi="宋体" w:cs="宋体"/>
                <w:sz w:val="24"/>
                <w:szCs w:val="24"/>
              </w:rPr>
            </w:pPr>
            <w:r>
              <w:rPr>
                <w:rFonts w:hint="eastAsia" w:ascii="宋体" w:hAnsi="宋体" w:cs="宋体"/>
                <w:sz w:val="24"/>
                <w:szCs w:val="24"/>
              </w:rPr>
              <w:t>地面：每日保洁次数在三次以上，随脏随拖，每周彻底大清洁一次；</w:t>
            </w:r>
          </w:p>
          <w:p>
            <w:pPr>
              <w:spacing w:line="360" w:lineRule="auto"/>
              <w:rPr>
                <w:rFonts w:ascii="宋体" w:hAnsi="宋体" w:cs="宋体"/>
                <w:sz w:val="24"/>
                <w:szCs w:val="24"/>
              </w:rPr>
            </w:pPr>
            <w:r>
              <w:rPr>
                <w:rFonts w:hint="eastAsia" w:ascii="宋体" w:hAnsi="宋体" w:cs="宋体"/>
                <w:sz w:val="24"/>
                <w:szCs w:val="24"/>
              </w:rPr>
              <w:t>床头柜：每天至少两次；</w:t>
            </w:r>
          </w:p>
          <w:p>
            <w:pPr>
              <w:spacing w:line="360" w:lineRule="auto"/>
              <w:rPr>
                <w:rFonts w:ascii="宋体" w:hAnsi="宋体" w:cs="宋体"/>
                <w:sz w:val="24"/>
                <w:szCs w:val="24"/>
              </w:rPr>
            </w:pPr>
            <w:r>
              <w:rPr>
                <w:rFonts w:hint="eastAsia" w:ascii="宋体" w:hAnsi="宋体" w:cs="宋体"/>
                <w:sz w:val="24"/>
                <w:szCs w:val="24"/>
              </w:rPr>
              <w:t>床：每天两次，病人出院转科后及时终末清洁；</w:t>
            </w:r>
          </w:p>
          <w:p>
            <w:pPr>
              <w:spacing w:line="360" w:lineRule="auto"/>
              <w:rPr>
                <w:rFonts w:ascii="宋体" w:hAnsi="宋体" w:cs="宋体"/>
                <w:sz w:val="24"/>
                <w:szCs w:val="24"/>
              </w:rPr>
            </w:pPr>
            <w:r>
              <w:rPr>
                <w:rFonts w:hint="eastAsia" w:ascii="宋体" w:hAnsi="宋体" w:cs="宋体"/>
                <w:sz w:val="24"/>
                <w:szCs w:val="24"/>
              </w:rPr>
              <w:t>家具及各类诊疗设备表面：每天两次；</w:t>
            </w:r>
          </w:p>
          <w:p>
            <w:pPr>
              <w:spacing w:line="360" w:lineRule="auto"/>
              <w:rPr>
                <w:rFonts w:ascii="宋体" w:hAnsi="宋体" w:cs="宋体"/>
                <w:sz w:val="24"/>
                <w:szCs w:val="24"/>
              </w:rPr>
            </w:pPr>
            <w:r>
              <w:rPr>
                <w:rFonts w:hint="eastAsia" w:ascii="宋体" w:hAnsi="宋体" w:cs="宋体"/>
                <w:sz w:val="24"/>
                <w:szCs w:val="24"/>
              </w:rPr>
              <w:t>垃圾收集：每天上、下午至少各一次，垃圾满2/3时及时收集；</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3" w:hRule="atLeast"/>
          <w:jc w:val="center"/>
        </w:trPr>
        <w:tc>
          <w:tcPr>
            <w:tcW w:w="676" w:type="dxa"/>
            <w:vMerge w:val="continue"/>
            <w:tcBorders>
              <w:left w:val="single" w:color="auto" w:sz="4" w:space="0"/>
              <w:right w:val="single" w:color="auto" w:sz="4" w:space="0"/>
            </w:tcBorders>
            <w:noWrap/>
            <w:vAlign w:val="center"/>
          </w:tcPr>
          <w:p>
            <w:pPr>
              <w:spacing w:line="360" w:lineRule="auto"/>
              <w:jc w:val="center"/>
              <w:rPr>
                <w:rFonts w:ascii="宋体" w:hAnsi="宋体" w:cs="宋体"/>
                <w:b/>
                <w:sz w:val="24"/>
                <w:szCs w:val="24"/>
              </w:rPr>
            </w:pPr>
          </w:p>
        </w:tc>
        <w:tc>
          <w:tcPr>
            <w:tcW w:w="115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bCs/>
                <w:sz w:val="24"/>
                <w:szCs w:val="24"/>
              </w:rPr>
            </w:pPr>
            <w:r>
              <w:rPr>
                <w:rFonts w:hint="eastAsia" w:ascii="宋体" w:hAnsi="宋体" w:cs="宋体"/>
                <w:kern w:val="0"/>
                <w:sz w:val="24"/>
                <w:szCs w:val="24"/>
              </w:rPr>
              <w:t>临床科室用房</w:t>
            </w:r>
          </w:p>
        </w:tc>
        <w:tc>
          <w:tcPr>
            <w:tcW w:w="2137"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sz w:val="24"/>
                <w:szCs w:val="24"/>
              </w:rPr>
              <w:t>负责公共区域内的保洁工作，包括电梯厅、通道、卫生间、办公区、楼梯、扶手及门窗、墙面等公共区域，并按照规定严格消毒。</w:t>
            </w:r>
          </w:p>
          <w:p>
            <w:pPr>
              <w:spacing w:line="360" w:lineRule="auto"/>
              <w:rPr>
                <w:rFonts w:ascii="宋体" w:hAnsi="宋体" w:cs="宋体"/>
                <w:sz w:val="24"/>
                <w:szCs w:val="24"/>
              </w:rPr>
            </w:pPr>
            <w:r>
              <w:rPr>
                <w:rFonts w:hint="eastAsia" w:ascii="宋体" w:hAnsi="宋体" w:cs="宋体"/>
                <w:sz w:val="24"/>
                <w:szCs w:val="24"/>
              </w:rPr>
              <w:t>门、通道：光亮，无浮灰、手印、斑迹；</w:t>
            </w:r>
          </w:p>
          <w:p>
            <w:pPr>
              <w:spacing w:line="360" w:lineRule="auto"/>
              <w:rPr>
                <w:rFonts w:ascii="宋体" w:hAnsi="宋体" w:cs="宋体"/>
                <w:sz w:val="24"/>
                <w:szCs w:val="24"/>
              </w:rPr>
            </w:pPr>
            <w:r>
              <w:rPr>
                <w:rFonts w:hint="eastAsia" w:ascii="宋体" w:hAnsi="宋体" w:cs="宋体"/>
                <w:sz w:val="24"/>
                <w:szCs w:val="24"/>
              </w:rPr>
              <w:t>地面：无灰尘、污迹、水迹，清洁、干净、无斑迹；</w:t>
            </w:r>
          </w:p>
          <w:p>
            <w:pPr>
              <w:spacing w:line="360" w:lineRule="auto"/>
              <w:rPr>
                <w:rFonts w:ascii="宋体" w:hAnsi="宋体" w:cs="宋体"/>
                <w:sz w:val="24"/>
                <w:szCs w:val="24"/>
              </w:rPr>
            </w:pPr>
            <w:r>
              <w:rPr>
                <w:rFonts w:hint="eastAsia" w:ascii="宋体" w:hAnsi="宋体" w:cs="宋体"/>
                <w:sz w:val="24"/>
                <w:szCs w:val="24"/>
              </w:rPr>
              <w:t>家具及各类诊疗设备表面：光亮，无浮灰、手印、斑迹；</w:t>
            </w:r>
          </w:p>
          <w:p>
            <w:pPr>
              <w:spacing w:line="360" w:lineRule="auto"/>
              <w:rPr>
                <w:rFonts w:ascii="宋体" w:hAnsi="宋体" w:cs="宋体"/>
                <w:sz w:val="24"/>
                <w:szCs w:val="24"/>
              </w:rPr>
            </w:pPr>
          </w:p>
        </w:tc>
        <w:tc>
          <w:tcPr>
            <w:tcW w:w="4678"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sz w:val="24"/>
                <w:szCs w:val="24"/>
              </w:rPr>
              <w:t>门、通道：每周三次；</w:t>
            </w:r>
          </w:p>
          <w:p>
            <w:pPr>
              <w:spacing w:line="360" w:lineRule="auto"/>
              <w:rPr>
                <w:rFonts w:ascii="宋体" w:hAnsi="宋体" w:cs="宋体"/>
                <w:sz w:val="24"/>
                <w:szCs w:val="24"/>
              </w:rPr>
            </w:pPr>
            <w:r>
              <w:rPr>
                <w:rFonts w:hint="eastAsia" w:ascii="宋体" w:hAnsi="宋体" w:cs="宋体"/>
                <w:sz w:val="24"/>
                <w:szCs w:val="24"/>
              </w:rPr>
              <w:t>地面：每日保洁次数在三次以上，随脏随拖，每周彻底大清洁一次；</w:t>
            </w:r>
          </w:p>
          <w:p>
            <w:pPr>
              <w:spacing w:line="360" w:lineRule="auto"/>
              <w:rPr>
                <w:rFonts w:ascii="宋体" w:hAnsi="宋体" w:cs="宋体"/>
                <w:sz w:val="24"/>
                <w:szCs w:val="24"/>
              </w:rPr>
            </w:pPr>
            <w:r>
              <w:rPr>
                <w:rFonts w:hint="eastAsia" w:ascii="宋体" w:hAnsi="宋体" w:cs="宋体"/>
                <w:sz w:val="24"/>
                <w:szCs w:val="24"/>
              </w:rPr>
              <w:t>每日早上6：00开始对地面进行清扫工作；每日早上8：00前完成科室的清洁工作；每日上午10:30前完成门、窗、桌、椅、开水房、厕所及其它区域的清洁卫生工作；每日下午14:00前完成科室的第二次清洁工作；每日下午15:00前完成厕所、开水房、设备井及辅助用房的清洁卫生；每20-30分钟巡视维护一次开水房、厕所、楼道的清洁卫生，保持干净整洁；及时完成垃圾桶内垃圾的清理转运工作。家具及各类诊疗设备表面：每天两次；</w:t>
            </w:r>
          </w:p>
          <w:p>
            <w:pPr>
              <w:spacing w:line="360" w:lineRule="auto"/>
              <w:rPr>
                <w:rFonts w:ascii="宋体" w:hAnsi="宋体" w:cs="宋体"/>
                <w:sz w:val="24"/>
                <w:szCs w:val="24"/>
              </w:rPr>
            </w:pPr>
            <w:r>
              <w:rPr>
                <w:rFonts w:hint="eastAsia" w:ascii="宋体" w:hAnsi="宋体" w:cs="宋体"/>
                <w:sz w:val="24"/>
                <w:szCs w:val="24"/>
              </w:rPr>
              <w:t>垃圾收集：每天上、下午至少各一次，垃圾满2/3时及时收集；</w:t>
            </w:r>
          </w:p>
          <w:p>
            <w:pPr>
              <w:spacing w:line="360" w:lineRule="auto"/>
              <w:rPr>
                <w:rFonts w:ascii="宋体" w:hAnsi="宋体" w:cs="宋体"/>
                <w:sz w:val="24"/>
                <w:szCs w:val="24"/>
              </w:rPr>
            </w:pPr>
            <w:r>
              <w:rPr>
                <w:rFonts w:hint="eastAsia" w:ascii="宋体" w:hAnsi="宋体" w:cs="宋体"/>
                <w:sz w:val="24"/>
                <w:szCs w:val="24"/>
              </w:rPr>
              <w:t>急诊科每日用消毒水擦洗急诊科抢救室、治疗室、观察室的床、桌椅及器械柜外表等，用消毒水及时清洁急诊区域的地面、墙面的血迹和呕吐液等。严格按照急诊规定操作，必要时更换工作衣、裤、帽、口罩和手套。</w:t>
            </w:r>
          </w:p>
          <w:p>
            <w:pPr>
              <w:spacing w:line="360" w:lineRule="auto"/>
              <w:rPr>
                <w:rFonts w:ascii="宋体" w:hAnsi="宋体" w:cs="宋体"/>
                <w:sz w:val="24"/>
                <w:szCs w:val="24"/>
              </w:rPr>
            </w:pPr>
            <w:r>
              <w:rPr>
                <w:rFonts w:hint="eastAsia" w:ascii="宋体" w:hAnsi="宋体" w:cs="宋体"/>
                <w:sz w:val="24"/>
                <w:szCs w:val="24"/>
              </w:rPr>
              <w:t>其他科室每日用消毒水擦洗区域内诊断室、治疗室、桌椅及器械柜外表等，用消毒水及时清洁区域内的地面、墙面、电梯厅的血迹和呕吐液等。</w:t>
            </w:r>
          </w:p>
          <w:p>
            <w:pPr>
              <w:spacing w:line="360" w:lineRule="auto"/>
              <w:rPr>
                <w:rFonts w:ascii="宋体" w:hAnsi="宋体" w:cs="宋体"/>
                <w:sz w:val="24"/>
                <w:szCs w:val="24"/>
              </w:rPr>
            </w:pPr>
            <w:r>
              <w:rPr>
                <w:rFonts w:hint="eastAsia" w:ascii="宋体" w:hAnsi="宋体" w:cs="宋体"/>
                <w:sz w:val="24"/>
                <w:szCs w:val="24"/>
              </w:rPr>
              <w:t>负责清洁医生办公室、护士站、值班室、更衣室等的桌椅、吊柜及书架等，并按照医护人员要求，及时处理无用的标本，纸张等。</w:t>
            </w:r>
          </w:p>
          <w:p>
            <w:pPr>
              <w:spacing w:line="360" w:lineRule="auto"/>
              <w:rPr>
                <w:rFonts w:ascii="宋体" w:hAnsi="宋体" w:cs="宋体"/>
                <w:sz w:val="24"/>
                <w:szCs w:val="24"/>
              </w:rPr>
            </w:pPr>
            <w:r>
              <w:rPr>
                <w:rFonts w:hint="eastAsia" w:ascii="宋体" w:hAnsi="宋体" w:cs="宋体"/>
                <w:sz w:val="24"/>
                <w:szCs w:val="24"/>
              </w:rPr>
              <w:t>保持电话、空调等医用电器和其他医疗辅助仪器的外表清洁。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240"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restart"/>
            <w:tcBorders>
              <w:top w:val="single" w:color="auto" w:sz="4" w:space="0"/>
              <w:left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r>
              <w:rPr>
                <w:rFonts w:hint="eastAsia" w:ascii="宋体" w:hAnsi="宋体" w:cs="宋体"/>
                <w:bCs/>
                <w:sz w:val="24"/>
                <w:szCs w:val="24"/>
                <w:shd w:val="clear" w:color="auto" w:fill="FFFFFF"/>
              </w:rPr>
              <w:t>非临床科室用房</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shd w:val="clear" w:color="auto" w:fill="FFFFFF"/>
              </w:rPr>
            </w:pPr>
            <w:r>
              <w:rPr>
                <w:rFonts w:hint="eastAsia" w:ascii="宋体" w:hAnsi="宋体" w:cs="宋体"/>
                <w:sz w:val="24"/>
                <w:szCs w:val="24"/>
                <w:shd w:val="clear" w:color="auto" w:fill="FFFFFF"/>
              </w:rPr>
              <w:t>各类办公、业务、休息室、接待室、科研教学室、资料室、库房、药房等非临床用房的清洁，按清洁频次及要求及时清洁。</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rPr>
            </w:pPr>
            <w:r>
              <w:rPr>
                <w:rFonts w:hint="eastAsia" w:ascii="宋体" w:hAnsi="宋体" w:cs="宋体"/>
                <w:sz w:val="24"/>
                <w:szCs w:val="24"/>
              </w:rPr>
              <w:t>每周2次为办公室区域内桌椅柜地面等进行清洁工作。</w:t>
            </w:r>
          </w:p>
          <w:p>
            <w:pPr>
              <w:spacing w:after="120" w:line="360" w:lineRule="auto"/>
              <w:rPr>
                <w:rFonts w:ascii="宋体" w:hAnsi="宋体" w:cs="宋体"/>
                <w:sz w:val="24"/>
                <w:szCs w:val="24"/>
              </w:rPr>
            </w:pPr>
            <w:r>
              <w:rPr>
                <w:rFonts w:hint="eastAsia" w:ascii="宋体" w:hAnsi="宋体" w:cs="宋体"/>
                <w:sz w:val="24"/>
                <w:szCs w:val="24"/>
              </w:rPr>
              <w:t>每日对区域内公区地面、机房、电梯、卫生间、墙壁、玻璃彻底清洁，垃圾桶满2/3及时更换。</w:t>
            </w:r>
          </w:p>
          <w:p>
            <w:pPr>
              <w:widowControl/>
              <w:spacing w:line="360" w:lineRule="auto"/>
              <w:jc w:val="left"/>
              <w:rPr>
                <w:rFonts w:ascii="宋体" w:hAnsi="宋体" w:cs="宋体"/>
                <w:sz w:val="24"/>
                <w:szCs w:val="24"/>
              </w:rPr>
            </w:pPr>
            <w:r>
              <w:rPr>
                <w:rFonts w:hint="eastAsia" w:ascii="宋体" w:hAnsi="宋体" w:cs="宋体"/>
                <w:sz w:val="24"/>
                <w:szCs w:val="24"/>
              </w:rPr>
              <w:t>每日收集纸篓垃圾，清洁楼梯、地面，擦拭台，桌面，沙发，办公设备，楼梯扶手，巡视保洁数次。每天例行清洁时间的执行以不影响医院公务为原则。除室外及垃圾箱内的垃圾外，室内文书、信函、纸条等物件（物体）在清理前须征得室内人员同意后进行。</w:t>
            </w:r>
          </w:p>
          <w:p>
            <w:pPr>
              <w:spacing w:after="120" w:line="360" w:lineRule="auto"/>
              <w:rPr>
                <w:rFonts w:ascii="宋体" w:hAnsi="宋体" w:cs="宋体"/>
                <w:sz w:val="24"/>
                <w:szCs w:val="24"/>
              </w:rPr>
            </w:pPr>
            <w:r>
              <w:rPr>
                <w:rFonts w:hint="eastAsia" w:ascii="宋体" w:hAnsi="宋体" w:cs="宋体"/>
                <w:sz w:val="24"/>
                <w:szCs w:val="24"/>
              </w:rPr>
              <w:t>部分药品搬运。</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959"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sz w:val="24"/>
                <w:szCs w:val="24"/>
                <w:shd w:val="clear" w:color="auto" w:fill="FFFFFF"/>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shd w:val="clear" w:color="auto" w:fill="FFFFFF"/>
              </w:rPr>
            </w:pPr>
            <w:r>
              <w:rPr>
                <w:rFonts w:hint="eastAsia" w:ascii="宋体" w:hAnsi="宋体" w:cs="宋体"/>
                <w:kern w:val="0"/>
                <w:sz w:val="24"/>
                <w:szCs w:val="24"/>
              </w:rPr>
              <w:t>城南院区行政楼4楼、金彭西路院区行政楼、会议室</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rPr>
            </w:pPr>
            <w:r>
              <w:rPr>
                <w:rFonts w:hint="eastAsia" w:ascii="宋体" w:hAnsi="宋体" w:cs="宋体"/>
                <w:sz w:val="24"/>
                <w:szCs w:val="24"/>
              </w:rPr>
              <w:t>负责行政楼楼梯、楼道、卫生间等公共区域的清洁工作，负责会议室的清洁及桌椅板凳等整理工作。</w:t>
            </w:r>
          </w:p>
          <w:p>
            <w:pPr>
              <w:widowControl/>
              <w:spacing w:line="360" w:lineRule="auto"/>
              <w:jc w:val="left"/>
              <w:rPr>
                <w:rFonts w:ascii="宋体" w:hAnsi="宋体" w:cs="宋体"/>
                <w:sz w:val="24"/>
                <w:szCs w:val="24"/>
              </w:rPr>
            </w:pPr>
            <w:r>
              <w:rPr>
                <w:rFonts w:hint="eastAsia" w:ascii="宋体" w:hAnsi="宋体" w:cs="宋体"/>
                <w:sz w:val="24"/>
                <w:szCs w:val="24"/>
              </w:rPr>
              <w:t>负责城南院区到院区之间消毒包的转运及搬运。</w:t>
            </w:r>
            <w:r>
              <w:rPr>
                <w:rFonts w:hint="eastAsia" w:ascii="宋体" w:hAnsi="宋体" w:cs="宋体"/>
                <w:sz w:val="24"/>
                <w:szCs w:val="24"/>
              </w:rPr>
              <w:br w:type="textWrapping"/>
            </w:r>
            <w:r>
              <w:rPr>
                <w:rFonts w:hint="eastAsia" w:ascii="宋体" w:hAnsi="宋体" w:cs="宋体"/>
                <w:sz w:val="24"/>
                <w:szCs w:val="24"/>
              </w:rPr>
              <w:t>每日对楼内卫生间、墙壁、玻璃彻底清洁，垃圾桶满2/3及时更换。收集办公室纸篓垃圾，清洁楼梯、地面，擦拭台，桌面，沙发，办公设备，楼梯扶手巡视保洁数次。</w:t>
            </w:r>
          </w:p>
          <w:p>
            <w:pPr>
              <w:widowControl/>
              <w:spacing w:line="360" w:lineRule="auto"/>
              <w:jc w:val="left"/>
              <w:rPr>
                <w:rFonts w:ascii="宋体" w:hAnsi="宋体" w:cs="宋体"/>
                <w:sz w:val="24"/>
                <w:szCs w:val="24"/>
              </w:rPr>
            </w:pPr>
            <w:r>
              <w:rPr>
                <w:rFonts w:hint="eastAsia" w:ascii="宋体" w:hAnsi="宋体" w:cs="宋体"/>
                <w:sz w:val="24"/>
                <w:szCs w:val="24"/>
              </w:rPr>
              <w:t>除室外及垃圾箱内的垃圾外，室内文书、信函、纸条等物件（物体）在清理前须征得室内人员同意后进行。</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966"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restart"/>
            <w:tcBorders>
              <w:top w:val="single" w:color="auto" w:sz="4" w:space="0"/>
              <w:left w:val="single" w:color="auto" w:sz="4" w:space="0"/>
              <w:right w:val="single" w:color="auto" w:sz="4" w:space="0"/>
            </w:tcBorders>
            <w:noWrap/>
            <w:vAlign w:val="center"/>
          </w:tcPr>
          <w:p>
            <w:pPr>
              <w:widowControl/>
              <w:spacing w:line="360" w:lineRule="auto"/>
              <w:jc w:val="center"/>
              <w:rPr>
                <w:rFonts w:ascii="宋体" w:hAnsi="宋体" w:cs="宋体"/>
                <w:bCs/>
                <w:sz w:val="24"/>
                <w:szCs w:val="24"/>
              </w:rPr>
            </w:pPr>
            <w:r>
              <w:rPr>
                <w:rFonts w:hint="eastAsia" w:ascii="宋体" w:hAnsi="宋体" w:cs="宋体"/>
                <w:bCs/>
                <w:sz w:val="24"/>
                <w:szCs w:val="24"/>
              </w:rPr>
              <w:t>公共</w:t>
            </w:r>
          </w:p>
          <w:p>
            <w:pPr>
              <w:widowControl/>
              <w:spacing w:line="360" w:lineRule="auto"/>
              <w:jc w:val="center"/>
              <w:rPr>
                <w:rFonts w:ascii="宋体" w:hAnsi="宋体" w:cs="宋体"/>
                <w:bCs/>
                <w:sz w:val="24"/>
                <w:szCs w:val="24"/>
              </w:rPr>
            </w:pPr>
            <w:r>
              <w:rPr>
                <w:rFonts w:hint="eastAsia" w:ascii="宋体" w:hAnsi="宋体" w:cs="宋体"/>
                <w:bCs/>
                <w:sz w:val="24"/>
                <w:szCs w:val="24"/>
              </w:rPr>
              <w:t>区域</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shd w:val="clear" w:color="auto" w:fill="FFFFFF"/>
              </w:rPr>
            </w:pPr>
            <w:r>
              <w:rPr>
                <w:rFonts w:hint="eastAsia" w:ascii="宋体" w:hAnsi="宋体" w:cs="宋体"/>
                <w:sz w:val="24"/>
                <w:szCs w:val="24"/>
                <w:shd w:val="clear" w:color="auto" w:fill="FFFFFF"/>
              </w:rPr>
              <w:t xml:space="preserve">大厅、楼内，公共通道地面干净、无污渍，有光泽，保持地面材质原貌；门框、窗框、窗台、金属件表面光亮、无灰尘、无污渍；门窗玻璃干净无尘，透光性好，无明显印迹。分诊台、护士站台、候诊椅洁净无尘，候诊室及一切陈列设施无灰尘。 </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shd w:val="clear" w:color="auto" w:fill="FFFFFF"/>
              </w:rPr>
            </w:pPr>
            <w:r>
              <w:rPr>
                <w:rFonts w:hint="eastAsia" w:ascii="宋体" w:hAnsi="宋体" w:cs="宋体"/>
                <w:sz w:val="24"/>
                <w:szCs w:val="24"/>
                <w:shd w:val="clear" w:color="auto" w:fill="FFFFFF"/>
              </w:rPr>
              <w:t>门诊区域的室内外区域在每日早上8：00前完成地面清扫工作；每日上午10:00前完成门、窗、桌、椅、床及公共设施的清洁卫生工作；每20-30分钟巡视维护一次厕所、楼道的清洁卫生，达到医院卫生要求，公区厕所需配置专人保洁；劝戒吸烟人士不得在楼内吸烟；积极热情帮助病人及家属的就医；及时完成垃圾桶内垃圾的清理转运工作。</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116"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rPr>
            </w:pPr>
            <w:r>
              <w:rPr>
                <w:rFonts w:hint="eastAsia" w:ascii="宋体" w:hAnsi="宋体" w:cs="宋体"/>
                <w:sz w:val="24"/>
                <w:szCs w:val="24"/>
                <w:shd w:val="clear" w:color="auto" w:fill="FFFFFF"/>
              </w:rPr>
              <w:t>走廊:清洁光亮，无尘、斑迹、油迹、污迹、烟头。</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sz w:val="24"/>
                <w:szCs w:val="24"/>
                <w:shd w:val="clear" w:color="auto" w:fill="FFFFFF"/>
              </w:rPr>
              <w:t>尘推：2小时1次，随脏随打扫；洗地机：每周1次</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77"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rPr>
            </w:pPr>
            <w:r>
              <w:rPr>
                <w:rFonts w:hint="eastAsia" w:ascii="宋体" w:hAnsi="宋体" w:cs="宋体"/>
                <w:sz w:val="24"/>
                <w:szCs w:val="24"/>
                <w:shd w:val="clear" w:color="auto" w:fill="FFFFFF"/>
              </w:rPr>
              <w:t>楼梯、栏杆:干净，无灰尘、污迹。</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sz w:val="24"/>
                <w:szCs w:val="24"/>
                <w:shd w:val="clear" w:color="auto" w:fill="FFFFFF"/>
              </w:rPr>
              <w:t>用湿拖把拖净,毛巾抹尘，每天两次。</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681"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kern w:val="0"/>
                <w:sz w:val="24"/>
                <w:szCs w:val="24"/>
              </w:rPr>
              <w:t>家具、其他设备表面：无尘无水迹、无污痕、无损伤性痕迹、加大除“四害”的力度。</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kern w:val="0"/>
                <w:sz w:val="24"/>
                <w:szCs w:val="24"/>
              </w:rPr>
              <w:t>每日常规清洁，每周或终末大清洁（家具用物内外彻底清洁擦拭等）。</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81"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卫生间无积水，洗手池无污垢，便池无尿垢，卫生间瓷砖无污迹、金属设施无污迹，加大除“四害”的力度。</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每日常规清洁三次以上、清洗擦拭瓷砖一次以上，倾倒纸篓两次以上，保洁三次以上。</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122"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sz w:val="24"/>
                <w:szCs w:val="24"/>
                <w:shd w:val="clear" w:color="auto" w:fill="FFFFFF"/>
              </w:rPr>
            </w:pPr>
            <w:r>
              <w:rPr>
                <w:rFonts w:hint="eastAsia" w:ascii="宋体" w:hAnsi="宋体" w:cs="宋体"/>
                <w:sz w:val="24"/>
                <w:szCs w:val="24"/>
                <w:shd w:val="clear" w:color="auto" w:fill="FFFFFF"/>
              </w:rPr>
              <w:t>各项工作及标识须严格落实医院院感要求。</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sz w:val="24"/>
                <w:szCs w:val="24"/>
                <w:shd w:val="clear" w:color="auto" w:fill="FFFFFF"/>
              </w:rPr>
              <w:t>为防止交叉感染，对不同区域的清洁工具实行严格分类摆放和使用，用颜色、字标等方式进行区分，放置位置统一、规范；</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382"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shd w:val="clear" w:color="auto" w:fill="FFFFFF"/>
              </w:rPr>
              <w:t>公共</w:t>
            </w:r>
            <w:r>
              <w:rPr>
                <w:rFonts w:hint="eastAsia" w:ascii="宋体" w:hAnsi="宋体" w:cs="宋体"/>
                <w:bCs/>
                <w:sz w:val="24"/>
                <w:szCs w:val="24"/>
              </w:rPr>
              <w:t>外环境的</w:t>
            </w:r>
            <w:r>
              <w:rPr>
                <w:rFonts w:hint="eastAsia" w:ascii="宋体" w:hAnsi="宋体" w:cs="宋体"/>
                <w:sz w:val="24"/>
                <w:szCs w:val="24"/>
              </w:rPr>
              <w:t>垃圾桶、痰盂定时倾倒、清洗，公益设施、标识无乱贴物及灰尘。地面无污物,无积水、无纸屑。</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公共外环境地面每天清扫三次，第一次在每日早上8：00前完成，第二次在每日中午13:30前完成，第三次在每日下午17：00前完成，其余时间为局部打扫和巡视维护；公共区域的路灯灯柱、花台、公共座椅、宣传栏、指示牌、垃圾桶保证每日两次保洁，上午10:30前完成清洁工作，下午16:30前完成；及时完成垃圾桶内垃圾的清理转运工作。道路地面干净无杂物、无积水，无明显污迹、油渍；明沟、窨井内无杂物、无异味；各种标示标牌表面干净无积尘、无水印；路灯表面干净无污渍。绿化带、花箱、绿地内无杂物，花台表面干净无污渍。</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64"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bCs/>
                <w:sz w:val="24"/>
                <w:szCs w:val="24"/>
              </w:rPr>
              <w:t>室内墙面、</w:t>
            </w:r>
            <w:r>
              <w:rPr>
                <w:rFonts w:hint="eastAsia" w:ascii="宋体" w:hAnsi="宋体" w:cs="宋体"/>
                <w:sz w:val="24"/>
                <w:szCs w:val="24"/>
                <w:shd w:val="clear" w:color="auto" w:fill="FFFFFF"/>
              </w:rPr>
              <w:t>通道无污物</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每月使用专业工具对通道及室内墙面进行一次彻底的清洁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126"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Cs/>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bCs/>
                <w:kern w:val="0"/>
                <w:sz w:val="24"/>
                <w:szCs w:val="24"/>
              </w:rPr>
              <w:t>开水房、盥洗室</w:t>
            </w:r>
            <w:r>
              <w:rPr>
                <w:rFonts w:hint="eastAsia" w:ascii="宋体" w:hAnsi="宋体" w:cs="宋体"/>
                <w:kern w:val="0"/>
                <w:sz w:val="24"/>
                <w:szCs w:val="24"/>
              </w:rPr>
              <w:t>地面门窗四壁清洁标准同上。地面台面无积水无臭味，瓷砖墙壁水池无污垢，拖把按要求挂放。清洁用具标识清楚、规范放置。</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kern w:val="0"/>
                <w:sz w:val="24"/>
                <w:szCs w:val="24"/>
              </w:rPr>
              <w:t>每日常规清洁三次以上早、中、晚，保洁三次以上。</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534"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kern w:val="0"/>
                <w:sz w:val="24"/>
                <w:szCs w:val="24"/>
              </w:rPr>
              <w:t>地下车库车位、行车道、坡道、通道的卫生保洁及部分药品搬运，负责管线、灯具保洁工作。</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kern w:val="0"/>
                <w:sz w:val="24"/>
                <w:szCs w:val="24"/>
              </w:rPr>
              <w:t>每日常规清洁两次。随时巡查清除地面肉眼可见的积灰、斑点、污垢、油渍、垃圾等。洁员作业时注意车辆安全，严禁在车辆行驶过程中作业。及时收集转运区域内垃圾及更换区垃圾袋。</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48" w:hRule="atLeast"/>
          <w:jc w:val="center"/>
        </w:trPr>
        <w:tc>
          <w:tcPr>
            <w:tcW w:w="676" w:type="dxa"/>
            <w:vMerge w:val="continue"/>
            <w:tcBorders>
              <w:top w:val="single" w:color="auto" w:sz="4" w:space="0"/>
              <w:left w:val="single" w:color="auto" w:sz="4" w:space="0"/>
              <w:bottom w:val="outset" w:color="auto" w:sz="6"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vMerge w:val="continue"/>
            <w:tcBorders>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shd w:val="clear" w:color="auto" w:fill="FFFFFF"/>
              </w:rPr>
            </w:pP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shd w:val="clear" w:color="auto" w:fill="FFFFFF"/>
              </w:rPr>
            </w:pPr>
            <w:r>
              <w:rPr>
                <w:rFonts w:hint="eastAsia" w:ascii="宋体" w:hAnsi="宋体" w:cs="宋体"/>
                <w:bCs/>
                <w:kern w:val="0"/>
                <w:sz w:val="24"/>
                <w:szCs w:val="24"/>
                <w:shd w:val="clear" w:color="auto" w:fill="FFFFFF"/>
              </w:rPr>
              <w:t>集中清洗：</w:t>
            </w:r>
            <w:r>
              <w:rPr>
                <w:rFonts w:hint="eastAsia" w:ascii="宋体" w:hAnsi="宋体" w:cs="宋体"/>
                <w:kern w:val="0"/>
                <w:sz w:val="24"/>
                <w:szCs w:val="24"/>
                <w:shd w:val="clear" w:color="auto" w:fill="FFFFFF"/>
              </w:rPr>
              <w:t>建立集中清洗服务模式，地巾毛巾统一清洗、烘干，由医院提供场地。</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“一床一巾”和“一房一拖”使用后的每日毛巾及地巾进行集中清洗消毒。</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828" w:hRule="atLeast"/>
          <w:jc w:val="center"/>
        </w:trPr>
        <w:tc>
          <w:tcPr>
            <w:tcW w:w="676" w:type="dxa"/>
            <w:vMerge w:val="restart"/>
            <w:tcBorders>
              <w:top w:val="single" w:color="auto" w:sz="4" w:space="0"/>
              <w:left w:val="single" w:color="auto" w:sz="4" w:space="0"/>
              <w:right w:val="single" w:color="auto" w:sz="4" w:space="0"/>
            </w:tcBorders>
            <w:noWrap/>
            <w:vAlign w:val="center"/>
          </w:tcPr>
          <w:p>
            <w:pPr>
              <w:widowControl/>
              <w:spacing w:line="360" w:lineRule="auto"/>
              <w:jc w:val="left"/>
              <w:rPr>
                <w:rFonts w:ascii="宋体" w:hAnsi="宋体" w:cs="宋体"/>
                <w:b/>
                <w:sz w:val="24"/>
                <w:szCs w:val="24"/>
              </w:rPr>
            </w:pPr>
            <w:r>
              <w:rPr>
                <w:rFonts w:hint="eastAsia" w:ascii="宋体" w:hAnsi="宋体" w:cs="宋体"/>
                <w:b/>
                <w:sz w:val="24"/>
                <w:szCs w:val="24"/>
              </w:rPr>
              <w:t>专项保洁服务</w:t>
            </w: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不锈钢保养</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对院内电梯、不锈钢制品进行维护保养、抛光处理，表面干净、无尘迹、手印。金属、不锈钢上保护剂。</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每天日常清洁消毒不少于两次，电梯维护保养频次每周2次，其他不锈钢制品每半月1次。</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305" w:hRule="atLeast"/>
          <w:jc w:val="center"/>
        </w:trPr>
        <w:tc>
          <w:tcPr>
            <w:tcW w:w="676"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玻璃</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无灰尘、污渍、痰迹、手印。</w:t>
            </w:r>
          </w:p>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各玻璃幕、玻璃间格、各种柱身、扶手、栏杆（含木质、金属、不锈钢）、内玻璃窗、镜面等明净、光亮、无积尘、无污迹、无斑点。</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每半月至少1次对全院3米以下外墙玻璃及室内玻璃进行清洗。每天使用专业玻璃清洁工具、药剂，对门厅玻璃进行一次清洁。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992" w:hRule="atLeast"/>
          <w:jc w:val="center"/>
        </w:trPr>
        <w:tc>
          <w:tcPr>
            <w:tcW w:w="676"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空调风口、灯罩、等高处设施表面</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无积灰、厚污渍、蛛网。</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对灯具、风口、天花板每年2月单独进行一次风口保洁，每季度进行一次对灯具、风口、天花进行彻底的清洁。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439" w:hRule="atLeast"/>
          <w:jc w:val="center"/>
        </w:trPr>
        <w:tc>
          <w:tcPr>
            <w:tcW w:w="676" w:type="dxa"/>
            <w:vMerge w:val="continue"/>
            <w:tcBorders>
              <w:left w:val="single" w:color="auto" w:sz="4" w:space="0"/>
              <w:right w:val="single" w:color="auto" w:sz="4" w:space="0"/>
            </w:tcBorders>
            <w:noWrap/>
            <w:vAlign w:val="center"/>
          </w:tcPr>
          <w:p>
            <w:pPr>
              <w:widowControl/>
              <w:spacing w:line="360" w:lineRule="auto"/>
              <w:jc w:val="left"/>
              <w:rPr>
                <w:rFonts w:ascii="宋体" w:hAnsi="宋体" w:cs="宋体"/>
                <w:b/>
                <w:sz w:val="24"/>
                <w:szCs w:val="24"/>
              </w:rPr>
            </w:pP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窗帘、床帘</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shd w:val="clear" w:color="auto" w:fill="FFFFFF"/>
              </w:rPr>
            </w:pPr>
            <w:r>
              <w:rPr>
                <w:rFonts w:hint="eastAsia" w:ascii="宋体" w:hAnsi="宋体" w:cs="宋体"/>
                <w:sz w:val="24"/>
                <w:szCs w:val="24"/>
                <w:shd w:val="clear" w:color="auto" w:fill="FFFFFF"/>
              </w:rPr>
              <w:t>保持窗帘、床帘表面清洁，普通窗帘、床帘根据窗帘、床帘清洁情况定时拆装送洗，办公区域和普通病房每季度一次、ICU及特殊科室根据院感要求，或随脏随洗。</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99" w:hRule="atLeast"/>
          <w:jc w:val="center"/>
        </w:trPr>
        <w:tc>
          <w:tcPr>
            <w:tcW w:w="676" w:type="dxa"/>
            <w:vMerge w:val="continue"/>
            <w:tcBorders>
              <w:left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地面石材</w:t>
            </w:r>
          </w:p>
        </w:tc>
        <w:tc>
          <w:tcPr>
            <w:tcW w:w="2137"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kern w:val="0"/>
                <w:sz w:val="24"/>
                <w:szCs w:val="24"/>
              </w:rPr>
            </w:pPr>
            <w:r>
              <w:rPr>
                <w:rFonts w:hint="eastAsia" w:ascii="宋体" w:hAnsi="宋体" w:cs="宋体"/>
                <w:kern w:val="0"/>
                <w:sz w:val="24"/>
                <w:szCs w:val="24"/>
              </w:rPr>
              <w:t>负责两院区全部PVC、水磨石、花岗石、大理石、瓷砖地面的循环清洗。</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sz w:val="24"/>
                <w:szCs w:val="24"/>
              </w:rPr>
            </w:pPr>
            <w:r>
              <w:rPr>
                <w:rFonts w:hint="eastAsia" w:ascii="宋体" w:hAnsi="宋体" w:cs="宋体"/>
                <w:sz w:val="24"/>
                <w:szCs w:val="24"/>
                <w:shd w:val="clear" w:color="auto" w:fill="FFFFFF"/>
              </w:rPr>
              <w:t>每月使用专业工具对地面石材进行循环清洁。</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552" w:hRule="atLeast"/>
          <w:jc w:val="center"/>
        </w:trPr>
        <w:tc>
          <w:tcPr>
            <w:tcW w:w="676" w:type="dxa"/>
            <w:tcBorders>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保洁工具</w:t>
            </w:r>
          </w:p>
        </w:tc>
        <w:tc>
          <w:tcPr>
            <w:tcW w:w="115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Cs/>
                <w:kern w:val="0"/>
                <w:sz w:val="24"/>
                <w:szCs w:val="24"/>
              </w:rPr>
            </w:pPr>
            <w:r>
              <w:rPr>
                <w:rFonts w:hint="eastAsia" w:ascii="宋体" w:hAnsi="宋体" w:cs="宋体"/>
                <w:bCs/>
                <w:kern w:val="0"/>
                <w:sz w:val="24"/>
                <w:szCs w:val="24"/>
              </w:rPr>
              <w:t>清洁用具及耗材</w:t>
            </w:r>
          </w:p>
        </w:tc>
        <w:tc>
          <w:tcPr>
            <w:tcW w:w="2137"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shd w:val="clear" w:color="auto" w:fill="FFFFFF"/>
              </w:rPr>
              <w:t>一床一巾，一房一拖；拖把、毛巾颜色分区做好编号、使用尘推清洁地面、拖把必须使用可拆卸式拖把头。所有清洁工具如毛巾、尘推布、拖把头要求不脱屑，集中清洗、消毒、烘干。</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shd w:val="clear" w:color="auto" w:fill="FFFFFF"/>
              </w:rPr>
            </w:pPr>
            <w:r>
              <w:rPr>
                <w:rFonts w:hint="eastAsia" w:ascii="宋体" w:hAnsi="宋体" w:cs="宋体"/>
                <w:kern w:val="0"/>
                <w:sz w:val="24"/>
                <w:szCs w:val="24"/>
                <w:shd w:val="clear" w:color="auto" w:fill="FFFFFF"/>
              </w:rPr>
              <w:t>保洁耗材（保洁洗涤剂、消毒剂、地面养护产品、毛巾）及工具(拖把、扫把、保洁工具车等所有保洁所需工具)均为符合国家环保要求的产品并在进场前7日内提供产品生产许可证、产品出厂合格证、质量保证书，由采购人组织人员进行清点验收。以上保洁耗材及工具费用均由投标人承担。</w:t>
            </w:r>
          </w:p>
          <w:p>
            <w:pPr>
              <w:widowControl/>
              <w:spacing w:line="360" w:lineRule="auto"/>
              <w:rPr>
                <w:rFonts w:ascii="宋体" w:hAnsi="宋体" w:cs="宋体"/>
                <w:sz w:val="24"/>
                <w:szCs w:val="24"/>
                <w:shd w:val="clear" w:color="auto" w:fill="FFFFFF"/>
              </w:rPr>
            </w:pPr>
          </w:p>
        </w:tc>
      </w:tr>
    </w:tbl>
    <w:p>
      <w:pPr>
        <w:numPr>
          <w:ilvl w:val="0"/>
          <w:numId w:val="0"/>
        </w:numPr>
        <w:spacing w:line="360" w:lineRule="auto"/>
        <w:rPr>
          <w:rFonts w:hint="eastAsia" w:ascii="宋体" w:hAnsi="宋体" w:cs="宋体"/>
          <w:sz w:val="24"/>
          <w:szCs w:val="24"/>
        </w:rPr>
      </w:pPr>
      <w:r>
        <w:rPr>
          <w:rFonts w:hint="eastAsia" w:ascii="宋体" w:hAnsi="宋体" w:cs="宋体"/>
          <w:sz w:val="24"/>
          <w:szCs w:val="24"/>
          <w:lang w:eastAsia="zh-CN"/>
        </w:rPr>
        <w:t>三、</w:t>
      </w:r>
      <w:r>
        <w:rPr>
          <w:rFonts w:hint="eastAsia" w:ascii="宋体" w:hAnsi="宋体" w:cs="宋体"/>
          <w:sz w:val="24"/>
          <w:szCs w:val="24"/>
        </w:rPr>
        <w:t>特殊科室保洁要求</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一</w:t>
      </w:r>
      <w:r>
        <w:rPr>
          <w:rFonts w:hint="eastAsia" w:ascii="宋体" w:hAnsi="宋体" w:cs="宋体"/>
          <w:sz w:val="24"/>
          <w:szCs w:val="24"/>
          <w:lang w:eastAsia="zh-CN"/>
        </w:rPr>
        <w:t>）</w:t>
      </w:r>
      <w:r>
        <w:rPr>
          <w:rFonts w:hint="eastAsia" w:ascii="宋体" w:hAnsi="宋体" w:cs="宋体"/>
          <w:sz w:val="24"/>
          <w:szCs w:val="24"/>
        </w:rPr>
        <w:t>负责特殊科室（含手术室、ICU、血透室）的保洁。相对于普通科室，特殊科室对于物业服务的要求更为专业，应按相关科室要求的工作流程、标准及规范提供服务。</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二</w:t>
      </w:r>
      <w:r>
        <w:rPr>
          <w:rFonts w:hint="eastAsia" w:ascii="宋体" w:hAnsi="宋体" w:cs="宋体"/>
          <w:sz w:val="24"/>
          <w:szCs w:val="24"/>
        </w:rPr>
        <w:t>）特殊科室的环境卫生要制定重点消毒及清洁范围及标准，保洁工作计划需涵盖24小时工作内容，保证手术台、灯架、层流板、器械架等重点区域及所有台面、桌面干净无印并定时消毒擦拭且无遗漏区域。</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三</w:t>
      </w:r>
      <w:r>
        <w:rPr>
          <w:rFonts w:hint="eastAsia" w:ascii="宋体" w:hAnsi="宋体" w:cs="宋体"/>
          <w:sz w:val="24"/>
          <w:szCs w:val="24"/>
        </w:rPr>
        <w:t>）保洁人员必须按照特殊科室门禁管理要求及着装管控要求进出科室，根据特殊科室性质做好保洁人员防护措施。</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四</w:t>
      </w:r>
      <w:r>
        <w:rPr>
          <w:rFonts w:hint="eastAsia" w:ascii="宋体" w:hAnsi="宋体" w:cs="宋体"/>
          <w:sz w:val="24"/>
          <w:szCs w:val="24"/>
        </w:rPr>
        <w:t>）特殊科室所用清洁用具按科室实际情况配置，采用特殊管控标准作业，服从护士长工作安排，严格按照特殊科室制定的标准、规范及院感要求执行。</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五</w:t>
      </w:r>
      <w:r>
        <w:rPr>
          <w:rFonts w:hint="eastAsia" w:ascii="宋体" w:hAnsi="宋体" w:cs="宋体"/>
          <w:sz w:val="24"/>
          <w:szCs w:val="24"/>
        </w:rPr>
        <w:t>）提供的保洁服务方案中应包含特殊科室保洁及驻守工作的每日工作计划安排，提供保洁人员防护措施及特殊科室保洁作业规程。具体区域工作计划安排和服务标准如下：</w:t>
      </w:r>
    </w:p>
    <w:tbl>
      <w:tblPr>
        <w:tblStyle w:val="43"/>
        <w:tblW w:w="8642" w:type="dxa"/>
        <w:jc w:val="center"/>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76"/>
        <w:gridCol w:w="879"/>
        <w:gridCol w:w="2409"/>
        <w:gridCol w:w="4678"/>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100" w:hRule="atLeast"/>
          <w:jc w:val="center"/>
        </w:trPr>
        <w:tc>
          <w:tcPr>
            <w:tcW w:w="676"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服务类别</w:t>
            </w:r>
          </w:p>
        </w:tc>
        <w:tc>
          <w:tcPr>
            <w:tcW w:w="87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w:t>
            </w:r>
          </w:p>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细目</w:t>
            </w:r>
          </w:p>
        </w:tc>
        <w:tc>
          <w:tcPr>
            <w:tcW w:w="2409"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kern w:val="0"/>
                <w:sz w:val="24"/>
                <w:szCs w:val="24"/>
              </w:rPr>
            </w:pPr>
            <w:r>
              <w:rPr>
                <w:rFonts w:hint="eastAsia" w:ascii="宋体" w:hAnsi="宋体" w:cs="宋体"/>
                <w:b/>
                <w:kern w:val="0"/>
                <w:sz w:val="24"/>
                <w:szCs w:val="24"/>
              </w:rPr>
              <w:t>服务标准</w:t>
            </w:r>
          </w:p>
        </w:tc>
        <w:tc>
          <w:tcPr>
            <w:tcW w:w="4678"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宋体" w:hAnsi="宋体" w:cs="宋体"/>
                <w:b/>
                <w:sz w:val="24"/>
                <w:szCs w:val="24"/>
              </w:rPr>
            </w:pPr>
            <w:r>
              <w:rPr>
                <w:rFonts w:hint="eastAsia" w:ascii="宋体" w:hAnsi="宋体" w:cs="宋体"/>
                <w:b/>
                <w:sz w:val="24"/>
                <w:szCs w:val="24"/>
              </w:rPr>
              <w:t>每日工作计划安排</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95" w:hRule="atLeast"/>
          <w:jc w:val="center"/>
        </w:trPr>
        <w:tc>
          <w:tcPr>
            <w:tcW w:w="676" w:type="dxa"/>
            <w:vMerge w:val="restart"/>
            <w:tcBorders>
              <w:left w:val="single" w:color="auto" w:sz="4" w:space="0"/>
              <w:right w:val="single" w:color="auto" w:sz="4" w:space="0"/>
            </w:tcBorders>
            <w:noWrap/>
            <w:vAlign w:val="center"/>
          </w:tcPr>
          <w:p>
            <w:pPr>
              <w:spacing w:line="360" w:lineRule="auto"/>
              <w:jc w:val="center"/>
              <w:rPr>
                <w:rFonts w:ascii="宋体" w:hAnsi="宋体" w:cs="宋体"/>
                <w:b/>
                <w:sz w:val="24"/>
                <w:szCs w:val="24"/>
              </w:rPr>
            </w:pPr>
            <w:r>
              <w:rPr>
                <w:rFonts w:hint="eastAsia" w:ascii="宋体" w:hAnsi="宋体" w:cs="宋体"/>
                <w:b/>
                <w:sz w:val="24"/>
                <w:szCs w:val="24"/>
              </w:rPr>
              <w:t>特殊科室</w:t>
            </w:r>
          </w:p>
        </w:tc>
        <w:tc>
          <w:tcPr>
            <w:tcW w:w="87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bCs/>
                <w:sz w:val="24"/>
                <w:szCs w:val="24"/>
              </w:rPr>
            </w:pPr>
            <w:r>
              <w:rPr>
                <w:rFonts w:hint="eastAsia" w:ascii="宋体" w:hAnsi="宋体" w:cs="宋体"/>
                <w:bCs/>
                <w:sz w:val="24"/>
                <w:szCs w:val="24"/>
              </w:rPr>
              <w:t>血透室</w:t>
            </w:r>
          </w:p>
        </w:tc>
        <w:tc>
          <w:tcPr>
            <w:tcW w:w="2409"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rPr>
                <w:rFonts w:ascii="宋体" w:hAnsi="宋体" w:cs="宋体"/>
                <w:sz w:val="24"/>
                <w:szCs w:val="24"/>
              </w:rPr>
            </w:pPr>
            <w:r>
              <w:rPr>
                <w:rFonts w:hint="eastAsia" w:ascii="宋体" w:hAnsi="宋体" w:cs="宋体"/>
                <w:sz w:val="24"/>
                <w:szCs w:val="24"/>
              </w:rPr>
              <w:t>卫生区域包括治疗区的阴性透析厅、等候区、污物走廊阴性区和阳性透析厅、等候区、污物走廊阳性区、污物暂存间等；非治疗区的医生护士值班房、更衣室、办公室、多功能厅、库房、集中供液间、置管室、通道、卫生间等。</w:t>
            </w:r>
          </w:p>
          <w:p>
            <w:pPr>
              <w:spacing w:line="360" w:lineRule="auto"/>
              <w:ind w:firstLine="480" w:firstLineChars="200"/>
              <w:rPr>
                <w:rFonts w:ascii="宋体" w:hAnsi="宋体" w:cs="宋体"/>
                <w:sz w:val="24"/>
                <w:szCs w:val="24"/>
              </w:rPr>
            </w:pPr>
            <w:r>
              <w:rPr>
                <w:rFonts w:hint="eastAsia" w:ascii="宋体" w:hAnsi="宋体" w:cs="宋体"/>
                <w:sz w:val="24"/>
                <w:szCs w:val="24"/>
              </w:rPr>
              <w:t>标准同病房标准。</w:t>
            </w:r>
          </w:p>
          <w:p>
            <w:pPr>
              <w:spacing w:line="360" w:lineRule="auto"/>
              <w:rPr>
                <w:rFonts w:ascii="宋体" w:hAnsi="宋体" w:cs="宋体"/>
                <w:sz w:val="24"/>
                <w:szCs w:val="24"/>
              </w:rPr>
            </w:pPr>
          </w:p>
        </w:tc>
        <w:tc>
          <w:tcPr>
            <w:tcW w:w="4678"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sz w:val="24"/>
                <w:szCs w:val="24"/>
              </w:rPr>
              <w:t>在护士长的指导下，做好7:30之前血液透析室的清洁卫生工作及各种内、外勤工作，保持血液透析室的环境整洁。内容同病房保洁。</w:t>
            </w:r>
            <w:r>
              <w:rPr>
                <w:rFonts w:hint="eastAsia" w:ascii="宋体" w:hAnsi="宋体" w:cs="宋体"/>
                <w:sz w:val="24"/>
                <w:szCs w:val="24"/>
              </w:rPr>
              <w:br w:type="textWrapping"/>
            </w:r>
            <w:r>
              <w:rPr>
                <w:rFonts w:hint="eastAsia" w:ascii="宋体" w:hAnsi="宋体" w:cs="宋体"/>
                <w:sz w:val="24"/>
                <w:szCs w:val="24"/>
              </w:rPr>
              <w:t>7:30等候区门口维持秩序、及时添加鞋套、协助病人、测量体温、流调。每次病人上下机后及时清扫地面，每日配含氯消毒液擦拭设备带、床档、床头柜、治疗车、治疗室桌面；下机之前及时准备医疗垃圾桶，垃圾打包称重、垃圾处置、收脏床单、关门锁窗。医疗垃圾、生活垃圾每日收两次并做好登记，每月汇总报总务班。</w:t>
            </w:r>
            <w:r>
              <w:rPr>
                <w:rFonts w:hint="eastAsia" w:ascii="宋体" w:hAnsi="宋体" w:cs="宋体"/>
                <w:sz w:val="24"/>
                <w:szCs w:val="24"/>
              </w:rPr>
              <w:br w:type="textWrapping"/>
            </w:r>
            <w:r>
              <w:rPr>
                <w:rFonts w:hint="eastAsia" w:ascii="宋体" w:hAnsi="宋体" w:cs="宋体"/>
                <w:sz w:val="24"/>
                <w:szCs w:val="24"/>
              </w:rPr>
              <w:t>开水处理机、开血透机，每班协助更换床单、被套、枕套，协助病人入厅铺床。协助护士为病人进行简单的生活护理，如翻身、热点心、送标本、住院病人送回病房或陪护检查等。领取物品，生理盐水及床单被套清点更换并确保数量。根据科室需求领取科室日常用品及医疗用品。</w:t>
            </w:r>
            <w:r>
              <w:rPr>
                <w:rFonts w:hint="eastAsia" w:ascii="宋体" w:hAnsi="宋体" w:cs="宋体"/>
                <w:sz w:val="24"/>
                <w:szCs w:val="24"/>
              </w:rPr>
              <w:br w:type="textWrapping"/>
            </w:r>
            <w:r>
              <w:rPr>
                <w:rFonts w:hint="eastAsia" w:ascii="宋体" w:hAnsi="宋体" w:cs="宋体"/>
                <w:sz w:val="24"/>
                <w:szCs w:val="24"/>
              </w:rPr>
              <w:t>及时完成护士长、主管部门安排的其他工作。</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2983" w:hRule="atLeast"/>
          <w:jc w:val="center"/>
        </w:trPr>
        <w:tc>
          <w:tcPr>
            <w:tcW w:w="676" w:type="dxa"/>
            <w:vMerge w:val="continue"/>
            <w:tcBorders>
              <w:left w:val="single" w:color="auto" w:sz="4" w:space="0"/>
              <w:right w:val="single" w:color="auto" w:sz="4" w:space="0"/>
            </w:tcBorders>
            <w:noWrap/>
            <w:vAlign w:val="center"/>
          </w:tcPr>
          <w:p>
            <w:pPr>
              <w:spacing w:line="360" w:lineRule="auto"/>
              <w:jc w:val="center"/>
              <w:rPr>
                <w:rFonts w:ascii="宋体" w:hAnsi="宋体" w:cs="宋体"/>
                <w:b/>
                <w:sz w:val="24"/>
                <w:szCs w:val="24"/>
              </w:rPr>
            </w:pPr>
          </w:p>
        </w:tc>
        <w:tc>
          <w:tcPr>
            <w:tcW w:w="87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bCs/>
                <w:sz w:val="24"/>
                <w:szCs w:val="24"/>
              </w:rPr>
            </w:pPr>
            <w:r>
              <w:rPr>
                <w:rFonts w:hint="eastAsia" w:ascii="宋体" w:hAnsi="宋体" w:cs="宋体"/>
                <w:bCs/>
                <w:sz w:val="24"/>
                <w:szCs w:val="24"/>
              </w:rPr>
              <w:t>ICU</w:t>
            </w:r>
          </w:p>
        </w:tc>
        <w:tc>
          <w:tcPr>
            <w:tcW w:w="2409"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rPr>
                <w:rFonts w:ascii="宋体" w:hAnsi="宋体" w:cs="宋体"/>
                <w:kern w:val="0"/>
                <w:sz w:val="24"/>
                <w:szCs w:val="24"/>
              </w:rPr>
            </w:pPr>
            <w:r>
              <w:rPr>
                <w:rFonts w:hint="eastAsia" w:ascii="宋体" w:hAnsi="宋体" w:cs="宋体"/>
                <w:sz w:val="24"/>
                <w:szCs w:val="24"/>
              </w:rPr>
              <w:t>卫生区域包括</w:t>
            </w:r>
            <w:r>
              <w:rPr>
                <w:rFonts w:hint="eastAsia" w:ascii="宋体" w:hAnsi="宋体" w:cs="宋体"/>
                <w:kern w:val="0"/>
                <w:sz w:val="24"/>
                <w:szCs w:val="24"/>
              </w:rPr>
              <w:t>病床、桌椅、墙面、地面和器械柜外等清洁消毒工作，保持护士台、值班室、更衣室和卫生间等处的清洁卫生。按照ICU规定操作，必要时更换工作衣、裤、帽、口罩和手套。</w:t>
            </w:r>
          </w:p>
          <w:p>
            <w:pPr>
              <w:spacing w:line="360" w:lineRule="auto"/>
              <w:ind w:firstLine="480" w:firstLineChars="200"/>
              <w:rPr>
                <w:rFonts w:ascii="宋体" w:hAnsi="宋体" w:cs="宋体"/>
                <w:sz w:val="24"/>
                <w:szCs w:val="24"/>
              </w:rPr>
            </w:pPr>
            <w:r>
              <w:rPr>
                <w:rFonts w:hint="eastAsia" w:ascii="宋体" w:hAnsi="宋体" w:cs="宋体"/>
                <w:sz w:val="24"/>
                <w:szCs w:val="24"/>
              </w:rPr>
              <w:t>标准同病房标准。</w:t>
            </w:r>
          </w:p>
          <w:p>
            <w:pPr>
              <w:spacing w:line="360" w:lineRule="auto"/>
              <w:rPr>
                <w:rFonts w:ascii="宋体" w:hAnsi="宋体" w:cs="宋体"/>
                <w:sz w:val="24"/>
                <w:szCs w:val="24"/>
              </w:rPr>
            </w:pPr>
          </w:p>
        </w:tc>
        <w:tc>
          <w:tcPr>
            <w:tcW w:w="4678" w:type="dxa"/>
            <w:tcBorders>
              <w:top w:val="single" w:color="auto" w:sz="4" w:space="0"/>
              <w:left w:val="single" w:color="auto" w:sz="4" w:space="0"/>
              <w:bottom w:val="single" w:color="auto" w:sz="4" w:space="0"/>
              <w:right w:val="single" w:color="auto" w:sz="4" w:space="0"/>
            </w:tcBorders>
            <w:noWrap/>
            <w:vAlign w:val="center"/>
          </w:tcPr>
          <w:p>
            <w:pPr>
              <w:spacing w:line="360" w:lineRule="auto"/>
              <w:rPr>
                <w:rFonts w:ascii="宋体" w:hAnsi="宋体" w:cs="宋体"/>
                <w:sz w:val="24"/>
                <w:szCs w:val="24"/>
              </w:rPr>
            </w:pPr>
            <w:r>
              <w:rPr>
                <w:rFonts w:hint="eastAsia" w:ascii="宋体" w:hAnsi="宋体" w:cs="宋体"/>
                <w:kern w:val="0"/>
                <w:sz w:val="24"/>
                <w:szCs w:val="24"/>
              </w:rPr>
              <w:t>24小时轮班，</w:t>
            </w:r>
            <w:r>
              <w:rPr>
                <w:rFonts w:hint="eastAsia" w:ascii="宋体" w:hAnsi="宋体" w:cs="宋体"/>
                <w:sz w:val="24"/>
                <w:szCs w:val="24"/>
              </w:rPr>
              <w:t>每日早上6：00开始对病房通道和办公区域地面进行清扫工作；每日早上8：00前完成ICU的清洁工作,所有病床、床头柜等物体表面及治疗准备间、治疗室清洁要在早上临床治疗前完成（循环维护）；每日上午10:30前完成门、窗、桌、椅、开水房、厕所、设备带及其它区域的清洁卫生工作；及时完成出院、转科、转床、转院患者床单元的终末处置；负责使用后仪器设备的终末处理和日常消毒；每日下午15:00前完成厕所、开水房、设备井及辅助用房的清洁卫生；每20-30分钟巡视维护一次开水房、厕所、楼道的清洁卫生，保持干净整洁；及时完成垃圾桶内垃圾的清理转运工作。</w:t>
            </w:r>
            <w:r>
              <w:rPr>
                <w:rFonts w:hint="eastAsia" w:ascii="宋体" w:hAnsi="宋体" w:cs="宋体"/>
                <w:kern w:val="0"/>
                <w:sz w:val="24"/>
                <w:szCs w:val="24"/>
              </w:rPr>
              <w:t>及时处理ICU的垃圾，并按规定装入相应颜色的垃圾袋。</w:t>
            </w:r>
            <w:r>
              <w:rPr>
                <w:rFonts w:hint="eastAsia" w:ascii="宋体" w:hAnsi="宋体" w:cs="宋体"/>
                <w:sz w:val="24"/>
                <w:szCs w:val="24"/>
              </w:rPr>
              <w:t>在完成本职工作下听从护士长的安排，做好重病人的生活起居如喂饭、喂水、及时更换脏被服、患者脏衣服和递送便器；协助护士做相关的基础护理如抹身、洗头、翻身、扣背等；、负责各种检验标本的外送、取回报告；协助护送病人外出检查；及对外联系工作。领取各种一次性物品。</w:t>
            </w:r>
          </w:p>
          <w:p>
            <w:pPr>
              <w:spacing w:line="360" w:lineRule="auto"/>
              <w:rPr>
                <w:rFonts w:ascii="宋体" w:hAnsi="宋体" w:cs="宋体"/>
                <w:sz w:val="24"/>
                <w:szCs w:val="24"/>
              </w:rPr>
            </w:pPr>
            <w:r>
              <w:rPr>
                <w:rFonts w:hint="eastAsia" w:ascii="宋体" w:hAnsi="宋体" w:cs="宋体"/>
                <w:kern w:val="0"/>
                <w:sz w:val="24"/>
                <w:szCs w:val="24"/>
              </w:rPr>
              <w:t>擦床抹布一床一巾，按抹布标记进行操作，完毕后一床一巾用消毒亮剂浸泡30分钟，捞起晾干。</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Ex>
        <w:trPr>
          <w:trHeight w:val="395" w:hRule="atLeast"/>
          <w:jc w:val="center"/>
        </w:trPr>
        <w:tc>
          <w:tcPr>
            <w:tcW w:w="676" w:type="dxa"/>
            <w:vMerge w:val="continue"/>
            <w:tcBorders>
              <w:left w:val="single" w:color="auto" w:sz="4" w:space="0"/>
              <w:right w:val="single" w:color="auto" w:sz="4" w:space="0"/>
            </w:tcBorders>
            <w:noWrap/>
            <w:vAlign w:val="center"/>
          </w:tcPr>
          <w:p>
            <w:pPr>
              <w:spacing w:line="360" w:lineRule="auto"/>
              <w:jc w:val="center"/>
              <w:rPr>
                <w:rFonts w:ascii="宋体" w:hAnsi="宋体" w:cs="宋体"/>
                <w:b/>
                <w:sz w:val="24"/>
                <w:szCs w:val="24"/>
              </w:rPr>
            </w:pPr>
          </w:p>
        </w:tc>
        <w:tc>
          <w:tcPr>
            <w:tcW w:w="879"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宋体" w:hAnsi="宋体" w:cs="宋体"/>
                <w:bCs/>
                <w:sz w:val="24"/>
                <w:szCs w:val="24"/>
              </w:rPr>
            </w:pPr>
            <w:r>
              <w:rPr>
                <w:rFonts w:hint="eastAsia" w:ascii="宋体" w:hAnsi="宋体" w:cs="宋体"/>
                <w:bCs/>
                <w:sz w:val="24"/>
                <w:szCs w:val="24"/>
              </w:rPr>
              <w:t>手术室</w:t>
            </w:r>
          </w:p>
        </w:tc>
        <w:tc>
          <w:tcPr>
            <w:tcW w:w="2409"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rPr>
                <w:rFonts w:ascii="宋体" w:hAnsi="宋体" w:cs="宋体"/>
                <w:sz w:val="24"/>
                <w:szCs w:val="24"/>
              </w:rPr>
            </w:pPr>
            <w:r>
              <w:rPr>
                <w:rFonts w:hint="eastAsia" w:ascii="宋体" w:hAnsi="宋体" w:cs="宋体"/>
                <w:sz w:val="24"/>
                <w:szCs w:val="24"/>
              </w:rPr>
              <w:t>卫生区域包括</w:t>
            </w:r>
            <w:r>
              <w:rPr>
                <w:rFonts w:hint="eastAsia" w:ascii="宋体" w:hAnsi="宋体" w:cs="宋体"/>
                <w:kern w:val="0"/>
                <w:sz w:val="24"/>
                <w:szCs w:val="24"/>
              </w:rPr>
              <w:t>病床、桌椅、墙面、地面和器械柜外等清洁消毒工作，按照手术室规定操作，必要时更换工作衣、裤、帽、口罩和手套。</w:t>
            </w:r>
          </w:p>
        </w:tc>
        <w:tc>
          <w:tcPr>
            <w:tcW w:w="4678"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rPr>
                <w:rFonts w:ascii="宋体" w:hAnsi="宋体" w:cs="宋体"/>
                <w:sz w:val="24"/>
                <w:szCs w:val="24"/>
              </w:rPr>
            </w:pPr>
            <w:r>
              <w:rPr>
                <w:rFonts w:hint="eastAsia" w:ascii="宋体" w:hAnsi="宋体" w:cs="宋体"/>
                <w:sz w:val="24"/>
                <w:szCs w:val="24"/>
              </w:rPr>
              <w:t>24小时轮班，</w:t>
            </w:r>
            <w:r>
              <w:rPr>
                <w:rFonts w:hint="eastAsia" w:ascii="宋体" w:hAnsi="宋体" w:cs="宋体"/>
                <w:bCs/>
                <w:sz w:val="24"/>
                <w:szCs w:val="24"/>
              </w:rPr>
              <w:t>负责手术室使用后的手术间的清洁和消毒。</w:t>
            </w:r>
            <w:r>
              <w:rPr>
                <w:rFonts w:hint="eastAsia" w:ascii="宋体" w:hAnsi="宋体" w:cs="宋体"/>
                <w:sz w:val="24"/>
                <w:szCs w:val="24"/>
              </w:rPr>
              <w:t>每日早上8：00病人接进手术间前至少30分钟，分工协作按流程及标准完成所有区域地面、手术床、治疗车等物表的清洁卫生，及时将各类垃圾按规定装入相应颜色的垃圾袋，并与用后的可回收布类运至污物间，与回收人员进行交接并签字，及时领用、更换保洁用品，规范使用， 每天至少2次回收更衣室衣服、生活垃圾；按需要添置所有液体至液体存放间，按需求配置感染手术后器械消毒所需消毒液；按要求及清洁流程，及时进行连台手术之间的手术间地面、物表清洁消毒，每个手术间全部手术结束后进行终末清洁处理工作。按使用情况清洗手术拖鞋，保证日常使用。随时整理各区域保洁工具、用品；每个手术间每周至少进行一次全面的大扫除，周五、周六清洁所有区域空调回风口。</w:t>
            </w:r>
          </w:p>
          <w:p>
            <w:pPr>
              <w:spacing w:line="360" w:lineRule="auto"/>
              <w:ind w:firstLine="480" w:firstLineChars="200"/>
              <w:rPr>
                <w:rFonts w:ascii="宋体" w:hAnsi="宋体" w:cs="宋体"/>
                <w:sz w:val="24"/>
                <w:szCs w:val="24"/>
              </w:rPr>
            </w:pPr>
            <w:r>
              <w:rPr>
                <w:rFonts w:hint="eastAsia" w:ascii="宋体" w:hAnsi="宋体" w:cs="宋体"/>
                <w:sz w:val="24"/>
                <w:szCs w:val="24"/>
              </w:rPr>
              <w:t>擦床抹布一床一巾，按抹布标记进行操作，完毕后一床一巾用消毒亮剂浸泡30分钟，捞起晾干。</w:t>
            </w:r>
          </w:p>
        </w:tc>
      </w:tr>
    </w:tbl>
    <w:p>
      <w:pPr>
        <w:spacing w:line="360" w:lineRule="auto"/>
        <w:ind w:firstLine="482" w:firstLineChars="200"/>
        <w:rPr>
          <w:rFonts w:ascii="宋体" w:hAnsi="宋体" w:cs="宋体"/>
          <w:b/>
          <w:bCs/>
          <w:sz w:val="24"/>
          <w:szCs w:val="24"/>
        </w:rPr>
      </w:pPr>
      <w:r>
        <w:rPr>
          <w:rFonts w:hint="eastAsia" w:ascii="宋体" w:hAnsi="宋体" w:cs="宋体"/>
          <w:b/>
          <w:bCs/>
          <w:sz w:val="24"/>
          <w:szCs w:val="24"/>
          <w:lang w:val="en-US" w:eastAsia="zh-CN"/>
        </w:rPr>
        <w:t>四</w:t>
      </w:r>
      <w:r>
        <w:rPr>
          <w:rFonts w:hint="eastAsia" w:ascii="宋体" w:hAnsi="宋体" w:cs="宋体"/>
          <w:b/>
          <w:bCs/>
          <w:sz w:val="24"/>
          <w:szCs w:val="24"/>
        </w:rPr>
        <w:t>、生活垃圾和医疗废物管理要求</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一</w:t>
      </w:r>
      <w:r>
        <w:rPr>
          <w:rFonts w:hint="eastAsia" w:ascii="宋体" w:hAnsi="宋体" w:cs="宋体"/>
          <w:sz w:val="24"/>
          <w:szCs w:val="24"/>
        </w:rPr>
        <w:t>）服务内容</w:t>
      </w:r>
    </w:p>
    <w:p>
      <w:pPr>
        <w:spacing w:line="360" w:lineRule="auto"/>
        <w:ind w:firstLine="480" w:firstLineChars="200"/>
        <w:rPr>
          <w:rFonts w:ascii="宋体" w:hAnsi="宋体" w:cs="宋体"/>
          <w:sz w:val="24"/>
          <w:szCs w:val="24"/>
        </w:rPr>
      </w:pPr>
      <w:r>
        <w:rPr>
          <w:rFonts w:hint="eastAsia" w:ascii="宋体" w:hAnsi="宋体" w:cs="宋体"/>
          <w:sz w:val="24"/>
          <w:szCs w:val="24"/>
        </w:rPr>
        <w:t>负责将医院垃圾按医疗（含新冠医疗废物）、生活垃圾进行分类、收集并分别送到院内指定地点，每天巡回进行；垃圾分类准确、不错分；垃圾包装完整，不漏、不穿；运送垃圾过程中，不漏、不丢、不碰撞他人；不擅自拿取、窃用、倒卖垃圾；对医院内部垃圾存放区域每天清洗、消毒；每天对垃圾的收集情况进行及时登记，以备查询。</w:t>
      </w:r>
    </w:p>
    <w:p>
      <w:pPr>
        <w:spacing w:line="360" w:lineRule="auto"/>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二</w:t>
      </w:r>
      <w:r>
        <w:rPr>
          <w:rFonts w:hint="eastAsia" w:ascii="宋体" w:hAnsi="宋体" w:cs="宋体"/>
          <w:sz w:val="24"/>
          <w:szCs w:val="24"/>
        </w:rPr>
        <w:t>）服务标准</w:t>
      </w:r>
    </w:p>
    <w:p>
      <w:pPr>
        <w:spacing w:line="360" w:lineRule="auto"/>
        <w:ind w:firstLine="480" w:firstLineChars="200"/>
        <w:rPr>
          <w:rFonts w:hint="eastAsia" w:ascii="宋体" w:hAnsi="宋体" w:cs="宋体"/>
          <w:sz w:val="24"/>
          <w:szCs w:val="24"/>
        </w:rPr>
      </w:pPr>
      <w:r>
        <w:rPr>
          <w:rFonts w:hint="eastAsia" w:ascii="宋体" w:hAnsi="宋体" w:cs="宋体"/>
          <w:sz w:val="24"/>
          <w:szCs w:val="24"/>
          <w:lang w:val="en-US" w:eastAsia="zh-CN"/>
        </w:rPr>
        <w:t>1、</w:t>
      </w:r>
      <w:r>
        <w:rPr>
          <w:rFonts w:hint="eastAsia" w:ascii="宋体" w:hAnsi="宋体" w:cs="宋体"/>
          <w:sz w:val="24"/>
          <w:szCs w:val="24"/>
        </w:rPr>
        <w:t>医疗废物管理工作服务标准</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（1）医疗废物转运推车每日消毒频次不低于2次，作好消毒记录；</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（2）物业公司应具备医废管理系统应用的能力，能在医院后期上线医废管理系统的基础上将系统与线下业务充分融合；</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（3）按照医院医疗废物转运流程和时间专职收运人员到临床科室收运医疗废物至院级医疗废物暂存间，医疗废物暂存间人员外出必须保证随时锁门；</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（4）与</w:t>
      </w:r>
      <w:r>
        <w:rPr>
          <w:rFonts w:hint="eastAsia" w:ascii="宋体" w:hAnsi="宋体" w:cs="宋体"/>
          <w:sz w:val="24"/>
          <w:szCs w:val="24"/>
          <w:lang w:eastAsia="zh-CN"/>
        </w:rPr>
        <w:t>彭州市人民</w:t>
      </w:r>
      <w:r>
        <w:rPr>
          <w:rFonts w:hint="eastAsia" w:ascii="宋体" w:hAnsi="宋体" w:cs="宋体"/>
          <w:sz w:val="24"/>
          <w:szCs w:val="24"/>
        </w:rPr>
        <w:t>医疗废物中心人员对接，每日将全院产生医疗废物交医疗废物处置中心，作好双签和数量确认工作；</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（5）全院各层级医疗废物产生量、处置量台账数据的核对和清理（以月为单位），临床科室医疗废物交接本、院级收运台账数据必须无误差；</w:t>
      </w:r>
    </w:p>
    <w:p>
      <w:pPr>
        <w:spacing w:line="360" w:lineRule="auto"/>
        <w:ind w:firstLine="480" w:firstLineChars="200"/>
        <w:rPr>
          <w:rFonts w:ascii="宋体" w:hAnsi="宋体" w:cs="宋体"/>
          <w:sz w:val="24"/>
          <w:szCs w:val="24"/>
        </w:rPr>
      </w:pPr>
      <w:r>
        <w:rPr>
          <w:rFonts w:hint="eastAsia" w:ascii="宋体" w:hAnsi="宋体" w:cs="宋体"/>
          <w:sz w:val="24"/>
          <w:szCs w:val="24"/>
        </w:rPr>
        <w:t>（6）根据《国家卫生健康委办公厅关于做好新型冠状病毒感染的肺炎疫情期间医疗机构医疗废物管理工作的通知》，新冠医疗废物应处置规范，应与其他科室医疗废物区分开,单独收集，有专用包装袋、利器盒，打包及转运人员必须做好个人防护,在隔离区打包新型冠状病毒肺炎及疑似患者所产医疗废物时,防护级别按照二级防护要求执行。对疑似和感染新型肺炎患者产生的医疗废物处置流程如下：如有疑似和感染新型冠状病毒患者产生的医疗废物，通知物业公司医废收集人员现场扫码、称重、打印条码，贴在医废袋外面→放在新冠医废暂存点→物业公司医废收集人员和</w:t>
      </w:r>
      <w:r>
        <w:rPr>
          <w:rFonts w:hint="eastAsia" w:ascii="宋体" w:hAnsi="宋体" w:cs="宋体"/>
          <w:sz w:val="24"/>
          <w:szCs w:val="24"/>
          <w:lang w:eastAsia="zh-CN"/>
        </w:rPr>
        <w:t>彭州市人民</w:t>
      </w:r>
      <w:r>
        <w:rPr>
          <w:rFonts w:hint="eastAsia" w:ascii="宋体" w:hAnsi="宋体" w:cs="宋体"/>
          <w:sz w:val="24"/>
          <w:szCs w:val="24"/>
        </w:rPr>
        <w:t>医疗废物处置中心医废收集人员面对面进行交接，签字，完成交接→物业公司对专用医废桶进行规范消毒。</w:t>
      </w:r>
    </w:p>
    <w:p>
      <w:pPr>
        <w:numPr>
          <w:ilvl w:val="255"/>
          <w:numId w:val="0"/>
        </w:numPr>
        <w:spacing w:line="360" w:lineRule="auto"/>
        <w:ind w:firstLine="480" w:firstLineChars="200"/>
        <w:rPr>
          <w:rFonts w:ascii="宋体" w:hAnsi="宋体" w:cs="宋体"/>
          <w:sz w:val="24"/>
          <w:szCs w:val="24"/>
        </w:rPr>
      </w:pPr>
      <w:r>
        <w:rPr>
          <w:rFonts w:hint="eastAsia" w:ascii="宋体" w:hAnsi="宋体" w:cs="宋体"/>
          <w:sz w:val="24"/>
          <w:szCs w:val="24"/>
        </w:rPr>
        <w:t>（7）每月开展定期医疗废物从业人员、管理人员法律法规、应急处置培训工作，作好经常性教育工作；</w:t>
      </w:r>
    </w:p>
    <w:p>
      <w:pPr>
        <w:spacing w:line="360" w:lineRule="auto"/>
        <w:ind w:firstLine="480" w:firstLineChars="200"/>
        <w:rPr>
          <w:rFonts w:ascii="宋体" w:hAnsi="宋体" w:cs="宋体"/>
          <w:sz w:val="24"/>
          <w:szCs w:val="24"/>
        </w:rPr>
      </w:pPr>
      <w:r>
        <w:rPr>
          <w:rFonts w:hint="eastAsia" w:ascii="宋体" w:hAnsi="宋体" w:cs="宋体"/>
          <w:sz w:val="24"/>
          <w:szCs w:val="24"/>
        </w:rPr>
        <w:t>（8）每日对医院污物电梯进行消毒，每转运一次医疗废物消毒一次，建立消毒记录本；</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2.生活垃圾管理工作服务标准</w:t>
      </w:r>
    </w:p>
    <w:p>
      <w:pPr>
        <w:spacing w:line="360" w:lineRule="auto"/>
        <w:ind w:firstLine="480" w:firstLineChars="200"/>
        <w:rPr>
          <w:rFonts w:ascii="宋体" w:hAnsi="宋体" w:cs="宋体"/>
          <w:sz w:val="24"/>
          <w:szCs w:val="24"/>
        </w:rPr>
      </w:pPr>
      <w:r>
        <w:rPr>
          <w:rFonts w:hint="eastAsia" w:ascii="宋体" w:hAnsi="宋体" w:cs="宋体"/>
          <w:sz w:val="24"/>
          <w:szCs w:val="24"/>
        </w:rPr>
        <w:t>（1）生活垃圾暂存间房间每日消毒频次不低于2次，作好消毒记录；</w:t>
      </w:r>
    </w:p>
    <w:p>
      <w:pPr>
        <w:spacing w:line="360" w:lineRule="auto"/>
        <w:ind w:firstLine="480" w:firstLineChars="200"/>
        <w:rPr>
          <w:rFonts w:ascii="宋体" w:hAnsi="宋体" w:cs="宋体"/>
          <w:sz w:val="24"/>
          <w:szCs w:val="24"/>
        </w:rPr>
      </w:pPr>
      <w:r>
        <w:rPr>
          <w:rFonts w:hint="eastAsia" w:ascii="宋体" w:hAnsi="宋体" w:cs="宋体"/>
          <w:sz w:val="24"/>
          <w:szCs w:val="24"/>
        </w:rPr>
        <w:t>（2）生活垃圾分类转运推车每日消毒频次不低于2次，作好消毒记录；</w:t>
      </w:r>
    </w:p>
    <w:p>
      <w:pPr>
        <w:spacing w:line="360" w:lineRule="auto"/>
        <w:ind w:firstLine="480" w:firstLineChars="200"/>
        <w:rPr>
          <w:rFonts w:ascii="宋体" w:hAnsi="宋体" w:cs="宋体"/>
          <w:sz w:val="24"/>
          <w:szCs w:val="24"/>
        </w:rPr>
      </w:pPr>
      <w:r>
        <w:rPr>
          <w:rFonts w:hint="eastAsia" w:ascii="宋体" w:hAnsi="宋体" w:cs="宋体"/>
          <w:sz w:val="24"/>
          <w:szCs w:val="24"/>
        </w:rPr>
        <w:t>（3）每日生活垃圾转运数量（袋数）各科室录入数据并统计，于次日早上9点前完成前一天的产生量总数据汇总并填写于《生活垃圾每日产量统计表》完成登记，不得乱涂乱画，更正需统计人员签字；（每袋平均重量通过数据收集平均统计得出平均重量同于计算）</w:t>
      </w:r>
    </w:p>
    <w:p>
      <w:pPr>
        <w:spacing w:line="360" w:lineRule="auto"/>
        <w:ind w:firstLine="480" w:firstLineChars="200"/>
        <w:rPr>
          <w:rFonts w:ascii="宋体" w:hAnsi="宋体" w:cs="宋体"/>
          <w:sz w:val="24"/>
          <w:szCs w:val="24"/>
        </w:rPr>
      </w:pPr>
      <w:r>
        <w:rPr>
          <w:rFonts w:hint="eastAsia" w:ascii="宋体" w:hAnsi="宋体" w:cs="宋体"/>
          <w:sz w:val="24"/>
          <w:szCs w:val="24"/>
        </w:rPr>
        <w:t>（4）按照医院生活垃圾分类转运流程和时间专职收运人员到临床科室收运生活垃圾至院级生活垃圾暂存间，生活垃圾暂存间工作人员外出必须保证随时锁门；</w:t>
      </w:r>
    </w:p>
    <w:p>
      <w:pPr>
        <w:spacing w:line="360" w:lineRule="auto"/>
        <w:ind w:firstLine="480" w:firstLineChars="200"/>
        <w:rPr>
          <w:rFonts w:ascii="宋体" w:hAnsi="宋体" w:cs="宋体"/>
          <w:sz w:val="24"/>
          <w:szCs w:val="24"/>
        </w:rPr>
      </w:pPr>
      <w:r>
        <w:rPr>
          <w:rFonts w:hint="eastAsia" w:ascii="宋体" w:hAnsi="宋体" w:cs="宋体"/>
          <w:sz w:val="24"/>
          <w:szCs w:val="24"/>
        </w:rPr>
        <w:t>（5）与转运公司办理对接，作好每日外送垃圾交接；</w:t>
      </w:r>
    </w:p>
    <w:p>
      <w:pPr>
        <w:spacing w:line="360" w:lineRule="auto"/>
        <w:ind w:firstLine="480" w:firstLineChars="200"/>
        <w:rPr>
          <w:rFonts w:ascii="宋体" w:hAnsi="宋体" w:cs="宋体"/>
          <w:sz w:val="24"/>
          <w:szCs w:val="24"/>
        </w:rPr>
      </w:pPr>
      <w:r>
        <w:rPr>
          <w:rFonts w:hint="eastAsia" w:ascii="宋体" w:hAnsi="宋体" w:cs="宋体"/>
          <w:sz w:val="24"/>
          <w:szCs w:val="24"/>
        </w:rPr>
        <w:t>（6）每月编写生活垃圾分类管理和收运总结，包含可回收物、其他垃圾、有害垃圾、餐厨垃圾4大分类生活垃圾产生量数据汇总、有生活垃圾暂存间维修记录、防护用品使用记录、存在问题等信息，报送医院后勤保障部；</w:t>
      </w:r>
    </w:p>
    <w:p>
      <w:pPr>
        <w:spacing w:line="360" w:lineRule="auto"/>
        <w:ind w:firstLine="480" w:firstLineChars="200"/>
        <w:rPr>
          <w:rFonts w:ascii="宋体" w:hAnsi="宋体" w:cs="宋体"/>
          <w:sz w:val="24"/>
          <w:szCs w:val="24"/>
        </w:rPr>
      </w:pPr>
      <w:r>
        <w:rPr>
          <w:rFonts w:hint="eastAsia" w:ascii="宋体" w:hAnsi="宋体" w:cs="宋体"/>
          <w:sz w:val="24"/>
          <w:szCs w:val="24"/>
        </w:rPr>
        <w:t>（7）建立自身生活垃圾分类管理工作自查，由管理人员对本公司生活垃圾日常运行情况进行自查，包括分类收运执行情况自查，科室保洁人员生活垃圾分类收集、分类收集率等工作要求执行情况自查等。自查报告写入月总结；</w:t>
      </w:r>
    </w:p>
    <w:p>
      <w:pPr>
        <w:spacing w:line="360" w:lineRule="auto"/>
        <w:ind w:firstLine="480" w:firstLineChars="200"/>
        <w:rPr>
          <w:rFonts w:ascii="宋体" w:hAnsi="宋体" w:cs="宋体"/>
          <w:sz w:val="24"/>
          <w:szCs w:val="24"/>
        </w:rPr>
      </w:pPr>
      <w:r>
        <w:rPr>
          <w:rFonts w:hint="eastAsia" w:ascii="宋体" w:hAnsi="宋体" w:cs="宋体"/>
          <w:sz w:val="24"/>
          <w:szCs w:val="24"/>
        </w:rPr>
        <w:t>（8）与医院生活垃圾分类管理部门共同制定生活垃圾分类收集工作计划和执行方案，按照生活垃圾分类收集计划进行生活垃圾分类收集、数据汇总、进出口管理等相关工作，服从管理科室分类工作安排；</w:t>
      </w:r>
    </w:p>
    <w:p>
      <w:pPr>
        <w:spacing w:line="360" w:lineRule="auto"/>
        <w:ind w:firstLine="480" w:firstLineChars="200"/>
        <w:rPr>
          <w:rFonts w:ascii="宋体" w:hAnsi="宋体" w:cs="宋体"/>
          <w:sz w:val="24"/>
          <w:szCs w:val="24"/>
        </w:rPr>
      </w:pPr>
      <w:r>
        <w:rPr>
          <w:rFonts w:hint="eastAsia" w:ascii="宋体" w:hAnsi="宋体" w:cs="宋体"/>
          <w:sz w:val="24"/>
          <w:szCs w:val="24"/>
        </w:rPr>
        <w:t>（9）每月开展定期生活垃圾从业人员、管理人员法律法规、应急处置培训工作，作好经常性教育工作；</w:t>
      </w:r>
    </w:p>
    <w:p>
      <w:pPr>
        <w:spacing w:line="360" w:lineRule="auto"/>
        <w:ind w:firstLine="480" w:firstLineChars="200"/>
        <w:rPr>
          <w:rFonts w:ascii="宋体" w:hAnsi="宋体" w:cs="宋体"/>
          <w:sz w:val="24"/>
          <w:szCs w:val="24"/>
        </w:rPr>
      </w:pPr>
      <w:r>
        <w:rPr>
          <w:rFonts w:hint="eastAsia" w:ascii="宋体" w:hAnsi="宋体" w:cs="宋体"/>
          <w:sz w:val="24"/>
          <w:szCs w:val="24"/>
        </w:rPr>
        <w:t>（10）每日对医院污物电梯进行消毒，每转运一次医疗废物消毒一次，建立消毒记录本；</w:t>
      </w:r>
    </w:p>
    <w:p>
      <w:pPr>
        <w:spacing w:line="360" w:lineRule="auto"/>
        <w:ind w:firstLine="480" w:firstLineChars="200"/>
        <w:rPr>
          <w:rFonts w:ascii="宋体" w:hAnsi="宋体" w:cs="宋体"/>
          <w:sz w:val="24"/>
          <w:szCs w:val="24"/>
        </w:rPr>
      </w:pPr>
      <w:r>
        <w:rPr>
          <w:rFonts w:hint="eastAsia" w:ascii="宋体" w:hAnsi="宋体" w:cs="宋体"/>
          <w:sz w:val="24"/>
          <w:szCs w:val="24"/>
        </w:rPr>
        <w:t>（11）除施工单位产生的建渣外，其余非生活类垃圾（包含但不限于枯死植物、修剪下来的草皮、设备产生的内外包装箱等）由中标人进行免费清运。</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3.服务要求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投标人根据医院院感要求，制定新冠医废的处置规范及流程。有应用信息化系统对垃圾收集，转运，数据上传案例并提供相关证明材料。</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五、保洁院感服务内容及要求</w:t>
      </w:r>
    </w:p>
    <w:p>
      <w:pPr>
        <w:spacing w:line="360" w:lineRule="auto"/>
        <w:ind w:firstLine="480" w:firstLineChars="200"/>
        <w:rPr>
          <w:rFonts w:ascii="宋体" w:hAnsi="宋体" w:cs="宋体"/>
          <w:sz w:val="24"/>
          <w:szCs w:val="24"/>
        </w:rPr>
      </w:pPr>
      <w:r>
        <w:rPr>
          <w:rFonts w:hint="eastAsia" w:ascii="宋体" w:hAnsi="宋体" w:cs="宋体"/>
          <w:sz w:val="24"/>
          <w:szCs w:val="24"/>
        </w:rPr>
        <w:t>（一）做好各楼层每日清洁消毒及专项保洁计划，做到保洁全覆盖；卫生间清洁、干燥、无异味。做好各项消毒记录。</w:t>
      </w:r>
    </w:p>
    <w:p>
      <w:pPr>
        <w:spacing w:line="360" w:lineRule="auto"/>
        <w:ind w:firstLine="480" w:firstLineChars="200"/>
        <w:rPr>
          <w:rFonts w:ascii="宋体" w:hAnsi="宋体" w:cs="宋体"/>
          <w:sz w:val="24"/>
          <w:szCs w:val="24"/>
        </w:rPr>
      </w:pPr>
      <w:r>
        <w:rPr>
          <w:rFonts w:hint="eastAsia" w:ascii="宋体" w:hAnsi="宋体" w:cs="宋体"/>
          <w:sz w:val="24"/>
          <w:szCs w:val="24"/>
        </w:rPr>
        <w:t>（二）环境物体表面清洁消毒达到环境卫生检测要求。</w:t>
      </w:r>
    </w:p>
    <w:p>
      <w:pPr>
        <w:spacing w:line="360" w:lineRule="auto"/>
        <w:ind w:firstLine="480" w:firstLineChars="200"/>
        <w:rPr>
          <w:rFonts w:ascii="宋体" w:hAnsi="宋体" w:cs="宋体"/>
          <w:sz w:val="24"/>
          <w:szCs w:val="24"/>
        </w:rPr>
      </w:pPr>
      <w:r>
        <w:rPr>
          <w:rFonts w:hint="eastAsia" w:ascii="宋体" w:hAnsi="宋体" w:cs="宋体"/>
          <w:sz w:val="24"/>
          <w:szCs w:val="24"/>
        </w:rPr>
        <w:t>（三）为避免尘土飞扬，地面干拖应使用尘推加牵尘剂的方法进行处理。</w:t>
      </w:r>
    </w:p>
    <w:p>
      <w:pPr>
        <w:spacing w:line="360" w:lineRule="auto"/>
        <w:ind w:firstLine="480" w:firstLineChars="200"/>
        <w:rPr>
          <w:rFonts w:ascii="宋体" w:hAnsi="宋体" w:cs="宋体"/>
          <w:sz w:val="24"/>
          <w:szCs w:val="24"/>
        </w:rPr>
      </w:pPr>
      <w:r>
        <w:rPr>
          <w:rFonts w:hint="eastAsia" w:ascii="宋体" w:hAnsi="宋体" w:cs="宋体"/>
          <w:sz w:val="24"/>
          <w:szCs w:val="24"/>
        </w:rPr>
        <w:t>（四）对湿拖把头、尘推头、抹布进行洗涤和烘干并实施集中消洗，以防止交叉感染。</w:t>
      </w:r>
    </w:p>
    <w:p>
      <w:pPr>
        <w:spacing w:line="360" w:lineRule="auto"/>
        <w:ind w:firstLine="480" w:firstLineChars="200"/>
        <w:rPr>
          <w:rFonts w:ascii="宋体" w:hAnsi="宋体" w:cs="宋体"/>
          <w:sz w:val="24"/>
          <w:szCs w:val="24"/>
        </w:rPr>
      </w:pPr>
      <w:r>
        <w:rPr>
          <w:rFonts w:hint="eastAsia" w:ascii="宋体" w:hAnsi="宋体" w:cs="宋体"/>
          <w:sz w:val="24"/>
          <w:szCs w:val="24"/>
        </w:rPr>
        <w:t>（五）不同区域使用相对应的清洁工具，按要求对集中存放的清洁用具用颜色、字标方式进行严格的分类摆放，以防止交叉感染。</w:t>
      </w:r>
    </w:p>
    <w:p>
      <w:pPr>
        <w:spacing w:line="360" w:lineRule="auto"/>
        <w:ind w:firstLine="480" w:firstLineChars="200"/>
        <w:rPr>
          <w:rFonts w:ascii="宋体" w:hAnsi="宋体" w:cs="宋体"/>
          <w:sz w:val="24"/>
          <w:szCs w:val="24"/>
        </w:rPr>
      </w:pPr>
      <w:r>
        <w:rPr>
          <w:rFonts w:hint="eastAsia" w:ascii="宋体" w:hAnsi="宋体" w:cs="宋体"/>
          <w:sz w:val="24"/>
          <w:szCs w:val="24"/>
        </w:rPr>
        <w:t>（六）中标人用于保洁、医疗废物回收的各项消耗品应是通过国家卫生部或国家有关部门准予生产使用的产品，并符合采购人感染控制的要求。</w:t>
      </w:r>
    </w:p>
    <w:p>
      <w:pPr>
        <w:spacing w:line="360" w:lineRule="auto"/>
        <w:ind w:firstLine="480" w:firstLineChars="200"/>
        <w:rPr>
          <w:rFonts w:ascii="宋体" w:hAnsi="宋体" w:cs="宋体"/>
          <w:sz w:val="24"/>
          <w:szCs w:val="24"/>
        </w:rPr>
      </w:pPr>
      <w:r>
        <w:rPr>
          <w:rFonts w:hint="eastAsia" w:ascii="宋体" w:hAnsi="宋体" w:cs="宋体"/>
          <w:sz w:val="24"/>
          <w:szCs w:val="24"/>
        </w:rPr>
        <w:t>（七）能够按要求使用医疗废物在线监管设备进行医废收运工作，对医疗废物、医疗废液做到集中分类分拣与存放，做好称重、记量、表格汇总，按月递交。做好暂存点及集中存放点的清洗、消毒工作及记录。</w:t>
      </w:r>
    </w:p>
    <w:p>
      <w:pPr>
        <w:spacing w:line="360" w:lineRule="auto"/>
        <w:ind w:firstLine="480" w:firstLineChars="200"/>
        <w:rPr>
          <w:rFonts w:ascii="宋体" w:hAnsi="宋体" w:cs="宋体"/>
          <w:sz w:val="24"/>
          <w:szCs w:val="24"/>
        </w:rPr>
      </w:pPr>
      <w:r>
        <w:rPr>
          <w:rFonts w:hint="eastAsia" w:ascii="宋体" w:hAnsi="宋体" w:cs="宋体"/>
          <w:sz w:val="24"/>
          <w:szCs w:val="24"/>
        </w:rPr>
        <w:t>（八）达到国家卫生城市对医院卫生保洁、感染控制的考核标准，对医疗垃圾收集、贮存、处置办法、转运流程等要求、符合国家《医疗废物管理规范》、《医疗卫生机构医疗废物管理条例》。</w:t>
      </w:r>
    </w:p>
    <w:p>
      <w:pPr>
        <w:spacing w:line="360" w:lineRule="auto"/>
        <w:ind w:firstLine="480" w:firstLineChars="200"/>
        <w:rPr>
          <w:rFonts w:ascii="宋体" w:hAnsi="宋体" w:cs="宋体"/>
          <w:sz w:val="24"/>
          <w:szCs w:val="24"/>
        </w:rPr>
      </w:pPr>
      <w:r>
        <w:rPr>
          <w:rFonts w:hint="eastAsia" w:ascii="宋体" w:hAnsi="宋体" w:cs="宋体"/>
          <w:sz w:val="24"/>
          <w:szCs w:val="24"/>
        </w:rPr>
        <w:t>（九）达到《三级综合医院评审标准实施细则》中对医院感染管理和环境管理的要求。</w:t>
      </w:r>
    </w:p>
    <w:p>
      <w:pPr>
        <w:spacing w:line="360" w:lineRule="auto"/>
        <w:ind w:firstLine="480" w:firstLineChars="200"/>
        <w:rPr>
          <w:rFonts w:ascii="宋体" w:hAnsi="宋体" w:cs="宋体"/>
          <w:sz w:val="24"/>
          <w:szCs w:val="24"/>
        </w:rPr>
      </w:pPr>
      <w:r>
        <w:rPr>
          <w:rFonts w:hint="eastAsia" w:ascii="宋体" w:hAnsi="宋体" w:cs="宋体"/>
          <w:sz w:val="24"/>
          <w:szCs w:val="24"/>
        </w:rPr>
        <w:t>（十）中标人负责医疗垃圾、生活垃圾的分类收集、运输、储存、处理，采购人负责将垃圾中转站的垃圾转运。</w:t>
      </w:r>
    </w:p>
    <w:p>
      <w:pPr>
        <w:spacing w:line="360" w:lineRule="auto"/>
        <w:ind w:firstLine="480" w:firstLineChars="200"/>
        <w:rPr>
          <w:rFonts w:ascii="宋体" w:hAnsi="宋体" w:cs="宋体"/>
          <w:sz w:val="24"/>
          <w:szCs w:val="24"/>
        </w:rPr>
      </w:pPr>
      <w:r>
        <w:rPr>
          <w:rFonts w:hint="eastAsia" w:ascii="宋体" w:hAnsi="宋体" w:cs="宋体"/>
          <w:sz w:val="24"/>
          <w:szCs w:val="24"/>
        </w:rPr>
        <w:t>（十一）床单元卫生应使用有效含氯效消毒剂消毒后的毛巾擦拭。做到一桌一巾用后再消毒。</w:t>
      </w:r>
    </w:p>
    <w:p>
      <w:pPr>
        <w:spacing w:line="360" w:lineRule="auto"/>
        <w:ind w:firstLine="480" w:firstLineChars="200"/>
        <w:rPr>
          <w:rFonts w:ascii="宋体" w:hAnsi="宋体" w:cs="宋体"/>
          <w:sz w:val="24"/>
          <w:szCs w:val="24"/>
        </w:rPr>
      </w:pPr>
      <w:r>
        <w:rPr>
          <w:rFonts w:hint="eastAsia" w:ascii="宋体" w:hAnsi="宋体" w:cs="宋体"/>
          <w:sz w:val="24"/>
          <w:szCs w:val="24"/>
        </w:rPr>
        <w:t>（十二）对出院、转科病人及时完成终末消毒，抹布、拖帕专区专用，用后消毒，分区晾晒；处置间清洁整洁、无积水、无杂物废物堆砌。</w:t>
      </w:r>
    </w:p>
    <w:p>
      <w:pPr>
        <w:spacing w:line="360" w:lineRule="auto"/>
        <w:ind w:firstLine="480" w:firstLineChars="200"/>
        <w:rPr>
          <w:rFonts w:ascii="宋体" w:hAnsi="宋体" w:cs="宋体"/>
          <w:sz w:val="24"/>
          <w:szCs w:val="24"/>
        </w:rPr>
      </w:pPr>
      <w:r>
        <w:rPr>
          <w:rFonts w:hint="eastAsia" w:ascii="宋体" w:hAnsi="宋体" w:cs="宋体"/>
          <w:sz w:val="24"/>
          <w:szCs w:val="24"/>
        </w:rPr>
        <w:t>（十三）按要求做好个人防护。清洁消毒时戴防水手套，必要时戴防水袖套、面罩、眼罩。医废暂存地工人工作时应穿防水靴、戴橡胶手套、口罩、帽子。医废回收交接应包括临床科室与保洁员之间，保洁员与医废暂存地之间的交接及记录。</w:t>
      </w:r>
    </w:p>
    <w:p>
      <w:pPr>
        <w:spacing w:line="360" w:lineRule="auto"/>
        <w:ind w:firstLine="480" w:firstLineChars="200"/>
        <w:rPr>
          <w:rFonts w:ascii="宋体" w:hAnsi="宋体" w:cs="宋体"/>
          <w:sz w:val="24"/>
          <w:szCs w:val="24"/>
        </w:rPr>
      </w:pPr>
      <w:r>
        <w:rPr>
          <w:rFonts w:hint="eastAsia" w:ascii="宋体" w:hAnsi="宋体" w:cs="宋体"/>
          <w:sz w:val="24"/>
          <w:szCs w:val="24"/>
        </w:rPr>
        <w:t>（十四）运送医疗垃圾时不得有外撒、外溢。部分人员将固定至科室，部分工作内容按科室要求进行调整。其中药房含搬运等工作；胃镜室、纤支镜室含器械清洗工作；血透室的驻守工作等。</w:t>
      </w:r>
    </w:p>
    <w:p>
      <w:pPr>
        <w:keepNext/>
        <w:keepLines/>
        <w:numPr>
          <w:ilvl w:val="0"/>
          <w:numId w:val="0"/>
        </w:numPr>
        <w:spacing w:line="360" w:lineRule="auto"/>
        <w:outlineLvl w:val="2"/>
        <w:rPr>
          <w:rFonts w:ascii="宋体" w:hAnsi="宋体" w:cs="宋体"/>
          <w:b/>
          <w:bCs/>
          <w:kern w:val="0"/>
          <w:sz w:val="24"/>
          <w:szCs w:val="24"/>
        </w:rPr>
      </w:pPr>
      <w:r>
        <w:rPr>
          <w:rFonts w:hint="eastAsia" w:ascii="宋体" w:hAnsi="宋体" w:cs="宋体"/>
          <w:b/>
          <w:bCs/>
          <w:kern w:val="0"/>
          <w:sz w:val="24"/>
          <w:szCs w:val="24"/>
          <w:lang w:val="en-US" w:eastAsia="zh-CN"/>
        </w:rPr>
        <w:t>4.3.2.2</w:t>
      </w:r>
      <w:r>
        <w:rPr>
          <w:rFonts w:hint="eastAsia" w:ascii="宋体" w:hAnsi="宋体" w:cs="宋体"/>
          <w:b/>
          <w:bCs/>
          <w:kern w:val="0"/>
          <w:sz w:val="24"/>
          <w:szCs w:val="24"/>
        </w:rPr>
        <w:t>中央运送服务内容及标准</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一、服务内容及要求</w:t>
      </w:r>
    </w:p>
    <w:p>
      <w:pPr>
        <w:spacing w:line="360" w:lineRule="auto"/>
        <w:ind w:firstLine="480" w:firstLineChars="200"/>
        <w:rPr>
          <w:rFonts w:ascii="宋体" w:hAnsi="宋体" w:cs="宋体"/>
          <w:sz w:val="24"/>
          <w:szCs w:val="24"/>
        </w:rPr>
      </w:pPr>
      <w:r>
        <w:rPr>
          <w:rFonts w:hint="eastAsia" w:ascii="宋体" w:hAnsi="宋体" w:cs="宋体"/>
          <w:sz w:val="24"/>
          <w:szCs w:val="24"/>
        </w:rPr>
        <w:t>（一）接送病人到各科室做检查，治疗，会诊。如放射科、超声波、内镜科、核磁共振、心电图、脑电图、CT、检验室等。手术病人接送；门诊（重、弱、残及其他需要帮助的就诊病人）和住院病人转诊；急诊病人接诊、送检、入院等运送：住院病人（危重、行动不便）的科室内转床；</w:t>
      </w:r>
    </w:p>
    <w:p>
      <w:pPr>
        <w:spacing w:line="360" w:lineRule="auto"/>
        <w:ind w:firstLine="480" w:firstLineChars="200"/>
        <w:rPr>
          <w:rFonts w:ascii="宋体" w:hAnsi="宋体" w:cs="宋体"/>
          <w:sz w:val="24"/>
          <w:szCs w:val="24"/>
        </w:rPr>
      </w:pPr>
      <w:r>
        <w:rPr>
          <w:rFonts w:hint="eastAsia" w:ascii="宋体" w:hAnsi="宋体" w:cs="宋体"/>
          <w:sz w:val="24"/>
          <w:szCs w:val="24"/>
        </w:rPr>
        <w:t>（二）物品运送：供应室消毒包送取、部分试管取送（大小便盒、痰盒、培养管等）、小型仪器维修送取、办公及医用材料物资的申领；医疗、行政设备送修/领取/借还；</w:t>
      </w:r>
    </w:p>
    <w:p>
      <w:pPr>
        <w:spacing w:line="360" w:lineRule="auto"/>
        <w:ind w:firstLine="480" w:firstLineChars="200"/>
        <w:rPr>
          <w:rFonts w:ascii="宋体" w:hAnsi="宋体" w:cs="宋体"/>
          <w:sz w:val="24"/>
          <w:szCs w:val="24"/>
        </w:rPr>
      </w:pPr>
      <w:r>
        <w:rPr>
          <w:rFonts w:hint="eastAsia" w:ascii="宋体" w:hAnsi="宋体" w:cs="宋体"/>
          <w:sz w:val="24"/>
          <w:szCs w:val="24"/>
        </w:rPr>
        <w:t>（三）单据递送：各类检查（CT、MRI、ECT、B超、动态心电图、脑电图、胃镜等）预约；各类诊断报告（包含影像片）、手术通知单、会诊通知单的送取；病历复印、调取及递送、各类行政文书递送；取送科室报刊信件等。</w:t>
      </w:r>
    </w:p>
    <w:p>
      <w:pPr>
        <w:spacing w:line="360" w:lineRule="auto"/>
        <w:ind w:firstLine="480" w:firstLineChars="200"/>
        <w:rPr>
          <w:rFonts w:ascii="宋体" w:hAnsi="宋体" w:cs="宋体"/>
          <w:sz w:val="24"/>
          <w:szCs w:val="24"/>
        </w:rPr>
      </w:pPr>
      <w:r>
        <w:rPr>
          <w:rFonts w:hint="eastAsia" w:ascii="宋体" w:hAnsi="宋体" w:cs="宋体"/>
          <w:sz w:val="24"/>
          <w:szCs w:val="24"/>
        </w:rPr>
        <w:t>（四）临时加床、重大活动及会议物质搬运、科室物质搬运、装卸；家具和设备搬运，临时加床和瓶装氧气运送。</w:t>
      </w:r>
    </w:p>
    <w:p>
      <w:pPr>
        <w:spacing w:line="360" w:lineRule="auto"/>
        <w:ind w:firstLine="480" w:firstLineChars="200"/>
        <w:rPr>
          <w:rFonts w:ascii="宋体" w:hAnsi="宋体" w:cs="宋体"/>
          <w:sz w:val="24"/>
          <w:szCs w:val="24"/>
        </w:rPr>
      </w:pPr>
      <w:r>
        <w:rPr>
          <w:rFonts w:hint="eastAsia" w:ascii="宋体" w:hAnsi="宋体" w:cs="宋体"/>
          <w:sz w:val="24"/>
          <w:szCs w:val="24"/>
        </w:rPr>
        <w:t>（五）部分科室特殊要求：重症监护室运送、120运送、手术室运送工作为24小时，工作由投标人负责。血透室运送听从护士长安排。</w:t>
      </w:r>
    </w:p>
    <w:p>
      <w:pPr>
        <w:spacing w:line="360" w:lineRule="auto"/>
        <w:ind w:firstLine="480" w:firstLineChars="200"/>
        <w:rPr>
          <w:rFonts w:ascii="宋体" w:hAnsi="宋体" w:cs="宋体"/>
          <w:sz w:val="24"/>
          <w:szCs w:val="24"/>
        </w:rPr>
      </w:pPr>
      <w:r>
        <w:rPr>
          <w:rFonts w:hint="eastAsia" w:ascii="宋体" w:hAnsi="宋体" w:cs="宋体"/>
          <w:sz w:val="24"/>
          <w:szCs w:val="24"/>
        </w:rPr>
        <w:t>（六）加强运送工作的核对措施，杜绝任何形式的失误，贵重物品应保证安全。及时完成医护人员临时交办的工作。</w:t>
      </w:r>
    </w:p>
    <w:p>
      <w:pPr>
        <w:spacing w:line="360" w:lineRule="auto"/>
        <w:ind w:firstLine="480" w:firstLineChars="200"/>
        <w:rPr>
          <w:rFonts w:ascii="宋体" w:hAnsi="宋体" w:cs="宋体"/>
          <w:sz w:val="24"/>
          <w:szCs w:val="24"/>
        </w:rPr>
      </w:pPr>
      <w:r>
        <w:rPr>
          <w:rFonts w:hint="eastAsia" w:ascii="宋体" w:hAnsi="宋体" w:cs="宋体"/>
          <w:sz w:val="24"/>
          <w:szCs w:val="24"/>
        </w:rPr>
        <w:t>（七）具备足够的应急措施和人员应对突发医疗紧急状况，服从院方安排，当紧急突发事件发生时，以最快速度调集大量人力赶赴现场进行支援。</w:t>
      </w:r>
    </w:p>
    <w:p>
      <w:pPr>
        <w:ind w:firstLine="480" w:firstLineChars="200"/>
        <w:rPr>
          <w:rFonts w:hint="eastAsia" w:ascii="宋体" w:hAnsi="宋体" w:cs="宋体"/>
          <w:sz w:val="24"/>
          <w:szCs w:val="24"/>
        </w:rPr>
      </w:pPr>
      <w:r>
        <w:rPr>
          <w:rFonts w:hint="eastAsia" w:ascii="宋体" w:hAnsi="宋体" w:cs="宋体"/>
          <w:sz w:val="24"/>
          <w:szCs w:val="24"/>
        </w:rPr>
        <w:t>（八）规范收集，严格查对，详细记录，不得随地乱放标本，出现问题及时上报病区护士长和主管部门，不得擅自处理。</w:t>
      </w:r>
    </w:p>
    <w:p>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 xml:space="preserve">（九） </w:t>
      </w:r>
      <w:r>
        <w:rPr>
          <w:rFonts w:hint="eastAsia" w:ascii="宋体" w:hAnsi="宋体" w:cs="宋体"/>
          <w:sz w:val="24"/>
          <w:szCs w:val="24"/>
        </w:rPr>
        <w:t>投标人提供的中央运送服务方案中应包含运送信息化管理系统的描述，至少包含对人员分析、科室分析、类型分析、时间分析、占比分析等5方面的管理功能</w:t>
      </w:r>
      <w:r>
        <w:rPr>
          <w:rFonts w:hint="eastAsia" w:ascii="宋体" w:hAnsi="宋体" w:cs="宋体"/>
          <w:sz w:val="24"/>
          <w:szCs w:val="24"/>
          <w:lang w:eastAsia="zh-CN"/>
        </w:rPr>
        <w:t>。</w:t>
      </w:r>
    </w:p>
    <w:p>
      <w:pPr>
        <w:spacing w:line="360" w:lineRule="auto"/>
        <w:ind w:firstLine="480" w:firstLineChars="200"/>
        <w:rPr>
          <w:rFonts w:hint="eastAsia" w:ascii="宋体" w:hAnsi="宋体" w:cs="宋体"/>
          <w:sz w:val="24"/>
          <w:szCs w:val="24"/>
        </w:rPr>
      </w:pP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二、服务标准及要求</w:t>
      </w:r>
    </w:p>
    <w:p>
      <w:pPr>
        <w:spacing w:line="360" w:lineRule="auto"/>
        <w:ind w:firstLine="480" w:firstLineChars="200"/>
        <w:rPr>
          <w:rFonts w:ascii="宋体" w:hAnsi="宋体" w:cs="宋体"/>
          <w:sz w:val="24"/>
          <w:szCs w:val="24"/>
        </w:rPr>
      </w:pPr>
      <w:r>
        <w:rPr>
          <w:rFonts w:hint="eastAsia" w:ascii="宋体" w:hAnsi="宋体" w:cs="宋体"/>
          <w:sz w:val="24"/>
          <w:szCs w:val="24"/>
        </w:rPr>
        <w:t>（一）医院负责提供中央运送所有工具，运送工具由投标人保管，每天按规范进行消毒。医院负责维修。</w:t>
      </w:r>
    </w:p>
    <w:p>
      <w:pPr>
        <w:spacing w:line="360" w:lineRule="auto"/>
        <w:ind w:firstLine="480" w:firstLineChars="200"/>
        <w:rPr>
          <w:rFonts w:ascii="宋体" w:hAnsi="宋体" w:cs="宋体"/>
          <w:sz w:val="24"/>
          <w:szCs w:val="24"/>
        </w:rPr>
      </w:pPr>
      <w:r>
        <w:rPr>
          <w:rFonts w:hint="eastAsia" w:ascii="宋体" w:hAnsi="宋体" w:cs="宋体"/>
          <w:sz w:val="24"/>
          <w:szCs w:val="24"/>
        </w:rPr>
        <w:t>（二）投标人应设立24小时的中央调度中心，相关人员配置对讲机。运送工作的调度安排应计划合理，按照中央运送作业操作规程进行，并在二十分钟之内到达指定地点。投标人须保证有足够的应急措施和人员应对突发医疗紧急状况，服从院方安排。中央运送准确率应达到95%及以上，中央运送及时率应达到95%及以上。</w:t>
      </w:r>
    </w:p>
    <w:p>
      <w:pPr>
        <w:spacing w:line="360" w:lineRule="auto"/>
        <w:ind w:firstLine="480" w:firstLineChars="200"/>
        <w:rPr>
          <w:rFonts w:ascii="宋体" w:hAnsi="宋体" w:cs="宋体"/>
          <w:sz w:val="24"/>
          <w:szCs w:val="24"/>
        </w:rPr>
      </w:pPr>
      <w:r>
        <w:rPr>
          <w:rFonts w:hint="eastAsia" w:ascii="宋体" w:hAnsi="宋体" w:cs="宋体"/>
          <w:sz w:val="24"/>
          <w:szCs w:val="24"/>
        </w:rPr>
        <w:t>（三）运送人员应参加救护培训，具备救护知识。调度员统一接听电话和统筹安排人员分工。能对中央运送的数据进行汇总和统计，能随时提供相应的数据，给采购人的决策进行支持。</w:t>
      </w:r>
    </w:p>
    <w:p>
      <w:pPr>
        <w:spacing w:line="360" w:lineRule="auto"/>
        <w:ind w:firstLine="480" w:firstLineChars="200"/>
        <w:rPr>
          <w:rFonts w:ascii="宋体" w:hAnsi="宋体" w:cs="宋体"/>
          <w:sz w:val="24"/>
          <w:szCs w:val="24"/>
        </w:rPr>
      </w:pPr>
      <w:r>
        <w:rPr>
          <w:rFonts w:hint="eastAsia" w:ascii="宋体" w:hAnsi="宋体" w:cs="宋体"/>
          <w:sz w:val="24"/>
          <w:szCs w:val="24"/>
        </w:rPr>
        <w:t>（四）工作计划安排</w:t>
      </w:r>
    </w:p>
    <w:p>
      <w:pPr>
        <w:spacing w:line="360" w:lineRule="auto"/>
        <w:ind w:firstLine="480" w:firstLineChars="200"/>
        <w:rPr>
          <w:rFonts w:ascii="宋体" w:hAnsi="宋体" w:cs="宋体"/>
          <w:sz w:val="24"/>
          <w:szCs w:val="24"/>
        </w:rPr>
      </w:pPr>
      <w:r>
        <w:rPr>
          <w:rFonts w:hint="eastAsia" w:ascii="宋体" w:hAnsi="宋体" w:cs="宋体"/>
          <w:sz w:val="24"/>
          <w:szCs w:val="24"/>
        </w:rPr>
        <w:t>1.科室只需拨打该服务热线说明需求，调度员接到运送任务后，对运送任务的科室、运送项目、目的地、时间、运送工具等相关要求输入电脑运送系统并做详细记录；</w:t>
      </w:r>
    </w:p>
    <w:p>
      <w:pPr>
        <w:spacing w:line="360" w:lineRule="auto"/>
        <w:ind w:firstLine="480" w:firstLineChars="200"/>
        <w:rPr>
          <w:rFonts w:ascii="宋体" w:hAnsi="宋体" w:cs="宋体"/>
          <w:sz w:val="24"/>
          <w:szCs w:val="24"/>
        </w:rPr>
      </w:pPr>
      <w:r>
        <w:rPr>
          <w:rFonts w:hint="eastAsia" w:ascii="宋体" w:hAnsi="宋体" w:cs="宋体"/>
          <w:sz w:val="24"/>
          <w:szCs w:val="24"/>
        </w:rPr>
        <w:t>2.根据运送任务的前后顺序，派就近的运送人员完成（紧急运送任务，由中心即时运送人员完成）；</w:t>
      </w:r>
    </w:p>
    <w:p>
      <w:pPr>
        <w:spacing w:line="360" w:lineRule="auto"/>
        <w:ind w:firstLine="480" w:firstLineChars="200"/>
        <w:rPr>
          <w:rFonts w:ascii="宋体" w:hAnsi="宋体" w:cs="宋体"/>
          <w:sz w:val="24"/>
          <w:szCs w:val="24"/>
        </w:rPr>
      </w:pPr>
      <w:r>
        <w:rPr>
          <w:rFonts w:hint="eastAsia" w:ascii="宋体" w:hAnsi="宋体" w:cs="宋体"/>
          <w:sz w:val="24"/>
          <w:szCs w:val="24"/>
        </w:rPr>
        <w:t>3.运送员接到运送工作指令后，立即执行并对指令信息做记录；</w:t>
      </w:r>
    </w:p>
    <w:p>
      <w:pPr>
        <w:spacing w:line="360" w:lineRule="auto"/>
        <w:ind w:firstLine="480" w:firstLineChars="200"/>
        <w:rPr>
          <w:rFonts w:ascii="宋体" w:hAnsi="宋体" w:cs="宋体"/>
          <w:sz w:val="24"/>
          <w:szCs w:val="24"/>
        </w:rPr>
      </w:pPr>
      <w:r>
        <w:rPr>
          <w:rFonts w:hint="eastAsia" w:ascii="宋体" w:hAnsi="宋体" w:cs="宋体"/>
          <w:sz w:val="24"/>
          <w:szCs w:val="24"/>
        </w:rPr>
        <w:t>4.调度员根据各运送项目标准运送时间，对运送人员完成任务情况进行监督；</w:t>
      </w:r>
    </w:p>
    <w:p>
      <w:pPr>
        <w:spacing w:line="360" w:lineRule="auto"/>
        <w:ind w:firstLine="480" w:firstLineChars="200"/>
        <w:rPr>
          <w:rFonts w:ascii="宋体" w:hAnsi="宋体" w:cs="宋体"/>
          <w:sz w:val="24"/>
          <w:szCs w:val="24"/>
        </w:rPr>
      </w:pPr>
      <w:r>
        <w:rPr>
          <w:rFonts w:hint="eastAsia" w:ascii="宋体" w:hAnsi="宋体" w:cs="宋体"/>
          <w:sz w:val="24"/>
          <w:szCs w:val="24"/>
        </w:rPr>
        <w:t>5.运送人员完成任务后，及时向调度员汇报，调度员对运送任务完成情况做详细记录；</w:t>
      </w:r>
    </w:p>
    <w:p>
      <w:pPr>
        <w:spacing w:line="360" w:lineRule="auto"/>
        <w:ind w:firstLine="480" w:firstLineChars="200"/>
        <w:rPr>
          <w:rFonts w:ascii="宋体" w:hAnsi="宋体" w:cs="宋体"/>
          <w:sz w:val="24"/>
          <w:szCs w:val="24"/>
        </w:rPr>
      </w:pPr>
      <w:r>
        <w:rPr>
          <w:rFonts w:hint="eastAsia" w:ascii="宋体" w:hAnsi="宋体" w:cs="宋体"/>
          <w:sz w:val="24"/>
          <w:szCs w:val="24"/>
        </w:rPr>
        <w:t>6.因特殊情况导致运送任务延时完成或未能完成，调度员必须及时与交办运送任务的科室反馈说明情况，并做好详细记录；</w:t>
      </w:r>
    </w:p>
    <w:p>
      <w:pPr>
        <w:spacing w:line="360" w:lineRule="auto"/>
        <w:ind w:firstLine="480" w:firstLineChars="200"/>
        <w:rPr>
          <w:rFonts w:ascii="宋体" w:hAnsi="宋体" w:cs="宋体"/>
          <w:sz w:val="24"/>
          <w:szCs w:val="24"/>
        </w:rPr>
      </w:pPr>
      <w:r>
        <w:rPr>
          <w:rFonts w:hint="eastAsia" w:ascii="宋体" w:hAnsi="宋体" w:cs="宋体"/>
          <w:sz w:val="24"/>
          <w:szCs w:val="24"/>
        </w:rPr>
        <w:t>7.根据中心调度备忘录完成运送工作计划，并进行跟踪监督；</w:t>
      </w:r>
    </w:p>
    <w:p>
      <w:pPr>
        <w:spacing w:line="360" w:lineRule="auto"/>
        <w:ind w:firstLine="480" w:firstLineChars="200"/>
        <w:rPr>
          <w:rFonts w:ascii="宋体" w:hAnsi="宋体" w:cs="宋体"/>
          <w:sz w:val="24"/>
          <w:szCs w:val="24"/>
        </w:rPr>
      </w:pPr>
      <w:r>
        <w:rPr>
          <w:rFonts w:hint="eastAsia" w:ascii="宋体" w:hAnsi="宋体" w:cs="宋体"/>
          <w:sz w:val="24"/>
          <w:szCs w:val="24"/>
        </w:rPr>
        <w:t>8.根据临床科室的各项检查要求，准时做好每天各项检查预约登记，并做详细记录。</w:t>
      </w:r>
    </w:p>
    <w:p>
      <w:pPr>
        <w:spacing w:line="360" w:lineRule="auto"/>
        <w:ind w:firstLine="480" w:firstLineChars="200"/>
        <w:rPr>
          <w:rFonts w:ascii="宋体" w:hAnsi="宋体" w:cs="宋体"/>
          <w:sz w:val="24"/>
          <w:szCs w:val="24"/>
        </w:rPr>
      </w:pPr>
      <w:r>
        <w:rPr>
          <w:rFonts w:hint="eastAsia" w:ascii="宋体" w:hAnsi="宋体" w:cs="宋体"/>
          <w:sz w:val="24"/>
          <w:szCs w:val="24"/>
        </w:rPr>
        <w:t>9.中午与夜间外勤运送服务都设值班，保持通讯畅通。坚持岗在人在的原则。</w:t>
      </w:r>
    </w:p>
    <w:p>
      <w:pPr>
        <w:spacing w:line="360" w:lineRule="auto"/>
        <w:ind w:firstLine="480" w:firstLineChars="200"/>
        <w:rPr>
          <w:rFonts w:ascii="宋体" w:hAnsi="宋体" w:cs="宋体"/>
          <w:sz w:val="24"/>
          <w:szCs w:val="24"/>
        </w:rPr>
      </w:pPr>
      <w:r>
        <w:rPr>
          <w:rFonts w:hint="eastAsia" w:ascii="宋体" w:hAnsi="宋体" w:cs="宋体"/>
          <w:sz w:val="24"/>
          <w:szCs w:val="24"/>
        </w:rPr>
        <w:t>（五）物品运送（循环）服务</w:t>
      </w:r>
    </w:p>
    <w:p>
      <w:pPr>
        <w:spacing w:line="360" w:lineRule="auto"/>
        <w:ind w:firstLine="480" w:firstLineChars="200"/>
        <w:rPr>
          <w:rFonts w:ascii="宋体" w:hAnsi="宋体" w:cs="宋体"/>
          <w:sz w:val="24"/>
          <w:szCs w:val="24"/>
        </w:rPr>
      </w:pPr>
      <w:r>
        <w:rPr>
          <w:rFonts w:hint="eastAsia" w:ascii="宋体" w:hAnsi="宋体" w:cs="宋体"/>
          <w:sz w:val="24"/>
          <w:szCs w:val="24"/>
        </w:rPr>
        <w:t>1.将物品运送工作尽可能预先计划，减少随机性。</w:t>
      </w:r>
    </w:p>
    <w:p>
      <w:pPr>
        <w:spacing w:line="360" w:lineRule="auto"/>
        <w:ind w:firstLine="480" w:firstLineChars="200"/>
        <w:rPr>
          <w:rFonts w:ascii="宋体" w:hAnsi="宋体" w:cs="宋体"/>
          <w:sz w:val="24"/>
          <w:szCs w:val="24"/>
        </w:rPr>
      </w:pPr>
      <w:r>
        <w:rPr>
          <w:rFonts w:hint="eastAsia" w:ascii="宋体" w:hAnsi="宋体" w:cs="宋体"/>
          <w:sz w:val="24"/>
          <w:szCs w:val="24"/>
        </w:rPr>
        <w:t>2.按照设计的时间、线路运送常规标本、单据、处方等物品。</w:t>
      </w:r>
    </w:p>
    <w:p>
      <w:pPr>
        <w:spacing w:line="360" w:lineRule="auto"/>
        <w:ind w:firstLine="480" w:firstLineChars="200"/>
        <w:rPr>
          <w:rFonts w:ascii="宋体" w:hAnsi="宋体" w:cs="宋体"/>
          <w:sz w:val="24"/>
          <w:szCs w:val="24"/>
        </w:rPr>
      </w:pPr>
      <w:r>
        <w:rPr>
          <w:rFonts w:hint="eastAsia" w:ascii="宋体" w:hAnsi="宋体" w:cs="宋体"/>
          <w:sz w:val="24"/>
          <w:szCs w:val="24"/>
        </w:rPr>
        <w:t>3.加强运送工作的核对措施，杜绝任何形式的失误，贵重物品应保证安全。及时完成医护人员临时交办的工作。</w:t>
      </w:r>
    </w:p>
    <w:p>
      <w:pPr>
        <w:spacing w:line="360" w:lineRule="auto"/>
        <w:ind w:firstLine="480" w:firstLineChars="200"/>
        <w:rPr>
          <w:rFonts w:ascii="宋体" w:hAnsi="宋体" w:cs="宋体"/>
          <w:sz w:val="24"/>
          <w:szCs w:val="24"/>
        </w:rPr>
      </w:pPr>
      <w:r>
        <w:rPr>
          <w:rFonts w:hint="eastAsia" w:ascii="宋体" w:hAnsi="宋体" w:cs="宋体"/>
          <w:sz w:val="24"/>
          <w:szCs w:val="24"/>
        </w:rPr>
        <w:t>4.礼貌接待科室需求电话并做好记录，根据急、缓接受任务，耐心给科室回复安排时间。</w:t>
      </w:r>
    </w:p>
    <w:p>
      <w:pPr>
        <w:spacing w:line="360" w:lineRule="auto"/>
        <w:ind w:firstLine="480" w:firstLineChars="200"/>
        <w:rPr>
          <w:rFonts w:ascii="宋体" w:hAnsi="宋体" w:cs="宋体"/>
          <w:sz w:val="24"/>
          <w:szCs w:val="24"/>
        </w:rPr>
      </w:pPr>
      <w:r>
        <w:rPr>
          <w:rFonts w:hint="eastAsia" w:ascii="宋体" w:hAnsi="宋体" w:cs="宋体"/>
          <w:sz w:val="24"/>
          <w:szCs w:val="24"/>
        </w:rPr>
        <w:t>5.各项化验标准交接必须履行签字手续，做到三查四对。</w:t>
      </w:r>
    </w:p>
    <w:p>
      <w:pPr>
        <w:spacing w:line="360" w:lineRule="auto"/>
        <w:ind w:firstLine="480" w:firstLineChars="200"/>
        <w:rPr>
          <w:rFonts w:ascii="宋体" w:hAnsi="宋体" w:cs="宋体"/>
          <w:sz w:val="24"/>
          <w:szCs w:val="24"/>
        </w:rPr>
      </w:pPr>
      <w:r>
        <w:rPr>
          <w:rFonts w:hint="eastAsia" w:ascii="宋体" w:hAnsi="宋体" w:cs="宋体"/>
          <w:sz w:val="24"/>
          <w:szCs w:val="24"/>
        </w:rPr>
        <w:t>6.在运送标本等过程中，不得故意拖延时间，不接受其他工作安排，偷奸耍滑，工作期间打私话、聊天等。</w:t>
      </w:r>
    </w:p>
    <w:p>
      <w:pPr>
        <w:spacing w:line="360" w:lineRule="auto"/>
        <w:ind w:firstLine="480" w:firstLineChars="200"/>
        <w:rPr>
          <w:rFonts w:ascii="宋体" w:hAnsi="宋体" w:cs="宋体"/>
          <w:sz w:val="24"/>
          <w:szCs w:val="24"/>
        </w:rPr>
      </w:pPr>
      <w:r>
        <w:rPr>
          <w:rFonts w:hint="eastAsia" w:ascii="宋体" w:hAnsi="宋体" w:cs="宋体"/>
          <w:sz w:val="24"/>
          <w:szCs w:val="24"/>
        </w:rPr>
        <w:t>7.运送各类标本等，按医院规定使用固定容器运输，不得导致标本损坏或者被污染，运送标本时，在特殊区域（如隔离病区、发热门诊等）严格执行分区管理要求，不得走清洁通道运输标本</w:t>
      </w:r>
    </w:p>
    <w:p>
      <w:pPr>
        <w:spacing w:line="360" w:lineRule="auto"/>
        <w:ind w:firstLine="480" w:firstLineChars="200"/>
        <w:rPr>
          <w:rFonts w:ascii="宋体" w:hAnsi="宋体" w:cs="宋体"/>
          <w:sz w:val="24"/>
          <w:szCs w:val="24"/>
        </w:rPr>
      </w:pPr>
      <w:r>
        <w:rPr>
          <w:rFonts w:hint="eastAsia" w:ascii="宋体" w:hAnsi="宋体" w:cs="宋体"/>
          <w:sz w:val="24"/>
          <w:szCs w:val="24"/>
        </w:rPr>
        <w:t>（六）患者运送（及时）服务</w:t>
      </w:r>
    </w:p>
    <w:p>
      <w:pPr>
        <w:spacing w:line="360" w:lineRule="auto"/>
        <w:ind w:firstLine="480" w:firstLineChars="200"/>
        <w:rPr>
          <w:rFonts w:ascii="宋体" w:hAnsi="宋体" w:cs="宋体"/>
          <w:sz w:val="24"/>
          <w:szCs w:val="24"/>
        </w:rPr>
      </w:pPr>
      <w:r>
        <w:rPr>
          <w:rFonts w:hint="eastAsia" w:ascii="宋体" w:hAnsi="宋体" w:cs="宋体"/>
          <w:sz w:val="24"/>
          <w:szCs w:val="24"/>
        </w:rPr>
        <w:t>1.根据患者病情需要，尽可能运用平车、轮椅等运送工具接送患者，且都应系安全带，防止病人摔伤，提高患者的满意度。</w:t>
      </w:r>
    </w:p>
    <w:p>
      <w:pPr>
        <w:spacing w:line="360" w:lineRule="auto"/>
        <w:ind w:firstLine="480" w:firstLineChars="200"/>
        <w:rPr>
          <w:rFonts w:ascii="宋体" w:hAnsi="宋体" w:cs="宋体"/>
          <w:sz w:val="24"/>
          <w:szCs w:val="24"/>
        </w:rPr>
      </w:pPr>
      <w:r>
        <w:rPr>
          <w:rFonts w:hint="eastAsia" w:ascii="宋体" w:hAnsi="宋体" w:cs="宋体"/>
          <w:sz w:val="24"/>
          <w:szCs w:val="24"/>
        </w:rPr>
        <w:t>2.掌握不同患者运送的技巧和注意事项，观察患者的情况，保证患者运送途中的安全。</w:t>
      </w:r>
    </w:p>
    <w:p>
      <w:pPr>
        <w:spacing w:line="360" w:lineRule="auto"/>
        <w:ind w:firstLine="480" w:firstLineChars="200"/>
        <w:rPr>
          <w:rFonts w:ascii="宋体" w:hAnsi="宋体" w:cs="宋体"/>
          <w:sz w:val="24"/>
          <w:szCs w:val="24"/>
        </w:rPr>
      </w:pPr>
      <w:r>
        <w:rPr>
          <w:rFonts w:hint="eastAsia" w:ascii="宋体" w:hAnsi="宋体" w:cs="宋体"/>
          <w:sz w:val="24"/>
          <w:szCs w:val="24"/>
        </w:rPr>
        <w:t>3.危重病人的接送，必须有医护人员在场，（ICU、手术后等病人）不得凭感觉私自推送危重病人做各项检查；（如医护人员不配合报告中心）。</w:t>
      </w:r>
    </w:p>
    <w:p>
      <w:pPr>
        <w:spacing w:line="360" w:lineRule="auto"/>
        <w:ind w:firstLine="480" w:firstLineChars="200"/>
        <w:rPr>
          <w:rFonts w:ascii="宋体" w:hAnsi="宋体" w:cs="宋体"/>
          <w:sz w:val="24"/>
          <w:szCs w:val="24"/>
        </w:rPr>
      </w:pPr>
      <w:r>
        <w:rPr>
          <w:rFonts w:hint="eastAsia" w:ascii="宋体" w:hAnsi="宋体" w:cs="宋体"/>
          <w:sz w:val="24"/>
          <w:szCs w:val="24"/>
        </w:rPr>
        <w:t>4.推送病人过程中，如遇有心电监护仪、起搏器、输液泵等仪器设备，应与科室进行交接签字。</w:t>
      </w:r>
    </w:p>
    <w:p>
      <w:pPr>
        <w:spacing w:line="360" w:lineRule="auto"/>
        <w:ind w:firstLine="480" w:firstLineChars="200"/>
        <w:rPr>
          <w:rFonts w:ascii="宋体" w:hAnsi="宋体" w:cs="宋体"/>
          <w:sz w:val="24"/>
          <w:szCs w:val="24"/>
        </w:rPr>
      </w:pPr>
      <w:r>
        <w:rPr>
          <w:rFonts w:hint="eastAsia" w:ascii="宋体" w:hAnsi="宋体" w:cs="宋体"/>
          <w:sz w:val="24"/>
          <w:szCs w:val="24"/>
        </w:rPr>
        <w:t>5.运送过程中严格按照运送注意事项进行，不得因工作疏忽导致病人各种管道脱落等的二次伤害。</w:t>
      </w:r>
    </w:p>
    <w:p>
      <w:pPr>
        <w:spacing w:line="360" w:lineRule="auto"/>
        <w:ind w:firstLine="480" w:firstLineChars="200"/>
        <w:rPr>
          <w:rFonts w:ascii="宋体" w:hAnsi="宋体" w:cs="宋体"/>
          <w:sz w:val="24"/>
          <w:szCs w:val="24"/>
        </w:rPr>
      </w:pPr>
      <w:r>
        <w:rPr>
          <w:rFonts w:hint="eastAsia" w:ascii="宋体" w:hAnsi="宋体" w:cs="宋体"/>
          <w:sz w:val="24"/>
          <w:szCs w:val="24"/>
        </w:rPr>
        <w:t>6.运送服务项目属协助医护人员完成的后勤临床服务工作，服务态度代表医院形象工作，不得说话粗鲁或者与病人及病人家属发生争吵等。</w:t>
      </w:r>
    </w:p>
    <w:p>
      <w:pPr>
        <w:spacing w:line="360" w:lineRule="auto"/>
        <w:ind w:firstLine="480" w:firstLineChars="200"/>
        <w:rPr>
          <w:rFonts w:ascii="宋体" w:hAnsi="宋体" w:cs="宋体"/>
          <w:sz w:val="24"/>
          <w:szCs w:val="24"/>
        </w:rPr>
      </w:pPr>
      <w:r>
        <w:rPr>
          <w:rFonts w:hint="eastAsia" w:ascii="宋体" w:hAnsi="宋体" w:cs="宋体"/>
          <w:sz w:val="24"/>
          <w:szCs w:val="24"/>
        </w:rPr>
        <w:t>7.在运送过程中不得与病人及病人家属谈判，索要红包等，影响医院形象。</w:t>
      </w:r>
    </w:p>
    <w:p>
      <w:pPr>
        <w:spacing w:line="360" w:lineRule="auto"/>
        <w:ind w:firstLine="480" w:firstLineChars="200"/>
        <w:rPr>
          <w:rFonts w:ascii="宋体" w:hAnsi="宋体" w:cs="宋体"/>
          <w:sz w:val="24"/>
          <w:szCs w:val="24"/>
        </w:rPr>
      </w:pPr>
      <w:r>
        <w:rPr>
          <w:rFonts w:hint="eastAsia" w:ascii="宋体" w:hAnsi="宋体" w:cs="宋体"/>
          <w:sz w:val="24"/>
          <w:szCs w:val="24"/>
        </w:rPr>
        <w:t>8. 急诊科运送任务，由中央调度中心即时派运送人员完成，随时满足急诊科运送需求；负责120急救车的跟车服务，急救病人收送、护送工作，协助采购人参与病人紧急救护，应参加救护培训，具备救护知识;</w:t>
      </w:r>
    </w:p>
    <w:p>
      <w:pPr>
        <w:spacing w:line="360" w:lineRule="auto"/>
        <w:rPr>
          <w:rFonts w:ascii="宋体" w:hAnsi="宋体" w:cs="宋体"/>
          <w:sz w:val="24"/>
          <w:szCs w:val="24"/>
        </w:rPr>
      </w:pPr>
      <w:r>
        <w:rPr>
          <w:rFonts w:hint="eastAsia" w:ascii="宋体" w:hAnsi="宋体" w:cs="宋体"/>
          <w:sz w:val="24"/>
          <w:szCs w:val="24"/>
        </w:rPr>
        <w:t xml:space="preserve">   9、手术室24小时驻守，按科室要求接送第一台手术病人及连台手术病人，每天两次送常规病理标本至病理科，用后血袋返至输血科，不定时送术中冰冻标本做好交接签名记录；每周三送灭菌蒸锅生物监测至供应室；承担运送物品至接送车、器械维修、血透室接取蒸馏水、麻醉科取药，领取酒精等工作，检查、维护保养手术推床、轮椅的安全。夜间运送负责回收、打包擦手毛巾，交值班护士灭菌备用。夜间每台手术结束后打扫手术间卫生。检查关闭所有对外通道门，负责门户安全。</w:t>
      </w:r>
    </w:p>
    <w:p>
      <w:pPr>
        <w:spacing w:line="360" w:lineRule="auto"/>
        <w:ind w:firstLine="480" w:firstLineChars="200"/>
        <w:rPr>
          <w:rFonts w:ascii="宋体" w:hAnsi="宋体" w:cs="宋体"/>
          <w:sz w:val="24"/>
          <w:szCs w:val="24"/>
        </w:rPr>
      </w:pPr>
      <w:r>
        <w:rPr>
          <w:rFonts w:hint="eastAsia" w:ascii="宋体" w:hAnsi="宋体" w:cs="宋体"/>
          <w:sz w:val="24"/>
          <w:szCs w:val="24"/>
        </w:rPr>
        <w:t>三、供应商根据服务内容及标准制定中央运送工作计划安排、中央运送作业操作规程及考核标准。</w:t>
      </w:r>
    </w:p>
    <w:p>
      <w:pPr>
        <w:keepNext/>
        <w:keepLines/>
        <w:numPr>
          <w:ilvl w:val="0"/>
          <w:numId w:val="0"/>
        </w:numPr>
        <w:spacing w:line="360" w:lineRule="auto"/>
        <w:outlineLvl w:val="2"/>
        <w:rPr>
          <w:rFonts w:ascii="宋体" w:hAnsi="宋体" w:cs="宋体"/>
          <w:b/>
          <w:bCs/>
          <w:kern w:val="0"/>
          <w:sz w:val="24"/>
          <w:szCs w:val="24"/>
        </w:rPr>
      </w:pPr>
      <w:r>
        <w:rPr>
          <w:rFonts w:hint="eastAsia" w:ascii="宋体" w:hAnsi="宋体" w:cs="宋体"/>
          <w:b/>
          <w:bCs/>
          <w:kern w:val="0"/>
          <w:sz w:val="24"/>
          <w:szCs w:val="24"/>
          <w:lang w:val="en-US" w:eastAsia="zh-CN"/>
        </w:rPr>
        <w:t>4.3.2.3</w:t>
      </w:r>
      <w:r>
        <w:rPr>
          <w:rFonts w:hint="eastAsia" w:ascii="宋体" w:hAnsi="宋体" w:cs="宋体"/>
          <w:b/>
          <w:bCs/>
          <w:kern w:val="0"/>
          <w:sz w:val="24"/>
          <w:szCs w:val="24"/>
        </w:rPr>
        <w:t>洗浆房服务内容及要求</w:t>
      </w:r>
    </w:p>
    <w:p>
      <w:pPr>
        <w:spacing w:line="360" w:lineRule="auto"/>
        <w:ind w:firstLine="480" w:firstLineChars="200"/>
        <w:rPr>
          <w:rFonts w:ascii="宋体" w:hAnsi="宋体" w:cs="宋体"/>
          <w:sz w:val="24"/>
          <w:szCs w:val="24"/>
        </w:rPr>
      </w:pPr>
      <w:r>
        <w:rPr>
          <w:rFonts w:hint="eastAsia" w:ascii="宋体" w:hAnsi="宋体" w:cs="宋体"/>
          <w:sz w:val="24"/>
          <w:szCs w:val="24"/>
        </w:rPr>
        <w:t>一、洗浆房服务内容</w:t>
      </w:r>
    </w:p>
    <w:p>
      <w:pPr>
        <w:spacing w:line="360" w:lineRule="auto"/>
        <w:ind w:firstLine="480" w:firstLineChars="200"/>
        <w:rPr>
          <w:rFonts w:ascii="宋体" w:hAnsi="宋体" w:cs="宋体"/>
          <w:sz w:val="24"/>
          <w:szCs w:val="24"/>
        </w:rPr>
      </w:pPr>
      <w:r>
        <w:rPr>
          <w:rFonts w:hint="eastAsia" w:ascii="宋体" w:hAnsi="宋体" w:cs="宋体"/>
          <w:sz w:val="24"/>
          <w:szCs w:val="24"/>
        </w:rPr>
        <w:t>负责医院内所有工作用的被服、巾单和病人服的分类、洗涤、消毒、烘干、熨烫、缝补、折叠、转运、收送工作。</w:t>
      </w:r>
    </w:p>
    <w:p>
      <w:pPr>
        <w:spacing w:line="360" w:lineRule="auto"/>
        <w:ind w:firstLine="480" w:firstLineChars="200"/>
        <w:rPr>
          <w:rFonts w:ascii="宋体" w:hAnsi="宋体" w:cs="宋体"/>
          <w:sz w:val="24"/>
          <w:szCs w:val="24"/>
        </w:rPr>
      </w:pPr>
      <w:r>
        <w:rPr>
          <w:rFonts w:hint="eastAsia" w:ascii="宋体" w:hAnsi="宋体" w:cs="宋体"/>
          <w:sz w:val="24"/>
          <w:szCs w:val="24"/>
        </w:rPr>
        <w:t>二、洗浆房服务质量标准和要求</w:t>
      </w:r>
    </w:p>
    <w:p>
      <w:pPr>
        <w:spacing w:line="360" w:lineRule="auto"/>
        <w:rPr>
          <w:rFonts w:ascii="宋体" w:hAnsi="宋体" w:cs="宋体"/>
          <w:sz w:val="24"/>
          <w:szCs w:val="24"/>
        </w:rPr>
      </w:pPr>
      <w:r>
        <w:rPr>
          <w:rFonts w:hint="eastAsia" w:ascii="宋体" w:hAnsi="宋体" w:cs="宋体"/>
          <w:sz w:val="24"/>
          <w:szCs w:val="24"/>
        </w:rPr>
        <w:t xml:space="preserve">    （一）被服洗涤质量标准和要求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1.应在每天规定时间节点前15min 到达科室并完成交接,科室被服交接要求使用专门交接记录本并由交接人签名确认，需认可的事项包括数量、科室、被服类别等。收回率100%，返还率100%。</w:t>
      </w:r>
    </w:p>
    <w:p>
      <w:pPr>
        <w:spacing w:line="360" w:lineRule="auto"/>
        <w:ind w:firstLine="480" w:firstLineChars="200"/>
        <w:rPr>
          <w:rFonts w:ascii="宋体" w:hAnsi="宋体" w:cs="宋体"/>
          <w:sz w:val="24"/>
          <w:szCs w:val="24"/>
        </w:rPr>
      </w:pPr>
      <w:r>
        <w:rPr>
          <w:rFonts w:hint="eastAsia" w:ascii="宋体" w:hAnsi="宋体" w:cs="宋体"/>
          <w:sz w:val="24"/>
          <w:szCs w:val="24"/>
        </w:rPr>
        <w:t>2.洗涤车间应当天100%完成收回的被服洗涤工作，并整装完毕。</w:t>
      </w:r>
    </w:p>
    <w:p>
      <w:pPr>
        <w:spacing w:line="360" w:lineRule="auto"/>
        <w:ind w:firstLine="480" w:firstLineChars="200"/>
        <w:rPr>
          <w:rFonts w:ascii="宋体" w:hAnsi="宋体" w:cs="宋体"/>
          <w:sz w:val="24"/>
          <w:szCs w:val="24"/>
        </w:rPr>
      </w:pPr>
      <w:r>
        <w:rPr>
          <w:rFonts w:hint="eastAsia" w:ascii="宋体" w:hAnsi="宋体" w:cs="宋体"/>
          <w:sz w:val="24"/>
          <w:szCs w:val="24"/>
        </w:rPr>
        <w:t>3.被服因洗涤发生的自然损坏率不得超过1‰;被服洗涤返回二次处理发生率不得超过2‰。</w:t>
      </w:r>
    </w:p>
    <w:p>
      <w:pPr>
        <w:spacing w:line="360" w:lineRule="auto"/>
        <w:ind w:firstLine="480" w:firstLineChars="200"/>
        <w:rPr>
          <w:rFonts w:ascii="宋体" w:hAnsi="宋体" w:cs="宋体"/>
          <w:sz w:val="24"/>
          <w:szCs w:val="24"/>
        </w:rPr>
      </w:pPr>
      <w:r>
        <w:rPr>
          <w:rFonts w:hint="eastAsia" w:ascii="宋体" w:hAnsi="宋体" w:cs="宋体"/>
          <w:sz w:val="24"/>
          <w:szCs w:val="24"/>
        </w:rPr>
        <w:t>4.因洗涤服务造成的流失率不应超过0.1%。</w:t>
      </w:r>
    </w:p>
    <w:p>
      <w:pPr>
        <w:spacing w:line="360" w:lineRule="auto"/>
        <w:ind w:firstLine="480" w:firstLineChars="200"/>
        <w:rPr>
          <w:rFonts w:ascii="宋体" w:hAnsi="宋体" w:cs="宋体"/>
          <w:sz w:val="24"/>
          <w:szCs w:val="24"/>
        </w:rPr>
      </w:pPr>
      <w:r>
        <w:rPr>
          <w:rFonts w:hint="eastAsia" w:ascii="宋体" w:hAnsi="宋体" w:cs="宋体"/>
          <w:sz w:val="24"/>
          <w:szCs w:val="24"/>
        </w:rPr>
        <w:t>5.对破损被服进行缝补修复，把好报废关，每月清点、核算和上报当月的报废被服数量。</w:t>
      </w:r>
    </w:p>
    <w:p>
      <w:pPr>
        <w:spacing w:line="360" w:lineRule="auto"/>
        <w:ind w:firstLine="480" w:firstLineChars="200"/>
        <w:rPr>
          <w:rFonts w:ascii="宋体" w:hAnsi="宋体" w:cs="宋体"/>
          <w:sz w:val="24"/>
          <w:szCs w:val="24"/>
        </w:rPr>
      </w:pPr>
      <w:r>
        <w:rPr>
          <w:rFonts w:hint="eastAsia" w:ascii="宋体" w:hAnsi="宋体" w:cs="宋体"/>
          <w:sz w:val="24"/>
          <w:szCs w:val="24"/>
        </w:rPr>
        <w:t>6.清洗和消毒质量符合2017年版《医院医用织物洗涤消毒技术规范》和医院感染管理要求。</w:t>
      </w:r>
    </w:p>
    <w:p>
      <w:pPr>
        <w:spacing w:line="360" w:lineRule="auto"/>
        <w:ind w:firstLine="480" w:firstLineChars="200"/>
        <w:rPr>
          <w:rFonts w:ascii="宋体" w:hAnsi="宋体" w:cs="宋体"/>
          <w:sz w:val="24"/>
          <w:szCs w:val="24"/>
        </w:rPr>
      </w:pPr>
      <w:r>
        <w:rPr>
          <w:rFonts w:hint="eastAsia" w:ascii="宋体" w:hAnsi="宋体" w:cs="宋体"/>
          <w:sz w:val="24"/>
          <w:szCs w:val="24"/>
        </w:rPr>
        <w:t>（二）被服洗涤后的质量标准和要求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1.被服通幅无水痕、无污渍;被服含水量不得超过5%。</w:t>
      </w:r>
    </w:p>
    <w:p>
      <w:pPr>
        <w:spacing w:line="360" w:lineRule="auto"/>
        <w:ind w:firstLine="480" w:firstLineChars="200"/>
        <w:rPr>
          <w:rFonts w:ascii="宋体" w:hAnsi="宋体" w:cs="宋体"/>
          <w:sz w:val="24"/>
          <w:szCs w:val="24"/>
        </w:rPr>
      </w:pPr>
      <w:r>
        <w:rPr>
          <w:rFonts w:hint="eastAsia" w:ascii="宋体" w:hAnsi="宋体" w:cs="宋体"/>
          <w:sz w:val="24"/>
          <w:szCs w:val="24"/>
        </w:rPr>
        <w:t>2.被服折叠整齐，无藏角、皱褶。</w:t>
      </w:r>
    </w:p>
    <w:p>
      <w:pPr>
        <w:spacing w:line="360" w:lineRule="auto"/>
        <w:ind w:firstLine="480" w:firstLineChars="200"/>
        <w:rPr>
          <w:rFonts w:ascii="宋体" w:hAnsi="宋体" w:cs="宋体"/>
          <w:sz w:val="24"/>
          <w:szCs w:val="24"/>
        </w:rPr>
      </w:pPr>
      <w:r>
        <w:rPr>
          <w:rFonts w:hint="eastAsia" w:ascii="宋体" w:hAnsi="宋体" w:cs="宋体"/>
          <w:sz w:val="24"/>
          <w:szCs w:val="24"/>
        </w:rPr>
        <w:t>3.洗涤后的色泽鲜明，并保持洗涤前不少于 99%的色泽度。</w:t>
      </w:r>
    </w:p>
    <w:p>
      <w:pPr>
        <w:spacing w:line="360" w:lineRule="auto"/>
        <w:ind w:firstLine="480" w:firstLineChars="200"/>
        <w:rPr>
          <w:rFonts w:ascii="宋体" w:hAnsi="宋体" w:cs="宋体"/>
          <w:sz w:val="24"/>
          <w:szCs w:val="24"/>
        </w:rPr>
      </w:pPr>
      <w:r>
        <w:rPr>
          <w:rFonts w:hint="eastAsia" w:ascii="宋体" w:hAnsi="宋体" w:cs="宋体"/>
          <w:sz w:val="24"/>
          <w:szCs w:val="24"/>
        </w:rPr>
        <w:t>（三）特殊被服洗涤服务的质量标准和要求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1.感染科被服回收前科室预消毒浸泡率应保持在100%。</w:t>
      </w:r>
    </w:p>
    <w:p>
      <w:pPr>
        <w:spacing w:line="360" w:lineRule="auto"/>
        <w:ind w:firstLine="480" w:firstLineChars="200"/>
        <w:rPr>
          <w:rFonts w:ascii="宋体" w:hAnsi="宋体" w:cs="宋体"/>
          <w:sz w:val="24"/>
          <w:szCs w:val="24"/>
        </w:rPr>
      </w:pPr>
      <w:r>
        <w:rPr>
          <w:rFonts w:hint="eastAsia" w:ascii="宋体" w:hAnsi="宋体" w:cs="宋体"/>
          <w:sz w:val="24"/>
          <w:szCs w:val="24"/>
        </w:rPr>
        <w:t>2.疑似传染风险的被服清洗前消毒浸泡率为100%。</w:t>
      </w:r>
    </w:p>
    <w:p>
      <w:pPr>
        <w:spacing w:line="360" w:lineRule="auto"/>
        <w:ind w:firstLine="480" w:firstLineChars="200"/>
        <w:rPr>
          <w:rFonts w:ascii="宋体" w:hAnsi="宋体" w:cs="宋体"/>
          <w:sz w:val="24"/>
          <w:szCs w:val="24"/>
        </w:rPr>
      </w:pPr>
      <w:r>
        <w:rPr>
          <w:rFonts w:hint="eastAsia" w:ascii="宋体" w:hAnsi="宋体" w:cs="宋体"/>
          <w:sz w:val="24"/>
          <w:szCs w:val="24"/>
        </w:rPr>
        <w:t>3.疑似传染风险的被服浸泡应符合：时间不得少于8h;有效消毒含量不得小于0.5%;手术室污染被服应参照相关要求执行。</w:t>
      </w:r>
    </w:p>
    <w:p>
      <w:pPr>
        <w:spacing w:line="360" w:lineRule="auto"/>
        <w:ind w:firstLine="480" w:firstLineChars="200"/>
        <w:rPr>
          <w:rFonts w:ascii="宋体" w:hAnsi="宋体" w:cs="宋体"/>
          <w:sz w:val="24"/>
          <w:szCs w:val="24"/>
        </w:rPr>
      </w:pPr>
      <w:r>
        <w:rPr>
          <w:rFonts w:hint="eastAsia" w:ascii="宋体" w:hAnsi="宋体" w:cs="宋体"/>
          <w:sz w:val="24"/>
          <w:szCs w:val="24"/>
        </w:rPr>
        <w:t>（四）被服收回服务质量标准和要求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1.科室已更换的被服洗涤收回率应为100%（指定时间节点前的）。</w:t>
      </w:r>
    </w:p>
    <w:p>
      <w:pPr>
        <w:spacing w:line="360" w:lineRule="auto"/>
        <w:ind w:firstLine="480" w:firstLineChars="200"/>
        <w:rPr>
          <w:rFonts w:ascii="宋体" w:hAnsi="宋体" w:cs="宋体"/>
          <w:sz w:val="24"/>
          <w:szCs w:val="24"/>
        </w:rPr>
      </w:pPr>
      <w:r>
        <w:rPr>
          <w:rFonts w:hint="eastAsia" w:ascii="宋体" w:hAnsi="宋体" w:cs="宋体"/>
          <w:sz w:val="24"/>
          <w:szCs w:val="24"/>
        </w:rPr>
        <w:t>2.洗涤返还率为100%。</w:t>
      </w:r>
    </w:p>
    <w:p>
      <w:pPr>
        <w:spacing w:line="360" w:lineRule="auto"/>
        <w:ind w:firstLine="480" w:firstLineChars="200"/>
        <w:rPr>
          <w:rFonts w:ascii="宋体" w:hAnsi="宋体" w:cs="宋体"/>
          <w:sz w:val="24"/>
          <w:szCs w:val="24"/>
        </w:rPr>
      </w:pPr>
      <w:r>
        <w:rPr>
          <w:rFonts w:hint="eastAsia" w:ascii="宋体" w:hAnsi="宋体" w:cs="宋体"/>
          <w:sz w:val="24"/>
          <w:szCs w:val="24"/>
        </w:rPr>
        <w:t>3.返还数目差错率不得超过1‰。</w:t>
      </w:r>
    </w:p>
    <w:p>
      <w:pPr>
        <w:spacing w:line="360" w:lineRule="auto"/>
        <w:ind w:firstLine="480" w:firstLineChars="200"/>
        <w:rPr>
          <w:rFonts w:ascii="宋体" w:hAnsi="宋体" w:cs="宋体"/>
          <w:sz w:val="24"/>
          <w:szCs w:val="24"/>
        </w:rPr>
      </w:pPr>
      <w:r>
        <w:rPr>
          <w:rFonts w:hint="eastAsia" w:ascii="宋体" w:hAnsi="宋体" w:cs="宋体"/>
          <w:sz w:val="24"/>
          <w:szCs w:val="24"/>
        </w:rPr>
        <w:t>（五）被服洗涤服务其他管理的质量标准和要求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1.每次使用洗涤被服收回用具、设施（含车辆、可重复使用的打包袋等）后应全部消毒。</w:t>
      </w:r>
    </w:p>
    <w:p>
      <w:pPr>
        <w:spacing w:line="360" w:lineRule="auto"/>
        <w:ind w:firstLine="480" w:firstLineChars="200"/>
        <w:rPr>
          <w:rFonts w:ascii="宋体" w:hAnsi="宋体" w:cs="宋体"/>
          <w:sz w:val="24"/>
          <w:szCs w:val="24"/>
        </w:rPr>
      </w:pPr>
      <w:r>
        <w:rPr>
          <w:rFonts w:hint="eastAsia" w:ascii="宋体" w:hAnsi="宋体" w:cs="宋体"/>
          <w:sz w:val="24"/>
          <w:szCs w:val="24"/>
        </w:rPr>
        <w:t>2.杜绝清洁物和污染物混装现象。</w:t>
      </w:r>
    </w:p>
    <w:p>
      <w:pPr>
        <w:spacing w:line="360" w:lineRule="auto"/>
        <w:ind w:firstLine="480" w:firstLineChars="200"/>
        <w:rPr>
          <w:rFonts w:ascii="宋体" w:hAnsi="宋体" w:cs="宋体"/>
          <w:sz w:val="24"/>
          <w:szCs w:val="24"/>
        </w:rPr>
      </w:pPr>
      <w:r>
        <w:rPr>
          <w:rFonts w:hint="eastAsia" w:ascii="宋体" w:hAnsi="宋体" w:cs="宋体"/>
          <w:sz w:val="24"/>
          <w:szCs w:val="24"/>
        </w:rPr>
        <w:t>3.严禁在科室走道、病房、病床边及其他人流较多区域进行分拣。</w:t>
      </w:r>
    </w:p>
    <w:p>
      <w:pPr>
        <w:spacing w:line="360" w:lineRule="auto"/>
        <w:ind w:firstLine="480" w:firstLineChars="200"/>
        <w:rPr>
          <w:rFonts w:ascii="宋体" w:hAnsi="宋体" w:cs="宋体"/>
          <w:sz w:val="24"/>
          <w:szCs w:val="24"/>
        </w:rPr>
      </w:pPr>
      <w:r>
        <w:rPr>
          <w:rFonts w:hint="eastAsia" w:ascii="宋体" w:hAnsi="宋体" w:cs="宋体"/>
          <w:sz w:val="24"/>
          <w:szCs w:val="24"/>
        </w:rPr>
        <w:t>4.污染被褥收回打包率应为100%，风险污染被服隔离密封率应保持100%。</w:t>
      </w:r>
    </w:p>
    <w:p>
      <w:pPr>
        <w:spacing w:line="360" w:lineRule="auto"/>
        <w:ind w:firstLine="480" w:firstLineChars="200"/>
        <w:rPr>
          <w:rFonts w:ascii="宋体" w:hAnsi="宋体" w:cs="宋体"/>
          <w:sz w:val="24"/>
          <w:szCs w:val="24"/>
        </w:rPr>
      </w:pPr>
      <w:r>
        <w:rPr>
          <w:rFonts w:hint="eastAsia" w:ascii="宋体" w:hAnsi="宋体" w:cs="宋体"/>
          <w:sz w:val="24"/>
          <w:szCs w:val="24"/>
        </w:rPr>
        <w:t>（六） 疑似污染被服打包质量标准和要求</w:t>
      </w:r>
    </w:p>
    <w:p>
      <w:pPr>
        <w:spacing w:line="360" w:lineRule="auto"/>
        <w:ind w:firstLine="480" w:firstLineChars="200"/>
        <w:rPr>
          <w:rFonts w:ascii="宋体" w:hAnsi="宋体" w:cs="宋体"/>
          <w:sz w:val="24"/>
          <w:szCs w:val="24"/>
        </w:rPr>
      </w:pPr>
      <w:r>
        <w:rPr>
          <w:rFonts w:hint="eastAsia" w:ascii="宋体" w:hAnsi="宋体" w:cs="宋体"/>
          <w:sz w:val="24"/>
          <w:szCs w:val="24"/>
        </w:rPr>
        <w:t>1.里层应使用专门打包袋分装，并牢固扎口。</w:t>
      </w:r>
    </w:p>
    <w:p>
      <w:pPr>
        <w:spacing w:line="360" w:lineRule="auto"/>
        <w:ind w:firstLine="480" w:firstLineChars="200"/>
        <w:rPr>
          <w:rFonts w:ascii="宋体" w:hAnsi="宋体" w:cs="宋体"/>
          <w:sz w:val="24"/>
          <w:szCs w:val="24"/>
        </w:rPr>
      </w:pPr>
      <w:r>
        <w:rPr>
          <w:rFonts w:hint="eastAsia" w:ascii="宋体" w:hAnsi="宋体" w:cs="宋体"/>
          <w:sz w:val="24"/>
          <w:szCs w:val="24"/>
        </w:rPr>
        <w:t>2.外出应至少使用单层黄色医用垃圾袋进行密闭封装。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三、供应商根据服务内容及标准制定洗浆房工作计划安排、洗浆房服务操作流程及质量管控措施。</w:t>
      </w:r>
    </w:p>
    <w:p>
      <w:pPr>
        <w:keepNext/>
        <w:keepLines/>
        <w:numPr>
          <w:ilvl w:val="0"/>
          <w:numId w:val="0"/>
        </w:numPr>
        <w:spacing w:line="360" w:lineRule="auto"/>
        <w:outlineLvl w:val="2"/>
        <w:rPr>
          <w:rFonts w:ascii="宋体" w:hAnsi="宋体" w:cs="宋体"/>
          <w:b/>
          <w:bCs/>
          <w:kern w:val="0"/>
          <w:sz w:val="24"/>
          <w:szCs w:val="24"/>
        </w:rPr>
      </w:pPr>
      <w:r>
        <w:rPr>
          <w:rFonts w:hint="eastAsia" w:ascii="宋体" w:hAnsi="宋体" w:cs="宋体"/>
          <w:b/>
          <w:bCs/>
          <w:kern w:val="0"/>
          <w:sz w:val="24"/>
          <w:szCs w:val="24"/>
          <w:lang w:val="en-US" w:eastAsia="zh-CN"/>
        </w:rPr>
        <w:t>4.3.2.4</w:t>
      </w:r>
      <w:r>
        <w:rPr>
          <w:rFonts w:hint="eastAsia" w:ascii="宋体" w:hAnsi="宋体" w:cs="宋体"/>
          <w:b/>
          <w:bCs/>
          <w:kern w:val="0"/>
          <w:sz w:val="24"/>
          <w:szCs w:val="24"/>
        </w:rPr>
        <w:t>院感管理要求及标准</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一、管理要求</w:t>
      </w:r>
    </w:p>
    <w:p>
      <w:pPr>
        <w:spacing w:line="360" w:lineRule="auto"/>
        <w:ind w:firstLine="480" w:firstLineChars="200"/>
        <w:rPr>
          <w:rFonts w:ascii="宋体" w:hAnsi="宋体" w:cs="宋体"/>
          <w:sz w:val="24"/>
          <w:szCs w:val="24"/>
        </w:rPr>
      </w:pPr>
      <w:r>
        <w:rPr>
          <w:rFonts w:hint="eastAsia" w:ascii="宋体" w:hAnsi="宋体" w:cs="宋体"/>
          <w:sz w:val="24"/>
          <w:szCs w:val="24"/>
        </w:rPr>
        <w:t>（一）建立完善的环境清洁质量管理体系和规章制度，明确岗位职责。基于医疗机构的诊疗服务特点和环境污染的风险等级，建立健全保洁服务方案等质量管理文件、程序性文件和作业指导书。开展清洁消毒质量审核，并将结果及时报告至院方。</w:t>
      </w:r>
    </w:p>
    <w:p>
      <w:pPr>
        <w:spacing w:line="360" w:lineRule="auto"/>
        <w:ind w:firstLine="480" w:firstLineChars="200"/>
        <w:rPr>
          <w:rFonts w:ascii="宋体" w:hAnsi="宋体" w:cs="宋体"/>
          <w:sz w:val="24"/>
          <w:szCs w:val="24"/>
        </w:rPr>
      </w:pPr>
      <w:r>
        <w:rPr>
          <w:rFonts w:hint="eastAsia" w:ascii="宋体" w:hAnsi="宋体" w:cs="宋体"/>
          <w:sz w:val="24"/>
          <w:szCs w:val="24"/>
        </w:rPr>
        <w:t>（二）应对所有环境清洁服务人员开展上岗培训和定期培训，培训内容应包括医院感染预防的基本知识与基本技能。保洁主管加强对保洁人员的指导，正确使用清洁工具和防护用品，保障清洁消毒工作达到院感要求。</w:t>
      </w:r>
    </w:p>
    <w:p>
      <w:pPr>
        <w:spacing w:line="360" w:lineRule="auto"/>
        <w:ind w:firstLine="480" w:firstLineChars="200"/>
        <w:rPr>
          <w:rFonts w:ascii="宋体" w:hAnsi="宋体" w:cs="宋体"/>
          <w:sz w:val="24"/>
          <w:szCs w:val="24"/>
        </w:rPr>
      </w:pPr>
      <w:r>
        <w:rPr>
          <w:rFonts w:hint="eastAsia" w:ascii="宋体" w:hAnsi="宋体" w:cs="宋体"/>
          <w:sz w:val="24"/>
          <w:szCs w:val="24"/>
        </w:rPr>
        <w:t>（三）能保障医疗机构的清洁工具集中处置，为医疗机构清洁工具集中处置提供清洁设施设备，清洁工具的数量、复用处理设备应满足病区和科室规模需要及院感要求。清洁工具使用后应及时清洁与消毒，干燥保存。</w:t>
      </w:r>
    </w:p>
    <w:p>
      <w:pPr>
        <w:spacing w:line="360" w:lineRule="auto"/>
        <w:ind w:firstLine="480" w:firstLineChars="200"/>
        <w:rPr>
          <w:rFonts w:ascii="宋体" w:hAnsi="宋体" w:cs="宋体"/>
          <w:sz w:val="24"/>
          <w:szCs w:val="24"/>
        </w:rPr>
      </w:pPr>
      <w:r>
        <w:rPr>
          <w:rFonts w:hint="eastAsia" w:ascii="宋体" w:hAnsi="宋体" w:cs="宋体"/>
          <w:sz w:val="24"/>
          <w:szCs w:val="24"/>
        </w:rPr>
        <w:t>（四）按照国家相关法律法规及医院院感制度规定做好院内清洁消毒及专项保洁计划，做到保洁全覆盖；卫生间清洁、干燥、无异味。做好各项消毒记录。</w:t>
      </w:r>
    </w:p>
    <w:p>
      <w:pPr>
        <w:spacing w:line="360" w:lineRule="auto"/>
        <w:ind w:firstLine="480" w:firstLineChars="200"/>
        <w:rPr>
          <w:rFonts w:ascii="宋体" w:hAnsi="宋体" w:cs="宋体"/>
          <w:sz w:val="24"/>
          <w:szCs w:val="24"/>
        </w:rPr>
      </w:pPr>
      <w:r>
        <w:rPr>
          <w:rFonts w:hint="eastAsia" w:ascii="宋体" w:hAnsi="宋体" w:cs="宋体"/>
          <w:sz w:val="24"/>
          <w:szCs w:val="24"/>
        </w:rPr>
        <w:t>（五）环境物体表面清洁消毒达到环境卫生学检测要求。</w:t>
      </w:r>
    </w:p>
    <w:p>
      <w:pPr>
        <w:spacing w:line="360" w:lineRule="auto"/>
        <w:ind w:firstLine="480" w:firstLineChars="200"/>
        <w:rPr>
          <w:rFonts w:ascii="宋体" w:hAnsi="宋体" w:cs="宋体"/>
          <w:sz w:val="24"/>
          <w:szCs w:val="24"/>
        </w:rPr>
      </w:pPr>
      <w:r>
        <w:rPr>
          <w:rFonts w:hint="eastAsia" w:ascii="宋体" w:hAnsi="宋体" w:cs="宋体"/>
          <w:sz w:val="24"/>
          <w:szCs w:val="24"/>
        </w:rPr>
        <w:t>（六）不同区域使用相对应的清洁工具，按要求对集中存放的清洁用具用颜色、字标等方式进行严格的分类摆放，以防止交叉感染。</w:t>
      </w:r>
    </w:p>
    <w:p>
      <w:pPr>
        <w:spacing w:line="360" w:lineRule="auto"/>
        <w:ind w:firstLine="480" w:firstLineChars="200"/>
        <w:rPr>
          <w:rFonts w:ascii="宋体" w:hAnsi="宋体" w:cs="宋体"/>
          <w:sz w:val="24"/>
          <w:szCs w:val="24"/>
        </w:rPr>
      </w:pPr>
      <w:r>
        <w:rPr>
          <w:rFonts w:hint="eastAsia" w:ascii="宋体" w:hAnsi="宋体" w:cs="宋体"/>
          <w:sz w:val="24"/>
          <w:szCs w:val="24"/>
        </w:rPr>
        <w:t>（七）物业提供保洁用的、医疗废物回收用的等各项消耗品应是通过国家卫生部或国家有关部门准予生产使用的、并符合招标人感染控制的要求。</w:t>
      </w:r>
    </w:p>
    <w:p>
      <w:pPr>
        <w:spacing w:line="360" w:lineRule="auto"/>
        <w:ind w:firstLine="480" w:firstLineChars="200"/>
        <w:rPr>
          <w:rFonts w:ascii="宋体" w:hAnsi="宋体" w:cs="宋体"/>
          <w:sz w:val="24"/>
          <w:szCs w:val="24"/>
        </w:rPr>
      </w:pPr>
      <w:r>
        <w:rPr>
          <w:rFonts w:hint="eastAsia" w:ascii="宋体" w:hAnsi="宋体" w:cs="宋体"/>
          <w:sz w:val="24"/>
          <w:szCs w:val="24"/>
        </w:rPr>
        <w:t>（八）定期对通风系统的设备设施进行清洗和空气质量测定，保证空气质量符合标准要求。</w:t>
      </w:r>
    </w:p>
    <w:p>
      <w:pPr>
        <w:spacing w:line="360" w:lineRule="auto"/>
        <w:ind w:firstLine="480" w:firstLineChars="200"/>
        <w:rPr>
          <w:rFonts w:ascii="宋体" w:hAnsi="宋体" w:cs="宋体"/>
          <w:sz w:val="24"/>
          <w:szCs w:val="24"/>
        </w:rPr>
      </w:pPr>
      <w:r>
        <w:rPr>
          <w:rFonts w:hint="eastAsia" w:ascii="宋体" w:hAnsi="宋体" w:cs="宋体"/>
          <w:sz w:val="24"/>
          <w:szCs w:val="24"/>
        </w:rPr>
        <w:t>（九）医疗废物、医疗废液，做好集中分类分拣与存放。按照医院感染控制有关规定，做好称重、记量、表格汇总、按月递交。做好暂存点及集中存放点的清洗、消毒等工作及记录。</w:t>
      </w:r>
    </w:p>
    <w:p>
      <w:pPr>
        <w:spacing w:line="360" w:lineRule="auto"/>
        <w:ind w:firstLine="480" w:firstLineChars="200"/>
        <w:rPr>
          <w:rFonts w:ascii="宋体" w:hAnsi="宋体" w:cs="宋体"/>
          <w:sz w:val="24"/>
          <w:szCs w:val="24"/>
        </w:rPr>
      </w:pPr>
      <w:r>
        <w:rPr>
          <w:rFonts w:hint="eastAsia" w:ascii="宋体" w:hAnsi="宋体" w:cs="宋体"/>
          <w:sz w:val="24"/>
          <w:szCs w:val="24"/>
        </w:rPr>
        <w:t>（十）根据传染病防控要求，投标人做好人员疫情期间院感防控要求。</w:t>
      </w:r>
    </w:p>
    <w:p>
      <w:pPr>
        <w:spacing w:line="360" w:lineRule="auto"/>
        <w:ind w:firstLine="480" w:firstLineChars="200"/>
        <w:rPr>
          <w:rFonts w:ascii="宋体" w:hAnsi="宋体" w:cs="宋体"/>
          <w:sz w:val="24"/>
          <w:szCs w:val="24"/>
        </w:rPr>
      </w:pPr>
      <w:r>
        <w:rPr>
          <w:rFonts w:hint="eastAsia" w:ascii="宋体" w:hAnsi="宋体" w:cs="宋体"/>
          <w:sz w:val="24"/>
          <w:szCs w:val="24"/>
        </w:rPr>
        <w:t>（十一）投标人的院感培训师，应具有有效医院感染管理岗位培训合格证明，每月不少于1次在本项目提供院感培训；投标人应提供针对本项目的季度、月度院感培训计划；</w:t>
      </w:r>
    </w:p>
    <w:p>
      <w:pPr>
        <w:spacing w:line="360" w:lineRule="auto"/>
        <w:ind w:firstLine="480" w:firstLineChars="200"/>
        <w:rPr>
          <w:rFonts w:ascii="宋体" w:hAnsi="宋体" w:cs="宋体"/>
          <w:sz w:val="24"/>
          <w:szCs w:val="24"/>
        </w:rPr>
      </w:pPr>
      <w:r>
        <w:rPr>
          <w:rFonts w:hint="eastAsia" w:ascii="宋体" w:hAnsi="宋体" w:cs="宋体"/>
          <w:sz w:val="24"/>
          <w:szCs w:val="24"/>
        </w:rPr>
        <w:t>（十二）针对本项目提供院感控制措施，其中应包括医院感染预防与控制的基本要求、企业内部院感控制体系、监督措施。</w:t>
      </w:r>
    </w:p>
    <w:p>
      <w:pPr>
        <w:spacing w:line="360" w:lineRule="auto"/>
        <w:ind w:firstLine="480" w:firstLineChars="200"/>
        <w:rPr>
          <w:rFonts w:ascii="宋体" w:hAnsi="宋体" w:cs="宋体"/>
          <w:sz w:val="24"/>
          <w:szCs w:val="24"/>
        </w:rPr>
      </w:pPr>
      <w:r>
        <w:rPr>
          <w:rFonts w:hint="eastAsia" w:ascii="宋体" w:hAnsi="宋体" w:cs="宋体"/>
          <w:sz w:val="24"/>
          <w:szCs w:val="24"/>
        </w:rPr>
        <w:t>（十三）投标人需制定员工应知应会内容，内容包含针对各服务板块分别制定员工应知应会手册；根据采购需求，制定职业暴露应急处理措施。</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二、服务标准</w:t>
      </w:r>
    </w:p>
    <w:p>
      <w:pPr>
        <w:spacing w:line="360" w:lineRule="auto"/>
        <w:ind w:firstLine="480" w:firstLineChars="200"/>
        <w:rPr>
          <w:rFonts w:ascii="宋体" w:hAnsi="宋体" w:cs="宋体"/>
          <w:sz w:val="24"/>
          <w:szCs w:val="24"/>
        </w:rPr>
      </w:pPr>
      <w:r>
        <w:rPr>
          <w:rFonts w:hint="eastAsia" w:ascii="宋体" w:hAnsi="宋体" w:cs="宋体"/>
          <w:sz w:val="24"/>
          <w:szCs w:val="24"/>
        </w:rPr>
        <w:t>医院不同区域卫生等级与日常清洁方法、频次</w:t>
      </w:r>
    </w:p>
    <w:tbl>
      <w:tblPr>
        <w:tblStyle w:val="43"/>
        <w:tblW w:w="8921" w:type="dxa"/>
        <w:jc w:val="center"/>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97"/>
        <w:gridCol w:w="729"/>
        <w:gridCol w:w="1038"/>
        <w:gridCol w:w="1695"/>
        <w:gridCol w:w="2003"/>
        <w:gridCol w:w="1608"/>
        <w:gridCol w:w="85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4" w:hRule="atLeast"/>
          <w:tblHeader/>
          <w:jc w:val="center"/>
        </w:trPr>
        <w:tc>
          <w:tcPr>
            <w:tcW w:w="997" w:type="dxa"/>
            <w:tcBorders>
              <w:top w:val="single" w:color="auto" w:sz="8" w:space="0"/>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区域</w:t>
            </w:r>
          </w:p>
        </w:tc>
        <w:tc>
          <w:tcPr>
            <w:tcW w:w="1767" w:type="dxa"/>
            <w:gridSpan w:val="2"/>
            <w:tcBorders>
              <w:top w:val="single" w:color="auto" w:sz="8"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清洁范围</w:t>
            </w:r>
          </w:p>
        </w:tc>
        <w:tc>
          <w:tcPr>
            <w:tcW w:w="1695" w:type="dxa"/>
            <w:tcBorders>
              <w:top w:val="single" w:color="auto" w:sz="8"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清洁用品（具）</w:t>
            </w:r>
          </w:p>
        </w:tc>
        <w:tc>
          <w:tcPr>
            <w:tcW w:w="2003" w:type="dxa"/>
            <w:tcBorders>
              <w:top w:val="single" w:color="auto" w:sz="8"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日常清洁</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消毒方法</w:t>
            </w:r>
          </w:p>
        </w:tc>
        <w:tc>
          <w:tcPr>
            <w:tcW w:w="1608" w:type="dxa"/>
            <w:tcBorders>
              <w:top w:val="single" w:color="auto" w:sz="8"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推荐日常</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清洁频次</w:t>
            </w:r>
          </w:p>
        </w:tc>
        <w:tc>
          <w:tcPr>
            <w:tcW w:w="851" w:type="dxa"/>
            <w:tcBorders>
              <w:top w:val="single" w:color="auto" w:sz="8"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卫生</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b/>
                <w:bCs/>
                <w:kern w:val="0"/>
                <w:sz w:val="24"/>
                <w:szCs w:val="24"/>
              </w:rPr>
              <w:t>等级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93" w:hRule="atLeast"/>
          <w:jc w:val="center"/>
        </w:trPr>
        <w:tc>
          <w:tcPr>
            <w:tcW w:w="997" w:type="dxa"/>
            <w:vMerge w:val="restart"/>
            <w:tcBorders>
              <w:top w:val="outset" w:color="000000" w:sz="2" w:space="0"/>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低度污染</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危险区域</w:t>
            </w: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各类物体表面</w:t>
            </w:r>
          </w:p>
        </w:tc>
        <w:tc>
          <w:tcPr>
            <w:tcW w:w="1695"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各种适宜的拖把、抹布</w:t>
            </w:r>
          </w:p>
        </w:tc>
        <w:tc>
          <w:tcPr>
            <w:tcW w:w="2003"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清水擦拭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1次/日</w:t>
            </w:r>
          </w:p>
        </w:tc>
        <w:tc>
          <w:tcPr>
            <w:tcW w:w="851"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清洁级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4"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地面</w:t>
            </w:r>
          </w:p>
        </w:tc>
        <w:tc>
          <w:tcPr>
            <w:tcW w:w="1695"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2003"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1次/日</w:t>
            </w:r>
          </w:p>
        </w:tc>
        <w:tc>
          <w:tcPr>
            <w:tcW w:w="851"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3"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墙面/天花板</w:t>
            </w:r>
          </w:p>
        </w:tc>
        <w:tc>
          <w:tcPr>
            <w:tcW w:w="1695"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2003"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1次/季度</w:t>
            </w:r>
          </w:p>
        </w:tc>
        <w:tc>
          <w:tcPr>
            <w:tcW w:w="851"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05"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通风口</w:t>
            </w:r>
          </w:p>
        </w:tc>
        <w:tc>
          <w:tcPr>
            <w:tcW w:w="1695"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2003"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1次/季度</w:t>
            </w:r>
          </w:p>
        </w:tc>
        <w:tc>
          <w:tcPr>
            <w:tcW w:w="851"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227" w:hRule="atLeast"/>
          <w:jc w:val="center"/>
        </w:trPr>
        <w:tc>
          <w:tcPr>
            <w:tcW w:w="997" w:type="dxa"/>
            <w:vMerge w:val="restart"/>
            <w:tcBorders>
              <w:top w:val="outset" w:color="000000" w:sz="2" w:space="0"/>
              <w:left w:val="single" w:color="auto" w:sz="8"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中度污染</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危险区域</w:t>
            </w: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医疗设备表面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抹布、一次性可吸湿性材料、一次性消毒湿巾</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清水（或加清洁剂）擦拭，低、中水平消毒；“清洁消毒一步法”；屏障保护</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每名患者使用后立即清洁消毒；对于使用频率较低或不直接接触患者的医疗设备，应日常清洁消毒1-2次/周</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538"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低频接触卫生表面</w:t>
            </w: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地面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扁平脱卸式拖把</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清水擦拭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清洁级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260"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墙面/天花板</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抹布或其他可吸湿材料</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清水擦拭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1次/月</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清洁级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4"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高频接触卫生表面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抹布、一次性可吸湿性材料、一次性消毒湿巾</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卫生级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30"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床头、床栏、床头柜等</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卫生级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32" w:hRule="atLeast"/>
          <w:jc w:val="center"/>
        </w:trPr>
        <w:tc>
          <w:tcPr>
            <w:tcW w:w="997" w:type="dxa"/>
            <w:vMerge w:val="continue"/>
            <w:tcBorders>
              <w:top w:val="outset" w:color="000000" w:sz="2" w:space="0"/>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通风系统</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抹布、一次性可吸湿性材料，必要时使用专用工具</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1次/月</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卫生级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44" w:hRule="atLeast"/>
          <w:jc w:val="center"/>
        </w:trPr>
        <w:tc>
          <w:tcPr>
            <w:tcW w:w="997" w:type="dxa"/>
            <w:vMerge w:val="restart"/>
            <w:tcBorders>
              <w:top w:val="outset" w:color="000000" w:sz="2" w:space="0"/>
              <w:left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高度污染</w:t>
            </w: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危险区域</w:t>
            </w: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医疗设备表面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32"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低频接触卫生表面</w:t>
            </w: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地面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卫生级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32"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墙面/天花板</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1-2次/月</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卫生级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453"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高频接触卫生表面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抹布、一次性可吸湿性材料、一次性消毒湿巾</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清水加清洁剂擦拭，低、中水平消毒；“清洁消毒一步法”</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&gt;2次/日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27"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床头、床栏、床头柜等</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清水加清洁剂擦拭，低、中水平消毒；“清洁消毒一步法”</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&gt;2次/日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654" w:hRule="atLeast"/>
          <w:jc w:val="center"/>
        </w:trPr>
        <w:tc>
          <w:tcPr>
            <w:tcW w:w="997" w:type="dxa"/>
            <w:vMerge w:val="continue"/>
            <w:tcBorders>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通风系统</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清水加清洁剂擦拭，中水平消毒</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1次/月</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81" w:hRule="atLeast"/>
          <w:jc w:val="center"/>
        </w:trPr>
        <w:tc>
          <w:tcPr>
            <w:tcW w:w="997" w:type="dxa"/>
            <w:vMerge w:val="restart"/>
            <w:tcBorders>
              <w:top w:val="outset" w:color="000000" w:sz="2" w:space="0"/>
              <w:left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p>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极度污染</w:t>
            </w:r>
          </w:p>
          <w:p>
            <w:pPr>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危险区域</w:t>
            </w: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医疗设备表面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参照中度污染危险区域，使用中水平消毒剂</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811" w:hRule="atLeast"/>
          <w:jc w:val="center"/>
        </w:trPr>
        <w:tc>
          <w:tcPr>
            <w:tcW w:w="997" w:type="dxa"/>
            <w:vMerge w:val="continue"/>
            <w:tcBorders>
              <w:left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p>
        </w:tc>
        <w:tc>
          <w:tcPr>
            <w:tcW w:w="729"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低频接触卫生表面</w:t>
            </w: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地面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清水加清洁剂擦拭，中水平消毒</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2次/日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811"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墙面/天花板</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参照中度污染危险区域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清水加清洁剂擦拭，中水平消毒</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1次/周</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1081"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高频接触卫生表面</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&gt;3次/日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13"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767" w:type="dxa"/>
            <w:gridSpan w:val="2"/>
            <w:tcBorders>
              <w:top w:val="outset" w:color="000000" w:sz="2" w:space="0"/>
              <w:left w:val="outset" w:color="000000" w:sz="2" w:space="0"/>
              <w:bottom w:val="single" w:color="auto" w:sz="8" w:space="0"/>
              <w:right w:val="single" w:color="auto" w:sz="8" w:space="0"/>
            </w:tcBorders>
            <w:noWrap/>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床头、床栏、床头柜等</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参照重度污染危险区域，使用中水平消毒剂</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&gt;3次/日</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427" w:hRule="atLeast"/>
          <w:jc w:val="center"/>
        </w:trPr>
        <w:tc>
          <w:tcPr>
            <w:tcW w:w="997" w:type="dxa"/>
            <w:vMerge w:val="continue"/>
            <w:tcBorders>
              <w:left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restart"/>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通风系统</w:t>
            </w: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空气净化系统出、回风口</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抹布、一次性可吸湿性材料，必要时使用专用工具</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清水加清洁剂擦拭，中水平消毒</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1次/周</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370" w:hRule="atLeast"/>
          <w:jc w:val="center"/>
        </w:trPr>
        <w:tc>
          <w:tcPr>
            <w:tcW w:w="997" w:type="dxa"/>
            <w:vMerge w:val="continue"/>
            <w:tcBorders>
              <w:left w:val="single" w:color="auto" w:sz="8"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729" w:type="dxa"/>
            <w:vMerge w:val="continue"/>
            <w:tcBorders>
              <w:top w:val="outset" w:color="000000" w:sz="2" w:space="0"/>
              <w:left w:val="outset" w:color="000000" w:sz="2" w:space="0"/>
              <w:bottom w:val="single" w:color="auto" w:sz="8" w:space="0"/>
              <w:right w:val="single" w:color="auto" w:sz="8" w:space="0"/>
            </w:tcBorders>
            <w:noWrap/>
            <w:vAlign w:val="center"/>
          </w:tcPr>
          <w:p>
            <w:pPr>
              <w:widowControl/>
              <w:spacing w:line="360" w:lineRule="auto"/>
              <w:jc w:val="left"/>
              <w:rPr>
                <w:rFonts w:ascii="宋体" w:hAnsi="宋体" w:cs="宋体"/>
                <w:kern w:val="0"/>
                <w:sz w:val="24"/>
                <w:szCs w:val="24"/>
              </w:rPr>
            </w:pPr>
          </w:p>
        </w:tc>
        <w:tc>
          <w:tcPr>
            <w:tcW w:w="103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其它空调通风系统风口</w:t>
            </w:r>
          </w:p>
        </w:tc>
        <w:tc>
          <w:tcPr>
            <w:tcW w:w="1695"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w:t>
            </w:r>
          </w:p>
        </w:tc>
        <w:tc>
          <w:tcPr>
            <w:tcW w:w="2003"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left"/>
              <w:rPr>
                <w:rFonts w:ascii="宋体" w:hAnsi="宋体" w:cs="宋体"/>
                <w:kern w:val="0"/>
                <w:sz w:val="24"/>
                <w:szCs w:val="24"/>
              </w:rPr>
            </w:pPr>
            <w:r>
              <w:rPr>
                <w:rFonts w:hint="eastAsia" w:ascii="宋体" w:hAnsi="宋体" w:cs="宋体"/>
                <w:kern w:val="0"/>
                <w:sz w:val="24"/>
                <w:szCs w:val="24"/>
              </w:rPr>
              <w:t>参照重度污染危险区域</w:t>
            </w:r>
          </w:p>
        </w:tc>
        <w:tc>
          <w:tcPr>
            <w:tcW w:w="1608"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1次/月</w:t>
            </w:r>
          </w:p>
        </w:tc>
        <w:tc>
          <w:tcPr>
            <w:tcW w:w="851" w:type="dxa"/>
            <w:tcBorders>
              <w:top w:val="outset" w:color="000000" w:sz="2" w:space="0"/>
              <w:left w:val="outset" w:color="000000" w:sz="2" w:space="0"/>
              <w:bottom w:val="single" w:color="auto" w:sz="8" w:space="0"/>
              <w:right w:val="single" w:color="auto" w:sz="8" w:space="0"/>
            </w:tcBorders>
            <w:noWrap/>
            <w:tcMar>
              <w:top w:w="0" w:type="dxa"/>
              <w:left w:w="108" w:type="dxa"/>
              <w:bottom w:w="0" w:type="dxa"/>
              <w:right w:w="108" w:type="dxa"/>
            </w:tcMar>
            <w:vAlign w:val="center"/>
          </w:tcPr>
          <w:p>
            <w:pPr>
              <w:widowControl/>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消毒级</w:t>
            </w:r>
          </w:p>
        </w:tc>
      </w:tr>
    </w:tbl>
    <w:p>
      <w:pPr>
        <w:spacing w:after="120" w:line="360" w:lineRule="auto"/>
        <w:rPr>
          <w:rFonts w:ascii="宋体" w:hAnsi="宋体" w:cs="宋体"/>
          <w:sz w:val="24"/>
          <w:szCs w:val="24"/>
        </w:rPr>
      </w:pPr>
    </w:p>
    <w:p>
      <w:pPr>
        <w:spacing w:line="360" w:lineRule="auto"/>
        <w:rPr>
          <w:rFonts w:ascii="宋体" w:hAnsi="宋体" w:cs="宋体"/>
          <w:b/>
          <w:bCs/>
          <w:sz w:val="24"/>
          <w:szCs w:val="24"/>
        </w:rPr>
      </w:pPr>
      <w:r>
        <w:rPr>
          <w:rFonts w:hint="eastAsia" w:ascii="宋体" w:hAnsi="宋体" w:cs="宋体"/>
          <w:b/>
          <w:bCs/>
          <w:sz w:val="24"/>
          <w:szCs w:val="24"/>
        </w:rPr>
        <w:t>注：1.低度感染危险区域：行政管理部门、图书馆、会议室、病案室等。</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2.中度感染危险区域：普通住院病房、门诊部、功能检查室等。</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3.高度感染危险区域：感染性病区、急诊、中心供应室、实验室等。</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4.极度感染危险区域：手术室、重症监护病房（ICU）、血液透析中心等。</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本清洁消毒频次仅适用于日常清洁消毒，遇污染时应立即清洁消毒，医院感染暴发期间应在此基础上适当增加清洁消毒频次。</w:t>
      </w:r>
    </w:p>
    <w:p>
      <w:pPr>
        <w:keepNext/>
        <w:keepLines/>
        <w:numPr>
          <w:ilvl w:val="0"/>
          <w:numId w:val="0"/>
        </w:numPr>
        <w:spacing w:line="360" w:lineRule="auto"/>
        <w:outlineLvl w:val="2"/>
        <w:rPr>
          <w:rFonts w:ascii="宋体" w:hAnsi="宋体" w:cs="宋体"/>
          <w:b/>
          <w:bCs/>
          <w:kern w:val="0"/>
          <w:sz w:val="24"/>
          <w:szCs w:val="24"/>
        </w:rPr>
      </w:pPr>
      <w:r>
        <w:rPr>
          <w:rFonts w:hint="eastAsia" w:ascii="宋体" w:hAnsi="宋体" w:cs="宋体"/>
          <w:b/>
          <w:bCs/>
          <w:kern w:val="0"/>
          <w:sz w:val="24"/>
          <w:szCs w:val="24"/>
          <w:lang w:val="en-US" w:eastAsia="zh-CN"/>
        </w:rPr>
        <w:t>4.3.2.5</w:t>
      </w:r>
      <w:r>
        <w:rPr>
          <w:rFonts w:hint="eastAsia" w:ascii="宋体" w:hAnsi="宋体" w:cs="宋体"/>
          <w:b/>
          <w:bCs/>
          <w:kern w:val="0"/>
          <w:sz w:val="24"/>
          <w:szCs w:val="24"/>
        </w:rPr>
        <w:t>新冠疫情防控要求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投标人根据采购需求、新冠疫情事件防控工作及现场勘查情况提出新冠疫情防控处置方案，应包含：新冠疫情防控工作要求或要点、切实可行的保障措施、建立隔离病房的保洁及运送工作流程、制定核酸标本转运工作流程、定期开展新冠疫情员工培训工作。   </w:t>
      </w:r>
    </w:p>
    <w:p>
      <w:pPr>
        <w:spacing w:line="360" w:lineRule="auto"/>
        <w:ind w:firstLine="480" w:firstLineChars="200"/>
        <w:rPr>
          <w:rFonts w:ascii="宋体" w:hAnsi="宋体" w:cs="宋体"/>
          <w:sz w:val="24"/>
          <w:szCs w:val="24"/>
        </w:rPr>
      </w:pPr>
      <w:r>
        <w:rPr>
          <w:rFonts w:hint="eastAsia" w:ascii="宋体" w:hAnsi="宋体" w:cs="宋体"/>
          <w:sz w:val="24"/>
          <w:szCs w:val="24"/>
        </w:rPr>
        <w:t>一、新冠疫情事件物业防控工作要求和要点</w:t>
      </w:r>
    </w:p>
    <w:p>
      <w:pPr>
        <w:spacing w:line="360" w:lineRule="auto"/>
        <w:ind w:firstLine="480" w:firstLineChars="200"/>
        <w:rPr>
          <w:rFonts w:ascii="宋体" w:hAnsi="宋体" w:cs="宋体"/>
          <w:sz w:val="24"/>
          <w:szCs w:val="24"/>
        </w:rPr>
      </w:pPr>
      <w:r>
        <w:rPr>
          <w:rFonts w:hint="eastAsia" w:ascii="宋体" w:hAnsi="宋体" w:cs="宋体"/>
          <w:sz w:val="24"/>
          <w:szCs w:val="24"/>
        </w:rPr>
        <w:t>在新型冠状病毒肺炎疫情发生时，供应商应在保障物业管理项目正常运行的基础上，加强安全生产。针对疫情，在物业管理经营的各层面、各环节，全面执行落实政府相关指令，落实医院各项防控要求，认真执行医院院感防护的措施，最大程度防控新型冠状病，最大限度地减少医院内交叉感染事件的发生。</w:t>
      </w:r>
    </w:p>
    <w:p>
      <w:pPr>
        <w:spacing w:line="360" w:lineRule="auto"/>
        <w:ind w:firstLine="480" w:firstLineChars="200"/>
        <w:rPr>
          <w:rFonts w:ascii="宋体" w:hAnsi="宋体" w:cs="宋体"/>
          <w:sz w:val="24"/>
          <w:szCs w:val="24"/>
        </w:rPr>
      </w:pPr>
      <w:r>
        <w:rPr>
          <w:rFonts w:hint="eastAsia" w:ascii="宋体" w:hAnsi="宋体" w:cs="宋体"/>
          <w:sz w:val="24"/>
          <w:szCs w:val="24"/>
        </w:rPr>
        <w:t>二、建立新冠疫情切实可行的保障措施。</w:t>
      </w:r>
    </w:p>
    <w:p>
      <w:pPr>
        <w:spacing w:line="360" w:lineRule="auto"/>
        <w:ind w:firstLine="480" w:firstLineChars="200"/>
        <w:rPr>
          <w:rFonts w:ascii="宋体" w:hAnsi="宋体" w:cs="宋体"/>
          <w:sz w:val="24"/>
          <w:szCs w:val="24"/>
        </w:rPr>
      </w:pPr>
      <w:r>
        <w:rPr>
          <w:rFonts w:hint="eastAsia" w:ascii="宋体" w:hAnsi="宋体" w:cs="宋体"/>
          <w:sz w:val="24"/>
          <w:szCs w:val="24"/>
        </w:rPr>
        <w:t>供应商应在物资保障、人员保障、组织保障、制度保障上给予采购人紧密支持，与院方一起做好疫情的防控工作。</w:t>
      </w:r>
    </w:p>
    <w:p>
      <w:pPr>
        <w:spacing w:line="360" w:lineRule="auto"/>
        <w:ind w:firstLine="480" w:firstLineChars="200"/>
        <w:rPr>
          <w:rFonts w:ascii="宋体" w:hAnsi="宋体" w:cs="宋体"/>
          <w:sz w:val="24"/>
          <w:szCs w:val="24"/>
        </w:rPr>
      </w:pPr>
      <w:r>
        <w:rPr>
          <w:rFonts w:hint="eastAsia" w:ascii="宋体" w:hAnsi="宋体" w:cs="宋体"/>
          <w:sz w:val="24"/>
          <w:szCs w:val="24"/>
        </w:rPr>
        <w:t>三、建立新冠隔离病房的保洁及运送工作流程、制定核酸标本转运工作流程。</w:t>
      </w:r>
    </w:p>
    <w:p>
      <w:pPr>
        <w:spacing w:line="360" w:lineRule="auto"/>
        <w:ind w:firstLine="480" w:firstLineChars="200"/>
        <w:rPr>
          <w:rFonts w:ascii="宋体" w:hAnsi="宋体" w:cs="宋体"/>
          <w:sz w:val="24"/>
          <w:szCs w:val="24"/>
        </w:rPr>
      </w:pPr>
      <w:r>
        <w:rPr>
          <w:rFonts w:hint="eastAsia" w:ascii="宋体" w:hAnsi="宋体" w:cs="宋体"/>
          <w:sz w:val="24"/>
          <w:szCs w:val="24"/>
        </w:rPr>
        <w:t>保洁工作要求：隔离病区保洁人员进行定人，定岗，熟悉隔离病区管制要求、熟悉隔离病区管制要求及岗位工作职责。按照二级生物安全防护要求做好防护，使用专用保洁及运送工具。病人转运符合工作流程：符合国家防护标准:制定转运专用路线，准备好专用电梯，并对路线人群进行提前疏散，运送员工按照二级生物防护，备好工具前往科室，转运完成后对所有线路及科室进行消毒。核酸标本转运工作流程符合国家防护标准：转运箱送达科室后打开箱盖，标本采集后将标本放进双层密封标本袋，轻放置于新冠专用转运箱，用75%酒精对箱内消毒后密封盖箱，再用75%酒精喷洒消毒箱体。转运期间不擅自打开箱体，并保持转运箱平稳避免剧烈震荡。</w:t>
      </w:r>
    </w:p>
    <w:p>
      <w:pPr>
        <w:spacing w:line="360" w:lineRule="auto"/>
        <w:ind w:firstLine="480" w:firstLineChars="200"/>
        <w:rPr>
          <w:rFonts w:ascii="宋体" w:hAnsi="宋体" w:cs="宋体"/>
          <w:sz w:val="24"/>
          <w:szCs w:val="24"/>
        </w:rPr>
      </w:pPr>
      <w:r>
        <w:rPr>
          <w:rFonts w:hint="eastAsia" w:ascii="宋体" w:hAnsi="宋体" w:cs="宋体"/>
          <w:sz w:val="24"/>
          <w:szCs w:val="24"/>
        </w:rPr>
        <w:t>四、定期开展新冠疫情员工培训工作：包括人员服务规范，工具设备管理培训方案、新冠病人（疑似）转运培训方案、核酸及非核酸标本转运培训方案，新冠消毒培训方案，隔离病房的保洁及运送工作流程培训方案。</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五、投标人根据采购需求、新冠疫情事件防控工作及现场勘查情况提出新冠疫情防控处置方案，应包含：新冠疫情防控工作要求或要点、保障措施、建立隔离病房的保洁及运送工作流程、制定核酸标本转运工作流程、定期开展新冠疫情员工培训工作。</w:t>
      </w:r>
    </w:p>
    <w:p>
      <w:pPr>
        <w:keepNext/>
        <w:keepLines/>
        <w:spacing w:line="360" w:lineRule="auto"/>
        <w:outlineLvl w:val="2"/>
        <w:rPr>
          <w:rFonts w:ascii="宋体" w:hAnsi="宋体" w:cs="宋体"/>
          <w:b/>
          <w:bCs/>
          <w:kern w:val="0"/>
          <w:sz w:val="24"/>
          <w:szCs w:val="24"/>
        </w:rPr>
      </w:pPr>
      <w:r>
        <w:rPr>
          <w:rFonts w:hint="eastAsia" w:ascii="宋体" w:hAnsi="宋体" w:cs="宋体"/>
          <w:b/>
          <w:bCs/>
          <w:kern w:val="0"/>
          <w:sz w:val="24"/>
          <w:szCs w:val="24"/>
          <w:lang w:val="en-US" w:eastAsia="zh-CN"/>
        </w:rPr>
        <w:t>4.3.2.6</w:t>
      </w:r>
      <w:r>
        <w:rPr>
          <w:rFonts w:hint="eastAsia" w:ascii="宋体" w:hAnsi="宋体" w:cs="宋体"/>
          <w:b/>
          <w:bCs/>
          <w:kern w:val="0"/>
          <w:sz w:val="24"/>
          <w:szCs w:val="24"/>
        </w:rPr>
        <w:t>应急措施</w:t>
      </w:r>
    </w:p>
    <w:p>
      <w:pPr>
        <w:spacing w:line="360" w:lineRule="auto"/>
        <w:ind w:firstLine="480" w:firstLineChars="200"/>
        <w:rPr>
          <w:rFonts w:ascii="宋体" w:hAnsi="宋体" w:cs="宋体"/>
          <w:sz w:val="24"/>
          <w:szCs w:val="24"/>
        </w:rPr>
      </w:pPr>
      <w:r>
        <w:rPr>
          <w:rFonts w:hint="eastAsia" w:ascii="宋体" w:hAnsi="宋体" w:cs="宋体"/>
          <w:sz w:val="24"/>
          <w:szCs w:val="24"/>
        </w:rPr>
        <w:t>投标人应提供应急措施方案需包含：遇到自然灾害（地震灾害、暴风骤雨及洪涝、建筑物垮塌、极端天气）应急措施、医疗废物遗失应急措施、火灾应急措施、标本及药物运送途中遗失应急措施、传染病疫情的防控应急措施。</w:t>
      </w:r>
    </w:p>
    <w:p>
      <w:pPr>
        <w:spacing w:line="360" w:lineRule="auto"/>
        <w:ind w:firstLine="480" w:firstLineChars="200"/>
        <w:rPr>
          <w:rFonts w:ascii="宋体" w:hAnsi="宋体" w:cs="宋体"/>
          <w:sz w:val="24"/>
          <w:szCs w:val="24"/>
        </w:rPr>
      </w:pPr>
      <w:r>
        <w:rPr>
          <w:rFonts w:hint="eastAsia" w:ascii="宋体" w:hAnsi="宋体" w:cs="宋体"/>
          <w:sz w:val="24"/>
          <w:szCs w:val="24"/>
        </w:rPr>
        <w:t>一、应急队伍在紧急情况下应在15分钟、5公里内迅速抽调30人以上专业队伍人员到达项目进行应急预案工作开展。</w:t>
      </w:r>
    </w:p>
    <w:p>
      <w:pPr>
        <w:spacing w:line="360" w:lineRule="auto"/>
        <w:ind w:firstLine="480" w:firstLineChars="200"/>
        <w:rPr>
          <w:rFonts w:ascii="宋体" w:hAnsi="宋体" w:cs="宋体"/>
          <w:sz w:val="24"/>
          <w:szCs w:val="24"/>
        </w:rPr>
      </w:pPr>
      <w:r>
        <w:rPr>
          <w:rFonts w:hint="eastAsia" w:ascii="宋体" w:hAnsi="宋体" w:cs="宋体"/>
          <w:sz w:val="24"/>
          <w:szCs w:val="24"/>
        </w:rPr>
        <w:t>二、建立完善项目应急队伍组织体系和规章制度，明确各应急岗位职责。制定事故的应急预案、发生事故时候的紧急措施、发生事故的善后处理。</w:t>
      </w:r>
    </w:p>
    <w:p>
      <w:pPr>
        <w:spacing w:line="360" w:lineRule="auto"/>
        <w:ind w:firstLine="480" w:firstLineChars="200"/>
        <w:rPr>
          <w:rFonts w:ascii="宋体" w:hAnsi="宋体" w:cs="宋体"/>
          <w:sz w:val="24"/>
          <w:szCs w:val="24"/>
        </w:rPr>
      </w:pPr>
      <w:r>
        <w:rPr>
          <w:rFonts w:hint="eastAsia" w:ascii="宋体" w:hAnsi="宋体" w:cs="宋体"/>
          <w:sz w:val="24"/>
          <w:szCs w:val="24"/>
        </w:rPr>
        <w:t>三、项目定期组织实施各类应急演练并保存演练记录。</w:t>
      </w:r>
    </w:p>
    <w:p>
      <w:pPr>
        <w:spacing w:line="360" w:lineRule="auto"/>
        <w:ind w:firstLine="480" w:firstLineChars="200"/>
        <w:rPr>
          <w:rFonts w:ascii="宋体" w:hAnsi="宋体" w:cs="宋体"/>
          <w:sz w:val="24"/>
          <w:szCs w:val="24"/>
        </w:rPr>
      </w:pPr>
      <w:r>
        <w:rPr>
          <w:rFonts w:hint="eastAsia" w:ascii="宋体" w:hAnsi="宋体" w:cs="宋体"/>
          <w:sz w:val="24"/>
          <w:szCs w:val="24"/>
        </w:rPr>
        <w:t>四、定期对应急管理组织内人员进行专项培训，掌握必备应急知识。</w:t>
      </w:r>
    </w:p>
    <w:p>
      <w:pPr>
        <w:spacing w:line="360" w:lineRule="auto"/>
        <w:ind w:firstLine="480" w:firstLineChars="200"/>
      </w:pPr>
      <w:r>
        <w:rPr>
          <w:rFonts w:hint="eastAsia" w:ascii="宋体" w:hAnsi="宋体" w:cs="宋体"/>
          <w:sz w:val="24"/>
          <w:szCs w:val="24"/>
        </w:rPr>
        <w:t>五、投标人应根据医院的特殊情况制定符合医院需求的应急预案（如火灾、建筑物垮塌、水浸自然灾害及公共安全、医疗废物丢失、院感暴发事件、医闹、突发事故），并需重点制定合理的公共卫生事件应急预案，结合新冠疫情防控工作及现场踏勘情况，本预案中应包含能合理执行的新型冠状病毒肺炎疫情应急预案。</w:t>
      </w:r>
    </w:p>
    <w:p>
      <w:pPr>
        <w:pStyle w:val="4"/>
        <w:numPr>
          <w:ilvl w:val="1"/>
          <w:numId w:val="5"/>
        </w:numPr>
        <w:tabs>
          <w:tab w:val="left" w:pos="426"/>
          <w:tab w:val="left" w:pos="567"/>
        </w:tabs>
        <w:spacing w:before="0" w:after="200"/>
        <w:jc w:val="both"/>
        <w:rPr>
          <w:color w:val="auto"/>
        </w:rPr>
      </w:pPr>
      <w:bookmarkStart w:id="173" w:name="_Toc84599913"/>
      <w:bookmarkStart w:id="174" w:name="_Toc77688491"/>
      <w:bookmarkStart w:id="175" w:name="_Toc58943341"/>
      <w:r>
        <w:rPr>
          <w:rFonts w:hint="eastAsia"/>
          <w:color w:val="auto"/>
          <w:lang w:eastAsia="zh-CN"/>
        </w:rPr>
        <w:t>人员配置</w:t>
      </w:r>
    </w:p>
    <w:p>
      <w:pPr>
        <w:numPr>
          <w:ilvl w:val="0"/>
          <w:numId w:val="40"/>
        </w:numPr>
        <w:spacing w:line="360" w:lineRule="auto"/>
        <w:rPr>
          <w:rFonts w:hint="eastAsia" w:ascii="宋体" w:hAnsi="宋体" w:cs="宋体"/>
          <w:sz w:val="24"/>
          <w:szCs w:val="24"/>
        </w:rPr>
      </w:pPr>
      <w:r>
        <w:rPr>
          <w:rFonts w:hint="eastAsia" w:ascii="宋体" w:hAnsi="宋体" w:cs="宋体"/>
          <w:b/>
          <w:sz w:val="24"/>
          <w:szCs w:val="24"/>
        </w:rPr>
        <w:t>人员配置要求</w:t>
      </w:r>
      <w:r>
        <w:rPr>
          <w:rFonts w:hint="eastAsia" w:ascii="宋体" w:hAnsi="宋体" w:cs="宋体"/>
          <w:b/>
          <w:sz w:val="24"/>
          <w:szCs w:val="24"/>
          <w:lang w:eastAsia="zh-CN"/>
        </w:rPr>
        <w:t>（提供承诺函）</w:t>
      </w:r>
    </w:p>
    <w:p>
      <w:pPr>
        <w:numPr>
          <w:ilvl w:val="0"/>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投标人为本项目配置总卫生保洁不少于236人，其中金彭西路院区不少于73人，城南院区不少于163人，不含拟开展业务需配置的人员，拟开展业务人员由投标人根据医院需求进行配置，拟开展业务所需人员薪酬已包含在本次报价中。物业管理服务人员最低岗位配置标准及要求：</w:t>
      </w:r>
    </w:p>
    <w:tbl>
      <w:tblPr>
        <w:tblStyle w:val="44"/>
        <w:tblW w:w="99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82"/>
        <w:gridCol w:w="1539"/>
        <w:gridCol w:w="794"/>
        <w:gridCol w:w="6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6" w:hRule="atLeast"/>
          <w:jc w:val="center"/>
        </w:trPr>
        <w:tc>
          <w:tcPr>
            <w:tcW w:w="600"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jc w:val="center"/>
              <w:rPr>
                <w:rFonts w:ascii="宋体" w:hAnsi="宋体" w:cs="宋体"/>
                <w:kern w:val="0"/>
                <w:sz w:val="24"/>
                <w:szCs w:val="24"/>
              </w:rPr>
            </w:pPr>
            <w:r>
              <w:rPr>
                <w:rFonts w:hint="eastAsia" w:ascii="宋体" w:hAnsi="宋体" w:cs="宋体"/>
                <w:kern w:val="0"/>
                <w:sz w:val="24"/>
                <w:szCs w:val="24"/>
              </w:rPr>
              <w:t>序号</w:t>
            </w:r>
          </w:p>
        </w:tc>
        <w:tc>
          <w:tcPr>
            <w:tcW w:w="882"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jc w:val="center"/>
              <w:rPr>
                <w:rFonts w:ascii="宋体" w:hAnsi="宋体" w:cs="宋体"/>
                <w:kern w:val="0"/>
                <w:sz w:val="24"/>
                <w:szCs w:val="24"/>
              </w:rPr>
            </w:pPr>
            <w:r>
              <w:rPr>
                <w:rFonts w:hint="eastAsia" w:ascii="宋体" w:hAnsi="宋体" w:cs="宋体"/>
                <w:kern w:val="0"/>
                <w:sz w:val="24"/>
                <w:szCs w:val="24"/>
              </w:rPr>
              <w:t>院区</w:t>
            </w: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jc w:val="center"/>
              <w:rPr>
                <w:rFonts w:ascii="宋体" w:hAnsi="宋体" w:cs="宋体"/>
                <w:kern w:val="0"/>
                <w:sz w:val="24"/>
                <w:szCs w:val="24"/>
              </w:rPr>
            </w:pPr>
            <w:r>
              <w:rPr>
                <w:rFonts w:hint="eastAsia" w:ascii="宋体" w:hAnsi="宋体" w:cs="宋体"/>
                <w:kern w:val="0"/>
                <w:sz w:val="24"/>
                <w:szCs w:val="24"/>
              </w:rPr>
              <w:t>岗位</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jc w:val="center"/>
              <w:rPr>
                <w:rFonts w:ascii="宋体" w:hAnsi="宋体" w:cs="宋体"/>
                <w:kern w:val="0"/>
                <w:sz w:val="24"/>
                <w:szCs w:val="24"/>
              </w:rPr>
            </w:pPr>
            <w:r>
              <w:rPr>
                <w:rFonts w:hint="eastAsia" w:ascii="宋体" w:hAnsi="宋体" w:cs="宋体"/>
                <w:kern w:val="0"/>
                <w:sz w:val="24"/>
                <w:szCs w:val="24"/>
              </w:rPr>
              <w:t>人数</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jc w:val="center"/>
              <w:rPr>
                <w:rFonts w:ascii="宋体" w:hAnsi="宋体" w:cs="宋体"/>
                <w:kern w:val="0"/>
                <w:sz w:val="24"/>
                <w:szCs w:val="24"/>
              </w:rPr>
            </w:pPr>
            <w:r>
              <w:rPr>
                <w:rFonts w:hint="eastAsia" w:ascii="宋体" w:hAnsi="宋体" w:cs="宋体"/>
                <w:kern w:val="0"/>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5" w:hRule="atLeast"/>
          <w:jc w:val="center"/>
        </w:trPr>
        <w:tc>
          <w:tcPr>
            <w:tcW w:w="600"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1</w:t>
            </w:r>
          </w:p>
        </w:tc>
        <w:tc>
          <w:tcPr>
            <w:tcW w:w="88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sz w:val="24"/>
                <w:szCs w:val="24"/>
              </w:rPr>
              <w:t>金彭西路</w:t>
            </w:r>
            <w:r>
              <w:rPr>
                <w:rFonts w:hint="eastAsia" w:ascii="宋体" w:hAnsi="宋体" w:cs="宋体"/>
                <w:kern w:val="0"/>
                <w:sz w:val="24"/>
                <w:szCs w:val="24"/>
              </w:rPr>
              <w:t>院区</w:t>
            </w: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ind w:firstLine="120" w:firstLineChars="50"/>
              <w:rPr>
                <w:rFonts w:ascii="宋体" w:hAnsi="宋体" w:cs="宋体"/>
                <w:kern w:val="0"/>
                <w:sz w:val="24"/>
                <w:szCs w:val="24"/>
              </w:rPr>
            </w:pPr>
            <w:r>
              <w:rPr>
                <w:rFonts w:hint="eastAsia" w:ascii="宋体" w:hAnsi="宋体" w:cs="宋体"/>
                <w:kern w:val="0"/>
                <w:sz w:val="24"/>
                <w:szCs w:val="24"/>
              </w:rPr>
              <w:t>普通保洁</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50</w:t>
            </w:r>
          </w:p>
        </w:tc>
        <w:tc>
          <w:tcPr>
            <w:tcW w:w="6141"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1、身体健康，有相关工作经验；</w:t>
            </w:r>
          </w:p>
          <w:p>
            <w:pPr>
              <w:widowControl/>
              <w:spacing w:after="120" w:line="360" w:lineRule="auto"/>
              <w:rPr>
                <w:rFonts w:ascii="宋体" w:hAnsi="宋体" w:cs="宋体"/>
                <w:kern w:val="0"/>
                <w:sz w:val="24"/>
                <w:szCs w:val="24"/>
              </w:rPr>
            </w:pPr>
            <w:r>
              <w:rPr>
                <w:rFonts w:hint="eastAsia" w:ascii="宋体" w:hAnsi="宋体" w:cs="宋体"/>
                <w:kern w:val="0"/>
                <w:sz w:val="24"/>
                <w:szCs w:val="24"/>
              </w:rPr>
              <w:t>2、尊重病人，有责任心、耐心，细心，善于沟通，遵守医院和公司的各项规章制度，能按操作规程及时完成各项保洁任务，熟记医院各楼层分布情况。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ind w:firstLine="240" w:firstLineChars="100"/>
              <w:rPr>
                <w:rFonts w:ascii="宋体" w:hAnsi="宋体" w:cs="宋体"/>
                <w:kern w:val="0"/>
                <w:sz w:val="24"/>
                <w:szCs w:val="24"/>
              </w:rPr>
            </w:pPr>
            <w:r>
              <w:rPr>
                <w:rFonts w:hint="eastAsia" w:ascii="宋体" w:hAnsi="宋体" w:cs="宋体"/>
                <w:kern w:val="0"/>
                <w:sz w:val="24"/>
                <w:szCs w:val="24"/>
              </w:rPr>
              <w:t>特殊科室保洁员</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20</w:t>
            </w:r>
          </w:p>
        </w:tc>
        <w:tc>
          <w:tcPr>
            <w:tcW w:w="6141"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4"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right w:val="single" w:color="auto" w:sz="4" w:space="0"/>
            </w:tcBorders>
            <w:noWrap/>
            <w:vAlign w:val="center"/>
          </w:tcPr>
          <w:p>
            <w:pPr>
              <w:widowControl/>
              <w:spacing w:after="120" w:line="360" w:lineRule="auto"/>
              <w:ind w:firstLine="120" w:firstLineChars="50"/>
              <w:rPr>
                <w:rFonts w:ascii="宋体" w:hAnsi="宋体" w:cs="宋体"/>
                <w:kern w:val="0"/>
                <w:sz w:val="24"/>
                <w:szCs w:val="24"/>
              </w:rPr>
            </w:pPr>
          </w:p>
          <w:p>
            <w:pPr>
              <w:widowControl/>
              <w:spacing w:after="120" w:line="360" w:lineRule="auto"/>
              <w:ind w:firstLine="120" w:firstLineChars="50"/>
              <w:rPr>
                <w:rFonts w:ascii="宋体" w:hAnsi="宋体" w:cs="宋体"/>
                <w:kern w:val="0"/>
                <w:sz w:val="24"/>
                <w:szCs w:val="24"/>
              </w:rPr>
            </w:pPr>
            <w:r>
              <w:rPr>
                <w:rFonts w:hint="eastAsia" w:ascii="宋体" w:hAnsi="宋体" w:cs="宋体"/>
                <w:kern w:val="0"/>
                <w:sz w:val="24"/>
                <w:szCs w:val="24"/>
              </w:rPr>
              <w:t>运送</w:t>
            </w:r>
          </w:p>
          <w:p>
            <w:pPr>
              <w:spacing w:line="360" w:lineRule="auto"/>
              <w:rPr>
                <w:rFonts w:ascii="宋体" w:hAnsi="宋体" w:cs="宋体"/>
                <w:kern w:val="0"/>
                <w:sz w:val="24"/>
                <w:szCs w:val="24"/>
              </w:rPr>
            </w:pPr>
          </w:p>
        </w:tc>
        <w:tc>
          <w:tcPr>
            <w:tcW w:w="794" w:type="dxa"/>
            <w:tcBorders>
              <w:top w:val="single" w:color="auto" w:sz="4" w:space="0"/>
              <w:left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2</w:t>
            </w:r>
          </w:p>
        </w:tc>
        <w:tc>
          <w:tcPr>
            <w:tcW w:w="6141" w:type="dxa"/>
            <w:tcBorders>
              <w:top w:val="single" w:color="auto" w:sz="4" w:space="0"/>
              <w:left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1、身体健康，有相关工作经验；有初中及以上学历；</w:t>
            </w:r>
          </w:p>
          <w:p>
            <w:pPr>
              <w:widowControl/>
              <w:spacing w:line="360" w:lineRule="auto"/>
              <w:rPr>
                <w:rFonts w:ascii="宋体" w:hAnsi="宋体" w:cs="宋体"/>
                <w:kern w:val="0"/>
                <w:sz w:val="24"/>
                <w:szCs w:val="24"/>
              </w:rPr>
            </w:pPr>
            <w:r>
              <w:rPr>
                <w:rFonts w:hint="eastAsia" w:ascii="宋体" w:hAnsi="宋体" w:cs="宋体"/>
                <w:kern w:val="0"/>
                <w:sz w:val="24"/>
                <w:szCs w:val="24"/>
              </w:rPr>
              <w:t>2、尊重病人，有责任心、耐心，细心，善于沟通，遵守医院和公司的各项规章制度，能按操作规程及时完成各项送检、陪检任务，熟记医院各楼层分布情况。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项目主管</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1</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岗位专业技能较强，具有较好的沟通能力和协作能力。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小计</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73</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5" w:hRule="atLeast"/>
          <w:jc w:val="center"/>
        </w:trPr>
        <w:tc>
          <w:tcPr>
            <w:tcW w:w="600"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2</w:t>
            </w:r>
          </w:p>
        </w:tc>
        <w:tc>
          <w:tcPr>
            <w:tcW w:w="882"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城南院区</w:t>
            </w:r>
          </w:p>
        </w:tc>
        <w:tc>
          <w:tcPr>
            <w:tcW w:w="1539" w:type="dxa"/>
            <w:tcBorders>
              <w:top w:val="single" w:color="auto" w:sz="4" w:space="0"/>
              <w:left w:val="single" w:color="auto" w:sz="4" w:space="0"/>
              <w:right w:val="single" w:color="auto" w:sz="4" w:space="0"/>
            </w:tcBorders>
            <w:noWrap/>
            <w:vAlign w:val="center"/>
          </w:tcPr>
          <w:p>
            <w:pPr>
              <w:widowControl/>
              <w:spacing w:after="120" w:line="360" w:lineRule="auto"/>
              <w:ind w:firstLine="120" w:firstLineChars="50"/>
              <w:rPr>
                <w:rFonts w:ascii="宋体" w:hAnsi="宋体" w:cs="宋体"/>
                <w:kern w:val="0"/>
                <w:sz w:val="24"/>
                <w:szCs w:val="24"/>
              </w:rPr>
            </w:pPr>
            <w:r>
              <w:rPr>
                <w:rFonts w:hint="eastAsia" w:ascii="宋体" w:hAnsi="宋体" w:cs="宋体"/>
                <w:kern w:val="0"/>
                <w:sz w:val="24"/>
                <w:szCs w:val="24"/>
              </w:rPr>
              <w:t>普通保洁</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93</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1、身体健康，有相关工作经验；</w:t>
            </w:r>
          </w:p>
          <w:p>
            <w:pPr>
              <w:widowControl/>
              <w:spacing w:after="120" w:line="360" w:lineRule="auto"/>
              <w:rPr>
                <w:rFonts w:ascii="宋体" w:hAnsi="宋体" w:cs="宋体"/>
                <w:kern w:val="0"/>
                <w:sz w:val="24"/>
                <w:szCs w:val="24"/>
              </w:rPr>
            </w:pPr>
            <w:r>
              <w:rPr>
                <w:rFonts w:hint="eastAsia" w:ascii="宋体" w:hAnsi="宋体" w:cs="宋体"/>
                <w:kern w:val="0"/>
                <w:sz w:val="24"/>
                <w:szCs w:val="24"/>
              </w:rPr>
              <w:t>2、尊重病人，有责任心、耐心，细心，善于沟通，遵守医院和公司的各项规章制度，能按操作规程及时完成各项保洁任务，熟记医院各楼层分布情况。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特殊科室保洁员</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40</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1、身体健康，团结友爱，具有较强的沟通能力和协作能力；</w:t>
            </w:r>
          </w:p>
          <w:p>
            <w:pPr>
              <w:widowControl/>
              <w:spacing w:line="360" w:lineRule="auto"/>
              <w:rPr>
                <w:rFonts w:ascii="宋体" w:hAnsi="宋体" w:cs="宋体"/>
                <w:kern w:val="0"/>
                <w:sz w:val="24"/>
                <w:szCs w:val="24"/>
              </w:rPr>
            </w:pPr>
            <w:r>
              <w:rPr>
                <w:rFonts w:hint="eastAsia" w:ascii="宋体" w:hAnsi="宋体" w:cs="宋体"/>
                <w:kern w:val="0"/>
                <w:sz w:val="24"/>
                <w:szCs w:val="24"/>
              </w:rPr>
              <w:t>2、需熟练操作各类办公软件。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ind w:firstLine="120" w:firstLineChars="50"/>
              <w:rPr>
                <w:rFonts w:ascii="宋体" w:hAnsi="宋体" w:cs="宋体"/>
                <w:kern w:val="0"/>
                <w:sz w:val="24"/>
                <w:szCs w:val="24"/>
              </w:rPr>
            </w:pPr>
          </w:p>
          <w:p>
            <w:pPr>
              <w:widowControl/>
              <w:spacing w:after="120" w:line="360" w:lineRule="auto"/>
              <w:ind w:firstLine="120" w:firstLineChars="50"/>
              <w:rPr>
                <w:rFonts w:ascii="宋体" w:hAnsi="宋体" w:cs="宋体"/>
                <w:kern w:val="0"/>
                <w:sz w:val="24"/>
                <w:szCs w:val="24"/>
              </w:rPr>
            </w:pPr>
            <w:r>
              <w:rPr>
                <w:rFonts w:hint="eastAsia" w:ascii="宋体" w:hAnsi="宋体" w:cs="宋体"/>
                <w:kern w:val="0"/>
                <w:sz w:val="24"/>
                <w:szCs w:val="24"/>
              </w:rPr>
              <w:t>中央运送</w:t>
            </w:r>
          </w:p>
          <w:p>
            <w:pPr>
              <w:widowControl/>
              <w:spacing w:after="120" w:line="360" w:lineRule="auto"/>
              <w:rPr>
                <w:rFonts w:ascii="宋体" w:hAnsi="宋体" w:cs="宋体"/>
                <w:kern w:val="0"/>
                <w:sz w:val="24"/>
                <w:szCs w:val="24"/>
              </w:rPr>
            </w:pP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27</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1、身体健康，有相关工作经验；有初中及以上学历；</w:t>
            </w:r>
          </w:p>
          <w:p>
            <w:pPr>
              <w:widowControl/>
              <w:spacing w:after="120" w:line="360" w:lineRule="auto"/>
              <w:rPr>
                <w:rFonts w:ascii="宋体" w:hAnsi="宋体" w:cs="宋体"/>
                <w:kern w:val="0"/>
                <w:sz w:val="24"/>
                <w:szCs w:val="24"/>
              </w:rPr>
            </w:pPr>
            <w:r>
              <w:rPr>
                <w:rFonts w:hint="eastAsia" w:ascii="宋体" w:hAnsi="宋体" w:cs="宋体"/>
                <w:kern w:val="0"/>
                <w:sz w:val="24"/>
                <w:szCs w:val="24"/>
              </w:rPr>
              <w:t>2、尊重病人，有责任心、耐心，细心，善于沟通，遵守医院和公司的各项规章制度，能按操作规程及时完成各项送检、陪检任务，熟记医院各楼层分布情况。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00"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after="120" w:line="360" w:lineRule="auto"/>
              <w:rPr>
                <w:rFonts w:ascii="宋体" w:hAnsi="宋体" w:cs="宋体"/>
                <w:kern w:val="0"/>
                <w:sz w:val="24"/>
                <w:szCs w:val="24"/>
              </w:rPr>
            </w:pPr>
            <w:r>
              <w:rPr>
                <w:rFonts w:hint="eastAsia" w:ascii="宋体" w:hAnsi="宋体" w:cs="宋体"/>
                <w:kern w:val="0"/>
                <w:sz w:val="24"/>
                <w:szCs w:val="24"/>
              </w:rPr>
              <w:t>项目主管</w:t>
            </w:r>
          </w:p>
        </w:tc>
        <w:tc>
          <w:tcPr>
            <w:tcW w:w="794" w:type="dxa"/>
            <w:tcBorders>
              <w:top w:val="single" w:color="auto" w:sz="4" w:space="0"/>
              <w:left w:val="single" w:color="auto" w:sz="4" w:space="0"/>
              <w:bottom w:val="single" w:color="auto" w:sz="4" w:space="0"/>
              <w:right w:val="single" w:color="auto" w:sz="4" w:space="0"/>
            </w:tcBorders>
            <w:noWrap/>
            <w:vAlign w:val="center"/>
          </w:tcPr>
          <w:p>
            <w:pPr>
              <w:spacing w:after="120" w:line="360" w:lineRule="auto"/>
              <w:rPr>
                <w:rFonts w:ascii="宋体" w:hAnsi="宋体" w:cs="宋体"/>
                <w:kern w:val="0"/>
                <w:sz w:val="24"/>
                <w:szCs w:val="24"/>
              </w:rPr>
            </w:pPr>
            <w:r>
              <w:rPr>
                <w:rFonts w:hint="eastAsia" w:ascii="宋体" w:hAnsi="宋体" w:cs="宋体"/>
                <w:kern w:val="0"/>
                <w:sz w:val="24"/>
                <w:szCs w:val="24"/>
              </w:rPr>
              <w:t>2</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ascii="宋体" w:hAnsi="宋体" w:cs="宋体"/>
                <w:kern w:val="0"/>
                <w:sz w:val="24"/>
                <w:szCs w:val="24"/>
              </w:rPr>
            </w:pPr>
            <w:r>
              <w:rPr>
                <w:rFonts w:hint="eastAsia" w:ascii="宋体" w:hAnsi="宋体" w:cs="宋体"/>
                <w:kern w:val="0"/>
                <w:sz w:val="24"/>
                <w:szCs w:val="24"/>
              </w:rPr>
              <w:t>岗位专业技能较强，具有较好的沟通能力和协作能力。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600"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after="120" w:line="360" w:lineRule="auto"/>
              <w:rPr>
                <w:rFonts w:ascii="宋体" w:hAnsi="宋体" w:cs="宋体"/>
                <w:kern w:val="0"/>
                <w:sz w:val="24"/>
                <w:szCs w:val="24"/>
              </w:rPr>
            </w:pPr>
            <w:r>
              <w:rPr>
                <w:rFonts w:hint="eastAsia" w:ascii="宋体" w:hAnsi="宋体" w:cs="宋体"/>
                <w:kern w:val="0"/>
                <w:sz w:val="24"/>
                <w:szCs w:val="24"/>
              </w:rPr>
              <w:t>项目经理</w:t>
            </w:r>
          </w:p>
        </w:tc>
        <w:tc>
          <w:tcPr>
            <w:tcW w:w="794"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hint="eastAsia" w:ascii="宋体" w:hAnsi="宋体" w:cs="宋体"/>
                <w:kern w:val="0"/>
                <w:sz w:val="24"/>
                <w:szCs w:val="24"/>
              </w:rPr>
            </w:pPr>
            <w:r>
              <w:rPr>
                <w:rFonts w:hint="eastAsia" w:ascii="宋体" w:hAnsi="宋体" w:cs="宋体"/>
                <w:kern w:val="0"/>
                <w:sz w:val="24"/>
                <w:szCs w:val="24"/>
              </w:rPr>
              <w:t>1</w:t>
            </w:r>
          </w:p>
        </w:tc>
        <w:tc>
          <w:tcPr>
            <w:tcW w:w="6141" w:type="dxa"/>
            <w:tcBorders>
              <w:top w:val="single" w:color="auto" w:sz="4" w:space="0"/>
              <w:left w:val="single" w:color="auto" w:sz="4" w:space="0"/>
              <w:bottom w:val="single" w:color="auto" w:sz="4" w:space="0"/>
              <w:right w:val="single" w:color="auto" w:sz="4" w:space="0"/>
            </w:tcBorders>
            <w:noWrap/>
            <w:vAlign w:val="center"/>
          </w:tcPr>
          <w:p>
            <w:pPr>
              <w:widowControl/>
              <w:spacing w:after="120" w:line="360" w:lineRule="auto"/>
              <w:rPr>
                <w:rFonts w:hint="eastAsia" w:ascii="宋体" w:hAnsi="宋体" w:cs="宋体"/>
                <w:kern w:val="0"/>
                <w:sz w:val="24"/>
                <w:szCs w:val="24"/>
              </w:rPr>
            </w:pPr>
            <w:r>
              <w:rPr>
                <w:rFonts w:hint="eastAsia" w:ascii="宋体" w:hAnsi="宋体" w:cs="宋体"/>
                <w:kern w:val="0"/>
                <w:sz w:val="24"/>
                <w:szCs w:val="24"/>
              </w:rPr>
              <w:t>具有物业管理服务工作经验。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600"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882"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left"/>
              <w:rPr>
                <w:rFonts w:ascii="宋体" w:hAnsi="宋体" w:cs="宋体"/>
                <w:kern w:val="0"/>
                <w:sz w:val="24"/>
                <w:szCs w:val="24"/>
              </w:rPr>
            </w:pPr>
          </w:p>
        </w:tc>
        <w:tc>
          <w:tcPr>
            <w:tcW w:w="1539" w:type="dxa"/>
            <w:tcBorders>
              <w:top w:val="single" w:color="auto" w:sz="4" w:space="0"/>
              <w:left w:val="single" w:color="auto" w:sz="4" w:space="0"/>
              <w:bottom w:val="single" w:color="auto" w:sz="4" w:space="0"/>
              <w:right w:val="single" w:color="auto" w:sz="4" w:space="0"/>
            </w:tcBorders>
            <w:noWrap/>
            <w:vAlign w:val="center"/>
          </w:tcPr>
          <w:p>
            <w:pPr>
              <w:spacing w:after="120" w:line="360" w:lineRule="auto"/>
              <w:rPr>
                <w:rFonts w:ascii="宋体" w:hAnsi="宋体" w:cs="宋体"/>
                <w:kern w:val="0"/>
                <w:sz w:val="24"/>
                <w:szCs w:val="24"/>
              </w:rPr>
            </w:pPr>
            <w:r>
              <w:rPr>
                <w:rFonts w:hint="eastAsia" w:ascii="宋体" w:hAnsi="宋体" w:cs="宋体"/>
                <w:kern w:val="0"/>
                <w:sz w:val="24"/>
                <w:szCs w:val="24"/>
              </w:rPr>
              <w:t>小计</w:t>
            </w:r>
          </w:p>
        </w:tc>
        <w:tc>
          <w:tcPr>
            <w:tcW w:w="794" w:type="dxa"/>
            <w:tcBorders>
              <w:top w:val="single" w:color="auto" w:sz="4" w:space="0"/>
              <w:left w:val="single" w:color="auto" w:sz="4" w:space="0"/>
              <w:bottom w:val="single" w:color="auto" w:sz="4" w:space="0"/>
              <w:right w:val="single" w:color="auto" w:sz="4" w:space="0"/>
            </w:tcBorders>
            <w:noWrap/>
            <w:vAlign w:val="center"/>
          </w:tcPr>
          <w:p>
            <w:pPr>
              <w:spacing w:after="120" w:line="360" w:lineRule="auto"/>
              <w:rPr>
                <w:rFonts w:ascii="宋体" w:hAnsi="宋体" w:cs="宋体"/>
                <w:kern w:val="0"/>
                <w:sz w:val="24"/>
                <w:szCs w:val="24"/>
              </w:rPr>
            </w:pPr>
            <w:r>
              <w:rPr>
                <w:rFonts w:hint="eastAsia" w:ascii="宋体" w:hAnsi="宋体" w:cs="宋体"/>
                <w:kern w:val="0"/>
                <w:sz w:val="24"/>
                <w:szCs w:val="24"/>
              </w:rPr>
              <w:t>163</w:t>
            </w:r>
          </w:p>
        </w:tc>
        <w:tc>
          <w:tcPr>
            <w:tcW w:w="6141" w:type="dxa"/>
            <w:tcBorders>
              <w:top w:val="single" w:color="auto" w:sz="4" w:space="0"/>
              <w:left w:val="single" w:color="auto" w:sz="4" w:space="0"/>
              <w:bottom w:val="single" w:color="auto" w:sz="4" w:space="0"/>
              <w:right w:val="single" w:color="auto" w:sz="4" w:space="0"/>
            </w:tcBorders>
            <w:noWrap/>
            <w:vAlign w:val="center"/>
          </w:tcPr>
          <w:p>
            <w:pPr>
              <w:spacing w:line="360" w:lineRule="auto"/>
              <w:ind w:firstLine="480" w:firstLineChars="200"/>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9956" w:type="dxa"/>
            <w:gridSpan w:val="5"/>
            <w:tcBorders>
              <w:top w:val="single" w:color="auto" w:sz="4" w:space="0"/>
              <w:left w:val="single" w:color="auto" w:sz="4" w:space="0"/>
              <w:bottom w:val="single" w:color="auto" w:sz="4" w:space="0"/>
              <w:right w:val="single" w:color="auto" w:sz="4" w:space="0"/>
            </w:tcBorders>
            <w:noWrap/>
            <w:vAlign w:val="center"/>
          </w:tcPr>
          <w:p>
            <w:pPr>
              <w:spacing w:line="360" w:lineRule="auto"/>
              <w:ind w:firstLine="720" w:firstLineChars="300"/>
              <w:rPr>
                <w:rFonts w:ascii="宋体" w:hAnsi="宋体" w:cs="宋体"/>
                <w:kern w:val="0"/>
                <w:sz w:val="24"/>
                <w:szCs w:val="24"/>
              </w:rPr>
            </w:pPr>
            <w:r>
              <w:rPr>
                <w:rFonts w:hint="eastAsia" w:ascii="宋体" w:hAnsi="宋体" w:cs="宋体"/>
                <w:kern w:val="0"/>
                <w:sz w:val="24"/>
                <w:szCs w:val="24"/>
              </w:rPr>
              <w:t>备注：</w:t>
            </w:r>
          </w:p>
          <w:p>
            <w:pPr>
              <w:widowControl/>
              <w:spacing w:line="360" w:lineRule="auto"/>
              <w:ind w:firstLine="720" w:firstLineChars="300"/>
              <w:jc w:val="left"/>
              <w:rPr>
                <w:rFonts w:ascii="宋体" w:hAnsi="宋体" w:cs="宋体"/>
                <w:kern w:val="0"/>
                <w:sz w:val="24"/>
                <w:szCs w:val="24"/>
              </w:rPr>
            </w:pPr>
            <w:r>
              <w:rPr>
                <w:rFonts w:hint="eastAsia" w:ascii="宋体" w:hAnsi="宋体" w:cs="宋体"/>
                <w:kern w:val="0"/>
                <w:sz w:val="24"/>
                <w:szCs w:val="24"/>
              </w:rPr>
              <w:t>1、投标人可根据采购人提供的各楼建筑面积和自行踏勘现场后根据医院工作需求、服务内容、服务要求进行合理、细化的人员配置明细，人数不得低于以上要求。</w:t>
            </w:r>
          </w:p>
          <w:p>
            <w:pPr>
              <w:widowControl/>
              <w:spacing w:line="360" w:lineRule="auto"/>
              <w:ind w:firstLine="720" w:firstLineChars="300"/>
              <w:jc w:val="left"/>
              <w:rPr>
                <w:rFonts w:ascii="宋体" w:hAnsi="宋体" w:cs="宋体"/>
                <w:kern w:val="0"/>
                <w:sz w:val="24"/>
                <w:szCs w:val="24"/>
              </w:rPr>
            </w:pPr>
            <w:r>
              <w:rPr>
                <w:rFonts w:hint="eastAsia" w:ascii="宋体" w:hAnsi="宋体" w:cs="宋体"/>
                <w:kern w:val="0"/>
                <w:sz w:val="24"/>
                <w:szCs w:val="24"/>
              </w:rPr>
              <w:t>2、服务人员基本要求：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（1）按规定统一工作装，着装整洁，不吸烟、不饮酒；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（2）工作中不擅离岗位，不嬉笑打闹，不看书报杂志，吃东西、睡觉或做其他与工作无关的事；</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（3）做到文明礼貌，不在院内乱串和高声喧哗；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（4）讲究礼节礼貌，遇有人问事，应热情回答，不得态度冷漠，语言不文明，更不得发生争吵和肢体冲突；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（5）不得随地吐痰，乱扔纸屑和乱写乱画，物品摆放有序；</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（6）岗位操作时应使用“您好，请，对不起，不客气，谢谢”等礼貌用语；</w:t>
            </w:r>
          </w:p>
          <w:p>
            <w:pPr>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（7）遵守医院规章制度，完成好医院临时交办的任务。</w:t>
            </w:r>
          </w:p>
        </w:tc>
      </w:tr>
    </w:tbl>
    <w:p>
      <w:pPr>
        <w:widowControl/>
        <w:numPr>
          <w:ilvl w:val="0"/>
          <w:numId w:val="40"/>
        </w:numPr>
        <w:spacing w:line="360" w:lineRule="auto"/>
        <w:ind w:left="0" w:leftChars="0" w:firstLine="0" w:firstLineChars="0"/>
        <w:jc w:val="left"/>
        <w:rPr>
          <w:rFonts w:hint="eastAsia" w:ascii="宋体" w:hAnsi="宋体" w:cs="宋体"/>
          <w:kern w:val="0"/>
          <w:sz w:val="24"/>
          <w:szCs w:val="24"/>
        </w:rPr>
      </w:pPr>
      <w:r>
        <w:rPr>
          <w:rFonts w:hint="eastAsia" w:ascii="宋体" w:hAnsi="宋体" w:cs="宋体"/>
          <w:kern w:val="0"/>
          <w:sz w:val="24"/>
          <w:szCs w:val="24"/>
        </w:rPr>
        <w:t>人员配置其他要求</w:t>
      </w:r>
    </w:p>
    <w:p>
      <w:pPr>
        <w:widowControl/>
        <w:numPr>
          <w:ilvl w:val="0"/>
          <w:numId w:val="0"/>
        </w:numPr>
        <w:spacing w:line="360" w:lineRule="auto"/>
        <w:ind w:leftChars="0" w:firstLine="480" w:firstLineChars="200"/>
        <w:jc w:val="left"/>
        <w:rPr>
          <w:rFonts w:hint="eastAsia" w:ascii="宋体" w:hAnsi="宋体" w:cs="宋体"/>
          <w:kern w:val="0"/>
          <w:sz w:val="24"/>
          <w:szCs w:val="24"/>
        </w:rPr>
      </w:pPr>
      <w:r>
        <w:rPr>
          <w:rFonts w:hint="eastAsia" w:ascii="宋体" w:hAnsi="宋体" w:cs="宋体"/>
          <w:kern w:val="0"/>
          <w:sz w:val="24"/>
          <w:szCs w:val="24"/>
        </w:rPr>
        <w:t>（一）根据此项目物业管理服务的需求配置相应的专业管理团队，专业管理团队保障的内容是供应商拟派于此项目的保障管理人员，对此项目服务人员进行培训赋能，对服务品质进行全过程、全体系的监管，为医院提供一站式专业服务，减轻医院对后勤保障体系的管理压力，支撑医院后勤保障体系高效运管。投标人提供的专业管家团队必须具有医院物业服务管理需求的能力，能将需求转化为可执行的标准体系，融入本项目全过程、全体系的保障服务流程。通过数据分析、流程业务分析的形式，为此项目提供高效的后勤运管支撑，并持续优化物业服务管理能力。其中：现场专业管家团队中须由1名物业项目经理、3名项目主管（能够熟练使用保洁、运送等相关软件）、1名调度员（调度员为城南院区中央运送人员其中1名担任）组成。</w:t>
      </w:r>
    </w:p>
    <w:p>
      <w:pPr>
        <w:widowControl/>
        <w:spacing w:line="360" w:lineRule="auto"/>
        <w:ind w:firstLine="482" w:firstLineChars="200"/>
        <w:jc w:val="left"/>
        <w:rPr>
          <w:rFonts w:ascii="宋体" w:hAnsi="宋体" w:cs="宋体"/>
          <w:sz w:val="24"/>
          <w:szCs w:val="24"/>
          <w:highlight w:val="yellow"/>
        </w:rPr>
      </w:pPr>
      <w:r>
        <w:rPr>
          <w:rFonts w:hint="eastAsia" w:ascii="宋体" w:hAnsi="宋体" w:cs="宋体"/>
          <w:b/>
          <w:bCs/>
          <w:kern w:val="0"/>
          <w:sz w:val="24"/>
          <w:szCs w:val="24"/>
        </w:rPr>
        <w:t>★（二）人员年龄要求：女性平均年龄不得超过60周岁，男性平均年龄不得超过65周岁。</w:t>
      </w:r>
      <w:r>
        <w:rPr>
          <w:rFonts w:hint="eastAsia" w:ascii="宋体" w:hAnsi="宋体" w:cs="宋体"/>
          <w:b/>
          <w:bCs/>
          <w:kern w:val="0"/>
          <w:sz w:val="24"/>
          <w:szCs w:val="24"/>
          <w:lang w:eastAsia="zh-CN"/>
        </w:rPr>
        <w:t>（</w:t>
      </w:r>
      <w:r>
        <w:rPr>
          <w:rFonts w:hint="eastAsia" w:ascii="宋体" w:hAnsi="宋体" w:cs="宋体"/>
          <w:b/>
          <w:bCs/>
          <w:kern w:val="0"/>
          <w:sz w:val="24"/>
          <w:szCs w:val="24"/>
        </w:rPr>
        <w:t>投标人须提供承诺函</w:t>
      </w:r>
      <w:r>
        <w:rPr>
          <w:rFonts w:hint="eastAsia" w:ascii="宋体" w:hAnsi="宋体" w:cs="宋体"/>
          <w:b/>
          <w:bCs/>
          <w:kern w:val="0"/>
          <w:sz w:val="24"/>
          <w:szCs w:val="24"/>
          <w:lang w:eastAsia="zh-CN"/>
        </w:rPr>
        <w:t>）</w:t>
      </w:r>
      <w:r>
        <w:rPr>
          <w:rFonts w:hint="eastAsia" w:ascii="宋体" w:hAnsi="宋体" w:cs="宋体"/>
          <w:b/>
          <w:bCs/>
          <w:kern w:val="0"/>
          <w:sz w:val="24"/>
          <w:szCs w:val="24"/>
        </w:rPr>
        <w:t>。</w:t>
      </w:r>
    </w:p>
    <w:p>
      <w:pPr>
        <w:numPr>
          <w:ilvl w:val="0"/>
          <w:numId w:val="0"/>
        </w:numPr>
        <w:spacing w:line="360" w:lineRule="auto"/>
        <w:ind w:firstLine="720" w:firstLineChars="300"/>
      </w:pPr>
      <w:r>
        <w:rPr>
          <w:rFonts w:hint="eastAsia" w:ascii="宋体" w:hAnsi="宋体" w:cs="宋体"/>
          <w:sz w:val="24"/>
          <w:szCs w:val="24"/>
          <w:lang w:eastAsia="zh-CN"/>
        </w:rPr>
        <w:t>（三）</w:t>
      </w:r>
      <w:r>
        <w:rPr>
          <w:rFonts w:hint="eastAsia" w:ascii="宋体" w:hAnsi="宋体" w:cs="宋体"/>
          <w:sz w:val="24"/>
          <w:szCs w:val="24"/>
        </w:rPr>
        <w:t>特殊科室人员要求相对固定。特殊科室人员根据医院实际需要进行调整。</w:t>
      </w:r>
    </w:p>
    <w:p>
      <w:pPr>
        <w:pStyle w:val="4"/>
        <w:keepNext/>
        <w:keepLines/>
        <w:pageBreakBefore w:val="0"/>
        <w:widowControl w:val="0"/>
        <w:numPr>
          <w:ilvl w:val="1"/>
          <w:numId w:val="5"/>
        </w:numPr>
        <w:tabs>
          <w:tab w:val="left" w:pos="426"/>
          <w:tab w:val="left" w:pos="567"/>
        </w:tabs>
        <w:kinsoku/>
        <w:wordWrap/>
        <w:overflowPunct/>
        <w:topLinePunct w:val="0"/>
        <w:autoSpaceDE/>
        <w:autoSpaceDN/>
        <w:bidi w:val="0"/>
        <w:adjustRightInd/>
        <w:snapToGrid/>
        <w:spacing w:before="0" w:after="0" w:line="560" w:lineRule="exact"/>
        <w:jc w:val="both"/>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设施设备配置要求</w:t>
      </w:r>
    </w:p>
    <w:p>
      <w:pPr>
        <w:pStyle w:val="4"/>
        <w:keepNext/>
        <w:keepLines/>
        <w:pageBreakBefore w:val="0"/>
        <w:widowControl w:val="0"/>
        <w:numPr>
          <w:ilvl w:val="1"/>
          <w:numId w:val="0"/>
        </w:numPr>
        <w:tabs>
          <w:tab w:val="left" w:pos="426"/>
          <w:tab w:val="left" w:pos="567"/>
        </w:tabs>
        <w:kinsoku/>
        <w:wordWrap/>
        <w:overflowPunct/>
        <w:topLinePunct w:val="0"/>
        <w:autoSpaceDE/>
        <w:autoSpaceDN/>
        <w:bidi w:val="0"/>
        <w:adjustRightInd/>
        <w:snapToGrid/>
        <w:spacing w:before="0" w:after="0" w:line="560" w:lineRule="exact"/>
        <w:ind w:leftChars="0" w:firstLine="482" w:firstLineChars="200"/>
        <w:jc w:val="both"/>
        <w:textAlignment w:val="auto"/>
        <w:rPr>
          <w:rFonts w:hint="eastAsia" w:ascii="宋体" w:hAnsi="宋体" w:eastAsia="宋体" w:cs="宋体"/>
          <w:b/>
          <w:bCs/>
          <w:kern w:val="0"/>
          <w:sz w:val="24"/>
          <w:szCs w:val="24"/>
          <w:lang w:val="en-US" w:eastAsia="zh-CN" w:bidi="ar-SA"/>
        </w:rPr>
      </w:pPr>
      <w:r>
        <w:rPr>
          <w:rFonts w:hint="eastAsia" w:ascii="宋体" w:hAnsi="宋体" w:cs="宋体"/>
          <w:b/>
          <w:bCs/>
          <w:kern w:val="0"/>
          <w:sz w:val="24"/>
          <w:szCs w:val="24"/>
        </w:rPr>
        <w:t>★</w:t>
      </w:r>
      <w:r>
        <w:rPr>
          <w:rFonts w:hint="eastAsia" w:ascii="宋体" w:hAnsi="宋体" w:eastAsia="宋体" w:cs="宋体"/>
          <w:b/>
          <w:bCs/>
          <w:kern w:val="0"/>
          <w:sz w:val="24"/>
          <w:szCs w:val="24"/>
          <w:lang w:val="en-US" w:eastAsia="zh-CN" w:bidi="ar-SA"/>
        </w:rPr>
        <w:t>本项目需要投标人至少配置驾驶型洗地机1台，手推式洗地机1台，高抛机1台，吸水吸尘机2台，吹风机4台，消洗房配置洗衣机和烘干机。消洗房及清洗设备设施由中标方搭建并提供。</w:t>
      </w:r>
      <w:r>
        <w:rPr>
          <w:rFonts w:hint="eastAsia" w:cs="宋体"/>
          <w:b/>
          <w:bCs/>
          <w:kern w:val="0"/>
          <w:sz w:val="24"/>
          <w:szCs w:val="24"/>
          <w:lang w:val="en-US" w:eastAsia="zh-CN" w:bidi="ar-SA"/>
        </w:rPr>
        <w:t>（</w:t>
      </w:r>
      <w:r>
        <w:rPr>
          <w:rFonts w:hint="eastAsia" w:ascii="宋体" w:hAnsi="宋体" w:cs="宋体"/>
          <w:b/>
          <w:bCs/>
          <w:kern w:val="0"/>
          <w:sz w:val="24"/>
          <w:szCs w:val="24"/>
        </w:rPr>
        <w:t>投标人须提供承诺函</w:t>
      </w:r>
      <w:r>
        <w:rPr>
          <w:rFonts w:hint="eastAsia" w:cs="宋体"/>
          <w:b/>
          <w:bCs/>
          <w:kern w:val="0"/>
          <w:sz w:val="24"/>
          <w:szCs w:val="24"/>
          <w:lang w:val="en-US" w:eastAsia="zh-CN" w:bidi="ar-SA"/>
        </w:rPr>
        <w:t>）。</w:t>
      </w:r>
    </w:p>
    <w:p>
      <w:pPr>
        <w:rPr>
          <w:rFonts w:hint="eastAsia"/>
          <w:color w:val="FF0000"/>
          <w:lang w:eastAsia="zh-CN"/>
        </w:rPr>
      </w:pPr>
    </w:p>
    <w:p>
      <w:pPr>
        <w:pStyle w:val="2"/>
        <w:numPr>
          <w:ilvl w:val="3"/>
          <w:numId w:val="0"/>
        </w:numPr>
        <w:ind w:left="3150" w:leftChars="0"/>
      </w:pPr>
    </w:p>
    <w:p>
      <w:pPr>
        <w:pStyle w:val="4"/>
        <w:keepNext/>
        <w:keepLines/>
        <w:pageBreakBefore w:val="0"/>
        <w:widowControl w:val="0"/>
        <w:numPr>
          <w:ilvl w:val="1"/>
          <w:numId w:val="5"/>
        </w:numPr>
        <w:tabs>
          <w:tab w:val="left" w:pos="426"/>
          <w:tab w:val="left" w:pos="567"/>
        </w:tabs>
        <w:kinsoku/>
        <w:wordWrap/>
        <w:overflowPunct/>
        <w:topLinePunct w:val="0"/>
        <w:autoSpaceDE/>
        <w:autoSpaceDN/>
        <w:bidi w:val="0"/>
        <w:adjustRightInd/>
        <w:snapToGrid/>
        <w:spacing w:before="0" w:after="0" w:line="560" w:lineRule="exact"/>
        <w:jc w:val="both"/>
        <w:textAlignment w:val="auto"/>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商务要求</w:t>
      </w:r>
      <w:bookmarkEnd w:id="173"/>
      <w:bookmarkEnd w:id="174"/>
      <w:bookmarkEnd w:id="175"/>
    </w:p>
    <w:p>
      <w:pPr>
        <w:pStyle w:val="4"/>
        <w:keepNext/>
        <w:keepLines/>
        <w:pageBreakBefore w:val="0"/>
        <w:widowControl w:val="0"/>
        <w:numPr>
          <w:ilvl w:val="1"/>
          <w:numId w:val="0"/>
        </w:numPr>
        <w:tabs>
          <w:tab w:val="left" w:pos="426"/>
          <w:tab w:val="left" w:pos="567"/>
        </w:tabs>
        <w:kinsoku/>
        <w:wordWrap/>
        <w:overflowPunct/>
        <w:topLinePunct w:val="0"/>
        <w:autoSpaceDE/>
        <w:autoSpaceDN/>
        <w:bidi w:val="0"/>
        <w:adjustRightInd/>
        <w:snapToGrid/>
        <w:spacing w:before="0" w:after="0" w:line="560" w:lineRule="exact"/>
        <w:ind w:leftChars="0" w:firstLine="482" w:firstLineChars="200"/>
        <w:jc w:val="both"/>
        <w:textAlignment w:val="auto"/>
        <w:rPr>
          <w:rFonts w:hint="eastAsia" w:ascii="宋体" w:hAnsi="宋体" w:eastAsia="宋体" w:cs="宋体"/>
          <w:b/>
          <w:bCs/>
          <w:kern w:val="0"/>
          <w:sz w:val="24"/>
          <w:szCs w:val="24"/>
          <w:lang w:val="en-US" w:eastAsia="zh-CN" w:bidi="ar-SA"/>
        </w:rPr>
      </w:pPr>
      <w:r>
        <w:rPr>
          <w:rFonts w:hint="eastAsia" w:ascii="宋体" w:hAnsi="宋体" w:cs="宋体"/>
          <w:b/>
          <w:bCs/>
          <w:kern w:val="0"/>
          <w:sz w:val="24"/>
          <w:szCs w:val="24"/>
          <w:lang w:eastAsia="zh-CN"/>
        </w:rPr>
        <w:t>一、</w:t>
      </w:r>
      <w:r>
        <w:rPr>
          <w:rFonts w:hint="eastAsia" w:ascii="宋体" w:hAnsi="宋体" w:cs="宋体"/>
          <w:b/>
          <w:bCs/>
          <w:kern w:val="0"/>
          <w:sz w:val="24"/>
          <w:szCs w:val="24"/>
        </w:rPr>
        <w:t>服务期限：</w:t>
      </w:r>
      <w:r>
        <w:rPr>
          <w:rFonts w:hint="eastAsia" w:ascii="宋体" w:hAnsi="宋体" w:cs="宋体"/>
          <w:kern w:val="0"/>
          <w:sz w:val="24"/>
          <w:szCs w:val="24"/>
        </w:rPr>
        <w:t>服务期限为2年，合同经每年考核合格后一年一签。投标人须在合同</w:t>
      </w:r>
      <w:r>
        <w:rPr>
          <w:rFonts w:hint="eastAsia" w:ascii="宋体" w:hAnsi="宋体" w:eastAsia="宋体" w:cs="宋体"/>
          <w:b/>
          <w:bCs/>
          <w:kern w:val="0"/>
          <w:sz w:val="24"/>
          <w:szCs w:val="24"/>
          <w:lang w:val="en-US" w:eastAsia="zh-CN" w:bidi="ar-SA"/>
        </w:rPr>
        <w:t>签订后10日内进场。</w:t>
      </w:r>
    </w:p>
    <w:p>
      <w:pPr>
        <w:pStyle w:val="4"/>
        <w:keepNext/>
        <w:keepLines/>
        <w:pageBreakBefore w:val="0"/>
        <w:widowControl w:val="0"/>
        <w:numPr>
          <w:ilvl w:val="1"/>
          <w:numId w:val="0"/>
        </w:numPr>
        <w:tabs>
          <w:tab w:val="left" w:pos="426"/>
          <w:tab w:val="left" w:pos="567"/>
        </w:tabs>
        <w:kinsoku/>
        <w:wordWrap/>
        <w:overflowPunct/>
        <w:topLinePunct w:val="0"/>
        <w:autoSpaceDE/>
        <w:autoSpaceDN/>
        <w:bidi w:val="0"/>
        <w:adjustRightInd/>
        <w:snapToGrid/>
        <w:spacing w:before="0" w:after="0" w:line="560" w:lineRule="exact"/>
        <w:ind w:leftChars="0" w:firstLine="482" w:firstLineChars="200"/>
        <w:jc w:val="both"/>
        <w:textAlignment w:val="auto"/>
        <w:rPr>
          <w:rFonts w:hint="eastAsia" w:ascii="宋体" w:hAnsi="宋体" w:eastAsia="宋体" w:cs="宋体"/>
          <w:b/>
          <w:bCs/>
          <w:kern w:val="0"/>
          <w:sz w:val="24"/>
          <w:szCs w:val="24"/>
          <w:lang w:val="en-US" w:eastAsia="zh-CN" w:bidi="ar-SA"/>
        </w:rPr>
      </w:pPr>
      <w:r>
        <w:rPr>
          <w:rFonts w:hint="eastAsia" w:cs="宋体"/>
          <w:b/>
          <w:bCs/>
          <w:kern w:val="0"/>
          <w:sz w:val="24"/>
          <w:szCs w:val="24"/>
          <w:lang w:val="en-US" w:eastAsia="zh-CN" w:bidi="ar-SA"/>
        </w:rPr>
        <w:t>二、</w:t>
      </w:r>
      <w:r>
        <w:rPr>
          <w:rFonts w:hint="eastAsia" w:ascii="宋体" w:hAnsi="宋体" w:eastAsia="宋体" w:cs="宋体"/>
          <w:b/>
          <w:bCs/>
          <w:kern w:val="0"/>
          <w:sz w:val="24"/>
          <w:szCs w:val="24"/>
          <w:lang w:val="en-US" w:eastAsia="zh-CN" w:bidi="ar-SA"/>
        </w:rPr>
        <w:t>服务地点：彭州市人民医院金彭西路院区及城南院区。</w:t>
      </w:r>
    </w:p>
    <w:p>
      <w:pPr>
        <w:pStyle w:val="4"/>
        <w:keepNext/>
        <w:keepLines/>
        <w:pageBreakBefore w:val="0"/>
        <w:widowControl w:val="0"/>
        <w:numPr>
          <w:ilvl w:val="1"/>
          <w:numId w:val="0"/>
        </w:numPr>
        <w:tabs>
          <w:tab w:val="left" w:pos="426"/>
          <w:tab w:val="left" w:pos="567"/>
        </w:tabs>
        <w:kinsoku/>
        <w:wordWrap/>
        <w:overflowPunct/>
        <w:topLinePunct w:val="0"/>
        <w:autoSpaceDE/>
        <w:autoSpaceDN/>
        <w:bidi w:val="0"/>
        <w:adjustRightInd/>
        <w:snapToGrid/>
        <w:spacing w:before="0" w:after="0" w:line="560" w:lineRule="exact"/>
        <w:ind w:leftChars="0" w:firstLine="482" w:firstLineChars="200"/>
        <w:jc w:val="both"/>
        <w:textAlignment w:val="auto"/>
        <w:rPr>
          <w:rFonts w:hint="eastAsia" w:ascii="宋体" w:hAnsi="宋体" w:eastAsia="宋体" w:cs="宋体"/>
          <w:b/>
          <w:bCs/>
          <w:kern w:val="0"/>
          <w:sz w:val="24"/>
          <w:szCs w:val="24"/>
          <w:lang w:val="en-US" w:eastAsia="zh-CN" w:bidi="ar-SA"/>
        </w:rPr>
      </w:pPr>
      <w:r>
        <w:rPr>
          <w:rFonts w:hint="eastAsia" w:cs="宋体"/>
          <w:b/>
          <w:bCs/>
          <w:kern w:val="0"/>
          <w:sz w:val="24"/>
          <w:szCs w:val="24"/>
          <w:lang w:val="en-US" w:eastAsia="zh-CN" w:bidi="ar-SA"/>
        </w:rPr>
        <w:t>三、</w:t>
      </w:r>
      <w:r>
        <w:rPr>
          <w:rFonts w:hint="eastAsia" w:ascii="宋体" w:hAnsi="宋体" w:eastAsia="宋体" w:cs="宋体"/>
          <w:b/>
          <w:bCs/>
          <w:kern w:val="0"/>
          <w:sz w:val="24"/>
          <w:szCs w:val="24"/>
          <w:lang w:val="en-US" w:eastAsia="zh-CN" w:bidi="ar-SA"/>
        </w:rPr>
        <w:t>考核（验收）标准和方法</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（一）</w:t>
      </w:r>
      <w:r>
        <w:rPr>
          <w:rFonts w:hint="eastAsia" w:ascii="宋体" w:hAnsi="宋体" w:cs="宋体"/>
          <w:sz w:val="24"/>
          <w:szCs w:val="24"/>
        </w:rPr>
        <w:t>以院方制定的服务质量标准作为考核中标公司服务质量，每月一次由院方监管小组成员与中标公司代表对物业管理服务质量进行考评，院级考评分数占当月服务质量分50%，每月一次由院方后勤总务科以及护士长对中标公司服务质量进行质量考评，科室考评分数占当月服务质量分50%，当月后勤综合服务保障质量考评由院级考评和科室考评共同组成。考核标准详见附件一至六。</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（二）</w:t>
      </w:r>
      <w:r>
        <w:rPr>
          <w:rFonts w:hint="eastAsia" w:ascii="宋体" w:hAnsi="宋体" w:cs="宋体"/>
          <w:sz w:val="24"/>
          <w:szCs w:val="24"/>
        </w:rPr>
        <w:t>每月一次，次月 10 日前组织对上月服务情况考核。</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（三）</w:t>
      </w:r>
      <w:r>
        <w:rPr>
          <w:rFonts w:hint="eastAsia" w:ascii="宋体" w:hAnsi="宋体" w:cs="宋体"/>
          <w:sz w:val="24"/>
          <w:szCs w:val="24"/>
        </w:rPr>
        <w:t>年度考核评分：年度评分取近12个月的月度服务质量分的平均分，年度服务质量分需在90分及以上为服务合格，院方并根据中标公司日常服务表现，酌情加减分，并作为下一年合同续签依据。</w:t>
      </w:r>
    </w:p>
    <w:p>
      <w:pPr>
        <w:spacing w:line="360" w:lineRule="auto"/>
        <w:rPr>
          <w:rFonts w:ascii="宋体" w:hAnsi="宋体" w:cs="宋体"/>
          <w:sz w:val="24"/>
          <w:szCs w:val="24"/>
        </w:rPr>
      </w:pPr>
      <w:r>
        <w:rPr>
          <w:rFonts w:hint="eastAsia" w:ascii="宋体" w:hAnsi="宋体" w:cs="宋体"/>
          <w:sz w:val="24"/>
          <w:szCs w:val="24"/>
        </w:rPr>
        <w:t>附件一：保洁服务考核检查表</w:t>
      </w:r>
    </w:p>
    <w:tbl>
      <w:tblPr>
        <w:tblStyle w:val="43"/>
        <w:tblW w:w="8660" w:type="dxa"/>
        <w:tblInd w:w="93" w:type="dxa"/>
        <w:tblLayout w:type="fixed"/>
        <w:tblCellMar>
          <w:top w:w="0" w:type="dxa"/>
          <w:left w:w="108" w:type="dxa"/>
          <w:bottom w:w="0" w:type="dxa"/>
          <w:right w:w="108" w:type="dxa"/>
        </w:tblCellMar>
      </w:tblPr>
      <w:tblGrid>
        <w:gridCol w:w="1304"/>
        <w:gridCol w:w="5894"/>
        <w:gridCol w:w="755"/>
        <w:gridCol w:w="707"/>
      </w:tblGrid>
      <w:tr>
        <w:tblPrEx>
          <w:tblLayout w:type="fixed"/>
          <w:tblCellMar>
            <w:top w:w="0" w:type="dxa"/>
            <w:left w:w="108" w:type="dxa"/>
            <w:bottom w:w="0" w:type="dxa"/>
            <w:right w:w="108" w:type="dxa"/>
          </w:tblCellMar>
        </w:tblPrEx>
        <w:trPr>
          <w:trHeight w:val="170" w:hRule="atLeast"/>
        </w:trPr>
        <w:tc>
          <w:tcPr>
            <w:tcW w:w="7198" w:type="dxa"/>
            <w:gridSpan w:val="2"/>
            <w:tcBorders>
              <w:top w:val="single" w:color="auto" w:sz="4" w:space="0"/>
              <w:left w:val="single" w:color="auto" w:sz="4" w:space="0"/>
              <w:bottom w:val="single" w:color="000000" w:sz="4" w:space="0"/>
              <w:right w:val="single" w:color="000000"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考核内容</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分值</w:t>
            </w:r>
          </w:p>
        </w:tc>
        <w:tc>
          <w:tcPr>
            <w:tcW w:w="707"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 w:val="24"/>
                <w:szCs w:val="24"/>
              </w:rPr>
            </w:pPr>
            <w:r>
              <w:rPr>
                <w:rFonts w:hint="eastAsia" w:ascii="宋体" w:hAnsi="宋体" w:cs="宋体"/>
                <w:sz w:val="24"/>
                <w:szCs w:val="24"/>
              </w:rPr>
              <w:t>得分</w:t>
            </w:r>
          </w:p>
        </w:tc>
      </w:tr>
      <w:tr>
        <w:tblPrEx>
          <w:tblLayout w:type="fixed"/>
          <w:tblCellMar>
            <w:top w:w="0" w:type="dxa"/>
            <w:left w:w="108" w:type="dxa"/>
            <w:bottom w:w="0" w:type="dxa"/>
            <w:right w:w="108" w:type="dxa"/>
          </w:tblCellMar>
        </w:tblPrEx>
        <w:trPr>
          <w:trHeight w:val="170" w:hRule="atLeast"/>
        </w:trPr>
        <w:tc>
          <w:tcPr>
            <w:tcW w:w="1304" w:type="dxa"/>
            <w:vMerge w:val="restart"/>
            <w:tcBorders>
              <w:top w:val="nil"/>
              <w:left w:val="single" w:color="auto" w:sz="4" w:space="0"/>
              <w:bottom w:val="single" w:color="000000"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员工管理</w:t>
            </w: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规范着装，工号牌，禁烟劝导员标识佩戴规范</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文明语言，礼仪规范</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熟悉本职工作的应知应会</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遵守公司规章制度及院纪院规</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服务有效投诉</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房间区</w:t>
            </w: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床头柜、餐桌无灰尘、污渍、油渍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病床无灰尘、终末消毒符合要求</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玻璃、镜面干净、无水渍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窗台、窗框、窗槽干净、无污渍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设备带、开关、插座无灰尘、无污渍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坐便器、尿斗、台盆无污垢、皂液</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公共卫生间厕格、清洗池无灰尘、无污渍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卫生间无异味</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污洗间污物池、消毒池无灰尘、无污渍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高处设施、壁架无灰尘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空调、电扇、灯具、风口无灰尘、无污渍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纸篓、垃圾桶无污渍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垃圾袋更换及时无垃圾溢出现象</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地面无灰尘、烟头、垃圾、无明显污渍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金属拉手、龙头无灰尘、无水印、无污渍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门板、门框无灰尘、无污渍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地面干净、屋檐蒂等杂物</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家具无灰尘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无蜘蛛网</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公共区</w:t>
            </w: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保洁车干净、完好、摆放整齐</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地面干净无果壳、烟蒂等杂物，无污渍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玻璃、镜面干净、无水渍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窗台、窗框、窗槽干净、无污渍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开关、插座无灰尘、无污渍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扶手、栏杆、无灰尘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楼梯干净无杂物、无污渍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烟灰桶、垃圾桶无污渍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垃圾袋更换及时无垃圾溢出现象</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天花板、高处设施、壁架无灰尘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标示牌、宣传画框无明显灰尘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墙面无灰尘、无明显污迹</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金属拉手、龙头无灰尘、无水印、无污渍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门板无灰尘、无污渍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家具无灰尘</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不锈钢设施光亮无痕印、无污渍</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293"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无蜘蛛网</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外围干净无烟头、垃圾等明显杂物</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垃圾站、清运车、垃圾桶等设施干净无异味</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restart"/>
            <w:tcBorders>
              <w:top w:val="nil"/>
              <w:left w:val="single" w:color="auto" w:sz="4" w:space="0"/>
              <w:bottom w:val="single" w:color="auto" w:sz="4" w:space="0"/>
              <w:right w:val="single" w:color="auto" w:sz="4" w:space="0"/>
            </w:tcBorders>
            <w:shd w:val="clear" w:color="auto" w:fill="auto"/>
            <w:vAlign w:val="center"/>
          </w:tcPr>
          <w:p>
            <w:pPr>
              <w:spacing w:after="240" w:line="360" w:lineRule="auto"/>
              <w:jc w:val="center"/>
              <w:rPr>
                <w:rFonts w:ascii="宋体" w:hAnsi="宋体" w:cs="宋体"/>
                <w:sz w:val="24"/>
                <w:szCs w:val="24"/>
              </w:rPr>
            </w:pPr>
            <w:r>
              <w:rPr>
                <w:rFonts w:hint="eastAsia" w:ascii="宋体" w:hAnsi="宋体" w:cs="宋体"/>
                <w:sz w:val="24"/>
                <w:szCs w:val="24"/>
              </w:rPr>
              <w:t xml:space="preserve">消毒隔离 操作规范 </w:t>
            </w: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清洁工具是否分区域使用</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消毒液是否按规定配制</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是否了解医院消毒隔离规定</w:t>
            </w:r>
          </w:p>
        </w:tc>
        <w:tc>
          <w:tcPr>
            <w:tcW w:w="755"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nil"/>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是否按规定进行手部清洁消毒</w:t>
            </w:r>
          </w:p>
        </w:tc>
        <w:tc>
          <w:tcPr>
            <w:tcW w:w="75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1304"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4"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是否按要求正确使用工具、设备</w:t>
            </w:r>
          </w:p>
        </w:tc>
        <w:tc>
          <w:tcPr>
            <w:tcW w:w="75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707"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sz w:val="24"/>
                <w:szCs w:val="24"/>
              </w:rPr>
            </w:pPr>
          </w:p>
        </w:tc>
      </w:tr>
      <w:tr>
        <w:tblPrEx>
          <w:tblLayout w:type="fixed"/>
          <w:tblCellMar>
            <w:top w:w="0" w:type="dxa"/>
            <w:left w:w="108" w:type="dxa"/>
            <w:bottom w:w="0" w:type="dxa"/>
            <w:right w:w="108" w:type="dxa"/>
          </w:tblCellMar>
        </w:tblPrEx>
        <w:trPr>
          <w:trHeight w:val="170" w:hRule="atLeast"/>
        </w:trPr>
        <w:tc>
          <w:tcPr>
            <w:tcW w:w="719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合计得分</w:t>
            </w:r>
          </w:p>
        </w:tc>
        <w:tc>
          <w:tcPr>
            <w:tcW w:w="755" w:type="dxa"/>
            <w:tcBorders>
              <w:top w:val="single" w:color="auto" w:sz="4" w:space="0"/>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100</w:t>
            </w:r>
          </w:p>
        </w:tc>
        <w:tc>
          <w:tcPr>
            <w:tcW w:w="707"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sz w:val="24"/>
                <w:szCs w:val="24"/>
              </w:rPr>
            </w:pPr>
          </w:p>
        </w:tc>
      </w:tr>
    </w:tbl>
    <w:tbl>
      <w:tblPr>
        <w:tblStyle w:val="43"/>
        <w:tblpPr w:leftFromText="180" w:rightFromText="180" w:vertAnchor="page" w:horzAnchor="margin" w:tblpX="80" w:tblpY="1876"/>
        <w:tblW w:w="8648" w:type="dxa"/>
        <w:tblInd w:w="0" w:type="dxa"/>
        <w:tblLayout w:type="fixed"/>
        <w:tblCellMar>
          <w:top w:w="0" w:type="dxa"/>
          <w:left w:w="108" w:type="dxa"/>
          <w:bottom w:w="0" w:type="dxa"/>
          <w:right w:w="108" w:type="dxa"/>
        </w:tblCellMar>
      </w:tblPr>
      <w:tblGrid>
        <w:gridCol w:w="1338"/>
        <w:gridCol w:w="5892"/>
        <w:gridCol w:w="709"/>
        <w:gridCol w:w="709"/>
      </w:tblGrid>
      <w:tr>
        <w:tblPrEx>
          <w:tblLayout w:type="fixed"/>
          <w:tblCellMar>
            <w:top w:w="0" w:type="dxa"/>
            <w:left w:w="108" w:type="dxa"/>
            <w:bottom w:w="0" w:type="dxa"/>
            <w:right w:w="108" w:type="dxa"/>
          </w:tblCellMar>
        </w:tblPrEx>
        <w:trPr>
          <w:trHeight w:val="615" w:hRule="atLeast"/>
        </w:trPr>
        <w:tc>
          <w:tcPr>
            <w:tcW w:w="8648" w:type="dxa"/>
            <w:gridSpan w:val="4"/>
            <w:tcBorders>
              <w:top w:val="nil"/>
              <w:left w:val="nil"/>
              <w:bottom w:val="single" w:color="auto" w:sz="4" w:space="0"/>
              <w:right w:val="nil"/>
            </w:tcBorders>
            <w:shd w:val="clear" w:color="auto" w:fill="auto"/>
            <w:noWrap/>
            <w:vAlign w:val="center"/>
          </w:tcPr>
          <w:p>
            <w:pPr>
              <w:spacing w:line="360" w:lineRule="auto"/>
              <w:jc w:val="left"/>
              <w:rPr>
                <w:rFonts w:ascii="宋体" w:hAnsi="宋体" w:cs="宋体"/>
                <w:sz w:val="24"/>
                <w:szCs w:val="24"/>
              </w:rPr>
            </w:pPr>
            <w:r>
              <w:rPr>
                <w:rFonts w:hint="eastAsia" w:ascii="宋体" w:hAnsi="宋体" w:cs="宋体"/>
                <w:sz w:val="24"/>
                <w:szCs w:val="24"/>
              </w:rPr>
              <w:t>附件二：中央运送考核检查表</w:t>
            </w:r>
          </w:p>
        </w:tc>
      </w:tr>
      <w:tr>
        <w:tblPrEx>
          <w:tblLayout w:type="fixed"/>
          <w:tblCellMar>
            <w:top w:w="0" w:type="dxa"/>
            <w:left w:w="108" w:type="dxa"/>
            <w:bottom w:w="0" w:type="dxa"/>
            <w:right w:w="108" w:type="dxa"/>
          </w:tblCellMar>
        </w:tblPrEx>
        <w:trPr>
          <w:trHeight w:val="416" w:hRule="atLeast"/>
        </w:trPr>
        <w:tc>
          <w:tcPr>
            <w:tcW w:w="723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考核内容</w:t>
            </w:r>
          </w:p>
        </w:tc>
        <w:tc>
          <w:tcPr>
            <w:tcW w:w="709"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分值</w:t>
            </w:r>
          </w:p>
        </w:tc>
        <w:tc>
          <w:tcPr>
            <w:tcW w:w="709" w:type="dxa"/>
            <w:tcBorders>
              <w:top w:val="nil"/>
              <w:left w:val="nil"/>
              <w:bottom w:val="single" w:color="auto" w:sz="4" w:space="0"/>
              <w:right w:val="single" w:color="auto" w:sz="4" w:space="0"/>
            </w:tcBorders>
            <w:shd w:val="clear" w:color="auto" w:fill="auto"/>
            <w:noWrap/>
            <w:vAlign w:val="center"/>
          </w:tcPr>
          <w:p>
            <w:pPr>
              <w:spacing w:line="360" w:lineRule="auto"/>
              <w:jc w:val="center"/>
              <w:rPr>
                <w:rFonts w:ascii="宋体" w:hAnsi="宋体" w:cs="宋体"/>
                <w:sz w:val="24"/>
                <w:szCs w:val="24"/>
              </w:rPr>
            </w:pPr>
            <w:r>
              <w:rPr>
                <w:rFonts w:hint="eastAsia" w:ascii="宋体" w:hAnsi="宋体" w:cs="宋体"/>
                <w:sz w:val="24"/>
                <w:szCs w:val="24"/>
              </w:rPr>
              <w:t>得分</w:t>
            </w:r>
          </w:p>
        </w:tc>
      </w:tr>
      <w:tr>
        <w:tblPrEx>
          <w:tblLayout w:type="fixed"/>
          <w:tblCellMar>
            <w:top w:w="0" w:type="dxa"/>
            <w:left w:w="108" w:type="dxa"/>
            <w:bottom w:w="0" w:type="dxa"/>
            <w:right w:w="108" w:type="dxa"/>
          </w:tblCellMar>
        </w:tblPrEx>
        <w:trPr>
          <w:trHeight w:val="113" w:hRule="atLeast"/>
        </w:trPr>
        <w:tc>
          <w:tcPr>
            <w:tcW w:w="1338"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服务水平</w:t>
            </w:r>
            <w:r>
              <w:rPr>
                <w:rFonts w:hint="eastAsia" w:ascii="宋体" w:hAnsi="宋体" w:cs="宋体"/>
                <w:sz w:val="24"/>
                <w:szCs w:val="24"/>
              </w:rPr>
              <w:br w:type="textWrapping"/>
            </w:r>
            <w:r>
              <w:rPr>
                <w:rFonts w:hint="eastAsia" w:ascii="宋体" w:hAnsi="宋体" w:cs="宋体"/>
                <w:sz w:val="24"/>
                <w:szCs w:val="24"/>
              </w:rPr>
              <w:t>（10分）</w:t>
            </w: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中央运输人员足额，执行运送时间到位。</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4</w:t>
            </w:r>
          </w:p>
        </w:tc>
        <w:tc>
          <w:tcPr>
            <w:tcW w:w="709"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在规定服务时间内全体中央运输人员着装统一，佩戴胸卡；</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9"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中央运输工作有计划流程，运送注意事项；</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709" w:type="dxa"/>
            <w:tcBorders>
              <w:top w:val="nil"/>
              <w:left w:val="nil"/>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运送服务</w:t>
            </w:r>
            <w:r>
              <w:rPr>
                <w:rFonts w:hint="eastAsia" w:ascii="宋体" w:hAnsi="宋体" w:cs="宋体"/>
                <w:sz w:val="24"/>
                <w:szCs w:val="24"/>
              </w:rPr>
              <w:br w:type="textWrapping"/>
            </w:r>
            <w:r>
              <w:rPr>
                <w:rFonts w:hint="eastAsia" w:ascii="宋体" w:hAnsi="宋体" w:cs="宋体"/>
                <w:sz w:val="24"/>
                <w:szCs w:val="24"/>
              </w:rPr>
              <w:t>要求</w:t>
            </w:r>
            <w:r>
              <w:rPr>
                <w:rFonts w:hint="eastAsia" w:ascii="宋体" w:hAnsi="宋体" w:cs="宋体"/>
                <w:sz w:val="24"/>
                <w:szCs w:val="24"/>
              </w:rPr>
              <w:br w:type="textWrapping"/>
            </w:r>
            <w:r>
              <w:rPr>
                <w:rFonts w:hint="eastAsia" w:ascii="宋体" w:hAnsi="宋体" w:cs="宋体"/>
                <w:sz w:val="24"/>
                <w:szCs w:val="24"/>
              </w:rPr>
              <w:t>（70分）</w:t>
            </w: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礼貌接待科室需求电话并做好记录，根据急、缓接受任务</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各项化验标准交接必须履行签字手续，做到三查四对。</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8</w:t>
            </w:r>
          </w:p>
        </w:tc>
        <w:tc>
          <w:tcPr>
            <w:tcW w:w="709"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推送病人陪检工作，在运输的过程中（轮椅、平板车）都应系安全带，防止病人摔伤。</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8</w:t>
            </w:r>
          </w:p>
        </w:tc>
        <w:tc>
          <w:tcPr>
            <w:tcW w:w="709"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危重病人的接送，必须有医护人员在场，（ICU、手术后等病人）不得凭感觉私自推送危重病人做各项检查；（如医护人员不配合报告运输中心）。</w:t>
            </w:r>
          </w:p>
        </w:tc>
        <w:tc>
          <w:tcPr>
            <w:tcW w:w="709" w:type="dxa"/>
            <w:tcBorders>
              <w:top w:val="nil"/>
              <w:left w:val="nil"/>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推送病人过程中，如遇有心电监护仪、起搏器、输液泵等仪器设备，应与科室进行交接签字。</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运送过程中严格按照运送注意事项进行，不得因工作疏忽导致病人各种管道脱落等的二次伤害。</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在运送过程中不得与病人及病人家属谈判，索要红包等，影响医院形象。</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在运送标本等过程中，故意拖延时间，不接受其他工作安排，偷奸耍滑，工作期间打私话、聊天等，被领导查实后。</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6</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运送各类标本等，不按医院规定使用固定容器运输，导致标本损坏或者被污染；</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7</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中央运输值班电话保持24小时畅通，如有线路故障应立即报告，或者故意让电话处于占线状态。</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7</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值班期间，发生不守工作纪律，值班期间睡觉等，做与工作无关的事项，查实处罚。</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restart"/>
            <w:tcBorders>
              <w:top w:val="nil"/>
              <w:left w:val="single" w:color="auto" w:sz="4" w:space="0"/>
              <w:bottom w:val="single" w:color="000000"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操作规程</w:t>
            </w:r>
            <w:r>
              <w:rPr>
                <w:rFonts w:hint="eastAsia" w:ascii="宋体" w:hAnsi="宋体" w:cs="宋体"/>
                <w:sz w:val="24"/>
                <w:szCs w:val="24"/>
              </w:rPr>
              <w:br w:type="textWrapping"/>
            </w:r>
            <w:r>
              <w:rPr>
                <w:rFonts w:hint="eastAsia" w:ascii="宋体" w:hAnsi="宋体" w:cs="宋体"/>
                <w:sz w:val="24"/>
                <w:szCs w:val="24"/>
              </w:rPr>
              <w:t>（10分）</w:t>
            </w: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管理员在管理过程中及时与科护士长进行有效沟通，及时落实整改存在的问题；</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000000"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严格执行公司规章制度，上班期间严禁酗酒、抽烟、看报、大声喧哗等；</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restart"/>
            <w:tcBorders>
              <w:top w:val="nil"/>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内部管理</w:t>
            </w:r>
            <w:r>
              <w:rPr>
                <w:rFonts w:hint="eastAsia" w:ascii="宋体" w:hAnsi="宋体" w:cs="宋体"/>
                <w:sz w:val="24"/>
                <w:szCs w:val="24"/>
              </w:rPr>
              <w:br w:type="textWrapping"/>
            </w:r>
            <w:r>
              <w:rPr>
                <w:rFonts w:hint="eastAsia" w:ascii="宋体" w:hAnsi="宋体" w:cs="宋体"/>
                <w:sz w:val="24"/>
                <w:szCs w:val="24"/>
              </w:rPr>
              <w:t>（10分）</w:t>
            </w: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中央运输人员教育、培训、管理到位，未损害客户利益，未造成不良影响。</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709" w:type="dxa"/>
            <w:tcBorders>
              <w:top w:val="nil"/>
              <w:left w:val="single" w:color="auto" w:sz="4" w:space="0"/>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vMerge w:val="continue"/>
            <w:tcBorders>
              <w:top w:val="nil"/>
              <w:left w:val="single" w:color="auto" w:sz="4" w:space="0"/>
              <w:bottom w:val="single" w:color="auto" w:sz="4" w:space="0"/>
              <w:right w:val="single" w:color="auto" w:sz="4" w:space="0"/>
            </w:tcBorders>
            <w:vAlign w:val="center"/>
          </w:tcPr>
          <w:p>
            <w:pPr>
              <w:spacing w:line="360" w:lineRule="auto"/>
              <w:rPr>
                <w:rFonts w:ascii="宋体" w:hAnsi="宋体" w:cs="宋体"/>
                <w:sz w:val="24"/>
                <w:szCs w:val="24"/>
              </w:rPr>
            </w:pPr>
          </w:p>
        </w:tc>
        <w:tc>
          <w:tcPr>
            <w:tcW w:w="5892" w:type="dxa"/>
            <w:tcBorders>
              <w:top w:val="nil"/>
              <w:left w:val="nil"/>
              <w:bottom w:val="single" w:color="auto" w:sz="4" w:space="0"/>
              <w:right w:val="single" w:color="auto" w:sz="4" w:space="0"/>
            </w:tcBorders>
            <w:shd w:val="clear" w:color="auto" w:fill="auto"/>
            <w:vAlign w:val="center"/>
          </w:tcPr>
          <w:p>
            <w:pPr>
              <w:spacing w:line="360" w:lineRule="auto"/>
              <w:rPr>
                <w:rFonts w:ascii="宋体" w:hAnsi="宋体" w:cs="宋体"/>
                <w:sz w:val="24"/>
                <w:szCs w:val="24"/>
              </w:rPr>
            </w:pPr>
            <w:r>
              <w:rPr>
                <w:rFonts w:hint="eastAsia" w:ascii="宋体" w:hAnsi="宋体" w:cs="宋体"/>
                <w:sz w:val="24"/>
                <w:szCs w:val="24"/>
              </w:rPr>
              <w:t>中央运输人员遵章守纪，无盗窃等行为。</w:t>
            </w:r>
          </w:p>
        </w:tc>
        <w:tc>
          <w:tcPr>
            <w:tcW w:w="709" w:type="dxa"/>
            <w:tcBorders>
              <w:top w:val="nil"/>
              <w:left w:val="nil"/>
              <w:bottom w:val="single" w:color="auto" w:sz="4" w:space="0"/>
              <w:right w:val="nil"/>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113" w:hRule="atLeast"/>
        </w:trPr>
        <w:tc>
          <w:tcPr>
            <w:tcW w:w="1338"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cs="宋体"/>
                <w:sz w:val="24"/>
                <w:szCs w:val="24"/>
              </w:rPr>
            </w:pPr>
            <w:r>
              <w:rPr>
                <w:rFonts w:hint="eastAsia" w:ascii="宋体" w:hAnsi="宋体" w:cs="宋体"/>
                <w:sz w:val="24"/>
                <w:szCs w:val="24"/>
              </w:rPr>
              <w:t>合计得分</w:t>
            </w:r>
          </w:p>
        </w:tc>
        <w:tc>
          <w:tcPr>
            <w:tcW w:w="5892" w:type="dxa"/>
            <w:tcBorders>
              <w:top w:val="nil"/>
              <w:left w:val="nil"/>
              <w:bottom w:val="single" w:color="auto" w:sz="8" w:space="0"/>
              <w:right w:val="single" w:color="auto" w:sz="8" w:space="0"/>
            </w:tcBorders>
            <w:shd w:val="clear" w:color="auto" w:fill="auto"/>
            <w:noWrap/>
            <w:vAlign w:val="center"/>
          </w:tcPr>
          <w:p>
            <w:pPr>
              <w:spacing w:line="360" w:lineRule="auto"/>
              <w:jc w:val="center"/>
              <w:rPr>
                <w:rFonts w:ascii="宋体" w:hAnsi="宋体" w:cs="宋体"/>
                <w:sz w:val="24"/>
                <w:szCs w:val="24"/>
              </w:rPr>
            </w:pPr>
          </w:p>
        </w:tc>
        <w:tc>
          <w:tcPr>
            <w:tcW w:w="709" w:type="dxa"/>
            <w:tcBorders>
              <w:top w:val="nil"/>
              <w:left w:val="nil"/>
              <w:bottom w:val="single" w:color="auto" w:sz="8" w:space="0"/>
              <w:right w:val="nil"/>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100</w:t>
            </w:r>
          </w:p>
        </w:tc>
        <w:tc>
          <w:tcPr>
            <w:tcW w:w="709" w:type="dxa"/>
            <w:tcBorders>
              <w:top w:val="nil"/>
              <w:left w:val="single" w:color="auto" w:sz="4" w:space="0"/>
              <w:bottom w:val="single" w:color="auto" w:sz="4" w:space="0"/>
              <w:right w:val="single" w:color="auto" w:sz="4" w:space="0"/>
            </w:tcBorders>
            <w:shd w:val="clear" w:color="auto" w:fill="auto"/>
            <w:noWrap/>
            <w:vAlign w:val="center"/>
          </w:tcPr>
          <w:p>
            <w:pPr>
              <w:spacing w:line="360" w:lineRule="auto"/>
              <w:rPr>
                <w:rFonts w:ascii="宋体" w:hAnsi="宋体" w:cs="宋体"/>
                <w:sz w:val="24"/>
                <w:szCs w:val="24"/>
              </w:rPr>
            </w:pPr>
            <w:r>
              <w:rPr>
                <w:rFonts w:hint="eastAsia" w:ascii="宋体" w:hAnsi="宋体" w:cs="宋体"/>
                <w:sz w:val="24"/>
                <w:szCs w:val="24"/>
              </w:rPr>
              <w:t>　</w:t>
            </w:r>
          </w:p>
        </w:tc>
      </w:tr>
    </w:tbl>
    <w:tbl>
      <w:tblPr>
        <w:tblStyle w:val="43"/>
        <w:tblW w:w="8755" w:type="dxa"/>
        <w:tblInd w:w="0" w:type="dxa"/>
        <w:tblLayout w:type="fixed"/>
        <w:tblCellMar>
          <w:top w:w="0" w:type="dxa"/>
          <w:left w:w="108" w:type="dxa"/>
          <w:bottom w:w="0" w:type="dxa"/>
          <w:right w:w="108" w:type="dxa"/>
        </w:tblCellMar>
      </w:tblPr>
      <w:tblGrid>
        <w:gridCol w:w="966"/>
        <w:gridCol w:w="4104"/>
        <w:gridCol w:w="850"/>
        <w:gridCol w:w="290"/>
        <w:gridCol w:w="561"/>
        <w:gridCol w:w="290"/>
        <w:gridCol w:w="418"/>
        <w:gridCol w:w="290"/>
        <w:gridCol w:w="986"/>
      </w:tblGrid>
      <w:tr>
        <w:tblPrEx>
          <w:tblLayout w:type="fixed"/>
          <w:tblCellMar>
            <w:top w:w="0" w:type="dxa"/>
            <w:left w:w="108" w:type="dxa"/>
            <w:bottom w:w="0" w:type="dxa"/>
            <w:right w:w="108" w:type="dxa"/>
          </w:tblCellMar>
        </w:tblPrEx>
        <w:trPr>
          <w:trHeight w:val="465" w:hRule="atLeast"/>
        </w:trPr>
        <w:tc>
          <w:tcPr>
            <w:tcW w:w="5070" w:type="dxa"/>
            <w:gridSpan w:val="2"/>
            <w:tcBorders>
              <w:top w:val="nil"/>
              <w:left w:val="nil"/>
              <w:bottom w:val="single" w:color="auto" w:sz="4" w:space="0"/>
              <w:right w:val="nil"/>
            </w:tcBorders>
            <w:vAlign w:val="center"/>
          </w:tcPr>
          <w:p>
            <w:pPr>
              <w:widowControl/>
              <w:spacing w:line="360" w:lineRule="auto"/>
              <w:jc w:val="left"/>
              <w:rPr>
                <w:rFonts w:ascii="宋体" w:hAnsi="宋体" w:cs="宋体"/>
                <w:kern w:val="0"/>
                <w:sz w:val="24"/>
                <w:szCs w:val="24"/>
              </w:rPr>
            </w:pPr>
            <w:r>
              <w:rPr>
                <w:rFonts w:hint="eastAsia" w:ascii="宋体" w:hAnsi="宋体" w:cs="宋体"/>
                <w:sz w:val="24"/>
                <w:szCs w:val="24"/>
              </w:rPr>
              <w:t>附件3：物业服务满意度调查表（临床科室）</w:t>
            </w:r>
          </w:p>
        </w:tc>
        <w:tc>
          <w:tcPr>
            <w:tcW w:w="1140" w:type="dxa"/>
            <w:gridSpan w:val="2"/>
            <w:tcBorders>
              <w:top w:val="nil"/>
              <w:left w:val="nil"/>
              <w:bottom w:val="nil"/>
              <w:right w:val="nil"/>
            </w:tcBorders>
            <w:vAlign w:val="center"/>
          </w:tcPr>
          <w:p>
            <w:pPr>
              <w:widowControl/>
              <w:spacing w:line="360" w:lineRule="auto"/>
              <w:jc w:val="center"/>
              <w:rPr>
                <w:rFonts w:ascii="宋体" w:hAnsi="宋体" w:cs="宋体"/>
                <w:kern w:val="0"/>
                <w:sz w:val="24"/>
                <w:szCs w:val="24"/>
              </w:rPr>
            </w:pPr>
          </w:p>
        </w:tc>
        <w:tc>
          <w:tcPr>
            <w:tcW w:w="851" w:type="dxa"/>
            <w:gridSpan w:val="2"/>
            <w:tcBorders>
              <w:top w:val="nil"/>
              <w:left w:val="nil"/>
              <w:bottom w:val="nil"/>
              <w:right w:val="nil"/>
            </w:tcBorders>
            <w:vAlign w:val="center"/>
          </w:tcPr>
          <w:p>
            <w:pPr>
              <w:widowControl/>
              <w:spacing w:line="360" w:lineRule="auto"/>
              <w:jc w:val="center"/>
              <w:rPr>
                <w:rFonts w:ascii="宋体" w:hAnsi="宋体" w:cs="宋体"/>
                <w:kern w:val="0"/>
                <w:sz w:val="24"/>
                <w:szCs w:val="24"/>
              </w:rPr>
            </w:pPr>
          </w:p>
        </w:tc>
        <w:tc>
          <w:tcPr>
            <w:tcW w:w="708" w:type="dxa"/>
            <w:gridSpan w:val="2"/>
            <w:tcBorders>
              <w:top w:val="nil"/>
              <w:left w:val="nil"/>
              <w:bottom w:val="nil"/>
              <w:right w:val="nil"/>
            </w:tcBorders>
            <w:vAlign w:val="center"/>
          </w:tcPr>
          <w:p>
            <w:pPr>
              <w:widowControl/>
              <w:spacing w:line="360" w:lineRule="auto"/>
              <w:jc w:val="center"/>
              <w:rPr>
                <w:rFonts w:ascii="宋体" w:hAnsi="宋体" w:cs="宋体"/>
                <w:kern w:val="0"/>
                <w:sz w:val="24"/>
                <w:szCs w:val="24"/>
              </w:rPr>
            </w:pPr>
          </w:p>
        </w:tc>
        <w:tc>
          <w:tcPr>
            <w:tcW w:w="986" w:type="dxa"/>
            <w:tcBorders>
              <w:top w:val="nil"/>
              <w:left w:val="nil"/>
              <w:bottom w:val="nil"/>
              <w:right w:val="nil"/>
            </w:tcBorders>
            <w:vAlign w:val="center"/>
          </w:tcPr>
          <w:p>
            <w:pPr>
              <w:widowControl/>
              <w:spacing w:line="360" w:lineRule="auto"/>
              <w:jc w:val="center"/>
              <w:rPr>
                <w:rFonts w:ascii="宋体" w:hAnsi="宋体" w:cs="宋体"/>
                <w:kern w:val="0"/>
                <w:sz w:val="24"/>
                <w:szCs w:val="24"/>
              </w:rPr>
            </w:pPr>
          </w:p>
        </w:tc>
      </w:tr>
      <w:tr>
        <w:tblPrEx>
          <w:tblLayout w:type="fixed"/>
          <w:tblCellMar>
            <w:top w:w="0" w:type="dxa"/>
            <w:left w:w="108" w:type="dxa"/>
            <w:bottom w:w="0" w:type="dxa"/>
            <w:right w:w="108" w:type="dxa"/>
          </w:tblCellMar>
        </w:tblPrEx>
        <w:trPr>
          <w:trHeight w:val="271" w:hRule="atLeast"/>
        </w:trPr>
        <w:tc>
          <w:tcPr>
            <w:tcW w:w="50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部门名称：</w:t>
            </w:r>
          </w:p>
        </w:tc>
        <w:tc>
          <w:tcPr>
            <w:tcW w:w="3685" w:type="dxa"/>
            <w:gridSpan w:val="7"/>
            <w:tcBorders>
              <w:top w:val="single" w:color="auto" w:sz="4" w:space="0"/>
              <w:left w:val="nil"/>
              <w:bottom w:val="single" w:color="auto" w:sz="4" w:space="0"/>
              <w:right w:val="single" w:color="000000"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调查时间：</w:t>
            </w:r>
          </w:p>
        </w:tc>
      </w:tr>
      <w:tr>
        <w:tblPrEx>
          <w:tblLayout w:type="fixed"/>
          <w:tblCellMar>
            <w:top w:w="0" w:type="dxa"/>
            <w:left w:w="108" w:type="dxa"/>
            <w:bottom w:w="0" w:type="dxa"/>
            <w:right w:w="108" w:type="dxa"/>
          </w:tblCellMar>
        </w:tblPrEx>
        <w:trPr>
          <w:trHeight w:val="942" w:hRule="atLeast"/>
        </w:trPr>
        <w:tc>
          <w:tcPr>
            <w:tcW w:w="8755"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xml:space="preserve">    首先，感谢您参与本次调查！我们保证您所填写的信息都将作保密处理，希望您能和我们进行真诚、坦率的交流。调查表分为满意程度和主观评价两部分，请根据您对物业公司工作现状进行满意度打分，请您在满意程度选项上打钩。</w:t>
            </w:r>
          </w:p>
        </w:tc>
      </w:tr>
      <w:tr>
        <w:tblPrEx>
          <w:tblLayout w:type="fixed"/>
          <w:tblCellMar>
            <w:top w:w="0" w:type="dxa"/>
            <w:left w:w="108" w:type="dxa"/>
            <w:bottom w:w="0" w:type="dxa"/>
            <w:right w:w="108" w:type="dxa"/>
          </w:tblCellMar>
        </w:tblPrEx>
        <w:trPr>
          <w:trHeight w:val="375"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3685" w:type="dxa"/>
            <w:gridSpan w:val="7"/>
            <w:tcBorders>
              <w:top w:val="single" w:color="auto" w:sz="4" w:space="0"/>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满意程度</w:t>
            </w:r>
          </w:p>
        </w:tc>
      </w:tr>
      <w:tr>
        <w:tblPrEx>
          <w:tblLayout w:type="fixed"/>
          <w:tblCellMar>
            <w:top w:w="0" w:type="dxa"/>
            <w:left w:w="108" w:type="dxa"/>
            <w:bottom w:w="0" w:type="dxa"/>
            <w:right w:w="108" w:type="dxa"/>
          </w:tblCellMar>
        </w:tblPrEx>
        <w:trPr>
          <w:trHeight w:val="51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 xml:space="preserve">满意   </w:t>
            </w:r>
          </w:p>
          <w:p>
            <w:pPr>
              <w:widowControl/>
              <w:spacing w:line="360" w:lineRule="auto"/>
              <w:jc w:val="center"/>
              <w:rPr>
                <w:rFonts w:ascii="宋体" w:hAnsi="宋体" w:cs="宋体"/>
                <w:sz w:val="24"/>
                <w:szCs w:val="24"/>
              </w:rPr>
            </w:pPr>
            <w:r>
              <w:rPr>
                <w:rFonts w:hint="eastAsia" w:ascii="宋体" w:hAnsi="宋体" w:cs="宋体"/>
                <w:sz w:val="24"/>
                <w:szCs w:val="24"/>
              </w:rPr>
              <w:t>5分</w:t>
            </w:r>
          </w:p>
        </w:tc>
        <w:tc>
          <w:tcPr>
            <w:tcW w:w="851"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较满意   3分</w:t>
            </w:r>
          </w:p>
        </w:tc>
        <w:tc>
          <w:tcPr>
            <w:tcW w:w="708"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一般     1分</w:t>
            </w:r>
          </w:p>
        </w:tc>
        <w:tc>
          <w:tcPr>
            <w:tcW w:w="1276" w:type="dxa"/>
            <w:gridSpan w:val="2"/>
            <w:tcBorders>
              <w:top w:val="nil"/>
              <w:left w:val="nil"/>
              <w:bottom w:val="single" w:color="auto" w:sz="4" w:space="0"/>
              <w:right w:val="single" w:color="auto" w:sz="4" w:space="0"/>
            </w:tcBorders>
            <w:vAlign w:val="center"/>
          </w:tcPr>
          <w:p>
            <w:pPr>
              <w:widowControl/>
              <w:spacing w:line="360" w:lineRule="auto"/>
              <w:jc w:val="center"/>
              <w:rPr>
                <w:rFonts w:ascii="宋体" w:hAnsi="宋体" w:cs="宋体"/>
                <w:sz w:val="24"/>
                <w:szCs w:val="24"/>
              </w:rPr>
            </w:pPr>
            <w:r>
              <w:rPr>
                <w:rFonts w:hint="eastAsia" w:ascii="宋体" w:hAnsi="宋体" w:cs="宋体"/>
                <w:sz w:val="24"/>
                <w:szCs w:val="24"/>
              </w:rPr>
              <w:t xml:space="preserve">不满意  </w:t>
            </w:r>
          </w:p>
          <w:p>
            <w:pPr>
              <w:widowControl/>
              <w:spacing w:line="360" w:lineRule="auto"/>
              <w:jc w:val="center"/>
              <w:rPr>
                <w:rFonts w:ascii="宋体" w:hAnsi="宋体" w:cs="宋体"/>
                <w:sz w:val="24"/>
                <w:szCs w:val="24"/>
              </w:rPr>
            </w:pPr>
            <w:r>
              <w:rPr>
                <w:rFonts w:hint="eastAsia" w:ascii="宋体" w:hAnsi="宋体" w:cs="宋体"/>
                <w:sz w:val="24"/>
                <w:szCs w:val="24"/>
              </w:rPr>
              <w:t xml:space="preserve"> 0分</w:t>
            </w:r>
          </w:p>
        </w:tc>
      </w:tr>
      <w:tr>
        <w:tblPrEx>
          <w:tblLayout w:type="fixed"/>
          <w:tblCellMar>
            <w:top w:w="0" w:type="dxa"/>
            <w:left w:w="108" w:type="dxa"/>
            <w:bottom w:w="0" w:type="dxa"/>
            <w:right w:w="108" w:type="dxa"/>
          </w:tblCellMar>
        </w:tblPrEx>
        <w:trPr>
          <w:trHeight w:val="360" w:hRule="atLeast"/>
        </w:trPr>
        <w:tc>
          <w:tcPr>
            <w:tcW w:w="8755"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xml:space="preserve">   一.运送部</w:t>
            </w:r>
          </w:p>
        </w:tc>
      </w:tr>
      <w:tr>
        <w:tblPrEx>
          <w:tblLayout w:type="fixed"/>
          <w:tblCellMar>
            <w:top w:w="0" w:type="dxa"/>
            <w:left w:w="108" w:type="dxa"/>
            <w:bottom w:w="0" w:type="dxa"/>
            <w:right w:w="108" w:type="dxa"/>
          </w:tblCellMar>
        </w:tblPrEx>
        <w:trPr>
          <w:trHeight w:val="296"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1</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发送员职业形象：服装整洁、挂牌上岗，不抽烟</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275"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2</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接听电话及指令的态度</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3</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有效沟通、文明用语、不大声喧哗</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4</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安全意识、服务意识、工作责任感</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5</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接送病人、标本、单子、药物的及时性</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6</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发送程序规范性，接送病人、标本、单子、药物的准确性，准确率≧99%</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34"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7</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接送病人、标本、单子、药物的应急能力</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271"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8</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平车、轮椅维护、清洁、消毒，使用后定位放置</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502"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9</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与护士及其他工作人员的配合</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10</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对运送部工作的总体评价</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60" w:hRule="atLeast"/>
        </w:trPr>
        <w:tc>
          <w:tcPr>
            <w:tcW w:w="8755" w:type="dxa"/>
            <w:gridSpan w:val="9"/>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xml:space="preserve">   二.保洁部</w:t>
            </w:r>
          </w:p>
        </w:tc>
      </w:tr>
      <w:tr>
        <w:tblPrEx>
          <w:tblLayout w:type="fixed"/>
          <w:tblCellMar>
            <w:top w:w="0" w:type="dxa"/>
            <w:left w:w="108" w:type="dxa"/>
            <w:bottom w:w="0" w:type="dxa"/>
            <w:right w:w="108" w:type="dxa"/>
          </w:tblCellMar>
        </w:tblPrEx>
        <w:trPr>
          <w:trHeight w:val="33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1</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保洁员职业形象：服装整洁、挂牌上岗</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15"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2</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态度和蔼举止得体，不穿拖鞋、不抽烟、文明用语，不大声喧哗</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3</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安全意识、服务意识、工作责任感</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4</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环境整洁、舒适、安全、洁具存放处无私人物品</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15" w:hRule="atLeast"/>
        </w:trPr>
        <w:tc>
          <w:tcPr>
            <w:tcW w:w="966" w:type="dxa"/>
            <w:tcBorders>
              <w:top w:val="nil"/>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5</w:t>
            </w:r>
          </w:p>
        </w:tc>
        <w:tc>
          <w:tcPr>
            <w:tcW w:w="4104"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正确、及时使用“小心地滑”提醒牌清洁工具合理放置、正确使用 ，抹布、拖把干净、无霉味</w:t>
            </w:r>
          </w:p>
        </w:tc>
        <w:tc>
          <w:tcPr>
            <w:tcW w:w="850" w:type="dxa"/>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15"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6</w:t>
            </w:r>
          </w:p>
        </w:tc>
        <w:tc>
          <w:tcPr>
            <w:tcW w:w="41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xml:space="preserve">利器盒、垃圾桶内容物不超过盒内3/4 </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7</w:t>
            </w:r>
          </w:p>
        </w:tc>
        <w:tc>
          <w:tcPr>
            <w:tcW w:w="41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消毒液配制方法正确、合理存放、消毒液记录开启时间</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8</w:t>
            </w:r>
          </w:p>
        </w:tc>
        <w:tc>
          <w:tcPr>
            <w:tcW w:w="41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区域内的设施、洁具破损及时报告</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9</w:t>
            </w:r>
          </w:p>
        </w:tc>
        <w:tc>
          <w:tcPr>
            <w:tcW w:w="41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与护士及其他工作人员的配合</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30" w:hRule="atLeast"/>
        </w:trPr>
        <w:tc>
          <w:tcPr>
            <w:tcW w:w="96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10</w:t>
            </w:r>
          </w:p>
        </w:tc>
        <w:tc>
          <w:tcPr>
            <w:tcW w:w="410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对保洁部工作的总体评价</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70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r>
    </w:tbl>
    <w:p>
      <w:pPr>
        <w:spacing w:line="360" w:lineRule="auto"/>
        <w:jc w:val="left"/>
        <w:rPr>
          <w:rFonts w:ascii="宋体" w:hAnsi="宋体" w:cs="宋体"/>
          <w:sz w:val="24"/>
          <w:szCs w:val="24"/>
        </w:rPr>
      </w:pPr>
      <w:r>
        <w:rPr>
          <w:rFonts w:hint="eastAsia" w:ascii="宋体" w:hAnsi="宋体" w:cs="宋体"/>
          <w:sz w:val="24"/>
          <w:szCs w:val="24"/>
        </w:rPr>
        <w:t>附件4：物业服务满意度调查表（住院病人）</w:t>
      </w:r>
    </w:p>
    <w:p>
      <w:pPr>
        <w:jc w:val="right"/>
        <w:rPr>
          <w:b/>
          <w:bCs/>
        </w:rPr>
      </w:pPr>
      <w:r>
        <w:rPr>
          <w:rFonts w:hint="eastAsia"/>
          <w:b/>
          <w:bCs/>
        </w:rPr>
        <w:t xml:space="preserve">  床位号：_________</w:t>
      </w:r>
    </w:p>
    <w:tbl>
      <w:tblPr>
        <w:tblStyle w:val="43"/>
        <w:tblW w:w="8789" w:type="dxa"/>
        <w:tblInd w:w="-34" w:type="dxa"/>
        <w:tblLayout w:type="fixed"/>
        <w:tblCellMar>
          <w:top w:w="0" w:type="dxa"/>
          <w:left w:w="108" w:type="dxa"/>
          <w:bottom w:w="0" w:type="dxa"/>
          <w:right w:w="108" w:type="dxa"/>
        </w:tblCellMar>
      </w:tblPr>
      <w:tblGrid>
        <w:gridCol w:w="426"/>
        <w:gridCol w:w="425"/>
        <w:gridCol w:w="1134"/>
        <w:gridCol w:w="1701"/>
        <w:gridCol w:w="851"/>
        <w:gridCol w:w="992"/>
        <w:gridCol w:w="709"/>
        <w:gridCol w:w="850"/>
        <w:gridCol w:w="142"/>
        <w:gridCol w:w="567"/>
        <w:gridCol w:w="992"/>
      </w:tblGrid>
      <w:tr>
        <w:tblPrEx>
          <w:tblLayout w:type="fixed"/>
          <w:tblCellMar>
            <w:top w:w="0" w:type="dxa"/>
            <w:left w:w="108" w:type="dxa"/>
            <w:bottom w:w="0" w:type="dxa"/>
            <w:right w:w="108" w:type="dxa"/>
          </w:tblCellMar>
        </w:tblPrEx>
        <w:trPr>
          <w:trHeight w:val="720" w:hRule="atLeast"/>
        </w:trPr>
        <w:tc>
          <w:tcPr>
            <w:tcW w:w="5529"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运送部工作</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满意    10分</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xml:space="preserve">较满意 </w:t>
            </w:r>
          </w:p>
          <w:p>
            <w:pPr>
              <w:widowControl/>
              <w:spacing w:line="360" w:lineRule="auto"/>
              <w:jc w:val="left"/>
              <w:rPr>
                <w:rFonts w:ascii="宋体" w:hAnsi="宋体" w:cs="宋体"/>
                <w:sz w:val="24"/>
                <w:szCs w:val="24"/>
              </w:rPr>
            </w:pPr>
            <w:r>
              <w:rPr>
                <w:rFonts w:hint="eastAsia" w:ascii="宋体" w:hAnsi="宋体" w:cs="宋体"/>
                <w:sz w:val="24"/>
                <w:szCs w:val="24"/>
              </w:rPr>
              <w:t xml:space="preserve">  7分</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一般     5分</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不满意   0分</w:t>
            </w:r>
          </w:p>
        </w:tc>
      </w:tr>
      <w:tr>
        <w:tblPrEx>
          <w:tblLayout w:type="fixed"/>
          <w:tblCellMar>
            <w:top w:w="0" w:type="dxa"/>
            <w:left w:w="108" w:type="dxa"/>
            <w:bottom w:w="0" w:type="dxa"/>
            <w:right w:w="108" w:type="dxa"/>
          </w:tblCellMar>
        </w:tblPrEx>
        <w:trPr>
          <w:trHeight w:val="377" w:hRule="atLeast"/>
        </w:trPr>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1</w:t>
            </w:r>
          </w:p>
        </w:tc>
        <w:tc>
          <w:tcPr>
            <w:tcW w:w="4678" w:type="dxa"/>
            <w:gridSpan w:val="4"/>
            <w:tcBorders>
              <w:top w:val="single" w:color="auto" w:sz="4" w:space="0"/>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运送员态度亲切和善，当您有需要时能耐心为您解答</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51"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2</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运送人员带您做检查前，能做简单的说明并核对您的身份</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29"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3</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在您的转运过程中，运送人员会注重您的安全及保护您的隐私</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05"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4</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运送人员能够礼貌用语，与您进行沟通、运送人员仪表整洁，举止得体</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271"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5</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运送人员能指导您检查完毕后如何返回病房或及时护送您回病房</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403" w:hRule="atLeast"/>
        </w:trPr>
        <w:tc>
          <w:tcPr>
            <w:tcW w:w="851" w:type="dxa"/>
            <w:gridSpan w:val="2"/>
            <w:tcBorders>
              <w:top w:val="nil"/>
              <w:left w:val="single" w:color="auto" w:sz="8" w:space="0"/>
              <w:bottom w:val="single" w:color="auto" w:sz="8" w:space="0"/>
              <w:right w:val="nil"/>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4678" w:type="dxa"/>
            <w:gridSpan w:val="4"/>
            <w:tcBorders>
              <w:top w:val="nil"/>
              <w:left w:val="nil"/>
              <w:bottom w:val="single" w:color="auto" w:sz="8"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合计</w:t>
            </w:r>
          </w:p>
        </w:tc>
        <w:tc>
          <w:tcPr>
            <w:tcW w:w="709" w:type="dxa"/>
            <w:tcBorders>
              <w:top w:val="nil"/>
              <w:left w:val="nil"/>
              <w:bottom w:val="single" w:color="auto" w:sz="8"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850" w:type="dxa"/>
            <w:tcBorders>
              <w:top w:val="nil"/>
              <w:left w:val="nil"/>
              <w:bottom w:val="single" w:color="auto" w:sz="8"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709" w:type="dxa"/>
            <w:gridSpan w:val="2"/>
            <w:tcBorders>
              <w:top w:val="nil"/>
              <w:left w:val="nil"/>
              <w:bottom w:val="single" w:color="auto" w:sz="8" w:space="0"/>
              <w:right w:val="single" w:color="auto" w:sz="4"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c>
          <w:tcPr>
            <w:tcW w:w="992" w:type="dxa"/>
            <w:tcBorders>
              <w:top w:val="nil"/>
              <w:left w:val="nil"/>
              <w:bottom w:val="single" w:color="auto" w:sz="8" w:space="0"/>
              <w:right w:val="single" w:color="auto" w:sz="8" w:space="0"/>
            </w:tcBorders>
            <w:vAlign w:val="center"/>
          </w:tcPr>
          <w:p>
            <w:pPr>
              <w:widowControl/>
              <w:spacing w:line="360" w:lineRule="auto"/>
              <w:jc w:val="left"/>
              <w:rPr>
                <w:rFonts w:ascii="宋体" w:hAnsi="宋体" w:cs="宋体"/>
                <w:sz w:val="24"/>
                <w:szCs w:val="24"/>
              </w:rPr>
            </w:pPr>
            <w:r>
              <w:rPr>
                <w:rFonts w:hint="eastAsia" w:ascii="宋体" w:hAnsi="宋体" w:cs="宋体"/>
                <w:sz w:val="24"/>
                <w:szCs w:val="24"/>
              </w:rPr>
              <w:t>　</w:t>
            </w:r>
          </w:p>
        </w:tc>
      </w:tr>
      <w:tr>
        <w:tblPrEx>
          <w:tblLayout w:type="fixed"/>
          <w:tblCellMar>
            <w:top w:w="0" w:type="dxa"/>
            <w:left w:w="108" w:type="dxa"/>
            <w:bottom w:w="0" w:type="dxa"/>
            <w:right w:w="108" w:type="dxa"/>
          </w:tblCellMar>
        </w:tblPrEx>
        <w:trPr>
          <w:trHeight w:val="358" w:hRule="atLeast"/>
        </w:trPr>
        <w:tc>
          <w:tcPr>
            <w:tcW w:w="8789" w:type="dxa"/>
            <w:gridSpan w:val="11"/>
            <w:tcBorders>
              <w:top w:val="single" w:color="auto" w:sz="8" w:space="0"/>
              <w:left w:val="single" w:color="auto" w:sz="8" w:space="0"/>
              <w:bottom w:val="single" w:color="auto" w:sz="8" w:space="0"/>
              <w:right w:val="single" w:color="auto" w:sz="8" w:space="0"/>
            </w:tcBorders>
            <w:vAlign w:val="center"/>
          </w:tcPr>
          <w:p>
            <w:pPr>
              <w:spacing w:line="360" w:lineRule="auto"/>
              <w:jc w:val="left"/>
              <w:rPr>
                <w:rFonts w:ascii="宋体" w:hAnsi="宋体" w:cs="宋体"/>
                <w:sz w:val="24"/>
                <w:szCs w:val="24"/>
              </w:rPr>
            </w:pPr>
            <w:r>
              <w:rPr>
                <w:rFonts w:hint="eastAsia" w:ascii="宋体" w:hAnsi="宋体" w:cs="宋体"/>
                <w:sz w:val="24"/>
                <w:szCs w:val="24"/>
              </w:rPr>
              <w:t>保洁部工作</w:t>
            </w:r>
          </w:p>
        </w:tc>
      </w:tr>
      <w:tr>
        <w:tblPrEx>
          <w:tblLayout w:type="fixed"/>
          <w:tblCellMar>
            <w:top w:w="0" w:type="dxa"/>
            <w:left w:w="108" w:type="dxa"/>
            <w:bottom w:w="0" w:type="dxa"/>
            <w:right w:w="108" w:type="dxa"/>
          </w:tblCellMar>
        </w:tblPrEx>
        <w:trPr>
          <w:trHeight w:val="337"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1</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保洁员职业形象：服装整洁、挂牌上岗</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619"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2</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态度和蔼，举止得体，不穿拖鞋、不抽烟，当您有需要时能给您提供力所能及的帮助</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386"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3</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文明用语，不大声喧哗</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222" w:hRule="atLeast"/>
        </w:trPr>
        <w:tc>
          <w:tcPr>
            <w:tcW w:w="851" w:type="dxa"/>
            <w:gridSpan w:val="2"/>
            <w:tcBorders>
              <w:top w:val="nil"/>
              <w:left w:val="single" w:color="auto" w:sz="8"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4</w:t>
            </w:r>
          </w:p>
        </w:tc>
        <w:tc>
          <w:tcPr>
            <w:tcW w:w="4678" w:type="dxa"/>
            <w:gridSpan w:val="4"/>
            <w:tcBorders>
              <w:top w:val="nil"/>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医院环境舒适、整洁、安全</w:t>
            </w:r>
          </w:p>
        </w:tc>
        <w:tc>
          <w:tcPr>
            <w:tcW w:w="709"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nil"/>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nil"/>
              <w:left w:val="nil"/>
              <w:bottom w:val="single" w:color="auto" w:sz="4" w:space="0"/>
              <w:right w:val="single" w:color="auto" w:sz="8"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185" w:hRule="atLeast"/>
        </w:trPr>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5</w:t>
            </w:r>
          </w:p>
        </w:tc>
        <w:tc>
          <w:tcPr>
            <w:tcW w:w="4678" w:type="dxa"/>
            <w:gridSpan w:val="4"/>
            <w:tcBorders>
              <w:top w:val="single" w:color="auto" w:sz="4" w:space="0"/>
              <w:left w:val="nil"/>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拖地2次/天（上、下午）以上，厕所清洗1次/天+巡视保洁，厕所无异味、地面干燥</w:t>
            </w:r>
          </w:p>
        </w:tc>
        <w:tc>
          <w:tcPr>
            <w:tcW w:w="709"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274" w:hRule="atLeast"/>
        </w:trPr>
        <w:tc>
          <w:tcPr>
            <w:tcW w:w="85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　</w:t>
            </w:r>
          </w:p>
        </w:tc>
        <w:tc>
          <w:tcPr>
            <w:tcW w:w="4678"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szCs w:val="24"/>
              </w:rPr>
            </w:pPr>
            <w:r>
              <w:rPr>
                <w:rFonts w:hint="eastAsia" w:ascii="宋体" w:hAnsi="宋体" w:cs="宋体"/>
                <w:sz w:val="24"/>
                <w:szCs w:val="24"/>
              </w:rPr>
              <w:t>合计</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709" w:type="dxa"/>
            <w:gridSpan w:val="2"/>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465" w:hRule="atLeast"/>
        </w:trPr>
        <w:tc>
          <w:tcPr>
            <w:tcW w:w="8789" w:type="dxa"/>
            <w:gridSpan w:val="11"/>
            <w:tcBorders>
              <w:top w:val="nil"/>
              <w:left w:val="nil"/>
              <w:bottom w:val="single" w:color="auto" w:sz="4" w:space="0"/>
              <w:right w:val="nil"/>
            </w:tcBorders>
            <w:shd w:val="clear" w:color="auto" w:fill="auto"/>
            <w:vAlign w:val="center"/>
          </w:tcPr>
          <w:p>
            <w:pPr>
              <w:spacing w:line="360" w:lineRule="auto"/>
              <w:jc w:val="left"/>
              <w:rPr>
                <w:rFonts w:ascii="宋体" w:hAnsi="宋体" w:cs="宋体"/>
                <w:sz w:val="24"/>
                <w:szCs w:val="24"/>
              </w:rPr>
            </w:pPr>
            <w:r>
              <w:rPr>
                <w:rFonts w:hint="eastAsia" w:ascii="宋体" w:hAnsi="宋体" w:cs="宋体"/>
                <w:sz w:val="24"/>
                <w:szCs w:val="24"/>
              </w:rPr>
              <w:t>请提宝贵建议：</w:t>
            </w: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r>
              <w:rPr>
                <w:rFonts w:hint="eastAsia" w:ascii="宋体" w:hAnsi="宋体" w:cs="宋体"/>
                <w:sz w:val="24"/>
                <w:szCs w:val="24"/>
              </w:rPr>
              <w:t>附件五：综合管理考核</w:t>
            </w:r>
          </w:p>
          <w:tbl>
            <w:tblPr>
              <w:tblStyle w:val="43"/>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8"/>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值班人员不在岗或电话不通</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 xml:space="preserve"> 一次扣100元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医院优质服务意见反馈</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一条扣50元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kern w:val="0"/>
                      <w:sz w:val="24"/>
                      <w:szCs w:val="24"/>
                    </w:rPr>
                  </w:pPr>
                  <w:r>
                    <w:rPr>
                      <w:rFonts w:hint="eastAsia" w:ascii="宋体" w:hAnsi="宋体" w:cs="宋体"/>
                      <w:kern w:val="0"/>
                      <w:sz w:val="24"/>
                      <w:szCs w:val="24"/>
                    </w:rPr>
                    <w:t>其他内容（包括突击性清洁卫生任务不服从医院指挥）。</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一次扣200元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不能一人多岗，严格按区域划分安人定人。</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发现一次扣100元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院级查房中存在问题且被通报批评</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一次扣500元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所有物业人员必须参加院感知识培训，持培训证明上岗。</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发现无证一人扣100元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物业人员不能护理病人和做与保洁无关的事。</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发现一次扣100元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不服从科室护士长安排经教育不改，要求换人（在规定时间内不换）</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一次扣100元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中标人的工作人员的交通工具自行保管，如遗失和采购人无关；在医院不能乱停乱放。</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发现一次乱停乱放处扣100元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中标人管理问题引起工作人员信访</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院内一次扣500元，卫健局及以上一次扣1000-2000元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中标人要无条件配合采购人迎接各种检查并搞好全院卫生</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如因中标人原因影响采购人迎检，一次处罚2000元。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中标人的工作人员（含值班）不能在医院内（借用办公室、库房）煮饭，不得使用大瓦数电器，</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发现一次处罚100元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5558"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合同期满中标人要配合采购人完成各种工作，物资，水电费等的交接。</w:t>
                  </w:r>
                </w:p>
              </w:tc>
              <w:tc>
                <w:tcPr>
                  <w:tcW w:w="2835" w:type="dxa"/>
                  <w:tcBorders>
                    <w:top w:val="single" w:color="auto" w:sz="4" w:space="0"/>
                    <w:left w:val="single" w:color="auto" w:sz="4" w:space="0"/>
                    <w:bottom w:val="single" w:color="auto" w:sz="4" w:space="0"/>
                    <w:right w:val="single" w:color="auto" w:sz="4" w:space="0"/>
                  </w:tcBorders>
                  <w:noWrap/>
                  <w:vAlign w:val="center"/>
                </w:tcPr>
                <w:p>
                  <w:pPr>
                    <w:spacing w:before="100" w:beforeAutospacing="1" w:after="100" w:afterAutospacing="1" w:line="360" w:lineRule="auto"/>
                    <w:jc w:val="center"/>
                    <w:rPr>
                      <w:rFonts w:ascii="宋体" w:hAnsi="宋体" w:cs="宋体"/>
                      <w:sz w:val="24"/>
                      <w:szCs w:val="24"/>
                    </w:rPr>
                  </w:pPr>
                  <w:r>
                    <w:rPr>
                      <w:rFonts w:hint="eastAsia" w:ascii="宋体" w:hAnsi="宋体" w:cs="宋体"/>
                      <w:sz w:val="24"/>
                      <w:szCs w:val="24"/>
                    </w:rPr>
                    <w:t>如有损坏要照价陪损</w:t>
                  </w:r>
                </w:p>
              </w:tc>
            </w:tr>
          </w:tbl>
          <w:p>
            <w:pPr>
              <w:widowControl/>
              <w:spacing w:line="360" w:lineRule="auto"/>
              <w:jc w:val="left"/>
              <w:rPr>
                <w:rFonts w:ascii="宋体" w:hAnsi="宋体" w:cs="宋体"/>
                <w:kern w:val="0"/>
                <w:sz w:val="24"/>
                <w:szCs w:val="24"/>
              </w:rPr>
            </w:pPr>
          </w:p>
          <w:p>
            <w:pPr>
              <w:widowControl/>
              <w:spacing w:line="360" w:lineRule="auto"/>
              <w:jc w:val="left"/>
              <w:rPr>
                <w:rFonts w:ascii="宋体" w:hAnsi="宋体" w:cs="宋体"/>
                <w:kern w:val="0"/>
                <w:sz w:val="24"/>
                <w:szCs w:val="24"/>
              </w:rPr>
            </w:pPr>
            <w:r>
              <w:rPr>
                <w:rFonts w:hint="eastAsia" w:ascii="宋体" w:hAnsi="宋体" w:cs="宋体"/>
                <w:sz w:val="24"/>
                <w:szCs w:val="24"/>
              </w:rPr>
              <w:t>附件六：</w:t>
            </w:r>
            <w:r>
              <w:rPr>
                <w:rFonts w:hint="eastAsia" w:ascii="宋体" w:hAnsi="宋体" w:cs="宋体"/>
                <w:kern w:val="0"/>
                <w:sz w:val="24"/>
                <w:szCs w:val="24"/>
                <w:lang w:eastAsia="zh-CN"/>
              </w:rPr>
              <w:t>彭州市人民</w:t>
            </w:r>
            <w:r>
              <w:rPr>
                <w:rFonts w:hint="eastAsia" w:ascii="宋体" w:hAnsi="宋体" w:cs="宋体"/>
                <w:kern w:val="0"/>
                <w:sz w:val="24"/>
                <w:szCs w:val="24"/>
              </w:rPr>
              <w:t>医院物业服务费结算标准</w:t>
            </w:r>
          </w:p>
        </w:tc>
      </w:tr>
      <w:tr>
        <w:tblPrEx>
          <w:tblLayout w:type="fixed"/>
          <w:tblCellMar>
            <w:top w:w="0" w:type="dxa"/>
            <w:left w:w="108" w:type="dxa"/>
            <w:bottom w:w="0" w:type="dxa"/>
            <w:right w:w="108" w:type="dxa"/>
          </w:tblCellMar>
        </w:tblPrEx>
        <w:trPr>
          <w:trHeight w:val="377"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序号</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考评内容</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达标要求</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结算周期</w:t>
            </w: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结算标准</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备注</w:t>
            </w:r>
          </w:p>
        </w:tc>
      </w:tr>
      <w:tr>
        <w:tblPrEx>
          <w:tblLayout w:type="fixed"/>
          <w:tblCellMar>
            <w:top w:w="0" w:type="dxa"/>
            <w:left w:w="108" w:type="dxa"/>
            <w:bottom w:w="0" w:type="dxa"/>
            <w:right w:w="108" w:type="dxa"/>
          </w:tblCellMar>
        </w:tblPrEx>
        <w:trPr>
          <w:trHeight w:val="645"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1</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物业服务考核</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平均不低于90分</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　</w:t>
            </w: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 xml:space="preserve">每降低1分，扣除2000元，月度最高扣除10000元。 </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24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2</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sz w:val="24"/>
                <w:szCs w:val="24"/>
              </w:rPr>
              <w:t>综合管理考核</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无</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按考核结果扣除</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p>
        </w:tc>
      </w:tr>
      <w:tr>
        <w:tblPrEx>
          <w:tblLayout w:type="fixed"/>
          <w:tblCellMar>
            <w:top w:w="0" w:type="dxa"/>
            <w:left w:w="108" w:type="dxa"/>
            <w:bottom w:w="0" w:type="dxa"/>
            <w:right w:w="108" w:type="dxa"/>
          </w:tblCellMar>
        </w:tblPrEx>
        <w:trPr>
          <w:trHeight w:val="430"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3</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有效投诉</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无</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24"/>
                <w:szCs w:val="24"/>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500元/起</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因物业服务引起</w:t>
            </w:r>
          </w:p>
        </w:tc>
      </w:tr>
      <w:tr>
        <w:tblPrEx>
          <w:tblLayout w:type="fixed"/>
          <w:tblCellMar>
            <w:top w:w="0" w:type="dxa"/>
            <w:left w:w="108" w:type="dxa"/>
            <w:bottom w:w="0" w:type="dxa"/>
            <w:right w:w="108" w:type="dxa"/>
          </w:tblCellMar>
        </w:tblPrEx>
        <w:trPr>
          <w:trHeight w:val="615"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4</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医疗纠纷及事故</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无</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24"/>
                <w:szCs w:val="24"/>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每发生1起，扣除物业费2000元，并承担相应赔偿责任</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因物业服务引起</w:t>
            </w:r>
          </w:p>
        </w:tc>
      </w:tr>
      <w:tr>
        <w:tblPrEx>
          <w:tblLayout w:type="fixed"/>
          <w:tblCellMar>
            <w:top w:w="0" w:type="dxa"/>
            <w:left w:w="108" w:type="dxa"/>
            <w:bottom w:w="0" w:type="dxa"/>
            <w:right w:w="108" w:type="dxa"/>
          </w:tblCellMar>
        </w:tblPrEx>
        <w:trPr>
          <w:trHeight w:val="453"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5</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日常检查中提出的改进要求</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周内提供整改方案并落实到位</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24"/>
                <w:szCs w:val="24"/>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逾期不整改，每次扣款500元</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书面要求为准</w:t>
            </w:r>
          </w:p>
        </w:tc>
      </w:tr>
      <w:tr>
        <w:tblPrEx>
          <w:tblLayout w:type="fixed"/>
          <w:tblCellMar>
            <w:top w:w="0" w:type="dxa"/>
            <w:left w:w="108" w:type="dxa"/>
            <w:bottom w:w="0" w:type="dxa"/>
            <w:right w:w="108" w:type="dxa"/>
          </w:tblCellMar>
        </w:tblPrEx>
        <w:trPr>
          <w:trHeight w:val="101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6</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医疗垃圾管理</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符合医疗垃圾管理要求</w:t>
            </w: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24"/>
                <w:szCs w:val="24"/>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360" w:lineRule="auto"/>
              <w:rPr>
                <w:rFonts w:ascii="宋体" w:hAnsi="宋体" w:cs="宋体"/>
                <w:kern w:val="0"/>
                <w:sz w:val="24"/>
                <w:szCs w:val="24"/>
              </w:rPr>
            </w:pPr>
            <w:r>
              <w:rPr>
                <w:rFonts w:hint="eastAsia" w:ascii="宋体" w:hAnsi="宋体" w:cs="宋体"/>
                <w:kern w:val="0"/>
                <w:sz w:val="24"/>
                <w:szCs w:val="24"/>
              </w:rPr>
              <w:t>医疗废弃物外流处罚人民币1000-2000元；若被卫生监督部门查实并被媒体曝光，影响甲方形象和声誉的，处罚人民币2000-5000元。</w:t>
            </w:r>
          </w:p>
        </w:tc>
        <w:tc>
          <w:tcPr>
            <w:tcW w:w="15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rPr>
                <w:rFonts w:ascii="宋体" w:hAnsi="宋体" w:cs="宋体"/>
                <w:kern w:val="0"/>
                <w:sz w:val="24"/>
                <w:szCs w:val="24"/>
              </w:rPr>
            </w:pPr>
            <w:r>
              <w:rPr>
                <w:rFonts w:hint="eastAsia" w:ascii="宋体" w:hAnsi="宋体" w:cs="宋体"/>
                <w:kern w:val="0"/>
                <w:sz w:val="24"/>
                <w:szCs w:val="24"/>
              </w:rPr>
              <w:t>　</w:t>
            </w:r>
          </w:p>
        </w:tc>
      </w:tr>
      <w:tr>
        <w:tblPrEx>
          <w:tblLayout w:type="fixed"/>
          <w:tblCellMar>
            <w:top w:w="0" w:type="dxa"/>
            <w:left w:w="108" w:type="dxa"/>
            <w:bottom w:w="0" w:type="dxa"/>
            <w:right w:w="108" w:type="dxa"/>
          </w:tblCellMar>
        </w:tblPrEx>
        <w:trPr>
          <w:trHeight w:val="1401" w:hRule="atLeast"/>
        </w:trPr>
        <w:tc>
          <w:tcPr>
            <w:tcW w:w="426" w:type="dxa"/>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7</w:t>
            </w:r>
          </w:p>
        </w:tc>
        <w:tc>
          <w:tcPr>
            <w:tcW w:w="1559" w:type="dxa"/>
            <w:gridSpan w:val="2"/>
            <w:tcBorders>
              <w:top w:val="single" w:color="auto" w:sz="4" w:space="0"/>
              <w:left w:val="nil"/>
              <w:bottom w:val="single" w:color="auto" w:sz="8" w:space="0"/>
              <w:right w:val="single" w:color="auto" w:sz="8" w:space="0"/>
            </w:tcBorders>
            <w:shd w:val="clear" w:color="auto" w:fill="auto"/>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重大活动、检查、突发事件配合工作</w:t>
            </w:r>
          </w:p>
        </w:tc>
        <w:tc>
          <w:tcPr>
            <w:tcW w:w="1701" w:type="dxa"/>
            <w:tcBorders>
              <w:top w:val="single" w:color="auto" w:sz="4" w:space="0"/>
              <w:left w:val="nil"/>
              <w:bottom w:val="single" w:color="auto" w:sz="8" w:space="0"/>
              <w:right w:val="single" w:color="auto" w:sz="8" w:space="0"/>
            </w:tcBorders>
            <w:shd w:val="clear" w:color="auto" w:fill="auto"/>
            <w:vAlign w:val="center"/>
          </w:tcPr>
          <w:p>
            <w:pPr>
              <w:widowControl/>
              <w:spacing w:line="360" w:lineRule="auto"/>
              <w:jc w:val="center"/>
              <w:rPr>
                <w:rFonts w:ascii="宋体" w:hAnsi="宋体" w:cs="宋体"/>
                <w:kern w:val="0"/>
                <w:sz w:val="24"/>
                <w:szCs w:val="24"/>
              </w:rPr>
            </w:pPr>
            <w:r>
              <w:rPr>
                <w:rFonts w:hint="eastAsia" w:ascii="宋体" w:hAnsi="宋体" w:cs="宋体"/>
                <w:kern w:val="0"/>
                <w:sz w:val="24"/>
                <w:szCs w:val="24"/>
              </w:rPr>
              <w:t>按甲方要求完成</w:t>
            </w:r>
          </w:p>
        </w:tc>
        <w:tc>
          <w:tcPr>
            <w:tcW w:w="851" w:type="dxa"/>
            <w:vMerge w:val="continue"/>
            <w:tcBorders>
              <w:top w:val="single" w:color="auto" w:sz="4" w:space="0"/>
              <w:left w:val="single" w:color="auto" w:sz="8" w:space="0"/>
              <w:bottom w:val="single" w:color="000000" w:sz="8" w:space="0"/>
              <w:right w:val="single" w:color="auto" w:sz="8" w:space="0"/>
            </w:tcBorders>
            <w:vAlign w:val="center"/>
          </w:tcPr>
          <w:p>
            <w:pPr>
              <w:widowControl/>
              <w:spacing w:line="360" w:lineRule="auto"/>
              <w:jc w:val="left"/>
              <w:rPr>
                <w:rFonts w:ascii="宋体" w:hAnsi="宋体" w:cs="宋体"/>
                <w:kern w:val="0"/>
                <w:sz w:val="24"/>
                <w:szCs w:val="24"/>
              </w:rPr>
            </w:pPr>
          </w:p>
        </w:tc>
        <w:tc>
          <w:tcPr>
            <w:tcW w:w="2693" w:type="dxa"/>
            <w:gridSpan w:val="4"/>
            <w:tcBorders>
              <w:top w:val="single" w:color="auto" w:sz="4" w:space="0"/>
              <w:left w:val="nil"/>
              <w:bottom w:val="single" w:color="auto" w:sz="8" w:space="0"/>
              <w:right w:val="single" w:color="auto" w:sz="8" w:space="0"/>
            </w:tcBorders>
            <w:shd w:val="clear" w:color="auto" w:fill="auto"/>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因乙方原因对甲方造成较大损害（如检查不通过等），酌情扣款；如甲方获得政府部门的正式奖励，甲方根据乙方工作比重酌情进行奖励。</w:t>
            </w:r>
          </w:p>
        </w:tc>
        <w:tc>
          <w:tcPr>
            <w:tcW w:w="1559" w:type="dxa"/>
            <w:gridSpan w:val="2"/>
            <w:tcBorders>
              <w:top w:val="single" w:color="auto" w:sz="4" w:space="0"/>
              <w:left w:val="nil"/>
              <w:bottom w:val="single" w:color="auto" w:sz="8" w:space="0"/>
              <w:right w:val="single" w:color="auto" w:sz="8" w:space="0"/>
            </w:tcBorders>
            <w:shd w:val="clear" w:color="auto" w:fill="auto"/>
            <w:vAlign w:val="center"/>
          </w:tcPr>
          <w:p>
            <w:pPr>
              <w:widowControl/>
              <w:spacing w:line="360" w:lineRule="auto"/>
              <w:jc w:val="left"/>
              <w:rPr>
                <w:rFonts w:ascii="宋体" w:hAnsi="宋体" w:cs="宋体"/>
                <w:kern w:val="0"/>
                <w:sz w:val="24"/>
                <w:szCs w:val="24"/>
              </w:rPr>
            </w:pPr>
            <w:r>
              <w:rPr>
                <w:rFonts w:hint="eastAsia" w:ascii="宋体" w:hAnsi="宋体" w:cs="宋体"/>
                <w:kern w:val="0"/>
                <w:sz w:val="24"/>
                <w:szCs w:val="24"/>
              </w:rPr>
              <w:t>奖励以政府颁发的文件为准</w:t>
            </w:r>
          </w:p>
        </w:tc>
      </w:tr>
    </w:tbl>
    <w:p>
      <w:pPr>
        <w:spacing w:line="360" w:lineRule="auto"/>
        <w:ind w:left="-1077" w:leftChars="-513"/>
        <w:jc w:val="center"/>
        <w:rPr>
          <w:rFonts w:ascii="宋体" w:hAnsi="宋体" w:cs="宋体"/>
          <w:b/>
          <w:sz w:val="24"/>
          <w:szCs w:val="24"/>
        </w:rPr>
      </w:pPr>
    </w:p>
    <w:p>
      <w:pPr>
        <w:numPr>
          <w:ilvl w:val="0"/>
          <w:numId w:val="0"/>
        </w:numPr>
        <w:spacing w:line="360" w:lineRule="auto"/>
        <w:ind w:leftChars="0"/>
        <w:rPr>
          <w:rFonts w:hint="eastAsia" w:ascii="宋体" w:hAnsi="宋体" w:cs="宋体"/>
          <w:b/>
          <w:sz w:val="24"/>
          <w:szCs w:val="24"/>
        </w:rPr>
      </w:pPr>
      <w:r>
        <w:rPr>
          <w:rFonts w:hint="eastAsia" w:ascii="宋体" w:hAnsi="宋体" w:cs="宋体"/>
          <w:b/>
          <w:sz w:val="24"/>
          <w:szCs w:val="24"/>
          <w:lang w:eastAsia="zh-CN"/>
        </w:rPr>
        <w:t>四、</w:t>
      </w:r>
      <w:r>
        <w:rPr>
          <w:rFonts w:hint="eastAsia" w:ascii="宋体" w:hAnsi="宋体" w:cs="宋体"/>
          <w:b/>
          <w:sz w:val="24"/>
          <w:szCs w:val="24"/>
        </w:rPr>
        <w:t>凡中标人连续两个月考核低于80分的，采购人有权单方面终止合同，取消其服务资格。</w:t>
      </w:r>
    </w:p>
    <w:p>
      <w:pPr>
        <w:numPr>
          <w:ilvl w:val="0"/>
          <w:numId w:val="0"/>
        </w:numPr>
        <w:spacing w:line="360" w:lineRule="auto"/>
        <w:ind w:leftChars="0"/>
        <w:rPr>
          <w:rFonts w:ascii="宋体" w:hAnsi="宋体" w:cs="宋体"/>
          <w:b/>
          <w:bCs/>
          <w:kern w:val="0"/>
          <w:sz w:val="24"/>
          <w:szCs w:val="24"/>
        </w:rPr>
      </w:pPr>
      <w:r>
        <w:rPr>
          <w:rFonts w:hint="eastAsia" w:ascii="宋体" w:hAnsi="宋体" w:cs="宋体"/>
          <w:b/>
          <w:bCs/>
          <w:kern w:val="0"/>
          <w:sz w:val="24"/>
          <w:szCs w:val="24"/>
          <w:lang w:eastAsia="zh-CN"/>
        </w:rPr>
        <w:t>五、</w:t>
      </w:r>
      <w:r>
        <w:rPr>
          <w:rFonts w:hint="eastAsia" w:ascii="宋体" w:hAnsi="宋体" w:cs="宋体"/>
          <w:b/>
          <w:bCs/>
          <w:kern w:val="0"/>
          <w:sz w:val="24"/>
          <w:szCs w:val="24"/>
        </w:rPr>
        <w:t>违约责任</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（一）</w:t>
      </w:r>
      <w:r>
        <w:rPr>
          <w:rFonts w:hint="eastAsia" w:ascii="宋体" w:hAnsi="宋体" w:cs="宋体"/>
          <w:sz w:val="24"/>
          <w:szCs w:val="24"/>
        </w:rPr>
        <w:t>由于中标人原因造成签订合同后3日内未入场，中标人应当承担违约责任。每逾期1日，中标人按照中标总金额的1%支付违约金，由此给采购人造成损失的，中标人还应当负责向采购人赔偿损失。</w:t>
      </w:r>
    </w:p>
    <w:p>
      <w:pPr>
        <w:adjustRightInd w:val="0"/>
        <w:snapToGrid w:val="0"/>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eastAsia="zh-CN"/>
        </w:rPr>
        <w:t>（二）</w:t>
      </w:r>
      <w:r>
        <w:rPr>
          <w:rFonts w:hint="eastAsia" w:ascii="宋体" w:hAnsi="宋体" w:cs="宋体"/>
          <w:sz w:val="24"/>
          <w:szCs w:val="24"/>
        </w:rPr>
        <w:t>采购人、中标人任一方违反本合同约定提前变更、中止或终止合同的，应向对方支付合同金额1％的违约金，给对方造成的经济损失超过违约金的，还应给予赔偿</w:t>
      </w:r>
      <w:r>
        <w:rPr>
          <w:rFonts w:hint="eastAsia" w:ascii="宋体" w:hAnsi="宋体" w:cs="宋体"/>
          <w:sz w:val="24"/>
          <w:szCs w:val="24"/>
          <w:lang w:eastAsia="zh-CN"/>
        </w:rPr>
        <w:t>。</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（三）</w:t>
      </w:r>
      <w:r>
        <w:rPr>
          <w:rFonts w:hint="eastAsia" w:ascii="宋体" w:hAnsi="宋体" w:cs="宋体"/>
          <w:sz w:val="24"/>
          <w:szCs w:val="24"/>
        </w:rPr>
        <w:t>中标人违反本合同约定，擅自提高收费标准的，或在管理和服务中有徇私舞弊、渎职行为、擅自收费行为的，采购人有权督促和要求中标人清退所收费用，并向中标人按发生费用和造成的经济损失进行双倍处罚和索赔，亦有权终止政府采购合同。</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（四）</w:t>
      </w:r>
      <w:r>
        <w:rPr>
          <w:rFonts w:hint="eastAsia" w:ascii="宋体" w:hAnsi="宋体" w:cs="宋体"/>
          <w:sz w:val="24"/>
          <w:szCs w:val="24"/>
        </w:rPr>
        <w:t>采购人不按合同约定支付合同价款，除应及时付款，还应向中标人支付未付款金额的万分之五/天的违约金。</w:t>
      </w:r>
    </w:p>
    <w:p>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lang w:eastAsia="zh-CN"/>
        </w:rPr>
        <w:t>（五）</w:t>
      </w:r>
      <w:r>
        <w:rPr>
          <w:rFonts w:hint="eastAsia" w:ascii="宋体" w:hAnsi="宋体" w:cs="宋体"/>
          <w:sz w:val="24"/>
          <w:szCs w:val="24"/>
        </w:rPr>
        <w:t>政府采购合同经双方协商一致可予以解除，但应提前三个月以书面形式通知对方，双方协商一致后在二十日内办理完交接，双方均需配合做好接收工作。</w:t>
      </w:r>
    </w:p>
    <w:p>
      <w:pPr>
        <w:spacing w:line="360" w:lineRule="auto"/>
        <w:rPr>
          <w:rFonts w:ascii="宋体" w:hAnsi="宋体" w:cs="宋体"/>
          <w:sz w:val="24"/>
          <w:szCs w:val="24"/>
        </w:rPr>
      </w:pPr>
    </w:p>
    <w:p>
      <w:pPr>
        <w:keepNext/>
        <w:keepLines/>
        <w:numPr>
          <w:ilvl w:val="0"/>
          <w:numId w:val="0"/>
        </w:numPr>
        <w:spacing w:line="360" w:lineRule="auto"/>
        <w:outlineLvl w:val="2"/>
        <w:rPr>
          <w:rFonts w:ascii="宋体" w:hAnsi="宋体" w:cs="宋体"/>
          <w:b/>
          <w:bCs/>
          <w:kern w:val="0"/>
          <w:sz w:val="24"/>
          <w:szCs w:val="24"/>
        </w:rPr>
      </w:pPr>
      <w:r>
        <w:rPr>
          <w:rFonts w:hint="eastAsia" w:ascii="宋体" w:hAnsi="宋体" w:cs="宋体"/>
          <w:b/>
          <w:bCs/>
          <w:kern w:val="0"/>
          <w:sz w:val="24"/>
          <w:szCs w:val="24"/>
          <w:lang w:eastAsia="zh-CN"/>
        </w:rPr>
        <w:t>六、</w:t>
      </w:r>
      <w:r>
        <w:rPr>
          <w:rFonts w:hint="eastAsia" w:ascii="宋体" w:hAnsi="宋体" w:cs="宋体"/>
          <w:b/>
          <w:bCs/>
          <w:kern w:val="0"/>
          <w:sz w:val="24"/>
          <w:szCs w:val="24"/>
        </w:rPr>
        <w:t>付款方式</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（一）</w:t>
      </w:r>
      <w:r>
        <w:rPr>
          <w:rFonts w:hint="eastAsia" w:ascii="宋体" w:hAnsi="宋体" w:cs="宋体"/>
          <w:sz w:val="24"/>
          <w:szCs w:val="24"/>
        </w:rPr>
        <w:t>服务费用按月支付。中标人须在每月底开具正式税务发票原件交采购人，采购人须在接收中标人票据后的15个工作日内将上月费用以银行转账方式支付至中标人对公账号，不得无故拖欠。</w:t>
      </w:r>
    </w:p>
    <w:p>
      <w:pPr>
        <w:spacing w:line="360" w:lineRule="auto"/>
        <w:ind w:firstLine="480" w:firstLineChars="200"/>
        <w:rPr>
          <w:rFonts w:ascii="宋体" w:hAnsi="宋体" w:cs="宋体"/>
          <w:sz w:val="24"/>
          <w:szCs w:val="24"/>
        </w:rPr>
      </w:pPr>
      <w:r>
        <w:rPr>
          <w:rFonts w:hint="eastAsia" w:ascii="宋体" w:hAnsi="宋体" w:cs="宋体"/>
          <w:sz w:val="24"/>
          <w:szCs w:val="24"/>
          <w:lang w:eastAsia="zh-CN"/>
        </w:rPr>
        <w:t>（二）</w:t>
      </w:r>
      <w:r>
        <w:rPr>
          <w:rFonts w:hint="eastAsia" w:ascii="宋体" w:hAnsi="宋体" w:cs="宋体"/>
          <w:sz w:val="24"/>
          <w:szCs w:val="24"/>
        </w:rPr>
        <w:t>在合同有效期内，采购人每月对中标人进行考核，根据考核情况，确定该月应付中标人的服务款项。</w:t>
      </w:r>
    </w:p>
    <w:p>
      <w:pPr>
        <w:rPr>
          <w:rFonts w:hint="eastAsia"/>
          <w:color w:val="FF0000"/>
        </w:rPr>
      </w:pPr>
    </w:p>
    <w:p>
      <w:pPr>
        <w:pStyle w:val="2"/>
        <w:numPr>
          <w:ilvl w:val="3"/>
          <w:numId w:val="0"/>
        </w:numPr>
        <w:ind w:left="3150" w:leftChars="0"/>
      </w:pPr>
    </w:p>
    <w:bookmarkEnd w:id="148"/>
    <w:p>
      <w:pPr>
        <w:pStyle w:val="4"/>
        <w:numPr>
          <w:ilvl w:val="1"/>
          <w:numId w:val="5"/>
        </w:numPr>
        <w:tabs>
          <w:tab w:val="left" w:pos="426"/>
          <w:tab w:val="left" w:pos="576"/>
        </w:tabs>
        <w:spacing w:before="0" w:after="200"/>
        <w:jc w:val="both"/>
      </w:pPr>
      <w:r>
        <w:rPr>
          <w:rFonts w:hint="eastAsia"/>
        </w:rPr>
        <w:t>报价要求</w:t>
      </w:r>
    </w:p>
    <w:p>
      <w:pPr>
        <w:pStyle w:val="5"/>
        <w:numPr>
          <w:ilvl w:val="2"/>
          <w:numId w:val="5"/>
        </w:numPr>
        <w:tabs>
          <w:tab w:val="left" w:pos="426"/>
          <w:tab w:val="left" w:pos="567"/>
        </w:tabs>
        <w:spacing w:after="200"/>
        <w:ind w:hanging="3260"/>
        <w:rPr>
          <w:color w:val="auto"/>
        </w:rPr>
      </w:pPr>
      <w:r>
        <w:rPr>
          <w:rFonts w:hint="eastAsia"/>
          <w:color w:val="auto"/>
        </w:rPr>
        <w:t>最高限价</w:t>
      </w:r>
    </w:p>
    <w:p>
      <w:pPr>
        <w:pStyle w:val="80"/>
        <w:tabs>
          <w:tab w:val="left" w:pos="993"/>
          <w:tab w:val="left" w:pos="1134"/>
        </w:tabs>
        <w:spacing w:before="78" w:line="560" w:lineRule="exact"/>
        <w:ind w:firstLine="562" w:firstLineChars="201"/>
        <w:rPr>
          <w:rFonts w:ascii="宋体" w:hAnsi="宋体" w:eastAsia="宋体"/>
          <w:bCs/>
          <w:sz w:val="28"/>
          <w:szCs w:val="28"/>
        </w:rPr>
      </w:pPr>
      <w:r>
        <w:rPr>
          <w:rFonts w:hint="eastAsia" w:ascii="宋体" w:hAnsi="宋体" w:eastAsia="宋体"/>
          <w:bCs/>
          <w:sz w:val="28"/>
          <w:szCs w:val="28"/>
        </w:rPr>
        <w:t>★本项目投标报价最高限价为人民币</w:t>
      </w:r>
      <w:r>
        <w:rPr>
          <w:rFonts w:hint="eastAsia" w:ascii="仿宋" w:hAnsi="仿宋" w:eastAsia="仿宋" w:cs="仿宋"/>
          <w:sz w:val="30"/>
          <w:szCs w:val="30"/>
          <w:lang w:val="en-US" w:eastAsia="zh-CN"/>
        </w:rPr>
        <w:t>10838581</w:t>
      </w:r>
      <w:r>
        <w:rPr>
          <w:rFonts w:hint="eastAsia" w:ascii="宋体" w:hAnsi="宋体"/>
          <w:sz w:val="28"/>
          <w:szCs w:val="28"/>
        </w:rPr>
        <w:t>元/年</w:t>
      </w:r>
      <w:r>
        <w:rPr>
          <w:rFonts w:hint="eastAsia" w:ascii="宋体" w:hAnsi="宋体" w:eastAsia="宋体"/>
          <w:bCs/>
          <w:sz w:val="28"/>
          <w:szCs w:val="28"/>
        </w:rPr>
        <w:t>，投标人投标报价高于最高限价的，则其投标文件将按无效投标文件处理。</w:t>
      </w:r>
    </w:p>
    <w:p>
      <w:pPr>
        <w:pStyle w:val="5"/>
        <w:numPr>
          <w:ilvl w:val="2"/>
          <w:numId w:val="5"/>
        </w:numPr>
        <w:tabs>
          <w:tab w:val="left" w:pos="426"/>
          <w:tab w:val="left" w:pos="567"/>
        </w:tabs>
        <w:spacing w:after="200"/>
        <w:ind w:hanging="3260"/>
        <w:rPr>
          <w:color w:val="auto"/>
        </w:rPr>
      </w:pPr>
      <w:r>
        <w:rPr>
          <w:rFonts w:hint="eastAsia"/>
          <w:color w:val="auto"/>
        </w:rPr>
        <w:t>其他要求</w:t>
      </w:r>
    </w:p>
    <w:p>
      <w:pPr>
        <w:pStyle w:val="80"/>
        <w:tabs>
          <w:tab w:val="left" w:pos="993"/>
          <w:tab w:val="left" w:pos="1134"/>
        </w:tabs>
        <w:spacing w:before="78" w:line="560" w:lineRule="exact"/>
        <w:ind w:firstLine="565" w:firstLineChars="202"/>
        <w:rPr>
          <w:rFonts w:ascii="宋体" w:hAnsi="宋体" w:eastAsia="宋体"/>
          <w:bCs/>
          <w:sz w:val="28"/>
          <w:szCs w:val="28"/>
          <w:lang w:val="zh-CN"/>
        </w:rPr>
      </w:pPr>
      <w:r>
        <w:rPr>
          <w:rFonts w:hint="eastAsia" w:ascii="宋体" w:hAnsi="宋体" w:eastAsia="宋体"/>
          <w:bCs/>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
      <w:pPr>
        <w:pStyle w:val="5"/>
        <w:numPr>
          <w:ilvl w:val="2"/>
          <w:numId w:val="0"/>
        </w:numPr>
        <w:tabs>
          <w:tab w:val="left" w:pos="426"/>
          <w:tab w:val="left" w:pos="567"/>
        </w:tabs>
        <w:spacing w:after="200"/>
        <w:ind w:leftChars="0"/>
        <w:rPr>
          <w:color w:val="auto"/>
        </w:rPr>
      </w:pPr>
      <w:r>
        <w:rPr>
          <w:rFonts w:hint="eastAsia"/>
          <w:color w:val="auto"/>
          <w:lang w:val="en-US" w:eastAsia="zh-CN"/>
        </w:rPr>
        <w:t>4.8</w:t>
      </w:r>
      <w:r>
        <w:rPr>
          <w:rFonts w:hint="eastAsia"/>
          <w:color w:val="auto"/>
          <w:lang w:eastAsia="zh-CN"/>
        </w:rPr>
        <w:t>满足采购需求的最低要求</w:t>
      </w:r>
    </w:p>
    <w:p>
      <w:pPr>
        <w:ind w:firstLine="562" w:firstLineChars="200"/>
        <w:rPr>
          <w:rFonts w:hint="eastAsia" w:ascii="宋体" w:hAnsi="宋体" w:eastAsia="宋体" w:cstheme="minorBidi"/>
          <w:bCs/>
          <w:kern w:val="2"/>
          <w:sz w:val="28"/>
          <w:szCs w:val="28"/>
          <w:lang w:val="zh-CN" w:eastAsia="zh-CN" w:bidi="ar-SA"/>
        </w:rPr>
      </w:pPr>
      <w:r>
        <w:rPr>
          <w:rFonts w:hint="eastAsia" w:ascii="宋体" w:hAnsi="宋体" w:eastAsia="宋体" w:cs="宋体"/>
          <w:b/>
          <w:bCs/>
          <w:color w:val="auto"/>
          <w:kern w:val="0"/>
          <w:sz w:val="28"/>
          <w:szCs w:val="28"/>
          <w:lang w:val="zh-CN" w:eastAsia="zh-CN" w:bidi="ar-SA"/>
        </w:rPr>
        <w:t>技术、服务、商务及其他要求中加★号的要求是实质性要求，是满足采购需求的最低要求。</w:t>
      </w:r>
    </w:p>
    <w:bookmarkEnd w:id="149"/>
    <w:bookmarkEnd w:id="150"/>
    <w:p>
      <w:pPr>
        <w:keepNext/>
        <w:keepLines/>
        <w:numPr>
          <w:ilvl w:val="0"/>
          <w:numId w:val="5"/>
        </w:numPr>
        <w:spacing w:before="340" w:after="330" w:line="400" w:lineRule="exact"/>
        <w:ind w:left="3365" w:leftChars="0" w:firstLineChars="0"/>
        <w:jc w:val="center"/>
        <w:outlineLvl w:val="0"/>
        <w:rPr>
          <w:rFonts w:ascii="宋体" w:hAnsi="宋体"/>
          <w:b/>
          <w:bCs/>
          <w:spacing w:val="-20"/>
          <w:kern w:val="44"/>
          <w:sz w:val="32"/>
          <w:szCs w:val="32"/>
        </w:rPr>
      </w:pPr>
      <w:bookmarkStart w:id="176" w:name="_Toc84599915"/>
      <w:r>
        <w:rPr>
          <w:rFonts w:hint="eastAsia" w:ascii="宋体" w:hAnsi="宋体"/>
          <w:b/>
          <w:bCs/>
          <w:spacing w:val="-20"/>
          <w:kern w:val="44"/>
          <w:sz w:val="32"/>
          <w:szCs w:val="32"/>
        </w:rPr>
        <w:t>资格性审查</w:t>
      </w:r>
      <w:bookmarkEnd w:id="176"/>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资格性审查时因断电、断网、系统故障或其他不可抗力等因素，导致资格审查小组无法通过系统阅读投标文件进行审查的，待系统恢复后继续审查。资格性审查标准见下表：</w:t>
      </w:r>
    </w:p>
    <w:tbl>
      <w:tblPr>
        <w:tblStyle w:val="4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427"/>
        <w:gridCol w:w="1682"/>
        <w:gridCol w:w="5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5"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23"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9"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投标人应具有独立承担民事责任的能力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szCs w:val="28"/>
              </w:rPr>
              <w:t>①</w:t>
            </w:r>
            <w:r>
              <w:rPr>
                <w:rFonts w:hint="eastAsia"/>
                <w:sz w:val="20"/>
              </w:rPr>
              <w:t>营业执照或法人登记证或其他证明材料载明有期限的，应在有效期限内；</w:t>
            </w:r>
            <w:r>
              <w:rPr>
                <w:rFonts w:hint="eastAsia" w:ascii="宋体" w:hAnsi="宋体"/>
                <w:sz w:val="20"/>
                <w:szCs w:val="28"/>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按第</w:t>
            </w:r>
            <w:r>
              <w:rPr>
                <w:sz w:val="20"/>
              </w:rPr>
              <w:t>3</w:t>
            </w:r>
            <w:r>
              <w:rPr>
                <w:rFonts w:hint="eastAsia"/>
                <w:sz w:val="20"/>
              </w:rPr>
              <w:t>章的内容及要求提供书面声明材料；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按第</w:t>
            </w:r>
            <w:r>
              <w:rPr>
                <w:sz w:val="20"/>
              </w:rPr>
              <w:t>3</w:t>
            </w:r>
            <w:r>
              <w:rPr>
                <w:rFonts w:hint="eastAsia"/>
                <w:sz w:val="20"/>
              </w:rPr>
              <w:t>章的内容及要求提供书面声明材料。】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按招标文件第</w:t>
            </w:r>
            <w:r>
              <w:rPr>
                <w:sz w:val="20"/>
              </w:rPr>
              <w:t>3</w:t>
            </w:r>
            <w:r>
              <w:rPr>
                <w:rFonts w:hint="eastAsia"/>
                <w:sz w:val="20"/>
              </w:rPr>
              <w:t>章的内容及要求提供书面声明材料，投标文件中不需提供中国裁判文书网（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t>负责人为同一人或者存在直接控股、管理关系的</w:t>
            </w:r>
            <w:r>
              <w:rPr>
                <w:rFonts w:hint="eastAsia"/>
              </w:rPr>
              <w:t>不同投标人</w:t>
            </w:r>
            <w:r>
              <w:t>未同时参加本项目书面声明材料。【说明：</w:t>
            </w:r>
            <w:r>
              <w:rPr>
                <w:rFonts w:hint="eastAsia" w:ascii="宋体" w:hAnsi="宋体"/>
                <w:sz w:val="20"/>
                <w:szCs w:val="28"/>
              </w:rPr>
              <w:t>①</w:t>
            </w:r>
            <w:r>
              <w:t>按</w:t>
            </w:r>
            <w:r>
              <w:rPr>
                <w:rFonts w:hint="eastAsia"/>
              </w:rPr>
              <w:t>招标</w:t>
            </w:r>
            <w:r>
              <w:t>文件</w:t>
            </w:r>
            <w:r>
              <w:rPr>
                <w:rFonts w:hint="eastAsia"/>
                <w:sz w:val="20"/>
              </w:rPr>
              <w:t>第</w:t>
            </w:r>
            <w:r>
              <w:rPr>
                <w:sz w:val="20"/>
              </w:rPr>
              <w:t>3</w:t>
            </w:r>
            <w:r>
              <w:rPr>
                <w:rFonts w:hint="eastAsia"/>
                <w:sz w:val="20"/>
              </w:rPr>
              <w:t>章的内容及要求</w:t>
            </w:r>
            <w:r>
              <w:t>提供书面声明材料；</w:t>
            </w:r>
            <w:r>
              <w:rPr>
                <w:rFonts w:hint="eastAsia" w:ascii="宋体" w:hAnsi="宋体"/>
                <w:sz w:val="20"/>
                <w:szCs w:val="28"/>
              </w:rPr>
              <w:t>②</w:t>
            </w:r>
            <w:r>
              <w:t>参加本项目采购活动的</w:t>
            </w:r>
            <w:r>
              <w:rPr>
                <w:rFonts w:hint="eastAsia"/>
              </w:rPr>
              <w:t>投标人</w:t>
            </w:r>
            <w:r>
              <w:t>中无与其他同时参加本项目的</w:t>
            </w:r>
            <w:r>
              <w:rPr>
                <w:rFonts w:hint="eastAsia"/>
              </w:rPr>
              <w:t>投标人</w:t>
            </w:r>
            <w:r>
              <w:t>负责人为同一人的情况，不存在直接控股、管理关系的</w:t>
            </w:r>
            <w:r>
              <w:rPr>
                <w:rFonts w:hint="eastAsia"/>
              </w:rPr>
              <w:t>投标人</w:t>
            </w:r>
            <w:r>
              <w:t>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具有履行合同所必</w:t>
            </w:r>
            <w:r>
              <w:rPr>
                <w:rFonts w:hint="eastAsia"/>
                <w:sz w:val="20"/>
                <w:lang w:val="en-US" w:eastAsia="zh-CN"/>
              </w:rPr>
              <w:t>需</w:t>
            </w:r>
            <w:r>
              <w:rPr>
                <w:rFonts w:hint="eastAsia"/>
                <w:sz w:val="20"/>
              </w:rPr>
              <w:t>的设备和专业技术能力</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采购人对投标人履行合同所必</w:t>
            </w:r>
            <w:r>
              <w:rPr>
                <w:rFonts w:hint="eastAsia"/>
                <w:sz w:val="20"/>
                <w:lang w:val="en-US" w:eastAsia="zh-CN"/>
              </w:rPr>
              <w:t>需</w:t>
            </w:r>
            <w:r>
              <w:rPr>
                <w:rFonts w:hint="eastAsia"/>
                <w:sz w:val="20"/>
              </w:rPr>
              <w:t>的设备和专业技术能力无其他特殊要求，投标人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w:t>
            </w:r>
            <w:r>
              <w:rPr>
                <w:rFonts w:hint="eastAsia" w:ascii="宋体" w:hAnsi="宋体"/>
                <w:sz w:val="20"/>
                <w:szCs w:val="28"/>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不属于国家相关法律法规规定的其他禁止参加投标的情形</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0" w:hRule="atLeast"/>
        </w:trPr>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23" w:type="dxa"/>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投标文件资格响应文件的语言</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4</w:t>
            </w:r>
          </w:p>
        </w:tc>
        <w:tc>
          <w:tcPr>
            <w:tcW w:w="2109"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投标文件资格响应</w:t>
            </w:r>
            <w:r>
              <w:rPr>
                <w:sz w:val="20"/>
              </w:rPr>
              <w:t>文件</w:t>
            </w:r>
            <w:r>
              <w:rPr>
                <w:rFonts w:hint="eastAsia"/>
                <w:sz w:val="20"/>
              </w:rPr>
              <w:t>组成</w:t>
            </w:r>
          </w:p>
        </w:tc>
        <w:tc>
          <w:tcPr>
            <w:tcW w:w="5723" w:type="dxa"/>
            <w:tcBorders>
              <w:top w:val="single" w:color="auto" w:sz="2" w:space="0"/>
              <w:left w:val="single" w:color="auto" w:sz="2" w:space="0"/>
              <w:bottom w:val="single" w:color="auto" w:sz="2" w:space="0"/>
              <w:right w:val="single" w:color="auto" w:sz="2" w:space="0"/>
            </w:tcBorders>
            <w:vAlign w:val="center"/>
          </w:tcPr>
          <w:p>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【说明：投标人按招标文件3.2.1关于投标人申明的</w:t>
            </w:r>
            <w:r>
              <w:rPr>
                <w:rFonts w:hint="eastAsia"/>
                <w:sz w:val="20"/>
              </w:rPr>
              <w:t>内容</w:t>
            </w:r>
            <w:r>
              <w:rPr>
                <w:rFonts w:hint="eastAsia" w:ascii="宋体" w:hAnsi="宋体"/>
                <w:sz w:val="20"/>
                <w:szCs w:val="28"/>
              </w:rPr>
              <w:t>提供关于投标人申明的函。】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9"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2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投标人具有依法缴纳税收良好记录的书面声明材料【说明：①按招标文件3.2.2声明的内容提供书面声明材料；②投标人有依法缴纳税收的良好记录。】。</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一、以上每一项结论均为“符合”的，则投标人的投标文件通过资格性审查；如有其中任意一项结论为“不符合”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二、“信用中国”和“中国政府采购网”网站查询结果，将以电子介质的形式留存。</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pStyle w:val="17"/>
      </w:pPr>
    </w:p>
    <w:p>
      <w:pPr>
        <w:widowControl/>
        <w:jc w:val="left"/>
        <w:rPr>
          <w:rFonts w:ascii="宋体" w:hAnsi="宋体"/>
          <w:b/>
          <w:bCs/>
          <w:spacing w:val="-20"/>
          <w:kern w:val="44"/>
          <w:sz w:val="32"/>
          <w:szCs w:val="32"/>
        </w:rPr>
      </w:pPr>
      <w:bookmarkStart w:id="177" w:name="_Toc84599916"/>
    </w:p>
    <w:p>
      <w:pPr>
        <w:keepNext/>
        <w:keepLines/>
        <w:numPr>
          <w:ilvl w:val="0"/>
          <w:numId w:val="5"/>
        </w:numPr>
        <w:spacing w:line="360" w:lineRule="auto"/>
        <w:ind w:left="3082" w:leftChars="0" w:firstLine="0" w:firstLineChars="0"/>
        <w:jc w:val="center"/>
        <w:outlineLvl w:val="0"/>
        <w:rPr>
          <w:rFonts w:ascii="宋体" w:hAnsi="宋体"/>
          <w:b/>
          <w:bCs/>
          <w:spacing w:val="-20"/>
          <w:kern w:val="44"/>
          <w:sz w:val="32"/>
          <w:szCs w:val="32"/>
        </w:rPr>
      </w:pPr>
      <w:r>
        <w:rPr>
          <w:rFonts w:hint="eastAsia" w:ascii="宋体" w:hAnsi="宋体"/>
          <w:b/>
          <w:bCs/>
          <w:spacing w:val="-20"/>
          <w:kern w:val="44"/>
          <w:sz w:val="32"/>
          <w:szCs w:val="32"/>
        </w:rPr>
        <w:t>评标办法</w:t>
      </w:r>
      <w:bookmarkEnd w:id="177"/>
    </w:p>
    <w:p>
      <w:pPr>
        <w:keepNext/>
        <w:keepLines/>
        <w:numPr>
          <w:ilvl w:val="1"/>
          <w:numId w:val="5"/>
        </w:numPr>
        <w:spacing w:line="360" w:lineRule="auto"/>
        <w:jc w:val="left"/>
        <w:outlineLvl w:val="1"/>
        <w:rPr>
          <w:rFonts w:ascii="宋体" w:hAnsi="宋体"/>
          <w:b/>
          <w:bCs/>
          <w:sz w:val="28"/>
          <w:szCs w:val="28"/>
        </w:rPr>
      </w:pPr>
      <w:bookmarkStart w:id="178" w:name="_Toc84599917"/>
      <w:r>
        <w:rPr>
          <w:rFonts w:hint="eastAsia" w:ascii="宋体" w:hAnsi="宋体"/>
          <w:b/>
          <w:bCs/>
          <w:sz w:val="28"/>
          <w:szCs w:val="28"/>
        </w:rPr>
        <w:t>总则</w:t>
      </w:r>
      <w:bookmarkEnd w:id="178"/>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一、根据《中华人民共和国政府采购法》、《中华人民共和国政府采购法实施条例》和《政府采购货物和服务招标投标管理办法》等法律规章，结合采购项目特点制定本评标办法。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二、评标工作由</w:t>
      </w:r>
      <w:r>
        <w:rPr>
          <w:rFonts w:hint="eastAsia" w:cs="Arial"/>
          <w:sz w:val="28"/>
          <w:szCs w:val="28"/>
        </w:rPr>
        <w:t>市公资交易中心</w:t>
      </w:r>
      <w:r>
        <w:rPr>
          <w:rFonts w:hint="eastAsia" w:ascii="宋体" w:hAnsi="宋体"/>
          <w:sz w:val="28"/>
          <w:szCs w:val="28"/>
        </w:rPr>
        <w:t>负责组织，具体评标事务由采购人或</w:t>
      </w:r>
      <w:r>
        <w:rPr>
          <w:rFonts w:hint="eastAsia" w:cs="Arial"/>
          <w:sz w:val="28"/>
          <w:szCs w:val="28"/>
        </w:rPr>
        <w:t>市公资交易中心</w:t>
      </w:r>
      <w:r>
        <w:rPr>
          <w:rFonts w:hint="eastAsia" w:ascii="宋体" w:hAnsi="宋体"/>
          <w:sz w:val="28"/>
          <w:szCs w:val="28"/>
        </w:rPr>
        <w:t>依法组建的评标委员会负责。评标委员会由采购人代表和评审专家组成。</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三、评标工作应遵循公平、公正、科学及择优的原则，并以相同的评标程序和标准对待所有的投标人。</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四、评标委员会按照招标文件规定的评标程序、评标方法和标准进行独立评审，并独立履行下列职责：</w:t>
      </w:r>
    </w:p>
    <w:p>
      <w:pPr>
        <w:numPr>
          <w:ilvl w:val="1"/>
          <w:numId w:val="41"/>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1"/>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1"/>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1"/>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1"/>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1"/>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1"/>
        </w:numPr>
        <w:spacing w:line="360" w:lineRule="auto"/>
        <w:ind w:left="0" w:firstLine="567"/>
        <w:rPr>
          <w:rFonts w:ascii="宋体" w:hAnsi="宋体"/>
          <w:sz w:val="28"/>
          <w:szCs w:val="28"/>
        </w:rPr>
      </w:pPr>
      <w:r>
        <w:rPr>
          <w:rFonts w:hint="eastAsia" w:ascii="宋体" w:hAnsi="宋体"/>
          <w:sz w:val="28"/>
          <w:szCs w:val="28"/>
        </w:rPr>
        <w:t>向采购人、市公资交易中心或者财政、监察等有关部门报告或举报非法干预评标工作的行为；</w:t>
      </w:r>
    </w:p>
    <w:p>
      <w:pPr>
        <w:numPr>
          <w:ilvl w:val="1"/>
          <w:numId w:val="41"/>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rPr>
        <w:t>市公资交易中心</w:t>
      </w:r>
      <w:r>
        <w:rPr>
          <w:rFonts w:hint="eastAsia" w:ascii="宋体" w:hAnsi="宋体"/>
          <w:sz w:val="28"/>
          <w:szCs w:val="28"/>
        </w:rPr>
        <w:t>或者有关部门报告评标中发现的违法行为。</w:t>
      </w:r>
    </w:p>
    <w:p>
      <w:pPr>
        <w:numPr>
          <w:ilvl w:val="1"/>
          <w:numId w:val="41"/>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五、评标过程独立、保密。投标人非法干预评标过程的行为将导致其投标文件作为无效处理。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六、评标委员会决定投标文件的响应性依据投标文件本身的内容，而不寻求外部的证据，招标文件有明确约定的除外。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七、评标委员会发现招标文件表述不明确或需要说明的事项，可提请采购人和市公资交易中心书面解释说明。</w:t>
      </w:r>
    </w:p>
    <w:p>
      <w:pPr>
        <w:keepNext/>
        <w:keepLines/>
        <w:numPr>
          <w:ilvl w:val="1"/>
          <w:numId w:val="5"/>
        </w:numPr>
        <w:spacing w:line="360" w:lineRule="auto"/>
        <w:jc w:val="left"/>
        <w:outlineLvl w:val="1"/>
        <w:rPr>
          <w:rFonts w:ascii="宋体" w:hAnsi="宋体"/>
          <w:b/>
          <w:bCs/>
          <w:sz w:val="28"/>
          <w:szCs w:val="28"/>
        </w:rPr>
      </w:pPr>
      <w:bookmarkStart w:id="179" w:name="_Toc84599918"/>
      <w:r>
        <w:rPr>
          <w:rFonts w:hint="eastAsia" w:ascii="宋体" w:hAnsi="宋体"/>
          <w:b/>
          <w:bCs/>
          <w:sz w:val="28"/>
          <w:szCs w:val="28"/>
        </w:rPr>
        <w:t>评标方法</w:t>
      </w:r>
      <w:bookmarkEnd w:id="179"/>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80" w:name="_Toc84599919"/>
      <w:r>
        <w:rPr>
          <w:rFonts w:hint="eastAsia" w:ascii="宋体" w:hAnsi="宋体"/>
          <w:b/>
          <w:bCs/>
          <w:sz w:val="28"/>
          <w:szCs w:val="28"/>
        </w:rPr>
        <w:t>评标程序</w:t>
      </w:r>
      <w:bookmarkEnd w:id="180"/>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符合性审查标准见下表（按以下顺序审查）：</w:t>
      </w:r>
    </w:p>
    <w:tbl>
      <w:tblPr>
        <w:tblStyle w:val="43"/>
        <w:tblW w:w="9063"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63"/>
        <w:gridCol w:w="6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符合性审查项</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及</w:t>
            </w:r>
            <w:r>
              <w:rPr>
                <w:rFonts w:ascii="宋体" w:hAnsi="宋体"/>
                <w:sz w:val="24"/>
                <w:szCs w:val="28"/>
              </w:rPr>
              <w:t>报价要求响应文件</w:t>
            </w:r>
            <w:r>
              <w:rPr>
                <w:rFonts w:hint="eastAsia" w:ascii="宋体" w:hAnsi="宋体"/>
                <w:sz w:val="24"/>
                <w:szCs w:val="28"/>
              </w:rPr>
              <w:t>组成</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w:t>
            </w:r>
            <w:r>
              <w:rPr>
                <w:rFonts w:ascii="宋体" w:hAnsi="宋体"/>
                <w:sz w:val="24"/>
                <w:szCs w:val="28"/>
              </w:rPr>
              <w:t>响应文件</w:t>
            </w:r>
            <w:r>
              <w:rPr>
                <w:rFonts w:hint="eastAsia" w:ascii="宋体" w:hAnsi="宋体"/>
                <w:sz w:val="24"/>
                <w:szCs w:val="28"/>
              </w:rPr>
              <w:t>、</w:t>
            </w:r>
            <w:r>
              <w:rPr>
                <w:rFonts w:ascii="宋体" w:hAnsi="宋体"/>
                <w:sz w:val="24"/>
                <w:szCs w:val="28"/>
              </w:rPr>
              <w:t>报价要求响应文件</w:t>
            </w:r>
            <w:r>
              <w:rPr>
                <w:rFonts w:hint="eastAsia" w:ascii="宋体" w:hAnsi="宋体"/>
                <w:sz w:val="24"/>
                <w:szCs w:val="28"/>
              </w:rPr>
              <w:t>的的计量单位、语言、报价货币、投标有效期、</w:t>
            </w:r>
            <w:r>
              <w:rPr>
                <w:rFonts w:ascii="宋体" w:hAnsi="宋体"/>
                <w:sz w:val="24"/>
                <w:szCs w:val="28"/>
              </w:rPr>
              <w:t>知识产权等</w:t>
            </w:r>
            <w:r>
              <w:rPr>
                <w:rFonts w:hint="eastAsia" w:ascii="宋体" w:hAnsi="宋体"/>
                <w:sz w:val="24"/>
                <w:szCs w:val="28"/>
              </w:rPr>
              <w:t>采购</w:t>
            </w:r>
            <w:r>
              <w:rPr>
                <w:rFonts w:ascii="宋体" w:hAnsi="宋体"/>
                <w:sz w:val="24"/>
                <w:szCs w:val="28"/>
              </w:rPr>
              <w:t>文件实质性要求或</w:t>
            </w:r>
            <w:r>
              <w:rPr>
                <w:rFonts w:hint="eastAsia" w:ascii="宋体" w:hAnsi="宋体"/>
                <w:sz w:val="24"/>
                <w:szCs w:val="28"/>
              </w:rPr>
              <w:t>是否</w:t>
            </w:r>
            <w:r>
              <w:rPr>
                <w:rFonts w:ascii="宋体" w:hAnsi="宋体"/>
                <w:sz w:val="24"/>
                <w:szCs w:val="28"/>
              </w:rPr>
              <w:t>应当作无效投标处理</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w:t>
            </w:r>
            <w:r>
              <w:rPr>
                <w:rFonts w:ascii="宋体" w:hAnsi="宋体"/>
                <w:sz w:val="24"/>
                <w:szCs w:val="28"/>
              </w:rPr>
              <w:t>知识产权等</w:t>
            </w:r>
            <w:r>
              <w:rPr>
                <w:rFonts w:hint="eastAsia" w:ascii="宋体" w:hAnsi="宋体"/>
                <w:sz w:val="24"/>
                <w:szCs w:val="28"/>
              </w:rPr>
              <w:t>均符合招标文件的实质性要求以及</w:t>
            </w:r>
            <w:r>
              <w:rPr>
                <w:rFonts w:ascii="宋体" w:hAnsi="宋体"/>
                <w:sz w:val="24"/>
                <w:szCs w:val="28"/>
              </w:rPr>
              <w:t>不应当作无效投标处理</w:t>
            </w:r>
            <w:r>
              <w:rPr>
                <w:rFonts w:hint="eastAsia"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评标委员会不得未经要求投标人确认，直接将投标人投标文件作无效处理。（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w:t>
            </w:r>
            <w:r>
              <w:rPr>
                <w:rFonts w:ascii="宋体" w:hAnsi="宋体"/>
                <w:sz w:val="24"/>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第4章打★号的服务、商务和其他要求</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24"/>
                <w:szCs w:val="28"/>
                <w:lang w:eastAsia="zh-CN"/>
              </w:rPr>
            </w:pPr>
            <w:r>
              <w:rPr>
                <w:rFonts w:hint="eastAsia" w:ascii="宋体" w:hAnsi="宋体"/>
                <w:sz w:val="24"/>
                <w:szCs w:val="28"/>
                <w:lang w:val="en-US" w:eastAsia="zh-CN"/>
              </w:rPr>
              <w:t>5</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不属于禁止参加投标或投标无效的投标人</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（1）根据招标文件的要求不属于禁止参加投标或投标无效的投标人；</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（2）评标委员会未发现或者未知晓投标人存在属于国家相关法律法规规定的禁止参加投标或投标无效的投标人。</w:t>
            </w:r>
          </w:p>
          <w:p>
            <w:pPr>
              <w:tabs>
                <w:tab w:val="left" w:pos="851"/>
              </w:tabs>
              <w:spacing w:line="360" w:lineRule="auto"/>
              <w:rPr>
                <w:rFonts w:ascii="宋体" w:hAnsi="宋体"/>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24"/>
                <w:szCs w:val="28"/>
                <w:lang w:eastAsia="zh-CN"/>
              </w:rPr>
            </w:pPr>
            <w:r>
              <w:rPr>
                <w:rFonts w:hint="eastAsia" w:ascii="宋体" w:hAnsi="宋体"/>
                <w:sz w:val="24"/>
                <w:szCs w:val="28"/>
                <w:lang w:val="en-US" w:eastAsia="zh-CN"/>
              </w:rPr>
              <w:t>6</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法定代表人或主要负责人身份证复印件或护照复印件</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sz w:val="24"/>
                <w:szCs w:val="28"/>
                <w:lang w:eastAsia="zh-CN"/>
              </w:rPr>
            </w:pPr>
            <w:r>
              <w:rPr>
                <w:rFonts w:hint="eastAsia" w:ascii="宋体" w:hAnsi="宋体"/>
                <w:sz w:val="24"/>
                <w:szCs w:val="28"/>
                <w:lang w:val="en-US" w:eastAsia="zh-CN"/>
              </w:rPr>
              <w:t>7</w:t>
            </w:r>
          </w:p>
        </w:tc>
        <w:tc>
          <w:tcPr>
            <w:tcW w:w="196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633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cs="仿宋_GB2312" w:asciiTheme="minorEastAsia" w:hAnsiTheme="minorEastAsia" w:eastAsiaTheme="minorEastAsia"/>
                <w:sz w:val="24"/>
                <w:szCs w:val="24"/>
              </w:rPr>
              <w:t>无。</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符合”的，则投标人的投标文件通过符合性审查；如有任意一项结论为“不符合”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42"/>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3"/>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3"/>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3"/>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2"/>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r>
        <w:rPr>
          <w:rFonts w:hint="eastAsia" w:ascii="宋体" w:hAnsi="宋体"/>
          <w:sz w:val="28"/>
          <w:szCs w:val="28"/>
        </w:rPr>
        <w:t>评标委员会不得未经要求投标人确认，直接将投标人投标文件作无效处理。</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rPr>
        <w:t>市公资交易中心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4"/>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4"/>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4"/>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5"/>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81" w:name="_Toc84599920"/>
      <w:r>
        <w:rPr>
          <w:rFonts w:hint="eastAsia" w:ascii="宋体" w:hAnsi="宋体"/>
          <w:b/>
          <w:bCs/>
          <w:sz w:val="28"/>
          <w:szCs w:val="28"/>
        </w:rPr>
        <w:t>评标争议处理规则</w:t>
      </w:r>
      <w:bookmarkEnd w:id="181"/>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rPr>
        <w:t>市公资交易中心</w:t>
      </w:r>
      <w:r>
        <w:rPr>
          <w:rFonts w:hint="eastAsia" w:ascii="宋体" w:hAnsi="宋体"/>
          <w:sz w:val="28"/>
          <w:szCs w:val="28"/>
        </w:rPr>
        <w:t>书面反映。采购人或</w:t>
      </w:r>
      <w:r>
        <w:rPr>
          <w:rFonts w:hint="eastAsia" w:cs="Arial"/>
          <w:sz w:val="28"/>
          <w:szCs w:val="28"/>
        </w:rPr>
        <w:t>市公资交易中心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82" w:name="_Toc84599921"/>
      <w:r>
        <w:rPr>
          <w:rFonts w:hint="eastAsia" w:ascii="宋体" w:hAnsi="宋体"/>
          <w:b/>
          <w:bCs/>
          <w:sz w:val="28"/>
          <w:szCs w:val="28"/>
        </w:rPr>
        <w:t>评标细则及标准</w:t>
      </w:r>
      <w:bookmarkEnd w:id="182"/>
    </w:p>
    <w:p>
      <w:pPr>
        <w:numPr>
          <w:ilvl w:val="0"/>
          <w:numId w:val="46"/>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6"/>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w:t>
      </w:r>
      <w:r>
        <w:rPr>
          <w:rFonts w:hint="eastAsia" w:ascii="宋体" w:hAnsi="宋体"/>
          <w:sz w:val="28"/>
          <w:szCs w:val="28"/>
          <w:lang w:eastAsia="zh-CN"/>
        </w:rPr>
        <w:t>方案</w:t>
      </w:r>
      <w:r>
        <w:rPr>
          <w:rFonts w:hint="eastAsia" w:ascii="宋体" w:hAnsi="宋体"/>
          <w:sz w:val="28"/>
          <w:szCs w:val="28"/>
        </w:rPr>
        <w:t>、</w:t>
      </w:r>
      <w:r>
        <w:rPr>
          <w:rFonts w:hint="eastAsia" w:ascii="宋体" w:hAnsi="宋体"/>
          <w:sz w:val="28"/>
          <w:szCs w:val="28"/>
          <w:lang w:eastAsia="zh-CN"/>
        </w:rPr>
        <w:t>人员配置</w:t>
      </w:r>
      <w:r>
        <w:rPr>
          <w:rFonts w:hint="eastAsia" w:ascii="宋体" w:hAnsi="宋体"/>
          <w:sz w:val="28"/>
          <w:szCs w:val="28"/>
        </w:rPr>
        <w:t>等。</w:t>
      </w:r>
    </w:p>
    <w:p>
      <w:pPr>
        <w:numPr>
          <w:ilvl w:val="0"/>
          <w:numId w:val="46"/>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b/>
          <w:bCs/>
          <w:color w:val="auto"/>
        </w:rPr>
      </w:pPr>
      <w:r>
        <w:rPr>
          <w:rFonts w:hint="eastAsia" w:ascii="宋体" w:hAnsi="宋体"/>
          <w:b/>
          <w:bCs/>
          <w:sz w:val="28"/>
          <w:szCs w:val="28"/>
        </w:rPr>
        <w:t xml:space="preserve">评分标准 </w:t>
      </w:r>
      <w:bookmarkStart w:id="183" w:name="_Toc315871658"/>
      <w:bookmarkEnd w:id="183"/>
      <w:bookmarkStart w:id="184" w:name="_Toc320624260"/>
      <w:bookmarkEnd w:id="184"/>
      <w:bookmarkStart w:id="185" w:name="_Toc315871725"/>
      <w:bookmarkEnd w:id="185"/>
      <w:bookmarkStart w:id="186" w:name="_Toc320624295"/>
      <w:bookmarkEnd w:id="186"/>
      <w:bookmarkStart w:id="187" w:name="_Toc320624265"/>
      <w:bookmarkEnd w:id="187"/>
      <w:bookmarkStart w:id="188" w:name="_Toc320624280"/>
      <w:bookmarkEnd w:id="188"/>
      <w:bookmarkStart w:id="189" w:name="_Toc320624255"/>
      <w:bookmarkEnd w:id="189"/>
      <w:bookmarkStart w:id="190" w:name="_Toc320624290"/>
      <w:bookmarkEnd w:id="190"/>
      <w:bookmarkStart w:id="191" w:name="_Toc320624275"/>
      <w:bookmarkEnd w:id="191"/>
      <w:bookmarkStart w:id="192" w:name="_Toc315871656"/>
      <w:bookmarkEnd w:id="192"/>
      <w:bookmarkStart w:id="193" w:name="_Toc318206701"/>
      <w:bookmarkEnd w:id="193"/>
      <w:bookmarkStart w:id="194" w:name="_Toc320624240"/>
      <w:bookmarkEnd w:id="194"/>
      <w:bookmarkStart w:id="195" w:name="_Toc315871657"/>
      <w:bookmarkEnd w:id="195"/>
      <w:bookmarkStart w:id="196" w:name="_Toc320624285"/>
      <w:bookmarkEnd w:id="196"/>
    </w:p>
    <w:tbl>
      <w:tblPr>
        <w:tblStyle w:val="43"/>
        <w:tblW w:w="8593" w:type="dxa"/>
        <w:jc w:val="center"/>
        <w:tblInd w:w="0" w:type="dxa"/>
        <w:tblLayout w:type="fixed"/>
        <w:tblCellMar>
          <w:top w:w="0" w:type="dxa"/>
          <w:left w:w="0" w:type="dxa"/>
          <w:bottom w:w="0" w:type="dxa"/>
          <w:right w:w="0" w:type="dxa"/>
        </w:tblCellMar>
      </w:tblPr>
      <w:tblGrid>
        <w:gridCol w:w="909"/>
        <w:gridCol w:w="1364"/>
        <w:gridCol w:w="5470"/>
        <w:gridCol w:w="850"/>
      </w:tblGrid>
      <w:tr>
        <w:tblPrEx>
          <w:tblLayout w:type="fixed"/>
          <w:tblCellMar>
            <w:top w:w="0" w:type="dxa"/>
            <w:left w:w="0" w:type="dxa"/>
            <w:bottom w:w="0" w:type="dxa"/>
            <w:right w:w="0" w:type="dxa"/>
          </w:tblCellMar>
        </w:tblPrEx>
        <w:trPr>
          <w:trHeight w:val="570" w:hRule="atLeast"/>
          <w:jc w:val="center"/>
        </w:trPr>
        <w:tc>
          <w:tcPr>
            <w:tcW w:w="9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b/>
                <w:bCs/>
                <w:color w:val="auto"/>
                <w:sz w:val="24"/>
                <w:szCs w:val="24"/>
              </w:rPr>
            </w:pPr>
            <w:r>
              <w:rPr>
                <w:rFonts w:hint="eastAsia" w:ascii="宋体" w:hAnsi="宋体" w:cs="仿宋"/>
                <w:b/>
                <w:bCs/>
                <w:color w:val="auto"/>
                <w:kern w:val="0"/>
                <w:sz w:val="24"/>
                <w:szCs w:val="24"/>
              </w:rPr>
              <w:t>评委类别</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b/>
                <w:bCs/>
                <w:color w:val="auto"/>
                <w:sz w:val="24"/>
                <w:szCs w:val="24"/>
              </w:rPr>
            </w:pPr>
            <w:r>
              <w:rPr>
                <w:rFonts w:hint="eastAsia" w:ascii="宋体" w:hAnsi="宋体" w:cs="仿宋"/>
                <w:b/>
                <w:bCs/>
                <w:color w:val="auto"/>
                <w:kern w:val="0"/>
                <w:sz w:val="24"/>
                <w:szCs w:val="24"/>
              </w:rPr>
              <w:t>评审项目</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b/>
                <w:bCs/>
                <w:color w:val="auto"/>
                <w:sz w:val="24"/>
                <w:szCs w:val="24"/>
              </w:rPr>
            </w:pPr>
            <w:r>
              <w:rPr>
                <w:rFonts w:hint="eastAsia" w:ascii="宋体" w:hAnsi="宋体" w:cs="仿宋"/>
                <w:b/>
                <w:bCs/>
                <w:color w:val="auto"/>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cs="仿宋"/>
                <w:b/>
                <w:bCs/>
                <w:color w:val="auto"/>
                <w:sz w:val="24"/>
                <w:szCs w:val="24"/>
              </w:rPr>
            </w:pPr>
            <w:r>
              <w:rPr>
                <w:rFonts w:hint="eastAsia" w:ascii="宋体" w:hAnsi="宋体" w:cs="仿宋"/>
                <w:b/>
                <w:bCs/>
                <w:color w:val="auto"/>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9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b/>
                <w:color w:val="auto"/>
                <w:sz w:val="24"/>
                <w:szCs w:val="24"/>
              </w:rPr>
            </w:pPr>
            <w:r>
              <w:rPr>
                <w:rFonts w:hint="eastAsia" w:ascii="宋体" w:hAnsi="宋体" w:cs="仿宋"/>
                <w:b/>
                <w:color w:val="auto"/>
                <w:kern w:val="0"/>
                <w:sz w:val="24"/>
                <w:szCs w:val="24"/>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color w:val="auto"/>
                <w:sz w:val="24"/>
                <w:szCs w:val="24"/>
              </w:rPr>
            </w:pPr>
            <w:r>
              <w:rPr>
                <w:rFonts w:hint="eastAsia" w:ascii="宋体" w:hAnsi="宋体" w:cs="仿宋"/>
                <w:color w:val="auto"/>
                <w:kern w:val="0"/>
                <w:sz w:val="24"/>
                <w:szCs w:val="24"/>
              </w:rPr>
              <w:t>报价评审</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480" w:firstLineChars="200"/>
              <w:textAlignment w:val="center"/>
              <w:rPr>
                <w:rFonts w:hint="default" w:ascii="宋体" w:hAnsi="宋体" w:eastAsia="宋体" w:cs="仿宋"/>
                <w:color w:val="auto"/>
                <w:sz w:val="24"/>
                <w:szCs w:val="24"/>
                <w:lang w:val="en-US" w:eastAsia="zh-CN"/>
              </w:rPr>
            </w:pPr>
            <w:r>
              <w:rPr>
                <w:rFonts w:hint="eastAsia" w:ascii="宋体" w:hAnsi="宋体" w:cs="仿宋"/>
                <w:color w:val="auto"/>
                <w:kern w:val="0"/>
                <w:sz w:val="24"/>
                <w:szCs w:val="24"/>
              </w:rPr>
              <w:t>1、</w:t>
            </w:r>
            <w:r>
              <w:rPr>
                <w:rFonts w:hint="eastAsia" w:asciiTheme="minorEastAsia" w:hAnsiTheme="minorEastAsia" w:eastAsiaTheme="minorEastAsia"/>
                <w:color w:val="auto"/>
                <w:sz w:val="22"/>
              </w:rPr>
              <w:t>投标人如为监狱企业、小微企业、残疾人福利性企业的，则给予其投标报价10%的价格扣除，用扣除后的价格参与评审；</w:t>
            </w:r>
            <w:r>
              <w:rPr>
                <w:rFonts w:hint="eastAsia" w:asciiTheme="minorEastAsia" w:hAnsiTheme="minorEastAsia" w:eastAsiaTheme="minorEastAsia"/>
                <w:color w:val="auto"/>
                <w:sz w:val="22"/>
                <w:lang w:val="en-US" w:eastAsia="zh-CN"/>
              </w:rPr>
              <w:t>2、</w:t>
            </w:r>
            <w:r>
              <w:rPr>
                <w:rFonts w:hint="eastAsia" w:asciiTheme="minorEastAsia" w:hAnsiTheme="minorEastAsia" w:eastAsiaTheme="minorEastAsia"/>
                <w:color w:val="auto"/>
                <w:sz w:val="22"/>
              </w:rPr>
              <w:t>经评标委员会评审，通过资格性和符合性审查，且投标报价最低的投标人的投标报价作为评标基准价；</w:t>
            </w:r>
            <w:r>
              <w:rPr>
                <w:rFonts w:hint="eastAsia" w:asciiTheme="minorEastAsia" w:hAnsiTheme="minorEastAsia" w:eastAsiaTheme="minorEastAsia"/>
                <w:color w:val="auto"/>
                <w:sz w:val="22"/>
              </w:rPr>
              <w:br w:type="textWrapping"/>
            </w:r>
            <w:r>
              <w:rPr>
                <w:rFonts w:hint="eastAsia" w:asciiTheme="minorEastAsia" w:hAnsiTheme="minorEastAsia" w:eastAsiaTheme="minorEastAsia"/>
                <w:color w:val="auto"/>
                <w:sz w:val="22"/>
                <w:lang w:val="en-US" w:eastAsia="zh-CN"/>
              </w:rPr>
              <w:t xml:space="preserve">   </w:t>
            </w:r>
            <w:r>
              <w:rPr>
                <w:rFonts w:hint="eastAsia" w:asciiTheme="minorEastAsia" w:hAnsiTheme="minorEastAsia" w:eastAsiaTheme="minorEastAsia"/>
                <w:color w:val="auto"/>
                <w:sz w:val="22"/>
              </w:rPr>
              <w:t>2、投标报价得分=(评标基准价／投标报价)×</w:t>
            </w:r>
            <w:r>
              <w:rPr>
                <w:rFonts w:hint="eastAsia" w:asciiTheme="minorEastAsia" w:hAnsiTheme="minorEastAsia" w:eastAsiaTheme="minorEastAsia"/>
                <w:color w:val="auto"/>
                <w:sz w:val="22"/>
                <w:lang w:val="en-US" w:eastAsia="zh-CN"/>
              </w:rPr>
              <w:t>10</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cs="仿宋"/>
                <w:color w:val="auto"/>
                <w:sz w:val="24"/>
                <w:szCs w:val="24"/>
              </w:rPr>
            </w:pPr>
            <w:r>
              <w:rPr>
                <w:rFonts w:hint="eastAsia" w:ascii="宋体" w:hAnsi="宋体" w:cs="仿宋"/>
                <w:color w:val="auto"/>
                <w:kern w:val="0"/>
                <w:sz w:val="24"/>
                <w:szCs w:val="24"/>
                <w:lang w:val="en-US" w:eastAsia="zh-CN"/>
              </w:rPr>
              <w:t>10</w:t>
            </w:r>
            <w:r>
              <w:rPr>
                <w:rFonts w:hint="eastAsia" w:ascii="宋体" w:hAnsi="宋体" w:cs="仿宋"/>
                <w:color w:val="auto"/>
                <w:kern w:val="0"/>
                <w:sz w:val="24"/>
                <w:szCs w:val="24"/>
              </w:rPr>
              <w:t>分</w:t>
            </w:r>
          </w:p>
        </w:tc>
      </w:tr>
      <w:tr>
        <w:tblPrEx>
          <w:tblLayout w:type="fixed"/>
          <w:tblCellMar>
            <w:top w:w="0" w:type="dxa"/>
            <w:left w:w="0" w:type="dxa"/>
            <w:bottom w:w="0" w:type="dxa"/>
            <w:right w:w="0" w:type="dxa"/>
          </w:tblCellMar>
        </w:tblPrEx>
        <w:trPr>
          <w:trHeight w:val="2331" w:hRule="atLeast"/>
          <w:jc w:val="center"/>
        </w:trPr>
        <w:tc>
          <w:tcPr>
            <w:tcW w:w="90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b/>
                <w:color w:val="auto"/>
                <w:sz w:val="24"/>
                <w:szCs w:val="24"/>
              </w:rPr>
            </w:pPr>
            <w:r>
              <w:rPr>
                <w:rFonts w:hint="eastAsia" w:ascii="宋体" w:hAnsi="宋体" w:cs="仿宋"/>
                <w:b/>
                <w:color w:val="auto"/>
                <w:kern w:val="0"/>
                <w:sz w:val="24"/>
                <w:szCs w:val="24"/>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cs="仿宋"/>
                <w:color w:val="FF0000"/>
                <w:sz w:val="24"/>
                <w:szCs w:val="24"/>
              </w:rPr>
            </w:pPr>
            <w:r>
              <w:rPr>
                <w:rFonts w:hint="eastAsia"/>
                <w:color w:val="000000" w:themeColor="text1"/>
                <w:sz w:val="24"/>
                <w:szCs w:val="24"/>
                <w14:textFill>
                  <w14:solidFill>
                    <w14:schemeClr w14:val="tx1"/>
                  </w14:solidFill>
                </w14:textFill>
              </w:rPr>
              <w:t>投标人业绩</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投标人</w:t>
            </w:r>
            <w:r>
              <w:rPr>
                <w:rFonts w:hint="eastAsia"/>
                <w:color w:val="000000" w:themeColor="text1"/>
                <w:sz w:val="22"/>
                <w:lang w:eastAsia="zh-CN"/>
                <w14:textFill>
                  <w14:solidFill>
                    <w14:schemeClr w14:val="tx1"/>
                  </w14:solidFill>
                </w14:textFill>
              </w:rPr>
              <w:t>自</w:t>
            </w:r>
            <w:r>
              <w:rPr>
                <w:rFonts w:hint="eastAsia"/>
                <w:color w:val="000000" w:themeColor="text1"/>
                <w:sz w:val="22"/>
                <w:lang w:val="en-US" w:eastAsia="zh-CN"/>
                <w14:textFill>
                  <w14:solidFill>
                    <w14:schemeClr w14:val="tx1"/>
                  </w14:solidFill>
                </w14:textFill>
              </w:rPr>
              <w:t>2019年1月1日起</w:t>
            </w:r>
            <w:r>
              <w:rPr>
                <w:rFonts w:hint="eastAsia"/>
                <w:color w:val="000000" w:themeColor="text1"/>
                <w:sz w:val="22"/>
                <w14:textFill>
                  <w14:solidFill>
                    <w14:schemeClr w14:val="tx1"/>
                  </w14:solidFill>
                </w14:textFill>
              </w:rPr>
              <w:t>每具有1个非住宅类物业管理服务业绩且服务内容至少包含保洁（或相同语意内容）或中央运送（或相同语意内容），得2.5分，本项最多得10分。</w:t>
            </w:r>
          </w:p>
          <w:p>
            <w:pPr>
              <w:jc w:val="left"/>
              <w:rPr>
                <w:rFonts w:ascii="宋体" w:hAnsi="宋体"/>
                <w:color w:val="FF0000"/>
                <w:sz w:val="24"/>
                <w:szCs w:val="28"/>
              </w:rPr>
            </w:pPr>
            <w:r>
              <w:rPr>
                <w:rFonts w:hint="eastAsia"/>
                <w:color w:val="000000" w:themeColor="text1"/>
                <w:sz w:val="22"/>
                <w14:textFill>
                  <w14:solidFill>
                    <w14:schemeClr w14:val="tx1"/>
                  </w14:solidFill>
                </w14:textFill>
              </w:rPr>
              <w:t>[说明：1、中央运送不仅限于医院的运送配送服务；2、服务内容以合同上所描述的内容为准，提供合同复印件及合同资金支付凭证（如为分期付款的，至少提供1次支付凭证）；</w:t>
            </w:r>
            <w:r>
              <w:rPr>
                <w:rFonts w:hint="eastAsia" w:eastAsia="宋体"/>
                <w:color w:val="000000" w:themeColor="text1"/>
                <w:sz w:val="22"/>
                <w14:textFill>
                  <w14:solidFill>
                    <w14:schemeClr w14:val="tx1"/>
                  </w14:solidFill>
                </w14:textFill>
              </w:rPr>
              <w:t>3、同一业主的多个合同，按一个业绩计算；4、</w:t>
            </w:r>
            <w:r>
              <w:rPr>
                <w:rFonts w:hint="eastAsia"/>
                <w:color w:val="000000" w:themeColor="text1"/>
                <w:sz w:val="22"/>
                <w14:textFill>
                  <w14:solidFill>
                    <w14:schemeClr w14:val="tx1"/>
                  </w14:solidFill>
                </w14:textFill>
              </w:rPr>
              <w:t>以合同签订时间为准。]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color w:val="FF0000"/>
                <w:sz w:val="24"/>
                <w:szCs w:val="28"/>
              </w:rPr>
            </w:pPr>
            <w:r>
              <w:rPr>
                <w:rFonts w:hint="eastAsia" w:ascii="宋体" w:hAnsi="宋体" w:eastAsia="宋体" w:cs="仿宋"/>
                <w:color w:val="auto"/>
                <w:kern w:val="0"/>
                <w:sz w:val="24"/>
                <w:szCs w:val="24"/>
                <w:lang w:val="en-US" w:eastAsia="zh-CN"/>
              </w:rPr>
              <w:t>10分</w:t>
            </w:r>
          </w:p>
        </w:tc>
      </w:tr>
      <w:tr>
        <w:tblPrEx>
          <w:tblLayout w:type="fixed"/>
          <w:tblCellMar>
            <w:top w:w="0" w:type="dxa"/>
            <w:left w:w="0" w:type="dxa"/>
            <w:bottom w:w="0" w:type="dxa"/>
            <w:right w:w="0" w:type="dxa"/>
          </w:tblCellMar>
        </w:tblPrEx>
        <w:trPr>
          <w:trHeight w:val="727" w:hRule="atLeast"/>
          <w:jc w:val="center"/>
        </w:trPr>
        <w:tc>
          <w:tcPr>
            <w:tcW w:w="909"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cs="仿宋"/>
                <w:b/>
                <w:color w:val="auto"/>
                <w:sz w:val="24"/>
                <w:szCs w:val="24"/>
              </w:rPr>
            </w:pP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cs="仿宋"/>
                <w:color w:val="FF0000"/>
                <w:sz w:val="24"/>
                <w:szCs w:val="24"/>
              </w:rPr>
            </w:pPr>
            <w:r>
              <w:rPr>
                <w:rFonts w:hint="eastAsia"/>
                <w:color w:val="000000" w:themeColor="text1"/>
                <w:sz w:val="24"/>
                <w:szCs w:val="24"/>
                <w14:textFill>
                  <w14:solidFill>
                    <w14:schemeClr w14:val="tx1"/>
                  </w14:solidFill>
                </w14:textFill>
              </w:rPr>
              <w:t>整体策划方案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color w:val="auto"/>
                <w:sz w:val="22"/>
              </w:rPr>
            </w:pPr>
            <w:r>
              <w:rPr>
                <w:rFonts w:hint="eastAsia"/>
                <w:color w:val="auto"/>
                <w:sz w:val="22"/>
              </w:rPr>
              <w:t>根据投标人针对本项目物业管理服务的服务方案和管理思想进行综合评分：</w:t>
            </w:r>
          </w:p>
          <w:p>
            <w:pPr>
              <w:numPr>
                <w:ilvl w:val="0"/>
                <w:numId w:val="47"/>
              </w:numPr>
              <w:ind w:firstLine="440" w:firstLineChars="200"/>
              <w:jc w:val="left"/>
              <w:rPr>
                <w:rFonts w:hint="eastAsia" w:eastAsia="宋体"/>
                <w:color w:val="auto"/>
                <w:sz w:val="22"/>
              </w:rPr>
            </w:pPr>
            <w:r>
              <w:rPr>
                <w:rFonts w:hint="eastAsia"/>
                <w:color w:val="auto"/>
                <w:sz w:val="22"/>
              </w:rPr>
              <w:t>一站式后勤整体服务思路：投标人应结合《建立健全现代医院管理制度》等政策提供针对</w:t>
            </w:r>
            <w:r>
              <w:rPr>
                <w:rFonts w:hint="eastAsia"/>
                <w:color w:val="auto"/>
                <w:sz w:val="22"/>
                <w:lang w:eastAsia="zh-CN"/>
              </w:rPr>
              <w:t>彭州市人民</w:t>
            </w:r>
            <w:r>
              <w:rPr>
                <w:rFonts w:hint="eastAsia"/>
                <w:color w:val="auto"/>
                <w:sz w:val="22"/>
              </w:rPr>
              <w:t>医院一站式后勤整体服务思路，包括政策理解、服务体系（服务理念、实施计划）、一站式服务模式、信息化与后勤服务相结合等6方面的内容，完全符合项目要求的得6分，每缺少一项或每有一项内容不完善或不符合项目要求的扣1.5分，直至扣完为止。</w:t>
            </w:r>
            <w:r>
              <w:rPr>
                <w:rFonts w:hint="eastAsia"/>
                <w:color w:val="auto"/>
                <w:sz w:val="22"/>
              </w:rPr>
              <w:br w:type="textWrapping"/>
            </w:r>
            <w:r>
              <w:rPr>
                <w:rFonts w:hint="eastAsia"/>
                <w:color w:val="auto"/>
                <w:sz w:val="22"/>
                <w:lang w:val="en-US" w:eastAsia="zh-CN"/>
              </w:rPr>
              <w:t xml:space="preserve">   </w:t>
            </w:r>
            <w:r>
              <w:rPr>
                <w:rFonts w:hint="eastAsia" w:eastAsia="宋体"/>
                <w:color w:val="auto"/>
                <w:sz w:val="22"/>
                <w:lang w:val="en-US" w:eastAsia="zh-CN"/>
              </w:rPr>
              <w:t>2、</w:t>
            </w:r>
            <w:r>
              <w:rPr>
                <w:rFonts w:hint="eastAsia" w:eastAsia="宋体"/>
                <w:color w:val="auto"/>
                <w:sz w:val="22"/>
              </w:rPr>
              <w:t>一站式后勤整体管理目标：投标人根据彭州市人民医院对一站式后勤服务的要求制定项目整体管理目标，管理目标须从安全、人员、质量品质、效率、满意度等5个维度进行详细阐述（须提供通过信息化工具进行逐一展示界面的截图）。以上五点内容完全满足采购文件要求同时提供了逐一展示界面的截图的每一项得1分，最多得5分，内容每缺少一项或每有一项内容不完善或不符合项目要求或未提供该项演示截图的该项不得分。</w:t>
            </w:r>
          </w:p>
          <w:p>
            <w:pPr>
              <w:numPr>
                <w:ilvl w:val="0"/>
                <w:numId w:val="0"/>
              </w:numPr>
              <w:jc w:val="left"/>
              <w:rPr>
                <w:rFonts w:ascii="宋体" w:hAnsi="宋体"/>
                <w:color w:val="auto"/>
                <w:sz w:val="24"/>
                <w:szCs w:val="28"/>
              </w:rPr>
            </w:pPr>
            <w:r>
              <w:rPr>
                <w:rFonts w:hint="eastAsia"/>
                <w:color w:val="auto"/>
                <w:sz w:val="22"/>
                <w:lang w:val="en-US" w:eastAsia="zh-CN"/>
              </w:rPr>
              <w:t xml:space="preserve">   3、</w:t>
            </w:r>
            <w:r>
              <w:rPr>
                <w:rFonts w:hint="eastAsia"/>
                <w:color w:val="auto"/>
                <w:sz w:val="22"/>
              </w:rPr>
              <w:t>项目特点的分析理解:分析体现了本项目的服务现状</w:t>
            </w:r>
            <w:r>
              <w:rPr>
                <w:rFonts w:hint="eastAsia"/>
                <w:color w:val="auto"/>
                <w:sz w:val="22"/>
                <w:lang w:eastAsia="zh-CN"/>
              </w:rPr>
              <w:t>、</w:t>
            </w:r>
            <w:r>
              <w:rPr>
                <w:rFonts w:hint="eastAsia"/>
                <w:color w:val="auto"/>
                <w:sz w:val="22"/>
              </w:rPr>
              <w:t>重点、难点等3方面内容的得3分,每缺少一项或每有一项内容不完善或不符合项目要求的扣1分，最多扣3分。</w:t>
            </w:r>
            <w:r>
              <w:rPr>
                <w:rFonts w:hint="eastAsia"/>
                <w:color w:val="auto"/>
                <w:sz w:val="22"/>
              </w:rPr>
              <w:br w:type="textWrapping"/>
            </w:r>
            <w:r>
              <w:rPr>
                <w:rFonts w:hint="eastAsia"/>
                <w:color w:val="auto"/>
                <w:sz w:val="22"/>
                <w:lang w:val="en-US" w:eastAsia="zh-CN"/>
              </w:rPr>
              <w:t xml:space="preserve">   4、</w:t>
            </w:r>
            <w:r>
              <w:rPr>
                <w:rFonts w:hint="eastAsia"/>
                <w:color w:val="auto"/>
                <w:sz w:val="22"/>
              </w:rPr>
              <w:t>项目入驻和承接查验方案:方案能充分考虑到项目平稳过渡包括进场交接措施、人员安置及设备处置措施、承接查验措施等3部分内容的得3分,每缺少一项或每有一项内容不完善或不符合项目要求的扣1分，最多扣3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color w:val="auto"/>
                <w:sz w:val="24"/>
                <w:szCs w:val="28"/>
              </w:rPr>
            </w:pPr>
            <w:r>
              <w:rPr>
                <w:rFonts w:hint="eastAsia" w:ascii="宋体" w:hAnsi="宋体" w:cs="仿宋"/>
                <w:color w:val="auto"/>
                <w:kern w:val="0"/>
                <w:sz w:val="24"/>
                <w:szCs w:val="24"/>
                <w:lang w:val="en-US" w:eastAsia="zh-CN"/>
              </w:rPr>
              <w:t>17</w:t>
            </w:r>
            <w:r>
              <w:rPr>
                <w:rFonts w:hint="eastAsia" w:ascii="宋体" w:hAnsi="宋体" w:cs="仿宋"/>
                <w:color w:val="auto"/>
                <w:kern w:val="0"/>
                <w:sz w:val="24"/>
                <w:szCs w:val="24"/>
              </w:rPr>
              <w:t>分</w:t>
            </w:r>
          </w:p>
        </w:tc>
      </w:tr>
      <w:tr>
        <w:tblPrEx>
          <w:tblLayout w:type="fixed"/>
          <w:tblCellMar>
            <w:top w:w="0" w:type="dxa"/>
            <w:left w:w="0" w:type="dxa"/>
            <w:bottom w:w="0" w:type="dxa"/>
            <w:right w:w="0" w:type="dxa"/>
          </w:tblCellMar>
        </w:tblPrEx>
        <w:trPr>
          <w:trHeight w:val="1596" w:hRule="atLeast"/>
          <w:jc w:val="center"/>
        </w:trPr>
        <w:tc>
          <w:tcPr>
            <w:tcW w:w="909"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cs="仿宋"/>
                <w:b/>
                <w:color w:val="auto"/>
                <w:sz w:val="24"/>
                <w:szCs w:val="24"/>
              </w:rPr>
            </w:pP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cs="仿宋"/>
                <w:color w:val="auto"/>
                <w:sz w:val="24"/>
                <w:szCs w:val="24"/>
              </w:rPr>
            </w:pPr>
            <w:r>
              <w:rPr>
                <w:rFonts w:hint="eastAsia"/>
                <w:color w:val="auto"/>
                <w:sz w:val="24"/>
                <w:szCs w:val="24"/>
              </w:rPr>
              <w:t>保洁服务方案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numPr>
                <w:ilvl w:val="0"/>
                <w:numId w:val="48"/>
              </w:numPr>
              <w:ind w:firstLine="440" w:firstLineChars="200"/>
              <w:jc w:val="left"/>
              <w:rPr>
                <w:rFonts w:hint="eastAsia"/>
                <w:color w:val="auto"/>
                <w:sz w:val="22"/>
                <w:lang w:val="en-US" w:eastAsia="zh-CN"/>
              </w:rPr>
            </w:pPr>
            <w:r>
              <w:rPr>
                <w:rFonts w:hint="eastAsia"/>
                <w:color w:val="auto"/>
                <w:sz w:val="22"/>
                <w:highlight w:val="none"/>
              </w:rPr>
              <w:t>投标人提供的保洁服务方案应包含日常保洁服务内容、专项保洁服务内容、服务标准、工作计划安排、保洁工具及耗材清单等5方面的内容，完全符合医院实际需求的得5分，每缺少一项或每有一项内容不完善或不符合项目要求的扣1分，最多扣5分。</w:t>
            </w:r>
            <w:r>
              <w:rPr>
                <w:rFonts w:hint="eastAsia"/>
                <w:color w:val="auto"/>
                <w:sz w:val="22"/>
                <w:highlight w:val="none"/>
              </w:rPr>
              <w:br w:type="textWrapping"/>
            </w:r>
            <w:r>
              <w:rPr>
                <w:rFonts w:hint="eastAsia"/>
                <w:color w:val="auto"/>
                <w:sz w:val="22"/>
                <w:highlight w:val="none"/>
                <w:lang w:val="en-US" w:eastAsia="zh-CN"/>
              </w:rPr>
              <w:t xml:space="preserve">   </w:t>
            </w:r>
            <w:r>
              <w:rPr>
                <w:rFonts w:hint="eastAsia"/>
                <w:color w:val="auto"/>
                <w:sz w:val="22"/>
              </w:rPr>
              <w:t>2、投标人提供保洁作业流程：投标人应详细画出保洁模块线上线下相结合的作业流程图，流程覆盖各岗位角色且形成服务闭环管理（至少包括日常保洁流程、专项保洁流程、应急保洁流程等3个流程图）。以上3项作业流程完全满足以上要求得3分，每缺少一项或每有一项内容不完善或不符合项目要求的扣1分，最多扣3分。</w:t>
            </w:r>
          </w:p>
          <w:p>
            <w:pPr>
              <w:numPr>
                <w:ilvl w:val="0"/>
                <w:numId w:val="0"/>
              </w:numPr>
              <w:ind w:firstLine="440" w:firstLineChars="200"/>
              <w:jc w:val="left"/>
              <w:rPr>
                <w:rFonts w:ascii="宋体" w:hAnsi="宋体"/>
                <w:color w:val="auto"/>
                <w:sz w:val="24"/>
                <w:szCs w:val="28"/>
              </w:rPr>
            </w:pPr>
            <w:r>
              <w:rPr>
                <w:rFonts w:hint="eastAsia"/>
                <w:color w:val="auto"/>
                <w:sz w:val="22"/>
                <w:lang w:val="en-US" w:eastAsia="zh-CN"/>
              </w:rPr>
              <w:t>3、</w:t>
            </w:r>
            <w:r>
              <w:rPr>
                <w:rFonts w:hint="eastAsia"/>
                <w:color w:val="auto"/>
                <w:sz w:val="22"/>
              </w:rPr>
              <w:t>投标人提供的保洁服务方案中应包含保洁信息化管理系统的描述，保洁信息化管理系统至少包含对日常保洁任务、专项保洁任务、应急保洁任务、人员考勤、服务品质等5方面的管理（提供保洁信息化管理系统在类似项目中的应用截图作为佐证），完全满足以上要求得5分，每缺少一项或每有一项内容不完善或不符合项目要求的扣1分，最多扣5分；不提供佐证材料不得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color w:val="auto"/>
                <w:sz w:val="24"/>
                <w:szCs w:val="28"/>
              </w:rPr>
            </w:pPr>
            <w:r>
              <w:rPr>
                <w:rFonts w:hint="eastAsia" w:ascii="宋体" w:hAnsi="宋体" w:cs="仿宋"/>
                <w:color w:val="auto"/>
                <w:kern w:val="0"/>
                <w:sz w:val="24"/>
                <w:szCs w:val="24"/>
                <w:lang w:val="en-US" w:eastAsia="zh-CN"/>
              </w:rPr>
              <w:t>13</w:t>
            </w:r>
            <w:r>
              <w:rPr>
                <w:rFonts w:hint="eastAsia" w:ascii="宋体" w:hAnsi="宋体" w:cs="仿宋"/>
                <w:color w:val="auto"/>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909" w:type="dxa"/>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sz w:val="24"/>
                <w:szCs w:val="24"/>
              </w:rPr>
            </w:pPr>
            <w:r>
              <w:rPr>
                <w:rFonts w:hint="eastAsia" w:ascii="宋体" w:hAnsi="宋体" w:cs="仿宋"/>
                <w:b/>
                <w:color w:val="auto"/>
                <w:kern w:val="0"/>
                <w:sz w:val="24"/>
                <w:szCs w:val="24"/>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olor w:val="auto"/>
                <w:sz w:val="24"/>
                <w:szCs w:val="28"/>
              </w:rPr>
            </w:pPr>
            <w:r>
              <w:rPr>
                <w:rFonts w:hint="eastAsia"/>
                <w:color w:val="auto"/>
                <w:sz w:val="24"/>
                <w:szCs w:val="24"/>
              </w:rPr>
              <w:t>特殊科室保洁服务方案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rFonts w:ascii="宋体" w:hAnsi="宋体"/>
                <w:color w:val="auto"/>
                <w:sz w:val="24"/>
                <w:szCs w:val="28"/>
              </w:rPr>
            </w:pPr>
            <w:r>
              <w:rPr>
                <w:rFonts w:hint="eastAsia"/>
                <w:color w:val="auto"/>
                <w:sz w:val="22"/>
              </w:rPr>
              <w:t>投标人提供的特殊科室保洁服务方案应包含特殊科室（包含但不限于手术室、ICU、血透室）保洁服务内容、服务标准、工作计划安排、保洁人员防护措施等4方面的内容，完全符合医院实际需求的得4分，每缺少一项或每有一项内容不完善或不符合项目要求的扣1分，最多扣4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color w:val="auto"/>
                <w:sz w:val="24"/>
                <w:szCs w:val="28"/>
              </w:rPr>
            </w:pPr>
            <w:r>
              <w:rPr>
                <w:rFonts w:hint="eastAsia" w:ascii="宋体" w:hAnsi="宋体" w:cs="仿宋"/>
                <w:color w:val="auto"/>
                <w:kern w:val="0"/>
                <w:sz w:val="24"/>
                <w:szCs w:val="24"/>
                <w:lang w:val="en-US" w:eastAsia="zh-CN"/>
              </w:rPr>
              <w:t>4</w:t>
            </w:r>
            <w:r>
              <w:rPr>
                <w:rFonts w:hint="eastAsia" w:ascii="宋体" w:hAnsi="宋体" w:cs="仿宋"/>
                <w:color w:val="auto"/>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909" w:type="dxa"/>
            <w:tcBorders>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olor w:val="auto"/>
                <w:sz w:val="24"/>
                <w:szCs w:val="28"/>
                <w:highlight w:val="none"/>
              </w:rPr>
            </w:pPr>
            <w:r>
              <w:rPr>
                <w:rFonts w:hint="eastAsia"/>
                <w:color w:val="auto"/>
                <w:sz w:val="24"/>
                <w:szCs w:val="24"/>
                <w:highlight w:val="none"/>
              </w:rPr>
              <w:t>中央运送服务方案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rFonts w:ascii="宋体" w:hAnsi="宋体"/>
                <w:color w:val="auto"/>
                <w:sz w:val="24"/>
                <w:szCs w:val="28"/>
                <w:highlight w:val="none"/>
              </w:rPr>
            </w:pPr>
            <w:r>
              <w:rPr>
                <w:rFonts w:hint="eastAsia"/>
                <w:color w:val="auto"/>
                <w:sz w:val="22"/>
                <w:highlight w:val="none"/>
              </w:rPr>
              <w:t>1、投标人提供的中央运送服务方案包含服务内容、服务标准、工作计划安排、运送模式、组织架构、岗位职责、安全保障方案、应急响应措施、满意度提升办法、质量管理办法等10部分内容，完全符合医院实际需求的得5分，每缺少一项或每有一项内容不完善或不符合项目要求的扣0.5分，最多扣5分。</w:t>
            </w:r>
            <w:r>
              <w:rPr>
                <w:rFonts w:hint="eastAsia"/>
                <w:color w:val="auto"/>
                <w:sz w:val="22"/>
                <w:highlight w:val="none"/>
              </w:rPr>
              <w:br w:type="textWrapping"/>
            </w:r>
            <w:r>
              <w:rPr>
                <w:rFonts w:hint="eastAsia"/>
                <w:color w:val="auto"/>
                <w:sz w:val="22"/>
                <w:highlight w:val="none"/>
                <w:lang w:val="en-US" w:eastAsia="zh-CN"/>
              </w:rPr>
              <w:t xml:space="preserve">   </w:t>
            </w:r>
            <w:r>
              <w:rPr>
                <w:rFonts w:hint="eastAsia"/>
                <w:color w:val="auto"/>
                <w:sz w:val="22"/>
                <w:highlight w:val="none"/>
              </w:rPr>
              <w:t>2、运送服务流程：投标人应详细画出运送模块线上线下相结合的服务流程图，流程须覆盖各岗位角色且形成服务闭环管理（包括日常运送流程、病人陪检流程、即时运送流程等3个流程）。以上3项服务流程完全满足以上要求得3分，每缺少一项或每有一项内容不完善或不符合项目要求的扣1分，最多扣3分。</w:t>
            </w:r>
            <w:r>
              <w:rPr>
                <w:rFonts w:hint="eastAsia"/>
                <w:color w:val="auto"/>
                <w:sz w:val="22"/>
                <w:highlight w:val="none"/>
              </w:rPr>
              <w:br w:type="textWrapping"/>
            </w:r>
            <w:r>
              <w:rPr>
                <w:rFonts w:hint="eastAsia"/>
                <w:color w:val="auto"/>
                <w:sz w:val="22"/>
                <w:highlight w:val="none"/>
                <w:lang w:val="en-US" w:eastAsia="zh-CN"/>
              </w:rPr>
              <w:t xml:space="preserve">   </w:t>
            </w:r>
            <w:r>
              <w:rPr>
                <w:rFonts w:hint="eastAsia"/>
                <w:color w:val="auto"/>
                <w:sz w:val="22"/>
                <w:highlight w:val="none"/>
              </w:rPr>
              <w:t>3、投标人提供的中央运送服务方案中应包含运送信息化管理系统的描述，至少包含对人员分析、科室分析、类型分析、时间分析、占比分析等5方面的管理功能（提供运送信息化管理系统在类似项目中的应用截图作为佐证），完全满足以上要求得5分，每缺少一项或每有一项内容不完善或不符合项目要求的扣1分，最多扣5分；不提供佐证材料不得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cs="仿宋"/>
                <w:color w:val="auto"/>
                <w:kern w:val="0"/>
                <w:sz w:val="24"/>
                <w:szCs w:val="24"/>
              </w:rPr>
            </w:pPr>
            <w:r>
              <w:rPr>
                <w:rFonts w:hint="eastAsia" w:ascii="宋体" w:hAnsi="宋体" w:cs="仿宋"/>
                <w:color w:val="auto"/>
                <w:kern w:val="0"/>
                <w:sz w:val="24"/>
                <w:szCs w:val="24"/>
                <w:lang w:val="en-US" w:eastAsia="zh-CN"/>
              </w:rPr>
              <w:t>13</w:t>
            </w:r>
            <w:r>
              <w:rPr>
                <w:rFonts w:hint="eastAsia" w:ascii="宋体" w:hAnsi="宋体" w:cs="仿宋"/>
                <w:color w:val="auto"/>
                <w:kern w:val="0"/>
                <w:sz w:val="24"/>
                <w:szCs w:val="24"/>
              </w:rPr>
              <w:t>分</w:t>
            </w:r>
          </w:p>
        </w:tc>
      </w:tr>
      <w:tr>
        <w:tblPrEx>
          <w:tblLayout w:type="fixed"/>
          <w:tblCellMar>
            <w:top w:w="0" w:type="dxa"/>
            <w:left w:w="0" w:type="dxa"/>
            <w:bottom w:w="0" w:type="dxa"/>
            <w:right w:w="0" w:type="dxa"/>
          </w:tblCellMar>
        </w:tblPrEx>
        <w:trPr>
          <w:trHeight w:val="1635" w:hRule="atLeast"/>
          <w:jc w:val="center"/>
        </w:trPr>
        <w:tc>
          <w:tcPr>
            <w:tcW w:w="909" w:type="dxa"/>
            <w:tcBorders>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auto"/>
                <w:sz w:val="24"/>
                <w:szCs w:val="28"/>
                <w:highlight w:val="none"/>
              </w:rPr>
            </w:pPr>
            <w:r>
              <w:rPr>
                <w:rFonts w:hint="eastAsia"/>
                <w:color w:val="auto"/>
                <w:sz w:val="24"/>
                <w:szCs w:val="24"/>
                <w:highlight w:val="none"/>
              </w:rPr>
              <w:t>洗浆房服务方案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jc w:val="left"/>
              <w:rPr>
                <w:rFonts w:ascii="宋体" w:hAnsi="宋体"/>
                <w:color w:val="auto"/>
                <w:sz w:val="24"/>
                <w:szCs w:val="28"/>
                <w:highlight w:val="none"/>
              </w:rPr>
            </w:pPr>
            <w:r>
              <w:rPr>
                <w:rFonts w:hint="eastAsia"/>
                <w:color w:val="auto"/>
                <w:sz w:val="22"/>
                <w:highlight w:val="none"/>
              </w:rPr>
              <w:t>投标人提供的洗浆房服务方案应包含服务内容、服务标准、工作计划安排、洗浆房操作流程、质量管控措施等5方面内容，完全符合医院实际需求的得5分，每缺少一项或每有一项内容不完善或不符合项目要求的扣1分，最多扣5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color w:val="auto"/>
                <w:kern w:val="0"/>
                <w:sz w:val="24"/>
                <w:szCs w:val="24"/>
                <w:lang w:val="en-US" w:eastAsia="zh-CN"/>
              </w:rPr>
            </w:pPr>
            <w:r>
              <w:rPr>
                <w:rFonts w:hint="eastAsia" w:ascii="宋体" w:hAnsi="宋体" w:cs="仿宋"/>
                <w:color w:val="auto"/>
                <w:kern w:val="0"/>
                <w:sz w:val="24"/>
                <w:szCs w:val="24"/>
                <w:lang w:val="en-US" w:eastAsia="zh-CN"/>
              </w:rPr>
              <w:t>5分</w:t>
            </w:r>
          </w:p>
        </w:tc>
      </w:tr>
      <w:tr>
        <w:tblPrEx>
          <w:tblLayout w:type="fixed"/>
          <w:tblCellMar>
            <w:top w:w="0" w:type="dxa"/>
            <w:left w:w="0" w:type="dxa"/>
            <w:bottom w:w="0" w:type="dxa"/>
            <w:right w:w="0" w:type="dxa"/>
          </w:tblCellMar>
        </w:tblPrEx>
        <w:trPr>
          <w:trHeight w:val="401" w:hRule="atLeast"/>
          <w:jc w:val="center"/>
        </w:trPr>
        <w:tc>
          <w:tcPr>
            <w:tcW w:w="909" w:type="dxa"/>
            <w:tcBorders>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auto"/>
                <w:sz w:val="24"/>
                <w:szCs w:val="28"/>
                <w:highlight w:val="none"/>
              </w:rPr>
            </w:pPr>
            <w:r>
              <w:rPr>
                <w:rFonts w:hint="eastAsia"/>
                <w:color w:val="auto"/>
                <w:sz w:val="24"/>
                <w:szCs w:val="24"/>
                <w:highlight w:val="none"/>
              </w:rPr>
              <w:t>生活垃圾及医疗废物管理方案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color w:val="auto"/>
                <w:sz w:val="22"/>
                <w:highlight w:val="none"/>
              </w:rPr>
            </w:pPr>
            <w:r>
              <w:rPr>
                <w:rFonts w:hint="eastAsia"/>
                <w:color w:val="auto"/>
                <w:sz w:val="22"/>
                <w:highlight w:val="none"/>
              </w:rPr>
              <w:t>1、投标人提供的生活垃圾及医疗废物管理方案应包含服务内容、服务标准、新冠医疗废物处置规范及流程等3方面内容，完全符合医院实际需求的得3分，每缺少一项或每有一项内容不完善或不符合项目要求的扣1分，最多扣3分。</w:t>
            </w:r>
          </w:p>
          <w:p>
            <w:pPr>
              <w:ind w:firstLine="440" w:firstLineChars="200"/>
              <w:rPr>
                <w:color w:val="auto"/>
                <w:sz w:val="22"/>
                <w:highlight w:val="none"/>
              </w:rPr>
            </w:pPr>
            <w:r>
              <w:rPr>
                <w:color w:val="auto"/>
                <w:sz w:val="22"/>
                <w:highlight w:val="none"/>
              </w:rPr>
              <w:t>2</w:t>
            </w:r>
            <w:r>
              <w:rPr>
                <w:rFonts w:hint="eastAsia"/>
                <w:color w:val="auto"/>
                <w:sz w:val="22"/>
                <w:highlight w:val="none"/>
              </w:rPr>
              <w:t>、</w:t>
            </w:r>
            <w:r>
              <w:rPr>
                <w:color w:val="auto"/>
                <w:sz w:val="22"/>
                <w:highlight w:val="none"/>
              </w:rPr>
              <w:t>投标人针对本项目的生活垃圾、医疗废物管理的技术指标要求，制定专项方案</w:t>
            </w:r>
            <w:r>
              <w:rPr>
                <w:rFonts w:hint="eastAsia"/>
                <w:color w:val="auto"/>
                <w:sz w:val="22"/>
                <w:highlight w:val="none"/>
              </w:rPr>
              <w:t>，方案中应包含分类收集、打包运送、出入库、消毒等4方面细化的运行管理办法的得4分，每缺少一项或每有一项内容不完善或不符合项目要求的扣1分，最多扣4分。</w:t>
            </w:r>
          </w:p>
          <w:p>
            <w:pPr>
              <w:jc w:val="left"/>
              <w:rPr>
                <w:rFonts w:ascii="宋体" w:hAnsi="宋体"/>
                <w:color w:val="auto"/>
                <w:sz w:val="24"/>
                <w:szCs w:val="28"/>
                <w:highlight w:val="none"/>
              </w:rPr>
            </w:pP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color w:val="auto"/>
                <w:kern w:val="0"/>
                <w:sz w:val="24"/>
                <w:szCs w:val="24"/>
                <w:lang w:val="en-US" w:eastAsia="zh-CN"/>
              </w:rPr>
            </w:pPr>
            <w:r>
              <w:rPr>
                <w:rFonts w:hint="eastAsia" w:ascii="宋体" w:hAnsi="宋体" w:cs="仿宋"/>
                <w:color w:val="auto"/>
                <w:kern w:val="0"/>
                <w:sz w:val="24"/>
                <w:szCs w:val="24"/>
                <w:lang w:val="en-US" w:eastAsia="zh-CN"/>
              </w:rPr>
              <w:t>7分</w:t>
            </w:r>
          </w:p>
        </w:tc>
      </w:tr>
      <w:tr>
        <w:tblPrEx>
          <w:tblLayout w:type="fixed"/>
          <w:tblCellMar>
            <w:top w:w="0" w:type="dxa"/>
            <w:left w:w="0" w:type="dxa"/>
            <w:bottom w:w="0" w:type="dxa"/>
            <w:right w:w="0" w:type="dxa"/>
          </w:tblCellMar>
        </w:tblPrEx>
        <w:trPr>
          <w:trHeight w:val="401" w:hRule="atLeast"/>
          <w:jc w:val="center"/>
        </w:trPr>
        <w:tc>
          <w:tcPr>
            <w:tcW w:w="909" w:type="dxa"/>
            <w:tcBorders>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auto"/>
                <w:sz w:val="24"/>
                <w:szCs w:val="28"/>
                <w:highlight w:val="none"/>
              </w:rPr>
            </w:pPr>
            <w:r>
              <w:rPr>
                <w:rFonts w:hint="eastAsia"/>
                <w:color w:val="auto"/>
                <w:sz w:val="24"/>
                <w:szCs w:val="24"/>
                <w:highlight w:val="none"/>
              </w:rPr>
              <w:t>疫情防控方案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color w:val="auto"/>
                <w:sz w:val="22"/>
                <w:highlight w:val="none"/>
              </w:rPr>
            </w:pPr>
            <w:r>
              <w:rPr>
                <w:rFonts w:hint="eastAsia"/>
                <w:color w:val="auto"/>
                <w:sz w:val="22"/>
                <w:highlight w:val="none"/>
              </w:rPr>
              <w:t>投标人提供的疫情防控方案应包含新冠疫情物业防控工作要求或要点、新冠疫情保障措施、隔离病房的保洁流程、隔离病员运送流程、核酸标本转运工作流程、新冠疫情员工培训等6方面内容，完全符合医院实际需求的得6分，每缺少一项或每有一项内容不完善或不符合项目要求的扣1分，最多扣6分。</w:t>
            </w:r>
          </w:p>
          <w:p>
            <w:pPr>
              <w:jc w:val="left"/>
              <w:rPr>
                <w:rFonts w:ascii="宋体" w:hAnsi="宋体"/>
                <w:color w:val="auto"/>
                <w:sz w:val="24"/>
                <w:szCs w:val="28"/>
                <w:highlight w:val="none"/>
              </w:rPr>
            </w:pP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color w:val="auto"/>
                <w:kern w:val="0"/>
                <w:sz w:val="24"/>
                <w:szCs w:val="24"/>
                <w:lang w:val="en-US" w:eastAsia="zh-CN"/>
              </w:rPr>
            </w:pPr>
            <w:r>
              <w:rPr>
                <w:rFonts w:hint="eastAsia" w:ascii="宋体" w:hAnsi="宋体" w:cs="仿宋"/>
                <w:color w:val="auto"/>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909" w:type="dxa"/>
            <w:tcBorders>
              <w:left w:val="single" w:color="000000"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rPr>
            </w:pPr>
            <w:r>
              <w:rPr>
                <w:rFonts w:hint="eastAsia" w:ascii="宋体" w:hAnsi="宋体" w:cs="仿宋"/>
                <w:b/>
                <w:color w:val="auto"/>
                <w:kern w:val="0"/>
                <w:sz w:val="24"/>
                <w:szCs w:val="24"/>
              </w:rPr>
              <w:t>评审委员会成员</w:t>
            </w:r>
          </w:p>
        </w:tc>
        <w:tc>
          <w:tcPr>
            <w:tcW w:w="136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hint="eastAsia" w:ascii="宋体" w:hAnsi="宋体"/>
                <w:color w:val="auto"/>
                <w:sz w:val="24"/>
                <w:szCs w:val="28"/>
              </w:rPr>
            </w:pPr>
            <w:r>
              <w:rPr>
                <w:rFonts w:hint="eastAsia"/>
                <w:color w:val="auto"/>
                <w:sz w:val="22"/>
              </w:rPr>
              <w:t>应急措施方案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rFonts w:ascii="宋体" w:hAnsi="宋体"/>
                <w:color w:val="auto"/>
                <w:sz w:val="24"/>
                <w:szCs w:val="28"/>
              </w:rPr>
            </w:pPr>
            <w:r>
              <w:rPr>
                <w:rFonts w:hint="eastAsia"/>
                <w:color w:val="auto"/>
                <w:sz w:val="22"/>
              </w:rPr>
              <w:t>投标人提供的应急措施方案应包含自然灾害（包含火灾）应急措施、医疗废物遗失应急措施、标本及药物运送途中遗失应急措施、传染病疫情的防控应急措施等4部分内容，完全符合医院实际需求的得6分，每缺少一项或每有一项内容不完善或不符合项目要求的扣1.5分，最多扣6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color w:val="auto"/>
                <w:kern w:val="0"/>
                <w:sz w:val="24"/>
                <w:szCs w:val="24"/>
                <w:lang w:val="en-US" w:eastAsia="zh-CN"/>
              </w:rPr>
            </w:pPr>
            <w:r>
              <w:rPr>
                <w:rFonts w:hint="eastAsia" w:ascii="宋体" w:hAnsi="宋体" w:cs="仿宋"/>
                <w:color w:val="auto"/>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909" w:type="dxa"/>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cs="仿宋"/>
                <w:b/>
                <w:color w:val="auto"/>
                <w:kern w:val="0"/>
                <w:sz w:val="24"/>
                <w:szCs w:val="24"/>
                <w:highlight w:val="none"/>
              </w:rPr>
            </w:pPr>
            <w:r>
              <w:rPr>
                <w:rFonts w:hint="eastAsia" w:ascii="宋体" w:hAnsi="宋体" w:cs="仿宋"/>
                <w:b/>
                <w:color w:val="auto"/>
                <w:kern w:val="0"/>
                <w:sz w:val="24"/>
                <w:szCs w:val="24"/>
                <w:highlight w:val="none"/>
              </w:rPr>
              <w:t>评审委员会成员</w:t>
            </w:r>
          </w:p>
        </w:tc>
        <w:tc>
          <w:tcPr>
            <w:tcW w:w="1364"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jc w:val="center"/>
              <w:rPr>
                <w:rFonts w:hint="eastAsia" w:ascii="宋体" w:hAnsi="宋体"/>
                <w:color w:val="auto"/>
                <w:sz w:val="24"/>
                <w:szCs w:val="28"/>
                <w:highlight w:val="none"/>
              </w:rPr>
            </w:pPr>
            <w:r>
              <w:rPr>
                <w:rFonts w:hint="eastAsia"/>
                <w:color w:val="auto"/>
                <w:sz w:val="24"/>
                <w:szCs w:val="24"/>
                <w:highlight w:val="none"/>
              </w:rPr>
              <w:t>人员配置方案</w:t>
            </w:r>
          </w:p>
        </w:tc>
        <w:tc>
          <w:tcPr>
            <w:tcW w:w="54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ind w:firstLine="440" w:firstLineChars="200"/>
              <w:rPr>
                <w:color w:val="auto"/>
                <w:sz w:val="22"/>
                <w:highlight w:val="none"/>
              </w:rPr>
            </w:pPr>
            <w:r>
              <w:rPr>
                <w:rFonts w:hint="eastAsia"/>
                <w:color w:val="auto"/>
                <w:sz w:val="22"/>
                <w:highlight w:val="none"/>
              </w:rPr>
              <w:t>1、投标人应根据招标文件“</w:t>
            </w:r>
            <w:r>
              <w:rPr>
                <w:rFonts w:hint="eastAsia"/>
                <w:color w:val="auto"/>
                <w:sz w:val="22"/>
                <w:highlight w:val="none"/>
                <w:lang w:val="en-US" w:eastAsia="zh-CN"/>
              </w:rPr>
              <w:t>4.4</w:t>
            </w:r>
            <w:r>
              <w:rPr>
                <w:rFonts w:hint="eastAsia"/>
                <w:color w:val="auto"/>
                <w:sz w:val="22"/>
                <w:highlight w:val="none"/>
              </w:rPr>
              <w:t>人员配置”</w:t>
            </w:r>
            <w:r>
              <w:rPr>
                <w:rFonts w:hint="eastAsia"/>
                <w:color w:val="auto"/>
                <w:sz w:val="22"/>
                <w:highlight w:val="none"/>
                <w:lang w:eastAsia="zh-CN"/>
              </w:rPr>
              <w:t>第一条“</w:t>
            </w:r>
            <w:r>
              <w:rPr>
                <w:rFonts w:hint="eastAsia"/>
                <w:color w:val="auto"/>
                <w:sz w:val="22"/>
                <w:highlight w:val="none"/>
              </w:rPr>
              <w:t>人员配置要求</w:t>
            </w:r>
            <w:r>
              <w:rPr>
                <w:rFonts w:hint="eastAsia"/>
                <w:color w:val="auto"/>
                <w:sz w:val="22"/>
                <w:highlight w:val="none"/>
                <w:lang w:eastAsia="zh-CN"/>
              </w:rPr>
              <w:t>”</w:t>
            </w:r>
            <w:r>
              <w:rPr>
                <w:rFonts w:hint="eastAsia"/>
                <w:color w:val="auto"/>
                <w:sz w:val="22"/>
                <w:highlight w:val="none"/>
              </w:rPr>
              <w:t>，提供细化的人员配置方案</w:t>
            </w:r>
            <w:r>
              <w:rPr>
                <w:rFonts w:hint="eastAsia"/>
                <w:color w:val="auto"/>
                <w:sz w:val="22"/>
                <w:highlight w:val="none"/>
                <w:lang w:eastAsia="zh-CN"/>
              </w:rPr>
              <w:t>和承诺函</w:t>
            </w:r>
            <w:r>
              <w:rPr>
                <w:rFonts w:hint="eastAsia"/>
                <w:color w:val="auto"/>
                <w:sz w:val="22"/>
                <w:highlight w:val="none"/>
              </w:rPr>
              <w:t>，方案</w:t>
            </w:r>
            <w:r>
              <w:rPr>
                <w:rFonts w:hint="eastAsia"/>
                <w:color w:val="auto"/>
                <w:sz w:val="22"/>
                <w:highlight w:val="none"/>
                <w:lang w:eastAsia="zh-CN"/>
              </w:rPr>
              <w:t>和承诺函</w:t>
            </w:r>
            <w:r>
              <w:rPr>
                <w:rFonts w:hint="eastAsia"/>
                <w:color w:val="auto"/>
                <w:sz w:val="22"/>
                <w:highlight w:val="none"/>
              </w:rPr>
              <w:t>满足招标要求的得4分，不满足或不符合项目需求的不得分。</w:t>
            </w:r>
          </w:p>
          <w:p>
            <w:pPr>
              <w:ind w:firstLine="440" w:firstLineChars="200"/>
              <w:rPr>
                <w:color w:val="auto"/>
                <w:sz w:val="22"/>
                <w:highlight w:val="none"/>
              </w:rPr>
            </w:pPr>
            <w:r>
              <w:rPr>
                <w:rFonts w:hint="eastAsia"/>
                <w:color w:val="auto"/>
                <w:sz w:val="22"/>
                <w:highlight w:val="none"/>
              </w:rPr>
              <w:t>2、投标人拟派遣的项目经理具有物业服务行业类相关证书得2分，本小项最多得2分，未提供不得分。[说明：1、提供有效身份证复印件；2、证书复印件3、提供所在单位劳动合同复印件加盖公章，否则不得分]</w:t>
            </w:r>
          </w:p>
          <w:p>
            <w:pPr>
              <w:ind w:firstLine="440" w:firstLineChars="200"/>
              <w:rPr>
                <w:rFonts w:ascii="宋体" w:hAnsi="宋体"/>
                <w:color w:val="auto"/>
                <w:sz w:val="24"/>
                <w:szCs w:val="28"/>
                <w:highlight w:val="none"/>
              </w:rPr>
            </w:pPr>
            <w:r>
              <w:rPr>
                <w:rFonts w:hint="eastAsia"/>
                <w:color w:val="auto"/>
                <w:sz w:val="22"/>
                <w:highlight w:val="none"/>
              </w:rPr>
              <w:t>3、投标人拟派遣项目人员中具备信息类专业高级职称证书的每提供一个得1分，具备信息类专业中级职称证书每提供一个得0.5分，</w:t>
            </w:r>
            <w:r>
              <w:rPr>
                <w:rFonts w:hint="eastAsia"/>
                <w:color w:val="auto"/>
                <w:sz w:val="22"/>
                <w:highlight w:val="none"/>
                <w:lang w:eastAsia="zh-CN"/>
              </w:rPr>
              <w:t>本项</w:t>
            </w:r>
            <w:r>
              <w:rPr>
                <w:rFonts w:hint="eastAsia"/>
                <w:color w:val="auto"/>
                <w:sz w:val="22"/>
                <w:highlight w:val="none"/>
              </w:rPr>
              <w:t>不重复得分，本小项最高得3分。[说明：1、提供相关人员相关专业职称证明文件复印件，否则不得分。</w:t>
            </w:r>
            <w:r>
              <w:rPr>
                <w:rFonts w:hint="eastAsia"/>
                <w:color w:val="auto"/>
                <w:sz w:val="22"/>
                <w:highlight w:val="none"/>
                <w:lang w:val="en-US" w:eastAsia="zh-CN"/>
              </w:rPr>
              <w:t>2、同一人员不重复得分，按照就高的原则进行得分</w:t>
            </w:r>
            <w:r>
              <w:rPr>
                <w:rFonts w:hint="eastAsia"/>
                <w:color w:val="auto"/>
                <w:sz w:val="22"/>
                <w:highlight w:val="none"/>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color w:val="auto"/>
                <w:kern w:val="0"/>
                <w:sz w:val="24"/>
                <w:szCs w:val="24"/>
                <w:lang w:val="en-US" w:eastAsia="zh-CN"/>
              </w:rPr>
            </w:pPr>
            <w:r>
              <w:rPr>
                <w:rFonts w:hint="eastAsia" w:ascii="宋体" w:hAnsi="宋体" w:cs="仿宋"/>
                <w:color w:val="auto"/>
                <w:kern w:val="0"/>
                <w:sz w:val="24"/>
                <w:szCs w:val="24"/>
                <w:lang w:val="en-US" w:eastAsia="zh-CN"/>
              </w:rPr>
              <w:t>9分</w:t>
            </w:r>
          </w:p>
        </w:tc>
      </w:tr>
    </w:tbl>
    <w:p>
      <w:pPr>
        <w:spacing w:line="560" w:lineRule="exact"/>
        <w:ind w:firstLine="560" w:firstLineChars="200"/>
        <w:rPr>
          <w:rFonts w:ascii="宋体" w:hAnsi="宋体"/>
          <w:sz w:val="28"/>
        </w:rPr>
      </w:pPr>
      <w:r>
        <w:rPr>
          <w:rFonts w:hint="eastAsia" w:ascii="宋体" w:hAnsi="宋体"/>
          <w:sz w:val="28"/>
        </w:rPr>
        <w:t>说明：</w:t>
      </w:r>
    </w:p>
    <w:p>
      <w:pPr>
        <w:spacing w:line="560" w:lineRule="exact"/>
        <w:ind w:firstLine="560" w:firstLineChars="200"/>
        <w:rPr>
          <w:rFonts w:ascii="宋体" w:hAnsi="宋体"/>
          <w:sz w:val="28"/>
        </w:rPr>
      </w:pPr>
      <w:r>
        <w:rPr>
          <w:rFonts w:hint="eastAsia" w:ascii="宋体" w:hAnsi="宋体"/>
          <w:sz w:val="28"/>
        </w:rPr>
        <w:t>1、评分的取值按四舍五入法，保留小数点后两位；</w:t>
      </w:r>
    </w:p>
    <w:p>
      <w:pPr>
        <w:spacing w:line="560" w:lineRule="exact"/>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97" w:name="_Toc84599922"/>
      <w:r>
        <w:rPr>
          <w:rFonts w:hint="eastAsia" w:ascii="宋体" w:hAnsi="宋体"/>
          <w:b/>
          <w:bCs/>
          <w:sz w:val="28"/>
          <w:szCs w:val="28"/>
        </w:rPr>
        <w:t>废标</w:t>
      </w:r>
      <w:bookmarkEnd w:id="197"/>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9"/>
        </w:numPr>
        <w:tabs>
          <w:tab w:val="left" w:pos="1155"/>
        </w:tabs>
        <w:spacing w:line="360" w:lineRule="auto"/>
        <w:ind w:left="0" w:firstLine="525"/>
        <w:rPr>
          <w:rFonts w:ascii="宋体" w:hAnsi="宋体"/>
          <w:sz w:val="28"/>
          <w:szCs w:val="28"/>
        </w:rPr>
      </w:pPr>
      <w:r>
        <w:rPr>
          <w:rFonts w:hint="eastAsia" w:ascii="宋体" w:hAnsi="宋体"/>
          <w:sz w:val="28"/>
          <w:szCs w:val="28"/>
        </w:rPr>
        <w:t>废标后，市公资交易中心将在“四川政府采购网”和“成都市公共资源交易服务中心”网站上公告。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98" w:name="_Toc84599923"/>
      <w:r>
        <w:rPr>
          <w:rFonts w:hint="eastAsia" w:ascii="宋体" w:hAnsi="宋体"/>
          <w:b/>
          <w:bCs/>
          <w:sz w:val="28"/>
          <w:szCs w:val="28"/>
        </w:rPr>
        <w:t>定标</w:t>
      </w:r>
      <w:bookmarkEnd w:id="198"/>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lang w:val="en-US" w:eastAsia="zh-CN"/>
        </w:rPr>
        <w:t>3</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二、市公资交易中心在评审结束之日起2个工作日内将评审报告送采购人。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w:t>
      </w:r>
      <w:r>
        <w:rPr>
          <w:rFonts w:ascii="宋体" w:hAnsi="宋体" w:cs="Helvetica"/>
          <w:sz w:val="28"/>
          <w:szCs w:val="28"/>
        </w:rPr>
        <w:t>3</w:t>
      </w:r>
      <w:r>
        <w:rPr>
          <w:rFonts w:hint="eastAsia" w:ascii="宋体" w:hAnsi="宋体" w:cs="Helvetica"/>
          <w:sz w:val="28"/>
          <w:szCs w:val="28"/>
        </w:rPr>
        <w:t>个工作日内，按照评审报告中推荐的中标候选人顺序确定中标人。采购人在确认中标人前，应到中国裁判文书网（https://wenshu.court.gov.cn）查询中标候选</w:t>
      </w:r>
      <w:r>
        <w:rPr>
          <w:rFonts w:ascii="宋体" w:hAnsi="宋体" w:cs="Helvetica"/>
          <w:sz w:val="28"/>
          <w:szCs w:val="28"/>
        </w:rPr>
        <w:t>人</w:t>
      </w:r>
      <w:r>
        <w:rPr>
          <w:rFonts w:hint="eastAsia" w:ascii="宋体" w:hAnsi="宋体" w:cs="Helvetica"/>
          <w:sz w:val="28"/>
          <w:szCs w:val="28"/>
        </w:rPr>
        <w:t>及其现任法定代表人、主要负责人是否存在行贿犯罪记录。如果中标候选人及其现任法定代表人、主要负责人存在行贿犯罪记录，采购人将不确定其为中标人。</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四、根据采购人确定的中标（成交）人，市公资交易中心在“四川政府采购网”和“成都市公共资源交易服务中心”网站上发布中标（成交）公告，同时向中标（成交）人发出中标（成交）通知书。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五、采购人、市公资交易中心不解释中标（成交）或未中标（成交）原因，不退回投标文件和其他投标资料。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99" w:name="_Toc84599924"/>
      <w:r>
        <w:rPr>
          <w:rFonts w:hint="eastAsia" w:ascii="宋体" w:hAnsi="宋体"/>
          <w:b/>
          <w:bCs/>
          <w:sz w:val="28"/>
          <w:szCs w:val="28"/>
        </w:rPr>
        <w:t>评审专家在政府采购活动中承担以下义务</w:t>
      </w:r>
      <w:bookmarkEnd w:id="199"/>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遵守评审工作纪律；</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按照客观、公正、审慎的原则，根据招标文件规定的评审程序、评审方法和评审标准进行独立评审；</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不得泄露评审文件、评审情况和在评审过程中获悉的商业秘密；</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及时向财政部门报告评审过程中发现的采购人、采购代理机构向评审专家做倾向性、误导性的解释或者说明，以及供应商行贿、提供虚假材料或者串通等违法行为；</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发现招标文件内容违反国家有关强制性规定或者招标文件存在歧义、重大缺陷导致评审工作无法进行时，停止评审并向采购人或者采购代理机构书面说明情况；</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及时向财政、监察等部门举报在评审过程中受到非法干预的情况；</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配合答复处理供应商的询问、质疑和投诉等事项；</w:t>
      </w:r>
    </w:p>
    <w:p>
      <w:pPr>
        <w:pStyle w:val="152"/>
        <w:numPr>
          <w:ilvl w:val="0"/>
          <w:numId w:val="50"/>
        </w:numPr>
        <w:tabs>
          <w:tab w:val="left" w:pos="284"/>
        </w:tabs>
        <w:spacing w:line="360" w:lineRule="auto"/>
        <w:ind w:left="0" w:firstLine="420" w:firstLineChars="0"/>
        <w:jc w:val="left"/>
        <w:rPr>
          <w:sz w:val="28"/>
          <w:szCs w:val="28"/>
        </w:rPr>
      </w:pPr>
      <w:r>
        <w:rPr>
          <w:rFonts w:hint="eastAsia"/>
          <w:sz w:val="28"/>
          <w:szCs w:val="28"/>
        </w:rPr>
        <w:t>法律、法规和规章规定的其他义务。</w:t>
      </w:r>
    </w:p>
    <w:p>
      <w:pPr>
        <w:keepNext/>
        <w:keepLines/>
        <w:numPr>
          <w:ilvl w:val="1"/>
          <w:numId w:val="5"/>
        </w:numPr>
        <w:spacing w:before="240" w:line="360" w:lineRule="auto"/>
        <w:jc w:val="left"/>
        <w:outlineLvl w:val="1"/>
        <w:rPr>
          <w:rFonts w:ascii="宋体" w:hAnsi="宋体"/>
          <w:b/>
          <w:bCs/>
          <w:sz w:val="28"/>
          <w:szCs w:val="28"/>
        </w:rPr>
      </w:pPr>
      <w:bookmarkStart w:id="200" w:name="_Toc84599926"/>
      <w:r>
        <w:rPr>
          <w:rFonts w:hint="eastAsia" w:ascii="宋体" w:hAnsi="宋体"/>
          <w:b/>
          <w:bCs/>
          <w:sz w:val="28"/>
          <w:szCs w:val="28"/>
        </w:rPr>
        <w:t>评审专家在政府采购活动中应当遵守以下工作纪律</w:t>
      </w:r>
      <w:bookmarkEnd w:id="200"/>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不得参加与自己有《中华人民共和国政府采购法实施条例》第九条规定的利害关系的政府采购项目的评审活动。发现参加了与自己有利害关系的评审活动，须主动提出回避，退出评审；</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进入评标区之前应将所有的通信设备存入公资交易中心指定的存放处；</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对需要专业</w:t>
      </w:r>
      <w:r>
        <w:rPr>
          <w:rFonts w:ascii="宋体" w:hAnsi="宋体"/>
          <w:sz w:val="28"/>
          <w:szCs w:val="28"/>
        </w:rPr>
        <w:t>判断的主管评审因素不得协商评分；</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w:t>
      </w:r>
      <w:r>
        <w:rPr>
          <w:rFonts w:ascii="宋体" w:hAnsi="宋体"/>
          <w:sz w:val="28"/>
          <w:szCs w:val="28"/>
        </w:rPr>
        <w:t>评审过程中不得擅离职守，影响</w:t>
      </w:r>
      <w:r>
        <w:rPr>
          <w:rFonts w:hint="eastAsia" w:ascii="宋体" w:hAnsi="宋体"/>
          <w:sz w:val="28"/>
          <w:szCs w:val="28"/>
        </w:rPr>
        <w:t>评审</w:t>
      </w:r>
      <w:r>
        <w:rPr>
          <w:rFonts w:ascii="宋体" w:hAnsi="宋体"/>
          <w:sz w:val="28"/>
          <w:szCs w:val="28"/>
        </w:rPr>
        <w:t>程序</w:t>
      </w:r>
      <w:r>
        <w:rPr>
          <w:rFonts w:hint="eastAsia" w:ascii="宋体" w:hAnsi="宋体"/>
          <w:sz w:val="28"/>
          <w:szCs w:val="28"/>
        </w:rPr>
        <w:t>正常进行；</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评审过程中，不得与外界联系，因发生不可预见情况，确实需要与外界联系的，应当在监督人员监督之下办理；</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在评审过程中和评审结束后，不得记录、复制或带走任何评审资料，不得向外界透露评审内容；</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评审现场服从采购代理机构工作人员的管理，接受现场监督人员的合法监督；</w:t>
      </w:r>
    </w:p>
    <w:p>
      <w:pPr>
        <w:numPr>
          <w:ilvl w:val="0"/>
          <w:numId w:val="51"/>
        </w:numPr>
        <w:tabs>
          <w:tab w:val="left" w:pos="1155"/>
          <w:tab w:val="left" w:pos="1276"/>
          <w:tab w:val="left" w:pos="1418"/>
          <w:tab w:val="left" w:pos="7665"/>
        </w:tabs>
        <w:spacing w:line="360" w:lineRule="auto"/>
        <w:ind w:left="0" w:firstLine="567"/>
        <w:jc w:val="left"/>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遵守有关廉洁自律规定，不得私下接触供应商，不得收受供应商及有关业务单位和个人的财物或好处，不得接受采购代理机构的请托。</w:t>
      </w:r>
    </w:p>
    <w:p>
      <w:pPr>
        <w:tabs>
          <w:tab w:val="left" w:pos="1155"/>
          <w:tab w:val="left" w:pos="1276"/>
          <w:tab w:val="left" w:pos="1418"/>
        </w:tabs>
        <w:spacing w:line="580" w:lineRule="exact"/>
        <w:rPr>
          <w:rFonts w:ascii="宋体" w:hAnsi="宋体"/>
          <w:sz w:val="28"/>
          <w:szCs w:val="28"/>
        </w:rPr>
      </w:pPr>
    </w:p>
    <w:p>
      <w:pPr>
        <w:pStyle w:val="17"/>
      </w:pPr>
    </w:p>
    <w:p>
      <w:pPr>
        <w:pStyle w:val="17"/>
      </w:pPr>
    </w:p>
    <w:p>
      <w:pPr>
        <w:pStyle w:val="17"/>
      </w:pPr>
    </w:p>
    <w:bookmarkEnd w:id="0"/>
    <w:bookmarkEnd w:id="1"/>
    <w:bookmarkEnd w:id="2"/>
    <w:bookmarkEnd w:id="3"/>
    <w:bookmarkEnd w:id="146"/>
    <w:bookmarkEnd w:id="147"/>
    <w:p>
      <w:pPr>
        <w:widowControl/>
        <w:jc w:val="left"/>
        <w:rPr>
          <w:rFonts w:ascii="宋体" w:hAnsi="宋体"/>
          <w:b/>
          <w:bCs/>
          <w:spacing w:val="-20"/>
          <w:kern w:val="44"/>
          <w:sz w:val="32"/>
          <w:szCs w:val="32"/>
        </w:rPr>
      </w:pPr>
      <w:bookmarkStart w:id="201" w:name="_Toc84599927"/>
      <w:bookmarkStart w:id="202" w:name="_Toc217446108"/>
      <w:bookmarkStart w:id="203" w:name="_Toc34729074"/>
      <w:bookmarkStart w:id="204" w:name="_Toc8573798"/>
      <w:r>
        <w:rPr>
          <w:rFonts w:ascii="宋体" w:hAnsi="宋体"/>
          <w:b/>
          <w:bCs/>
          <w:spacing w:val="-20"/>
          <w:kern w:val="44"/>
          <w:sz w:val="32"/>
          <w:szCs w:val="32"/>
        </w:rPr>
        <w:br w:type="page"/>
      </w:r>
    </w:p>
    <w:p>
      <w:pPr>
        <w:keepNext/>
        <w:keepLines/>
        <w:numPr>
          <w:ilvl w:val="0"/>
          <w:numId w:val="5"/>
        </w:numPr>
        <w:spacing w:before="340" w:after="330" w:line="400" w:lineRule="exact"/>
        <w:ind w:left="3365" w:leftChars="0" w:firstLineChars="0"/>
        <w:jc w:val="left"/>
        <w:outlineLvl w:val="0"/>
        <w:rPr>
          <w:rFonts w:ascii="宋体" w:hAnsi="宋体"/>
          <w:b/>
          <w:bCs/>
          <w:spacing w:val="-20"/>
          <w:kern w:val="44"/>
          <w:sz w:val="32"/>
          <w:szCs w:val="32"/>
        </w:rPr>
      </w:pPr>
      <w:r>
        <w:rPr>
          <w:rFonts w:hint="eastAsia" w:ascii="宋体" w:hAnsi="宋体"/>
          <w:b/>
          <w:bCs/>
          <w:spacing w:val="-20"/>
          <w:kern w:val="44"/>
          <w:sz w:val="32"/>
          <w:szCs w:val="32"/>
        </w:rPr>
        <w:t>拟签订的合同文本</w:t>
      </w:r>
      <w:bookmarkEnd w:id="201"/>
    </w:p>
    <w:p>
      <w:pPr>
        <w:pStyle w:val="22"/>
        <w:snapToGrid w:val="0"/>
        <w:spacing w:line="360" w:lineRule="auto"/>
        <w:ind w:firstLine="480" w:firstLineChars="200"/>
        <w:rPr>
          <w:rFonts w:hAnsi="宋体" w:cs="宋体"/>
          <w:sz w:val="24"/>
          <w:szCs w:val="24"/>
        </w:rPr>
      </w:pPr>
      <w:r>
        <w:rPr>
          <w:rFonts w:hint="eastAsia" w:hAnsi="宋体" w:cs="宋体"/>
          <w:sz w:val="24"/>
          <w:szCs w:val="24"/>
        </w:rPr>
        <w:t>合同编号：**-*****（注：必须以成交通知书上的合同编号为准）。</w:t>
      </w:r>
    </w:p>
    <w:p>
      <w:pPr>
        <w:pStyle w:val="22"/>
        <w:snapToGrid w:val="0"/>
        <w:spacing w:line="360" w:lineRule="auto"/>
        <w:ind w:firstLine="480" w:firstLineChars="200"/>
        <w:rPr>
          <w:rFonts w:hAnsi="宋体" w:cs="宋体"/>
          <w:sz w:val="24"/>
          <w:szCs w:val="24"/>
        </w:rPr>
      </w:pPr>
      <w:r>
        <w:rPr>
          <w:rFonts w:hint="eastAsia" w:hAnsi="宋体" w:cs="宋体"/>
          <w:sz w:val="24"/>
          <w:szCs w:val="24"/>
        </w:rPr>
        <w:t>签订地点：XXXX。</w:t>
      </w:r>
    </w:p>
    <w:p>
      <w:pPr>
        <w:pStyle w:val="22"/>
        <w:snapToGrid w:val="0"/>
        <w:spacing w:line="360" w:lineRule="auto"/>
        <w:ind w:firstLine="480" w:firstLineChars="200"/>
        <w:rPr>
          <w:rFonts w:hAnsi="宋体" w:cs="宋体"/>
          <w:sz w:val="24"/>
          <w:szCs w:val="24"/>
        </w:rPr>
      </w:pPr>
      <w:r>
        <w:rPr>
          <w:rFonts w:hint="eastAsia" w:hAnsi="宋体" w:cs="宋体"/>
          <w:sz w:val="24"/>
          <w:szCs w:val="24"/>
        </w:rPr>
        <w:t>签订时间：XXXX年XX月XX日。</w:t>
      </w:r>
    </w:p>
    <w:p>
      <w:pPr>
        <w:pStyle w:val="22"/>
        <w:snapToGrid w:val="0"/>
        <w:spacing w:line="360" w:lineRule="auto"/>
        <w:ind w:firstLine="480" w:firstLineChars="200"/>
        <w:rPr>
          <w:rFonts w:hAnsi="宋体" w:cs="宋体"/>
          <w:sz w:val="24"/>
          <w:szCs w:val="24"/>
        </w:rPr>
      </w:pPr>
      <w:r>
        <w:rPr>
          <w:rFonts w:hint="eastAsia" w:hAnsi="宋体" w:cs="宋体"/>
          <w:sz w:val="24"/>
          <w:szCs w:val="24"/>
        </w:rPr>
        <w:t xml:space="preserve">采购人（甲方）：                              </w:t>
      </w:r>
    </w:p>
    <w:p>
      <w:pPr>
        <w:pStyle w:val="22"/>
        <w:snapToGrid w:val="0"/>
        <w:spacing w:line="360" w:lineRule="auto"/>
        <w:ind w:firstLine="480" w:firstLineChars="200"/>
        <w:rPr>
          <w:rFonts w:hAnsi="宋体" w:cs="宋体"/>
          <w:sz w:val="24"/>
          <w:szCs w:val="24"/>
        </w:rPr>
      </w:pPr>
      <w:r>
        <w:rPr>
          <w:rFonts w:hint="eastAsia" w:hAnsi="宋体" w:cs="宋体"/>
          <w:sz w:val="24"/>
          <w:szCs w:val="24"/>
        </w:rPr>
        <w:t xml:space="preserve">供应商（乙方）：                              </w:t>
      </w:r>
    </w:p>
    <w:p>
      <w:pPr>
        <w:spacing w:line="360" w:lineRule="auto"/>
        <w:ind w:firstLine="480" w:firstLineChars="200"/>
        <w:rPr>
          <w:rFonts w:hAnsi="宋体" w:cs="宋体"/>
          <w:b/>
          <w:sz w:val="24"/>
        </w:rPr>
      </w:pPr>
      <w:r>
        <w:rPr>
          <w:rFonts w:hint="eastAsia" w:hAnsi="宋体" w:cs="宋体"/>
          <w:sz w:val="24"/>
        </w:rPr>
        <w:t>参考《中华人民共和国政府采购法》、《中华人民共和国民法典》及</w:t>
      </w:r>
      <w:r>
        <w:rPr>
          <w:rFonts w:hint="eastAsia" w:hAnsi="宋体" w:cs="宋体"/>
          <w:sz w:val="24"/>
          <w:u w:val="single"/>
        </w:rPr>
        <w:t>XX</w:t>
      </w:r>
      <w:r>
        <w:rPr>
          <w:rFonts w:hint="eastAsia" w:hAnsi="宋体" w:cs="宋体"/>
          <w:sz w:val="24"/>
        </w:rPr>
        <w:t>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spacing w:line="360" w:lineRule="auto"/>
        <w:ind w:firstLine="482" w:firstLineChars="200"/>
        <w:rPr>
          <w:rFonts w:hAnsi="宋体" w:cs="宋体"/>
          <w:b/>
          <w:sz w:val="24"/>
        </w:rPr>
      </w:pPr>
    </w:p>
    <w:p>
      <w:pPr>
        <w:numPr>
          <w:ilvl w:val="0"/>
          <w:numId w:val="52"/>
        </w:numPr>
        <w:spacing w:line="360" w:lineRule="auto"/>
        <w:rPr>
          <w:rFonts w:hAnsi="宋体" w:cs="宋体"/>
          <w:b/>
          <w:sz w:val="24"/>
        </w:rPr>
      </w:pPr>
      <w:r>
        <w:rPr>
          <w:rFonts w:hint="eastAsia" w:hAnsi="宋体" w:cs="宋体"/>
          <w:b/>
          <w:sz w:val="24"/>
        </w:rPr>
        <w:t>项目基本情况</w:t>
      </w:r>
    </w:p>
    <w:p>
      <w:pPr>
        <w:numPr>
          <w:ilvl w:val="0"/>
          <w:numId w:val="52"/>
        </w:numPr>
        <w:spacing w:line="360" w:lineRule="auto"/>
        <w:rPr>
          <w:rFonts w:hAnsi="宋体" w:cs="宋体"/>
          <w:b/>
          <w:sz w:val="24"/>
        </w:rPr>
      </w:pPr>
      <w:r>
        <w:rPr>
          <w:rFonts w:hint="eastAsia" w:hAnsi="宋体" w:cs="宋体"/>
          <w:b/>
          <w:sz w:val="24"/>
        </w:rPr>
        <w:t>合同期限：</w:t>
      </w:r>
    </w:p>
    <w:p>
      <w:pPr>
        <w:numPr>
          <w:ilvl w:val="0"/>
          <w:numId w:val="52"/>
        </w:numPr>
        <w:spacing w:line="360" w:lineRule="auto"/>
        <w:rPr>
          <w:rFonts w:hAnsi="宋体" w:cs="宋体"/>
          <w:b/>
          <w:sz w:val="24"/>
        </w:rPr>
      </w:pPr>
      <w:bookmarkStart w:id="205" w:name="_Toc211911348"/>
      <w:bookmarkStart w:id="206" w:name="_Toc239568418"/>
      <w:bookmarkStart w:id="207" w:name="_Toc211854449"/>
      <w:bookmarkStart w:id="208" w:name="_Toc232492928"/>
      <w:bookmarkStart w:id="209" w:name="_Toc238984975"/>
      <w:bookmarkStart w:id="210" w:name="_Toc241833903"/>
      <w:bookmarkStart w:id="211" w:name="_Toc237145406"/>
      <w:bookmarkStart w:id="212" w:name="_Toc225654644"/>
      <w:bookmarkStart w:id="213" w:name="_Toc212019594"/>
      <w:bookmarkStart w:id="214" w:name="_Toc286993786"/>
      <w:bookmarkStart w:id="215" w:name="_Toc225670751"/>
      <w:bookmarkStart w:id="216" w:name="_Toc185395249"/>
      <w:bookmarkStart w:id="217" w:name="_Toc225244852"/>
      <w:bookmarkStart w:id="218" w:name="_Toc239233914"/>
      <w:bookmarkStart w:id="219" w:name="_Toc251768862"/>
      <w:bookmarkStart w:id="220" w:name="_Toc247334841"/>
      <w:bookmarkStart w:id="221" w:name="_Toc283019214"/>
      <w:bookmarkStart w:id="222" w:name="_Toc282696226"/>
      <w:r>
        <w:rPr>
          <w:rFonts w:hint="eastAsia" w:hAnsi="宋体" w:cs="宋体"/>
          <w:b/>
          <w:sz w:val="24"/>
        </w:rPr>
        <w:t>服务内容与质量标准</w:t>
      </w:r>
      <w:bookmarkStart w:id="266" w:name="_GoBack"/>
      <w:bookmarkEnd w:id="266"/>
    </w:p>
    <w:p>
      <w:pPr>
        <w:spacing w:line="360" w:lineRule="auto"/>
        <w:ind w:left="567"/>
        <w:rPr>
          <w:rFonts w:hAnsi="宋体" w:cs="宋体"/>
          <w:sz w:val="24"/>
        </w:rPr>
      </w:pPr>
      <w:r>
        <w:rPr>
          <w:rFonts w:hint="eastAsia" w:hAnsi="宋体" w:cs="宋体"/>
          <w:sz w:val="24"/>
        </w:rPr>
        <w:t>1、XXXX；</w:t>
      </w:r>
    </w:p>
    <w:p>
      <w:pPr>
        <w:spacing w:line="360" w:lineRule="auto"/>
        <w:ind w:left="567"/>
        <w:rPr>
          <w:rFonts w:hAnsi="宋体" w:cs="宋体"/>
          <w:sz w:val="24"/>
        </w:rPr>
      </w:pPr>
      <w:r>
        <w:rPr>
          <w:rFonts w:hint="eastAsia" w:hAnsi="宋体" w:cs="宋体"/>
          <w:sz w:val="24"/>
        </w:rPr>
        <w:t>2、XXXX；</w:t>
      </w:r>
    </w:p>
    <w:p>
      <w:pPr>
        <w:spacing w:line="360" w:lineRule="auto"/>
        <w:ind w:left="567"/>
        <w:rPr>
          <w:rFonts w:hAnsi="宋体" w:cs="宋体"/>
          <w:sz w:val="24"/>
        </w:rPr>
      </w:pPr>
      <w:r>
        <w:rPr>
          <w:rFonts w:hint="eastAsia" w:hAnsi="宋体" w:cs="宋体"/>
          <w:sz w:val="24"/>
        </w:rPr>
        <w:t>3、XXXX．</w:t>
      </w:r>
    </w:p>
    <w:p>
      <w:pPr>
        <w:spacing w:line="360" w:lineRule="auto"/>
        <w:ind w:firstLine="630"/>
        <w:rPr>
          <w:rFonts w:hAnsi="宋体" w:cs="宋体"/>
          <w:sz w:val="24"/>
        </w:rPr>
      </w:pPr>
      <w:r>
        <w:rPr>
          <w:rFonts w:hint="eastAsia" w:hAnsi="宋体" w:cs="宋体"/>
          <w:sz w:val="24"/>
        </w:rPr>
        <w:t>…</w:t>
      </w:r>
    </w:p>
    <w:p>
      <w:pPr>
        <w:numPr>
          <w:ilvl w:val="0"/>
          <w:numId w:val="52"/>
        </w:numPr>
        <w:spacing w:line="360" w:lineRule="auto"/>
        <w:rPr>
          <w:rFonts w:hAnsi="宋体" w:cs="宋体"/>
          <w:b/>
          <w:sz w:val="24"/>
        </w:rPr>
      </w:pPr>
      <w:r>
        <w:rPr>
          <w:rFonts w:hint="eastAsia" w:hAnsi="宋体" w:cs="宋体"/>
          <w:b/>
          <w:sz w:val="24"/>
        </w:rPr>
        <w:t>服务费用及支付方式</w:t>
      </w:r>
    </w:p>
    <w:p>
      <w:pPr>
        <w:numPr>
          <w:ilvl w:val="0"/>
          <w:numId w:val="53"/>
        </w:numPr>
        <w:spacing w:line="360" w:lineRule="auto"/>
        <w:ind w:left="0" w:firstLine="567"/>
        <w:rPr>
          <w:rFonts w:hAnsi="宋体" w:cs="宋体"/>
          <w:b/>
          <w:sz w:val="24"/>
        </w:rPr>
      </w:pPr>
      <w:r>
        <w:rPr>
          <w:rFonts w:hint="eastAsia" w:hAnsi="宋体" w:cs="宋体"/>
          <w:b/>
          <w:sz w:val="24"/>
        </w:rPr>
        <w:t>本项目服务费用由以下组成：</w:t>
      </w:r>
    </w:p>
    <w:p>
      <w:pPr>
        <w:spacing w:line="360" w:lineRule="auto"/>
        <w:ind w:firstLine="480" w:firstLineChars="200"/>
        <w:rPr>
          <w:rFonts w:hAnsi="宋体" w:cs="宋体"/>
          <w:sz w:val="24"/>
        </w:rPr>
      </w:pPr>
      <w:r>
        <w:rPr>
          <w:rFonts w:hint="eastAsia" w:hAnsi="宋体" w:cs="宋体"/>
          <w:sz w:val="24"/>
        </w:rPr>
        <w:t>1、XX万元；</w:t>
      </w:r>
    </w:p>
    <w:p>
      <w:pPr>
        <w:spacing w:line="360" w:lineRule="auto"/>
        <w:ind w:firstLine="480" w:firstLineChars="200"/>
        <w:rPr>
          <w:rFonts w:hAnsi="宋体" w:cs="宋体"/>
          <w:sz w:val="24"/>
        </w:rPr>
      </w:pPr>
      <w:r>
        <w:rPr>
          <w:rFonts w:hint="eastAsia" w:hAnsi="宋体" w:cs="宋体"/>
          <w:sz w:val="24"/>
        </w:rPr>
        <w:t>2、XX万元；</w:t>
      </w:r>
    </w:p>
    <w:p>
      <w:pPr>
        <w:spacing w:line="360" w:lineRule="auto"/>
        <w:ind w:firstLine="480" w:firstLineChars="200"/>
        <w:rPr>
          <w:rFonts w:hAnsi="宋体" w:cs="宋体"/>
          <w:sz w:val="24"/>
        </w:rPr>
      </w:pPr>
      <w:r>
        <w:rPr>
          <w:rFonts w:hint="eastAsia" w:hAnsi="宋体" w:cs="宋体"/>
          <w:sz w:val="24"/>
        </w:rPr>
        <w:t>3、XX万元。</w:t>
      </w:r>
    </w:p>
    <w:p>
      <w:pPr>
        <w:spacing w:line="360" w:lineRule="auto"/>
        <w:ind w:firstLine="480" w:firstLineChars="200"/>
        <w:rPr>
          <w:rFonts w:hAnsi="宋体" w:cs="宋体"/>
          <w:sz w:val="24"/>
        </w:rPr>
      </w:pPr>
      <w:r>
        <w:rPr>
          <w:rFonts w:hint="eastAsia" w:hAnsi="宋体" w:cs="宋体"/>
          <w:sz w:val="24"/>
        </w:rPr>
        <w:t>……</w:t>
      </w:r>
    </w:p>
    <w:p>
      <w:pPr>
        <w:numPr>
          <w:ilvl w:val="0"/>
          <w:numId w:val="53"/>
        </w:numPr>
        <w:tabs>
          <w:tab w:val="left" w:pos="780"/>
        </w:tabs>
        <w:spacing w:line="360" w:lineRule="auto"/>
        <w:ind w:left="0" w:firstLine="567"/>
        <w:rPr>
          <w:rFonts w:hAnsi="宋体" w:cs="宋体"/>
          <w:b/>
          <w:sz w:val="24"/>
        </w:rPr>
      </w:pPr>
      <w:r>
        <w:rPr>
          <w:rFonts w:hint="eastAsia" w:hAnsi="宋体" w:cs="宋体"/>
          <w:b/>
          <w:sz w:val="24"/>
        </w:rPr>
        <w:t xml:space="preserve">服务费支付方式： </w:t>
      </w:r>
    </w:p>
    <w:p>
      <w:pPr>
        <w:numPr>
          <w:ilvl w:val="0"/>
          <w:numId w:val="52"/>
        </w:numPr>
        <w:spacing w:line="360" w:lineRule="auto"/>
        <w:rPr>
          <w:rFonts w:hAnsi="宋体" w:cs="宋体"/>
          <w:b/>
          <w:spacing w:val="-20"/>
          <w:sz w:val="24"/>
        </w:rPr>
      </w:pPr>
      <w:r>
        <w:rPr>
          <w:rFonts w:hint="eastAsia" w:hAnsi="宋体" w:cs="宋体"/>
          <w:b/>
          <w:sz w:val="24"/>
        </w:rPr>
        <w:t>知识产权</w:t>
      </w:r>
    </w:p>
    <w:p>
      <w:pPr>
        <w:tabs>
          <w:tab w:val="left" w:pos="1440"/>
        </w:tabs>
        <w:spacing w:line="360" w:lineRule="auto"/>
        <w:ind w:firstLine="480" w:firstLineChars="200"/>
        <w:rPr>
          <w:rFonts w:hAnsi="宋体" w:cs="宋体"/>
          <w:sz w:val="24"/>
        </w:rPr>
      </w:pPr>
      <w:r>
        <w:rPr>
          <w:rFonts w:hint="eastAsia" w:hAnsi="宋体" w:cs="宋体"/>
          <w:sz w:val="24"/>
        </w:rPr>
        <w:t>乙方应保证所提供的服务或其任何一部分均不会侵犯任何第三方的专利权、商标权或著作权。</w:t>
      </w:r>
    </w:p>
    <w:p>
      <w:pPr>
        <w:numPr>
          <w:ilvl w:val="0"/>
          <w:numId w:val="52"/>
        </w:numPr>
        <w:spacing w:line="360" w:lineRule="auto"/>
        <w:rPr>
          <w:rFonts w:hAnsi="宋体" w:cs="宋体"/>
          <w:b/>
          <w:sz w:val="24"/>
        </w:rPr>
      </w:pPr>
      <w:r>
        <w:rPr>
          <w:rFonts w:hint="eastAsia" w:hAnsi="宋体" w:cs="宋体"/>
          <w:b/>
          <w:sz w:val="24"/>
        </w:rPr>
        <w:t>无产权瑕疵条款</w:t>
      </w:r>
    </w:p>
    <w:p>
      <w:pPr>
        <w:tabs>
          <w:tab w:val="left" w:pos="1440"/>
        </w:tabs>
        <w:spacing w:line="360" w:lineRule="auto"/>
        <w:ind w:firstLine="480" w:firstLineChars="200"/>
        <w:rPr>
          <w:rFonts w:hAnsi="宋体" w:cs="宋体"/>
          <w:sz w:val="24"/>
        </w:rPr>
      </w:pPr>
      <w:r>
        <w:rPr>
          <w:rFonts w:hint="eastAsia" w:hAnsi="宋体" w:cs="宋体"/>
          <w:sz w:val="24"/>
        </w:rPr>
        <w:t>乙方保证所提供的服务的所有权完全属于乙方且无任何抵押、查封等产权瑕疵。如有产权瑕疵的，视为乙方违约。乙方应负担由此而产生的一切损失。</w:t>
      </w:r>
    </w:p>
    <w:p>
      <w:pPr>
        <w:numPr>
          <w:ilvl w:val="0"/>
          <w:numId w:val="52"/>
        </w:numPr>
        <w:spacing w:line="360" w:lineRule="auto"/>
        <w:rPr>
          <w:rFonts w:hAnsi="宋体" w:cs="宋体"/>
          <w:b/>
          <w:sz w:val="24"/>
        </w:rPr>
      </w:pPr>
      <w:r>
        <w:rPr>
          <w:rFonts w:hint="eastAsia" w:hAnsi="宋体" w:cs="宋体"/>
          <w:b/>
          <w:sz w:val="24"/>
        </w:rPr>
        <w:t>履约保证金</w:t>
      </w:r>
    </w:p>
    <w:p>
      <w:pPr>
        <w:adjustRightInd w:val="0"/>
        <w:spacing w:line="360" w:lineRule="auto"/>
        <w:ind w:firstLine="480" w:firstLineChars="200"/>
        <w:textAlignment w:val="baseline"/>
        <w:rPr>
          <w:rFonts w:hAnsi="宋体" w:cs="宋体"/>
          <w:bCs/>
          <w:sz w:val="24"/>
        </w:rPr>
      </w:pPr>
      <w:r>
        <w:rPr>
          <w:rFonts w:hint="eastAsia" w:hAnsi="宋体" w:cs="宋体"/>
          <w:bCs/>
          <w:sz w:val="24"/>
        </w:rPr>
        <w:t>双方协商。</w:t>
      </w:r>
    </w:p>
    <w:p>
      <w:pPr>
        <w:numPr>
          <w:ilvl w:val="0"/>
          <w:numId w:val="52"/>
        </w:numPr>
        <w:spacing w:line="360" w:lineRule="auto"/>
        <w:rPr>
          <w:rFonts w:hAnsi="宋体" w:cs="宋体"/>
          <w:b/>
          <w:sz w:val="24"/>
        </w:rPr>
      </w:pPr>
      <w:r>
        <w:rPr>
          <w:rFonts w:hint="eastAsia" w:hAnsi="宋体" w:cs="宋体"/>
          <w:b/>
          <w:sz w:val="24"/>
        </w:rPr>
        <w:t>甲方的权利和义务</w:t>
      </w:r>
    </w:p>
    <w:p>
      <w:pPr>
        <w:adjustRightInd w:val="0"/>
        <w:spacing w:line="360" w:lineRule="auto"/>
        <w:ind w:firstLine="480" w:firstLineChars="200"/>
        <w:textAlignment w:val="baseline"/>
        <w:rPr>
          <w:rFonts w:hAnsi="宋体" w:cs="宋体"/>
          <w:bCs/>
          <w:sz w:val="24"/>
        </w:rPr>
      </w:pPr>
      <w:r>
        <w:rPr>
          <w:rFonts w:hint="eastAsia" w:hAnsi="宋体" w:cs="宋体"/>
          <w:bCs/>
          <w:sz w:val="24"/>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pacing w:line="360" w:lineRule="auto"/>
        <w:ind w:firstLine="480" w:firstLineChars="200"/>
        <w:textAlignment w:val="baseline"/>
        <w:rPr>
          <w:rFonts w:hAnsi="宋体" w:cs="宋体"/>
          <w:bCs/>
          <w:sz w:val="24"/>
        </w:rPr>
      </w:pPr>
      <w:r>
        <w:rPr>
          <w:rFonts w:hint="eastAsia" w:hAnsi="宋体" w:cs="宋体"/>
          <w:bCs/>
          <w:sz w:val="24"/>
        </w:rPr>
        <w:t>2、甲方有权依据双方签订的考评办法对乙方提供的服务进行定期考评。当考评结果未达到标准时，有权依据考评办法约定的数额扣除履约保证金。</w:t>
      </w:r>
    </w:p>
    <w:p>
      <w:pPr>
        <w:adjustRightInd w:val="0"/>
        <w:spacing w:line="360" w:lineRule="auto"/>
        <w:ind w:firstLine="480" w:firstLineChars="200"/>
        <w:textAlignment w:val="baseline"/>
        <w:rPr>
          <w:rFonts w:hAnsi="宋体" w:cs="宋体"/>
          <w:bCs/>
          <w:sz w:val="24"/>
        </w:rPr>
      </w:pPr>
      <w:r>
        <w:rPr>
          <w:rFonts w:hint="eastAsia" w:hAnsi="宋体" w:cs="宋体"/>
          <w:bCs/>
          <w:sz w:val="24"/>
        </w:rPr>
        <w:t>3、负责检查监督乙方管理工作的实施及制度的执行情况。</w:t>
      </w:r>
    </w:p>
    <w:p>
      <w:pPr>
        <w:adjustRightInd w:val="0"/>
        <w:spacing w:line="360" w:lineRule="auto"/>
        <w:ind w:firstLine="480" w:firstLineChars="200"/>
        <w:textAlignment w:val="baseline"/>
        <w:rPr>
          <w:rFonts w:hAnsi="宋体" w:cs="宋体"/>
          <w:bCs/>
          <w:sz w:val="24"/>
        </w:rPr>
      </w:pPr>
      <w:r>
        <w:rPr>
          <w:rFonts w:hint="eastAsia" w:hAnsi="宋体" w:cs="宋体"/>
          <w:bCs/>
          <w:sz w:val="24"/>
        </w:rPr>
        <w:t>4、根据本合同规定，按时向乙方支付应付服务费用。</w:t>
      </w:r>
    </w:p>
    <w:p>
      <w:pPr>
        <w:adjustRightInd w:val="0"/>
        <w:spacing w:line="360" w:lineRule="auto"/>
        <w:ind w:firstLine="480" w:firstLineChars="200"/>
        <w:textAlignment w:val="baseline"/>
        <w:rPr>
          <w:rFonts w:hAnsi="宋体" w:cs="宋体"/>
          <w:bCs/>
          <w:sz w:val="24"/>
        </w:rPr>
      </w:pPr>
      <w:r>
        <w:rPr>
          <w:rFonts w:hint="eastAsia" w:hAnsi="宋体" w:cs="宋体"/>
          <w:bCs/>
          <w:sz w:val="24"/>
        </w:rPr>
        <w:t>5、国家法律、法规所规定由甲方承担的其它责任。</w:t>
      </w:r>
    </w:p>
    <w:p>
      <w:pPr>
        <w:numPr>
          <w:ilvl w:val="0"/>
          <w:numId w:val="52"/>
        </w:numPr>
        <w:spacing w:line="360" w:lineRule="auto"/>
        <w:rPr>
          <w:rFonts w:hAnsi="宋体" w:cs="宋体"/>
          <w:b/>
          <w:sz w:val="24"/>
        </w:rPr>
      </w:pPr>
      <w:r>
        <w:rPr>
          <w:rFonts w:hint="eastAsia" w:hAnsi="宋体" w:cs="宋体"/>
          <w:b/>
          <w:sz w:val="24"/>
        </w:rPr>
        <w:t>乙方的权利和义务</w:t>
      </w:r>
    </w:p>
    <w:p>
      <w:pPr>
        <w:adjustRightInd w:val="0"/>
        <w:spacing w:line="360" w:lineRule="auto"/>
        <w:ind w:firstLine="480" w:firstLineChars="200"/>
        <w:textAlignment w:val="baseline"/>
        <w:rPr>
          <w:rFonts w:hAnsi="宋体" w:cs="宋体"/>
          <w:bCs/>
          <w:sz w:val="24"/>
        </w:rPr>
      </w:pPr>
      <w:r>
        <w:rPr>
          <w:rFonts w:hint="eastAsia" w:hAnsi="宋体" w:cs="宋体"/>
          <w:bCs/>
          <w:sz w:val="24"/>
        </w:rPr>
        <w:t>1、对本合同规定的委托服务范围内的项目享有管理权及服务义务。</w:t>
      </w:r>
    </w:p>
    <w:p>
      <w:pPr>
        <w:adjustRightInd w:val="0"/>
        <w:spacing w:line="360" w:lineRule="auto"/>
        <w:ind w:firstLine="480" w:firstLineChars="200"/>
        <w:textAlignment w:val="baseline"/>
        <w:rPr>
          <w:rFonts w:hAnsi="宋体" w:cs="宋体"/>
          <w:bCs/>
          <w:sz w:val="24"/>
        </w:rPr>
      </w:pPr>
      <w:r>
        <w:rPr>
          <w:rFonts w:hint="eastAsia" w:hAnsi="宋体" w:cs="宋体"/>
          <w:bCs/>
          <w:sz w:val="24"/>
        </w:rPr>
        <w:t>2、根据本合同的规定向甲方收取相关服务费用，并有权在本项目管理范围内管理及合理使用。</w:t>
      </w:r>
    </w:p>
    <w:p>
      <w:pPr>
        <w:adjustRightInd w:val="0"/>
        <w:spacing w:line="360" w:lineRule="auto"/>
        <w:ind w:firstLine="480" w:firstLineChars="200"/>
        <w:textAlignment w:val="baseline"/>
        <w:rPr>
          <w:rFonts w:hAnsi="宋体" w:cs="宋体"/>
          <w:sz w:val="24"/>
        </w:rPr>
      </w:pPr>
      <w:r>
        <w:rPr>
          <w:rFonts w:hint="eastAsia" w:hAnsi="宋体" w:cs="宋体"/>
          <w:sz w:val="24"/>
        </w:rPr>
        <w:t>3、及时向甲方通告本项目服务范围内有关服务的重大事项，及时配合处理投诉。</w:t>
      </w:r>
    </w:p>
    <w:p>
      <w:pPr>
        <w:adjustRightInd w:val="0"/>
        <w:spacing w:line="360" w:lineRule="auto"/>
        <w:ind w:firstLine="480" w:firstLineChars="200"/>
        <w:textAlignment w:val="baseline"/>
        <w:rPr>
          <w:rFonts w:hAnsi="宋体" w:cs="宋体"/>
          <w:bCs/>
          <w:sz w:val="24"/>
        </w:rPr>
      </w:pPr>
      <w:r>
        <w:rPr>
          <w:rFonts w:hint="eastAsia" w:hAnsi="宋体" w:cs="宋体"/>
          <w:sz w:val="24"/>
        </w:rPr>
        <w:t>4、</w:t>
      </w:r>
      <w:r>
        <w:rPr>
          <w:rFonts w:hint="eastAsia" w:hAnsi="宋体" w:cs="宋体"/>
          <w:bCs/>
          <w:sz w:val="24"/>
        </w:rPr>
        <w:t>接受项目行业管理部门及有关部门的指导，接受甲方的监督。</w:t>
      </w:r>
    </w:p>
    <w:p>
      <w:pPr>
        <w:adjustRightInd w:val="0"/>
        <w:spacing w:line="360" w:lineRule="auto"/>
        <w:ind w:firstLine="480" w:firstLineChars="200"/>
        <w:textAlignment w:val="baseline"/>
        <w:rPr>
          <w:rFonts w:hAnsi="宋体" w:cs="宋体"/>
          <w:bCs/>
          <w:sz w:val="24"/>
        </w:rPr>
      </w:pPr>
      <w:r>
        <w:rPr>
          <w:rFonts w:hint="eastAsia" w:hAnsi="宋体" w:cs="宋体"/>
          <w:bCs/>
          <w:sz w:val="24"/>
        </w:rPr>
        <w:t>5、国家法律、法规所规定由乙方承担的其它责任。</w:t>
      </w:r>
    </w:p>
    <w:p>
      <w:pPr>
        <w:numPr>
          <w:ilvl w:val="0"/>
          <w:numId w:val="52"/>
        </w:numPr>
        <w:spacing w:line="360" w:lineRule="auto"/>
        <w:rPr>
          <w:rFonts w:hAnsi="宋体" w:cs="宋体"/>
          <w:b/>
          <w:sz w:val="24"/>
        </w:rPr>
      </w:pPr>
      <w:r>
        <w:rPr>
          <w:rFonts w:hint="eastAsia" w:hAnsi="宋体" w:cs="宋体"/>
          <w:b/>
          <w:sz w:val="24"/>
        </w:rPr>
        <w:t>违约责任</w:t>
      </w:r>
    </w:p>
    <w:p>
      <w:pPr>
        <w:adjustRightInd w:val="0"/>
        <w:spacing w:line="360" w:lineRule="auto"/>
        <w:ind w:firstLine="480" w:firstLineChars="200"/>
        <w:textAlignment w:val="baseline"/>
        <w:rPr>
          <w:rFonts w:hAnsi="宋体" w:cs="宋体"/>
          <w:bCs/>
          <w:sz w:val="24"/>
        </w:rPr>
      </w:pPr>
      <w:r>
        <w:rPr>
          <w:rFonts w:hint="eastAsia" w:hAnsi="宋体" w:cs="宋体"/>
          <w:bCs/>
          <w:sz w:val="24"/>
        </w:rPr>
        <w:t>1、甲乙双方必须遵守本合同并执行合同中的各项规定，保证本合同的正常履行。</w:t>
      </w:r>
    </w:p>
    <w:p>
      <w:pPr>
        <w:adjustRightInd w:val="0"/>
        <w:spacing w:line="360" w:lineRule="auto"/>
        <w:ind w:firstLine="480" w:firstLineChars="200"/>
        <w:textAlignment w:val="baseline"/>
        <w:rPr>
          <w:rFonts w:hAnsi="宋体" w:cs="宋体"/>
          <w:bCs/>
          <w:sz w:val="24"/>
        </w:rPr>
      </w:pPr>
      <w:r>
        <w:rPr>
          <w:rFonts w:hint="eastAsia" w:hAnsi="宋体" w:cs="宋体"/>
          <w:bCs/>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52"/>
        </w:numPr>
        <w:spacing w:line="360" w:lineRule="auto"/>
        <w:rPr>
          <w:rFonts w:hAnsi="宋体" w:cs="宋体"/>
          <w:b/>
          <w:sz w:val="24"/>
        </w:rPr>
      </w:pPr>
      <w:r>
        <w:rPr>
          <w:rFonts w:hint="eastAsia" w:hAnsi="宋体" w:cs="宋体"/>
          <w:b/>
          <w:sz w:val="24"/>
        </w:rPr>
        <w:t>不可抗力事件处理</w:t>
      </w:r>
    </w:p>
    <w:p>
      <w:pPr>
        <w:tabs>
          <w:tab w:val="left" w:pos="0"/>
        </w:tabs>
        <w:spacing w:line="360" w:lineRule="auto"/>
        <w:ind w:firstLine="480" w:firstLineChars="200"/>
        <w:rPr>
          <w:rFonts w:hAnsi="宋体" w:cs="宋体"/>
          <w:sz w:val="24"/>
        </w:rPr>
      </w:pPr>
      <w:r>
        <w:rPr>
          <w:rFonts w:hint="eastAsia" w:hAnsi="宋体" w:cs="宋体"/>
          <w:sz w:val="24"/>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hAnsi="宋体" w:cs="宋体"/>
          <w:sz w:val="24"/>
        </w:rPr>
      </w:pPr>
      <w:r>
        <w:rPr>
          <w:rFonts w:hint="eastAsia" w:hAnsi="宋体" w:cs="宋体"/>
          <w:sz w:val="24"/>
        </w:rPr>
        <w:t>2、不可抗力事件发生后，应立即通知对方，并寄送有关权威机构出具的证明。</w:t>
      </w:r>
    </w:p>
    <w:p>
      <w:pPr>
        <w:tabs>
          <w:tab w:val="left" w:pos="0"/>
        </w:tabs>
        <w:spacing w:line="360" w:lineRule="auto"/>
        <w:ind w:firstLine="480" w:firstLineChars="200"/>
        <w:rPr>
          <w:rFonts w:hAnsi="宋体" w:cs="宋体"/>
          <w:sz w:val="24"/>
        </w:rPr>
      </w:pPr>
      <w:r>
        <w:rPr>
          <w:rFonts w:hint="eastAsia" w:hAnsi="宋体" w:cs="宋体"/>
          <w:sz w:val="24"/>
        </w:rPr>
        <w:t>3、不可抗力事件延续XX天以上，双方应通过友好协商，确定是否继续履行合同。</w:t>
      </w:r>
    </w:p>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Pr>
        <w:numPr>
          <w:ilvl w:val="0"/>
          <w:numId w:val="52"/>
        </w:numPr>
        <w:spacing w:line="360" w:lineRule="auto"/>
        <w:rPr>
          <w:rFonts w:hAnsi="宋体" w:cs="宋体"/>
          <w:b/>
          <w:sz w:val="24"/>
        </w:rPr>
      </w:pPr>
      <w:bookmarkStart w:id="223" w:name="_Toc237145411"/>
      <w:bookmarkStart w:id="224" w:name="_Toc286993792"/>
      <w:bookmarkStart w:id="225" w:name="_Toc211911353"/>
      <w:bookmarkStart w:id="226" w:name="_Toc225670756"/>
      <w:bookmarkStart w:id="227" w:name="_Toc225654649"/>
      <w:bookmarkStart w:id="228" w:name="_Toc239568423"/>
      <w:bookmarkStart w:id="229" w:name="_Toc185395254"/>
      <w:bookmarkStart w:id="230" w:name="_Toc238984980"/>
      <w:bookmarkStart w:id="231" w:name="_Toc247334846"/>
      <w:bookmarkStart w:id="232" w:name="_Toc212019599"/>
      <w:bookmarkStart w:id="233" w:name="_Toc241833908"/>
      <w:bookmarkStart w:id="234" w:name="_Toc232492933"/>
      <w:bookmarkStart w:id="235" w:name="_Toc211854454"/>
      <w:bookmarkStart w:id="236" w:name="_Toc239233919"/>
      <w:bookmarkStart w:id="237" w:name="_Toc251768867"/>
      <w:bookmarkStart w:id="238" w:name="_Toc225244857"/>
      <w:r>
        <w:rPr>
          <w:rFonts w:hint="eastAsia" w:hAnsi="宋体" w:cs="宋体"/>
          <w:b/>
          <w:sz w:val="24"/>
        </w:rPr>
        <w:t>解决合同纠纷的方式</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tabs>
          <w:tab w:val="left" w:pos="0"/>
        </w:tabs>
        <w:spacing w:line="360" w:lineRule="auto"/>
        <w:ind w:firstLine="480" w:firstLineChars="200"/>
        <w:rPr>
          <w:rFonts w:hAnsi="宋体" w:cs="宋体"/>
          <w:sz w:val="24"/>
          <w:u w:val="thick"/>
        </w:rPr>
      </w:pPr>
      <w:r>
        <w:rPr>
          <w:rFonts w:hint="eastAsia" w:hAnsi="宋体" w:cs="宋体"/>
          <w:sz w:val="24"/>
        </w:rPr>
        <w:t>1、在执行本合同中发生的或与本合同有关的争端，双方应通过友好协商解决，经协商在XX天内不能达成协议时，产生争议，由项目所在地人民法院管辖。</w:t>
      </w:r>
    </w:p>
    <w:p>
      <w:pPr>
        <w:numPr>
          <w:ilvl w:val="0"/>
          <w:numId w:val="52"/>
        </w:numPr>
        <w:spacing w:line="360" w:lineRule="auto"/>
        <w:rPr>
          <w:rFonts w:hAnsi="宋体" w:cs="宋体"/>
          <w:b/>
          <w:sz w:val="24"/>
        </w:rPr>
      </w:pPr>
      <w:bookmarkStart w:id="239" w:name="_Toc211911354"/>
      <w:bookmarkStart w:id="240" w:name="_Toc282696231"/>
      <w:bookmarkStart w:id="241" w:name="_Toc283019219"/>
      <w:bookmarkStart w:id="242" w:name="_Toc237145412"/>
      <w:bookmarkStart w:id="243" w:name="_Toc247334847"/>
      <w:bookmarkStart w:id="244" w:name="_Toc251768868"/>
      <w:bookmarkStart w:id="245" w:name="_Toc238984981"/>
      <w:bookmarkStart w:id="246" w:name="_Toc239568424"/>
      <w:bookmarkStart w:id="247" w:name="_Toc225654650"/>
      <w:bookmarkStart w:id="248" w:name="_Toc225244858"/>
      <w:bookmarkStart w:id="249" w:name="_Toc212019600"/>
      <w:bookmarkStart w:id="250" w:name="_Toc286993793"/>
      <w:bookmarkStart w:id="251" w:name="_Toc239233920"/>
      <w:bookmarkStart w:id="252" w:name="_Toc185395255"/>
      <w:bookmarkStart w:id="253" w:name="_Toc232492934"/>
      <w:bookmarkStart w:id="254" w:name="_Toc241833909"/>
      <w:bookmarkStart w:id="255" w:name="_Toc211854455"/>
      <w:bookmarkStart w:id="256" w:name="_Toc225670757"/>
      <w:r>
        <w:rPr>
          <w:rFonts w:hint="eastAsia" w:hAnsi="宋体" w:cs="宋体"/>
          <w:b/>
          <w:sz w:val="24"/>
        </w:rPr>
        <w:t>合同</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hint="eastAsia" w:hAnsi="宋体" w:cs="宋体"/>
          <w:b/>
          <w:sz w:val="24"/>
        </w:rPr>
        <w:t>生效及其他</w:t>
      </w:r>
    </w:p>
    <w:p>
      <w:pPr>
        <w:pStyle w:val="310"/>
        <w:spacing w:line="360" w:lineRule="auto"/>
        <w:ind w:firstLine="480"/>
        <w:rPr>
          <w:rFonts w:hAnsi="宋体" w:cs="宋体"/>
          <w:sz w:val="24"/>
        </w:rPr>
      </w:pPr>
      <w:r>
        <w:rPr>
          <w:rFonts w:hint="eastAsia" w:hAnsi="宋体" w:cs="宋体"/>
          <w:sz w:val="24"/>
        </w:rPr>
        <w:t>1、合同经双方法定代表人或授权委托代理人签字并加盖单位公章后生效。</w:t>
      </w:r>
    </w:p>
    <w:p>
      <w:pPr>
        <w:pStyle w:val="310"/>
        <w:spacing w:line="360" w:lineRule="auto"/>
        <w:ind w:firstLine="480"/>
        <w:rPr>
          <w:rFonts w:hAnsi="宋体" w:cs="宋体"/>
          <w:sz w:val="24"/>
        </w:rPr>
      </w:pPr>
      <w:r>
        <w:rPr>
          <w:rFonts w:hint="eastAsia" w:hAnsi="宋体" w:cs="宋体"/>
          <w:sz w:val="24"/>
        </w:rPr>
        <w:t>2、合同执行中涉及采购资金和采购内容修改或补充的，须经采购监管部门审批，并签书面补充协议报采购监督管理部门备案，方可作为主合同不可分割的一部分。</w:t>
      </w:r>
    </w:p>
    <w:p>
      <w:pPr>
        <w:pStyle w:val="310"/>
        <w:spacing w:line="360" w:lineRule="auto"/>
        <w:ind w:firstLine="480"/>
        <w:rPr>
          <w:rFonts w:hAnsi="宋体" w:cs="宋体"/>
          <w:sz w:val="24"/>
        </w:rPr>
      </w:pPr>
      <w:r>
        <w:rPr>
          <w:rFonts w:hint="eastAsia" w:hAnsi="宋体" w:cs="宋体"/>
          <w:sz w:val="24"/>
        </w:rPr>
        <w:t>3、本合同一式XX份，自双方签章之日起起效。甲方XX份，乙方XX份，采购代理机构XX份，具有同等法律效力。</w:t>
      </w:r>
    </w:p>
    <w:p>
      <w:pPr>
        <w:numPr>
          <w:ilvl w:val="0"/>
          <w:numId w:val="52"/>
        </w:numPr>
        <w:spacing w:line="360" w:lineRule="auto"/>
        <w:rPr>
          <w:rFonts w:hAnsi="宋体" w:cs="宋体"/>
          <w:b/>
          <w:sz w:val="24"/>
        </w:rPr>
      </w:pPr>
      <w:r>
        <w:rPr>
          <w:rFonts w:hint="eastAsia" w:hAnsi="宋体" w:cs="宋体"/>
          <w:b/>
          <w:sz w:val="24"/>
        </w:rPr>
        <w:t>附件</w:t>
      </w:r>
    </w:p>
    <w:p>
      <w:pPr>
        <w:pStyle w:val="310"/>
        <w:spacing w:line="360" w:lineRule="auto"/>
        <w:ind w:firstLine="480"/>
        <w:rPr>
          <w:rFonts w:hAnsi="宋体" w:cs="宋体"/>
          <w:sz w:val="24"/>
        </w:rPr>
      </w:pPr>
      <w:r>
        <w:rPr>
          <w:rFonts w:hint="eastAsia" w:hAnsi="宋体" w:cs="宋体"/>
          <w:sz w:val="24"/>
        </w:rPr>
        <w:t>1、项目招标文件</w:t>
      </w:r>
    </w:p>
    <w:p>
      <w:pPr>
        <w:pStyle w:val="310"/>
        <w:spacing w:line="360" w:lineRule="auto"/>
        <w:ind w:firstLine="480"/>
        <w:rPr>
          <w:rFonts w:hAnsi="宋体" w:cs="宋体"/>
          <w:sz w:val="24"/>
        </w:rPr>
      </w:pPr>
      <w:r>
        <w:rPr>
          <w:rFonts w:hint="eastAsia" w:hAnsi="宋体" w:cs="宋体"/>
          <w:sz w:val="24"/>
        </w:rPr>
        <w:t>2、项目修改澄清文件</w:t>
      </w:r>
    </w:p>
    <w:p>
      <w:pPr>
        <w:pStyle w:val="310"/>
        <w:spacing w:line="360" w:lineRule="auto"/>
        <w:ind w:firstLine="480"/>
        <w:rPr>
          <w:rFonts w:hAnsi="宋体" w:cs="宋体"/>
          <w:sz w:val="24"/>
        </w:rPr>
      </w:pPr>
      <w:r>
        <w:rPr>
          <w:rFonts w:hint="eastAsia" w:hAnsi="宋体" w:cs="宋体"/>
          <w:sz w:val="24"/>
        </w:rPr>
        <w:t>3、项目投标文件</w:t>
      </w:r>
    </w:p>
    <w:p>
      <w:pPr>
        <w:pStyle w:val="310"/>
        <w:spacing w:line="360" w:lineRule="auto"/>
        <w:ind w:firstLine="480"/>
        <w:rPr>
          <w:rFonts w:hAnsi="宋体" w:cs="宋体"/>
          <w:sz w:val="24"/>
        </w:rPr>
      </w:pPr>
      <w:r>
        <w:rPr>
          <w:rFonts w:hint="eastAsia" w:hAnsi="宋体" w:cs="宋体"/>
          <w:sz w:val="24"/>
        </w:rPr>
        <w:t>4、中标通知书</w:t>
      </w:r>
    </w:p>
    <w:p>
      <w:pPr>
        <w:pStyle w:val="310"/>
        <w:spacing w:line="360" w:lineRule="auto"/>
        <w:ind w:firstLine="480"/>
        <w:rPr>
          <w:rFonts w:hAnsi="宋体" w:cs="宋体"/>
          <w:sz w:val="24"/>
        </w:rPr>
      </w:pPr>
      <w:r>
        <w:rPr>
          <w:rFonts w:hint="eastAsia" w:hAnsi="宋体" w:cs="宋体"/>
          <w:sz w:val="24"/>
        </w:rPr>
        <w:t>5、其他</w:t>
      </w:r>
    </w:p>
    <w:p>
      <w:pPr>
        <w:spacing w:line="360" w:lineRule="auto"/>
        <w:rPr>
          <w:rFonts w:hAnsi="宋体" w:cs="宋体"/>
          <w:sz w:val="24"/>
        </w:rPr>
      </w:pPr>
    </w:p>
    <w:p>
      <w:pPr>
        <w:spacing w:line="360" w:lineRule="auto"/>
        <w:ind w:firstLine="480" w:firstLineChars="200"/>
        <w:rPr>
          <w:rFonts w:hAnsi="宋体" w:cs="宋体"/>
          <w:sz w:val="24"/>
        </w:rPr>
      </w:pPr>
      <w:r>
        <w:rPr>
          <w:rFonts w:hint="eastAsia" w:hAnsi="宋体" w:cs="宋体"/>
          <w:sz w:val="24"/>
        </w:rPr>
        <w:t xml:space="preserve">甲方：   （盖章）   </w:t>
      </w:r>
      <w:r>
        <w:rPr>
          <w:rFonts w:hint="eastAsia" w:hAnsi="宋体" w:cs="宋体"/>
          <w:sz w:val="24"/>
        </w:rPr>
        <w:tab/>
      </w:r>
      <w:r>
        <w:rPr>
          <w:rFonts w:hint="eastAsia" w:hAnsi="宋体" w:cs="宋体"/>
          <w:sz w:val="24"/>
        </w:rPr>
        <w:tab/>
      </w:r>
      <w:r>
        <w:rPr>
          <w:rFonts w:hint="eastAsia" w:hAnsi="宋体" w:cs="宋体"/>
          <w:sz w:val="24"/>
        </w:rPr>
        <w:tab/>
      </w:r>
      <w:r>
        <w:rPr>
          <w:rFonts w:hint="eastAsia" w:hAnsi="宋体" w:cs="宋体"/>
          <w:sz w:val="24"/>
        </w:rPr>
        <w:t xml:space="preserve">       乙方：   （盖章）</w:t>
      </w:r>
    </w:p>
    <w:p>
      <w:pPr>
        <w:spacing w:line="360" w:lineRule="auto"/>
        <w:ind w:firstLine="480" w:firstLineChars="200"/>
        <w:rPr>
          <w:rFonts w:hAnsi="宋体" w:cs="宋体"/>
          <w:sz w:val="24"/>
        </w:rPr>
      </w:pPr>
      <w:r>
        <w:rPr>
          <w:rFonts w:hint="eastAsia" w:hAnsi="宋体" w:cs="宋体"/>
          <w:sz w:val="24"/>
        </w:rPr>
        <w:t>法定代表人（授权代表）：            法定代表人（授权代表）：</w:t>
      </w:r>
    </w:p>
    <w:p>
      <w:pPr>
        <w:spacing w:line="360" w:lineRule="auto"/>
        <w:ind w:firstLine="480" w:firstLineChars="200"/>
        <w:rPr>
          <w:rFonts w:hAnsi="宋体" w:cs="宋体"/>
          <w:sz w:val="24"/>
        </w:rPr>
      </w:pPr>
      <w:r>
        <w:rPr>
          <w:rFonts w:hint="eastAsia" w:hAnsi="宋体" w:cs="宋体"/>
          <w:sz w:val="24"/>
        </w:rPr>
        <w:t>地    址：                         地    址：</w:t>
      </w:r>
    </w:p>
    <w:p>
      <w:pPr>
        <w:spacing w:line="360" w:lineRule="auto"/>
        <w:ind w:firstLine="480" w:firstLineChars="200"/>
        <w:rPr>
          <w:rFonts w:hAnsi="宋体" w:cs="宋体"/>
          <w:sz w:val="24"/>
        </w:rPr>
      </w:pPr>
      <w:r>
        <w:rPr>
          <w:rFonts w:hint="eastAsia" w:hAnsi="宋体" w:cs="宋体"/>
          <w:sz w:val="24"/>
        </w:rPr>
        <w:t>开户银行：                         开户银行：</w:t>
      </w:r>
    </w:p>
    <w:p>
      <w:pPr>
        <w:spacing w:line="360" w:lineRule="auto"/>
        <w:ind w:firstLine="480" w:firstLineChars="200"/>
        <w:rPr>
          <w:rFonts w:hAnsi="宋体" w:cs="宋体"/>
          <w:sz w:val="24"/>
        </w:rPr>
      </w:pPr>
      <w:r>
        <w:rPr>
          <w:rFonts w:hint="eastAsia" w:hAnsi="宋体" w:cs="宋体"/>
          <w:sz w:val="24"/>
        </w:rPr>
        <w:t>账号：                             账号：</w:t>
      </w:r>
    </w:p>
    <w:p>
      <w:pPr>
        <w:pStyle w:val="310"/>
        <w:spacing w:line="360" w:lineRule="auto"/>
        <w:ind w:firstLine="480"/>
        <w:rPr>
          <w:rFonts w:hAnsi="宋体" w:cs="宋体"/>
          <w:sz w:val="24"/>
        </w:rPr>
      </w:pPr>
      <w:r>
        <w:rPr>
          <w:rFonts w:hint="eastAsia" w:hAnsi="宋体" w:cs="宋体"/>
          <w:sz w:val="24"/>
        </w:rPr>
        <w:t>电    话：                         电    话：</w:t>
      </w:r>
    </w:p>
    <w:p>
      <w:pPr>
        <w:pStyle w:val="310"/>
        <w:spacing w:line="360" w:lineRule="auto"/>
        <w:ind w:firstLine="480"/>
        <w:rPr>
          <w:rFonts w:hAnsi="宋体" w:cs="宋体"/>
          <w:sz w:val="24"/>
        </w:rPr>
      </w:pPr>
      <w:r>
        <w:rPr>
          <w:rFonts w:hint="eastAsia" w:hAnsi="宋体" w:cs="宋体"/>
          <w:sz w:val="24"/>
        </w:rPr>
        <w:t>传    真：                         传    真：</w:t>
      </w:r>
    </w:p>
    <w:p>
      <w:pPr>
        <w:spacing w:line="360" w:lineRule="auto"/>
        <w:ind w:firstLine="420" w:firstLineChars="175"/>
        <w:outlineLvl w:val="0"/>
        <w:rPr>
          <w:rFonts w:hAnsi="宋体" w:cs="宋体"/>
          <w:sz w:val="24"/>
        </w:rPr>
      </w:pPr>
      <w:bookmarkStart w:id="257" w:name="_Toc21617826"/>
      <w:bookmarkStart w:id="258" w:name="_Toc562"/>
      <w:bookmarkStart w:id="259" w:name="_Toc19241"/>
      <w:bookmarkStart w:id="260" w:name="_Toc20664"/>
      <w:bookmarkStart w:id="261" w:name="_Toc6954"/>
      <w:bookmarkStart w:id="262" w:name="_Toc52134282"/>
      <w:bookmarkStart w:id="263" w:name="_Toc52134375"/>
      <w:r>
        <w:rPr>
          <w:rFonts w:hint="eastAsia" w:hAnsi="宋体" w:cs="宋体"/>
          <w:sz w:val="24"/>
        </w:rPr>
        <w:t xml:space="preserve">签约日期：XX年XX月XX日 </w:t>
      </w:r>
      <w:r>
        <w:rPr>
          <w:rFonts w:hint="eastAsia" w:hAnsi="宋体" w:cs="宋体"/>
          <w:sz w:val="24"/>
        </w:rPr>
        <w:tab/>
      </w:r>
      <w:r>
        <w:rPr>
          <w:rFonts w:hint="eastAsia" w:hAnsi="宋体" w:cs="宋体"/>
          <w:sz w:val="24"/>
        </w:rPr>
        <w:tab/>
      </w:r>
      <w:r>
        <w:rPr>
          <w:rFonts w:hint="eastAsia" w:hAnsi="宋体" w:cs="宋体"/>
          <w:sz w:val="24"/>
        </w:rPr>
        <w:tab/>
      </w:r>
      <w:r>
        <w:rPr>
          <w:rFonts w:hint="eastAsia" w:hAnsi="宋体" w:cs="宋体"/>
          <w:sz w:val="24"/>
        </w:rPr>
        <w:t>签约日期：XX年XX月XX日</w:t>
      </w:r>
      <w:bookmarkEnd w:id="257"/>
      <w:bookmarkEnd w:id="258"/>
      <w:bookmarkEnd w:id="259"/>
      <w:bookmarkEnd w:id="260"/>
      <w:bookmarkEnd w:id="261"/>
      <w:bookmarkEnd w:id="262"/>
      <w:bookmarkEnd w:id="263"/>
    </w:p>
    <w:p>
      <w:pPr>
        <w:pStyle w:val="17"/>
        <w:jc w:val="center"/>
        <w:rPr>
          <w:rFonts w:ascii="方正小标宋简体" w:eastAsia="方正小标宋简体"/>
          <w:sz w:val="36"/>
          <w:szCs w:val="36"/>
        </w:rPr>
      </w:pPr>
    </w:p>
    <w:p/>
    <w:p>
      <w:pPr>
        <w:pStyle w:val="17"/>
      </w:pPr>
    </w:p>
    <w:p>
      <w:pPr>
        <w:pStyle w:val="17"/>
      </w:pPr>
    </w:p>
    <w:p>
      <w:pPr>
        <w:pStyle w:val="17"/>
      </w:pPr>
    </w:p>
    <w:p>
      <w:pPr>
        <w:pStyle w:val="17"/>
      </w:pPr>
    </w:p>
    <w:p>
      <w:pPr>
        <w:pStyle w:val="17"/>
      </w:pPr>
    </w:p>
    <w:p>
      <w:pPr>
        <w:pStyle w:val="17"/>
      </w:pPr>
    </w:p>
    <w:p>
      <w:pPr>
        <w:pStyle w:val="17"/>
      </w:pPr>
    </w:p>
    <w:p>
      <w:pPr>
        <w:pStyle w:val="17"/>
      </w:pPr>
    </w:p>
    <w:bookmarkEnd w:id="202"/>
    <w:bookmarkEnd w:id="203"/>
    <w:bookmarkEnd w:id="204"/>
    <w:p>
      <w:pPr>
        <w:widowControl/>
        <w:jc w:val="left"/>
        <w:rPr>
          <w:rFonts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pPr>
        <w:rPr>
          <w:rFonts w:hint="eastAsia" w:ascii="黑体" w:hAnsi="黑体" w:eastAsia="黑体"/>
          <w:sz w:val="32"/>
          <w:szCs w:val="32"/>
        </w:rPr>
      </w:pPr>
    </w:p>
    <w:p>
      <w:r>
        <w:rPr>
          <w:rFonts w:hint="eastAsia" w:ascii="黑体" w:hAnsi="黑体" w:eastAsia="黑体"/>
          <w:sz w:val="32"/>
          <w:szCs w:val="32"/>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6"/>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486525" cy="8296275"/>
                    </a:xfrm>
                    <a:prstGeom prst="rect">
                      <a:avLst/>
                    </a:prstGeom>
                    <a:noFill/>
                    <a:ln w="9525">
                      <a:noFill/>
                    </a:ln>
                  </pic:spPr>
                </pic:pic>
              </a:graphicData>
            </a:graphic>
          </wp:inline>
        </w:drawing>
      </w:r>
    </w:p>
    <w:p>
      <w:pPr>
        <w:rPr>
          <w:rFonts w:ascii="宋体" w:hAnsi="宋体" w:cs="宋体"/>
          <w:kern w:val="0"/>
          <w:sz w:val="24"/>
          <w:szCs w:val="24"/>
        </w:rPr>
      </w:pPr>
      <w:r>
        <w:rPr>
          <w:rFonts w:ascii="宋体" w:hAnsi="宋体" w:cs="宋体"/>
          <w:kern w:val="0"/>
          <w:sz w:val="24"/>
          <w:szCs w:val="24"/>
        </w:rPr>
        <w:drawing>
          <wp:inline distT="0" distB="0" distL="114300" distR="114300">
            <wp:extent cx="5971540" cy="3562985"/>
            <wp:effectExtent l="0" t="0" r="2540" b="317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971540" cy="3562985"/>
                    </a:xfrm>
                    <a:prstGeom prst="rect">
                      <a:avLst/>
                    </a:prstGeom>
                    <a:noFill/>
                    <a:ln w="9525">
                      <a:noFill/>
                    </a:ln>
                  </pic:spPr>
                </pic:pic>
              </a:graphicData>
            </a:graphic>
          </wp:inline>
        </w:drawing>
      </w:r>
    </w:p>
    <w:p>
      <w:pPr>
        <w:pStyle w:val="2"/>
        <w:numPr>
          <w:ilvl w:val="3"/>
          <w:numId w:val="0"/>
        </w:numPr>
        <w:ind w:left="3150" w:leftChars="0"/>
        <w:rPr>
          <w:rFonts w:ascii="宋体" w:hAnsi="宋体" w:cs="宋体"/>
          <w:kern w:val="0"/>
          <w:sz w:val="24"/>
          <w:szCs w:val="24"/>
        </w:rPr>
      </w:pPr>
    </w:p>
    <w:p>
      <w:pPr>
        <w:rPr>
          <w:rFonts w:ascii="宋体" w:hAnsi="宋体" w:cs="宋体"/>
          <w:kern w:val="0"/>
          <w:sz w:val="24"/>
          <w:szCs w:val="24"/>
        </w:rPr>
      </w:pPr>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p/>
    <w:p>
      <w:pPr>
        <w:pStyle w:val="2"/>
        <w:numPr>
          <w:ilvl w:val="3"/>
          <w:numId w:val="0"/>
        </w:numPr>
        <w:rPr>
          <w:rFonts w:hint="eastAsia" w:eastAsia="宋体"/>
          <w:lang w:eastAsia="zh-CN"/>
        </w:rPr>
      </w:pPr>
      <w:r>
        <w:rPr>
          <w:rFonts w:hint="eastAsia"/>
          <w:lang w:eastAsia="zh-CN"/>
        </w:rPr>
        <w:t>质疑附件</w:t>
      </w:r>
    </w:p>
    <w:p>
      <w:pPr>
        <w:rPr>
          <w:rFonts w:ascii="宋体" w:hAnsi="宋体" w:cs="宋体"/>
          <w:kern w:val="0"/>
          <w:sz w:val="24"/>
          <w:szCs w:val="24"/>
        </w:rPr>
      </w:pPr>
    </w:p>
    <w:p>
      <w:pPr>
        <w:pStyle w:val="3"/>
        <w:numPr>
          <w:ilvl w:val="0"/>
          <w:numId w:val="1"/>
        </w:numPr>
        <w:spacing w:before="0" w:after="0"/>
        <w:ind w:left="3365" w:leftChars="0" w:firstLineChars="0"/>
      </w:pPr>
      <w:bookmarkStart w:id="264" w:name="_Toc98163906"/>
      <w:r>
        <w:rPr>
          <w:rFonts w:hint="eastAsia"/>
        </w:rPr>
        <w:t>质疑函范本</w:t>
      </w:r>
      <w:bookmarkEnd w:id="264"/>
    </w:p>
    <w:p/>
    <w:p>
      <w:pPr>
        <w:shd w:val="clear" w:color="auto" w:fill="FFFFFF"/>
        <w:snapToGrid w:val="0"/>
        <w:spacing w:line="520" w:lineRule="atLeast"/>
        <w:ind w:firstLine="646"/>
        <w:jc w:val="center"/>
        <w:rPr>
          <w:rFonts w:ascii="仿宋_GB2312" w:hAnsi="微软雅黑" w:eastAsia="仿宋_GB2312" w:cs="Helvetica"/>
          <w:b/>
          <w:bCs/>
          <w:sz w:val="32"/>
          <w:szCs w:val="32"/>
        </w:rPr>
      </w:pPr>
      <w:r>
        <w:rPr>
          <w:rFonts w:hint="eastAsia" w:ascii="仿宋_GB2312" w:hAnsi="微软雅黑" w:eastAsia="仿宋_GB2312" w:cs="Helvetica"/>
          <w:b/>
          <w:bCs/>
          <w:sz w:val="32"/>
          <w:szCs w:val="32"/>
        </w:rPr>
        <w:t>质疑函范本</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一、质疑供应商基本信息</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质疑供应商：</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地址：</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邮编：</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联系人：</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联系电话：</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授权代表：</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联系电话：</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 xml:space="preserve">地址： </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邮编：</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二、质疑项目基本情况</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质疑项目的名称：</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质疑项目的编号：</w:t>
      </w:r>
      <w:r>
        <w:rPr>
          <w:rFonts w:hint="eastAsia" w:ascii="仿宋_GB2312" w:hAnsi="微软雅黑" w:eastAsia="仿宋_GB2312" w:cs="Helvetica"/>
          <w:sz w:val="32"/>
          <w:szCs w:val="32"/>
          <w:u w:val="dotted"/>
        </w:rPr>
        <w:t xml:space="preserve">              </w:t>
      </w:r>
      <w:r>
        <w:rPr>
          <w:rFonts w:hint="eastAsia" w:ascii="仿宋_GB2312" w:hAnsi="微软雅黑" w:eastAsia="仿宋_GB2312" w:cs="Helvetica"/>
          <w:sz w:val="32"/>
          <w:szCs w:val="32"/>
        </w:rPr>
        <w:t>包件号：</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采购人名称：</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采购文件获取日期：</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三、质疑事项具体内容</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质疑事项1：</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事实依据：</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法律依据：</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质疑事项2</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w:t>
      </w:r>
    </w:p>
    <w:p>
      <w:pPr>
        <w:shd w:val="clear" w:color="auto" w:fill="FFFFFF"/>
        <w:snapToGrid w:val="0"/>
        <w:spacing w:line="520" w:lineRule="atLeast"/>
        <w:ind w:firstLine="646"/>
        <w:rPr>
          <w:rFonts w:ascii="仿宋_GB2312" w:hAnsi="微软雅黑" w:eastAsia="仿宋_GB2312" w:cs="Helvetica"/>
          <w:bCs/>
          <w:sz w:val="32"/>
          <w:szCs w:val="32"/>
        </w:rPr>
      </w:pPr>
      <w:r>
        <w:rPr>
          <w:rFonts w:hint="eastAsia" w:ascii="仿宋_GB2312" w:hAnsi="微软雅黑" w:eastAsia="仿宋_GB2312" w:cs="Helvetica"/>
          <w:bCs/>
          <w:sz w:val="32"/>
          <w:szCs w:val="32"/>
        </w:rPr>
        <w:t>四、与质疑事项相关的质疑请求</w:t>
      </w:r>
    </w:p>
    <w:p>
      <w:pPr>
        <w:shd w:val="clear" w:color="auto" w:fill="FFFFFF"/>
        <w:snapToGrid w:val="0"/>
        <w:spacing w:line="520" w:lineRule="atLeast"/>
        <w:ind w:firstLine="646"/>
        <w:rPr>
          <w:rFonts w:ascii="仿宋_GB2312" w:hAnsi="微软雅黑" w:eastAsia="仿宋_GB2312" w:cs="Helvetica"/>
          <w:sz w:val="32"/>
          <w:szCs w:val="32"/>
          <w:u w:val="dotted"/>
        </w:rPr>
      </w:pPr>
      <w:r>
        <w:rPr>
          <w:rFonts w:hint="eastAsia" w:ascii="仿宋_GB2312" w:hAnsi="微软雅黑" w:eastAsia="仿宋_GB2312" w:cs="Helvetica"/>
          <w:sz w:val="32"/>
          <w:szCs w:val="32"/>
        </w:rPr>
        <w:t>请求：</w:t>
      </w:r>
      <w:r>
        <w:rPr>
          <w:rFonts w:hint="eastAsia" w:ascii="仿宋_GB2312" w:hAnsi="微软雅黑" w:eastAsia="仿宋_GB2312" w:cs="Helvetica"/>
          <w:sz w:val="32"/>
          <w:szCs w:val="32"/>
          <w:u w:val="dotted"/>
        </w:rPr>
        <w:t xml:space="preserve">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 xml:space="preserve">签字(签章)：                   公章：                      </w:t>
      </w:r>
    </w:p>
    <w:p>
      <w:pPr>
        <w:shd w:val="clear" w:color="auto" w:fill="FFFFFF"/>
        <w:snapToGrid w:val="0"/>
        <w:spacing w:line="520" w:lineRule="atLeast"/>
        <w:ind w:firstLine="646"/>
        <w:rPr>
          <w:rFonts w:ascii="仿宋_GB2312" w:hAnsi="微软雅黑" w:eastAsia="仿宋_GB2312" w:cs="Helvetica"/>
          <w:sz w:val="32"/>
          <w:szCs w:val="32"/>
        </w:rPr>
      </w:pPr>
      <w:r>
        <w:rPr>
          <w:rFonts w:hint="eastAsia" w:ascii="仿宋_GB2312" w:hAnsi="微软雅黑" w:eastAsia="仿宋_GB2312" w:cs="Helvetica"/>
          <w:sz w:val="32"/>
          <w:szCs w:val="32"/>
        </w:rPr>
        <w:t xml:space="preserve">日期：    </w:t>
      </w:r>
    </w:p>
    <w:p>
      <w:pPr>
        <w:shd w:val="clear" w:color="auto" w:fill="FFFFFF"/>
        <w:spacing w:line="600" w:lineRule="atLeast"/>
        <w:ind w:firstLine="645"/>
        <w:rPr>
          <w:rFonts w:ascii="仿宋_GB2312" w:hAnsi="微软雅黑" w:eastAsia="仿宋_GB2312" w:cs="Helvetica"/>
          <w:b/>
          <w:sz w:val="32"/>
          <w:szCs w:val="32"/>
        </w:rPr>
      </w:pPr>
      <w:r>
        <w:rPr>
          <w:rFonts w:hint="eastAsia" w:ascii="仿宋_GB2312" w:hAnsi="微软雅黑" w:eastAsia="仿宋_GB2312" w:cs="Helvetica"/>
          <w:b/>
          <w:sz w:val="32"/>
          <w:szCs w:val="32"/>
        </w:rPr>
        <w:t>质疑函制作说明：</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1.供应商提出质疑时，应提交质疑函和必要的证明材料。</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3.质疑供应商若对项目的某一分包进行质疑，质疑函中应列明具体分包号。</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4.质疑函的质疑事项应具体、明确，并有必要的事实依据和法律依据。</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5.质疑函的质疑请求应与质疑事项相关。</w:t>
      </w:r>
    </w:p>
    <w:p>
      <w:pPr>
        <w:shd w:val="clear" w:color="auto" w:fill="FFFFFF"/>
        <w:spacing w:line="600" w:lineRule="atLeast"/>
        <w:ind w:firstLine="645"/>
        <w:rPr>
          <w:rFonts w:ascii="仿宋_GB2312" w:hAnsi="微软雅黑" w:eastAsia="仿宋_GB2312" w:cs="Helvetica"/>
          <w:sz w:val="32"/>
          <w:szCs w:val="32"/>
        </w:rPr>
      </w:pPr>
      <w:r>
        <w:rPr>
          <w:rFonts w:hint="eastAsia" w:ascii="仿宋_GB2312" w:hAnsi="微软雅黑" w:eastAsia="仿宋_GB2312" w:cs="Helvetica"/>
          <w:sz w:val="32"/>
          <w:szCs w:val="32"/>
        </w:rPr>
        <w:t>6.质疑供应商为自然人的，质疑函应由本人签字；质疑供应商为法人或者其他组织的，质疑函应由法定代表人、主要负责人，或者其授权代表签字或者盖章，并加盖公章。</w:t>
      </w:r>
    </w:p>
    <w:p>
      <w:pPr>
        <w:shd w:val="clear" w:color="auto" w:fill="FFFFFF"/>
        <w:spacing w:line="600" w:lineRule="atLeast"/>
        <w:ind w:firstLine="645"/>
        <w:rPr>
          <w:rFonts w:ascii="仿宋_GB2312" w:hAnsi="微软雅黑" w:eastAsia="仿宋_GB2312" w:cs="Helvetica"/>
          <w:sz w:val="32"/>
          <w:szCs w:val="32"/>
        </w:rPr>
      </w:pPr>
    </w:p>
    <w:p>
      <w:pPr>
        <w:shd w:val="clear" w:color="auto" w:fill="FFFFFF"/>
        <w:spacing w:line="600" w:lineRule="atLeast"/>
        <w:ind w:firstLine="645"/>
        <w:rPr>
          <w:rFonts w:ascii="仿宋_GB2312" w:hAnsi="微软雅黑" w:eastAsia="仿宋_GB2312" w:cs="Helvetica"/>
          <w:sz w:val="32"/>
          <w:szCs w:val="32"/>
        </w:rPr>
      </w:pPr>
    </w:p>
    <w:p>
      <w:pPr>
        <w:shd w:val="clear" w:color="auto" w:fill="FFFFFF"/>
        <w:spacing w:line="600" w:lineRule="atLeast"/>
        <w:ind w:firstLine="645"/>
        <w:rPr>
          <w:rFonts w:ascii="仿宋_GB2312" w:hAnsi="微软雅黑" w:eastAsia="仿宋_GB2312" w:cs="Helvetica"/>
          <w:sz w:val="32"/>
          <w:szCs w:val="32"/>
        </w:rPr>
      </w:pPr>
    </w:p>
    <w:p>
      <w:pPr>
        <w:shd w:val="clear" w:color="auto" w:fill="FFFFFF"/>
        <w:spacing w:line="600" w:lineRule="atLeast"/>
        <w:ind w:firstLine="645"/>
        <w:rPr>
          <w:rFonts w:ascii="仿宋_GB2312" w:hAnsi="微软雅黑" w:eastAsia="仿宋_GB2312" w:cs="Helvetica"/>
          <w:sz w:val="32"/>
          <w:szCs w:val="32"/>
        </w:rPr>
      </w:pPr>
    </w:p>
    <w:p>
      <w:pPr>
        <w:shd w:val="clear" w:color="auto" w:fill="FFFFFF"/>
        <w:spacing w:line="600" w:lineRule="atLeast"/>
        <w:ind w:firstLine="645"/>
        <w:rPr>
          <w:rFonts w:ascii="仿宋_GB2312" w:hAnsi="微软雅黑" w:eastAsia="仿宋_GB2312" w:cs="Helvetica"/>
          <w:sz w:val="32"/>
          <w:szCs w:val="32"/>
        </w:rPr>
      </w:pPr>
    </w:p>
    <w:p>
      <w:pPr>
        <w:shd w:val="clear" w:color="auto" w:fill="FFFFFF"/>
        <w:spacing w:line="600" w:lineRule="atLeast"/>
        <w:rPr>
          <w:rFonts w:hint="eastAsia" w:ascii="仿宋_GB2312" w:hAnsi="微软雅黑" w:eastAsia="仿宋_GB2312" w:cs="Helvetica"/>
          <w:sz w:val="32"/>
          <w:szCs w:val="32"/>
          <w:lang w:eastAsia="zh-CN"/>
        </w:rPr>
      </w:pPr>
      <w:r>
        <w:rPr>
          <w:rFonts w:hint="eastAsia" w:ascii="仿宋_GB2312" w:hAnsi="微软雅黑" w:eastAsia="仿宋_GB2312" w:cs="Helvetica"/>
          <w:sz w:val="32"/>
          <w:szCs w:val="32"/>
          <w:lang w:eastAsia="zh-CN"/>
        </w:rPr>
        <w:t>附件投诉书</w:t>
      </w:r>
    </w:p>
    <w:p>
      <w:pPr>
        <w:shd w:val="clear" w:color="auto" w:fill="FFFFFF"/>
        <w:spacing w:line="600" w:lineRule="atLeast"/>
        <w:ind w:firstLine="645"/>
        <w:rPr>
          <w:rFonts w:ascii="仿宋_GB2312" w:hAnsi="微软雅黑" w:eastAsia="仿宋_GB2312" w:cs="Helvetica"/>
          <w:sz w:val="32"/>
          <w:szCs w:val="32"/>
        </w:rPr>
      </w:pPr>
    </w:p>
    <w:p/>
    <w:p>
      <w:pPr>
        <w:pStyle w:val="3"/>
        <w:numPr>
          <w:ilvl w:val="0"/>
          <w:numId w:val="1"/>
        </w:numPr>
        <w:spacing w:before="0" w:after="0"/>
        <w:ind w:left="3082" w:leftChars="0" w:firstLine="0" w:firstLineChars="0"/>
      </w:pPr>
      <w:r>
        <w:rPr>
          <w:rFonts w:hint="eastAsia"/>
        </w:rPr>
        <w:t xml:space="preserve"> </w:t>
      </w:r>
      <w:bookmarkStart w:id="265" w:name="_Toc98163907"/>
      <w:r>
        <w:rPr>
          <w:rFonts w:hint="eastAsia"/>
        </w:rPr>
        <w:t>投诉书范本</w:t>
      </w:r>
      <w:bookmarkEnd w:id="265"/>
    </w:p>
    <w:p>
      <w:pPr>
        <w:jc w:val="center"/>
        <w:rPr>
          <w:rFonts w:ascii="方正小标宋简体" w:hAnsi="仿宋" w:eastAsia="方正小标宋简体"/>
          <w:sz w:val="44"/>
          <w:szCs w:val="44"/>
        </w:rPr>
      </w:pPr>
      <w:r>
        <w:rPr>
          <w:rFonts w:hint="eastAsia" w:ascii="方正小标宋简体" w:hAnsi="仿宋" w:eastAsia="方正小标宋简体"/>
          <w:sz w:val="44"/>
          <w:szCs w:val="44"/>
        </w:rPr>
        <w:t>政府采购投诉书（范本）</w:t>
      </w:r>
    </w:p>
    <w:p>
      <w:pPr>
        <w:rPr>
          <w:rFonts w:ascii="仿宋" w:hAnsi="仿宋" w:eastAsia="仿宋"/>
          <w:sz w:val="32"/>
          <w:szCs w:val="32"/>
        </w:rPr>
      </w:pPr>
      <w:r>
        <w:rPr>
          <w:rFonts w:hint="eastAsia" w:ascii="仿宋" w:hAnsi="仿宋" w:eastAsia="仿宋"/>
          <w:sz w:val="32"/>
          <w:szCs w:val="32"/>
        </w:rPr>
        <w:t>一、投诉相关主体基本情况</w:t>
      </w:r>
    </w:p>
    <w:p>
      <w:pPr>
        <w:rPr>
          <w:rFonts w:ascii="仿宋" w:hAnsi="仿宋" w:eastAsia="仿宋"/>
          <w:sz w:val="32"/>
          <w:szCs w:val="32"/>
        </w:rPr>
      </w:pPr>
      <w:r>
        <w:rPr>
          <w:rFonts w:hint="eastAsia" w:ascii="仿宋" w:hAnsi="仿宋" w:eastAsia="仿宋"/>
          <w:sz w:val="32"/>
          <w:szCs w:val="32"/>
        </w:rPr>
        <w:t xml:space="preserve">投诉人：                                               </w:t>
      </w:r>
    </w:p>
    <w:p>
      <w:pPr>
        <w:rPr>
          <w:rFonts w:ascii="仿宋" w:hAnsi="仿宋" w:eastAsia="仿宋"/>
          <w:sz w:val="32"/>
          <w:szCs w:val="32"/>
        </w:rPr>
      </w:pPr>
      <w:r>
        <w:rPr>
          <w:rFonts w:hint="eastAsia" w:ascii="仿宋" w:hAnsi="仿宋" w:eastAsia="仿宋"/>
          <w:sz w:val="32"/>
          <w:szCs w:val="32"/>
        </w:rPr>
        <w:t xml:space="preserve">地     址：                             邮编：            </w:t>
      </w:r>
    </w:p>
    <w:p>
      <w:pPr>
        <w:rPr>
          <w:rFonts w:ascii="仿宋" w:hAnsi="仿宋" w:eastAsia="仿宋"/>
          <w:sz w:val="32"/>
          <w:szCs w:val="32"/>
        </w:rPr>
      </w:pPr>
      <w:r>
        <w:rPr>
          <w:rFonts w:hint="eastAsia" w:ascii="仿宋" w:hAnsi="仿宋" w:eastAsia="仿宋"/>
          <w:sz w:val="32"/>
          <w:szCs w:val="32"/>
        </w:rPr>
        <w:t xml:space="preserve">法定代表人/主要负责人：                                     </w:t>
      </w:r>
    </w:p>
    <w:p>
      <w:pPr>
        <w:rPr>
          <w:rFonts w:ascii="仿宋" w:hAnsi="仿宋" w:eastAsia="仿宋"/>
          <w:sz w:val="32"/>
          <w:szCs w:val="32"/>
        </w:rPr>
      </w:pPr>
      <w:r>
        <w:rPr>
          <w:rFonts w:hint="eastAsia" w:ascii="仿宋" w:hAnsi="仿宋" w:eastAsia="仿宋"/>
          <w:sz w:val="32"/>
          <w:szCs w:val="32"/>
        </w:rPr>
        <w:t xml:space="preserve">联系电话：                                             </w:t>
      </w:r>
    </w:p>
    <w:p>
      <w:pPr>
        <w:rPr>
          <w:rFonts w:ascii="仿宋" w:hAnsi="仿宋" w:eastAsia="仿宋"/>
          <w:sz w:val="32"/>
          <w:szCs w:val="32"/>
        </w:rPr>
      </w:pPr>
      <w:r>
        <w:rPr>
          <w:rFonts w:hint="eastAsia" w:ascii="仿宋" w:hAnsi="仿宋" w:eastAsia="仿宋"/>
          <w:sz w:val="32"/>
          <w:szCs w:val="32"/>
        </w:rPr>
        <w:t xml:space="preserve">授权代表：             联系电话：                  </w:t>
      </w:r>
    </w:p>
    <w:p>
      <w:pPr>
        <w:rPr>
          <w:rFonts w:ascii="仿宋" w:hAnsi="仿宋" w:eastAsia="仿宋"/>
          <w:sz w:val="32"/>
          <w:szCs w:val="32"/>
        </w:rPr>
      </w:pPr>
      <w:r>
        <w:rPr>
          <w:rFonts w:hint="eastAsia" w:ascii="仿宋" w:hAnsi="仿宋" w:eastAsia="仿宋"/>
          <w:sz w:val="32"/>
          <w:szCs w:val="32"/>
        </w:rPr>
        <w:t xml:space="preserve">地     址：                             邮编：                             </w:t>
      </w:r>
    </w:p>
    <w:p>
      <w:pPr>
        <w:rPr>
          <w:rFonts w:ascii="仿宋" w:hAnsi="仿宋" w:eastAsia="仿宋"/>
          <w:sz w:val="32"/>
          <w:szCs w:val="32"/>
        </w:rPr>
      </w:pPr>
      <w:r>
        <w:rPr>
          <w:rFonts w:hint="eastAsia" w:ascii="仿宋" w:hAnsi="仿宋" w:eastAsia="仿宋"/>
          <w:sz w:val="32"/>
          <w:szCs w:val="32"/>
        </w:rPr>
        <w:t xml:space="preserve">被投诉人1：                                             </w:t>
      </w:r>
    </w:p>
    <w:p>
      <w:pPr>
        <w:rPr>
          <w:rFonts w:ascii="仿宋" w:hAnsi="仿宋" w:eastAsia="仿宋"/>
          <w:sz w:val="32"/>
          <w:szCs w:val="32"/>
        </w:rPr>
      </w:pPr>
      <w:r>
        <w:rPr>
          <w:rFonts w:hint="eastAsia" w:ascii="仿宋" w:hAnsi="仿宋" w:eastAsia="仿宋"/>
          <w:sz w:val="32"/>
          <w:szCs w:val="32"/>
        </w:rPr>
        <w:t xml:space="preserve">地     址：                             邮编：           </w:t>
      </w:r>
    </w:p>
    <w:p>
      <w:pPr>
        <w:rPr>
          <w:rFonts w:ascii="仿宋" w:hAnsi="仿宋" w:eastAsia="仿宋"/>
          <w:sz w:val="32"/>
          <w:szCs w:val="32"/>
        </w:rPr>
      </w:pPr>
      <w:r>
        <w:rPr>
          <w:rFonts w:hint="eastAsia" w:ascii="仿宋" w:hAnsi="仿宋" w:eastAsia="仿宋"/>
          <w:sz w:val="32"/>
          <w:szCs w:val="32"/>
        </w:rPr>
        <w:t xml:space="preserve">联系人：               联系电话：                       </w:t>
      </w:r>
    </w:p>
    <w:p>
      <w:pPr>
        <w:rPr>
          <w:rFonts w:ascii="仿宋" w:hAnsi="仿宋" w:eastAsia="仿宋"/>
          <w:sz w:val="32"/>
          <w:szCs w:val="32"/>
        </w:rPr>
      </w:pPr>
      <w:r>
        <w:rPr>
          <w:rFonts w:hint="eastAsia" w:ascii="仿宋" w:hAnsi="仿宋" w:eastAsia="仿宋"/>
          <w:sz w:val="32"/>
          <w:szCs w:val="32"/>
        </w:rPr>
        <w:t>被投诉人2</w:t>
      </w:r>
    </w:p>
    <w:p>
      <w:pPr>
        <w:rPr>
          <w:rFonts w:ascii="仿宋" w:hAnsi="仿宋" w:eastAsia="仿宋"/>
          <w:sz w:val="32"/>
          <w:szCs w:val="32"/>
        </w:rPr>
      </w:pPr>
      <w:r>
        <w:rPr>
          <w:rFonts w:hint="eastAsia" w:ascii="仿宋" w:hAnsi="仿宋" w:eastAsia="仿宋"/>
          <w:sz w:val="32"/>
          <w:szCs w:val="32"/>
        </w:rPr>
        <w:t>……</w:t>
      </w:r>
    </w:p>
    <w:p>
      <w:pPr>
        <w:rPr>
          <w:rFonts w:ascii="仿宋" w:hAnsi="仿宋" w:eastAsia="仿宋"/>
          <w:sz w:val="32"/>
          <w:szCs w:val="32"/>
        </w:rPr>
      </w:pPr>
      <w:r>
        <w:rPr>
          <w:rFonts w:hint="eastAsia" w:ascii="仿宋" w:hAnsi="仿宋" w:eastAsia="仿宋"/>
          <w:sz w:val="32"/>
          <w:szCs w:val="32"/>
        </w:rPr>
        <w:t xml:space="preserve">相关供应商：                                               </w:t>
      </w:r>
    </w:p>
    <w:p>
      <w:pPr>
        <w:rPr>
          <w:rFonts w:ascii="仿宋" w:hAnsi="仿宋" w:eastAsia="仿宋"/>
          <w:sz w:val="32"/>
          <w:szCs w:val="32"/>
        </w:rPr>
      </w:pPr>
      <w:r>
        <w:rPr>
          <w:rFonts w:hint="eastAsia" w:ascii="仿宋" w:hAnsi="仿宋" w:eastAsia="仿宋"/>
          <w:sz w:val="32"/>
          <w:szCs w:val="32"/>
        </w:rPr>
        <w:t xml:space="preserve">地     址：                             邮编：           </w:t>
      </w:r>
    </w:p>
    <w:p>
      <w:pPr>
        <w:rPr>
          <w:rFonts w:ascii="仿宋" w:hAnsi="仿宋" w:eastAsia="仿宋"/>
          <w:sz w:val="32"/>
          <w:szCs w:val="32"/>
        </w:rPr>
      </w:pPr>
      <w:r>
        <w:rPr>
          <w:rFonts w:hint="eastAsia" w:ascii="仿宋" w:hAnsi="仿宋" w:eastAsia="仿宋"/>
          <w:sz w:val="32"/>
          <w:szCs w:val="32"/>
        </w:rPr>
        <w:t xml:space="preserve">联系人：               联系电话：                            </w:t>
      </w:r>
    </w:p>
    <w:p>
      <w:pPr>
        <w:rPr>
          <w:rFonts w:ascii="仿宋" w:hAnsi="仿宋" w:eastAsia="仿宋"/>
          <w:sz w:val="32"/>
          <w:szCs w:val="32"/>
        </w:rPr>
      </w:pPr>
      <w:r>
        <w:rPr>
          <w:rFonts w:hint="eastAsia" w:ascii="仿宋" w:hAnsi="仿宋" w:eastAsia="仿宋"/>
          <w:sz w:val="32"/>
          <w:szCs w:val="32"/>
        </w:rPr>
        <w:t>二、投诉项目基本情况</w:t>
      </w:r>
    </w:p>
    <w:p>
      <w:pPr>
        <w:rPr>
          <w:rFonts w:ascii="仿宋" w:hAnsi="仿宋" w:eastAsia="仿宋"/>
          <w:sz w:val="32"/>
          <w:szCs w:val="32"/>
        </w:rPr>
      </w:pPr>
      <w:r>
        <w:rPr>
          <w:rFonts w:hint="eastAsia" w:ascii="仿宋" w:hAnsi="仿宋" w:eastAsia="仿宋"/>
          <w:sz w:val="32"/>
          <w:szCs w:val="32"/>
        </w:rPr>
        <w:t xml:space="preserve">采购项目名称：                                        </w:t>
      </w:r>
    </w:p>
    <w:p>
      <w:pPr>
        <w:rPr>
          <w:rFonts w:ascii="仿宋" w:hAnsi="仿宋" w:eastAsia="仿宋"/>
          <w:sz w:val="32"/>
          <w:szCs w:val="32"/>
        </w:rPr>
      </w:pPr>
      <w:r>
        <w:rPr>
          <w:rFonts w:hint="eastAsia" w:ascii="仿宋" w:hAnsi="仿宋" w:eastAsia="仿宋"/>
          <w:sz w:val="32"/>
          <w:szCs w:val="32"/>
        </w:rPr>
        <w:t xml:space="preserve">采购项目编号：                 包号：              </w:t>
      </w:r>
    </w:p>
    <w:p>
      <w:pPr>
        <w:rPr>
          <w:rFonts w:ascii="仿宋" w:hAnsi="仿宋" w:eastAsia="仿宋"/>
          <w:sz w:val="32"/>
          <w:szCs w:val="32"/>
        </w:rPr>
      </w:pPr>
      <w:r>
        <w:rPr>
          <w:rFonts w:hint="eastAsia" w:ascii="仿宋" w:hAnsi="仿宋" w:eastAsia="仿宋"/>
          <w:sz w:val="32"/>
          <w:szCs w:val="32"/>
        </w:rPr>
        <w:t xml:space="preserve">采购人名称：                                             </w:t>
      </w:r>
    </w:p>
    <w:p>
      <w:pPr>
        <w:rPr>
          <w:rFonts w:ascii="仿宋" w:hAnsi="仿宋" w:eastAsia="仿宋"/>
          <w:sz w:val="32"/>
          <w:szCs w:val="32"/>
        </w:rPr>
      </w:pPr>
      <w:r>
        <w:rPr>
          <w:rFonts w:hint="eastAsia" w:ascii="仿宋" w:hAnsi="仿宋" w:eastAsia="仿宋"/>
          <w:sz w:val="32"/>
          <w:szCs w:val="32"/>
        </w:rPr>
        <w:t xml:space="preserve">代理机构名称：                                         </w:t>
      </w:r>
    </w:p>
    <w:p>
      <w:pPr>
        <w:rPr>
          <w:rFonts w:ascii="仿宋" w:hAnsi="仿宋" w:eastAsia="仿宋"/>
          <w:sz w:val="32"/>
          <w:szCs w:val="32"/>
        </w:rPr>
      </w:pPr>
      <w:r>
        <w:rPr>
          <w:rFonts w:hint="eastAsia" w:ascii="仿宋" w:hAnsi="仿宋" w:eastAsia="仿宋"/>
          <w:sz w:val="32"/>
          <w:szCs w:val="32"/>
        </w:rPr>
        <w:t xml:space="preserve">采购文件公告:是/否 公告期限：                                 </w:t>
      </w:r>
    </w:p>
    <w:p>
      <w:pPr>
        <w:rPr>
          <w:rFonts w:ascii="仿宋" w:hAnsi="仿宋" w:eastAsia="仿宋"/>
          <w:sz w:val="32"/>
          <w:szCs w:val="32"/>
        </w:rPr>
      </w:pPr>
      <w:r>
        <w:rPr>
          <w:rFonts w:hint="eastAsia" w:ascii="仿宋" w:hAnsi="仿宋" w:eastAsia="仿宋"/>
          <w:sz w:val="32"/>
          <w:szCs w:val="32"/>
        </w:rPr>
        <w:t xml:space="preserve">采购结果公告:是/否 公告期限：                        </w:t>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32"/>
          <w:szCs w:val="32"/>
        </w:rPr>
      </w:pPr>
      <w:r>
        <w:rPr>
          <w:rFonts w:hint="eastAsia" w:ascii="仿宋" w:hAnsi="仿宋" w:eastAsia="仿宋"/>
          <w:sz w:val="32"/>
          <w:szCs w:val="32"/>
        </w:rPr>
        <w:t>三、质疑基本情况</w:t>
      </w:r>
    </w:p>
    <w:p>
      <w:pPr>
        <w:rPr>
          <w:rFonts w:ascii="仿宋" w:hAnsi="仿宋" w:eastAsia="仿宋"/>
          <w:sz w:val="32"/>
          <w:szCs w:val="32"/>
        </w:rPr>
      </w:pPr>
      <w:r>
        <w:rPr>
          <w:rFonts w:hint="eastAsia" w:ascii="仿宋" w:hAnsi="仿宋" w:eastAsia="仿宋"/>
          <w:sz w:val="32"/>
          <w:szCs w:val="32"/>
        </w:rPr>
        <w:t xml:space="preserve">投诉人于   年   月  日,向                   提出质疑，质疑事项为：                                </w:t>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32"/>
          <w:szCs w:val="32"/>
        </w:rPr>
      </w:pPr>
      <w:r>
        <w:rPr>
          <w:rFonts w:hint="eastAsia" w:ascii="仿宋" w:hAnsi="仿宋" w:eastAsia="仿宋"/>
          <w:sz w:val="32"/>
          <w:szCs w:val="32"/>
        </w:rPr>
        <w:t>采购人/代理机构于   年   月   日,就质疑事项作出了答复/没有在法定期限内作出答复。</w:t>
      </w:r>
    </w:p>
    <w:p>
      <w:pPr>
        <w:rPr>
          <w:rFonts w:ascii="仿宋" w:hAnsi="仿宋" w:eastAsia="仿宋"/>
          <w:sz w:val="32"/>
          <w:szCs w:val="32"/>
        </w:rPr>
      </w:pPr>
      <w:r>
        <w:rPr>
          <w:rFonts w:hint="eastAsia" w:ascii="仿宋" w:hAnsi="仿宋" w:eastAsia="仿宋"/>
          <w:sz w:val="32"/>
          <w:szCs w:val="32"/>
        </w:rPr>
        <w:t>四、投诉事项具体内容</w:t>
      </w:r>
    </w:p>
    <w:p>
      <w:pPr>
        <w:rPr>
          <w:rFonts w:ascii="仿宋" w:hAnsi="仿宋" w:eastAsia="仿宋"/>
          <w:sz w:val="32"/>
          <w:szCs w:val="32"/>
        </w:rPr>
      </w:pPr>
      <w:r>
        <w:rPr>
          <w:rFonts w:hint="eastAsia" w:ascii="仿宋" w:hAnsi="仿宋" w:eastAsia="仿宋"/>
          <w:sz w:val="32"/>
          <w:szCs w:val="32"/>
        </w:rPr>
        <w:t xml:space="preserve">投诉事项 1：                                       </w:t>
      </w:r>
    </w:p>
    <w:p>
      <w:pPr>
        <w:rPr>
          <w:rFonts w:ascii="仿宋" w:hAnsi="仿宋" w:eastAsia="仿宋"/>
          <w:sz w:val="32"/>
          <w:szCs w:val="32"/>
        </w:rPr>
      </w:pPr>
      <w:r>
        <w:rPr>
          <w:rFonts w:hint="eastAsia" w:ascii="仿宋" w:hAnsi="仿宋" w:eastAsia="仿宋"/>
          <w:sz w:val="32"/>
          <w:szCs w:val="32"/>
        </w:rPr>
        <w:t xml:space="preserve">事实依据：                                         </w:t>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32"/>
          <w:szCs w:val="32"/>
        </w:rPr>
      </w:pPr>
      <w:r>
        <w:rPr>
          <w:rFonts w:hint="eastAsia" w:ascii="仿宋" w:hAnsi="仿宋" w:eastAsia="仿宋"/>
          <w:sz w:val="32"/>
          <w:szCs w:val="32"/>
        </w:rPr>
        <w:t xml:space="preserve">法律依据：                                          </w:t>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32"/>
          <w:szCs w:val="32"/>
        </w:rPr>
      </w:pPr>
      <w:r>
        <w:rPr>
          <w:rFonts w:hint="eastAsia" w:ascii="仿宋" w:hAnsi="仿宋" w:eastAsia="仿宋"/>
          <w:sz w:val="32"/>
          <w:szCs w:val="32"/>
        </w:rPr>
        <w:t>投诉事项2</w:t>
      </w:r>
    </w:p>
    <w:p>
      <w:pPr>
        <w:rPr>
          <w:rFonts w:ascii="仿宋" w:hAnsi="仿宋" w:eastAsia="仿宋"/>
          <w:sz w:val="32"/>
          <w:szCs w:val="32"/>
        </w:rPr>
      </w:pPr>
      <w:r>
        <w:rPr>
          <w:rFonts w:hint="eastAsia" w:ascii="仿宋" w:hAnsi="仿宋" w:eastAsia="仿宋"/>
          <w:sz w:val="32"/>
          <w:szCs w:val="32"/>
        </w:rPr>
        <w:t>……</w:t>
      </w:r>
    </w:p>
    <w:p>
      <w:pPr>
        <w:rPr>
          <w:rFonts w:ascii="仿宋" w:hAnsi="仿宋" w:eastAsia="仿宋"/>
          <w:sz w:val="32"/>
          <w:szCs w:val="32"/>
        </w:rPr>
      </w:pPr>
      <w:r>
        <w:rPr>
          <w:rFonts w:hint="eastAsia" w:ascii="仿宋" w:hAnsi="仿宋" w:eastAsia="仿宋"/>
          <w:sz w:val="32"/>
          <w:szCs w:val="32"/>
        </w:rPr>
        <w:t>五、与投诉事项相关的投诉请求</w:t>
      </w:r>
    </w:p>
    <w:p>
      <w:pPr>
        <w:rPr>
          <w:rFonts w:ascii="仿宋" w:hAnsi="仿宋" w:eastAsia="仿宋"/>
          <w:sz w:val="32"/>
          <w:szCs w:val="32"/>
        </w:rPr>
      </w:pPr>
      <w:r>
        <w:rPr>
          <w:rFonts w:hint="eastAsia" w:ascii="仿宋" w:hAnsi="仿宋" w:eastAsia="仿宋"/>
          <w:sz w:val="32"/>
          <w:szCs w:val="32"/>
        </w:rPr>
        <w:t xml:space="preserve">请求：                                               </w:t>
      </w:r>
    </w:p>
    <w:p>
      <w:pPr>
        <w:rPr>
          <w:rFonts w:ascii="仿宋" w:hAnsi="仿宋" w:eastAsia="仿宋"/>
          <w:sz w:val="32"/>
          <w:szCs w:val="32"/>
        </w:rPr>
      </w:pPr>
      <w:r>
        <w:rPr>
          <w:rFonts w:hint="eastAsia" w:ascii="仿宋" w:hAnsi="仿宋" w:eastAsia="仿宋"/>
          <w:sz w:val="32"/>
          <w:szCs w:val="32"/>
        </w:rPr>
        <w:t xml:space="preserve">                                                                                                    </w:t>
      </w:r>
    </w:p>
    <w:p>
      <w:pPr>
        <w:rPr>
          <w:rFonts w:ascii="仿宋" w:hAnsi="仿宋" w:eastAsia="仿宋"/>
          <w:sz w:val="32"/>
          <w:szCs w:val="32"/>
        </w:rPr>
      </w:pPr>
      <w:r>
        <w:rPr>
          <w:rFonts w:hint="eastAsia" w:ascii="仿宋" w:hAnsi="仿宋" w:eastAsia="仿宋"/>
          <w:sz w:val="32"/>
          <w:szCs w:val="32"/>
        </w:rPr>
        <w:t xml:space="preserve">签字(签章)：                   公章：                      </w:t>
      </w:r>
    </w:p>
    <w:p>
      <w:pPr>
        <w:rPr>
          <w:rFonts w:ascii="仿宋" w:hAnsi="仿宋" w:eastAsia="仿宋"/>
          <w:sz w:val="32"/>
          <w:szCs w:val="32"/>
        </w:rPr>
      </w:pPr>
      <w:r>
        <w:rPr>
          <w:rFonts w:hint="eastAsia" w:ascii="仿宋" w:hAnsi="仿宋" w:eastAsia="仿宋"/>
          <w:sz w:val="32"/>
          <w:szCs w:val="32"/>
        </w:rPr>
        <w:t xml:space="preserve">日期：    </w:t>
      </w:r>
    </w:p>
    <w:p>
      <w:pPr>
        <w:rPr>
          <w:rFonts w:ascii="仿宋" w:hAnsi="仿宋" w:eastAsia="仿宋"/>
          <w:sz w:val="32"/>
          <w:szCs w:val="32"/>
        </w:rPr>
      </w:pPr>
    </w:p>
    <w:p>
      <w:pPr>
        <w:rPr>
          <w:rFonts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投诉书制作说明：</w:t>
      </w:r>
    </w:p>
    <w:p>
      <w:pPr>
        <w:rPr>
          <w:rFonts w:ascii="仿宋" w:hAnsi="仿宋" w:eastAsia="仿宋"/>
          <w:sz w:val="32"/>
          <w:szCs w:val="32"/>
        </w:rPr>
      </w:pPr>
      <w:r>
        <w:rPr>
          <w:rFonts w:hint="eastAsia" w:ascii="仿宋" w:hAnsi="仿宋" w:eastAsia="仿宋"/>
          <w:sz w:val="32"/>
          <w:szCs w:val="32"/>
        </w:rPr>
        <w:t>1.投诉人提起投诉时，应当提交投诉书和必要的证明材料，并按照被投诉人和与投诉事项有关的供应商数量提供投诉书副本。</w:t>
      </w:r>
    </w:p>
    <w:p>
      <w:pPr>
        <w:rPr>
          <w:rFonts w:ascii="仿宋" w:hAnsi="仿宋" w:eastAsia="仿宋"/>
          <w:sz w:val="32"/>
          <w:szCs w:val="32"/>
        </w:rPr>
      </w:pPr>
      <w:r>
        <w:rPr>
          <w:rFonts w:hint="eastAsia" w:ascii="仿宋" w:hAnsi="仿宋" w:eastAsia="仿宋"/>
          <w:sz w:val="32"/>
          <w:szCs w:val="32"/>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rPr>
          <w:rFonts w:ascii="仿宋" w:hAnsi="仿宋" w:eastAsia="仿宋"/>
          <w:sz w:val="32"/>
          <w:szCs w:val="32"/>
        </w:rPr>
      </w:pPr>
      <w:r>
        <w:rPr>
          <w:rFonts w:hint="eastAsia" w:ascii="仿宋" w:hAnsi="仿宋" w:eastAsia="仿宋"/>
          <w:sz w:val="32"/>
          <w:szCs w:val="32"/>
        </w:rPr>
        <w:t>3.投诉人若对项目的某一分包进行投诉，投诉书应列明具体分包号。</w:t>
      </w:r>
    </w:p>
    <w:p>
      <w:pPr>
        <w:rPr>
          <w:rFonts w:ascii="仿宋" w:hAnsi="仿宋" w:eastAsia="仿宋"/>
          <w:sz w:val="32"/>
          <w:szCs w:val="32"/>
        </w:rPr>
      </w:pPr>
      <w:r>
        <w:rPr>
          <w:rFonts w:hint="eastAsia" w:ascii="仿宋" w:hAnsi="仿宋" w:eastAsia="仿宋"/>
          <w:sz w:val="32"/>
          <w:szCs w:val="32"/>
        </w:rPr>
        <w:t>4.投诉书应简要列明质疑事项，质疑函、质疑答复等作为附件材料提供。</w:t>
      </w:r>
    </w:p>
    <w:p>
      <w:pPr>
        <w:rPr>
          <w:rFonts w:ascii="仿宋" w:hAnsi="仿宋" w:eastAsia="仿宋"/>
          <w:sz w:val="32"/>
          <w:szCs w:val="32"/>
        </w:rPr>
      </w:pPr>
      <w:r>
        <w:rPr>
          <w:rFonts w:hint="eastAsia" w:ascii="仿宋" w:hAnsi="仿宋" w:eastAsia="仿宋"/>
          <w:sz w:val="32"/>
          <w:szCs w:val="32"/>
        </w:rPr>
        <w:t>5.投诉书的投诉事项应具体、明确，并有必要的事实依据和法律依据。</w:t>
      </w:r>
    </w:p>
    <w:p>
      <w:pPr>
        <w:rPr>
          <w:rFonts w:ascii="仿宋" w:hAnsi="仿宋" w:eastAsia="仿宋"/>
          <w:sz w:val="32"/>
          <w:szCs w:val="32"/>
        </w:rPr>
      </w:pPr>
      <w:r>
        <w:rPr>
          <w:rFonts w:hint="eastAsia" w:ascii="仿宋" w:hAnsi="仿宋" w:eastAsia="仿宋"/>
          <w:sz w:val="32"/>
          <w:szCs w:val="32"/>
        </w:rPr>
        <w:t>6.投诉书的投诉请求应与投诉事项相关。</w:t>
      </w:r>
    </w:p>
    <w:p>
      <w:pPr>
        <w:rPr>
          <w:rFonts w:ascii="仿宋" w:hAnsi="仿宋" w:eastAsia="仿宋"/>
          <w:sz w:val="32"/>
          <w:szCs w:val="32"/>
        </w:rPr>
      </w:pPr>
      <w:r>
        <w:rPr>
          <w:rFonts w:hint="eastAsia" w:ascii="仿宋" w:hAnsi="仿宋" w:eastAsia="仿宋"/>
          <w:sz w:val="32"/>
          <w:szCs w:val="32"/>
        </w:rPr>
        <w:t>7.投诉人为自然人的，投诉书应当由本人签字；投诉人为法人或者其他组织的，投诉书应当由法定代表人、主要负责人，或者其授权代表签字或者盖章，并加盖公章。</w:t>
      </w:r>
    </w:p>
    <w:p>
      <w:pPr>
        <w:rPr>
          <w:rFonts w:ascii="仿宋" w:hAnsi="仿宋" w:eastAsia="仿宋"/>
          <w:sz w:val="32"/>
          <w:szCs w:val="32"/>
        </w:rPr>
      </w:pPr>
      <w:r>
        <w:rPr>
          <w:rFonts w:hint="eastAsia" w:ascii="仿宋" w:hAnsi="仿宋" w:eastAsia="仿宋"/>
          <w:sz w:val="32"/>
          <w:szCs w:val="32"/>
        </w:rPr>
        <w:t>8.以联合体形式参加政府采购活动的，其投诉应当由组成联合体的所有供应商共同提出。</w:t>
      </w:r>
    </w:p>
    <w:p>
      <w:pPr>
        <w:rPr>
          <w:rFonts w:ascii="仿宋" w:hAnsi="仿宋" w:eastAsia="仿宋"/>
          <w:sz w:val="32"/>
          <w:szCs w:val="32"/>
        </w:rPr>
      </w:pPr>
      <w:r>
        <w:rPr>
          <w:rFonts w:hint="eastAsia" w:ascii="仿宋" w:hAnsi="仿宋" w:eastAsia="仿宋"/>
          <w:sz w:val="32"/>
          <w:szCs w:val="32"/>
        </w:rPr>
        <w:t>投诉书制作建议参考依据：</w:t>
      </w:r>
    </w:p>
    <w:p>
      <w:pPr>
        <w:rPr>
          <w:rFonts w:ascii="仿宋" w:hAnsi="仿宋" w:eastAsia="仿宋"/>
          <w:sz w:val="32"/>
          <w:szCs w:val="32"/>
        </w:rPr>
      </w:pPr>
      <w:r>
        <w:rPr>
          <w:rFonts w:hint="eastAsia" w:ascii="仿宋" w:hAnsi="仿宋" w:eastAsia="仿宋"/>
          <w:sz w:val="32"/>
          <w:szCs w:val="32"/>
        </w:rPr>
        <w:t>《中华人民共和国政府采购法》</w:t>
      </w:r>
    </w:p>
    <w:p>
      <w:pPr>
        <w:rPr>
          <w:rFonts w:ascii="仿宋" w:hAnsi="仿宋" w:eastAsia="仿宋"/>
          <w:sz w:val="32"/>
          <w:szCs w:val="32"/>
        </w:rPr>
      </w:pPr>
      <w:r>
        <w:rPr>
          <w:rFonts w:hint="eastAsia" w:ascii="仿宋" w:hAnsi="仿宋" w:eastAsia="仿宋"/>
          <w:sz w:val="32"/>
          <w:szCs w:val="32"/>
        </w:rPr>
        <w:t>《中华人民共和国政府采购法实施条例》</w:t>
      </w:r>
    </w:p>
    <w:p>
      <w:pPr>
        <w:rPr>
          <w:rFonts w:ascii="仿宋" w:hAnsi="仿宋" w:eastAsia="仿宋"/>
          <w:sz w:val="32"/>
          <w:szCs w:val="32"/>
        </w:rPr>
      </w:pPr>
      <w:r>
        <w:rPr>
          <w:rFonts w:hint="eastAsia" w:ascii="仿宋" w:hAnsi="仿宋" w:eastAsia="仿宋"/>
          <w:sz w:val="32"/>
          <w:szCs w:val="32"/>
        </w:rPr>
        <w:t>《政府采购质疑和投诉办法》（财政部令第94号）</w:t>
      </w:r>
    </w:p>
    <w:p>
      <w:pPr>
        <w:rPr>
          <w:rFonts w:ascii="仿宋" w:hAnsi="仿宋" w:eastAsia="仿宋"/>
          <w:sz w:val="32"/>
          <w:szCs w:val="32"/>
        </w:rPr>
      </w:pPr>
      <w:r>
        <w:rPr>
          <w:rFonts w:hint="eastAsia" w:ascii="仿宋" w:hAnsi="仿宋" w:eastAsia="仿宋"/>
          <w:sz w:val="32"/>
          <w:szCs w:val="32"/>
        </w:rPr>
        <w:t>《财政部关于加强政府采购供应商投诉受理审查工作的通知》（财库〔2007〕1号）等</w:t>
      </w:r>
    </w:p>
    <w:p>
      <w:pPr>
        <w:rPr>
          <w:rFonts w:hint="eastAsia" w:ascii="仿宋" w:hAnsi="仿宋" w:eastAsia="仿宋" w:cs="Times New Roman"/>
          <w:sz w:val="32"/>
          <w:szCs w:val="32"/>
        </w:rPr>
      </w:pPr>
      <w:r>
        <w:rPr>
          <w:rFonts w:hint="eastAsia" w:ascii="仿宋" w:hAnsi="仿宋" w:eastAsia="仿宋" w:cs="Times New Roman"/>
          <w:sz w:val="32"/>
          <w:szCs w:val="32"/>
        </w:rPr>
        <w:t>投诉咨询、监督电话及地址：</w:t>
      </w:r>
    </w:p>
    <w:p>
      <w:pPr>
        <w:rPr>
          <w:rFonts w:hint="eastAsia" w:ascii="仿宋" w:hAnsi="仿宋" w:eastAsia="仿宋" w:cs="Times New Roman"/>
          <w:sz w:val="32"/>
          <w:szCs w:val="32"/>
        </w:rPr>
      </w:pPr>
      <w:r>
        <w:rPr>
          <w:rFonts w:hint="eastAsia" w:ascii="仿宋" w:hAnsi="仿宋" w:eastAsia="仿宋" w:cs="Times New Roman"/>
          <w:sz w:val="32"/>
          <w:szCs w:val="32"/>
        </w:rPr>
        <w:t>联系电话：</w:t>
      </w:r>
      <w:r>
        <w:rPr>
          <w:rFonts w:hint="eastAsia" w:ascii="仿宋" w:hAnsi="仿宋" w:eastAsia="仿宋" w:cs="Times New Roman"/>
          <w:sz w:val="32"/>
          <w:szCs w:val="32"/>
          <w:lang w:val="en-US" w:eastAsia="zh-CN"/>
        </w:rPr>
        <w:t>彭州</w:t>
      </w:r>
      <w:r>
        <w:rPr>
          <w:rFonts w:hint="eastAsia" w:ascii="仿宋" w:hAnsi="仿宋" w:eastAsia="仿宋" w:cs="Times New Roman"/>
          <w:sz w:val="32"/>
          <w:szCs w:val="32"/>
        </w:rPr>
        <w:t>市财政局</w:t>
      </w:r>
      <w:r>
        <w:rPr>
          <w:rFonts w:hint="eastAsia" w:ascii="仿宋" w:hAnsi="仿宋" w:eastAsia="仿宋" w:cs="Times New Roman"/>
          <w:sz w:val="32"/>
          <w:szCs w:val="32"/>
          <w:lang w:val="zh-CN" w:eastAsia="zh-CN"/>
        </w:rPr>
        <w:t>028-83888323</w:t>
      </w:r>
    </w:p>
    <w:p>
      <w:pPr>
        <w:rPr>
          <w:rFonts w:hint="eastAsia" w:ascii="仿宋" w:hAnsi="仿宋" w:eastAsia="仿宋" w:cs="Times New Roman"/>
          <w:sz w:val="32"/>
          <w:szCs w:val="32"/>
        </w:rPr>
      </w:pPr>
      <w:r>
        <w:rPr>
          <w:rFonts w:hint="eastAsia" w:ascii="仿宋" w:hAnsi="仿宋" w:eastAsia="仿宋" w:cs="Times New Roman"/>
          <w:sz w:val="32"/>
          <w:szCs w:val="32"/>
        </w:rPr>
        <w:t>联系地址：</w:t>
      </w:r>
      <w:r>
        <w:rPr>
          <w:rFonts w:hint="eastAsia" w:ascii="仿宋" w:hAnsi="仿宋" w:eastAsia="仿宋" w:cs="Times New Roman"/>
          <w:sz w:val="32"/>
          <w:szCs w:val="32"/>
          <w:lang w:val="zh-CN" w:eastAsia="zh-CN"/>
        </w:rPr>
        <w:t>彭州市牡丹大道北二段486号</w:t>
      </w:r>
    </w:p>
    <w:p>
      <w:pPr>
        <w:rPr>
          <w:rFonts w:ascii="仿宋" w:hAnsi="仿宋" w:eastAsia="仿宋"/>
          <w:sz w:val="32"/>
          <w:szCs w:val="32"/>
        </w:rPr>
      </w:pPr>
      <w:r>
        <w:rPr>
          <w:rFonts w:hint="eastAsia" w:ascii="仿宋" w:hAnsi="仿宋" w:eastAsia="仿宋"/>
          <w:sz w:val="32"/>
          <w:szCs w:val="32"/>
        </w:rPr>
        <w:t>温馨提示：</w:t>
      </w:r>
    </w:p>
    <w:p>
      <w:pPr>
        <w:rPr>
          <w:rFonts w:ascii="仿宋" w:hAnsi="仿宋" w:eastAsia="仿宋"/>
          <w:sz w:val="32"/>
          <w:szCs w:val="32"/>
        </w:rPr>
      </w:pPr>
      <w:r>
        <w:rPr>
          <w:rFonts w:hint="eastAsia" w:ascii="仿宋" w:hAnsi="仿宋" w:eastAsia="仿宋"/>
          <w:sz w:val="32"/>
          <w:szCs w:val="32"/>
        </w:rPr>
        <w:t>根据《政府采购质疑和投诉办法》（财政部令第94号）第六条“供应商投诉按照采购人所属预算级次，由本级财政部门处理”之规定，</w:t>
      </w:r>
      <w:r>
        <w:rPr>
          <w:rFonts w:hint="eastAsia" w:ascii="仿宋" w:hAnsi="仿宋" w:eastAsia="仿宋"/>
          <w:sz w:val="32"/>
          <w:szCs w:val="32"/>
          <w:lang w:val="en-US" w:eastAsia="zh-CN"/>
        </w:rPr>
        <w:t>彭州</w:t>
      </w:r>
      <w:r>
        <w:rPr>
          <w:rFonts w:hint="eastAsia" w:ascii="仿宋" w:hAnsi="仿宋" w:eastAsia="仿宋"/>
          <w:sz w:val="32"/>
          <w:szCs w:val="32"/>
        </w:rPr>
        <w:t>市财政局受理</w:t>
      </w:r>
      <w:r>
        <w:rPr>
          <w:rFonts w:hint="eastAsia" w:ascii="仿宋" w:hAnsi="仿宋" w:eastAsia="仿宋"/>
          <w:sz w:val="32"/>
          <w:szCs w:val="32"/>
          <w:lang w:val="en-US" w:eastAsia="zh-CN"/>
        </w:rPr>
        <w:t>彭州市</w:t>
      </w:r>
      <w:r>
        <w:rPr>
          <w:rFonts w:hint="eastAsia" w:ascii="仿宋" w:hAnsi="仿宋" w:eastAsia="仿宋"/>
          <w:sz w:val="32"/>
          <w:szCs w:val="32"/>
        </w:rPr>
        <w:t>政府采购项目的投诉。</w:t>
      </w:r>
    </w:p>
    <w:p/>
    <w:p>
      <w:pPr>
        <w:pStyle w:val="2"/>
        <w:numPr>
          <w:ilvl w:val="3"/>
          <w:numId w:val="0"/>
        </w:numPr>
        <w:ind w:left="3150" w:leftChars="0"/>
      </w:pPr>
    </w:p>
    <w:p>
      <w:pPr>
        <w:rPr>
          <w:rFonts w:ascii="宋体" w:hAnsi="宋体" w:cs="宋体"/>
          <w:kern w:val="0"/>
          <w:sz w:val="24"/>
          <w:szCs w:val="24"/>
        </w:rPr>
      </w:pPr>
    </w:p>
    <w:p>
      <w:pPr>
        <w:pStyle w:val="2"/>
        <w:numPr>
          <w:ilvl w:val="3"/>
          <w:numId w:val="0"/>
        </w:numPr>
        <w:ind w:left="3150" w:leftChars="0"/>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5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003" w:usb1="288F0000" w:usb2="00000006" w:usb3="00000000" w:csb0="00040001" w:csb1="00000000"/>
  </w:font>
  <w:font w:name="方正小标宋简体">
    <w:altName w:val="Arial Unicode MS"/>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6053614"/>
    </w:sdtPr>
    <w:sdtContent>
      <w:p>
        <w:pPr>
          <w:pStyle w:val="27"/>
          <w:jc w:val="center"/>
        </w:pPr>
        <w:r>
          <w:fldChar w:fldCharType="begin"/>
        </w:r>
        <w:r>
          <w:instrText xml:space="preserve">PAGE   \* MERGEFORMAT</w:instrText>
        </w:r>
        <w:r>
          <w:fldChar w:fldCharType="separate"/>
        </w:r>
        <w:r>
          <w:rPr>
            <w:lang w:val="zh-CN"/>
          </w:rPr>
          <w:t>8</w:t>
        </w:r>
        <w:r>
          <w:fldChar w:fldCharType="end"/>
        </w:r>
      </w:p>
    </w:sdtContent>
  </w:sdt>
  <w:p>
    <w:pPr>
      <w:pStyle w:val="2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57FE3"/>
    <w:multiLevelType w:val="singleLevel"/>
    <w:tmpl w:val="87B57FE3"/>
    <w:lvl w:ilvl="0" w:tentative="0">
      <w:start w:val="1"/>
      <w:numFmt w:val="decimal"/>
      <w:suff w:val="nothing"/>
      <w:lvlText w:val="%1、"/>
      <w:lvlJc w:val="left"/>
    </w:lvl>
  </w:abstractNum>
  <w:abstractNum w:abstractNumId="1">
    <w:nsid w:val="8ACA2CCE"/>
    <w:multiLevelType w:val="singleLevel"/>
    <w:tmpl w:val="8ACA2CCE"/>
    <w:lvl w:ilvl="0" w:tentative="0">
      <w:start w:val="1"/>
      <w:numFmt w:val="decimal"/>
      <w:lvlText w:val="%1."/>
      <w:lvlJc w:val="left"/>
      <w:pPr>
        <w:tabs>
          <w:tab w:val="left" w:pos="312"/>
        </w:tabs>
      </w:pPr>
    </w:lvl>
  </w:abstractNum>
  <w:abstractNum w:abstractNumId="2">
    <w:nsid w:val="A8E30448"/>
    <w:multiLevelType w:val="singleLevel"/>
    <w:tmpl w:val="A8E30448"/>
    <w:lvl w:ilvl="0" w:tentative="0">
      <w:start w:val="1"/>
      <w:numFmt w:val="chineseCounting"/>
      <w:suff w:val="nothing"/>
      <w:lvlText w:val="%1、"/>
      <w:lvlJc w:val="left"/>
      <w:rPr>
        <w:rFonts w:hint="eastAsia"/>
      </w:rPr>
    </w:lvl>
  </w:abstractNum>
  <w:abstractNum w:abstractNumId="3">
    <w:nsid w:val="BAE6D22E"/>
    <w:multiLevelType w:val="singleLevel"/>
    <w:tmpl w:val="BAE6D22E"/>
    <w:lvl w:ilvl="0" w:tentative="0">
      <w:start w:val="3"/>
      <w:numFmt w:val="chineseCounting"/>
      <w:suff w:val="nothing"/>
      <w:lvlText w:val="%1、"/>
      <w:lvlJc w:val="left"/>
      <w:rPr>
        <w:rFonts w:hint="eastAsia"/>
      </w:rPr>
    </w:lvl>
  </w:abstractNum>
  <w:abstractNum w:abstractNumId="4">
    <w:nsid w:val="E0E2C543"/>
    <w:multiLevelType w:val="singleLevel"/>
    <w:tmpl w:val="E0E2C543"/>
    <w:lvl w:ilvl="0" w:tentative="0">
      <w:start w:val="1"/>
      <w:numFmt w:val="bullet"/>
      <w:lvlText w:val=""/>
      <w:lvlJc w:val="left"/>
      <w:pPr>
        <w:ind w:left="420" w:hanging="420"/>
      </w:pPr>
      <w:rPr>
        <w:rFonts w:hint="default" w:ascii="Wingdings" w:hAnsi="Wingdings"/>
      </w:rPr>
    </w:lvl>
  </w:abstractNum>
  <w:abstractNum w:abstractNumId="5">
    <w:nsid w:val="F8CBF7F0"/>
    <w:multiLevelType w:val="multilevel"/>
    <w:tmpl w:val="F8CBF7F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6">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7">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8">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9">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2">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271"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3">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2E"/>
    <w:multiLevelType w:val="multilevel"/>
    <w:tmpl w:val="0000002E"/>
    <w:lvl w:ilvl="0" w:tentative="0">
      <w:start w:val="1"/>
      <w:numFmt w:val="decimal"/>
      <w:pStyle w:val="3"/>
      <w:lvlText w:val="第%1章"/>
      <w:lvlJc w:val="left"/>
      <w:pPr>
        <w:ind w:left="3365"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3260" w:hanging="567"/>
      </w:pPr>
      <w:rPr>
        <w:rFonts w:hint="default" w:ascii="Times New Roman" w:hAnsi="Times New Roman" w:eastAsia="宋体" w:cs="Times New Roman"/>
        <w:b/>
        <w:i w:val="0"/>
        <w:sz w:val="28"/>
      </w:rPr>
    </w:lvl>
    <w:lvl w:ilvl="3" w:tentative="0">
      <w:start w:val="1"/>
      <w:numFmt w:val="decimal"/>
      <w:pStyle w:val="2"/>
      <w:suff w:val="nothing"/>
      <w:lvlText w:val="%1.%2.%3.%4"/>
      <w:lvlJc w:val="left"/>
      <w:pPr>
        <w:ind w:left="385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6">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8">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9">
    <w:nsid w:val="06AF180E"/>
    <w:multiLevelType w:val="multilevel"/>
    <w:tmpl w:val="06AF180E"/>
    <w:lvl w:ilvl="0" w:tentative="0">
      <w:start w:val="1"/>
      <w:numFmt w:val="japaneseCounting"/>
      <w:lvlText w:val="（%1）"/>
      <w:lvlJc w:val="left"/>
      <w:pPr>
        <w:ind w:left="3123"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0">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2">
    <w:nsid w:val="10EB421B"/>
    <w:multiLevelType w:val="multilevel"/>
    <w:tmpl w:val="10EB421B"/>
    <w:lvl w:ilvl="0" w:tentative="0">
      <w:start w:val="1"/>
      <w:numFmt w:val="bullet"/>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23">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4">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6">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7">
    <w:nsid w:val="292A6FEE"/>
    <w:multiLevelType w:val="multilevel"/>
    <w:tmpl w:val="292A6FE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2A118491"/>
    <w:multiLevelType w:val="singleLevel"/>
    <w:tmpl w:val="2A118491"/>
    <w:lvl w:ilvl="0" w:tentative="0">
      <w:start w:val="1"/>
      <w:numFmt w:val="decimal"/>
      <w:suff w:val="nothing"/>
      <w:lvlText w:val="%1、"/>
      <w:lvlJc w:val="left"/>
    </w:lvl>
  </w:abstractNum>
  <w:abstractNum w:abstractNumId="29">
    <w:nsid w:val="2C2C4B8D"/>
    <w:multiLevelType w:val="singleLevel"/>
    <w:tmpl w:val="2C2C4B8D"/>
    <w:lvl w:ilvl="0" w:tentative="0">
      <w:start w:val="1"/>
      <w:numFmt w:val="japaneseCounting"/>
      <w:lvlText w:val="第%1条"/>
      <w:lvlJc w:val="left"/>
      <w:pPr>
        <w:tabs>
          <w:tab w:val="left" w:pos="1521"/>
        </w:tabs>
        <w:ind w:left="1521" w:hanging="1095"/>
      </w:pPr>
      <w:rPr>
        <w:rFonts w:hint="eastAsia"/>
        <w:b/>
      </w:rPr>
    </w:lvl>
  </w:abstractNum>
  <w:abstractNum w:abstractNumId="30">
    <w:nsid w:val="2C5917C3"/>
    <w:multiLevelType w:val="multilevel"/>
    <w:tmpl w:val="2C5917C3"/>
    <w:lvl w:ilvl="0" w:tentative="0">
      <w:start w:val="1"/>
      <w:numFmt w:val="none"/>
      <w:pStyle w:val="15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31">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2">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4">
    <w:nsid w:val="4C1635C4"/>
    <w:multiLevelType w:val="multilevel"/>
    <w:tmpl w:val="4C1635C4"/>
    <w:lvl w:ilvl="0" w:tentative="0">
      <w:start w:val="1"/>
      <w:numFmt w:val="chineseCountingThousand"/>
      <w:lvlText w:val="%1、"/>
      <w:lvlJc w:val="left"/>
      <w:pPr>
        <w:ind w:left="1270" w:hanging="420"/>
      </w:pPr>
    </w:lvl>
    <w:lvl w:ilvl="1" w:tentative="0">
      <w:start w:val="1"/>
      <w:numFmt w:val="lowerLetter"/>
      <w:lvlText w:val="%2)"/>
      <w:lvlJc w:val="left"/>
      <w:pPr>
        <w:tabs>
          <w:tab w:val="left" w:pos="704"/>
        </w:tabs>
        <w:ind w:left="704" w:hanging="420"/>
      </w:pPr>
    </w:lvl>
    <w:lvl w:ilvl="2" w:tentative="0">
      <w:start w:val="1"/>
      <w:numFmt w:val="lowerRoman"/>
      <w:lvlText w:val="%3."/>
      <w:lvlJc w:val="right"/>
      <w:pPr>
        <w:tabs>
          <w:tab w:val="left" w:pos="1124"/>
        </w:tabs>
        <w:ind w:left="1124" w:hanging="420"/>
      </w:pPr>
    </w:lvl>
    <w:lvl w:ilvl="3" w:tentative="0">
      <w:start w:val="1"/>
      <w:numFmt w:val="decimal"/>
      <w:lvlText w:val="%4."/>
      <w:lvlJc w:val="left"/>
      <w:pPr>
        <w:tabs>
          <w:tab w:val="left" w:pos="1544"/>
        </w:tabs>
        <w:ind w:left="1544" w:hanging="420"/>
      </w:pPr>
    </w:lvl>
    <w:lvl w:ilvl="4" w:tentative="0">
      <w:start w:val="1"/>
      <w:numFmt w:val="lowerLetter"/>
      <w:lvlText w:val="%5)"/>
      <w:lvlJc w:val="left"/>
      <w:pPr>
        <w:tabs>
          <w:tab w:val="left" w:pos="1964"/>
        </w:tabs>
        <w:ind w:left="1964" w:hanging="420"/>
      </w:pPr>
    </w:lvl>
    <w:lvl w:ilvl="5" w:tentative="0">
      <w:start w:val="1"/>
      <w:numFmt w:val="lowerRoman"/>
      <w:lvlText w:val="%6."/>
      <w:lvlJc w:val="right"/>
      <w:pPr>
        <w:tabs>
          <w:tab w:val="left" w:pos="2384"/>
        </w:tabs>
        <w:ind w:left="2384" w:hanging="420"/>
      </w:pPr>
    </w:lvl>
    <w:lvl w:ilvl="6" w:tentative="0">
      <w:start w:val="1"/>
      <w:numFmt w:val="decimal"/>
      <w:lvlText w:val="%7."/>
      <w:lvlJc w:val="left"/>
      <w:pPr>
        <w:tabs>
          <w:tab w:val="left" w:pos="2804"/>
        </w:tabs>
        <w:ind w:left="2804" w:hanging="420"/>
      </w:pPr>
    </w:lvl>
    <w:lvl w:ilvl="7" w:tentative="0">
      <w:start w:val="1"/>
      <w:numFmt w:val="lowerLetter"/>
      <w:lvlText w:val="%8)"/>
      <w:lvlJc w:val="left"/>
      <w:pPr>
        <w:tabs>
          <w:tab w:val="left" w:pos="3224"/>
        </w:tabs>
        <w:ind w:left="3224" w:hanging="420"/>
      </w:pPr>
    </w:lvl>
    <w:lvl w:ilvl="8" w:tentative="0">
      <w:start w:val="1"/>
      <w:numFmt w:val="lowerRoman"/>
      <w:lvlText w:val="%9."/>
      <w:lvlJc w:val="right"/>
      <w:pPr>
        <w:tabs>
          <w:tab w:val="left" w:pos="3644"/>
        </w:tabs>
        <w:ind w:left="3644" w:hanging="420"/>
      </w:pPr>
    </w:lvl>
  </w:abstractNum>
  <w:abstractNum w:abstractNumId="35">
    <w:nsid w:val="4C72071B"/>
    <w:multiLevelType w:val="multilevel"/>
    <w:tmpl w:val="4C72071B"/>
    <w:lvl w:ilvl="0" w:tentative="0">
      <w:start w:val="1"/>
      <w:numFmt w:val="chineseCountingThousand"/>
      <w:lvlText w:val="%1、"/>
      <w:lvlJc w:val="left"/>
      <w:pPr>
        <w:ind w:left="986" w:hanging="420"/>
      </w:pPr>
      <w:rPr>
        <w:rFonts w:hint="eastAsia"/>
        <w:color w:val="auto"/>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7">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5B324B37"/>
    <w:multiLevelType w:val="multilevel"/>
    <w:tmpl w:val="5B324B3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0">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38064AA"/>
    <w:multiLevelType w:val="multilevel"/>
    <w:tmpl w:val="638064AA"/>
    <w:lvl w:ilvl="0" w:tentative="0">
      <w:start w:val="1"/>
      <w:numFmt w:val="japaneseCounting"/>
      <w:lvlText w:val="%1、"/>
      <w:lvlJc w:val="left"/>
      <w:pPr>
        <w:ind w:left="1715"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6D4712C9"/>
    <w:multiLevelType w:val="multilevel"/>
    <w:tmpl w:val="6D4712C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5">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6">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8">
    <w:nsid w:val="788B38C5"/>
    <w:multiLevelType w:val="multilevel"/>
    <w:tmpl w:val="788B38C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0">
    <w:nsid w:val="7B511F5D"/>
    <w:multiLevelType w:val="multilevel"/>
    <w:tmpl w:val="7B511F5D"/>
    <w:lvl w:ilvl="0" w:tentative="0">
      <w:start w:val="1"/>
      <w:numFmt w:val="japaneseCounting"/>
      <w:lvlText w:val="%1、"/>
      <w:lvlJc w:val="left"/>
      <w:pPr>
        <w:ind w:left="1140" w:hanging="72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5"/>
  </w:num>
  <w:num w:numId="2">
    <w:abstractNumId w:val="11"/>
  </w:num>
  <w:num w:numId="3">
    <w:abstractNumId w:val="7"/>
  </w:num>
  <w:num w:numId="4">
    <w:abstractNumId w:val="3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3"/>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22"/>
  </w:num>
  <w:num w:numId="35">
    <w:abstractNumId w:val="39"/>
  </w:num>
  <w:num w:numId="36">
    <w:abstractNumId w:val="27"/>
  </w:num>
  <w:num w:numId="37">
    <w:abstractNumId w:val="48"/>
  </w:num>
  <w:num w:numId="38">
    <w:abstractNumId w:val="43"/>
  </w:num>
  <w:num w:numId="39">
    <w:abstractNumId w:val="4"/>
  </w:num>
  <w:num w:numId="40">
    <w:abstractNumId w:val="2"/>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 w:numId="48">
    <w:abstractNumId w:val="28"/>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0"/>
  </w:num>
  <w:num w:numId="51">
    <w:abstractNumId w:val="40"/>
  </w:num>
  <w:num w:numId="52">
    <w:abstractNumId w:val="29"/>
  </w:num>
  <w:num w:numId="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23C4"/>
    <w:rsid w:val="000039F2"/>
    <w:rsid w:val="000042B8"/>
    <w:rsid w:val="000061EF"/>
    <w:rsid w:val="00012882"/>
    <w:rsid w:val="00016549"/>
    <w:rsid w:val="000174E4"/>
    <w:rsid w:val="0002126F"/>
    <w:rsid w:val="00025A57"/>
    <w:rsid w:val="00026529"/>
    <w:rsid w:val="00026535"/>
    <w:rsid w:val="00026B21"/>
    <w:rsid w:val="00027703"/>
    <w:rsid w:val="0003136B"/>
    <w:rsid w:val="00033F49"/>
    <w:rsid w:val="0003438F"/>
    <w:rsid w:val="00051C0A"/>
    <w:rsid w:val="0005344D"/>
    <w:rsid w:val="000610AF"/>
    <w:rsid w:val="0006474F"/>
    <w:rsid w:val="00065981"/>
    <w:rsid w:val="000713C0"/>
    <w:rsid w:val="00072234"/>
    <w:rsid w:val="00074521"/>
    <w:rsid w:val="000777D1"/>
    <w:rsid w:val="0008655E"/>
    <w:rsid w:val="00086E37"/>
    <w:rsid w:val="00092D67"/>
    <w:rsid w:val="000A0B0A"/>
    <w:rsid w:val="000A4B6A"/>
    <w:rsid w:val="000A5233"/>
    <w:rsid w:val="000B2356"/>
    <w:rsid w:val="000B33FA"/>
    <w:rsid w:val="000B3D82"/>
    <w:rsid w:val="000B43E4"/>
    <w:rsid w:val="000B6A1D"/>
    <w:rsid w:val="000C121B"/>
    <w:rsid w:val="000C688A"/>
    <w:rsid w:val="000C6C5E"/>
    <w:rsid w:val="000C7BCC"/>
    <w:rsid w:val="000D268F"/>
    <w:rsid w:val="000D722D"/>
    <w:rsid w:val="000D75ED"/>
    <w:rsid w:val="000E0284"/>
    <w:rsid w:val="000E3112"/>
    <w:rsid w:val="000F5178"/>
    <w:rsid w:val="000F554C"/>
    <w:rsid w:val="000F59D2"/>
    <w:rsid w:val="00100866"/>
    <w:rsid w:val="00101BE9"/>
    <w:rsid w:val="0010265F"/>
    <w:rsid w:val="00103846"/>
    <w:rsid w:val="001108D6"/>
    <w:rsid w:val="00110A0B"/>
    <w:rsid w:val="00122F99"/>
    <w:rsid w:val="0013319F"/>
    <w:rsid w:val="001346A7"/>
    <w:rsid w:val="00140768"/>
    <w:rsid w:val="00152860"/>
    <w:rsid w:val="001565CC"/>
    <w:rsid w:val="00161402"/>
    <w:rsid w:val="0016758C"/>
    <w:rsid w:val="00167755"/>
    <w:rsid w:val="00167B1D"/>
    <w:rsid w:val="0017400D"/>
    <w:rsid w:val="00175BA2"/>
    <w:rsid w:val="00183360"/>
    <w:rsid w:val="00187861"/>
    <w:rsid w:val="0019367D"/>
    <w:rsid w:val="001968B4"/>
    <w:rsid w:val="001A18E5"/>
    <w:rsid w:val="001B1D79"/>
    <w:rsid w:val="001B7C8D"/>
    <w:rsid w:val="001C02C9"/>
    <w:rsid w:val="001C5E7E"/>
    <w:rsid w:val="001D2889"/>
    <w:rsid w:val="001D467A"/>
    <w:rsid w:val="001D54DB"/>
    <w:rsid w:val="001D56CD"/>
    <w:rsid w:val="001E7017"/>
    <w:rsid w:val="001F0037"/>
    <w:rsid w:val="001F0E31"/>
    <w:rsid w:val="001F4627"/>
    <w:rsid w:val="001F6251"/>
    <w:rsid w:val="001F73B0"/>
    <w:rsid w:val="00201633"/>
    <w:rsid w:val="00202454"/>
    <w:rsid w:val="0020287B"/>
    <w:rsid w:val="00203649"/>
    <w:rsid w:val="0020671B"/>
    <w:rsid w:val="002067B1"/>
    <w:rsid w:val="0021701C"/>
    <w:rsid w:val="00220DA3"/>
    <w:rsid w:val="0022692C"/>
    <w:rsid w:val="002512CF"/>
    <w:rsid w:val="00254631"/>
    <w:rsid w:val="00255928"/>
    <w:rsid w:val="00262433"/>
    <w:rsid w:val="0026307F"/>
    <w:rsid w:val="00265BDE"/>
    <w:rsid w:val="00277F16"/>
    <w:rsid w:val="00280E6A"/>
    <w:rsid w:val="00295F97"/>
    <w:rsid w:val="0029697C"/>
    <w:rsid w:val="002A261C"/>
    <w:rsid w:val="002A3A1C"/>
    <w:rsid w:val="002B1434"/>
    <w:rsid w:val="002B2023"/>
    <w:rsid w:val="002C764F"/>
    <w:rsid w:val="002D11D5"/>
    <w:rsid w:val="002E123D"/>
    <w:rsid w:val="002E12F4"/>
    <w:rsid w:val="002E236A"/>
    <w:rsid w:val="002E4801"/>
    <w:rsid w:val="002F4342"/>
    <w:rsid w:val="002F6F67"/>
    <w:rsid w:val="0030035A"/>
    <w:rsid w:val="00300CA1"/>
    <w:rsid w:val="003025FE"/>
    <w:rsid w:val="00305097"/>
    <w:rsid w:val="003053DA"/>
    <w:rsid w:val="0031394D"/>
    <w:rsid w:val="0031411F"/>
    <w:rsid w:val="00316913"/>
    <w:rsid w:val="0032282D"/>
    <w:rsid w:val="00323C1A"/>
    <w:rsid w:val="00340235"/>
    <w:rsid w:val="003420BA"/>
    <w:rsid w:val="00342B69"/>
    <w:rsid w:val="00346403"/>
    <w:rsid w:val="00346943"/>
    <w:rsid w:val="003514B8"/>
    <w:rsid w:val="0035201E"/>
    <w:rsid w:val="00354EA2"/>
    <w:rsid w:val="003623D7"/>
    <w:rsid w:val="00363E87"/>
    <w:rsid w:val="003646B9"/>
    <w:rsid w:val="00370D4D"/>
    <w:rsid w:val="003710A5"/>
    <w:rsid w:val="00371B12"/>
    <w:rsid w:val="00372ECF"/>
    <w:rsid w:val="00374619"/>
    <w:rsid w:val="00383D6E"/>
    <w:rsid w:val="00385E5F"/>
    <w:rsid w:val="00392E65"/>
    <w:rsid w:val="003944EB"/>
    <w:rsid w:val="003A09B9"/>
    <w:rsid w:val="003A4409"/>
    <w:rsid w:val="003A7FD2"/>
    <w:rsid w:val="003B1162"/>
    <w:rsid w:val="003B256D"/>
    <w:rsid w:val="003B5C98"/>
    <w:rsid w:val="003C2195"/>
    <w:rsid w:val="003C2D62"/>
    <w:rsid w:val="003D27CA"/>
    <w:rsid w:val="003D2A89"/>
    <w:rsid w:val="003D2F7D"/>
    <w:rsid w:val="003D4F92"/>
    <w:rsid w:val="003D7BD8"/>
    <w:rsid w:val="003D7D0F"/>
    <w:rsid w:val="003E2110"/>
    <w:rsid w:val="003E3793"/>
    <w:rsid w:val="003E4B6B"/>
    <w:rsid w:val="003F0EDE"/>
    <w:rsid w:val="003F222E"/>
    <w:rsid w:val="003F3C42"/>
    <w:rsid w:val="003F50CC"/>
    <w:rsid w:val="003F598B"/>
    <w:rsid w:val="003F6487"/>
    <w:rsid w:val="004013FD"/>
    <w:rsid w:val="004022F4"/>
    <w:rsid w:val="00402344"/>
    <w:rsid w:val="00404442"/>
    <w:rsid w:val="004051C9"/>
    <w:rsid w:val="00411516"/>
    <w:rsid w:val="0041221B"/>
    <w:rsid w:val="004134AD"/>
    <w:rsid w:val="004134AF"/>
    <w:rsid w:val="004238EB"/>
    <w:rsid w:val="004245A8"/>
    <w:rsid w:val="004273F2"/>
    <w:rsid w:val="00430BFF"/>
    <w:rsid w:val="004311E9"/>
    <w:rsid w:val="00431A3C"/>
    <w:rsid w:val="004357C7"/>
    <w:rsid w:val="0043700B"/>
    <w:rsid w:val="00437836"/>
    <w:rsid w:val="00437E6C"/>
    <w:rsid w:val="0044346E"/>
    <w:rsid w:val="00445184"/>
    <w:rsid w:val="00445E0E"/>
    <w:rsid w:val="00446126"/>
    <w:rsid w:val="0044761D"/>
    <w:rsid w:val="00447C57"/>
    <w:rsid w:val="004517C9"/>
    <w:rsid w:val="00452997"/>
    <w:rsid w:val="00452ACF"/>
    <w:rsid w:val="00460489"/>
    <w:rsid w:val="00467476"/>
    <w:rsid w:val="0047177D"/>
    <w:rsid w:val="00484CF8"/>
    <w:rsid w:val="00486594"/>
    <w:rsid w:val="00487A84"/>
    <w:rsid w:val="00495010"/>
    <w:rsid w:val="00496797"/>
    <w:rsid w:val="00497555"/>
    <w:rsid w:val="004A4458"/>
    <w:rsid w:val="004A5EC3"/>
    <w:rsid w:val="004B06E4"/>
    <w:rsid w:val="004B1CA7"/>
    <w:rsid w:val="004B337C"/>
    <w:rsid w:val="004D1568"/>
    <w:rsid w:val="004D48DE"/>
    <w:rsid w:val="004D599A"/>
    <w:rsid w:val="004E1E1E"/>
    <w:rsid w:val="004E6200"/>
    <w:rsid w:val="004E7635"/>
    <w:rsid w:val="004F1F81"/>
    <w:rsid w:val="004F3133"/>
    <w:rsid w:val="004F4893"/>
    <w:rsid w:val="0050332B"/>
    <w:rsid w:val="00503936"/>
    <w:rsid w:val="00504133"/>
    <w:rsid w:val="00510FC6"/>
    <w:rsid w:val="0052113C"/>
    <w:rsid w:val="00523994"/>
    <w:rsid w:val="00531A79"/>
    <w:rsid w:val="00531B44"/>
    <w:rsid w:val="005430FD"/>
    <w:rsid w:val="005446FD"/>
    <w:rsid w:val="00545DE3"/>
    <w:rsid w:val="005538C1"/>
    <w:rsid w:val="00556F88"/>
    <w:rsid w:val="005570C1"/>
    <w:rsid w:val="0056027F"/>
    <w:rsid w:val="005617EF"/>
    <w:rsid w:val="00564730"/>
    <w:rsid w:val="00564FA0"/>
    <w:rsid w:val="00567D64"/>
    <w:rsid w:val="0057517B"/>
    <w:rsid w:val="00576EE9"/>
    <w:rsid w:val="0057742C"/>
    <w:rsid w:val="005776CC"/>
    <w:rsid w:val="005808D3"/>
    <w:rsid w:val="00582B28"/>
    <w:rsid w:val="005830E8"/>
    <w:rsid w:val="0059336C"/>
    <w:rsid w:val="005975EC"/>
    <w:rsid w:val="005A0484"/>
    <w:rsid w:val="005A5831"/>
    <w:rsid w:val="005B3D92"/>
    <w:rsid w:val="005B41FA"/>
    <w:rsid w:val="005B7209"/>
    <w:rsid w:val="005C2589"/>
    <w:rsid w:val="005C3C4F"/>
    <w:rsid w:val="005D055B"/>
    <w:rsid w:val="005D6B69"/>
    <w:rsid w:val="005D7B75"/>
    <w:rsid w:val="005E1230"/>
    <w:rsid w:val="005E123D"/>
    <w:rsid w:val="005E269C"/>
    <w:rsid w:val="005E35EF"/>
    <w:rsid w:val="005E3722"/>
    <w:rsid w:val="005E43E2"/>
    <w:rsid w:val="005E5653"/>
    <w:rsid w:val="005E599B"/>
    <w:rsid w:val="005F676E"/>
    <w:rsid w:val="005F7685"/>
    <w:rsid w:val="00600377"/>
    <w:rsid w:val="00607F95"/>
    <w:rsid w:val="00611A72"/>
    <w:rsid w:val="00614AFD"/>
    <w:rsid w:val="00624151"/>
    <w:rsid w:val="0063097C"/>
    <w:rsid w:val="0063107A"/>
    <w:rsid w:val="00633F88"/>
    <w:rsid w:val="00634B5C"/>
    <w:rsid w:val="006435DE"/>
    <w:rsid w:val="00645B37"/>
    <w:rsid w:val="00673C2B"/>
    <w:rsid w:val="006766EC"/>
    <w:rsid w:val="0067729F"/>
    <w:rsid w:val="0068036F"/>
    <w:rsid w:val="006970C0"/>
    <w:rsid w:val="006A5E19"/>
    <w:rsid w:val="006B4FC1"/>
    <w:rsid w:val="006B54C4"/>
    <w:rsid w:val="006B6747"/>
    <w:rsid w:val="006B7421"/>
    <w:rsid w:val="006C10D5"/>
    <w:rsid w:val="006C1FB4"/>
    <w:rsid w:val="006C3900"/>
    <w:rsid w:val="006C4CE8"/>
    <w:rsid w:val="006C7335"/>
    <w:rsid w:val="006D3124"/>
    <w:rsid w:val="006D4AEC"/>
    <w:rsid w:val="006D595F"/>
    <w:rsid w:val="006E50A2"/>
    <w:rsid w:val="006E6231"/>
    <w:rsid w:val="006F320A"/>
    <w:rsid w:val="006F4B1C"/>
    <w:rsid w:val="007106A3"/>
    <w:rsid w:val="00713541"/>
    <w:rsid w:val="00715A71"/>
    <w:rsid w:val="00720519"/>
    <w:rsid w:val="00730B24"/>
    <w:rsid w:val="00733724"/>
    <w:rsid w:val="0073414A"/>
    <w:rsid w:val="007345B7"/>
    <w:rsid w:val="0073713B"/>
    <w:rsid w:val="007407F8"/>
    <w:rsid w:val="00743020"/>
    <w:rsid w:val="00743B0A"/>
    <w:rsid w:val="00744EFD"/>
    <w:rsid w:val="00744F10"/>
    <w:rsid w:val="00750983"/>
    <w:rsid w:val="00756241"/>
    <w:rsid w:val="00760162"/>
    <w:rsid w:val="00760560"/>
    <w:rsid w:val="00761A8D"/>
    <w:rsid w:val="0076602A"/>
    <w:rsid w:val="00767BD1"/>
    <w:rsid w:val="007754EF"/>
    <w:rsid w:val="00780DA1"/>
    <w:rsid w:val="00780DA4"/>
    <w:rsid w:val="00783D0C"/>
    <w:rsid w:val="00784088"/>
    <w:rsid w:val="00786A79"/>
    <w:rsid w:val="00792287"/>
    <w:rsid w:val="007970C5"/>
    <w:rsid w:val="007B1592"/>
    <w:rsid w:val="007B1DF0"/>
    <w:rsid w:val="007B3969"/>
    <w:rsid w:val="007B3BB8"/>
    <w:rsid w:val="007B4E18"/>
    <w:rsid w:val="007B6E21"/>
    <w:rsid w:val="007C1D34"/>
    <w:rsid w:val="007C41A7"/>
    <w:rsid w:val="007D1114"/>
    <w:rsid w:val="007D5E6F"/>
    <w:rsid w:val="007D69A9"/>
    <w:rsid w:val="007E017C"/>
    <w:rsid w:val="007E14ED"/>
    <w:rsid w:val="007E3C07"/>
    <w:rsid w:val="007F3094"/>
    <w:rsid w:val="007F6422"/>
    <w:rsid w:val="00800943"/>
    <w:rsid w:val="00801179"/>
    <w:rsid w:val="00801195"/>
    <w:rsid w:val="00804D91"/>
    <w:rsid w:val="00812794"/>
    <w:rsid w:val="0081441A"/>
    <w:rsid w:val="0082347A"/>
    <w:rsid w:val="00823DE8"/>
    <w:rsid w:val="00824784"/>
    <w:rsid w:val="00825CAB"/>
    <w:rsid w:val="008266D3"/>
    <w:rsid w:val="00833D36"/>
    <w:rsid w:val="00834A7F"/>
    <w:rsid w:val="0083586D"/>
    <w:rsid w:val="008361D5"/>
    <w:rsid w:val="00843B93"/>
    <w:rsid w:val="00846650"/>
    <w:rsid w:val="00847895"/>
    <w:rsid w:val="00853FEC"/>
    <w:rsid w:val="008567F1"/>
    <w:rsid w:val="00861D7A"/>
    <w:rsid w:val="00865F44"/>
    <w:rsid w:val="008716D3"/>
    <w:rsid w:val="00872312"/>
    <w:rsid w:val="00872B11"/>
    <w:rsid w:val="008835ED"/>
    <w:rsid w:val="008900B3"/>
    <w:rsid w:val="00890F59"/>
    <w:rsid w:val="0089574F"/>
    <w:rsid w:val="00896A3B"/>
    <w:rsid w:val="008A015F"/>
    <w:rsid w:val="008A1E44"/>
    <w:rsid w:val="008A2104"/>
    <w:rsid w:val="008A78E9"/>
    <w:rsid w:val="008B25E2"/>
    <w:rsid w:val="008B2E66"/>
    <w:rsid w:val="008B3FCC"/>
    <w:rsid w:val="008C7C54"/>
    <w:rsid w:val="008D4D2E"/>
    <w:rsid w:val="008D64BC"/>
    <w:rsid w:val="008E687B"/>
    <w:rsid w:val="008F40CC"/>
    <w:rsid w:val="008F4D64"/>
    <w:rsid w:val="008F77CB"/>
    <w:rsid w:val="009013EA"/>
    <w:rsid w:val="00904079"/>
    <w:rsid w:val="009205E7"/>
    <w:rsid w:val="00922252"/>
    <w:rsid w:val="00923918"/>
    <w:rsid w:val="00932889"/>
    <w:rsid w:val="009358AF"/>
    <w:rsid w:val="00936E04"/>
    <w:rsid w:val="00941FD8"/>
    <w:rsid w:val="0094658B"/>
    <w:rsid w:val="00961E7C"/>
    <w:rsid w:val="00962A42"/>
    <w:rsid w:val="00963ADD"/>
    <w:rsid w:val="00964532"/>
    <w:rsid w:val="0096458D"/>
    <w:rsid w:val="0096528F"/>
    <w:rsid w:val="009656B5"/>
    <w:rsid w:val="00965A4C"/>
    <w:rsid w:val="00967937"/>
    <w:rsid w:val="00967C85"/>
    <w:rsid w:val="00970A58"/>
    <w:rsid w:val="00970E2F"/>
    <w:rsid w:val="009710C8"/>
    <w:rsid w:val="0097213B"/>
    <w:rsid w:val="009774B3"/>
    <w:rsid w:val="009A15A6"/>
    <w:rsid w:val="009A185E"/>
    <w:rsid w:val="009A317C"/>
    <w:rsid w:val="009A5138"/>
    <w:rsid w:val="009B44E4"/>
    <w:rsid w:val="009B74D5"/>
    <w:rsid w:val="009C3BFE"/>
    <w:rsid w:val="009C4CB6"/>
    <w:rsid w:val="009D0BEB"/>
    <w:rsid w:val="009D1302"/>
    <w:rsid w:val="009D1BB3"/>
    <w:rsid w:val="009D2860"/>
    <w:rsid w:val="009D62EA"/>
    <w:rsid w:val="009D78B5"/>
    <w:rsid w:val="009F3945"/>
    <w:rsid w:val="009F54B5"/>
    <w:rsid w:val="00A0136A"/>
    <w:rsid w:val="00A01F37"/>
    <w:rsid w:val="00A0638C"/>
    <w:rsid w:val="00A11BA9"/>
    <w:rsid w:val="00A14A7E"/>
    <w:rsid w:val="00A26D4A"/>
    <w:rsid w:val="00A3002C"/>
    <w:rsid w:val="00A35B76"/>
    <w:rsid w:val="00A35F40"/>
    <w:rsid w:val="00A36339"/>
    <w:rsid w:val="00A43C7A"/>
    <w:rsid w:val="00A44684"/>
    <w:rsid w:val="00A446EB"/>
    <w:rsid w:val="00A44DCD"/>
    <w:rsid w:val="00A44FB9"/>
    <w:rsid w:val="00A47DD6"/>
    <w:rsid w:val="00A532C0"/>
    <w:rsid w:val="00A606EE"/>
    <w:rsid w:val="00A62B86"/>
    <w:rsid w:val="00A63656"/>
    <w:rsid w:val="00A718A5"/>
    <w:rsid w:val="00A71E22"/>
    <w:rsid w:val="00A752AC"/>
    <w:rsid w:val="00A84F11"/>
    <w:rsid w:val="00A87B7C"/>
    <w:rsid w:val="00A90EB2"/>
    <w:rsid w:val="00A916FD"/>
    <w:rsid w:val="00A919C4"/>
    <w:rsid w:val="00A9315A"/>
    <w:rsid w:val="00A94DE0"/>
    <w:rsid w:val="00AA0252"/>
    <w:rsid w:val="00AA3CE3"/>
    <w:rsid w:val="00AC2F50"/>
    <w:rsid w:val="00AD114C"/>
    <w:rsid w:val="00AE029F"/>
    <w:rsid w:val="00AE1EE1"/>
    <w:rsid w:val="00AE31D5"/>
    <w:rsid w:val="00AE3933"/>
    <w:rsid w:val="00AE3D5D"/>
    <w:rsid w:val="00AE5115"/>
    <w:rsid w:val="00AF04F6"/>
    <w:rsid w:val="00AF344C"/>
    <w:rsid w:val="00AF4CB3"/>
    <w:rsid w:val="00B046CA"/>
    <w:rsid w:val="00B04AFD"/>
    <w:rsid w:val="00B05122"/>
    <w:rsid w:val="00B15863"/>
    <w:rsid w:val="00B15A3D"/>
    <w:rsid w:val="00B21BB0"/>
    <w:rsid w:val="00B2508B"/>
    <w:rsid w:val="00B26CE9"/>
    <w:rsid w:val="00B26EAF"/>
    <w:rsid w:val="00B31DA4"/>
    <w:rsid w:val="00B34616"/>
    <w:rsid w:val="00B364C4"/>
    <w:rsid w:val="00B412D3"/>
    <w:rsid w:val="00B43A7C"/>
    <w:rsid w:val="00B442EE"/>
    <w:rsid w:val="00B51B2E"/>
    <w:rsid w:val="00B53566"/>
    <w:rsid w:val="00B56BFB"/>
    <w:rsid w:val="00B6046D"/>
    <w:rsid w:val="00B632AD"/>
    <w:rsid w:val="00B63629"/>
    <w:rsid w:val="00B73285"/>
    <w:rsid w:val="00B83FE9"/>
    <w:rsid w:val="00B86086"/>
    <w:rsid w:val="00B90F33"/>
    <w:rsid w:val="00BA3661"/>
    <w:rsid w:val="00BB2695"/>
    <w:rsid w:val="00BD6D61"/>
    <w:rsid w:val="00BD6DE0"/>
    <w:rsid w:val="00BD73C5"/>
    <w:rsid w:val="00BE4117"/>
    <w:rsid w:val="00BE52DB"/>
    <w:rsid w:val="00BE5D06"/>
    <w:rsid w:val="00BE633F"/>
    <w:rsid w:val="00BF1B5A"/>
    <w:rsid w:val="00C00004"/>
    <w:rsid w:val="00C04ECC"/>
    <w:rsid w:val="00C0568F"/>
    <w:rsid w:val="00C06090"/>
    <w:rsid w:val="00C1157F"/>
    <w:rsid w:val="00C160C2"/>
    <w:rsid w:val="00C24F42"/>
    <w:rsid w:val="00C30482"/>
    <w:rsid w:val="00C346C6"/>
    <w:rsid w:val="00C35095"/>
    <w:rsid w:val="00C35605"/>
    <w:rsid w:val="00C419D6"/>
    <w:rsid w:val="00C43381"/>
    <w:rsid w:val="00C44CBC"/>
    <w:rsid w:val="00C50FEC"/>
    <w:rsid w:val="00C529C0"/>
    <w:rsid w:val="00C601F5"/>
    <w:rsid w:val="00C61D17"/>
    <w:rsid w:val="00C6309B"/>
    <w:rsid w:val="00C71357"/>
    <w:rsid w:val="00C71725"/>
    <w:rsid w:val="00C74E87"/>
    <w:rsid w:val="00C7520E"/>
    <w:rsid w:val="00C771FF"/>
    <w:rsid w:val="00C80609"/>
    <w:rsid w:val="00C91790"/>
    <w:rsid w:val="00C919FA"/>
    <w:rsid w:val="00CA0318"/>
    <w:rsid w:val="00CA26DF"/>
    <w:rsid w:val="00CA2CC5"/>
    <w:rsid w:val="00CA62AD"/>
    <w:rsid w:val="00CB0D2E"/>
    <w:rsid w:val="00CB22F2"/>
    <w:rsid w:val="00CB2337"/>
    <w:rsid w:val="00CB4707"/>
    <w:rsid w:val="00CB4D61"/>
    <w:rsid w:val="00CB5A9B"/>
    <w:rsid w:val="00CB702E"/>
    <w:rsid w:val="00CB719B"/>
    <w:rsid w:val="00CC23FE"/>
    <w:rsid w:val="00CC4F5C"/>
    <w:rsid w:val="00CC4F73"/>
    <w:rsid w:val="00CC6F6B"/>
    <w:rsid w:val="00CD0B7F"/>
    <w:rsid w:val="00CD2582"/>
    <w:rsid w:val="00CD54C6"/>
    <w:rsid w:val="00CD5760"/>
    <w:rsid w:val="00CD70F8"/>
    <w:rsid w:val="00CE2477"/>
    <w:rsid w:val="00CE2669"/>
    <w:rsid w:val="00CE27BD"/>
    <w:rsid w:val="00CE32B7"/>
    <w:rsid w:val="00CE4639"/>
    <w:rsid w:val="00CE4A43"/>
    <w:rsid w:val="00CE4C21"/>
    <w:rsid w:val="00CF3593"/>
    <w:rsid w:val="00CF394A"/>
    <w:rsid w:val="00CF6148"/>
    <w:rsid w:val="00D02487"/>
    <w:rsid w:val="00D04E6C"/>
    <w:rsid w:val="00D15522"/>
    <w:rsid w:val="00D15755"/>
    <w:rsid w:val="00D17694"/>
    <w:rsid w:val="00D23726"/>
    <w:rsid w:val="00D238E8"/>
    <w:rsid w:val="00D23FF0"/>
    <w:rsid w:val="00D258C2"/>
    <w:rsid w:val="00D321C4"/>
    <w:rsid w:val="00D325E8"/>
    <w:rsid w:val="00D34AA2"/>
    <w:rsid w:val="00D379AA"/>
    <w:rsid w:val="00D4100D"/>
    <w:rsid w:val="00D44B46"/>
    <w:rsid w:val="00D46BB2"/>
    <w:rsid w:val="00D47B99"/>
    <w:rsid w:val="00D51CD9"/>
    <w:rsid w:val="00D53098"/>
    <w:rsid w:val="00D53896"/>
    <w:rsid w:val="00D559E0"/>
    <w:rsid w:val="00D61908"/>
    <w:rsid w:val="00D6455E"/>
    <w:rsid w:val="00D67066"/>
    <w:rsid w:val="00D7011A"/>
    <w:rsid w:val="00D72565"/>
    <w:rsid w:val="00D7389B"/>
    <w:rsid w:val="00D74C5E"/>
    <w:rsid w:val="00D80945"/>
    <w:rsid w:val="00D817FC"/>
    <w:rsid w:val="00D8385E"/>
    <w:rsid w:val="00DA2476"/>
    <w:rsid w:val="00DA2965"/>
    <w:rsid w:val="00DA3390"/>
    <w:rsid w:val="00DA6E93"/>
    <w:rsid w:val="00DA7F6C"/>
    <w:rsid w:val="00DB01D1"/>
    <w:rsid w:val="00DB3587"/>
    <w:rsid w:val="00DB5AD9"/>
    <w:rsid w:val="00DB6B7D"/>
    <w:rsid w:val="00DC1D94"/>
    <w:rsid w:val="00DD1368"/>
    <w:rsid w:val="00DD3979"/>
    <w:rsid w:val="00DD4E54"/>
    <w:rsid w:val="00DD72A4"/>
    <w:rsid w:val="00DF2B5A"/>
    <w:rsid w:val="00DF6252"/>
    <w:rsid w:val="00DF6C51"/>
    <w:rsid w:val="00E00684"/>
    <w:rsid w:val="00E06B61"/>
    <w:rsid w:val="00E13610"/>
    <w:rsid w:val="00E170E6"/>
    <w:rsid w:val="00E17558"/>
    <w:rsid w:val="00E22FAC"/>
    <w:rsid w:val="00E27149"/>
    <w:rsid w:val="00E345DE"/>
    <w:rsid w:val="00E37998"/>
    <w:rsid w:val="00E439B0"/>
    <w:rsid w:val="00E45375"/>
    <w:rsid w:val="00E4675A"/>
    <w:rsid w:val="00E572D4"/>
    <w:rsid w:val="00E61E2B"/>
    <w:rsid w:val="00E6373B"/>
    <w:rsid w:val="00E7290F"/>
    <w:rsid w:val="00E75525"/>
    <w:rsid w:val="00E77521"/>
    <w:rsid w:val="00E80670"/>
    <w:rsid w:val="00E820F4"/>
    <w:rsid w:val="00E8589B"/>
    <w:rsid w:val="00E87B94"/>
    <w:rsid w:val="00E916FF"/>
    <w:rsid w:val="00EA2B43"/>
    <w:rsid w:val="00EA3447"/>
    <w:rsid w:val="00EB2AE7"/>
    <w:rsid w:val="00EB472E"/>
    <w:rsid w:val="00EB4CD6"/>
    <w:rsid w:val="00EB7F88"/>
    <w:rsid w:val="00EC3C04"/>
    <w:rsid w:val="00EC75AF"/>
    <w:rsid w:val="00ED4215"/>
    <w:rsid w:val="00ED469C"/>
    <w:rsid w:val="00ED7517"/>
    <w:rsid w:val="00EE394F"/>
    <w:rsid w:val="00EF045D"/>
    <w:rsid w:val="00EF51B1"/>
    <w:rsid w:val="00F00A4F"/>
    <w:rsid w:val="00F0222D"/>
    <w:rsid w:val="00F03763"/>
    <w:rsid w:val="00F04B7A"/>
    <w:rsid w:val="00F12B8A"/>
    <w:rsid w:val="00F1576F"/>
    <w:rsid w:val="00F21769"/>
    <w:rsid w:val="00F22B4C"/>
    <w:rsid w:val="00F2508D"/>
    <w:rsid w:val="00F30A98"/>
    <w:rsid w:val="00F33ED8"/>
    <w:rsid w:val="00F367A9"/>
    <w:rsid w:val="00F42C44"/>
    <w:rsid w:val="00F4391B"/>
    <w:rsid w:val="00F4418B"/>
    <w:rsid w:val="00F4485C"/>
    <w:rsid w:val="00F46378"/>
    <w:rsid w:val="00F53213"/>
    <w:rsid w:val="00F53550"/>
    <w:rsid w:val="00F60576"/>
    <w:rsid w:val="00F60591"/>
    <w:rsid w:val="00F60613"/>
    <w:rsid w:val="00F61D52"/>
    <w:rsid w:val="00F62EAD"/>
    <w:rsid w:val="00F70283"/>
    <w:rsid w:val="00F72F70"/>
    <w:rsid w:val="00F7371D"/>
    <w:rsid w:val="00F7503C"/>
    <w:rsid w:val="00F77716"/>
    <w:rsid w:val="00F8144F"/>
    <w:rsid w:val="00F85A7B"/>
    <w:rsid w:val="00F9037D"/>
    <w:rsid w:val="00F91B56"/>
    <w:rsid w:val="00F93C71"/>
    <w:rsid w:val="00FA318B"/>
    <w:rsid w:val="00FB7100"/>
    <w:rsid w:val="00FC0A2B"/>
    <w:rsid w:val="00FD19F2"/>
    <w:rsid w:val="00FD70FA"/>
    <w:rsid w:val="00FE1559"/>
    <w:rsid w:val="00FE182B"/>
    <w:rsid w:val="00FE5D02"/>
    <w:rsid w:val="02113806"/>
    <w:rsid w:val="02A56C87"/>
    <w:rsid w:val="02F04A0F"/>
    <w:rsid w:val="02FE503E"/>
    <w:rsid w:val="031F1F3F"/>
    <w:rsid w:val="035347B0"/>
    <w:rsid w:val="043F3186"/>
    <w:rsid w:val="05450FD3"/>
    <w:rsid w:val="054B4292"/>
    <w:rsid w:val="056B0E84"/>
    <w:rsid w:val="058A1CAE"/>
    <w:rsid w:val="05B61738"/>
    <w:rsid w:val="05DB75EA"/>
    <w:rsid w:val="06197D73"/>
    <w:rsid w:val="06A36B2F"/>
    <w:rsid w:val="06B00671"/>
    <w:rsid w:val="072D3722"/>
    <w:rsid w:val="08427A79"/>
    <w:rsid w:val="085A7D0E"/>
    <w:rsid w:val="08B36841"/>
    <w:rsid w:val="09955CA0"/>
    <w:rsid w:val="09B538F1"/>
    <w:rsid w:val="0AF71A49"/>
    <w:rsid w:val="0C225226"/>
    <w:rsid w:val="0C7C4110"/>
    <w:rsid w:val="0CF10BD3"/>
    <w:rsid w:val="0D12146D"/>
    <w:rsid w:val="0D254C7F"/>
    <w:rsid w:val="0D483AB4"/>
    <w:rsid w:val="0DFB7613"/>
    <w:rsid w:val="0ED47853"/>
    <w:rsid w:val="0EDB2781"/>
    <w:rsid w:val="0EDE6977"/>
    <w:rsid w:val="0F1B0275"/>
    <w:rsid w:val="0FB61CDC"/>
    <w:rsid w:val="103B1021"/>
    <w:rsid w:val="10D84CE9"/>
    <w:rsid w:val="112E2950"/>
    <w:rsid w:val="11403D49"/>
    <w:rsid w:val="11752DE2"/>
    <w:rsid w:val="135C4CF2"/>
    <w:rsid w:val="13B02462"/>
    <w:rsid w:val="14554687"/>
    <w:rsid w:val="14C14DFB"/>
    <w:rsid w:val="16293AC8"/>
    <w:rsid w:val="169F22A5"/>
    <w:rsid w:val="16F90698"/>
    <w:rsid w:val="181A63F7"/>
    <w:rsid w:val="1820292F"/>
    <w:rsid w:val="18DF3437"/>
    <w:rsid w:val="19EA4A5E"/>
    <w:rsid w:val="1A0C36BB"/>
    <w:rsid w:val="1A622654"/>
    <w:rsid w:val="1AC50599"/>
    <w:rsid w:val="1B602EC3"/>
    <w:rsid w:val="1B9D47B8"/>
    <w:rsid w:val="1CBC42C9"/>
    <w:rsid w:val="1D7B16FD"/>
    <w:rsid w:val="1DC20C9E"/>
    <w:rsid w:val="1DDA4CC4"/>
    <w:rsid w:val="1DDA67CD"/>
    <w:rsid w:val="1E5067C5"/>
    <w:rsid w:val="1E8130CF"/>
    <w:rsid w:val="1EA330B9"/>
    <w:rsid w:val="1F7B7336"/>
    <w:rsid w:val="1FAF557A"/>
    <w:rsid w:val="1FE90F79"/>
    <w:rsid w:val="1FEA4074"/>
    <w:rsid w:val="203B452A"/>
    <w:rsid w:val="21303E8B"/>
    <w:rsid w:val="217838C6"/>
    <w:rsid w:val="21C1569D"/>
    <w:rsid w:val="21FA1852"/>
    <w:rsid w:val="220B0EF7"/>
    <w:rsid w:val="22360B3C"/>
    <w:rsid w:val="232A332A"/>
    <w:rsid w:val="23733CC5"/>
    <w:rsid w:val="23801031"/>
    <w:rsid w:val="239B2715"/>
    <w:rsid w:val="23C35D37"/>
    <w:rsid w:val="244914BD"/>
    <w:rsid w:val="24647A48"/>
    <w:rsid w:val="248B49C8"/>
    <w:rsid w:val="24D000E3"/>
    <w:rsid w:val="24F479AF"/>
    <w:rsid w:val="25B976EF"/>
    <w:rsid w:val="25E01B33"/>
    <w:rsid w:val="261117D3"/>
    <w:rsid w:val="28B20FBE"/>
    <w:rsid w:val="291642FB"/>
    <w:rsid w:val="293D61E7"/>
    <w:rsid w:val="29EB00DB"/>
    <w:rsid w:val="2A9E7F4C"/>
    <w:rsid w:val="2B8218B0"/>
    <w:rsid w:val="2DF906C5"/>
    <w:rsid w:val="2E1C6369"/>
    <w:rsid w:val="30377647"/>
    <w:rsid w:val="308D4B79"/>
    <w:rsid w:val="30F07649"/>
    <w:rsid w:val="30F4023B"/>
    <w:rsid w:val="311D6F73"/>
    <w:rsid w:val="320F7A54"/>
    <w:rsid w:val="32291291"/>
    <w:rsid w:val="323D1808"/>
    <w:rsid w:val="33BA493A"/>
    <w:rsid w:val="33F321BC"/>
    <w:rsid w:val="34167AA0"/>
    <w:rsid w:val="34E64BFC"/>
    <w:rsid w:val="355D7A0A"/>
    <w:rsid w:val="35AF34A4"/>
    <w:rsid w:val="35CA6C17"/>
    <w:rsid w:val="35EE39A6"/>
    <w:rsid w:val="360368EE"/>
    <w:rsid w:val="371942C5"/>
    <w:rsid w:val="3723731E"/>
    <w:rsid w:val="37590FC6"/>
    <w:rsid w:val="378F0624"/>
    <w:rsid w:val="37AB3C23"/>
    <w:rsid w:val="38E579A2"/>
    <w:rsid w:val="39217C02"/>
    <w:rsid w:val="39667D11"/>
    <w:rsid w:val="398C590D"/>
    <w:rsid w:val="399C307F"/>
    <w:rsid w:val="39E87CBE"/>
    <w:rsid w:val="3A163132"/>
    <w:rsid w:val="3A850438"/>
    <w:rsid w:val="3AEA04C9"/>
    <w:rsid w:val="3B390B08"/>
    <w:rsid w:val="3B8C62A3"/>
    <w:rsid w:val="3BA00890"/>
    <w:rsid w:val="3C2D2DB0"/>
    <w:rsid w:val="3C385439"/>
    <w:rsid w:val="3C4D3B90"/>
    <w:rsid w:val="3C941696"/>
    <w:rsid w:val="3C951B66"/>
    <w:rsid w:val="3D7838A1"/>
    <w:rsid w:val="3D846BAE"/>
    <w:rsid w:val="3DA94F45"/>
    <w:rsid w:val="3E1C75D4"/>
    <w:rsid w:val="3ECE00C6"/>
    <w:rsid w:val="3EE7531C"/>
    <w:rsid w:val="3EF62E48"/>
    <w:rsid w:val="3F01138F"/>
    <w:rsid w:val="3FE33995"/>
    <w:rsid w:val="40011C70"/>
    <w:rsid w:val="407B6854"/>
    <w:rsid w:val="40C2109C"/>
    <w:rsid w:val="41031A19"/>
    <w:rsid w:val="41AF26D6"/>
    <w:rsid w:val="42422CD5"/>
    <w:rsid w:val="43CC7701"/>
    <w:rsid w:val="44484247"/>
    <w:rsid w:val="44BB4B57"/>
    <w:rsid w:val="45231F00"/>
    <w:rsid w:val="45BD59F1"/>
    <w:rsid w:val="460E59AD"/>
    <w:rsid w:val="46623F1C"/>
    <w:rsid w:val="468E4C9D"/>
    <w:rsid w:val="469D247A"/>
    <w:rsid w:val="47341C8A"/>
    <w:rsid w:val="47A62392"/>
    <w:rsid w:val="47D2500E"/>
    <w:rsid w:val="49390B26"/>
    <w:rsid w:val="4A6A33A7"/>
    <w:rsid w:val="4AD56D70"/>
    <w:rsid w:val="4C4F60C5"/>
    <w:rsid w:val="4CD310EA"/>
    <w:rsid w:val="4CFE45C8"/>
    <w:rsid w:val="4DA27698"/>
    <w:rsid w:val="4EB1485C"/>
    <w:rsid w:val="4F6A2E34"/>
    <w:rsid w:val="4F9A3E18"/>
    <w:rsid w:val="50082F83"/>
    <w:rsid w:val="50774D39"/>
    <w:rsid w:val="507D5515"/>
    <w:rsid w:val="50C71471"/>
    <w:rsid w:val="50D45BDC"/>
    <w:rsid w:val="51851B58"/>
    <w:rsid w:val="518C74EB"/>
    <w:rsid w:val="51DB2B5E"/>
    <w:rsid w:val="52973092"/>
    <w:rsid w:val="52A372F4"/>
    <w:rsid w:val="52A3793A"/>
    <w:rsid w:val="52CB0F01"/>
    <w:rsid w:val="53956711"/>
    <w:rsid w:val="53CA0592"/>
    <w:rsid w:val="54054DBE"/>
    <w:rsid w:val="54EC3C29"/>
    <w:rsid w:val="54FF773A"/>
    <w:rsid w:val="55091F73"/>
    <w:rsid w:val="552F53EA"/>
    <w:rsid w:val="554A1643"/>
    <w:rsid w:val="55612988"/>
    <w:rsid w:val="5568271A"/>
    <w:rsid w:val="55804190"/>
    <w:rsid w:val="57D01AC5"/>
    <w:rsid w:val="57EB233C"/>
    <w:rsid w:val="58E77F66"/>
    <w:rsid w:val="58F2094F"/>
    <w:rsid w:val="59E14089"/>
    <w:rsid w:val="59F20684"/>
    <w:rsid w:val="5A2E056D"/>
    <w:rsid w:val="5BBE42D4"/>
    <w:rsid w:val="5BD01D75"/>
    <w:rsid w:val="5C272404"/>
    <w:rsid w:val="5D92736F"/>
    <w:rsid w:val="5DBD090F"/>
    <w:rsid w:val="5E215D5F"/>
    <w:rsid w:val="5E2A7BF7"/>
    <w:rsid w:val="5E545884"/>
    <w:rsid w:val="5EC94920"/>
    <w:rsid w:val="5F923927"/>
    <w:rsid w:val="5FDE010F"/>
    <w:rsid w:val="600B74A4"/>
    <w:rsid w:val="60BB378C"/>
    <w:rsid w:val="617C1087"/>
    <w:rsid w:val="61A23345"/>
    <w:rsid w:val="61B867C0"/>
    <w:rsid w:val="61DF1CED"/>
    <w:rsid w:val="627E07D0"/>
    <w:rsid w:val="629248D4"/>
    <w:rsid w:val="63155766"/>
    <w:rsid w:val="634C5449"/>
    <w:rsid w:val="64834155"/>
    <w:rsid w:val="653267BA"/>
    <w:rsid w:val="65620B1F"/>
    <w:rsid w:val="664851AC"/>
    <w:rsid w:val="66AB5A82"/>
    <w:rsid w:val="67D75C24"/>
    <w:rsid w:val="67E356DC"/>
    <w:rsid w:val="68CC1489"/>
    <w:rsid w:val="68F70A31"/>
    <w:rsid w:val="6943410F"/>
    <w:rsid w:val="699E769D"/>
    <w:rsid w:val="6AA4419D"/>
    <w:rsid w:val="6AD3245D"/>
    <w:rsid w:val="6B062C1F"/>
    <w:rsid w:val="6B105B62"/>
    <w:rsid w:val="6B2D53A2"/>
    <w:rsid w:val="6B4E109C"/>
    <w:rsid w:val="6BB4327D"/>
    <w:rsid w:val="6BF25EAE"/>
    <w:rsid w:val="6CD54525"/>
    <w:rsid w:val="6D0F06CB"/>
    <w:rsid w:val="6D375489"/>
    <w:rsid w:val="6D3F28B4"/>
    <w:rsid w:val="6D3F50F4"/>
    <w:rsid w:val="6D517559"/>
    <w:rsid w:val="6E6C7F5C"/>
    <w:rsid w:val="6EB80C6F"/>
    <w:rsid w:val="6EF92E29"/>
    <w:rsid w:val="6EFB6BA4"/>
    <w:rsid w:val="6F1761E8"/>
    <w:rsid w:val="6F7E042E"/>
    <w:rsid w:val="6FB823B9"/>
    <w:rsid w:val="701C5148"/>
    <w:rsid w:val="709152B3"/>
    <w:rsid w:val="70D8163A"/>
    <w:rsid w:val="71C241AC"/>
    <w:rsid w:val="72487340"/>
    <w:rsid w:val="728E2EEB"/>
    <w:rsid w:val="729350C8"/>
    <w:rsid w:val="72E720A8"/>
    <w:rsid w:val="72FE1503"/>
    <w:rsid w:val="73296ED3"/>
    <w:rsid w:val="733001EA"/>
    <w:rsid w:val="74CB1873"/>
    <w:rsid w:val="76B65922"/>
    <w:rsid w:val="77082156"/>
    <w:rsid w:val="77A03A22"/>
    <w:rsid w:val="77CD7B6D"/>
    <w:rsid w:val="77D01459"/>
    <w:rsid w:val="77FA6C1F"/>
    <w:rsid w:val="78F76AD7"/>
    <w:rsid w:val="79290CA2"/>
    <w:rsid w:val="79442380"/>
    <w:rsid w:val="7A0F3278"/>
    <w:rsid w:val="7A4651D2"/>
    <w:rsid w:val="7AD80B29"/>
    <w:rsid w:val="7B892B79"/>
    <w:rsid w:val="7B9B08E1"/>
    <w:rsid w:val="7BCA5013"/>
    <w:rsid w:val="7D6A582E"/>
    <w:rsid w:val="7D843DCB"/>
    <w:rsid w:val="7EA37FC5"/>
    <w:rsid w:val="7ED920BA"/>
    <w:rsid w:val="7F7C64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0"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0"/>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2">
    <w:name w:val="heading 4"/>
    <w:basedOn w:val="1"/>
    <w:next w:val="1"/>
    <w:link w:val="54"/>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semiHidden/>
    <w:unhideWhenUsed/>
    <w:qFormat/>
    <w:uiPriority w:val="0"/>
    <w:pPr>
      <w:ind w:left="2520" w:leftChars="1200"/>
    </w:pPr>
    <w:rPr>
      <w:rFonts w:ascii="Times New Roman" w:hAnsi="Times New Roman"/>
      <w:szCs w:val="24"/>
    </w:rPr>
  </w:style>
  <w:style w:type="paragraph" w:styleId="12">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4">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2"/>
    <w:unhideWhenUsed/>
    <w:qFormat/>
    <w:uiPriority w:val="99"/>
    <w:pPr>
      <w:jc w:val="left"/>
    </w:pPr>
    <w:rPr>
      <w:rFonts w:ascii="Times New Roman" w:hAnsi="Times New Roman"/>
      <w:kern w:val="0"/>
      <w:sz w:val="18"/>
      <w:szCs w:val="18"/>
    </w:rPr>
  </w:style>
  <w:style w:type="paragraph" w:styleId="16">
    <w:name w:val="Body Text 3"/>
    <w:basedOn w:val="1"/>
    <w:link w:val="71"/>
    <w:semiHidden/>
    <w:unhideWhenUsed/>
    <w:qFormat/>
    <w:uiPriority w:val="0"/>
    <w:pPr>
      <w:jc w:val="center"/>
    </w:pPr>
    <w:rPr>
      <w:rFonts w:ascii="Times New Roman" w:hAnsi="Times New Roman" w:eastAsia="黑体"/>
      <w:sz w:val="44"/>
      <w:szCs w:val="24"/>
    </w:rPr>
  </w:style>
  <w:style w:type="paragraph" w:styleId="17">
    <w:name w:val="Body Text"/>
    <w:basedOn w:val="1"/>
    <w:next w:val="1"/>
    <w:link w:val="186"/>
    <w:unhideWhenUsed/>
    <w:qFormat/>
    <w:uiPriority w:val="0"/>
    <w:pPr>
      <w:spacing w:after="120"/>
    </w:pPr>
  </w:style>
  <w:style w:type="paragraph" w:styleId="18">
    <w:name w:val="Body Text Indent"/>
    <w:basedOn w:val="1"/>
    <w:link w:val="66"/>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1"/>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0"/>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99"/>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3"/>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0"/>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5"/>
    <w:next w:val="15"/>
    <w:link w:val="76"/>
    <w:unhideWhenUsed/>
    <w:qFormat/>
    <w:uiPriority w:val="99"/>
    <w:rPr>
      <w:rFonts w:ascii="Calibri" w:hAnsi="Calibri"/>
      <w:b/>
      <w:bCs/>
      <w:kern w:val="2"/>
      <w:sz w:val="21"/>
      <w:szCs w:val="22"/>
    </w:rPr>
  </w:style>
  <w:style w:type="paragraph" w:styleId="42">
    <w:name w:val="Body Text First Indent"/>
    <w:basedOn w:val="17"/>
    <w:link w:val="69"/>
    <w:semiHidden/>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6">
    <w:name w:val="page number"/>
    <w:basedOn w:val="45"/>
    <w:qFormat/>
    <w:uiPriority w:val="0"/>
  </w:style>
  <w:style w:type="character" w:styleId="47">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0"/>
    <w:rPr>
      <w:sz w:val="21"/>
      <w:szCs w:val="21"/>
    </w:rPr>
  </w:style>
  <w:style w:type="character" w:styleId="50">
    <w:name w:val="footnote reference"/>
    <w:semiHidden/>
    <w:unhideWhenUsed/>
    <w:qFormat/>
    <w:uiPriority w:val="0"/>
    <w:rPr>
      <w:vertAlign w:val="superscript"/>
    </w:rPr>
  </w:style>
  <w:style w:type="character" w:customStyle="1" w:styleId="51">
    <w:name w:val="标题 1 字符"/>
    <w:basedOn w:val="45"/>
    <w:link w:val="3"/>
    <w:qFormat/>
    <w:uiPriority w:val="0"/>
    <w:rPr>
      <w:rFonts w:ascii="宋体" w:hAnsi="宋体" w:cs="宋体"/>
      <w:b/>
      <w:bCs/>
      <w:spacing w:val="-20"/>
      <w:kern w:val="44"/>
      <w:sz w:val="32"/>
      <w:szCs w:val="32"/>
    </w:rPr>
  </w:style>
  <w:style w:type="character" w:customStyle="1" w:styleId="52">
    <w:name w:val="标题 2 字符"/>
    <w:basedOn w:val="45"/>
    <w:link w:val="4"/>
    <w:qFormat/>
    <w:uiPriority w:val="0"/>
    <w:rPr>
      <w:rFonts w:ascii="宋体" w:hAnsi="宋体" w:cs="宋体"/>
      <w:b/>
      <w:bCs/>
      <w:kern w:val="2"/>
      <w:sz w:val="28"/>
      <w:szCs w:val="28"/>
    </w:rPr>
  </w:style>
  <w:style w:type="character" w:customStyle="1" w:styleId="53">
    <w:name w:val="标题 3 字符"/>
    <w:basedOn w:val="45"/>
    <w:link w:val="5"/>
    <w:qFormat/>
    <w:uiPriority w:val="0"/>
    <w:rPr>
      <w:rFonts w:ascii="宋体" w:hAnsi="宋体" w:cs="宋体"/>
      <w:b/>
      <w:bCs/>
      <w:color w:val="000000"/>
      <w:sz w:val="28"/>
      <w:szCs w:val="28"/>
    </w:rPr>
  </w:style>
  <w:style w:type="character" w:customStyle="1" w:styleId="54">
    <w:name w:val="标题 4 字符"/>
    <w:basedOn w:val="45"/>
    <w:link w:val="2"/>
    <w:qFormat/>
    <w:uiPriority w:val="9"/>
    <w:rPr>
      <w:rFonts w:ascii="Arial" w:hAnsi="Arial"/>
      <w:b/>
      <w:bCs/>
      <w:sz w:val="28"/>
      <w:szCs w:val="28"/>
    </w:rPr>
  </w:style>
  <w:style w:type="character" w:customStyle="1" w:styleId="55">
    <w:name w:val="标题 5 字符"/>
    <w:basedOn w:val="45"/>
    <w:link w:val="6"/>
    <w:qFormat/>
    <w:uiPriority w:val="0"/>
    <w:rPr>
      <w:rFonts w:ascii="Calibri" w:hAnsi="Calibri" w:cs="宋体"/>
      <w:b/>
      <w:bCs/>
      <w:sz w:val="28"/>
      <w:szCs w:val="28"/>
    </w:rPr>
  </w:style>
  <w:style w:type="character" w:customStyle="1" w:styleId="56">
    <w:name w:val="标题 6 字符"/>
    <w:basedOn w:val="45"/>
    <w:link w:val="7"/>
    <w:qFormat/>
    <w:uiPriority w:val="0"/>
    <w:rPr>
      <w:rFonts w:ascii="Arial" w:hAnsi="Arial"/>
      <w:b/>
      <w:bCs/>
      <w:sz w:val="28"/>
      <w:szCs w:val="18"/>
    </w:rPr>
  </w:style>
  <w:style w:type="character" w:customStyle="1" w:styleId="57">
    <w:name w:val="标题 7 字符"/>
    <w:basedOn w:val="45"/>
    <w:link w:val="8"/>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5"/>
    <w:link w:val="9"/>
    <w:semiHidden/>
    <w:qFormat/>
    <w:uiPriority w:val="0"/>
    <w:rPr>
      <w:rFonts w:ascii="Arial" w:hAnsi="Arial" w:eastAsia="黑体" w:cs="Times New Roman"/>
      <w:kern w:val="0"/>
      <w:sz w:val="24"/>
      <w:szCs w:val="24"/>
    </w:rPr>
  </w:style>
  <w:style w:type="character" w:customStyle="1" w:styleId="59">
    <w:name w:val="标题 9 字符"/>
    <w:basedOn w:val="45"/>
    <w:link w:val="10"/>
    <w:semiHidden/>
    <w:qFormat/>
    <w:uiPriority w:val="0"/>
    <w:rPr>
      <w:rFonts w:ascii="Arial" w:hAnsi="Arial" w:eastAsia="黑体" w:cs="Times New Roman"/>
      <w:kern w:val="0"/>
      <w:sz w:val="20"/>
      <w:szCs w:val="21"/>
    </w:rPr>
  </w:style>
  <w:style w:type="character" w:customStyle="1" w:styleId="60">
    <w:name w:val="正文缩进 字符"/>
    <w:link w:val="12"/>
    <w:qFormat/>
    <w:locked/>
    <w:uiPriority w:val="0"/>
  </w:style>
  <w:style w:type="character" w:customStyle="1" w:styleId="61">
    <w:name w:val="脚注文本 字符"/>
    <w:basedOn w:val="45"/>
    <w:link w:val="32"/>
    <w:semiHidden/>
    <w:qFormat/>
    <w:uiPriority w:val="0"/>
    <w:rPr>
      <w:rFonts w:ascii="Calibri" w:hAnsi="Calibri" w:eastAsia="宋体" w:cs="Times New Roman"/>
      <w:sz w:val="18"/>
      <w:szCs w:val="18"/>
    </w:rPr>
  </w:style>
  <w:style w:type="character" w:customStyle="1" w:styleId="62">
    <w:name w:val="批注文字 字符"/>
    <w:basedOn w:val="45"/>
    <w:link w:val="15"/>
    <w:qFormat/>
    <w:uiPriority w:val="99"/>
    <w:rPr>
      <w:rFonts w:ascii="Times New Roman" w:hAnsi="Times New Roman" w:eastAsia="宋体" w:cs="Times New Roman"/>
      <w:kern w:val="0"/>
      <w:sz w:val="18"/>
      <w:szCs w:val="18"/>
    </w:rPr>
  </w:style>
  <w:style w:type="character" w:customStyle="1" w:styleId="63">
    <w:name w:val="页眉 字符"/>
    <w:basedOn w:val="45"/>
    <w:link w:val="28"/>
    <w:qFormat/>
    <w:uiPriority w:val="99"/>
    <w:rPr>
      <w:rFonts w:ascii="Calibri" w:hAnsi="Calibri" w:eastAsia="宋体" w:cs="Times New Roman"/>
      <w:kern w:val="0"/>
      <w:sz w:val="18"/>
      <w:szCs w:val="18"/>
    </w:rPr>
  </w:style>
  <w:style w:type="character" w:customStyle="1" w:styleId="64">
    <w:name w:val="页脚 字符"/>
    <w:basedOn w:val="45"/>
    <w:link w:val="27"/>
    <w:qFormat/>
    <w:uiPriority w:val="99"/>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99"/>
    <w:rPr>
      <w:rFonts w:ascii="Times New Roman" w:hAnsi="Times New Roman" w:eastAsia="宋体" w:cs="Times New Roman"/>
      <w:kern w:val="0"/>
      <w:sz w:val="24"/>
      <w:szCs w:val="24"/>
    </w:rPr>
  </w:style>
  <w:style w:type="character" w:customStyle="1" w:styleId="69">
    <w:name w:val="正文首行缩进 字符"/>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字符"/>
    <w:basedOn w:val="45"/>
    <w:link w:val="16"/>
    <w:semiHidden/>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0"/>
    <w:rPr>
      <w:rFonts w:ascii="Calibri" w:hAnsi="Calibri" w:eastAsia="宋体" w:cs="Times New Roman"/>
    </w:rPr>
  </w:style>
  <w:style w:type="character" w:customStyle="1" w:styleId="73">
    <w:name w:val="正文文本缩进 3 字符"/>
    <w:basedOn w:val="45"/>
    <w:link w:val="34"/>
    <w:semiHidden/>
    <w:qFormat/>
    <w:uiPriority w:val="0"/>
    <w:rPr>
      <w:rFonts w:ascii="宋体" w:hAnsi="宋体" w:eastAsia="宋体" w:cs="Times New Roman"/>
      <w:kern w:val="0"/>
      <w:sz w:val="28"/>
      <w:szCs w:val="28"/>
    </w:rPr>
  </w:style>
  <w:style w:type="character" w:customStyle="1" w:styleId="74">
    <w:name w:val="文档结构图 字符"/>
    <w:basedOn w:val="45"/>
    <w:link w:val="14"/>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字符"/>
    <w:basedOn w:val="62"/>
    <w:link w:val="41"/>
    <w:qFormat/>
    <w:uiPriority w:val="99"/>
    <w:rPr>
      <w:rFonts w:ascii="Calibri" w:hAnsi="Calibri" w:eastAsia="宋体" w:cs="Times New Roman"/>
      <w:b/>
      <w:bCs/>
      <w:kern w:val="0"/>
      <w:sz w:val="18"/>
      <w:szCs w:val="18"/>
    </w:rPr>
  </w:style>
  <w:style w:type="character" w:customStyle="1" w:styleId="77">
    <w:name w:val="批注框文本 字符"/>
    <w:basedOn w:val="45"/>
    <w:link w:val="26"/>
    <w:qFormat/>
    <w:uiPriority w:val="99"/>
    <w:rPr>
      <w:rFonts w:ascii="Times New Roman" w:hAnsi="Times New Roman" w:eastAsia="宋体" w:cs="Times New Roman"/>
      <w:kern w:val="0"/>
      <w:sz w:val="18"/>
      <w:szCs w:val="18"/>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1"/>
    <w:link w:val="80"/>
    <w:qFormat/>
    <w:locked/>
    <w:uiPriority w:val="0"/>
    <w:rPr>
      <w:rFonts w:ascii="Calibri" w:hAnsi="Calibri"/>
    </w:rPr>
  </w:style>
  <w:style w:type="paragraph"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2"/>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9"/>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7"/>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6"/>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9"/>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4"/>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6"/>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8"/>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4"/>
    <w:qFormat/>
    <w:uiPriority w:val="0"/>
    <w:rPr>
      <w:rFonts w:ascii="Tahoma" w:hAnsi="Tahoma"/>
      <w:sz w:val="24"/>
      <w:szCs w:val="24"/>
    </w:rPr>
  </w:style>
  <w:style w:type="paragraph" w:customStyle="1" w:styleId="137">
    <w:name w:val="MM Topic 3"/>
    <w:basedOn w:val="5"/>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0"/>
    <w:qFormat/>
    <w:uiPriority w:val="0"/>
    <w:pPr>
      <w:tabs>
        <w:tab w:val="left" w:pos="5102"/>
      </w:tabs>
    </w:pPr>
  </w:style>
  <w:style w:type="paragraph" w:customStyle="1" w:styleId="143">
    <w:name w:val="MM Topic 5"/>
    <w:basedOn w:val="6"/>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2"/>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34"/>
    <w:pPr>
      <w:ind w:firstLine="420" w:firstLineChars="200"/>
    </w:pPr>
    <w:rPr>
      <w:rFonts w:ascii="Times New Roman" w:hAnsi="Times New Roman"/>
      <w:szCs w:val="24"/>
    </w:rPr>
  </w:style>
  <w:style w:type="paragraph" w:customStyle="1" w:styleId="152">
    <w:name w:val="列出段落1"/>
    <w:basedOn w:val="1"/>
    <w:link w:val="311"/>
    <w:qFormat/>
    <w:uiPriority w:val="99"/>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5"/>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5"/>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5"/>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正文文本 字符"/>
    <w:basedOn w:val="45"/>
    <w:link w:val="17"/>
    <w:qFormat/>
    <w:locked/>
    <w:uiPriority w:val="99"/>
    <w:rPr>
      <w:rFonts w:ascii="Calibri" w:hAnsi="Calibri" w:eastAsia="宋体" w:cs="Times New Roman"/>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纯文本 字符"/>
    <w:link w:val="22"/>
    <w:qFormat/>
    <w:locked/>
    <w:uiPriority w:val="99"/>
    <w:rPr>
      <w:rFonts w:ascii="宋体" w:hAnsi="Courier New" w:eastAsia="宋体" w:cs="Times New Roman"/>
      <w:kern w:val="0"/>
      <w:sz w:val="20"/>
      <w:szCs w:val="18"/>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0"/>
    <w:rPr>
      <w:rFonts w:hint="default" w:ascii="Calibri" w:hAnsi="Calibri"/>
      <w:kern w:val="2"/>
      <w:sz w:val="21"/>
      <w:szCs w:val="22"/>
    </w:rPr>
  </w:style>
  <w:style w:type="paragraph" w:customStyle="1" w:styleId="200">
    <w:name w:val="CD正文"/>
    <w:basedOn w:val="98"/>
    <w:link w:val="205"/>
    <w:qFormat/>
    <w:uiPriority w:val="0"/>
  </w:style>
  <w:style w:type="paragraph" w:customStyle="1" w:styleId="201">
    <w:name w:val="项目符号：一级"/>
    <w:basedOn w:val="85"/>
    <w:next w:val="85"/>
    <w:qFormat/>
    <w:uiPriority w:val="0"/>
  </w:style>
  <w:style w:type="character" w:customStyle="1" w:styleId="202">
    <w:name w:val="HTML 预设格式 字符"/>
    <w:basedOn w:val="45"/>
    <w:link w:val="38"/>
    <w:qFormat/>
    <w:uiPriority w:val="0"/>
    <w:rPr>
      <w:rFonts w:ascii="宋体" w:hAnsi="宋体" w:eastAsia="宋体" w:cs="Times New Roman"/>
      <w:kern w:val="0"/>
      <w:sz w:val="24"/>
      <w:szCs w:val="24"/>
    </w:rPr>
  </w:style>
  <w:style w:type="paragraph" w:customStyle="1" w:styleId="20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4">
    <w:name w:val="样式 Char Char"/>
    <w:link w:val="120"/>
    <w:qFormat/>
    <w:locked/>
    <w:uiPriority w:val="0"/>
    <w:rPr>
      <w:rFonts w:ascii="宋体" w:hAnsi="宋体" w:eastAsia="宋体" w:cs="宋体"/>
      <w:kern w:val="0"/>
      <w:sz w:val="24"/>
      <w:szCs w:val="24"/>
    </w:rPr>
  </w:style>
  <w:style w:type="character" w:customStyle="1" w:styleId="205">
    <w:name w:val="CD正文 Char"/>
    <w:link w:val="200"/>
    <w:qFormat/>
    <w:locked/>
    <w:uiPriority w:val="0"/>
    <w:rPr>
      <w:rFonts w:ascii="Times New Roman" w:hAnsi="Times New Roman" w:eastAsia="宋体" w:cs="Times New Roman"/>
      <w:sz w:val="24"/>
      <w:szCs w:val="24"/>
    </w:rPr>
  </w:style>
  <w:style w:type="paragraph" w:customStyle="1" w:styleId="20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8">
    <w:name w:val="列出段落5"/>
    <w:basedOn w:val="1"/>
    <w:qFormat/>
    <w:uiPriority w:val="99"/>
    <w:pPr>
      <w:ind w:firstLine="420" w:firstLineChars="200"/>
    </w:pPr>
    <w:rPr>
      <w:rFonts w:ascii="Times New Roman" w:hAnsi="Times New Roman"/>
    </w:rPr>
  </w:style>
  <w:style w:type="paragraph" w:customStyle="1" w:styleId="20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2">
    <w:name w:val="列出段落11"/>
    <w:basedOn w:val="1"/>
    <w:qFormat/>
    <w:uiPriority w:val="99"/>
    <w:pPr>
      <w:spacing w:after="200" w:line="276" w:lineRule="auto"/>
      <w:ind w:firstLine="420" w:firstLineChars="200"/>
    </w:pPr>
  </w:style>
  <w:style w:type="paragraph" w:customStyle="1" w:styleId="21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4">
    <w:name w:val="UserStyle_26"/>
    <w:link w:val="215"/>
    <w:qFormat/>
    <w:locked/>
    <w:uiPriority w:val="0"/>
  </w:style>
  <w:style w:type="paragraph" w:customStyle="1" w:styleId="215">
    <w:name w:val="NormalIndent"/>
    <w:basedOn w:val="1"/>
    <w:link w:val="214"/>
    <w:qFormat/>
    <w:uiPriority w:val="0"/>
    <w:pPr>
      <w:widowControl/>
      <w:spacing w:after="200" w:line="276" w:lineRule="auto"/>
      <w:ind w:firstLine="420"/>
    </w:pPr>
    <w:rPr>
      <w:rFonts w:asciiTheme="minorHAnsi" w:hAnsiTheme="minorHAnsi" w:eastAsiaTheme="minorEastAsia" w:cstheme="minorBidi"/>
    </w:rPr>
  </w:style>
  <w:style w:type="paragraph" w:customStyle="1" w:styleId="21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9">
    <w:name w:val="UserStyle_40"/>
    <w:basedOn w:val="1"/>
    <w:qFormat/>
    <w:uiPriority w:val="99"/>
    <w:pPr>
      <w:widowControl/>
      <w:spacing w:after="200" w:line="276" w:lineRule="auto"/>
      <w:ind w:firstLine="420" w:firstLineChars="200"/>
    </w:pPr>
    <w:rPr>
      <w:szCs w:val="21"/>
    </w:rPr>
  </w:style>
  <w:style w:type="paragraph" w:customStyle="1" w:styleId="22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1">
    <w:name w:val="BodyText"/>
    <w:basedOn w:val="1"/>
    <w:qFormat/>
    <w:uiPriority w:val="0"/>
    <w:pPr>
      <w:spacing w:after="120" w:line="276" w:lineRule="auto"/>
    </w:pPr>
  </w:style>
  <w:style w:type="paragraph" w:customStyle="1" w:styleId="222">
    <w:name w:val="_Style 2"/>
    <w:basedOn w:val="1"/>
    <w:qFormat/>
    <w:uiPriority w:val="99"/>
    <w:pPr>
      <w:spacing w:after="200" w:line="276" w:lineRule="auto"/>
      <w:ind w:firstLine="420" w:firstLineChars="200"/>
    </w:pPr>
  </w:style>
  <w:style w:type="paragraph" w:customStyle="1" w:styleId="22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4">
    <w:name w:val="标准文本 Char Char"/>
    <w:link w:val="225"/>
    <w:qFormat/>
    <w:locked/>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正文360首行缩进 Char"/>
    <w:basedOn w:val="45"/>
    <w:link w:val="227"/>
    <w:qFormat/>
    <w:locked/>
    <w:uiPriority w:val="0"/>
    <w:rPr>
      <w:rFonts w:ascii="Times New Roman" w:hAnsi="Times New Roman" w:eastAsia="宋体" w:cs="Times New Roman"/>
      <w:sz w:val="24"/>
    </w:rPr>
  </w:style>
  <w:style w:type="paragraph" w:customStyle="1" w:styleId="227">
    <w:name w:val="正文360首行缩进"/>
    <w:basedOn w:val="1"/>
    <w:link w:val="226"/>
    <w:qFormat/>
    <w:uiPriority w:val="0"/>
    <w:pPr>
      <w:widowControl/>
      <w:spacing w:before="120" w:line="300" w:lineRule="auto"/>
      <w:ind w:firstLine="200" w:firstLineChars="200"/>
      <w:jc w:val="left"/>
    </w:pPr>
    <w:rPr>
      <w:rFonts w:ascii="Times New Roman" w:hAnsi="Times New Roman"/>
      <w:sz w:val="24"/>
    </w:rPr>
  </w:style>
  <w:style w:type="paragraph" w:customStyle="1" w:styleId="228">
    <w:name w:val="列出段落1_0"/>
    <w:basedOn w:val="1"/>
    <w:qFormat/>
    <w:uiPriority w:val="99"/>
    <w:pPr>
      <w:ind w:firstLine="420" w:firstLineChars="200"/>
    </w:pPr>
    <w:rPr>
      <w:szCs w:val="21"/>
    </w:rPr>
  </w:style>
  <w:style w:type="paragraph" w:customStyle="1" w:styleId="22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0">
    <w:name w:val="Char1 Char Char Char Char Char Char_0"/>
    <w:basedOn w:val="1"/>
    <w:qFormat/>
    <w:uiPriority w:val="0"/>
    <w:rPr>
      <w:rFonts w:ascii="Tahoma" w:hAnsi="Tahoma"/>
      <w:sz w:val="24"/>
      <w:szCs w:val="20"/>
    </w:rPr>
  </w:style>
  <w:style w:type="paragraph" w:customStyle="1" w:styleId="23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2">
    <w:name w:val="列出段落111"/>
    <w:basedOn w:val="1"/>
    <w:qFormat/>
    <w:uiPriority w:val="99"/>
    <w:pPr>
      <w:ind w:firstLine="420" w:firstLineChars="200"/>
    </w:pPr>
    <w:rPr>
      <w:rFonts w:ascii="Times New Roman" w:hAnsi="Times New Roman"/>
    </w:rPr>
  </w:style>
  <w:style w:type="paragraph" w:customStyle="1" w:styleId="233">
    <w:name w:val="修订3"/>
    <w:qFormat/>
    <w:uiPriority w:val="99"/>
    <w:rPr>
      <w:rFonts w:ascii="Calibri" w:hAnsi="Calibri" w:eastAsia="宋体" w:cs="Times New Roman"/>
      <w:kern w:val="2"/>
      <w:sz w:val="21"/>
      <w:szCs w:val="22"/>
      <w:lang w:val="en-US" w:eastAsia="zh-CN" w:bidi="ar-SA"/>
    </w:rPr>
  </w:style>
  <w:style w:type="paragraph" w:customStyle="1" w:styleId="234">
    <w:name w:val="List Paragraph1"/>
    <w:basedOn w:val="1"/>
    <w:qFormat/>
    <w:uiPriority w:val="99"/>
    <w:pPr>
      <w:ind w:firstLine="420" w:firstLineChars="200"/>
    </w:pPr>
    <w:rPr>
      <w:rFonts w:ascii="Times New Roman" w:hAnsi="Times New Roman"/>
      <w:szCs w:val="24"/>
    </w:rPr>
  </w:style>
  <w:style w:type="paragraph" w:customStyle="1" w:styleId="23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7">
    <w:name w:val="标题 5（有编号）（绿盟科技）"/>
    <w:basedOn w:val="1"/>
    <w:next w:val="236"/>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0">
    <w:name w:val="修订11"/>
    <w:qFormat/>
    <w:uiPriority w:val="99"/>
    <w:rPr>
      <w:rFonts w:ascii="Calibri" w:hAnsi="Calibri" w:eastAsia="宋体" w:cs="Times New Roman"/>
      <w:kern w:val="2"/>
      <w:sz w:val="21"/>
      <w:szCs w:val="22"/>
      <w:lang w:val="en-US" w:eastAsia="zh-CN" w:bidi="ar-SA"/>
    </w:rPr>
  </w:style>
  <w:style w:type="paragraph" w:customStyle="1" w:styleId="241">
    <w:name w:val="_Style 32"/>
    <w:basedOn w:val="1"/>
    <w:next w:val="1"/>
    <w:qFormat/>
    <w:uiPriority w:val="99"/>
    <w:pPr>
      <w:spacing w:line="240" w:lineRule="atLeast"/>
      <w:ind w:left="420" w:firstLine="420"/>
      <w:jc w:val="left"/>
    </w:pPr>
    <w:rPr>
      <w:rFonts w:ascii="Times New Roman" w:hAnsi="Times New Roman"/>
      <w:szCs w:val="20"/>
    </w:rPr>
  </w:style>
  <w:style w:type="character" w:styleId="242">
    <w:name w:val="Placeholder Text"/>
    <w:basedOn w:val="45"/>
    <w:semiHidden/>
    <w:qFormat/>
    <w:uiPriority w:val="99"/>
    <w:rPr>
      <w:color w:val="808080"/>
    </w:rPr>
  </w:style>
  <w:style w:type="character" w:customStyle="1" w:styleId="243">
    <w:name w:val="页眉 字符1"/>
    <w:basedOn w:val="45"/>
    <w:semiHidden/>
    <w:qFormat/>
    <w:locked/>
    <w:uiPriority w:val="99"/>
    <w:rPr>
      <w:rFonts w:ascii="Calibri" w:hAnsi="Calibri" w:eastAsia="宋体" w:cs="Times New Roman"/>
      <w:kern w:val="0"/>
      <w:sz w:val="18"/>
      <w:szCs w:val="18"/>
    </w:rPr>
  </w:style>
  <w:style w:type="character" w:customStyle="1" w:styleId="244">
    <w:name w:val="正文文本 字符1"/>
    <w:basedOn w:val="45"/>
    <w:semiHidden/>
    <w:qFormat/>
    <w:locked/>
    <w:uiPriority w:val="99"/>
    <w:rPr>
      <w:rFonts w:ascii="Calibri" w:hAnsi="Calibri" w:eastAsia="宋体" w:cs="Times New Roman"/>
    </w:rPr>
  </w:style>
  <w:style w:type="character" w:customStyle="1" w:styleId="245">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6">
    <w:name w:val="NormalCharacter"/>
    <w:qFormat/>
    <w:uiPriority w:val="0"/>
  </w:style>
  <w:style w:type="paragraph" w:customStyle="1" w:styleId="247">
    <w:name w:val="BodyText1I"/>
    <w:basedOn w:val="1"/>
    <w:link w:val="248"/>
    <w:qFormat/>
    <w:uiPriority w:val="0"/>
  </w:style>
  <w:style w:type="character" w:customStyle="1" w:styleId="248">
    <w:name w:val="UserStyle_9"/>
    <w:basedOn w:val="45"/>
    <w:link w:val="247"/>
    <w:qFormat/>
    <w:locked/>
    <w:uiPriority w:val="0"/>
    <w:rPr>
      <w:rFonts w:ascii="Calibri" w:hAnsi="Calibri" w:eastAsia="宋体" w:cs="Times New Roman"/>
    </w:rPr>
  </w:style>
  <w:style w:type="character" w:customStyle="1" w:styleId="249">
    <w:name w:val="15"/>
    <w:basedOn w:val="45"/>
    <w:qFormat/>
    <w:uiPriority w:val="0"/>
    <w:rPr>
      <w:rFonts w:hint="default" w:ascii="Calibri" w:hAnsi="Calibri"/>
    </w:rPr>
  </w:style>
  <w:style w:type="character" w:customStyle="1" w:styleId="250">
    <w:name w:val="批注文字 Char1"/>
    <w:basedOn w:val="45"/>
    <w:semiHidden/>
    <w:qFormat/>
    <w:locked/>
    <w:uiPriority w:val="0"/>
    <w:rPr>
      <w:rFonts w:hint="default" w:ascii="Calibri" w:hAnsi="Calibri" w:eastAsia="宋体" w:cs="Times New Roman"/>
    </w:rPr>
  </w:style>
  <w:style w:type="character" w:customStyle="1" w:styleId="251">
    <w:name w:val="font21"/>
    <w:qFormat/>
    <w:uiPriority w:val="0"/>
    <w:rPr>
      <w:rFonts w:hint="default" w:ascii="Arial" w:hAnsi="Arial" w:cs="Arial"/>
      <w:color w:val="000000"/>
      <w:sz w:val="18"/>
      <w:szCs w:val="18"/>
      <w:u w:val="none"/>
    </w:rPr>
  </w:style>
  <w:style w:type="character" w:customStyle="1" w:styleId="252">
    <w:name w:val="_Style 8"/>
    <w:qFormat/>
    <w:uiPriority w:val="32"/>
    <w:rPr>
      <w:b/>
      <w:bCs/>
      <w:smallCaps/>
      <w:color w:val="C0504D"/>
      <w:spacing w:val="5"/>
      <w:u w:val="single"/>
    </w:rPr>
  </w:style>
  <w:style w:type="character" w:customStyle="1" w:styleId="253">
    <w:name w:val="l-btn-icon-left"/>
    <w:basedOn w:val="45"/>
    <w:qFormat/>
    <w:uiPriority w:val="0"/>
  </w:style>
  <w:style w:type="character" w:customStyle="1" w:styleId="254">
    <w:name w:val="l-btn-icon-left1"/>
    <w:basedOn w:val="45"/>
    <w:qFormat/>
    <w:uiPriority w:val="0"/>
  </w:style>
  <w:style w:type="character" w:customStyle="1" w:styleId="255">
    <w:name w:val="l-btn-empty"/>
    <w:basedOn w:val="45"/>
    <w:qFormat/>
    <w:uiPriority w:val="0"/>
  </w:style>
  <w:style w:type="character" w:customStyle="1" w:styleId="256">
    <w:name w:val="l-btn-icon-right"/>
    <w:basedOn w:val="45"/>
    <w:qFormat/>
    <w:uiPriority w:val="0"/>
  </w:style>
  <w:style w:type="character" w:customStyle="1" w:styleId="257">
    <w:name w:val="l-btn-left2"/>
    <w:basedOn w:val="45"/>
    <w:qFormat/>
    <w:uiPriority w:val="0"/>
  </w:style>
  <w:style w:type="character" w:customStyle="1" w:styleId="258">
    <w:name w:val="l-btn-left3"/>
    <w:basedOn w:val="45"/>
    <w:qFormat/>
    <w:uiPriority w:val="0"/>
  </w:style>
  <w:style w:type="character" w:customStyle="1" w:styleId="259">
    <w:name w:val="l-btn-left4"/>
    <w:basedOn w:val="45"/>
    <w:qFormat/>
    <w:uiPriority w:val="0"/>
  </w:style>
  <w:style w:type="character" w:customStyle="1" w:styleId="260">
    <w:name w:val="l-btn-left5"/>
    <w:basedOn w:val="45"/>
    <w:qFormat/>
    <w:uiPriority w:val="0"/>
  </w:style>
  <w:style w:type="character" w:customStyle="1" w:styleId="261">
    <w:name w:val="l-btn-left6"/>
    <w:basedOn w:val="45"/>
    <w:qFormat/>
    <w:uiPriority w:val="0"/>
  </w:style>
  <w:style w:type="character" w:customStyle="1" w:styleId="262">
    <w:name w:val="l-btn-text"/>
    <w:basedOn w:val="45"/>
    <w:qFormat/>
    <w:uiPriority w:val="0"/>
    <w:rPr>
      <w:vertAlign w:val="baseline"/>
    </w:rPr>
  </w:style>
  <w:style w:type="character" w:customStyle="1" w:styleId="263">
    <w:name w:val="l-btn-text1"/>
    <w:basedOn w:val="45"/>
    <w:qFormat/>
    <w:uiPriority w:val="0"/>
    <w:rPr>
      <w:vertAlign w:val="baseline"/>
    </w:rPr>
  </w:style>
  <w:style w:type="character" w:customStyle="1" w:styleId="264">
    <w:name w:val="ajaxtitle"/>
    <w:basedOn w:val="45"/>
    <w:qFormat/>
    <w:uiPriority w:val="0"/>
  </w:style>
  <w:style w:type="character" w:customStyle="1" w:styleId="265">
    <w:name w:val="json_key"/>
    <w:basedOn w:val="45"/>
    <w:qFormat/>
    <w:uiPriority w:val="0"/>
  </w:style>
  <w:style w:type="character" w:customStyle="1" w:styleId="266">
    <w:name w:val="json_string"/>
    <w:basedOn w:val="45"/>
    <w:qFormat/>
    <w:uiPriority w:val="0"/>
  </w:style>
  <w:style w:type="character" w:customStyle="1" w:styleId="267">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8">
    <w:name w:val="标题 3 Char1"/>
    <w:basedOn w:val="45"/>
    <w:semiHidden/>
    <w:qFormat/>
    <w:uiPriority w:val="99"/>
    <w:rPr>
      <w:rFonts w:hint="default" w:ascii="Calibri" w:hAnsi="Calibri"/>
      <w:b/>
      <w:bCs/>
      <w:kern w:val="2"/>
      <w:sz w:val="32"/>
      <w:szCs w:val="32"/>
    </w:rPr>
  </w:style>
  <w:style w:type="character" w:customStyle="1" w:styleId="269">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70">
    <w:name w:val="正文文本缩进 2 Char1"/>
    <w:basedOn w:val="45"/>
    <w:semiHidden/>
    <w:qFormat/>
    <w:uiPriority w:val="99"/>
    <w:rPr>
      <w:rFonts w:hint="default" w:ascii="Calibri" w:hAnsi="Calibri" w:cs="Calibri"/>
      <w:kern w:val="2"/>
      <w:sz w:val="21"/>
      <w:szCs w:val="22"/>
    </w:rPr>
  </w:style>
  <w:style w:type="character" w:customStyle="1" w:styleId="271">
    <w:name w:val="正文文本缩进 Char1"/>
    <w:basedOn w:val="45"/>
    <w:semiHidden/>
    <w:qFormat/>
    <w:uiPriority w:val="99"/>
    <w:rPr>
      <w:rFonts w:hint="default" w:ascii="Calibri" w:hAnsi="Calibri" w:cs="Calibri"/>
      <w:kern w:val="2"/>
      <w:sz w:val="21"/>
      <w:szCs w:val="22"/>
    </w:rPr>
  </w:style>
  <w:style w:type="character" w:customStyle="1" w:styleId="272">
    <w:name w:val="正文文本 3 Char1"/>
    <w:basedOn w:val="45"/>
    <w:semiHidden/>
    <w:qFormat/>
    <w:uiPriority w:val="99"/>
    <w:rPr>
      <w:rFonts w:hint="default" w:ascii="Calibri" w:hAnsi="Calibri" w:cs="Calibri"/>
      <w:kern w:val="2"/>
      <w:sz w:val="16"/>
      <w:szCs w:val="16"/>
    </w:rPr>
  </w:style>
  <w:style w:type="character" w:customStyle="1" w:styleId="273">
    <w:name w:val="正文文本缩进 3 Char1"/>
    <w:basedOn w:val="45"/>
    <w:semiHidden/>
    <w:qFormat/>
    <w:uiPriority w:val="99"/>
    <w:rPr>
      <w:rFonts w:hint="default" w:ascii="Calibri" w:hAnsi="Calibri" w:cs="Calibri"/>
      <w:kern w:val="2"/>
      <w:sz w:val="16"/>
      <w:szCs w:val="16"/>
    </w:rPr>
  </w:style>
  <w:style w:type="character" w:customStyle="1" w:styleId="274">
    <w:name w:val="批注框文本 Char1"/>
    <w:basedOn w:val="45"/>
    <w:semiHidden/>
    <w:qFormat/>
    <w:uiPriority w:val="99"/>
    <w:rPr>
      <w:rFonts w:hint="default" w:ascii="Calibri" w:hAnsi="Calibri" w:cs="Calibri"/>
      <w:kern w:val="2"/>
      <w:sz w:val="18"/>
      <w:szCs w:val="18"/>
    </w:rPr>
  </w:style>
  <w:style w:type="character" w:customStyle="1" w:styleId="275">
    <w:name w:val="文档结构图 Char1"/>
    <w:basedOn w:val="45"/>
    <w:semiHidden/>
    <w:qFormat/>
    <w:uiPriority w:val="99"/>
    <w:rPr>
      <w:rFonts w:hint="eastAsia" w:ascii="宋体" w:hAnsi="Calibri" w:eastAsia="宋体"/>
      <w:kern w:val="2"/>
      <w:sz w:val="18"/>
      <w:szCs w:val="18"/>
    </w:rPr>
  </w:style>
  <w:style w:type="character" w:customStyle="1" w:styleId="276">
    <w:name w:val="页眉 Char1"/>
    <w:basedOn w:val="45"/>
    <w:semiHidden/>
    <w:qFormat/>
    <w:uiPriority w:val="99"/>
    <w:rPr>
      <w:rFonts w:hint="default" w:ascii="Calibri" w:hAnsi="Calibri" w:cs="Calibri"/>
      <w:kern w:val="2"/>
      <w:sz w:val="18"/>
      <w:szCs w:val="18"/>
    </w:rPr>
  </w:style>
  <w:style w:type="character" w:customStyle="1" w:styleId="277">
    <w:name w:val="日期 Char1"/>
    <w:basedOn w:val="45"/>
    <w:semiHidden/>
    <w:qFormat/>
    <w:uiPriority w:val="99"/>
    <w:rPr>
      <w:rFonts w:hint="default" w:ascii="Calibri" w:hAnsi="Calibri" w:cs="Calibri"/>
      <w:kern w:val="2"/>
      <w:sz w:val="21"/>
      <w:szCs w:val="22"/>
    </w:rPr>
  </w:style>
  <w:style w:type="character" w:customStyle="1" w:styleId="278">
    <w:name w:val="正文文本 Char3"/>
    <w:basedOn w:val="45"/>
    <w:qFormat/>
    <w:uiPriority w:val="99"/>
    <w:rPr>
      <w:rFonts w:hint="default" w:ascii="Calibri" w:hAnsi="Calibri" w:cs="Calibri"/>
      <w:kern w:val="2"/>
      <w:sz w:val="21"/>
      <w:szCs w:val="22"/>
    </w:rPr>
  </w:style>
  <w:style w:type="character" w:customStyle="1" w:styleId="279">
    <w:name w:val="纯文本 Char2"/>
    <w:basedOn w:val="45"/>
    <w:qFormat/>
    <w:uiPriority w:val="99"/>
    <w:rPr>
      <w:rFonts w:hint="eastAsia" w:ascii="宋体" w:hAnsi="Courier New" w:eastAsia="宋体" w:cs="Courier New"/>
      <w:kern w:val="2"/>
      <w:sz w:val="21"/>
      <w:szCs w:val="21"/>
    </w:rPr>
  </w:style>
  <w:style w:type="character" w:customStyle="1" w:styleId="280">
    <w:name w:val="正文首行缩进 Char1"/>
    <w:basedOn w:val="278"/>
    <w:semiHidden/>
    <w:qFormat/>
    <w:uiPriority w:val="99"/>
    <w:rPr>
      <w:rFonts w:hint="default" w:ascii="Calibri" w:hAnsi="Calibri" w:cs="Calibri"/>
      <w:kern w:val="2"/>
      <w:sz w:val="21"/>
      <w:szCs w:val="22"/>
    </w:rPr>
  </w:style>
  <w:style w:type="character" w:customStyle="1" w:styleId="281">
    <w:name w:val="正文文本 2 Char1"/>
    <w:basedOn w:val="45"/>
    <w:semiHidden/>
    <w:qFormat/>
    <w:uiPriority w:val="99"/>
    <w:rPr>
      <w:rFonts w:hint="default" w:ascii="Calibri" w:hAnsi="Calibri" w:cs="Calibri"/>
      <w:kern w:val="2"/>
      <w:sz w:val="21"/>
      <w:szCs w:val="22"/>
    </w:rPr>
  </w:style>
  <w:style w:type="character" w:customStyle="1" w:styleId="282">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3">
    <w:name w:val="font61"/>
    <w:qFormat/>
    <w:uiPriority w:val="0"/>
    <w:rPr>
      <w:rFonts w:hint="eastAsia" w:ascii="仿宋_GB2312" w:eastAsia="仿宋_GB2312" w:cs="仿宋_GB2312"/>
      <w:color w:val="000000"/>
      <w:sz w:val="24"/>
      <w:szCs w:val="24"/>
      <w:u w:val="none"/>
    </w:rPr>
  </w:style>
  <w:style w:type="character" w:customStyle="1" w:styleId="284">
    <w:name w:val="font31"/>
    <w:qFormat/>
    <w:uiPriority w:val="0"/>
    <w:rPr>
      <w:rFonts w:hint="eastAsia" w:ascii="宋体" w:hAnsi="宋体" w:eastAsia="宋体" w:cs="宋体"/>
      <w:color w:val="FF0000"/>
      <w:sz w:val="24"/>
      <w:szCs w:val="24"/>
      <w:u w:val="none"/>
    </w:rPr>
  </w:style>
  <w:style w:type="character" w:customStyle="1" w:styleId="285">
    <w:name w:val="font221"/>
    <w:qFormat/>
    <w:uiPriority w:val="0"/>
    <w:rPr>
      <w:rFonts w:hint="eastAsia" w:ascii="宋体" w:hAnsi="宋体" w:eastAsia="宋体" w:cs="宋体"/>
      <w:color w:val="000000"/>
      <w:sz w:val="24"/>
      <w:szCs w:val="24"/>
      <w:u w:val="none"/>
    </w:rPr>
  </w:style>
  <w:style w:type="character" w:customStyle="1" w:styleId="286">
    <w:name w:val="font121"/>
    <w:basedOn w:val="45"/>
    <w:qFormat/>
    <w:uiPriority w:val="0"/>
    <w:rPr>
      <w:rFonts w:hint="eastAsia" w:ascii="宋体" w:hAnsi="宋体" w:eastAsia="宋体" w:cs="宋体"/>
      <w:color w:val="000000"/>
      <w:sz w:val="22"/>
      <w:szCs w:val="22"/>
      <w:u w:val="none"/>
    </w:rPr>
  </w:style>
  <w:style w:type="character" w:customStyle="1" w:styleId="287">
    <w:name w:val="font41"/>
    <w:basedOn w:val="45"/>
    <w:qFormat/>
    <w:uiPriority w:val="0"/>
    <w:rPr>
      <w:rFonts w:hint="eastAsia" w:ascii="宋体" w:hAnsi="宋体" w:eastAsia="宋体" w:cs="宋体"/>
      <w:b/>
      <w:color w:val="000000"/>
      <w:sz w:val="22"/>
      <w:szCs w:val="22"/>
      <w:u w:val="none"/>
    </w:rPr>
  </w:style>
  <w:style w:type="character" w:customStyle="1" w:styleId="288">
    <w:name w:val="font71"/>
    <w:basedOn w:val="45"/>
    <w:qFormat/>
    <w:uiPriority w:val="0"/>
    <w:rPr>
      <w:rFonts w:hint="eastAsia" w:ascii="宋体" w:hAnsi="宋体" w:eastAsia="宋体" w:cs="宋体"/>
      <w:color w:val="0D0D0D"/>
      <w:sz w:val="22"/>
      <w:szCs w:val="22"/>
      <w:u w:val="none"/>
    </w:rPr>
  </w:style>
  <w:style w:type="character" w:customStyle="1" w:styleId="289">
    <w:name w:val="qowt-font2"/>
    <w:basedOn w:val="45"/>
    <w:qFormat/>
    <w:uiPriority w:val="0"/>
  </w:style>
  <w:style w:type="character" w:customStyle="1" w:styleId="290">
    <w:name w:val="font91"/>
    <w:qFormat/>
    <w:uiPriority w:val="0"/>
    <w:rPr>
      <w:rFonts w:hint="eastAsia" w:ascii="宋体" w:hAnsi="宋体" w:eastAsia="宋体" w:cs="宋体"/>
      <w:color w:val="000000"/>
      <w:sz w:val="20"/>
      <w:szCs w:val="20"/>
      <w:u w:val="none"/>
      <w:vertAlign w:val="superscript"/>
    </w:rPr>
  </w:style>
  <w:style w:type="table" w:customStyle="1" w:styleId="291">
    <w:name w:val="网格型2"/>
    <w:basedOn w:val="43"/>
    <w:qFormat/>
    <w:uiPriority w:val="0"/>
    <w:pPr>
      <w:widowControl w:val="0"/>
      <w:spacing w:after="200" w:line="276"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2">
    <w:name w:val="标题 1 字符1"/>
    <w:basedOn w:val="45"/>
    <w:qFormat/>
    <w:uiPriority w:val="0"/>
    <w:rPr>
      <w:rFonts w:eastAsia="宋体" w:cs="Times New Roman"/>
      <w:b/>
      <w:bCs/>
      <w:kern w:val="44"/>
      <w:sz w:val="44"/>
      <w:szCs w:val="44"/>
    </w:rPr>
  </w:style>
  <w:style w:type="character" w:customStyle="1" w:styleId="293">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4">
    <w:name w:val="标题 3 字符1"/>
    <w:basedOn w:val="45"/>
    <w:semiHidden/>
    <w:qFormat/>
    <w:uiPriority w:val="9"/>
    <w:rPr>
      <w:rFonts w:eastAsia="宋体" w:cs="Times New Roman"/>
      <w:b/>
      <w:bCs/>
      <w:kern w:val="2"/>
      <w:sz w:val="32"/>
      <w:szCs w:val="32"/>
    </w:rPr>
  </w:style>
  <w:style w:type="character" w:customStyle="1" w:styleId="295">
    <w:name w:val="批注文字 Char"/>
    <w:basedOn w:val="45"/>
    <w:qFormat/>
    <w:uiPriority w:val="99"/>
    <w:rPr>
      <w:rFonts w:ascii="Calibri" w:hAnsi="Calibri" w:eastAsia="宋体" w:cs="Times New Roman"/>
    </w:rPr>
  </w:style>
  <w:style w:type="paragraph" w:customStyle="1" w:styleId="296">
    <w:name w:val="修订4"/>
    <w:semiHidden/>
    <w:qFormat/>
    <w:uiPriority w:val="99"/>
    <w:rPr>
      <w:rFonts w:ascii="Calibri" w:hAnsi="Calibri" w:eastAsia="宋体" w:cs="Times New Roman"/>
      <w:kern w:val="2"/>
      <w:sz w:val="21"/>
      <w:szCs w:val="22"/>
      <w:lang w:val="en-US" w:eastAsia="zh-CN" w:bidi="ar-SA"/>
    </w:rPr>
  </w:style>
  <w:style w:type="paragraph" w:customStyle="1" w:styleId="29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9">
    <w:name w:val="p121"/>
    <w:qFormat/>
    <w:uiPriority w:val="0"/>
    <w:rPr>
      <w:sz w:val="24"/>
    </w:rPr>
  </w:style>
  <w:style w:type="paragraph" w:customStyle="1" w:styleId="300">
    <w:name w:val="列表段落1"/>
    <w:basedOn w:val="1"/>
    <w:qFormat/>
    <w:uiPriority w:val="99"/>
    <w:pPr>
      <w:ind w:firstLine="420" w:firstLineChars="200"/>
    </w:pPr>
    <w:rPr>
      <w:rFonts w:ascii="宋体" w:hAnsi="宋体" w:cs="宋体"/>
      <w:sz w:val="28"/>
      <w:szCs w:val="28"/>
    </w:rPr>
  </w:style>
  <w:style w:type="character" w:customStyle="1" w:styleId="301">
    <w:name w:val="AnnotationReference"/>
    <w:qFormat/>
    <w:uiPriority w:val="0"/>
    <w:rPr>
      <w:sz w:val="21"/>
      <w:szCs w:val="21"/>
    </w:rPr>
  </w:style>
  <w:style w:type="paragraph" w:customStyle="1" w:styleId="30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3">
    <w:name w:val="Heading3"/>
    <w:basedOn w:val="1"/>
    <w:next w:val="1"/>
    <w:link w:val="30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4">
    <w:name w:val="UserStyle_4"/>
    <w:link w:val="303"/>
    <w:qFormat/>
    <w:uiPriority w:val="0"/>
    <w:rPr>
      <w:rFonts w:ascii="宋体" w:hAnsi="宋体" w:eastAsia="宋体" w:cs="宋体"/>
      <w:b/>
      <w:bCs/>
      <w:kern w:val="0"/>
      <w:sz w:val="27"/>
      <w:szCs w:val="27"/>
    </w:rPr>
  </w:style>
  <w:style w:type="paragraph" w:customStyle="1" w:styleId="305">
    <w:name w:val="_Style 48"/>
    <w:basedOn w:val="1"/>
    <w:qFormat/>
    <w:uiPriority w:val="0"/>
    <w:pPr>
      <w:ind w:firstLine="420" w:firstLineChars="200"/>
    </w:pPr>
    <w:rPr>
      <w:rFonts w:ascii="宋体" w:hAnsi="宋体" w:cs="宋体"/>
      <w:sz w:val="28"/>
      <w:szCs w:val="28"/>
    </w:rPr>
  </w:style>
  <w:style w:type="character" w:customStyle="1" w:styleId="306">
    <w:name w:val="font101"/>
    <w:basedOn w:val="45"/>
    <w:qFormat/>
    <w:uiPriority w:val="0"/>
    <w:rPr>
      <w:rFonts w:hint="eastAsia" w:ascii="宋体" w:hAnsi="宋体" w:eastAsia="宋体" w:cs="宋体"/>
      <w:color w:val="FF0000"/>
      <w:sz w:val="18"/>
      <w:szCs w:val="18"/>
      <w:u w:val="none"/>
    </w:rPr>
  </w:style>
  <w:style w:type="character" w:customStyle="1" w:styleId="307">
    <w:name w:val="font51"/>
    <w:basedOn w:val="45"/>
    <w:qFormat/>
    <w:uiPriority w:val="0"/>
    <w:rPr>
      <w:rFonts w:ascii="Calibri" w:hAnsi="Calibri" w:cs="Calibri"/>
      <w:color w:val="000000"/>
      <w:sz w:val="21"/>
      <w:szCs w:val="21"/>
      <w:u w:val="none"/>
    </w:rPr>
  </w:style>
  <w:style w:type="paragraph" w:customStyle="1" w:styleId="308">
    <w:name w:val="Table Paragraph"/>
    <w:basedOn w:val="1"/>
    <w:qFormat/>
    <w:uiPriority w:val="1"/>
    <w:pPr>
      <w:ind w:firstLine="560" w:firstLineChars="200"/>
    </w:pPr>
    <w:rPr>
      <w:rFonts w:ascii="宋体" w:hAnsi="宋体" w:cs="宋体"/>
      <w:sz w:val="28"/>
      <w:szCs w:val="28"/>
      <w:lang w:val="zh-CN" w:bidi="zh-CN"/>
    </w:rPr>
  </w:style>
  <w:style w:type="character" w:customStyle="1" w:styleId="309">
    <w:name w:val="表格文字 字符"/>
    <w:basedOn w:val="45"/>
    <w:link w:val="97"/>
    <w:qFormat/>
    <w:uiPriority w:val="0"/>
    <w:rPr>
      <w:rFonts w:ascii="Times New (W1)" w:hAnsi="Times New (W1)" w:eastAsia="宋体" w:cs="Times New Roman"/>
      <w:spacing w:val="10"/>
      <w:szCs w:val="24"/>
    </w:rPr>
  </w:style>
  <w:style w:type="paragraph" w:customStyle="1" w:styleId="310">
    <w:name w:val="_Style 1"/>
    <w:basedOn w:val="1"/>
    <w:qFormat/>
    <w:uiPriority w:val="0"/>
    <w:pPr>
      <w:adjustRightInd w:val="0"/>
      <w:spacing w:line="360" w:lineRule="auto"/>
    </w:pPr>
    <w:rPr>
      <w:rFonts w:ascii="Times New Roman" w:hAnsi="Times New Roman"/>
      <w:szCs w:val="20"/>
    </w:rPr>
  </w:style>
  <w:style w:type="character" w:customStyle="1" w:styleId="311">
    <w:name w:val="列出段落 字符"/>
    <w:link w:val="152"/>
    <w:qFormat/>
    <w:locked/>
    <w:uiPriority w:val="99"/>
    <w:rPr>
      <w:rFonts w:ascii="Calibri" w:hAnsi="Calibri"/>
      <w:kern w:val="2"/>
      <w:sz w:val="21"/>
      <w:szCs w:val="22"/>
    </w:rPr>
  </w:style>
  <w:style w:type="paragraph" w:customStyle="1" w:styleId="312">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3">
    <w:name w:val="样式2"/>
    <w:basedOn w:val="2"/>
    <w:qFormat/>
    <w:uiPriority w:val="0"/>
    <w:pPr>
      <w:spacing w:line="360" w:lineRule="auto"/>
      <w:ind w:left="210" w:leftChars="100" w:rightChars="1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A9C852-992D-4A78-A1AE-0659D1106263}">
  <ds:schemaRefs/>
</ds:datastoreItem>
</file>

<file path=docProps/app.xml><?xml version="1.0" encoding="utf-8"?>
<Properties xmlns="http://schemas.openxmlformats.org/officeDocument/2006/extended-properties" xmlns:vt="http://schemas.openxmlformats.org/officeDocument/2006/docPropsVTypes">
  <Template>Normal</Template>
  <Pages>140</Pages>
  <Words>57522</Words>
  <Characters>63651</Characters>
  <Lines>224</Lines>
  <Paragraphs>63</Paragraphs>
  <TotalTime>8</TotalTime>
  <ScaleCrop>false</ScaleCrop>
  <LinksUpToDate>false</LinksUpToDate>
  <CharactersWithSpaces>67277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2021-08-30T03:26:00Z</dcterms:created>
  <dc:creator>高文豪</dc:creator>
  <cp:lastModifiedBy>Administrator</cp:lastModifiedBy>
  <cp:lastPrinted>2022-03-25T06:57:00Z</cp:lastPrinted>
  <dcterms:modified xsi:type="dcterms:W3CDTF">2022-03-31T01:08:11Z</dcterms:modified>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634951691_btnclosed</vt:lpwstr>
  </property>
  <property fmtid="{D5CDD505-2E9C-101B-9397-08002B2CF9AE}" pid="3" name="KSOProductBuildVer">
    <vt:lpwstr>2052-11.8.2.8621</vt:lpwstr>
  </property>
  <property fmtid="{D5CDD505-2E9C-101B-9397-08002B2CF9AE}" pid="4" name="ICV">
    <vt:lpwstr>69E6670963444FBF82409A3DD729A515</vt:lpwstr>
  </property>
</Properties>
</file>