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2558" w:leftChars="456" w:hanging="1600" w:hangingChars="500"/>
        <w:rPr>
          <w:rFonts w:hint="eastAsia" w:ascii="华文中宋" w:hAnsi="华文中宋" w:eastAsia="华文中宋"/>
          <w:color w:val="000000" w:themeColor="text1"/>
          <w:sz w:val="32"/>
          <w:szCs w:val="32"/>
          <w:lang w:eastAsia="zh-CN"/>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项目名称：</w:t>
      </w:r>
      <w:r>
        <w:rPr>
          <w:rFonts w:hint="eastAsia" w:ascii="华文中宋" w:hAnsi="华文中宋" w:eastAsia="华文中宋"/>
          <w:color w:val="000000" w:themeColor="text1"/>
          <w:sz w:val="32"/>
          <w:szCs w:val="32"/>
          <w:lang w:eastAsia="zh-CN"/>
          <w14:textFill>
            <w14:solidFill>
              <w14:schemeClr w14:val="tx1"/>
            </w14:solidFill>
          </w14:textFill>
        </w:rPr>
        <w:t>彭州市人民政府天彭街道办事处东湖花园三期安置小区物业管理服务采购项目</w:t>
      </w:r>
    </w:p>
    <w:p>
      <w:pPr>
        <w:tabs>
          <w:tab w:val="left" w:pos="2552"/>
        </w:tabs>
        <w:spacing w:line="360" w:lineRule="auto"/>
        <w:ind w:firstLine="960" w:firstLineChars="300"/>
        <w:rPr>
          <w:rFonts w:hint="eastAsia" w:ascii="华文中宋" w:hAnsi="华文中宋" w:eastAsia="华文中宋"/>
          <w:color w:val="000000" w:themeColor="text1"/>
          <w:sz w:val="32"/>
          <w:szCs w:val="32"/>
          <w:lang w:eastAsia="zh-CN"/>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w:t>
      </w:r>
      <w:r>
        <w:rPr>
          <w:rFonts w:hint="eastAsia" w:ascii="华文中宋" w:hAnsi="华文中宋" w:eastAsia="华文中宋"/>
          <w:color w:val="000000" w:themeColor="text1"/>
          <w:sz w:val="32"/>
          <w:szCs w:val="32"/>
          <w:lang w:eastAsia="zh-CN"/>
          <w14:textFill>
            <w14:solidFill>
              <w14:schemeClr w14:val="tx1"/>
            </w14:solidFill>
          </w14:textFill>
        </w:rPr>
        <w:t>彭州市政采（2021）A0016号</w:t>
      </w:r>
    </w:p>
    <w:p>
      <w:pPr>
        <w:spacing w:line="360" w:lineRule="auto"/>
        <w:rPr>
          <w:rFonts w:ascii="华文中宋" w:hAnsi="华文中宋" w:eastAsia="华文中宋"/>
          <w:color w:val="000000" w:themeColor="text1"/>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lang w:eastAsia="zh-CN"/>
          <w14:textFill>
            <w14:solidFill>
              <w14:schemeClr w14:val="tx1"/>
            </w14:solidFill>
          </w14:textFill>
        </w:rPr>
        <w:t>彭州市人民政府天彭街道办事处</w:t>
      </w:r>
      <w:r>
        <w:rPr>
          <w:rFonts w:hint="eastAsia" w:ascii="华文中宋" w:hAnsi="华文中宋" w:eastAsia="华文中宋"/>
          <w:color w:val="000000" w:themeColor="text1"/>
          <w:sz w:val="32"/>
          <w:szCs w:val="32"/>
          <w14:textFill>
            <w14:solidFill>
              <w14:schemeClr w14:val="tx1"/>
            </w14:solidFill>
          </w14:textFill>
        </w:rPr>
        <w:t>、</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彭州市公共资源交易服务中心共同编制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二〇二一年八月</w:t>
      </w:r>
    </w:p>
    <w:p>
      <w:pPr>
        <w:spacing w:line="360" w:lineRule="auto"/>
        <w:jc w:val="center"/>
        <w:rPr>
          <w:rFonts w:ascii="宋体" w:hAnsi="宋体"/>
          <w:b/>
          <w:color w:val="000000" w:themeColor="text1"/>
          <w:sz w:val="32"/>
          <w14:textFill>
            <w14:solidFill>
              <w14:schemeClr w14:val="tx1"/>
            </w14:solidFill>
          </w14:textFill>
        </w:rPr>
      </w:pPr>
      <w:r>
        <w:rPr>
          <w:rFonts w:hint="eastAsia" w:ascii="宋体" w:hAnsi="宋体"/>
          <w:color w:val="000000" w:themeColor="text1"/>
          <w:kern w:val="0"/>
          <w14:textFill>
            <w14:solidFill>
              <w14:schemeClr w14:val="tx1"/>
            </w14:solidFill>
          </w14:textFill>
        </w:rPr>
        <w:br w:type="page"/>
      </w:r>
      <w:bookmarkStart w:id="0" w:name="_Toc101328520"/>
      <w:bookmarkStart w:id="1" w:name="_Toc148505181"/>
      <w:bookmarkStart w:id="2" w:name="_Toc101247312"/>
      <w:bookmarkStart w:id="3" w:name="_Toc101234248"/>
      <w:r>
        <w:rPr>
          <w:rFonts w:hint="eastAsia" w:ascii="宋体" w:hAnsi="宋体"/>
          <w:b/>
          <w:color w:val="000000" w:themeColor="text1"/>
          <w:sz w:val="28"/>
          <w:szCs w:val="32"/>
          <w14:textFill>
            <w14:solidFill>
              <w14:schemeClr w14:val="tx1"/>
            </w14:solidFill>
          </w14:textFill>
        </w:rPr>
        <w:t>目 录</w:t>
      </w:r>
    </w:p>
    <w:sdt>
      <w:sdtPr>
        <w:rPr>
          <w:rFonts w:ascii="宋体" w:hAnsi="宋体" w:eastAsia="华文中宋"/>
          <w:smallCaps/>
          <w:color w:val="000000" w:themeColor="text1"/>
          <w:sz w:val="20"/>
          <w:szCs w:val="20"/>
          <w14:textFill>
            <w14:solidFill>
              <w14:schemeClr w14:val="tx1"/>
            </w14:solidFill>
          </w14:textFill>
        </w:rPr>
        <w:id w:val="147456339"/>
        <w:docPartObj>
          <w:docPartGallery w:val="Table of Contents"/>
          <w:docPartUnique/>
        </w:docPartObj>
      </w:sdtPr>
      <w:sdtEndPr>
        <w:rPr>
          <w:rFonts w:ascii="宋体" w:hAnsi="宋体" w:eastAsia="华文中宋"/>
          <w:smallCaps/>
          <w:color w:val="000000" w:themeColor="text1"/>
          <w:sz w:val="20"/>
          <w:szCs w:val="20"/>
          <w14:textFill>
            <w14:solidFill>
              <w14:schemeClr w14:val="tx1"/>
            </w14:solidFill>
          </w14:textFill>
        </w:rPr>
      </w:sdtEndPr>
      <w:sdtContent>
        <w:p>
          <w:pPr>
            <w:rPr>
              <w:color w:val="000000" w:themeColor="text1"/>
              <w14:textFill>
                <w14:solidFill>
                  <w14:schemeClr w14:val="tx1"/>
                </w14:solidFill>
              </w14:textFill>
            </w:rPr>
          </w:pPr>
        </w:p>
        <w:p>
          <w:pPr>
            <w:pStyle w:val="29"/>
            <w:rPr>
              <w:rFonts w:asciiTheme="minorHAnsi" w:hAnsiTheme="minorHAnsi" w:eastAsiaTheme="minorEastAsia" w:cstheme="minorBidi"/>
              <w:bCs w:val="0"/>
              <w:caps w:val="0"/>
              <w:sz w:val="21"/>
              <w:szCs w:val="22"/>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TOC \o "1-2" \h \u </w:instrText>
          </w:r>
          <w:r>
            <w:rPr>
              <w:rFonts w:hint="eastAsia"/>
              <w:color w:val="000000" w:themeColor="text1"/>
              <w14:textFill>
                <w14:solidFill>
                  <w14:schemeClr w14:val="tx1"/>
                </w14:solidFill>
              </w14:textFill>
            </w:rPr>
            <w:fldChar w:fldCharType="separate"/>
          </w:r>
          <w:r>
            <w:fldChar w:fldCharType="begin"/>
          </w:r>
          <w:r>
            <w:instrText xml:space="preserve"> HYPERLINK \l "_Toc75336286" </w:instrText>
          </w:r>
          <w:r>
            <w:fldChar w:fldCharType="separate"/>
          </w:r>
          <w:r>
            <w:rPr>
              <w:rStyle w:val="47"/>
              <w:rFonts w:ascii="Times New Roman" w:hAnsi="Times New Roman"/>
            </w:rPr>
            <w:t>第1章</w:t>
          </w:r>
          <w:r>
            <w:rPr>
              <w:rFonts w:asciiTheme="minorHAnsi" w:hAnsiTheme="minorHAnsi" w:eastAsiaTheme="minorEastAsia" w:cstheme="minorBidi"/>
              <w:bCs w:val="0"/>
              <w:caps w:val="0"/>
              <w:sz w:val="21"/>
              <w:szCs w:val="22"/>
            </w:rPr>
            <w:tab/>
          </w:r>
          <w:r>
            <w:rPr>
              <w:rStyle w:val="47"/>
            </w:rPr>
            <w:t>投标邀请</w:t>
          </w:r>
          <w:r>
            <w:tab/>
          </w:r>
          <w:r>
            <w:fldChar w:fldCharType="begin"/>
          </w:r>
          <w:r>
            <w:instrText xml:space="preserve"> PAGEREF _Toc75336286 \h </w:instrText>
          </w:r>
          <w:r>
            <w:fldChar w:fldCharType="separate"/>
          </w:r>
          <w:r>
            <w:t>3</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"_Toc75336287" </w:instrText>
          </w:r>
          <w:r>
            <w:fldChar w:fldCharType="separate"/>
          </w:r>
          <w:r>
            <w:rPr>
              <w:rStyle w:val="47"/>
              <w:rFonts w:ascii="Times New Roman" w:hAnsi="Times New Roman"/>
            </w:rPr>
            <w:t>第2章</w:t>
          </w:r>
          <w:r>
            <w:rPr>
              <w:rFonts w:asciiTheme="minorHAnsi" w:hAnsiTheme="minorHAnsi" w:eastAsiaTheme="minorEastAsia" w:cstheme="minorBidi"/>
              <w:bCs w:val="0"/>
              <w:caps w:val="0"/>
              <w:sz w:val="21"/>
              <w:szCs w:val="22"/>
            </w:rPr>
            <w:tab/>
          </w:r>
          <w:r>
            <w:rPr>
              <w:rStyle w:val="47"/>
            </w:rPr>
            <w:t>投标人须知</w:t>
          </w:r>
          <w:r>
            <w:tab/>
          </w:r>
          <w:r>
            <w:fldChar w:fldCharType="begin"/>
          </w:r>
          <w:r>
            <w:instrText xml:space="preserve"> PAGEREF _Toc75336287 \h </w:instrText>
          </w:r>
          <w:r>
            <w:fldChar w:fldCharType="separate"/>
          </w:r>
          <w:r>
            <w:t>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"_Toc75336288" </w:instrText>
          </w:r>
          <w:r>
            <w:fldChar w:fldCharType="separate"/>
          </w:r>
          <w:r>
            <w:rPr>
              <w:rStyle w:val="47"/>
              <w:rFonts w:ascii="Times New Roman" w:hAnsi="Times New Roman"/>
            </w:rPr>
            <w:t>2.1</w:t>
          </w:r>
          <w:r>
            <w:rPr>
              <w:rStyle w:val="47"/>
            </w:rPr>
            <w:t xml:space="preserve"> 投标人须知前附表</w:t>
          </w:r>
          <w:r>
            <w:tab/>
          </w:r>
          <w:r>
            <w:fldChar w:fldCharType="begin"/>
          </w:r>
          <w:r>
            <w:instrText xml:space="preserve"> PAGEREF _Toc75336288 \h </w:instrText>
          </w:r>
          <w:r>
            <w:fldChar w:fldCharType="separate"/>
          </w:r>
          <w:r>
            <w:t>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"_Toc75336289" </w:instrText>
          </w:r>
          <w:r>
            <w:fldChar w:fldCharType="separate"/>
          </w:r>
          <w:r>
            <w:rPr>
              <w:rStyle w:val="47"/>
              <w:rFonts w:ascii="Times New Roman" w:hAnsi="Times New Roman"/>
            </w:rPr>
            <w:t>2.2</w:t>
          </w:r>
          <w:r>
            <w:rPr>
              <w:rStyle w:val="47"/>
            </w:rPr>
            <w:t xml:space="preserve"> 总则</w:t>
          </w:r>
          <w:r>
            <w:tab/>
          </w:r>
          <w:r>
            <w:fldChar w:fldCharType="begin"/>
          </w:r>
          <w:r>
            <w:instrText xml:space="preserve"> PAGEREF _Toc75336289 \h </w:instrText>
          </w:r>
          <w:r>
            <w:fldChar w:fldCharType="separate"/>
          </w:r>
          <w:r>
            <w:t>11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"_Toc75336290" </w:instrText>
          </w:r>
          <w:r>
            <w:fldChar w:fldCharType="separate"/>
          </w:r>
          <w:r>
            <w:rPr>
              <w:rStyle w:val="47"/>
              <w:rFonts w:ascii="Times New Roman" w:hAnsi="Times New Roman"/>
            </w:rPr>
            <w:t>2.3</w:t>
          </w:r>
          <w:r>
            <w:rPr>
              <w:rStyle w:val="47"/>
            </w:rPr>
            <w:t xml:space="preserve"> 招标文件</w:t>
          </w:r>
          <w:r>
            <w:tab/>
          </w:r>
          <w:r>
            <w:fldChar w:fldCharType="begin"/>
          </w:r>
          <w:r>
            <w:instrText xml:space="preserve"> PAGEREF _Toc75336290 \h </w:instrText>
          </w:r>
          <w:r>
            <w:fldChar w:fldCharType="separate"/>
          </w:r>
          <w:r>
            <w:t>13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"_Toc75336291" </w:instrText>
          </w:r>
          <w:r>
            <w:fldChar w:fldCharType="separate"/>
          </w:r>
          <w:r>
            <w:rPr>
              <w:rStyle w:val="47"/>
              <w:rFonts w:ascii="Times New Roman" w:hAnsi="Times New Roman"/>
            </w:rPr>
            <w:t>2.4</w:t>
          </w:r>
          <w:r>
            <w:rPr>
              <w:rStyle w:val="47"/>
            </w:rPr>
            <w:t xml:space="preserve"> 投标文件</w:t>
          </w:r>
          <w:r>
            <w:tab/>
          </w:r>
          <w:r>
            <w:fldChar w:fldCharType="begin"/>
          </w:r>
          <w:r>
            <w:instrText xml:space="preserve"> PAGEREF _Toc75336291 \h </w:instrText>
          </w:r>
          <w:r>
            <w:fldChar w:fldCharType="separate"/>
          </w:r>
          <w:r>
            <w:t>14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"_Toc75336292" </w:instrText>
          </w:r>
          <w:r>
            <w:fldChar w:fldCharType="separate"/>
          </w:r>
          <w:r>
            <w:rPr>
              <w:rStyle w:val="47"/>
              <w:rFonts w:ascii="Times New Roman" w:hAnsi="Times New Roman"/>
            </w:rPr>
            <w:t>2.5</w:t>
          </w:r>
          <w:r>
            <w:rPr>
              <w:rStyle w:val="47"/>
            </w:rPr>
            <w:t xml:space="preserve"> 开标、资格审查、评标和中标</w:t>
          </w:r>
          <w:r>
            <w:tab/>
          </w:r>
          <w:r>
            <w:fldChar w:fldCharType="begin"/>
          </w:r>
          <w:r>
            <w:instrText xml:space="preserve"> PAGEREF _Toc75336292 \h </w:instrText>
          </w:r>
          <w:r>
            <w:fldChar w:fldCharType="separate"/>
          </w:r>
          <w:r>
            <w:t>22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"_Toc75336293" </w:instrText>
          </w:r>
          <w:r>
            <w:fldChar w:fldCharType="separate"/>
          </w:r>
          <w:r>
            <w:rPr>
              <w:rStyle w:val="47"/>
              <w:rFonts w:ascii="Times New Roman" w:hAnsi="Times New Roman"/>
            </w:rPr>
            <w:t>2.6</w:t>
          </w:r>
          <w:r>
            <w:rPr>
              <w:rStyle w:val="47"/>
            </w:rPr>
            <w:t xml:space="preserve"> 签订及履行合同和验收</w:t>
          </w:r>
          <w:r>
            <w:tab/>
          </w:r>
          <w:r>
            <w:fldChar w:fldCharType="begin"/>
          </w:r>
          <w:r>
            <w:instrText xml:space="preserve"> PAGEREF _Toc75336293 \h </w:instrText>
          </w:r>
          <w:r>
            <w:fldChar w:fldCharType="separate"/>
          </w:r>
          <w:r>
            <w:t>24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"_Toc75336294" </w:instrText>
          </w:r>
          <w:r>
            <w:fldChar w:fldCharType="separate"/>
          </w:r>
          <w:r>
            <w:rPr>
              <w:rStyle w:val="47"/>
              <w:rFonts w:ascii="Times New Roman" w:hAnsi="Times New Roman"/>
            </w:rPr>
            <w:t>2.7</w:t>
          </w:r>
          <w:r>
            <w:rPr>
              <w:rStyle w:val="47"/>
            </w:rPr>
            <w:t xml:space="preserve"> 投标纪律要求</w:t>
          </w:r>
          <w:r>
            <w:tab/>
          </w:r>
          <w:r>
            <w:fldChar w:fldCharType="begin"/>
          </w:r>
          <w:r>
            <w:instrText xml:space="preserve"> PAGEREF _Toc75336294 \h </w:instrText>
          </w:r>
          <w:r>
            <w:fldChar w:fldCharType="separate"/>
          </w:r>
          <w:r>
            <w:t>27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"_Toc75336295" </w:instrText>
          </w:r>
          <w:r>
            <w:fldChar w:fldCharType="separate"/>
          </w:r>
          <w:r>
            <w:rPr>
              <w:rStyle w:val="47"/>
              <w:rFonts w:ascii="Times New Roman" w:hAnsi="Times New Roman"/>
            </w:rPr>
            <w:t>2.8</w:t>
          </w:r>
          <w:r>
            <w:rPr>
              <w:rStyle w:val="47"/>
            </w:rPr>
            <w:t xml:space="preserve"> 询问、质疑和投诉</w:t>
          </w:r>
          <w:r>
            <w:tab/>
          </w:r>
          <w:r>
            <w:fldChar w:fldCharType="begin"/>
          </w:r>
          <w:r>
            <w:instrText xml:space="preserve"> PAGEREF _Toc75336295 \h </w:instrText>
          </w:r>
          <w:r>
            <w:fldChar w:fldCharType="separate"/>
          </w:r>
          <w:r>
            <w:t>29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"_Toc75336296" </w:instrText>
          </w:r>
          <w:r>
            <w:fldChar w:fldCharType="separate"/>
          </w:r>
          <w:r>
            <w:rPr>
              <w:rStyle w:val="47"/>
              <w:rFonts w:ascii="Times New Roman" w:hAnsi="Times New Roman"/>
            </w:rPr>
            <w:t>2.9</w:t>
          </w:r>
          <w:r>
            <w:rPr>
              <w:rStyle w:val="47"/>
            </w:rPr>
            <w:t xml:space="preserve"> 中小企业政府采购信用融资</w:t>
          </w:r>
          <w:r>
            <w:tab/>
          </w:r>
          <w:r>
            <w:fldChar w:fldCharType="begin"/>
          </w:r>
          <w:r>
            <w:instrText xml:space="preserve"> PAGEREF _Toc75336296 \h </w:instrText>
          </w:r>
          <w:r>
            <w:fldChar w:fldCharType="separate"/>
          </w:r>
          <w:r>
            <w:t>31</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"_Toc75336297" </w:instrText>
          </w:r>
          <w:r>
            <w:fldChar w:fldCharType="separate"/>
          </w:r>
          <w:r>
            <w:rPr>
              <w:rStyle w:val="47"/>
              <w:rFonts w:ascii="Times New Roman" w:hAnsi="Times New Roman"/>
            </w:rPr>
            <w:t>第3章</w:t>
          </w:r>
          <w:r>
            <w:rPr>
              <w:rFonts w:asciiTheme="minorHAnsi" w:hAnsiTheme="minorHAnsi" w:eastAsiaTheme="minorEastAsia" w:cstheme="minorBidi"/>
              <w:bCs w:val="0"/>
              <w:caps w:val="0"/>
              <w:sz w:val="21"/>
              <w:szCs w:val="22"/>
            </w:rPr>
            <w:tab/>
          </w:r>
          <w:r>
            <w:rPr>
              <w:rStyle w:val="47"/>
            </w:rPr>
            <w:t>投标文件格式</w:t>
          </w:r>
          <w:r>
            <w:tab/>
          </w:r>
          <w:r>
            <w:fldChar w:fldCharType="begin"/>
          </w:r>
          <w:r>
            <w:instrText xml:space="preserve"> PAGEREF _Toc75336297 \h </w:instrText>
          </w:r>
          <w:r>
            <w:fldChar w:fldCharType="separate"/>
          </w:r>
          <w:r>
            <w:t>32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"_Toc75336298" </w:instrText>
          </w:r>
          <w:r>
            <w:fldChar w:fldCharType="separate"/>
          </w:r>
          <w:r>
            <w:rPr>
              <w:rStyle w:val="47"/>
              <w:rFonts w:ascii="Times New Roman" w:hAnsi="Times New Roman"/>
            </w:rPr>
            <w:t>3.1</w:t>
          </w:r>
          <w:r>
            <w:rPr>
              <w:rStyle w:val="47"/>
            </w:rPr>
            <w:t xml:space="preserve"> 投标文件封面格式</w:t>
          </w:r>
          <w:r>
            <w:tab/>
          </w:r>
          <w:r>
            <w:fldChar w:fldCharType="begin"/>
          </w:r>
          <w:r>
            <w:instrText xml:space="preserve"> PAGEREF _Toc75336298 \h </w:instrText>
          </w:r>
          <w:r>
            <w:fldChar w:fldCharType="separate"/>
          </w:r>
          <w:r>
            <w:t>32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"_Toc75336299" </w:instrText>
          </w:r>
          <w:r>
            <w:fldChar w:fldCharType="separate"/>
          </w:r>
          <w:r>
            <w:rPr>
              <w:rStyle w:val="47"/>
              <w:rFonts w:ascii="Times New Roman" w:hAnsi="Times New Roman"/>
            </w:rPr>
            <w:t>3.2</w:t>
          </w:r>
          <w:r>
            <w:rPr>
              <w:rStyle w:val="47"/>
            </w:rPr>
            <w:t xml:space="preserve"> 资格性审查部分</w:t>
          </w:r>
          <w:r>
            <w:tab/>
          </w:r>
          <w:r>
            <w:fldChar w:fldCharType="begin"/>
          </w:r>
          <w:r>
            <w:instrText xml:space="preserve"> PAGEREF _Toc75336299 \h </w:instrText>
          </w:r>
          <w:r>
            <w:fldChar w:fldCharType="separate"/>
          </w:r>
          <w:r>
            <w:t>33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"_Toc75336300" </w:instrText>
          </w:r>
          <w:r>
            <w:fldChar w:fldCharType="separate"/>
          </w:r>
          <w:r>
            <w:rPr>
              <w:rStyle w:val="47"/>
              <w:rFonts w:ascii="Times New Roman" w:hAnsi="Times New Roman"/>
            </w:rPr>
            <w:t>3.3</w:t>
          </w:r>
          <w:r>
            <w:rPr>
              <w:rStyle w:val="47"/>
            </w:rPr>
            <w:t xml:space="preserve"> 服务、商务及其他要求响应部分</w:t>
          </w:r>
          <w:r>
            <w:tab/>
          </w:r>
          <w:r>
            <w:fldChar w:fldCharType="begin"/>
          </w:r>
          <w:r>
            <w:instrText xml:space="preserve"> PAGEREF _Toc75336300 \h </w:instrText>
          </w:r>
          <w:r>
            <w:fldChar w:fldCharType="separate"/>
          </w:r>
          <w:r>
            <w:t>39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"_Toc75336301" </w:instrText>
          </w:r>
          <w:r>
            <w:fldChar w:fldCharType="separate"/>
          </w:r>
          <w:r>
            <w:rPr>
              <w:rStyle w:val="47"/>
              <w:rFonts w:ascii="Times New Roman" w:hAnsi="Times New Roman"/>
              <w:b/>
            </w:rPr>
            <w:t>3.4</w:t>
          </w:r>
          <w:r>
            <w:rPr>
              <w:rStyle w:val="47"/>
              <w:rFonts w:ascii="宋体" w:hAnsi="宋体"/>
              <w:b/>
            </w:rPr>
            <w:t xml:space="preserve"> 报价</w:t>
          </w:r>
          <w:r>
            <w:rPr>
              <w:rStyle w:val="47"/>
              <w:rFonts w:ascii="宋体" w:hAnsi="宋体"/>
              <w:b/>
              <w:bCs/>
            </w:rPr>
            <w:t>要求</w:t>
          </w:r>
          <w:r>
            <w:rPr>
              <w:rStyle w:val="47"/>
              <w:rFonts w:ascii="宋体" w:hAnsi="宋体"/>
              <w:b/>
            </w:rPr>
            <w:t>响应文件</w:t>
          </w:r>
          <w:r>
            <w:tab/>
          </w:r>
          <w:r>
            <w:fldChar w:fldCharType="begin"/>
          </w:r>
          <w:r>
            <w:instrText xml:space="preserve"> PAGEREF _Toc75336301 \h </w:instrText>
          </w:r>
          <w:r>
            <w:fldChar w:fldCharType="separate"/>
          </w:r>
          <w:r>
            <w:t>45</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"_Toc75336302" </w:instrText>
          </w:r>
          <w:r>
            <w:fldChar w:fldCharType="separate"/>
          </w:r>
          <w:r>
            <w:rPr>
              <w:rStyle w:val="47"/>
              <w:rFonts w:ascii="Times New Roman" w:hAnsi="Times New Roman"/>
            </w:rPr>
            <w:t>第4章</w:t>
          </w:r>
          <w:r>
            <w:rPr>
              <w:rFonts w:asciiTheme="minorHAnsi" w:hAnsiTheme="minorHAnsi" w:eastAsiaTheme="minorEastAsia" w:cstheme="minorBidi"/>
              <w:bCs w:val="0"/>
              <w:caps w:val="0"/>
              <w:sz w:val="21"/>
              <w:szCs w:val="22"/>
            </w:rPr>
            <w:tab/>
          </w:r>
          <w:r>
            <w:rPr>
              <w:rStyle w:val="47"/>
            </w:rPr>
            <w:t>招标项目服务、商务及其他要求</w:t>
          </w:r>
          <w:r>
            <w:tab/>
          </w:r>
          <w:r>
            <w:fldChar w:fldCharType="begin"/>
          </w:r>
          <w:r>
            <w:instrText xml:space="preserve"> PAGEREF _Toc75336302 \h </w:instrText>
          </w:r>
          <w:r>
            <w:fldChar w:fldCharType="separate"/>
          </w:r>
          <w:r>
            <w:t>46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"_Toc75336303" </w:instrText>
          </w:r>
          <w:r>
            <w:fldChar w:fldCharType="separate"/>
          </w:r>
          <w:r>
            <w:rPr>
              <w:rStyle w:val="47"/>
              <w:rFonts w:ascii="Times New Roman" w:hAnsi="Times New Roman"/>
            </w:rPr>
            <w:t>4.1</w:t>
          </w:r>
          <w:r>
            <w:rPr>
              <w:rStyle w:val="47"/>
            </w:rPr>
            <w:t xml:space="preserve"> 项目概况</w:t>
          </w:r>
          <w:r>
            <w:tab/>
          </w:r>
          <w:r>
            <w:fldChar w:fldCharType="begin"/>
          </w:r>
          <w:r>
            <w:instrText xml:space="preserve"> PAGEREF _Toc75336303 \h </w:instrText>
          </w:r>
          <w:r>
            <w:fldChar w:fldCharType="separate"/>
          </w:r>
          <w:r>
            <w:rPr>
              <w:b/>
            </w:rPr>
            <w:t>错误！未定义书签。</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"_Toc75336304" </w:instrText>
          </w:r>
          <w:r>
            <w:fldChar w:fldCharType="separate"/>
          </w:r>
          <w:r>
            <w:rPr>
              <w:rStyle w:val="47"/>
              <w:rFonts w:ascii="Times New Roman" w:hAnsi="Times New Roman"/>
            </w:rPr>
            <w:t>4.2</w:t>
          </w:r>
          <w:r>
            <w:rPr>
              <w:rStyle w:val="47"/>
            </w:rPr>
            <w:t xml:space="preserve"> 服务内容及要求</w:t>
          </w:r>
          <w:r>
            <w:tab/>
          </w:r>
          <w:r>
            <w:fldChar w:fldCharType="begin"/>
          </w:r>
          <w:r>
            <w:instrText xml:space="preserve"> PAGEREF _Toc75336304 \h </w:instrText>
          </w:r>
          <w:r>
            <w:fldChar w:fldCharType="separate"/>
          </w:r>
          <w:r>
            <w:rPr>
              <w:b/>
            </w:rPr>
            <w:t>错误！未定义书签。</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"_Toc75336305" </w:instrText>
          </w:r>
          <w:r>
            <w:fldChar w:fldCharType="separate"/>
          </w:r>
          <w:r>
            <w:rPr>
              <w:rStyle w:val="47"/>
              <w:rFonts w:ascii="Times New Roman" w:hAnsi="Times New Roman"/>
            </w:rPr>
            <w:t>4.3</w:t>
          </w:r>
          <w:r>
            <w:rPr>
              <w:rStyle w:val="47"/>
            </w:rPr>
            <w:t xml:space="preserve"> 商务要求</w:t>
          </w:r>
          <w:r>
            <w:tab/>
          </w:r>
          <w:r>
            <w:fldChar w:fldCharType="begin"/>
          </w:r>
          <w:r>
            <w:instrText xml:space="preserve"> PAGEREF _Toc75336305 \h </w:instrText>
          </w:r>
          <w:r>
            <w:fldChar w:fldCharType="separate"/>
          </w:r>
          <w:r>
            <w:rPr>
              <w:b/>
            </w:rPr>
            <w:t>错误！未定义书签。</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"_Toc75336306" </w:instrText>
          </w:r>
          <w:r>
            <w:fldChar w:fldCharType="separate"/>
          </w:r>
          <w:r>
            <w:rPr>
              <w:rStyle w:val="47"/>
              <w:rFonts w:ascii="Times New Roman" w:hAnsi="Times New Roman"/>
            </w:rPr>
            <w:t>第5章</w:t>
          </w:r>
          <w:r>
            <w:rPr>
              <w:rFonts w:asciiTheme="minorHAnsi" w:hAnsiTheme="minorHAnsi" w:eastAsiaTheme="minorEastAsia" w:cstheme="minorBidi"/>
              <w:bCs w:val="0"/>
              <w:caps w:val="0"/>
              <w:sz w:val="21"/>
              <w:szCs w:val="22"/>
            </w:rPr>
            <w:tab/>
          </w:r>
          <w:r>
            <w:rPr>
              <w:rStyle w:val="47"/>
            </w:rPr>
            <w:t>资格性审查</w:t>
          </w:r>
          <w:r>
            <w:tab/>
          </w:r>
          <w:r>
            <w:fldChar w:fldCharType="begin"/>
          </w:r>
          <w:r>
            <w:instrText xml:space="preserve"> PAGEREF _Toc75336306 \h </w:instrText>
          </w:r>
          <w:r>
            <w:fldChar w:fldCharType="separate"/>
          </w:r>
          <w:r>
            <w:t>61</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"_Toc75336307" </w:instrText>
          </w:r>
          <w:r>
            <w:fldChar w:fldCharType="separate"/>
          </w:r>
          <w:r>
            <w:rPr>
              <w:rStyle w:val="47"/>
              <w:rFonts w:ascii="Times New Roman" w:hAnsi="Times New Roman"/>
            </w:rPr>
            <w:t>第6章</w:t>
          </w:r>
          <w:r>
            <w:rPr>
              <w:rFonts w:asciiTheme="minorHAnsi" w:hAnsiTheme="minorHAnsi" w:eastAsiaTheme="minorEastAsia" w:cstheme="minorBidi"/>
              <w:bCs w:val="0"/>
              <w:caps w:val="0"/>
              <w:sz w:val="21"/>
              <w:szCs w:val="22"/>
            </w:rPr>
            <w:tab/>
          </w:r>
          <w:r>
            <w:rPr>
              <w:rStyle w:val="47"/>
            </w:rPr>
            <w:t>评标办法</w:t>
          </w:r>
          <w:r>
            <w:tab/>
          </w:r>
          <w:r>
            <w:fldChar w:fldCharType="begin"/>
          </w:r>
          <w:r>
            <w:instrText xml:space="preserve"> PAGEREF _Toc75336307 \h </w:instrText>
          </w:r>
          <w:r>
            <w:fldChar w:fldCharType="separate"/>
          </w:r>
          <w:r>
            <w:t>67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"_Toc75336308" </w:instrText>
          </w:r>
          <w:r>
            <w:fldChar w:fldCharType="separate"/>
          </w:r>
          <w:r>
            <w:rPr>
              <w:rStyle w:val="47"/>
              <w:rFonts w:ascii="Times New Roman" w:hAnsi="Times New Roman"/>
            </w:rPr>
            <w:t>6.1</w:t>
          </w:r>
          <w:r>
            <w:rPr>
              <w:rStyle w:val="47"/>
            </w:rPr>
            <w:t xml:space="preserve"> 总则</w:t>
          </w:r>
          <w:r>
            <w:tab/>
          </w:r>
          <w:r>
            <w:fldChar w:fldCharType="begin"/>
          </w:r>
          <w:r>
            <w:instrText xml:space="preserve"> PAGEREF _Toc75336308 \h </w:instrText>
          </w:r>
          <w:r>
            <w:fldChar w:fldCharType="separate"/>
          </w:r>
          <w:r>
            <w:t>67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"_Toc75336309" </w:instrText>
          </w:r>
          <w:r>
            <w:fldChar w:fldCharType="separate"/>
          </w:r>
          <w:r>
            <w:rPr>
              <w:rStyle w:val="47"/>
              <w:rFonts w:ascii="Times New Roman" w:hAnsi="Times New Roman"/>
            </w:rPr>
            <w:t>6.2</w:t>
          </w:r>
          <w:r>
            <w:rPr>
              <w:rStyle w:val="47"/>
            </w:rPr>
            <w:t xml:space="preserve"> 评标方法</w:t>
          </w:r>
          <w:r>
            <w:tab/>
          </w:r>
          <w:r>
            <w:fldChar w:fldCharType="begin"/>
          </w:r>
          <w:r>
            <w:instrText xml:space="preserve"> PAGEREF _Toc75336309 \h </w:instrText>
          </w:r>
          <w:r>
            <w:fldChar w:fldCharType="separate"/>
          </w:r>
          <w:r>
            <w:t>68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"_Toc75336310" </w:instrText>
          </w:r>
          <w:r>
            <w:fldChar w:fldCharType="separate"/>
          </w:r>
          <w:r>
            <w:rPr>
              <w:rStyle w:val="47"/>
              <w:rFonts w:ascii="Times New Roman" w:hAnsi="Times New Roman"/>
            </w:rPr>
            <w:t>6.3</w:t>
          </w:r>
          <w:r>
            <w:rPr>
              <w:rStyle w:val="47"/>
            </w:rPr>
            <w:t xml:space="preserve"> 评标程序</w:t>
          </w:r>
          <w:r>
            <w:tab/>
          </w:r>
          <w:r>
            <w:fldChar w:fldCharType="begin"/>
          </w:r>
          <w:r>
            <w:instrText xml:space="preserve"> PAGEREF _Toc75336310 \h </w:instrText>
          </w:r>
          <w:r>
            <w:fldChar w:fldCharType="separate"/>
          </w:r>
          <w:r>
            <w:t>68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"_Toc75336311" </w:instrText>
          </w:r>
          <w:r>
            <w:fldChar w:fldCharType="separate"/>
          </w:r>
          <w:r>
            <w:rPr>
              <w:rStyle w:val="47"/>
              <w:rFonts w:ascii="Times New Roman" w:hAnsi="Times New Roman"/>
            </w:rPr>
            <w:t>6.4</w:t>
          </w:r>
          <w:r>
            <w:rPr>
              <w:rStyle w:val="47"/>
            </w:rPr>
            <w:t xml:space="preserve"> 评标争议处理规则</w:t>
          </w:r>
          <w:r>
            <w:tab/>
          </w:r>
          <w:r>
            <w:fldChar w:fldCharType="begin"/>
          </w:r>
          <w:r>
            <w:instrText xml:space="preserve"> PAGEREF _Toc75336311 \h </w:instrText>
          </w:r>
          <w:r>
            <w:fldChar w:fldCharType="separate"/>
          </w:r>
          <w:r>
            <w:t>76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"_Toc75336312" </w:instrText>
          </w:r>
          <w:r>
            <w:fldChar w:fldCharType="separate"/>
          </w:r>
          <w:r>
            <w:rPr>
              <w:rStyle w:val="47"/>
              <w:rFonts w:ascii="Times New Roman" w:hAnsi="Times New Roman"/>
            </w:rPr>
            <w:t>6.5</w:t>
          </w:r>
          <w:r>
            <w:rPr>
              <w:rStyle w:val="47"/>
            </w:rPr>
            <w:t xml:space="preserve"> 评标细则及标准</w:t>
          </w:r>
          <w:r>
            <w:tab/>
          </w:r>
          <w:r>
            <w:fldChar w:fldCharType="begin"/>
          </w:r>
          <w:r>
            <w:instrText xml:space="preserve"> PAGEREF _Toc75336312 \h </w:instrText>
          </w:r>
          <w:r>
            <w:fldChar w:fldCharType="separate"/>
          </w:r>
          <w:r>
            <w:t>77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"_Toc75336313" </w:instrText>
          </w:r>
          <w:r>
            <w:fldChar w:fldCharType="separate"/>
          </w:r>
          <w:r>
            <w:rPr>
              <w:rStyle w:val="47"/>
              <w:rFonts w:ascii="Times New Roman" w:hAnsi="Times New Roman"/>
            </w:rPr>
            <w:t>6.6</w:t>
          </w:r>
          <w:r>
            <w:rPr>
              <w:rStyle w:val="47"/>
            </w:rPr>
            <w:t xml:space="preserve"> 废标</w:t>
          </w:r>
          <w:r>
            <w:tab/>
          </w:r>
          <w:r>
            <w:fldChar w:fldCharType="begin"/>
          </w:r>
          <w:r>
            <w:instrText xml:space="preserve"> PAGEREF _Toc75336313 \h </w:instrText>
          </w:r>
          <w:r>
            <w:fldChar w:fldCharType="separate"/>
          </w:r>
          <w:r>
            <w:t>82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"_Toc75336314" </w:instrText>
          </w:r>
          <w:r>
            <w:fldChar w:fldCharType="separate"/>
          </w:r>
          <w:r>
            <w:rPr>
              <w:rStyle w:val="47"/>
              <w:rFonts w:ascii="Times New Roman" w:hAnsi="Times New Roman"/>
            </w:rPr>
            <w:t>6.7</w:t>
          </w:r>
          <w:r>
            <w:rPr>
              <w:rStyle w:val="47"/>
            </w:rPr>
            <w:t xml:space="preserve"> 定标</w:t>
          </w:r>
          <w:r>
            <w:tab/>
          </w:r>
          <w:r>
            <w:fldChar w:fldCharType="begin"/>
          </w:r>
          <w:r>
            <w:instrText xml:space="preserve"> PAGEREF _Toc75336314 \h </w:instrText>
          </w:r>
          <w:r>
            <w:fldChar w:fldCharType="separate"/>
          </w:r>
          <w:r>
            <w:t>82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"_Toc75336315" </w:instrText>
          </w:r>
          <w:r>
            <w:fldChar w:fldCharType="separate"/>
          </w:r>
          <w:r>
            <w:rPr>
              <w:rStyle w:val="47"/>
              <w:rFonts w:ascii="Times New Roman" w:hAnsi="Times New Roman"/>
            </w:rPr>
            <w:t>6.8</w:t>
          </w:r>
          <w:r>
            <w:rPr>
              <w:rStyle w:val="47"/>
            </w:rPr>
            <w:t xml:space="preserve"> 评标专家在政府采购活动中承担以下义务</w:t>
          </w:r>
          <w:r>
            <w:tab/>
          </w:r>
          <w:r>
            <w:fldChar w:fldCharType="begin"/>
          </w:r>
          <w:r>
            <w:instrText xml:space="preserve"> PAGEREF _Toc75336315 \h </w:instrText>
          </w:r>
          <w:r>
            <w:fldChar w:fldCharType="separate"/>
          </w:r>
          <w:r>
            <w:t>83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"_Toc75336316" </w:instrText>
          </w:r>
          <w:r>
            <w:fldChar w:fldCharType="separate"/>
          </w:r>
          <w:r>
            <w:rPr>
              <w:rStyle w:val="47"/>
              <w:rFonts w:ascii="Times New Roman" w:hAnsi="Times New Roman"/>
            </w:rPr>
            <w:t>6.9</w:t>
          </w:r>
          <w:r>
            <w:rPr>
              <w:rStyle w:val="47"/>
            </w:rPr>
            <w:t xml:space="preserve"> 评标委员会及其成员不得有下列行为：</w:t>
          </w:r>
          <w:r>
            <w:tab/>
          </w:r>
          <w:r>
            <w:fldChar w:fldCharType="begin"/>
          </w:r>
          <w:r>
            <w:instrText xml:space="preserve"> PAGEREF _Toc75336316 \h </w:instrText>
          </w:r>
          <w:r>
            <w:fldChar w:fldCharType="separate"/>
          </w:r>
          <w:r>
            <w:t>84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"_Toc75336317" </w:instrText>
          </w:r>
          <w:r>
            <w:fldChar w:fldCharType="separate"/>
          </w:r>
          <w:r>
            <w:rPr>
              <w:rStyle w:val="47"/>
              <w:rFonts w:ascii="Times New Roman" w:hAnsi="Times New Roman"/>
            </w:rPr>
            <w:t>6.10</w:t>
          </w:r>
          <w:r>
            <w:rPr>
              <w:rStyle w:val="47"/>
            </w:rPr>
            <w:t xml:space="preserve"> 评审专家在政府采购活动中应当遵守以下工作纪律</w:t>
          </w:r>
          <w:r>
            <w:tab/>
          </w:r>
          <w:r>
            <w:fldChar w:fldCharType="begin"/>
          </w:r>
          <w:r>
            <w:instrText xml:space="preserve"> PAGEREF _Toc75336317 \h </w:instrText>
          </w:r>
          <w:r>
            <w:fldChar w:fldCharType="separate"/>
          </w:r>
          <w:r>
            <w:t>85</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"_Toc75336318" </w:instrText>
          </w:r>
          <w:r>
            <w:fldChar w:fldCharType="separate"/>
          </w:r>
          <w:r>
            <w:rPr>
              <w:rStyle w:val="47"/>
              <w:rFonts w:ascii="Times New Roman" w:hAnsi="Times New Roman"/>
            </w:rPr>
            <w:t>第7章</w:t>
          </w:r>
          <w:r>
            <w:rPr>
              <w:rFonts w:asciiTheme="minorHAnsi" w:hAnsiTheme="minorHAnsi" w:eastAsiaTheme="minorEastAsia" w:cstheme="minorBidi"/>
              <w:bCs w:val="0"/>
              <w:caps w:val="0"/>
              <w:sz w:val="21"/>
              <w:szCs w:val="22"/>
            </w:rPr>
            <w:tab/>
          </w:r>
          <w:r>
            <w:rPr>
              <w:rStyle w:val="47"/>
            </w:rPr>
            <w:t>拟签订合同文本</w:t>
          </w:r>
          <w:r>
            <w:tab/>
          </w:r>
          <w:r>
            <w:fldChar w:fldCharType="begin"/>
          </w:r>
          <w:r>
            <w:instrText xml:space="preserve"> PAGEREF _Toc75336318 \h </w:instrText>
          </w:r>
          <w:r>
            <w:fldChar w:fldCharType="separate"/>
          </w:r>
          <w:r>
            <w:t>87</w:t>
          </w:r>
          <w:r>
            <w:fldChar w:fldCharType="end"/>
          </w:r>
          <w:r>
            <w:fldChar w:fldCharType="end"/>
          </w:r>
        </w:p>
        <w:p>
          <w:pPr>
            <w:pStyle w:val="35"/>
            <w:tabs>
              <w:tab w:val="right" w:leader="dot" w:pos="8647"/>
              <w:tab w:val="clear" w:pos="8364"/>
            </w:tabs>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numPr>
          <w:ilvl w:val="0"/>
          <w:numId w:val="3"/>
        </w:numPr>
        <w:spacing w:before="0" w:after="0" w:line="560" w:lineRule="exact"/>
        <w:ind w:left="0" w:firstLine="0"/>
        <w:rPr>
          <w:color w:val="000000" w:themeColor="text1"/>
          <w14:textFill>
            <w14:solidFill>
              <w14:schemeClr w14:val="tx1"/>
            </w14:solidFill>
          </w14:textFill>
        </w:rPr>
      </w:pPr>
      <w:bookmarkStart w:id="4" w:name="_Toc22017"/>
      <w:bookmarkStart w:id="5" w:name="_Toc181591102"/>
      <w:bookmarkStart w:id="6" w:name="_Toc20241"/>
      <w:bookmarkStart w:id="7" w:name="_Toc25954"/>
      <w:bookmarkStart w:id="8" w:name="_Toc204575871"/>
      <w:bookmarkStart w:id="9" w:name="_Toc181610856"/>
      <w:bookmarkStart w:id="10" w:name="_Toc26321"/>
      <w:bookmarkStart w:id="11" w:name="_Toc75336286"/>
      <w:r>
        <w:rPr>
          <w:rFonts w:hint="eastAsia"/>
          <w:color w:val="000000" w:themeColor="text1"/>
          <w14:textFill>
            <w14:solidFill>
              <w14:schemeClr w14:val="tx1"/>
            </w14:solidFill>
          </w14:textFill>
        </w:rPr>
        <w:t>投标邀请</w:t>
      </w:r>
      <w:bookmarkEnd w:id="4"/>
      <w:bookmarkEnd w:id="5"/>
      <w:bookmarkEnd w:id="6"/>
      <w:bookmarkEnd w:id="7"/>
      <w:bookmarkEnd w:id="8"/>
      <w:bookmarkEnd w:id="9"/>
      <w:bookmarkEnd w:id="10"/>
      <w:bookmarkEnd w:id="11"/>
    </w:p>
    <w:p>
      <w:pPr>
        <w:tabs>
          <w:tab w:val="left" w:pos="2552"/>
        </w:tabs>
        <w:spacing w:line="560" w:lineRule="exact"/>
        <w:ind w:left="1" w:firstLine="562" w:firstLineChars="201"/>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彭州市公共资源交易服务中心(以下简称“市公资交易中心”)</w:t>
      </w:r>
      <w:r>
        <w:rPr>
          <w:rFonts w:hint="eastAsia" w:asciiTheme="minorEastAsia" w:hAnsiTheme="minorEastAsia" w:eastAsiaTheme="minorEastAsia"/>
          <w:color w:val="000000" w:themeColor="text1"/>
          <w:sz w:val="28"/>
          <w:szCs w:val="28"/>
          <w14:textFill>
            <w14:solidFill>
              <w14:schemeClr w14:val="tx1"/>
            </w14:solidFill>
          </w14:textFill>
        </w:rPr>
        <w:t>受</w:t>
      </w:r>
      <w:r>
        <w:rPr>
          <w:rFonts w:hint="eastAsia" w:ascii="宋体" w:hAnsi="宋体"/>
          <w:color w:val="000000" w:themeColor="text1"/>
          <w:sz w:val="28"/>
          <w:szCs w:val="28"/>
          <w:u w:val="single"/>
          <w:lang w:eastAsia="zh-CN"/>
          <w14:textFill>
            <w14:solidFill>
              <w14:schemeClr w14:val="tx1"/>
            </w14:solidFill>
          </w14:textFill>
        </w:rPr>
        <w:t>彭州市人民政府天彭街道办事处</w:t>
      </w:r>
      <w:r>
        <w:rPr>
          <w:rFonts w:hint="eastAsia" w:ascii="宋体" w:hAnsi="宋体"/>
          <w:color w:val="000000" w:themeColor="text1"/>
          <w:sz w:val="28"/>
          <w:szCs w:val="28"/>
          <w14:textFill>
            <w14:solidFill>
              <w14:schemeClr w14:val="tx1"/>
            </w14:solidFill>
          </w14:textFill>
        </w:rPr>
        <w:t>委托拟对</w:t>
      </w:r>
      <w:r>
        <w:rPr>
          <w:rFonts w:hint="eastAsia" w:ascii="宋体" w:hAnsi="宋体"/>
          <w:color w:val="000000" w:themeColor="text1"/>
          <w:sz w:val="28"/>
          <w:szCs w:val="28"/>
          <w:u w:val="single"/>
          <w:lang w:eastAsia="zh-CN"/>
          <w14:textFill>
            <w14:solidFill>
              <w14:schemeClr w14:val="tx1"/>
            </w14:solidFill>
          </w14:textFill>
        </w:rPr>
        <w:t>彭州市人民政府天彭街道办事处东湖花园三期安置小区物业管理服务采购项目</w:t>
      </w:r>
      <w:r>
        <w:rPr>
          <w:rFonts w:hint="eastAsia" w:ascii="宋体" w:hAnsi="宋体"/>
          <w:color w:val="000000" w:themeColor="text1"/>
          <w:sz w:val="28"/>
          <w:szCs w:val="28"/>
          <w14:textFill>
            <w14:solidFill>
              <w14:schemeClr w14:val="tx1"/>
            </w14:solidFill>
          </w14:textFill>
        </w:rPr>
        <w:t>进行国内公开招标，兹邀请符合本次招标要求的供应商参加投标。</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b/>
          <w:color w:val="000000" w:themeColor="text1"/>
          <w:sz w:val="28"/>
          <w:szCs w:val="28"/>
          <w:lang w:eastAsia="zh-CN"/>
          <w14:textFill>
            <w14:solidFill>
              <w14:schemeClr w14:val="tx1"/>
            </w14:solidFill>
          </w14:textFill>
        </w:rPr>
        <w:t>彭州市政采（2021）A0016号</w:t>
      </w:r>
    </w:p>
    <w:p>
      <w:pPr>
        <w:pStyle w:val="2"/>
        <w:ind w:firstLine="970" w:firstLineChars="345"/>
        <w:rPr>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（采购项目编号：510182202100143）</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color w:val="000000" w:themeColor="text1"/>
          <w:sz w:val="28"/>
          <w:szCs w:val="28"/>
          <w:lang w:eastAsia="zh-CN"/>
          <w14:textFill>
            <w14:solidFill>
              <w14:schemeClr w14:val="tx1"/>
            </w14:solidFill>
          </w14:textFill>
        </w:rPr>
        <w:t>彭州市人民政府天彭街道办事处东湖花园三期安置小区物业管理服务采购项目</w:t>
      </w:r>
    </w:p>
    <w:p>
      <w:pPr>
        <w:numPr>
          <w:ilvl w:val="0"/>
          <w:numId w:val="4"/>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财政性资金，政府采购实施计划备案表号：</w:t>
      </w:r>
      <w:r>
        <w:rPr>
          <w:rFonts w:hint="eastAsia" w:ascii="宋体" w:hAnsi="宋体"/>
          <w:b/>
          <w:color w:val="000000" w:themeColor="text1"/>
          <w:sz w:val="28"/>
          <w:szCs w:val="28"/>
          <w14:textFill>
            <w14:solidFill>
              <w14:schemeClr w14:val="tx1"/>
            </w14:solidFill>
          </w14:textFill>
        </w:rPr>
        <w:t>（2021）</w:t>
      </w:r>
      <w:r>
        <w:rPr>
          <w:rFonts w:hint="eastAsia" w:ascii="宋体" w:hAnsi="宋体"/>
          <w:b/>
          <w:color w:val="000000" w:themeColor="text1"/>
          <w:sz w:val="28"/>
          <w:szCs w:val="28"/>
          <w:lang w:val="en-US" w:eastAsia="zh-CN"/>
          <w14:textFill>
            <w14:solidFill>
              <w14:schemeClr w14:val="tx1"/>
            </w14:solidFill>
          </w14:textFill>
        </w:rPr>
        <w:t>0438</w:t>
      </w:r>
      <w:r>
        <w:rPr>
          <w:rFonts w:hint="eastAsia" w:ascii="宋体" w:hAnsi="宋体"/>
          <w:b/>
          <w:color w:val="000000" w:themeColor="text1"/>
          <w:sz w:val="28"/>
          <w:szCs w:val="28"/>
          <w14:textFill>
            <w14:solidFill>
              <w14:schemeClr w14:val="tx1"/>
            </w14:solidFill>
          </w14:textFill>
        </w:rPr>
        <w:t>号</w:t>
      </w:r>
      <w:r>
        <w:rPr>
          <w:rFonts w:hint="eastAsia" w:ascii="宋体" w:hAnsi="宋体"/>
          <w:color w:val="000000" w:themeColor="text1"/>
          <w:sz w:val="28"/>
          <w:szCs w:val="28"/>
          <w14:textFill>
            <w14:solidFill>
              <w14:schemeClr w14:val="tx1"/>
            </w14:solidFill>
          </w14:textFill>
        </w:rPr>
        <w:t>。预算品目：</w:t>
      </w:r>
      <w:r>
        <w:rPr>
          <w:rFonts w:hint="eastAsia" w:ascii="宋体" w:hAnsi="宋体"/>
          <w:b/>
          <w:color w:val="000000" w:themeColor="text1"/>
          <w:sz w:val="28"/>
          <w:szCs w:val="28"/>
          <w14:textFill>
            <w14:solidFill>
              <w14:schemeClr w14:val="tx1"/>
            </w14:solidFill>
          </w14:textFill>
        </w:rPr>
        <w:t>C</w:t>
      </w:r>
      <w:r>
        <w:rPr>
          <w:rFonts w:ascii="宋体" w:hAnsi="宋体"/>
          <w:b/>
          <w:color w:val="000000" w:themeColor="text1"/>
          <w:sz w:val="28"/>
          <w:szCs w:val="28"/>
          <w14:textFill>
            <w14:solidFill>
              <w14:schemeClr w14:val="tx1"/>
            </w14:solidFill>
          </w14:textFill>
        </w:rPr>
        <w:t>1204</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b/>
          <w:color w:val="000000" w:themeColor="text1"/>
          <w:sz w:val="28"/>
          <w:szCs w:val="28"/>
          <w14:textFill>
            <w14:solidFill>
              <w14:schemeClr w14:val="tx1"/>
            </w14:solidFill>
          </w14:textFill>
        </w:rPr>
        <w:t>服务</w:t>
      </w:r>
      <w:r>
        <w:rPr>
          <w:rFonts w:hint="eastAsia" w:ascii="宋体" w:hAnsi="宋体"/>
          <w:color w:val="000000" w:themeColor="text1"/>
          <w:sz w:val="28"/>
          <w:szCs w:val="28"/>
          <w14:textFill>
            <w14:solidFill>
              <w14:schemeClr w14:val="tx1"/>
            </w14:solidFill>
          </w14:textFill>
        </w:rPr>
        <w:t>；预算金额：</w:t>
      </w:r>
      <w:r>
        <w:rPr>
          <w:rFonts w:hint="eastAsia" w:ascii="宋体" w:hAnsi="宋体"/>
          <w:b/>
          <w:color w:val="000000" w:themeColor="text1"/>
          <w:sz w:val="28"/>
          <w:szCs w:val="28"/>
          <w:lang w:val="en-US" w:eastAsia="zh-CN"/>
          <w14:textFill>
            <w14:solidFill>
              <w14:schemeClr w14:val="tx1"/>
            </w14:solidFill>
          </w14:textFill>
        </w:rPr>
        <w:t>160.3</w:t>
      </w:r>
      <w:r>
        <w:rPr>
          <w:rFonts w:hint="eastAsia" w:ascii="宋体" w:hAnsi="宋体"/>
          <w:b/>
          <w:color w:val="000000" w:themeColor="text1"/>
          <w:sz w:val="28"/>
          <w:szCs w:val="28"/>
          <w14:textFill>
            <w14:solidFill>
              <w14:schemeClr w14:val="tx1"/>
            </w14:solidFill>
          </w14:textFill>
        </w:rPr>
        <w:t>万元</w:t>
      </w:r>
      <w:r>
        <w:rPr>
          <w:rFonts w:hint="eastAsia" w:ascii="宋体" w:hAnsi="宋体"/>
          <w:color w:val="000000" w:themeColor="text1"/>
          <w:sz w:val="28"/>
          <w:szCs w:val="28"/>
          <w14:textFill>
            <w14:solidFill>
              <w14:schemeClr w14:val="tx1"/>
            </w14:solidFill>
          </w14:textFill>
        </w:rPr>
        <w:t>；最高限价：</w:t>
      </w:r>
      <w:r>
        <w:rPr>
          <w:rFonts w:hint="eastAsia" w:ascii="宋体" w:hAnsi="宋体"/>
          <w:b/>
          <w:color w:val="000000" w:themeColor="text1"/>
          <w:sz w:val="28"/>
          <w:szCs w:val="28"/>
          <w:lang w:val="en-US" w:eastAsia="zh-CN"/>
          <w14:textFill>
            <w14:solidFill>
              <w14:schemeClr w14:val="tx1"/>
            </w14:solidFill>
          </w14:textFill>
        </w:rPr>
        <w:t>160.3</w:t>
      </w:r>
      <w:r>
        <w:rPr>
          <w:rFonts w:hint="eastAsia" w:ascii="宋体" w:hAnsi="宋体"/>
          <w:b/>
          <w:color w:val="000000" w:themeColor="text1"/>
          <w:sz w:val="28"/>
          <w:szCs w:val="28"/>
          <w14:textFill>
            <w14:solidFill>
              <w14:schemeClr w14:val="tx1"/>
            </w14:solidFill>
          </w14:textFill>
        </w:rPr>
        <w:t>万元</w:t>
      </w:r>
      <w:r>
        <w:rPr>
          <w:rFonts w:hint="eastAsia" w:ascii="宋体" w:hAnsi="宋体"/>
          <w:color w:val="000000" w:themeColor="text1"/>
          <w:sz w:val="28"/>
          <w:szCs w:val="28"/>
          <w14:textFill>
            <w14:solidFill>
              <w14:schemeClr w14:val="tx1"/>
            </w14:solidFill>
          </w14:textFill>
        </w:rPr>
        <w:t>；采购标的：</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b/>
          <w:color w:val="000000" w:themeColor="text1"/>
          <w:sz w:val="28"/>
          <w:szCs w:val="28"/>
          <w14:textFill>
            <w14:solidFill>
              <w14:schemeClr w14:val="tx1"/>
            </w14:solidFill>
          </w14:textFill>
        </w:rPr>
        <w:t>服务</w:t>
      </w:r>
      <w:r>
        <w:rPr>
          <w:rFonts w:hint="eastAsia" w:ascii="宋体" w:hAnsi="宋体"/>
          <w:color w:val="000000" w:themeColor="text1"/>
          <w:sz w:val="28"/>
          <w:szCs w:val="28"/>
          <w14:textFill>
            <w14:solidFill>
              <w14:schemeClr w14:val="tx1"/>
            </w14:solidFill>
          </w14:textFill>
        </w:rPr>
        <w:t>；所属行业：</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color w:val="000000" w:themeColor="text1"/>
          <w:sz w:val="28"/>
          <w:szCs w:val="28"/>
          <w14:textFill>
            <w14:solidFill>
              <w14:schemeClr w14:val="tx1"/>
            </w14:solidFill>
          </w14:textFill>
        </w:rPr>
        <w:t>。采购服务期</w:t>
      </w:r>
      <w:r>
        <w:rPr>
          <w:rFonts w:hint="eastAsia" w:ascii="宋体" w:hAnsi="宋体"/>
          <w:color w:val="000000" w:themeColor="text1"/>
          <w:sz w:val="28"/>
          <w:szCs w:val="28"/>
          <w:lang w:val="en-US" w:eastAsia="zh-CN"/>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年。</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招标项目简介</w:t>
      </w:r>
    </w:p>
    <w:p>
      <w:pPr>
        <w:spacing w:line="360" w:lineRule="auto"/>
        <w:ind w:firstLine="420" w:firstLineChars="150"/>
        <w:jc w:val="left"/>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为保证天彭街道办事处东湖花园三期安置小区物业服务工作正常进行，使小区物业服务质量和形象上升一个新台阶，现拟采购东湖花园三期小区物业服务，包括综合管理服务、房屋管理、小区共用设施设备维修养护、维护公共秩序、保洁服务和绿化养护管理（含道路绿化保洁）。拟采购期限为2年，拟采购金额为1603000.00元。</w:t>
      </w:r>
      <w:r>
        <w:rPr>
          <w:rFonts w:hint="eastAsia" w:ascii="宋体" w:hAnsi="宋体"/>
          <w:color w:val="000000" w:themeColor="text1"/>
          <w:sz w:val="28"/>
          <w:szCs w:val="28"/>
          <w14:textFill>
            <w14:solidFill>
              <w14:schemeClr w14:val="tx1"/>
            </w14:solidFill>
          </w14:textFill>
        </w:rPr>
        <w:t>详细的服务、商务及其他要求见招标文件第4章。</w:t>
      </w:r>
    </w:p>
    <w:p>
      <w:pPr>
        <w:pStyle w:val="2"/>
      </w:pP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pStyle w:val="84"/>
        <w:numPr>
          <w:ilvl w:val="0"/>
          <w:numId w:val="5"/>
        </w:numPr>
        <w:spacing w:line="560" w:lineRule="exact"/>
        <w:ind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符合《中华人民共和国政府采购法》第二十二条第一款规定的条件；</w:t>
      </w:r>
    </w:p>
    <w:p>
      <w:pPr>
        <w:tabs>
          <w:tab w:val="left" w:pos="1134"/>
        </w:tabs>
        <w:spacing w:line="560" w:lineRule="exact"/>
        <w:ind w:left="7"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（二）本项目为专门面向中小企业采购项目，服务全部由符合政策要求的中小企业承接。（说明：监狱企业、残疾人福利性单位视同小型、微型企业）</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（三）在中华人民共和国境内依法登记注册，并有效存续具有独立法人资格的供应商；</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（四）未被列入失信被执行人、重大税收违法案件当事人名单、政府采购严重违法失信行为记录名单；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（六）未处于被行政部门禁止参与政府采购活动的期限内；</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（七）不属于其他国家相关法律法规规定的禁止参加投标的供应商；</w:t>
      </w:r>
    </w:p>
    <w:p>
      <w:pPr>
        <w:pStyle w:val="152"/>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（八）本项目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numPr>
          <w:ilvl w:val="0"/>
          <w:numId w:val="4"/>
        </w:numPr>
        <w:spacing w:after="200" w:line="560" w:lineRule="exact"/>
        <w:ind w:left="0" w:firstLine="567"/>
        <w:rPr>
          <w:rFonts w:ascii="宋体" w:hAnsi="宋体"/>
          <w:b/>
          <w:sz w:val="28"/>
          <w:szCs w:val="28"/>
        </w:rPr>
      </w:pPr>
      <w:r>
        <w:rPr>
          <w:rFonts w:hint="eastAsia" w:ascii="宋体" w:hAnsi="宋体"/>
          <w:b/>
          <w:sz w:val="28"/>
          <w:szCs w:val="28"/>
        </w:rPr>
        <w:t>招标文件获取时间</w:t>
      </w:r>
    </w:p>
    <w:p>
      <w:pPr>
        <w:numPr>
          <w:ilvl w:val="0"/>
          <w:numId w:val="6"/>
        </w:numPr>
        <w:spacing w:line="360" w:lineRule="auto"/>
        <w:ind w:left="0" w:firstLine="567"/>
        <w:rPr>
          <w:rFonts w:ascii="宋体" w:hAnsi="宋体"/>
          <w:b/>
          <w:sz w:val="28"/>
        </w:rPr>
      </w:pPr>
      <w:r>
        <w:rPr>
          <w:rFonts w:hint="eastAsia" w:ascii="宋体" w:hAnsi="宋体"/>
          <w:sz w:val="28"/>
          <w:szCs w:val="28"/>
        </w:rPr>
        <w:t>招标文件获取时间：</w:t>
      </w:r>
      <w:r>
        <w:rPr>
          <w:rFonts w:hint="eastAsia" w:ascii="宋体" w:hAnsi="宋体"/>
          <w:b/>
          <w:color w:val="000000" w:themeColor="text1"/>
          <w:sz w:val="28"/>
          <w:szCs w:val="28"/>
          <w14:textFill>
            <w14:solidFill>
              <w14:schemeClr w14:val="tx1"/>
            </w14:solidFill>
          </w14:textFill>
        </w:rPr>
        <w:t>2021年8月</w:t>
      </w:r>
      <w:r>
        <w:rPr>
          <w:rFonts w:hint="eastAsia" w:ascii="宋体" w:hAnsi="宋体"/>
          <w:b/>
          <w:color w:val="000000" w:themeColor="text1"/>
          <w:sz w:val="28"/>
          <w:szCs w:val="28"/>
          <w:lang w:val="en-US" w:eastAsia="zh-CN"/>
          <w14:textFill>
            <w14:solidFill>
              <w14:schemeClr w14:val="tx1"/>
            </w14:solidFill>
          </w14:textFill>
        </w:rPr>
        <w:t>11</w:t>
      </w:r>
      <w:r>
        <w:rPr>
          <w:rFonts w:hint="eastAsia" w:ascii="宋体" w:hAnsi="宋体"/>
          <w:b/>
          <w:color w:val="000000" w:themeColor="text1"/>
          <w:sz w:val="28"/>
          <w:szCs w:val="28"/>
          <w14:textFill>
            <w14:solidFill>
              <w14:schemeClr w14:val="tx1"/>
            </w14:solidFill>
          </w14:textFill>
        </w:rPr>
        <w:t>日至8月</w:t>
      </w:r>
      <w:r>
        <w:rPr>
          <w:rFonts w:hint="eastAsia" w:ascii="宋体" w:hAnsi="宋体"/>
          <w:b/>
          <w:color w:val="000000" w:themeColor="text1"/>
          <w:sz w:val="28"/>
          <w:szCs w:val="28"/>
          <w:lang w:val="en-US" w:eastAsia="zh-CN"/>
          <w14:textFill>
            <w14:solidFill>
              <w14:schemeClr w14:val="tx1"/>
            </w14:solidFill>
          </w14:textFill>
        </w:rPr>
        <w:t>18</w:t>
      </w:r>
      <w:r>
        <w:rPr>
          <w:rFonts w:hint="eastAsia" w:ascii="宋体" w:hAnsi="宋体"/>
          <w:b/>
          <w:color w:val="000000" w:themeColor="text1"/>
          <w:sz w:val="28"/>
          <w:szCs w:val="28"/>
          <w14:textFill>
            <w14:solidFill>
              <w14:schemeClr w14:val="tx1"/>
            </w14:solidFill>
          </w14:textFill>
        </w:rPr>
        <w:t>日。</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bookmarkStart w:id="12" w:name="_Toc186274101"/>
      <w:bookmarkStart w:id="13" w:name="_Toc184013605"/>
      <w:bookmarkStart w:id="14" w:name="_Toc174185149"/>
      <w:bookmarkStart w:id="15" w:name="_Toc180051012"/>
      <w:bookmarkStart w:id="16" w:name="_Toc184023104"/>
      <w:r>
        <w:rPr>
          <w:rFonts w:hint="eastAsia" w:ascii="宋体" w:hAnsi="宋体"/>
          <w:color w:val="000000" w:themeColor="text1"/>
          <w:sz w:val="28"/>
          <w:szCs w:val="28"/>
          <w14:textFill>
            <w14:solidFill>
              <w14:schemeClr w14:val="tx1"/>
            </w14:solidFill>
          </w14:textFill>
        </w:rPr>
        <w:t>（操作指南请登录政府采购云平台后，点击“前台大厅—操作指南—供应商”处下载查看）。</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4"/>
        </w:numPr>
        <w:spacing w:after="200" w:line="560" w:lineRule="exact"/>
        <w:ind w:left="0" w:firstLine="567"/>
        <w:rPr>
          <w:rFonts w:ascii="宋体" w:hAnsi="宋体"/>
          <w:b/>
          <w:sz w:val="28"/>
          <w:szCs w:val="28"/>
        </w:rPr>
      </w:pPr>
      <w:r>
        <w:rPr>
          <w:rFonts w:hint="eastAsia" w:ascii="宋体" w:hAnsi="宋体"/>
          <w:b/>
          <w:sz w:val="28"/>
          <w:szCs w:val="28"/>
        </w:rPr>
        <w:t>投标文件递交截止时间及开标时间</w:t>
      </w:r>
      <w:bookmarkEnd w:id="12"/>
      <w:bookmarkEnd w:id="13"/>
      <w:bookmarkEnd w:id="14"/>
      <w:bookmarkEnd w:id="15"/>
      <w:bookmarkEnd w:id="16"/>
      <w:r>
        <w:rPr>
          <w:rFonts w:hint="eastAsia" w:ascii="宋体" w:hAnsi="宋体"/>
          <w:b/>
          <w:sz w:val="28"/>
          <w:szCs w:val="28"/>
        </w:rPr>
        <w:t>(北京时间)、地点、方式</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sz w:val="28"/>
          <w:szCs w:val="28"/>
        </w:rPr>
        <w:t>（一）投标文件递交截止时间及开标时间：</w:t>
      </w:r>
      <w:r>
        <w:rPr>
          <w:rFonts w:hint="eastAsia" w:ascii="宋体" w:hAnsi="宋体"/>
          <w:b/>
          <w:color w:val="000000" w:themeColor="text1"/>
          <w:sz w:val="28"/>
          <w:szCs w:val="28"/>
          <w14:textFill>
            <w14:solidFill>
              <w14:schemeClr w14:val="tx1"/>
            </w14:solidFill>
          </w14:textFill>
        </w:rPr>
        <w:t>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9</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日上午09:30。</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政采中小企业政府采购信用担保融资</w:t>
      </w:r>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pStyle w:val="152"/>
        <w:spacing w:line="560" w:lineRule="exact"/>
        <w:ind w:firstLine="562"/>
        <w:rPr>
          <w:rFonts w:ascii="宋体" w:hAnsi="宋体"/>
          <w:b/>
          <w:kern w:val="0"/>
          <w:sz w:val="28"/>
          <w:szCs w:val="22"/>
        </w:rPr>
      </w:pPr>
      <w:r>
        <w:rPr>
          <w:rFonts w:hint="eastAsia" w:ascii="宋体" w:hAnsi="宋体"/>
          <w:b/>
          <w:kern w:val="0"/>
          <w:sz w:val="28"/>
          <w:szCs w:val="22"/>
        </w:rPr>
        <w:t>采购人：</w:t>
      </w:r>
      <w:r>
        <w:rPr>
          <w:rFonts w:hint="eastAsia" w:ascii="宋体" w:hAnsi="宋体"/>
          <w:b/>
          <w:kern w:val="0"/>
          <w:sz w:val="28"/>
          <w:szCs w:val="22"/>
          <w:lang w:eastAsia="zh-CN"/>
        </w:rPr>
        <w:t>彭州市人民政府天彭街道办事处</w:t>
      </w:r>
      <w:r>
        <w:rPr>
          <w:rFonts w:hint="eastAsia" w:ascii="宋体" w:hAnsi="宋体"/>
          <w:b/>
          <w:kern w:val="0"/>
          <w:sz w:val="28"/>
          <w:szCs w:val="22"/>
        </w:rPr>
        <w:t>；</w:t>
      </w:r>
    </w:p>
    <w:p>
      <w:pPr>
        <w:pStyle w:val="152"/>
        <w:spacing w:line="560" w:lineRule="exact"/>
        <w:ind w:firstLine="560"/>
        <w:rPr>
          <w:rFonts w:ascii="宋体" w:hAnsi="宋体"/>
          <w:kern w:val="0"/>
          <w:sz w:val="28"/>
          <w:szCs w:val="22"/>
        </w:rPr>
      </w:pPr>
      <w:r>
        <w:rPr>
          <w:rFonts w:hint="eastAsia" w:ascii="宋体" w:hAnsi="宋体"/>
          <w:kern w:val="0"/>
          <w:sz w:val="28"/>
          <w:szCs w:val="22"/>
        </w:rPr>
        <w:t>地  址：彭州市</w:t>
      </w:r>
      <w:r>
        <w:rPr>
          <w:rFonts w:hint="eastAsia" w:ascii="宋体" w:hAnsi="宋体"/>
          <w:kern w:val="0"/>
          <w:sz w:val="28"/>
          <w:szCs w:val="22"/>
          <w:lang w:eastAsia="zh-CN"/>
        </w:rPr>
        <w:t>东湖大街</w:t>
      </w:r>
      <w:r>
        <w:rPr>
          <w:rFonts w:hint="eastAsia" w:ascii="宋体" w:hAnsi="宋体"/>
          <w:kern w:val="0"/>
          <w:sz w:val="28"/>
          <w:szCs w:val="22"/>
          <w:lang w:val="en-US" w:eastAsia="zh-CN"/>
        </w:rPr>
        <w:t>399号</w:t>
      </w:r>
      <w:r>
        <w:rPr>
          <w:rFonts w:hint="eastAsia" w:ascii="宋体" w:hAnsi="宋体"/>
          <w:kern w:val="0"/>
          <w:sz w:val="28"/>
          <w:szCs w:val="22"/>
        </w:rPr>
        <w:t>；</w:t>
      </w:r>
    </w:p>
    <w:p>
      <w:pPr>
        <w:pStyle w:val="152"/>
        <w:spacing w:line="560" w:lineRule="exact"/>
        <w:ind w:firstLine="560"/>
        <w:rPr>
          <w:rFonts w:hint="eastAsia" w:ascii="微软雅黑" w:hAnsi="微软雅黑" w:eastAsia="宋体"/>
          <w:color w:val="333333"/>
          <w:szCs w:val="21"/>
          <w:shd w:val="clear" w:color="auto" w:fill="FFFFFF"/>
          <w:lang w:eastAsia="zh-CN"/>
        </w:rPr>
      </w:pPr>
      <w:r>
        <w:rPr>
          <w:rFonts w:hint="eastAsia" w:ascii="宋体" w:hAnsi="宋体"/>
          <w:kern w:val="0"/>
          <w:sz w:val="28"/>
          <w:szCs w:val="22"/>
        </w:rPr>
        <w:t>联系人：</w:t>
      </w:r>
      <w:r>
        <w:rPr>
          <w:rFonts w:hint="eastAsia" w:ascii="微软雅黑" w:hAnsi="微软雅黑" w:eastAsia="微软雅黑"/>
          <w:color w:val="333333"/>
          <w:szCs w:val="21"/>
          <w:shd w:val="clear" w:color="auto" w:fill="FFFFFF"/>
          <w:lang w:eastAsia="zh-CN"/>
        </w:rPr>
        <w:t>吴传武</w:t>
      </w:r>
    </w:p>
    <w:p>
      <w:pPr>
        <w:pStyle w:val="152"/>
        <w:spacing w:line="560" w:lineRule="exact"/>
        <w:ind w:firstLine="560"/>
        <w:rPr>
          <w:rFonts w:hint="default" w:ascii="宋体" w:hAnsi="宋体" w:eastAsia="宋体"/>
          <w:b/>
          <w:sz w:val="28"/>
          <w:szCs w:val="28"/>
          <w:lang w:val="en-US" w:eastAsia="zh-CN"/>
        </w:rPr>
      </w:pPr>
      <w:r>
        <w:rPr>
          <w:rFonts w:hint="eastAsia" w:ascii="宋体" w:hAnsi="宋体"/>
          <w:kern w:val="0"/>
          <w:sz w:val="28"/>
          <w:szCs w:val="22"/>
        </w:rPr>
        <w:t>联系电话：</w:t>
      </w:r>
      <w:r>
        <w:rPr>
          <w:rFonts w:hint="eastAsia" w:ascii="微软雅黑" w:hAnsi="微软雅黑" w:eastAsia="微软雅黑"/>
          <w:color w:val="333333"/>
          <w:szCs w:val="21"/>
          <w:shd w:val="clear" w:color="auto" w:fill="FFFFFF"/>
          <w:lang w:val="en-US" w:eastAsia="zh-CN"/>
        </w:rPr>
        <w:t>13981808755</w:t>
      </w:r>
    </w:p>
    <w:p>
      <w:pPr>
        <w:pStyle w:val="152"/>
        <w:spacing w:line="560" w:lineRule="exact"/>
        <w:ind w:firstLine="562"/>
        <w:rPr>
          <w:rFonts w:ascii="宋体" w:hAnsi="宋体"/>
          <w:b/>
          <w:kern w:val="0"/>
          <w:sz w:val="28"/>
          <w:szCs w:val="22"/>
        </w:rPr>
      </w:pPr>
      <w:r>
        <w:rPr>
          <w:rFonts w:hint="eastAsia" w:ascii="宋体" w:hAnsi="宋体"/>
          <w:b/>
          <w:sz w:val="28"/>
          <w:szCs w:val="28"/>
        </w:rPr>
        <w:t>集中采购代理机构：彭州市公共资源交易服务中心</w:t>
      </w:r>
    </w:p>
    <w:p>
      <w:pPr>
        <w:pStyle w:val="152"/>
        <w:spacing w:line="560" w:lineRule="exact"/>
        <w:ind w:firstLine="560"/>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址：彭州市牡丹大道南段488号</w:t>
      </w:r>
    </w:p>
    <w:p>
      <w:pPr>
        <w:pStyle w:val="152"/>
        <w:spacing w:line="560" w:lineRule="exact"/>
        <w:ind w:firstLine="560"/>
        <w:rPr>
          <w:rFonts w:ascii="宋体" w:hAnsi="宋体"/>
          <w:kern w:val="0"/>
          <w:sz w:val="28"/>
          <w:szCs w:val="22"/>
        </w:rPr>
      </w:pPr>
      <w:r>
        <w:rPr>
          <w:rFonts w:hint="eastAsia" w:ascii="宋体" w:hAnsi="宋体"/>
          <w:kern w:val="0"/>
          <w:sz w:val="28"/>
          <w:szCs w:val="22"/>
        </w:rPr>
        <w:t>联系人：杨丽</w:t>
      </w:r>
    </w:p>
    <w:p>
      <w:pPr>
        <w:spacing w:line="560" w:lineRule="exact"/>
        <w:ind w:firstLine="565" w:firstLineChars="202"/>
        <w:rPr>
          <w:rFonts w:ascii="宋体" w:hAnsi="宋体"/>
          <w:kern w:val="0"/>
          <w:sz w:val="28"/>
        </w:rPr>
      </w:pPr>
      <w:r>
        <w:rPr>
          <w:rFonts w:hint="eastAsia" w:ascii="宋体" w:hAnsi="宋体"/>
          <w:kern w:val="0"/>
          <w:sz w:val="28"/>
        </w:rPr>
        <w:t>联系电话：028-60432627</w:t>
      </w:r>
    </w:p>
    <w:p>
      <w:pPr>
        <w:spacing w:line="560" w:lineRule="exact"/>
        <w:ind w:firstLine="568" w:firstLineChars="202"/>
        <w:rPr>
          <w:rFonts w:ascii="宋体" w:hAnsi="宋体"/>
          <w:sz w:val="28"/>
          <w:szCs w:val="28"/>
        </w:rPr>
      </w:pPr>
      <w:r>
        <w:rPr>
          <w:rFonts w:hint="eastAsia" w:ascii="宋体" w:hAnsi="宋体" w:cstheme="minorBidi"/>
          <w:b/>
          <w:sz w:val="28"/>
          <w:szCs w:val="28"/>
        </w:rPr>
        <w:t>技术支持电话：4008817190</w:t>
      </w:r>
    </w:p>
    <w:p>
      <w:pPr>
        <w:pStyle w:val="129"/>
        <w:tabs>
          <w:tab w:val="left" w:pos="900"/>
        </w:tabs>
        <w:spacing w:line="560" w:lineRule="exact"/>
        <w:ind w:firstLine="562"/>
        <w:jc w:val="left"/>
        <w:rPr>
          <w:rFonts w:ascii="宋体" w:hAnsi="宋体" w:eastAsia="宋体" w:cs="Times New Roman"/>
          <w:b/>
          <w:kern w:val="0"/>
          <w:sz w:val="28"/>
        </w:rPr>
      </w:pPr>
      <w:r>
        <w:rPr>
          <w:rFonts w:hint="eastAsia" w:ascii="宋体" w:hAnsi="宋体" w:eastAsia="宋体" w:cs="Times New Roman"/>
          <w:b/>
          <w:kern w:val="0"/>
          <w:sz w:val="28"/>
        </w:rPr>
        <w:t>集中采购监督机构：彭州市财政局</w:t>
      </w:r>
    </w:p>
    <w:p>
      <w:pPr>
        <w:pStyle w:val="129"/>
        <w:tabs>
          <w:tab w:val="left" w:pos="900"/>
        </w:tabs>
        <w:spacing w:line="560" w:lineRule="exact"/>
        <w:ind w:firstLine="560"/>
        <w:jc w:val="left"/>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tabs>
          <w:tab w:val="left" w:pos="900"/>
        </w:tabs>
        <w:spacing w:line="560" w:lineRule="exact"/>
        <w:ind w:firstLine="560" w:firstLineChars="200"/>
        <w:rPr>
          <w:rFonts w:ascii="宋体" w:hAnsi="宋体" w:cstheme="minorBidi"/>
          <w:b/>
          <w:sz w:val="28"/>
          <w:szCs w:val="28"/>
        </w:rPr>
      </w:pPr>
      <w:r>
        <w:rPr>
          <w:rFonts w:hint="eastAsia" w:ascii="宋体" w:hAnsi="宋体"/>
          <w:kern w:val="0"/>
          <w:sz w:val="28"/>
        </w:rPr>
        <w:t>联系电话：</w:t>
      </w:r>
      <w:r>
        <w:rPr>
          <w:rFonts w:hint="eastAsia" w:ascii="宋体" w:hAnsi="宋体"/>
          <w:sz w:val="28"/>
          <w:szCs w:val="28"/>
        </w:rPr>
        <w:t>028-83888323</w:t>
      </w:r>
    </w:p>
    <w:p>
      <w:pPr>
        <w:pStyle w:val="129"/>
        <w:tabs>
          <w:tab w:val="left" w:pos="900"/>
        </w:tabs>
        <w:spacing w:line="560" w:lineRule="exact"/>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3"/>
        <w:numPr>
          <w:ilvl w:val="0"/>
          <w:numId w:val="3"/>
        </w:numPr>
        <w:spacing w:before="0" w:after="0" w:line="240" w:lineRule="auto"/>
        <w:ind w:left="0" w:firstLine="0"/>
        <w:rPr>
          <w:color w:val="000000" w:themeColor="text1"/>
          <w14:textFill>
            <w14:solidFill>
              <w14:schemeClr w14:val="tx1"/>
            </w14:solidFill>
          </w14:textFill>
        </w:rPr>
      </w:pPr>
      <w:bookmarkStart w:id="17" w:name="_Toc22501"/>
      <w:bookmarkStart w:id="18" w:name="_Toc75336287"/>
      <w:bookmarkStart w:id="19" w:name="_Toc23978"/>
      <w:bookmarkStart w:id="20" w:name="_Toc11280"/>
      <w:bookmarkStart w:id="21" w:name="_Toc16071"/>
      <w:r>
        <w:rPr>
          <w:rFonts w:hint="eastAsia"/>
          <w:color w:val="000000" w:themeColor="text1"/>
          <w14:textFill>
            <w14:solidFill>
              <w14:schemeClr w14:val="tx1"/>
            </w14:solidFill>
          </w14:textFill>
        </w:rPr>
        <w:t>投标人须知</w:t>
      </w:r>
      <w:bookmarkEnd w:id="17"/>
      <w:bookmarkEnd w:id="18"/>
      <w:bookmarkEnd w:id="19"/>
      <w:bookmarkEnd w:id="20"/>
      <w:bookmarkEnd w:id="21"/>
    </w:p>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22" w:name="_Toc213397010"/>
      <w:bookmarkStart w:id="23" w:name="_Toc15505"/>
      <w:bookmarkStart w:id="24" w:name="_Toc189727030"/>
      <w:bookmarkStart w:id="25" w:name="_Toc316462344"/>
      <w:bookmarkStart w:id="26" w:name="_Toc213496268"/>
      <w:bookmarkStart w:id="27" w:name="_Toc213396946"/>
      <w:bookmarkStart w:id="28" w:name="_Toc75336288"/>
      <w:bookmarkStart w:id="29" w:name="_Toc217446032"/>
      <w:bookmarkStart w:id="30" w:name="_Toc14528"/>
      <w:bookmarkStart w:id="31" w:name="_Toc1773"/>
      <w:bookmarkStart w:id="32" w:name="_Toc32366"/>
      <w:bookmarkStart w:id="33" w:name="_Toc213396760"/>
      <w:r>
        <w:rPr>
          <w:rFonts w:hint="eastAsia"/>
          <w:color w:val="000000" w:themeColor="text1"/>
          <w14:textFill>
            <w14:solidFill>
              <w14:schemeClr w14:val="tx1"/>
            </w14:solidFill>
          </w14:textFill>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43"/>
        <w:tblW w:w="9312"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121"/>
              <w:keepNext w:val="0"/>
              <w:keepLines w:val="0"/>
              <w:suppressLineNumbers w:val="0"/>
              <w:spacing w:before="0" w:beforeAutospacing="0" w:after="0" w:afterAutospacing="0"/>
              <w:ind w:left="38" w:right="0"/>
              <w:jc w:val="center"/>
              <w:rPr>
                <w:rFonts w:hint="default"/>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121"/>
              <w:keepNext w:val="0"/>
              <w:keepLines w:val="0"/>
              <w:suppressLineNumbers w:val="0"/>
              <w:spacing w:before="0" w:beforeAutospacing="0" w:after="0" w:afterAutospacing="0"/>
              <w:ind w:left="0" w:right="0"/>
              <w:jc w:val="center"/>
              <w:rPr>
                <w:rFonts w:hint="default"/>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keepNext w:val="0"/>
              <w:keepLines w:val="0"/>
              <w:suppressLineNumbers w:val="0"/>
              <w:spacing w:before="0" w:beforeAutospacing="0" w:after="0" w:afterAutospacing="0"/>
              <w:ind w:left="38" w:right="0"/>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keepNext w:val="0"/>
              <w:keepLines w:val="0"/>
              <w:suppressLineNumbers w:val="0"/>
              <w:spacing w:before="0" w:beforeAutospacing="0" w:after="0" w:afterAutospacing="0"/>
              <w:ind w:left="0" w:right="0"/>
              <w:rPr>
                <w:rFonts w:hint="default"/>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人民币</w:t>
            </w:r>
            <w:r>
              <w:rPr>
                <w:rFonts w:hint="eastAsia"/>
                <w:b/>
                <w:color w:val="000000" w:themeColor="text1"/>
                <w:kern w:val="2"/>
                <w:sz w:val="28"/>
                <w:szCs w:val="28"/>
                <w:lang w:val="en-US" w:eastAsia="zh-CN"/>
                <w14:textFill>
                  <w14:solidFill>
                    <w14:schemeClr w14:val="tx1"/>
                  </w14:solidFill>
                </w14:textFill>
              </w:rPr>
              <w:t>160.3</w:t>
            </w:r>
            <w:r>
              <w:rPr>
                <w:rFonts w:hint="eastAsia"/>
                <w:b/>
                <w:color w:val="000000" w:themeColor="text1"/>
                <w:sz w:val="28"/>
                <w:szCs w:val="28"/>
                <w14:textFill>
                  <w14:solidFill>
                    <w14:schemeClr w14:val="tx1"/>
                  </w14:solidFill>
                </w14:textFill>
              </w:rPr>
              <w:t>万元</w:t>
            </w:r>
            <w:r>
              <w:rPr>
                <w:rFonts w:hint="eastAsia"/>
                <w:b/>
                <w:color w:val="000000" w:themeColor="text1"/>
                <w:kern w:val="2"/>
                <w:sz w:val="28"/>
                <w:szCs w:val="28"/>
                <w:lang w:val="zh-CN"/>
                <w14:textFill>
                  <w14:solidFill>
                    <w14:schemeClr w14:val="tx1"/>
                  </w14:solidFill>
                </w14:textFill>
              </w:rPr>
              <w:t>。</w:t>
            </w:r>
            <w:r>
              <w:rPr>
                <w:rFonts w:hint="eastAsia"/>
                <w:color w:val="000000" w:themeColor="text1"/>
                <w:sz w:val="28"/>
                <w:szCs w:val="28"/>
                <w14:textFill>
                  <w14:solidFill>
                    <w14:schemeClr w14:val="tx1"/>
                  </w14:solidFill>
                </w14:textFill>
              </w:rPr>
              <w:t>采购服务期</w:t>
            </w:r>
            <w:r>
              <w:rPr>
                <w:rFonts w:hint="eastAsia"/>
                <w:color w:val="000000" w:themeColor="text1"/>
                <w:sz w:val="28"/>
                <w:szCs w:val="28"/>
                <w:lang w:val="en-US" w:eastAsia="zh-CN"/>
                <w14:textFill>
                  <w14:solidFill>
                    <w14:schemeClr w14:val="tx1"/>
                  </w14:solidFill>
                </w14:textFill>
              </w:rPr>
              <w:t>2</w:t>
            </w:r>
            <w:r>
              <w:rPr>
                <w:rFonts w:hint="eastAsia"/>
                <w:color w:val="000000" w:themeColor="text1"/>
                <w:sz w:val="28"/>
                <w:szCs w:val="28"/>
                <w14:textFill>
                  <w14:solidFill>
                    <w14:schemeClr w14:val="tx1"/>
                  </w14:solidFill>
                </w14:textFill>
              </w:rPr>
              <w:t>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2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keepNext w:val="0"/>
              <w:keepLines w:val="0"/>
              <w:suppressLineNumbers w:val="0"/>
              <w:spacing w:before="0" w:beforeAutospacing="0" w:after="0" w:afterAutospacing="0"/>
              <w:ind w:left="38" w:right="0"/>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keepNext w:val="0"/>
              <w:keepLines w:val="0"/>
              <w:suppressLineNumbers w:val="0"/>
              <w:spacing w:before="0" w:beforeAutospacing="0" w:after="0" w:afterAutospacing="0"/>
              <w:ind w:left="38" w:right="0"/>
              <w:rPr>
                <w:rFonts w:hint="default"/>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本项目最高限价为人民币</w:t>
            </w:r>
            <w:r>
              <w:rPr>
                <w:rFonts w:hint="eastAsia"/>
                <w:b/>
                <w:color w:val="000000" w:themeColor="text1"/>
                <w:kern w:val="2"/>
                <w:sz w:val="28"/>
                <w:szCs w:val="28"/>
                <w:lang w:val="en-US" w:eastAsia="zh-CN"/>
                <w14:textFill>
                  <w14:solidFill>
                    <w14:schemeClr w14:val="tx1"/>
                  </w14:solidFill>
                </w14:textFill>
              </w:rPr>
              <w:t>160.3</w:t>
            </w:r>
            <w:r>
              <w:rPr>
                <w:rFonts w:hint="eastAsia"/>
                <w:b/>
                <w:color w:val="000000" w:themeColor="text1"/>
                <w:sz w:val="28"/>
                <w:szCs w:val="28"/>
                <w14:textFill>
                  <w14:solidFill>
                    <w14:schemeClr w14:val="tx1"/>
                  </w14:solidFill>
                </w14:textFill>
              </w:rPr>
              <w:t>万元</w:t>
            </w:r>
            <w:r>
              <w:rPr>
                <w:rFonts w:hint="eastAsia"/>
                <w:b/>
                <w:color w:val="000000" w:themeColor="text1"/>
                <w:kern w:val="2"/>
                <w:sz w:val="28"/>
                <w:szCs w:val="28"/>
                <w:lang w:val="zh-CN"/>
                <w14:textFill>
                  <w14:solidFill>
                    <w14:schemeClr w14:val="tx1"/>
                  </w14:solidFill>
                </w14:textFill>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keepNext w:val="0"/>
              <w:keepLines w:val="0"/>
              <w:suppressLineNumbers w:val="0"/>
              <w:spacing w:before="0" w:beforeAutospacing="0" w:after="0" w:afterAutospacing="0"/>
              <w:ind w:left="38" w:right="0"/>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keepNext w:val="0"/>
              <w:keepLines w:val="0"/>
              <w:suppressLineNumbers w:val="0"/>
              <w:spacing w:before="0" w:beforeAutospacing="0" w:after="0" w:afterAutospacing="0"/>
              <w:ind w:left="0" w:right="0"/>
              <w:jc w:val="both"/>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keepNext w:val="0"/>
              <w:keepLines w:val="0"/>
              <w:suppressLineNumbers w:val="0"/>
              <w:spacing w:before="0" w:beforeAutospacing="0" w:after="0" w:afterAutospacing="0"/>
              <w:ind w:left="96" w:right="0"/>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keepNext w:val="0"/>
              <w:keepLines w:val="0"/>
              <w:suppressLineNumbers w:val="0"/>
              <w:spacing w:before="0" w:beforeAutospacing="0" w:after="0" w:afterAutospacing="0"/>
              <w:ind w:left="0" w:right="0"/>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keepNext w:val="0"/>
              <w:keepLines w:val="0"/>
              <w:suppressLineNumbers w:val="0"/>
              <w:spacing w:before="0" w:beforeAutospacing="0" w:after="0" w:afterAutospacing="0"/>
              <w:ind w:left="96" w:right="0"/>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560" w:lineRule="exact"/>
              <w:ind w:left="0" w:right="94" w:rightChars="45"/>
              <w:rPr>
                <w:rFonts w:hint="default" w:ascii="宋体" w:hAnsi="宋体"/>
                <w:b/>
                <w:color w:val="000000" w:themeColor="text1"/>
                <w:sz w:val="28"/>
                <w:szCs w:val="28"/>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keepNext w:val="0"/>
              <w:keepLines w:val="0"/>
              <w:suppressLineNumbers w:val="0"/>
              <w:spacing w:before="0" w:beforeAutospacing="0" w:after="0" w:afterAutospacing="0"/>
              <w:ind w:left="96" w:right="0"/>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ind w:left="0" w:right="94" w:rightChars="45"/>
              <w:rPr>
                <w:rFonts w:hint="default" w:ascii="宋体" w:hAnsi="宋体"/>
                <w:b/>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keepNext w:val="0"/>
              <w:keepLines w:val="0"/>
              <w:suppressLineNumbers w:val="0"/>
              <w:spacing w:before="0" w:beforeAutospacing="0" w:after="0" w:afterAutospacing="0"/>
              <w:ind w:left="96" w:right="0"/>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ind w:left="0" w:right="94" w:rightChars="45"/>
              <w:rPr>
                <w:rFonts w:hint="default" w:ascii="宋体" w:hAnsi="宋体"/>
                <w:b/>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本项目不收取</w:t>
            </w:r>
            <w:r>
              <w:rPr>
                <w:rFonts w:hint="eastAsia" w:ascii="宋体" w:hAnsi="宋体" w:cs="宋体"/>
                <w:color w:val="000000" w:themeColor="text1"/>
                <w:kern w:val="0"/>
                <w:sz w:val="28"/>
                <w:szCs w:val="28"/>
                <w14:textFill>
                  <w14:solidFill>
                    <w14:schemeClr w14:val="tx1"/>
                  </w14:solidFill>
                </w14:textFill>
              </w:rPr>
              <w:t>履约</w:t>
            </w:r>
            <w:r>
              <w:rPr>
                <w:rFonts w:hint="eastAsia" w:ascii="宋体" w:hAnsi="宋体" w:cs="宋体"/>
                <w:color w:val="000000" w:themeColor="text1"/>
                <w:kern w:val="0"/>
                <w:sz w:val="28"/>
                <w:szCs w:val="28"/>
                <w:lang w:val="zh-CN"/>
                <w14:textFill>
                  <w14:solidFill>
                    <w14:schemeClr w14:val="tx1"/>
                  </w14:solidFill>
                </w14:textFill>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keepNext w:val="0"/>
              <w:keepLines w:val="0"/>
              <w:suppressLineNumbers w:val="0"/>
              <w:spacing w:before="0" w:beforeAutospacing="0" w:after="0" w:afterAutospacing="0"/>
              <w:ind w:left="96" w:right="0"/>
              <w:rPr>
                <w:rFonts w:hint="default"/>
                <w:color w:val="000000" w:themeColor="text1"/>
                <w:kern w:val="2"/>
                <w:sz w:val="28"/>
                <w:szCs w:val="28"/>
                <w:lang w:val="zh-CN"/>
                <w14:textFill>
                  <w14:solidFill>
                    <w14:schemeClr w14:val="tx1"/>
                  </w14:solidFill>
                </w14:textFill>
              </w:rPr>
            </w:pPr>
            <w:r>
              <w:rPr>
                <w:rFonts w:hint="eastAsia"/>
                <w:color w:val="000000" w:themeColor="text1"/>
                <w:kern w:val="2"/>
                <w:sz w:val="28"/>
                <w:szCs w:val="28"/>
                <w14:textFill>
                  <w14:solidFill>
                    <w14:schemeClr w14:val="tx1"/>
                  </w14:solidFill>
                </w14:textFill>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提交投标文件的截止之日起120天。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详见投标人须知2.4.12</w:t>
            </w:r>
          </w:p>
          <w:p>
            <w:pPr>
              <w:keepNext w:val="0"/>
              <w:keepLines w:val="0"/>
              <w:suppressLineNumbers w:val="0"/>
              <w:tabs>
                <w:tab w:val="left" w:pos="7665"/>
              </w:tabs>
              <w:snapToGrid w:val="0"/>
              <w:spacing w:before="0" w:beforeAutospacing="0" w:after="0" w:afterAutospacing="0"/>
              <w:ind w:left="0" w:right="0"/>
              <w:jc w:val="left"/>
              <w:rPr>
                <w:rFonts w:hint="default"/>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详见投标人须知2.5.1。</w:t>
            </w:r>
          </w:p>
          <w:p>
            <w:pPr>
              <w:keepNext w:val="0"/>
              <w:keepLines w:val="0"/>
              <w:suppressLineNumbers w:val="0"/>
              <w:snapToGrid w:val="0"/>
              <w:spacing w:before="0" w:beforeAutospacing="0" w:after="0" w:afterAutospacing="0" w:line="360" w:lineRule="auto"/>
              <w:ind w:left="0" w:right="0"/>
              <w:rPr>
                <w:rFonts w:hint="default"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投标文件解密：开启解密后，投标人应在系统提示的解密开始时间后</w:t>
            </w:r>
            <w:r>
              <w:rPr>
                <w:rFonts w:hint="default" w:ascii="宋体" w:hAnsi="宋体"/>
                <w:b/>
                <w:color w:val="000000" w:themeColor="text1"/>
                <w:sz w:val="28"/>
                <w:szCs w:val="28"/>
                <w14:textFill>
                  <w14:solidFill>
                    <w14:schemeClr w14:val="tx1"/>
                  </w14:solidFill>
                </w14:textFill>
              </w:rPr>
              <w:t>60</w:t>
            </w:r>
            <w:r>
              <w:rPr>
                <w:rFonts w:hint="eastAsia" w:ascii="宋体" w:hAnsi="宋体"/>
                <w:b/>
                <w:color w:val="000000" w:themeColor="text1"/>
                <w:sz w:val="28"/>
                <w:szCs w:val="28"/>
                <w14:textFill>
                  <w14:solidFill>
                    <w14:schemeClr w14:val="tx1"/>
                  </w14:solidFill>
                </w14:textFill>
              </w:rPr>
              <w:t>分钟内 ，使用对投标文件进行加密的CA证书在线完成对投标人递交至政府采购云平台的投标文件的解密。</w:t>
            </w:r>
          </w:p>
          <w:p>
            <w:pPr>
              <w:keepNext w:val="0"/>
              <w:keepLines w:val="0"/>
              <w:suppressLineNumbers w:val="0"/>
              <w:snapToGrid w:val="0"/>
              <w:spacing w:before="0" w:beforeAutospacing="0" w:after="0" w:afterAutospacing="0" w:line="360" w:lineRule="auto"/>
              <w:ind w:left="0" w:right="0"/>
              <w:rPr>
                <w:rFonts w:hint="default"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对招标文件中供应商参加本次政府采购活动应当具备的条件，招标项目服务、商务及其他要求，评标细则及标准，以及关于资格审查的询问、质疑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210"/>
              <w:rPr>
                <w:rFonts w:hint="default" w:ascii="宋体" w:hAnsi="宋体" w:eastAsia="仿宋_GB2312"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向采购人提出，并由</w:t>
            </w:r>
            <w:r>
              <w:rPr>
                <w:rFonts w:hint="eastAsia" w:ascii="宋体" w:hAnsi="宋体"/>
                <w:color w:val="000000" w:themeColor="text1"/>
                <w:kern w:val="0"/>
                <w:sz w:val="28"/>
                <w:szCs w:val="28"/>
                <w14:textFill>
                  <w14:solidFill>
                    <w14:schemeClr w14:val="tx1"/>
                  </w14:solidFill>
                </w14:textFill>
              </w:rPr>
              <w:t>采购人</w:t>
            </w:r>
            <w:r>
              <w:rPr>
                <w:rFonts w:hint="eastAsia" w:ascii="宋体" w:hAnsi="宋体"/>
                <w:color w:val="000000" w:themeColor="text1"/>
                <w:sz w:val="28"/>
                <w:szCs w:val="28"/>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210"/>
              <w:rPr>
                <w:rFonts w:hint="default" w:ascii="宋体" w:hAnsi="宋体" w:eastAsia="仿宋_GB2312" w:cs="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向市公资交易中心提出，</w:t>
            </w:r>
            <w:r>
              <w:rPr>
                <w:rFonts w:hint="eastAsia" w:ascii="宋体" w:hAnsi="宋体"/>
                <w:color w:val="000000" w:themeColor="text1"/>
                <w:sz w:val="28"/>
                <w:szCs w:val="28"/>
                <w14:textFill>
                  <w14:solidFill>
                    <w14:schemeClr w14:val="tx1"/>
                  </w14:solidFill>
                </w14:textFill>
              </w:rPr>
              <w:t>并由</w:t>
            </w:r>
            <w:r>
              <w:rPr>
                <w:rFonts w:hint="eastAsia" w:ascii="宋体" w:hAnsi="宋体"/>
                <w:color w:val="000000" w:themeColor="text1"/>
                <w:kern w:val="0"/>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按相关规定作出答复（详见投标人须知2.8）。联系电话：028-60432620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right="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widowControl/>
              <w:suppressLineNumbers w:val="0"/>
              <w:tabs>
                <w:tab w:val="left" w:pos="7665"/>
              </w:tabs>
              <w:spacing w:before="0" w:beforeAutospacing="0" w:after="0" w:afterAutospacing="0"/>
              <w:ind w:left="0" w:right="0"/>
              <w:jc w:val="left"/>
              <w:rPr>
                <w:rFonts w:hint="default"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投诉受理单位：彭州市财政局。</w:t>
            </w:r>
          </w:p>
          <w:p>
            <w:pPr>
              <w:keepNext w:val="0"/>
              <w:keepLines w:val="0"/>
              <w:widowControl/>
              <w:suppressLineNumbers w:val="0"/>
              <w:tabs>
                <w:tab w:val="left" w:pos="7665"/>
              </w:tabs>
              <w:spacing w:before="0" w:beforeAutospacing="0" w:after="0" w:afterAutospacing="0"/>
              <w:ind w:left="0" w:right="0"/>
              <w:jc w:val="left"/>
              <w:rPr>
                <w:rFonts w:hint="default"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联系电话：028-83888323。</w:t>
            </w:r>
          </w:p>
          <w:p>
            <w:pPr>
              <w:keepNext w:val="0"/>
              <w:keepLines w:val="0"/>
              <w:widowControl/>
              <w:suppressLineNumbers w:val="0"/>
              <w:tabs>
                <w:tab w:val="left" w:pos="7665"/>
              </w:tabs>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left="0" w:right="0" w:firstLine="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ind w:left="0" w:right="0"/>
              <w:jc w:val="left"/>
              <w:rPr>
                <w:rFonts w:hint="default"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keepNext w:val="0"/>
              <w:keepLines w:val="0"/>
              <w:widowControl/>
              <w:suppressLineNumbers w:val="0"/>
              <w:tabs>
                <w:tab w:val="left" w:pos="7665"/>
              </w:tabs>
              <w:spacing w:before="0" w:beforeAutospacing="0" w:after="0" w:afterAutospacing="0"/>
              <w:ind w:left="0" w:right="0"/>
              <w:jc w:val="left"/>
              <w:rPr>
                <w:rFonts w:hint="default"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所有</w:t>
            </w:r>
            <w:r>
              <w:rPr>
                <w:rFonts w:hint="eastAsia" w:ascii="宋体" w:hAnsi="宋体"/>
                <w:color w:val="000000" w:themeColor="text1"/>
                <w:sz w:val="28"/>
                <w:szCs w:val="28"/>
                <w14:textFill>
                  <w14:solidFill>
                    <w14:schemeClr w14:val="tx1"/>
                  </w14:solidFill>
                </w14:textFill>
              </w:rPr>
              <w:t>投标人</w:t>
            </w:r>
            <w:r>
              <w:rPr>
                <w:rFonts w:hint="eastAsia" w:ascii="宋体" w:hAnsi="宋体" w:cs="宋体"/>
                <w:color w:val="000000" w:themeColor="text1"/>
                <w:kern w:val="0"/>
                <w:sz w:val="28"/>
                <w:szCs w:val="28"/>
                <w:lang w:val="zh-CN"/>
                <w14:textFill>
                  <w14:solidFill>
                    <w14:schemeClr w14:val="tx1"/>
                  </w14:solidFill>
                </w14:textFill>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left="0" w:right="0" w:firstLine="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rPr>
                <w:rFonts w:hint="default"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left="0" w:right="0" w:firstLine="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rPr>
                <w:rFonts w:hint="default"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lang w:val="zh-CN"/>
                <w14:textFill>
                  <w14:solidFill>
                    <w14:schemeClr w14:val="tx1"/>
                  </w14:solidFill>
                </w14:textFill>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left="0" w:right="0" w:firstLine="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ind w:left="0" w:right="210" w:rightChars="10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4" w:leftChars="-2" w:right="210"/>
              <w:rPr>
                <w:rFonts w:hint="default" w:ascii="宋体" w:hAnsi="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w:t>
            </w:r>
            <w:r>
              <w:rPr>
                <w:rFonts w:hint="eastAsia" w:ascii="宋体" w:hAnsi="宋体" w:cs="宋体"/>
                <w:color w:val="000000" w:themeColor="text1"/>
                <w:kern w:val="0"/>
                <w:sz w:val="28"/>
                <w:szCs w:val="28"/>
                <w14:textFill>
                  <w14:solidFill>
                    <w14:schemeClr w14:val="tx1"/>
                  </w14:solidFill>
                </w14:textFill>
              </w:rPr>
              <w:t>彭州</w:t>
            </w:r>
            <w:r>
              <w:rPr>
                <w:rFonts w:hint="eastAsia" w:ascii="宋体" w:hAnsi="宋体" w:cs="宋体"/>
                <w:color w:val="000000" w:themeColor="text1"/>
                <w:kern w:val="0"/>
                <w:sz w:val="28"/>
                <w:szCs w:val="28"/>
                <w:lang w:val="zh-CN"/>
                <w14:textFill>
                  <w14:solidFill>
                    <w14:schemeClr w14:val="tx1"/>
                  </w14:solidFill>
                </w14:textFill>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left="0" w:right="0" w:firstLine="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4" w:leftChars="-2" w:right="210"/>
              <w:rPr>
                <w:rFonts w:hint="default"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中小企业政府采购信用融资</w:t>
            </w:r>
          </w:p>
        </w:tc>
        <w:tc>
          <w:tcPr>
            <w:tcW w:w="6681" w:type="dxa"/>
            <w:tcBorders>
              <w:top w:val="single" w:color="auto" w:sz="4" w:space="0"/>
              <w:left w:val="single" w:color="auto" w:sz="8" w:space="0"/>
              <w:bottom w:val="single" w:color="auto" w:sz="4" w:space="0"/>
              <w:right w:val="single" w:color="auto" w:sz="18" w:space="0"/>
            </w:tcBorders>
            <w:vAlign w:val="center"/>
          </w:tcPr>
          <w:p>
            <w:pPr>
              <w:pStyle w:val="2"/>
              <w:keepNext w:val="0"/>
              <w:keepLines w:val="0"/>
              <w:suppressLineNumbers w:val="0"/>
              <w:spacing w:before="0" w:beforeAutospacing="0" w:after="0" w:afterAutospacing="0" w:line="560" w:lineRule="exact"/>
              <w:ind w:left="0" w:right="0" w:firstLine="560" w:firstLineChars="200"/>
              <w:rPr>
                <w:rFonts w:hint="default"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1.本项目接受中标的中小微企业以信用融资方式履约。</w:t>
            </w:r>
          </w:p>
          <w:p>
            <w:pPr>
              <w:keepNext w:val="0"/>
              <w:keepLines w:val="0"/>
              <w:suppressLineNumbers w:val="0"/>
              <w:spacing w:before="0" w:beforeAutospacing="0" w:after="0" w:afterAutospacing="0" w:line="560" w:lineRule="exact"/>
              <w:ind w:left="0" w:right="0" w:firstLine="560" w:firstLineChars="200"/>
              <w:rPr>
                <w:rFonts w:hint="default"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suppressLineNumbers w:val="0"/>
              <w:tabs>
                <w:tab w:val="left" w:pos="7665"/>
              </w:tabs>
              <w:snapToGrid w:val="0"/>
              <w:spacing w:before="0" w:beforeAutospacing="0" w:after="0" w:afterAutospacing="0" w:line="560" w:lineRule="exact"/>
              <w:ind w:left="-4" w:leftChars="-2" w:right="210"/>
              <w:rPr>
                <w:rFonts w:hint="default"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line="400" w:lineRule="exact"/>
              <w:ind w:left="0" w:right="0" w:firstLine="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Times New Roman"/>
                <w:kern w:val="0"/>
                <w:sz w:val="24"/>
              </w:rPr>
            </w:pPr>
            <w:r>
              <w:rPr>
                <w:rFonts w:hint="eastAsia" w:ascii="宋体" w:hAnsi="Times New Roman"/>
                <w:kern w:val="0"/>
                <w:sz w:val="24"/>
              </w:rPr>
              <w:t>扶持不发达地区和</w:t>
            </w:r>
          </w:p>
          <w:p>
            <w:pPr>
              <w:keepNext w:val="0"/>
              <w:keepLines w:val="0"/>
              <w:suppressLineNumbers w:val="0"/>
              <w:tabs>
                <w:tab w:val="left" w:pos="7665"/>
              </w:tabs>
              <w:snapToGrid w:val="0"/>
              <w:spacing w:before="0" w:beforeAutospacing="0" w:after="0" w:afterAutospacing="0" w:line="400" w:lineRule="exact"/>
              <w:ind w:left="-4" w:leftChars="-2" w:right="210"/>
              <w:rPr>
                <w:rFonts w:hint="default" w:ascii="宋体" w:hAnsi="Times New Roman"/>
                <w:kern w:val="0"/>
                <w:sz w:val="24"/>
                <w:lang w:val="zh-CN"/>
              </w:rPr>
            </w:pPr>
            <w:r>
              <w:rPr>
                <w:rFonts w:hint="eastAsia" w:ascii="宋体" w:hAnsi="Times New Roman"/>
                <w:kern w:val="0"/>
                <w:sz w:val="24"/>
              </w:rPr>
              <w:t>少数民族地区</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400" w:lineRule="exact"/>
              <w:ind w:left="-4" w:leftChars="-2" w:right="210"/>
              <w:rPr>
                <w:rFonts w:hint="default" w:ascii="宋体" w:hAnsi="Times New Roman"/>
                <w:kern w:val="0"/>
                <w:sz w:val="24"/>
              </w:rPr>
            </w:pPr>
            <w:r>
              <w:rPr>
                <w:rFonts w:hint="eastAsia" w:ascii="宋体" w:hAnsi="Times New Roman"/>
                <w:kern w:val="0"/>
                <w:sz w:val="24"/>
              </w:rPr>
              <w:t>本项目对参与投标的不发达地区或少数民族地区企业给予加分评审，以投标人在投标文件中提供的不发达地区企业或注册地为少数民族地区的相关证明材料为准，否则不予认可。</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line="400" w:lineRule="exact"/>
              <w:ind w:left="0" w:right="0" w:firstLine="0"/>
              <w:jc w:val="center"/>
              <w:rPr>
                <w:rFonts w:hint="default"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400" w:lineRule="exact"/>
              <w:ind w:left="0" w:right="0"/>
              <w:jc w:val="left"/>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进口产品 </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400" w:lineRule="exact"/>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keepNext w:val="0"/>
              <w:keepLines w:val="0"/>
              <w:numPr>
                <w:ilvl w:val="0"/>
                <w:numId w:val="7"/>
              </w:numPr>
              <w:suppressLineNumbers w:val="0"/>
              <w:snapToGrid w:val="0"/>
              <w:spacing w:before="0" w:beforeAutospacing="0" w:after="200" w:afterAutospacing="0"/>
              <w:ind w:left="0" w:right="0" w:firstLine="0"/>
              <w:jc w:val="center"/>
              <w:rPr>
                <w:rFonts w:hint="default" w:ascii="宋体" w:hAnsi="宋体"/>
                <w:color w:val="000000" w:themeColor="text1"/>
                <w:sz w:val="28"/>
                <w:szCs w:val="28"/>
                <w14:textFill>
                  <w14:solidFill>
                    <w14:schemeClr w14:val="tx1"/>
                  </w14:solidFill>
                </w14:textFill>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34" w:name="_Toc22447"/>
      <w:bookmarkStart w:id="35" w:name="_Toc75336289"/>
      <w:bookmarkStart w:id="36" w:name="_Toc29824"/>
      <w:bookmarkStart w:id="37" w:name="_Toc10565"/>
      <w:bookmarkStart w:id="38" w:name="_Toc30390"/>
      <w:r>
        <w:rPr>
          <w:rFonts w:hint="eastAsia"/>
          <w:color w:val="000000" w:themeColor="text1"/>
          <w14:textFill>
            <w14:solidFill>
              <w14:schemeClr w14:val="tx1"/>
            </w14:solidFill>
          </w14:textFill>
        </w:rPr>
        <w:t>总则</w:t>
      </w:r>
      <w:bookmarkEnd w:id="34"/>
      <w:bookmarkEnd w:id="35"/>
      <w:bookmarkEnd w:id="36"/>
      <w:bookmarkEnd w:id="37"/>
      <w:bookmarkEnd w:id="38"/>
    </w:p>
    <w:p>
      <w:pPr>
        <w:pStyle w:val="5"/>
        <w:numPr>
          <w:ilvl w:val="2"/>
          <w:numId w:val="3"/>
        </w:numPr>
        <w:spacing w:after="200" w:line="240" w:lineRule="auto"/>
        <w:ind w:left="-141" w:leftChars="-67"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p>
      <w:pPr>
        <w:numPr>
          <w:ilvl w:val="0"/>
          <w:numId w:val="8"/>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8"/>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市公资交易中心享有。对招标文件中供应商参加本次政府采购活动应当具备的条件，招标项目服务、商务及其他要求，评标细则及标准由采购人负责解释。除上述招标文件内容，其他内容由市公资交易中心负责解释。</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有关定义</w:t>
      </w:r>
    </w:p>
    <w:p>
      <w:pPr>
        <w:numPr>
          <w:ilvl w:val="0"/>
          <w:numId w:val="9"/>
        </w:numPr>
        <w:tabs>
          <w:tab w:val="left" w:pos="1134"/>
        </w:tabs>
        <w:spacing w:after="200"/>
        <w:ind w:left="0" w:firstLine="5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“采购人”和“甲方”系指依法进行政府采购的彭州市级机关、事业单位、团体组织。本次招标的采购人是</w:t>
      </w:r>
      <w:r>
        <w:rPr>
          <w:rFonts w:hint="eastAsia" w:ascii="宋体" w:hAnsi="宋体"/>
          <w:b/>
          <w:kern w:val="0"/>
          <w:sz w:val="28"/>
          <w:lang w:eastAsia="zh-CN"/>
        </w:rPr>
        <w:t>彭州市人民政府天彭街道办事处</w:t>
      </w:r>
      <w:r>
        <w:rPr>
          <w:rFonts w:hint="eastAsia" w:ascii="宋体" w:hAnsi="宋体"/>
          <w:color w:val="000000" w:themeColor="text1"/>
          <w:sz w:val="28"/>
          <w:szCs w:val="28"/>
          <w14:textFill>
            <w14:solidFill>
              <w14:schemeClr w14:val="tx1"/>
            </w14:solidFill>
          </w14:textFill>
        </w:rPr>
        <w:t>。</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不见面开标是指，市公资交易中心依托政府采购云平台组织开标活动，供应商在线参与开标的一种组织形式。</w:t>
      </w:r>
    </w:p>
    <w:p>
      <w:pPr>
        <w:pStyle w:val="5"/>
        <w:numPr>
          <w:ilvl w:val="2"/>
          <w:numId w:val="3"/>
        </w:numPr>
        <w:spacing w:after="200" w:line="240" w:lineRule="auto"/>
        <w:ind w:left="851"/>
        <w:rPr>
          <w:color w:val="000000" w:themeColor="text1"/>
          <w14:textFill>
            <w14:solidFill>
              <w14:schemeClr w14:val="tx1"/>
            </w14:solidFill>
          </w14:textFill>
        </w:rPr>
      </w:pPr>
      <w:bookmarkStart w:id="39" w:name="_Toc217390843"/>
      <w:bookmarkStart w:id="40" w:name="_Toc183682344"/>
      <w:bookmarkStart w:id="41" w:name="_Toc217446036"/>
      <w:bookmarkStart w:id="42" w:name="_Toc183582207"/>
      <w:r>
        <w:rPr>
          <w:rFonts w:hint="eastAsia"/>
          <w:color w:val="000000" w:themeColor="text1"/>
          <w14:textFill>
            <w14:solidFill>
              <w14:schemeClr w14:val="tx1"/>
            </w14:solidFill>
          </w14:textFill>
        </w:rPr>
        <w:t>合格的投标人</w:t>
      </w:r>
      <w:bookmarkEnd w:id="39"/>
      <w:bookmarkEnd w:id="40"/>
      <w:bookmarkEnd w:id="41"/>
      <w:bookmarkEnd w:id="42"/>
    </w:p>
    <w:p>
      <w:pPr>
        <w:tabs>
          <w:tab w:val="left" w:pos="7665"/>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10"/>
        </w:numPr>
        <w:tabs>
          <w:tab w:val="left" w:pos="1134"/>
        </w:tabs>
        <w:spacing w:after="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10"/>
        </w:numPr>
        <w:tabs>
          <w:tab w:val="left" w:pos="1134"/>
        </w:tabs>
        <w:spacing w:after="200"/>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投标费用</w:t>
      </w:r>
    </w:p>
    <w:p>
      <w:pPr>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114"/>
        <w:tabs>
          <w:tab w:val="left" w:pos="851"/>
        </w:tabs>
        <w:spacing w:before="156" w:line="24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一、单位负责人为同一人或者存在直接控股、管理关系的不同供应商，不得参加同一项目的投标。</w:t>
      </w:r>
    </w:p>
    <w:p>
      <w:pPr>
        <w:pStyle w:val="114"/>
        <w:tabs>
          <w:tab w:val="left" w:pos="851"/>
        </w:tabs>
        <w:spacing w:before="156" w:line="240" w:lineRule="auto"/>
        <w:ind w:left="-143" w:leftChars="-68" w:firstLine="700" w:firstLineChars="250"/>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43" w:name="_Toc12455"/>
      <w:bookmarkStart w:id="44" w:name="_Toc32420"/>
      <w:bookmarkStart w:id="45" w:name="_Toc2675"/>
      <w:bookmarkStart w:id="46" w:name="_Toc14139"/>
      <w:bookmarkStart w:id="47" w:name="_Toc75336290"/>
      <w:r>
        <w:rPr>
          <w:rFonts w:hint="eastAsia"/>
          <w:color w:val="000000" w:themeColor="text1"/>
          <w14:textFill>
            <w14:solidFill>
              <w14:schemeClr w14:val="tx1"/>
            </w14:solidFill>
          </w14:textFill>
        </w:rPr>
        <w:t>招标文件</w:t>
      </w:r>
      <w:bookmarkEnd w:id="43"/>
      <w:bookmarkEnd w:id="44"/>
      <w:bookmarkEnd w:id="45"/>
      <w:bookmarkEnd w:id="46"/>
      <w:bookmarkEnd w:id="47"/>
    </w:p>
    <w:p>
      <w:pPr>
        <w:pStyle w:val="5"/>
        <w:numPr>
          <w:ilvl w:val="2"/>
          <w:numId w:val="3"/>
        </w:numPr>
        <w:spacing w:after="200" w:line="240" w:lineRule="auto"/>
        <w:ind w:left="0" w:firstLine="0"/>
        <w:rPr>
          <w:color w:val="000000" w:themeColor="text1"/>
          <w14:textFill>
            <w14:solidFill>
              <w14:schemeClr w14:val="tx1"/>
            </w14:solidFill>
          </w14:textFill>
        </w:rPr>
      </w:pPr>
      <w:bookmarkStart w:id="48" w:name="_Toc183682347"/>
      <w:bookmarkStart w:id="49" w:name="_Toc183582210"/>
      <w:bookmarkStart w:id="50" w:name="_Toc217446039"/>
      <w:r>
        <w:rPr>
          <w:rFonts w:hint="eastAsia"/>
          <w:color w:val="000000" w:themeColor="text1"/>
          <w14:textFill>
            <w14:solidFill>
              <w14:schemeClr w14:val="tx1"/>
            </w14:solidFill>
          </w14:textFill>
        </w:rPr>
        <w:t>招标文件的构成</w:t>
      </w:r>
      <w:bookmarkEnd w:id="48"/>
      <w:bookmarkEnd w:id="49"/>
      <w:bookmarkEnd w:id="50"/>
    </w:p>
    <w:p>
      <w:pPr>
        <w:numPr>
          <w:ilvl w:val="0"/>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招标项目服务、商务及其他要求；</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2"/>
        </w:numPr>
        <w:tabs>
          <w:tab w:val="left" w:pos="1134"/>
        </w:tabs>
        <w:spacing w:after="200"/>
        <w:ind w:left="567" w:firstLine="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pStyle w:val="5"/>
        <w:numPr>
          <w:ilvl w:val="2"/>
          <w:numId w:val="3"/>
        </w:numPr>
        <w:spacing w:after="200" w:line="240" w:lineRule="auto"/>
        <w:ind w:left="0" w:firstLine="0"/>
        <w:rPr>
          <w:color w:val="000000" w:themeColor="text1"/>
          <w14:textFill>
            <w14:solidFill>
              <w14:schemeClr w14:val="tx1"/>
            </w14:solidFill>
          </w14:textFill>
        </w:rPr>
      </w:pPr>
      <w:bookmarkStart w:id="51" w:name="_Toc183582211"/>
      <w:bookmarkStart w:id="52" w:name="_Toc183682348"/>
      <w:bookmarkStart w:id="53" w:name="_Toc217446040"/>
      <w:r>
        <w:rPr>
          <w:rFonts w:hint="eastAsia"/>
          <w:color w:val="000000" w:themeColor="text1"/>
          <w14:textFill>
            <w14:solidFill>
              <w14:schemeClr w14:val="tx1"/>
            </w14:solidFill>
          </w14:textFill>
        </w:rPr>
        <w:t>招标文件的澄清</w:t>
      </w:r>
      <w:bookmarkEnd w:id="51"/>
      <w:bookmarkEnd w:id="52"/>
      <w:r>
        <w:rPr>
          <w:rFonts w:hint="eastAsia"/>
          <w:color w:val="000000" w:themeColor="text1"/>
          <w14:textFill>
            <w14:solidFill>
              <w14:schemeClr w14:val="tx1"/>
            </w14:solidFill>
          </w14:textFill>
        </w:rPr>
        <w:t>和修改</w:t>
      </w:r>
      <w:bookmarkEnd w:id="53"/>
      <w:bookmarkStart w:id="54" w:name="_Toc89075876"/>
      <w:bookmarkStart w:id="55" w:name="_Toc31441"/>
      <w:bookmarkStart w:id="56" w:name="_Toc77400780"/>
      <w:bookmarkStart w:id="57" w:name="_Toc183582214"/>
      <w:bookmarkStart w:id="58" w:name="_Toc27307"/>
      <w:bookmarkStart w:id="59" w:name="_Toc19128"/>
      <w:bookmarkStart w:id="60" w:name="_Toc6071"/>
      <w:bookmarkStart w:id="61" w:name="_Toc217446042"/>
      <w:bookmarkStart w:id="62" w:name="_Toc183682351"/>
    </w:p>
    <w:p>
      <w:pPr>
        <w:numPr>
          <w:ilvl w:val="0"/>
          <w:numId w:val="13"/>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3"/>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3"/>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63" w:name="_Toc75336291"/>
      <w:r>
        <w:rPr>
          <w:rFonts w:hint="eastAsia"/>
          <w:color w:val="000000" w:themeColor="text1"/>
          <w14:textFill>
            <w14:solidFill>
              <w14:schemeClr w14:val="tx1"/>
            </w14:solidFill>
          </w14:textFill>
        </w:rPr>
        <w:t>投标文件</w:t>
      </w:r>
      <w:bookmarkEnd w:id="54"/>
      <w:bookmarkEnd w:id="55"/>
      <w:bookmarkEnd w:id="56"/>
      <w:bookmarkEnd w:id="57"/>
      <w:bookmarkEnd w:id="58"/>
      <w:bookmarkEnd w:id="59"/>
      <w:bookmarkEnd w:id="60"/>
      <w:bookmarkEnd w:id="61"/>
      <w:bookmarkEnd w:id="62"/>
      <w:bookmarkEnd w:id="63"/>
    </w:p>
    <w:p>
      <w:pPr>
        <w:pStyle w:val="5"/>
        <w:numPr>
          <w:ilvl w:val="2"/>
          <w:numId w:val="3"/>
        </w:numPr>
        <w:spacing w:after="200" w:line="240" w:lineRule="auto"/>
        <w:ind w:left="0" w:firstLine="0"/>
        <w:rPr>
          <w:color w:val="000000" w:themeColor="text1"/>
          <w14:textFill>
            <w14:solidFill>
              <w14:schemeClr w14:val="tx1"/>
            </w14:solidFill>
          </w14:textFill>
        </w:rPr>
      </w:pPr>
      <w:bookmarkStart w:id="64" w:name="_Toc183582215"/>
      <w:bookmarkStart w:id="65" w:name="_Toc183682352"/>
      <w:bookmarkStart w:id="66" w:name="_Toc217446043"/>
      <w:r>
        <w:rPr>
          <w:rFonts w:hint="eastAsia"/>
          <w:color w:val="000000" w:themeColor="text1"/>
          <w14:textFill>
            <w14:solidFill>
              <w14:schemeClr w14:val="tx1"/>
            </w14:solidFill>
          </w14:textFill>
        </w:rPr>
        <w:t>投标文件的语言</w:t>
      </w:r>
      <w:bookmarkEnd w:id="64"/>
      <w:bookmarkEnd w:id="65"/>
      <w:bookmarkEnd w:id="66"/>
    </w:p>
    <w:p>
      <w:pPr>
        <w:numPr>
          <w:ilvl w:val="0"/>
          <w:numId w:val="14"/>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市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4"/>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pStyle w:val="5"/>
        <w:numPr>
          <w:ilvl w:val="2"/>
          <w:numId w:val="3"/>
        </w:numPr>
        <w:spacing w:after="200" w:line="240" w:lineRule="auto"/>
        <w:ind w:left="0" w:firstLine="0"/>
        <w:rPr>
          <w:color w:val="000000" w:themeColor="text1"/>
          <w14:textFill>
            <w14:solidFill>
              <w14:schemeClr w14:val="tx1"/>
            </w14:solidFill>
          </w14:textFill>
        </w:rPr>
      </w:pPr>
      <w:bookmarkStart w:id="67" w:name="_Toc217446044"/>
      <w:bookmarkStart w:id="68" w:name="_Toc183582216"/>
      <w:bookmarkStart w:id="69" w:name="_Toc183682353"/>
      <w:r>
        <w:rPr>
          <w:rFonts w:hint="eastAsia"/>
          <w:color w:val="000000" w:themeColor="text1"/>
          <w14:textFill>
            <w14:solidFill>
              <w14:schemeClr w14:val="tx1"/>
            </w14:solidFill>
          </w14:textFill>
        </w:rPr>
        <w:t>计量单位</w:t>
      </w:r>
      <w:bookmarkEnd w:id="67"/>
      <w:bookmarkEnd w:id="68"/>
      <w:bookmarkEnd w:id="69"/>
    </w:p>
    <w:p>
      <w:pPr>
        <w:tabs>
          <w:tab w:val="left" w:pos="7665"/>
        </w:tabs>
        <w:ind w:left="13" w:firstLine="554"/>
        <w:rPr>
          <w:rFonts w:ascii="宋体" w:hAnsi="宋体"/>
          <w:color w:val="000000" w:themeColor="text1"/>
          <w:sz w:val="28"/>
          <w:szCs w:val="28"/>
          <w14:textFill>
            <w14:solidFill>
              <w14:schemeClr w14:val="tx1"/>
            </w14:solidFill>
          </w14:textFill>
        </w:rPr>
      </w:pPr>
      <w:bookmarkStart w:id="70" w:name="_Toc217446045"/>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投标货币</w:t>
      </w:r>
      <w:bookmarkEnd w:id="70"/>
    </w:p>
    <w:p>
      <w:pPr>
        <w:tabs>
          <w:tab w:val="left" w:pos="7665"/>
        </w:tabs>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pStyle w:val="5"/>
        <w:numPr>
          <w:ilvl w:val="2"/>
          <w:numId w:val="3"/>
        </w:numPr>
        <w:spacing w:after="200" w:line="240" w:lineRule="auto"/>
        <w:ind w:left="0" w:firstLine="0"/>
        <w:rPr>
          <w:color w:val="000000" w:themeColor="text1"/>
          <w14:textFill>
            <w14:solidFill>
              <w14:schemeClr w14:val="tx1"/>
            </w14:solidFill>
          </w14:textFill>
        </w:rPr>
      </w:pPr>
      <w:bookmarkStart w:id="71" w:name="_Toc217446046"/>
      <w:r>
        <w:rPr>
          <w:rFonts w:hint="eastAsia"/>
          <w:color w:val="000000" w:themeColor="text1"/>
          <w14:textFill>
            <w14:solidFill>
              <w14:schemeClr w14:val="tx1"/>
            </w14:solidFill>
          </w14:textFill>
        </w:rPr>
        <w:t>联合体投标</w:t>
      </w:r>
      <w:bookmarkEnd w:id="71"/>
    </w:p>
    <w:p>
      <w:pPr>
        <w:tabs>
          <w:tab w:val="left" w:pos="1134"/>
        </w:tabs>
        <w:ind w:left="546"/>
        <w:rPr>
          <w:rFonts w:ascii="宋体" w:hAnsi="宋体"/>
          <w:color w:val="000000" w:themeColor="text1"/>
          <w:sz w:val="28"/>
          <w:szCs w:val="28"/>
          <w14:textFill>
            <w14:solidFill>
              <w14:schemeClr w14:val="tx1"/>
            </w14:solidFill>
          </w14:textFill>
        </w:rPr>
      </w:pPr>
      <w:bookmarkStart w:id="72" w:name="_Toc217446047"/>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知识产权</w:t>
      </w:r>
      <w:bookmarkEnd w:id="72"/>
    </w:p>
    <w:p>
      <w:pPr>
        <w:pStyle w:val="155"/>
        <w:numPr>
          <w:ilvl w:val="0"/>
          <w:numId w:val="15"/>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bookmarkStart w:id="73" w:name="_Toc183682354"/>
      <w:bookmarkStart w:id="74" w:name="_Toc183582217"/>
      <w:bookmarkStart w:id="75" w:name="_Toc217446048"/>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55"/>
        <w:numPr>
          <w:ilvl w:val="0"/>
          <w:numId w:val="15"/>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pStyle w:val="155"/>
        <w:numPr>
          <w:ilvl w:val="0"/>
          <w:numId w:val="15"/>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155"/>
        <w:numPr>
          <w:ilvl w:val="0"/>
          <w:numId w:val="15"/>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投标文件的组成</w:t>
      </w:r>
      <w:bookmarkEnd w:id="73"/>
      <w:bookmarkEnd w:id="74"/>
      <w:bookmarkEnd w:id="75"/>
    </w:p>
    <w:p>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资格响应文件：</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关于投标人资格申明的函；</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pStyle w:val="153"/>
        <w:numPr>
          <w:ilvl w:val="0"/>
          <w:numId w:val="16"/>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sz w:val="28"/>
          <w:szCs w:val="28"/>
        </w:rPr>
        <w:t>由省级以上监狱管理局、戒毒管理局（含新疆生产建设兵团）出具的投标人属于监狱企业的证明文件复印件（说明：提供了《中小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2019或2020会计年度资产负债表复印件（说明：投标人成立时间至递交投标文件截止时间止不足一年的，提供成立后任意时段的资产负债表复印件）；</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投标人缴纳2020或2021年任意时段的税收的银行电子回单或者行政部门出具的纳税证明或完税证明复印件；</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采购人对投标人履行合同所必需的设备和专业技术能力无其他特殊要求，投标人具有有效的营业执照或法人证书即可，可不提供其他证明材料；</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投标人缴纳2020或2021年任意时段的社保的银行电子回单或行政部门出具的社保缴纳证明材料复印件；</w:t>
      </w:r>
    </w:p>
    <w:p>
      <w:pPr>
        <w:pStyle w:val="153"/>
        <w:numPr>
          <w:ilvl w:val="0"/>
          <w:numId w:val="17"/>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采购人对法律、行政法规规定的其他条件无其他特殊要求，投标人具有有效的营业执照或法人证书即可，可不提供其他证明材料。</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18"/>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法定代表人身份证明书；</w:t>
      </w:r>
    </w:p>
    <w:p>
      <w:pPr>
        <w:numPr>
          <w:ilvl w:val="0"/>
          <w:numId w:val="18"/>
        </w:numPr>
        <w:tabs>
          <w:tab w:val="left" w:pos="1134"/>
        </w:tabs>
        <w:spacing w:line="360" w:lineRule="auto"/>
        <w:ind w:hanging="279"/>
        <w:jc w:val="left"/>
        <w:rPr>
          <w:rFonts w:hint="eastAsia" w:ascii="宋体" w:hAnsi="宋体" w:eastAsia="宋体" w:cs="Times New Roman"/>
          <w:b/>
          <w:kern w:val="2"/>
          <w:sz w:val="28"/>
          <w:szCs w:val="28"/>
          <w:lang w:val="en-US" w:eastAsia="zh-CN" w:bidi="ar-SA"/>
        </w:rPr>
      </w:pPr>
      <w:r>
        <w:rPr>
          <w:rFonts w:hint="eastAsia" w:ascii="宋体" w:hAnsi="宋体"/>
          <w:b/>
          <w:sz w:val="28"/>
          <w:szCs w:val="28"/>
        </w:rPr>
        <w:t>投标人基本情况表；</w:t>
      </w:r>
    </w:p>
    <w:p>
      <w:pPr>
        <w:pStyle w:val="84"/>
        <w:numPr>
          <w:ilvl w:val="0"/>
          <w:numId w:val="0"/>
        </w:numPr>
        <w:tabs>
          <w:tab w:val="left" w:pos="1134"/>
        </w:tabs>
        <w:spacing w:line="360" w:lineRule="auto"/>
        <w:ind w:left="1160" w:leftChars="285" w:hanging="562" w:hangingChars="200"/>
        <w:jc w:val="left"/>
        <w:rPr>
          <w:rFonts w:hint="eastAsia" w:ascii="宋体" w:hAnsi="宋体" w:eastAsia="宋体" w:cs="Times New Roman"/>
          <w:b/>
          <w:color w:val="000000" w:themeColor="text1"/>
          <w:kern w:val="2"/>
          <w:sz w:val="28"/>
          <w:szCs w:val="28"/>
          <w:lang w:val="en-US" w:eastAsia="zh-CN" w:bidi="ar-SA"/>
          <w14:textFill>
            <w14:solidFill>
              <w14:schemeClr w14:val="tx1"/>
            </w14:solidFill>
          </w14:textFill>
        </w:rPr>
      </w:pPr>
      <w:r>
        <w:rPr>
          <w:rFonts w:hint="eastAsia" w:ascii="宋体" w:hAnsi="宋体" w:eastAsia="宋体" w:cs="Times New Roman"/>
          <w:b/>
          <w:color w:val="000000" w:themeColor="text1"/>
          <w:kern w:val="2"/>
          <w:sz w:val="28"/>
          <w:szCs w:val="28"/>
          <w:lang w:val="en-US" w:eastAsia="zh-CN" w:bidi="ar-SA"/>
          <w14:textFill>
            <w14:solidFill>
              <w14:schemeClr w14:val="tx1"/>
            </w14:solidFill>
          </w14:textFill>
        </w:rPr>
        <w:t>四、服务方案及服务承诺(项目分析、公共秩序维护及应急管理服务、保洁服务、设施设备管理维养服务、绿化养护服务、类似业绩)；</w:t>
      </w:r>
    </w:p>
    <w:p>
      <w:pPr>
        <w:pStyle w:val="84"/>
        <w:numPr>
          <w:ilvl w:val="0"/>
          <w:numId w:val="0"/>
        </w:numPr>
        <w:tabs>
          <w:tab w:val="left" w:pos="1134"/>
        </w:tabs>
        <w:spacing w:line="360" w:lineRule="auto"/>
        <w:ind w:left="600" w:leftChars="0"/>
        <w:jc w:val="left"/>
        <w:rPr>
          <w:rFonts w:ascii="宋体" w:hAnsi="宋体" w:eastAsia="宋体" w:cs="Times New Roman"/>
          <w:b/>
          <w:sz w:val="28"/>
          <w:szCs w:val="28"/>
        </w:rPr>
      </w:pPr>
      <w:r>
        <w:rPr>
          <w:rFonts w:hint="eastAsia" w:ascii="宋体" w:hAnsi="宋体" w:eastAsia="宋体" w:cs="Times New Roman"/>
          <w:b/>
          <w:sz w:val="28"/>
          <w:szCs w:val="28"/>
          <w:lang w:eastAsia="zh-CN"/>
        </w:rPr>
        <w:t>五、</w:t>
      </w:r>
      <w:r>
        <w:rPr>
          <w:rFonts w:hint="eastAsia" w:ascii="宋体" w:hAnsi="宋体" w:eastAsia="宋体" w:cs="Times New Roman"/>
          <w:b/>
          <w:sz w:val="28"/>
          <w:szCs w:val="28"/>
        </w:rPr>
        <w:t>扶持不发达地区和少数民族地区证明材料</w:t>
      </w:r>
    </w:p>
    <w:p>
      <w:pPr>
        <w:pStyle w:val="84"/>
        <w:numPr>
          <w:ilvl w:val="0"/>
          <w:numId w:val="0"/>
        </w:numPr>
        <w:tabs>
          <w:tab w:val="left" w:pos="1134"/>
        </w:tabs>
        <w:spacing w:line="360" w:lineRule="auto"/>
        <w:ind w:left="600" w:leftChars="0"/>
        <w:jc w:val="left"/>
        <w:rPr>
          <w:rFonts w:ascii="宋体" w:hAnsi="宋体" w:eastAsia="宋体" w:cs="Times New Roman"/>
          <w:b/>
          <w:sz w:val="28"/>
          <w:szCs w:val="28"/>
        </w:rPr>
      </w:pPr>
      <w:r>
        <w:rPr>
          <w:rFonts w:hint="eastAsia" w:ascii="宋体" w:hAnsi="宋体" w:eastAsia="宋体" w:cs="Times New Roman"/>
          <w:b/>
          <w:sz w:val="28"/>
          <w:szCs w:val="28"/>
          <w:lang w:eastAsia="zh-CN"/>
        </w:rPr>
        <w:t>六、</w:t>
      </w:r>
      <w:r>
        <w:rPr>
          <w:rFonts w:hint="eastAsia" w:ascii="宋体" w:hAnsi="宋体" w:eastAsia="宋体" w:cs="Times New Roman"/>
          <w:b/>
          <w:sz w:val="28"/>
          <w:szCs w:val="28"/>
        </w:rPr>
        <w:t>承诺函；</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报价要求响应文件</w:t>
      </w:r>
    </w:p>
    <w:p>
      <w:pPr>
        <w:numPr>
          <w:ilvl w:val="0"/>
          <w:numId w:val="19"/>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pStyle w:val="5"/>
        <w:numPr>
          <w:ilvl w:val="2"/>
          <w:numId w:val="3"/>
        </w:numPr>
        <w:spacing w:after="200" w:line="240" w:lineRule="auto"/>
        <w:ind w:left="0" w:firstLine="0"/>
        <w:rPr>
          <w:color w:val="000000" w:themeColor="text1"/>
          <w14:textFill>
            <w14:solidFill>
              <w14:schemeClr w14:val="tx1"/>
            </w14:solidFill>
          </w14:textFill>
        </w:rPr>
      </w:pPr>
      <w:bookmarkStart w:id="76" w:name="_Toc316291395"/>
      <w:bookmarkEnd w:id="76"/>
      <w:bookmarkStart w:id="77" w:name="_Toc316291396"/>
      <w:bookmarkEnd w:id="77"/>
      <w:bookmarkStart w:id="78" w:name="_Toc316292019"/>
      <w:bookmarkEnd w:id="78"/>
      <w:bookmarkStart w:id="79" w:name="_Toc316292020"/>
      <w:bookmarkEnd w:id="79"/>
      <w:bookmarkStart w:id="80" w:name="_Toc183682355"/>
      <w:bookmarkStart w:id="81" w:name="_Toc217446049"/>
      <w:bookmarkStart w:id="82" w:name="_Toc183582218"/>
      <w:r>
        <w:rPr>
          <w:rFonts w:hint="eastAsia"/>
          <w:color w:val="000000" w:themeColor="text1"/>
          <w14:textFill>
            <w14:solidFill>
              <w14:schemeClr w14:val="tx1"/>
            </w14:solidFill>
          </w14:textFill>
        </w:rPr>
        <w:t>投标文件格式</w:t>
      </w:r>
      <w:bookmarkEnd w:id="80"/>
      <w:bookmarkEnd w:id="81"/>
      <w:bookmarkEnd w:id="82"/>
      <w:r>
        <w:rPr>
          <w:rFonts w:hint="eastAsia"/>
          <w:color w:val="000000" w:themeColor="text1"/>
          <w14:textFill>
            <w14:solidFill>
              <w14:schemeClr w14:val="tx1"/>
            </w14:solidFill>
          </w14:textFill>
        </w:rPr>
        <w:tab/>
      </w:r>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pStyle w:val="5"/>
        <w:numPr>
          <w:ilvl w:val="2"/>
          <w:numId w:val="3"/>
        </w:numPr>
        <w:spacing w:after="200" w:line="240" w:lineRule="auto"/>
        <w:ind w:left="0" w:firstLine="0"/>
        <w:rPr>
          <w:color w:val="000000" w:themeColor="text1"/>
          <w14:textFill>
            <w14:solidFill>
              <w14:schemeClr w14:val="tx1"/>
            </w14:solidFill>
          </w14:textFill>
        </w:rPr>
      </w:pPr>
      <w:bookmarkStart w:id="83" w:name="_Toc183582223"/>
      <w:bookmarkStart w:id="84" w:name="_Toc183682360"/>
      <w:bookmarkStart w:id="85" w:name="_Toc217446050"/>
      <w:r>
        <w:rPr>
          <w:rFonts w:hint="eastAsia"/>
          <w:color w:val="000000" w:themeColor="text1"/>
          <w14:textFill>
            <w14:solidFill>
              <w14:schemeClr w14:val="tx1"/>
            </w14:solidFill>
          </w14:textFill>
        </w:rPr>
        <w:t>投标报价</w:t>
      </w:r>
    </w:p>
    <w:p>
      <w:pPr>
        <w:numPr>
          <w:ilvl w:val="0"/>
          <w:numId w:val="21"/>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投标保证金</w:t>
      </w:r>
      <w:bookmarkEnd w:id="83"/>
      <w:bookmarkEnd w:id="84"/>
      <w:bookmarkEnd w:id="8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本项目不收取投标保证金。</w:t>
      </w:r>
    </w:p>
    <w:p>
      <w:pPr>
        <w:pStyle w:val="5"/>
        <w:numPr>
          <w:ilvl w:val="2"/>
          <w:numId w:val="3"/>
        </w:numPr>
        <w:tabs>
          <w:tab w:val="left" w:pos="851"/>
        </w:tabs>
        <w:spacing w:after="200" w:line="240" w:lineRule="auto"/>
        <w:ind w:left="0" w:firstLine="0"/>
        <w:rPr>
          <w:color w:val="000000" w:themeColor="text1"/>
          <w14:textFill>
            <w14:solidFill>
              <w14:schemeClr w14:val="tx1"/>
            </w14:solidFill>
          </w14:textFill>
        </w:rPr>
      </w:pPr>
      <w:bookmarkStart w:id="86" w:name="_Toc316291400"/>
      <w:bookmarkEnd w:id="86"/>
      <w:bookmarkStart w:id="87" w:name="_Toc316292024"/>
      <w:bookmarkEnd w:id="87"/>
      <w:bookmarkStart w:id="88" w:name="_Toc183582224"/>
      <w:bookmarkStart w:id="89" w:name="_Toc217446051"/>
      <w:bookmarkStart w:id="90" w:name="_Toc183682361"/>
      <w:r>
        <w:rPr>
          <w:rFonts w:hint="eastAsia"/>
          <w:color w:val="000000" w:themeColor="text1"/>
          <w14:textFill>
            <w14:solidFill>
              <w14:schemeClr w14:val="tx1"/>
            </w14:solidFill>
          </w14:textFill>
        </w:rPr>
        <w:t>投标有效期</w:t>
      </w:r>
      <w:bookmarkEnd w:id="88"/>
      <w:bookmarkEnd w:id="89"/>
      <w:bookmarkEnd w:id="90"/>
    </w:p>
    <w:p>
      <w:pPr>
        <w:numPr>
          <w:ilvl w:val="0"/>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bookmarkStart w:id="91" w:name="_Toc183582225"/>
      <w:bookmarkStart w:id="92" w:name="_Toc217446052"/>
      <w:bookmarkStart w:id="93" w:name="_Toc183682362"/>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特殊情况下，采购人可于投标有效期满之前要求投标人同意延长有效期，要求与答复均应为书面形式。投标人可以拒绝上述要求，同意延长投标有效期的投标人不能修改其投标文件。</w:t>
      </w:r>
    </w:p>
    <w:p>
      <w:pPr>
        <w:pStyle w:val="5"/>
        <w:numPr>
          <w:ilvl w:val="2"/>
          <w:numId w:val="3"/>
        </w:numPr>
        <w:tabs>
          <w:tab w:val="left" w:pos="851"/>
        </w:tabs>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投标文件的制作和签章、加密</w:t>
      </w:r>
      <w:bookmarkEnd w:id="91"/>
      <w:bookmarkEnd w:id="92"/>
      <w:bookmarkEnd w:id="93"/>
      <w:bookmarkStart w:id="94" w:name="_Toc316475582"/>
      <w:bookmarkEnd w:id="94"/>
      <w:bookmarkStart w:id="95" w:name="_Toc316475577"/>
      <w:bookmarkEnd w:id="95"/>
      <w:bookmarkStart w:id="96" w:name="_Toc316475580"/>
      <w:bookmarkEnd w:id="96"/>
      <w:bookmarkStart w:id="97" w:name="_Toc316475578"/>
      <w:bookmarkEnd w:id="97"/>
      <w:bookmarkStart w:id="98" w:name="_Toc316475583"/>
      <w:bookmarkEnd w:id="98"/>
      <w:bookmarkStart w:id="99" w:name="_Toc316475581"/>
      <w:bookmarkEnd w:id="99"/>
      <w:bookmarkStart w:id="100" w:name="_Toc316475579"/>
      <w:bookmarkEnd w:id="100"/>
      <w:bookmarkStart w:id="101" w:name="_Toc183682364"/>
      <w:bookmarkStart w:id="102" w:name="_Toc183582227"/>
      <w:bookmarkStart w:id="103" w:name="_Toc21744605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101"/>
      <w:bookmarkEnd w:id="102"/>
      <w:r>
        <w:rPr>
          <w:rFonts w:hint="eastAsia"/>
          <w:color w:val="000000" w:themeColor="text1"/>
          <w14:textFill>
            <w14:solidFill>
              <w14:schemeClr w14:val="tx1"/>
            </w14:solidFill>
          </w14:textFill>
        </w:rPr>
        <w:t>递交</w:t>
      </w:r>
      <w:bookmarkEnd w:id="103"/>
    </w:p>
    <w:p>
      <w:pPr>
        <w:tabs>
          <w:tab w:val="left" w:pos="0"/>
        </w:tabs>
        <w:spacing w:line="360" w:lineRule="auto"/>
        <w:ind w:firstLine="560" w:firstLineChars="20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560" w:firstLineChars="20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5"/>
        <w:numPr>
          <w:ilvl w:val="2"/>
          <w:numId w:val="3"/>
        </w:numPr>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投标文件的补充、修改</w:t>
      </w:r>
    </w:p>
    <w:p>
      <w:pPr>
        <w:numPr>
          <w:ilvl w:val="0"/>
          <w:numId w:val="23"/>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3"/>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5"/>
        <w:numPr>
          <w:ilvl w:val="2"/>
          <w:numId w:val="3"/>
        </w:numPr>
        <w:spacing w:after="200"/>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numPr>
          <w:ilvl w:val="0"/>
          <w:numId w:val="24"/>
        </w:numPr>
        <w:spacing w:before="120" w:after="200" w:line="360" w:lineRule="auto"/>
        <w:ind w:left="0" w:firstLine="567"/>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登录政府采购云平台，点击“项目采购—开标评标”模块，找到对应项目，进入“开标大厅”，等待市公资交易中心开启解密后，进行线上解密。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14:textFill>
            <w14:solidFill>
              <w14:schemeClr w14:val="tx1"/>
            </w14:solidFill>
          </w14:textFill>
        </w:rPr>
        <w:t>市公资交易中心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04" w:name="_Toc316475587"/>
      <w:bookmarkEnd w:id="104"/>
      <w:bookmarkStart w:id="105" w:name="_Toc316475586"/>
      <w:bookmarkEnd w:id="105"/>
      <w:bookmarkStart w:id="106" w:name="_Toc75336292"/>
      <w:bookmarkStart w:id="107" w:name="_Toc89075878"/>
      <w:bookmarkStart w:id="108" w:name="_Toc183682368"/>
      <w:bookmarkStart w:id="109" w:name="_Toc28766"/>
      <w:bookmarkStart w:id="110" w:name="_Toc16979"/>
      <w:bookmarkStart w:id="111" w:name="_Toc183582231"/>
      <w:bookmarkStart w:id="112" w:name="_Toc217446056"/>
      <w:bookmarkStart w:id="113" w:name="_Toc31524"/>
      <w:bookmarkStart w:id="114" w:name="_Toc4457"/>
      <w:bookmarkStart w:id="115" w:name="_Toc77400782"/>
      <w:r>
        <w:rPr>
          <w:rFonts w:hint="eastAsia"/>
          <w:color w:val="000000" w:themeColor="text1"/>
          <w14:textFill>
            <w14:solidFill>
              <w14:schemeClr w14:val="tx1"/>
            </w14:solidFill>
          </w14:textFill>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3"/>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16" w:name="_Toc217446057"/>
      <w:bookmarkStart w:id="117" w:name="_Toc183582232"/>
      <w:bookmarkStart w:id="118" w:name="_Toc183682369"/>
      <w:r>
        <w:rPr>
          <w:rFonts w:hint="eastAsia" w:ascii="宋体" w:hAnsi="宋体"/>
          <w:b/>
          <w:bCs/>
          <w:color w:val="000000" w:themeColor="text1"/>
          <w:sz w:val="28"/>
          <w:szCs w:val="28"/>
          <w14:textFill>
            <w14:solidFill>
              <w14:schemeClr w14:val="tx1"/>
            </w14:solidFill>
          </w14:textFill>
        </w:rPr>
        <w:t>开标</w:t>
      </w:r>
      <w:bookmarkEnd w:id="116"/>
      <w:bookmarkEnd w:id="117"/>
      <w:bookmarkEnd w:id="118"/>
      <w:r>
        <w:rPr>
          <w:rFonts w:hint="eastAsia" w:ascii="宋体" w:hAnsi="宋体"/>
          <w:b/>
          <w:bCs/>
          <w:color w:val="000000" w:themeColor="text1"/>
          <w:sz w:val="28"/>
          <w:szCs w:val="28"/>
          <w14:textFill>
            <w14:solidFill>
              <w14:schemeClr w14:val="tx1"/>
            </w14:solidFill>
          </w14:textFill>
        </w:rPr>
        <w:t>及开标程序</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因市公资交易中心断电、断网、系统故障或其他不可抗力等因素导致不见面开标系统无法正常运行的，开标活动中止或延迟，待系统恢复正常后继续进行开标活动。</w:t>
      </w:r>
    </w:p>
    <w:p>
      <w:pPr>
        <w:pStyle w:val="84"/>
        <w:numPr>
          <w:ilvl w:val="0"/>
          <w:numId w:val="25"/>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评标</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pStyle w:val="5"/>
        <w:numPr>
          <w:ilvl w:val="2"/>
          <w:numId w:val="3"/>
        </w:numPr>
        <w:spacing w:after="200" w:line="240" w:lineRule="auto"/>
        <w:ind w:left="0" w:firstLine="0"/>
        <w:rPr>
          <w:color w:val="000000" w:themeColor="text1"/>
          <w14:textFill>
            <w14:solidFill>
              <w14:schemeClr w14:val="tx1"/>
            </w14:solidFill>
          </w14:textFill>
        </w:rPr>
      </w:pPr>
      <w:bookmarkStart w:id="119" w:name="_Toc183582238"/>
      <w:bookmarkStart w:id="120" w:name="_Toc183682375"/>
      <w:bookmarkStart w:id="121" w:name="_Toc217446063"/>
      <w:r>
        <w:rPr>
          <w:rFonts w:hint="eastAsia"/>
          <w:color w:val="000000" w:themeColor="text1"/>
          <w14:textFill>
            <w14:solidFill>
              <w14:schemeClr w14:val="tx1"/>
            </w14:solidFill>
          </w14:textFill>
        </w:rPr>
        <w:t>中标通知</w:t>
      </w:r>
      <w:bookmarkEnd w:id="119"/>
      <w:bookmarkEnd w:id="120"/>
      <w:r>
        <w:rPr>
          <w:rFonts w:hint="eastAsia"/>
          <w:color w:val="000000" w:themeColor="text1"/>
          <w14:textFill>
            <w14:solidFill>
              <w14:schemeClr w14:val="tx1"/>
            </w14:solidFill>
          </w14:textFill>
        </w:rPr>
        <w:t>书</w:t>
      </w:r>
      <w:bookmarkEnd w:id="121"/>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122" w:name="_Toc217446064"/>
      <w:bookmarkStart w:id="123" w:name="_Toc183582240"/>
      <w:bookmarkStart w:id="124"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25" w:name="_Toc18993"/>
      <w:bookmarkStart w:id="126" w:name="_Toc12385"/>
      <w:bookmarkStart w:id="127" w:name="_Toc19973"/>
      <w:bookmarkStart w:id="128" w:name="_Toc6010"/>
      <w:bookmarkStart w:id="129" w:name="_Toc75336293"/>
      <w:r>
        <w:rPr>
          <w:rFonts w:hint="eastAsia"/>
          <w:color w:val="000000" w:themeColor="text1"/>
          <w14:textFill>
            <w14:solidFill>
              <w14:schemeClr w14:val="tx1"/>
            </w14:solidFill>
          </w14:textFill>
        </w:rPr>
        <w:t>签订及履行合同</w:t>
      </w:r>
      <w:bookmarkEnd w:id="122"/>
      <w:r>
        <w:rPr>
          <w:rFonts w:hint="eastAsia"/>
          <w:color w:val="000000" w:themeColor="text1"/>
          <w14:textFill>
            <w14:solidFill>
              <w14:schemeClr w14:val="tx1"/>
            </w14:solidFill>
          </w14:textFill>
        </w:rPr>
        <w:t>和验收</w:t>
      </w:r>
      <w:bookmarkEnd w:id="125"/>
      <w:bookmarkEnd w:id="126"/>
      <w:bookmarkEnd w:id="127"/>
      <w:bookmarkEnd w:id="128"/>
      <w:bookmarkEnd w:id="129"/>
    </w:p>
    <w:p>
      <w:pPr>
        <w:pStyle w:val="5"/>
        <w:numPr>
          <w:ilvl w:val="2"/>
          <w:numId w:val="3"/>
        </w:numPr>
        <w:spacing w:after="200" w:line="240" w:lineRule="auto"/>
        <w:ind w:left="0" w:firstLine="0"/>
        <w:rPr>
          <w:color w:val="000000" w:themeColor="text1"/>
          <w14:textFill>
            <w14:solidFill>
              <w14:schemeClr w14:val="tx1"/>
            </w14:solidFill>
          </w14:textFill>
        </w:rPr>
      </w:pPr>
      <w:bookmarkStart w:id="130" w:name="_Toc217446065"/>
      <w:r>
        <w:rPr>
          <w:rFonts w:hint="eastAsia"/>
          <w:color w:val="000000" w:themeColor="text1"/>
          <w14:textFill>
            <w14:solidFill>
              <w14:schemeClr w14:val="tx1"/>
            </w14:solidFill>
          </w14:textFill>
        </w:rPr>
        <w:t>签订合同</w:t>
      </w:r>
      <w:bookmarkEnd w:id="130"/>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6"/>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5"/>
        <w:numPr>
          <w:ilvl w:val="2"/>
          <w:numId w:val="3"/>
        </w:numPr>
        <w:spacing w:after="200" w:line="240" w:lineRule="auto"/>
        <w:ind w:left="0" w:firstLine="0"/>
        <w:rPr>
          <w:color w:val="000000" w:themeColor="text1"/>
          <w14:textFill>
            <w14:solidFill>
              <w14:schemeClr w14:val="tx1"/>
            </w14:solidFill>
          </w14:textFill>
        </w:rPr>
      </w:pPr>
      <w:bookmarkStart w:id="131" w:name="_Toc315871033"/>
      <w:bookmarkEnd w:id="131"/>
      <w:bookmarkStart w:id="132" w:name="_Toc217446066"/>
      <w:bookmarkStart w:id="133" w:name="_Toc217446069"/>
      <w:r>
        <w:rPr>
          <w:rFonts w:hint="eastAsia"/>
          <w:color w:val="000000" w:themeColor="text1"/>
          <w14:textFill>
            <w14:solidFill>
              <w14:schemeClr w14:val="tx1"/>
            </w14:solidFill>
          </w14:textFill>
        </w:rPr>
        <w:t>合同分包</w:t>
      </w:r>
      <w:bookmarkEnd w:id="132"/>
      <w:r>
        <w:rPr>
          <w:rFonts w:hint="eastAsia"/>
          <w:color w:val="000000" w:themeColor="text1"/>
          <w14:textFill>
            <w14:solidFill>
              <w14:schemeClr w14:val="tx1"/>
            </w14:solidFill>
          </w14:textFill>
        </w:rPr>
        <w:t>和转包</w:t>
      </w:r>
    </w:p>
    <w:p>
      <w:pPr>
        <w:pStyle w:val="5"/>
        <w:numPr>
          <w:ilvl w:val="3"/>
          <w:numId w:val="3"/>
        </w:numPr>
        <w:spacing w:after="200" w:line="240" w:lineRule="auto"/>
        <w:rPr>
          <w:color w:val="000000" w:themeColor="text1"/>
          <w14:textFill>
            <w14:solidFill>
              <w14:schemeClr w14:val="tx1"/>
            </w14:solidFill>
          </w14:textFill>
        </w:rPr>
      </w:pPr>
      <w:bookmarkStart w:id="134" w:name="_Toc217446067"/>
      <w:r>
        <w:rPr>
          <w:rFonts w:hint="eastAsia"/>
          <w:color w:val="000000" w:themeColor="text1"/>
          <w14:textFill>
            <w14:solidFill>
              <w14:schemeClr w14:val="tx1"/>
            </w14:solidFill>
          </w14:textFill>
        </w:rPr>
        <w:t>合同分包</w:t>
      </w:r>
    </w:p>
    <w:p>
      <w:pPr>
        <w:pStyle w:val="121"/>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合同转包</w:t>
      </w:r>
    </w:p>
    <w:p>
      <w:pPr>
        <w:ind w:firstLine="560" w:firstLineChars="200"/>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kern w:val="0"/>
          <w:sz w:val="28"/>
          <w:szCs w:val="28"/>
          <w14:textFill>
            <w14:solidFill>
              <w14:schemeClr w14:val="tx1"/>
            </w14:solidFill>
          </w14:textFill>
        </w:rPr>
        <w:t xml:space="preserve">将本项目转给他人或者将本项目全部肢解以后以分包的名义分别转给他人的行为。 </w:t>
      </w:r>
    </w:p>
    <w:p>
      <w:pPr>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采购人增加合同标的的权</w:t>
      </w:r>
      <w:bookmarkEnd w:id="134"/>
      <w:r>
        <w:rPr>
          <w:rFonts w:hint="eastAsia"/>
          <w:color w:val="000000" w:themeColor="text1"/>
          <w14:textFill>
            <w14:solidFill>
              <w14:schemeClr w14:val="tx1"/>
            </w14:solidFill>
          </w14:textFill>
        </w:rPr>
        <w:t>利</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5"/>
        <w:numPr>
          <w:ilvl w:val="2"/>
          <w:numId w:val="3"/>
        </w:numPr>
        <w:spacing w:after="200" w:line="240" w:lineRule="auto"/>
        <w:ind w:left="0" w:firstLine="0"/>
        <w:rPr>
          <w:color w:val="000000" w:themeColor="text1"/>
          <w14:textFill>
            <w14:solidFill>
              <w14:schemeClr w14:val="tx1"/>
            </w14:solidFill>
          </w14:textFill>
        </w:rPr>
      </w:pPr>
      <w:bookmarkStart w:id="135" w:name="_Toc217446068"/>
      <w:r>
        <w:rPr>
          <w:rFonts w:hint="eastAsia"/>
          <w:color w:val="000000" w:themeColor="text1"/>
          <w14:textFill>
            <w14:solidFill>
              <w14:schemeClr w14:val="tx1"/>
            </w14:solidFill>
          </w14:textFill>
        </w:rPr>
        <w:t>履约保证金</w:t>
      </w:r>
      <w:bookmarkEnd w:id="13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w:t>
      </w:r>
      <w:r>
        <w:rPr>
          <w:rFonts w:ascii="宋体" w:hAnsi="宋体"/>
          <w:color w:val="000000" w:themeColor="text1"/>
          <w:sz w:val="28"/>
          <w:szCs w:val="28"/>
          <w14:textFill>
            <w14:solidFill>
              <w14:schemeClr w14:val="tx1"/>
            </w14:solidFill>
          </w14:textFill>
        </w:rPr>
        <w:t>收取履约保证金</w:t>
      </w:r>
      <w:r>
        <w:rPr>
          <w:rFonts w:hint="eastAsia" w:ascii="宋体" w:hAnsi="宋体"/>
          <w:color w:val="000000" w:themeColor="text1"/>
          <w:sz w:val="28"/>
          <w:szCs w:val="28"/>
          <w14:textFill>
            <w14:solidFill>
              <w14:schemeClr w14:val="tx1"/>
            </w14:solidFill>
          </w14:textFill>
        </w:rPr>
        <w:t>。</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合同公告</w:t>
      </w:r>
    </w:p>
    <w:p>
      <w:pPr>
        <w:pStyle w:val="13"/>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合同备案</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sz w:val="28"/>
          <w:szCs w:val="28"/>
        </w:rPr>
        <w:t>疫情防控期间，采购人原则上在5个工作日内与供应商签订政府采购合同及按彭州市财政局的要求完成合同备案工作。</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履行合同</w:t>
      </w:r>
      <w:bookmarkEnd w:id="133"/>
    </w:p>
    <w:p>
      <w:pPr>
        <w:numPr>
          <w:ilvl w:val="0"/>
          <w:numId w:val="2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合同一经签订，双方应严格履行合同规定的义务。</w:t>
      </w:r>
    </w:p>
    <w:p>
      <w:pPr>
        <w:numPr>
          <w:ilvl w:val="0"/>
          <w:numId w:val="2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在合同履行过程中，如发生合同纠纷，合同双方应按照《中华人民共和国民法典》及合同条款的有关规定进行处理。</w:t>
      </w:r>
    </w:p>
    <w:p>
      <w:pPr>
        <w:pStyle w:val="5"/>
        <w:numPr>
          <w:ilvl w:val="2"/>
          <w:numId w:val="3"/>
        </w:numPr>
        <w:spacing w:after="200" w:line="240" w:lineRule="auto"/>
        <w:ind w:left="0" w:firstLine="0"/>
        <w:rPr>
          <w:color w:val="000000" w:themeColor="text1"/>
          <w14:textFill>
            <w14:solidFill>
              <w14:schemeClr w14:val="tx1"/>
            </w14:solidFill>
          </w14:textFill>
        </w:rPr>
      </w:pPr>
      <w:bookmarkStart w:id="136" w:name="_Toc217446070"/>
      <w:r>
        <w:rPr>
          <w:rFonts w:hint="eastAsia"/>
          <w:color w:val="000000" w:themeColor="text1"/>
          <w14:textFill>
            <w14:solidFill>
              <w14:schemeClr w14:val="tx1"/>
            </w14:solidFill>
          </w14:textFill>
        </w:rPr>
        <w:t>验收或考核</w:t>
      </w:r>
    </w:p>
    <w:p>
      <w:pPr>
        <w:pStyle w:val="13"/>
        <w:spacing w:after="0" w:line="240" w:lineRule="auto"/>
        <w:ind w:firstLine="560" w:firstLineChars="200"/>
        <w:rPr>
          <w:rFonts w:ascii="宋体" w:hAnsi="宋体"/>
          <w:b/>
          <w:color w:val="000000" w:themeColor="text1"/>
          <w14:textFill>
            <w14:solidFill>
              <w14:schemeClr w14:val="tx1"/>
            </w14:solidFill>
          </w14:textFill>
        </w:rPr>
      </w:pPr>
      <w:bookmarkStart w:id="137"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37"/>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资金支付</w:t>
      </w:r>
    </w:p>
    <w:p>
      <w:pPr>
        <w:pStyle w:val="39"/>
        <w:shd w:val="clear" w:color="auto" w:fill="FFFFFF"/>
        <w:spacing w:before="0" w:beforeAutospacing="0" w:after="0" w:afterAutospacing="0"/>
        <w:ind w:firstLine="57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采购人按财政部门的相关规定及采购合同的约定进行支付。</w:t>
      </w:r>
    </w:p>
    <w:bookmarkEnd w:id="123"/>
    <w:bookmarkEnd w:id="124"/>
    <w:bookmarkEnd w:id="136"/>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38" w:name="_Toc13859"/>
      <w:bookmarkStart w:id="139" w:name="_Toc12434"/>
      <w:bookmarkStart w:id="140" w:name="_Toc217446074"/>
      <w:bookmarkStart w:id="141" w:name="_Toc6102"/>
      <w:bookmarkStart w:id="142" w:name="_Toc30945"/>
      <w:bookmarkStart w:id="143" w:name="_Toc75336294"/>
      <w:bookmarkStart w:id="144" w:name="_Toc183582243"/>
      <w:bookmarkStart w:id="145" w:name="_Toc183682380"/>
      <w:r>
        <w:rPr>
          <w:rFonts w:hint="eastAsia"/>
          <w:color w:val="000000" w:themeColor="text1"/>
          <w14:textFill>
            <w14:solidFill>
              <w14:schemeClr w14:val="tx1"/>
            </w14:solidFill>
          </w14:textFill>
        </w:rPr>
        <w:t>投标纪律要求</w:t>
      </w:r>
      <w:bookmarkEnd w:id="138"/>
      <w:bookmarkEnd w:id="139"/>
      <w:bookmarkEnd w:id="140"/>
      <w:bookmarkEnd w:id="141"/>
      <w:bookmarkEnd w:id="142"/>
      <w:bookmarkEnd w:id="143"/>
    </w:p>
    <w:p>
      <w:pPr>
        <w:pStyle w:val="5"/>
        <w:numPr>
          <w:ilvl w:val="2"/>
          <w:numId w:val="3"/>
        </w:numPr>
        <w:spacing w:after="200" w:line="240" w:lineRule="auto"/>
        <w:ind w:left="0" w:firstLine="0"/>
        <w:rPr>
          <w:color w:val="000000" w:themeColor="text1"/>
          <w14:textFill>
            <w14:solidFill>
              <w14:schemeClr w14:val="tx1"/>
            </w14:solidFill>
          </w14:textFill>
        </w:rPr>
      </w:pPr>
      <w:bookmarkStart w:id="146" w:name="_Toc217446075"/>
      <w:r>
        <w:rPr>
          <w:rFonts w:hint="eastAsia"/>
          <w:color w:val="000000" w:themeColor="text1"/>
          <w14:textFill>
            <w14:solidFill>
              <w14:schemeClr w14:val="tx1"/>
            </w14:solidFill>
          </w14:textFill>
        </w:rPr>
        <w:t>投标人不得具有的情形</w:t>
      </w:r>
      <w:bookmarkEnd w:id="146"/>
    </w:p>
    <w:p>
      <w:pPr>
        <w:pStyle w:val="13"/>
        <w:spacing w:line="240" w:lineRule="auto"/>
        <w:ind w:firstLine="567"/>
        <w:rPr>
          <w:rFonts w:ascii="宋体" w:hAnsi="宋体"/>
          <w:color w:val="000000" w:themeColor="text1"/>
          <w:sz w:val="28"/>
          <w:szCs w:val="28"/>
          <w14:textFill>
            <w14:solidFill>
              <w14:schemeClr w14:val="tx1"/>
            </w14:solidFill>
          </w14:textFill>
        </w:rPr>
      </w:pPr>
      <w:bookmarkStart w:id="147" w:name="_Toc314574786"/>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ind w:firstLine="425" w:firstLineChars="1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进行协商谈判；</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8"/>
        </w:numPr>
        <w:tabs>
          <w:tab w:val="left" w:pos="1134"/>
          <w:tab w:val="left" w:pos="1418"/>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pStyle w:val="13"/>
        <w:spacing w:line="24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tabs>
          <w:tab w:val="left" w:pos="1134"/>
        </w:tabs>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保密</w:t>
      </w:r>
      <w:bookmarkEnd w:id="147"/>
    </w:p>
    <w:p>
      <w:pPr>
        <w:pStyle w:val="13"/>
        <w:numPr>
          <w:ilvl w:val="0"/>
          <w:numId w:val="29"/>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pStyle w:val="13"/>
        <w:numPr>
          <w:ilvl w:val="0"/>
          <w:numId w:val="29"/>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有关投标文件的审查、澄清、评估和比较等情况都不得对外透露。</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回避</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在政府采购活动中，采购人员（如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14:textFill>
            <w14:solidFill>
              <w14:schemeClr w14:val="tx1"/>
            </w14:solidFill>
          </w14:textFill>
        </w:rPr>
        <w:t>市公资交易中心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）及相关人员与供应商有下列利害关系之一的，应当回避：</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w:t>
      </w:r>
      <w:r>
        <w:rPr>
          <w:rFonts w:cs="Helvetica"/>
          <w:color w:val="000000" w:themeColor="text1"/>
          <w:sz w:val="28"/>
          <w:szCs w:val="28"/>
          <w14:textFill>
            <w14:solidFill>
              <w14:schemeClr w14:val="tx1"/>
            </w14:solidFill>
          </w14:textFill>
        </w:rPr>
        <w:t>、</w:t>
      </w:r>
      <w:r>
        <w:rPr>
          <w:rFonts w:hint="eastAsia" w:cs="Helvetica"/>
          <w:color w:val="000000" w:themeColor="text1"/>
          <w:sz w:val="28"/>
          <w:szCs w:val="28"/>
          <w14:textFill>
            <w14:solidFill>
              <w14:schemeClr w14:val="tx1"/>
            </w14:solidFill>
          </w14:textFill>
        </w:rPr>
        <w:t>参加采购活动前3年内与供应商存在劳动关系；</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二、参加采购活动前3年内担任供应商的董事、监事；</w:t>
      </w:r>
    </w:p>
    <w:p>
      <w:pPr>
        <w:pStyle w:val="39"/>
        <w:shd w:val="clear" w:color="auto" w:fill="FFFFFF"/>
        <w:spacing w:before="0" w:beforeAutospacing="0" w:after="0" w:afterAutospacing="0"/>
        <w:ind w:firstLine="562" w:firstLineChars="201"/>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三、参加采购活动前3年内是供应商的控股股东或者实际控制人；</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四、与供应商的法定代表人或者负责人有夫妻、直系血亲、三代以内旁系血亲或者近姻亲关系；</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五、与供应商有其他可能影响政府采购活动公平、公正进行的关系。</w:t>
      </w:r>
    </w:p>
    <w:p>
      <w:pPr>
        <w:pStyle w:val="39"/>
        <w:shd w:val="clear" w:color="auto" w:fill="FFFFFF"/>
        <w:spacing w:before="0" w:beforeAutospacing="0" w:after="0" w:afterAutospacing="0"/>
        <w:ind w:firstLine="560" w:firstLineChars="200"/>
        <w:rPr>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4"/>
    <w:bookmarkEnd w:id="145"/>
    <w:p>
      <w:pPr>
        <w:pStyle w:val="4"/>
        <w:numPr>
          <w:ilvl w:val="1"/>
          <w:numId w:val="3"/>
        </w:numPr>
        <w:spacing w:before="0" w:after="0" w:line="240" w:lineRule="auto"/>
        <w:ind w:left="993" w:hanging="993"/>
        <w:rPr>
          <w:color w:val="000000" w:themeColor="text1"/>
          <w14:textFill>
            <w14:solidFill>
              <w14:schemeClr w14:val="tx1"/>
            </w14:solidFill>
          </w14:textFill>
        </w:rPr>
      </w:pPr>
      <w:bookmarkStart w:id="148" w:name="_Toc446402234"/>
      <w:bookmarkStart w:id="149" w:name="_Toc217446078"/>
      <w:bookmarkStart w:id="150" w:name="_Toc8315"/>
      <w:bookmarkStart w:id="151" w:name="_Toc21164"/>
      <w:bookmarkStart w:id="152" w:name="_Toc15833"/>
      <w:bookmarkStart w:id="153" w:name="_Toc26656"/>
      <w:bookmarkStart w:id="154" w:name="_Toc75336295"/>
      <w:bookmarkStart w:id="155" w:name="_Toc379536619"/>
      <w:bookmarkStart w:id="156" w:name="_Toc374971122"/>
      <w:r>
        <w:rPr>
          <w:rFonts w:hint="eastAsia"/>
          <w:color w:val="000000" w:themeColor="text1"/>
          <w14:textFill>
            <w14:solidFill>
              <w14:schemeClr w14:val="tx1"/>
            </w14:solidFill>
          </w14:textFill>
        </w:rPr>
        <w:t>询问、质疑和投诉</w:t>
      </w:r>
      <w:bookmarkEnd w:id="148"/>
      <w:bookmarkEnd w:id="149"/>
      <w:bookmarkEnd w:id="150"/>
      <w:bookmarkEnd w:id="151"/>
      <w:bookmarkEnd w:id="152"/>
      <w:bookmarkEnd w:id="153"/>
      <w:bookmarkEnd w:id="154"/>
      <w:bookmarkStart w:id="157" w:name="_Toc217446079"/>
    </w:p>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31"/>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31"/>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供应商对除上述招标文件中的其他内容，采购过程及中标结果（除资格审查）提出询问或质疑的，应通过“政府采购云平台”向市公资交易中心提出</w:t>
      </w:r>
      <w:r>
        <w:rPr>
          <w:rFonts w:hint="eastAsia" w:ascii="宋体" w:hAnsi="宋体"/>
          <w:color w:val="000000" w:themeColor="text1"/>
          <w:sz w:val="28"/>
          <w:szCs w:val="28"/>
          <w14:textFill>
            <w14:solidFill>
              <w14:schemeClr w14:val="tx1"/>
            </w14:solidFill>
          </w14:textFill>
        </w:rPr>
        <w:t>。</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30"/>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市公资交易中心的质疑答复不满意，或者采购人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市公资交易中心未在规定期限内作出答复的，供应商可以在答复期满后15个工作日内向同级财政部门提起投诉。</w:t>
      </w:r>
    </w:p>
    <w:bookmarkEnd w:id="157"/>
    <w:p>
      <w:pPr>
        <w:pStyle w:val="4"/>
        <w:numPr>
          <w:ilvl w:val="1"/>
          <w:numId w:val="3"/>
        </w:numPr>
        <w:spacing w:before="0" w:after="0" w:line="240" w:lineRule="auto"/>
        <w:ind w:left="2269" w:hanging="2269"/>
        <w:rPr>
          <w:color w:val="000000" w:themeColor="text1"/>
          <w:sz w:val="36"/>
          <w:szCs w:val="36"/>
          <w14:textFill>
            <w14:solidFill>
              <w14:schemeClr w14:val="tx1"/>
            </w14:solidFill>
          </w14:textFill>
        </w:rPr>
      </w:pPr>
      <w:bookmarkStart w:id="158" w:name="_Toc8941"/>
      <w:bookmarkStart w:id="159" w:name="_Toc1212"/>
      <w:bookmarkStart w:id="160" w:name="_Toc11597"/>
      <w:bookmarkStart w:id="161" w:name="_Toc75336296"/>
      <w:bookmarkStart w:id="162" w:name="_Toc10245"/>
      <w:r>
        <w:rPr>
          <w:rFonts w:hint="eastAsia"/>
          <w:color w:val="000000" w:themeColor="text1"/>
          <w14:textFill>
            <w14:solidFill>
              <w14:schemeClr w14:val="tx1"/>
            </w14:solidFill>
          </w14:textFill>
        </w:rPr>
        <w:t>中小企业政府采购信用融资</w:t>
      </w:r>
      <w:bookmarkEnd w:id="155"/>
      <w:bookmarkEnd w:id="156"/>
      <w:bookmarkEnd w:id="158"/>
      <w:bookmarkEnd w:id="159"/>
      <w:bookmarkEnd w:id="160"/>
      <w:bookmarkEnd w:id="161"/>
      <w:bookmarkEnd w:id="162"/>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pPr>
    </w:p>
    <w:p>
      <w:pPr>
        <w:pStyle w:val="3"/>
        <w:numPr>
          <w:ilvl w:val="0"/>
          <w:numId w:val="3"/>
        </w:numPr>
        <w:spacing w:line="240" w:lineRule="auto"/>
        <w:rPr>
          <w:color w:val="000000" w:themeColor="text1"/>
          <w14:textFill>
            <w14:solidFill>
              <w14:schemeClr w14:val="tx1"/>
            </w14:solidFill>
          </w14:textFill>
        </w:rPr>
      </w:pPr>
      <w:bookmarkStart w:id="163" w:name="_Toc315871047"/>
      <w:bookmarkEnd w:id="163"/>
      <w:bookmarkStart w:id="164" w:name="_Toc315871049"/>
      <w:bookmarkEnd w:id="164"/>
      <w:bookmarkStart w:id="165" w:name="_Toc316292050"/>
      <w:bookmarkEnd w:id="165"/>
      <w:bookmarkStart w:id="166" w:name="_Toc315871048"/>
      <w:bookmarkEnd w:id="166"/>
      <w:bookmarkStart w:id="167" w:name="_Toc315871050"/>
      <w:bookmarkEnd w:id="167"/>
      <w:bookmarkStart w:id="168" w:name="_Toc315871045"/>
      <w:bookmarkEnd w:id="168"/>
      <w:bookmarkStart w:id="169" w:name="_Toc316292049"/>
      <w:bookmarkEnd w:id="169"/>
      <w:bookmarkStart w:id="170" w:name="_Toc316292048"/>
      <w:bookmarkEnd w:id="170"/>
      <w:bookmarkStart w:id="171" w:name="_Toc316292051"/>
      <w:bookmarkEnd w:id="171"/>
      <w:bookmarkStart w:id="172" w:name="_Toc315871046"/>
      <w:bookmarkEnd w:id="172"/>
      <w:bookmarkStart w:id="173" w:name="_Toc316292052"/>
      <w:bookmarkEnd w:id="173"/>
      <w:bookmarkStart w:id="174" w:name="_Toc75336297"/>
      <w:bookmarkStart w:id="175" w:name="_Toc8836"/>
      <w:bookmarkStart w:id="176" w:name="_Toc7565"/>
      <w:bookmarkStart w:id="177" w:name="_Toc17383"/>
      <w:bookmarkStart w:id="178" w:name="_Toc29131"/>
      <w:r>
        <w:rPr>
          <w:rFonts w:hint="eastAsia"/>
          <w:color w:val="000000" w:themeColor="text1"/>
          <w14:textFill>
            <w14:solidFill>
              <w14:schemeClr w14:val="tx1"/>
            </w14:solidFill>
          </w14:textFill>
        </w:rPr>
        <w:t>投标文件格式</w:t>
      </w:r>
      <w:bookmarkEnd w:id="174"/>
      <w:bookmarkEnd w:id="175"/>
      <w:bookmarkEnd w:id="176"/>
      <w:bookmarkEnd w:id="177"/>
      <w:bookmarkEnd w:id="178"/>
    </w:p>
    <w:p>
      <w:pPr>
        <w:pStyle w:val="4"/>
        <w:numPr>
          <w:ilvl w:val="1"/>
          <w:numId w:val="3"/>
        </w:numPr>
        <w:spacing w:line="240" w:lineRule="auto"/>
        <w:ind w:left="2269" w:hanging="2269"/>
        <w:rPr>
          <w:color w:val="000000" w:themeColor="text1"/>
          <w14:textFill>
            <w14:solidFill>
              <w14:schemeClr w14:val="tx1"/>
            </w14:solidFill>
          </w14:textFill>
        </w:rPr>
      </w:pPr>
      <w:bookmarkStart w:id="179" w:name="_Toc294688711"/>
      <w:bookmarkStart w:id="180" w:name="_Toc287367101"/>
      <w:bookmarkStart w:id="181" w:name="_Toc182759327"/>
      <w:bookmarkStart w:id="182" w:name="_Toc294701519"/>
      <w:bookmarkStart w:id="183" w:name="_Toc15035"/>
      <w:bookmarkStart w:id="184" w:name="_Toc211218954"/>
      <w:bookmarkStart w:id="185" w:name="_Toc2879"/>
      <w:bookmarkStart w:id="186" w:name="_Toc187"/>
      <w:bookmarkStart w:id="187" w:name="_Toc23011"/>
      <w:bookmarkStart w:id="188" w:name="_Toc316462354"/>
      <w:bookmarkStart w:id="189" w:name="_Toc182629023"/>
      <w:bookmarkStart w:id="190" w:name="_Toc295978802"/>
      <w:bookmarkStart w:id="191" w:name="_Toc75336298"/>
      <w:r>
        <w:rPr>
          <w:rFonts w:hint="eastAsia"/>
          <w:color w:val="000000" w:themeColor="text1"/>
          <w14:textFill>
            <w14:solidFill>
              <w14:schemeClr w14:val="tx1"/>
            </w14:solidFill>
          </w14:textFill>
        </w:rPr>
        <w:t>投标文件封面格式</w:t>
      </w:r>
      <w:bookmarkEnd w:id="179"/>
      <w:bookmarkEnd w:id="180"/>
      <w:bookmarkEnd w:id="181"/>
      <w:bookmarkEnd w:id="182"/>
      <w:bookmarkEnd w:id="183"/>
      <w:bookmarkEnd w:id="184"/>
      <w:bookmarkEnd w:id="185"/>
      <w:bookmarkEnd w:id="186"/>
      <w:bookmarkEnd w:id="187"/>
      <w:bookmarkEnd w:id="188"/>
      <w:bookmarkEnd w:id="189"/>
      <w:bookmarkEnd w:id="190"/>
      <w:bookmarkEnd w:id="191"/>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jc w:val="right"/>
        <w:rPr>
          <w:rFonts w:ascii="宋体" w:hAnsi="宋体"/>
          <w:color w:val="000000" w:themeColor="text1"/>
          <w:sz w:val="24"/>
          <w14:textFill>
            <w14:solidFill>
              <w14:schemeClr w14:val="tx1"/>
            </w14:solidFill>
          </w14:textFill>
        </w:rPr>
      </w:pPr>
    </w:p>
    <w:p>
      <w:pPr>
        <w:jc w:val="center"/>
        <w:rPr>
          <w:rFonts w:ascii="宋体" w:hAnsi="宋体"/>
          <w:color w:val="000000" w:themeColor="text1"/>
          <w:spacing w:val="78"/>
          <w:sz w:val="120"/>
          <w:szCs w:val="120"/>
          <w14:textFill>
            <w14:solidFill>
              <w14:schemeClr w14:val="tx1"/>
            </w14:solidFill>
          </w14:textFill>
        </w:rPr>
      </w:pPr>
      <w:r>
        <w:rPr>
          <w:rFonts w:hint="eastAsia" w:ascii="宋体" w:hAnsi="宋体"/>
          <w:color w:val="000000" w:themeColor="text1"/>
          <w:spacing w:val="78"/>
          <w:sz w:val="120"/>
          <w:szCs w:val="120"/>
          <w14:textFill>
            <w14:solidFill>
              <w14:schemeClr w14:val="tx1"/>
            </w14:solidFill>
          </w14:textFill>
        </w:rPr>
        <w:t>投标文件</w:t>
      </w:r>
    </w:p>
    <w:p>
      <w:pPr>
        <w:rPr>
          <w:rFonts w:ascii="宋体" w:hAnsi="宋体"/>
          <w:bCs/>
          <w:color w:val="000000" w:themeColor="text1"/>
          <w:sz w:val="36"/>
          <w14:textFill>
            <w14:solidFill>
              <w14:schemeClr w14:val="tx1"/>
            </w14:solidFill>
          </w14:textFill>
        </w:rPr>
      </w:pPr>
    </w:p>
    <w:p>
      <w:pPr>
        <w:tabs>
          <w:tab w:val="left" w:pos="665"/>
          <w:tab w:val="left" w:pos="3241"/>
          <w:tab w:val="left" w:pos="3525"/>
          <w:tab w:val="left" w:pos="3994"/>
          <w:tab w:val="left" w:pos="4234"/>
        </w:tabs>
        <w:ind w:firstLine="643" w:firstLineChars="200"/>
        <w:jc w:val="left"/>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项目名称：XX</w:t>
      </w:r>
    </w:p>
    <w:p>
      <w:pPr>
        <w:tabs>
          <w:tab w:val="left" w:pos="665"/>
        </w:tabs>
        <w:ind w:firstLine="565" w:firstLineChars="176"/>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项目编号：彭州市政采（2021）A00XX号</w:t>
      </w:r>
    </w:p>
    <w:p>
      <w:pPr>
        <w:jc w:val="left"/>
        <w:rPr>
          <w:rFonts w:ascii="宋体" w:hAnsi="宋体"/>
          <w:b/>
          <w:bCs/>
          <w:color w:val="000000" w:themeColor="text1"/>
          <w:sz w:val="36"/>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92" w:name="_Toc729"/>
      <w:bookmarkStart w:id="193" w:name="_Toc22607"/>
      <w:bookmarkStart w:id="194" w:name="_Toc22488"/>
      <w:bookmarkStart w:id="195" w:name="_Toc9940"/>
      <w:bookmarkStart w:id="196" w:name="_Toc75336299"/>
      <w:bookmarkStart w:id="197" w:name="_Toc217446082"/>
      <w:r>
        <w:rPr>
          <w:rFonts w:hint="eastAsia"/>
          <w:color w:val="000000" w:themeColor="text1"/>
          <w14:textFill>
            <w14:solidFill>
              <w14:schemeClr w14:val="tx1"/>
            </w14:solidFill>
          </w14:textFill>
        </w:rPr>
        <w:t>资格性审查部分</w:t>
      </w:r>
      <w:bookmarkEnd w:id="192"/>
      <w:bookmarkEnd w:id="193"/>
      <w:bookmarkEnd w:id="194"/>
      <w:bookmarkEnd w:id="195"/>
      <w:bookmarkEnd w:id="196"/>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关于投标人资格申明的函</w:t>
      </w:r>
    </w:p>
    <w:p>
      <w:pPr>
        <w:rPr>
          <w:rFonts w:ascii="宋体" w:hAnsi="宋体"/>
          <w:color w:val="000000" w:themeColor="text1"/>
          <w:sz w:val="28"/>
          <w:szCs w:val="28"/>
          <w14:textFill>
            <w14:solidFill>
              <w14:schemeClr w14:val="tx1"/>
            </w14:solidFill>
          </w14:textFill>
        </w:rPr>
      </w:pPr>
      <w:bookmarkStart w:id="198" w:name="_Toc238581782"/>
      <w:bookmarkStart w:id="199" w:name="_Toc146903609"/>
      <w:bookmarkStart w:id="200" w:name="_Toc119203988"/>
      <w:bookmarkStart w:id="201" w:name="_Toc119295087"/>
      <w:bookmarkStart w:id="202" w:name="_Toc52184753"/>
      <w:bookmarkStart w:id="203" w:name="_Toc119296788"/>
      <w:r>
        <w:rPr>
          <w:rFonts w:hint="eastAsia" w:ascii="宋体" w:hAnsi="宋体"/>
          <w:color w:val="000000" w:themeColor="text1"/>
          <w:sz w:val="28"/>
          <w:szCs w:val="28"/>
          <w14:textFill>
            <w14:solidFill>
              <w14:schemeClr w14:val="tx1"/>
            </w14:solidFill>
          </w14:textFill>
        </w:rPr>
        <w:t>致：彭州市公共资源交易服务中心</w:t>
      </w:r>
      <w:bookmarkEnd w:id="198"/>
    </w:p>
    <w:p>
      <w:pPr>
        <w:ind w:firstLine="565" w:firstLineChars="202"/>
        <w:rPr>
          <w:rFonts w:ascii="宋体" w:hAnsi="宋体"/>
          <w:color w:val="000000" w:themeColor="text1"/>
          <w:sz w:val="28"/>
          <w:szCs w:val="28"/>
          <w14:textFill>
            <w14:solidFill>
              <w14:schemeClr w14:val="tx1"/>
            </w14:solidFill>
          </w14:textFill>
        </w:rPr>
      </w:pPr>
      <w:bookmarkStart w:id="204" w:name="_Toc238581783"/>
      <w:r>
        <w:rPr>
          <w:rFonts w:hint="eastAsia" w:ascii="宋体" w:hAnsi="宋体"/>
          <w:color w:val="000000" w:themeColor="text1"/>
          <w:sz w:val="28"/>
          <w:szCs w:val="28"/>
          <w14:textFill>
            <w14:solidFill>
              <w14:schemeClr w14:val="tx1"/>
            </w14:solidFill>
          </w14:textFill>
        </w:rPr>
        <w:t>关于我方对</w:t>
      </w:r>
      <w:r>
        <w:rPr>
          <w:rFonts w:hint="eastAsia" w:ascii="宋体" w:hAnsi="宋体"/>
          <w:b/>
          <w:color w:val="000000" w:themeColor="text1"/>
          <w:sz w:val="28"/>
          <w:szCs w:val="28"/>
          <w:u w:val="single"/>
          <w14:textFill>
            <w14:solidFill>
              <w14:schemeClr w14:val="tx1"/>
            </w14:solidFill>
          </w14:textFill>
        </w:rPr>
        <w:t>XX项目（项目编号：彭州市政采（2021）A00XX号）</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204"/>
    </w:p>
    <w:bookmarkEnd w:id="199"/>
    <w:bookmarkEnd w:id="200"/>
    <w:bookmarkEnd w:id="201"/>
    <w:bookmarkEnd w:id="202"/>
    <w:bookmarkEnd w:id="203"/>
    <w:p>
      <w:pPr>
        <w:widowControl/>
        <w:numPr>
          <w:ilvl w:val="2"/>
          <w:numId w:val="32"/>
        </w:numPr>
        <w:spacing w:after="200"/>
        <w:ind w:left="0" w:firstLine="560" w:firstLineChars="200"/>
        <w:rPr>
          <w:rFonts w:ascii="宋体" w:hAnsi="宋体"/>
          <w:color w:val="000000" w:themeColor="text1"/>
          <w:sz w:val="28"/>
          <w:szCs w:val="28"/>
          <w14:textFill>
            <w14:solidFill>
              <w14:schemeClr w14:val="tx1"/>
            </w14:solidFill>
          </w14:textFill>
        </w:rPr>
      </w:pPr>
      <w:bookmarkStart w:id="205" w:name="_Toc238581784"/>
      <w:r>
        <w:rPr>
          <w:rFonts w:hint="eastAsia" w:ascii="宋体" w:hAnsi="宋体"/>
          <w:color w:val="000000" w:themeColor="text1"/>
          <w:sz w:val="28"/>
          <w:szCs w:val="28"/>
          <w14:textFill>
            <w14:solidFill>
              <w14:schemeClr w14:val="tx1"/>
            </w14:solidFill>
          </w14:textFill>
        </w:rPr>
        <w:t>投标人名称及概况：</w:t>
      </w:r>
      <w:bookmarkEnd w:id="205"/>
    </w:p>
    <w:p>
      <w:pPr>
        <w:widowControl/>
        <w:numPr>
          <w:ilvl w:val="0"/>
          <w:numId w:val="33"/>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3"/>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widowControl/>
        <w:ind w:left="1261"/>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 XXXX</w:t>
      </w:r>
    </w:p>
    <w:p>
      <w:pPr>
        <w:widowControl/>
        <w:numPr>
          <w:ilvl w:val="0"/>
          <w:numId w:val="33"/>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3"/>
        </w:numPr>
        <w:spacing w:after="200"/>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2"/>
        </w:numPr>
        <w:tabs>
          <w:tab w:val="left" w:pos="1276"/>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left="283" w:leftChars="135" w:firstLine="280" w:firstLineChars="100"/>
        <w:rPr>
          <w:rFonts w:ascii="宋体" w:hAnsi="宋体"/>
          <w:bCs/>
          <w:color w:val="000000" w:themeColor="text1"/>
          <w:sz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20XX年XX月XX日</w:t>
      </w: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color w:val="000000" w:themeColor="text1"/>
          <w:sz w:val="28"/>
          <w:szCs w:val="28"/>
          <w14:textFill>
            <w14:solidFill>
              <w14:schemeClr w14:val="tx1"/>
            </w14:solidFill>
          </w14:textFill>
        </w:rPr>
      </w:pPr>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致：彭州市公共资源交易服务中心</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14:textFill>
            <w14:solidFill>
              <w14:schemeClr w14:val="tx1"/>
            </w14:solidFill>
          </w14:textFill>
        </w:rPr>
        <w:t>XX项目（项目编号：彭州市政采（2021）A00XX号）</w:t>
      </w:r>
      <w:r>
        <w:rPr>
          <w:rFonts w:hint="eastAsia" w:ascii="宋体" w:hAnsi="宋体"/>
          <w:color w:val="000000" w:themeColor="text1"/>
          <w:sz w:val="28"/>
          <w:szCs w:val="28"/>
          <w14:textFill>
            <w14:solidFill>
              <w14:schemeClr w14:val="tx1"/>
            </w14:solidFill>
          </w14:textFill>
        </w:rPr>
        <w:t>的投标人，在此郑重声明：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color w:val="000000" w:themeColor="text1"/>
          <w:sz w:val="28"/>
          <w:szCs w:val="28"/>
          <w14:textFill>
            <w14:solidFill>
              <w14:schemeClr w14:val="tx1"/>
            </w14:solidFill>
          </w14:textFill>
        </w:rPr>
        <w:t xml:space="preserve"> 。</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ind w:firstLine="560" w:firstLineChars="200"/>
        <w:rPr>
          <w:bCs/>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 1.对声明中第一条的说明：如投标人在参加政府采购活动前三年内，在经营活动中有重大违法记录的，应填写“有”，投标人将被认定投标无效或被取消中标资格；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2.对声明中第三条的说明：单位负责人为同一人或者存在直接控股、管理关系的不同供应商，不得参加同一合同项下的政府采购活动；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pStyle w:val="5"/>
        <w:numPr>
          <w:ilvl w:val="2"/>
          <w:numId w:val="3"/>
        </w:numPr>
        <w:spacing w:after="200" w:line="240" w:lineRule="auto"/>
        <w:ind w:left="851"/>
        <w:rPr>
          <w:color w:val="auto"/>
        </w:rPr>
      </w:pPr>
      <w:r>
        <w:rPr>
          <w:rFonts w:hint="eastAsia"/>
          <w:color w:val="auto"/>
        </w:rPr>
        <w:t>中小企业声明函</w:t>
      </w:r>
    </w:p>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中小企业声明函</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本公司郑重声明，根据《政府采购促进中小企业发展管理办法》（财库〔2020〕46号）的规定，本公司参加</w:t>
      </w:r>
      <w:r>
        <w:rPr>
          <w:rFonts w:hint="eastAsia" w:ascii="宋体" w:hAnsi="宋体"/>
          <w:b/>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（采购单位）的</w:t>
      </w:r>
      <w:r>
        <w:rPr>
          <w:rFonts w:hint="eastAsia" w:ascii="宋体" w:hAnsi="宋体"/>
          <w:b/>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采购项目（</w:t>
      </w:r>
      <w:r>
        <w:rPr>
          <w:rFonts w:hint="eastAsia" w:ascii="宋体" w:hAnsi="宋体"/>
          <w:b/>
          <w:color w:val="000000" w:themeColor="text1"/>
          <w:sz w:val="28"/>
          <w:szCs w:val="28"/>
          <w:u w:val="single"/>
          <w14:textFill>
            <w14:solidFill>
              <w14:schemeClr w14:val="tx1"/>
            </w14:solidFill>
          </w14:textFill>
        </w:rPr>
        <w:t>彭州市政采（2021）A00XX号</w:t>
      </w:r>
      <w:r>
        <w:rPr>
          <w:rFonts w:hint="eastAsia" w:ascii="宋体" w:hAnsi="宋体"/>
          <w:color w:val="000000" w:themeColor="text1"/>
          <w:sz w:val="28"/>
          <w:szCs w:val="28"/>
          <w14:textFill>
            <w14:solidFill>
              <w14:schemeClr w14:val="tx1"/>
            </w14:solidFill>
          </w14:textFill>
        </w:rPr>
        <w:t>）采购活动，服务全部由符合政策要求的中小企业承接。相关企业的具体情况如下：</w:t>
      </w:r>
    </w:p>
    <w:p>
      <w:pPr>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b/>
          <w:color w:val="000000" w:themeColor="text1"/>
          <w:sz w:val="28"/>
          <w:szCs w:val="28"/>
          <w:u w:val="single"/>
          <w14:textFill>
            <w14:solidFill>
              <w14:schemeClr w14:val="tx1"/>
            </w14:solidFill>
          </w14:textFill>
        </w:rPr>
        <w:t>物业管理（</w:t>
      </w:r>
      <w:r>
        <w:rPr>
          <w:rFonts w:hint="eastAsia" w:ascii="宋体" w:hAnsi="宋体"/>
          <w:color w:val="000000" w:themeColor="text1"/>
          <w:sz w:val="28"/>
          <w:szCs w:val="28"/>
          <w14:textFill>
            <w14:solidFill>
              <w14:schemeClr w14:val="tx1"/>
            </w14:solidFill>
          </w14:textFill>
        </w:rPr>
        <w:t>采购文件中明确的所属行业）；承接企业为XXXX（企业名称），从业人员XX人，营业收入为XX万元，资产总额为XX万元，属于XXXX（中型企业、小型企业、微型企业）。</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以上企业，不属于大企业的分支机构，不存在控股股东为大企业的情形，也不存在与大企业的负责人为同一人的情形。</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本企业对上述声明内容的真实性负责。如有虚假，将依法承担相应责任。</w:t>
      </w:r>
    </w:p>
    <w:p>
      <w:pPr>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企业名称：XXXX </w:t>
      </w: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说明：1. 提供了《残疾人福利性单位声明函》或监狱企业证明文件复印件的不需提供；</w:t>
      </w:r>
    </w:p>
    <w:p>
      <w:pPr>
        <w:pStyle w:val="84"/>
        <w:numPr>
          <w:ilvl w:val="0"/>
          <w:numId w:val="32"/>
        </w:numPr>
        <w:ind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从业人员、营业收入、资产总额填报上一年度数据，无上一年度数据的新成立企业可不填报。</w:t>
      </w:r>
    </w:p>
    <w:p>
      <w:pPr>
        <w:pStyle w:val="5"/>
        <w:numPr>
          <w:ilvl w:val="2"/>
          <w:numId w:val="3"/>
        </w:numPr>
        <w:spacing w:after="200" w:line="240" w:lineRule="auto"/>
        <w:ind w:left="851"/>
        <w:rPr>
          <w:color w:val="auto"/>
        </w:rPr>
      </w:pPr>
      <w:r>
        <w:rPr>
          <w:rFonts w:hint="eastAsia"/>
          <w:color w:val="auto"/>
        </w:rPr>
        <w:t>残疾人福利性单位声明函</w:t>
      </w:r>
    </w:p>
    <w:p>
      <w:pPr>
        <w:spacing w:line="500" w:lineRule="exact"/>
        <w:jc w:val="center"/>
        <w:rPr>
          <w:rFonts w:ascii="宋体" w:hAnsi="宋体"/>
          <w:b/>
          <w:spacing w:val="6"/>
          <w:sz w:val="28"/>
          <w:szCs w:val="28"/>
        </w:rPr>
      </w:pPr>
      <w:r>
        <w:rPr>
          <w:rFonts w:hint="eastAsia" w:ascii="宋体" w:hAnsi="宋体"/>
          <w:b/>
          <w:spacing w:val="6"/>
          <w:sz w:val="28"/>
          <w:szCs w:val="28"/>
        </w:rPr>
        <w:t>残疾人福利性单位声明函</w:t>
      </w:r>
    </w:p>
    <w:p>
      <w:pPr>
        <w:spacing w:line="440" w:lineRule="exact"/>
        <w:rPr>
          <w:rFonts w:ascii="仿宋_GB2312" w:eastAsia="仿宋_GB2312"/>
          <w:b/>
          <w:spacing w:val="6"/>
          <w:sz w:val="30"/>
          <w:szCs w:val="30"/>
        </w:rPr>
      </w:pP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b/>
          <w:color w:val="000000" w:themeColor="text1"/>
          <w:sz w:val="28"/>
          <w:szCs w:val="28"/>
          <w:u w:val="single"/>
          <w14:textFill>
            <w14:solidFill>
              <w14:schemeClr w14:val="tx1"/>
            </w14:solidFill>
          </w14:textFill>
        </w:rPr>
        <w:t>XX</w:t>
      </w:r>
      <w:r>
        <w:rPr>
          <w:rFonts w:hint="eastAsia" w:ascii="宋体" w:hAnsi="宋体"/>
          <w:spacing w:val="6"/>
          <w:sz w:val="28"/>
          <w:szCs w:val="28"/>
        </w:rPr>
        <w:t>单位的</w:t>
      </w:r>
      <w:r>
        <w:rPr>
          <w:rFonts w:hint="eastAsia" w:ascii="宋体" w:hAnsi="宋体"/>
          <w:b/>
          <w:color w:val="000000" w:themeColor="text1"/>
          <w:sz w:val="28"/>
          <w:szCs w:val="28"/>
          <w:u w:val="single"/>
          <w14:textFill>
            <w14:solidFill>
              <w14:schemeClr w14:val="tx1"/>
            </w14:solidFill>
          </w14:textFill>
        </w:rPr>
        <w:t>XX</w:t>
      </w:r>
      <w:r>
        <w:rPr>
          <w:rFonts w:hint="eastAsia" w:ascii="宋体" w:hAnsi="宋体"/>
          <w:spacing w:val="6"/>
          <w:sz w:val="28"/>
          <w:szCs w:val="28"/>
        </w:rPr>
        <w:t>项目采购活动由本单位提供服务。</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w:t>
      </w:r>
      <w:r>
        <w:rPr>
          <w:rFonts w:ascii="宋体" w:hAnsi="宋体"/>
          <w:spacing w:val="6"/>
          <w:sz w:val="28"/>
          <w:szCs w:val="28"/>
        </w:rPr>
        <w:t xml:space="preserve">  </w:t>
      </w:r>
      <w:r>
        <w:rPr>
          <w:rFonts w:hint="eastAsia" w:ascii="宋体" w:hAnsi="宋体"/>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pPr>
        <w:ind w:firstLine="563"/>
        <w:rPr>
          <w:rFonts w:ascii="宋体" w:hAnsi="宋体"/>
          <w:b/>
          <w:kern w:val="0"/>
          <w:sz w:val="28"/>
          <w:szCs w:val="28"/>
        </w:rPr>
      </w:pPr>
    </w:p>
    <w:p>
      <w:pPr>
        <w:tabs>
          <w:tab w:val="left" w:pos="1260"/>
        </w:tabs>
        <w:spacing w:line="560" w:lineRule="exact"/>
        <w:ind w:firstLine="562" w:firstLineChars="200"/>
        <w:rPr>
          <w:rFonts w:ascii="宋体" w:hAnsi="宋体"/>
          <w:szCs w:val="28"/>
        </w:rPr>
      </w:pPr>
      <w:r>
        <w:rPr>
          <w:rFonts w:hint="eastAsia" w:ascii="宋体" w:hAnsi="宋体"/>
          <w:b/>
          <w:sz w:val="28"/>
          <w:szCs w:val="28"/>
        </w:rPr>
        <w:t>说明</w:t>
      </w:r>
      <w:r>
        <w:rPr>
          <w:rFonts w:ascii="宋体" w:hAnsi="宋体"/>
          <w:b/>
          <w:sz w:val="28"/>
          <w:szCs w:val="28"/>
        </w:rPr>
        <w:t>：</w:t>
      </w:r>
      <w:r>
        <w:rPr>
          <w:rFonts w:hint="eastAsia" w:ascii="宋体" w:hAnsi="宋体"/>
          <w:b/>
          <w:sz w:val="28"/>
          <w:szCs w:val="28"/>
        </w:rPr>
        <w:t>提供了《中小</w:t>
      </w:r>
      <w:r>
        <w:rPr>
          <w:rFonts w:ascii="宋体" w:hAnsi="宋体"/>
          <w:b/>
          <w:sz w:val="28"/>
          <w:szCs w:val="28"/>
        </w:rPr>
        <w:t>企业声明函</w:t>
      </w:r>
      <w:r>
        <w:rPr>
          <w:rFonts w:hint="eastAsia" w:ascii="宋体" w:hAnsi="宋体"/>
          <w:b/>
          <w:sz w:val="28"/>
          <w:szCs w:val="28"/>
        </w:rPr>
        <w:t>》或监狱企业证明文件复印件的不需提供。</w:t>
      </w:r>
    </w:p>
    <w:p>
      <w:pPr>
        <w:tabs>
          <w:tab w:val="left" w:pos="1260"/>
        </w:tabs>
        <w:spacing w:line="560" w:lineRule="exact"/>
        <w:ind w:firstLine="420" w:firstLineChars="200"/>
        <w:rPr>
          <w:rFonts w:ascii="宋体" w:hAnsi="宋体"/>
          <w:szCs w:val="28"/>
        </w:rPr>
      </w:pPr>
    </w:p>
    <w:p>
      <w:pPr>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投标人应提交的相关资格证明材料</w:t>
      </w:r>
    </w:p>
    <w:p>
      <w:pPr>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投标人按招标文件要求，应提供以下相关资格证明材料：</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由省级以上监狱管理局、戒毒管理局（含新疆生产建设兵团）出具的投标人属于监狱企业的证明文件复印件（说明：提供了《中小企业声明函》或《残疾人福利性单位声明函》的不需提供）；</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20</w:t>
      </w:r>
      <w:r>
        <w:rPr>
          <w:rFonts w:ascii="宋体" w:hAnsi="宋体"/>
          <w:color w:val="000000" w:themeColor="text1"/>
          <w:kern w:val="0"/>
          <w:sz w:val="28"/>
          <w:szCs w:val="28"/>
          <w14:textFill>
            <w14:solidFill>
              <w14:schemeClr w14:val="tx1"/>
            </w14:solidFill>
          </w14:textFill>
        </w:rPr>
        <w:t>19</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年会计年度资产负债表复印件（说明：投标人成立时间至递交投标文件截止时间止不足一年的，提供成立后任意时段的资产负债表复印件）；</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年任意时段的税收的银行电子回单或者行政部门出具的纳税证明或完税证明复印件；</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年任意时段的社保的银行电子回单或行政部门出具的社保缴纳证明材料复印件；</w:t>
      </w:r>
    </w:p>
    <w:p>
      <w:pPr>
        <w:numPr>
          <w:ilvl w:val="0"/>
          <w:numId w:val="34"/>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206" w:name="_Toc75336300"/>
      <w:bookmarkStart w:id="207" w:name="_Toc494464914"/>
      <w:bookmarkStart w:id="208" w:name="_Toc13982"/>
      <w:bookmarkStart w:id="209" w:name="_Toc29369"/>
      <w:bookmarkStart w:id="210" w:name="_Toc13502"/>
      <w:bookmarkStart w:id="211" w:name="_Toc14118"/>
      <w:r>
        <w:rPr>
          <w:rFonts w:hint="eastAsia"/>
          <w:color w:val="000000" w:themeColor="text1"/>
          <w14:textFill>
            <w14:solidFill>
              <w14:schemeClr w14:val="tx1"/>
            </w14:solidFill>
          </w14:textFill>
        </w:rPr>
        <w:t>服务、商务及其他要求响应部分</w:t>
      </w:r>
      <w:bookmarkEnd w:id="206"/>
      <w:bookmarkEnd w:id="207"/>
      <w:bookmarkEnd w:id="208"/>
      <w:bookmarkEnd w:id="209"/>
      <w:bookmarkEnd w:id="210"/>
      <w:bookmarkEnd w:id="211"/>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投标函</w:t>
      </w:r>
      <w:bookmarkEnd w:id="197"/>
    </w:p>
    <w:p>
      <w:pPr>
        <w:pStyle w:val="25"/>
        <w:spacing w:after="0" w:line="500" w:lineRule="exact"/>
        <w:ind w:left="0" w:leftChars="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彭州市公共资源交易服务中心：</w:t>
      </w:r>
    </w:p>
    <w:p>
      <w:pPr>
        <w:pStyle w:val="25"/>
        <w:spacing w:after="0" w:line="500" w:lineRule="exact"/>
        <w:ind w:left="0" w:leftChars="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14:textFill>
            <w14:solidFill>
              <w14:schemeClr w14:val="tx1"/>
            </w14:solidFill>
          </w14:textFill>
        </w:rPr>
        <w:t>XX</w:t>
      </w:r>
      <w:r>
        <w:rPr>
          <w:rFonts w:hint="eastAsia" w:ascii="宋体" w:hAnsi="宋体"/>
          <w:b/>
          <w:bCs/>
          <w:color w:val="000000" w:themeColor="text1"/>
          <w:sz w:val="28"/>
          <w:szCs w:val="28"/>
          <w:u w:val="single"/>
          <w14:textFill>
            <w14:solidFill>
              <w14:schemeClr w14:val="tx1"/>
            </w14:solidFill>
          </w14:textFill>
        </w:rPr>
        <w:t>（项目编号：彭州市政采（2021）A00XX号）</w:t>
      </w:r>
      <w:r>
        <w:rPr>
          <w:rFonts w:hint="eastAsia" w:ascii="宋体" w:hAnsi="宋体"/>
          <w:bCs/>
          <w:color w:val="000000" w:themeColor="text1"/>
          <w:sz w:val="28"/>
          <w:szCs w:val="28"/>
          <w14:textFill>
            <w14:solidFill>
              <w14:schemeClr w14:val="tx1"/>
            </w14:solidFill>
          </w14:textFill>
        </w:rPr>
        <w:t>招标文件，决定参加贵单位组织的本项目的投标。我方授权</w:t>
      </w:r>
      <w:r>
        <w:rPr>
          <w:rFonts w:hint="eastAsia" w:ascii="宋体" w:hAnsi="宋体"/>
          <w:bCs/>
          <w:color w:val="000000" w:themeColor="text1"/>
          <w:sz w:val="28"/>
          <w:szCs w:val="28"/>
          <w:u w:val="single"/>
          <w14:textFill>
            <w14:solidFill>
              <w14:schemeClr w14:val="tx1"/>
            </w14:solidFill>
          </w14:textFill>
        </w:rPr>
        <w:t>XXX（姓名、职务）</w:t>
      </w:r>
      <w:r>
        <w:rPr>
          <w:rFonts w:hint="eastAsia" w:ascii="宋体" w:hAnsi="宋体"/>
          <w:bCs/>
          <w:color w:val="000000" w:themeColor="text1"/>
          <w:sz w:val="28"/>
          <w:szCs w:val="28"/>
          <w14:textFill>
            <w14:solidFill>
              <w14:schemeClr w14:val="tx1"/>
            </w14:solidFill>
          </w14:textFill>
        </w:rPr>
        <w:t>代表我方</w:t>
      </w:r>
      <w:r>
        <w:rPr>
          <w:rFonts w:hint="eastAsia" w:ascii="宋体" w:hAnsi="宋体"/>
          <w:bCs/>
          <w:color w:val="000000" w:themeColor="text1"/>
          <w:sz w:val="28"/>
          <w:szCs w:val="28"/>
          <w:u w:val="single"/>
          <w14:textFill>
            <w14:solidFill>
              <w14:schemeClr w14:val="tx1"/>
            </w14:solidFill>
          </w14:textFill>
        </w:rPr>
        <w:t>XXX（投标人名称）</w:t>
      </w:r>
      <w:r>
        <w:rPr>
          <w:rFonts w:hint="eastAsia" w:ascii="宋体" w:hAnsi="宋体"/>
          <w:bCs/>
          <w:color w:val="000000" w:themeColor="text1"/>
          <w:sz w:val="28"/>
          <w:szCs w:val="28"/>
          <w14:textFill>
            <w14:solidFill>
              <w14:schemeClr w14:val="tx1"/>
            </w14:solidFill>
          </w14:textFill>
        </w:rPr>
        <w:t>全权处理本项目投标的有关事宜。</w:t>
      </w:r>
    </w:p>
    <w:p>
      <w:pPr>
        <w:numPr>
          <w:ilvl w:val="1"/>
          <w:numId w:val="35"/>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我方自愿按照招标文件规定的各项要求向采购人提供所需服务，</w:t>
      </w:r>
      <w:r>
        <w:rPr>
          <w:rFonts w:hint="eastAsia" w:ascii="宋体" w:hAnsi="宋体"/>
          <w:b/>
          <w:color w:val="000000" w:themeColor="text1"/>
          <w:sz w:val="28"/>
          <w:szCs w:val="28"/>
          <w14:textFill>
            <w14:solidFill>
              <w14:schemeClr w14:val="tx1"/>
            </w14:solidFill>
          </w14:textFill>
        </w:rPr>
        <w:t>投标报价以《投标报价表》为准</w:t>
      </w:r>
      <w:r>
        <w:rPr>
          <w:rFonts w:hint="eastAsia" w:ascii="宋体" w:hAnsi="宋体"/>
          <w:color w:val="000000" w:themeColor="text1"/>
          <w:sz w:val="28"/>
          <w:szCs w:val="28"/>
          <w14:textFill>
            <w14:solidFill>
              <w14:schemeClr w14:val="tx1"/>
            </w14:solidFill>
          </w14:textFill>
        </w:rPr>
        <w:t>。</w:t>
      </w:r>
    </w:p>
    <w:p>
      <w:pPr>
        <w:numPr>
          <w:ilvl w:val="1"/>
          <w:numId w:val="35"/>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5"/>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5"/>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投标有效期为从投标截止之日起120天。</w:t>
      </w:r>
    </w:p>
    <w:p>
      <w:pPr>
        <w:numPr>
          <w:ilvl w:val="1"/>
          <w:numId w:val="35"/>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我单位联系方式：XXXX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pStyle w:val="2"/>
        <w:rPr>
          <w:rFonts w:ascii="宋体" w:hAnsi="宋体"/>
          <w:color w:val="000000" w:themeColor="text1"/>
          <w:sz w:val="28"/>
          <w:szCs w:val="28"/>
          <w14:textFill>
            <w14:solidFill>
              <w14:schemeClr w14:val="tx1"/>
            </w14:solidFill>
          </w14:textFill>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r>
        <w:rPr>
          <w:rFonts w:hint="eastAsia" w:ascii="宋体" w:hAnsi="宋体"/>
          <w:sz w:val="28"/>
          <w:lang w:val="zh-CN"/>
        </w:rPr>
        <w:t>特此证明。</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pStyle w:val="2"/>
        <w:rPr>
          <w:rFonts w:ascii="宋体" w:hAnsi="宋体"/>
          <w:color w:val="000000" w:themeColor="text1"/>
          <w:sz w:val="28"/>
          <w:szCs w:val="28"/>
          <w14:textFill>
            <w14:solidFill>
              <w14:schemeClr w14:val="tx1"/>
            </w14:solidFill>
          </w14:textFill>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pStyle w:val="2"/>
        <w:rPr>
          <w:rFonts w:ascii="宋体" w:hAnsi="宋体"/>
          <w:color w:val="000000" w:themeColor="text1"/>
          <w:sz w:val="28"/>
          <w:szCs w:val="28"/>
          <w14:textFill>
            <w14:solidFill>
              <w14:schemeClr w14:val="tx1"/>
            </w14:solidFill>
          </w14:textFill>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投标人基本情况表</w:t>
      </w:r>
    </w:p>
    <w:tbl>
      <w:tblPr>
        <w:tblStyle w:val="43"/>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firstLine="1470" w:firstLineChars="700"/>
              <w:rPr>
                <w:rFonts w:hint="default"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szCs w:val="21"/>
              </w:rPr>
            </w:pPr>
          </w:p>
        </w:tc>
      </w:tr>
    </w:tbl>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 xml:space="preserve"> 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
      <w:pPr>
        <w:pStyle w:val="2"/>
      </w:pPr>
    </w:p>
    <w:p>
      <w:pPr>
        <w:pStyle w:val="5"/>
        <w:numPr>
          <w:ilvl w:val="2"/>
          <w:numId w:val="3"/>
        </w:numPr>
        <w:spacing w:after="200" w:line="240" w:lineRule="auto"/>
        <w:ind w:left="851"/>
        <w:rPr>
          <w:color w:val="auto"/>
        </w:rPr>
      </w:pPr>
      <w:r>
        <w:rPr>
          <w:rFonts w:hint="eastAsia"/>
          <w:color w:val="auto"/>
        </w:rPr>
        <w:t>服务方案及服务承诺</w:t>
      </w:r>
      <w:r>
        <w:rPr>
          <w:rFonts w:hint="eastAsia" w:ascii="宋体" w:hAnsi="宋体" w:eastAsia="宋体" w:cs="Times New Roman"/>
          <w:b/>
          <w:color w:val="000000" w:themeColor="text1"/>
          <w:kern w:val="2"/>
          <w:sz w:val="28"/>
          <w:szCs w:val="28"/>
          <w:lang w:val="en-US" w:eastAsia="zh-CN" w:bidi="ar-SA"/>
          <w14:textFill>
            <w14:solidFill>
              <w14:schemeClr w14:val="tx1"/>
            </w14:solidFill>
          </w14:textFill>
        </w:rPr>
        <w:t>(项目分析、公共秩序维护及应急管理服务、保洁服务、设施设备管理维养服务、绿化养护服务、类似业绩)</w:t>
      </w:r>
    </w:p>
    <w:p>
      <w:pPr>
        <w:snapToGrid w:val="0"/>
        <w:spacing w:line="360" w:lineRule="auto"/>
        <w:ind w:firstLine="273" w:firstLineChars="97"/>
        <w:rPr>
          <w:rFonts w:ascii="宋体" w:hAnsi="宋体"/>
          <w:b/>
          <w:sz w:val="28"/>
          <w:szCs w:val="28"/>
        </w:rPr>
      </w:pPr>
      <w:r>
        <w:rPr>
          <w:rFonts w:hint="eastAsia" w:ascii="宋体" w:hAnsi="宋体"/>
          <w:b/>
          <w:sz w:val="28"/>
          <w:szCs w:val="28"/>
        </w:rPr>
        <w:t>项目名称：</w:t>
      </w:r>
      <w:r>
        <w:rPr>
          <w:rFonts w:hint="eastAsia" w:ascii="宋体" w:hAnsi="宋体"/>
          <w:b/>
          <w:color w:val="000000" w:themeColor="text1"/>
          <w:sz w:val="28"/>
          <w:szCs w:val="28"/>
          <w:u w:val="single"/>
          <w14:textFill>
            <w14:solidFill>
              <w14:schemeClr w14:val="tx1"/>
            </w14:solidFill>
          </w14:textFill>
        </w:rPr>
        <w:t>XX项目</w:t>
      </w:r>
    </w:p>
    <w:p>
      <w:pPr>
        <w:pStyle w:val="84"/>
        <w:snapToGrid w:val="0"/>
        <w:spacing w:line="360" w:lineRule="auto"/>
        <w:ind w:left="283" w:firstLine="0" w:firstLineChars="0"/>
        <w:rPr>
          <w:rFonts w:ascii="宋体" w:hAnsi="宋体"/>
          <w:b/>
          <w:bCs/>
          <w:color w:val="000000" w:themeColor="text1"/>
          <w:sz w:val="28"/>
          <w:szCs w:val="28"/>
          <w:u w:val="single"/>
          <w14:textFill>
            <w14:solidFill>
              <w14:schemeClr w14:val="tx1"/>
            </w14:solidFill>
          </w14:textFill>
        </w:rPr>
      </w:pPr>
      <w:r>
        <w:rPr>
          <w:rFonts w:hint="eastAsia" w:ascii="宋体" w:hAnsi="宋体"/>
          <w:b/>
          <w:sz w:val="28"/>
          <w:szCs w:val="28"/>
        </w:rPr>
        <w:t>项目编号：</w:t>
      </w:r>
      <w:r>
        <w:rPr>
          <w:rFonts w:hint="eastAsia" w:ascii="宋体" w:hAnsi="宋体"/>
          <w:b/>
          <w:sz w:val="28"/>
          <w:szCs w:val="28"/>
          <w:u w:val="single"/>
        </w:rPr>
        <w:t>彭州</w:t>
      </w:r>
      <w:r>
        <w:rPr>
          <w:rFonts w:hint="eastAsia" w:ascii="宋体" w:hAnsi="宋体"/>
          <w:b/>
          <w:bCs/>
          <w:color w:val="000000" w:themeColor="text1"/>
          <w:sz w:val="28"/>
          <w:szCs w:val="28"/>
          <w:u w:val="single"/>
          <w14:textFill>
            <w14:solidFill>
              <w14:schemeClr w14:val="tx1"/>
            </w14:solidFill>
          </w14:textFill>
        </w:rPr>
        <w:t>市政采（2021）A00XX号</w:t>
      </w: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0" w:leftChars="0"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hint="eastAsia" w:ascii="宋体" w:hAnsi="宋体"/>
          <w:bCs/>
          <w:sz w:val="28"/>
        </w:rPr>
      </w:pPr>
    </w:p>
    <w:p>
      <w:pPr>
        <w:rPr>
          <w:rFonts w:hint="eastAsia" w:ascii="宋体" w:hAnsi="宋体"/>
          <w:bCs/>
          <w:sz w:val="28"/>
        </w:rPr>
      </w:pPr>
    </w:p>
    <w:p>
      <w:pPr>
        <w:pStyle w:val="2"/>
      </w:pPr>
    </w:p>
    <w:p/>
    <w:p>
      <w:pPr>
        <w:pStyle w:val="2"/>
      </w:pPr>
    </w:p>
    <w:p>
      <w:pPr>
        <w:pStyle w:val="5"/>
        <w:numPr>
          <w:ilvl w:val="2"/>
          <w:numId w:val="3"/>
        </w:numPr>
        <w:spacing w:after="200" w:line="240" w:lineRule="auto"/>
        <w:ind w:left="851"/>
        <w:rPr>
          <w:color w:val="auto"/>
        </w:rPr>
      </w:pPr>
      <w:r>
        <w:rPr>
          <w:rFonts w:hint="eastAsia"/>
          <w:color w:val="auto"/>
        </w:rPr>
        <w:t>扶持不发达地区和少数民族地区证明材料</w:t>
      </w:r>
    </w:p>
    <w:p>
      <w:pPr>
        <w:snapToGrid w:val="0"/>
        <w:spacing w:line="360" w:lineRule="auto"/>
        <w:ind w:firstLine="203" w:firstLineChars="97"/>
        <w:rPr>
          <w:rFonts w:ascii="宋体" w:hAnsi="宋体"/>
          <w:b/>
          <w:sz w:val="28"/>
          <w:szCs w:val="28"/>
        </w:rPr>
      </w:pPr>
      <w:r>
        <w:rPr>
          <w:rFonts w:hint="eastAsia"/>
        </w:rPr>
        <w:t xml:space="preserve"> </w:t>
      </w:r>
      <w:r>
        <w:rPr>
          <w:rFonts w:hint="eastAsia" w:ascii="宋体" w:hAnsi="宋体"/>
          <w:b/>
          <w:sz w:val="28"/>
          <w:szCs w:val="28"/>
        </w:rPr>
        <w:t>项目名称：</w:t>
      </w:r>
      <w:r>
        <w:rPr>
          <w:rFonts w:hint="eastAsia" w:ascii="宋体" w:hAnsi="宋体"/>
          <w:b/>
          <w:color w:val="000000" w:themeColor="text1"/>
          <w:sz w:val="28"/>
          <w:szCs w:val="28"/>
          <w:u w:val="single"/>
          <w14:textFill>
            <w14:solidFill>
              <w14:schemeClr w14:val="tx1"/>
            </w14:solidFill>
          </w14:textFill>
        </w:rPr>
        <w:t>XX项目</w:t>
      </w:r>
    </w:p>
    <w:p>
      <w:pPr>
        <w:pStyle w:val="84"/>
        <w:snapToGrid w:val="0"/>
        <w:spacing w:line="360" w:lineRule="auto"/>
        <w:ind w:left="283" w:firstLine="0" w:firstLineChars="0"/>
        <w:rPr>
          <w:rFonts w:ascii="宋体" w:hAnsi="宋体"/>
          <w:b/>
          <w:bCs/>
          <w:color w:val="000000" w:themeColor="text1"/>
          <w:sz w:val="28"/>
          <w:szCs w:val="28"/>
          <w:u w:val="single"/>
          <w14:textFill>
            <w14:solidFill>
              <w14:schemeClr w14:val="tx1"/>
            </w14:solidFill>
          </w14:textFill>
        </w:rPr>
      </w:pPr>
      <w:r>
        <w:rPr>
          <w:rFonts w:hint="eastAsia" w:ascii="宋体" w:hAnsi="宋体"/>
          <w:b/>
          <w:sz w:val="28"/>
          <w:szCs w:val="28"/>
        </w:rPr>
        <w:t>项目编号：</w:t>
      </w:r>
      <w:r>
        <w:rPr>
          <w:rFonts w:hint="eastAsia" w:ascii="宋体" w:hAnsi="宋体"/>
          <w:b/>
          <w:sz w:val="28"/>
          <w:szCs w:val="28"/>
          <w:u w:val="single"/>
        </w:rPr>
        <w:t>彭州</w:t>
      </w:r>
      <w:r>
        <w:rPr>
          <w:rFonts w:hint="eastAsia" w:ascii="宋体" w:hAnsi="宋体"/>
          <w:b/>
          <w:bCs/>
          <w:color w:val="000000" w:themeColor="text1"/>
          <w:sz w:val="28"/>
          <w:szCs w:val="28"/>
          <w:u w:val="single"/>
          <w14:textFill>
            <w14:solidFill>
              <w14:schemeClr w14:val="tx1"/>
            </w14:solidFill>
          </w14:textFill>
        </w:rPr>
        <w:t>市政采（2021）A00XX号</w:t>
      </w: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pStyle w:val="84"/>
        <w:snapToGrid w:val="0"/>
        <w:spacing w:line="360" w:lineRule="auto"/>
        <w:ind w:left="283" w:firstLine="0" w:firstLineChars="0"/>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
      <w:pPr>
        <w:pStyle w:val="2"/>
      </w:pPr>
    </w:p>
    <w:p/>
    <w:p>
      <w:pPr>
        <w:pStyle w:val="2"/>
        <w:rPr>
          <w:rFonts w:ascii="宋体" w:hAnsi="宋体"/>
          <w:color w:val="000000" w:themeColor="text1"/>
          <w:sz w:val="28"/>
          <w:szCs w:val="28"/>
          <w14:textFill>
            <w14:solidFill>
              <w14:schemeClr w14:val="tx1"/>
            </w14:solidFill>
          </w14:textFill>
        </w:rPr>
      </w:pPr>
    </w:p>
    <w:p>
      <w:pPr>
        <w:keepNext/>
        <w:keepLines/>
        <w:numPr>
          <w:ilvl w:val="2"/>
          <w:numId w:val="3"/>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rPr>
          <w:rFonts w:ascii="宋体" w:hAnsi="宋体"/>
          <w:b/>
          <w:sz w:val="28"/>
          <w:szCs w:val="28"/>
        </w:rPr>
      </w:pPr>
      <w:r>
        <w:rPr>
          <w:rFonts w:hint="eastAsia"/>
        </w:rPr>
        <w:t xml:space="preserve">       </w:t>
      </w:r>
      <w:r>
        <w:rPr>
          <w:rFonts w:hint="eastAsia" w:ascii="宋体" w:hAnsi="宋体"/>
          <w:b/>
          <w:sz w:val="28"/>
          <w:szCs w:val="28"/>
        </w:rPr>
        <w:t>项目名称：</w:t>
      </w:r>
      <w:r>
        <w:rPr>
          <w:rFonts w:hint="eastAsia" w:ascii="宋体" w:hAnsi="宋体"/>
          <w:b/>
          <w:color w:val="000000" w:themeColor="text1"/>
          <w:sz w:val="28"/>
          <w:szCs w:val="28"/>
          <w:u w:val="single"/>
          <w14:textFill>
            <w14:solidFill>
              <w14:schemeClr w14:val="tx1"/>
            </w14:solidFill>
          </w14:textFill>
        </w:rPr>
        <w:t>XX项目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bCs/>
          <w:color w:val="000000" w:themeColor="text1"/>
          <w:sz w:val="28"/>
          <w:szCs w:val="28"/>
          <w:u w:val="single"/>
          <w14:textFill>
            <w14:solidFill>
              <w14:schemeClr w14:val="tx1"/>
            </w14:solidFill>
          </w14:textFill>
        </w:rPr>
        <w:t>彭州市政采（2021）A00XX号</w:t>
      </w:r>
    </w:p>
    <w:p>
      <w:pPr>
        <w:adjustRightInd w:val="0"/>
        <w:snapToGrid w:val="0"/>
        <w:spacing w:line="360" w:lineRule="auto"/>
        <w:ind w:firstLine="602" w:firstLineChars="201"/>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我公司作为参加本项目的投标人，在此郑重承诺：</w:t>
      </w:r>
    </w:p>
    <w:p>
      <w:pPr>
        <w:adjustRightInd w:val="0"/>
        <w:snapToGrid w:val="0"/>
        <w:spacing w:line="360" w:lineRule="auto"/>
        <w:ind w:firstLine="605" w:firstLineChars="201"/>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一、我方为本项目提供的所有服务符合现行的强制性国家相关标准、行业标准。</w:t>
      </w:r>
    </w:p>
    <w:p>
      <w:pPr>
        <w:adjustRightInd w:val="0"/>
        <w:snapToGrid w:val="0"/>
        <w:spacing w:line="560" w:lineRule="exact"/>
        <w:ind w:firstLine="602" w:firstLineChars="200"/>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二、（第</w:t>
      </w:r>
      <w:r>
        <w:rPr>
          <w:rFonts w:hint="eastAsia" w:ascii="宋体" w:hAnsi="宋体"/>
          <w:b/>
          <w:color w:val="000000" w:themeColor="text1"/>
          <w:sz w:val="30"/>
          <w:szCs w:val="30"/>
          <w:lang w:val="en-US" w:eastAsia="zh-CN"/>
          <w14:textFill>
            <w14:solidFill>
              <w14:schemeClr w14:val="tx1"/>
            </w14:solidFill>
          </w14:textFill>
        </w:rPr>
        <w:t>6</w:t>
      </w:r>
      <w:r>
        <w:rPr>
          <w:rFonts w:hint="eastAsia" w:ascii="宋体" w:hAnsi="宋体"/>
          <w:b/>
          <w:color w:val="000000" w:themeColor="text1"/>
          <w:sz w:val="30"/>
          <w:szCs w:val="30"/>
          <w14:textFill>
            <w14:solidFill>
              <w14:schemeClr w14:val="tx1"/>
            </w14:solidFill>
          </w14:textFill>
        </w:rPr>
        <w:t>章</w:t>
      </w:r>
      <w:r>
        <w:rPr>
          <w:rFonts w:hint="eastAsia" w:ascii="宋体" w:hAnsi="宋体"/>
          <w:b/>
          <w:color w:val="000000" w:themeColor="text1"/>
          <w:sz w:val="30"/>
          <w:szCs w:val="30"/>
          <w:lang w:eastAsia="zh-CN"/>
          <w14:textFill>
            <w14:solidFill>
              <w14:schemeClr w14:val="tx1"/>
            </w14:solidFill>
          </w14:textFill>
        </w:rPr>
        <w:t>评分标准</w:t>
      </w:r>
      <w:r>
        <w:rPr>
          <w:rFonts w:hint="eastAsia" w:ascii="宋体" w:hAnsi="宋体"/>
          <w:b/>
          <w:color w:val="000000" w:themeColor="text1"/>
          <w:sz w:val="30"/>
          <w:szCs w:val="30"/>
          <w14:textFill>
            <w14:solidFill>
              <w14:schemeClr w14:val="tx1"/>
            </w14:solidFill>
          </w14:textFill>
        </w:rPr>
        <w:t>需要承诺的内容自拟…………）</w:t>
      </w:r>
    </w:p>
    <w:p>
      <w:pPr>
        <w:pStyle w:val="2"/>
        <w:rPr>
          <w:rFonts w:ascii="宋体" w:hAnsi="宋体"/>
          <w:b/>
          <w:color w:val="000000" w:themeColor="text1"/>
          <w:kern w:val="2"/>
          <w:sz w:val="30"/>
          <w:szCs w:val="30"/>
          <w14:textFill>
            <w14:solidFill>
              <w14:schemeClr w14:val="tx1"/>
            </w14:solidFill>
          </w14:textFill>
        </w:rPr>
      </w:pPr>
      <w:r>
        <w:rPr>
          <w:rFonts w:hint="eastAsia" w:ascii="宋体" w:hAnsi="宋体"/>
          <w:b/>
          <w:color w:val="000000" w:themeColor="text1"/>
          <w:kern w:val="2"/>
          <w:sz w:val="30"/>
          <w:szCs w:val="30"/>
          <w14:textFill>
            <w14:solidFill>
              <w14:schemeClr w14:val="tx1"/>
            </w14:solidFill>
          </w14:textFill>
        </w:rPr>
        <w:t xml:space="preserve">    ………………</w:t>
      </w:r>
    </w:p>
    <w:p>
      <w:pPr>
        <w:pStyle w:val="2"/>
        <w:rPr>
          <w:rFonts w:ascii="宋体" w:hAnsi="宋体"/>
          <w:b/>
          <w:color w:val="000000" w:themeColor="text1"/>
          <w:kern w:val="2"/>
          <w:sz w:val="30"/>
          <w:szCs w:val="30"/>
          <w14:textFill>
            <w14:solidFill>
              <w14:schemeClr w14:val="tx1"/>
            </w14:solidFill>
          </w14:textFill>
        </w:rPr>
      </w:pPr>
      <w:r>
        <w:rPr>
          <w:rFonts w:hint="eastAsia" w:ascii="宋体" w:hAnsi="宋体"/>
          <w:b/>
          <w:color w:val="000000" w:themeColor="text1"/>
          <w:kern w:val="2"/>
          <w:sz w:val="30"/>
          <w:szCs w:val="30"/>
          <w14:textFill>
            <w14:solidFill>
              <w14:schemeClr w14:val="tx1"/>
            </w14:solidFill>
          </w14:textFill>
        </w:rPr>
        <w:t xml:space="preserve">     </w:t>
      </w:r>
    </w:p>
    <w:p>
      <w:pPr>
        <w:adjustRightInd w:val="0"/>
        <w:snapToGrid w:val="0"/>
        <w:spacing w:line="560" w:lineRule="exact"/>
        <w:ind w:firstLine="560" w:firstLineChars="200"/>
        <w:rPr>
          <w:rFonts w:ascii="宋体" w:hAnsi="宋体"/>
          <w:sz w:val="28"/>
        </w:rPr>
      </w:pPr>
    </w:p>
    <w:p>
      <w:pPr>
        <w:adjustRightInd w:val="0"/>
        <w:snapToGrid w:val="0"/>
        <w:spacing w:line="560" w:lineRule="exact"/>
        <w:rPr>
          <w:rFonts w:ascii="宋体" w:hAnsi="宋体"/>
          <w:sz w:val="28"/>
        </w:rPr>
      </w:pPr>
    </w:p>
    <w:p>
      <w:pPr>
        <w:adjustRightInd w:val="0"/>
        <w:snapToGrid w:val="0"/>
        <w:spacing w:line="560" w:lineRule="exact"/>
        <w:ind w:firstLine="560" w:firstLineChars="20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napToGrid w:val="0"/>
        <w:spacing w:line="360" w:lineRule="auto"/>
        <w:ind w:firstLine="560" w:firstLineChars="200"/>
        <w:rPr>
          <w:rFonts w:ascii="宋体" w:hAnsi="宋体"/>
          <w:sz w:val="28"/>
          <w:szCs w:val="28"/>
        </w:rPr>
      </w:pPr>
    </w:p>
    <w:p>
      <w:pPr>
        <w:pStyle w:val="2"/>
        <w:rPr>
          <w:rFonts w:ascii="宋体" w:hAnsi="宋体"/>
          <w:sz w:val="28"/>
          <w:szCs w:val="28"/>
        </w:rPr>
      </w:pPr>
    </w:p>
    <w:p>
      <w:pPr>
        <w:rPr>
          <w:rFonts w:ascii="宋体" w:hAnsi="宋体"/>
          <w:sz w:val="28"/>
          <w:szCs w:val="28"/>
        </w:rPr>
      </w:pPr>
    </w:p>
    <w:p>
      <w:pPr>
        <w:pStyle w:val="2"/>
        <w:rPr>
          <w:rFonts w:ascii="宋体" w:hAnsi="宋体"/>
          <w:sz w:val="28"/>
          <w:szCs w:val="28"/>
        </w:rPr>
      </w:pPr>
    </w:p>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pPr>
    </w:p>
    <w:p/>
    <w:p>
      <w:pPr>
        <w:pStyle w:val="2"/>
      </w:pPr>
    </w:p>
    <w:p>
      <w:pPr>
        <w:snapToGrid w:val="0"/>
        <w:spacing w:line="360" w:lineRule="auto"/>
        <w:rPr>
          <w:rFonts w:ascii="宋体" w:hAnsi="宋体"/>
          <w:color w:val="000000" w:themeColor="text1"/>
          <w:sz w:val="28"/>
          <w:szCs w:val="28"/>
          <w14:textFill>
            <w14:solidFill>
              <w14:schemeClr w14:val="tx1"/>
            </w14:solidFill>
          </w14:textFill>
        </w:rPr>
      </w:pPr>
    </w:p>
    <w:p>
      <w:pPr>
        <w:keepNext/>
        <w:keepLines/>
        <w:numPr>
          <w:ilvl w:val="1"/>
          <w:numId w:val="3"/>
        </w:numPr>
        <w:spacing w:before="260" w:after="260" w:line="360" w:lineRule="auto"/>
        <w:jc w:val="left"/>
        <w:outlineLvl w:val="1"/>
        <w:rPr>
          <w:rFonts w:ascii="宋体" w:hAnsi="宋体"/>
          <w:b/>
          <w:sz w:val="28"/>
        </w:rPr>
      </w:pPr>
      <w:bookmarkStart w:id="212" w:name="_Toc73619745"/>
      <w:bookmarkStart w:id="213" w:name="_Toc75336301"/>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212"/>
      <w:bookmarkEnd w:id="213"/>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pStyle w:val="2"/>
        <w:rPr>
          <w:rFonts w:ascii="宋体" w:hAnsi="宋体"/>
          <w:color w:val="000000" w:themeColor="text1"/>
          <w:sz w:val="28"/>
          <w:szCs w:val="28"/>
          <w14:textFill>
            <w14:solidFill>
              <w14:schemeClr w14:val="tx1"/>
            </w14:solidFill>
          </w14:textFill>
        </w:rPr>
      </w:pPr>
      <w:r>
        <w:rPr>
          <w:rFonts w:hint="eastAsia" w:ascii="宋体" w:hAnsi="宋体"/>
          <w:b/>
          <w:bCs/>
          <w:sz w:val="28"/>
          <w:szCs w:val="28"/>
        </w:rPr>
        <w:t>标项1：</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jc w:val="center"/>
              <w:rPr>
                <w:rFonts w:hint="default"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rPr>
                <w:rFonts w:hint="default" w:ascii="宋体" w:hAnsi="宋体"/>
                <w:kern w:val="0"/>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5"/>
        <w:spacing w:line="500" w:lineRule="exact"/>
        <w:ind w:left="0" w:leftChars="0"/>
        <w:rPr>
          <w:rFonts w:ascii="宋体" w:hAnsi="宋体"/>
          <w:bCs/>
          <w:color w:val="000000" w:themeColor="text1"/>
          <w:sz w:val="28"/>
          <w14:textFill>
            <w14:solidFill>
              <w14:schemeClr w14:val="tx1"/>
            </w14:solidFill>
          </w14:textFill>
        </w:rPr>
      </w:pPr>
      <w:bookmarkStart w:id="214" w:name="_Toc220299404"/>
      <w:bookmarkStart w:id="215" w:name="_Toc217446083"/>
      <w:bookmarkStart w:id="216" w:name="_Toc263753615"/>
      <w:bookmarkStart w:id="217" w:name="_Toc263768873"/>
    </w:p>
    <w:bookmarkEnd w:id="214"/>
    <w:bookmarkEnd w:id="215"/>
    <w:bookmarkEnd w:id="216"/>
    <w:bookmarkEnd w:id="217"/>
    <w:p>
      <w:pPr>
        <w:pStyle w:val="3"/>
        <w:numPr>
          <w:ilvl w:val="0"/>
          <w:numId w:val="3"/>
        </w:numPr>
        <w:spacing w:before="0" w:after="0" w:line="500" w:lineRule="exact"/>
        <w:rPr>
          <w:color w:val="000000" w:themeColor="text1"/>
          <w14:textFill>
            <w14:solidFill>
              <w14:schemeClr w14:val="tx1"/>
            </w14:solidFill>
          </w14:textFill>
        </w:rPr>
      </w:pPr>
      <w:bookmarkStart w:id="218" w:name="_Toc1870"/>
      <w:bookmarkStart w:id="219" w:name="_Toc30585"/>
      <w:bookmarkStart w:id="220" w:name="_Toc4768"/>
      <w:bookmarkStart w:id="221" w:name="_Toc17291826"/>
      <w:bookmarkStart w:id="222" w:name="_Toc24469"/>
      <w:bookmarkStart w:id="223" w:name="_Toc75336302"/>
      <w:bookmarkStart w:id="224" w:name="_Toc316292231"/>
      <w:bookmarkStart w:id="225" w:name="_Toc321382057"/>
      <w:r>
        <w:rPr>
          <w:rFonts w:hint="eastAsia"/>
          <w:color w:val="000000" w:themeColor="text1"/>
          <w14:textFill>
            <w14:solidFill>
              <w14:schemeClr w14:val="tx1"/>
            </w14:solidFill>
          </w14:textFill>
        </w:rPr>
        <w:t>招标项目服务、商务及其他要求</w:t>
      </w:r>
      <w:bookmarkEnd w:id="218"/>
      <w:bookmarkEnd w:id="219"/>
      <w:bookmarkEnd w:id="220"/>
      <w:bookmarkEnd w:id="221"/>
      <w:bookmarkEnd w:id="222"/>
      <w:bookmarkEnd w:id="223"/>
    </w:p>
    <w:bookmarkEnd w:id="224"/>
    <w:bookmarkEnd w:id="225"/>
    <w:p>
      <w:pPr>
        <w:pStyle w:val="6"/>
        <w:widowControl/>
        <w:rPr>
          <w:rFonts w:hint="eastAsia" w:eastAsia="宋体"/>
          <w:lang w:val="en-US" w:eastAsia="zh-CN"/>
        </w:rPr>
      </w:pPr>
      <w:bookmarkStart w:id="226" w:name="_Toc513796936"/>
      <w:bookmarkStart w:id="227" w:name="_Toc5355"/>
      <w:bookmarkStart w:id="228" w:name="_Toc21821"/>
      <w:bookmarkStart w:id="229" w:name="_Toc26497"/>
      <w:bookmarkStart w:id="230" w:name="_Toc8639"/>
      <w:bookmarkStart w:id="231" w:name="_Toc24101"/>
      <w:r>
        <w:rPr>
          <w:rFonts w:hint="eastAsia" w:ascii="宋体" w:hAnsi="宋体" w:eastAsia="宋体" w:cs="宋体"/>
          <w:sz w:val="28"/>
          <w:szCs w:val="28"/>
          <w:lang w:val="en-US"/>
        </w:rPr>
        <w:t>4.1</w:t>
      </w:r>
      <w:r>
        <w:rPr>
          <w:rFonts w:hint="eastAsia" w:ascii="宋体" w:hAnsi="宋体" w:cs="宋体"/>
          <w:sz w:val="28"/>
          <w:szCs w:val="28"/>
          <w:lang w:val="en-US" w:eastAsia="zh-CN"/>
        </w:rPr>
        <w:t>项目概况</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投标人须依照现代企业制度，以合理的服务流程和服务人数、优良的服务质量、科学的物业管理理念、稳定的保障服务队伍、优惠的保障服务价格来制定详细的物业服务方案。方案中应充分体现自身的实力，发挥自身优势，用热心、爱心、专心、贴心服务，为天彭街道办事处安置小区提供全方位、一体化的物业服务。为保证各项服务人员管理透明、服务品质透明可视、人员配置科学合理。</w:t>
      </w:r>
    </w:p>
    <w:p>
      <w:pPr>
        <w:ind w:firstLine="560" w:firstLineChars="200"/>
        <w:rPr>
          <w:rFonts w:hint="eastAsia" w:ascii="宋体" w:hAnsi="宋体" w:eastAsia="宋体" w:cs="宋体"/>
          <w:kern w:val="0"/>
          <w:sz w:val="28"/>
          <w:szCs w:val="28"/>
          <w:lang w:val="en-US" w:eastAsia="zh-CN" w:bidi="ar"/>
        </w:rPr>
      </w:pPr>
      <w:r>
        <w:rPr>
          <w:rFonts w:hint="eastAsia" w:ascii="宋体" w:hAnsi="宋体" w:eastAsia="宋体" w:cs="宋体"/>
          <w:color w:val="000000"/>
          <w:sz w:val="28"/>
          <w:szCs w:val="28"/>
          <w:lang w:val="en-US" w:eastAsia="zh-CN" w:bidi="ar"/>
        </w:rPr>
        <w:t>为保证天彭街道办事处东湖花园三期安置小区物业服务工作正常进行，使小区物业服务质量和形象上升一个新台阶，现拟采购</w:t>
      </w:r>
      <w:r>
        <w:rPr>
          <w:rFonts w:hint="eastAsia" w:ascii="宋体" w:hAnsi="宋体" w:eastAsia="宋体" w:cs="宋体"/>
          <w:sz w:val="32"/>
          <w:szCs w:val="32"/>
          <w:lang w:val="en-US" w:eastAsia="zh-CN" w:bidi="ar"/>
        </w:rPr>
        <w:t>东湖花园三期</w:t>
      </w:r>
      <w:r>
        <w:rPr>
          <w:rFonts w:hint="eastAsia" w:ascii="宋体" w:hAnsi="宋体" w:eastAsia="宋体" w:cs="宋体"/>
          <w:color w:val="000000"/>
          <w:sz w:val="28"/>
          <w:szCs w:val="28"/>
          <w:lang w:val="en-US" w:eastAsia="zh-CN" w:bidi="ar"/>
        </w:rPr>
        <w:t>小区物业服务，包括综合管理服务、房屋管理、小区共用设施设备维修养护、维护公共秩序、保洁服务和绿化养护管理（含道路绿化保洁）。</w:t>
      </w:r>
      <w:r>
        <w:rPr>
          <w:rFonts w:hint="eastAsia" w:ascii="宋体" w:hAnsi="宋体" w:eastAsia="宋体" w:cs="宋体"/>
          <w:sz w:val="28"/>
          <w:szCs w:val="28"/>
          <w:lang w:val="en-US" w:eastAsia="zh-CN" w:bidi="ar"/>
        </w:rPr>
        <w:t>拟采购期限为2年，拟采购金额为</w:t>
      </w:r>
      <w:r>
        <w:rPr>
          <w:rFonts w:hint="eastAsia" w:ascii="宋体" w:hAnsi="宋体" w:eastAsia="宋体" w:cs="宋体"/>
          <w:sz w:val="28"/>
          <w:szCs w:val="28"/>
          <w:u w:val="single"/>
          <w:lang w:val="en-US" w:eastAsia="zh-CN" w:bidi="ar"/>
        </w:rPr>
        <w:t>1603000.00</w:t>
      </w:r>
      <w:r>
        <w:rPr>
          <w:rFonts w:hint="eastAsia" w:ascii="宋体" w:hAnsi="宋体" w:eastAsia="宋体" w:cs="宋体"/>
          <w:sz w:val="28"/>
          <w:szCs w:val="28"/>
          <w:lang w:val="en-US" w:eastAsia="zh-CN" w:bidi="ar"/>
        </w:rPr>
        <w:t>元</w:t>
      </w:r>
      <w:r>
        <w:rPr>
          <w:rFonts w:hint="eastAsia" w:ascii="宋体" w:hAnsi="宋体" w:cs="宋体"/>
          <w:sz w:val="28"/>
          <w:szCs w:val="28"/>
          <w:lang w:val="en-US" w:eastAsia="zh-CN" w:bidi="ar"/>
        </w:rPr>
        <w:t>。</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拟招标总建筑面积：东湖花园三期拟招标总建筑面积120000.00㎡；安置总户数：1020户，安置人数约3200余人，本次拟招标单价为0.45元/㎡，招标服务期限为2年，拟招标费用：648000元/年；</w:t>
      </w:r>
    </w:p>
    <w:p>
      <w:pPr>
        <w:pStyle w:val="39"/>
        <w:keepNext w:val="0"/>
        <w:keepLines w:val="0"/>
        <w:widowControl/>
        <w:suppressLineNumbers w:val="0"/>
        <w:spacing w:before="0" w:beforeAutospacing="0" w:after="12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拟招标道路保洁面积：锦阳西路1000㎡、锦泰路5000㎡，锦阳中路8250㎡、牡丹大道北三段（含绿化保洁维护面积）28400㎡，共道路4条，道路面积共计42650㎡，本次拟招标单价为0.3元/㎡，招标服务期限为2年，拟招标费用：153540.00元/年。</w:t>
      </w:r>
    </w:p>
    <w:p>
      <w:pPr>
        <w:pStyle w:val="6"/>
        <w:widowControl/>
        <w:rPr>
          <w:rFonts w:hint="eastAsia" w:ascii="宋体" w:hAnsi="宋体" w:eastAsia="宋体" w:cs="宋体"/>
          <w:sz w:val="28"/>
          <w:szCs w:val="28"/>
          <w:lang w:val="en-US"/>
        </w:rPr>
      </w:pPr>
      <w:r>
        <w:rPr>
          <w:rFonts w:hint="eastAsia" w:ascii="宋体" w:hAnsi="宋体" w:eastAsia="宋体" w:cs="宋体"/>
          <w:sz w:val="28"/>
          <w:szCs w:val="28"/>
          <w:lang w:val="en-US"/>
        </w:rPr>
        <w:t>4.2</w:t>
      </w:r>
      <w:r>
        <w:rPr>
          <w:rFonts w:hint="eastAsia" w:ascii="宋体" w:hAnsi="宋体" w:eastAsia="宋体" w:cs="宋体"/>
          <w:sz w:val="28"/>
          <w:szCs w:val="28"/>
          <w:lang w:eastAsia="zh-CN"/>
        </w:rPr>
        <w:t>项目服务标准要求：</w:t>
      </w:r>
    </w:p>
    <w:p>
      <w:pPr>
        <w:keepNext w:val="0"/>
        <w:keepLines w:val="0"/>
        <w:widowControl/>
        <w:suppressLineNumbers w:val="0"/>
        <w:tabs>
          <w:tab w:val="left" w:pos="6525"/>
        </w:tabs>
        <w:spacing w:before="0" w:beforeAutospacing="0" w:after="0" w:afterAutospacing="0"/>
        <w:ind w:left="0" w:right="0" w:firstLine="165" w:firstLineChars="59"/>
        <w:jc w:val="both"/>
        <w:rPr>
          <w:rFonts w:hint="eastAsia" w:ascii="宋体" w:hAnsi="宋体" w:eastAsia="宋体" w:cs="宋体"/>
          <w:color w:val="000000"/>
          <w:sz w:val="28"/>
          <w:szCs w:val="28"/>
          <w:lang w:val="en-US"/>
        </w:rPr>
      </w:pPr>
      <w:r>
        <w:rPr>
          <w:rFonts w:hint="eastAsia" w:ascii="宋体" w:hAnsi="宋体" w:eastAsia="宋体" w:cs="宋体"/>
          <w:kern w:val="0"/>
          <w:sz w:val="28"/>
          <w:szCs w:val="28"/>
          <w:lang w:val="en-US" w:eastAsia="zh-CN" w:bidi="ar"/>
        </w:rPr>
        <w:t>本项目的物业服务具体技术规范与要求如下：</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lang w:val="en-US"/>
        </w:rPr>
      </w:pPr>
    </w:p>
    <w:tbl>
      <w:tblPr>
        <w:tblStyle w:val="43"/>
        <w:tblW w:w="954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1"/>
        <w:gridCol w:w="85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34" w:hRule="atLeast"/>
          <w:jc w:val="center"/>
        </w:trPr>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val="0"/>
                <w:color w:val="000000"/>
                <w:sz w:val="28"/>
                <w:szCs w:val="28"/>
                <w:lang w:val="en-US"/>
              </w:rPr>
            </w:pPr>
            <w:r>
              <w:rPr>
                <w:rFonts w:hint="eastAsia" w:ascii="宋体" w:hAnsi="宋体" w:eastAsia="宋体" w:cs="宋体"/>
                <w:b/>
                <w:bCs w:val="0"/>
                <w:color w:val="000000"/>
                <w:kern w:val="0"/>
                <w:sz w:val="28"/>
                <w:szCs w:val="28"/>
                <w:lang w:val="en-US" w:eastAsia="zh-CN" w:bidi="ar"/>
              </w:rPr>
              <w:t>项目</w:t>
            </w:r>
          </w:p>
        </w:tc>
        <w:tc>
          <w:tcPr>
            <w:tcW w:w="85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val="0"/>
                <w:color w:val="000000"/>
                <w:sz w:val="28"/>
                <w:szCs w:val="28"/>
                <w:lang w:val="en-US"/>
              </w:rPr>
            </w:pPr>
            <w:r>
              <w:rPr>
                <w:rFonts w:hint="eastAsia" w:ascii="宋体" w:hAnsi="宋体" w:eastAsia="宋体" w:cs="宋体"/>
                <w:b/>
                <w:bCs w:val="0"/>
                <w:color w:val="000000"/>
                <w:kern w:val="0"/>
                <w:sz w:val="28"/>
                <w:szCs w:val="28"/>
                <w:lang w:val="en-US" w:eastAsia="zh-CN" w:bidi="ar"/>
              </w:rPr>
              <w:t>内 容 与 标 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1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（一）   综合管理服务</w:t>
            </w: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1、服务与被服务双方签订规范的物业服务合同，双方权利义务关系明确。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2、承接项目时，对住宅小区共用部位、共用设施设备进行认真查验，验收手续齐全。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3、管理人员、专业操作人员按照国家有关规定取得物业管理职业资格证书或者岗位证书。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4、有完善的物业管理方案，质量管理、财务管理、档案管理等制度健全。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5、管理服务人员佩戴标志，行为规范，服务主动、热情。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6、公示8小时服务电话。报修按双方约定时间到达现场，有报修、维修记录。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7、按有关规定和合同约定公布物业服务费用或者物业服务资金的收支情况。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8、每年至少1次征询业主对物业服务的意见，满意率70%以上。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（二）     房     屋     管     理</w:t>
            </w: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1、对房屋共用部位进行日常管理和维修养护，检修记录和保养记录齐全。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2、每周巡查1次小区房屋单元门、楼梯通道以及其他共用部位的门窗、玻璃等，定期维修养护。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按照住宅装饰装修管理有关规定和业主公约（业主临时公约）要求，建立完善的住宅装饰装修管理制度。装修前，依规定审核业主（使用人）的装修方案，告知装修人有关装饰装修的禁止行为和注意事项。至少两次巡查装修施工现场，发现影响房屋外观、危及房屋结构安全及拆改共用管线等损害公共利益现象的，及时劝阻并报告业主委员会和有关主管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4、对违反规划私搭乱建和擅自改变房屋用途的行为及时劝阻，并报告业主委员会和有关主管部门。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5、各组团、栋、单元（门）、户有明显标志。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restar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（三）    共用     设施     设备     维修     养护</w:t>
            </w:r>
          </w:p>
        </w:tc>
        <w:tc>
          <w:tcPr>
            <w:tcW w:w="8529"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1、对共用设施设备进行日常管理和维修养护（依法应由专业部门负责的除外）。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auto"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2、建立共用设施设备档案（设备台帐），设施设备的运行、检修等记录齐全。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auto"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3、操作维护人员严格执行设施设备操作规程及保养规范；设施设备运行正常。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auto"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4、消防设施设备完好，可随时启用；消防通道畅通。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auto"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5、路灯、楼道灯完好率不低于80%。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3" w:hRule="atLeast"/>
          <w:jc w:val="center"/>
        </w:trPr>
        <w:tc>
          <w:tcPr>
            <w:tcW w:w="1011" w:type="dxa"/>
            <w:vMerge w:val="continue"/>
            <w:tcBorders>
              <w:top w:val="nil"/>
              <w:left w:val="single" w:color="000000" w:sz="4" w:space="0"/>
              <w:bottom w:val="single" w:color="auto"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6、容易危及人身安全的设施设备有明显警示标志和防范措施；对可能发生的各种突发设备故障有应急方案。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（四）     协助     维护     公共     秩序</w:t>
            </w: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1、小区24小时值勤。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2、对重点区域、重点部位每3小时至少巡查1次。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3、车辆停放有序。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8"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4、对火灾、治安、公共卫生等突发事件有应急预案，事发时及时报告业主委员会和有关部门，并协助采取相应措施。</w:t>
            </w:r>
          </w:p>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5、按照各小区户数及布局分别在各点位配置足额的灭火器，并保证在履约期内的灭火器是有效且能正常使用的。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（五）     保洁     服务</w:t>
            </w:r>
          </w:p>
        </w:tc>
        <w:tc>
          <w:tcPr>
            <w:tcW w:w="8529" w:type="dxa"/>
            <w:tcBorders>
              <w:top w:val="single" w:color="auto" w:sz="4" w:space="0"/>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1、小区内设有垃圾收集点，生活垃圾每天清运1次。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2、小区公共场所每日清扫1次；楼道每日清扫1次；共用部位玻璃每季度清洁1次；路灯、楼道灯每半年清洁1次。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3、区内公共雨、污水管道每年疏通1次；雨、污水井每半年检查1次，并视检查情况及时清掏；化粪池每季度检查1次，每年清掏1次，发现异常及时清掏。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3"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（六）     绿化养        护管理</w:t>
            </w: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1、对草坪、花卉、绿篱、树木定期进行修剪、养护。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2、定期清除绿地杂草、杂物。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jc w:val="center"/>
        </w:trPr>
        <w:tc>
          <w:tcPr>
            <w:tcW w:w="1011"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3、预防花草、树木病虫害。</w:t>
            </w:r>
          </w:p>
          <w:p>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4、定期对绿化施肥。</w:t>
            </w:r>
          </w:p>
        </w:tc>
      </w:tr>
    </w:tbl>
    <w:p>
      <w:pPr>
        <w:pStyle w:val="6"/>
        <w:widowControl/>
        <w:rPr>
          <w:rFonts w:hint="eastAsia" w:ascii="宋体" w:hAnsi="宋体" w:eastAsia="宋体" w:cs="宋体"/>
          <w:sz w:val="28"/>
          <w:szCs w:val="28"/>
          <w:lang w:val="en-US"/>
        </w:rPr>
      </w:pPr>
      <w:r>
        <w:rPr>
          <w:rFonts w:hint="eastAsia" w:ascii="宋体" w:hAnsi="宋体" w:eastAsia="宋体" w:cs="宋体"/>
          <w:sz w:val="28"/>
          <w:szCs w:val="28"/>
          <w:lang w:val="en-US"/>
        </w:rPr>
        <w:t xml:space="preserve">4.3 </w:t>
      </w:r>
      <w:r>
        <w:rPr>
          <w:rFonts w:hint="eastAsia" w:ascii="宋体" w:hAnsi="宋体" w:eastAsia="宋体" w:cs="宋体"/>
          <w:sz w:val="28"/>
          <w:szCs w:val="28"/>
          <w:lang w:eastAsia="zh-CN"/>
        </w:rPr>
        <w:t>拟投入项目服务团队要求</w:t>
      </w:r>
    </w:p>
    <w:p>
      <w:pPr>
        <w:keepNext w:val="0"/>
        <w:keepLines w:val="0"/>
        <w:widowControl/>
        <w:suppressLineNumbers w:val="0"/>
        <w:spacing w:before="0" w:beforeAutospacing="0" w:after="0" w:afterAutospacing="0" w:line="360" w:lineRule="auto"/>
        <w:ind w:right="0"/>
        <w:jc w:val="both"/>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拟投入本项目的服务人员不得少于</w:t>
      </w:r>
      <w:r>
        <w:rPr>
          <w:rFonts w:hint="eastAsia" w:ascii="宋体" w:hAnsi="宋体" w:eastAsia="宋体" w:cs="宋体"/>
          <w:color w:val="FF0000"/>
          <w:kern w:val="0"/>
          <w:sz w:val="28"/>
          <w:szCs w:val="28"/>
          <w:u w:val="single"/>
          <w:lang w:val="en-US" w:eastAsia="zh-CN" w:bidi="ar"/>
        </w:rPr>
        <w:t>27</w:t>
      </w:r>
      <w:r>
        <w:rPr>
          <w:rFonts w:hint="eastAsia" w:ascii="宋体" w:hAnsi="宋体" w:eastAsia="宋体" w:cs="宋体"/>
          <w:kern w:val="0"/>
          <w:sz w:val="28"/>
          <w:szCs w:val="28"/>
          <w:lang w:val="en-US" w:eastAsia="zh-CN" w:bidi="ar"/>
        </w:rPr>
        <w:t>人。</w:t>
      </w:r>
    </w:p>
    <w:p>
      <w:pPr>
        <w:keepNext w:val="0"/>
        <w:keepLines w:val="0"/>
        <w:widowControl/>
        <w:suppressLineNumbers w:val="0"/>
        <w:spacing w:before="0" w:beforeAutospacing="0" w:after="0" w:afterAutospacing="0" w:line="360" w:lineRule="auto"/>
        <w:ind w:left="149" w:right="0" w:firstLine="450"/>
        <w:jc w:val="both"/>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具体如下：</w:t>
      </w:r>
    </w:p>
    <w:tbl>
      <w:tblPr>
        <w:tblStyle w:val="43"/>
        <w:tblW w:w="899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1"/>
        <w:gridCol w:w="1984"/>
        <w:gridCol w:w="2399"/>
        <w:gridCol w:w="992"/>
        <w:gridCol w:w="1417"/>
        <w:gridCol w:w="1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6"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6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序号</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工种</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岗位</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单位</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人数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6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管理人员</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项目经理</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人</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6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客服人员</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客服</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人</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6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工程人员</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设施设备维护人员</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人</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6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绿化维护人员</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绿化维护人员</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人</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6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秩序维护人员</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秩序维护人员</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人</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6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环境维护人员</w:t>
            </w:r>
          </w:p>
        </w:tc>
        <w:tc>
          <w:tcPr>
            <w:tcW w:w="2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环境维护人员</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人</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6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7</w:t>
            </w:r>
          </w:p>
        </w:tc>
        <w:tc>
          <w:tcPr>
            <w:tcW w:w="43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合    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人</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27</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val="0"/>
                <w:sz w:val="28"/>
                <w:szCs w:val="28"/>
                <w:lang w:val="en-US"/>
              </w:rPr>
            </w:pPr>
          </w:p>
        </w:tc>
      </w:tr>
    </w:tbl>
    <w:p>
      <w:pPr>
        <w:keepNext w:val="0"/>
        <w:keepLines w:val="0"/>
        <w:widowControl/>
        <w:suppressLineNumbers w:val="0"/>
        <w:spacing w:before="0" w:beforeAutospacing="0" w:after="0" w:afterAutospacing="0" w:line="360" w:lineRule="auto"/>
        <w:ind w:left="0" w:right="0" w:firstLine="426"/>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成交项目的供应商应当全员签订《劳动合同》，支付所派出全部工作人员工资、社会保险等费用及各项补助、节日福利等，并对其疾病和人身安全等完全负责，服务人员工资标准不得低于彭州市的最低工资标准，采购人对此不承担任何的法律责任和义务。</w:t>
      </w:r>
    </w:p>
    <w:p>
      <w:pPr>
        <w:keepNext w:val="0"/>
        <w:keepLines w:val="0"/>
        <w:widowControl/>
        <w:suppressLineNumbers w:val="0"/>
        <w:spacing w:before="0" w:beforeAutospacing="0" w:after="0" w:afterAutospacing="0" w:line="360" w:lineRule="auto"/>
        <w:ind w:left="0" w:right="0" w:firstLine="426"/>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项目经理年龄在45岁以下，秩序维护人员年龄在50岁以下。</w:t>
      </w:r>
    </w:p>
    <w:p>
      <w:pPr>
        <w:keepNext w:val="0"/>
        <w:keepLines w:val="0"/>
        <w:widowControl/>
        <w:suppressLineNumbers w:val="0"/>
        <w:spacing w:before="0" w:beforeAutospacing="0" w:after="0" w:afterAutospacing="0"/>
        <w:ind w:left="0" w:right="0"/>
        <w:jc w:val="left"/>
        <w:rPr>
          <w:lang w:val="en-US"/>
        </w:rPr>
      </w:pPr>
    </w:p>
    <w:p>
      <w:pPr>
        <w:pStyle w:val="5"/>
        <w:widowControl/>
        <w:spacing w:before="0" w:beforeAutospacing="1" w:after="0" w:afterAutospacing="1"/>
        <w:rPr>
          <w:rFonts w:hint="eastAsia" w:ascii="宋体" w:hAnsi="宋体" w:eastAsia="宋体" w:cs="宋体"/>
          <w:sz w:val="28"/>
          <w:szCs w:val="28"/>
          <w:lang w:val="en-US"/>
        </w:rPr>
      </w:pPr>
      <w:r>
        <w:rPr>
          <w:rFonts w:hint="eastAsia" w:cs="宋体"/>
          <w:sz w:val="28"/>
          <w:szCs w:val="28"/>
          <w:lang w:val="en-US" w:eastAsia="zh-CN"/>
        </w:rPr>
        <w:t>4.4</w:t>
      </w:r>
      <w:r>
        <w:rPr>
          <w:rFonts w:hint="eastAsia" w:ascii="宋体" w:hAnsi="宋体" w:eastAsia="宋体" w:cs="宋体"/>
          <w:sz w:val="28"/>
          <w:szCs w:val="28"/>
          <w:lang w:eastAsia="zh-CN"/>
        </w:rPr>
        <w:t>、采购项目考核标准：</w:t>
      </w:r>
    </w:p>
    <w:p>
      <w:pPr>
        <w:pStyle w:val="6"/>
        <w:widowControl/>
        <w:spacing w:before="0" w:beforeAutospacing="0" w:after="0" w:afterAutospacing="0" w:line="240" w:lineRule="auto"/>
        <w:ind w:left="0" w:right="0" w:firstLine="495" w:firstLineChars="176"/>
        <w:rPr>
          <w:rFonts w:hint="eastAsia" w:ascii="宋体" w:hAnsi="宋体" w:eastAsia="宋体" w:cs="宋体"/>
          <w:sz w:val="28"/>
          <w:szCs w:val="28"/>
          <w:lang w:val="en-US"/>
        </w:rPr>
      </w:pPr>
      <w:r>
        <w:rPr>
          <w:rFonts w:hint="eastAsia" w:ascii="宋体" w:hAnsi="宋体" w:cs="宋体"/>
          <w:sz w:val="28"/>
          <w:szCs w:val="28"/>
          <w:lang w:val="en-US" w:eastAsia="zh-CN"/>
        </w:rPr>
        <w:t>4.4</w:t>
      </w:r>
      <w:r>
        <w:rPr>
          <w:rFonts w:hint="eastAsia" w:ascii="宋体" w:hAnsi="宋体" w:eastAsia="宋体" w:cs="宋体"/>
          <w:sz w:val="28"/>
          <w:szCs w:val="28"/>
          <w:lang w:val="en-US"/>
        </w:rPr>
        <w:t xml:space="preserve">.1 </w:t>
      </w:r>
      <w:r>
        <w:rPr>
          <w:rFonts w:hint="eastAsia" w:ascii="宋体" w:hAnsi="宋体" w:eastAsia="宋体" w:cs="宋体"/>
          <w:sz w:val="28"/>
          <w:szCs w:val="28"/>
          <w:lang w:eastAsia="zh-CN"/>
        </w:rPr>
        <w:t>物业管理考核细则</w:t>
      </w:r>
    </w:p>
    <w:tbl>
      <w:tblPr>
        <w:tblStyle w:val="43"/>
        <w:tblpPr w:vertAnchor="text" w:horzAnchor="margin" w:tblpXSpec="center" w:tblpY="39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8"/>
        <w:gridCol w:w="634"/>
        <w:gridCol w:w="2143"/>
        <w:gridCol w:w="4540"/>
        <w:gridCol w:w="636"/>
        <w:gridCol w:w="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0" w:hRule="atLeast"/>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测评内容</w:t>
            </w:r>
          </w:p>
        </w:tc>
        <w:tc>
          <w:tcPr>
            <w:tcW w:w="2777"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测评指标</w:t>
            </w:r>
          </w:p>
        </w:tc>
        <w:tc>
          <w:tcPr>
            <w:tcW w:w="45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扣分标准</w:t>
            </w:r>
          </w:p>
        </w:tc>
        <w:tc>
          <w:tcPr>
            <w:tcW w:w="636"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单笔分值</w:t>
            </w:r>
          </w:p>
        </w:tc>
        <w:tc>
          <w:tcPr>
            <w:tcW w:w="68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82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环境测评</w:t>
            </w:r>
          </w:p>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c>
          <w:tcPr>
            <w:tcW w:w="63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环境卫生</w:t>
            </w:r>
          </w:p>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1）院落内道路、广场平整，路面无垃圾、杂物</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（1）院落内道路、广场不平整以面积计算，以2平米算1处。发现1处记1笔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0.3</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（2）路面有垃圾以2平米为计算单元。2平米内出现问题的，每发现1处记1笔。同时出现多个问题的，重复记分。比如2平米内同时出现果皮、纸屑、塑料袋，则要在“路面有垃圾”一项记3笔。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（3）路面有杂物是指路面有杂物包括木板、柜子、椅子等废弃物，发现1处记1笔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0.3</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2）院落环境整洁，沟渠、绿化带干净、无杂物。</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（1）环境不整洁包括晒衣服、被子、帚布、乱挂香肠；车棚内乱堆杂物；楼栋外墙、院落围墙张贴小广告；院内公共区域包括住户阳台、窗台乱张贴广告、乱设置广告牌等行为发现一处记1笔。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0.25</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（2）沟渠和绿化带的垃圾、杂物记算方法同路面垃圾记算方法，以2平米为单位，重复计扣。</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3）院落内公共健身、休闲等公共设施整洁，无张贴乱刻</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（1）健身、休闲设施包括健身器材、游泳池、统一制作的休闲椅、凉亭、散步小径等，发现1个设施出现不整洁有污迹、有乱张贴刻画，记1笔。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（2）功能不完好，有破损，发现1个设施有此问题记1笔。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2垃圾管理</w:t>
            </w:r>
          </w:p>
        </w:tc>
        <w:tc>
          <w:tcPr>
            <w:tcW w:w="214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4）院落有垃圾收运站（点）</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(1）如果院落内没有发现垃圾收运点，可询问院内居民，如果院落附近(一般不超过院落大门左右50米范围）有常用垃圾点，则观测该垃圾点。（2）经确认在附近也没有垃圾点的，视为没有垃圾收运点计</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5）院落垃圾处理实行袋装化，日产日清</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（1）观察院落垃圾堆放点或垃圾桶（点），发现1处没有实行垃圾袋装化，则记1笔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（2）发现1处垃圾堆放点或垃圾桶，垃圾没有日产日清，则记1笔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trPr>
        <w:tc>
          <w:tcPr>
            <w:tcW w:w="828"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测评内容</w:t>
            </w:r>
          </w:p>
        </w:tc>
        <w:tc>
          <w:tcPr>
            <w:tcW w:w="2777"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测评指标</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扣分标准</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单笔分值</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0" w:hRule="atLeast"/>
        </w:trPr>
        <w:tc>
          <w:tcPr>
            <w:tcW w:w="82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41" w:leftChars="-59" w:right="0" w:hanging="165" w:hangingChars="59"/>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 xml:space="preserve"> 环境测评</w:t>
            </w:r>
          </w:p>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c>
          <w:tcPr>
            <w:tcW w:w="6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标识管理</w:t>
            </w:r>
          </w:p>
        </w:tc>
        <w:tc>
          <w:tcPr>
            <w:tcW w:w="214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6）院落内宣传标识上无乱张贴、乱涂画。</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有宣传栏/橱窗的，发现有乱张贴和重复张贴现象，发现1处记1笔。发现有乱涂画的，发现1处记1笔。发现有破损的，发现1处记1笔。【同一个宣传栏/橱窗，重复出现上述问题的，重复计扣。】</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楼道卫生</w:t>
            </w: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7）居民住宅楼干净卫生、楼道无蜘蛛网、无乱张贴广告现象。</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（1）发现1个蜘蛛网记1笔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（2)乱涂画、乱张贴以立面记。发现1个立面有此问题，则记1笔。（注：楼道地面、楼梯作为立面记算。张贴的喜、福及挂的艾蒿不计扣）</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（3）楼道地面发现的垃圾（纸屑、烟蒂、果皮、纸盒、塑料纸及袋、其他废弃物）以1平方米为单位计扣，分类重复计扣。</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8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8）楼道通畅，无杂物堆放、堵塞通道。</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按处记算，发现1处记1笔。住户门口有垃圾袋装好的垃圾、拖把、鞋及扫帚不计扣。【单元口两侧堆放杂物，单元口两侧沟渠内堆放杂物，均纳入该指标进行考核、计扣。】</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非机动车按辆记，发现堆放1辆记1笔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阳台管理</w:t>
            </w:r>
          </w:p>
        </w:tc>
        <w:tc>
          <w:tcPr>
            <w:tcW w:w="214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9）住宅阳台无杂物乱堆放现象</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以阳台级。发现1个阳台有杂物堆放算1处。一楼阳台下有杂物堆放，也记入阳台管理问题。</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0.05</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0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6</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车辆管理</w:t>
            </w:r>
          </w:p>
        </w:tc>
        <w:tc>
          <w:tcPr>
            <w:tcW w:w="214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10）院落内车辆（含机动车和非机动车）归点分类停放有序，无随意停放影响通行现象。</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若发现有车辆随意停放（15分钟以外），发现1处计扣1笔（一般情况下以2米为1处)。2、如停放无序，发现1处计扣1笔。院落内机动车靠右有序停放在墙角、沟渠、绿化带边，不能占用或阻挡消防通道，保证院落道路有3米及以上宽度，则不视为乱停放。不满足上述任一条件，则视为乱停放。若院落内规划有机动车停放点，但不满足上述任一条件，也视为乱停放。</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6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7</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摊点管理</w:t>
            </w:r>
          </w:p>
        </w:tc>
        <w:tc>
          <w:tcPr>
            <w:tcW w:w="214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11)院落内无占用公共空间乱摆摊设点现象。</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按处记算，发现1处记1笔。摊贩管理，主要是居民私自占用公共设施摆摊设点（如快餐、擦皮鞋、缝纫、卖小商品等）阻碍交通、造成环境脏乱差的现象。经过规划的摊贩（如标注了社区服务点）不扣分。</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0.5</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8</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宠物管理</w:t>
            </w: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12）院落内宠物无乱拉粪便现象。</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按处记算，发现1处记1笔。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发现一只敞放宠物或家禽记1笔。在道路上、绿化带内宠物关在笼子中不计扣。</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trPr>
        <w:tc>
          <w:tcPr>
            <w:tcW w:w="82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测评内容</w:t>
            </w:r>
          </w:p>
        </w:tc>
        <w:tc>
          <w:tcPr>
            <w:tcW w:w="2777"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测评指标</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扣分标准</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单笔分值</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82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 xml:space="preserve">环境测评 </w:t>
            </w:r>
          </w:p>
        </w:tc>
        <w:tc>
          <w:tcPr>
            <w:tcW w:w="63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9</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门卫室管理</w:t>
            </w: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13）院落门卫室清洁整齐，无乱堆放杂物，无乱张贴。</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门卫室不清洁、发现1处垃圾、污渍等现象，记1笔。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发现1处乱张贴现象，记1笔。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发现1处乱堆放杂物现象，记1笔。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0" w:hRule="atLeast"/>
        </w:trPr>
        <w:tc>
          <w:tcPr>
            <w:tcW w:w="82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基础设施测评</w:t>
            </w:r>
          </w:p>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c>
          <w:tcPr>
            <w:tcW w:w="63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10公共安全</w:t>
            </w:r>
          </w:p>
          <w:p>
            <w:pPr>
              <w:keepNext w:val="0"/>
              <w:keepLines w:val="0"/>
              <w:widowControl/>
              <w:suppressLineNumbers w:val="0"/>
              <w:spacing w:before="0" w:beforeAutospacing="0" w:after="0" w:afterAutospacing="0"/>
              <w:ind w:left="0" w:right="0"/>
              <w:jc w:val="center"/>
              <w:rPr>
                <w:rFonts w:hint="eastAsia" w:ascii="宋体" w:hAnsi="宋体" w:eastAsia="宋体" w:cs="宋体"/>
                <w:sz w:val="28"/>
                <w:szCs w:val="28"/>
                <w:lang w:val="en-US"/>
              </w:rPr>
            </w:pP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14）社区人防符合安全要求。社区院落有门卫值班及安全巡逻等防范制度。</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院落大门口没有门卫室，或者经询问确认没有门卫，直接记3笔。（2）有门卫室或者确认有门卫，但测评时没有观测到，直接记2笔。（3）有门卫，但对陌生人出入没有主动询问，或没按要求进行出入登记等，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0.3</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院落显眼处张贴安全巡逻等防范制度，且完好无损，清晰。没有张贴该制度，记3笔；防范制度不完好、不清晰，发现1处记1笔。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0.5</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15）社区消防符合安全要求。住宅楼有符合标准的消防设施。疏散通道、安全出口、楼道没有被占用、堵塞现象。</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确认没有消防通道，记1笔。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确认1处消防通道没有标识，记1笔。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发现1处消防通道不畅通，存在堵塞、占用现象，记1笔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0.1</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（1）院落公共区域、门卫室等处设有消防栓、灭火器、消防沙等消防设施，且功能完好。具有1项即符合要求，都没有即记1笔。（2）发现1个/处消防设施功能不完好（被损坏、不在保质期等），计扣1笔。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6" w:type="dxa"/>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16）社区技防符合安全要求。住宅楼有符合标准的防盗设施。院落围墙符合防盗要求。</w:t>
            </w: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（1）院落单元口前后、左右两侧的排水管等处都要安装防盗伞或打黄油等安全措施，发现1处排水管没有安装防盗伞或防盗伞已损坏，记1笔。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0.4</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（2）院落楼栋单元口安装防盗门，且完好无损。发现1个单元门没有安装防盗门或者防盗门功能不完好（破损、损坏），记1笔。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院落安装视频监控系统，且功能完好。若确认整个院落没有安装电子眼或者已安装电子眼，但监控设备并没有正常运行的，记1笔。然后随机抽查2-3个电子监控摄像头，观察是否功能完好。发现1处不符合，记1笔</w:t>
            </w:r>
          </w:p>
        </w:tc>
        <w:tc>
          <w:tcPr>
            <w:tcW w:w="63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（4)围墙高度现场测量，高度不足1.8M记1笔。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828"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4"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14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5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（5）发现1处围墙缺损、失修现象（以人能够翻越、钻入为标准），记1笔。</w:t>
            </w:r>
          </w:p>
        </w:tc>
        <w:tc>
          <w:tcPr>
            <w:tcW w:w="63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0.2</w:t>
            </w:r>
          </w:p>
        </w:tc>
        <w:tc>
          <w:tcPr>
            <w:tcW w:w="68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trPr>
        <w:tc>
          <w:tcPr>
            <w:tcW w:w="9464" w:type="dxa"/>
            <w:gridSpan w:val="6"/>
            <w:tcBorders>
              <w:top w:val="single" w:color="000000" w:sz="4" w:space="0"/>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8"/>
                <w:szCs w:val="28"/>
                <w:lang w:val="en-US"/>
              </w:rPr>
            </w:pPr>
          </w:p>
        </w:tc>
      </w:tr>
    </w:tbl>
    <w:p>
      <w:pPr>
        <w:pStyle w:val="6"/>
        <w:widowControl/>
        <w:spacing w:before="0" w:beforeAutospacing="0" w:after="0" w:afterAutospacing="0" w:line="360" w:lineRule="auto"/>
        <w:ind w:left="0" w:right="0" w:firstLine="495" w:firstLineChars="176"/>
        <w:rPr>
          <w:rFonts w:hint="eastAsia" w:ascii="宋体" w:hAnsi="宋体" w:eastAsia="宋体" w:cs="宋体"/>
          <w:sz w:val="28"/>
          <w:szCs w:val="28"/>
          <w:lang w:val="en-US"/>
        </w:rPr>
      </w:pPr>
      <w:r>
        <w:rPr>
          <w:rFonts w:hint="eastAsia" w:ascii="宋体" w:hAnsi="宋体" w:cs="宋体"/>
          <w:sz w:val="28"/>
          <w:szCs w:val="28"/>
          <w:lang w:val="en-US" w:eastAsia="zh-CN"/>
        </w:rPr>
        <w:t>4.4</w:t>
      </w:r>
      <w:r>
        <w:rPr>
          <w:rFonts w:hint="eastAsia" w:ascii="宋体" w:hAnsi="宋体" w:eastAsia="宋体" w:cs="宋体"/>
          <w:sz w:val="28"/>
          <w:szCs w:val="28"/>
          <w:lang w:val="en-US"/>
        </w:rPr>
        <w:t xml:space="preserve">.2 </w:t>
      </w:r>
      <w:r>
        <w:rPr>
          <w:rFonts w:hint="eastAsia" w:ascii="宋体" w:hAnsi="宋体" w:eastAsia="宋体" w:cs="宋体"/>
          <w:sz w:val="28"/>
          <w:szCs w:val="28"/>
          <w:lang w:eastAsia="zh-CN"/>
        </w:rPr>
        <w:t>日常资料考核</w:t>
      </w:r>
    </w:p>
    <w:p>
      <w:pPr>
        <w:keepNext w:val="0"/>
        <w:keepLines w:val="0"/>
        <w:widowControl/>
        <w:suppressLineNumbers w:val="0"/>
        <w:spacing w:before="0" w:beforeAutospacing="0" w:after="0" w:afterAutospacing="0" w:line="360" w:lineRule="auto"/>
        <w:ind w:left="0" w:right="0" w:firstLine="660" w:firstLineChars="236"/>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按照采购人要求，每日上报工作动态；年终资料考核等并纳入考评。</w:t>
      </w:r>
    </w:p>
    <w:p>
      <w:pPr>
        <w:pStyle w:val="6"/>
        <w:widowControl/>
        <w:spacing w:before="0" w:beforeAutospacing="0" w:after="0" w:afterAutospacing="0" w:line="360" w:lineRule="auto"/>
        <w:ind w:left="0" w:right="0" w:firstLine="495" w:firstLineChars="176"/>
        <w:rPr>
          <w:rFonts w:hint="eastAsia" w:ascii="宋体" w:hAnsi="宋体" w:eastAsia="宋体" w:cs="宋体"/>
          <w:sz w:val="28"/>
          <w:szCs w:val="28"/>
          <w:lang w:val="en-US"/>
        </w:rPr>
      </w:pPr>
      <w:r>
        <w:rPr>
          <w:rFonts w:hint="eastAsia" w:ascii="宋体" w:hAnsi="宋体" w:cs="宋体"/>
          <w:sz w:val="28"/>
          <w:szCs w:val="28"/>
          <w:lang w:val="en-US" w:eastAsia="zh-CN"/>
        </w:rPr>
        <w:t>4.4</w:t>
      </w:r>
      <w:r>
        <w:rPr>
          <w:rFonts w:hint="eastAsia" w:ascii="宋体" w:hAnsi="宋体" w:eastAsia="宋体" w:cs="宋体"/>
          <w:sz w:val="28"/>
          <w:szCs w:val="28"/>
          <w:lang w:val="en-US"/>
        </w:rPr>
        <w:t xml:space="preserve">.3 </w:t>
      </w:r>
      <w:r>
        <w:rPr>
          <w:rFonts w:hint="eastAsia" w:ascii="宋体" w:hAnsi="宋体" w:eastAsia="宋体" w:cs="宋体"/>
          <w:sz w:val="28"/>
          <w:szCs w:val="28"/>
          <w:lang w:eastAsia="zh-CN"/>
        </w:rPr>
        <w:t>考核标准的应用</w:t>
      </w:r>
    </w:p>
    <w:p>
      <w:pPr>
        <w:keepNext w:val="0"/>
        <w:keepLines w:val="0"/>
        <w:widowControl/>
        <w:suppressLineNumbers w:val="0"/>
        <w:spacing w:before="0" w:beforeAutospacing="0" w:after="0" w:afterAutospacing="0" w:line="360" w:lineRule="auto"/>
        <w:ind w:left="0" w:right="0" w:firstLine="495" w:firstLineChars="177"/>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由天彭街道物业管理办公室组织考评，考评方式采取日常考评和月考评，考评项目对清扫保洁服务效果、及时性等进行考评。</w:t>
      </w:r>
    </w:p>
    <w:p>
      <w:pPr>
        <w:keepNext w:val="0"/>
        <w:keepLines w:val="0"/>
        <w:widowControl/>
        <w:suppressLineNumbers w:val="0"/>
        <w:spacing w:before="0" w:beforeAutospacing="0" w:after="0" w:afterAutospacing="0" w:line="360" w:lineRule="auto"/>
        <w:ind w:left="0" w:right="0" w:firstLine="495" w:firstLineChars="177"/>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日常考评根据各项服务日常检查和满意度测评对服务质量进行的考核。考核部门对检查结果进行汇总，以备在每月项服务费用支付时扣除。</w:t>
      </w:r>
    </w:p>
    <w:p>
      <w:pPr>
        <w:keepNext w:val="0"/>
        <w:keepLines w:val="0"/>
        <w:widowControl/>
        <w:suppressLineNumbers w:val="0"/>
        <w:spacing w:before="0" w:beforeAutospacing="0" w:after="0" w:afterAutospacing="0" w:line="360" w:lineRule="auto"/>
        <w:ind w:left="0" w:right="0" w:firstLine="495" w:firstLineChars="177"/>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月考评：月考评作为支付当月服务费的主要依据，根据采购人的各单项考评打分及综合评分支付单月服务费。</w:t>
      </w:r>
    </w:p>
    <w:p>
      <w:pPr>
        <w:keepNext w:val="0"/>
        <w:keepLines w:val="0"/>
        <w:widowControl/>
        <w:suppressLineNumbers w:val="0"/>
        <w:spacing w:before="0" w:beforeAutospacing="0" w:after="0" w:afterAutospacing="0" w:line="360" w:lineRule="auto"/>
        <w:ind w:left="0" w:right="0" w:firstLine="495" w:firstLineChars="177"/>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各项服务考评细则由采购人制定和执行。月综合考评得分95分以上的，当月的服务费按合同金额全额向供应商支付；当月综合平均得分低于95分（不含），则每0.5分扣除500元服务费，供应商须提供问题整改报告；每年度月考核中有三个月或连续两个月得分低于90分，视为年度考核不合格，甲方有权要求终止合同，由此产生的经济损失由乙方自行承担。</w:t>
      </w:r>
    </w:p>
    <w:p>
      <w:pPr>
        <w:pStyle w:val="5"/>
        <w:widowControl/>
        <w:spacing w:before="0" w:beforeAutospacing="1" w:after="0" w:afterAutospacing="1"/>
        <w:rPr>
          <w:rFonts w:hint="eastAsia" w:ascii="宋体" w:hAnsi="宋体" w:eastAsia="宋体" w:cs="宋体"/>
          <w:sz w:val="28"/>
          <w:szCs w:val="28"/>
          <w:lang w:val="en-US"/>
        </w:rPr>
      </w:pPr>
      <w:r>
        <w:rPr>
          <w:rFonts w:hint="eastAsia" w:cs="宋体"/>
          <w:sz w:val="28"/>
          <w:szCs w:val="28"/>
          <w:lang w:val="en-US" w:eastAsia="zh-CN"/>
        </w:rPr>
        <w:t>4.5</w:t>
      </w:r>
      <w:r>
        <w:rPr>
          <w:rFonts w:hint="eastAsia" w:ascii="宋体" w:hAnsi="宋体" w:eastAsia="宋体" w:cs="宋体"/>
          <w:sz w:val="28"/>
          <w:szCs w:val="28"/>
          <w:lang w:eastAsia="zh-CN"/>
        </w:rPr>
        <w:t>商务要求：</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w:t>
      </w:r>
      <w:r>
        <w:rPr>
          <w:rFonts w:hint="eastAsia" w:ascii="宋体" w:hAnsi="宋体" w:cs="宋体"/>
          <w:kern w:val="0"/>
          <w:sz w:val="28"/>
          <w:szCs w:val="28"/>
          <w:lang w:val="en-US" w:eastAsia="zh-CN" w:bidi="ar"/>
        </w:rPr>
        <w:t>、</w:t>
      </w:r>
      <w:r>
        <w:rPr>
          <w:rFonts w:hint="eastAsia" w:ascii="宋体" w:hAnsi="宋体" w:eastAsia="宋体" w:cs="宋体"/>
          <w:kern w:val="0"/>
          <w:sz w:val="28"/>
          <w:szCs w:val="28"/>
          <w:lang w:val="en-US" w:eastAsia="zh-CN" w:bidi="ar"/>
        </w:rPr>
        <w:t xml:space="preserve"> 服务期限：本项目一招两年，一次性签订2年服务合同。（签订合同时约定具体的起止时间）。</w:t>
      </w:r>
      <w:r>
        <w:rPr>
          <w:rFonts w:hint="eastAsia" w:ascii="宋体" w:hAnsi="宋体" w:eastAsia="宋体" w:cs="宋体"/>
          <w:color w:val="000000"/>
          <w:sz w:val="28"/>
          <w:szCs w:val="28"/>
          <w:lang w:val="en-US" w:eastAsia="zh-CN" w:bidi="ar"/>
        </w:rPr>
        <w:t>此项目服务期限2年，成交人在履约期内连续两个月考核不合格，采购人有权终止采购合同。</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2</w:t>
      </w:r>
      <w:r>
        <w:rPr>
          <w:rFonts w:hint="eastAsia" w:ascii="宋体" w:hAnsi="宋体" w:cs="宋体"/>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 xml:space="preserve"> 付款方式：按月结算，根据每月考核结果支付费用。具体支付细节采购双方根据合同约定执行。</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color w:val="000000"/>
          <w:sz w:val="28"/>
          <w:szCs w:val="28"/>
          <w:lang w:val="en-US"/>
        </w:rPr>
      </w:pPr>
      <w:r>
        <w:rPr>
          <w:rFonts w:hint="eastAsia" w:ascii="宋体" w:hAnsi="宋体" w:eastAsia="宋体" w:cs="宋体"/>
          <w:color w:val="000000"/>
          <w:kern w:val="0"/>
          <w:sz w:val="28"/>
          <w:szCs w:val="28"/>
          <w:lang w:val="en-US" w:eastAsia="zh-CN" w:bidi="ar"/>
        </w:rPr>
        <w:t>3</w:t>
      </w:r>
      <w:r>
        <w:rPr>
          <w:rFonts w:hint="eastAsia" w:ascii="宋体" w:hAnsi="宋体" w:cs="宋体"/>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 xml:space="preserve"> 验收标准：</w:t>
      </w:r>
    </w:p>
    <w:p>
      <w:pPr>
        <w:pStyle w:val="39"/>
        <w:keepNext w:val="0"/>
        <w:keepLines w:val="0"/>
        <w:widowControl/>
        <w:suppressLineNumbers w:val="0"/>
        <w:spacing w:before="0" w:beforeAutospacing="1" w:after="0" w:afterAutospacing="1" w:line="360" w:lineRule="auto"/>
        <w:ind w:left="0" w:right="0" w:firstLine="560" w:firstLineChars="200"/>
        <w:rPr>
          <w:rFonts w:hint="eastAsia" w:ascii="宋体" w:hAnsi="宋体" w:eastAsia="宋体" w:cs="宋体"/>
          <w:sz w:val="28"/>
          <w:szCs w:val="28"/>
          <w:lang w:val="en-US"/>
        </w:rPr>
      </w:pPr>
      <w:r>
        <w:rPr>
          <w:rFonts w:hint="eastAsia" w:ascii="宋体" w:hAnsi="宋体" w:eastAsia="宋体" w:cs="宋体"/>
          <w:sz w:val="28"/>
          <w:szCs w:val="28"/>
          <w:lang w:eastAsia="zh-CN"/>
        </w:rPr>
        <w:t>由采购人组织，验收分为</w:t>
      </w:r>
      <w:r>
        <w:rPr>
          <w:rFonts w:hint="eastAsia" w:ascii="宋体" w:hAnsi="宋体" w:eastAsia="宋体" w:cs="宋体"/>
          <w:sz w:val="28"/>
          <w:szCs w:val="28"/>
          <w:lang w:val="en-US"/>
        </w:rPr>
        <w:t>3</w:t>
      </w:r>
      <w:r>
        <w:rPr>
          <w:rFonts w:hint="eastAsia" w:ascii="宋体" w:hAnsi="宋体" w:eastAsia="宋体" w:cs="宋体"/>
          <w:sz w:val="28"/>
          <w:szCs w:val="28"/>
          <w:lang w:eastAsia="zh-CN"/>
        </w:rPr>
        <w:t>次，按照初验、复验、终验三个环节进行验收。成交人与采购人应严格按照《财政部关于进一步加强政府采购需求和履约验收管理的指导意见》（财库〔</w:t>
      </w:r>
      <w:r>
        <w:rPr>
          <w:rFonts w:hint="eastAsia" w:ascii="宋体" w:hAnsi="宋体" w:eastAsia="宋体" w:cs="宋体"/>
          <w:sz w:val="28"/>
          <w:szCs w:val="28"/>
          <w:lang w:val="en-US"/>
        </w:rPr>
        <w:t>2016</w:t>
      </w:r>
      <w:r>
        <w:rPr>
          <w:rFonts w:hint="eastAsia" w:ascii="宋体" w:hAnsi="宋体" w:eastAsia="宋体" w:cs="宋体"/>
          <w:sz w:val="28"/>
          <w:szCs w:val="28"/>
          <w:lang w:eastAsia="zh-CN"/>
        </w:rPr>
        <w:t>〕</w:t>
      </w:r>
      <w:r>
        <w:rPr>
          <w:rFonts w:hint="eastAsia" w:ascii="宋体" w:hAnsi="宋体" w:eastAsia="宋体" w:cs="宋体"/>
          <w:sz w:val="28"/>
          <w:szCs w:val="28"/>
          <w:lang w:val="en-US"/>
        </w:rPr>
        <w:t>205</w:t>
      </w:r>
      <w:r>
        <w:rPr>
          <w:rFonts w:hint="eastAsia" w:ascii="宋体" w:hAnsi="宋体" w:eastAsia="宋体" w:cs="宋体"/>
          <w:sz w:val="28"/>
          <w:szCs w:val="28"/>
          <w:lang w:eastAsia="zh-CN"/>
        </w:rPr>
        <w:t>号）、</w:t>
      </w:r>
      <w:r>
        <w:rPr>
          <w:rFonts w:hint="eastAsia" w:cs="宋体"/>
          <w:sz w:val="28"/>
          <w:szCs w:val="28"/>
          <w:lang w:eastAsia="zh-CN"/>
        </w:rPr>
        <w:t>等相关规定</w:t>
      </w:r>
      <w:r>
        <w:rPr>
          <w:rFonts w:hint="eastAsia" w:ascii="宋体" w:hAnsi="宋体" w:eastAsia="宋体" w:cs="宋体"/>
          <w:sz w:val="28"/>
          <w:szCs w:val="28"/>
          <w:lang w:eastAsia="zh-CN"/>
        </w:rPr>
        <w:t>的要求进行验收。</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初验：成交人应在双方签订合同后7个工作日内，将所投入服务人员经采购人确认进行定岗、定责及上岗培训作为初验，初验合格后才能按合同内容履行服务。</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复验：采购人根据本项目考核办法及标准对成交人进行每月服务达标考核，考核合格后采购人在成交人提供的考核合格表上签字盖章作为年度考核的佐证材料。</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终验：项目服务年度结束前15日内成交人向采购人提出终验申请，采购人根据成交人每月的考核合格表及年度考核所需材料组织验收。</w:t>
      </w:r>
    </w:p>
    <w:p>
      <w:pPr>
        <w:tabs>
          <w:tab w:val="left" w:pos="6263"/>
        </w:tabs>
        <w:rPr>
          <w:szCs w:val="24"/>
        </w:rPr>
      </w:pPr>
      <w:r>
        <w:rPr>
          <w:rFonts w:hint="eastAsia" w:ascii="宋体" w:hAnsi="宋体" w:eastAsia="宋体" w:cs="宋体"/>
          <w:color w:val="000000"/>
          <w:sz w:val="28"/>
          <w:szCs w:val="28"/>
          <w:lang w:val="en-US" w:eastAsia="zh-CN" w:bidi="ar"/>
        </w:rPr>
        <w:br w:type="page"/>
      </w:r>
      <w:r>
        <w:rPr>
          <w:rFonts w:hint="eastAsia"/>
          <w:szCs w:val="24"/>
        </w:rPr>
        <w:tab/>
      </w:r>
    </w:p>
    <w:bookmarkEnd w:id="226"/>
    <w:p>
      <w:pPr>
        <w:pStyle w:val="5"/>
        <w:numPr>
          <w:ilvl w:val="0"/>
          <w:numId w:val="0"/>
        </w:numPr>
        <w:spacing w:after="200" w:line="56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4.6</w:t>
      </w:r>
      <w:r>
        <w:rPr>
          <w:rFonts w:hint="eastAsia"/>
          <w:color w:val="000000" w:themeColor="text1"/>
          <w14:textFill>
            <w14:solidFill>
              <w14:schemeClr w14:val="tx1"/>
            </w14:solidFill>
          </w14:textFill>
        </w:rPr>
        <w:t>报价要求</w:t>
      </w:r>
    </w:p>
    <w:p>
      <w:pPr>
        <w:pStyle w:val="6"/>
        <w:numPr>
          <w:ilvl w:val="0"/>
          <w:numId w:val="0"/>
        </w:numPr>
        <w:spacing w:line="560" w:lineRule="exact"/>
        <w:ind w:leftChars="0"/>
        <w:rPr>
          <w:rFonts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4.6.1</w:t>
      </w:r>
      <w:r>
        <w:rPr>
          <w:rFonts w:hint="eastAsia" w:ascii="宋体" w:hAnsi="宋体"/>
          <w:color w:val="000000" w:themeColor="text1"/>
          <w14:textFill>
            <w14:solidFill>
              <w14:schemeClr w14:val="tx1"/>
            </w14:solidFill>
          </w14:textFill>
        </w:rPr>
        <w:t>最高限价</w:t>
      </w:r>
    </w:p>
    <w:p>
      <w:pPr>
        <w:pStyle w:val="84"/>
        <w:tabs>
          <w:tab w:val="left" w:pos="993"/>
          <w:tab w:val="left" w:pos="1134"/>
        </w:tabs>
        <w:spacing w:line="560" w:lineRule="exact"/>
        <w:ind w:firstLine="565" w:firstLineChars="201"/>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★本项目最高限价为人民币</w:t>
      </w:r>
      <w:r>
        <w:rPr>
          <w:rFonts w:hint="eastAsia" w:ascii="宋体" w:hAnsi="宋体" w:eastAsia="宋体"/>
          <w:b/>
          <w:color w:val="000000" w:themeColor="text1"/>
          <w:sz w:val="28"/>
          <w:szCs w:val="28"/>
          <w:lang w:val="en-US" w:eastAsia="zh-CN"/>
          <w14:textFill>
            <w14:solidFill>
              <w14:schemeClr w14:val="tx1"/>
            </w14:solidFill>
          </w14:textFill>
        </w:rPr>
        <w:t>1603000</w:t>
      </w:r>
      <w:r>
        <w:rPr>
          <w:rFonts w:hint="eastAsia" w:ascii="宋体" w:hAnsi="宋体" w:eastAsia="宋体"/>
          <w:b/>
          <w:color w:val="000000" w:themeColor="text1"/>
          <w:sz w:val="28"/>
          <w:szCs w:val="28"/>
          <w14:textFill>
            <w14:solidFill>
              <w14:schemeClr w14:val="tx1"/>
            </w14:solidFill>
          </w14:textFill>
        </w:rPr>
        <w:t>.00元，投标人投标报价高于最高限价的，则其投标文件将按无效投标文件处理。</w:t>
      </w:r>
    </w:p>
    <w:p>
      <w:pPr>
        <w:pStyle w:val="6"/>
        <w:numPr>
          <w:ilvl w:val="0"/>
          <w:numId w:val="0"/>
        </w:numPr>
        <w:spacing w:line="560" w:lineRule="exact"/>
        <w:ind w:leftChars="0"/>
        <w:rPr>
          <w:rFonts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4.6.2</w:t>
      </w:r>
      <w:r>
        <w:rPr>
          <w:rFonts w:hint="eastAsia" w:ascii="宋体" w:hAnsi="宋体"/>
          <w:color w:val="000000" w:themeColor="text1"/>
          <w14:textFill>
            <w14:solidFill>
              <w14:schemeClr w14:val="tx1"/>
            </w14:solidFill>
          </w14:textFill>
        </w:rPr>
        <w:t>其他要求</w:t>
      </w:r>
    </w:p>
    <w:p>
      <w:pPr>
        <w:pStyle w:val="84"/>
        <w:tabs>
          <w:tab w:val="left" w:pos="993"/>
          <w:tab w:val="left" w:pos="1134"/>
        </w:tabs>
        <w:spacing w:line="560" w:lineRule="exact"/>
        <w:ind w:firstLine="568" w:firstLineChars="202"/>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
      <w:pPr>
        <w:pStyle w:val="2"/>
      </w:pPr>
    </w:p>
    <w:p/>
    <w:p>
      <w:pPr>
        <w:pStyle w:val="2"/>
      </w:pPr>
    </w:p>
    <w:p/>
    <w:p>
      <w:pPr>
        <w:pStyle w:val="2"/>
      </w:pPr>
    </w:p>
    <w:p/>
    <w:p>
      <w:pPr>
        <w:pStyle w:val="2"/>
      </w:pPr>
    </w:p>
    <w:p/>
    <w:p>
      <w:pPr>
        <w:pStyle w:val="2"/>
      </w:pPr>
    </w:p>
    <w:p/>
    <w:p>
      <w:pPr>
        <w:pStyle w:val="2"/>
      </w:pPr>
    </w:p>
    <w:bookmarkEnd w:id="227"/>
    <w:bookmarkEnd w:id="228"/>
    <w:bookmarkEnd w:id="229"/>
    <w:bookmarkEnd w:id="230"/>
    <w:bookmarkEnd w:id="231"/>
    <w:p>
      <w:pPr>
        <w:pStyle w:val="3"/>
        <w:numPr>
          <w:ilvl w:val="0"/>
          <w:numId w:val="3"/>
        </w:numPr>
        <w:spacing w:before="0" w:after="0" w:line="360" w:lineRule="auto"/>
        <w:ind w:left="0" w:firstLine="0"/>
        <w:rPr>
          <w:color w:val="000000" w:themeColor="text1"/>
          <w14:textFill>
            <w14:solidFill>
              <w14:schemeClr w14:val="tx1"/>
            </w14:solidFill>
          </w14:textFill>
        </w:rPr>
      </w:pPr>
      <w:bookmarkStart w:id="232" w:name="_Toc7800"/>
      <w:bookmarkStart w:id="233" w:name="_Toc7093"/>
      <w:bookmarkStart w:id="234" w:name="_Toc1676"/>
      <w:bookmarkStart w:id="235" w:name="_Toc10524"/>
      <w:bookmarkStart w:id="236" w:name="_Toc75336306"/>
      <w:r>
        <w:rPr>
          <w:rFonts w:hint="eastAsia"/>
          <w:color w:val="000000" w:themeColor="text1"/>
          <w14:textFill>
            <w14:solidFill>
              <w14:schemeClr w14:val="tx1"/>
            </w14:solidFill>
          </w14:textFill>
        </w:rPr>
        <w:t>资格性审查</w:t>
      </w:r>
      <w:bookmarkEnd w:id="232"/>
      <w:bookmarkEnd w:id="233"/>
      <w:bookmarkEnd w:id="234"/>
      <w:bookmarkEnd w:id="235"/>
      <w:bookmarkEnd w:id="236"/>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资格性审查时因断电、断网、系统故障或其他不可抗力等因素，导致资格审查小组无法通过系统阅读投标文件进行审查的，待系统恢复后继续审查。资格性审查标准见下表：</w:t>
      </w:r>
    </w:p>
    <w:tbl>
      <w:tblPr>
        <w:tblStyle w:val="43"/>
        <w:tblW w:w="8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96"/>
        <w:gridCol w:w="1592"/>
        <w:gridCol w:w="5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750" w:type="dxa"/>
            <w:gridSpan w:val="3"/>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b/>
                <w:sz w:val="28"/>
              </w:rPr>
            </w:pPr>
            <w:r>
              <w:rPr>
                <w:rFonts w:hint="eastAsia"/>
                <w:b/>
                <w:sz w:val="28"/>
              </w:rPr>
              <w:t>资格性审查项</w:t>
            </w:r>
          </w:p>
        </w:tc>
        <w:tc>
          <w:tcPr>
            <w:tcW w:w="5936" w:type="dxa"/>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8"/>
              </w:rPr>
            </w:pPr>
            <w:r>
              <w:rPr>
                <w:rFonts w:hint="eastAsia"/>
                <w:b/>
                <w:sz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8"/>
              </w:rPr>
            </w:pPr>
            <w:r>
              <w:rPr>
                <w:rFonts w:hint="default"/>
                <w:sz w:val="28"/>
              </w:rPr>
              <w:t>1</w:t>
            </w:r>
          </w:p>
        </w:tc>
        <w:tc>
          <w:tcPr>
            <w:tcW w:w="2088" w:type="dxa"/>
            <w:gridSpan w:val="2"/>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在中华人民共和国境内依法登记注册，并有效存续具有独立法人资格的供应商</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营业执照复印件（正本或副本）或法人证书复印件（正本或副本）。【说明：</w:t>
            </w:r>
            <w:r>
              <w:rPr>
                <w:rFonts w:hint="eastAsia" w:ascii="宋体" w:hAnsi="宋体"/>
                <w:sz w:val="28"/>
                <w:szCs w:val="28"/>
              </w:rPr>
              <w:t>①</w:t>
            </w:r>
            <w:r>
              <w:rPr>
                <w:rFonts w:hint="eastAsia"/>
                <w:sz w:val="28"/>
              </w:rPr>
              <w:t>营业执照或法人证书载明有期限的，应在有效期限内；</w:t>
            </w:r>
            <w:r>
              <w:rPr>
                <w:rFonts w:hint="eastAsia" w:ascii="宋体" w:hAnsi="宋体"/>
                <w:sz w:val="28"/>
                <w:szCs w:val="28"/>
              </w:rPr>
              <w:t>②</w:t>
            </w:r>
            <w:r>
              <w:rPr>
                <w:rFonts w:hint="eastAsia"/>
                <w:sz w:val="28"/>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8"/>
              </w:rPr>
            </w:pPr>
            <w:r>
              <w:rPr>
                <w:rFonts w:hint="default"/>
                <w:sz w:val="28"/>
              </w:rPr>
              <w:t>2</w:t>
            </w:r>
          </w:p>
        </w:tc>
        <w:tc>
          <w:tcPr>
            <w:tcW w:w="496"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书面声明材料</w:t>
            </w: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具有良好的商业信誉的证明材料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投标人具有良好的商业信誉的书面声明材</w:t>
            </w:r>
            <w:r>
              <w:rPr>
                <w:rFonts w:hint="eastAsia" w:ascii="宋体" w:hAnsi="宋体"/>
                <w:sz w:val="28"/>
                <w:szCs w:val="28"/>
              </w:rPr>
              <w:t>料。【说明：①按招标文件第</w:t>
            </w:r>
            <w:r>
              <w:rPr>
                <w:rFonts w:hint="default" w:ascii="宋体" w:hAnsi="宋体"/>
                <w:sz w:val="28"/>
                <w:szCs w:val="28"/>
              </w:rPr>
              <w:t>3</w:t>
            </w:r>
            <w:r>
              <w:rPr>
                <w:rFonts w:hint="eastAsia" w:ascii="宋体" w:hAnsi="宋体"/>
                <w:sz w:val="28"/>
                <w:szCs w:val="28"/>
              </w:rPr>
              <w:t>章的内容及要求提供书面声明材料；②供应商具有良好的商业信誉</w:t>
            </w:r>
            <w:r>
              <w:rPr>
                <w:rFonts w:hint="eastAsia"/>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参加政府采购活动前三年内，在经营活动中没有重大违法记录</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default"/>
                <w:sz w:val="28"/>
              </w:rPr>
              <w:t>1.</w:t>
            </w:r>
            <w:r>
              <w:rPr>
                <w:rFonts w:hint="eastAsia"/>
                <w:sz w:val="28"/>
              </w:rPr>
              <w:t>投标人参加政府采购活动前三年内，在经营活动中没有重大违法记录的书面声明材料。【说明：</w:t>
            </w:r>
            <w:r>
              <w:rPr>
                <w:rFonts w:hint="eastAsia" w:ascii="宋体" w:hAnsi="宋体"/>
                <w:sz w:val="28"/>
                <w:szCs w:val="28"/>
              </w:rPr>
              <w:t>①按招标文件第</w:t>
            </w:r>
            <w:r>
              <w:rPr>
                <w:rFonts w:hint="default" w:ascii="宋体" w:hAnsi="宋体"/>
                <w:sz w:val="28"/>
                <w:szCs w:val="28"/>
              </w:rPr>
              <w:t>3</w:t>
            </w:r>
            <w:r>
              <w:rPr>
                <w:rFonts w:hint="eastAsia" w:ascii="宋体" w:hAnsi="宋体"/>
                <w:sz w:val="28"/>
                <w:szCs w:val="28"/>
              </w:rPr>
              <w:t>章的内容及要求提供书面声明材料；②供应商参加政府采购活动前三年内，在经营活动中没有重大违法记录</w:t>
            </w:r>
            <w:r>
              <w:rPr>
                <w:rFonts w:hint="eastAsia"/>
                <w:sz w:val="28"/>
              </w:rPr>
              <w:t>。】</w:t>
            </w:r>
          </w:p>
          <w:p>
            <w:pPr>
              <w:keepNext w:val="0"/>
              <w:keepLines w:val="0"/>
              <w:suppressLineNumbers w:val="0"/>
              <w:tabs>
                <w:tab w:val="left" w:pos="851"/>
              </w:tabs>
              <w:spacing w:before="0" w:beforeAutospacing="0" w:after="0" w:afterAutospacing="0" w:line="360" w:lineRule="auto"/>
              <w:ind w:left="0" w:right="0"/>
              <w:rPr>
                <w:rFonts w:hint="default"/>
                <w:sz w:val="28"/>
              </w:rPr>
            </w:pPr>
            <w:r>
              <w:rPr>
                <w:rFonts w:hint="default"/>
                <w:sz w:val="28"/>
              </w:rPr>
              <w:t xml:space="preserve">2. </w:t>
            </w:r>
            <w:r>
              <w:rPr>
                <w:rFonts w:hint="eastAsia"/>
                <w:sz w:val="28"/>
              </w:rPr>
              <w:t>资格审查小组根据</w:t>
            </w:r>
            <w:r>
              <w:rPr>
                <w:rFonts w:hint="default"/>
                <w:sz w:val="28"/>
              </w:rPr>
              <w:t>“</w:t>
            </w:r>
            <w:r>
              <w:rPr>
                <w:rFonts w:hint="eastAsia"/>
                <w:sz w:val="28"/>
              </w:rPr>
              <w:t>信用中国</w:t>
            </w:r>
            <w:r>
              <w:rPr>
                <w:rFonts w:hint="default"/>
                <w:sz w:val="28"/>
              </w:rPr>
              <w:t>”</w:t>
            </w:r>
            <w:r>
              <w:rPr>
                <w:rFonts w:hint="eastAsia"/>
                <w:sz w:val="28"/>
              </w:rPr>
              <w:t>和</w:t>
            </w:r>
            <w:r>
              <w:rPr>
                <w:rFonts w:hint="default"/>
                <w:sz w:val="28"/>
              </w:rPr>
              <w:t>“</w:t>
            </w:r>
            <w:r>
              <w:rPr>
                <w:rFonts w:hint="eastAsia"/>
                <w:sz w:val="28"/>
              </w:rPr>
              <w:t>中国政府采购网</w:t>
            </w:r>
            <w:r>
              <w:rPr>
                <w:rFonts w:hint="default"/>
                <w:sz w:val="28"/>
              </w:rPr>
              <w:t>”</w:t>
            </w:r>
            <w:r>
              <w:rPr>
                <w:rFonts w:hint="eastAsia"/>
                <w:sz w:val="28"/>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未被列入失信被执行人、重大税收违法案件当事人名单、政府采购严重违法失信行为记录名单</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default"/>
                <w:sz w:val="28"/>
              </w:rPr>
              <w:t>1.</w:t>
            </w:r>
            <w:r>
              <w:rPr>
                <w:rFonts w:hint="eastAsia"/>
                <w:sz w:val="28"/>
              </w:rPr>
              <w:t>投标人未列入失信被执行人、重大税收违法案件当事人名单、政府采购严重违法失信行为记录名单的书面声明材料。【说明：</w:t>
            </w:r>
            <w:r>
              <w:rPr>
                <w:rFonts w:hint="eastAsia" w:ascii="宋体" w:hAnsi="宋体"/>
                <w:sz w:val="28"/>
                <w:szCs w:val="28"/>
              </w:rPr>
              <w:t>①</w:t>
            </w:r>
            <w:r>
              <w:rPr>
                <w:rFonts w:hint="eastAsia"/>
                <w:sz w:val="28"/>
              </w:rPr>
              <w:t>投标人未列入失信被执行人、重大税收违法案件当事人名单、政府采购严重违法失信行为记录名单；</w:t>
            </w:r>
            <w:r>
              <w:rPr>
                <w:rFonts w:hint="eastAsia" w:ascii="宋体" w:hAnsi="宋体"/>
                <w:sz w:val="28"/>
                <w:szCs w:val="28"/>
              </w:rPr>
              <w:t>②按招标文件第</w:t>
            </w:r>
            <w:r>
              <w:rPr>
                <w:rFonts w:hint="default" w:ascii="宋体" w:hAnsi="宋体"/>
                <w:sz w:val="28"/>
                <w:szCs w:val="28"/>
              </w:rPr>
              <w:t>3</w:t>
            </w:r>
            <w:r>
              <w:rPr>
                <w:rFonts w:hint="eastAsia" w:ascii="宋体" w:hAnsi="宋体"/>
                <w:sz w:val="28"/>
                <w:szCs w:val="28"/>
              </w:rPr>
              <w:t>章的内容及要求提供书面声明材料。</w:t>
            </w:r>
            <w:r>
              <w:rPr>
                <w:rFonts w:hint="eastAsia"/>
                <w:sz w:val="28"/>
              </w:rPr>
              <w:t>】</w:t>
            </w:r>
          </w:p>
          <w:p>
            <w:pPr>
              <w:keepNext w:val="0"/>
              <w:keepLines w:val="0"/>
              <w:suppressLineNumbers w:val="0"/>
              <w:tabs>
                <w:tab w:val="left" w:pos="851"/>
              </w:tabs>
              <w:spacing w:before="0" w:beforeAutospacing="0" w:after="0" w:afterAutospacing="0" w:line="360" w:lineRule="auto"/>
              <w:ind w:left="0" w:right="0"/>
              <w:rPr>
                <w:rFonts w:hint="default"/>
                <w:sz w:val="28"/>
              </w:rPr>
            </w:pPr>
            <w:r>
              <w:rPr>
                <w:rFonts w:hint="default"/>
                <w:sz w:val="28"/>
              </w:rPr>
              <w:t xml:space="preserve">2. </w:t>
            </w:r>
            <w:r>
              <w:rPr>
                <w:rFonts w:hint="eastAsia"/>
                <w:sz w:val="28"/>
              </w:rPr>
              <w:t>资格审查小组根据</w:t>
            </w:r>
            <w:r>
              <w:rPr>
                <w:rFonts w:hint="default"/>
                <w:sz w:val="28"/>
              </w:rPr>
              <w:t>“</w:t>
            </w:r>
            <w:r>
              <w:rPr>
                <w:rFonts w:hint="eastAsia"/>
                <w:sz w:val="28"/>
              </w:rPr>
              <w:t>信用中国</w:t>
            </w:r>
            <w:r>
              <w:rPr>
                <w:rFonts w:hint="default"/>
                <w:sz w:val="28"/>
              </w:rPr>
              <w:t>”</w:t>
            </w:r>
            <w:r>
              <w:rPr>
                <w:rFonts w:hint="eastAsia"/>
                <w:sz w:val="28"/>
              </w:rPr>
              <w:t>和</w:t>
            </w:r>
            <w:r>
              <w:rPr>
                <w:rFonts w:hint="default"/>
                <w:sz w:val="28"/>
              </w:rPr>
              <w:t>“</w:t>
            </w:r>
            <w:r>
              <w:rPr>
                <w:rFonts w:hint="eastAsia"/>
                <w:sz w:val="28"/>
              </w:rPr>
              <w:t>中国政府采购网</w:t>
            </w:r>
            <w:r>
              <w:rPr>
                <w:rFonts w:hint="default"/>
                <w:sz w:val="28"/>
              </w:rPr>
              <w:t>”</w:t>
            </w:r>
            <w:r>
              <w:rPr>
                <w:rFonts w:hint="eastAsia"/>
                <w:sz w:val="28"/>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未处于被行政部门禁止参与政府采购活动的期限内</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投标人未处于被行政部门禁止参与政府采购活动的期限内。【说明：</w:t>
            </w:r>
            <w:r>
              <w:rPr>
                <w:rFonts w:hint="eastAsia" w:ascii="宋体" w:hAnsi="宋体"/>
                <w:sz w:val="28"/>
                <w:szCs w:val="28"/>
              </w:rPr>
              <w:t>①按招标文件第</w:t>
            </w:r>
            <w:r>
              <w:rPr>
                <w:rFonts w:hint="default" w:ascii="宋体" w:hAnsi="宋体"/>
                <w:sz w:val="28"/>
                <w:szCs w:val="28"/>
              </w:rPr>
              <w:t>3</w:t>
            </w:r>
            <w:r>
              <w:rPr>
                <w:rFonts w:hint="eastAsia" w:ascii="宋体" w:hAnsi="宋体"/>
                <w:sz w:val="28"/>
                <w:szCs w:val="28"/>
              </w:rPr>
              <w:t>章的内容及要求提供书面声明材料；②供应商未处于被行政部门禁止参与政府采购活动的期限内。</w:t>
            </w:r>
            <w:r>
              <w:rPr>
                <w:rFonts w:hint="eastAsia"/>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行贿犯罪记录</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在行贿犯罪信息查询期限内，投标人及其现任法定代表人、主要负责人没有行贿犯罪记录的书面声明材料。【说明：</w:t>
            </w:r>
            <w:r>
              <w:rPr>
                <w:rFonts w:hint="eastAsia" w:ascii="宋体" w:hAnsi="宋体"/>
                <w:sz w:val="28"/>
                <w:szCs w:val="28"/>
              </w:rPr>
              <w:t>①按招标文件第</w:t>
            </w:r>
            <w:r>
              <w:rPr>
                <w:rFonts w:hint="default" w:ascii="宋体" w:hAnsi="宋体"/>
                <w:sz w:val="28"/>
                <w:szCs w:val="28"/>
              </w:rPr>
              <w:t>3</w:t>
            </w:r>
            <w:r>
              <w:rPr>
                <w:rFonts w:hint="eastAsia" w:ascii="宋体" w:hAnsi="宋体"/>
                <w:sz w:val="28"/>
                <w:szCs w:val="28"/>
              </w:rPr>
              <w:t>章的内容及要求提供书面声明材料，</w:t>
            </w:r>
            <w:r>
              <w:rPr>
                <w:rFonts w:hint="eastAsia"/>
                <w:sz w:val="28"/>
              </w:rPr>
              <w:t>投标文件中不需提供中国裁判文书网（</w:t>
            </w:r>
            <w:r>
              <w:rPr>
                <w:rFonts w:hint="default"/>
                <w:sz w:val="28"/>
              </w:rPr>
              <w:t>https://wenshu.court.gov.cn</w:t>
            </w:r>
            <w:r>
              <w:rPr>
                <w:rFonts w:hint="eastAsia"/>
                <w:sz w:val="28"/>
              </w:rPr>
              <w:t>）查询结果的证明材料；</w:t>
            </w:r>
            <w:r>
              <w:rPr>
                <w:rFonts w:hint="eastAsia" w:ascii="宋体" w:hAnsi="宋体"/>
                <w:sz w:val="28"/>
                <w:szCs w:val="28"/>
              </w:rPr>
              <w:t>②在行贿犯罪信息查询期限内，供应商及其现任法定代表人、主要负责人没有行贿犯罪记录</w:t>
            </w:r>
            <w:r>
              <w:rPr>
                <w:rFonts w:hint="eastAsia"/>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单位负责人为同一人或者存在直接控股、管理关系的不同供应商，不得参加同一项目的投标</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与投标人负责人为同一人或者存在直接控股、管理关系的相关供应商的书面声明材料。【说明：</w:t>
            </w:r>
            <w:r>
              <w:rPr>
                <w:rFonts w:hint="eastAsia" w:ascii="宋体" w:hAnsi="宋体"/>
                <w:sz w:val="28"/>
                <w:szCs w:val="28"/>
              </w:rPr>
              <w:t>①</w:t>
            </w:r>
            <w:r>
              <w:rPr>
                <w:rFonts w:hint="eastAsia"/>
                <w:color w:val="000000" w:themeColor="text1"/>
                <w:sz w:val="28"/>
                <w14:textFill>
                  <w14:solidFill>
                    <w14:schemeClr w14:val="tx1"/>
                  </w14:solidFill>
                </w14:textFill>
              </w:rPr>
              <w:t>按招标文件第</w:t>
            </w:r>
            <w:r>
              <w:rPr>
                <w:rFonts w:hint="default"/>
                <w:color w:val="000000" w:themeColor="text1"/>
                <w:sz w:val="28"/>
                <w14:textFill>
                  <w14:solidFill>
                    <w14:schemeClr w14:val="tx1"/>
                  </w14:solidFill>
                </w14:textFill>
              </w:rPr>
              <w:t>3</w:t>
            </w:r>
            <w:r>
              <w:rPr>
                <w:rFonts w:hint="eastAsia"/>
                <w:color w:val="000000" w:themeColor="text1"/>
                <w:sz w:val="28"/>
                <w14:textFill>
                  <w14:solidFill>
                    <w14:schemeClr w14:val="tx1"/>
                  </w14:solidFill>
                </w14:textFill>
              </w:rPr>
              <w:t>章的内容及要求提供书面声明材料；</w:t>
            </w:r>
            <w:r>
              <w:rPr>
                <w:rFonts w:hint="eastAsia" w:ascii="宋体" w:hAnsi="宋体"/>
                <w:sz w:val="28"/>
                <w:szCs w:val="28"/>
              </w:rPr>
              <w:t>②参加投标的供应商中无与投标人的负责人为同一人或者存在直接控股、管理关系的供应商。</w:t>
            </w:r>
            <w:r>
              <w:rPr>
                <w:rFonts w:hint="eastAsia"/>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8"/>
              </w:rPr>
            </w:pPr>
            <w:r>
              <w:rPr>
                <w:rFonts w:hint="eastAsia"/>
                <w:sz w:val="28"/>
              </w:rPr>
              <w:t>3</w:t>
            </w:r>
          </w:p>
        </w:tc>
        <w:tc>
          <w:tcPr>
            <w:tcW w:w="496"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其他</w:t>
            </w: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具有履行合同所必需的设备和专业技术能力</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采购人对投标人履行合同所必需的设备和专业技术能力无其他特殊要求，投标人具有有效的营业执照或法人证书</w:t>
            </w:r>
            <w:r>
              <w:rPr>
                <w:rFonts w:hint="eastAsia" w:ascii="宋体" w:hAnsi="宋体"/>
                <w:sz w:val="28"/>
                <w:szCs w:val="28"/>
              </w:rPr>
              <w:t>即可，可不提供其他证明材料</w:t>
            </w:r>
            <w:r>
              <w:rPr>
                <w:rFonts w:hint="eastAsia"/>
                <w:sz w:val="28"/>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不属于其他国家相关法律法规规定的禁止参加投标的供应商</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default"/>
                <w:sz w:val="28"/>
              </w:rPr>
              <w:t>1</w:t>
            </w:r>
            <w:r>
              <w:rPr>
                <w:rFonts w:hint="eastAsia"/>
                <w:sz w:val="28"/>
              </w:rPr>
              <w:t>、根据招标文件的要求不属于禁止参加投标或投标无效的供应商；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sz w:val="28"/>
              </w:rPr>
            </w:pPr>
            <w:r>
              <w:rPr>
                <w:rFonts w:hint="default"/>
                <w:sz w:val="28"/>
              </w:rPr>
              <w:t>2</w:t>
            </w:r>
            <w:r>
              <w:rPr>
                <w:rFonts w:hint="eastAsia"/>
                <w:sz w:val="28"/>
              </w:rPr>
              <w:t>、资格审查小组未发现或者未知晓投标人存在属于国家相关法律法规规定的禁止参加投标或投标无效的供应商。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联合体投标</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投标文件解密情况</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ascii="宋体" w:hAnsi="宋体"/>
                <w:sz w:val="28"/>
                <w:szCs w:val="28"/>
              </w:rPr>
              <w:t>除因断电、断网、系统故障或其他不可抗力等因素，导致系统无法使用外，投标文件已成功解密。</w:t>
            </w:r>
            <w:r>
              <w:rPr>
                <w:rFonts w:hint="eastAsia"/>
                <w:sz w:val="28"/>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color w:val="000000" w:themeColor="text1"/>
                <w:sz w:val="28"/>
                <w14:textFill>
                  <w14:solidFill>
                    <w14:schemeClr w14:val="tx1"/>
                  </w14:solidFill>
                </w14:textFill>
              </w:rPr>
              <w:t>投标文件签章</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color w:val="000000" w:themeColor="text1"/>
                <w:sz w:val="28"/>
                <w14:textFill>
                  <w14:solidFill>
                    <w14:schemeClr w14:val="tx1"/>
                  </w14:solidFill>
                </w14:textFill>
              </w:rPr>
              <w:t>投标文件资格响应</w:t>
            </w:r>
            <w:r>
              <w:rPr>
                <w:rFonts w:hint="default"/>
                <w:color w:val="000000" w:themeColor="text1"/>
                <w:sz w:val="28"/>
                <w14:textFill>
                  <w14:solidFill>
                    <w14:schemeClr w14:val="tx1"/>
                  </w14:solidFill>
                </w14:textFill>
              </w:rPr>
              <w:t>文件</w:t>
            </w:r>
            <w:r>
              <w:rPr>
                <w:rFonts w:hint="eastAsia"/>
                <w:color w:val="000000" w:themeColor="text1"/>
                <w:sz w:val="28"/>
                <w14:textFill>
                  <w14:solidFill>
                    <w14:schemeClr w14:val="tx1"/>
                  </w14:solidFill>
                </w14:textFill>
              </w:rPr>
              <w:t>组成</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color w:val="000000" w:themeColor="text1"/>
                <w:sz w:val="28"/>
                <w14:textFill>
                  <w14:solidFill>
                    <w14:schemeClr w14:val="tx1"/>
                  </w14:solidFill>
                </w14:textFill>
              </w:rPr>
              <w:t>符合招标文件</w:t>
            </w:r>
            <w:r>
              <w:rPr>
                <w:rFonts w:hint="default"/>
                <w:color w:val="000000" w:themeColor="text1"/>
                <w:sz w:val="28"/>
                <w14:textFill>
                  <w14:solidFill>
                    <w14:schemeClr w14:val="tx1"/>
                  </w14:solidFill>
                </w14:textFill>
              </w:rPr>
              <w:t>“2.4.6</w:t>
            </w:r>
            <w:r>
              <w:rPr>
                <w:rFonts w:hint="eastAsia"/>
                <w:color w:val="000000" w:themeColor="text1"/>
                <w:sz w:val="28"/>
                <w14:textFill>
                  <w14:solidFill>
                    <w14:schemeClr w14:val="tx1"/>
                  </w14:solidFill>
                </w14:textFill>
              </w:rPr>
              <w:t>投标文件的组成</w:t>
            </w:r>
            <w:r>
              <w:rPr>
                <w:rFonts w:hint="default"/>
                <w:color w:val="000000" w:themeColor="text1"/>
                <w:sz w:val="28"/>
                <w14:textFill>
                  <w14:solidFill>
                    <w14:schemeClr w14:val="tx1"/>
                  </w14:solidFill>
                </w14:textFill>
              </w:rPr>
              <w:t>”</w:t>
            </w:r>
            <w:r>
              <w:rPr>
                <w:rFonts w:hint="eastAsia"/>
                <w:color w:val="000000" w:themeColor="text1"/>
                <w:sz w:val="28"/>
                <w14:textFill>
                  <w14:solidFill>
                    <w14:schemeClr w14:val="tx1"/>
                  </w14:solidFill>
                </w14:textFill>
              </w:rPr>
              <w:t>规定要求。【说明：无须提供证明材料，上传空白页即可，不对本项上传的材料作资格审查】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color w:val="000000" w:themeColor="text1"/>
                <w:sz w:val="28"/>
                <w14:textFill>
                  <w14:solidFill>
                    <w14:schemeClr w14:val="tx1"/>
                  </w14:solidFill>
                </w14:textFill>
              </w:rPr>
              <w:t>投标文件资格响应文件的语言</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color w:val="000000" w:themeColor="text1"/>
                <w:sz w:val="28"/>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8"/>
              </w:rPr>
            </w:pPr>
            <w:r>
              <w:rPr>
                <w:rFonts w:hint="eastAsia"/>
                <w:sz w:val="28"/>
              </w:rPr>
              <w:t>5</w:t>
            </w: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具有健全的财务会计制度的证明材料</w:t>
            </w: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具有健全的财务会计制度的证明材料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8"/>
                <w:szCs w:val="28"/>
              </w:rPr>
            </w:pPr>
            <w:r>
              <w:rPr>
                <w:rFonts w:hint="default"/>
                <w:sz w:val="28"/>
              </w:rPr>
              <w:t>2019</w:t>
            </w:r>
            <w:r>
              <w:rPr>
                <w:rFonts w:hint="eastAsia"/>
                <w:sz w:val="28"/>
              </w:rPr>
              <w:t>年或</w:t>
            </w:r>
            <w:r>
              <w:rPr>
                <w:rFonts w:hint="default"/>
                <w:sz w:val="28"/>
              </w:rPr>
              <w:t>2020</w:t>
            </w:r>
            <w:r>
              <w:rPr>
                <w:rFonts w:hint="eastAsia"/>
                <w:sz w:val="28"/>
              </w:rPr>
              <w:t>年会计年度资产负债表复印件。【说明：投标人成立时间至投标截止时间止不足一年的，提供成立后任意时段的资产负债表复印件。】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8"/>
              </w:rPr>
            </w:pPr>
            <w:r>
              <w:rPr>
                <w:rFonts w:hint="eastAsia"/>
                <w:sz w:val="28"/>
              </w:rPr>
              <w:t>6</w:t>
            </w: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缴纳社会保障资金的证明材料</w:t>
            </w: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缴纳社会保障资金的证明材料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8"/>
                <w:szCs w:val="28"/>
              </w:rPr>
            </w:pPr>
            <w:r>
              <w:rPr>
                <w:rFonts w:hint="eastAsia"/>
                <w:sz w:val="28"/>
              </w:rPr>
              <w:t>投标人缴纳</w:t>
            </w:r>
            <w:r>
              <w:rPr>
                <w:rFonts w:hint="default"/>
                <w:sz w:val="28"/>
              </w:rPr>
              <w:t>2020</w:t>
            </w:r>
            <w:r>
              <w:rPr>
                <w:rFonts w:hint="eastAsia"/>
                <w:sz w:val="28"/>
              </w:rPr>
              <w:t>年或</w:t>
            </w:r>
            <w:r>
              <w:rPr>
                <w:rFonts w:hint="default"/>
                <w:sz w:val="28"/>
              </w:rPr>
              <w:t>2021</w:t>
            </w:r>
            <w:r>
              <w:rPr>
                <w:rFonts w:hint="eastAsia"/>
                <w:sz w:val="28"/>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8"/>
              </w:rPr>
            </w:pPr>
            <w:r>
              <w:rPr>
                <w:rFonts w:hint="eastAsia"/>
                <w:sz w:val="28"/>
              </w:rPr>
              <w:t>7</w:t>
            </w:r>
          </w:p>
        </w:tc>
        <w:tc>
          <w:tcPr>
            <w:tcW w:w="496"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缴纳税收的证明材料</w:t>
            </w:r>
          </w:p>
        </w:tc>
        <w:tc>
          <w:tcPr>
            <w:tcW w:w="159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sz w:val="28"/>
              </w:rPr>
              <w:t>缴纳税收的证明材料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8"/>
                <w:szCs w:val="28"/>
              </w:rPr>
            </w:pPr>
            <w:r>
              <w:rPr>
                <w:rFonts w:hint="eastAsia"/>
                <w:sz w:val="28"/>
              </w:rPr>
              <w:t>投标人缴纳</w:t>
            </w:r>
            <w:r>
              <w:rPr>
                <w:rFonts w:hint="default"/>
                <w:sz w:val="28"/>
              </w:rPr>
              <w:t>2020</w:t>
            </w:r>
            <w:r>
              <w:rPr>
                <w:rFonts w:hint="eastAsia"/>
                <w:sz w:val="28"/>
              </w:rPr>
              <w:t>年或</w:t>
            </w:r>
            <w:r>
              <w:rPr>
                <w:rFonts w:hint="default"/>
                <w:sz w:val="28"/>
              </w:rPr>
              <w:t>2021</w:t>
            </w:r>
            <w:r>
              <w:rPr>
                <w:rFonts w:hint="eastAsia"/>
                <w:sz w:val="28"/>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sz w:val="28"/>
              </w:rPr>
            </w:pPr>
            <w:r>
              <w:rPr>
                <w:rFonts w:hint="eastAsia"/>
                <w:sz w:val="28"/>
              </w:rPr>
              <w:t>8</w:t>
            </w:r>
          </w:p>
        </w:tc>
        <w:tc>
          <w:tcPr>
            <w:tcW w:w="208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1134"/>
              </w:tabs>
              <w:spacing w:before="0" w:beforeAutospacing="0" w:after="0" w:afterAutospacing="0" w:line="560" w:lineRule="exact"/>
              <w:ind w:left="7" w:right="0" w:firstLine="560" w:firstLineChars="200"/>
              <w:rPr>
                <w:rFonts w:hint="default" w:ascii="宋体" w:hAnsi="宋体"/>
                <w:b/>
                <w:color w:val="000000" w:themeColor="text1"/>
                <w:sz w:val="28"/>
                <w:szCs w:val="28"/>
                <w14:textFill>
                  <w14:solidFill>
                    <w14:schemeClr w14:val="tx1"/>
                  </w14:solidFill>
                </w14:textFill>
              </w:rPr>
            </w:pPr>
            <w:r>
              <w:rPr>
                <w:rFonts w:hint="eastAsia" w:ascii="宋体" w:hAnsi="宋体"/>
                <w:sz w:val="28"/>
                <w:szCs w:val="28"/>
              </w:rPr>
              <w:t>本项目为专门面向中小企业采购项目，服务全部由符合政策要求的中小企业承接</w:t>
            </w:r>
            <w:r>
              <w:rPr>
                <w:rFonts w:hint="eastAsia" w:ascii="宋体" w:hAnsi="宋体"/>
                <w:b/>
                <w:color w:val="000000" w:themeColor="text1"/>
                <w:sz w:val="28"/>
                <w:szCs w:val="28"/>
                <w14:textFill>
                  <w14:solidFill>
                    <w14:schemeClr w14:val="tx1"/>
                  </w14:solidFill>
                </w14:textFill>
              </w:rPr>
              <w:t>（说明：监狱企业、残疾人福利性单位视同小型、微型企业）</w:t>
            </w:r>
          </w:p>
          <w:p>
            <w:pPr>
              <w:keepNext w:val="0"/>
              <w:keepLines w:val="0"/>
              <w:suppressLineNumbers w:val="0"/>
              <w:tabs>
                <w:tab w:val="left" w:pos="851"/>
              </w:tabs>
              <w:spacing w:before="0" w:beforeAutospacing="0" w:after="0" w:afterAutospacing="0" w:line="360" w:lineRule="auto"/>
              <w:ind w:left="0" w:right="0"/>
              <w:rPr>
                <w:rFonts w:hint="default"/>
                <w:sz w:val="28"/>
              </w:rPr>
            </w:pPr>
          </w:p>
        </w:tc>
        <w:tc>
          <w:tcPr>
            <w:tcW w:w="593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8"/>
                <w:szCs w:val="28"/>
              </w:rPr>
            </w:pPr>
            <w:r>
              <w:rPr>
                <w:rFonts w:hint="eastAsia" w:ascii="宋体" w:hAnsi="宋体"/>
                <w:sz w:val="28"/>
                <w:szCs w:val="28"/>
              </w:rPr>
              <w:t>专门面向中小企业采购项目:</w:t>
            </w:r>
          </w:p>
          <w:p>
            <w:pPr>
              <w:keepNext w:val="0"/>
              <w:keepLines w:val="0"/>
              <w:suppressLineNumbers w:val="0"/>
              <w:tabs>
                <w:tab w:val="left" w:pos="851"/>
              </w:tabs>
              <w:spacing w:before="0" w:beforeAutospacing="0" w:after="0" w:afterAutospacing="0" w:line="360" w:lineRule="auto"/>
              <w:ind w:left="0" w:right="0"/>
              <w:rPr>
                <w:rFonts w:hint="default" w:ascii="宋体" w:hAnsi="宋体"/>
                <w:sz w:val="28"/>
                <w:szCs w:val="28"/>
              </w:rPr>
            </w:pPr>
            <w:r>
              <w:rPr>
                <w:rFonts w:hint="eastAsia" w:ascii="宋体" w:hAnsi="宋体"/>
                <w:sz w:val="28"/>
                <w:szCs w:val="28"/>
              </w:rPr>
              <w:t>1.《中小企业声明函》中声明提供的服务全部由符合政策要求的中小企业承接；</w:t>
            </w:r>
          </w:p>
          <w:p>
            <w:pPr>
              <w:keepNext w:val="0"/>
              <w:keepLines w:val="0"/>
              <w:suppressLineNumbers w:val="0"/>
              <w:tabs>
                <w:tab w:val="left" w:pos="851"/>
              </w:tabs>
              <w:spacing w:before="0" w:beforeAutospacing="0" w:after="0" w:afterAutospacing="0" w:line="360" w:lineRule="auto"/>
              <w:ind w:left="0" w:right="0"/>
              <w:rPr>
                <w:rFonts w:hint="default" w:ascii="宋体" w:hAnsi="宋体"/>
                <w:sz w:val="28"/>
                <w:szCs w:val="28"/>
              </w:rPr>
            </w:pPr>
            <w:r>
              <w:rPr>
                <w:rFonts w:hint="eastAsia" w:ascii="宋体" w:hAnsi="宋体"/>
                <w:sz w:val="28"/>
                <w:szCs w:val="28"/>
              </w:rPr>
              <w:t>2.残疾人福利性单位视同为小型、微型企业，《残疾人福利性单位声明函》中声明投标人为符合条件的残疾人福利性单位，其参加</w:t>
            </w:r>
            <w:r>
              <w:rPr>
                <w:rFonts w:hint="eastAsia" w:ascii="宋体" w:hAnsi="宋体"/>
                <w:sz w:val="28"/>
                <w:szCs w:val="28"/>
                <w:u w:val="single"/>
              </w:rPr>
              <w:t>本</w:t>
            </w:r>
            <w:r>
              <w:rPr>
                <w:rFonts w:hint="eastAsia" w:ascii="宋体" w:hAnsi="宋体"/>
                <w:sz w:val="28"/>
                <w:szCs w:val="28"/>
              </w:rPr>
              <w:t>项目采购活动由本单位提供服务；</w:t>
            </w:r>
          </w:p>
          <w:p>
            <w:pPr>
              <w:keepNext w:val="0"/>
              <w:keepLines w:val="0"/>
              <w:suppressLineNumbers w:val="0"/>
              <w:tabs>
                <w:tab w:val="left" w:pos="851"/>
              </w:tabs>
              <w:spacing w:before="0" w:beforeAutospacing="0" w:after="0" w:afterAutospacing="0" w:line="360" w:lineRule="auto"/>
              <w:ind w:left="0" w:right="0"/>
              <w:rPr>
                <w:rFonts w:hint="default"/>
                <w:sz w:val="28"/>
              </w:rPr>
            </w:pPr>
            <w:r>
              <w:rPr>
                <w:rFonts w:hint="eastAsia" w:ascii="宋体" w:hAnsi="宋体"/>
                <w:sz w:val="28"/>
                <w:szCs w:val="28"/>
              </w:rPr>
              <w:t>3.监狱企业视同为小型、微型企业，提供由省级以上监狱管理局、戒毒管理局（含新疆生产建设兵团）出具的</w:t>
            </w:r>
            <w:r>
              <w:rPr>
                <w:rFonts w:hint="eastAsia"/>
                <w:sz w:val="28"/>
              </w:rPr>
              <w:t>投标人</w:t>
            </w:r>
            <w:r>
              <w:rPr>
                <w:rFonts w:hint="eastAsia" w:ascii="宋体" w:hAnsi="宋体"/>
                <w:sz w:val="28"/>
                <w:szCs w:val="28"/>
              </w:rPr>
              <w:t>属于监狱企业的证明文件复印件。</w:t>
            </w:r>
          </w:p>
        </w:tc>
      </w:tr>
    </w:tbl>
    <w:p>
      <w:pPr>
        <w:tabs>
          <w:tab w:val="left" w:pos="851"/>
        </w:tabs>
        <w:spacing w:line="360" w:lineRule="auto"/>
        <w:rPr>
          <w:rFonts w:ascii="宋体" w:hAnsi="宋体"/>
          <w:color w:val="000000" w:themeColor="text1"/>
          <w:sz w:val="28"/>
          <w:szCs w:val="28"/>
          <w14:textFill>
            <w14:solidFill>
              <w14:schemeClr w14:val="tx1"/>
            </w14:solidFill>
          </w14:textFill>
        </w:rPr>
      </w:pPr>
    </w:p>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pPr>
        <w:ind w:firstLine="565"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rPr>
          <w:color w:val="000000" w:themeColor="text1"/>
          <w14:textFill>
            <w14:solidFill>
              <w14:schemeClr w14:val="tx1"/>
            </w14:solidFill>
          </w14:textFill>
        </w:rPr>
      </w:pPr>
    </w:p>
    <w:p>
      <w:pPr>
        <w:pStyle w:val="3"/>
        <w:numPr>
          <w:ilvl w:val="0"/>
          <w:numId w:val="3"/>
        </w:numPr>
        <w:spacing w:before="0" w:after="0" w:line="360" w:lineRule="auto"/>
        <w:ind w:left="0" w:firstLine="0"/>
        <w:rPr>
          <w:color w:val="000000" w:themeColor="text1"/>
          <w14:textFill>
            <w14:solidFill>
              <w14:schemeClr w14:val="tx1"/>
            </w14:solidFill>
          </w14:textFill>
        </w:rPr>
      </w:pPr>
      <w:bookmarkStart w:id="237" w:name="_Toc75336307"/>
      <w:bookmarkStart w:id="238" w:name="_Toc11596"/>
      <w:bookmarkStart w:id="239" w:name="_Toc16118"/>
      <w:bookmarkStart w:id="240" w:name="_Toc18121"/>
      <w:bookmarkStart w:id="241" w:name="_Toc29184"/>
      <w:r>
        <w:rPr>
          <w:rFonts w:hint="eastAsia"/>
          <w:color w:val="000000" w:themeColor="text1"/>
          <w14:textFill>
            <w14:solidFill>
              <w14:schemeClr w14:val="tx1"/>
            </w14:solidFill>
          </w14:textFill>
        </w:rPr>
        <w:t>评标办法</w:t>
      </w:r>
      <w:bookmarkEnd w:id="237"/>
      <w:bookmarkEnd w:id="238"/>
      <w:bookmarkEnd w:id="239"/>
      <w:bookmarkEnd w:id="240"/>
      <w:bookmarkEnd w:id="241"/>
      <w:bookmarkStart w:id="242" w:name="_Toc208849007"/>
      <w:bookmarkStart w:id="243" w:name="_Toc217446097"/>
      <w:bookmarkStart w:id="244" w:name="_Toc183582280"/>
      <w:bookmarkStart w:id="245" w:name="_Toc183682415"/>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46" w:name="_Toc75336308"/>
      <w:bookmarkStart w:id="247" w:name="_Toc12005"/>
      <w:bookmarkStart w:id="248" w:name="_Toc13609"/>
      <w:bookmarkStart w:id="249" w:name="_Toc30790"/>
      <w:bookmarkStart w:id="250" w:name="_Toc10788"/>
      <w:bookmarkStart w:id="251" w:name="_Toc316292248"/>
      <w:bookmarkStart w:id="252" w:name="_Toc315871642"/>
      <w:r>
        <w:rPr>
          <w:rFonts w:hint="eastAsia"/>
          <w:color w:val="000000" w:themeColor="text1"/>
          <w14:textFill>
            <w14:solidFill>
              <w14:schemeClr w14:val="tx1"/>
            </w14:solidFill>
          </w14:textFill>
        </w:rPr>
        <w:t>总则</w:t>
      </w:r>
      <w:bookmarkEnd w:id="242"/>
      <w:bookmarkEnd w:id="243"/>
      <w:bookmarkEnd w:id="244"/>
      <w:bookmarkEnd w:id="245"/>
      <w:bookmarkEnd w:id="246"/>
      <w:bookmarkEnd w:id="247"/>
      <w:bookmarkEnd w:id="248"/>
      <w:bookmarkEnd w:id="249"/>
      <w:bookmarkEnd w:id="250"/>
      <w:bookmarkEnd w:id="251"/>
      <w:bookmarkEnd w:id="252"/>
    </w:p>
    <w:p>
      <w:pPr>
        <w:numPr>
          <w:ilvl w:val="0"/>
          <w:numId w:val="36"/>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6"/>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评标工作由市公资交易中心负责组织，具体评标事务由采购人或市公资交易中心依法组建的评标委员会负责。评标委员会由采购人代表和评审专家组成。</w:t>
      </w:r>
    </w:p>
    <w:p>
      <w:pPr>
        <w:numPr>
          <w:ilvl w:val="0"/>
          <w:numId w:val="36"/>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6"/>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37"/>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37"/>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37"/>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37"/>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37"/>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37"/>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37"/>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向采购人、市公资交易中心构或者财政、监察等有关部门报告或举报非法干预评标工作的行为；</w:t>
      </w:r>
    </w:p>
    <w:p>
      <w:pPr>
        <w:numPr>
          <w:ilvl w:val="1"/>
          <w:numId w:val="37"/>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37"/>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6"/>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6"/>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七、评标委员会发现招标文件表述不明确或需要说明的事项，可提请采购人和市公资交易中心书面解释说明。</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53" w:name="_Toc3818"/>
      <w:bookmarkStart w:id="254" w:name="_Toc7423"/>
      <w:bookmarkStart w:id="255" w:name="_Toc28274"/>
      <w:bookmarkStart w:id="256" w:name="_Toc29481"/>
      <w:bookmarkStart w:id="257" w:name="_Toc75336309"/>
      <w:bookmarkStart w:id="258" w:name="_Toc217446098"/>
      <w:bookmarkStart w:id="259" w:name="_Toc316292250"/>
      <w:bookmarkStart w:id="260" w:name="_Toc315871644"/>
      <w:r>
        <w:rPr>
          <w:rFonts w:hint="eastAsia"/>
          <w:color w:val="000000" w:themeColor="text1"/>
          <w14:textFill>
            <w14:solidFill>
              <w14:schemeClr w14:val="tx1"/>
            </w14:solidFill>
          </w14:textFill>
        </w:rPr>
        <w:t>评标方法</w:t>
      </w:r>
      <w:bookmarkEnd w:id="253"/>
      <w:bookmarkEnd w:id="254"/>
      <w:bookmarkEnd w:id="255"/>
      <w:bookmarkEnd w:id="256"/>
      <w:bookmarkEnd w:id="257"/>
    </w:p>
    <w:p>
      <w:pPr>
        <w:spacing w:line="560" w:lineRule="exact"/>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综合评分法。</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61" w:name="_Toc6803"/>
      <w:bookmarkStart w:id="262" w:name="_Toc10678"/>
      <w:bookmarkStart w:id="263" w:name="_Toc30741"/>
      <w:bookmarkStart w:id="264" w:name="_Toc3207"/>
      <w:bookmarkStart w:id="265" w:name="_Toc75336310"/>
      <w:r>
        <w:rPr>
          <w:rFonts w:hint="eastAsia"/>
          <w:color w:val="000000" w:themeColor="text1"/>
          <w14:textFill>
            <w14:solidFill>
              <w14:schemeClr w14:val="tx1"/>
            </w14:solidFill>
          </w14:textFill>
        </w:rPr>
        <w:t>评标程序</w:t>
      </w:r>
      <w:bookmarkEnd w:id="258"/>
      <w:bookmarkEnd w:id="259"/>
      <w:bookmarkEnd w:id="260"/>
      <w:bookmarkEnd w:id="261"/>
      <w:bookmarkEnd w:id="262"/>
      <w:bookmarkEnd w:id="263"/>
      <w:bookmarkEnd w:id="264"/>
      <w:bookmarkEnd w:id="265"/>
    </w:p>
    <w:p>
      <w:pPr>
        <w:pStyle w:val="5"/>
        <w:numPr>
          <w:ilvl w:val="2"/>
          <w:numId w:val="3"/>
        </w:numPr>
        <w:spacing w:after="200" w:line="560" w:lineRule="exact"/>
        <w:ind w:left="0" w:firstLine="0"/>
        <w:rPr>
          <w:color w:val="000000" w:themeColor="text1"/>
          <w14:textFill>
            <w14:solidFill>
              <w14:schemeClr w14:val="tx1"/>
            </w14:solidFill>
          </w14:textFill>
        </w:rPr>
      </w:pPr>
      <w:bookmarkStart w:id="266" w:name="_Toc316475650"/>
      <w:bookmarkEnd w:id="266"/>
      <w:bookmarkStart w:id="267" w:name="_Toc217446099"/>
      <w:r>
        <w:rPr>
          <w:rFonts w:hint="eastAsia"/>
          <w:color w:val="000000" w:themeColor="text1"/>
          <w14:textFill>
            <w14:solidFill>
              <w14:schemeClr w14:val="tx1"/>
            </w14:solidFill>
          </w14:textFill>
        </w:rPr>
        <w:t>符合性审查</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符合性审查标准见下表（按以下顺序审查）：</w:t>
      </w:r>
    </w:p>
    <w:p>
      <w:pPr>
        <w:pStyle w:val="2"/>
      </w:pPr>
    </w:p>
    <w:tbl>
      <w:tblPr>
        <w:tblStyle w:val="43"/>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984"/>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序号</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firstLine="568" w:firstLineChars="202"/>
              <w:jc w:val="center"/>
              <w:rPr>
                <w:rFonts w:hint="default"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投标文件商务技术</w:t>
            </w:r>
            <w:r>
              <w:rPr>
                <w:rFonts w:hint="default" w:ascii="宋体" w:hAnsi="宋体"/>
                <w:color w:val="000000" w:themeColor="text1"/>
                <w:sz w:val="28"/>
                <w:szCs w:val="28"/>
                <w14:textFill>
                  <w14:solidFill>
                    <w14:schemeClr w14:val="tx1"/>
                  </w14:solidFill>
                </w14:textFill>
              </w:rPr>
              <w:t>响应文件</w:t>
            </w:r>
            <w:r>
              <w:rPr>
                <w:rFonts w:hint="eastAsia" w:ascii="宋体" w:hAnsi="宋体"/>
                <w:color w:val="000000" w:themeColor="text1"/>
                <w:sz w:val="28"/>
                <w:szCs w:val="28"/>
                <w14:textFill>
                  <w14:solidFill>
                    <w14:schemeClr w14:val="tx1"/>
                  </w14:solidFill>
                </w14:textFill>
              </w:rPr>
              <w:t>及</w:t>
            </w:r>
            <w:r>
              <w:rPr>
                <w:rFonts w:hint="default" w:ascii="宋体" w:hAnsi="宋体"/>
                <w:color w:val="000000" w:themeColor="text1"/>
                <w:sz w:val="28"/>
                <w:szCs w:val="28"/>
                <w14:textFill>
                  <w14:solidFill>
                    <w14:schemeClr w14:val="tx1"/>
                  </w14:solidFill>
                </w14:textFill>
              </w:rPr>
              <w:t>报价要求响应文件</w:t>
            </w:r>
            <w:r>
              <w:rPr>
                <w:rFonts w:hint="eastAsia" w:ascii="宋体" w:hAnsi="宋体"/>
                <w:color w:val="000000" w:themeColor="text1"/>
                <w:sz w:val="28"/>
                <w:szCs w:val="28"/>
                <w14:textFill>
                  <w14:solidFill>
                    <w14:schemeClr w14:val="tx1"/>
                  </w14:solidFill>
                </w14:textFill>
              </w:rPr>
              <w:t>组成</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2 </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投标文件签章投标文件加盖有投标人（法定名称）电子签章。</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投标文件商务技术</w:t>
            </w:r>
            <w:r>
              <w:rPr>
                <w:rFonts w:hint="default" w:ascii="宋体" w:hAnsi="宋体"/>
                <w:color w:val="000000" w:themeColor="text1"/>
                <w:sz w:val="28"/>
                <w:szCs w:val="28"/>
                <w14:textFill>
                  <w14:solidFill>
                    <w14:schemeClr w14:val="tx1"/>
                  </w14:solidFill>
                </w14:textFill>
              </w:rPr>
              <w:t>响应文件</w:t>
            </w:r>
            <w:r>
              <w:rPr>
                <w:rFonts w:hint="eastAsia" w:ascii="宋体" w:hAnsi="宋体"/>
                <w:color w:val="000000" w:themeColor="text1"/>
                <w:sz w:val="28"/>
                <w:szCs w:val="28"/>
                <w14:textFill>
                  <w14:solidFill>
                    <w14:schemeClr w14:val="tx1"/>
                  </w14:solidFill>
                </w14:textFill>
              </w:rPr>
              <w:t>的计量单位、语言、报价货币、投标有效期</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w:t>
            </w:r>
            <w:r>
              <w:rPr>
                <w:rFonts w:hint="default" w:ascii="宋体" w:hAnsi="宋体"/>
                <w:color w:val="000000" w:themeColor="text1"/>
                <w:sz w:val="28"/>
                <w:szCs w:val="28"/>
                <w14:textFill>
                  <w14:solidFill>
                    <w14:schemeClr w14:val="tx1"/>
                  </w14:solidFill>
                </w14:textFill>
              </w:rPr>
              <w:t>要求响应文件</w:t>
            </w:r>
            <w:r>
              <w:rPr>
                <w:rFonts w:hint="eastAsia" w:ascii="宋体" w:hAnsi="宋体"/>
                <w:color w:val="000000" w:themeColor="text1"/>
                <w:sz w:val="28"/>
                <w:szCs w:val="28"/>
                <w14:textFill>
                  <w14:solidFill>
                    <w14:schemeClr w14:val="tx1"/>
                  </w14:solidFill>
                </w14:textFill>
              </w:rPr>
              <w:t>的</w:t>
            </w:r>
            <w:r>
              <w:rPr>
                <w:rFonts w:hint="default" w:ascii="宋体" w:hAnsi="宋体"/>
                <w:color w:val="000000" w:themeColor="text1"/>
                <w:sz w:val="28"/>
                <w:szCs w:val="28"/>
                <w14:textFill>
                  <w14:solidFill>
                    <w14:schemeClr w14:val="tx1"/>
                  </w14:solidFill>
                </w14:textFill>
              </w:rPr>
              <w:t>计量单位、语言、报价货币</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计量单位、语言、报价货币均符合招标文件的要求。【说明：无须提供证明材料，上传空白页即可，不对本项上传的材料作符合性审查】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default" w:ascii="宋体" w:hAnsi="宋体"/>
                <w:color w:val="000000" w:themeColor="text1"/>
                <w:sz w:val="28"/>
                <w:szCs w:val="28"/>
                <w14:textFill>
                  <w14:solidFill>
                    <w14:schemeClr w14:val="tx1"/>
                  </w14:solidFill>
                </w14:textFill>
              </w:rPr>
              <w:t>5</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投标报价</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8"/>
                <w:szCs w:val="28"/>
                <w14:textFill>
                  <w14:solidFill>
                    <w14:schemeClr w14:val="tx1"/>
                  </w14:solidFill>
                </w14:textFill>
              </w:rPr>
              <w:t>②</w:t>
            </w:r>
            <w:r>
              <w:rPr>
                <w:rFonts w:hint="eastAsia" w:ascii="宋体" w:hAnsi="宋体"/>
                <w:color w:val="000000" w:themeColor="text1"/>
                <w:sz w:val="28"/>
                <w:szCs w:val="28"/>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8"/>
                <w:szCs w:val="28"/>
                <w14:textFill>
                  <w14:solidFill>
                    <w14:schemeClr w14:val="tx1"/>
                  </w14:solidFill>
                </w14:textFill>
              </w:rPr>
              <w:t>③</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hint="default" w:ascii="宋体" w:hAnsi="宋体"/>
                <w:color w:val="000000" w:themeColor="text1"/>
                <w:sz w:val="28"/>
                <w:szCs w:val="28"/>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8"/>
                <w:szCs w:val="28"/>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default" w:ascii="宋体" w:hAnsi="宋体"/>
                <w:color w:val="000000" w:themeColor="text1"/>
                <w:sz w:val="28"/>
                <w:szCs w:val="28"/>
                <w14:textFill>
                  <w14:solidFill>
                    <w14:schemeClr w14:val="tx1"/>
                  </w14:solidFill>
                </w14:textFill>
              </w:rPr>
              <w:t>6</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第4章打★号的服务、商务和其他要求</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投标文件均实质性响应招标文件中加★号的服务、商务和其他要求。【说明：无须提供证明材料，上传空白页即可，不对本项上传的材料作符合性审查】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default" w:ascii="宋体" w:hAnsi="宋体"/>
                <w:color w:val="000000" w:themeColor="text1"/>
                <w:sz w:val="28"/>
                <w:szCs w:val="28"/>
                <w14:textFill>
                  <w14:solidFill>
                    <w14:schemeClr w14:val="tx1"/>
                  </w14:solidFill>
                </w14:textFill>
              </w:rPr>
              <w:t>7</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进口产品</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招标文件中未载明“允许采购进口产品”的产品，投标产品为国产产品。【说明：无须提供证明材料，上传空白页即可，不对本项上传的材料作符合性审查】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default" w:ascii="宋体" w:hAnsi="宋体"/>
                <w:color w:val="000000" w:themeColor="text1"/>
                <w:sz w:val="28"/>
                <w:szCs w:val="28"/>
                <w14:textFill>
                  <w14:solidFill>
                    <w14:schemeClr w14:val="tx1"/>
                  </w14:solidFill>
                </w14:textFill>
              </w:rPr>
              <w:t>8</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不属于禁止参加投标或投标无效的供应商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（2）评标委员会未发现或者未知晓投标人存在属于国家相关法律法规规定的禁止参加投标或投标无效的供应商。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default" w:ascii="宋体" w:hAnsi="宋体"/>
                <w:color w:val="000000" w:themeColor="text1"/>
                <w:sz w:val="28"/>
                <w:szCs w:val="28"/>
                <w14:textFill>
                  <w14:solidFill>
                    <w14:schemeClr w14:val="tx1"/>
                  </w14:solidFill>
                </w14:textFill>
              </w:rPr>
              <w:t>9</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color w:val="000000" w:themeColor="text1"/>
                <w:sz w:val="28"/>
                <w:szCs w:val="28"/>
                <w14:textFill>
                  <w14:solidFill>
                    <w14:schemeClr w14:val="tx1"/>
                  </w14:solidFill>
                </w14:textFill>
              </w:rPr>
            </w:pPr>
            <w:r>
              <w:rPr>
                <w:rFonts w:hint="default" w:ascii="宋体" w:hAnsi="宋体"/>
                <w:color w:val="000000" w:themeColor="text1"/>
                <w:sz w:val="28"/>
                <w:szCs w:val="28"/>
                <w14:textFill>
                  <w14:solidFill>
                    <w14:schemeClr w14:val="tx1"/>
                  </w14:solidFill>
                </w14:textFill>
              </w:rPr>
              <w:t>10</w:t>
            </w:r>
          </w:p>
        </w:tc>
        <w:tc>
          <w:tcPr>
            <w:tcW w:w="198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除资格性审查要求的证明材料外，招标文件要求提供的其他证明材料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color w:val="000000" w:themeColor="text1"/>
                <w:sz w:val="28"/>
                <w:szCs w:val="28"/>
                <w14:textFill>
                  <w14:solidFill>
                    <w14:schemeClr w14:val="tx1"/>
                  </w14:solidFill>
                </w14:textFill>
              </w:rPr>
            </w:pPr>
            <w:r>
              <w:rPr>
                <w:rFonts w:hint="eastAsia" w:cs="仿宋_GB2312" w:asciiTheme="minorEastAsia" w:hAnsiTheme="minorEastAsia" w:eastAsiaTheme="minorEastAsia"/>
                <w:color w:val="000000" w:themeColor="text1"/>
                <w:sz w:val="28"/>
                <w:szCs w:val="24"/>
                <w14:textFill>
                  <w14:solidFill>
                    <w14:schemeClr w14:val="tx1"/>
                  </w14:solidFill>
                </w14:textFill>
              </w:rPr>
              <w:t>无。</w:t>
            </w:r>
          </w:p>
        </w:tc>
      </w:tr>
    </w:tbl>
    <w:p>
      <w:pPr>
        <w:tabs>
          <w:tab w:val="left" w:pos="851"/>
        </w:tabs>
        <w:spacing w:line="560" w:lineRule="exact"/>
        <w:rPr>
          <w:rFonts w:ascii="宋体" w:hAnsi="宋体"/>
          <w:color w:val="000000" w:themeColor="text1"/>
          <w:sz w:val="28"/>
          <w:szCs w:val="28"/>
          <w14:textFill>
            <w14:solidFill>
              <w14:schemeClr w14:val="tx1"/>
            </w14:solidFill>
          </w14:textFill>
        </w:rPr>
      </w:pP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解释、澄清有关问题</w:t>
      </w:r>
    </w:p>
    <w:p>
      <w:pPr>
        <w:numPr>
          <w:ilvl w:val="0"/>
          <w:numId w:val="38"/>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pPr>
        <w:numPr>
          <w:ilvl w:val="0"/>
          <w:numId w:val="38"/>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8"/>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pStyle w:val="156"/>
        <w:numPr>
          <w:ilvl w:val="0"/>
          <w:numId w:val="39"/>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投标人投标文件中不响应招标文件规定的技术参数指标和商务应答；</w:t>
      </w:r>
    </w:p>
    <w:p>
      <w:pPr>
        <w:pStyle w:val="156"/>
        <w:numPr>
          <w:ilvl w:val="0"/>
          <w:numId w:val="39"/>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投标人投标文件中未提供的证明其是否符合招标文件资格性、符合性规定要求的相关材料。</w:t>
      </w:r>
    </w:p>
    <w:p>
      <w:pPr>
        <w:pStyle w:val="156"/>
        <w:numPr>
          <w:ilvl w:val="0"/>
          <w:numId w:val="39"/>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投标人投标文件中的材料因印刷、影印等不清晰而难以辨认的。</w:t>
      </w:r>
    </w:p>
    <w:p>
      <w:pPr>
        <w:numPr>
          <w:ilvl w:val="0"/>
          <w:numId w:val="38"/>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pStyle w:val="156"/>
        <w:numPr>
          <w:ilvl w:val="0"/>
          <w:numId w:val="40"/>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大写金额和小写金额不一致的，以大写金额为准，但大写金额出现文字错误，导致金额无法判断的除外；</w:t>
      </w:r>
    </w:p>
    <w:p>
      <w:pPr>
        <w:pStyle w:val="156"/>
        <w:numPr>
          <w:ilvl w:val="0"/>
          <w:numId w:val="40"/>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单价金额小数点或者百分比有明显错位的，以总价为准，并修改单价；</w:t>
      </w:r>
    </w:p>
    <w:p>
      <w:pPr>
        <w:pStyle w:val="156"/>
        <w:numPr>
          <w:ilvl w:val="0"/>
          <w:numId w:val="40"/>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pStyle w:val="5"/>
        <w:numPr>
          <w:ilvl w:val="2"/>
          <w:numId w:val="3"/>
        </w:numPr>
        <w:spacing w:after="200" w:line="560" w:lineRule="exact"/>
        <w:ind w:left="851"/>
        <w:rPr>
          <w:color w:val="000000" w:themeColor="text1"/>
          <w14:textFill>
            <w14:solidFill>
              <w14:schemeClr w14:val="tx1"/>
            </w14:solidFill>
          </w14:textFill>
        </w:rPr>
      </w:pPr>
      <w:bookmarkStart w:id="268" w:name="_Toc315871650"/>
      <w:bookmarkEnd w:id="268"/>
      <w:bookmarkStart w:id="269" w:name="_Toc315871652"/>
      <w:bookmarkEnd w:id="269"/>
      <w:bookmarkStart w:id="270" w:name="_Toc315871651"/>
      <w:bookmarkEnd w:id="270"/>
      <w:bookmarkStart w:id="271" w:name="_Toc315871649"/>
      <w:bookmarkEnd w:id="271"/>
      <w:bookmarkStart w:id="272" w:name="_Toc316292253"/>
      <w:bookmarkStart w:id="273" w:name="_Toc315871647"/>
      <w:bookmarkStart w:id="274" w:name="_Toc315871653"/>
      <w:bookmarkStart w:id="275" w:name="_Toc316292255"/>
      <w:r>
        <w:rPr>
          <w:rFonts w:hint="eastAsia"/>
          <w:color w:val="000000" w:themeColor="text1"/>
          <w14:textFill>
            <w14:solidFill>
              <w14:schemeClr w14:val="tx1"/>
            </w14:solidFill>
          </w14:textFill>
        </w:rPr>
        <w:t>比较与评价</w:t>
      </w:r>
      <w:bookmarkEnd w:id="272"/>
      <w:bookmarkEnd w:id="273"/>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按招标文件中规定的评标细则及标准，对符合性检查合格的投标文件进行商务和服务评估，综合比较与评价。</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pStyle w:val="84"/>
        <w:numPr>
          <w:ilvl w:val="0"/>
          <w:numId w:val="41"/>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分值汇总计算错误的；</w:t>
      </w:r>
    </w:p>
    <w:p>
      <w:pPr>
        <w:pStyle w:val="84"/>
        <w:numPr>
          <w:ilvl w:val="0"/>
          <w:numId w:val="41"/>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分项评分超出评分标准范围的；</w:t>
      </w:r>
    </w:p>
    <w:p>
      <w:pPr>
        <w:pStyle w:val="84"/>
        <w:numPr>
          <w:ilvl w:val="0"/>
          <w:numId w:val="41"/>
        </w:numPr>
        <w:tabs>
          <w:tab w:val="left" w:pos="851"/>
          <w:tab w:val="left" w:pos="1276"/>
          <w:tab w:val="left" w:pos="1418"/>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评标委员会成员对客观评审因素评分不一致的；</w:t>
      </w:r>
    </w:p>
    <w:p>
      <w:pPr>
        <w:pStyle w:val="84"/>
        <w:numPr>
          <w:ilvl w:val="0"/>
          <w:numId w:val="41"/>
        </w:numPr>
        <w:tabs>
          <w:tab w:val="left" w:pos="851"/>
          <w:tab w:val="left" w:pos="1276"/>
        </w:tabs>
        <w:spacing w:after="200" w:line="560" w:lineRule="exact"/>
        <w:ind w:left="0" w:firstLine="42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确定中标候选人名单</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14:textFill>
            <w14:solidFill>
              <w14:schemeClr w14:val="tx1"/>
            </w14:solidFill>
          </w14:textFill>
        </w:rPr>
        <w:t>投标文件满足招标文件全部实质性要求，且按照评审因素的量化指标评审得分最高的投标人为排名第一的中标候选人。</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编写评标报告</w:t>
      </w:r>
      <w:bookmarkEnd w:id="274"/>
      <w:bookmarkEnd w:id="275"/>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2"/>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2"/>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2"/>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2"/>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2"/>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2"/>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其他需要说明的情况，包括评标过程中投标人根据评标委员会要求进行的澄清、说明或者补正，评标委员会成员的更换等； </w:t>
      </w:r>
    </w:p>
    <w:p>
      <w:pPr>
        <w:numPr>
          <w:ilvl w:val="0"/>
          <w:numId w:val="42"/>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4"/>
        <w:numPr>
          <w:ilvl w:val="1"/>
          <w:numId w:val="3"/>
        </w:numPr>
        <w:spacing w:line="560" w:lineRule="exact"/>
        <w:ind w:left="2269" w:hanging="2269"/>
        <w:rPr>
          <w:color w:val="000000" w:themeColor="text1"/>
          <w14:textFill>
            <w14:solidFill>
              <w14:schemeClr w14:val="tx1"/>
            </w14:solidFill>
          </w14:textFill>
        </w:rPr>
      </w:pPr>
      <w:bookmarkStart w:id="276" w:name="_Toc11482"/>
      <w:bookmarkStart w:id="277" w:name="_Toc30340"/>
      <w:bookmarkStart w:id="278" w:name="_Toc7609"/>
      <w:bookmarkStart w:id="279" w:name="_Toc479753445"/>
      <w:bookmarkStart w:id="280" w:name="_Toc27797"/>
      <w:bookmarkStart w:id="281" w:name="_Toc75336311"/>
      <w:bookmarkStart w:id="282" w:name="_Toc217446103"/>
      <w:bookmarkStart w:id="283" w:name="_Toc315871654"/>
      <w:bookmarkStart w:id="284" w:name="_Toc316292256"/>
      <w:r>
        <w:rPr>
          <w:rFonts w:hint="eastAsia"/>
          <w:color w:val="000000" w:themeColor="text1"/>
          <w14:textFill>
            <w14:solidFill>
              <w14:schemeClr w14:val="tx1"/>
            </w14:solidFill>
          </w14:textFill>
        </w:rPr>
        <w:t>评标争议处理规则</w:t>
      </w:r>
      <w:bookmarkEnd w:id="276"/>
      <w:bookmarkEnd w:id="277"/>
      <w:bookmarkEnd w:id="278"/>
      <w:bookmarkEnd w:id="279"/>
      <w:bookmarkEnd w:id="280"/>
      <w:bookmarkEnd w:id="281"/>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85" w:name="_Toc6600"/>
      <w:bookmarkStart w:id="286" w:name="_Toc75336312"/>
      <w:bookmarkStart w:id="287" w:name="_Toc25222"/>
      <w:bookmarkStart w:id="288" w:name="_Toc18642"/>
      <w:bookmarkStart w:id="289" w:name="_Toc23552"/>
      <w:r>
        <w:rPr>
          <w:rFonts w:hint="eastAsia"/>
          <w:color w:val="000000" w:themeColor="text1"/>
          <w14:textFill>
            <w14:solidFill>
              <w14:schemeClr w14:val="tx1"/>
            </w14:solidFill>
          </w14:textFill>
        </w:rPr>
        <w:t>评标细则及标准</w:t>
      </w:r>
      <w:bookmarkEnd w:id="282"/>
      <w:bookmarkEnd w:id="283"/>
      <w:bookmarkEnd w:id="284"/>
      <w:bookmarkEnd w:id="285"/>
      <w:bookmarkEnd w:id="286"/>
      <w:bookmarkEnd w:id="287"/>
      <w:bookmarkEnd w:id="288"/>
      <w:bookmarkEnd w:id="289"/>
    </w:p>
    <w:p>
      <w:pPr>
        <w:numPr>
          <w:ilvl w:val="0"/>
          <w:numId w:val="43"/>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评标委员会只对通过初审的投标文件，根据招标文件的要求采用相同的评标程序、评分办法及标准进行评价和比较。</w:t>
      </w:r>
    </w:p>
    <w:p>
      <w:pPr>
        <w:numPr>
          <w:ilvl w:val="0"/>
          <w:numId w:val="43"/>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本次综合评分的因素是：报价、履约经验、人员配置等。</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bookmarkStart w:id="290" w:name="_Toc218498587"/>
      <w:bookmarkStart w:id="291" w:name="_Toc310176995"/>
      <w:bookmarkStart w:id="292" w:name="_Toc217102344"/>
      <w:r>
        <w:rPr>
          <w:rFonts w:hint="eastAsia" w:ascii="宋体" w:hAnsi="宋体"/>
          <w:color w:val="000000" w:themeColor="text1"/>
          <w:sz w:val="28"/>
          <w:szCs w:val="28"/>
          <w14:textFill>
            <w14:solidFill>
              <w14:schemeClr w14:val="tx1"/>
            </w14:solidFill>
          </w14:textFill>
        </w:rPr>
        <w:t>评标委员会成员应依据招标文件规定的评分标准和方法独立打分。</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评分办法</w:t>
      </w:r>
      <w:bookmarkEnd w:id="290"/>
      <w:bookmarkEnd w:id="291"/>
      <w:bookmarkEnd w:id="292"/>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widowControl/>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pStyle w:val="5"/>
        <w:numPr>
          <w:ilvl w:val="2"/>
          <w:numId w:val="3"/>
        </w:numPr>
        <w:spacing w:after="200"/>
        <w:ind w:left="0" w:firstLine="0"/>
        <w:rPr>
          <w:color w:val="000000" w:themeColor="text1"/>
          <w14:textFill>
            <w14:solidFill>
              <w14:schemeClr w14:val="tx1"/>
            </w14:solidFill>
          </w14:textFill>
        </w:rPr>
      </w:pPr>
      <w:bookmarkStart w:id="433" w:name="_GoBack"/>
      <w:bookmarkEnd w:id="433"/>
      <w:r>
        <w:rPr>
          <w:rFonts w:hint="eastAsia"/>
          <w:color w:val="000000" w:themeColor="text1"/>
          <w14:textFill>
            <w14:solidFill>
              <w14:schemeClr w14:val="tx1"/>
            </w14:solidFill>
          </w14:textFill>
        </w:rPr>
        <w:t>评分标准</w:t>
      </w:r>
    </w:p>
    <w:tbl>
      <w:tblPr>
        <w:tblStyle w:val="4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528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200" w:afterAutospacing="0" w:line="276" w:lineRule="auto"/>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评委类别</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w:t>
            </w:r>
          </w:p>
          <w:p>
            <w:pPr>
              <w:keepNext w:val="0"/>
              <w:keepLines w:val="0"/>
              <w:suppressLineNumbers w:val="0"/>
              <w:spacing w:before="0" w:beforeAutospacing="0" w:after="200" w:afterAutospacing="0" w:line="276" w:lineRule="auto"/>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项目</w:t>
            </w: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200" w:afterAutospacing="0" w:line="276" w:lineRule="auto"/>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评分标准</w:t>
            </w: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200" w:afterAutospacing="0" w:line="276" w:lineRule="auto"/>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投标报价得分</w:t>
            </w: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default"/>
                <w:b/>
                <w:color w:val="000000" w:themeColor="text1"/>
                <w:sz w:val="28"/>
                <w:szCs w:val="28"/>
                <w14:textFill>
                  <w14:solidFill>
                    <w14:schemeClr w14:val="tx1"/>
                  </w14:solidFill>
                </w14:textFill>
              </w:rPr>
              <w:t>1</w:t>
            </w:r>
            <w:r>
              <w:rPr>
                <w:rFonts w:hint="eastAsia"/>
                <w:b/>
                <w:color w:val="000000" w:themeColor="text1"/>
                <w:sz w:val="28"/>
                <w:szCs w:val="28"/>
                <w14:textFill>
                  <w14:solidFill>
                    <w14:schemeClr w14:val="tx1"/>
                  </w14:solidFill>
                </w14:textFill>
              </w:rPr>
              <w:t>、经评标委员会评审，通过资格审查和符合性审查，且投标报价最低的投标人的投标报价作为评标基准价。</w:t>
            </w:r>
          </w:p>
          <w:p>
            <w:pPr>
              <w:keepNext w:val="0"/>
              <w:keepLines w:val="0"/>
              <w:suppressLineNumbers w:val="0"/>
              <w:spacing w:before="0" w:beforeAutospacing="0" w:after="0" w:afterAutospacing="0" w:line="400" w:lineRule="exact"/>
              <w:ind w:left="0" w:right="0"/>
              <w:rPr>
                <w:rFonts w:hint="default" w:eastAsia="宋体"/>
                <w:b/>
                <w:color w:val="000000" w:themeColor="text1"/>
                <w:sz w:val="28"/>
                <w:szCs w:val="28"/>
                <w:lang w:val="en-US" w:eastAsia="zh-CN"/>
                <w14:textFill>
                  <w14:solidFill>
                    <w14:schemeClr w14:val="tx1"/>
                  </w14:solidFill>
                </w14:textFill>
              </w:rPr>
            </w:pPr>
            <w:r>
              <w:rPr>
                <w:rFonts w:hint="default"/>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、投标报价得分=(评标基准价／投标报价)×</w:t>
            </w:r>
            <w:r>
              <w:rPr>
                <w:rFonts w:hint="eastAsia"/>
                <w:b/>
                <w:color w:val="000000" w:themeColor="text1"/>
                <w:sz w:val="28"/>
                <w:szCs w:val="28"/>
                <w:lang w:val="en-US" w:eastAsia="zh-CN"/>
                <w14:textFill>
                  <w14:solidFill>
                    <w14:schemeClr w14:val="tx1"/>
                  </w14:solidFill>
                </w14:textFill>
              </w:rPr>
              <w:t>10</w:t>
            </w: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10</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项目分析</w:t>
            </w: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根据投标人提供的针对本项目分析进行评审：</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1、提供项目需求分析的得5分，提供材料内容不符合采购需求的扣5分；</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2、提供物业服务方案（包括但不限于组织机构设置、工作职能、内部管理职责、人员配置及结构图、员工培训）的得5分，提供材料内容不符合采购需求的扣5分；</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3、提供重难点分析及措施,（根据需求自行实地考察）得10分，提供材料内容不符合采购需求的的扣10分；</w:t>
            </w:r>
          </w:p>
          <w:p>
            <w:pPr>
              <w:keepNext w:val="0"/>
              <w:keepLines w:val="0"/>
              <w:suppressLineNumbers w:val="0"/>
              <w:spacing w:before="0" w:beforeAutospacing="0" w:after="0" w:afterAutospacing="0" w:line="400" w:lineRule="exact"/>
              <w:ind w:left="0" w:right="0"/>
              <w:rPr>
                <w:rFonts w:hint="eastAsia"/>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（说明：不符合釆购需求是指不完全响应采购需求、存在不适用项目实际情况、凭空编造、逻辑漏洞、原理错误情形。）</w:t>
            </w:r>
          </w:p>
          <w:p>
            <w:pPr>
              <w:keepNext w:val="0"/>
              <w:keepLines w:val="0"/>
              <w:suppressLineNumbers w:val="0"/>
              <w:spacing w:before="0" w:beforeAutospacing="0" w:after="0" w:afterAutospacing="0" w:line="400" w:lineRule="exact"/>
              <w:ind w:left="0" w:right="0" w:firstLine="562" w:firstLineChars="200"/>
              <w:rPr>
                <w:rFonts w:hint="default"/>
                <w:b/>
                <w:color w:val="000000" w:themeColor="text1"/>
                <w:sz w:val="28"/>
                <w:szCs w:val="28"/>
                <w14:textFill>
                  <w14:solidFill>
                    <w14:schemeClr w14:val="tx1"/>
                  </w14:solidFill>
                </w14:textFill>
              </w:rPr>
            </w:pP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20</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公共秩序维护及应急管理服务</w:t>
            </w: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根据投标人提供的针对本项目服务方案进行评审：</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1、提供日常公共秩序维护方案的得5分，提供材料内容不符合采购需求的扣5分；</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2、提供应急预案（内容包括：火灾、治安、公共卫生突发事件）得5分，内容缺项不得分；</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3、提供门岗防疫服务方案的得5分，提供材料内容不符合采购需求的扣5分；</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4、提供小区巡逻人员点位分布图及巡逻线路图并标明巡逻具体时间的得5分，提供材料内容不符合采购需求的扣5分；</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5、提供地震应急处置预案的得5分，提供材料内容不符合采购需求的扣5分；</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（说明：不符合釆购需求是指不完全响应采购需求、存在不适用项目实际情况、凭空编造、逻辑漏洞、原理错误情形。）</w:t>
            </w:r>
          </w:p>
          <w:p>
            <w:pPr>
              <w:keepNext w:val="0"/>
              <w:keepLines w:val="0"/>
              <w:suppressLineNumbers w:val="0"/>
              <w:spacing w:before="0" w:beforeAutospacing="0" w:after="0" w:afterAutospacing="0" w:line="400" w:lineRule="exact"/>
              <w:ind w:left="0" w:right="0"/>
              <w:rPr>
                <w:rFonts w:hint="default"/>
                <w:b/>
                <w:color w:val="000000" w:themeColor="text1"/>
                <w:sz w:val="28"/>
                <w:szCs w:val="28"/>
                <w:lang w:val="en-US" w:eastAsia="zh-CN"/>
                <w14:textFill>
                  <w14:solidFill>
                    <w14:schemeClr w14:val="tx1"/>
                  </w14:solidFill>
                </w14:textFill>
              </w:rPr>
            </w:pP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25</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保洁</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服务</w:t>
            </w:r>
          </w:p>
          <w:p>
            <w:pPr>
              <w:keepNext w:val="0"/>
              <w:keepLines w:val="0"/>
              <w:suppressLineNumbers w:val="0"/>
              <w:spacing w:before="0" w:beforeAutospacing="0" w:after="0" w:afterAutospacing="0" w:line="400" w:lineRule="exact"/>
              <w:ind w:left="0" w:right="0"/>
              <w:rPr>
                <w:rFonts w:hint="default"/>
                <w:b/>
                <w:color w:val="000000" w:themeColor="text1"/>
                <w:sz w:val="28"/>
                <w:szCs w:val="28"/>
                <w:lang w:val="en-US" w:eastAsia="zh-CN"/>
                <w14:textFill>
                  <w14:solidFill>
                    <w14:schemeClr w14:val="tx1"/>
                  </w14:solidFill>
                </w14:textFill>
              </w:rPr>
            </w:pP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根据投标人提供的针对本项目服务方案进行评审：</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1、提供卫生保洁服务方案及流程的得3分，提供材料内容不符合采购需求的扣3分；</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2、提供服务方案（内容包括：公共区域防疫、消毒、病媒生物防治）得3分，内容缺项不得分；</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3、提供生活垃圾分类方案的得4分，提供材料内容不符合采购需求的扣4分。</w:t>
            </w:r>
          </w:p>
          <w:p>
            <w:pPr>
              <w:keepNext w:val="0"/>
              <w:keepLines w:val="0"/>
              <w:suppressLineNumbers w:val="0"/>
              <w:spacing w:before="0" w:beforeAutospacing="0" w:after="0" w:afterAutospacing="0" w:line="400" w:lineRule="exact"/>
              <w:ind w:left="0" w:right="0"/>
              <w:rPr>
                <w:rFonts w:hint="default"/>
                <w:b/>
                <w:color w:val="000000" w:themeColor="text1"/>
                <w:sz w:val="28"/>
                <w:szCs w:val="28"/>
                <w:lang w:val="en-US" w:eastAsia="zh-CN"/>
                <w14:textFill>
                  <w14:solidFill>
                    <w14:schemeClr w14:val="tx1"/>
                  </w14:solidFill>
                </w14:textFill>
              </w:rPr>
            </w:pP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设施设备管理维养服务</w:t>
            </w: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根据投标人提供的针对本项目服务方案进行评审：</w:t>
            </w:r>
          </w:p>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1、提供公共设施设备日常管理和维养方案的得5分，提供材料内容不符合采购需求的扣5分；</w:t>
            </w:r>
          </w:p>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2、提供设备设施紧急维修应急措施方案的得5分，提供材料内容不符合采购需求的扣5分。</w:t>
            </w:r>
          </w:p>
          <w:p>
            <w:pPr>
              <w:keepNext w:val="0"/>
              <w:keepLines w:val="0"/>
              <w:suppressLineNumbers w:val="0"/>
              <w:spacing w:before="0" w:beforeAutospacing="0" w:after="0" w:afterAutospacing="0" w:line="400" w:lineRule="exact"/>
              <w:ind w:left="0" w:right="0" w:firstLine="562" w:firstLineChars="200"/>
              <w:rPr>
                <w:rFonts w:hint="default"/>
                <w:b/>
                <w:color w:val="000000" w:themeColor="text1"/>
                <w:sz w:val="28"/>
                <w:szCs w:val="28"/>
                <w:lang w:val="en-US" w:eastAsia="zh-CN"/>
                <w14:textFill>
                  <w14:solidFill>
                    <w14:schemeClr w14:val="tx1"/>
                  </w14:solidFill>
                </w14:textFill>
              </w:rPr>
            </w:pP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10</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绿化养护服务</w:t>
            </w: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根据投标人提供的针对本项目服务方案进行评审：</w:t>
            </w:r>
          </w:p>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1、提供绿化养护计划的得5分，提供材料内容不符合采购需求的扣5分；</w:t>
            </w:r>
          </w:p>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2、提供绿化养护方案的得5分，提供材料内容不符合采购需求的扣5分。</w:t>
            </w:r>
          </w:p>
          <w:p>
            <w:pPr>
              <w:keepNext w:val="0"/>
              <w:keepLines w:val="0"/>
              <w:suppressLineNumbers w:val="0"/>
              <w:spacing w:before="0" w:beforeAutospacing="0" w:after="0" w:afterAutospacing="0" w:line="400" w:lineRule="exact"/>
              <w:ind w:left="0" w:right="0" w:firstLine="562" w:firstLineChars="200"/>
              <w:rPr>
                <w:rFonts w:hint="default"/>
                <w:b/>
                <w:color w:val="000000" w:themeColor="text1"/>
                <w:sz w:val="28"/>
                <w:szCs w:val="28"/>
                <w:lang w:val="en-US" w:eastAsia="zh-CN"/>
                <w14:textFill>
                  <w14:solidFill>
                    <w14:schemeClr w14:val="tx1"/>
                  </w14:solidFill>
                </w14:textFill>
              </w:rPr>
            </w:pP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类似</w:t>
            </w:r>
          </w:p>
          <w:p>
            <w:pPr>
              <w:keepNext w:val="0"/>
              <w:keepLines w:val="0"/>
              <w:suppressLineNumbers w:val="0"/>
              <w:spacing w:before="0" w:beforeAutospacing="0" w:after="0" w:afterAutospacing="0" w:line="400" w:lineRule="exact"/>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业绩</w:t>
            </w:r>
          </w:p>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1、提供2019年1月1日以来签订的类似物业服务项目，每提供1个得1分，最多2分。供应商提供中标通知书或合同佐证得分（佐证材料加盖单位公章）。</w:t>
            </w:r>
          </w:p>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2、提供2019年1月1日以来，</w:t>
            </w:r>
            <w:r>
              <w:rPr>
                <w:rFonts w:hint="eastAsia" w:eastAsia="宋体" w:cs="Times New Roman"/>
                <w:b/>
                <w:color w:val="000000" w:themeColor="text1"/>
                <w:sz w:val="28"/>
                <w:szCs w:val="28"/>
                <w:lang w:val="en-US" w:eastAsia="zh-CN"/>
                <w14:textFill>
                  <w14:solidFill>
                    <w14:schemeClr w14:val="tx1"/>
                  </w14:solidFill>
                </w14:textFill>
              </w:rPr>
              <w:t>服务类似项目，受到当地政府书面表扬、表彰的得3分。（供应商提供相关佐证材料</w:t>
            </w:r>
            <w:r>
              <w:rPr>
                <w:rFonts w:hint="eastAsia"/>
                <w:b/>
                <w:color w:val="000000" w:themeColor="text1"/>
                <w:sz w:val="28"/>
                <w:szCs w:val="28"/>
                <w:lang w:val="en-US" w:eastAsia="zh-CN"/>
                <w14:textFill>
                  <w14:solidFill>
                    <w14:schemeClr w14:val="tx1"/>
                  </w14:solidFill>
                </w14:textFill>
              </w:rPr>
              <w:t>加盖单位公章）</w:t>
            </w:r>
          </w:p>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eastAsia" w:eastAsia="宋体"/>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eastAsia"/>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承诺书</w:t>
            </w: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firstLine="562" w:firstLineChars="20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根据投标人提供的针对本项目承诺书进行评审：</w:t>
            </w:r>
          </w:p>
          <w:p>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b/>
                <w:color w:val="FF0000"/>
                <w:sz w:val="28"/>
                <w:szCs w:val="28"/>
              </w:rPr>
            </w:pPr>
            <w:r>
              <w:rPr>
                <w:rFonts w:hint="eastAsia"/>
                <w:b/>
                <w:color w:val="000000" w:themeColor="text1"/>
                <w:sz w:val="28"/>
                <w:szCs w:val="28"/>
                <w:lang w:val="en-US" w:eastAsia="zh-CN"/>
                <w14:textFill>
                  <w14:solidFill>
                    <w14:schemeClr w14:val="tx1"/>
                  </w14:solidFill>
                </w14:textFill>
              </w:rPr>
              <w:t>1、提供小区化粪池清淘及维修承诺书，需承诺产生费用自理的得2分，未提供不得分；</w:t>
            </w:r>
            <w:r>
              <w:rPr>
                <w:rFonts w:hint="eastAsia" w:ascii="仿宋_GB2312" w:hAnsi="仿宋_GB2312" w:eastAsia="仿宋_GB2312" w:cs="仿宋_GB2312"/>
                <w:b/>
                <w:color w:val="FF0000"/>
                <w:sz w:val="28"/>
                <w:szCs w:val="28"/>
              </w:rPr>
              <w:t>（按3.3.</w:t>
            </w:r>
            <w:r>
              <w:rPr>
                <w:rFonts w:hint="eastAsia" w:ascii="仿宋_GB2312" w:hAnsi="仿宋_GB2312" w:eastAsia="仿宋_GB2312" w:cs="仿宋_GB2312"/>
                <w:b/>
                <w:color w:val="FF0000"/>
                <w:sz w:val="28"/>
                <w:szCs w:val="28"/>
                <w:lang w:val="en-US" w:eastAsia="zh-CN"/>
              </w:rPr>
              <w:t>6</w:t>
            </w:r>
            <w:r>
              <w:rPr>
                <w:rFonts w:hint="eastAsia" w:ascii="仿宋_GB2312" w:hAnsi="仿宋_GB2312" w:eastAsia="仿宋_GB2312" w:cs="仿宋_GB2312"/>
                <w:b/>
                <w:color w:val="FF0000"/>
                <w:sz w:val="28"/>
                <w:szCs w:val="28"/>
              </w:rPr>
              <w:t>格式填写承诺内容并提供承诺函）</w:t>
            </w:r>
          </w:p>
          <w:p>
            <w:pPr>
              <w:keepNext w:val="0"/>
              <w:keepLines w:val="0"/>
              <w:suppressLineNumbers w:val="0"/>
              <w:spacing w:before="0" w:beforeAutospacing="0" w:after="0" w:afterAutospacing="0" w:line="360" w:lineRule="auto"/>
              <w:ind w:left="0" w:right="0"/>
              <w:rPr>
                <w:rFonts w:hint="eastAsia"/>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2、提供小区消防设施设备维护承诺书，需承诺保障设备设施正常运行且所产生费用自理的得2分；未提供不得分；</w:t>
            </w:r>
            <w:r>
              <w:rPr>
                <w:rFonts w:hint="eastAsia" w:ascii="仿宋_GB2312" w:hAnsi="仿宋_GB2312" w:eastAsia="仿宋_GB2312" w:cs="仿宋_GB2312"/>
                <w:b/>
                <w:color w:val="FF0000"/>
                <w:sz w:val="28"/>
                <w:szCs w:val="28"/>
              </w:rPr>
              <w:t>（按3.3.</w:t>
            </w:r>
            <w:r>
              <w:rPr>
                <w:rFonts w:hint="eastAsia" w:ascii="仿宋_GB2312" w:hAnsi="仿宋_GB2312" w:eastAsia="仿宋_GB2312" w:cs="仿宋_GB2312"/>
                <w:b/>
                <w:color w:val="FF0000"/>
                <w:sz w:val="28"/>
                <w:szCs w:val="28"/>
                <w:lang w:val="en-US" w:eastAsia="zh-CN"/>
              </w:rPr>
              <w:t>6</w:t>
            </w:r>
            <w:r>
              <w:rPr>
                <w:rFonts w:hint="eastAsia" w:ascii="仿宋_GB2312" w:hAnsi="仿宋_GB2312" w:eastAsia="仿宋_GB2312" w:cs="仿宋_GB2312"/>
                <w:b/>
                <w:color w:val="FF0000"/>
                <w:sz w:val="28"/>
                <w:szCs w:val="28"/>
              </w:rPr>
              <w:t>格式填写承诺内容并提供承诺函）</w:t>
            </w:r>
          </w:p>
          <w:p>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b/>
                <w:color w:val="FF0000"/>
                <w:sz w:val="28"/>
                <w:szCs w:val="28"/>
              </w:rPr>
            </w:pPr>
            <w:r>
              <w:rPr>
                <w:rFonts w:hint="eastAsia"/>
                <w:b/>
                <w:color w:val="000000" w:themeColor="text1"/>
                <w:sz w:val="28"/>
                <w:szCs w:val="28"/>
                <w:lang w:val="en-US" w:eastAsia="zh-CN"/>
                <w14:textFill>
                  <w14:solidFill>
                    <w14:schemeClr w14:val="tx1"/>
                  </w14:solidFill>
                </w14:textFill>
              </w:rPr>
              <w:t>3、提供小区安全责任承诺书，需承诺本项目所有安全责任自理的得2分，未提供不得分。</w:t>
            </w:r>
            <w:r>
              <w:rPr>
                <w:rFonts w:hint="eastAsia" w:ascii="仿宋_GB2312" w:hAnsi="仿宋_GB2312" w:eastAsia="仿宋_GB2312" w:cs="仿宋_GB2312"/>
                <w:b/>
                <w:color w:val="FF0000"/>
                <w:sz w:val="28"/>
                <w:szCs w:val="28"/>
              </w:rPr>
              <w:t>（按3.3.</w:t>
            </w:r>
            <w:r>
              <w:rPr>
                <w:rFonts w:hint="eastAsia" w:ascii="仿宋_GB2312" w:hAnsi="仿宋_GB2312" w:eastAsia="仿宋_GB2312" w:cs="仿宋_GB2312"/>
                <w:b/>
                <w:color w:val="FF0000"/>
                <w:sz w:val="28"/>
                <w:szCs w:val="28"/>
                <w:lang w:val="en-US" w:eastAsia="zh-CN"/>
              </w:rPr>
              <w:t>6</w:t>
            </w:r>
            <w:r>
              <w:rPr>
                <w:rFonts w:hint="eastAsia" w:ascii="仿宋_GB2312" w:hAnsi="仿宋_GB2312" w:eastAsia="仿宋_GB2312" w:cs="仿宋_GB2312"/>
                <w:b/>
                <w:color w:val="FF0000"/>
                <w:sz w:val="28"/>
                <w:szCs w:val="28"/>
              </w:rPr>
              <w:t>格式填写承诺内容并提供承诺函）</w:t>
            </w:r>
          </w:p>
          <w:p>
            <w:pPr>
              <w:keepNext w:val="0"/>
              <w:keepLines w:val="0"/>
              <w:suppressLineNumbers w:val="0"/>
              <w:spacing w:before="0" w:beforeAutospacing="0" w:after="0" w:afterAutospacing="0" w:line="400" w:lineRule="exact"/>
              <w:ind w:left="0" w:right="0"/>
              <w:rPr>
                <w:rFonts w:hint="eastAsia"/>
                <w:b/>
                <w:color w:val="000000" w:themeColor="text1"/>
                <w:sz w:val="28"/>
                <w:szCs w:val="28"/>
                <w14:textFill>
                  <w14:solidFill>
                    <w14:schemeClr w14:val="tx1"/>
                  </w14:solidFill>
                </w14:textFill>
              </w:rPr>
            </w:pP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eastAsia" w:eastAsia="宋体"/>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扶持不发达地区和少数民族地区</w:t>
            </w: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firstLine="562" w:firstLineChars="20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以投标人营业执照上注册地为准，不发达地区是指由</w:t>
            </w:r>
            <w:r>
              <w:rPr>
                <w:rFonts w:hint="default"/>
              </w:rPr>
              <w:fldChar w:fldCharType="begin"/>
            </w:r>
            <w:r>
              <w:rPr>
                <w:rFonts w:hint="default"/>
              </w:rPr>
              <w:instrText xml:space="preserve"> HYPERLINK "https://baike.baidu.com/item/%E5%9B%BD%E5%8A%A1%E9%99%A2%E6%89%B6%E8%B4%AB%E5%BC%80%E5%8F%91%E9%A2%86%E5%AF%BC%E5%B0%8F%E7%BB%84%E5%8A%9E%E5%85%AC%E5%AE%A4/10140426" \t "_blank" </w:instrText>
            </w:r>
            <w:r>
              <w:rPr>
                <w:rFonts w:hint="default"/>
              </w:rPr>
              <w:fldChar w:fldCharType="separate"/>
            </w:r>
            <w:r>
              <w:rPr>
                <w:rFonts w:hint="eastAsia"/>
                <w:b/>
                <w:color w:val="000000" w:themeColor="text1"/>
                <w:sz w:val="28"/>
                <w:szCs w:val="28"/>
                <w14:textFill>
                  <w14:solidFill>
                    <w14:schemeClr w14:val="tx1"/>
                  </w14:solidFill>
                </w14:textFill>
              </w:rPr>
              <w:t>国务院扶贫开发领导小组办公室</w:t>
            </w:r>
            <w:r>
              <w:rPr>
                <w:rFonts w:hint="eastAsia"/>
                <w:b/>
                <w:color w:val="000000" w:themeColor="text1"/>
                <w:sz w:val="28"/>
                <w:szCs w:val="28"/>
                <w14:textFill>
                  <w14:solidFill>
                    <w14:schemeClr w14:val="tx1"/>
                  </w14:solidFill>
                </w14:textFill>
              </w:rPr>
              <w:fldChar w:fldCharType="end"/>
            </w:r>
            <w:r>
              <w:rPr>
                <w:rFonts w:hint="eastAsia"/>
                <w:b/>
                <w:color w:val="000000" w:themeColor="text1"/>
                <w:sz w:val="28"/>
                <w:szCs w:val="28"/>
                <w14:textFill>
                  <w14:solidFill>
                    <w14:schemeClr w14:val="tx1"/>
                  </w14:solidFill>
                </w14:textFill>
              </w:rPr>
              <w:t>认定的国家级贫困县（以截止投标期限国家公布的最新名单为准，含摘帽贫困县），少数民族地区是指民族自治州、县、乡。</w:t>
            </w: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响应文件的规范性</w:t>
            </w:r>
          </w:p>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p>
        </w:tc>
        <w:tc>
          <w:tcPr>
            <w:tcW w:w="528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响应文件制作规范，没有细微偏差情形的得3分；有一项细微偏差扣1分，直至该项分值扣完为止。</w:t>
            </w:r>
          </w:p>
        </w:tc>
        <w:tc>
          <w:tcPr>
            <w:tcW w:w="10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400" w:lineRule="exact"/>
              <w:ind w:left="0" w:right="0"/>
              <w:jc w:val="center"/>
              <w:rPr>
                <w:rFonts w:hint="default"/>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3分</w:t>
            </w:r>
          </w:p>
        </w:tc>
      </w:tr>
    </w:tbl>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说明：</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1、评分的取值按四舍五入法，保留小数点后两位；</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2、评分标准中要求提供复印件的证明材料须清晰可辨。</w:t>
      </w:r>
    </w:p>
    <w:p>
      <w:pPr>
        <w:pStyle w:val="4"/>
        <w:numPr>
          <w:ilvl w:val="1"/>
          <w:numId w:val="3"/>
        </w:numPr>
        <w:spacing w:before="0" w:after="0" w:line="560" w:lineRule="exact"/>
        <w:ind w:left="2269" w:hanging="2127"/>
        <w:rPr>
          <w:color w:val="000000" w:themeColor="text1"/>
          <w14:textFill>
            <w14:solidFill>
              <w14:schemeClr w14:val="tx1"/>
            </w14:solidFill>
          </w14:textFill>
        </w:rPr>
      </w:pPr>
      <w:bookmarkStart w:id="293" w:name="_Toc320624255"/>
      <w:bookmarkEnd w:id="293"/>
      <w:bookmarkStart w:id="294" w:name="_Toc318206701"/>
      <w:bookmarkEnd w:id="294"/>
      <w:bookmarkStart w:id="295" w:name="_Toc320624295"/>
      <w:bookmarkEnd w:id="295"/>
      <w:bookmarkStart w:id="296" w:name="_Toc315871725"/>
      <w:bookmarkEnd w:id="296"/>
      <w:bookmarkStart w:id="297" w:name="_Toc320624275"/>
      <w:bookmarkEnd w:id="297"/>
      <w:bookmarkStart w:id="298" w:name="_Toc320624265"/>
      <w:bookmarkEnd w:id="298"/>
      <w:bookmarkStart w:id="299" w:name="_Toc320624285"/>
      <w:bookmarkEnd w:id="299"/>
      <w:bookmarkStart w:id="300" w:name="_Toc315871656"/>
      <w:bookmarkEnd w:id="300"/>
      <w:bookmarkStart w:id="301" w:name="_Toc320624260"/>
      <w:bookmarkEnd w:id="301"/>
      <w:bookmarkStart w:id="302" w:name="_Toc315871657"/>
      <w:bookmarkEnd w:id="302"/>
      <w:bookmarkStart w:id="303" w:name="_Toc320624240"/>
      <w:bookmarkEnd w:id="303"/>
      <w:bookmarkStart w:id="304" w:name="_Toc320624280"/>
      <w:bookmarkEnd w:id="304"/>
      <w:bookmarkStart w:id="305" w:name="_Toc320624290"/>
      <w:bookmarkEnd w:id="305"/>
      <w:bookmarkStart w:id="306" w:name="_Toc315871658"/>
      <w:bookmarkEnd w:id="306"/>
      <w:bookmarkStart w:id="307" w:name="_Toc15076"/>
      <w:bookmarkStart w:id="308" w:name="_Toc75336313"/>
      <w:bookmarkStart w:id="309" w:name="_Toc316292258"/>
      <w:bookmarkStart w:id="310" w:name="_Toc19565"/>
      <w:bookmarkStart w:id="311" w:name="_Toc23841"/>
      <w:bookmarkStart w:id="312" w:name="_Toc315871726"/>
      <w:bookmarkStart w:id="313" w:name="_Toc18803"/>
      <w:bookmarkStart w:id="314" w:name="_Toc217446060"/>
      <w:r>
        <w:rPr>
          <w:rFonts w:hint="eastAsia"/>
          <w:color w:val="000000" w:themeColor="text1"/>
          <w14:textFill>
            <w14:solidFill>
              <w14:schemeClr w14:val="tx1"/>
            </w14:solidFill>
          </w14:textFill>
        </w:rPr>
        <w:t>废标</w:t>
      </w:r>
      <w:bookmarkEnd w:id="307"/>
      <w:bookmarkEnd w:id="308"/>
      <w:bookmarkEnd w:id="309"/>
      <w:bookmarkEnd w:id="310"/>
      <w:bookmarkEnd w:id="311"/>
      <w:bookmarkEnd w:id="312"/>
      <w:bookmarkEnd w:id="313"/>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废标后，市公资交易中心将在“四川政府采购网”和“成都市公共资源交易服务中心”网站上公告。</w:t>
      </w:r>
    </w:p>
    <w:p>
      <w:pPr>
        <w:pStyle w:val="4"/>
        <w:numPr>
          <w:ilvl w:val="1"/>
          <w:numId w:val="3"/>
        </w:numPr>
        <w:spacing w:before="0" w:after="0" w:line="560" w:lineRule="exact"/>
        <w:ind w:left="2269" w:hanging="2127"/>
        <w:rPr>
          <w:color w:val="000000" w:themeColor="text1"/>
          <w14:textFill>
            <w14:solidFill>
              <w14:schemeClr w14:val="tx1"/>
            </w14:solidFill>
          </w14:textFill>
        </w:rPr>
      </w:pPr>
      <w:bookmarkStart w:id="315" w:name="_Toc316292259"/>
      <w:bookmarkStart w:id="316" w:name="_Toc75336314"/>
      <w:bookmarkStart w:id="317" w:name="_Toc3782"/>
      <w:bookmarkStart w:id="318" w:name="_Toc8992"/>
      <w:bookmarkStart w:id="319" w:name="_Toc27932"/>
      <w:bookmarkStart w:id="320" w:name="_Toc315871727"/>
      <w:bookmarkStart w:id="321" w:name="_Toc19880"/>
      <w:r>
        <w:rPr>
          <w:rFonts w:hint="eastAsia"/>
          <w:color w:val="000000" w:themeColor="text1"/>
          <w14:textFill>
            <w14:solidFill>
              <w14:schemeClr w14:val="tx1"/>
            </w14:solidFill>
          </w14:textFill>
        </w:rPr>
        <w:t>定标</w:t>
      </w:r>
      <w:bookmarkEnd w:id="314"/>
      <w:bookmarkEnd w:id="315"/>
      <w:bookmarkEnd w:id="316"/>
      <w:bookmarkEnd w:id="317"/>
      <w:bookmarkEnd w:id="318"/>
      <w:bookmarkEnd w:id="319"/>
      <w:bookmarkEnd w:id="320"/>
      <w:bookmarkEnd w:id="321"/>
      <w:bookmarkStart w:id="322" w:name="_Toc217446061"/>
    </w:p>
    <w:p>
      <w:pPr>
        <w:pStyle w:val="5"/>
        <w:numPr>
          <w:ilvl w:val="2"/>
          <w:numId w:val="3"/>
        </w:numPr>
        <w:spacing w:after="200" w:line="560" w:lineRule="exact"/>
        <w:ind w:left="0" w:firstLine="0"/>
        <w:rPr>
          <w:color w:val="000000" w:themeColor="text1"/>
          <w14:textFill>
            <w14:solidFill>
              <w14:schemeClr w14:val="tx1"/>
            </w14:solidFill>
          </w14:textFill>
        </w:rPr>
      </w:pPr>
      <w:bookmarkStart w:id="323" w:name="_Toc316292260"/>
      <w:bookmarkStart w:id="324" w:name="_Toc315871728"/>
      <w:r>
        <w:rPr>
          <w:rFonts w:hint="eastAsia"/>
          <w:color w:val="000000" w:themeColor="text1"/>
          <w14:textFill>
            <w14:solidFill>
              <w14:schemeClr w14:val="tx1"/>
            </w14:solidFill>
          </w14:textFill>
        </w:rPr>
        <w:t>定标原则</w:t>
      </w:r>
      <w:bookmarkEnd w:id="322"/>
      <w:bookmarkEnd w:id="323"/>
      <w:bookmarkEnd w:id="324"/>
    </w:p>
    <w:p>
      <w:pPr>
        <w:spacing w:line="560" w:lineRule="exact"/>
        <w:ind w:firstLine="560" w:firstLineChars="200"/>
        <w:rPr>
          <w:rFonts w:ascii="宋体" w:hAnsi="宋体"/>
          <w:color w:val="000000" w:themeColor="text1"/>
          <w:sz w:val="28"/>
          <w:szCs w:val="28"/>
          <w14:textFill>
            <w14:solidFill>
              <w14:schemeClr w14:val="tx1"/>
            </w14:solidFill>
          </w14:textFill>
        </w:rPr>
      </w:pPr>
      <w:bookmarkStart w:id="325" w:name="_Toc315871729"/>
      <w:bookmarkStart w:id="326" w:name="_Toc316292261"/>
      <w:bookmarkStart w:id="327" w:name="_Toc217446062"/>
      <w:r>
        <w:rPr>
          <w:rFonts w:hint="eastAsia" w:ascii="宋体" w:hAnsi="宋体"/>
          <w:color w:val="000000" w:themeColor="text1"/>
          <w:sz w:val="28"/>
          <w:szCs w:val="28"/>
          <w14:textFill>
            <w14:solidFill>
              <w14:schemeClr w14:val="tx1"/>
            </w14:solidFill>
          </w14:textFill>
        </w:rPr>
        <w:t>本项目根据评标委员会确定的中标候选人名单，采购人按顺序确定1名中标人。中标候选供应商并列的，</w:t>
      </w:r>
      <w:r>
        <w:rPr>
          <w:rFonts w:hint="eastAsia" w:ascii="宋体"/>
          <w:color w:val="000000" w:themeColor="text1"/>
          <w:sz w:val="28"/>
          <w:szCs w:val="28"/>
          <w14:textFill>
            <w14:solidFill>
              <w14:schemeClr w14:val="tx1"/>
            </w14:solidFill>
          </w14:textFill>
        </w:rPr>
        <w:t>由采购人采取随机抽取的方式确定中标人</w:t>
      </w:r>
      <w:r>
        <w:rPr>
          <w:rFonts w:hint="eastAsia" w:ascii="宋体" w:hAnsi="宋体"/>
          <w:color w:val="000000" w:themeColor="text1"/>
          <w:sz w:val="28"/>
          <w:szCs w:val="28"/>
          <w14:textFill>
            <w14:solidFill>
              <w14:schemeClr w14:val="tx1"/>
            </w14:solidFill>
          </w14:textFill>
        </w:rPr>
        <w:t>。</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采购人在收到评标报告</w:t>
      </w:r>
      <w:r>
        <w:rPr>
          <w:rFonts w:hint="eastAsia" w:cs="宋体" w:asciiTheme="minorEastAsia" w:hAnsiTheme="minorEastAsia" w:eastAsiaTheme="minorEastAsia"/>
          <w:color w:val="000000" w:themeColor="text1"/>
          <w:kern w:val="0"/>
          <w:sz w:val="28"/>
          <w:szCs w:val="28"/>
          <w14:textFill>
            <w14:solidFill>
              <w14:schemeClr w14:val="tx1"/>
            </w14:solidFill>
          </w14:textFill>
        </w:rPr>
        <w:t>3</w:t>
      </w:r>
      <w:r>
        <w:rPr>
          <w:rFonts w:hint="eastAsia" w:cs="Helvetica" w:asciiTheme="minorEastAsia" w:hAnsiTheme="minorEastAsia" w:eastAsiaTheme="minorEastAsia"/>
          <w:color w:val="000000" w:themeColor="text1"/>
          <w:kern w:val="0"/>
          <w:sz w:val="28"/>
          <w:szCs w:val="28"/>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定标程序</w:t>
      </w:r>
      <w:bookmarkEnd w:id="325"/>
      <w:bookmarkEnd w:id="326"/>
      <w:bookmarkEnd w:id="327"/>
    </w:p>
    <w:bookmarkEnd w:id="267"/>
    <w:p>
      <w:pPr>
        <w:spacing w:line="560" w:lineRule="exact"/>
        <w:ind w:firstLine="560" w:firstLineChars="200"/>
        <w:rPr>
          <w:rFonts w:ascii="宋体" w:hAnsi="宋体"/>
          <w:color w:val="000000" w:themeColor="text1"/>
          <w:kern w:val="0"/>
          <w:sz w:val="28"/>
          <w:szCs w:val="28"/>
          <w14:textFill>
            <w14:solidFill>
              <w14:schemeClr w14:val="tx1"/>
            </w14:solidFill>
          </w14:textFill>
        </w:rPr>
      </w:pPr>
      <w:bookmarkStart w:id="328" w:name="_Toc315871730"/>
      <w:bookmarkStart w:id="329" w:name="_Toc316292262"/>
      <w:r>
        <w:rPr>
          <w:rFonts w:hint="eastAsia" w:ascii="宋体" w:hAnsi="宋体"/>
          <w:color w:val="000000" w:themeColor="text1"/>
          <w:kern w:val="0"/>
          <w:sz w:val="28"/>
          <w:szCs w:val="28"/>
          <w14:textFill>
            <w14:solidFill>
              <w14:schemeClr w14:val="tx1"/>
            </w14:solidFill>
          </w14:textFill>
        </w:rPr>
        <w:t>一、评审委员会将评审情况写出书面报告。</w:t>
      </w:r>
    </w:p>
    <w:p>
      <w:pPr>
        <w:spacing w:line="56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二、市公资交易中心在评审结束之日起2个工作日内将评审报告送采购人。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采购人在收到评审报告后3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四、根据采购人确定的中标（成交）人，市公资交易中心在“四川政府采购网”和“成都市公共资源交易服务中心”网站上发布中标（成交）公告，同时向中标（成交）人发出中标（成交）通知书。</w:t>
      </w:r>
    </w:p>
    <w:p>
      <w:pPr>
        <w:tabs>
          <w:tab w:val="left" w:pos="1155"/>
        </w:tabs>
        <w:spacing w:line="560" w:lineRule="exact"/>
        <w:ind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五、采购人、市公资交易中心不解释中标（成交）或未中标（成交）原因，不退回投标文件和其他投标资料。</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330" w:name="_Toc75336315"/>
      <w:bookmarkStart w:id="331" w:name="_Toc31963"/>
      <w:bookmarkStart w:id="332" w:name="_Toc24014"/>
      <w:bookmarkStart w:id="333" w:name="_Toc1482"/>
      <w:bookmarkStart w:id="334" w:name="_Toc20789"/>
      <w:r>
        <w:rPr>
          <w:rFonts w:hint="eastAsia"/>
          <w:color w:val="000000" w:themeColor="text1"/>
          <w14:textFill>
            <w14:solidFill>
              <w14:schemeClr w14:val="tx1"/>
            </w14:solidFill>
          </w14:textFill>
        </w:rPr>
        <w:t>评标专家在政府采购活动中承担以下义务</w:t>
      </w:r>
      <w:bookmarkEnd w:id="328"/>
      <w:bookmarkEnd w:id="329"/>
      <w:bookmarkEnd w:id="330"/>
      <w:bookmarkEnd w:id="331"/>
      <w:bookmarkEnd w:id="332"/>
      <w:bookmarkEnd w:id="333"/>
      <w:bookmarkEnd w:id="334"/>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发现采购人、市公资交易中心及其工作人员在政府采购活动中有干预评审、发表倾向性和歧视性言论、受贿或者接受投标人的其他好处及其他违法违规行为，及时向财政部门报告。</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解答有关方面对政府采购评审工作中有关问题的询问，配合采购人或者市公资交易中心答复投标人的询问、质疑，配合财政部门的投诉处理工作等事宜。</w:t>
      </w:r>
    </w:p>
    <w:p>
      <w:pPr>
        <w:numPr>
          <w:ilvl w:val="0"/>
          <w:numId w:val="45"/>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335" w:name="_Toc31664"/>
      <w:bookmarkStart w:id="336" w:name="_Toc75336316"/>
      <w:bookmarkStart w:id="337" w:name="_Toc9396"/>
      <w:bookmarkStart w:id="338" w:name="_Toc7637"/>
      <w:bookmarkStart w:id="339" w:name="_Toc3861"/>
      <w:r>
        <w:rPr>
          <w:rFonts w:hint="eastAsia"/>
          <w:color w:val="000000" w:themeColor="text1"/>
          <w14:textFill>
            <w14:solidFill>
              <w14:schemeClr w14:val="tx1"/>
            </w14:solidFill>
          </w14:textFill>
        </w:rPr>
        <w:t>评标委员会及其成员不得有下列行为：</w:t>
      </w:r>
      <w:bookmarkEnd w:id="335"/>
      <w:bookmarkEnd w:id="336"/>
      <w:bookmarkEnd w:id="337"/>
      <w:bookmarkEnd w:id="338"/>
      <w:bookmarkEnd w:id="339"/>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一、确定参与评标至评标结束前私自接触投标人；</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二、接受投标人提出的与投标文件不一致的澄清或者说明，除招标文件明确可以澄清的除外；</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三、违反评标纪律发表倾向性意见或者征询采购人的倾向性意见；</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四、对需要专业判断的主观评审因素协商评分；</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五、在评标过程中擅离职守，影响评标程序正常进行的；</w:t>
      </w:r>
    </w:p>
    <w:p>
      <w:pPr>
        <w:tabs>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六、记录、复制或者带走任何评标资料；</w:t>
      </w:r>
    </w:p>
    <w:p>
      <w:pPr>
        <w:tabs>
          <w:tab w:val="left" w:pos="993"/>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七、其他不遵守评标纪律的行为。</w:t>
      </w:r>
    </w:p>
    <w:p>
      <w:pPr>
        <w:tabs>
          <w:tab w:val="left" w:pos="1155"/>
        </w:tabs>
        <w:spacing w:line="560" w:lineRule="exact"/>
        <w:ind w:left="142" w:firstLine="565" w:firstLineChars="20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pStyle w:val="4"/>
        <w:numPr>
          <w:ilvl w:val="1"/>
          <w:numId w:val="3"/>
        </w:numPr>
        <w:spacing w:before="0" w:after="0" w:line="560" w:lineRule="exact"/>
        <w:ind w:left="2269" w:hanging="2127"/>
        <w:rPr>
          <w:color w:val="000000" w:themeColor="text1"/>
          <w14:textFill>
            <w14:solidFill>
              <w14:schemeClr w14:val="tx1"/>
            </w14:solidFill>
          </w14:textFill>
        </w:rPr>
      </w:pPr>
      <w:bookmarkStart w:id="340" w:name="_Toc75336317"/>
      <w:bookmarkStart w:id="341" w:name="_Toc22920"/>
      <w:bookmarkStart w:id="342" w:name="_Toc6837"/>
      <w:bookmarkStart w:id="343" w:name="_Toc16147"/>
      <w:bookmarkStart w:id="344" w:name="_Toc494464930"/>
      <w:bookmarkStart w:id="345" w:name="_Toc15267"/>
      <w:r>
        <w:rPr>
          <w:rFonts w:hint="eastAsia"/>
          <w:color w:val="000000" w:themeColor="text1"/>
          <w14:textFill>
            <w14:solidFill>
              <w14:schemeClr w14:val="tx1"/>
            </w14:solidFill>
          </w14:textFill>
        </w:rPr>
        <w:t>评审专家在政府采购活动中应当遵守以下工作纪律</w:t>
      </w:r>
      <w:bookmarkEnd w:id="340"/>
      <w:bookmarkEnd w:id="341"/>
      <w:bookmarkEnd w:id="342"/>
      <w:bookmarkEnd w:id="343"/>
      <w:bookmarkEnd w:id="344"/>
      <w:bookmarkEnd w:id="345"/>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进入评标区之前应将所有的通信设备存入公资交易中心指定的存放处。</w:t>
      </w:r>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评审过程中关闭通讯设备，不得与外界联系。因发生不可预见情况，确实需要与外界联系的，应告知评标区值守人员处理。</w:t>
      </w:r>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6"/>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bookmarkEnd w:id="0"/>
      <w:bookmarkEnd w:id="1"/>
      <w:bookmarkEnd w:id="2"/>
      <w:bookmarkEnd w:id="3"/>
      <w:bookmarkStart w:id="346" w:name="_Toc19415"/>
      <w:r>
        <w:rPr>
          <w:color w:val="000000" w:themeColor="text1"/>
          <w14:textFill>
            <w14:solidFill>
              <w14:schemeClr w14:val="tx1"/>
            </w14:solidFill>
          </w14:textFill>
        </w:rPr>
        <w:br w:type="page"/>
      </w:r>
    </w:p>
    <w:p>
      <w:pPr>
        <w:pStyle w:val="3"/>
        <w:numPr>
          <w:ilvl w:val="0"/>
          <w:numId w:val="3"/>
        </w:numPr>
        <w:spacing w:before="0" w:after="0" w:line="360" w:lineRule="auto"/>
        <w:rPr>
          <w:color w:val="000000" w:themeColor="text1"/>
          <w:sz w:val="24"/>
          <w14:textFill>
            <w14:solidFill>
              <w14:schemeClr w14:val="tx1"/>
            </w14:solidFill>
          </w14:textFill>
        </w:rPr>
      </w:pPr>
      <w:bookmarkStart w:id="347" w:name="_Toc20535"/>
      <w:bookmarkStart w:id="348" w:name="_Toc27722"/>
      <w:bookmarkStart w:id="349" w:name="_Toc1640"/>
      <w:bookmarkStart w:id="350" w:name="_Toc75336318"/>
      <w:r>
        <w:rPr>
          <w:rFonts w:hint="eastAsia"/>
          <w:color w:val="000000" w:themeColor="text1"/>
          <w14:textFill>
            <w14:solidFill>
              <w14:schemeClr w14:val="tx1"/>
            </w14:solidFill>
          </w14:textFill>
        </w:rPr>
        <w:t>拟签订合同文本</w:t>
      </w:r>
      <w:bookmarkEnd w:id="346"/>
      <w:bookmarkEnd w:id="347"/>
      <w:bookmarkEnd w:id="348"/>
      <w:bookmarkEnd w:id="349"/>
      <w:bookmarkEnd w:id="350"/>
    </w:p>
    <w:p>
      <w:pPr>
        <w:spacing w:line="400" w:lineRule="exact"/>
        <w:jc w:val="center"/>
        <w:rPr>
          <w:rFonts w:asciiTheme="minorEastAsia" w:hAnsiTheme="minorEastAsia" w:eastAsiaTheme="minorEastAsia"/>
          <w:b/>
          <w:color w:val="000000" w:themeColor="text1"/>
          <w:sz w:val="28"/>
          <w:szCs w:val="28"/>
          <w14:textFill>
            <w14:solidFill>
              <w14:schemeClr w14:val="tx1"/>
            </w14:solidFill>
          </w14:textFill>
        </w:rPr>
      </w:pPr>
      <w:bookmarkStart w:id="351" w:name="_Toc316475764"/>
      <w:bookmarkEnd w:id="351"/>
      <w:bookmarkStart w:id="352" w:name="_Toc316475672"/>
      <w:bookmarkEnd w:id="352"/>
      <w:bookmarkStart w:id="353" w:name="_Toc316475763"/>
      <w:bookmarkEnd w:id="353"/>
      <w:bookmarkStart w:id="354" w:name="_Toc316475756"/>
      <w:bookmarkEnd w:id="354"/>
      <w:bookmarkStart w:id="355" w:name="_Toc316475676"/>
      <w:bookmarkEnd w:id="355"/>
      <w:bookmarkStart w:id="356" w:name="_Toc316475759"/>
      <w:bookmarkEnd w:id="356"/>
      <w:bookmarkStart w:id="357" w:name="_Toc316475665"/>
      <w:bookmarkEnd w:id="357"/>
      <w:bookmarkStart w:id="358" w:name="_Toc316475664"/>
      <w:bookmarkEnd w:id="358"/>
      <w:bookmarkStart w:id="359" w:name="_Toc316475755"/>
      <w:bookmarkEnd w:id="359"/>
      <w:bookmarkStart w:id="360" w:name="_Toc316475751"/>
      <w:bookmarkEnd w:id="360"/>
      <w:bookmarkStart w:id="361" w:name="_Toc316475758"/>
      <w:bookmarkEnd w:id="361"/>
      <w:bookmarkStart w:id="362" w:name="_Toc316475677"/>
      <w:bookmarkEnd w:id="362"/>
      <w:bookmarkStart w:id="363" w:name="_Toc316475761"/>
      <w:bookmarkEnd w:id="363"/>
      <w:bookmarkStart w:id="364" w:name="_Toc316475671"/>
      <w:bookmarkEnd w:id="364"/>
      <w:bookmarkStart w:id="365" w:name="_Toc316475754"/>
      <w:bookmarkEnd w:id="365"/>
      <w:bookmarkStart w:id="366" w:name="_Toc316475675"/>
      <w:bookmarkEnd w:id="366"/>
      <w:bookmarkStart w:id="367" w:name="_Toc316475669"/>
      <w:bookmarkEnd w:id="367"/>
      <w:bookmarkStart w:id="368" w:name="_Toc316475762"/>
      <w:bookmarkEnd w:id="368"/>
      <w:bookmarkStart w:id="369" w:name="_Toc316475673"/>
      <w:bookmarkEnd w:id="369"/>
      <w:bookmarkStart w:id="370" w:name="_Toc316475667"/>
      <w:bookmarkEnd w:id="370"/>
      <w:bookmarkStart w:id="371" w:name="_Toc316475666"/>
      <w:bookmarkEnd w:id="371"/>
      <w:bookmarkStart w:id="372" w:name="_Toc316475670"/>
      <w:bookmarkEnd w:id="372"/>
      <w:bookmarkStart w:id="373" w:name="_Toc316475760"/>
      <w:bookmarkEnd w:id="373"/>
      <w:bookmarkStart w:id="374" w:name="_Toc316475752"/>
      <w:bookmarkEnd w:id="374"/>
      <w:bookmarkStart w:id="375" w:name="_Toc316475668"/>
      <w:bookmarkEnd w:id="375"/>
      <w:bookmarkStart w:id="376" w:name="_Toc316475753"/>
      <w:bookmarkEnd w:id="376"/>
      <w:bookmarkStart w:id="377" w:name="_Toc316475674"/>
      <w:bookmarkEnd w:id="377"/>
      <w:bookmarkStart w:id="378" w:name="_Toc316475757"/>
      <w:bookmarkEnd w:id="378"/>
      <w:bookmarkStart w:id="379" w:name="_Toc3546"/>
      <w:bookmarkStart w:id="380" w:name="_Toc11710"/>
    </w:p>
    <w:p>
      <w:pPr>
        <w:pStyle w:val="39"/>
        <w:keepNext w:val="0"/>
        <w:keepLines w:val="0"/>
        <w:widowControl/>
        <w:suppressLineNumbers w:val="0"/>
        <w:spacing w:before="0" w:beforeAutospacing="1" w:after="0" w:afterAutospacing="1" w:line="360" w:lineRule="auto"/>
        <w:ind w:left="1" w:right="0" w:firstLine="557" w:firstLineChars="199"/>
        <w:contextualSpacing/>
        <w:rPr>
          <w:rFonts w:hint="eastAsia" w:ascii="宋体" w:hAnsi="宋体" w:eastAsia="宋体" w:cs="宋体"/>
          <w:sz w:val="28"/>
          <w:szCs w:val="28"/>
          <w:shd w:val="clear" w:fill="FFFFFF"/>
          <w:lang w:val="en-US"/>
        </w:rPr>
      </w:pPr>
      <w:r>
        <w:rPr>
          <w:rFonts w:hint="eastAsia" w:ascii="宋体" w:hAnsi="宋体" w:eastAsia="宋体" w:cs="宋体"/>
          <w:sz w:val="28"/>
          <w:szCs w:val="28"/>
          <w:shd w:val="clear" w:fill="FFFFFF"/>
          <w:lang w:eastAsia="zh-CN"/>
        </w:rPr>
        <w:t>合同编号：</w:t>
      </w:r>
      <w:r>
        <w:rPr>
          <w:rFonts w:hint="eastAsia" w:ascii="宋体" w:hAnsi="宋体" w:eastAsia="宋体" w:cs="宋体"/>
          <w:sz w:val="28"/>
          <w:szCs w:val="28"/>
          <w:u w:val="single"/>
          <w:shd w:val="clear" w:fill="FFFFFF"/>
          <w:lang w:val="en-US"/>
        </w:rPr>
        <w:t xml:space="preserve">                  </w:t>
      </w:r>
    </w:p>
    <w:p>
      <w:pPr>
        <w:pStyle w:val="39"/>
        <w:keepNext w:val="0"/>
        <w:keepLines w:val="0"/>
        <w:widowControl/>
        <w:suppressLineNumbers w:val="0"/>
        <w:spacing w:before="0" w:beforeAutospacing="1" w:after="0" w:afterAutospacing="1" w:line="360" w:lineRule="auto"/>
        <w:ind w:left="1" w:right="0" w:firstLine="557" w:firstLineChars="199"/>
        <w:contextualSpacing/>
        <w:rPr>
          <w:rFonts w:hint="eastAsia" w:ascii="宋体" w:hAnsi="宋体" w:eastAsia="宋体" w:cs="宋体"/>
          <w:sz w:val="28"/>
          <w:szCs w:val="28"/>
          <w:shd w:val="clear" w:fill="FFFFFF"/>
          <w:lang w:val="en-US"/>
        </w:rPr>
      </w:pPr>
      <w:r>
        <w:rPr>
          <w:rFonts w:hint="eastAsia" w:ascii="宋体" w:hAnsi="宋体" w:eastAsia="宋体" w:cs="宋体"/>
          <w:sz w:val="28"/>
          <w:szCs w:val="28"/>
          <w:shd w:val="clear" w:fill="FFFFFF"/>
          <w:lang w:eastAsia="zh-CN"/>
        </w:rPr>
        <w:t>签订地点：</w:t>
      </w:r>
      <w:r>
        <w:rPr>
          <w:rFonts w:hint="eastAsia" w:ascii="宋体" w:hAnsi="宋体" w:eastAsia="宋体" w:cs="宋体"/>
          <w:sz w:val="28"/>
          <w:szCs w:val="28"/>
          <w:u w:val="single"/>
          <w:shd w:val="clear" w:fill="FFFFFF"/>
          <w:lang w:val="en-US"/>
        </w:rPr>
        <w:t xml:space="preserve">                  </w:t>
      </w:r>
    </w:p>
    <w:p>
      <w:pPr>
        <w:pStyle w:val="39"/>
        <w:keepNext w:val="0"/>
        <w:keepLines w:val="0"/>
        <w:widowControl/>
        <w:suppressLineNumbers w:val="0"/>
        <w:spacing w:before="0" w:beforeAutospacing="1" w:after="0" w:afterAutospacing="1" w:line="360" w:lineRule="auto"/>
        <w:ind w:left="1" w:right="0" w:firstLine="557" w:firstLineChars="199"/>
        <w:contextualSpacing/>
        <w:rPr>
          <w:rFonts w:hint="eastAsia" w:ascii="宋体" w:hAnsi="宋体" w:eastAsia="宋体" w:cs="宋体"/>
          <w:sz w:val="28"/>
          <w:szCs w:val="28"/>
          <w:shd w:val="clear" w:fill="FFFFFF"/>
          <w:lang w:val="en-US"/>
        </w:rPr>
      </w:pPr>
      <w:r>
        <w:rPr>
          <w:rFonts w:hint="eastAsia" w:ascii="宋体" w:hAnsi="宋体" w:eastAsia="宋体" w:cs="宋体"/>
          <w:sz w:val="28"/>
          <w:szCs w:val="28"/>
          <w:shd w:val="clear" w:fill="FFFFFF"/>
          <w:lang w:eastAsia="zh-CN"/>
        </w:rPr>
        <w:t>签订时间：</w:t>
      </w:r>
      <w:r>
        <w:rPr>
          <w:rFonts w:hint="eastAsia" w:ascii="宋体" w:hAnsi="宋体" w:eastAsia="宋体" w:cs="宋体"/>
          <w:sz w:val="28"/>
          <w:szCs w:val="28"/>
          <w:u w:val="single"/>
          <w:shd w:val="clear" w:fill="FFFFFF"/>
          <w:lang w:val="en-US"/>
        </w:rPr>
        <w:t xml:space="preserve">    </w:t>
      </w:r>
      <w:r>
        <w:rPr>
          <w:rFonts w:hint="eastAsia" w:ascii="宋体" w:hAnsi="宋体" w:eastAsia="宋体" w:cs="宋体"/>
          <w:sz w:val="28"/>
          <w:szCs w:val="28"/>
          <w:u w:val="single"/>
          <w:shd w:val="clear" w:fill="FFFFFF"/>
          <w:lang w:eastAsia="zh-CN"/>
        </w:rPr>
        <w:t>年</w:t>
      </w:r>
      <w:r>
        <w:rPr>
          <w:rFonts w:hint="eastAsia" w:ascii="宋体" w:hAnsi="宋体" w:eastAsia="宋体" w:cs="宋体"/>
          <w:sz w:val="28"/>
          <w:szCs w:val="28"/>
          <w:u w:val="single"/>
          <w:shd w:val="clear" w:fill="FFFFFF"/>
          <w:lang w:val="en-US"/>
        </w:rPr>
        <w:t xml:space="preserve">    </w:t>
      </w:r>
      <w:r>
        <w:rPr>
          <w:rFonts w:hint="eastAsia" w:ascii="宋体" w:hAnsi="宋体" w:eastAsia="宋体" w:cs="宋体"/>
          <w:sz w:val="28"/>
          <w:szCs w:val="28"/>
          <w:u w:val="single"/>
          <w:shd w:val="clear" w:fill="FFFFFF"/>
          <w:lang w:eastAsia="zh-CN"/>
        </w:rPr>
        <w:t>月</w:t>
      </w:r>
      <w:r>
        <w:rPr>
          <w:rFonts w:hint="eastAsia" w:ascii="宋体" w:hAnsi="宋体" w:eastAsia="宋体" w:cs="宋体"/>
          <w:sz w:val="28"/>
          <w:szCs w:val="28"/>
          <w:u w:val="single"/>
          <w:shd w:val="clear" w:fill="FFFFFF"/>
          <w:lang w:val="en-US"/>
        </w:rPr>
        <w:t xml:space="preserve">    </w:t>
      </w:r>
      <w:r>
        <w:rPr>
          <w:rFonts w:hint="eastAsia" w:ascii="宋体" w:hAnsi="宋体" w:eastAsia="宋体" w:cs="宋体"/>
          <w:sz w:val="28"/>
          <w:szCs w:val="28"/>
          <w:u w:val="single"/>
          <w:shd w:val="clear" w:fill="FFFFFF"/>
          <w:lang w:eastAsia="zh-CN"/>
        </w:rPr>
        <w:t>日</w:t>
      </w:r>
    </w:p>
    <w:p>
      <w:pPr>
        <w:pStyle w:val="39"/>
        <w:keepNext w:val="0"/>
        <w:keepLines w:val="0"/>
        <w:widowControl/>
        <w:suppressLineNumbers w:val="0"/>
        <w:spacing w:before="0" w:beforeAutospacing="1" w:after="0" w:afterAutospacing="1" w:line="360" w:lineRule="auto"/>
        <w:ind w:left="1" w:right="0" w:firstLine="557" w:firstLineChars="199"/>
        <w:contextualSpacing/>
        <w:rPr>
          <w:rFonts w:hint="eastAsia" w:ascii="宋体" w:hAnsi="宋体" w:eastAsia="宋体" w:cs="宋体"/>
          <w:sz w:val="28"/>
          <w:szCs w:val="28"/>
          <w:shd w:val="clear" w:fill="FFFFFF"/>
          <w:lang w:val="en-US"/>
        </w:rPr>
      </w:pPr>
      <w:r>
        <w:rPr>
          <w:rFonts w:hint="eastAsia" w:ascii="宋体" w:hAnsi="宋体" w:eastAsia="宋体" w:cs="宋体"/>
          <w:sz w:val="28"/>
          <w:szCs w:val="28"/>
          <w:shd w:val="clear" w:fill="FFFFFF"/>
          <w:lang w:eastAsia="zh-CN"/>
        </w:rPr>
        <w:t>采购人（甲方）：</w:t>
      </w:r>
      <w:r>
        <w:rPr>
          <w:rFonts w:hint="eastAsia" w:ascii="宋体" w:hAnsi="宋体" w:eastAsia="宋体" w:cs="宋体"/>
          <w:sz w:val="28"/>
          <w:szCs w:val="28"/>
          <w:u w:val="single"/>
          <w:shd w:val="clear" w:fill="FFFFFF"/>
          <w:lang w:val="en-US"/>
        </w:rPr>
        <w:t xml:space="preserve">                      </w:t>
      </w:r>
    </w:p>
    <w:p>
      <w:pPr>
        <w:pStyle w:val="39"/>
        <w:keepNext w:val="0"/>
        <w:keepLines w:val="0"/>
        <w:widowControl/>
        <w:suppressLineNumbers w:val="0"/>
        <w:spacing w:before="0" w:beforeAutospacing="1" w:after="0" w:afterAutospacing="1" w:line="360" w:lineRule="auto"/>
        <w:ind w:left="1" w:right="0" w:firstLine="557" w:firstLineChars="199"/>
        <w:contextualSpacing/>
        <w:rPr>
          <w:rFonts w:hint="eastAsia" w:ascii="宋体" w:hAnsi="宋体" w:eastAsia="宋体" w:cs="宋体"/>
          <w:sz w:val="28"/>
          <w:szCs w:val="28"/>
          <w:shd w:val="clear" w:fill="FFFFFF"/>
          <w:lang w:val="en-US"/>
        </w:rPr>
      </w:pPr>
      <w:r>
        <w:rPr>
          <w:rFonts w:hint="eastAsia" w:ascii="宋体" w:hAnsi="宋体" w:eastAsia="宋体" w:cs="宋体"/>
          <w:sz w:val="28"/>
          <w:szCs w:val="28"/>
          <w:shd w:val="clear" w:fill="FFFFFF"/>
          <w:lang w:eastAsia="zh-CN"/>
        </w:rPr>
        <w:t>供应商（乙方）：</w:t>
      </w:r>
      <w:r>
        <w:rPr>
          <w:rFonts w:hint="eastAsia" w:ascii="宋体" w:hAnsi="宋体" w:eastAsia="宋体" w:cs="宋体"/>
          <w:sz w:val="28"/>
          <w:szCs w:val="28"/>
          <w:u w:val="single"/>
          <w:shd w:val="clear" w:fill="FFFFFF"/>
          <w:lang w:val="en-US"/>
        </w:rPr>
        <w:t xml:space="preserve">                     </w:t>
      </w:r>
      <w:r>
        <w:rPr>
          <w:rFonts w:hint="eastAsia" w:ascii="宋体" w:hAnsi="宋体" w:eastAsia="宋体" w:cs="宋体"/>
          <w:sz w:val="28"/>
          <w:szCs w:val="28"/>
          <w:shd w:val="clear" w:fill="FFFFFF"/>
          <w:lang w:val="en-US"/>
        </w:rPr>
        <w:t xml:space="preserve"> </w:t>
      </w:r>
    </w:p>
    <w:p>
      <w:pPr>
        <w:pStyle w:val="39"/>
        <w:keepNext w:val="0"/>
        <w:keepLines w:val="0"/>
        <w:widowControl/>
        <w:suppressLineNumbers w:val="0"/>
        <w:spacing w:before="0" w:beforeAutospacing="1" w:after="0" w:afterAutospacing="1" w:line="360" w:lineRule="auto"/>
        <w:ind w:left="1" w:right="0" w:firstLine="557" w:firstLineChars="199"/>
        <w:contextualSpacing/>
        <w:rPr>
          <w:rFonts w:hint="eastAsia" w:ascii="宋体" w:hAnsi="宋体" w:eastAsia="宋体" w:cs="宋体"/>
          <w:sz w:val="28"/>
          <w:szCs w:val="28"/>
          <w:shd w:val="clear" w:fill="FFFFFF"/>
          <w:lang w:val="en-US"/>
        </w:rPr>
      </w:pPr>
    </w:p>
    <w:p>
      <w:pPr>
        <w:pStyle w:val="39"/>
        <w:keepNext w:val="0"/>
        <w:keepLines w:val="0"/>
        <w:widowControl/>
        <w:suppressLineNumbers w:val="0"/>
        <w:spacing w:before="0" w:beforeAutospacing="1" w:after="0" w:afterAutospacing="1" w:line="360" w:lineRule="auto"/>
        <w:ind w:left="1" w:right="0" w:firstLine="557" w:firstLineChars="199"/>
        <w:contextualSpacing/>
        <w:rPr>
          <w:rFonts w:hint="eastAsia" w:ascii="宋体" w:hAnsi="宋体" w:eastAsia="宋体" w:cs="宋体"/>
          <w:sz w:val="28"/>
          <w:szCs w:val="28"/>
          <w:shd w:val="clear" w:fill="FFFFFF"/>
          <w:lang w:val="en-US"/>
        </w:rPr>
      </w:pPr>
      <w:r>
        <w:rPr>
          <w:rFonts w:hint="eastAsia" w:ascii="宋体" w:hAnsi="宋体" w:eastAsia="宋体" w:cs="宋体"/>
          <w:sz w:val="28"/>
          <w:szCs w:val="28"/>
          <w:shd w:val="clear" w:fill="FFFFFF"/>
          <w:lang w:eastAsia="zh-CN"/>
        </w:rPr>
        <w:t>根据《中华人民共和国政府采购法》、《中华人民共和国合同法》及</w:t>
      </w:r>
      <w:r>
        <w:rPr>
          <w:rFonts w:hint="eastAsia" w:ascii="宋体" w:hAnsi="宋体" w:eastAsia="宋体" w:cs="宋体"/>
          <w:b/>
          <w:sz w:val="28"/>
          <w:szCs w:val="28"/>
          <w:u w:val="single"/>
          <w:shd w:val="clear" w:fill="FFFFFF"/>
          <w:lang w:val="en-US"/>
        </w:rPr>
        <w:t xml:space="preserve">            </w:t>
      </w:r>
      <w:r>
        <w:rPr>
          <w:rFonts w:hint="eastAsia" w:ascii="宋体" w:hAnsi="宋体" w:eastAsia="宋体" w:cs="宋体"/>
          <w:b/>
          <w:sz w:val="28"/>
          <w:szCs w:val="28"/>
          <w:u w:val="single"/>
          <w:shd w:val="clear" w:fill="FFFFFF"/>
          <w:lang w:eastAsia="zh-CN"/>
        </w:rPr>
        <w:t>（</w:t>
      </w:r>
      <w:r>
        <w:rPr>
          <w:rFonts w:hint="eastAsia" w:ascii="宋体" w:hAnsi="宋体" w:eastAsia="宋体" w:cs="宋体"/>
          <w:bCs/>
          <w:sz w:val="28"/>
          <w:szCs w:val="28"/>
          <w:u w:val="single"/>
          <w:shd w:val="clear" w:fill="FFFFFF"/>
          <w:lang w:eastAsia="zh-CN"/>
        </w:rPr>
        <w:t>采购名称）</w:t>
      </w:r>
      <w:r>
        <w:rPr>
          <w:rFonts w:hint="eastAsia" w:ascii="宋体" w:hAnsi="宋体" w:eastAsia="宋体" w:cs="宋体"/>
          <w:sz w:val="28"/>
          <w:szCs w:val="28"/>
          <w:shd w:val="clear" w:fill="FFFFFF"/>
          <w:lang w:eastAsia="zh-CN"/>
        </w:rPr>
        <w:t>（采购编号：</w:t>
      </w:r>
      <w:r>
        <w:rPr>
          <w:rFonts w:hint="eastAsia" w:ascii="宋体" w:hAnsi="宋体" w:eastAsia="宋体" w:cs="宋体"/>
          <w:sz w:val="28"/>
          <w:szCs w:val="28"/>
          <w:u w:val="single"/>
          <w:shd w:val="clear" w:fill="FFFFFF"/>
          <w:lang w:val="en-US"/>
        </w:rPr>
        <w:t xml:space="preserve">        </w:t>
      </w:r>
      <w:r>
        <w:rPr>
          <w:rFonts w:hint="eastAsia" w:ascii="宋体" w:hAnsi="宋体" w:eastAsia="宋体" w:cs="宋体"/>
          <w:sz w:val="28"/>
          <w:szCs w:val="28"/>
          <w:shd w:val="clear" w:fill="FFFFFF"/>
          <w:lang w:eastAsia="zh-CN"/>
        </w:rPr>
        <w:t>）的《招标文件》、乙方的《投标文件》及《成交通知书》，甲、乙双方同意签订本合同。详细技术说明及其他有关合同项目的特定信息由合同附件予以说明，合同附件及本项目的招标文件、投标文件、《成交通知书》等均为本合同不可分割的部分。双方同意共同遵守如下条款：</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 xml:space="preserve">依据《中华人民共和国合同法》、《中华人民共和国政府采购法》与项目行业有关的法律法规，以及XXXX项目（项目编号：XXXX）的《招标文件》，乙方的《投标文件》及《成交通知书》，甲、乙双方同意签订本合同。详细技术说明及其他有关合同项目的特定信息由合同附件予以说明，合同附件及本项目的《招标文件》、《投标文件》、《成交通知书》等均为本合同的组成部分。 </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项目基本情况</w:t>
      </w:r>
    </w:p>
    <w:p>
      <w:pPr>
        <w:keepNext w:val="0"/>
        <w:keepLines w:val="0"/>
        <w:widowControl/>
        <w:suppressLineNumbers w:val="0"/>
        <w:spacing w:before="0" w:beforeAutospacing="0" w:after="0" w:afterAutospacing="0" w:line="360" w:lineRule="auto"/>
        <w:ind w:left="0" w:right="0" w:firstLine="630"/>
        <w:jc w:val="left"/>
        <w:rPr>
          <w:rFonts w:hint="eastAsia" w:ascii="宋体" w:hAnsi="宋体" w:eastAsia="宋体" w:cs="宋体"/>
          <w:b/>
          <w:bCs w:val="0"/>
          <w:sz w:val="28"/>
          <w:szCs w:val="28"/>
          <w:lang w:val="en-US"/>
        </w:rPr>
      </w:pP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合同期限</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 xml:space="preserve">      </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bookmarkStart w:id="381" w:name="_Toc286993786"/>
      <w:bookmarkStart w:id="382" w:name="_Toc283019214"/>
      <w:bookmarkStart w:id="383" w:name="_Toc282696226"/>
      <w:bookmarkStart w:id="384" w:name="_Toc241833903"/>
      <w:bookmarkStart w:id="385" w:name="_Toc251768862"/>
      <w:bookmarkStart w:id="386" w:name="_Toc247334841"/>
      <w:bookmarkStart w:id="387" w:name="_Toc239568418"/>
      <w:bookmarkStart w:id="388" w:name="_Toc238984975"/>
      <w:bookmarkStart w:id="389" w:name="_Toc237145406"/>
      <w:bookmarkStart w:id="390" w:name="_Toc239233914"/>
      <w:bookmarkStart w:id="391" w:name="_Toc232492928"/>
      <w:bookmarkStart w:id="392" w:name="_Toc225670751"/>
      <w:bookmarkStart w:id="393" w:name="_Toc225654644"/>
      <w:bookmarkStart w:id="394" w:name="_Toc212019594"/>
      <w:bookmarkStart w:id="395" w:name="_Toc185395249"/>
      <w:bookmarkStart w:id="396" w:name="_Toc211911348"/>
      <w:bookmarkStart w:id="397" w:name="_Toc211854449"/>
      <w:bookmarkStart w:id="398" w:name="_Toc225244852"/>
      <w:r>
        <w:rPr>
          <w:rFonts w:hint="eastAsia" w:ascii="宋体" w:hAnsi="宋体" w:eastAsia="宋体" w:cs="宋体"/>
          <w:b/>
          <w:bCs w:val="0"/>
          <w:kern w:val="0"/>
          <w:sz w:val="28"/>
          <w:szCs w:val="28"/>
          <w:lang w:val="en-US" w:eastAsia="zh-CN" w:bidi="ar"/>
        </w:rPr>
        <w:t>服务内容与质量标准</w:t>
      </w:r>
    </w:p>
    <w:p>
      <w:pPr>
        <w:keepNext w:val="0"/>
        <w:keepLines w:val="0"/>
        <w:widowControl/>
        <w:suppressLineNumbers w:val="0"/>
        <w:spacing w:before="0" w:beforeAutospacing="0" w:after="0" w:afterAutospacing="0" w:line="360" w:lineRule="auto"/>
        <w:ind w:left="567" w:right="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1、XXXX；</w:t>
      </w:r>
    </w:p>
    <w:p>
      <w:pPr>
        <w:keepNext w:val="0"/>
        <w:keepLines w:val="0"/>
        <w:widowControl/>
        <w:suppressLineNumbers w:val="0"/>
        <w:spacing w:before="0" w:beforeAutospacing="0" w:after="0" w:afterAutospacing="0" w:line="360" w:lineRule="auto"/>
        <w:ind w:left="567" w:right="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2、XXXX；</w:t>
      </w:r>
    </w:p>
    <w:p>
      <w:pPr>
        <w:keepNext w:val="0"/>
        <w:keepLines w:val="0"/>
        <w:widowControl/>
        <w:suppressLineNumbers w:val="0"/>
        <w:spacing w:before="0" w:beforeAutospacing="0" w:after="0" w:afterAutospacing="0" w:line="360" w:lineRule="auto"/>
        <w:ind w:left="567" w:right="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3、XXXX．</w:t>
      </w:r>
    </w:p>
    <w:p>
      <w:pPr>
        <w:keepNext w:val="0"/>
        <w:keepLines w:val="0"/>
        <w:widowControl/>
        <w:suppressLineNumbers w:val="0"/>
        <w:spacing w:before="0" w:beforeAutospacing="0" w:after="0" w:afterAutospacing="0" w:line="360" w:lineRule="auto"/>
        <w:ind w:left="0" w:right="0" w:firstLine="63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服务费用及支付方式</w:t>
      </w:r>
    </w:p>
    <w:p>
      <w:pPr>
        <w:keepNext w:val="0"/>
        <w:keepLines w:val="0"/>
        <w:widowControl w:val="0"/>
        <w:numPr>
          <w:ilvl w:val="0"/>
          <w:numId w:val="48"/>
        </w:numPr>
        <w:suppressLineNumbers w:val="0"/>
        <w:spacing w:before="0" w:beforeAutospacing="0" w:after="0" w:afterAutospacing="0" w:line="360" w:lineRule="auto"/>
        <w:ind w:left="0" w:right="0" w:firstLine="567"/>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本项目服务费用由以下组成：</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1、XX万元；</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w:t>
      </w:r>
    </w:p>
    <w:p>
      <w:pPr>
        <w:keepNext w:val="0"/>
        <w:keepLines w:val="0"/>
        <w:widowControl w:val="0"/>
        <w:numPr>
          <w:ilvl w:val="0"/>
          <w:numId w:val="48"/>
        </w:numPr>
        <w:suppressLineNumbers w:val="0"/>
        <w:tabs>
          <w:tab w:val="left" w:pos="780"/>
        </w:tabs>
        <w:spacing w:before="0" w:beforeAutospacing="0" w:after="0" w:afterAutospacing="0" w:line="360" w:lineRule="auto"/>
        <w:ind w:left="0" w:right="0" w:firstLine="567"/>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 xml:space="preserve">服务费支付方式： </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成交人出具符合采购人要求的增值税普通发票，采购人审核合格后按月支付。合同签订初验通过后，采购人在次月的月初（10日内）向成交人支付上月服务费用。</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验收方式</w:t>
      </w:r>
    </w:p>
    <w:p>
      <w:pPr>
        <w:pStyle w:val="39"/>
        <w:keepNext w:val="0"/>
        <w:keepLines w:val="0"/>
        <w:widowControl/>
        <w:suppressLineNumbers w:val="0"/>
        <w:spacing w:before="0" w:beforeAutospacing="1" w:after="0" w:afterAutospacing="1" w:line="360" w:lineRule="auto"/>
        <w:ind w:left="0" w:right="0" w:firstLine="560" w:firstLineChars="200"/>
        <w:rPr>
          <w:rFonts w:hint="eastAsia" w:ascii="宋体" w:hAnsi="宋体" w:eastAsia="宋体" w:cs="宋体"/>
          <w:sz w:val="28"/>
          <w:szCs w:val="28"/>
          <w:lang w:val="en-US"/>
        </w:rPr>
      </w:pPr>
      <w:r>
        <w:rPr>
          <w:rFonts w:hint="eastAsia" w:ascii="宋体" w:hAnsi="宋体" w:eastAsia="宋体" w:cs="宋体"/>
          <w:sz w:val="28"/>
          <w:szCs w:val="28"/>
          <w:lang w:eastAsia="zh-CN"/>
        </w:rPr>
        <w:t>由采购人组织，验收分为</w:t>
      </w:r>
      <w:r>
        <w:rPr>
          <w:rFonts w:hint="eastAsia" w:ascii="宋体" w:hAnsi="宋体" w:eastAsia="宋体" w:cs="宋体"/>
          <w:sz w:val="28"/>
          <w:szCs w:val="28"/>
          <w:lang w:val="en-US"/>
        </w:rPr>
        <w:t>3</w:t>
      </w:r>
      <w:r>
        <w:rPr>
          <w:rFonts w:hint="eastAsia" w:ascii="宋体" w:hAnsi="宋体" w:eastAsia="宋体" w:cs="宋体"/>
          <w:sz w:val="28"/>
          <w:szCs w:val="28"/>
          <w:lang w:eastAsia="zh-CN"/>
        </w:rPr>
        <w:t>次，按照初验、复验、终验三个环节进行验收。成交人与采购人应严格按照《财政部关于进一步加强政府采购需求和履约验收管理的指导意见》（财库〔</w:t>
      </w:r>
      <w:r>
        <w:rPr>
          <w:rFonts w:hint="eastAsia" w:ascii="宋体" w:hAnsi="宋体" w:eastAsia="宋体" w:cs="宋体"/>
          <w:sz w:val="28"/>
          <w:szCs w:val="28"/>
          <w:lang w:val="en-US"/>
        </w:rPr>
        <w:t>2016</w:t>
      </w:r>
      <w:r>
        <w:rPr>
          <w:rFonts w:hint="eastAsia" w:ascii="宋体" w:hAnsi="宋体" w:eastAsia="宋体" w:cs="宋体"/>
          <w:sz w:val="28"/>
          <w:szCs w:val="28"/>
          <w:lang w:eastAsia="zh-CN"/>
        </w:rPr>
        <w:t>〕</w:t>
      </w:r>
      <w:r>
        <w:rPr>
          <w:rFonts w:hint="eastAsia" w:ascii="宋体" w:hAnsi="宋体" w:eastAsia="宋体" w:cs="宋体"/>
          <w:sz w:val="28"/>
          <w:szCs w:val="28"/>
          <w:lang w:val="en-US"/>
        </w:rPr>
        <w:t>205</w:t>
      </w:r>
      <w:r>
        <w:rPr>
          <w:rFonts w:hint="eastAsia" w:ascii="宋体" w:hAnsi="宋体" w:eastAsia="宋体" w:cs="宋体"/>
          <w:sz w:val="28"/>
          <w:szCs w:val="28"/>
          <w:lang w:eastAsia="zh-CN"/>
        </w:rPr>
        <w:t>号）、四川省财政厅《四川省政府采购项目需求论证和履约验收管理办法》</w:t>
      </w:r>
      <w:r>
        <w:rPr>
          <w:rFonts w:hint="eastAsia" w:ascii="宋体" w:hAnsi="宋体" w:eastAsia="宋体" w:cs="宋体"/>
          <w:sz w:val="28"/>
          <w:szCs w:val="28"/>
          <w:lang w:val="en-US"/>
        </w:rPr>
        <w:t>(</w:t>
      </w:r>
      <w:r>
        <w:rPr>
          <w:rFonts w:hint="eastAsia" w:ascii="宋体" w:hAnsi="宋体" w:eastAsia="宋体" w:cs="宋体"/>
          <w:sz w:val="28"/>
          <w:szCs w:val="28"/>
          <w:lang w:eastAsia="zh-CN"/>
        </w:rPr>
        <w:t>川财采〔</w:t>
      </w:r>
      <w:r>
        <w:rPr>
          <w:rFonts w:hint="eastAsia" w:ascii="宋体" w:hAnsi="宋体" w:eastAsia="宋体" w:cs="宋体"/>
          <w:sz w:val="28"/>
          <w:szCs w:val="28"/>
          <w:lang w:val="en-US"/>
        </w:rPr>
        <w:t>2015</w:t>
      </w:r>
      <w:r>
        <w:rPr>
          <w:rFonts w:hint="eastAsia" w:ascii="宋体" w:hAnsi="宋体" w:eastAsia="宋体" w:cs="宋体"/>
          <w:sz w:val="28"/>
          <w:szCs w:val="28"/>
          <w:lang w:eastAsia="zh-CN"/>
        </w:rPr>
        <w:t>〕</w:t>
      </w:r>
      <w:r>
        <w:rPr>
          <w:rFonts w:hint="eastAsia" w:ascii="宋体" w:hAnsi="宋体" w:eastAsia="宋体" w:cs="宋体"/>
          <w:sz w:val="28"/>
          <w:szCs w:val="28"/>
          <w:lang w:val="en-US"/>
        </w:rPr>
        <w:t>32</w:t>
      </w:r>
      <w:r>
        <w:rPr>
          <w:rFonts w:hint="eastAsia" w:ascii="宋体" w:hAnsi="宋体" w:eastAsia="宋体" w:cs="宋体"/>
          <w:sz w:val="28"/>
          <w:szCs w:val="28"/>
          <w:lang w:eastAsia="zh-CN"/>
        </w:rPr>
        <w:t>号</w:t>
      </w:r>
      <w:r>
        <w:rPr>
          <w:rFonts w:hint="eastAsia" w:ascii="宋体" w:hAnsi="宋体" w:eastAsia="宋体" w:cs="宋体"/>
          <w:sz w:val="28"/>
          <w:szCs w:val="28"/>
          <w:lang w:val="en-US"/>
        </w:rPr>
        <w:t>)</w:t>
      </w:r>
      <w:r>
        <w:rPr>
          <w:rFonts w:hint="eastAsia" w:ascii="宋体" w:hAnsi="宋体" w:eastAsia="宋体" w:cs="宋体"/>
          <w:sz w:val="28"/>
          <w:szCs w:val="28"/>
          <w:lang w:eastAsia="zh-CN"/>
        </w:rPr>
        <w:t>的要求进行验收。</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初验：成交人应在双方签订合同后7个工作日内，将所投入服务人员经采购人确认进行定岗、定责及上岗培训作为初验，初验合格后才能按合同内容履行服务。</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复验：采购人根据本项目考核办法及标准对成交人进行每月服务达标考核，考核合格后采购人在成交人提供的考核合格表上签字盖章作为年度考核的佐证材料。</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终验：每年年度结束前15日内成交人向采购人提出终验申请，采购人根据成交人每月的考核合格表及年度考核所需材料组织验收。</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知识产权</w:t>
      </w:r>
    </w:p>
    <w:p>
      <w:pPr>
        <w:keepNext w:val="0"/>
        <w:keepLines w:val="0"/>
        <w:widowControl/>
        <w:suppressLineNumbers w:val="0"/>
        <w:tabs>
          <w:tab w:val="left" w:pos="1440"/>
        </w:tabs>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乙方应保证所提供的服务或其任何一部分均不会侵犯任何第三方的专利权、商标权或著作权。</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无产权瑕疵条款</w:t>
      </w:r>
    </w:p>
    <w:p>
      <w:pPr>
        <w:keepNext w:val="0"/>
        <w:keepLines w:val="0"/>
        <w:widowControl/>
        <w:suppressLineNumbers w:val="0"/>
        <w:tabs>
          <w:tab w:val="left" w:pos="1440"/>
        </w:tabs>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乙方保证所提供的服务的所有权完全属于乙方且无任何抵押、查封等产权瑕疵。如有产权瑕疵的，视为乙方违约。乙方应负担由此而产生的一切损失。</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甲方的权利和义务</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1、甲方有权对合同规定范围内乙方的服务行为进行监督和检查，拥有监管权。有权定期核对乙方提供服务所配备的人员数量。对甲方认为不合理的部分有权下达整改通知书，并要求乙方限期整改。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2、甲方有权依据双方签订的考评办法对乙方提供的服务进行定期考评。当考评结果未达到标准时，有权依据考评办法约定的数额扣除履约保证金。</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3、负责检查监督乙方管理工作的实施及制度的执行情况。</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4、根据本合同规定，按时向乙方支付应付服务费用。</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5、国家法律、法规所规定由甲方承担的其它责任。</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乙方的权利和义务</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1、对本合同规定的委托服务范围内的项目享有管理权及服务义务。</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2、根据本合同的规定向甲方收取相关服务费用，并有权在本项目管理范围内管理及合理使用。</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sz w:val="28"/>
          <w:szCs w:val="28"/>
          <w:vertAlign w:val="baseline"/>
          <w:lang w:val="en-US"/>
        </w:rPr>
      </w:pPr>
      <w:r>
        <w:rPr>
          <w:rFonts w:hint="eastAsia" w:ascii="宋体" w:hAnsi="宋体" w:eastAsia="宋体" w:cs="宋体"/>
          <w:kern w:val="0"/>
          <w:sz w:val="28"/>
          <w:szCs w:val="28"/>
          <w:vertAlign w:val="baseline"/>
          <w:lang w:val="en-US" w:eastAsia="zh-CN" w:bidi="ar"/>
        </w:rPr>
        <w:t>3、及时向甲方通告本项目服务范围内有关服务的重大事项，及时配合处理投诉。</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kern w:val="0"/>
          <w:sz w:val="28"/>
          <w:szCs w:val="28"/>
          <w:vertAlign w:val="baseline"/>
          <w:lang w:val="en-US" w:eastAsia="zh-CN" w:bidi="ar"/>
        </w:rPr>
        <w:t>4、</w:t>
      </w:r>
      <w:r>
        <w:rPr>
          <w:rFonts w:hint="eastAsia" w:ascii="宋体" w:hAnsi="宋体" w:eastAsia="宋体" w:cs="宋体"/>
          <w:bCs/>
          <w:kern w:val="0"/>
          <w:sz w:val="28"/>
          <w:szCs w:val="28"/>
          <w:vertAlign w:val="baseline"/>
          <w:lang w:val="en-US" w:eastAsia="zh-CN" w:bidi="ar"/>
        </w:rPr>
        <w:t>接受项目行业管理部门及政府有关部门的指导，接受甲方的监督。</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5、国家法律、法规所规定由乙方承担的其它责任。</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违约责任</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1、甲乙双方必须遵守本合同并执行合同中的各项规定，保证本合同的正常履行。</w:t>
      </w:r>
    </w:p>
    <w:p>
      <w:pPr>
        <w:keepNext w:val="0"/>
        <w:keepLines w:val="0"/>
        <w:widowControl/>
        <w:suppressLineNumbers w:val="0"/>
        <w:adjustRightInd w:val="0"/>
        <w:spacing w:before="0" w:beforeAutospacing="0" w:after="0" w:afterAutospacing="0" w:line="360" w:lineRule="auto"/>
        <w:ind w:left="0" w:right="0" w:firstLine="560" w:firstLineChars="200"/>
        <w:jc w:val="left"/>
        <w:textAlignment w:val="baseline"/>
        <w:rPr>
          <w:rFonts w:hint="eastAsia" w:ascii="宋体" w:hAnsi="宋体" w:eastAsia="宋体" w:cs="宋体"/>
          <w:bCs/>
          <w:sz w:val="28"/>
          <w:szCs w:val="28"/>
          <w:vertAlign w:val="baseline"/>
          <w:lang w:val="en-US"/>
        </w:rPr>
      </w:pPr>
      <w:r>
        <w:rPr>
          <w:rFonts w:hint="eastAsia" w:ascii="宋体" w:hAnsi="宋体" w:eastAsia="宋体" w:cs="宋体"/>
          <w:bCs/>
          <w:kern w:val="0"/>
          <w:sz w:val="28"/>
          <w:szCs w:val="28"/>
          <w:vertAlign w:val="baseline"/>
          <w:lang w:val="en-US" w:eastAsia="zh-CN" w:bidi="ar"/>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不可抗力事件处理</w:t>
      </w:r>
    </w:p>
    <w:p>
      <w:pPr>
        <w:keepNext w:val="0"/>
        <w:keepLines w:val="0"/>
        <w:widowControl/>
        <w:suppressLineNumbers w:val="0"/>
        <w:tabs>
          <w:tab w:val="left" w:pos="0"/>
        </w:tabs>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1、在合同有效期内，任何一方因不可抗力事件导致不能履行合同，则合同履行期可延长，其延长期与不可抗力影响期相同。</w:t>
      </w:r>
    </w:p>
    <w:p>
      <w:pPr>
        <w:keepNext w:val="0"/>
        <w:keepLines w:val="0"/>
        <w:widowControl/>
        <w:suppressLineNumbers w:val="0"/>
        <w:tabs>
          <w:tab w:val="left" w:pos="0"/>
        </w:tabs>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2、不可抗力事件发生后，应立即通知对方，并寄送有关权威机构出具的证明。</w:t>
      </w:r>
    </w:p>
    <w:p>
      <w:pPr>
        <w:keepNext w:val="0"/>
        <w:keepLines w:val="0"/>
        <w:widowControl/>
        <w:suppressLineNumbers w:val="0"/>
        <w:tabs>
          <w:tab w:val="left" w:pos="0"/>
        </w:tabs>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3、不可抗力事件延续</w:t>
      </w:r>
      <w:r>
        <w:rPr>
          <w:rFonts w:hint="eastAsia" w:ascii="宋体" w:hAnsi="宋体" w:eastAsia="宋体" w:cs="宋体"/>
          <w:kern w:val="0"/>
          <w:sz w:val="28"/>
          <w:szCs w:val="28"/>
          <w:u w:val="single"/>
          <w:lang w:val="en-US" w:eastAsia="zh-CN" w:bidi="ar"/>
        </w:rPr>
        <w:t>180</w:t>
      </w:r>
      <w:r>
        <w:rPr>
          <w:rFonts w:hint="eastAsia" w:ascii="宋体" w:hAnsi="宋体" w:eastAsia="宋体" w:cs="宋体"/>
          <w:kern w:val="0"/>
          <w:sz w:val="28"/>
          <w:szCs w:val="28"/>
          <w:lang w:val="en-US" w:eastAsia="zh-CN" w:bidi="ar"/>
        </w:rPr>
        <w:t>天以上，双方应通过友好协商，确定是否继续履行合同。</w:t>
      </w:r>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bookmarkStart w:id="399" w:name="_Toc286993792"/>
      <w:bookmarkStart w:id="400" w:name="_Toc251768867"/>
      <w:bookmarkStart w:id="401" w:name="_Toc241833908"/>
      <w:bookmarkStart w:id="402" w:name="_Toc239568423"/>
      <w:bookmarkStart w:id="403" w:name="_Toc247334846"/>
      <w:bookmarkStart w:id="404" w:name="_Toc239233919"/>
      <w:bookmarkStart w:id="405" w:name="_Toc238984980"/>
      <w:bookmarkStart w:id="406" w:name="_Toc237145411"/>
      <w:bookmarkStart w:id="407" w:name="_Toc232492933"/>
      <w:bookmarkStart w:id="408" w:name="_Toc225670756"/>
      <w:bookmarkStart w:id="409" w:name="_Toc212019599"/>
      <w:bookmarkStart w:id="410" w:name="_Toc225654649"/>
      <w:bookmarkStart w:id="411" w:name="_Toc225244857"/>
      <w:bookmarkStart w:id="412" w:name="_Toc211911353"/>
      <w:bookmarkStart w:id="413" w:name="_Toc185395254"/>
      <w:bookmarkStart w:id="414" w:name="_Toc211854454"/>
      <w:r>
        <w:rPr>
          <w:rFonts w:hint="eastAsia" w:ascii="宋体" w:hAnsi="宋体" w:eastAsia="宋体" w:cs="宋体"/>
          <w:b/>
          <w:bCs w:val="0"/>
          <w:kern w:val="0"/>
          <w:sz w:val="28"/>
          <w:szCs w:val="28"/>
          <w:lang w:val="en-US" w:eastAsia="zh-CN" w:bidi="ar"/>
        </w:rPr>
        <w:t>解决合同纠纷的方式</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keepNext w:val="0"/>
        <w:keepLines w:val="0"/>
        <w:widowControl/>
        <w:suppressLineNumbers w:val="0"/>
        <w:tabs>
          <w:tab w:val="left" w:pos="0"/>
        </w:tabs>
        <w:spacing w:before="0" w:beforeAutospacing="0" w:after="0" w:afterAutospacing="0" w:line="360" w:lineRule="auto"/>
        <w:ind w:left="980" w:leftChars="200" w:right="0" w:hanging="560" w:hanging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1、在执行本合同中发生的或与本合同有关的争端，双方应通过友好协商解决，经协商在</w:t>
      </w:r>
    </w:p>
    <w:p>
      <w:pPr>
        <w:keepNext w:val="0"/>
        <w:keepLines w:val="0"/>
        <w:widowControl/>
        <w:suppressLineNumbers w:val="0"/>
        <w:tabs>
          <w:tab w:val="left" w:pos="0"/>
        </w:tabs>
        <w:spacing w:before="0" w:beforeAutospacing="0" w:after="0" w:afterAutospacing="0" w:line="360" w:lineRule="auto"/>
        <w:ind w:left="980" w:leftChars="200" w:right="0" w:hanging="560" w:hangingChars="200"/>
        <w:jc w:val="left"/>
        <w:rPr>
          <w:rFonts w:hint="eastAsia" w:ascii="宋体" w:hAnsi="宋体" w:eastAsia="宋体" w:cs="宋体"/>
          <w:sz w:val="28"/>
          <w:szCs w:val="28"/>
          <w:lang w:val="en-US"/>
        </w:rPr>
      </w:pPr>
      <w:r>
        <w:rPr>
          <w:rFonts w:hint="eastAsia" w:ascii="宋体" w:hAnsi="宋体" w:eastAsia="宋体" w:cs="宋体"/>
          <w:kern w:val="0"/>
          <w:sz w:val="28"/>
          <w:szCs w:val="28"/>
          <w:u w:val="single"/>
          <w:lang w:val="en-US" w:eastAsia="zh-CN" w:bidi="ar"/>
        </w:rPr>
        <w:t xml:space="preserve">   </w:t>
      </w:r>
      <w:r>
        <w:rPr>
          <w:rFonts w:hint="eastAsia" w:ascii="宋体" w:hAnsi="宋体" w:eastAsia="宋体" w:cs="宋体"/>
          <w:kern w:val="0"/>
          <w:sz w:val="28"/>
          <w:szCs w:val="28"/>
          <w:lang w:val="en-US" w:eastAsia="zh-CN" w:bidi="ar"/>
        </w:rPr>
        <w:t>天内不能达成协议时，应提交成都仲裁委员会仲裁。</w:t>
      </w:r>
    </w:p>
    <w:p>
      <w:pPr>
        <w:keepNext w:val="0"/>
        <w:keepLines w:val="0"/>
        <w:widowControl/>
        <w:suppressLineNumbers w:val="0"/>
        <w:tabs>
          <w:tab w:val="left" w:pos="0"/>
        </w:tabs>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2、仲裁裁决应为最终决定，并对双方具有约束力。</w:t>
      </w:r>
    </w:p>
    <w:p>
      <w:pPr>
        <w:keepNext w:val="0"/>
        <w:keepLines w:val="0"/>
        <w:widowControl/>
        <w:suppressLineNumbers w:val="0"/>
        <w:tabs>
          <w:tab w:val="left" w:pos="0"/>
        </w:tabs>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 xml:space="preserve">3、除另有裁决外，仲裁费应由败诉方负担。 </w:t>
      </w:r>
    </w:p>
    <w:p>
      <w:pPr>
        <w:keepNext w:val="0"/>
        <w:keepLines w:val="0"/>
        <w:widowControl/>
        <w:suppressLineNumbers w:val="0"/>
        <w:tabs>
          <w:tab w:val="left" w:pos="0"/>
        </w:tabs>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 xml:space="preserve">4、在仲裁期间，除正在进行仲裁部分外，合同其他部分继续执行。  </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bookmarkStart w:id="415" w:name="_Toc286993793"/>
      <w:bookmarkStart w:id="416" w:name="_Toc283019219"/>
      <w:bookmarkStart w:id="417" w:name="_Toc282696231"/>
      <w:bookmarkStart w:id="418" w:name="_Toc251768868"/>
      <w:bookmarkStart w:id="419" w:name="_Toc241833909"/>
      <w:bookmarkStart w:id="420" w:name="_Toc239568424"/>
      <w:bookmarkStart w:id="421" w:name="_Toc247334847"/>
      <w:bookmarkStart w:id="422" w:name="_Toc239233920"/>
      <w:bookmarkStart w:id="423" w:name="_Toc238984981"/>
      <w:bookmarkStart w:id="424" w:name="_Toc225670757"/>
      <w:bookmarkStart w:id="425" w:name="_Toc237145412"/>
      <w:bookmarkStart w:id="426" w:name="_Toc232492934"/>
      <w:bookmarkStart w:id="427" w:name="_Toc225654650"/>
      <w:bookmarkStart w:id="428" w:name="_Toc225244858"/>
      <w:bookmarkStart w:id="429" w:name="_Toc212019600"/>
      <w:bookmarkStart w:id="430" w:name="_Toc211854455"/>
      <w:bookmarkStart w:id="431" w:name="_Toc185395255"/>
      <w:bookmarkStart w:id="432" w:name="_Toc211911354"/>
      <w:r>
        <w:rPr>
          <w:rFonts w:hint="eastAsia" w:ascii="宋体" w:hAnsi="宋体" w:eastAsia="宋体" w:cs="宋体"/>
          <w:b/>
          <w:bCs w:val="0"/>
          <w:kern w:val="0"/>
          <w:sz w:val="28"/>
          <w:szCs w:val="28"/>
          <w:lang w:val="en-US" w:eastAsia="zh-CN" w:bidi="ar"/>
        </w:rPr>
        <w:t>合同</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Pr>
          <w:rFonts w:hint="eastAsia" w:ascii="宋体" w:hAnsi="宋体" w:eastAsia="宋体" w:cs="宋体"/>
          <w:b/>
          <w:bCs w:val="0"/>
          <w:kern w:val="0"/>
          <w:sz w:val="28"/>
          <w:szCs w:val="28"/>
          <w:lang w:val="en-US" w:eastAsia="zh-CN" w:bidi="ar"/>
        </w:rPr>
        <w:t>生效及其他</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1、合同经双方法定代表人或授权委托代理人签字并加盖单位公章后生效。</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2、合同执行中涉及采购资金和采购内容修改或补充的，须经政府采购监管部门审批，并签书面补充协议报政府采购监督管理部门备案，方可作为主合同不可分割的一部分。</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3、本合同一式四份，自双方签章之日起起效。甲方一份，乙方一份，政府采购代理机构一份，同级财政部门备案一份，具有同等法律效力。</w:t>
      </w:r>
    </w:p>
    <w:p>
      <w:pPr>
        <w:keepNext w:val="0"/>
        <w:keepLines w:val="0"/>
        <w:widowControl w:val="0"/>
        <w:numPr>
          <w:ilvl w:val="0"/>
          <w:numId w:val="47"/>
        </w:numPr>
        <w:suppressLineNumbers w:val="0"/>
        <w:spacing w:before="0" w:beforeAutospacing="0" w:after="0" w:afterAutospacing="0" w:line="360" w:lineRule="auto"/>
        <w:ind w:left="1521" w:right="0" w:hanging="1095"/>
        <w:jc w:val="both"/>
        <w:rPr>
          <w:rFonts w:hint="eastAsia" w:ascii="宋体" w:hAnsi="宋体" w:eastAsia="宋体" w:cs="宋体"/>
          <w:b/>
          <w:bCs w:val="0"/>
          <w:sz w:val="28"/>
          <w:szCs w:val="28"/>
          <w:lang w:val="en-US"/>
        </w:rPr>
      </w:pPr>
      <w:r>
        <w:rPr>
          <w:rFonts w:hint="eastAsia" w:ascii="宋体" w:hAnsi="宋体" w:eastAsia="宋体" w:cs="宋体"/>
          <w:b/>
          <w:bCs w:val="0"/>
          <w:kern w:val="0"/>
          <w:sz w:val="28"/>
          <w:szCs w:val="28"/>
          <w:lang w:val="en-US" w:eastAsia="zh-CN" w:bidi="ar"/>
        </w:rPr>
        <w:t>附件</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1、项目招标文件</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2、项目修改澄清文件</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3、项目投标文件</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4、成交通知书</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5、其他</w:t>
      </w:r>
    </w:p>
    <w:p>
      <w:pPr>
        <w:keepNext w:val="0"/>
        <w:keepLines w:val="0"/>
        <w:widowControl/>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p>
    <w:p>
      <w:pPr>
        <w:keepNext w:val="0"/>
        <w:keepLines w:val="0"/>
        <w:widowControl/>
        <w:suppressLineNumbers w:val="0"/>
        <w:spacing w:before="0" w:beforeAutospacing="0" w:after="0" w:afterAutospacing="0" w:line="400" w:lineRule="exact"/>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 xml:space="preserve">甲方：   （盖章）   </w:t>
      </w:r>
      <w:r>
        <w:rPr>
          <w:rFonts w:hint="eastAsia" w:ascii="宋体" w:hAnsi="宋体" w:eastAsia="宋体" w:cs="宋体"/>
          <w:kern w:val="0"/>
          <w:sz w:val="28"/>
          <w:szCs w:val="28"/>
          <w:lang w:val="en-US" w:eastAsia="zh-CN" w:bidi="ar"/>
        </w:rPr>
        <w:tab/>
      </w:r>
      <w:r>
        <w:rPr>
          <w:rFonts w:hint="eastAsia" w:ascii="宋体" w:hAnsi="宋体" w:eastAsia="宋体" w:cs="宋体"/>
          <w:kern w:val="0"/>
          <w:sz w:val="28"/>
          <w:szCs w:val="28"/>
          <w:lang w:val="en-US" w:eastAsia="zh-CN" w:bidi="ar"/>
        </w:rPr>
        <w:tab/>
      </w:r>
      <w:r>
        <w:rPr>
          <w:rFonts w:hint="eastAsia" w:ascii="宋体" w:hAnsi="宋体" w:eastAsia="宋体" w:cs="宋体"/>
          <w:kern w:val="0"/>
          <w:sz w:val="28"/>
          <w:szCs w:val="28"/>
          <w:lang w:val="en-US" w:eastAsia="zh-CN" w:bidi="ar"/>
        </w:rPr>
        <w:tab/>
      </w:r>
      <w:r>
        <w:rPr>
          <w:rFonts w:hint="eastAsia" w:ascii="宋体" w:hAnsi="宋体" w:eastAsia="宋体" w:cs="宋体"/>
          <w:kern w:val="0"/>
          <w:sz w:val="28"/>
          <w:szCs w:val="28"/>
          <w:lang w:val="en-US" w:eastAsia="zh-CN" w:bidi="ar"/>
        </w:rPr>
        <w:t xml:space="preserve">       乙方：   （盖章）</w:t>
      </w:r>
    </w:p>
    <w:p>
      <w:pPr>
        <w:keepNext w:val="0"/>
        <w:keepLines w:val="0"/>
        <w:widowControl/>
        <w:suppressLineNumbers w:val="0"/>
        <w:spacing w:before="0" w:beforeAutospacing="0" w:after="0" w:afterAutospacing="0" w:line="400" w:lineRule="exact"/>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法定代表人（授权代表）：            法定代表人（授权代表）：</w:t>
      </w:r>
    </w:p>
    <w:p>
      <w:pPr>
        <w:keepNext w:val="0"/>
        <w:keepLines w:val="0"/>
        <w:widowControl/>
        <w:suppressLineNumbers w:val="0"/>
        <w:spacing w:before="0" w:beforeAutospacing="0" w:after="0" w:afterAutospacing="0" w:line="400" w:lineRule="exact"/>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地    址：                         地    址：</w:t>
      </w:r>
    </w:p>
    <w:p>
      <w:pPr>
        <w:keepNext w:val="0"/>
        <w:keepLines w:val="0"/>
        <w:widowControl/>
        <w:suppressLineNumbers w:val="0"/>
        <w:spacing w:before="0" w:beforeAutospacing="0" w:after="0" w:afterAutospacing="0" w:line="400" w:lineRule="exact"/>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开户银行：                         开户银行：</w:t>
      </w:r>
    </w:p>
    <w:p>
      <w:pPr>
        <w:keepNext w:val="0"/>
        <w:keepLines w:val="0"/>
        <w:widowControl/>
        <w:suppressLineNumbers w:val="0"/>
        <w:spacing w:before="0" w:beforeAutospacing="0" w:after="0" w:afterAutospacing="0" w:line="400" w:lineRule="exact"/>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账号：                             账号：</w:t>
      </w:r>
    </w:p>
    <w:p>
      <w:pPr>
        <w:keepNext w:val="0"/>
        <w:keepLines w:val="0"/>
        <w:widowControl/>
        <w:suppressLineNumbers w:val="0"/>
        <w:spacing w:before="0" w:beforeAutospacing="0" w:after="0" w:afterAutospacing="0" w:line="400" w:lineRule="exact"/>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电    话：                         电    话：</w:t>
      </w:r>
    </w:p>
    <w:p>
      <w:pPr>
        <w:keepNext w:val="0"/>
        <w:keepLines w:val="0"/>
        <w:widowControl/>
        <w:suppressLineNumbers w:val="0"/>
        <w:spacing w:before="0" w:beforeAutospacing="0" w:after="0" w:afterAutospacing="0" w:line="400" w:lineRule="exact"/>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传    真：                         传    真：</w:t>
      </w:r>
    </w:p>
    <w:p>
      <w:pPr>
        <w:keepNext w:val="0"/>
        <w:keepLines w:val="0"/>
        <w:widowControl/>
        <w:suppressLineNumbers w:val="0"/>
        <w:spacing w:before="0" w:beforeAutospacing="0" w:after="0" w:afterAutospacing="0" w:line="400" w:lineRule="exact"/>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0"/>
          <w:sz w:val="28"/>
          <w:szCs w:val="28"/>
          <w:lang w:val="en-US" w:eastAsia="zh-CN" w:bidi="ar"/>
        </w:rPr>
        <w:t xml:space="preserve">签约日期：XX年XX月XX日 </w:t>
      </w:r>
      <w:r>
        <w:rPr>
          <w:rFonts w:hint="eastAsia" w:ascii="宋体" w:hAnsi="宋体" w:eastAsia="宋体" w:cs="宋体"/>
          <w:kern w:val="0"/>
          <w:sz w:val="28"/>
          <w:szCs w:val="28"/>
          <w:lang w:val="en-US" w:eastAsia="zh-CN" w:bidi="ar"/>
        </w:rPr>
        <w:tab/>
      </w:r>
      <w:r>
        <w:rPr>
          <w:rFonts w:hint="eastAsia" w:ascii="宋体" w:hAnsi="宋体" w:eastAsia="宋体" w:cs="宋体"/>
          <w:kern w:val="0"/>
          <w:sz w:val="28"/>
          <w:szCs w:val="28"/>
          <w:lang w:val="en-US" w:eastAsia="zh-CN" w:bidi="ar"/>
        </w:rPr>
        <w:tab/>
      </w:r>
      <w:r>
        <w:rPr>
          <w:rFonts w:hint="eastAsia" w:ascii="宋体" w:hAnsi="宋体" w:eastAsia="宋体" w:cs="宋体"/>
          <w:kern w:val="0"/>
          <w:sz w:val="28"/>
          <w:szCs w:val="28"/>
          <w:lang w:val="en-US" w:eastAsia="zh-CN" w:bidi="ar"/>
        </w:rPr>
        <w:tab/>
      </w:r>
      <w:r>
        <w:rPr>
          <w:rFonts w:hint="eastAsia" w:ascii="宋体" w:hAnsi="宋体" w:eastAsia="宋体" w:cs="宋体"/>
          <w:kern w:val="0"/>
          <w:sz w:val="28"/>
          <w:szCs w:val="28"/>
          <w:lang w:val="en-US" w:eastAsia="zh-CN" w:bidi="ar"/>
        </w:rPr>
        <w:t>签约日期：XX年XX月XX日</w:t>
      </w:r>
    </w:p>
    <w:p>
      <w:pPr>
        <w:keepNext w:val="0"/>
        <w:keepLines w:val="0"/>
        <w:widowControl/>
        <w:suppressLineNumbers w:val="0"/>
        <w:spacing w:before="0" w:beforeAutospacing="0" w:after="0" w:afterAutospacing="0"/>
        <w:ind w:left="0" w:right="0"/>
        <w:jc w:val="left"/>
        <w:rPr>
          <w:rFonts w:hint="eastAsia" w:ascii="宋体" w:hAnsi="宋体" w:eastAsia="宋体" w:cs="宋体"/>
          <w:sz w:val="28"/>
          <w:szCs w:val="28"/>
          <w:lang w:val="en-US"/>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rFonts w:ascii="宋体" w:hAnsi="宋体" w:cs="Tahoma"/>
          <w:b/>
          <w:color w:val="000000" w:themeColor="text1"/>
          <w:sz w:val="30"/>
          <w:szCs w:val="30"/>
          <w14:textFill>
            <w14:solidFill>
              <w14:schemeClr w14:val="tx1"/>
            </w14:solidFill>
          </w14:textFill>
        </w:rPr>
      </w:pPr>
    </w:p>
    <w:bookmarkEnd w:id="379"/>
    <w:bookmarkEnd w:id="380"/>
    <w:p>
      <w:pPr>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6"/>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7"/>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1"/>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2"/>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3"/>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4"/>
                    <a:stretch>
                      <a:fillRect/>
                    </a:stretch>
                  </pic:blipFill>
                  <pic:spPr>
                    <a:xfrm>
                      <a:off x="0" y="0"/>
                      <a:ext cx="5971540" cy="3562985"/>
                    </a:xfrm>
                    <a:prstGeom prst="rect">
                      <a:avLst/>
                    </a:prstGeom>
                    <a:noFill/>
                    <a:ln w="9525">
                      <a:noFill/>
                    </a:ln>
                  </pic:spPr>
                </pic:pic>
              </a:graphicData>
            </a:graphic>
          </wp:inline>
        </w:drawing>
      </w:r>
    </w:p>
    <w:p>
      <w:pPr>
        <w:pStyle w:val="22"/>
      </w:pPr>
    </w:p>
    <w:p>
      <w:pPr>
        <w:pStyle w:val="2"/>
        <w:rPr>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lETlDRECAAAJBAAADgAAAAAAAAABACAA&#10;AAAfAQAAZHJzL2Uyb0RvYy54bWxQSwUGAAAAAAYABgBZAQAAogU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5">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6">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98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CF859C0"/>
    <w:multiLevelType w:val="multilevel"/>
    <w:tmpl w:val="0CF859C0"/>
    <w:lvl w:ilvl="0" w:tentative="0">
      <w:start w:val="1"/>
      <w:numFmt w:val="japaneseCounting"/>
      <w:lvlText w:val="第%1条"/>
      <w:lvlJc w:val="left"/>
      <w:pPr>
        <w:tabs>
          <w:tab w:val="left" w:pos="1521"/>
        </w:tabs>
        <w:ind w:left="1521" w:hanging="1095"/>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3">
    <w:nsid w:val="144C623B"/>
    <w:multiLevelType w:val="multilevel"/>
    <w:tmpl w:val="144C623B"/>
    <w:lvl w:ilvl="0" w:tentative="0">
      <w:start w:val="1"/>
      <w:numFmt w:val="chineseCountingThousand"/>
      <w:lvlText w:val="%1、"/>
      <w:lvlJc w:val="left"/>
      <w:pPr>
        <w:ind w:left="966" w:hanging="420"/>
      </w:pPr>
      <w:rPr>
        <w:b w:val="0"/>
        <w:sz w:val="28"/>
        <w:szCs w:val="28"/>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6">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2">
    <w:nsid w:val="41145F7F"/>
    <w:multiLevelType w:val="multilevel"/>
    <w:tmpl w:val="41145F7F"/>
    <w:lvl w:ilvl="0" w:tentative="0">
      <w:start w:val="1"/>
      <w:numFmt w:val="japaneseCounting"/>
      <w:lvlText w:val="（%1）"/>
      <w:lvlJc w:val="left"/>
      <w:pPr>
        <w:ind w:left="1406" w:hanging="84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4771F645"/>
    <w:multiLevelType w:val="multilevel"/>
    <w:tmpl w:val="4771F645"/>
    <w:lvl w:ilvl="0" w:tentative="0">
      <w:start w:val="1"/>
      <w:numFmt w:val="chineseCountingThousand"/>
      <w:suff w:val="nothing"/>
      <w:lvlText w:val="(%1)"/>
      <w:lvlJc w:val="left"/>
      <w:pPr>
        <w:ind w:left="420" w:hanging="420"/>
      </w:pPr>
      <w:rPr>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8">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3">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4">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num>
  <w:num w:numId="2">
    <w:abstractNumId w:val="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doNotDisplayPageBoundaries w:val="1"/>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065C8"/>
    <w:rsid w:val="00011E2C"/>
    <w:rsid w:val="00013E19"/>
    <w:rsid w:val="00017C65"/>
    <w:rsid w:val="00023882"/>
    <w:rsid w:val="000255FE"/>
    <w:rsid w:val="00030BB2"/>
    <w:rsid w:val="00046547"/>
    <w:rsid w:val="00070D3F"/>
    <w:rsid w:val="00071BA9"/>
    <w:rsid w:val="00073FFC"/>
    <w:rsid w:val="00074CCC"/>
    <w:rsid w:val="00081145"/>
    <w:rsid w:val="0008193D"/>
    <w:rsid w:val="00086C1B"/>
    <w:rsid w:val="000960A8"/>
    <w:rsid w:val="0009765A"/>
    <w:rsid w:val="00097A31"/>
    <w:rsid w:val="000A19F0"/>
    <w:rsid w:val="000E01D4"/>
    <w:rsid w:val="000F0BF5"/>
    <w:rsid w:val="000F2ED2"/>
    <w:rsid w:val="000F5214"/>
    <w:rsid w:val="00123F07"/>
    <w:rsid w:val="001278CD"/>
    <w:rsid w:val="00130037"/>
    <w:rsid w:val="00136881"/>
    <w:rsid w:val="001412DE"/>
    <w:rsid w:val="00141865"/>
    <w:rsid w:val="00142932"/>
    <w:rsid w:val="00142C44"/>
    <w:rsid w:val="00143AC6"/>
    <w:rsid w:val="001457D4"/>
    <w:rsid w:val="00147768"/>
    <w:rsid w:val="0015151D"/>
    <w:rsid w:val="00154397"/>
    <w:rsid w:val="00154E28"/>
    <w:rsid w:val="00160B4D"/>
    <w:rsid w:val="001651AC"/>
    <w:rsid w:val="00171582"/>
    <w:rsid w:val="00171DDA"/>
    <w:rsid w:val="00175DA2"/>
    <w:rsid w:val="00176A61"/>
    <w:rsid w:val="00177941"/>
    <w:rsid w:val="00181312"/>
    <w:rsid w:val="001832D8"/>
    <w:rsid w:val="00185D47"/>
    <w:rsid w:val="001922D3"/>
    <w:rsid w:val="00196D8D"/>
    <w:rsid w:val="001A7DBE"/>
    <w:rsid w:val="001B34A4"/>
    <w:rsid w:val="001B726A"/>
    <w:rsid w:val="001C2698"/>
    <w:rsid w:val="001C49E9"/>
    <w:rsid w:val="001C4FFA"/>
    <w:rsid w:val="001D1389"/>
    <w:rsid w:val="001D2E37"/>
    <w:rsid w:val="001D392C"/>
    <w:rsid w:val="001D53CF"/>
    <w:rsid w:val="001D7870"/>
    <w:rsid w:val="001E13EE"/>
    <w:rsid w:val="001E60FC"/>
    <w:rsid w:val="00203F54"/>
    <w:rsid w:val="002074E2"/>
    <w:rsid w:val="00210A21"/>
    <w:rsid w:val="00214F93"/>
    <w:rsid w:val="002169A9"/>
    <w:rsid w:val="002176FD"/>
    <w:rsid w:val="00221EFF"/>
    <w:rsid w:val="002303BC"/>
    <w:rsid w:val="002304CC"/>
    <w:rsid w:val="00231987"/>
    <w:rsid w:val="00236C36"/>
    <w:rsid w:val="00237517"/>
    <w:rsid w:val="002441B7"/>
    <w:rsid w:val="00245AD2"/>
    <w:rsid w:val="00255115"/>
    <w:rsid w:val="00257EE4"/>
    <w:rsid w:val="0026015E"/>
    <w:rsid w:val="00266EFB"/>
    <w:rsid w:val="00276EDB"/>
    <w:rsid w:val="00285456"/>
    <w:rsid w:val="002865CD"/>
    <w:rsid w:val="002933F7"/>
    <w:rsid w:val="0029428D"/>
    <w:rsid w:val="00295214"/>
    <w:rsid w:val="002A5802"/>
    <w:rsid w:val="002C3DA0"/>
    <w:rsid w:val="002C62BD"/>
    <w:rsid w:val="002D67AE"/>
    <w:rsid w:val="002F59E8"/>
    <w:rsid w:val="00302FC9"/>
    <w:rsid w:val="003074A8"/>
    <w:rsid w:val="00320ABF"/>
    <w:rsid w:val="00326056"/>
    <w:rsid w:val="003312AF"/>
    <w:rsid w:val="00354C2E"/>
    <w:rsid w:val="00393141"/>
    <w:rsid w:val="00394287"/>
    <w:rsid w:val="003A0F3D"/>
    <w:rsid w:val="003A29C7"/>
    <w:rsid w:val="003C20F1"/>
    <w:rsid w:val="003E0407"/>
    <w:rsid w:val="003E2251"/>
    <w:rsid w:val="003F007F"/>
    <w:rsid w:val="003F2950"/>
    <w:rsid w:val="003F3F72"/>
    <w:rsid w:val="004105BD"/>
    <w:rsid w:val="00410F3C"/>
    <w:rsid w:val="00412708"/>
    <w:rsid w:val="00416C31"/>
    <w:rsid w:val="0042015A"/>
    <w:rsid w:val="00420FCF"/>
    <w:rsid w:val="00421556"/>
    <w:rsid w:val="004215D4"/>
    <w:rsid w:val="0043383C"/>
    <w:rsid w:val="0043721D"/>
    <w:rsid w:val="0045547F"/>
    <w:rsid w:val="00464910"/>
    <w:rsid w:val="00477682"/>
    <w:rsid w:val="00477A90"/>
    <w:rsid w:val="00483070"/>
    <w:rsid w:val="004870EE"/>
    <w:rsid w:val="00491B7A"/>
    <w:rsid w:val="004A2ABE"/>
    <w:rsid w:val="004A610A"/>
    <w:rsid w:val="004B036B"/>
    <w:rsid w:val="004B07E9"/>
    <w:rsid w:val="004B20F3"/>
    <w:rsid w:val="004B365B"/>
    <w:rsid w:val="004B674A"/>
    <w:rsid w:val="004C1B1A"/>
    <w:rsid w:val="004C3093"/>
    <w:rsid w:val="004D49CB"/>
    <w:rsid w:val="004D7992"/>
    <w:rsid w:val="004E1C00"/>
    <w:rsid w:val="004E28BE"/>
    <w:rsid w:val="004E603E"/>
    <w:rsid w:val="004F5AA1"/>
    <w:rsid w:val="00500F25"/>
    <w:rsid w:val="0050248B"/>
    <w:rsid w:val="00503E23"/>
    <w:rsid w:val="00506303"/>
    <w:rsid w:val="00520253"/>
    <w:rsid w:val="00545144"/>
    <w:rsid w:val="00562AB1"/>
    <w:rsid w:val="00563198"/>
    <w:rsid w:val="0057488F"/>
    <w:rsid w:val="005816DE"/>
    <w:rsid w:val="00592A25"/>
    <w:rsid w:val="005B221B"/>
    <w:rsid w:val="005B2D1F"/>
    <w:rsid w:val="005B7569"/>
    <w:rsid w:val="005D3B37"/>
    <w:rsid w:val="005E4485"/>
    <w:rsid w:val="005F305A"/>
    <w:rsid w:val="005F4C2E"/>
    <w:rsid w:val="00606AFB"/>
    <w:rsid w:val="00610A61"/>
    <w:rsid w:val="0061634B"/>
    <w:rsid w:val="006202D9"/>
    <w:rsid w:val="006216DE"/>
    <w:rsid w:val="0062628E"/>
    <w:rsid w:val="00626631"/>
    <w:rsid w:val="00626B55"/>
    <w:rsid w:val="0063004A"/>
    <w:rsid w:val="00632734"/>
    <w:rsid w:val="00634D91"/>
    <w:rsid w:val="006419A9"/>
    <w:rsid w:val="00647D75"/>
    <w:rsid w:val="00652875"/>
    <w:rsid w:val="00652F59"/>
    <w:rsid w:val="00653B4A"/>
    <w:rsid w:val="006623DB"/>
    <w:rsid w:val="00676B5B"/>
    <w:rsid w:val="00682DB0"/>
    <w:rsid w:val="00684E2B"/>
    <w:rsid w:val="006B1930"/>
    <w:rsid w:val="006C0684"/>
    <w:rsid w:val="006C1784"/>
    <w:rsid w:val="006D0D2A"/>
    <w:rsid w:val="006D6830"/>
    <w:rsid w:val="006F0629"/>
    <w:rsid w:val="006F7ACA"/>
    <w:rsid w:val="0070048F"/>
    <w:rsid w:val="00702324"/>
    <w:rsid w:val="00703E5D"/>
    <w:rsid w:val="00727684"/>
    <w:rsid w:val="007315FB"/>
    <w:rsid w:val="0073282C"/>
    <w:rsid w:val="007429D6"/>
    <w:rsid w:val="00752731"/>
    <w:rsid w:val="00764541"/>
    <w:rsid w:val="007672B0"/>
    <w:rsid w:val="00767861"/>
    <w:rsid w:val="00786E88"/>
    <w:rsid w:val="00794228"/>
    <w:rsid w:val="007B6EC8"/>
    <w:rsid w:val="007C3748"/>
    <w:rsid w:val="007C4260"/>
    <w:rsid w:val="007C6CF1"/>
    <w:rsid w:val="007D564E"/>
    <w:rsid w:val="007D62B3"/>
    <w:rsid w:val="007E1B96"/>
    <w:rsid w:val="007E24CD"/>
    <w:rsid w:val="007E3575"/>
    <w:rsid w:val="007F2C12"/>
    <w:rsid w:val="007F6DFD"/>
    <w:rsid w:val="0080287A"/>
    <w:rsid w:val="00804CED"/>
    <w:rsid w:val="0081056F"/>
    <w:rsid w:val="00817554"/>
    <w:rsid w:val="00824DA8"/>
    <w:rsid w:val="008253BA"/>
    <w:rsid w:val="00826151"/>
    <w:rsid w:val="008410FC"/>
    <w:rsid w:val="008464C4"/>
    <w:rsid w:val="0086125A"/>
    <w:rsid w:val="00862CEA"/>
    <w:rsid w:val="00862D3A"/>
    <w:rsid w:val="00866D2A"/>
    <w:rsid w:val="008732AC"/>
    <w:rsid w:val="00873952"/>
    <w:rsid w:val="00876051"/>
    <w:rsid w:val="008850EA"/>
    <w:rsid w:val="0088554E"/>
    <w:rsid w:val="008907C8"/>
    <w:rsid w:val="00891F19"/>
    <w:rsid w:val="008A1C56"/>
    <w:rsid w:val="008B55CA"/>
    <w:rsid w:val="008B6817"/>
    <w:rsid w:val="008E5E8F"/>
    <w:rsid w:val="008F6BD4"/>
    <w:rsid w:val="008F7F44"/>
    <w:rsid w:val="009048BA"/>
    <w:rsid w:val="0091297F"/>
    <w:rsid w:val="00914E94"/>
    <w:rsid w:val="0092431B"/>
    <w:rsid w:val="0092507F"/>
    <w:rsid w:val="00934A14"/>
    <w:rsid w:val="00941F87"/>
    <w:rsid w:val="00950315"/>
    <w:rsid w:val="00955F71"/>
    <w:rsid w:val="00960A83"/>
    <w:rsid w:val="00963021"/>
    <w:rsid w:val="00970330"/>
    <w:rsid w:val="00976A7C"/>
    <w:rsid w:val="00981912"/>
    <w:rsid w:val="00992889"/>
    <w:rsid w:val="009A253C"/>
    <w:rsid w:val="009B7809"/>
    <w:rsid w:val="009C0C6D"/>
    <w:rsid w:val="009D5316"/>
    <w:rsid w:val="009E0386"/>
    <w:rsid w:val="009E237A"/>
    <w:rsid w:val="009E323E"/>
    <w:rsid w:val="009E6908"/>
    <w:rsid w:val="00A00871"/>
    <w:rsid w:val="00A03833"/>
    <w:rsid w:val="00A068BA"/>
    <w:rsid w:val="00A13D49"/>
    <w:rsid w:val="00A30D60"/>
    <w:rsid w:val="00A30ECF"/>
    <w:rsid w:val="00A34C40"/>
    <w:rsid w:val="00A35F93"/>
    <w:rsid w:val="00A3677E"/>
    <w:rsid w:val="00A36BBE"/>
    <w:rsid w:val="00A41BDF"/>
    <w:rsid w:val="00A440C0"/>
    <w:rsid w:val="00A5235E"/>
    <w:rsid w:val="00A531AE"/>
    <w:rsid w:val="00A57F15"/>
    <w:rsid w:val="00A7160C"/>
    <w:rsid w:val="00A739BA"/>
    <w:rsid w:val="00A7544D"/>
    <w:rsid w:val="00A93C9B"/>
    <w:rsid w:val="00A949C4"/>
    <w:rsid w:val="00AA3745"/>
    <w:rsid w:val="00AB7617"/>
    <w:rsid w:val="00AC7C5F"/>
    <w:rsid w:val="00AD025E"/>
    <w:rsid w:val="00AD5E60"/>
    <w:rsid w:val="00AD611E"/>
    <w:rsid w:val="00AF35A3"/>
    <w:rsid w:val="00AF3933"/>
    <w:rsid w:val="00AF7D40"/>
    <w:rsid w:val="00B0247D"/>
    <w:rsid w:val="00B11843"/>
    <w:rsid w:val="00B2194B"/>
    <w:rsid w:val="00B21952"/>
    <w:rsid w:val="00B50CEA"/>
    <w:rsid w:val="00B547D5"/>
    <w:rsid w:val="00B62405"/>
    <w:rsid w:val="00B666DA"/>
    <w:rsid w:val="00B74664"/>
    <w:rsid w:val="00BA19A2"/>
    <w:rsid w:val="00BA65B2"/>
    <w:rsid w:val="00BC59BF"/>
    <w:rsid w:val="00BD6746"/>
    <w:rsid w:val="00BD729B"/>
    <w:rsid w:val="00BE1211"/>
    <w:rsid w:val="00BF1E2E"/>
    <w:rsid w:val="00BF24C0"/>
    <w:rsid w:val="00BF6991"/>
    <w:rsid w:val="00C05261"/>
    <w:rsid w:val="00C16572"/>
    <w:rsid w:val="00C1668D"/>
    <w:rsid w:val="00C3572D"/>
    <w:rsid w:val="00C403C0"/>
    <w:rsid w:val="00C474E9"/>
    <w:rsid w:val="00C508D2"/>
    <w:rsid w:val="00C5371B"/>
    <w:rsid w:val="00C54D07"/>
    <w:rsid w:val="00C56328"/>
    <w:rsid w:val="00C56E01"/>
    <w:rsid w:val="00C62AD4"/>
    <w:rsid w:val="00C675B8"/>
    <w:rsid w:val="00C706E4"/>
    <w:rsid w:val="00C70D9B"/>
    <w:rsid w:val="00C74C11"/>
    <w:rsid w:val="00C75060"/>
    <w:rsid w:val="00C832DD"/>
    <w:rsid w:val="00C954E7"/>
    <w:rsid w:val="00C96185"/>
    <w:rsid w:val="00C97725"/>
    <w:rsid w:val="00CA1273"/>
    <w:rsid w:val="00CB6980"/>
    <w:rsid w:val="00CC6D99"/>
    <w:rsid w:val="00CD0154"/>
    <w:rsid w:val="00CD0E71"/>
    <w:rsid w:val="00CE5736"/>
    <w:rsid w:val="00CF56C7"/>
    <w:rsid w:val="00D12885"/>
    <w:rsid w:val="00D17BC1"/>
    <w:rsid w:val="00D43F82"/>
    <w:rsid w:val="00D43FAC"/>
    <w:rsid w:val="00D46841"/>
    <w:rsid w:val="00D50B2B"/>
    <w:rsid w:val="00D51C67"/>
    <w:rsid w:val="00D52025"/>
    <w:rsid w:val="00D53F87"/>
    <w:rsid w:val="00D623BF"/>
    <w:rsid w:val="00D62DC9"/>
    <w:rsid w:val="00D72272"/>
    <w:rsid w:val="00D8071E"/>
    <w:rsid w:val="00D82161"/>
    <w:rsid w:val="00DA547E"/>
    <w:rsid w:val="00DA622C"/>
    <w:rsid w:val="00DB1D98"/>
    <w:rsid w:val="00DB22F1"/>
    <w:rsid w:val="00DC1C3B"/>
    <w:rsid w:val="00DC1D11"/>
    <w:rsid w:val="00DD05B4"/>
    <w:rsid w:val="00DD16AF"/>
    <w:rsid w:val="00DD19A0"/>
    <w:rsid w:val="00DE7F5C"/>
    <w:rsid w:val="00DF38D1"/>
    <w:rsid w:val="00DF697E"/>
    <w:rsid w:val="00E029F6"/>
    <w:rsid w:val="00E11CC4"/>
    <w:rsid w:val="00E17E77"/>
    <w:rsid w:val="00E2167A"/>
    <w:rsid w:val="00E23EC4"/>
    <w:rsid w:val="00E35630"/>
    <w:rsid w:val="00E37CF0"/>
    <w:rsid w:val="00E42AA9"/>
    <w:rsid w:val="00E473C0"/>
    <w:rsid w:val="00E547E7"/>
    <w:rsid w:val="00E5519E"/>
    <w:rsid w:val="00E61074"/>
    <w:rsid w:val="00E64EF7"/>
    <w:rsid w:val="00E73B22"/>
    <w:rsid w:val="00E87C88"/>
    <w:rsid w:val="00E922B6"/>
    <w:rsid w:val="00E93BF2"/>
    <w:rsid w:val="00E94AC0"/>
    <w:rsid w:val="00EA45D0"/>
    <w:rsid w:val="00EB24E7"/>
    <w:rsid w:val="00EB41D4"/>
    <w:rsid w:val="00EB47BF"/>
    <w:rsid w:val="00EB5AAC"/>
    <w:rsid w:val="00EB6583"/>
    <w:rsid w:val="00EC5CA4"/>
    <w:rsid w:val="00EC6299"/>
    <w:rsid w:val="00EE4494"/>
    <w:rsid w:val="00EE763D"/>
    <w:rsid w:val="00EF73A5"/>
    <w:rsid w:val="00F00D97"/>
    <w:rsid w:val="00F10B39"/>
    <w:rsid w:val="00F24CB6"/>
    <w:rsid w:val="00F26EBF"/>
    <w:rsid w:val="00F304E0"/>
    <w:rsid w:val="00F422C9"/>
    <w:rsid w:val="00F525FC"/>
    <w:rsid w:val="00F53816"/>
    <w:rsid w:val="00F677CE"/>
    <w:rsid w:val="00F67D54"/>
    <w:rsid w:val="00F72EEB"/>
    <w:rsid w:val="00F769E9"/>
    <w:rsid w:val="00F779B9"/>
    <w:rsid w:val="00F8165B"/>
    <w:rsid w:val="00F854B4"/>
    <w:rsid w:val="00F91E6A"/>
    <w:rsid w:val="00F92D6A"/>
    <w:rsid w:val="00F939A1"/>
    <w:rsid w:val="00F94DA1"/>
    <w:rsid w:val="00F97CCF"/>
    <w:rsid w:val="00FC6182"/>
    <w:rsid w:val="00FD0C41"/>
    <w:rsid w:val="00FD590A"/>
    <w:rsid w:val="00FE04E4"/>
    <w:rsid w:val="00FE39D8"/>
    <w:rsid w:val="00FE4899"/>
    <w:rsid w:val="0109296A"/>
    <w:rsid w:val="013B283C"/>
    <w:rsid w:val="0169425B"/>
    <w:rsid w:val="023451AA"/>
    <w:rsid w:val="026671A5"/>
    <w:rsid w:val="028A0A85"/>
    <w:rsid w:val="02AB4AAB"/>
    <w:rsid w:val="02F33B95"/>
    <w:rsid w:val="034010A5"/>
    <w:rsid w:val="03661742"/>
    <w:rsid w:val="04313302"/>
    <w:rsid w:val="05072870"/>
    <w:rsid w:val="0573010F"/>
    <w:rsid w:val="06456E26"/>
    <w:rsid w:val="065956F8"/>
    <w:rsid w:val="066633DB"/>
    <w:rsid w:val="06F65CF6"/>
    <w:rsid w:val="07076AEB"/>
    <w:rsid w:val="07A01F75"/>
    <w:rsid w:val="08AD2E7A"/>
    <w:rsid w:val="09196057"/>
    <w:rsid w:val="09203CAD"/>
    <w:rsid w:val="097159D5"/>
    <w:rsid w:val="0B2B326E"/>
    <w:rsid w:val="0B486527"/>
    <w:rsid w:val="0B667A97"/>
    <w:rsid w:val="0B933DA9"/>
    <w:rsid w:val="0C780383"/>
    <w:rsid w:val="0C783D71"/>
    <w:rsid w:val="0CA91046"/>
    <w:rsid w:val="0CEF2F34"/>
    <w:rsid w:val="0DB871A0"/>
    <w:rsid w:val="0E882605"/>
    <w:rsid w:val="0EC949ED"/>
    <w:rsid w:val="0ECB7225"/>
    <w:rsid w:val="11141BBF"/>
    <w:rsid w:val="117952A2"/>
    <w:rsid w:val="11B83243"/>
    <w:rsid w:val="12207B56"/>
    <w:rsid w:val="125408AC"/>
    <w:rsid w:val="128F4CA7"/>
    <w:rsid w:val="12C93E95"/>
    <w:rsid w:val="12E9383E"/>
    <w:rsid w:val="13D53CD5"/>
    <w:rsid w:val="13F6610D"/>
    <w:rsid w:val="14203D8D"/>
    <w:rsid w:val="15C0666D"/>
    <w:rsid w:val="164F1301"/>
    <w:rsid w:val="170E5626"/>
    <w:rsid w:val="191F3EC6"/>
    <w:rsid w:val="19E807B5"/>
    <w:rsid w:val="1ACB2A34"/>
    <w:rsid w:val="1B164859"/>
    <w:rsid w:val="1D290B9F"/>
    <w:rsid w:val="1DF433D4"/>
    <w:rsid w:val="21B37E7E"/>
    <w:rsid w:val="21C17699"/>
    <w:rsid w:val="21D84B34"/>
    <w:rsid w:val="23D45DBF"/>
    <w:rsid w:val="2436593C"/>
    <w:rsid w:val="24FB1B51"/>
    <w:rsid w:val="2691638F"/>
    <w:rsid w:val="26C17BA6"/>
    <w:rsid w:val="277B6E4B"/>
    <w:rsid w:val="278B2C11"/>
    <w:rsid w:val="27A313F4"/>
    <w:rsid w:val="29211BA8"/>
    <w:rsid w:val="29494864"/>
    <w:rsid w:val="2954154E"/>
    <w:rsid w:val="29D67800"/>
    <w:rsid w:val="2A075A7C"/>
    <w:rsid w:val="2A0E242D"/>
    <w:rsid w:val="2A650961"/>
    <w:rsid w:val="2B286AFA"/>
    <w:rsid w:val="2C2E656A"/>
    <w:rsid w:val="2C7668E5"/>
    <w:rsid w:val="2E8B085A"/>
    <w:rsid w:val="2F4718D3"/>
    <w:rsid w:val="2FA20A05"/>
    <w:rsid w:val="31421BC5"/>
    <w:rsid w:val="31593B60"/>
    <w:rsid w:val="31AB2A25"/>
    <w:rsid w:val="3234114F"/>
    <w:rsid w:val="334A20BF"/>
    <w:rsid w:val="33AF1348"/>
    <w:rsid w:val="34003D80"/>
    <w:rsid w:val="342B306D"/>
    <w:rsid w:val="34616999"/>
    <w:rsid w:val="34D92ABF"/>
    <w:rsid w:val="34EB3887"/>
    <w:rsid w:val="34F229DC"/>
    <w:rsid w:val="35044605"/>
    <w:rsid w:val="35B679B7"/>
    <w:rsid w:val="35DB509E"/>
    <w:rsid w:val="363D4DFF"/>
    <w:rsid w:val="36AC522D"/>
    <w:rsid w:val="36DB763D"/>
    <w:rsid w:val="37267FDC"/>
    <w:rsid w:val="37AF39C9"/>
    <w:rsid w:val="38D36372"/>
    <w:rsid w:val="39551003"/>
    <w:rsid w:val="39802468"/>
    <w:rsid w:val="399E62C2"/>
    <w:rsid w:val="3A5948CF"/>
    <w:rsid w:val="3AED3879"/>
    <w:rsid w:val="3B333228"/>
    <w:rsid w:val="3BD6615C"/>
    <w:rsid w:val="3C652B7D"/>
    <w:rsid w:val="3CD52830"/>
    <w:rsid w:val="3D33018C"/>
    <w:rsid w:val="3DCE4EA1"/>
    <w:rsid w:val="3E1E0F45"/>
    <w:rsid w:val="3E884DA9"/>
    <w:rsid w:val="3EAB6B52"/>
    <w:rsid w:val="3ECC1996"/>
    <w:rsid w:val="3EE91F86"/>
    <w:rsid w:val="3F0E61B1"/>
    <w:rsid w:val="3F433A25"/>
    <w:rsid w:val="3FD15883"/>
    <w:rsid w:val="40327C19"/>
    <w:rsid w:val="40651297"/>
    <w:rsid w:val="40EB53B1"/>
    <w:rsid w:val="410658F0"/>
    <w:rsid w:val="413A2E00"/>
    <w:rsid w:val="4163038A"/>
    <w:rsid w:val="41851BEA"/>
    <w:rsid w:val="428023A9"/>
    <w:rsid w:val="433C692E"/>
    <w:rsid w:val="43442F88"/>
    <w:rsid w:val="43807C5E"/>
    <w:rsid w:val="43A109D8"/>
    <w:rsid w:val="43CE0B9E"/>
    <w:rsid w:val="44EF7AFA"/>
    <w:rsid w:val="453644CB"/>
    <w:rsid w:val="478560B7"/>
    <w:rsid w:val="48007EBC"/>
    <w:rsid w:val="48DC0A0C"/>
    <w:rsid w:val="49FD01C6"/>
    <w:rsid w:val="4A007002"/>
    <w:rsid w:val="4AA946C1"/>
    <w:rsid w:val="4C004F89"/>
    <w:rsid w:val="4C1F0FF4"/>
    <w:rsid w:val="4C643EA1"/>
    <w:rsid w:val="4CB8069B"/>
    <w:rsid w:val="4CDE61B4"/>
    <w:rsid w:val="4E1E6A3B"/>
    <w:rsid w:val="4F332287"/>
    <w:rsid w:val="50A009F6"/>
    <w:rsid w:val="52912A94"/>
    <w:rsid w:val="52C01C8C"/>
    <w:rsid w:val="52E96ACE"/>
    <w:rsid w:val="542D0F8A"/>
    <w:rsid w:val="55CF5535"/>
    <w:rsid w:val="56622ECE"/>
    <w:rsid w:val="570C591B"/>
    <w:rsid w:val="57EC1461"/>
    <w:rsid w:val="582C6F5D"/>
    <w:rsid w:val="586719B7"/>
    <w:rsid w:val="5A2B6F5A"/>
    <w:rsid w:val="5BB50FDC"/>
    <w:rsid w:val="5CA4636C"/>
    <w:rsid w:val="5CFD45C0"/>
    <w:rsid w:val="5D430826"/>
    <w:rsid w:val="5D703ADA"/>
    <w:rsid w:val="5DD730E6"/>
    <w:rsid w:val="5EF34D49"/>
    <w:rsid w:val="5F7D21C1"/>
    <w:rsid w:val="5FD03E36"/>
    <w:rsid w:val="60965AD5"/>
    <w:rsid w:val="621F4D6B"/>
    <w:rsid w:val="622402AC"/>
    <w:rsid w:val="62D03C02"/>
    <w:rsid w:val="63076984"/>
    <w:rsid w:val="6333673C"/>
    <w:rsid w:val="635B65F2"/>
    <w:rsid w:val="63D37293"/>
    <w:rsid w:val="641D50DB"/>
    <w:rsid w:val="642F073C"/>
    <w:rsid w:val="64820BE0"/>
    <w:rsid w:val="65764500"/>
    <w:rsid w:val="65852EB3"/>
    <w:rsid w:val="65CF29F8"/>
    <w:rsid w:val="66BE0D19"/>
    <w:rsid w:val="674352C2"/>
    <w:rsid w:val="67551B87"/>
    <w:rsid w:val="69130239"/>
    <w:rsid w:val="694124D4"/>
    <w:rsid w:val="6994643C"/>
    <w:rsid w:val="69961813"/>
    <w:rsid w:val="6A4F333D"/>
    <w:rsid w:val="6A717F31"/>
    <w:rsid w:val="6AAD219F"/>
    <w:rsid w:val="6B077198"/>
    <w:rsid w:val="6B0B7DF0"/>
    <w:rsid w:val="6B22365D"/>
    <w:rsid w:val="6B617CBD"/>
    <w:rsid w:val="6C3D106F"/>
    <w:rsid w:val="6E532B96"/>
    <w:rsid w:val="6EB02EFB"/>
    <w:rsid w:val="6F421870"/>
    <w:rsid w:val="6F6E6497"/>
    <w:rsid w:val="6FDC4E31"/>
    <w:rsid w:val="6FE45727"/>
    <w:rsid w:val="6FF729FF"/>
    <w:rsid w:val="7009761D"/>
    <w:rsid w:val="702C51A4"/>
    <w:rsid w:val="70316CBF"/>
    <w:rsid w:val="70613D50"/>
    <w:rsid w:val="707D04D9"/>
    <w:rsid w:val="710014C3"/>
    <w:rsid w:val="71C40F73"/>
    <w:rsid w:val="71D975AF"/>
    <w:rsid w:val="72A40712"/>
    <w:rsid w:val="757C6F29"/>
    <w:rsid w:val="7627463E"/>
    <w:rsid w:val="76700310"/>
    <w:rsid w:val="769D2863"/>
    <w:rsid w:val="76A97089"/>
    <w:rsid w:val="770A4BD9"/>
    <w:rsid w:val="781F6AFC"/>
    <w:rsid w:val="78B50350"/>
    <w:rsid w:val="78CD4E5F"/>
    <w:rsid w:val="7935551A"/>
    <w:rsid w:val="796A5E75"/>
    <w:rsid w:val="79A7216C"/>
    <w:rsid w:val="7A2B1797"/>
    <w:rsid w:val="7B1C3B6E"/>
    <w:rsid w:val="7BB01653"/>
    <w:rsid w:val="7C4438E5"/>
    <w:rsid w:val="7DDD3F5E"/>
    <w:rsid w:val="7DE151F4"/>
    <w:rsid w:val="7EC65CB3"/>
    <w:rsid w:val="7FCA4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semiHidden="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0"/>
    <w:pPr>
      <w:keepNext/>
      <w:keepLines/>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0"/>
    <w:pPr>
      <w:keepNext/>
      <w:keepLines/>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0"/>
    <w:pPr>
      <w:keepNext/>
      <w:keepLines/>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9"/>
    <w:pPr>
      <w:keepNext/>
      <w:keepLines/>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0"/>
    <w:pPr>
      <w:numPr>
        <w:ilvl w:val="4"/>
        <w:numId w:val="1"/>
      </w:numPr>
      <w:tabs>
        <w:tab w:val="left" w:pos="1134"/>
      </w:tabs>
      <w:spacing w:before="280" w:after="290" w:line="360" w:lineRule="auto"/>
      <w:outlineLvl w:val="4"/>
    </w:pPr>
    <w:rPr>
      <w:b/>
      <w:bCs/>
      <w:kern w:val="0"/>
      <w:sz w:val="28"/>
      <w:szCs w:val="28"/>
    </w:rPr>
  </w:style>
  <w:style w:type="paragraph" w:styleId="8">
    <w:name w:val="heading 6"/>
    <w:basedOn w:val="1"/>
    <w:next w:val="1"/>
    <w:link w:val="55"/>
    <w:unhideWhenUsed/>
    <w:qFormat/>
    <w:uiPriority w:val="0"/>
    <w:pPr>
      <w:keepNext/>
      <w:keepLines/>
      <w:numPr>
        <w:ilvl w:val="5"/>
        <w:numId w:val="1"/>
      </w:numPr>
      <w:spacing w:before="240" w:after="64" w:line="314" w:lineRule="auto"/>
      <w:outlineLvl w:val="5"/>
    </w:pPr>
    <w:rPr>
      <w:rFonts w:ascii="Arial" w:hAnsi="Arial"/>
      <w:b/>
      <w:bCs/>
      <w:kern w:val="0"/>
      <w:sz w:val="28"/>
      <w:szCs w:val="18"/>
    </w:rPr>
  </w:style>
  <w:style w:type="paragraph" w:styleId="9">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w:basedOn w:val="1"/>
    <w:next w:val="1"/>
    <w:link w:val="183"/>
    <w:unhideWhenUsed/>
    <w:qFormat/>
    <w:uiPriority w:val="0"/>
    <w:pPr>
      <w:spacing w:after="120"/>
    </w:pPr>
    <w:rPr>
      <w:rFonts w:ascii="Times New Roman" w:hAnsi="Times New Roman"/>
      <w:kern w:val="0"/>
      <w:sz w:val="20"/>
      <w:szCs w:val="20"/>
    </w:rPr>
  </w:style>
  <w:style w:type="paragraph" w:styleId="12">
    <w:name w:val="toc 7"/>
    <w:basedOn w:val="1"/>
    <w:next w:val="1"/>
    <w:semiHidden/>
    <w:unhideWhenUsed/>
    <w:qFormat/>
    <w:uiPriority w:val="0"/>
    <w:pPr>
      <w:ind w:left="2520" w:leftChars="1200"/>
    </w:pPr>
    <w:rPr>
      <w:rFonts w:ascii="Times New Roman" w:hAnsi="Times New Roman"/>
      <w:szCs w:val="24"/>
    </w:rPr>
  </w:style>
  <w:style w:type="paragraph" w:styleId="13">
    <w:name w:val="Normal Indent"/>
    <w:basedOn w:val="1"/>
    <w:link w:val="63"/>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7"/>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196"/>
    <w:unhideWhenUsed/>
    <w:qFormat/>
    <w:uiPriority w:val="99"/>
    <w:pPr>
      <w:jc w:val="left"/>
    </w:pPr>
  </w:style>
  <w:style w:type="paragraph" w:styleId="17">
    <w:name w:val="Body Text 3"/>
    <w:basedOn w:val="1"/>
    <w:link w:val="74"/>
    <w:semiHidden/>
    <w:unhideWhenUsed/>
    <w:qFormat/>
    <w:uiPriority w:val="0"/>
    <w:pPr>
      <w:jc w:val="center"/>
    </w:pPr>
    <w:rPr>
      <w:rFonts w:ascii="Times New Roman" w:hAnsi="Times New Roman" w:eastAsia="黑体"/>
      <w:sz w:val="44"/>
      <w:szCs w:val="24"/>
    </w:rPr>
  </w:style>
  <w:style w:type="paragraph" w:styleId="18">
    <w:name w:val="Body Text Indent"/>
    <w:basedOn w:val="1"/>
    <w:link w:val="69"/>
    <w:semiHidden/>
    <w:unhideWhenUsed/>
    <w:qFormat/>
    <w:uiPriority w:val="0"/>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0"/>
    <w:pPr>
      <w:ind w:left="1680" w:leftChars="800"/>
    </w:pPr>
    <w:rPr>
      <w:rFonts w:ascii="Times New Roman" w:hAnsi="Times New Roman"/>
      <w:sz w:val="18"/>
      <w:szCs w:val="18"/>
    </w:rPr>
  </w:style>
  <w:style w:type="paragraph" w:styleId="21">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87"/>
    <w:unhideWhenUsed/>
    <w:qFormat/>
    <w:uiPriority w:val="0"/>
    <w:rPr>
      <w:rFonts w:ascii="宋体" w:hAnsi="Courier New"/>
      <w:kern w:val="0"/>
      <w:sz w:val="20"/>
      <w:szCs w:val="18"/>
    </w:rPr>
  </w:style>
  <w:style w:type="paragraph" w:styleId="23">
    <w:name w:val="toc 8"/>
    <w:basedOn w:val="1"/>
    <w:next w:val="1"/>
    <w:semiHidden/>
    <w:unhideWhenUsed/>
    <w:qFormat/>
    <w:uiPriority w:val="0"/>
    <w:pPr>
      <w:ind w:left="2940" w:leftChars="1400"/>
    </w:pPr>
    <w:rPr>
      <w:rFonts w:ascii="Times New Roman" w:hAnsi="Times New Roman"/>
      <w:szCs w:val="24"/>
    </w:rPr>
  </w:style>
  <w:style w:type="paragraph" w:styleId="24">
    <w:name w:val="Date"/>
    <w:basedOn w:val="1"/>
    <w:next w:val="1"/>
    <w:link w:val="71"/>
    <w:unhideWhenUsed/>
    <w:qFormat/>
    <w:uiPriority w:val="99"/>
    <w:pPr>
      <w:ind w:left="100" w:leftChars="2500"/>
    </w:pPr>
    <w:rPr>
      <w:rFonts w:ascii="Times New Roman" w:hAnsi="Times New Roman"/>
      <w:kern w:val="0"/>
      <w:sz w:val="24"/>
      <w:szCs w:val="24"/>
    </w:rPr>
  </w:style>
  <w:style w:type="paragraph" w:styleId="25">
    <w:name w:val="Body Text Indent 2"/>
    <w:basedOn w:val="1"/>
    <w:link w:val="75"/>
    <w:semiHidden/>
    <w:unhideWhenUsed/>
    <w:qFormat/>
    <w:uiPriority w:val="0"/>
    <w:pPr>
      <w:spacing w:after="120" w:line="480" w:lineRule="auto"/>
      <w:ind w:left="420" w:leftChars="200"/>
    </w:pPr>
    <w:rPr>
      <w:rFonts w:ascii="Times New Roman" w:hAnsi="Times New Roman"/>
      <w:kern w:val="0"/>
      <w:sz w:val="20"/>
      <w:szCs w:val="20"/>
    </w:rPr>
  </w:style>
  <w:style w:type="paragraph" w:styleId="26">
    <w:name w:val="Balloon Text"/>
    <w:basedOn w:val="1"/>
    <w:link w:val="80"/>
    <w:unhideWhenUsed/>
    <w:qFormat/>
    <w:uiPriority w:val="99"/>
    <w:rPr>
      <w:rFonts w:ascii="Times New Roman" w:hAnsi="Times New Roman"/>
      <w:kern w:val="0"/>
      <w:sz w:val="18"/>
      <w:szCs w:val="18"/>
    </w:rPr>
  </w:style>
  <w:style w:type="paragraph" w:styleId="27">
    <w:name w:val="footer"/>
    <w:basedOn w:val="1"/>
    <w:link w:val="67"/>
    <w:unhideWhenUsed/>
    <w:qFormat/>
    <w:uiPriority w:val="99"/>
    <w:pPr>
      <w:tabs>
        <w:tab w:val="center" w:pos="4153"/>
        <w:tab w:val="right" w:pos="8306"/>
      </w:tabs>
      <w:snapToGrid w:val="0"/>
      <w:jc w:val="left"/>
    </w:pPr>
    <w:rPr>
      <w:kern w:val="0"/>
      <w:sz w:val="18"/>
      <w:szCs w:val="18"/>
    </w:rPr>
  </w:style>
  <w:style w:type="paragraph" w:styleId="28">
    <w:name w:val="header"/>
    <w:basedOn w:val="1"/>
    <w:link w:val="6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0"/>
    <w:pPr>
      <w:ind w:left="1260" w:leftChars="600"/>
    </w:pPr>
    <w:rPr>
      <w:rFonts w:ascii="Times New Roman" w:hAnsi="Times New Roman"/>
      <w:sz w:val="18"/>
      <w:szCs w:val="18"/>
    </w:rPr>
  </w:style>
  <w:style w:type="paragraph" w:styleId="31">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4"/>
    <w:semiHidden/>
    <w:unhideWhenUsed/>
    <w:qFormat/>
    <w:uiPriority w:val="0"/>
    <w:pPr>
      <w:snapToGrid w:val="0"/>
      <w:jc w:val="left"/>
    </w:pPr>
    <w:rPr>
      <w:sz w:val="18"/>
      <w:szCs w:val="18"/>
    </w:rPr>
  </w:style>
  <w:style w:type="paragraph" w:styleId="33">
    <w:name w:val="toc 6"/>
    <w:basedOn w:val="1"/>
    <w:next w:val="1"/>
    <w:semiHidden/>
    <w:unhideWhenUsed/>
    <w:qFormat/>
    <w:uiPriority w:val="0"/>
    <w:pPr>
      <w:ind w:left="2100" w:leftChars="1000"/>
    </w:pPr>
    <w:rPr>
      <w:rFonts w:ascii="Times New Roman" w:hAnsi="Times New Roman"/>
      <w:szCs w:val="24"/>
    </w:rPr>
  </w:style>
  <w:style w:type="paragraph" w:styleId="34">
    <w:name w:val="Body Text Indent 3"/>
    <w:basedOn w:val="1"/>
    <w:link w:val="76"/>
    <w:semiHidden/>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0"/>
    <w:pPr>
      <w:ind w:left="3360" w:leftChars="1600"/>
    </w:pPr>
    <w:rPr>
      <w:rFonts w:ascii="Times New Roman" w:hAnsi="Times New Roman"/>
      <w:szCs w:val="24"/>
    </w:rPr>
  </w:style>
  <w:style w:type="paragraph" w:styleId="37">
    <w:name w:val="Body Text 2"/>
    <w:basedOn w:val="1"/>
    <w:link w:val="73"/>
    <w:semiHidden/>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pPr>
    <w:rPr>
      <w:rFonts w:ascii="Arial" w:hAnsi="Arial" w:cs="Arial"/>
      <w:kern w:val="0"/>
      <w:sz w:val="24"/>
      <w:szCs w:val="28"/>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semiHidden/>
    <w:unhideWhenUsed/>
    <w:qFormat/>
    <w:uiPriority w:val="0"/>
    <w:pPr>
      <w:ind w:firstLine="560" w:firstLineChars="200"/>
    </w:pPr>
    <w:rPr>
      <w:rFonts w:ascii="宋体" w:hAnsi="宋体" w:cs="宋体"/>
      <w:sz w:val="28"/>
      <w:szCs w:val="28"/>
    </w:rPr>
  </w:style>
  <w:style w:type="paragraph" w:styleId="41">
    <w:name w:val="annotation subject"/>
    <w:basedOn w:val="16"/>
    <w:next w:val="16"/>
    <w:link w:val="79"/>
    <w:unhideWhenUsed/>
    <w:qFormat/>
    <w:uiPriority w:val="99"/>
    <w:rPr>
      <w:b/>
      <w:bCs/>
    </w:rPr>
  </w:style>
  <w:style w:type="paragraph" w:styleId="42">
    <w:name w:val="Body Text First Indent"/>
    <w:basedOn w:val="2"/>
    <w:link w:val="72"/>
    <w:semiHidden/>
    <w:unhideWhenUsed/>
    <w:qFormat/>
    <w:uiPriority w:val="0"/>
    <w:pPr>
      <w:ind w:firstLine="420" w:firstLineChars="100"/>
    </w:pPr>
    <w:rPr>
      <w:sz w:val="18"/>
      <w:szCs w:val="18"/>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6">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Char"/>
    <w:basedOn w:val="45"/>
    <w:link w:val="3"/>
    <w:qFormat/>
    <w:uiPriority w:val="99"/>
    <w:rPr>
      <w:rFonts w:ascii="宋体" w:hAnsi="宋体" w:eastAsia="宋体" w:cs="宋体"/>
      <w:b/>
      <w:bCs/>
      <w:spacing w:val="-20"/>
      <w:kern w:val="44"/>
      <w:sz w:val="32"/>
      <w:szCs w:val="32"/>
    </w:rPr>
  </w:style>
  <w:style w:type="character" w:customStyle="1" w:styleId="51">
    <w:name w:val="标题 2 Char"/>
    <w:basedOn w:val="45"/>
    <w:link w:val="4"/>
    <w:qFormat/>
    <w:uiPriority w:val="99"/>
    <w:rPr>
      <w:rFonts w:ascii="宋体" w:hAnsi="宋体" w:eastAsia="宋体" w:cs="宋体"/>
      <w:b/>
      <w:bCs/>
      <w:sz w:val="28"/>
      <w:szCs w:val="28"/>
    </w:rPr>
  </w:style>
  <w:style w:type="character" w:customStyle="1" w:styleId="52">
    <w:name w:val="标题 3 Char"/>
    <w:basedOn w:val="45"/>
    <w:link w:val="5"/>
    <w:qFormat/>
    <w:uiPriority w:val="99"/>
    <w:rPr>
      <w:rFonts w:ascii="宋体" w:hAnsi="宋体" w:eastAsia="宋体" w:cs="宋体"/>
      <w:b/>
      <w:bCs/>
      <w:color w:val="000000"/>
      <w:kern w:val="0"/>
      <w:sz w:val="28"/>
      <w:szCs w:val="28"/>
    </w:rPr>
  </w:style>
  <w:style w:type="character" w:customStyle="1" w:styleId="53">
    <w:name w:val="标题 4 Char"/>
    <w:basedOn w:val="45"/>
    <w:link w:val="6"/>
    <w:qFormat/>
    <w:uiPriority w:val="9"/>
    <w:rPr>
      <w:rFonts w:ascii="Arial" w:hAnsi="Arial" w:eastAsia="宋体" w:cs="Times New Roman"/>
      <w:b/>
      <w:bCs/>
      <w:kern w:val="0"/>
      <w:sz w:val="28"/>
      <w:szCs w:val="28"/>
    </w:rPr>
  </w:style>
  <w:style w:type="character" w:customStyle="1" w:styleId="54">
    <w:name w:val="标题 5 Char"/>
    <w:basedOn w:val="45"/>
    <w:link w:val="7"/>
    <w:qFormat/>
    <w:uiPriority w:val="0"/>
    <w:rPr>
      <w:rFonts w:ascii="Calibri" w:hAnsi="Calibri" w:eastAsia="宋体" w:cs="Times New Roman"/>
      <w:b/>
      <w:bCs/>
      <w:kern w:val="0"/>
      <w:sz w:val="28"/>
      <w:szCs w:val="28"/>
    </w:rPr>
  </w:style>
  <w:style w:type="character" w:customStyle="1" w:styleId="55">
    <w:name w:val="标题 6 Char"/>
    <w:basedOn w:val="45"/>
    <w:link w:val="8"/>
    <w:qFormat/>
    <w:uiPriority w:val="0"/>
    <w:rPr>
      <w:rFonts w:ascii="Arial" w:hAnsi="Arial" w:eastAsia="宋体" w:cs="Times New Roman"/>
      <w:b/>
      <w:bCs/>
      <w:kern w:val="0"/>
      <w:sz w:val="28"/>
      <w:szCs w:val="18"/>
    </w:rPr>
  </w:style>
  <w:style w:type="character" w:customStyle="1" w:styleId="56">
    <w:name w:val="标题 7 Char"/>
    <w:basedOn w:val="45"/>
    <w:link w:val="9"/>
    <w:qFormat/>
    <w:uiPriority w:val="0"/>
    <w:rPr>
      <w:rFonts w:ascii="Arial Narrow" w:hAnsi="Arial Narrow" w:eastAsia="宋体" w:cs="Times New Roman"/>
      <w:b/>
      <w:bCs/>
      <w:iCs/>
      <w:kern w:val="0"/>
      <w:sz w:val="20"/>
      <w:szCs w:val="24"/>
      <w:lang w:eastAsia="en-US"/>
    </w:rPr>
  </w:style>
  <w:style w:type="character" w:customStyle="1" w:styleId="57">
    <w:name w:val="标题 8 Char"/>
    <w:basedOn w:val="45"/>
    <w:link w:val="10"/>
    <w:semiHidden/>
    <w:qFormat/>
    <w:uiPriority w:val="0"/>
    <w:rPr>
      <w:rFonts w:ascii="Arial" w:hAnsi="Arial" w:eastAsia="黑体" w:cs="Times New Roman"/>
      <w:kern w:val="0"/>
      <w:sz w:val="24"/>
      <w:szCs w:val="24"/>
    </w:rPr>
  </w:style>
  <w:style w:type="character" w:customStyle="1" w:styleId="58">
    <w:name w:val="标题 9 Char"/>
    <w:basedOn w:val="45"/>
    <w:link w:val="11"/>
    <w:semiHidden/>
    <w:qFormat/>
    <w:uiPriority w:val="0"/>
    <w:rPr>
      <w:rFonts w:ascii="Arial" w:hAnsi="Arial" w:eastAsia="黑体" w:cs="Times New Roman"/>
      <w:kern w:val="0"/>
      <w:sz w:val="20"/>
      <w:szCs w:val="21"/>
    </w:rPr>
  </w:style>
  <w:style w:type="character" w:customStyle="1" w:styleId="59">
    <w:name w:val="标题 1 Char1"/>
    <w:qFormat/>
    <w:uiPriority w:val="0"/>
    <w:rPr>
      <w:b/>
      <w:bCs/>
      <w:kern w:val="44"/>
      <w:sz w:val="44"/>
      <w:szCs w:val="44"/>
    </w:rPr>
  </w:style>
  <w:style w:type="character" w:customStyle="1" w:styleId="60">
    <w:name w:val="标题 2 Char1"/>
    <w:basedOn w:val="45"/>
    <w:semiHidden/>
    <w:qFormat/>
    <w:uiPriority w:val="99"/>
    <w:rPr>
      <w:rFonts w:asciiTheme="majorHAnsi" w:hAnsiTheme="majorHAnsi" w:eastAsiaTheme="majorEastAsia" w:cstheme="majorBidi"/>
      <w:b/>
      <w:bCs/>
      <w:kern w:val="2"/>
      <w:sz w:val="32"/>
      <w:szCs w:val="32"/>
    </w:rPr>
  </w:style>
  <w:style w:type="character" w:customStyle="1" w:styleId="61">
    <w:name w:val="标题 3 Char1"/>
    <w:basedOn w:val="45"/>
    <w:semiHidden/>
    <w:qFormat/>
    <w:uiPriority w:val="99"/>
    <w:rPr>
      <w:rFonts w:ascii="Calibri" w:hAnsi="Calibri"/>
      <w:b/>
      <w:bCs/>
      <w:kern w:val="2"/>
      <w:sz w:val="32"/>
      <w:szCs w:val="32"/>
    </w:rPr>
  </w:style>
  <w:style w:type="character" w:customStyle="1" w:styleId="62">
    <w:name w:val="标题 4 Char1"/>
    <w:basedOn w:val="45"/>
    <w:semiHidden/>
    <w:qFormat/>
    <w:uiPriority w:val="9"/>
    <w:rPr>
      <w:rFonts w:asciiTheme="majorHAnsi" w:hAnsiTheme="majorHAnsi" w:eastAsiaTheme="majorEastAsia" w:cstheme="majorBidi"/>
      <w:b/>
      <w:bCs/>
      <w:kern w:val="2"/>
      <w:sz w:val="28"/>
      <w:szCs w:val="28"/>
    </w:rPr>
  </w:style>
  <w:style w:type="character" w:customStyle="1" w:styleId="63">
    <w:name w:val="正文缩进 Char1"/>
    <w:link w:val="13"/>
    <w:qFormat/>
    <w:locked/>
    <w:uiPriority w:val="0"/>
  </w:style>
  <w:style w:type="character" w:customStyle="1" w:styleId="64">
    <w:name w:val="脚注文本 Char"/>
    <w:basedOn w:val="45"/>
    <w:link w:val="32"/>
    <w:semiHidden/>
    <w:qFormat/>
    <w:uiPriority w:val="0"/>
    <w:rPr>
      <w:rFonts w:ascii="Calibri" w:hAnsi="Calibri" w:eastAsia="宋体" w:cs="Times New Roman"/>
      <w:sz w:val="18"/>
      <w:szCs w:val="18"/>
    </w:rPr>
  </w:style>
  <w:style w:type="character" w:customStyle="1" w:styleId="65">
    <w:name w:val="批注文字 Char"/>
    <w:basedOn w:val="45"/>
    <w:semiHidden/>
    <w:qFormat/>
    <w:uiPriority w:val="99"/>
    <w:rPr>
      <w:rFonts w:ascii="Calibri" w:hAnsi="Calibri" w:eastAsia="宋体" w:cs="Times New Roman"/>
    </w:rPr>
  </w:style>
  <w:style w:type="character" w:customStyle="1" w:styleId="66">
    <w:name w:val="页眉 Char"/>
    <w:basedOn w:val="45"/>
    <w:link w:val="28"/>
    <w:qFormat/>
    <w:uiPriority w:val="99"/>
    <w:rPr>
      <w:rFonts w:ascii="Calibri" w:hAnsi="Calibri" w:eastAsia="宋体" w:cs="Times New Roman"/>
      <w:kern w:val="0"/>
      <w:sz w:val="18"/>
      <w:szCs w:val="18"/>
    </w:rPr>
  </w:style>
  <w:style w:type="character" w:customStyle="1" w:styleId="67">
    <w:name w:val="页脚 Char"/>
    <w:basedOn w:val="45"/>
    <w:link w:val="27"/>
    <w:qFormat/>
    <w:uiPriority w:val="99"/>
    <w:rPr>
      <w:rFonts w:ascii="Calibri" w:hAnsi="Calibri" w:eastAsia="宋体" w:cs="Times New Roman"/>
      <w:kern w:val="0"/>
      <w:sz w:val="18"/>
      <w:szCs w:val="18"/>
    </w:rPr>
  </w:style>
  <w:style w:type="character" w:customStyle="1" w:styleId="68">
    <w:name w:val="正文文本 Char"/>
    <w:basedOn w:val="45"/>
    <w:qFormat/>
    <w:uiPriority w:val="99"/>
    <w:rPr>
      <w:rFonts w:ascii="Calibri" w:hAnsi="Calibri" w:eastAsia="宋体" w:cs="Times New Roman"/>
    </w:rPr>
  </w:style>
  <w:style w:type="character" w:customStyle="1" w:styleId="69">
    <w:name w:val="正文文本缩进 Char"/>
    <w:basedOn w:val="45"/>
    <w:link w:val="18"/>
    <w:semiHidden/>
    <w:qFormat/>
    <w:uiPriority w:val="0"/>
    <w:rPr>
      <w:rFonts w:ascii="Times New Roman" w:hAnsi="Times New Roman" w:eastAsia="宋体" w:cs="Times New Roman"/>
      <w:kern w:val="0"/>
      <w:sz w:val="20"/>
      <w:szCs w:val="24"/>
    </w:rPr>
  </w:style>
  <w:style w:type="character" w:customStyle="1" w:styleId="70">
    <w:name w:val="副标题 Char"/>
    <w:basedOn w:val="45"/>
    <w:link w:val="31"/>
    <w:qFormat/>
    <w:uiPriority w:val="0"/>
    <w:rPr>
      <w:rFonts w:ascii="Cambria" w:hAnsi="Cambria" w:eastAsia="宋体" w:cs="Times New Roman"/>
      <w:b/>
      <w:bCs/>
      <w:kern w:val="28"/>
      <w:sz w:val="32"/>
      <w:szCs w:val="32"/>
    </w:rPr>
  </w:style>
  <w:style w:type="character" w:customStyle="1" w:styleId="71">
    <w:name w:val="日期 Char"/>
    <w:basedOn w:val="45"/>
    <w:link w:val="24"/>
    <w:qFormat/>
    <w:uiPriority w:val="99"/>
    <w:rPr>
      <w:rFonts w:ascii="Times New Roman" w:hAnsi="Times New Roman" w:eastAsia="宋体" w:cs="Times New Roman"/>
      <w:kern w:val="0"/>
      <w:sz w:val="24"/>
      <w:szCs w:val="24"/>
    </w:rPr>
  </w:style>
  <w:style w:type="character" w:customStyle="1" w:styleId="72">
    <w:name w:val="正文首行缩进 Char"/>
    <w:basedOn w:val="68"/>
    <w:link w:val="42"/>
    <w:semiHidden/>
    <w:qFormat/>
    <w:uiPriority w:val="0"/>
    <w:rPr>
      <w:rFonts w:ascii="Times New Roman" w:hAnsi="Times New Roman" w:eastAsia="宋体" w:cs="Times New Roman"/>
      <w:kern w:val="0"/>
      <w:sz w:val="18"/>
      <w:szCs w:val="18"/>
    </w:rPr>
  </w:style>
  <w:style w:type="character" w:customStyle="1" w:styleId="73">
    <w:name w:val="正文文本 2 Char"/>
    <w:basedOn w:val="45"/>
    <w:link w:val="37"/>
    <w:semiHidden/>
    <w:qFormat/>
    <w:uiPriority w:val="0"/>
    <w:rPr>
      <w:rFonts w:ascii="Times New Roman" w:hAnsi="Times New Roman" w:eastAsia="宋体" w:cs="Times New Roman"/>
      <w:kern w:val="0"/>
      <w:sz w:val="18"/>
      <w:szCs w:val="18"/>
    </w:rPr>
  </w:style>
  <w:style w:type="character" w:customStyle="1" w:styleId="74">
    <w:name w:val="正文文本 3 Char"/>
    <w:basedOn w:val="45"/>
    <w:link w:val="17"/>
    <w:semiHidden/>
    <w:qFormat/>
    <w:uiPriority w:val="0"/>
    <w:rPr>
      <w:rFonts w:ascii="Times New Roman" w:hAnsi="Times New Roman" w:eastAsia="黑体" w:cs="Times New Roman"/>
      <w:sz w:val="44"/>
      <w:szCs w:val="24"/>
    </w:rPr>
  </w:style>
  <w:style w:type="character" w:customStyle="1" w:styleId="75">
    <w:name w:val="正文文本缩进 2 Char"/>
    <w:basedOn w:val="45"/>
    <w:link w:val="25"/>
    <w:semiHidden/>
    <w:qFormat/>
    <w:uiPriority w:val="0"/>
    <w:rPr>
      <w:rFonts w:ascii="Times New Roman" w:hAnsi="Times New Roman" w:eastAsia="宋体" w:cs="Times New Roman"/>
      <w:kern w:val="0"/>
      <w:sz w:val="20"/>
      <w:szCs w:val="20"/>
    </w:rPr>
  </w:style>
  <w:style w:type="character" w:customStyle="1" w:styleId="76">
    <w:name w:val="正文文本缩进 3 Char"/>
    <w:basedOn w:val="45"/>
    <w:link w:val="34"/>
    <w:semiHidden/>
    <w:qFormat/>
    <w:uiPriority w:val="0"/>
    <w:rPr>
      <w:rFonts w:ascii="宋体" w:hAnsi="宋体" w:eastAsia="宋体" w:cs="Times New Roman"/>
      <w:kern w:val="0"/>
      <w:sz w:val="28"/>
      <w:szCs w:val="28"/>
    </w:rPr>
  </w:style>
  <w:style w:type="character" w:customStyle="1" w:styleId="77">
    <w:name w:val="文档结构图 Char"/>
    <w:basedOn w:val="45"/>
    <w:link w:val="15"/>
    <w:qFormat/>
    <w:uiPriority w:val="99"/>
    <w:rPr>
      <w:rFonts w:ascii="Times New Roman" w:hAnsi="Times New Roman" w:eastAsia="宋体" w:cs="Times New Roman"/>
      <w:kern w:val="0"/>
      <w:sz w:val="18"/>
      <w:szCs w:val="18"/>
      <w:shd w:val="clear" w:color="auto" w:fill="000080"/>
    </w:rPr>
  </w:style>
  <w:style w:type="character" w:customStyle="1" w:styleId="78">
    <w:name w:val="纯文本 Char"/>
    <w:basedOn w:val="45"/>
    <w:semiHidden/>
    <w:qFormat/>
    <w:uiPriority w:val="99"/>
    <w:rPr>
      <w:rFonts w:ascii="宋体" w:hAnsi="Courier New" w:eastAsia="宋体" w:cs="Courier New"/>
      <w:szCs w:val="21"/>
    </w:rPr>
  </w:style>
  <w:style w:type="character" w:customStyle="1" w:styleId="79">
    <w:name w:val="批注主题 Char"/>
    <w:basedOn w:val="65"/>
    <w:link w:val="41"/>
    <w:qFormat/>
    <w:uiPriority w:val="99"/>
    <w:rPr>
      <w:rFonts w:ascii="Calibri" w:hAnsi="Calibri" w:eastAsia="宋体" w:cs="Times New Roman"/>
      <w:b/>
      <w:bCs/>
    </w:rPr>
  </w:style>
  <w:style w:type="character" w:customStyle="1" w:styleId="80">
    <w:name w:val="批注框文本 Char"/>
    <w:basedOn w:val="45"/>
    <w:link w:val="26"/>
    <w:qFormat/>
    <w:uiPriority w:val="99"/>
    <w:rPr>
      <w:rFonts w:ascii="Times New Roman" w:hAnsi="Times New Roman" w:eastAsia="宋体" w:cs="Times New Roman"/>
      <w:kern w:val="0"/>
      <w:sz w:val="18"/>
      <w:szCs w:val="18"/>
    </w:rPr>
  </w:style>
  <w:style w:type="paragraph" w:styleId="8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修订1"/>
    <w:semiHidden/>
    <w:qFormat/>
    <w:uiPriority w:val="99"/>
    <w:rPr>
      <w:rFonts w:ascii="Calibri" w:hAnsi="Calibri" w:eastAsia="宋体" w:cs="Times New Roman"/>
      <w:kern w:val="2"/>
      <w:sz w:val="21"/>
      <w:szCs w:val="22"/>
      <w:lang w:val="en-US" w:eastAsia="zh-CN" w:bidi="ar-SA"/>
    </w:rPr>
  </w:style>
  <w:style w:type="character" w:customStyle="1" w:styleId="83">
    <w:name w:val="列出段落 Char"/>
    <w:link w:val="84"/>
    <w:qFormat/>
    <w:locked/>
    <w:uiPriority w:val="0"/>
    <w:rPr>
      <w:rFonts w:ascii="Calibri" w:hAnsi="Calibri" w:cs="Calibri"/>
    </w:rPr>
  </w:style>
  <w:style w:type="paragraph" w:styleId="84">
    <w:name w:val="List Paragraph"/>
    <w:basedOn w:val="1"/>
    <w:link w:val="83"/>
    <w:qFormat/>
    <w:uiPriority w:val="0"/>
    <w:pPr>
      <w:ind w:firstLine="420" w:firstLineChars="200"/>
    </w:pPr>
    <w:rPr>
      <w:rFonts w:cs="Calibri" w:eastAsiaTheme="minorEastAsia"/>
    </w:rPr>
  </w:style>
  <w:style w:type="paragraph" w:customStyle="1" w:styleId="85">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0"/>
    <w:pPr>
      <w:spacing w:before="240" w:after="60"/>
      <w:jc w:val="center"/>
      <w:outlineLvl w:val="0"/>
    </w:pPr>
    <w:rPr>
      <w:rFonts w:ascii="Arial" w:hAnsi="Arial" w:cs="Arial"/>
      <w:b/>
      <w:bCs/>
      <w:sz w:val="32"/>
      <w:szCs w:val="32"/>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numPr>
        <w:ilvl w:val="1"/>
        <w:numId w:val="2"/>
      </w:numPr>
      <w:adjustRightInd w:val="0"/>
      <w:spacing w:before="24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8"/>
    <w:qFormat/>
    <w:uiPriority w:val="0"/>
    <w:pPr>
      <w:tabs>
        <w:tab w:val="left" w:pos="3260"/>
        <w:tab w:val="clear" w:pos="1702"/>
      </w:tabs>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7"/>
    <w:next w:val="18"/>
    <w:qFormat/>
    <w:uiPriority w:val="0"/>
    <w:pPr>
      <w:tabs>
        <w:tab w:val="left" w:pos="992"/>
        <w:tab w:val="clear" w:pos="1134"/>
      </w:tabs>
      <w:snapToGrid w:val="0"/>
      <w:spacing w:before="0" w:beforeLines="50" w:after="0" w:afterLines="50"/>
      <w:ind w:left="3570" w:firstLine="482" w:firstLineChars="200"/>
    </w:pPr>
    <w:rPr>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4"/>
    <w:qFormat/>
    <w:uiPriority w:val="0"/>
    <w:p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0"/>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文章正文"/>
    <w:basedOn w:val="1"/>
    <w:qFormat/>
    <w:uiPriority w:val="0"/>
    <w:pPr>
      <w:spacing w:line="360" w:lineRule="auto"/>
      <w:ind w:firstLine="420"/>
    </w:pPr>
    <w:rPr>
      <w:rFonts w:ascii="Times New Roman" w:hAnsi="Times New Roman"/>
      <w:sz w:val="24"/>
      <w:szCs w:val="24"/>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28"/>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27">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28">
    <w:name w:val="彩色列表 - 强调文字颜色 1 Char"/>
    <w:link w:val="129"/>
    <w:qFormat/>
    <w:locked/>
    <w:uiPriority w:val="0"/>
    <w:rPr>
      <w:rFonts w:ascii="Calibri" w:hAnsi="Calibri" w:cs="Calibri"/>
    </w:rPr>
  </w:style>
  <w:style w:type="paragraph" w:customStyle="1" w:styleId="129">
    <w:name w:val="彩色列表 - 强调文字颜色 11"/>
    <w:basedOn w:val="1"/>
    <w:link w:val="128"/>
    <w:qFormat/>
    <w:uiPriority w:val="0"/>
    <w:pPr>
      <w:ind w:firstLine="420" w:firstLineChars="200"/>
    </w:pPr>
    <w:rPr>
      <w:rFonts w:cs="Calibri" w:eastAsiaTheme="minorEastAsia"/>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5"/>
    <w:qFormat/>
    <w:uiPriority w:val="0"/>
    <w:p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5"/>
    <w:qFormat/>
    <w:uiPriority w:val="0"/>
    <w:rPr>
      <w:rFonts w:ascii="Tahoma" w:hAnsi="Tahoma"/>
      <w:sz w:val="24"/>
      <w:szCs w:val="24"/>
    </w:rPr>
  </w:style>
  <w:style w:type="paragraph" w:customStyle="1" w:styleId="140">
    <w:name w:val="MM Topic 3"/>
    <w:basedOn w:val="5"/>
    <w:qFormat/>
    <w:uiPriority w:val="0"/>
    <w:p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1"/>
    <w:qFormat/>
    <w:uiPriority w:val="0"/>
    <w:pPr>
      <w:tabs>
        <w:tab w:val="left" w:pos="5102"/>
      </w:tabs>
    </w:pPr>
  </w:style>
  <w:style w:type="paragraph" w:customStyle="1" w:styleId="146">
    <w:name w:val="MM Topic 5"/>
    <w:basedOn w:val="7"/>
    <w:qFormat/>
    <w:uiPriority w:val="0"/>
    <w:pPr>
      <w:tabs>
        <w:tab w:val="left" w:pos="2551"/>
        <w:tab w:val="clear" w:pos="1134"/>
        <w:tab w:val="clear" w:pos="1560"/>
      </w:tabs>
      <w:ind w:left="0" w:firstLine="0"/>
    </w:p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6"/>
    <w:qFormat/>
    <w:uiPriority w:val="0"/>
    <w:pPr>
      <w:tabs>
        <w:tab w:val="left" w:pos="1984"/>
      </w:tabs>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4"/>
    <w:qFormat/>
    <w:uiPriority w:val="0"/>
    <w:pPr>
      <w:tabs>
        <w:tab w:val="left" w:pos="-2493"/>
      </w:tabs>
    </w:pPr>
    <w:rPr>
      <w:rFonts w:cs="Times New Roman"/>
      <w:szCs w:val="20"/>
    </w:rPr>
  </w:style>
  <w:style w:type="paragraph" w:customStyle="1" w:styleId="15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0"/>
    <w:pPr>
      <w:ind w:firstLine="420" w:firstLineChars="200"/>
    </w:pPr>
    <w:rPr>
      <w:rFonts w:ascii="Times New Roman" w:hAnsi="Times New Roman"/>
      <w:szCs w:val="24"/>
    </w:rPr>
  </w:style>
  <w:style w:type="paragraph" w:customStyle="1" w:styleId="155">
    <w:name w:val="列出段落1"/>
    <w:basedOn w:val="1"/>
    <w:qFormat/>
    <w:uiPriority w:val="0"/>
    <w:pPr>
      <w:ind w:firstLine="420" w:firstLineChars="200"/>
    </w:pPr>
  </w:style>
  <w:style w:type="paragraph" w:customStyle="1" w:styleId="156">
    <w:name w:val="彩色列表 - 强调文字颜色 12"/>
    <w:basedOn w:val="1"/>
    <w:qFormat/>
    <w:uiPriority w:val="0"/>
    <w:pPr>
      <w:ind w:firstLine="420" w:firstLineChars="200"/>
    </w:pPr>
  </w:style>
  <w:style w:type="character" w:customStyle="1" w:styleId="157">
    <w:name w:val="Char Char8"/>
    <w:qFormat/>
    <w:uiPriority w:val="0"/>
    <w:rPr>
      <w:rFonts w:hint="eastAsia" w:ascii="宋体" w:hAnsi="宋体" w:eastAsia="宋体"/>
      <w:kern w:val="2"/>
      <w:sz w:val="28"/>
      <w:szCs w:val="28"/>
    </w:rPr>
  </w:style>
  <w:style w:type="character" w:customStyle="1" w:styleId="158">
    <w:name w:val="Char Char5"/>
    <w:qFormat/>
    <w:uiPriority w:val="0"/>
    <w:rPr>
      <w:kern w:val="2"/>
      <w:sz w:val="21"/>
      <w:szCs w:val="24"/>
    </w:rPr>
  </w:style>
  <w:style w:type="character" w:customStyle="1" w:styleId="159">
    <w:name w:val="列出段落 Char Char"/>
    <w:qFormat/>
    <w:uiPriority w:val="0"/>
    <w:rPr>
      <w:rFonts w:hint="default" w:ascii="Calibri" w:hAnsi="Calibri" w:cs="Calibri"/>
      <w:kern w:val="2"/>
      <w:sz w:val="21"/>
      <w:szCs w:val="22"/>
    </w:rPr>
  </w:style>
  <w:style w:type="character" w:customStyle="1" w:styleId="160">
    <w:name w:val="正文文本 Char Char"/>
    <w:qFormat/>
    <w:uiPriority w:val="0"/>
    <w:rPr>
      <w:kern w:val="2"/>
      <w:sz w:val="21"/>
      <w:szCs w:val="24"/>
    </w:rPr>
  </w:style>
  <w:style w:type="character" w:customStyle="1" w:styleId="161">
    <w:name w:val="Char Char11"/>
    <w:qFormat/>
    <w:uiPriority w:val="0"/>
    <w:rPr>
      <w:rFonts w:hint="default" w:ascii="Arial Narrow" w:hAnsi="Arial Narrow"/>
      <w:b/>
      <w:bCs/>
      <w:iCs/>
      <w:szCs w:val="24"/>
      <w:lang w:eastAsia="en-US"/>
    </w:rPr>
  </w:style>
  <w:style w:type="character" w:customStyle="1" w:styleId="162">
    <w:name w:val="标书（正文） Char Char"/>
    <w:qFormat/>
    <w:uiPriority w:val="0"/>
    <w:rPr>
      <w:rFonts w:hint="eastAsia" w:ascii="宋体" w:hAnsi="宋体" w:eastAsia="宋体"/>
      <w:b/>
      <w:kern w:val="10"/>
      <w:sz w:val="21"/>
      <w:szCs w:val="21"/>
      <w:lang w:val="en-US" w:eastAsia="zh-CN" w:bidi="ar-SA"/>
    </w:rPr>
  </w:style>
  <w:style w:type="character" w:customStyle="1" w:styleId="163">
    <w:name w:val="line2"/>
    <w:basedOn w:val="45"/>
    <w:qFormat/>
    <w:uiPriority w:val="0"/>
  </w:style>
  <w:style w:type="character" w:customStyle="1" w:styleId="164">
    <w:name w:val="Char Char10"/>
    <w:qFormat/>
    <w:uiPriority w:val="0"/>
    <w:rPr>
      <w:kern w:val="2"/>
      <w:sz w:val="24"/>
      <w:szCs w:val="24"/>
    </w:rPr>
  </w:style>
  <w:style w:type="character" w:customStyle="1" w:styleId="165">
    <w:name w:val="MM Topic 4 Char Char"/>
    <w:qFormat/>
    <w:uiPriority w:val="0"/>
    <w:rPr>
      <w:rFonts w:hint="default" w:ascii="Arial" w:hAnsi="Arial" w:cs="Arial"/>
      <w:b/>
      <w:bCs/>
      <w:kern w:val="2"/>
      <w:sz w:val="28"/>
      <w:szCs w:val="28"/>
    </w:rPr>
  </w:style>
  <w:style w:type="character" w:customStyle="1" w:styleId="166">
    <w:name w:val="标书正文:  0.74 厘米 Char Char"/>
    <w:qFormat/>
    <w:uiPriority w:val="0"/>
    <w:rPr>
      <w:kern w:val="2"/>
      <w:sz w:val="24"/>
    </w:rPr>
  </w:style>
  <w:style w:type="character" w:customStyle="1" w:styleId="167">
    <w:name w:val="访问过的超链接1"/>
    <w:qFormat/>
    <w:uiPriority w:val="99"/>
    <w:rPr>
      <w:color w:val="800080"/>
      <w:u w:val="single"/>
    </w:rPr>
  </w:style>
  <w:style w:type="character" w:customStyle="1" w:styleId="168">
    <w:name w:val="标题 3 Char Char Char"/>
    <w:qFormat/>
    <w:uiPriority w:val="0"/>
    <w:rPr>
      <w:rFonts w:hint="eastAsia" w:ascii="宋体" w:hAnsi="宋体" w:eastAsia="宋体"/>
      <w:b/>
      <w:kern w:val="2"/>
      <w:sz w:val="32"/>
      <w:lang w:val="en-US" w:eastAsia="zh-CN" w:bidi="ar-SA"/>
    </w:rPr>
  </w:style>
  <w:style w:type="character" w:customStyle="1" w:styleId="169">
    <w:name w:val="（符号）邀请函中一、"/>
    <w:qFormat/>
    <w:uiPriority w:val="0"/>
    <w:rPr>
      <w:rFonts w:hint="eastAsia" w:ascii="黑体" w:hAnsi="黑体" w:eastAsia="黑体"/>
      <w:b/>
      <w:bCs/>
      <w:sz w:val="24"/>
    </w:rPr>
  </w:style>
  <w:style w:type="character" w:customStyle="1" w:styleId="170">
    <w:name w:val="tt Char"/>
    <w:qFormat/>
    <w:uiPriority w:val="0"/>
    <w:rPr>
      <w:rFonts w:hint="default" w:ascii="Arial" w:hAnsi="Arial" w:eastAsia="黑体" w:cs="Arial"/>
      <w:kern w:val="2"/>
      <w:sz w:val="21"/>
      <w:szCs w:val="21"/>
    </w:rPr>
  </w:style>
  <w:style w:type="character" w:customStyle="1" w:styleId="171">
    <w:name w:val="Char Char9"/>
    <w:qFormat/>
    <w:uiPriority w:val="0"/>
    <w:rPr>
      <w:kern w:val="2"/>
      <w:sz w:val="18"/>
      <w:szCs w:val="18"/>
    </w:rPr>
  </w:style>
  <w:style w:type="character" w:customStyle="1" w:styleId="172">
    <w:name w:val="MM Topic 3 Char Char"/>
    <w:qFormat/>
    <w:uiPriority w:val="0"/>
    <w:rPr>
      <w:rFonts w:hint="eastAsia" w:ascii="宋体" w:hAnsi="宋体" w:eastAsia="宋体"/>
      <w:b/>
      <w:bCs/>
      <w:color w:val="000000"/>
      <w:kern w:val="2"/>
      <w:sz w:val="28"/>
      <w:szCs w:val="28"/>
    </w:rPr>
  </w:style>
  <w:style w:type="character" w:customStyle="1" w:styleId="173">
    <w:name w:val="样式 小四2 Char Char"/>
    <w:qFormat/>
    <w:uiPriority w:val="0"/>
    <w:rPr>
      <w:rFonts w:hint="eastAsia" w:ascii="宋体" w:hAnsi="宋体" w:eastAsia="宋体"/>
      <w:kern w:val="2"/>
      <w:sz w:val="24"/>
      <w:szCs w:val="24"/>
    </w:rPr>
  </w:style>
  <w:style w:type="character" w:customStyle="1" w:styleId="174">
    <w:name w:val="Char Char7"/>
    <w:qFormat/>
    <w:uiPriority w:val="0"/>
    <w:rPr>
      <w:kern w:val="2"/>
      <w:sz w:val="18"/>
      <w:szCs w:val="18"/>
    </w:rPr>
  </w:style>
  <w:style w:type="character" w:customStyle="1" w:styleId="175">
    <w:name w:val="Char Char3"/>
    <w:qFormat/>
    <w:uiPriority w:val="0"/>
    <w:rPr>
      <w:b/>
      <w:bCs/>
      <w:kern w:val="2"/>
      <w:sz w:val="18"/>
      <w:szCs w:val="18"/>
    </w:rPr>
  </w:style>
  <w:style w:type="character" w:customStyle="1" w:styleId="176">
    <w:name w:val="apple-style-span"/>
    <w:basedOn w:val="45"/>
    <w:qFormat/>
    <w:uiPriority w:val="0"/>
  </w:style>
  <w:style w:type="character" w:customStyle="1" w:styleId="177">
    <w:name w:val="Char Char4"/>
    <w:qFormat/>
    <w:uiPriority w:val="0"/>
    <w:rPr>
      <w:kern w:val="2"/>
      <w:sz w:val="18"/>
      <w:szCs w:val="18"/>
    </w:rPr>
  </w:style>
  <w:style w:type="character" w:customStyle="1" w:styleId="178">
    <w:name w:val="副标题 Char1"/>
    <w:qFormat/>
    <w:uiPriority w:val="11"/>
    <w:rPr>
      <w:rFonts w:hint="default" w:ascii="Cambria" w:hAnsi="Cambria" w:cs="Times New Roman"/>
      <w:b/>
      <w:bCs/>
      <w:kern w:val="28"/>
      <w:sz w:val="32"/>
      <w:szCs w:val="32"/>
    </w:rPr>
  </w:style>
  <w:style w:type="character" w:customStyle="1" w:styleId="179">
    <w:name w:val="small"/>
    <w:basedOn w:val="45"/>
    <w:qFormat/>
    <w:uiPriority w:val="0"/>
  </w:style>
  <w:style w:type="character" w:customStyle="1" w:styleId="180">
    <w:name w:val="Legal Level 1.1.1. Char"/>
    <w:qFormat/>
    <w:uiPriority w:val="0"/>
    <w:rPr>
      <w:rFonts w:hint="default" w:ascii="Arial" w:hAnsi="Arial" w:eastAsia="黑体" w:cs="Arial"/>
      <w:kern w:val="2"/>
      <w:sz w:val="24"/>
      <w:szCs w:val="24"/>
    </w:rPr>
  </w:style>
  <w:style w:type="character" w:customStyle="1" w:styleId="181">
    <w:name w:val="文章正文 Char Char"/>
    <w:qFormat/>
    <w:uiPriority w:val="0"/>
    <w:rPr>
      <w:rFonts w:hint="eastAsia" w:ascii="宋体" w:hAnsi="宋体" w:eastAsia="宋体"/>
      <w:kern w:val="2"/>
      <w:sz w:val="24"/>
      <w:szCs w:val="24"/>
      <w:lang w:val="en-US" w:eastAsia="zh-CN" w:bidi="ar-SA"/>
    </w:rPr>
  </w:style>
  <w:style w:type="character" w:customStyle="1" w:styleId="182">
    <w:name w:val="正文文本 Char1"/>
    <w:qFormat/>
    <w:uiPriority w:val="0"/>
    <w:rPr>
      <w:rFonts w:hint="default" w:ascii="Times New Roman" w:hAnsi="Times New Roman" w:eastAsia="宋体" w:cs="Times New Roman"/>
      <w:kern w:val="0"/>
      <w:sz w:val="18"/>
      <w:szCs w:val="18"/>
    </w:rPr>
  </w:style>
  <w:style w:type="character" w:customStyle="1" w:styleId="183">
    <w:name w:val="正文文本 Char4"/>
    <w:basedOn w:val="45"/>
    <w:link w:val="2"/>
    <w:qFormat/>
    <w:locked/>
    <w:uiPriority w:val="0"/>
    <w:rPr>
      <w:rFonts w:ascii="Times New Roman" w:hAnsi="Times New Roman" w:eastAsia="宋体" w:cs="Times New Roman"/>
      <w:kern w:val="0"/>
      <w:sz w:val="20"/>
      <w:szCs w:val="20"/>
    </w:rPr>
  </w:style>
  <w:style w:type="character" w:customStyle="1" w:styleId="184">
    <w:name w:val="CD正文 Char Char"/>
    <w:qFormat/>
    <w:uiPriority w:val="0"/>
    <w:rPr>
      <w:rFonts w:hint="eastAsia" w:ascii="宋体" w:hAnsi="宋体" w:eastAsia="宋体"/>
      <w:kern w:val="2"/>
      <w:sz w:val="30"/>
      <w:szCs w:val="28"/>
      <w:lang w:val="en-US" w:eastAsia="zh-CN" w:bidi="ar-SA"/>
    </w:rPr>
  </w:style>
  <w:style w:type="character" w:customStyle="1" w:styleId="185">
    <w:name w:val="Char Char2"/>
    <w:qFormat/>
    <w:uiPriority w:val="0"/>
    <w:rPr>
      <w:kern w:val="2"/>
      <w:sz w:val="18"/>
      <w:szCs w:val="18"/>
    </w:rPr>
  </w:style>
  <w:style w:type="character" w:customStyle="1" w:styleId="186">
    <w:name w:val="表正文 Char1"/>
    <w:qFormat/>
    <w:uiPriority w:val="0"/>
    <w:rPr>
      <w:rFonts w:hint="eastAsia" w:ascii="宋体" w:hAnsi="宋体" w:eastAsia="宋体"/>
      <w:kern w:val="2"/>
      <w:sz w:val="21"/>
      <w:lang w:val="en-US" w:eastAsia="zh-CN" w:bidi="ar-SA"/>
    </w:rPr>
  </w:style>
  <w:style w:type="character" w:customStyle="1" w:styleId="187">
    <w:name w:val="纯文本 Char1"/>
    <w:link w:val="22"/>
    <w:qFormat/>
    <w:locked/>
    <w:uiPriority w:val="99"/>
    <w:rPr>
      <w:rFonts w:ascii="宋体" w:hAnsi="Courier New" w:eastAsia="宋体" w:cs="Times New Roman"/>
      <w:kern w:val="0"/>
      <w:sz w:val="20"/>
      <w:szCs w:val="18"/>
    </w:rPr>
  </w:style>
  <w:style w:type="character" w:customStyle="1" w:styleId="188">
    <w:name w:val="Char Char Char"/>
    <w:qFormat/>
    <w:uiPriority w:val="0"/>
    <w:rPr>
      <w:rFonts w:hint="eastAsia" w:ascii="宋体" w:hAnsi="宋体" w:eastAsia="宋体"/>
      <w:kern w:val="2"/>
      <w:sz w:val="18"/>
      <w:szCs w:val="18"/>
      <w:lang w:val="en-US" w:eastAsia="zh-CN" w:bidi="ar-SA"/>
    </w:rPr>
  </w:style>
  <w:style w:type="character" w:customStyle="1" w:styleId="189">
    <w:name w:val="Char Char6"/>
    <w:qFormat/>
    <w:uiPriority w:val="0"/>
    <w:rPr>
      <w:kern w:val="2"/>
      <w:sz w:val="21"/>
      <w:szCs w:val="24"/>
    </w:rPr>
  </w:style>
  <w:style w:type="character" w:customStyle="1" w:styleId="190">
    <w:name w:val="正文文本缩进 2 Char1"/>
    <w:basedOn w:val="45"/>
    <w:semiHidden/>
    <w:qFormat/>
    <w:uiPriority w:val="99"/>
    <w:rPr>
      <w:rFonts w:hint="default" w:ascii="Calibri" w:hAnsi="Calibri" w:cs="Calibri"/>
      <w:kern w:val="2"/>
      <w:sz w:val="21"/>
      <w:szCs w:val="22"/>
    </w:rPr>
  </w:style>
  <w:style w:type="character" w:customStyle="1" w:styleId="191">
    <w:name w:val="正文文本缩进 Char1"/>
    <w:basedOn w:val="45"/>
    <w:semiHidden/>
    <w:qFormat/>
    <w:uiPriority w:val="99"/>
    <w:rPr>
      <w:rFonts w:hint="default" w:ascii="Calibri" w:hAnsi="Calibri" w:cs="Calibri"/>
      <w:kern w:val="2"/>
      <w:sz w:val="21"/>
      <w:szCs w:val="22"/>
    </w:rPr>
  </w:style>
  <w:style w:type="character" w:customStyle="1" w:styleId="192">
    <w:name w:val="页脚 Char1"/>
    <w:basedOn w:val="45"/>
    <w:semiHidden/>
    <w:qFormat/>
    <w:uiPriority w:val="99"/>
    <w:rPr>
      <w:rFonts w:hint="default" w:ascii="Calibri" w:hAnsi="Calibri" w:cs="Calibri"/>
      <w:kern w:val="2"/>
      <w:sz w:val="18"/>
      <w:szCs w:val="18"/>
    </w:rPr>
  </w:style>
  <w:style w:type="character" w:customStyle="1" w:styleId="193">
    <w:name w:val="正文文本 3 Char1"/>
    <w:basedOn w:val="45"/>
    <w:semiHidden/>
    <w:qFormat/>
    <w:uiPriority w:val="99"/>
    <w:rPr>
      <w:rFonts w:hint="default" w:ascii="Calibri" w:hAnsi="Calibri" w:cs="Calibri"/>
      <w:kern w:val="2"/>
      <w:sz w:val="16"/>
      <w:szCs w:val="16"/>
    </w:rPr>
  </w:style>
  <w:style w:type="character" w:customStyle="1" w:styleId="194">
    <w:name w:val="正文文本缩进 3 Char1"/>
    <w:basedOn w:val="45"/>
    <w:semiHidden/>
    <w:qFormat/>
    <w:uiPriority w:val="99"/>
    <w:rPr>
      <w:rFonts w:hint="default" w:ascii="Calibri" w:hAnsi="Calibri" w:cs="Calibri"/>
      <w:kern w:val="2"/>
      <w:sz w:val="16"/>
      <w:szCs w:val="16"/>
    </w:rPr>
  </w:style>
  <w:style w:type="character" w:customStyle="1" w:styleId="195">
    <w:name w:val="批注框文本 Char1"/>
    <w:basedOn w:val="45"/>
    <w:semiHidden/>
    <w:qFormat/>
    <w:uiPriority w:val="99"/>
    <w:rPr>
      <w:rFonts w:hint="default" w:ascii="Calibri" w:hAnsi="Calibri" w:cs="Calibri"/>
      <w:kern w:val="2"/>
      <w:sz w:val="18"/>
      <w:szCs w:val="18"/>
    </w:rPr>
  </w:style>
  <w:style w:type="character" w:customStyle="1" w:styleId="196">
    <w:name w:val="批注文字 Char1"/>
    <w:basedOn w:val="45"/>
    <w:link w:val="16"/>
    <w:qFormat/>
    <w:locked/>
    <w:uiPriority w:val="99"/>
    <w:rPr>
      <w:rFonts w:ascii="Calibri" w:hAnsi="Calibri" w:eastAsia="宋体" w:cs="Times New Roman"/>
    </w:rPr>
  </w:style>
  <w:style w:type="character" w:customStyle="1" w:styleId="197">
    <w:name w:val="文档结构图 Char1"/>
    <w:basedOn w:val="45"/>
    <w:semiHidden/>
    <w:qFormat/>
    <w:uiPriority w:val="99"/>
    <w:rPr>
      <w:rFonts w:hint="eastAsia" w:ascii="宋体" w:hAnsi="Calibri" w:eastAsia="宋体"/>
      <w:kern w:val="2"/>
      <w:sz w:val="18"/>
      <w:szCs w:val="18"/>
    </w:rPr>
  </w:style>
  <w:style w:type="character" w:customStyle="1" w:styleId="198">
    <w:name w:val="页眉 Char1"/>
    <w:basedOn w:val="45"/>
    <w:semiHidden/>
    <w:qFormat/>
    <w:uiPriority w:val="99"/>
    <w:rPr>
      <w:rFonts w:hint="default" w:ascii="Calibri" w:hAnsi="Calibri" w:cs="Calibri"/>
      <w:kern w:val="2"/>
      <w:sz w:val="18"/>
      <w:szCs w:val="18"/>
    </w:rPr>
  </w:style>
  <w:style w:type="character" w:customStyle="1" w:styleId="199">
    <w:name w:val="日期 Char1"/>
    <w:basedOn w:val="45"/>
    <w:semiHidden/>
    <w:qFormat/>
    <w:uiPriority w:val="99"/>
    <w:rPr>
      <w:rFonts w:hint="default" w:ascii="Calibri" w:hAnsi="Calibri" w:cs="Calibri"/>
      <w:kern w:val="2"/>
      <w:sz w:val="21"/>
      <w:szCs w:val="22"/>
    </w:rPr>
  </w:style>
  <w:style w:type="character" w:customStyle="1" w:styleId="200">
    <w:name w:val="正文文本 Char3"/>
    <w:basedOn w:val="45"/>
    <w:semiHidden/>
    <w:qFormat/>
    <w:uiPriority w:val="99"/>
    <w:rPr>
      <w:rFonts w:hint="default" w:ascii="Calibri" w:hAnsi="Calibri" w:cs="Calibri"/>
      <w:kern w:val="2"/>
      <w:sz w:val="21"/>
      <w:szCs w:val="22"/>
    </w:rPr>
  </w:style>
  <w:style w:type="character" w:customStyle="1" w:styleId="201">
    <w:name w:val="纯文本 Char2"/>
    <w:basedOn w:val="45"/>
    <w:semiHidden/>
    <w:qFormat/>
    <w:uiPriority w:val="99"/>
    <w:rPr>
      <w:rFonts w:hint="eastAsia" w:ascii="宋体" w:hAnsi="Courier New" w:eastAsia="宋体" w:cs="Courier New"/>
      <w:kern w:val="2"/>
      <w:sz w:val="21"/>
      <w:szCs w:val="21"/>
    </w:rPr>
  </w:style>
  <w:style w:type="character" w:customStyle="1" w:styleId="202">
    <w:name w:val="正文首行缩进 Char1"/>
    <w:basedOn w:val="200"/>
    <w:semiHidden/>
    <w:qFormat/>
    <w:uiPriority w:val="99"/>
    <w:rPr>
      <w:rFonts w:hint="default" w:ascii="Calibri" w:hAnsi="Calibri" w:cs="Calibri"/>
      <w:kern w:val="2"/>
      <w:sz w:val="21"/>
      <w:szCs w:val="22"/>
    </w:rPr>
  </w:style>
  <w:style w:type="character" w:customStyle="1" w:styleId="203">
    <w:name w:val="正文文本 2 Char1"/>
    <w:basedOn w:val="45"/>
    <w:semiHidden/>
    <w:qFormat/>
    <w:uiPriority w:val="99"/>
    <w:rPr>
      <w:rFonts w:hint="default" w:ascii="Calibri" w:hAnsi="Calibri" w:cs="Calibri"/>
      <w:kern w:val="2"/>
      <w:sz w:val="21"/>
      <w:szCs w:val="22"/>
    </w:rPr>
  </w:style>
  <w:style w:type="character" w:customStyle="1" w:styleId="204">
    <w:name w:val="副标题 Char2"/>
    <w:basedOn w:val="45"/>
    <w:qFormat/>
    <w:uiPriority w:val="11"/>
    <w:rPr>
      <w:rFonts w:hint="default" w:asciiTheme="majorHAnsi" w:hAnsiTheme="majorHAnsi" w:cstheme="majorBidi"/>
      <w:b/>
      <w:bCs/>
      <w:kern w:val="28"/>
      <w:sz w:val="32"/>
      <w:szCs w:val="32"/>
    </w:rPr>
  </w:style>
  <w:style w:type="character" w:customStyle="1" w:styleId="205">
    <w:name w:val="正文缩进 Char"/>
    <w:qFormat/>
    <w:uiPriority w:val="0"/>
    <w:rPr>
      <w:kern w:val="2"/>
      <w:sz w:val="21"/>
    </w:rPr>
  </w:style>
  <w:style w:type="paragraph" w:customStyle="1" w:styleId="206">
    <w:name w:val="CD正文"/>
    <w:basedOn w:val="117"/>
    <w:qFormat/>
    <w:uiPriority w:val="0"/>
  </w:style>
  <w:style w:type="paragraph" w:customStyle="1" w:styleId="207">
    <w:name w:val="项目符号：一级"/>
    <w:basedOn w:val="126"/>
    <w:next w:val="126"/>
    <w:qFormat/>
    <w:uiPriority w:val="0"/>
  </w:style>
  <w:style w:type="paragraph" w:customStyle="1" w:styleId="20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09">
    <w:name w:val="HTML 预设格式 Char"/>
    <w:basedOn w:val="45"/>
    <w:link w:val="38"/>
    <w:qFormat/>
    <w:uiPriority w:val="0"/>
    <w:rPr>
      <w:rFonts w:ascii="Arial" w:hAnsi="Arial" w:eastAsia="宋体" w:cs="Arial"/>
      <w:kern w:val="0"/>
      <w:sz w:val="24"/>
      <w:szCs w:val="28"/>
    </w:rPr>
  </w:style>
  <w:style w:type="paragraph" w:customStyle="1" w:styleId="210">
    <w:name w:val="修订111"/>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11">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212">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13">
    <w:name w:val="Char1 Char Char Char Char Char Char_0"/>
    <w:basedOn w:val="1"/>
    <w:qFormat/>
    <w:uiPriority w:val="0"/>
    <w:rPr>
      <w:rFonts w:ascii="Tahoma" w:hAnsi="Tahoma"/>
      <w:sz w:val="24"/>
      <w:szCs w:val="20"/>
    </w:rPr>
  </w:style>
  <w:style w:type="paragraph" w:customStyle="1" w:styleId="214">
    <w:name w:val="列出段落11"/>
    <w:basedOn w:val="1"/>
    <w:qFormat/>
    <w:uiPriority w:val="99"/>
    <w:pPr>
      <w:ind w:firstLine="420" w:firstLineChars="200"/>
    </w:pPr>
    <w:rPr>
      <w:rFonts w:ascii="Times New Roman" w:hAnsi="Times New Roman"/>
    </w:rPr>
  </w:style>
  <w:style w:type="paragraph" w:customStyle="1" w:styleId="215">
    <w:name w:val="样式 标题 2 + Times New Roman 四号 非加粗 段前: 5 磅 段后: 0 磅 行距: 固定值 20..."/>
    <w:basedOn w:val="4"/>
    <w:semiHidden/>
    <w:qFormat/>
    <w:uiPriority w:val="0"/>
    <w:pPr>
      <w:spacing w:before="100" w:line="400" w:lineRule="exact"/>
      <w:jc w:val="both"/>
    </w:pPr>
    <w:rPr>
      <w:rFonts w:ascii="Times New Roman" w:hAnsi="Times New Roman" w:eastAsia="黑体"/>
      <w:b w:val="0"/>
      <w:szCs w:val="32"/>
    </w:rPr>
  </w:style>
  <w:style w:type="paragraph" w:customStyle="1" w:styleId="216">
    <w:name w:val="列出段落111"/>
    <w:basedOn w:val="1"/>
    <w:semiHidden/>
    <w:qFormat/>
    <w:uiPriority w:val="99"/>
    <w:pPr>
      <w:ind w:firstLine="420" w:firstLineChars="200"/>
    </w:pPr>
    <w:rPr>
      <w:rFonts w:ascii="Times New Roman" w:hAnsi="Times New Roman"/>
    </w:rPr>
  </w:style>
  <w:style w:type="character" w:customStyle="1" w:styleId="21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18">
    <w:name w:val="p121"/>
    <w:qFormat/>
    <w:uiPriority w:val="0"/>
    <w:rPr>
      <w:sz w:val="24"/>
    </w:rPr>
  </w:style>
  <w:style w:type="character" w:customStyle="1" w:styleId="219">
    <w:name w:val="列出段落 Char1"/>
    <w:qFormat/>
    <w:locked/>
    <w:uiPriority w:val="0"/>
    <w:rPr>
      <w:rFonts w:hint="default" w:ascii="Calibri" w:hAnsi="Calibri" w:cs="Calibri"/>
    </w:rPr>
  </w:style>
  <w:style w:type="paragraph" w:customStyle="1" w:styleId="220">
    <w:name w:val="修订11"/>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21">
    <w:name w:val="列表段落1"/>
    <w:basedOn w:val="1"/>
    <w:qFormat/>
    <w:uiPriority w:val="99"/>
    <w:pPr>
      <w:ind w:firstLine="420" w:firstLineChars="200"/>
    </w:pPr>
    <w:rPr>
      <w:rFonts w:ascii="宋体" w:hAnsi="宋体" w:cs="宋体"/>
      <w:sz w:val="28"/>
      <w:szCs w:val="28"/>
    </w:rPr>
  </w:style>
  <w:style w:type="character" w:customStyle="1" w:styleId="222">
    <w:name w:val="NormalCharacter"/>
    <w:qFormat/>
    <w:uiPriority w:val="0"/>
  </w:style>
  <w:style w:type="paragraph" w:customStyle="1" w:styleId="223">
    <w:name w:val="BodyText"/>
    <w:basedOn w:val="1"/>
    <w:qFormat/>
    <w:uiPriority w:val="0"/>
    <w:pPr>
      <w:widowControl/>
      <w:spacing w:after="120"/>
      <w:ind w:firstLine="560" w:firstLineChars="200"/>
      <w:textAlignment w:val="baseline"/>
    </w:pPr>
    <w:rPr>
      <w:rFonts w:ascii="宋体" w:hAnsi="宋体" w:cstheme="minorBidi"/>
      <w:sz w:val="28"/>
      <w:szCs w:val="28"/>
    </w:rPr>
  </w:style>
  <w:style w:type="character" w:customStyle="1" w:styleId="224">
    <w:name w:val="AnnotationReference"/>
    <w:qFormat/>
    <w:uiPriority w:val="0"/>
    <w:rPr>
      <w:sz w:val="21"/>
      <w:szCs w:val="21"/>
    </w:rPr>
  </w:style>
  <w:style w:type="paragraph" w:customStyle="1" w:styleId="225">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226">
    <w:name w:val="Heading3"/>
    <w:basedOn w:val="1"/>
    <w:next w:val="1"/>
    <w:link w:val="227"/>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227">
    <w:name w:val="UserStyle_4"/>
    <w:link w:val="226"/>
    <w:qFormat/>
    <w:uiPriority w:val="0"/>
    <w:rPr>
      <w:rFonts w:ascii="宋体" w:hAnsi="宋体" w:eastAsia="宋体" w:cs="宋体"/>
      <w:b/>
      <w:bCs/>
      <w:kern w:val="0"/>
      <w:sz w:val="27"/>
      <w:szCs w:val="27"/>
    </w:rPr>
  </w:style>
  <w:style w:type="character" w:customStyle="1" w:styleId="228">
    <w:name w:val="样式 Char Char"/>
    <w:link w:val="121"/>
    <w:qFormat/>
    <w:locked/>
    <w:uiPriority w:val="0"/>
    <w:rPr>
      <w:rFonts w:ascii="宋体" w:hAnsi="宋体" w:eastAsia="宋体" w:cs="宋体"/>
      <w:kern w:val="0"/>
      <w:sz w:val="24"/>
      <w:szCs w:val="24"/>
    </w:rPr>
  </w:style>
  <w:style w:type="paragraph" w:customStyle="1" w:styleId="229">
    <w:name w:val="_Style 48"/>
    <w:basedOn w:val="1"/>
    <w:qFormat/>
    <w:uiPriority w:val="0"/>
    <w:pPr>
      <w:ind w:firstLine="420" w:firstLineChars="200"/>
    </w:pPr>
    <w:rPr>
      <w:rFonts w:ascii="宋体" w:hAnsi="宋体" w:cs="宋体"/>
      <w:sz w:val="28"/>
      <w:szCs w:val="28"/>
    </w:rPr>
  </w:style>
  <w:style w:type="character" w:customStyle="1" w:styleId="230">
    <w:name w:val="font61"/>
    <w:basedOn w:val="45"/>
    <w:qFormat/>
    <w:uiPriority w:val="0"/>
    <w:rPr>
      <w:rFonts w:hint="eastAsia" w:ascii="宋体" w:hAnsi="宋体" w:eastAsia="宋体" w:cs="宋体"/>
      <w:color w:val="000000"/>
      <w:sz w:val="18"/>
      <w:szCs w:val="18"/>
      <w:u w:val="none"/>
    </w:rPr>
  </w:style>
  <w:style w:type="character" w:customStyle="1" w:styleId="231">
    <w:name w:val="font91"/>
    <w:basedOn w:val="45"/>
    <w:qFormat/>
    <w:uiPriority w:val="0"/>
    <w:rPr>
      <w:rFonts w:hint="eastAsia" w:ascii="宋体" w:hAnsi="宋体" w:eastAsia="宋体" w:cs="宋体"/>
      <w:color w:val="000000"/>
      <w:sz w:val="18"/>
      <w:szCs w:val="18"/>
      <w:u w:val="none"/>
    </w:rPr>
  </w:style>
  <w:style w:type="character" w:customStyle="1" w:styleId="232">
    <w:name w:val="font41"/>
    <w:basedOn w:val="45"/>
    <w:qFormat/>
    <w:uiPriority w:val="0"/>
    <w:rPr>
      <w:rFonts w:hint="eastAsia" w:ascii="宋体" w:hAnsi="宋体" w:eastAsia="宋体" w:cs="宋体"/>
      <w:color w:val="000000"/>
      <w:sz w:val="21"/>
      <w:szCs w:val="21"/>
      <w:u w:val="none"/>
    </w:rPr>
  </w:style>
  <w:style w:type="character" w:customStyle="1" w:styleId="233">
    <w:name w:val="font31"/>
    <w:basedOn w:val="45"/>
    <w:qFormat/>
    <w:uiPriority w:val="0"/>
    <w:rPr>
      <w:rFonts w:hint="eastAsia" w:ascii="宋体" w:hAnsi="宋体" w:eastAsia="宋体" w:cs="宋体"/>
      <w:b/>
      <w:color w:val="000000"/>
      <w:sz w:val="18"/>
      <w:szCs w:val="18"/>
      <w:u w:val="none"/>
    </w:rPr>
  </w:style>
  <w:style w:type="character" w:customStyle="1" w:styleId="234">
    <w:name w:val="font101"/>
    <w:basedOn w:val="45"/>
    <w:qFormat/>
    <w:uiPriority w:val="0"/>
    <w:rPr>
      <w:rFonts w:hint="eastAsia" w:ascii="宋体" w:hAnsi="宋体" w:eastAsia="宋体" w:cs="宋体"/>
      <w:color w:val="FF0000"/>
      <w:sz w:val="18"/>
      <w:szCs w:val="18"/>
      <w:u w:val="none"/>
    </w:rPr>
  </w:style>
  <w:style w:type="character" w:customStyle="1" w:styleId="235">
    <w:name w:val="font51"/>
    <w:basedOn w:val="45"/>
    <w:qFormat/>
    <w:uiPriority w:val="0"/>
    <w:rPr>
      <w:rFonts w:ascii="Calibri" w:hAnsi="Calibri" w:cs="Calibri"/>
      <w:color w:val="000000"/>
      <w:sz w:val="21"/>
      <w:szCs w:val="21"/>
      <w:u w:val="none"/>
    </w:rPr>
  </w:style>
  <w:style w:type="paragraph" w:customStyle="1" w:styleId="236">
    <w:name w:val="Table Paragraph"/>
    <w:basedOn w:val="1"/>
    <w:qFormat/>
    <w:uiPriority w:val="1"/>
    <w:pPr>
      <w:ind w:firstLine="560" w:firstLineChars="200"/>
    </w:pPr>
    <w:rPr>
      <w:rFonts w:ascii="宋体" w:hAnsi="宋体" w:cs="宋体"/>
      <w:sz w:val="28"/>
      <w:szCs w:val="2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39F540-7D22-4CF2-BDFA-BA84E146837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5812</Words>
  <Characters>33132</Characters>
  <Lines>276</Lines>
  <Paragraphs>77</Paragraphs>
  <TotalTime>0</TotalTime>
  <ScaleCrop>false</ScaleCrop>
  <LinksUpToDate>false</LinksUpToDate>
  <CharactersWithSpaces>38867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2021-08-03T05:14:00Z</dcterms:created>
  <dc:creator>罗川</dc:creator>
  <cp:lastModifiedBy>Lenovo</cp:lastModifiedBy>
  <cp:lastPrinted>2021-08-09T05:24:00Z</cp:lastPrinted>
  <dcterms:modified xsi:type="dcterms:W3CDTF">2021-08-09T08:27:37Z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