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spacing w:val="42"/>
          <w:sz w:val="84"/>
        </w:rPr>
      </w:pPr>
    </w:p>
    <w:p>
      <w:pPr>
        <w:spacing w:line="360" w:lineRule="auto"/>
        <w:jc w:val="center"/>
        <w:rPr>
          <w:rFonts w:ascii="华文中宋" w:hAnsi="华文中宋" w:eastAsia="华文中宋"/>
          <w:spacing w:val="42"/>
          <w:sz w:val="130"/>
          <w:szCs w:val="130"/>
        </w:rPr>
      </w:pPr>
      <w:r>
        <w:rPr>
          <w:rFonts w:hint="eastAsia" w:ascii="华文中宋" w:hAnsi="华文中宋" w:eastAsia="华文中宋"/>
          <w:spacing w:val="42"/>
          <w:sz w:val="130"/>
          <w:szCs w:val="130"/>
        </w:rPr>
        <w:t>招 标 文 件</w:t>
      </w:r>
    </w:p>
    <w:p>
      <w:pPr>
        <w:spacing w:line="360" w:lineRule="auto"/>
        <w:jc w:val="center"/>
        <w:rPr>
          <w:rFonts w:ascii="华文中宋" w:hAnsi="华文中宋" w:eastAsia="华文中宋"/>
          <w:sz w:val="32"/>
          <w:szCs w:val="32"/>
        </w:rPr>
      </w:pPr>
    </w:p>
    <w:p>
      <w:pPr>
        <w:spacing w:line="360" w:lineRule="auto"/>
        <w:rPr>
          <w:rFonts w:ascii="华文中宋" w:hAnsi="华文中宋" w:eastAsia="华文中宋"/>
        </w:rPr>
      </w:pPr>
    </w:p>
    <w:p>
      <w:pPr>
        <w:spacing w:line="360" w:lineRule="auto"/>
        <w:ind w:left="2123" w:leftChars="336" w:hanging="1417" w:hangingChars="443"/>
        <w:rPr>
          <w:rFonts w:ascii="华文中宋" w:hAnsi="华文中宋" w:eastAsia="华文中宋"/>
          <w:sz w:val="32"/>
          <w:szCs w:val="32"/>
        </w:rPr>
      </w:pPr>
      <w:r>
        <w:rPr>
          <w:rFonts w:hint="eastAsia" w:ascii="华文中宋" w:hAnsi="华文中宋" w:eastAsia="华文中宋"/>
          <w:sz w:val="32"/>
          <w:szCs w:val="32"/>
        </w:rPr>
        <w:t>项目名称：都江堰市中医医院2021年第一批医疗设备采购项目</w:t>
      </w:r>
      <w:r>
        <w:rPr>
          <w:rFonts w:hint="eastAsia" w:ascii="华文中宋" w:hAnsi="华文中宋" w:eastAsia="华文中宋"/>
          <w:sz w:val="32"/>
          <w:szCs w:val="32"/>
          <w:lang w:eastAsia="zh-CN"/>
        </w:rPr>
        <w:t>（修改版）</w:t>
      </w:r>
    </w:p>
    <w:p>
      <w:pPr>
        <w:spacing w:line="360" w:lineRule="auto"/>
        <w:ind w:left="2409" w:leftChars="338" w:hanging="1699" w:hangingChars="531"/>
        <w:rPr>
          <w:rFonts w:ascii="华文中宋" w:hAnsi="华文中宋" w:eastAsia="华文中宋"/>
          <w:sz w:val="32"/>
          <w:szCs w:val="32"/>
        </w:rPr>
      </w:pPr>
      <w:r>
        <w:rPr>
          <w:rFonts w:hint="eastAsia" w:ascii="华文中宋" w:hAnsi="华文中宋" w:eastAsia="华文中宋"/>
          <w:sz w:val="32"/>
          <w:szCs w:val="32"/>
        </w:rPr>
        <w:t>项目编号：JY3202</w:t>
      </w:r>
      <w:r>
        <w:rPr>
          <w:rFonts w:hint="eastAsia" w:ascii="华文中宋" w:hAnsi="华文中宋" w:eastAsia="华文中宋"/>
          <w:sz w:val="32"/>
          <w:szCs w:val="32"/>
          <w:u w:val="single"/>
        </w:rPr>
        <w:t>10099</w:t>
      </w:r>
      <w:r>
        <w:rPr>
          <w:rFonts w:hint="eastAsia" w:ascii="华文中宋" w:hAnsi="华文中宋" w:eastAsia="华文中宋"/>
          <w:sz w:val="32"/>
          <w:szCs w:val="32"/>
        </w:rPr>
        <w:t>号</w:t>
      </w:r>
    </w:p>
    <w:p>
      <w:pPr>
        <w:spacing w:line="360" w:lineRule="auto"/>
        <w:ind w:firstLine="1280" w:firstLineChars="400"/>
        <w:rPr>
          <w:rFonts w:ascii="华文中宋" w:hAnsi="华文中宋" w:eastAsia="华文中宋"/>
          <w:sz w:val="32"/>
          <w:szCs w:val="32"/>
        </w:rPr>
      </w:pPr>
    </w:p>
    <w:p>
      <w:pPr>
        <w:spacing w:line="360" w:lineRule="auto"/>
        <w:ind w:firstLine="1256" w:firstLineChars="349"/>
        <w:rPr>
          <w:rFonts w:ascii="华文中宋" w:hAnsi="华文中宋" w:eastAsia="华文中宋"/>
          <w:spacing w:val="20"/>
          <w:sz w:val="32"/>
          <w:szCs w:val="32"/>
        </w:rPr>
      </w:pPr>
    </w:p>
    <w:p>
      <w:pPr>
        <w:spacing w:line="360" w:lineRule="auto"/>
        <w:rPr>
          <w:rFonts w:ascii="华文中宋" w:hAnsi="华文中宋" w:eastAsia="华文中宋"/>
          <w:sz w:val="32"/>
          <w:szCs w:val="32"/>
        </w:rPr>
      </w:pPr>
    </w:p>
    <w:p>
      <w:pPr>
        <w:spacing w:line="360" w:lineRule="auto"/>
        <w:jc w:val="center"/>
        <w:rPr>
          <w:rFonts w:ascii="华文中宋" w:hAnsi="华文中宋" w:eastAsia="华文中宋"/>
          <w:sz w:val="32"/>
          <w:szCs w:val="32"/>
        </w:rPr>
      </w:pPr>
      <w:r>
        <w:rPr>
          <w:rFonts w:hint="eastAsia" w:ascii="华文中宋" w:hAnsi="华文中宋" w:eastAsia="华文中宋"/>
          <w:spacing w:val="-20"/>
          <w:sz w:val="32"/>
          <w:szCs w:val="32"/>
        </w:rPr>
        <w:t>都江堰市中医医院</w:t>
      </w:r>
      <w:r>
        <w:rPr>
          <w:rFonts w:hint="eastAsia" w:ascii="华文中宋" w:hAnsi="华文中宋" w:eastAsia="华文中宋"/>
          <w:sz w:val="32"/>
          <w:szCs w:val="32"/>
        </w:rPr>
        <w:t>、</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都江堰市公共资源交易服务中心共同编制</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二〇二一年十一月</w:t>
      </w:r>
    </w:p>
    <w:p>
      <w:pPr>
        <w:spacing w:line="360" w:lineRule="auto"/>
        <w:jc w:val="center"/>
        <w:rPr>
          <w:rFonts w:ascii="华文中宋" w:hAnsi="华文中宋" w:eastAsia="华文中宋"/>
          <w:sz w:val="32"/>
          <w:szCs w:val="32"/>
        </w:rPr>
      </w:pPr>
    </w:p>
    <w:p>
      <w:pPr>
        <w:pStyle w:val="2"/>
        <w:rPr>
          <w:rFonts w:ascii="华文中宋" w:hAnsi="华文中宋" w:eastAsia="华文中宋"/>
          <w:sz w:val="32"/>
          <w:szCs w:val="32"/>
        </w:rPr>
      </w:pPr>
    </w:p>
    <w:p/>
    <w:p>
      <w:pPr>
        <w:pStyle w:val="2"/>
      </w:pPr>
    </w:p>
    <w:p>
      <w:pPr>
        <w:spacing w:line="360" w:lineRule="auto"/>
        <w:jc w:val="center"/>
        <w:rPr>
          <w:rFonts w:ascii="宋体" w:hAnsi="宋体"/>
          <w:b/>
          <w:sz w:val="36"/>
        </w:rPr>
      </w:pPr>
      <w:bookmarkStart w:id="0" w:name="_Toc148505181"/>
      <w:bookmarkStart w:id="1" w:name="_Toc101328520"/>
      <w:bookmarkStart w:id="2" w:name="_Toc101247312"/>
      <w:bookmarkStart w:id="3" w:name="_Toc101234248"/>
      <w:r>
        <w:rPr>
          <w:rFonts w:hint="eastAsia" w:ascii="宋体" w:hAnsi="宋体"/>
          <w:b/>
          <w:sz w:val="32"/>
          <w:szCs w:val="32"/>
        </w:rPr>
        <w:t>目 录</w:t>
      </w:r>
    </w:p>
    <w:p>
      <w:pPr>
        <w:pStyle w:val="32"/>
        <w:rPr>
          <w:rFonts w:asciiTheme="minorHAnsi" w:hAnsiTheme="minorHAnsi" w:eastAsiaTheme="minorEastAsia" w:cstheme="minorBidi"/>
          <w:bCs w:val="0"/>
          <w:caps w:val="0"/>
          <w:sz w:val="21"/>
          <w:szCs w:val="22"/>
        </w:rPr>
      </w:pPr>
      <w:r>
        <w:rPr>
          <w:rFonts w:hint="eastAsia"/>
        </w:rPr>
        <w:fldChar w:fldCharType="begin"/>
      </w:r>
      <w:r>
        <w:rPr>
          <w:rFonts w:hint="eastAsia" w:ascii="宋体" w:hAnsi="宋体"/>
          <w:smallCaps/>
        </w:rPr>
        <w:instrText xml:space="preserve"> TOC \o "1-2" \h \z \u </w:instrText>
      </w:r>
      <w:r>
        <w:rPr>
          <w:rFonts w:hint="eastAsia"/>
        </w:rPr>
        <w:fldChar w:fldCharType="separate"/>
      </w:r>
      <w:r>
        <w:fldChar w:fldCharType="begin"/>
      </w:r>
      <w:r>
        <w:instrText xml:space="preserve"> HYPERLINK \l "_Toc78191606" </w:instrText>
      </w:r>
      <w:r>
        <w:fldChar w:fldCharType="separate"/>
      </w:r>
      <w:r>
        <w:rPr>
          <w:rStyle w:val="44"/>
          <w:rFonts w:ascii="Times New Roman" w:hAnsi="Times New Roman"/>
          <w:b/>
          <w:color w:val="auto"/>
          <w:spacing w:val="-20"/>
          <w:kern w:val="44"/>
        </w:rPr>
        <w:t>第1章</w:t>
      </w:r>
      <w:r>
        <w:rPr>
          <w:rFonts w:asciiTheme="minorHAnsi" w:hAnsiTheme="minorHAnsi" w:eastAsiaTheme="minorEastAsia" w:cstheme="minorBidi"/>
          <w:bCs w:val="0"/>
          <w:caps w:val="0"/>
          <w:sz w:val="21"/>
          <w:szCs w:val="22"/>
        </w:rPr>
        <w:tab/>
      </w:r>
      <w:r>
        <w:rPr>
          <w:rStyle w:val="44"/>
          <w:rFonts w:ascii="宋体" w:hAnsi="宋体"/>
          <w:b/>
          <w:color w:val="auto"/>
          <w:spacing w:val="-20"/>
          <w:kern w:val="44"/>
        </w:rPr>
        <w:t>投标邀请</w:t>
      </w:r>
      <w:r>
        <w:tab/>
      </w:r>
      <w:r>
        <w:fldChar w:fldCharType="begin"/>
      </w:r>
      <w:r>
        <w:instrText xml:space="preserve"> PAGEREF _Toc78191606 \h </w:instrText>
      </w:r>
      <w:r>
        <w:fldChar w:fldCharType="separate"/>
      </w:r>
      <w:r>
        <w:t>3</w:t>
      </w:r>
      <w:r>
        <w:fldChar w:fldCharType="end"/>
      </w:r>
      <w:r>
        <w:fldChar w:fldCharType="end"/>
      </w:r>
    </w:p>
    <w:p>
      <w:pPr>
        <w:pStyle w:val="32"/>
        <w:rPr>
          <w:rFonts w:asciiTheme="minorHAnsi" w:hAnsiTheme="minorHAnsi" w:eastAsiaTheme="minorEastAsia" w:cstheme="minorBidi"/>
          <w:bCs w:val="0"/>
          <w:caps w:val="0"/>
          <w:sz w:val="21"/>
          <w:szCs w:val="22"/>
        </w:rPr>
      </w:pPr>
      <w:r>
        <w:fldChar w:fldCharType="begin"/>
      </w:r>
      <w:r>
        <w:instrText xml:space="preserve"> HYPERLINK \l "_Toc78191607" </w:instrText>
      </w:r>
      <w:r>
        <w:fldChar w:fldCharType="separate"/>
      </w:r>
      <w:r>
        <w:rPr>
          <w:rStyle w:val="44"/>
          <w:rFonts w:ascii="Times New Roman" w:hAnsi="Times New Roman"/>
          <w:b/>
          <w:color w:val="auto"/>
          <w:spacing w:val="-20"/>
          <w:kern w:val="44"/>
        </w:rPr>
        <w:t>第2章</w:t>
      </w:r>
      <w:r>
        <w:rPr>
          <w:rFonts w:asciiTheme="minorHAnsi" w:hAnsiTheme="minorHAnsi" w:eastAsiaTheme="minorEastAsia" w:cstheme="minorBidi"/>
          <w:bCs w:val="0"/>
          <w:caps w:val="0"/>
          <w:sz w:val="21"/>
          <w:szCs w:val="22"/>
        </w:rPr>
        <w:tab/>
      </w:r>
      <w:r>
        <w:rPr>
          <w:rStyle w:val="44"/>
          <w:rFonts w:ascii="宋体" w:hAnsi="宋体"/>
          <w:b/>
          <w:color w:val="auto"/>
          <w:spacing w:val="-20"/>
          <w:kern w:val="44"/>
        </w:rPr>
        <w:t>投标人须知</w:t>
      </w:r>
      <w:r>
        <w:tab/>
      </w:r>
      <w:r>
        <w:fldChar w:fldCharType="begin"/>
      </w:r>
      <w:r>
        <w:instrText xml:space="preserve"> PAGEREF _Toc78191607 \h </w:instrText>
      </w:r>
      <w:r>
        <w:fldChar w:fldCharType="separate"/>
      </w:r>
      <w:r>
        <w:t>10</w:t>
      </w:r>
      <w:r>
        <w:fldChar w:fldCharType="end"/>
      </w:r>
      <w:r>
        <w:fldChar w:fldCharType="end"/>
      </w:r>
    </w:p>
    <w:p>
      <w:pPr>
        <w:pStyle w:val="32"/>
        <w:rPr>
          <w:rFonts w:asciiTheme="minorHAnsi" w:hAnsiTheme="minorHAnsi" w:eastAsiaTheme="minorEastAsia" w:cstheme="minorBidi"/>
          <w:sz w:val="21"/>
          <w:szCs w:val="22"/>
        </w:rPr>
      </w:pPr>
      <w:r>
        <w:fldChar w:fldCharType="begin"/>
      </w:r>
      <w:r>
        <w:instrText xml:space="preserve"> HYPERLINK \l "_Toc78191617" </w:instrText>
      </w:r>
      <w:r>
        <w:fldChar w:fldCharType="separate"/>
      </w:r>
      <w:r>
        <w:rPr>
          <w:rStyle w:val="44"/>
          <w:rFonts w:ascii="Times New Roman" w:hAnsi="Times New Roman"/>
          <w:b/>
          <w:color w:val="auto"/>
          <w:spacing w:val="-20"/>
          <w:kern w:val="44"/>
        </w:rPr>
        <w:t>第3章</w:t>
      </w:r>
      <w:r>
        <w:rPr>
          <w:rFonts w:asciiTheme="minorHAnsi" w:hAnsiTheme="minorHAnsi" w:eastAsiaTheme="minorEastAsia" w:cstheme="minorBidi"/>
          <w:bCs w:val="0"/>
          <w:caps w:val="0"/>
          <w:sz w:val="21"/>
          <w:szCs w:val="22"/>
        </w:rPr>
        <w:tab/>
      </w:r>
      <w:r>
        <w:rPr>
          <w:rStyle w:val="44"/>
          <w:rFonts w:ascii="宋体" w:hAnsi="宋体"/>
          <w:b/>
          <w:color w:val="auto"/>
          <w:spacing w:val="-20"/>
          <w:kern w:val="44"/>
        </w:rPr>
        <w:t>投标文件格式</w:t>
      </w:r>
      <w:r>
        <w:tab/>
      </w:r>
      <w:r>
        <w:fldChar w:fldCharType="begin"/>
      </w:r>
      <w:r>
        <w:instrText xml:space="preserve"> PAGEREF _Toc78191617 \h </w:instrText>
      </w:r>
      <w:r>
        <w:fldChar w:fldCharType="separate"/>
      </w:r>
      <w:r>
        <w:t>32</w:t>
      </w:r>
      <w:r>
        <w:fldChar w:fldCharType="end"/>
      </w:r>
      <w:r>
        <w:fldChar w:fldCharType="end"/>
      </w:r>
    </w:p>
    <w:p>
      <w:pPr>
        <w:pStyle w:val="32"/>
        <w:rPr>
          <w:rFonts w:asciiTheme="minorHAnsi" w:hAnsiTheme="minorHAnsi" w:eastAsiaTheme="minorEastAsia" w:cstheme="minorBidi"/>
          <w:sz w:val="21"/>
          <w:szCs w:val="22"/>
        </w:rPr>
      </w:pPr>
      <w:r>
        <w:fldChar w:fldCharType="begin"/>
      </w:r>
      <w:r>
        <w:instrText xml:space="preserve"> HYPERLINK \l "_Toc78191622" </w:instrText>
      </w:r>
      <w:r>
        <w:fldChar w:fldCharType="separate"/>
      </w:r>
      <w:r>
        <w:rPr>
          <w:rStyle w:val="44"/>
          <w:rFonts w:ascii="Times New Roman" w:hAnsi="Times New Roman"/>
          <w:b/>
          <w:color w:val="auto"/>
          <w:spacing w:val="-20"/>
          <w:kern w:val="44"/>
        </w:rPr>
        <w:t>第4章</w:t>
      </w:r>
      <w:r>
        <w:rPr>
          <w:rFonts w:asciiTheme="minorHAnsi" w:hAnsiTheme="minorHAnsi" w:eastAsiaTheme="minorEastAsia" w:cstheme="minorBidi"/>
          <w:bCs w:val="0"/>
          <w:caps w:val="0"/>
          <w:sz w:val="21"/>
          <w:szCs w:val="22"/>
        </w:rPr>
        <w:tab/>
      </w:r>
      <w:r>
        <w:rPr>
          <w:rStyle w:val="44"/>
          <w:rFonts w:ascii="宋体" w:hAnsi="宋体"/>
          <w:b/>
          <w:color w:val="auto"/>
          <w:spacing w:val="-20"/>
          <w:kern w:val="44"/>
        </w:rPr>
        <w:t>招标项目技术、服务、商务及其他要求</w:t>
      </w:r>
      <w:r>
        <w:tab/>
      </w:r>
      <w:r>
        <w:fldChar w:fldCharType="begin"/>
      </w:r>
      <w:r>
        <w:instrText xml:space="preserve"> PAGEREF _Toc78191622 \h </w:instrText>
      </w:r>
      <w:r>
        <w:fldChar w:fldCharType="separate"/>
      </w:r>
      <w:r>
        <w:t>50</w:t>
      </w:r>
      <w:r>
        <w:fldChar w:fldCharType="end"/>
      </w:r>
      <w:r>
        <w:fldChar w:fldCharType="end"/>
      </w:r>
    </w:p>
    <w:p>
      <w:pPr>
        <w:pStyle w:val="32"/>
        <w:rPr>
          <w:rFonts w:asciiTheme="minorHAnsi" w:hAnsiTheme="minorHAnsi" w:eastAsiaTheme="minorEastAsia" w:cstheme="minorBidi"/>
          <w:bCs w:val="0"/>
          <w:caps w:val="0"/>
          <w:sz w:val="21"/>
          <w:szCs w:val="22"/>
        </w:rPr>
      </w:pPr>
      <w:r>
        <w:fldChar w:fldCharType="begin"/>
      </w:r>
      <w:r>
        <w:instrText xml:space="preserve"> HYPERLINK \l "_Toc78191630" </w:instrText>
      </w:r>
      <w:r>
        <w:fldChar w:fldCharType="separate"/>
      </w:r>
      <w:r>
        <w:rPr>
          <w:rStyle w:val="44"/>
          <w:rFonts w:ascii="Times New Roman" w:hAnsi="Times New Roman"/>
          <w:b/>
          <w:color w:val="auto"/>
          <w:spacing w:val="-20"/>
          <w:kern w:val="44"/>
        </w:rPr>
        <w:t>第5章</w:t>
      </w:r>
      <w:r>
        <w:rPr>
          <w:rFonts w:asciiTheme="minorHAnsi" w:hAnsiTheme="minorHAnsi" w:eastAsiaTheme="minorEastAsia" w:cstheme="minorBidi"/>
          <w:bCs w:val="0"/>
          <w:caps w:val="0"/>
          <w:sz w:val="21"/>
          <w:szCs w:val="22"/>
        </w:rPr>
        <w:tab/>
      </w:r>
      <w:r>
        <w:rPr>
          <w:rStyle w:val="44"/>
          <w:rFonts w:ascii="宋体" w:hAnsi="宋体"/>
          <w:b/>
          <w:color w:val="auto"/>
          <w:spacing w:val="-20"/>
          <w:kern w:val="44"/>
        </w:rPr>
        <w:t>资格性审查</w:t>
      </w:r>
      <w:r>
        <w:tab/>
      </w:r>
      <w:r>
        <w:fldChar w:fldCharType="begin"/>
      </w:r>
      <w:r>
        <w:instrText xml:space="preserve"> PAGEREF _Toc78191630 \h </w:instrText>
      </w:r>
      <w:r>
        <w:fldChar w:fldCharType="separate"/>
      </w:r>
      <w:r>
        <w:t>72</w:t>
      </w:r>
      <w:r>
        <w:fldChar w:fldCharType="end"/>
      </w:r>
      <w:r>
        <w:fldChar w:fldCharType="end"/>
      </w:r>
    </w:p>
    <w:p>
      <w:pPr>
        <w:pStyle w:val="32"/>
        <w:rPr>
          <w:rFonts w:asciiTheme="minorHAnsi" w:hAnsiTheme="minorHAnsi" w:eastAsiaTheme="minorEastAsia" w:cstheme="minorBidi"/>
          <w:sz w:val="21"/>
          <w:szCs w:val="22"/>
        </w:rPr>
      </w:pPr>
      <w:r>
        <w:fldChar w:fldCharType="begin"/>
      </w:r>
      <w:r>
        <w:instrText xml:space="preserve"> HYPERLINK \l "_Toc78191631" </w:instrText>
      </w:r>
      <w:r>
        <w:fldChar w:fldCharType="separate"/>
      </w:r>
      <w:r>
        <w:rPr>
          <w:rStyle w:val="44"/>
          <w:rFonts w:ascii="Times New Roman" w:hAnsi="Times New Roman"/>
          <w:b/>
          <w:color w:val="auto"/>
          <w:spacing w:val="-20"/>
          <w:kern w:val="44"/>
        </w:rPr>
        <w:t>第6章</w:t>
      </w:r>
      <w:r>
        <w:rPr>
          <w:rFonts w:asciiTheme="minorHAnsi" w:hAnsiTheme="minorHAnsi" w:eastAsiaTheme="minorEastAsia" w:cstheme="minorBidi"/>
          <w:bCs w:val="0"/>
          <w:caps w:val="0"/>
          <w:sz w:val="21"/>
          <w:szCs w:val="22"/>
        </w:rPr>
        <w:tab/>
      </w:r>
      <w:r>
        <w:rPr>
          <w:rStyle w:val="44"/>
          <w:rFonts w:ascii="宋体" w:hAnsi="宋体"/>
          <w:b/>
          <w:color w:val="auto"/>
          <w:spacing w:val="-20"/>
          <w:kern w:val="44"/>
        </w:rPr>
        <w:t>评标办法</w:t>
      </w:r>
      <w:r>
        <w:tab/>
      </w:r>
      <w:r>
        <w:fldChar w:fldCharType="begin"/>
      </w:r>
      <w:r>
        <w:instrText xml:space="preserve"> PAGEREF _Toc78191631 \h </w:instrText>
      </w:r>
      <w:r>
        <w:fldChar w:fldCharType="separate"/>
      </w:r>
      <w:r>
        <w:t>76</w:t>
      </w:r>
      <w:r>
        <w:fldChar w:fldCharType="end"/>
      </w:r>
      <w:r>
        <w:fldChar w:fldCharType="end"/>
      </w:r>
    </w:p>
    <w:p>
      <w:pPr>
        <w:pStyle w:val="32"/>
        <w:rPr>
          <w:rFonts w:asciiTheme="minorHAnsi" w:hAnsiTheme="minorHAnsi" w:eastAsiaTheme="minorEastAsia" w:cstheme="minorBidi"/>
          <w:bCs w:val="0"/>
          <w:caps w:val="0"/>
          <w:sz w:val="21"/>
          <w:szCs w:val="22"/>
        </w:rPr>
      </w:pPr>
      <w:r>
        <w:fldChar w:fldCharType="begin"/>
      </w:r>
      <w:r>
        <w:instrText xml:space="preserve"> HYPERLINK \l "_Toc78191642" </w:instrText>
      </w:r>
      <w:r>
        <w:fldChar w:fldCharType="separate"/>
      </w:r>
      <w:r>
        <w:rPr>
          <w:rStyle w:val="44"/>
          <w:rFonts w:ascii="Times New Roman" w:hAnsi="Times New Roman"/>
          <w:b/>
          <w:color w:val="auto"/>
          <w:spacing w:val="-20"/>
          <w:kern w:val="44"/>
        </w:rPr>
        <w:t>第7章</w:t>
      </w:r>
      <w:r>
        <w:rPr>
          <w:rFonts w:asciiTheme="minorHAnsi" w:hAnsiTheme="minorHAnsi" w:eastAsiaTheme="minorEastAsia" w:cstheme="minorBidi"/>
          <w:bCs w:val="0"/>
          <w:caps w:val="0"/>
          <w:sz w:val="21"/>
          <w:szCs w:val="22"/>
        </w:rPr>
        <w:tab/>
      </w:r>
      <w:r>
        <w:rPr>
          <w:rStyle w:val="44"/>
          <w:rFonts w:ascii="宋体" w:hAnsi="宋体"/>
          <w:b/>
          <w:color w:val="auto"/>
          <w:spacing w:val="-20"/>
          <w:kern w:val="44"/>
        </w:rPr>
        <w:t>拟签订合同文本</w:t>
      </w:r>
      <w:r>
        <w:tab/>
      </w:r>
      <w:r>
        <w:fldChar w:fldCharType="begin"/>
      </w:r>
      <w:r>
        <w:instrText xml:space="preserve"> PAGEREF _Toc78191642 \h </w:instrText>
      </w:r>
      <w:r>
        <w:fldChar w:fldCharType="separate"/>
      </w:r>
      <w:r>
        <w:t>93</w:t>
      </w:r>
      <w:r>
        <w:fldChar w:fldCharType="end"/>
      </w:r>
      <w:r>
        <w:fldChar w:fldCharType="end"/>
      </w:r>
    </w:p>
    <w:p>
      <w:pPr>
        <w:tabs>
          <w:tab w:val="left" w:pos="620"/>
          <w:tab w:val="right" w:leader="dot" w:pos="8364"/>
        </w:tabs>
        <w:spacing w:line="360" w:lineRule="exact"/>
      </w:pPr>
      <w:r>
        <w:rPr>
          <w:rFonts w:hint="eastAsia"/>
        </w:rPr>
        <w:fldChar w:fldCharType="end"/>
      </w:r>
    </w:p>
    <w:p>
      <w:r>
        <w:rPr>
          <w:rFonts w:hint="eastAsia"/>
        </w:rPr>
        <w:br w:type="page"/>
      </w:r>
    </w:p>
    <w:p>
      <w:pPr>
        <w:pStyle w:val="2"/>
      </w:pPr>
    </w:p>
    <w:p>
      <w:pPr>
        <w:keepNext/>
        <w:keepLines/>
        <w:numPr>
          <w:ilvl w:val="0"/>
          <w:numId w:val="3"/>
        </w:numPr>
        <w:spacing w:before="340" w:after="330" w:line="400" w:lineRule="exact"/>
        <w:ind w:hanging="3260"/>
        <w:jc w:val="center"/>
        <w:outlineLvl w:val="0"/>
        <w:rPr>
          <w:rFonts w:ascii="宋体" w:hAnsi="宋体"/>
          <w:b/>
          <w:bCs/>
          <w:spacing w:val="-20"/>
          <w:kern w:val="44"/>
          <w:sz w:val="32"/>
          <w:szCs w:val="32"/>
        </w:rPr>
      </w:pPr>
      <w:bookmarkStart w:id="4" w:name="_Toc181610856"/>
      <w:bookmarkStart w:id="5" w:name="_Toc181591102"/>
      <w:bookmarkStart w:id="6" w:name="_Toc204575871"/>
      <w:bookmarkStart w:id="7" w:name="_Toc78191606"/>
      <w:r>
        <w:rPr>
          <w:rFonts w:hint="eastAsia" w:ascii="宋体" w:hAnsi="宋体"/>
          <w:b/>
          <w:bCs/>
          <w:spacing w:val="-20"/>
          <w:kern w:val="44"/>
          <w:sz w:val="32"/>
          <w:szCs w:val="32"/>
        </w:rPr>
        <w:t>投标邀请</w:t>
      </w:r>
      <w:bookmarkEnd w:id="4"/>
      <w:bookmarkEnd w:id="5"/>
      <w:bookmarkEnd w:id="6"/>
      <w:bookmarkEnd w:id="7"/>
    </w:p>
    <w:p>
      <w:pPr>
        <w:spacing w:line="360" w:lineRule="auto"/>
        <w:ind w:firstLine="565" w:firstLineChars="202"/>
        <w:rPr>
          <w:rFonts w:ascii="宋体" w:hAnsi="宋体"/>
          <w:sz w:val="28"/>
          <w:szCs w:val="28"/>
        </w:rPr>
      </w:pPr>
      <w:r>
        <w:rPr>
          <w:rFonts w:hint="eastAsia" w:ascii="宋体" w:hAnsi="宋体"/>
          <w:sz w:val="28"/>
          <w:szCs w:val="28"/>
        </w:rPr>
        <w:t>都江堰市公共资源交易服务中心(以下简称“市公资交易中心”)受</w:t>
      </w:r>
      <w:r>
        <w:rPr>
          <w:rFonts w:hint="eastAsia" w:ascii="宋体" w:hAnsi="宋体"/>
          <w:b/>
          <w:sz w:val="28"/>
          <w:szCs w:val="28"/>
          <w:u w:val="single"/>
        </w:rPr>
        <w:t>都江堰市中医医院</w:t>
      </w:r>
      <w:r>
        <w:rPr>
          <w:rFonts w:hint="eastAsia" w:ascii="宋体" w:hAnsi="宋体"/>
          <w:sz w:val="28"/>
          <w:szCs w:val="28"/>
        </w:rPr>
        <w:t>委托，拟对</w:t>
      </w:r>
      <w:r>
        <w:rPr>
          <w:rFonts w:hint="eastAsia" w:ascii="宋体" w:hAnsi="宋体"/>
          <w:b/>
          <w:sz w:val="28"/>
          <w:szCs w:val="28"/>
          <w:u w:val="single"/>
        </w:rPr>
        <w:t>都江堰市中医医院2021年第一批医疗设备采购项目</w:t>
      </w:r>
      <w:r>
        <w:rPr>
          <w:rFonts w:hint="eastAsia" w:ascii="宋体" w:hAnsi="宋体"/>
          <w:sz w:val="28"/>
          <w:szCs w:val="28"/>
        </w:rPr>
        <w:t>进行国内公开招标，兹邀请符合本次招标要求的供应商参加投标。</w:t>
      </w:r>
    </w:p>
    <w:p>
      <w:pPr>
        <w:numPr>
          <w:ilvl w:val="0"/>
          <w:numId w:val="4"/>
        </w:numPr>
        <w:spacing w:line="360" w:lineRule="auto"/>
        <w:ind w:left="0" w:firstLine="567"/>
        <w:rPr>
          <w:rFonts w:ascii="宋体" w:hAnsi="宋体"/>
          <w:b/>
          <w:sz w:val="28"/>
          <w:szCs w:val="28"/>
        </w:rPr>
      </w:pPr>
      <w:r>
        <w:rPr>
          <w:rFonts w:hint="eastAsia" w:ascii="宋体" w:hAnsi="宋体"/>
          <w:b/>
          <w:sz w:val="28"/>
          <w:szCs w:val="28"/>
        </w:rPr>
        <w:t>项目编号：JY3202</w:t>
      </w:r>
      <w:r>
        <w:rPr>
          <w:rFonts w:hint="eastAsia" w:ascii="宋体" w:hAnsi="宋体"/>
          <w:b/>
          <w:sz w:val="28"/>
          <w:szCs w:val="28"/>
          <w:u w:val="single"/>
        </w:rPr>
        <w:t>10099</w:t>
      </w:r>
      <w:r>
        <w:rPr>
          <w:rFonts w:hint="eastAsia" w:ascii="宋体" w:hAnsi="宋体"/>
          <w:b/>
          <w:sz w:val="28"/>
          <w:szCs w:val="28"/>
        </w:rPr>
        <w:t>号</w:t>
      </w:r>
    </w:p>
    <w:p>
      <w:pPr>
        <w:numPr>
          <w:ilvl w:val="0"/>
          <w:numId w:val="4"/>
        </w:numPr>
        <w:spacing w:line="360" w:lineRule="auto"/>
        <w:ind w:left="988"/>
        <w:rPr>
          <w:rFonts w:ascii="宋体" w:hAnsi="宋体"/>
          <w:b/>
          <w:sz w:val="24"/>
          <w:szCs w:val="24"/>
        </w:rPr>
      </w:pPr>
      <w:r>
        <w:rPr>
          <w:rFonts w:hint="eastAsia" w:ascii="宋体" w:hAnsi="宋体"/>
          <w:b/>
          <w:sz w:val="28"/>
          <w:szCs w:val="28"/>
        </w:rPr>
        <w:t>项目名称：</w:t>
      </w:r>
      <w:r>
        <w:rPr>
          <w:rFonts w:hint="eastAsia" w:ascii="宋体" w:hAnsi="宋体"/>
          <w:b/>
          <w:sz w:val="24"/>
          <w:szCs w:val="24"/>
          <w:u w:val="single"/>
        </w:rPr>
        <w:t>都江堰市中医医院2021年第一批医疗设备</w:t>
      </w:r>
      <w:r>
        <w:rPr>
          <w:rFonts w:hint="eastAsia" w:ascii="宋体" w:hAnsi="宋体"/>
          <w:b/>
          <w:sz w:val="24"/>
          <w:szCs w:val="24"/>
        </w:rPr>
        <w:t>采购项目</w:t>
      </w:r>
    </w:p>
    <w:p>
      <w:pPr>
        <w:autoSpaceDE w:val="0"/>
        <w:autoSpaceDN w:val="0"/>
        <w:adjustRightInd w:val="0"/>
        <w:spacing w:line="360" w:lineRule="auto"/>
        <w:ind w:right="210" w:rightChars="100"/>
        <w:rPr>
          <w:rFonts w:ascii="宋体" w:hAnsi="宋体"/>
          <w:color w:val="FF0000"/>
          <w:sz w:val="28"/>
          <w:szCs w:val="28"/>
        </w:rPr>
      </w:pPr>
      <w:r>
        <w:rPr>
          <w:rFonts w:hint="eastAsia" w:ascii="宋体" w:hAnsi="宋体"/>
          <w:b/>
          <w:sz w:val="28"/>
          <w:szCs w:val="28"/>
        </w:rPr>
        <w:t>资金来源、预算金额及最高限价：</w:t>
      </w:r>
      <w:r>
        <w:rPr>
          <w:rFonts w:hint="eastAsia" w:ascii="宋体" w:hAnsi="宋体"/>
          <w:sz w:val="28"/>
          <w:szCs w:val="28"/>
        </w:rPr>
        <w:t>财政性资金，政府采购实施计划备案表号：</w:t>
      </w:r>
      <w:r>
        <w:rPr>
          <w:rFonts w:hint="eastAsia" w:ascii="宋体" w:hAnsi="宋体"/>
          <w:color w:val="FF0000"/>
          <w:sz w:val="28"/>
          <w:szCs w:val="28"/>
          <w:u w:val="single"/>
        </w:rPr>
        <w:t>3692315</w:t>
      </w:r>
      <w:r>
        <w:rPr>
          <w:rFonts w:hint="eastAsia" w:ascii="宋体" w:hAnsi="宋体"/>
          <w:sz w:val="28"/>
          <w:szCs w:val="28"/>
        </w:rPr>
        <w:t>号；预算品目：医疗器械；</w:t>
      </w:r>
      <w:r>
        <w:rPr>
          <w:rFonts w:hint="eastAsia" w:ascii="宋体" w:hAnsi="宋体"/>
          <w:color w:val="FF0000"/>
          <w:sz w:val="28"/>
          <w:szCs w:val="28"/>
        </w:rPr>
        <w:t>预算金额：</w:t>
      </w:r>
      <w:r>
        <w:rPr>
          <w:rFonts w:hint="eastAsia" w:ascii="宋体" w:hAnsi="宋体"/>
          <w:color w:val="FF0000"/>
          <w:sz w:val="28"/>
          <w:szCs w:val="28"/>
          <w:u w:val="single"/>
        </w:rPr>
        <w:t>4344000</w:t>
      </w:r>
      <w:r>
        <w:rPr>
          <w:rFonts w:hint="eastAsia" w:ascii="宋体" w:hAnsi="宋体"/>
          <w:color w:val="FF0000"/>
          <w:sz w:val="28"/>
          <w:szCs w:val="28"/>
        </w:rPr>
        <w:t>元</w:t>
      </w:r>
      <w:r>
        <w:rPr>
          <w:rFonts w:hint="eastAsia" w:ascii="宋体" w:hAnsi="宋体"/>
          <w:color w:val="FF0000"/>
          <w:sz w:val="28"/>
        </w:rPr>
        <w:t>；</w:t>
      </w:r>
      <w:r>
        <w:rPr>
          <w:rFonts w:hint="eastAsia" w:ascii="Times New Roman" w:hAnsi="Times New Roman"/>
          <w:bCs/>
          <w:color w:val="FF0000"/>
          <w:sz w:val="28"/>
          <w:szCs w:val="28"/>
        </w:rPr>
        <w:t>本项目分为3个包</w:t>
      </w:r>
      <w:r>
        <w:rPr>
          <w:rFonts w:hint="eastAsia" w:ascii="Times New Roman" w:hAnsi="Times New Roman"/>
          <w:color w:val="FF0000"/>
          <w:sz w:val="28"/>
          <w:szCs w:val="28"/>
        </w:rPr>
        <w:t>：</w:t>
      </w:r>
      <w:r>
        <w:rPr>
          <w:rFonts w:hint="eastAsia" w:ascii="Times New Roman" w:hAnsi="Times New Roman"/>
          <w:bCs/>
          <w:color w:val="FF0000"/>
          <w:sz w:val="28"/>
          <w:szCs w:val="28"/>
        </w:rPr>
        <w:t>包1最高限价</w:t>
      </w:r>
      <w:r>
        <w:rPr>
          <w:rFonts w:hint="eastAsia" w:ascii="Times New Roman" w:hAnsi="Times New Roman"/>
          <w:bCs/>
          <w:color w:val="FF0000"/>
          <w:sz w:val="28"/>
          <w:szCs w:val="28"/>
          <w:u w:val="single"/>
        </w:rPr>
        <w:t>259</w:t>
      </w:r>
      <w:r>
        <w:rPr>
          <w:rFonts w:hint="eastAsia" w:ascii="Times New Roman" w:hAnsi="Times New Roman"/>
          <w:color w:val="FF0000"/>
          <w:sz w:val="28"/>
          <w:szCs w:val="28"/>
          <w:u w:val="single"/>
        </w:rPr>
        <w:t>0000</w:t>
      </w:r>
      <w:r>
        <w:rPr>
          <w:rFonts w:hint="eastAsia" w:ascii="Times New Roman" w:hAnsi="Times New Roman"/>
          <w:color w:val="FF0000"/>
          <w:sz w:val="28"/>
          <w:szCs w:val="28"/>
        </w:rPr>
        <w:t xml:space="preserve">元； </w:t>
      </w:r>
      <w:r>
        <w:rPr>
          <w:rFonts w:hint="eastAsia" w:ascii="Times New Roman" w:hAnsi="Times New Roman"/>
          <w:bCs/>
          <w:color w:val="FF0000"/>
          <w:sz w:val="28"/>
          <w:szCs w:val="28"/>
        </w:rPr>
        <w:t>包2最高限价</w:t>
      </w:r>
      <w:r>
        <w:rPr>
          <w:rFonts w:hint="eastAsia" w:ascii="Times New Roman" w:hAnsi="Times New Roman"/>
          <w:bCs/>
          <w:color w:val="FF0000"/>
          <w:sz w:val="28"/>
          <w:szCs w:val="28"/>
          <w:u w:val="single"/>
        </w:rPr>
        <w:t>935</w:t>
      </w:r>
      <w:r>
        <w:rPr>
          <w:rFonts w:hint="eastAsia" w:ascii="Times New Roman" w:hAnsi="Times New Roman"/>
          <w:color w:val="FF0000"/>
          <w:sz w:val="28"/>
          <w:szCs w:val="28"/>
          <w:u w:val="single"/>
        </w:rPr>
        <w:t>000</w:t>
      </w:r>
      <w:r>
        <w:rPr>
          <w:rFonts w:hint="eastAsia" w:ascii="Times New Roman" w:hAnsi="Times New Roman"/>
          <w:color w:val="FF0000"/>
          <w:sz w:val="28"/>
          <w:szCs w:val="28"/>
        </w:rPr>
        <w:t>元；</w:t>
      </w:r>
      <w:r>
        <w:rPr>
          <w:rFonts w:hint="eastAsia" w:ascii="Times New Roman" w:hAnsi="Times New Roman"/>
          <w:bCs/>
          <w:color w:val="FF0000"/>
          <w:sz w:val="28"/>
          <w:szCs w:val="28"/>
        </w:rPr>
        <w:t xml:space="preserve"> 包3最高限价</w:t>
      </w:r>
      <w:r>
        <w:rPr>
          <w:rFonts w:hint="eastAsia" w:ascii="Times New Roman" w:hAnsi="Times New Roman"/>
          <w:color w:val="FF0000"/>
          <w:sz w:val="28"/>
          <w:szCs w:val="28"/>
          <w:u w:val="single"/>
        </w:rPr>
        <w:t>819000</w:t>
      </w:r>
      <w:r>
        <w:rPr>
          <w:rFonts w:hint="eastAsia" w:ascii="Times New Roman" w:hAnsi="Times New Roman"/>
          <w:color w:val="FF0000"/>
          <w:sz w:val="28"/>
          <w:szCs w:val="28"/>
        </w:rPr>
        <w:t>元；</w:t>
      </w:r>
      <w:r>
        <w:rPr>
          <w:rFonts w:hint="eastAsia"/>
          <w:color w:val="FF0000"/>
          <w:sz w:val="28"/>
          <w:szCs w:val="28"/>
          <w:lang w:val="zh-CN"/>
        </w:rPr>
        <w:t>如投标人投标报价高于最高限价则其投标文件将按无效投标文件处理。</w:t>
      </w:r>
    </w:p>
    <w:p>
      <w:pPr>
        <w:spacing w:line="360" w:lineRule="auto"/>
        <w:ind w:left="420" w:leftChars="200"/>
      </w:pPr>
      <w:r>
        <w:rPr>
          <w:rFonts w:hint="eastAsia" w:ascii="宋体" w:hAnsi="宋体"/>
          <w:b/>
          <w:sz w:val="28"/>
          <w:szCs w:val="28"/>
        </w:rPr>
        <w:t>三、招标项目简介</w:t>
      </w:r>
    </w:p>
    <w:p>
      <w:pPr>
        <w:pStyle w:val="2"/>
      </w:pPr>
      <w:r>
        <w:rPr>
          <w:rFonts w:hint="eastAsia" w:ascii="宋体" w:hAnsi="宋体"/>
          <w:b/>
          <w:sz w:val="28"/>
          <w:szCs w:val="28"/>
        </w:rPr>
        <w:t>包1</w:t>
      </w:r>
    </w:p>
    <w:tbl>
      <w:tblPr>
        <w:tblStyle w:val="47"/>
        <w:tblpPr w:leftFromText="180" w:rightFromText="180" w:vertAnchor="text" w:tblpY="1"/>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767"/>
        <w:gridCol w:w="1245"/>
        <w:gridCol w:w="14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774" w:type="dxa"/>
            <w:vAlign w:val="center"/>
          </w:tcPr>
          <w:p>
            <w:pPr>
              <w:pStyle w:val="80"/>
              <w:ind w:firstLine="0" w:firstLineChars="0"/>
              <w:jc w:val="center"/>
              <w:rPr>
                <w:b/>
                <w:sz w:val="24"/>
                <w:szCs w:val="24"/>
              </w:rPr>
            </w:pPr>
            <w:r>
              <w:rPr>
                <w:rFonts w:hint="eastAsia"/>
                <w:b/>
                <w:sz w:val="24"/>
                <w:szCs w:val="24"/>
              </w:rPr>
              <w:t>序号</w:t>
            </w:r>
          </w:p>
        </w:tc>
        <w:tc>
          <w:tcPr>
            <w:tcW w:w="2767" w:type="dxa"/>
            <w:vAlign w:val="center"/>
          </w:tcPr>
          <w:p>
            <w:pPr>
              <w:pStyle w:val="80"/>
              <w:ind w:firstLine="0" w:firstLineChars="0"/>
              <w:jc w:val="center"/>
              <w:rPr>
                <w:b/>
                <w:sz w:val="24"/>
                <w:szCs w:val="24"/>
              </w:rPr>
            </w:pPr>
            <w:r>
              <w:rPr>
                <w:rFonts w:hint="eastAsia"/>
                <w:b/>
                <w:sz w:val="24"/>
                <w:szCs w:val="24"/>
              </w:rPr>
              <w:t>货物名称（标的名称）</w:t>
            </w:r>
          </w:p>
        </w:tc>
        <w:tc>
          <w:tcPr>
            <w:tcW w:w="1245" w:type="dxa"/>
            <w:vAlign w:val="center"/>
          </w:tcPr>
          <w:p>
            <w:pPr>
              <w:pStyle w:val="80"/>
              <w:ind w:firstLine="0" w:firstLineChars="0"/>
              <w:jc w:val="center"/>
              <w:rPr>
                <w:b/>
                <w:sz w:val="24"/>
                <w:szCs w:val="24"/>
              </w:rPr>
            </w:pPr>
            <w:r>
              <w:rPr>
                <w:rFonts w:hint="eastAsia"/>
                <w:b/>
                <w:sz w:val="24"/>
                <w:szCs w:val="24"/>
              </w:rPr>
              <w:t>数量</w:t>
            </w:r>
          </w:p>
        </w:tc>
        <w:tc>
          <w:tcPr>
            <w:tcW w:w="1418" w:type="dxa"/>
            <w:vAlign w:val="center"/>
          </w:tcPr>
          <w:p>
            <w:pPr>
              <w:pStyle w:val="80"/>
              <w:ind w:firstLine="0" w:firstLineChars="0"/>
              <w:jc w:val="center"/>
              <w:rPr>
                <w:b/>
                <w:sz w:val="24"/>
                <w:szCs w:val="24"/>
              </w:rPr>
            </w:pPr>
            <w:r>
              <w:rPr>
                <w:rFonts w:hint="eastAsia"/>
                <w:b/>
                <w:sz w:val="24"/>
                <w:szCs w:val="24"/>
              </w:rPr>
              <w:t>数量单位</w:t>
            </w:r>
          </w:p>
        </w:tc>
        <w:tc>
          <w:tcPr>
            <w:tcW w:w="1984" w:type="dxa"/>
            <w:vAlign w:val="center"/>
          </w:tcPr>
          <w:p>
            <w:pPr>
              <w:pStyle w:val="80"/>
              <w:ind w:firstLine="0" w:firstLineChars="0"/>
              <w:jc w:val="center"/>
              <w:rPr>
                <w:b/>
                <w:sz w:val="24"/>
                <w:szCs w:val="24"/>
              </w:rPr>
            </w:pPr>
            <w:r>
              <w:rPr>
                <w:rFonts w:hint="eastAsia"/>
                <w:b/>
                <w:sz w:val="24"/>
                <w:szCs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numPr>
                <w:ilvl w:val="0"/>
                <w:numId w:val="5"/>
              </w:numPr>
              <w:ind w:firstLineChars="0"/>
              <w:rPr>
                <w:sz w:val="24"/>
                <w:szCs w:val="24"/>
              </w:rPr>
            </w:pPr>
          </w:p>
        </w:tc>
        <w:tc>
          <w:tcPr>
            <w:tcW w:w="2767" w:type="dxa"/>
            <w:shd w:val="clear" w:color="auto" w:fill="auto"/>
            <w:vAlign w:val="center"/>
          </w:tcPr>
          <w:p>
            <w:pPr>
              <w:jc w:val="center"/>
              <w:rPr>
                <w:rFonts w:ascii="宋体" w:hAnsi="宋体"/>
                <w:bCs/>
                <w:sz w:val="24"/>
                <w:szCs w:val="24"/>
              </w:rPr>
            </w:pPr>
            <w:r>
              <w:rPr>
                <w:rFonts w:hint="eastAsia" w:ascii="仿宋_GB2312" w:eastAsia="仿宋_GB2312"/>
                <w:b/>
                <w:bCs/>
                <w:sz w:val="24"/>
                <w:szCs w:val="24"/>
              </w:rPr>
              <w:t>床旁连续性血液净化机</w:t>
            </w:r>
          </w:p>
        </w:tc>
        <w:tc>
          <w:tcPr>
            <w:tcW w:w="1245" w:type="dxa"/>
            <w:vAlign w:val="center"/>
          </w:tcPr>
          <w:p>
            <w:pPr>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w:t>
            </w:r>
          </w:p>
        </w:tc>
        <w:tc>
          <w:tcPr>
            <w:tcW w:w="1418" w:type="dxa"/>
            <w:vAlign w:val="center"/>
          </w:tcPr>
          <w:p>
            <w:pPr>
              <w:jc w:val="center"/>
              <w:rPr>
                <w:rFonts w:ascii="宋体" w:hAnsi="宋体"/>
                <w:bCs/>
                <w:sz w:val="24"/>
                <w:szCs w:val="24"/>
              </w:rP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numPr>
                <w:ilvl w:val="0"/>
                <w:numId w:val="5"/>
              </w:numPr>
              <w:ind w:firstLineChars="0"/>
              <w:rPr>
                <w:sz w:val="24"/>
                <w:szCs w:val="24"/>
              </w:rPr>
            </w:pP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全自动电控心肺复苏机</w:t>
            </w:r>
          </w:p>
        </w:tc>
        <w:tc>
          <w:tcPr>
            <w:tcW w:w="1245" w:type="dxa"/>
            <w:vAlign w:val="center"/>
          </w:tcPr>
          <w:p>
            <w:pPr>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w:t>
            </w:r>
          </w:p>
        </w:tc>
        <w:tc>
          <w:tcPr>
            <w:tcW w:w="1418" w:type="dxa"/>
            <w:vAlign w:val="center"/>
          </w:tcPr>
          <w:p>
            <w:pPr>
              <w:jc w:val="center"/>
              <w:rPr>
                <w:rFonts w:ascii="宋体" w:hAnsi="宋体"/>
                <w:bCs/>
                <w:sz w:val="24"/>
                <w:szCs w:val="24"/>
              </w:rP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numPr>
                <w:ilvl w:val="0"/>
                <w:numId w:val="5"/>
              </w:numPr>
              <w:ind w:firstLineChars="0"/>
              <w:rPr>
                <w:sz w:val="24"/>
                <w:szCs w:val="24"/>
              </w:rPr>
            </w:pP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可视喉镜</w:t>
            </w:r>
          </w:p>
        </w:tc>
        <w:tc>
          <w:tcPr>
            <w:tcW w:w="1245" w:type="dxa"/>
            <w:vAlign w:val="center"/>
          </w:tcPr>
          <w:p>
            <w:pPr>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w:t>
            </w:r>
          </w:p>
        </w:tc>
        <w:tc>
          <w:tcPr>
            <w:tcW w:w="1418" w:type="dxa"/>
            <w:vAlign w:val="center"/>
          </w:tcPr>
          <w:p>
            <w:pPr>
              <w:jc w:val="cente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numPr>
                <w:ilvl w:val="0"/>
                <w:numId w:val="5"/>
              </w:numPr>
              <w:ind w:firstLineChars="0"/>
              <w:rPr>
                <w:sz w:val="24"/>
                <w:szCs w:val="24"/>
              </w:rPr>
            </w:pP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无创呼吸机</w:t>
            </w:r>
          </w:p>
        </w:tc>
        <w:tc>
          <w:tcPr>
            <w:tcW w:w="1245" w:type="dxa"/>
            <w:vAlign w:val="center"/>
          </w:tcPr>
          <w:p>
            <w:pPr>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w:t>
            </w:r>
          </w:p>
        </w:tc>
        <w:tc>
          <w:tcPr>
            <w:tcW w:w="1418" w:type="dxa"/>
            <w:vAlign w:val="center"/>
          </w:tcPr>
          <w:p>
            <w:pPr>
              <w:jc w:val="cente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numPr>
                <w:ilvl w:val="0"/>
                <w:numId w:val="5"/>
              </w:numPr>
              <w:ind w:firstLineChars="0"/>
              <w:rPr>
                <w:sz w:val="24"/>
                <w:szCs w:val="24"/>
              </w:rPr>
            </w:pP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有创呼吸机</w:t>
            </w:r>
          </w:p>
        </w:tc>
        <w:tc>
          <w:tcPr>
            <w:tcW w:w="1245" w:type="dxa"/>
            <w:vAlign w:val="center"/>
          </w:tcPr>
          <w:p>
            <w:pPr>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w:t>
            </w:r>
          </w:p>
        </w:tc>
        <w:tc>
          <w:tcPr>
            <w:tcW w:w="1418" w:type="dxa"/>
            <w:vAlign w:val="center"/>
          </w:tcPr>
          <w:p>
            <w:pPr>
              <w:jc w:val="cente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numPr>
                <w:ilvl w:val="0"/>
                <w:numId w:val="5"/>
              </w:numPr>
              <w:ind w:firstLineChars="0"/>
              <w:rPr>
                <w:sz w:val="24"/>
                <w:szCs w:val="24"/>
              </w:rPr>
            </w:pP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移动式抢救床</w:t>
            </w:r>
          </w:p>
        </w:tc>
        <w:tc>
          <w:tcPr>
            <w:tcW w:w="1245" w:type="dxa"/>
            <w:vAlign w:val="center"/>
          </w:tcPr>
          <w:p>
            <w:pPr>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4</w:t>
            </w:r>
          </w:p>
        </w:tc>
        <w:tc>
          <w:tcPr>
            <w:tcW w:w="1418" w:type="dxa"/>
            <w:vAlign w:val="center"/>
          </w:tcPr>
          <w:p>
            <w:pPr>
              <w:jc w:val="center"/>
            </w:pPr>
            <w:r>
              <w:rPr>
                <w:rFonts w:hint="eastAsia"/>
              </w:rPr>
              <w:t>张</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numPr>
                <w:ilvl w:val="0"/>
                <w:numId w:val="5"/>
              </w:numPr>
              <w:ind w:firstLineChars="0"/>
              <w:rPr>
                <w:sz w:val="24"/>
                <w:szCs w:val="24"/>
              </w:rPr>
            </w:pP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吊塔</w:t>
            </w:r>
          </w:p>
        </w:tc>
        <w:tc>
          <w:tcPr>
            <w:tcW w:w="1245" w:type="dxa"/>
            <w:vAlign w:val="center"/>
          </w:tcPr>
          <w:p>
            <w:pPr>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4</w:t>
            </w:r>
          </w:p>
        </w:tc>
        <w:tc>
          <w:tcPr>
            <w:tcW w:w="1418" w:type="dxa"/>
            <w:vAlign w:val="center"/>
          </w:tcPr>
          <w:p>
            <w:pPr>
              <w:jc w:val="center"/>
            </w:pPr>
            <w:r>
              <w:rPr>
                <w:rFonts w:hint="eastAsia"/>
              </w:rPr>
              <w:t>套</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numPr>
                <w:ilvl w:val="0"/>
                <w:numId w:val="5"/>
              </w:numPr>
              <w:ind w:firstLineChars="0"/>
              <w:rPr>
                <w:sz w:val="24"/>
                <w:szCs w:val="24"/>
              </w:rPr>
            </w:pP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除颤仪</w:t>
            </w:r>
          </w:p>
        </w:tc>
        <w:tc>
          <w:tcPr>
            <w:tcW w:w="1245" w:type="dxa"/>
            <w:vAlign w:val="center"/>
          </w:tcPr>
          <w:p>
            <w:pPr>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w:t>
            </w:r>
          </w:p>
        </w:tc>
        <w:tc>
          <w:tcPr>
            <w:tcW w:w="1418" w:type="dxa"/>
            <w:vAlign w:val="center"/>
          </w:tcPr>
          <w:p>
            <w:pPr>
              <w:jc w:val="cente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numPr>
                <w:ilvl w:val="0"/>
                <w:numId w:val="5"/>
              </w:numPr>
              <w:ind w:firstLineChars="0"/>
              <w:rPr>
                <w:sz w:val="24"/>
                <w:szCs w:val="24"/>
              </w:rPr>
            </w:pP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开颅动力系统（颅骨钻、铣刀等）</w:t>
            </w:r>
          </w:p>
        </w:tc>
        <w:tc>
          <w:tcPr>
            <w:tcW w:w="1245" w:type="dxa"/>
            <w:vAlign w:val="center"/>
          </w:tcPr>
          <w:p>
            <w:pPr>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w:t>
            </w:r>
          </w:p>
        </w:tc>
        <w:tc>
          <w:tcPr>
            <w:tcW w:w="1418" w:type="dxa"/>
            <w:vAlign w:val="center"/>
          </w:tcPr>
          <w:p>
            <w:pPr>
              <w:jc w:val="center"/>
              <w:rPr>
                <w:rFonts w:ascii="宋体" w:hAnsi="宋体"/>
                <w:bCs/>
                <w:sz w:val="24"/>
                <w:szCs w:val="24"/>
              </w:rPr>
            </w:pPr>
            <w:r>
              <w:rPr>
                <w:rFonts w:hint="eastAsia"/>
              </w:rPr>
              <w:t>套</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numPr>
                <w:ilvl w:val="0"/>
                <w:numId w:val="5"/>
              </w:numPr>
              <w:ind w:firstLineChars="0"/>
              <w:rPr>
                <w:sz w:val="24"/>
                <w:szCs w:val="24"/>
              </w:rPr>
            </w:pP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麻醉机</w:t>
            </w:r>
          </w:p>
        </w:tc>
        <w:tc>
          <w:tcPr>
            <w:tcW w:w="1245" w:type="dxa"/>
            <w:vAlign w:val="center"/>
          </w:tcPr>
          <w:p>
            <w:pPr>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w:t>
            </w:r>
          </w:p>
        </w:tc>
        <w:tc>
          <w:tcPr>
            <w:tcW w:w="1418" w:type="dxa"/>
            <w:vAlign w:val="center"/>
          </w:tcPr>
          <w:p>
            <w:pPr>
              <w:jc w:val="center"/>
              <w:rPr>
                <w:rFonts w:ascii="宋体" w:hAnsi="宋体"/>
                <w:bCs/>
                <w:sz w:val="24"/>
                <w:szCs w:val="24"/>
              </w:rP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numPr>
                <w:ilvl w:val="0"/>
                <w:numId w:val="5"/>
              </w:numPr>
              <w:ind w:firstLineChars="0"/>
              <w:rPr>
                <w:sz w:val="24"/>
                <w:szCs w:val="24"/>
              </w:rPr>
            </w:pP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麻醉监护仪</w:t>
            </w:r>
          </w:p>
        </w:tc>
        <w:tc>
          <w:tcPr>
            <w:tcW w:w="1245" w:type="dxa"/>
            <w:vAlign w:val="center"/>
          </w:tcPr>
          <w:p>
            <w:pPr>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w:t>
            </w:r>
          </w:p>
        </w:tc>
        <w:tc>
          <w:tcPr>
            <w:tcW w:w="1418" w:type="dxa"/>
            <w:vAlign w:val="center"/>
          </w:tcPr>
          <w:p>
            <w:pPr>
              <w:jc w:val="center"/>
            </w:pPr>
            <w:r>
              <w:rPr>
                <w:rFonts w:hint="eastAsia"/>
              </w:rPr>
              <w:t>台</w:t>
            </w:r>
          </w:p>
        </w:tc>
        <w:tc>
          <w:tcPr>
            <w:tcW w:w="1984" w:type="dxa"/>
            <w:vAlign w:val="center"/>
          </w:tcPr>
          <w:p>
            <w:pPr>
              <w:jc w:val="center"/>
            </w:pPr>
            <w:r>
              <w:rPr>
                <w:rFonts w:hint="eastAsia"/>
              </w:rPr>
              <w:t>工业</w:t>
            </w:r>
          </w:p>
        </w:tc>
      </w:tr>
    </w:tbl>
    <w:p>
      <w:pPr>
        <w:spacing w:line="360" w:lineRule="auto"/>
        <w:ind w:firstLine="560" w:firstLineChars="200"/>
        <w:rPr>
          <w:rFonts w:ascii="宋体" w:hAnsi="宋体"/>
          <w:sz w:val="28"/>
          <w:szCs w:val="28"/>
        </w:rPr>
      </w:pPr>
    </w:p>
    <w:p>
      <w:pPr>
        <w:spacing w:line="360" w:lineRule="auto"/>
        <w:ind w:firstLine="560" w:firstLineChars="200"/>
        <w:rPr>
          <w:rFonts w:ascii="宋体" w:hAnsi="宋体"/>
          <w:sz w:val="28"/>
          <w:szCs w:val="28"/>
        </w:rPr>
      </w:pPr>
    </w:p>
    <w:p>
      <w:pPr>
        <w:pStyle w:val="2"/>
        <w:rPr>
          <w:rFonts w:ascii="宋体" w:hAnsi="宋体"/>
          <w:b/>
          <w:sz w:val="28"/>
          <w:szCs w:val="28"/>
        </w:rPr>
      </w:pPr>
    </w:p>
    <w:p>
      <w:pPr>
        <w:rPr>
          <w:rFonts w:ascii="宋体" w:hAnsi="宋体"/>
          <w:sz w:val="28"/>
          <w:szCs w:val="28"/>
        </w:rPr>
      </w:pPr>
    </w:p>
    <w:tbl>
      <w:tblPr>
        <w:tblStyle w:val="47"/>
        <w:tblpPr w:leftFromText="180" w:rightFromText="180" w:vertAnchor="text" w:tblpY="1712"/>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767"/>
        <w:gridCol w:w="1245"/>
        <w:gridCol w:w="14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774" w:type="dxa"/>
            <w:vAlign w:val="center"/>
          </w:tcPr>
          <w:p>
            <w:pPr>
              <w:pStyle w:val="80"/>
              <w:ind w:firstLine="0" w:firstLineChars="0"/>
              <w:jc w:val="center"/>
              <w:rPr>
                <w:b/>
                <w:sz w:val="24"/>
                <w:szCs w:val="24"/>
              </w:rPr>
            </w:pPr>
            <w:r>
              <w:rPr>
                <w:rFonts w:hint="eastAsia"/>
                <w:b/>
                <w:sz w:val="24"/>
                <w:szCs w:val="24"/>
              </w:rPr>
              <w:t>序号</w:t>
            </w:r>
          </w:p>
        </w:tc>
        <w:tc>
          <w:tcPr>
            <w:tcW w:w="2767" w:type="dxa"/>
            <w:vAlign w:val="center"/>
          </w:tcPr>
          <w:p>
            <w:pPr>
              <w:pStyle w:val="80"/>
              <w:ind w:firstLine="0" w:firstLineChars="0"/>
              <w:jc w:val="center"/>
              <w:rPr>
                <w:b/>
                <w:sz w:val="24"/>
                <w:szCs w:val="24"/>
              </w:rPr>
            </w:pPr>
            <w:r>
              <w:rPr>
                <w:rFonts w:hint="eastAsia"/>
                <w:b/>
                <w:sz w:val="24"/>
                <w:szCs w:val="24"/>
              </w:rPr>
              <w:t>货物名称（标的名称）</w:t>
            </w:r>
          </w:p>
        </w:tc>
        <w:tc>
          <w:tcPr>
            <w:tcW w:w="1245" w:type="dxa"/>
            <w:vAlign w:val="center"/>
          </w:tcPr>
          <w:p>
            <w:pPr>
              <w:pStyle w:val="80"/>
              <w:ind w:firstLine="0" w:firstLineChars="0"/>
              <w:jc w:val="center"/>
              <w:rPr>
                <w:b/>
                <w:sz w:val="24"/>
                <w:szCs w:val="24"/>
              </w:rPr>
            </w:pPr>
            <w:r>
              <w:rPr>
                <w:rFonts w:hint="eastAsia"/>
                <w:b/>
                <w:sz w:val="24"/>
                <w:szCs w:val="24"/>
              </w:rPr>
              <w:t>数量</w:t>
            </w:r>
          </w:p>
        </w:tc>
        <w:tc>
          <w:tcPr>
            <w:tcW w:w="1418" w:type="dxa"/>
            <w:vAlign w:val="center"/>
          </w:tcPr>
          <w:p>
            <w:pPr>
              <w:pStyle w:val="80"/>
              <w:ind w:firstLine="0" w:firstLineChars="0"/>
              <w:jc w:val="center"/>
              <w:rPr>
                <w:b/>
                <w:sz w:val="24"/>
                <w:szCs w:val="24"/>
              </w:rPr>
            </w:pPr>
            <w:r>
              <w:rPr>
                <w:rFonts w:hint="eastAsia"/>
                <w:b/>
                <w:sz w:val="24"/>
                <w:szCs w:val="24"/>
              </w:rPr>
              <w:t>数量单位</w:t>
            </w:r>
          </w:p>
        </w:tc>
        <w:tc>
          <w:tcPr>
            <w:tcW w:w="1984" w:type="dxa"/>
            <w:vAlign w:val="center"/>
          </w:tcPr>
          <w:p>
            <w:pPr>
              <w:pStyle w:val="80"/>
              <w:ind w:firstLine="0" w:firstLineChars="0"/>
              <w:jc w:val="center"/>
              <w:rPr>
                <w:b/>
                <w:sz w:val="24"/>
                <w:szCs w:val="24"/>
              </w:rPr>
            </w:pPr>
            <w:r>
              <w:rPr>
                <w:rFonts w:hint="eastAsia"/>
                <w:b/>
                <w:sz w:val="24"/>
                <w:szCs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ind w:left="280" w:firstLine="0" w:firstLineChars="0"/>
              <w:rPr>
                <w:sz w:val="24"/>
                <w:szCs w:val="24"/>
              </w:rPr>
            </w:pPr>
            <w:r>
              <w:rPr>
                <w:rFonts w:hint="eastAsia"/>
                <w:sz w:val="24"/>
                <w:szCs w:val="24"/>
              </w:rPr>
              <w:t>1</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经颅多普勒超声诊断仪</w:t>
            </w:r>
          </w:p>
        </w:tc>
        <w:tc>
          <w:tcPr>
            <w:tcW w:w="1245" w:type="dxa"/>
            <w:vAlign w:val="center"/>
          </w:tcPr>
          <w:p>
            <w:pPr>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w:t>
            </w:r>
          </w:p>
        </w:tc>
        <w:tc>
          <w:tcPr>
            <w:tcW w:w="1418" w:type="dxa"/>
            <w:vAlign w:val="center"/>
          </w:tcPr>
          <w:p>
            <w:pPr>
              <w:jc w:val="center"/>
              <w:rPr>
                <w:rFonts w:ascii="宋体" w:hAnsi="宋体"/>
                <w:bCs/>
                <w:sz w:val="24"/>
                <w:szCs w:val="24"/>
              </w:rP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ind w:left="280" w:firstLine="0" w:firstLineChars="0"/>
              <w:rPr>
                <w:sz w:val="24"/>
                <w:szCs w:val="24"/>
              </w:rPr>
            </w:pPr>
            <w:r>
              <w:rPr>
                <w:rFonts w:hint="eastAsia"/>
                <w:sz w:val="24"/>
                <w:szCs w:val="24"/>
              </w:rPr>
              <w:t>2</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输液泵</w:t>
            </w:r>
          </w:p>
        </w:tc>
        <w:tc>
          <w:tcPr>
            <w:tcW w:w="1245" w:type="dxa"/>
            <w:vAlign w:val="center"/>
          </w:tcPr>
          <w:p>
            <w:pPr>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w:t>
            </w:r>
          </w:p>
        </w:tc>
        <w:tc>
          <w:tcPr>
            <w:tcW w:w="1418" w:type="dxa"/>
            <w:vAlign w:val="center"/>
          </w:tcPr>
          <w:p>
            <w:pPr>
              <w:jc w:val="cente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ind w:left="280" w:firstLine="0" w:firstLineChars="0"/>
              <w:rPr>
                <w:sz w:val="24"/>
                <w:szCs w:val="24"/>
              </w:rPr>
            </w:pPr>
            <w:r>
              <w:rPr>
                <w:rFonts w:hint="eastAsia"/>
                <w:sz w:val="24"/>
                <w:szCs w:val="24"/>
              </w:rPr>
              <w:t>3</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治疗台</w:t>
            </w:r>
          </w:p>
        </w:tc>
        <w:tc>
          <w:tcPr>
            <w:tcW w:w="1245" w:type="dxa"/>
            <w:vAlign w:val="center"/>
          </w:tcPr>
          <w:p>
            <w:pPr>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6</w:t>
            </w:r>
          </w:p>
        </w:tc>
        <w:tc>
          <w:tcPr>
            <w:tcW w:w="1418" w:type="dxa"/>
            <w:vAlign w:val="center"/>
          </w:tcPr>
          <w:p>
            <w:pPr>
              <w:jc w:val="center"/>
            </w:pPr>
            <w:r>
              <w:rPr>
                <w:rFonts w:hint="eastAsia"/>
              </w:rPr>
              <w:t>组</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ind w:left="280" w:firstLine="0" w:firstLineChars="0"/>
              <w:rPr>
                <w:sz w:val="24"/>
                <w:szCs w:val="24"/>
              </w:rPr>
            </w:pPr>
            <w:r>
              <w:rPr>
                <w:rFonts w:hint="eastAsia"/>
                <w:sz w:val="24"/>
                <w:szCs w:val="24"/>
              </w:rPr>
              <w:t>4</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动态多参数遥测监护仪</w:t>
            </w:r>
          </w:p>
        </w:tc>
        <w:tc>
          <w:tcPr>
            <w:tcW w:w="1245" w:type="dxa"/>
            <w:vAlign w:val="center"/>
          </w:tcPr>
          <w:p>
            <w:pPr>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8</w:t>
            </w:r>
          </w:p>
        </w:tc>
        <w:tc>
          <w:tcPr>
            <w:tcW w:w="1418" w:type="dxa"/>
            <w:vAlign w:val="center"/>
          </w:tcPr>
          <w:p>
            <w:pPr>
              <w:jc w:val="cente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ind w:left="280" w:firstLine="0" w:firstLineChars="0"/>
              <w:rPr>
                <w:sz w:val="24"/>
                <w:szCs w:val="24"/>
              </w:rPr>
            </w:pPr>
            <w:r>
              <w:rPr>
                <w:rFonts w:hint="eastAsia"/>
                <w:sz w:val="24"/>
                <w:szCs w:val="24"/>
              </w:rPr>
              <w:t>5</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母婴监护仪</w:t>
            </w:r>
          </w:p>
        </w:tc>
        <w:tc>
          <w:tcPr>
            <w:tcW w:w="1245" w:type="dxa"/>
            <w:vAlign w:val="center"/>
          </w:tcPr>
          <w:p>
            <w:pPr>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w:t>
            </w:r>
          </w:p>
        </w:tc>
        <w:tc>
          <w:tcPr>
            <w:tcW w:w="1418" w:type="dxa"/>
            <w:vAlign w:val="center"/>
          </w:tcPr>
          <w:p>
            <w:pPr>
              <w:jc w:val="cente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ind w:left="280" w:firstLine="0" w:firstLineChars="0"/>
              <w:rPr>
                <w:sz w:val="24"/>
                <w:szCs w:val="24"/>
              </w:rPr>
            </w:pPr>
            <w:r>
              <w:rPr>
                <w:rFonts w:hint="eastAsia"/>
                <w:sz w:val="24"/>
                <w:szCs w:val="24"/>
              </w:rPr>
              <w:t>6</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移动式空气消毒机</w:t>
            </w:r>
          </w:p>
        </w:tc>
        <w:tc>
          <w:tcPr>
            <w:tcW w:w="1245" w:type="dxa"/>
            <w:vAlign w:val="center"/>
          </w:tcPr>
          <w:p>
            <w:pPr>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22</w:t>
            </w:r>
          </w:p>
        </w:tc>
        <w:tc>
          <w:tcPr>
            <w:tcW w:w="1418" w:type="dxa"/>
            <w:vAlign w:val="center"/>
          </w:tcPr>
          <w:p>
            <w:pPr>
              <w:jc w:val="cente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ind w:left="280" w:firstLine="0" w:firstLineChars="0"/>
              <w:rPr>
                <w:sz w:val="24"/>
                <w:szCs w:val="24"/>
              </w:rPr>
            </w:pPr>
            <w:r>
              <w:rPr>
                <w:rFonts w:hint="eastAsia"/>
                <w:sz w:val="24"/>
                <w:szCs w:val="24"/>
              </w:rPr>
              <w:t>7</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心电监护仪</w:t>
            </w:r>
          </w:p>
        </w:tc>
        <w:tc>
          <w:tcPr>
            <w:tcW w:w="1245" w:type="dxa"/>
            <w:vAlign w:val="center"/>
          </w:tcPr>
          <w:p>
            <w:pPr>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w:t>
            </w:r>
          </w:p>
        </w:tc>
        <w:tc>
          <w:tcPr>
            <w:tcW w:w="1418" w:type="dxa"/>
            <w:vAlign w:val="center"/>
          </w:tcPr>
          <w:p>
            <w:pPr>
              <w:jc w:val="cente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ind w:left="280" w:firstLine="0" w:firstLineChars="0"/>
              <w:rPr>
                <w:sz w:val="24"/>
                <w:szCs w:val="24"/>
              </w:rPr>
            </w:pPr>
            <w:r>
              <w:rPr>
                <w:rFonts w:hint="eastAsia"/>
                <w:sz w:val="24"/>
                <w:szCs w:val="24"/>
              </w:rPr>
              <w:t>8</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心电监护仪</w:t>
            </w:r>
          </w:p>
        </w:tc>
        <w:tc>
          <w:tcPr>
            <w:tcW w:w="1245" w:type="dxa"/>
            <w:vAlign w:val="center"/>
          </w:tcPr>
          <w:p>
            <w:pPr>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4</w:t>
            </w:r>
          </w:p>
        </w:tc>
        <w:tc>
          <w:tcPr>
            <w:tcW w:w="1418" w:type="dxa"/>
            <w:vAlign w:val="center"/>
          </w:tcPr>
          <w:p>
            <w:pPr>
              <w:jc w:val="cente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ind w:left="280" w:firstLine="0" w:firstLineChars="0"/>
              <w:rPr>
                <w:sz w:val="24"/>
                <w:szCs w:val="24"/>
              </w:rPr>
            </w:pPr>
            <w:r>
              <w:rPr>
                <w:rFonts w:hint="eastAsia"/>
                <w:sz w:val="24"/>
                <w:szCs w:val="24"/>
              </w:rPr>
              <w:t>9</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24小时动态心电监测仪</w:t>
            </w:r>
          </w:p>
        </w:tc>
        <w:tc>
          <w:tcPr>
            <w:tcW w:w="1245" w:type="dxa"/>
            <w:vAlign w:val="center"/>
          </w:tcPr>
          <w:p>
            <w:pPr>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w:t>
            </w:r>
          </w:p>
        </w:tc>
        <w:tc>
          <w:tcPr>
            <w:tcW w:w="1418" w:type="dxa"/>
            <w:vAlign w:val="center"/>
          </w:tcPr>
          <w:p>
            <w:pPr>
              <w:jc w:val="cente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ind w:left="280" w:firstLine="0" w:firstLineChars="0"/>
              <w:rPr>
                <w:sz w:val="24"/>
                <w:szCs w:val="24"/>
              </w:rPr>
            </w:pPr>
            <w:r>
              <w:rPr>
                <w:rFonts w:hint="eastAsia"/>
                <w:sz w:val="24"/>
                <w:szCs w:val="24"/>
              </w:rPr>
              <w:t>10</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24小时动态血压监测仪</w:t>
            </w:r>
          </w:p>
        </w:tc>
        <w:tc>
          <w:tcPr>
            <w:tcW w:w="1245" w:type="dxa"/>
            <w:vAlign w:val="center"/>
          </w:tcPr>
          <w:p>
            <w:pPr>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w:t>
            </w:r>
          </w:p>
        </w:tc>
        <w:tc>
          <w:tcPr>
            <w:tcW w:w="1418" w:type="dxa"/>
            <w:vAlign w:val="center"/>
          </w:tcPr>
          <w:p>
            <w:pPr>
              <w:jc w:val="cente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ind w:left="280" w:firstLine="0" w:firstLineChars="0"/>
              <w:rPr>
                <w:sz w:val="24"/>
                <w:szCs w:val="24"/>
              </w:rPr>
            </w:pPr>
            <w:r>
              <w:rPr>
                <w:rFonts w:hint="eastAsia"/>
                <w:sz w:val="24"/>
                <w:szCs w:val="24"/>
              </w:rPr>
              <w:t>11</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心电图机</w:t>
            </w:r>
          </w:p>
        </w:tc>
        <w:tc>
          <w:tcPr>
            <w:tcW w:w="1245" w:type="dxa"/>
            <w:vAlign w:val="center"/>
          </w:tcPr>
          <w:p>
            <w:pPr>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w:t>
            </w:r>
          </w:p>
        </w:tc>
        <w:tc>
          <w:tcPr>
            <w:tcW w:w="1418" w:type="dxa"/>
            <w:vAlign w:val="center"/>
          </w:tcPr>
          <w:p>
            <w:pPr>
              <w:jc w:val="center"/>
            </w:pPr>
            <w:r>
              <w:rPr>
                <w:rFonts w:hint="eastAsia"/>
              </w:rPr>
              <w:t>台</w:t>
            </w:r>
          </w:p>
        </w:tc>
        <w:tc>
          <w:tcPr>
            <w:tcW w:w="1984" w:type="dxa"/>
            <w:vAlign w:val="center"/>
          </w:tcPr>
          <w:p>
            <w:pPr>
              <w:jc w:val="center"/>
            </w:pPr>
            <w:r>
              <w:rPr>
                <w:rFonts w:hint="eastAsia"/>
              </w:rPr>
              <w:t>工业</w:t>
            </w:r>
          </w:p>
        </w:tc>
      </w:tr>
    </w:tbl>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r>
        <w:rPr>
          <w:rFonts w:hint="eastAsia" w:ascii="宋体" w:hAnsi="宋体"/>
          <w:b/>
          <w:sz w:val="28"/>
          <w:szCs w:val="28"/>
        </w:rPr>
        <w:t>包2</w:t>
      </w: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pPr>
    </w:p>
    <w:p>
      <w:pPr>
        <w:spacing w:line="360" w:lineRule="auto"/>
        <w:ind w:firstLine="560" w:firstLineChars="200"/>
        <w:rPr>
          <w:rFonts w:ascii="宋体" w:hAnsi="宋体"/>
          <w:sz w:val="28"/>
          <w:szCs w:val="28"/>
        </w:rPr>
      </w:pPr>
    </w:p>
    <w:p>
      <w:pPr>
        <w:spacing w:line="360" w:lineRule="auto"/>
        <w:ind w:firstLine="560" w:firstLineChars="200"/>
        <w:rPr>
          <w:rFonts w:ascii="宋体" w:hAnsi="宋体"/>
          <w:sz w:val="28"/>
          <w:szCs w:val="28"/>
        </w:rPr>
      </w:pPr>
    </w:p>
    <w:p>
      <w:pPr>
        <w:spacing w:line="360" w:lineRule="auto"/>
        <w:ind w:firstLine="560" w:firstLineChars="200"/>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pStyle w:val="2"/>
        <w:rPr>
          <w:rFonts w:ascii="宋体" w:hAnsi="宋体"/>
          <w:b/>
          <w:sz w:val="28"/>
          <w:szCs w:val="28"/>
        </w:rPr>
      </w:pPr>
    </w:p>
    <w:p>
      <w:pPr>
        <w:pStyle w:val="2"/>
        <w:rPr>
          <w:rFonts w:ascii="宋体" w:hAnsi="宋体"/>
          <w:b/>
          <w:sz w:val="28"/>
          <w:szCs w:val="28"/>
        </w:rPr>
      </w:pPr>
    </w:p>
    <w:p>
      <w:pPr>
        <w:pStyle w:val="2"/>
        <w:rPr>
          <w:rFonts w:ascii="宋体" w:hAnsi="宋体"/>
          <w:sz w:val="28"/>
          <w:szCs w:val="28"/>
        </w:rPr>
      </w:pPr>
      <w:r>
        <w:rPr>
          <w:rFonts w:hint="eastAsia" w:ascii="宋体" w:hAnsi="宋体"/>
          <w:b/>
          <w:sz w:val="28"/>
          <w:szCs w:val="28"/>
        </w:rPr>
        <w:t>包3</w:t>
      </w:r>
    </w:p>
    <w:tbl>
      <w:tblPr>
        <w:tblStyle w:val="47"/>
        <w:tblpPr w:leftFromText="180" w:rightFromText="180" w:vertAnchor="text" w:tblpY="1"/>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767"/>
        <w:gridCol w:w="1245"/>
        <w:gridCol w:w="14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774" w:type="dxa"/>
            <w:vAlign w:val="center"/>
          </w:tcPr>
          <w:p>
            <w:pPr>
              <w:pStyle w:val="80"/>
              <w:ind w:firstLine="0" w:firstLineChars="0"/>
              <w:jc w:val="center"/>
              <w:rPr>
                <w:b/>
                <w:sz w:val="24"/>
                <w:szCs w:val="24"/>
              </w:rPr>
            </w:pPr>
            <w:r>
              <w:rPr>
                <w:rFonts w:hint="eastAsia"/>
                <w:b/>
                <w:sz w:val="24"/>
                <w:szCs w:val="24"/>
              </w:rPr>
              <w:t>序号</w:t>
            </w:r>
          </w:p>
        </w:tc>
        <w:tc>
          <w:tcPr>
            <w:tcW w:w="2767" w:type="dxa"/>
            <w:vAlign w:val="center"/>
          </w:tcPr>
          <w:p>
            <w:pPr>
              <w:pStyle w:val="80"/>
              <w:ind w:firstLine="0" w:firstLineChars="0"/>
              <w:jc w:val="center"/>
              <w:rPr>
                <w:b/>
                <w:sz w:val="24"/>
                <w:szCs w:val="24"/>
              </w:rPr>
            </w:pPr>
            <w:r>
              <w:rPr>
                <w:rFonts w:hint="eastAsia"/>
                <w:b/>
                <w:sz w:val="24"/>
                <w:szCs w:val="24"/>
              </w:rPr>
              <w:t>货物名称（标的名称）</w:t>
            </w:r>
          </w:p>
        </w:tc>
        <w:tc>
          <w:tcPr>
            <w:tcW w:w="1245" w:type="dxa"/>
            <w:vAlign w:val="center"/>
          </w:tcPr>
          <w:p>
            <w:pPr>
              <w:pStyle w:val="80"/>
              <w:ind w:firstLine="0" w:firstLineChars="0"/>
              <w:jc w:val="center"/>
              <w:rPr>
                <w:b/>
                <w:sz w:val="24"/>
                <w:szCs w:val="24"/>
              </w:rPr>
            </w:pPr>
            <w:r>
              <w:rPr>
                <w:rFonts w:hint="eastAsia"/>
                <w:b/>
                <w:sz w:val="24"/>
                <w:szCs w:val="24"/>
              </w:rPr>
              <w:t>数量</w:t>
            </w:r>
          </w:p>
        </w:tc>
        <w:tc>
          <w:tcPr>
            <w:tcW w:w="1418" w:type="dxa"/>
            <w:vAlign w:val="center"/>
          </w:tcPr>
          <w:p>
            <w:pPr>
              <w:pStyle w:val="80"/>
              <w:ind w:firstLine="0" w:firstLineChars="0"/>
              <w:jc w:val="center"/>
              <w:rPr>
                <w:b/>
                <w:sz w:val="24"/>
                <w:szCs w:val="24"/>
              </w:rPr>
            </w:pPr>
            <w:r>
              <w:rPr>
                <w:rFonts w:hint="eastAsia"/>
                <w:b/>
                <w:sz w:val="24"/>
                <w:szCs w:val="24"/>
              </w:rPr>
              <w:t>数量单位</w:t>
            </w:r>
          </w:p>
        </w:tc>
        <w:tc>
          <w:tcPr>
            <w:tcW w:w="1984" w:type="dxa"/>
            <w:vAlign w:val="center"/>
          </w:tcPr>
          <w:p>
            <w:pPr>
              <w:pStyle w:val="80"/>
              <w:ind w:firstLine="0" w:firstLineChars="0"/>
              <w:jc w:val="center"/>
              <w:rPr>
                <w:b/>
                <w:sz w:val="24"/>
                <w:szCs w:val="24"/>
              </w:rPr>
            </w:pPr>
            <w:r>
              <w:rPr>
                <w:rFonts w:hint="eastAsia"/>
                <w:b/>
                <w:sz w:val="24"/>
                <w:szCs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ind w:left="280" w:firstLine="0" w:firstLineChars="0"/>
              <w:rPr>
                <w:sz w:val="24"/>
                <w:szCs w:val="24"/>
              </w:rPr>
            </w:pPr>
            <w:r>
              <w:rPr>
                <w:rFonts w:hint="eastAsia"/>
                <w:sz w:val="24"/>
                <w:szCs w:val="24"/>
              </w:rPr>
              <w:t>1</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电子阴道镜</w:t>
            </w:r>
          </w:p>
        </w:tc>
        <w:tc>
          <w:tcPr>
            <w:tcW w:w="1245" w:type="dxa"/>
            <w:vAlign w:val="center"/>
          </w:tcPr>
          <w:p>
            <w:pPr>
              <w:jc w:val="center"/>
              <w:rPr>
                <w:rFonts w:asciiTheme="minorEastAsia" w:hAnsiTheme="minorEastAsia" w:eastAsiaTheme="minorEastAsia" w:cstheme="minorEastAsia"/>
                <w:color w:val="FF0000"/>
                <w:kern w:val="0"/>
                <w:szCs w:val="21"/>
                <w:lang w:bidi="ar"/>
              </w:rPr>
            </w:pPr>
            <w:r>
              <w:rPr>
                <w:rFonts w:hint="eastAsia" w:asciiTheme="minorEastAsia" w:hAnsiTheme="minorEastAsia" w:eastAsiaTheme="minorEastAsia" w:cstheme="minorEastAsia"/>
                <w:color w:val="FF0000"/>
                <w:kern w:val="0"/>
                <w:szCs w:val="21"/>
                <w:lang w:bidi="ar"/>
              </w:rPr>
              <w:t>1</w:t>
            </w:r>
          </w:p>
        </w:tc>
        <w:tc>
          <w:tcPr>
            <w:tcW w:w="1418" w:type="dxa"/>
            <w:vAlign w:val="center"/>
          </w:tcPr>
          <w:p>
            <w:pPr>
              <w:jc w:val="center"/>
              <w:rPr>
                <w:rFonts w:ascii="宋体" w:hAnsi="宋体"/>
                <w:bCs/>
                <w:sz w:val="24"/>
                <w:szCs w:val="24"/>
              </w:rP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ind w:left="280" w:firstLine="0" w:firstLineChars="0"/>
              <w:rPr>
                <w:sz w:val="24"/>
                <w:szCs w:val="24"/>
              </w:rPr>
            </w:pPr>
            <w:r>
              <w:rPr>
                <w:rFonts w:hint="eastAsia"/>
                <w:sz w:val="24"/>
                <w:szCs w:val="24"/>
              </w:rPr>
              <w:t>2</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空气波治疗仪</w:t>
            </w:r>
          </w:p>
        </w:tc>
        <w:tc>
          <w:tcPr>
            <w:tcW w:w="1245" w:type="dxa"/>
            <w:vAlign w:val="center"/>
          </w:tcPr>
          <w:p>
            <w:pPr>
              <w:jc w:val="center"/>
              <w:rPr>
                <w:rFonts w:asciiTheme="minorEastAsia" w:hAnsiTheme="minorEastAsia" w:eastAsiaTheme="minorEastAsia" w:cstheme="minorEastAsia"/>
                <w:color w:val="FF0000"/>
                <w:kern w:val="0"/>
                <w:szCs w:val="21"/>
                <w:lang w:bidi="ar"/>
              </w:rPr>
            </w:pPr>
            <w:r>
              <w:rPr>
                <w:rFonts w:hint="eastAsia" w:asciiTheme="minorEastAsia" w:hAnsiTheme="minorEastAsia" w:eastAsiaTheme="minorEastAsia" w:cstheme="minorEastAsia"/>
                <w:color w:val="FF0000"/>
                <w:kern w:val="0"/>
                <w:szCs w:val="21"/>
                <w:lang w:bidi="ar"/>
              </w:rPr>
              <w:t>3</w:t>
            </w:r>
          </w:p>
        </w:tc>
        <w:tc>
          <w:tcPr>
            <w:tcW w:w="1418" w:type="dxa"/>
            <w:vAlign w:val="center"/>
          </w:tcPr>
          <w:p>
            <w:pPr>
              <w:jc w:val="center"/>
              <w:rPr>
                <w:rFonts w:ascii="宋体" w:hAnsi="宋体"/>
                <w:bCs/>
                <w:sz w:val="24"/>
                <w:szCs w:val="24"/>
              </w:rP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ind w:left="280" w:firstLine="0" w:firstLineChars="0"/>
              <w:rPr>
                <w:sz w:val="24"/>
                <w:szCs w:val="24"/>
              </w:rPr>
            </w:pPr>
            <w:r>
              <w:rPr>
                <w:rFonts w:hint="eastAsia"/>
                <w:sz w:val="24"/>
                <w:szCs w:val="24"/>
              </w:rPr>
              <w:t>3</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气囊压力表</w:t>
            </w:r>
          </w:p>
        </w:tc>
        <w:tc>
          <w:tcPr>
            <w:tcW w:w="1245" w:type="dxa"/>
            <w:vAlign w:val="center"/>
          </w:tcPr>
          <w:p>
            <w:pPr>
              <w:jc w:val="center"/>
              <w:rPr>
                <w:rFonts w:asciiTheme="minorEastAsia" w:hAnsiTheme="minorEastAsia" w:eastAsiaTheme="minorEastAsia" w:cstheme="minorEastAsia"/>
                <w:color w:val="FF0000"/>
                <w:kern w:val="0"/>
                <w:szCs w:val="21"/>
                <w:lang w:bidi="ar"/>
              </w:rPr>
            </w:pPr>
            <w:r>
              <w:rPr>
                <w:rFonts w:hint="eastAsia" w:asciiTheme="minorEastAsia" w:hAnsiTheme="minorEastAsia" w:eastAsiaTheme="minorEastAsia" w:cstheme="minorEastAsia"/>
                <w:color w:val="FF0000"/>
                <w:kern w:val="0"/>
                <w:szCs w:val="21"/>
                <w:lang w:bidi="ar"/>
              </w:rPr>
              <w:t>1</w:t>
            </w:r>
          </w:p>
        </w:tc>
        <w:tc>
          <w:tcPr>
            <w:tcW w:w="1418" w:type="dxa"/>
            <w:vAlign w:val="center"/>
          </w:tcPr>
          <w:p>
            <w:pPr>
              <w:jc w:val="center"/>
              <w:rPr>
                <w:rFonts w:ascii="宋体" w:hAnsi="宋体"/>
                <w:bCs/>
                <w:sz w:val="24"/>
                <w:szCs w:val="24"/>
              </w:rPr>
            </w:pPr>
            <w:r>
              <w:rPr>
                <w:rFonts w:hint="eastAsia"/>
              </w:rPr>
              <w:t>个</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ind w:left="280" w:firstLine="0" w:firstLineChars="0"/>
              <w:rPr>
                <w:sz w:val="24"/>
                <w:szCs w:val="24"/>
              </w:rPr>
            </w:pPr>
            <w:r>
              <w:rPr>
                <w:rFonts w:hint="eastAsia"/>
                <w:sz w:val="24"/>
                <w:szCs w:val="24"/>
              </w:rPr>
              <w:t>4</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高级分娩综合技能训练模型</w:t>
            </w:r>
          </w:p>
        </w:tc>
        <w:tc>
          <w:tcPr>
            <w:tcW w:w="1245" w:type="dxa"/>
            <w:vAlign w:val="center"/>
          </w:tcPr>
          <w:p>
            <w:pPr>
              <w:jc w:val="center"/>
              <w:rPr>
                <w:rFonts w:asciiTheme="minorEastAsia" w:hAnsiTheme="minorEastAsia" w:eastAsiaTheme="minorEastAsia" w:cstheme="minorEastAsia"/>
                <w:color w:val="FF0000"/>
                <w:kern w:val="0"/>
                <w:szCs w:val="21"/>
                <w:lang w:bidi="ar"/>
              </w:rPr>
            </w:pPr>
            <w:r>
              <w:rPr>
                <w:rFonts w:hint="eastAsia" w:asciiTheme="minorEastAsia" w:hAnsiTheme="minorEastAsia" w:eastAsiaTheme="minorEastAsia" w:cstheme="minorEastAsia"/>
                <w:color w:val="FF0000"/>
                <w:kern w:val="0"/>
                <w:szCs w:val="21"/>
                <w:lang w:bidi="ar"/>
              </w:rPr>
              <w:t>1</w:t>
            </w:r>
          </w:p>
        </w:tc>
        <w:tc>
          <w:tcPr>
            <w:tcW w:w="1418" w:type="dxa"/>
            <w:vAlign w:val="center"/>
          </w:tcPr>
          <w:p>
            <w:pPr>
              <w:jc w:val="center"/>
            </w:pPr>
            <w:r>
              <w:rPr>
                <w:rFonts w:hint="eastAsia"/>
              </w:rPr>
              <w:t>套</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ind w:left="280" w:firstLine="0" w:firstLineChars="0"/>
              <w:rPr>
                <w:sz w:val="24"/>
                <w:szCs w:val="24"/>
              </w:rPr>
            </w:pPr>
            <w:r>
              <w:rPr>
                <w:rFonts w:hint="eastAsia"/>
                <w:sz w:val="24"/>
                <w:szCs w:val="24"/>
              </w:rPr>
              <w:t>5</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新生儿心肺复苏插管模型</w:t>
            </w:r>
          </w:p>
        </w:tc>
        <w:tc>
          <w:tcPr>
            <w:tcW w:w="1245" w:type="dxa"/>
            <w:vAlign w:val="center"/>
          </w:tcPr>
          <w:p>
            <w:pPr>
              <w:jc w:val="center"/>
              <w:rPr>
                <w:rFonts w:asciiTheme="minorEastAsia" w:hAnsiTheme="minorEastAsia" w:eastAsiaTheme="minorEastAsia" w:cstheme="minorEastAsia"/>
                <w:color w:val="FF0000"/>
                <w:kern w:val="0"/>
                <w:szCs w:val="21"/>
                <w:lang w:bidi="ar"/>
              </w:rPr>
            </w:pPr>
            <w:r>
              <w:rPr>
                <w:rFonts w:hint="eastAsia" w:asciiTheme="minorEastAsia" w:hAnsiTheme="minorEastAsia" w:eastAsiaTheme="minorEastAsia" w:cstheme="minorEastAsia"/>
                <w:color w:val="FF0000"/>
                <w:kern w:val="0"/>
                <w:szCs w:val="21"/>
                <w:lang w:bidi="ar"/>
              </w:rPr>
              <w:t>1</w:t>
            </w:r>
          </w:p>
        </w:tc>
        <w:tc>
          <w:tcPr>
            <w:tcW w:w="1418" w:type="dxa"/>
            <w:vAlign w:val="center"/>
          </w:tcPr>
          <w:p>
            <w:pPr>
              <w:jc w:val="center"/>
            </w:pPr>
            <w:r>
              <w:rPr>
                <w:rFonts w:hint="eastAsia"/>
              </w:rPr>
              <w:t>套</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ind w:left="280" w:firstLine="0" w:firstLineChars="0"/>
              <w:rPr>
                <w:sz w:val="24"/>
                <w:szCs w:val="24"/>
              </w:rPr>
            </w:pPr>
            <w:r>
              <w:rPr>
                <w:rFonts w:hint="eastAsia"/>
                <w:sz w:val="24"/>
                <w:szCs w:val="24"/>
              </w:rPr>
              <w:t>6</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内镜送水泵</w:t>
            </w:r>
          </w:p>
        </w:tc>
        <w:tc>
          <w:tcPr>
            <w:tcW w:w="1245" w:type="dxa"/>
            <w:vAlign w:val="center"/>
          </w:tcPr>
          <w:p>
            <w:pPr>
              <w:jc w:val="center"/>
              <w:rPr>
                <w:rFonts w:asciiTheme="minorEastAsia" w:hAnsiTheme="minorEastAsia" w:eastAsiaTheme="minorEastAsia" w:cstheme="minorEastAsia"/>
                <w:color w:val="FF0000"/>
                <w:kern w:val="0"/>
                <w:szCs w:val="21"/>
                <w:lang w:bidi="ar"/>
              </w:rPr>
            </w:pPr>
            <w:r>
              <w:rPr>
                <w:rFonts w:hint="eastAsia" w:asciiTheme="minorEastAsia" w:hAnsiTheme="minorEastAsia" w:eastAsiaTheme="minorEastAsia" w:cstheme="minorEastAsia"/>
                <w:color w:val="FF0000"/>
                <w:kern w:val="0"/>
                <w:szCs w:val="21"/>
                <w:lang w:bidi="ar"/>
              </w:rPr>
              <w:t>1</w:t>
            </w:r>
          </w:p>
        </w:tc>
        <w:tc>
          <w:tcPr>
            <w:tcW w:w="1418" w:type="dxa"/>
            <w:vAlign w:val="center"/>
          </w:tcPr>
          <w:p>
            <w:pPr>
              <w:jc w:val="cente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ind w:left="280" w:firstLine="0" w:firstLineChars="0"/>
              <w:rPr>
                <w:sz w:val="24"/>
                <w:szCs w:val="24"/>
              </w:rPr>
            </w:pPr>
            <w:r>
              <w:rPr>
                <w:rFonts w:hint="eastAsia"/>
                <w:sz w:val="24"/>
                <w:szCs w:val="24"/>
              </w:rPr>
              <w:t>7</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内镜用二氧化碳送气装置</w:t>
            </w:r>
          </w:p>
        </w:tc>
        <w:tc>
          <w:tcPr>
            <w:tcW w:w="1245" w:type="dxa"/>
            <w:vAlign w:val="center"/>
          </w:tcPr>
          <w:p>
            <w:pPr>
              <w:jc w:val="center"/>
              <w:rPr>
                <w:rFonts w:hint="eastAsia" w:asciiTheme="minorEastAsia" w:hAnsiTheme="minorEastAsia" w:eastAsiaTheme="minorEastAsia" w:cstheme="minorEastAsia"/>
                <w:color w:val="FF0000"/>
                <w:kern w:val="0"/>
                <w:szCs w:val="21"/>
                <w:lang w:eastAsia="zh-CN" w:bidi="ar"/>
              </w:rPr>
            </w:pPr>
            <w:r>
              <w:rPr>
                <w:rFonts w:hint="eastAsia" w:asciiTheme="minorEastAsia" w:hAnsiTheme="minorEastAsia" w:eastAsiaTheme="minorEastAsia" w:cstheme="minorEastAsia"/>
                <w:color w:val="FF0000"/>
                <w:kern w:val="0"/>
                <w:szCs w:val="21"/>
                <w:lang w:val="en-US" w:eastAsia="zh-CN" w:bidi="ar"/>
              </w:rPr>
              <w:t>1</w:t>
            </w:r>
          </w:p>
        </w:tc>
        <w:tc>
          <w:tcPr>
            <w:tcW w:w="1418" w:type="dxa"/>
            <w:vAlign w:val="center"/>
          </w:tcPr>
          <w:p>
            <w:pPr>
              <w:jc w:val="cente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ind w:left="280" w:firstLine="0" w:firstLineChars="0"/>
              <w:rPr>
                <w:sz w:val="24"/>
                <w:szCs w:val="24"/>
              </w:rPr>
            </w:pPr>
            <w:r>
              <w:rPr>
                <w:rFonts w:hint="eastAsia"/>
                <w:sz w:val="24"/>
                <w:szCs w:val="24"/>
              </w:rPr>
              <w:t>8</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食道扩张探条</w:t>
            </w:r>
          </w:p>
        </w:tc>
        <w:tc>
          <w:tcPr>
            <w:tcW w:w="1245" w:type="dxa"/>
            <w:vAlign w:val="center"/>
          </w:tcPr>
          <w:p>
            <w:pPr>
              <w:jc w:val="center"/>
              <w:rPr>
                <w:rFonts w:hint="eastAsia" w:asciiTheme="minorEastAsia" w:hAnsiTheme="minorEastAsia" w:eastAsiaTheme="minorEastAsia" w:cstheme="minorEastAsia"/>
                <w:color w:val="FF0000"/>
                <w:kern w:val="0"/>
                <w:szCs w:val="21"/>
                <w:lang w:eastAsia="zh-CN" w:bidi="ar"/>
              </w:rPr>
            </w:pPr>
            <w:r>
              <w:rPr>
                <w:rFonts w:hint="eastAsia" w:asciiTheme="minorEastAsia" w:hAnsiTheme="minorEastAsia" w:eastAsiaTheme="minorEastAsia" w:cstheme="minorEastAsia"/>
                <w:color w:val="FF0000"/>
                <w:kern w:val="0"/>
                <w:szCs w:val="21"/>
                <w:lang w:val="en-US" w:eastAsia="zh-CN" w:bidi="ar"/>
              </w:rPr>
              <w:t>1</w:t>
            </w:r>
          </w:p>
        </w:tc>
        <w:tc>
          <w:tcPr>
            <w:tcW w:w="1418" w:type="dxa"/>
            <w:vAlign w:val="center"/>
          </w:tcPr>
          <w:p>
            <w:pPr>
              <w:jc w:val="center"/>
            </w:pPr>
            <w:r>
              <w:rPr>
                <w:rFonts w:hint="eastAsia"/>
              </w:rPr>
              <w:t>套</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ind w:left="280" w:firstLine="0" w:firstLineChars="0"/>
              <w:rPr>
                <w:sz w:val="24"/>
                <w:szCs w:val="24"/>
              </w:rPr>
            </w:pPr>
            <w:r>
              <w:rPr>
                <w:rFonts w:hint="eastAsia"/>
                <w:sz w:val="24"/>
                <w:szCs w:val="24"/>
              </w:rPr>
              <w:t>9</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红蓝黄光治疗仪</w:t>
            </w:r>
          </w:p>
        </w:tc>
        <w:tc>
          <w:tcPr>
            <w:tcW w:w="1245" w:type="dxa"/>
            <w:vAlign w:val="center"/>
          </w:tcPr>
          <w:p>
            <w:pPr>
              <w:jc w:val="center"/>
              <w:rPr>
                <w:rFonts w:asciiTheme="minorEastAsia" w:hAnsiTheme="minorEastAsia" w:eastAsiaTheme="minorEastAsia" w:cstheme="minorEastAsia"/>
                <w:color w:val="FF0000"/>
                <w:kern w:val="0"/>
                <w:szCs w:val="21"/>
                <w:lang w:bidi="ar"/>
              </w:rPr>
            </w:pPr>
            <w:r>
              <w:rPr>
                <w:rFonts w:hint="eastAsia" w:asciiTheme="minorEastAsia" w:hAnsiTheme="minorEastAsia" w:eastAsiaTheme="minorEastAsia" w:cstheme="minorEastAsia"/>
                <w:color w:val="FF0000"/>
                <w:kern w:val="0"/>
                <w:szCs w:val="21"/>
                <w:lang w:bidi="ar"/>
              </w:rPr>
              <w:t>1</w:t>
            </w:r>
          </w:p>
        </w:tc>
        <w:tc>
          <w:tcPr>
            <w:tcW w:w="1418" w:type="dxa"/>
            <w:vAlign w:val="center"/>
          </w:tcPr>
          <w:p>
            <w:pPr>
              <w:jc w:val="cente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ind w:left="280" w:firstLine="0" w:firstLineChars="0"/>
              <w:rPr>
                <w:sz w:val="24"/>
                <w:szCs w:val="24"/>
              </w:rPr>
            </w:pPr>
            <w:r>
              <w:rPr>
                <w:rFonts w:hint="eastAsia"/>
                <w:sz w:val="24"/>
                <w:szCs w:val="24"/>
              </w:rPr>
              <w:t>10</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308纳米紫外线光疗仪</w:t>
            </w:r>
          </w:p>
        </w:tc>
        <w:tc>
          <w:tcPr>
            <w:tcW w:w="1245" w:type="dxa"/>
            <w:vAlign w:val="center"/>
          </w:tcPr>
          <w:p>
            <w:pPr>
              <w:jc w:val="center"/>
              <w:rPr>
                <w:rFonts w:asciiTheme="minorEastAsia" w:hAnsiTheme="minorEastAsia" w:eastAsiaTheme="minorEastAsia" w:cstheme="minorEastAsia"/>
                <w:color w:val="FF0000"/>
                <w:kern w:val="0"/>
                <w:szCs w:val="21"/>
                <w:lang w:bidi="ar"/>
              </w:rPr>
            </w:pPr>
            <w:r>
              <w:rPr>
                <w:rFonts w:hint="eastAsia" w:asciiTheme="minorEastAsia" w:hAnsiTheme="minorEastAsia" w:eastAsiaTheme="minorEastAsia" w:cstheme="minorEastAsia"/>
                <w:color w:val="FF0000"/>
                <w:kern w:val="0"/>
                <w:szCs w:val="21"/>
                <w:lang w:bidi="ar"/>
              </w:rPr>
              <w:t>1</w:t>
            </w:r>
          </w:p>
        </w:tc>
        <w:tc>
          <w:tcPr>
            <w:tcW w:w="1418" w:type="dxa"/>
            <w:vAlign w:val="center"/>
          </w:tcPr>
          <w:p>
            <w:pPr>
              <w:jc w:val="cente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ind w:left="280" w:firstLine="0" w:firstLineChars="0"/>
              <w:rPr>
                <w:sz w:val="24"/>
                <w:szCs w:val="24"/>
              </w:rPr>
            </w:pPr>
            <w:r>
              <w:rPr>
                <w:rFonts w:hint="eastAsia"/>
                <w:sz w:val="24"/>
                <w:szCs w:val="24"/>
              </w:rPr>
              <w:t>11</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皮肤镜</w:t>
            </w:r>
          </w:p>
        </w:tc>
        <w:tc>
          <w:tcPr>
            <w:tcW w:w="1245" w:type="dxa"/>
            <w:vAlign w:val="center"/>
          </w:tcPr>
          <w:p>
            <w:pPr>
              <w:jc w:val="center"/>
              <w:rPr>
                <w:rFonts w:asciiTheme="minorEastAsia" w:hAnsiTheme="minorEastAsia" w:eastAsiaTheme="minorEastAsia" w:cstheme="minorEastAsia"/>
                <w:color w:val="FF0000"/>
                <w:kern w:val="0"/>
                <w:szCs w:val="21"/>
                <w:lang w:bidi="ar"/>
              </w:rPr>
            </w:pPr>
            <w:r>
              <w:rPr>
                <w:rFonts w:hint="eastAsia" w:asciiTheme="minorEastAsia" w:hAnsiTheme="minorEastAsia" w:eastAsiaTheme="minorEastAsia" w:cstheme="minorEastAsia"/>
                <w:color w:val="FF0000"/>
                <w:kern w:val="0"/>
                <w:szCs w:val="21"/>
                <w:lang w:bidi="ar"/>
              </w:rPr>
              <w:t>1</w:t>
            </w:r>
          </w:p>
        </w:tc>
        <w:tc>
          <w:tcPr>
            <w:tcW w:w="1418" w:type="dxa"/>
            <w:vAlign w:val="center"/>
          </w:tcPr>
          <w:p>
            <w:pPr>
              <w:jc w:val="cente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ind w:left="280" w:firstLine="0" w:firstLineChars="0"/>
              <w:rPr>
                <w:sz w:val="24"/>
                <w:szCs w:val="24"/>
              </w:rPr>
            </w:pPr>
            <w:r>
              <w:rPr>
                <w:rFonts w:hint="eastAsia"/>
                <w:sz w:val="24"/>
                <w:szCs w:val="24"/>
              </w:rPr>
              <w:t>12</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半导体激光生发仪</w:t>
            </w:r>
          </w:p>
        </w:tc>
        <w:tc>
          <w:tcPr>
            <w:tcW w:w="1245" w:type="dxa"/>
            <w:vAlign w:val="center"/>
          </w:tcPr>
          <w:p>
            <w:pPr>
              <w:jc w:val="center"/>
              <w:rPr>
                <w:rFonts w:hint="eastAsia" w:asciiTheme="minorEastAsia" w:hAnsiTheme="minorEastAsia" w:eastAsiaTheme="minorEastAsia" w:cstheme="minorEastAsia"/>
                <w:color w:val="FF0000"/>
                <w:kern w:val="0"/>
                <w:szCs w:val="21"/>
                <w:lang w:eastAsia="zh-CN" w:bidi="ar"/>
              </w:rPr>
            </w:pPr>
            <w:r>
              <w:rPr>
                <w:rFonts w:hint="eastAsia" w:asciiTheme="minorEastAsia" w:hAnsiTheme="minorEastAsia" w:eastAsiaTheme="minorEastAsia" w:cstheme="minorEastAsia"/>
                <w:color w:val="FF0000"/>
                <w:kern w:val="0"/>
                <w:szCs w:val="21"/>
                <w:lang w:val="en-US" w:eastAsia="zh-CN" w:bidi="ar"/>
              </w:rPr>
              <w:t>1</w:t>
            </w:r>
          </w:p>
        </w:tc>
        <w:tc>
          <w:tcPr>
            <w:tcW w:w="1418" w:type="dxa"/>
            <w:vAlign w:val="center"/>
          </w:tcPr>
          <w:p>
            <w:pPr>
              <w:jc w:val="cente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ind w:left="280" w:firstLine="0" w:firstLineChars="0"/>
              <w:rPr>
                <w:sz w:val="24"/>
                <w:szCs w:val="24"/>
              </w:rPr>
            </w:pPr>
            <w:r>
              <w:rPr>
                <w:rFonts w:hint="eastAsia"/>
                <w:sz w:val="24"/>
                <w:szCs w:val="24"/>
              </w:rPr>
              <w:t>13</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智能熏蒸机</w:t>
            </w:r>
          </w:p>
        </w:tc>
        <w:tc>
          <w:tcPr>
            <w:tcW w:w="1245" w:type="dxa"/>
            <w:vAlign w:val="center"/>
          </w:tcPr>
          <w:p>
            <w:pPr>
              <w:jc w:val="center"/>
              <w:rPr>
                <w:rFonts w:asciiTheme="minorEastAsia" w:hAnsiTheme="minorEastAsia" w:eastAsiaTheme="minorEastAsia" w:cstheme="minorEastAsia"/>
                <w:color w:val="FF0000"/>
                <w:kern w:val="0"/>
                <w:szCs w:val="21"/>
                <w:lang w:bidi="ar"/>
              </w:rPr>
            </w:pPr>
            <w:r>
              <w:rPr>
                <w:rFonts w:hint="eastAsia" w:asciiTheme="minorEastAsia" w:hAnsiTheme="minorEastAsia" w:eastAsiaTheme="minorEastAsia" w:cstheme="minorEastAsia"/>
                <w:color w:val="FF0000"/>
                <w:kern w:val="0"/>
                <w:szCs w:val="21"/>
                <w:lang w:bidi="ar"/>
              </w:rPr>
              <w:t>1</w:t>
            </w:r>
          </w:p>
        </w:tc>
        <w:tc>
          <w:tcPr>
            <w:tcW w:w="1418" w:type="dxa"/>
            <w:vAlign w:val="center"/>
          </w:tcPr>
          <w:p>
            <w:pPr>
              <w:jc w:val="cente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ind w:left="280" w:firstLine="0" w:firstLineChars="0"/>
              <w:rPr>
                <w:sz w:val="24"/>
                <w:szCs w:val="24"/>
              </w:rPr>
            </w:pPr>
            <w:r>
              <w:rPr>
                <w:rFonts w:hint="eastAsia"/>
                <w:sz w:val="24"/>
                <w:szCs w:val="24"/>
              </w:rPr>
              <w:t>14</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电脑视野检查仪</w:t>
            </w:r>
          </w:p>
        </w:tc>
        <w:tc>
          <w:tcPr>
            <w:tcW w:w="1245" w:type="dxa"/>
            <w:vAlign w:val="center"/>
          </w:tcPr>
          <w:p>
            <w:pPr>
              <w:jc w:val="center"/>
              <w:rPr>
                <w:rFonts w:hint="eastAsia" w:asciiTheme="minorEastAsia" w:hAnsiTheme="minorEastAsia" w:eastAsiaTheme="minorEastAsia" w:cstheme="minorEastAsia"/>
                <w:color w:val="FF0000"/>
                <w:kern w:val="0"/>
                <w:szCs w:val="21"/>
                <w:lang w:eastAsia="zh-CN" w:bidi="ar"/>
              </w:rPr>
            </w:pPr>
            <w:r>
              <w:rPr>
                <w:rFonts w:hint="eastAsia" w:asciiTheme="minorEastAsia" w:hAnsiTheme="minorEastAsia" w:eastAsiaTheme="minorEastAsia" w:cstheme="minorEastAsia"/>
                <w:color w:val="FF0000"/>
                <w:kern w:val="0"/>
                <w:szCs w:val="21"/>
                <w:lang w:val="en-US" w:eastAsia="zh-CN" w:bidi="ar"/>
              </w:rPr>
              <w:t>1</w:t>
            </w:r>
          </w:p>
        </w:tc>
        <w:tc>
          <w:tcPr>
            <w:tcW w:w="1418" w:type="dxa"/>
            <w:vAlign w:val="center"/>
          </w:tcPr>
          <w:p>
            <w:pPr>
              <w:jc w:val="cente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ind w:left="280" w:firstLine="0" w:firstLineChars="0"/>
              <w:rPr>
                <w:rFonts w:hint="eastAsia"/>
                <w:sz w:val="24"/>
                <w:szCs w:val="24"/>
              </w:rPr>
            </w:pPr>
            <w:r>
              <w:rPr>
                <w:rFonts w:hint="eastAsia"/>
                <w:sz w:val="24"/>
                <w:szCs w:val="24"/>
              </w:rPr>
              <w:t>15</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视频耳镜</w:t>
            </w:r>
          </w:p>
        </w:tc>
        <w:tc>
          <w:tcPr>
            <w:tcW w:w="1245" w:type="dxa"/>
            <w:vAlign w:val="center"/>
          </w:tcPr>
          <w:p>
            <w:pPr>
              <w:jc w:val="center"/>
              <w:rPr>
                <w:rFonts w:hint="eastAsia" w:asciiTheme="minorEastAsia" w:hAnsiTheme="minorEastAsia" w:eastAsiaTheme="minorEastAsia" w:cstheme="minorEastAsia"/>
                <w:color w:val="FF0000"/>
                <w:kern w:val="0"/>
                <w:szCs w:val="21"/>
                <w:lang w:eastAsia="zh-CN" w:bidi="ar"/>
              </w:rPr>
            </w:pPr>
            <w:r>
              <w:rPr>
                <w:rFonts w:hint="eastAsia" w:asciiTheme="minorEastAsia" w:hAnsiTheme="minorEastAsia" w:eastAsiaTheme="minorEastAsia" w:cstheme="minorEastAsia"/>
                <w:color w:val="FF0000"/>
                <w:kern w:val="0"/>
                <w:szCs w:val="21"/>
                <w:lang w:val="en-US" w:eastAsia="zh-CN" w:bidi="ar"/>
              </w:rPr>
              <w:t>1</w:t>
            </w:r>
          </w:p>
        </w:tc>
        <w:tc>
          <w:tcPr>
            <w:tcW w:w="1418" w:type="dxa"/>
            <w:vAlign w:val="center"/>
          </w:tcPr>
          <w:p>
            <w:pPr>
              <w:jc w:val="center"/>
            </w:pPr>
            <w:r>
              <w:rPr>
                <w:rFonts w:hint="eastAsia"/>
              </w:rPr>
              <w:t>套</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ind w:left="280" w:firstLine="0" w:firstLineChars="0"/>
              <w:rPr>
                <w:rFonts w:hint="eastAsia"/>
                <w:sz w:val="24"/>
                <w:szCs w:val="24"/>
              </w:rPr>
            </w:pPr>
            <w:r>
              <w:rPr>
                <w:rFonts w:hint="eastAsia"/>
                <w:sz w:val="24"/>
                <w:szCs w:val="24"/>
              </w:rPr>
              <w:t>16</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鼻镜、喉镜镜头</w:t>
            </w:r>
          </w:p>
        </w:tc>
        <w:tc>
          <w:tcPr>
            <w:tcW w:w="1245" w:type="dxa"/>
            <w:vAlign w:val="center"/>
          </w:tcPr>
          <w:p>
            <w:pPr>
              <w:jc w:val="center"/>
              <w:rPr>
                <w:rFonts w:hint="eastAsia" w:asciiTheme="minorEastAsia" w:hAnsiTheme="minorEastAsia" w:eastAsiaTheme="minorEastAsia" w:cstheme="minorEastAsia"/>
                <w:color w:val="FF0000"/>
                <w:kern w:val="0"/>
                <w:szCs w:val="21"/>
                <w:lang w:eastAsia="zh-CN" w:bidi="ar"/>
              </w:rPr>
            </w:pPr>
            <w:r>
              <w:rPr>
                <w:rFonts w:hint="eastAsia" w:asciiTheme="minorEastAsia" w:hAnsiTheme="minorEastAsia" w:eastAsiaTheme="minorEastAsia" w:cstheme="minorEastAsia"/>
                <w:color w:val="FF0000"/>
                <w:kern w:val="0"/>
                <w:szCs w:val="21"/>
                <w:lang w:val="en-US" w:eastAsia="zh-CN" w:bidi="ar"/>
              </w:rPr>
              <w:t>1</w:t>
            </w:r>
          </w:p>
        </w:tc>
        <w:tc>
          <w:tcPr>
            <w:tcW w:w="1418" w:type="dxa"/>
            <w:vAlign w:val="center"/>
          </w:tcPr>
          <w:p>
            <w:pPr>
              <w:jc w:val="center"/>
            </w:pPr>
            <w:r>
              <w:rPr>
                <w:rFonts w:hint="eastAsia"/>
              </w:rPr>
              <w:t>套</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80"/>
              <w:ind w:left="280" w:firstLine="0" w:firstLineChars="0"/>
              <w:rPr>
                <w:rFonts w:hint="eastAsia"/>
                <w:sz w:val="24"/>
                <w:szCs w:val="24"/>
              </w:rPr>
            </w:pPr>
            <w:r>
              <w:rPr>
                <w:rFonts w:hint="eastAsia"/>
                <w:sz w:val="24"/>
                <w:szCs w:val="24"/>
              </w:rPr>
              <w:t>17</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中药熏蒸机</w:t>
            </w:r>
          </w:p>
        </w:tc>
        <w:tc>
          <w:tcPr>
            <w:tcW w:w="1245" w:type="dxa"/>
            <w:vAlign w:val="center"/>
          </w:tcPr>
          <w:p>
            <w:pPr>
              <w:jc w:val="center"/>
              <w:rPr>
                <w:rFonts w:asciiTheme="minorEastAsia" w:hAnsiTheme="minorEastAsia" w:eastAsiaTheme="minorEastAsia" w:cstheme="minorEastAsia"/>
                <w:color w:val="FF0000"/>
                <w:kern w:val="0"/>
                <w:szCs w:val="21"/>
                <w:lang w:bidi="ar"/>
              </w:rPr>
            </w:pPr>
            <w:r>
              <w:rPr>
                <w:rFonts w:hint="eastAsia" w:asciiTheme="minorEastAsia" w:hAnsiTheme="minorEastAsia" w:eastAsiaTheme="minorEastAsia" w:cstheme="minorEastAsia"/>
                <w:color w:val="FF0000"/>
                <w:kern w:val="0"/>
                <w:szCs w:val="21"/>
                <w:lang w:bidi="ar"/>
              </w:rPr>
              <w:t>2</w:t>
            </w:r>
          </w:p>
        </w:tc>
        <w:tc>
          <w:tcPr>
            <w:tcW w:w="1418" w:type="dxa"/>
            <w:vAlign w:val="center"/>
          </w:tcPr>
          <w:p>
            <w:pPr>
              <w:jc w:val="center"/>
            </w:pPr>
            <w:r>
              <w:rPr>
                <w:rFonts w:hint="eastAsia"/>
              </w:rPr>
              <w:t>台</w:t>
            </w:r>
          </w:p>
        </w:tc>
        <w:tc>
          <w:tcPr>
            <w:tcW w:w="1984" w:type="dxa"/>
            <w:vAlign w:val="center"/>
          </w:tcPr>
          <w:p>
            <w:pPr>
              <w:jc w:val="center"/>
            </w:pPr>
            <w:r>
              <w:rPr>
                <w:rFonts w:hint="eastAsia"/>
              </w:rPr>
              <w:t>工业</w:t>
            </w:r>
          </w:p>
        </w:tc>
      </w:tr>
    </w:tbl>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b/>
          <w:sz w:val="28"/>
          <w:szCs w:val="28"/>
        </w:rPr>
      </w:pPr>
    </w:p>
    <w:p>
      <w:pPr>
        <w:pStyle w:val="2"/>
        <w:rPr>
          <w:rFonts w:ascii="宋体" w:hAnsi="宋体"/>
          <w:sz w:val="28"/>
          <w:szCs w:val="28"/>
        </w:rPr>
      </w:pPr>
    </w:p>
    <w:p>
      <w:pPr>
        <w:rPr>
          <w:rFonts w:ascii="宋体" w:hAnsi="宋体"/>
          <w:sz w:val="28"/>
          <w:szCs w:val="28"/>
        </w:rPr>
      </w:pPr>
    </w:p>
    <w:p>
      <w:pPr>
        <w:spacing w:after="120" w:afterLines="50" w:line="440" w:lineRule="exact"/>
        <w:ind w:firstLine="480" w:firstLineChars="200"/>
        <w:rPr>
          <w:rFonts w:ascii="宋体" w:hAnsi="宋体"/>
          <w:bCs/>
          <w:sz w:val="24"/>
        </w:rPr>
      </w:pPr>
    </w:p>
    <w:p>
      <w:pPr>
        <w:spacing w:after="120" w:afterLines="50" w:line="440" w:lineRule="exact"/>
        <w:ind w:firstLine="482" w:firstLineChars="200"/>
        <w:rPr>
          <w:b/>
          <w:color w:val="FF0000"/>
        </w:rPr>
      </w:pPr>
      <w:r>
        <w:rPr>
          <w:rFonts w:hint="eastAsia" w:ascii="宋体" w:hAnsi="宋体"/>
          <w:b/>
          <w:color w:val="FF0000"/>
          <w:sz w:val="24"/>
        </w:rPr>
        <w:t>本项目分为3个包段，投标人可对包段进行选择投标，但投标人必须对所投包段中的所有内容进行投标，并响应招标文件的要求和分包段分别编制投标文件。</w:t>
      </w:r>
    </w:p>
    <w:p>
      <w:pPr>
        <w:spacing w:after="120" w:afterLines="50" w:line="440" w:lineRule="exact"/>
        <w:ind w:firstLine="562" w:firstLineChars="200"/>
        <w:rPr>
          <w:b/>
          <w:color w:val="FF0000"/>
        </w:rPr>
      </w:pPr>
      <w:r>
        <w:rPr>
          <w:rFonts w:hint="eastAsia" w:ascii="宋体" w:hAnsi="宋体"/>
          <w:b/>
          <w:color w:val="FF0000"/>
          <w:sz w:val="28"/>
          <w:szCs w:val="28"/>
        </w:rPr>
        <w:t>详细的技术、服务、商务及其他要求见招标文件第4章。</w:t>
      </w:r>
    </w:p>
    <w:p>
      <w:pPr>
        <w:spacing w:line="360" w:lineRule="auto"/>
        <w:ind w:firstLine="560" w:firstLineChars="200"/>
        <w:rPr>
          <w:rFonts w:ascii="宋体" w:hAnsi="宋体"/>
          <w:sz w:val="28"/>
          <w:szCs w:val="28"/>
        </w:rPr>
      </w:pPr>
    </w:p>
    <w:p>
      <w:pPr>
        <w:numPr>
          <w:ilvl w:val="0"/>
          <w:numId w:val="4"/>
        </w:numPr>
        <w:spacing w:line="360" w:lineRule="auto"/>
        <w:ind w:left="0" w:firstLine="567"/>
        <w:rPr>
          <w:rFonts w:ascii="宋体" w:hAnsi="宋体"/>
          <w:b/>
          <w:sz w:val="28"/>
          <w:szCs w:val="28"/>
        </w:rPr>
      </w:pPr>
      <w:r>
        <w:rPr>
          <w:rFonts w:hint="eastAsia" w:ascii="宋体" w:hAnsi="宋体"/>
          <w:b/>
          <w:sz w:val="28"/>
          <w:szCs w:val="28"/>
        </w:rPr>
        <w:t>供应商参加本次政府采购活动应具备的条件</w:t>
      </w:r>
    </w:p>
    <w:p>
      <w:pPr>
        <w:numPr>
          <w:ilvl w:val="1"/>
          <w:numId w:val="6"/>
        </w:numPr>
        <w:tabs>
          <w:tab w:val="left" w:pos="1260"/>
        </w:tabs>
        <w:spacing w:line="360" w:lineRule="auto"/>
        <w:ind w:left="0" w:firstLine="630"/>
        <w:rPr>
          <w:rFonts w:ascii="宋体" w:hAnsi="宋体"/>
          <w:sz w:val="28"/>
          <w:szCs w:val="28"/>
        </w:rPr>
      </w:pPr>
      <w:r>
        <w:rPr>
          <w:rFonts w:hint="eastAsia" w:ascii="宋体" w:hAnsi="宋体"/>
          <w:sz w:val="28"/>
          <w:szCs w:val="28"/>
        </w:rPr>
        <w:t>符合《政府采购法》第二十二条第一款规定的条件；</w:t>
      </w:r>
    </w:p>
    <w:p>
      <w:pPr>
        <w:numPr>
          <w:ilvl w:val="1"/>
          <w:numId w:val="6"/>
        </w:numPr>
        <w:tabs>
          <w:tab w:val="left" w:pos="1260"/>
        </w:tabs>
        <w:spacing w:line="360" w:lineRule="auto"/>
        <w:ind w:left="0" w:firstLine="630"/>
        <w:rPr>
          <w:rFonts w:ascii="宋体" w:hAnsi="宋体"/>
          <w:b/>
          <w:sz w:val="28"/>
          <w:szCs w:val="28"/>
        </w:rPr>
      </w:pPr>
      <w:r>
        <w:rPr>
          <w:rFonts w:hint="eastAsia" w:ascii="宋体" w:hAnsi="宋体"/>
          <w:b/>
          <w:sz w:val="28"/>
          <w:szCs w:val="28"/>
        </w:rPr>
        <w:t>本项目为</w:t>
      </w:r>
      <w:r>
        <w:rPr>
          <w:rFonts w:ascii="宋体" w:hAnsi="宋体"/>
          <w:b/>
          <w:sz w:val="28"/>
          <w:szCs w:val="28"/>
        </w:rPr>
        <w:t>专门面向中小企业采购项目，</w:t>
      </w:r>
      <w:r>
        <w:rPr>
          <w:rFonts w:hint="eastAsia" w:ascii="宋体" w:hAnsi="宋体"/>
          <w:b/>
          <w:sz w:val="28"/>
          <w:szCs w:val="28"/>
        </w:rPr>
        <w:t>投标人</w:t>
      </w:r>
      <w:r>
        <w:rPr>
          <w:rFonts w:ascii="宋体" w:hAnsi="宋体"/>
          <w:b/>
          <w:sz w:val="28"/>
          <w:szCs w:val="28"/>
        </w:rPr>
        <w:t>提供的货物全部由符合政策要求的中小企业制造</w:t>
      </w:r>
      <w:r>
        <w:rPr>
          <w:rFonts w:hint="eastAsia" w:ascii="宋体" w:hAnsi="宋体"/>
          <w:b/>
          <w:sz w:val="28"/>
          <w:szCs w:val="28"/>
        </w:rPr>
        <w:t>；</w:t>
      </w:r>
      <w:r>
        <w:rPr>
          <w:rFonts w:ascii="宋体" w:hAnsi="宋体"/>
          <w:b/>
          <w:sz w:val="28"/>
          <w:szCs w:val="28"/>
        </w:rPr>
        <w:t>（</w:t>
      </w:r>
      <w:r>
        <w:rPr>
          <w:rFonts w:hint="eastAsia" w:ascii="宋体" w:hAnsi="宋体"/>
          <w:b/>
          <w:sz w:val="28"/>
          <w:szCs w:val="28"/>
        </w:rPr>
        <w:t>说明</w:t>
      </w:r>
      <w:r>
        <w:rPr>
          <w:rFonts w:ascii="宋体" w:hAnsi="宋体"/>
          <w:b/>
          <w:sz w:val="28"/>
          <w:szCs w:val="28"/>
        </w:rPr>
        <w:t>：监狱企业、残疾人福利性单位视同小型、微型企业）</w:t>
      </w:r>
    </w:p>
    <w:p>
      <w:pPr>
        <w:numPr>
          <w:ilvl w:val="1"/>
          <w:numId w:val="6"/>
        </w:numPr>
        <w:tabs>
          <w:tab w:val="left" w:pos="1260"/>
        </w:tabs>
        <w:spacing w:line="360" w:lineRule="auto"/>
        <w:ind w:left="0" w:firstLine="630"/>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numPr>
          <w:ilvl w:val="1"/>
          <w:numId w:val="6"/>
        </w:numPr>
        <w:tabs>
          <w:tab w:val="left" w:pos="1260"/>
        </w:tabs>
        <w:spacing w:line="360" w:lineRule="auto"/>
        <w:ind w:left="0" w:firstLine="630"/>
        <w:rPr>
          <w:rFonts w:ascii="宋体" w:hAnsi="宋体"/>
          <w:sz w:val="28"/>
          <w:szCs w:val="28"/>
        </w:rPr>
      </w:pPr>
      <w:r>
        <w:rPr>
          <w:rFonts w:hint="eastAsia" w:ascii="宋体" w:hAnsi="宋体"/>
          <w:sz w:val="28"/>
          <w:szCs w:val="28"/>
        </w:rPr>
        <w:t>在行贿犯罪信息查询期限内，投标人及其现任法定代表人、主要负责人没有行贿犯罪记录；</w:t>
      </w:r>
    </w:p>
    <w:p>
      <w:pPr>
        <w:numPr>
          <w:ilvl w:val="1"/>
          <w:numId w:val="6"/>
        </w:numPr>
        <w:tabs>
          <w:tab w:val="left" w:pos="1260"/>
        </w:tabs>
        <w:spacing w:line="360" w:lineRule="auto"/>
        <w:ind w:left="0" w:firstLine="630"/>
        <w:rPr>
          <w:rFonts w:ascii="宋体" w:hAnsi="宋体"/>
          <w:sz w:val="28"/>
          <w:szCs w:val="28"/>
        </w:rPr>
      </w:pPr>
      <w:r>
        <w:rPr>
          <w:rFonts w:ascii="宋体" w:hAnsi="宋体"/>
          <w:sz w:val="28"/>
          <w:szCs w:val="28"/>
        </w:rPr>
        <w:t>未处于被行政部门禁止参与政府采购活动的期限内</w:t>
      </w:r>
      <w:r>
        <w:rPr>
          <w:rFonts w:hint="eastAsia" w:ascii="宋体" w:hAnsi="宋体"/>
          <w:sz w:val="28"/>
          <w:szCs w:val="28"/>
        </w:rPr>
        <w:t>；</w:t>
      </w:r>
    </w:p>
    <w:p>
      <w:pPr>
        <w:numPr>
          <w:ilvl w:val="1"/>
          <w:numId w:val="6"/>
        </w:numPr>
        <w:tabs>
          <w:tab w:val="left" w:pos="1260"/>
        </w:tabs>
        <w:spacing w:line="360" w:lineRule="auto"/>
        <w:ind w:left="0" w:firstLine="630"/>
        <w:rPr>
          <w:rFonts w:ascii="宋体" w:hAnsi="宋体"/>
          <w:sz w:val="28"/>
          <w:szCs w:val="28"/>
        </w:rPr>
      </w:pPr>
      <w:r>
        <w:rPr>
          <w:rFonts w:hint="eastAsia" w:ascii="宋体" w:hAnsi="宋体"/>
          <w:sz w:val="28"/>
          <w:szCs w:val="28"/>
        </w:rPr>
        <w:t>不属于其他国家相关法律法规规定的禁止参加投标的供应商；</w:t>
      </w:r>
    </w:p>
    <w:p>
      <w:pPr>
        <w:numPr>
          <w:ilvl w:val="1"/>
          <w:numId w:val="6"/>
        </w:numPr>
        <w:tabs>
          <w:tab w:val="left" w:pos="1260"/>
        </w:tabs>
        <w:spacing w:line="360" w:lineRule="auto"/>
        <w:ind w:left="0" w:firstLine="630"/>
        <w:rPr>
          <w:rFonts w:ascii="宋体" w:hAnsi="宋体"/>
          <w:sz w:val="28"/>
          <w:szCs w:val="28"/>
        </w:rPr>
      </w:pPr>
      <w:r>
        <w:rPr>
          <w:rFonts w:hint="eastAsia" w:ascii="宋体" w:hAnsi="宋体"/>
          <w:sz w:val="28"/>
          <w:szCs w:val="28"/>
        </w:rPr>
        <w:t>本项目</w:t>
      </w:r>
      <w:r>
        <w:rPr>
          <w:rFonts w:hint="eastAsia" w:ascii="宋体" w:hAnsi="宋体"/>
          <w:b/>
          <w:color w:val="FF0000"/>
          <w:sz w:val="28"/>
          <w:szCs w:val="28"/>
        </w:rPr>
        <w:t>不接受</w:t>
      </w:r>
      <w:r>
        <w:rPr>
          <w:rFonts w:hint="eastAsia" w:ascii="宋体" w:hAnsi="宋体"/>
          <w:sz w:val="28"/>
          <w:szCs w:val="28"/>
        </w:rPr>
        <w:t>联合体投标。</w:t>
      </w:r>
    </w:p>
    <w:p>
      <w:pPr>
        <w:pStyle w:val="150"/>
        <w:tabs>
          <w:tab w:val="left" w:pos="0"/>
          <w:tab w:val="left" w:pos="993"/>
          <w:tab w:val="left" w:pos="1418"/>
          <w:tab w:val="left" w:pos="1560"/>
        </w:tabs>
        <w:spacing w:line="560" w:lineRule="exact"/>
        <w:ind w:left="7" w:firstLine="560"/>
        <w:rPr>
          <w:rFonts w:ascii="宋体" w:hAnsi="宋体"/>
          <w:color w:val="000000" w:themeColor="text1"/>
          <w:sz w:val="28"/>
          <w:szCs w:val="28"/>
          <w14:textFill>
            <w14:solidFill>
              <w14:schemeClr w14:val="tx1"/>
            </w14:solidFill>
          </w14:textFill>
        </w:rPr>
      </w:pPr>
      <w:r>
        <w:rPr>
          <w:rFonts w:hint="eastAsia" w:ascii="宋体" w:hAnsi="宋体"/>
          <w:sz w:val="28"/>
          <w:szCs w:val="28"/>
        </w:rPr>
        <w:t>（八）</w:t>
      </w:r>
      <w:r>
        <w:rPr>
          <w:rFonts w:hint="eastAsia" w:ascii="宋体" w:hAnsi="宋体"/>
          <w:color w:val="000000" w:themeColor="text1"/>
          <w:sz w:val="28"/>
          <w:szCs w:val="28"/>
          <w14:textFill>
            <w14:solidFill>
              <w14:schemeClr w14:val="tx1"/>
            </w14:solidFill>
          </w14:textFill>
        </w:rPr>
        <w:t>根据采购项目提出的特殊资格条件：</w:t>
      </w:r>
    </w:p>
    <w:p>
      <w:pPr>
        <w:spacing w:after="120" w:afterLines="50" w:line="440" w:lineRule="exact"/>
        <w:ind w:firstLine="480" w:firstLineChars="200"/>
        <w:rPr>
          <w:rFonts w:ascii="宋体"/>
          <w:bCs/>
          <w:color w:val="FF0000"/>
          <w:sz w:val="24"/>
        </w:rPr>
      </w:pPr>
      <w:r>
        <w:rPr>
          <w:rFonts w:hint="eastAsia" w:ascii="宋体"/>
          <w:bCs/>
          <w:color w:val="FF0000"/>
          <w:sz w:val="24"/>
        </w:rPr>
        <w:t xml:space="preserve">  (1) 投标人须具有《医疗器械经营企业许可证》；</w:t>
      </w:r>
    </w:p>
    <w:p>
      <w:pPr>
        <w:spacing w:after="120" w:afterLines="50" w:line="440" w:lineRule="exact"/>
        <w:ind w:firstLine="480" w:firstLineChars="200"/>
        <w:rPr>
          <w:rFonts w:ascii="宋体"/>
          <w:bCs/>
          <w:color w:val="FF0000"/>
          <w:sz w:val="24"/>
        </w:rPr>
      </w:pPr>
      <w:r>
        <w:rPr>
          <w:rFonts w:hint="eastAsia" w:ascii="宋体"/>
          <w:bCs/>
          <w:color w:val="FF0000"/>
          <w:sz w:val="24"/>
        </w:rPr>
        <w:t xml:space="preserve"> （2）提供投标产品的《医疗器械注册证》；</w:t>
      </w:r>
    </w:p>
    <w:p>
      <w:pPr>
        <w:spacing w:after="120" w:afterLines="50" w:line="440" w:lineRule="exact"/>
        <w:ind w:firstLine="480" w:firstLineChars="200"/>
        <w:rPr>
          <w:rFonts w:ascii="宋体"/>
          <w:bCs/>
          <w:color w:val="FF0000"/>
          <w:sz w:val="24"/>
        </w:rPr>
      </w:pPr>
      <w:r>
        <w:rPr>
          <w:rFonts w:hint="eastAsia" w:ascii="宋体"/>
          <w:bCs/>
          <w:color w:val="FF0000"/>
          <w:sz w:val="24"/>
        </w:rPr>
        <w:t xml:space="preserve"> （3）投标产品制造商须具有《医疗器械生产企业许可证》。</w:t>
      </w:r>
    </w:p>
    <w:p>
      <w:pPr>
        <w:pStyle w:val="2"/>
      </w:pPr>
    </w:p>
    <w:p>
      <w:pPr>
        <w:numPr>
          <w:ilvl w:val="0"/>
          <w:numId w:val="4"/>
        </w:numPr>
        <w:spacing w:line="360" w:lineRule="auto"/>
        <w:ind w:left="0" w:firstLine="567"/>
        <w:rPr>
          <w:rFonts w:ascii="宋体" w:hAnsi="宋体"/>
          <w:i/>
          <w:sz w:val="28"/>
        </w:rPr>
      </w:pPr>
      <w:r>
        <w:rPr>
          <w:rFonts w:hint="eastAsia" w:ascii="宋体" w:hAnsi="宋体"/>
          <w:b/>
          <w:sz w:val="28"/>
          <w:szCs w:val="28"/>
        </w:rPr>
        <w:t>招标文件获取时间</w:t>
      </w:r>
    </w:p>
    <w:p>
      <w:pPr>
        <w:numPr>
          <w:ilvl w:val="0"/>
          <w:numId w:val="7"/>
        </w:numPr>
        <w:spacing w:line="360" w:lineRule="auto"/>
        <w:ind w:left="0" w:firstLine="567"/>
        <w:rPr>
          <w:rFonts w:ascii="宋体" w:hAnsi="宋体"/>
          <w:sz w:val="28"/>
        </w:rPr>
      </w:pPr>
      <w:r>
        <w:rPr>
          <w:rFonts w:hint="eastAsia" w:ascii="宋体" w:hAnsi="宋体"/>
          <w:sz w:val="28"/>
          <w:szCs w:val="28"/>
        </w:rPr>
        <w:t>招标文件获取时间：202</w:t>
      </w:r>
      <w:r>
        <w:rPr>
          <w:rFonts w:hint="eastAsia" w:ascii="宋体" w:hAnsi="宋体"/>
          <w:sz w:val="28"/>
          <w:szCs w:val="28"/>
          <w:lang w:val="en-US" w:eastAsia="zh-CN"/>
        </w:rPr>
        <w:t>1</w:t>
      </w:r>
      <w:r>
        <w:rPr>
          <w:rFonts w:hint="eastAsia" w:ascii="宋体" w:hAnsi="宋体"/>
          <w:sz w:val="28"/>
          <w:szCs w:val="28"/>
        </w:rPr>
        <w:t>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19</w:t>
      </w:r>
      <w:r>
        <w:rPr>
          <w:rFonts w:hint="eastAsia" w:ascii="宋体" w:hAnsi="宋体"/>
          <w:sz w:val="28"/>
          <w:szCs w:val="28"/>
        </w:rPr>
        <w:t>日至</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13</w:t>
      </w:r>
      <w:r>
        <w:rPr>
          <w:rFonts w:hint="eastAsia" w:ascii="宋体" w:hAnsi="宋体"/>
          <w:sz w:val="28"/>
          <w:szCs w:val="28"/>
        </w:rPr>
        <w:t>日。</w:t>
      </w:r>
    </w:p>
    <w:p>
      <w:pPr>
        <w:numPr>
          <w:ilvl w:val="0"/>
          <w:numId w:val="7"/>
        </w:numPr>
        <w:spacing w:line="360" w:lineRule="auto"/>
        <w:ind w:left="0" w:firstLine="567"/>
        <w:rPr>
          <w:rFonts w:ascii="宋体" w:hAnsi="宋体"/>
          <w:sz w:val="28"/>
          <w:szCs w:val="28"/>
        </w:rPr>
      </w:pPr>
      <w:r>
        <w:rPr>
          <w:rFonts w:hint="eastAsia" w:ascii="宋体" w:hAnsi="宋体"/>
          <w:sz w:val="28"/>
          <w:szCs w:val="28"/>
        </w:rPr>
        <w:t>公告期限：202</w:t>
      </w:r>
      <w:r>
        <w:rPr>
          <w:rFonts w:hint="eastAsia" w:ascii="宋体" w:hAnsi="宋体"/>
          <w:sz w:val="28"/>
          <w:szCs w:val="28"/>
          <w:lang w:val="en-US" w:eastAsia="zh-CN"/>
        </w:rPr>
        <w:t>1</w:t>
      </w:r>
      <w:r>
        <w:rPr>
          <w:rFonts w:hint="eastAsia" w:ascii="宋体" w:hAnsi="宋体"/>
          <w:sz w:val="28"/>
          <w:szCs w:val="28"/>
        </w:rPr>
        <w:t>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19</w:t>
      </w:r>
      <w:r>
        <w:rPr>
          <w:rFonts w:hint="eastAsia" w:ascii="宋体" w:hAnsi="宋体"/>
          <w:sz w:val="28"/>
          <w:szCs w:val="28"/>
        </w:rPr>
        <w:t>日至</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26</w:t>
      </w:r>
      <w:r>
        <w:rPr>
          <w:rFonts w:hint="eastAsia" w:ascii="宋体" w:hAnsi="宋体"/>
          <w:sz w:val="28"/>
          <w:szCs w:val="28"/>
        </w:rPr>
        <w:t>日。</w:t>
      </w:r>
    </w:p>
    <w:p>
      <w:pPr>
        <w:spacing w:line="360" w:lineRule="auto"/>
        <w:ind w:firstLine="560" w:firstLineChars="200"/>
      </w:pPr>
      <w:r>
        <w:rPr>
          <w:rFonts w:hint="eastAsia" w:ascii="宋体" w:hAnsi="宋体"/>
          <w:sz w:val="28"/>
          <w:szCs w:val="28"/>
        </w:rPr>
        <w:t>（三）供应商如对招标文件有质疑的，应于公告期限届满之日起七个工作日内以书面形式提出。</w:t>
      </w:r>
    </w:p>
    <w:p>
      <w:pPr>
        <w:numPr>
          <w:ilvl w:val="0"/>
          <w:numId w:val="4"/>
        </w:numPr>
        <w:spacing w:line="360" w:lineRule="auto"/>
        <w:ind w:left="0" w:firstLine="567"/>
        <w:rPr>
          <w:rFonts w:ascii="宋体" w:hAnsi="宋体"/>
          <w:b/>
          <w:sz w:val="28"/>
          <w:szCs w:val="28"/>
        </w:rPr>
      </w:pPr>
      <w:r>
        <w:rPr>
          <w:rFonts w:hint="eastAsia" w:ascii="宋体" w:hAnsi="宋体"/>
          <w:b/>
          <w:sz w:val="28"/>
          <w:szCs w:val="28"/>
        </w:rPr>
        <w:t>招标文件获取方式</w:t>
      </w:r>
    </w:p>
    <w:p>
      <w:pPr>
        <w:spacing w:line="360" w:lineRule="auto"/>
        <w:ind w:firstLine="560" w:firstLineChars="200"/>
        <w:rPr>
          <w:rFonts w:ascii="宋体" w:hAnsi="宋体"/>
          <w:sz w:val="28"/>
          <w:szCs w:val="28"/>
        </w:rPr>
      </w:pPr>
      <w:r>
        <w:rPr>
          <w:rFonts w:hint="eastAsia" w:ascii="宋体" w:hAnsi="宋体"/>
          <w:sz w:val="28"/>
          <w:szCs w:val="28"/>
        </w:rPr>
        <w:t>投标人要参加投标，应在成都市公共资源交易服务中心“政府采购云平台”获取采购文件。登录成都市公共资源交易服务中心门户网站（https://www.cdggzy.com/）—用户中心—政府采购云平台—项目采购—获取采购文件—申请获取采购文件。</w:t>
      </w:r>
    </w:p>
    <w:p>
      <w:pPr>
        <w:spacing w:line="360" w:lineRule="auto"/>
        <w:ind w:firstLine="560" w:firstLineChars="200"/>
        <w:rPr>
          <w:rFonts w:ascii="宋体" w:hAnsi="宋体"/>
          <w:sz w:val="28"/>
          <w:szCs w:val="28"/>
        </w:rPr>
      </w:pPr>
      <w:r>
        <w:rPr>
          <w:rFonts w:hint="eastAsia" w:ascii="宋体" w:hAnsi="宋体"/>
          <w:sz w:val="28"/>
          <w:szCs w:val="28"/>
        </w:rPr>
        <w:t>提示：</w:t>
      </w:r>
    </w:p>
    <w:p>
      <w:pPr>
        <w:spacing w:line="360" w:lineRule="auto"/>
        <w:ind w:firstLine="560" w:firstLineChars="200"/>
        <w:rPr>
          <w:rFonts w:ascii="宋体" w:hAnsi="宋体"/>
          <w:sz w:val="28"/>
          <w:szCs w:val="28"/>
        </w:rPr>
      </w:pPr>
      <w:r>
        <w:rPr>
          <w:rFonts w:hint="eastAsia" w:ascii="宋体" w:hAnsi="宋体"/>
          <w:sz w:val="28"/>
          <w:szCs w:val="28"/>
        </w:rPr>
        <w:t>（1）本项目采购文件免费获取。</w:t>
      </w:r>
    </w:p>
    <w:p>
      <w:pPr>
        <w:spacing w:line="360" w:lineRule="auto"/>
        <w:ind w:firstLine="560" w:firstLineChars="200"/>
        <w:rPr>
          <w:rFonts w:ascii="宋体" w:hAnsi="宋体"/>
          <w:sz w:val="28"/>
          <w:szCs w:val="28"/>
        </w:rPr>
      </w:pPr>
      <w:r>
        <w:rPr>
          <w:rFonts w:hint="eastAsia" w:ascii="宋体" w:hAnsi="宋体"/>
          <w:sz w:val="28"/>
          <w:szCs w:val="28"/>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spacing w:line="360" w:lineRule="auto"/>
        <w:ind w:firstLine="560" w:firstLineChars="200"/>
        <w:rPr>
          <w:rFonts w:ascii="宋体" w:hAnsi="宋体"/>
          <w:sz w:val="28"/>
          <w:szCs w:val="28"/>
        </w:rPr>
      </w:pPr>
      <w:r>
        <w:rPr>
          <w:rFonts w:hint="eastAsia" w:ascii="宋体" w:hAnsi="宋体"/>
          <w:sz w:val="28"/>
          <w:szCs w:val="28"/>
        </w:rPr>
        <w:t>（3）首次登录成都市公共资源交易服务中心门户网站的新用户应先点击“注册新用户”，注册成功后再登录。</w:t>
      </w:r>
    </w:p>
    <w:p>
      <w:pPr>
        <w:spacing w:line="360" w:lineRule="auto"/>
        <w:ind w:firstLine="560" w:firstLineChars="200"/>
        <w:rPr>
          <w:rFonts w:ascii="宋体" w:hAnsi="宋体"/>
          <w:sz w:val="28"/>
          <w:szCs w:val="28"/>
        </w:rPr>
      </w:pPr>
      <w:r>
        <w:rPr>
          <w:rFonts w:hint="eastAsia" w:ascii="宋体" w:hAnsi="宋体"/>
          <w:sz w:val="28"/>
          <w:szCs w:val="28"/>
        </w:rPr>
        <w:t>（4）本项目为电子招标投标项目，投标人参与本项目全过程中凡涉及系统操作请详见《成都市全流程电子化采购系统操作指南——供应商版》（操作指南请登录政府采购云平台后，点击“前台大厅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numPr>
          <w:ilvl w:val="0"/>
          <w:numId w:val="4"/>
        </w:numPr>
        <w:spacing w:line="360" w:lineRule="auto"/>
        <w:ind w:left="0" w:firstLine="567"/>
        <w:rPr>
          <w:rFonts w:ascii="宋体" w:hAnsi="宋体"/>
          <w:b/>
          <w:sz w:val="28"/>
          <w:szCs w:val="28"/>
        </w:rPr>
      </w:pPr>
      <w:r>
        <w:rPr>
          <w:rFonts w:hint="eastAsia" w:ascii="宋体" w:hAnsi="宋体"/>
          <w:b/>
          <w:sz w:val="28"/>
          <w:szCs w:val="28"/>
        </w:rPr>
        <w:t>招标文件获取地点</w:t>
      </w:r>
    </w:p>
    <w:p>
      <w:pPr>
        <w:spacing w:line="360" w:lineRule="auto"/>
        <w:ind w:firstLine="560" w:firstLineChars="200"/>
        <w:rPr>
          <w:rFonts w:ascii="宋体" w:hAnsi="宋体"/>
          <w:sz w:val="28"/>
          <w:szCs w:val="28"/>
        </w:rPr>
      </w:pPr>
      <w:bookmarkStart w:id="8" w:name="_Toc186274101"/>
      <w:bookmarkStart w:id="9" w:name="_Toc174185149"/>
      <w:bookmarkStart w:id="10" w:name="_Toc184023104"/>
      <w:bookmarkStart w:id="11" w:name="_Toc184013605"/>
      <w:bookmarkStart w:id="12" w:name="_Toc180051012"/>
      <w:r>
        <w:rPr>
          <w:rFonts w:hint="eastAsia" w:ascii="宋体" w:hAnsi="宋体"/>
          <w:sz w:val="28"/>
          <w:szCs w:val="28"/>
        </w:rPr>
        <w:t>登录成都市公共资源交易服务中心门户网站（https://www.cdggzy.com/）—用户中心—政府采购云平台获取</w:t>
      </w:r>
      <w:r>
        <w:rPr>
          <w:rFonts w:hint="eastAsia" w:ascii="宋体" w:hAnsi="宋体"/>
          <w:sz w:val="28"/>
        </w:rPr>
        <w:t>。</w:t>
      </w:r>
    </w:p>
    <w:p>
      <w:pPr>
        <w:numPr>
          <w:ilvl w:val="0"/>
          <w:numId w:val="4"/>
        </w:numPr>
        <w:spacing w:line="360" w:lineRule="auto"/>
        <w:ind w:left="0" w:firstLine="567"/>
        <w:rPr>
          <w:rFonts w:ascii="宋体" w:hAnsi="宋体"/>
          <w:b/>
          <w:sz w:val="28"/>
          <w:szCs w:val="28"/>
        </w:rPr>
      </w:pPr>
      <w:r>
        <w:rPr>
          <w:rFonts w:hint="eastAsia" w:ascii="宋体" w:hAnsi="宋体"/>
          <w:b/>
          <w:sz w:val="28"/>
          <w:szCs w:val="28"/>
        </w:rPr>
        <w:t>投标文件递交截止时间及开标时间</w:t>
      </w:r>
      <w:bookmarkEnd w:id="8"/>
      <w:bookmarkEnd w:id="9"/>
      <w:bookmarkEnd w:id="10"/>
      <w:bookmarkEnd w:id="11"/>
      <w:bookmarkEnd w:id="12"/>
      <w:r>
        <w:rPr>
          <w:rFonts w:hint="eastAsia" w:ascii="宋体" w:hAnsi="宋体"/>
          <w:b/>
          <w:sz w:val="28"/>
          <w:szCs w:val="28"/>
        </w:rPr>
        <w:t>(北京时间)、地点、方式</w:t>
      </w:r>
    </w:p>
    <w:p>
      <w:pPr>
        <w:spacing w:line="560" w:lineRule="exact"/>
        <w:ind w:firstLine="565" w:firstLineChars="202"/>
        <w:rPr>
          <w:rFonts w:ascii="宋体" w:hAnsi="宋体"/>
          <w:b/>
          <w:sz w:val="28"/>
          <w:szCs w:val="28"/>
        </w:rPr>
      </w:pPr>
      <w:r>
        <w:rPr>
          <w:rFonts w:hint="eastAsia" w:ascii="宋体" w:hAnsi="宋体"/>
          <w:sz w:val="28"/>
          <w:szCs w:val="28"/>
        </w:rPr>
        <w:t>（一）投标文件递交截止时间及开标时间：</w:t>
      </w:r>
      <w:r>
        <w:rPr>
          <w:rFonts w:hint="eastAsia" w:ascii="宋体" w:hAnsi="宋体"/>
          <w:b/>
          <w:sz w:val="28"/>
          <w:szCs w:val="28"/>
        </w:rPr>
        <w:t>202</w:t>
      </w:r>
      <w:r>
        <w:rPr>
          <w:rFonts w:hint="eastAsia" w:ascii="宋体" w:hAnsi="宋体"/>
          <w:b/>
          <w:sz w:val="28"/>
          <w:szCs w:val="28"/>
          <w:lang w:val="en-US" w:eastAsia="zh-CN"/>
        </w:rPr>
        <w:t>1</w:t>
      </w:r>
      <w:r>
        <w:rPr>
          <w:rFonts w:hint="eastAsia" w:ascii="宋体" w:hAnsi="宋体"/>
          <w:b/>
          <w:sz w:val="28"/>
          <w:szCs w:val="28"/>
        </w:rPr>
        <w:t>年</w:t>
      </w:r>
      <w:r>
        <w:rPr>
          <w:rFonts w:hint="eastAsia" w:ascii="宋体" w:hAnsi="宋体"/>
          <w:b/>
          <w:sz w:val="28"/>
          <w:szCs w:val="28"/>
          <w:lang w:val="en-US" w:eastAsia="zh-CN"/>
        </w:rPr>
        <w:t>12</w:t>
      </w:r>
      <w:r>
        <w:rPr>
          <w:rFonts w:hint="eastAsia" w:ascii="宋体" w:hAnsi="宋体"/>
          <w:b/>
          <w:sz w:val="28"/>
          <w:szCs w:val="28"/>
        </w:rPr>
        <w:t>月</w:t>
      </w:r>
      <w:r>
        <w:rPr>
          <w:rFonts w:hint="eastAsia" w:ascii="宋体" w:hAnsi="宋体"/>
          <w:b/>
          <w:sz w:val="28"/>
          <w:szCs w:val="28"/>
          <w:lang w:val="en-US" w:eastAsia="zh-CN"/>
        </w:rPr>
        <w:t>14</w:t>
      </w:r>
      <w:r>
        <w:rPr>
          <w:rFonts w:hint="eastAsia" w:ascii="宋体" w:hAnsi="宋体"/>
          <w:b/>
          <w:sz w:val="28"/>
          <w:szCs w:val="28"/>
        </w:rPr>
        <w:t>日上午09:30。</w:t>
      </w:r>
    </w:p>
    <w:p>
      <w:pPr>
        <w:spacing w:line="560" w:lineRule="exact"/>
        <w:ind w:firstLine="565" w:firstLineChars="202"/>
        <w:rPr>
          <w:rFonts w:ascii="宋体" w:hAnsi="宋体"/>
          <w:sz w:val="28"/>
          <w:szCs w:val="28"/>
        </w:rPr>
      </w:pPr>
      <w:r>
        <w:rPr>
          <w:rFonts w:hint="eastAsia" w:ascii="宋体" w:hAnsi="宋体"/>
          <w:sz w:val="28"/>
          <w:szCs w:val="28"/>
        </w:rPr>
        <w:t>（二）投标文件递交方式、地点：投标截止时间前，投标人应将加密的投标文件递交至“政府采购云平台”对应项目（包件）。</w:t>
      </w:r>
    </w:p>
    <w:p>
      <w:pPr>
        <w:numPr>
          <w:ilvl w:val="0"/>
          <w:numId w:val="4"/>
        </w:numPr>
        <w:spacing w:line="360" w:lineRule="auto"/>
        <w:ind w:left="0" w:firstLine="567"/>
        <w:rPr>
          <w:rFonts w:ascii="宋体" w:hAnsi="宋体"/>
          <w:b/>
          <w:sz w:val="28"/>
          <w:szCs w:val="28"/>
        </w:rPr>
      </w:pPr>
      <w:r>
        <w:rPr>
          <w:rFonts w:hint="eastAsia" w:ascii="宋体" w:hAnsi="宋体"/>
          <w:b/>
          <w:sz w:val="28"/>
          <w:szCs w:val="28"/>
        </w:rPr>
        <w:t>开标地点</w:t>
      </w:r>
    </w:p>
    <w:p>
      <w:pPr>
        <w:spacing w:line="360" w:lineRule="auto"/>
        <w:ind w:firstLine="422" w:firstLineChars="150"/>
        <w:jc w:val="left"/>
        <w:rPr>
          <w:rFonts w:ascii="宋体" w:hAnsi="宋体"/>
          <w:b/>
          <w:sz w:val="28"/>
          <w:szCs w:val="28"/>
        </w:rPr>
      </w:pPr>
      <w:r>
        <w:rPr>
          <w:rFonts w:hint="eastAsia" w:ascii="宋体" w:hAnsi="宋体"/>
          <w:b/>
          <w:sz w:val="28"/>
          <w:szCs w:val="28"/>
        </w:rPr>
        <w:t>本项目为不见面开标项目。</w:t>
      </w:r>
    </w:p>
    <w:p>
      <w:pPr>
        <w:spacing w:line="360" w:lineRule="auto"/>
        <w:ind w:firstLine="420" w:firstLineChars="150"/>
        <w:jc w:val="left"/>
        <w:rPr>
          <w:rFonts w:ascii="宋体" w:hAnsi="宋体"/>
          <w:sz w:val="28"/>
          <w:szCs w:val="28"/>
        </w:rPr>
      </w:pPr>
      <w:r>
        <w:rPr>
          <w:rFonts w:hint="eastAsia" w:ascii="宋体" w:hAnsi="宋体"/>
          <w:sz w:val="28"/>
          <w:szCs w:val="28"/>
        </w:rPr>
        <w:t>开标地点为：成都市公共资源交易服务中心“政府采购云平台”。登录成都市公共资源交易服务中心门户网站（https://www.cdggzy.com）—用户中心—政府采购云平台。</w:t>
      </w:r>
    </w:p>
    <w:p>
      <w:pPr>
        <w:spacing w:line="360" w:lineRule="auto"/>
        <w:ind w:firstLine="420" w:firstLineChars="150"/>
        <w:jc w:val="left"/>
        <w:rPr>
          <w:rFonts w:ascii="宋体" w:hAnsi="宋体"/>
          <w:sz w:val="28"/>
          <w:szCs w:val="28"/>
        </w:rPr>
      </w:pPr>
      <w:r>
        <w:rPr>
          <w:rFonts w:hint="eastAsia" w:ascii="宋体" w:hAnsi="宋体"/>
          <w:sz w:val="28"/>
          <w:szCs w:val="28"/>
        </w:rPr>
        <w:t>本项目只接受投标人加密并递交至“政府采购云平台”的投标文件。</w:t>
      </w:r>
    </w:p>
    <w:p>
      <w:pPr>
        <w:numPr>
          <w:ilvl w:val="0"/>
          <w:numId w:val="4"/>
        </w:numPr>
        <w:spacing w:line="360" w:lineRule="auto"/>
        <w:ind w:left="0" w:firstLine="567"/>
        <w:rPr>
          <w:rFonts w:ascii="宋体" w:hAnsi="宋体"/>
          <w:b/>
          <w:sz w:val="28"/>
          <w:szCs w:val="28"/>
        </w:rPr>
      </w:pPr>
      <w:r>
        <w:rPr>
          <w:rFonts w:hint="eastAsia" w:ascii="宋体" w:hAnsi="宋体"/>
          <w:b/>
          <w:sz w:val="28"/>
          <w:szCs w:val="28"/>
        </w:rPr>
        <w:t>政采中小企业政府采购信用融资</w:t>
      </w:r>
    </w:p>
    <w:p>
      <w:pPr>
        <w:spacing w:line="360" w:lineRule="auto"/>
        <w:ind w:firstLine="420" w:firstLineChars="150"/>
        <w:jc w:val="left"/>
        <w:rPr>
          <w:rFonts w:ascii="宋体" w:hAnsi="宋体"/>
          <w:sz w:val="28"/>
          <w:szCs w:val="28"/>
        </w:rPr>
      </w:pPr>
      <w:r>
        <w:rPr>
          <w:rFonts w:hint="eastAsia" w:ascii="宋体" w:hAnsi="宋体"/>
          <w:sz w:val="28"/>
          <w:szCs w:val="28"/>
        </w:rPr>
        <w:t>参加本次招标活动的中小企业供应商无需提供财产抵押或第三方担保，凭借政府采购合同可向融资机构申请融资。具体内容详见成都市公共资源交易服务中心网（http://www.cdggzy.com/）都江堰市分中心“通知公告”栏《都江堰市财政局 中国人民银行都江堰市支行关于转发〈成都市中小企业政府采购信用融资暂行办法〉的通知》（都财发[2019]88号）和《都江堰市财政局 中国人民银行都江堰市支行关于转发〈都江堰市支持中小企业政府采购信用融资实施方案〉的通知》（都财发[2019]92号）”。</w:t>
      </w:r>
    </w:p>
    <w:p>
      <w:pPr>
        <w:numPr>
          <w:ilvl w:val="0"/>
          <w:numId w:val="4"/>
        </w:numPr>
        <w:spacing w:line="360" w:lineRule="auto"/>
        <w:ind w:left="0" w:firstLine="567"/>
        <w:rPr>
          <w:rFonts w:ascii="宋体" w:hAnsi="宋体"/>
          <w:b/>
          <w:sz w:val="28"/>
          <w:szCs w:val="28"/>
        </w:rPr>
      </w:pPr>
      <w:r>
        <w:rPr>
          <w:rFonts w:hint="eastAsia" w:ascii="宋体" w:hAnsi="宋体"/>
          <w:b/>
          <w:sz w:val="28"/>
          <w:szCs w:val="28"/>
        </w:rPr>
        <w:t>本投标邀请在“四川政府采购网”和“成都市公共资源交易服务中心”网站上以公告形式发布</w:t>
      </w:r>
    </w:p>
    <w:p>
      <w:pPr>
        <w:numPr>
          <w:ilvl w:val="0"/>
          <w:numId w:val="4"/>
        </w:numPr>
        <w:spacing w:line="360" w:lineRule="auto"/>
        <w:ind w:left="0" w:firstLine="567"/>
        <w:rPr>
          <w:rFonts w:ascii="宋体" w:hAnsi="宋体"/>
          <w:b/>
          <w:sz w:val="28"/>
          <w:szCs w:val="28"/>
        </w:rPr>
      </w:pPr>
      <w:r>
        <w:rPr>
          <w:rFonts w:hint="eastAsia" w:ascii="宋体" w:hAnsi="宋体"/>
          <w:b/>
          <w:sz w:val="28"/>
          <w:szCs w:val="28"/>
        </w:rPr>
        <w:t>联系方式</w:t>
      </w:r>
    </w:p>
    <w:p>
      <w:pPr>
        <w:spacing w:line="360" w:lineRule="auto"/>
        <w:ind w:firstLine="568" w:firstLineChars="202"/>
        <w:rPr>
          <w:rFonts w:ascii="宋体" w:hAnsi="宋体"/>
          <w:b/>
          <w:sz w:val="28"/>
          <w:szCs w:val="28"/>
        </w:rPr>
      </w:pPr>
      <w:r>
        <w:rPr>
          <w:rFonts w:hint="eastAsia" w:ascii="宋体" w:hAnsi="宋体"/>
          <w:b/>
          <w:sz w:val="28"/>
          <w:szCs w:val="28"/>
        </w:rPr>
        <w:t xml:space="preserve">采购人： </w:t>
      </w:r>
      <w:r>
        <w:rPr>
          <w:rFonts w:hint="eastAsia" w:ascii="宋体" w:hAnsi="宋体"/>
          <w:color w:val="FF0000"/>
          <w:sz w:val="28"/>
          <w:szCs w:val="28"/>
        </w:rPr>
        <w:t>都江堰市中医医院</w:t>
      </w:r>
    </w:p>
    <w:p>
      <w:pPr>
        <w:pStyle w:val="150"/>
        <w:ind w:firstLine="560"/>
        <w:rPr>
          <w:rFonts w:ascii="宋体" w:hAnsi="宋体"/>
          <w:kern w:val="0"/>
          <w:sz w:val="28"/>
          <w:szCs w:val="22"/>
        </w:rPr>
      </w:pPr>
      <w:r>
        <w:rPr>
          <w:rFonts w:hint="eastAsia" w:ascii="宋体" w:hAnsi="宋体"/>
          <w:sz w:val="28"/>
          <w:szCs w:val="28"/>
        </w:rPr>
        <w:t>地  址：</w:t>
      </w:r>
      <w:r>
        <w:rPr>
          <w:rFonts w:hint="eastAsia" w:ascii="宋体" w:hAnsi="宋体"/>
          <w:color w:val="FF0000"/>
          <w:sz w:val="28"/>
          <w:szCs w:val="28"/>
        </w:rPr>
        <w:t>都江堰市金江社区中医院北路16号</w:t>
      </w:r>
    </w:p>
    <w:p>
      <w:pPr>
        <w:spacing w:line="360" w:lineRule="auto"/>
        <w:ind w:firstLine="565" w:firstLineChars="202"/>
        <w:rPr>
          <w:rFonts w:ascii="宋体" w:hAnsi="宋体"/>
          <w:sz w:val="28"/>
          <w:szCs w:val="28"/>
        </w:rPr>
      </w:pPr>
      <w:r>
        <w:rPr>
          <w:rFonts w:hint="eastAsia" w:ascii="宋体" w:hAnsi="宋体"/>
          <w:sz w:val="28"/>
          <w:szCs w:val="28"/>
        </w:rPr>
        <w:t xml:space="preserve">邮  编： </w:t>
      </w:r>
      <w:r>
        <w:rPr>
          <w:rFonts w:ascii="宋体" w:hAnsi="宋体"/>
          <w:sz w:val="28"/>
          <w:szCs w:val="28"/>
        </w:rPr>
        <w:t>61</w:t>
      </w:r>
      <w:r>
        <w:rPr>
          <w:rFonts w:hint="eastAsia" w:ascii="宋体" w:hAnsi="宋体"/>
          <w:sz w:val="28"/>
          <w:szCs w:val="28"/>
        </w:rPr>
        <w:t>1830</w:t>
      </w:r>
    </w:p>
    <w:p>
      <w:pPr>
        <w:spacing w:line="360" w:lineRule="auto"/>
        <w:ind w:firstLine="565" w:firstLineChars="202"/>
        <w:rPr>
          <w:rFonts w:ascii="宋体" w:hAnsi="宋体"/>
          <w:sz w:val="28"/>
          <w:szCs w:val="28"/>
        </w:rPr>
      </w:pPr>
      <w:r>
        <w:rPr>
          <w:rFonts w:hint="eastAsia" w:ascii="宋体" w:hAnsi="宋体"/>
          <w:sz w:val="28"/>
          <w:szCs w:val="28"/>
        </w:rPr>
        <w:t>联系人：</w:t>
      </w:r>
      <w:r>
        <w:rPr>
          <w:rFonts w:hint="eastAsia" w:ascii="宋体" w:hAnsi="宋体"/>
          <w:color w:val="FF0000"/>
          <w:sz w:val="28"/>
          <w:szCs w:val="28"/>
        </w:rPr>
        <w:t xml:space="preserve">杨明波 </w:t>
      </w:r>
    </w:p>
    <w:p>
      <w:pPr>
        <w:spacing w:line="360" w:lineRule="auto"/>
        <w:ind w:firstLine="565" w:firstLineChars="202"/>
        <w:rPr>
          <w:rFonts w:ascii="宋体" w:hAnsi="宋体"/>
          <w:sz w:val="28"/>
          <w:szCs w:val="28"/>
        </w:rPr>
      </w:pPr>
      <w:r>
        <w:rPr>
          <w:rFonts w:hint="eastAsia" w:ascii="宋体" w:hAnsi="宋体"/>
          <w:sz w:val="28"/>
          <w:szCs w:val="28"/>
        </w:rPr>
        <w:t>联系电话：</w:t>
      </w:r>
      <w:r>
        <w:rPr>
          <w:rFonts w:hint="eastAsia" w:ascii="宋体" w:hAnsi="宋体"/>
          <w:color w:val="FF0000"/>
          <w:sz w:val="28"/>
          <w:szCs w:val="28"/>
        </w:rPr>
        <w:t>18908198770</w:t>
      </w:r>
    </w:p>
    <w:p>
      <w:pPr>
        <w:pStyle w:val="2"/>
      </w:pPr>
    </w:p>
    <w:p>
      <w:pPr>
        <w:pStyle w:val="150"/>
        <w:spacing w:line="560" w:lineRule="exact"/>
        <w:ind w:firstLine="562"/>
        <w:rPr>
          <w:rFonts w:ascii="宋体" w:hAnsi="宋体"/>
          <w:b/>
          <w:color w:val="000000" w:themeColor="text1"/>
          <w:kern w:val="0"/>
          <w:sz w:val="28"/>
          <w:szCs w:val="22"/>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都江堰市公共资源交易服务中心</w:t>
      </w:r>
    </w:p>
    <w:p>
      <w:pPr>
        <w:spacing w:line="520" w:lineRule="exact"/>
        <w:ind w:left="567" w:leftChars="270"/>
        <w:rPr>
          <w:rFonts w:ascii="宋体" w:hAnsi="宋体"/>
          <w:sz w:val="28"/>
          <w:szCs w:val="28"/>
        </w:rPr>
      </w:pPr>
      <w:r>
        <w:rPr>
          <w:rFonts w:hint="eastAsia" w:ascii="宋体" w:hAnsi="宋体"/>
          <w:sz w:val="28"/>
          <w:szCs w:val="28"/>
        </w:rPr>
        <w:t>地址：</w:t>
      </w:r>
      <w:r>
        <w:rPr>
          <w:rFonts w:hint="eastAsia"/>
          <w:sz w:val="28"/>
          <w:szCs w:val="28"/>
        </w:rPr>
        <w:t>都江堰市江安河东路下段25号2楼</w:t>
      </w:r>
    </w:p>
    <w:p>
      <w:pPr>
        <w:tabs>
          <w:tab w:val="left" w:pos="3885"/>
        </w:tabs>
        <w:spacing w:line="520" w:lineRule="exact"/>
        <w:ind w:left="567" w:leftChars="270"/>
        <w:rPr>
          <w:rFonts w:ascii="宋体" w:hAnsi="宋体"/>
          <w:sz w:val="28"/>
          <w:szCs w:val="28"/>
        </w:rPr>
      </w:pPr>
      <w:r>
        <w:rPr>
          <w:rFonts w:hint="eastAsia" w:ascii="宋体" w:hAnsi="宋体"/>
          <w:sz w:val="28"/>
          <w:szCs w:val="28"/>
        </w:rPr>
        <w:t>联系人：</w:t>
      </w:r>
      <w:r>
        <w:rPr>
          <w:rFonts w:hint="eastAsia" w:ascii="宋体" w:hAnsi="宋体"/>
          <w:color w:val="FF0000"/>
          <w:sz w:val="28"/>
          <w:szCs w:val="28"/>
          <w:u w:val="single"/>
        </w:rPr>
        <w:t>叶先生</w:t>
      </w:r>
      <w:r>
        <w:rPr>
          <w:rFonts w:ascii="宋体" w:hAnsi="宋体"/>
          <w:sz w:val="28"/>
          <w:szCs w:val="28"/>
        </w:rPr>
        <w:tab/>
      </w:r>
    </w:p>
    <w:p>
      <w:pPr>
        <w:spacing w:line="520" w:lineRule="exact"/>
        <w:ind w:firstLine="560" w:firstLineChars="200"/>
        <w:rPr>
          <w:rFonts w:ascii="宋体" w:hAnsi="宋体"/>
          <w:sz w:val="28"/>
          <w:szCs w:val="28"/>
        </w:rPr>
      </w:pPr>
      <w:r>
        <w:rPr>
          <w:rFonts w:hint="eastAsia" w:ascii="宋体" w:hAnsi="宋体"/>
          <w:sz w:val="28"/>
          <w:szCs w:val="28"/>
        </w:rPr>
        <w:t>联系电话（传真）：028－89742696</w:t>
      </w:r>
    </w:p>
    <w:p>
      <w:pPr>
        <w:pStyle w:val="150"/>
        <w:spacing w:line="560" w:lineRule="exact"/>
        <w:ind w:firstLine="560"/>
        <w:rPr>
          <w:rFonts w:ascii="宋体" w:hAnsi="宋体"/>
          <w:color w:val="000000" w:themeColor="text1"/>
          <w:kern w:val="0"/>
          <w:sz w:val="28"/>
          <w14:textFill>
            <w14:solidFill>
              <w14:schemeClr w14:val="tx1"/>
            </w14:solidFill>
          </w14:textFill>
        </w:rPr>
      </w:pPr>
      <w:r>
        <w:rPr>
          <w:rFonts w:hint="eastAsia" w:ascii="宋体" w:hAnsi="宋体"/>
          <w:color w:val="000000" w:themeColor="text1"/>
          <w:kern w:val="0"/>
          <w:sz w:val="28"/>
          <w14:textFill>
            <w14:solidFill>
              <w14:schemeClr w14:val="tx1"/>
            </w14:solidFill>
          </w14:textFill>
        </w:rPr>
        <w:t>邮编：611830</w:t>
      </w:r>
    </w:p>
    <w:p>
      <w:pPr>
        <w:pStyle w:val="150"/>
        <w:spacing w:line="560" w:lineRule="exact"/>
        <w:ind w:firstLine="562"/>
        <w:rPr>
          <w:rFonts w:ascii="宋体" w:hAnsi="宋体"/>
          <w:color w:val="000000" w:themeColor="text1"/>
          <w:kern w:val="0"/>
          <w:sz w:val="28"/>
          <w14:textFill>
            <w14:solidFill>
              <w14:schemeClr w14:val="tx1"/>
            </w14:solidFill>
          </w14:textFill>
        </w:rPr>
      </w:pPr>
      <w:r>
        <w:rPr>
          <w:rFonts w:hint="eastAsia" w:ascii="宋体" w:hAnsi="宋体"/>
          <w:b/>
          <w:bCs/>
          <w:color w:val="000000" w:themeColor="text1"/>
          <w:kern w:val="0"/>
          <w:sz w:val="28"/>
          <w14:textFill>
            <w14:solidFill>
              <w14:schemeClr w14:val="tx1"/>
            </w14:solidFill>
          </w14:textFill>
        </w:rPr>
        <w:t>技术支持</w:t>
      </w:r>
      <w:r>
        <w:rPr>
          <w:rFonts w:ascii="宋体" w:hAnsi="宋体"/>
          <w:b/>
          <w:bCs/>
          <w:color w:val="000000" w:themeColor="text1"/>
          <w:kern w:val="0"/>
          <w:sz w:val="28"/>
          <w14:textFill>
            <w14:solidFill>
              <w14:schemeClr w14:val="tx1"/>
            </w14:solidFill>
          </w14:textFill>
        </w:rPr>
        <w:t>联系电话</w:t>
      </w:r>
      <w:r>
        <w:rPr>
          <w:rFonts w:ascii="宋体" w:hAnsi="宋体"/>
          <w:color w:val="000000" w:themeColor="text1"/>
          <w:kern w:val="0"/>
          <w:sz w:val="28"/>
          <w14:textFill>
            <w14:solidFill>
              <w14:schemeClr w14:val="tx1"/>
            </w14:solidFill>
          </w14:textFill>
        </w:rPr>
        <w:t>：</w:t>
      </w:r>
      <w:r>
        <w:rPr>
          <w:rFonts w:hint="eastAsia" w:ascii="宋体" w:hAnsi="宋体"/>
          <w:sz w:val="28"/>
          <w:szCs w:val="28"/>
        </w:rPr>
        <w:t>400-881-7190</w:t>
      </w:r>
    </w:p>
    <w:p>
      <w:pPr>
        <w:pStyle w:val="82"/>
        <w:tabs>
          <w:tab w:val="left" w:pos="900"/>
        </w:tabs>
        <w:spacing w:line="560" w:lineRule="exact"/>
        <w:ind w:firstLine="562"/>
        <w:jc w:val="left"/>
        <w:rPr>
          <w:rFonts w:ascii="宋体" w:hAnsi="宋体" w:cs="Times New Roman"/>
          <w:b/>
          <w:color w:val="000000" w:themeColor="text1"/>
          <w:kern w:val="0"/>
          <w:sz w:val="28"/>
          <w14:textFill>
            <w14:solidFill>
              <w14:schemeClr w14:val="tx1"/>
            </w14:solidFill>
          </w14:textFill>
        </w:rPr>
      </w:pPr>
      <w:r>
        <w:rPr>
          <w:rFonts w:hint="eastAsia" w:ascii="宋体" w:hAnsi="宋体" w:cs="Times New Roman"/>
          <w:b/>
          <w:color w:val="000000" w:themeColor="text1"/>
          <w:sz w:val="28"/>
          <w14:textFill>
            <w14:solidFill>
              <w14:schemeClr w14:val="tx1"/>
            </w14:solidFill>
          </w14:textFill>
        </w:rPr>
        <w:t>集中采购监督机构：都江堰市财政局</w:t>
      </w:r>
    </w:p>
    <w:p>
      <w:pPr>
        <w:pStyle w:val="82"/>
        <w:tabs>
          <w:tab w:val="left" w:pos="900"/>
        </w:tabs>
        <w:spacing w:line="560" w:lineRule="exact"/>
        <w:ind w:firstLine="560"/>
        <w:jc w:val="left"/>
        <w:rPr>
          <w:rFonts w:ascii="宋体" w:hAnsi="宋体" w:cs="Times New Roman"/>
          <w:color w:val="000000" w:themeColor="text1"/>
          <w:sz w:val="28"/>
          <w14:textFill>
            <w14:solidFill>
              <w14:schemeClr w14:val="tx1"/>
            </w14:solidFill>
          </w14:textFill>
        </w:rPr>
      </w:pPr>
      <w:r>
        <w:rPr>
          <w:rFonts w:hint="eastAsia" w:ascii="宋体" w:hAnsi="宋体" w:cs="Times New Roman"/>
          <w:color w:val="000000" w:themeColor="text1"/>
          <w:sz w:val="28"/>
          <w14:textFill>
            <w14:solidFill>
              <w14:schemeClr w14:val="tx1"/>
            </w14:solidFill>
          </w14:textFill>
        </w:rPr>
        <w:t>地 址：</w:t>
      </w:r>
      <w:r>
        <w:rPr>
          <w:rFonts w:hint="eastAsia" w:ascii="宋体" w:hAnsi="宋体" w:cs="Times New Roman"/>
          <w:color w:val="000000" w:themeColor="text1"/>
          <w:sz w:val="28"/>
          <w:lang w:val="zh-CN"/>
          <w14:textFill>
            <w14:solidFill>
              <w14:schemeClr w14:val="tx1"/>
            </w14:solidFill>
          </w14:textFill>
        </w:rPr>
        <w:t>都江堰市善政路607号</w:t>
      </w:r>
    </w:p>
    <w:p>
      <w:pPr>
        <w:pStyle w:val="82"/>
        <w:tabs>
          <w:tab w:val="left" w:pos="900"/>
        </w:tabs>
        <w:spacing w:line="560" w:lineRule="exact"/>
        <w:ind w:firstLine="560"/>
        <w:jc w:val="left"/>
        <w:rPr>
          <w:rFonts w:ascii="宋体" w:hAnsi="宋体" w:cs="Times New Roman"/>
          <w:color w:val="000000" w:themeColor="text1"/>
          <w:sz w:val="28"/>
          <w14:textFill>
            <w14:solidFill>
              <w14:schemeClr w14:val="tx1"/>
            </w14:solidFill>
          </w14:textFill>
        </w:rPr>
      </w:pPr>
      <w:r>
        <w:rPr>
          <w:rFonts w:hint="eastAsia" w:ascii="宋体" w:hAnsi="宋体" w:cs="Times New Roman"/>
          <w:color w:val="000000" w:themeColor="text1"/>
          <w:sz w:val="28"/>
          <w14:textFill>
            <w14:solidFill>
              <w14:schemeClr w14:val="tx1"/>
            </w14:solidFill>
          </w14:textFill>
        </w:rPr>
        <w:t>联系电话：</w:t>
      </w:r>
      <w:r>
        <w:rPr>
          <w:rFonts w:hint="eastAsia" w:ascii="宋体" w:hAnsi="宋体" w:cs="Times New Roman"/>
          <w:color w:val="000000" w:themeColor="text1"/>
          <w:sz w:val="28"/>
          <w:lang w:val="zh-CN"/>
          <w14:textFill>
            <w14:solidFill>
              <w14:schemeClr w14:val="tx1"/>
            </w14:solidFill>
          </w14:textFill>
        </w:rPr>
        <w:t>028-89747932</w:t>
      </w: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pStyle w:val="2"/>
      </w:pPr>
    </w:p>
    <w:p>
      <w:pPr>
        <w:tabs>
          <w:tab w:val="left" w:pos="900"/>
        </w:tabs>
        <w:spacing w:line="360" w:lineRule="auto"/>
        <w:ind w:firstLine="562" w:firstLineChars="200"/>
        <w:rPr>
          <w:rFonts w:hint="eastAsia" w:ascii="宋体" w:hAnsi="宋体" w:cstheme="minorBidi"/>
          <w:b/>
          <w:sz w:val="28"/>
          <w:szCs w:val="28"/>
        </w:rPr>
      </w:pPr>
    </w:p>
    <w:p>
      <w:pPr>
        <w:pStyle w:val="2"/>
        <w:rPr>
          <w:rFonts w:hint="eastAsia"/>
        </w:rPr>
      </w:pPr>
    </w:p>
    <w:p>
      <w:pPr>
        <w:rPr>
          <w:rFonts w:hint="eastAsia"/>
        </w:rPr>
      </w:pPr>
    </w:p>
    <w:p>
      <w:pPr>
        <w:pStyle w:val="2"/>
        <w:rPr>
          <w:rFonts w:hint="eastAsia"/>
        </w:rPr>
      </w:pPr>
    </w:p>
    <w:p>
      <w:pPr>
        <w:rPr>
          <w:rFonts w:hint="eastAsia"/>
        </w:rPr>
      </w:pPr>
    </w:p>
    <w:p>
      <w:pPr>
        <w:pStyle w:val="2"/>
      </w:pPr>
    </w:p>
    <w:p>
      <w:pPr>
        <w:tabs>
          <w:tab w:val="left" w:pos="900"/>
        </w:tabs>
        <w:spacing w:line="360" w:lineRule="auto"/>
        <w:ind w:firstLine="562" w:firstLineChars="200"/>
        <w:rPr>
          <w:rFonts w:ascii="宋体" w:hAnsi="宋体" w:cstheme="minorBidi"/>
          <w:b/>
          <w:sz w:val="28"/>
          <w:szCs w:val="28"/>
        </w:rPr>
      </w:pPr>
    </w:p>
    <w:p>
      <w:pPr>
        <w:keepNext/>
        <w:keepLines/>
        <w:numPr>
          <w:ilvl w:val="0"/>
          <w:numId w:val="3"/>
        </w:numPr>
        <w:spacing w:before="340" w:after="330" w:line="400" w:lineRule="exact"/>
        <w:ind w:left="0" w:firstLine="0"/>
        <w:jc w:val="center"/>
        <w:outlineLvl w:val="0"/>
        <w:rPr>
          <w:rFonts w:ascii="宋体" w:hAnsi="宋体"/>
          <w:b/>
          <w:bCs/>
          <w:spacing w:val="-20"/>
          <w:kern w:val="44"/>
          <w:sz w:val="32"/>
          <w:szCs w:val="32"/>
        </w:rPr>
      </w:pPr>
      <w:bookmarkStart w:id="13" w:name="_Toc78191607"/>
      <w:r>
        <w:rPr>
          <w:rFonts w:hint="eastAsia" w:ascii="宋体" w:hAnsi="宋体"/>
          <w:b/>
          <w:bCs/>
          <w:spacing w:val="-20"/>
          <w:kern w:val="44"/>
          <w:sz w:val="32"/>
          <w:szCs w:val="32"/>
        </w:rPr>
        <w:t>投标人须知</w:t>
      </w:r>
      <w:bookmarkEnd w:id="13"/>
    </w:p>
    <w:p>
      <w:pPr>
        <w:keepNext/>
        <w:keepLines/>
        <w:numPr>
          <w:ilvl w:val="1"/>
          <w:numId w:val="3"/>
        </w:numPr>
        <w:spacing w:before="260" w:after="260" w:line="360" w:lineRule="auto"/>
        <w:jc w:val="left"/>
        <w:outlineLvl w:val="1"/>
        <w:rPr>
          <w:rFonts w:ascii="宋体" w:hAnsi="宋体"/>
          <w:b/>
          <w:bCs/>
          <w:sz w:val="28"/>
          <w:szCs w:val="28"/>
        </w:rPr>
      </w:pPr>
      <w:bookmarkStart w:id="14" w:name="_Toc213397010"/>
      <w:bookmarkStart w:id="15" w:name="_Toc189727030"/>
      <w:bookmarkStart w:id="16" w:name="_Toc217446032"/>
      <w:bookmarkStart w:id="17" w:name="_Toc213496268"/>
      <w:bookmarkStart w:id="18" w:name="_Toc213396946"/>
      <w:bookmarkStart w:id="19" w:name="_Toc213396760"/>
      <w:bookmarkStart w:id="20" w:name="_Toc316462344"/>
      <w:bookmarkStart w:id="21" w:name="_Toc78191608"/>
      <w:r>
        <w:rPr>
          <w:rFonts w:hint="eastAsia" w:ascii="宋体" w:hAnsi="宋体"/>
          <w:b/>
          <w:bCs/>
          <w:sz w:val="28"/>
          <w:szCs w:val="28"/>
        </w:rPr>
        <w:t>投标人须知前附表</w:t>
      </w:r>
      <w:bookmarkEnd w:id="14"/>
      <w:bookmarkEnd w:id="15"/>
      <w:bookmarkEnd w:id="16"/>
      <w:bookmarkEnd w:id="17"/>
      <w:bookmarkEnd w:id="18"/>
      <w:bookmarkEnd w:id="19"/>
      <w:bookmarkEnd w:id="20"/>
      <w:bookmarkEnd w:id="21"/>
    </w:p>
    <w:tbl>
      <w:tblPr>
        <w:tblStyle w:val="47"/>
        <w:tblW w:w="951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716"/>
        <w:gridCol w:w="69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ascii="宋体" w:hAnsi="宋体"/>
                <w:b/>
              </w:rPr>
            </w:pPr>
            <w:r>
              <w:rPr>
                <w:rFonts w:hint="eastAsia" w:ascii="宋体" w:hAnsi="宋体"/>
                <w:b/>
                <w:sz w:val="28"/>
                <w:szCs w:val="28"/>
                <w:lang w:val="zh-CN"/>
              </w:rPr>
              <w:t>序号</w:t>
            </w:r>
          </w:p>
        </w:tc>
        <w:tc>
          <w:tcPr>
            <w:tcW w:w="1716" w:type="dxa"/>
            <w:tcBorders>
              <w:top w:val="single" w:color="auto" w:sz="18" w:space="0"/>
              <w:left w:val="single" w:color="auto" w:sz="8" w:space="0"/>
              <w:bottom w:val="single" w:color="auto" w:sz="8" w:space="0"/>
              <w:right w:val="single" w:color="auto" w:sz="8" w:space="0"/>
            </w:tcBorders>
            <w:vAlign w:val="center"/>
          </w:tcPr>
          <w:p>
            <w:pPr>
              <w:autoSpaceDE w:val="0"/>
              <w:autoSpaceDN w:val="0"/>
              <w:adjustRightInd w:val="0"/>
              <w:spacing w:line="360" w:lineRule="auto"/>
              <w:ind w:left="38"/>
              <w:jc w:val="center"/>
              <w:rPr>
                <w:rFonts w:ascii="宋体" w:hAnsi="宋体" w:cs="宋体"/>
                <w:b/>
                <w:lang w:val="zh-CN"/>
              </w:rPr>
            </w:pPr>
            <w:r>
              <w:rPr>
                <w:rFonts w:hint="eastAsia" w:ascii="宋体" w:hAnsi="宋体" w:cs="宋体"/>
                <w:b/>
                <w:sz w:val="28"/>
                <w:szCs w:val="28"/>
                <w:lang w:val="zh-CN"/>
              </w:rPr>
              <w:t>应知事项</w:t>
            </w:r>
          </w:p>
        </w:tc>
        <w:tc>
          <w:tcPr>
            <w:tcW w:w="6910" w:type="dxa"/>
            <w:tcBorders>
              <w:top w:val="single" w:color="auto" w:sz="18" w:space="0"/>
              <w:left w:val="single" w:color="auto" w:sz="8" w:space="0"/>
              <w:bottom w:val="single" w:color="auto" w:sz="8" w:space="0"/>
              <w:right w:val="single" w:color="auto" w:sz="18" w:space="0"/>
            </w:tcBorders>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902"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ascii="宋体" w:hAnsi="宋体"/>
              </w:rPr>
            </w:pPr>
            <w:r>
              <w:rPr>
                <w:rFonts w:hint="eastAsia" w:ascii="宋体" w:hAnsi="宋体"/>
              </w:rPr>
              <w:t>采购预算</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ind w:right="210"/>
              <w:rPr>
                <w:sz w:val="28"/>
                <w:szCs w:val="28"/>
                <w:lang w:val="zh-CN"/>
              </w:rPr>
            </w:pPr>
            <w:r>
              <w:rPr>
                <w:rFonts w:hint="eastAsia"/>
              </w:rPr>
              <w:t xml:space="preserve">         </w:t>
            </w:r>
            <w:r>
              <w:rPr>
                <w:rFonts w:hint="eastAsia"/>
                <w:sz w:val="28"/>
                <w:szCs w:val="28"/>
              </w:rPr>
              <w:t>人民币</w:t>
            </w:r>
            <w:r>
              <w:rPr>
                <w:rFonts w:hint="eastAsia"/>
                <w:color w:val="FF0000"/>
                <w:sz w:val="28"/>
                <w:szCs w:val="28"/>
                <w:u w:val="single"/>
              </w:rPr>
              <w:t>4344000</w:t>
            </w:r>
            <w:r>
              <w:rPr>
                <w:rFonts w:hint="eastAsia"/>
                <w:sz w:val="28"/>
                <w:szCs w:val="28"/>
              </w:rPr>
              <w:t>元</w:t>
            </w:r>
            <w:r>
              <w:rPr>
                <w:rFonts w:hint="eastAsia"/>
                <w:sz w:val="28"/>
                <w:szCs w:val="28"/>
                <w:lang w:val="zh-CN"/>
              </w:rPr>
              <w:t>。</w:t>
            </w:r>
          </w:p>
          <w:p>
            <w:pPr>
              <w:pStyle w:val="30"/>
              <w:ind w:firstLine="562"/>
              <w:rPr>
                <w:lang w:val="zh-CN"/>
              </w:rPr>
            </w:pPr>
            <w:r>
              <w:rPr>
                <w:rFonts w:hint="eastAsia"/>
                <w:b/>
                <w:bCs/>
                <w:sz w:val="28"/>
                <w:szCs w:val="28"/>
              </w:rPr>
              <w:t>超过采购预算的投标为无效投标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984"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最高限价</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Times New Roman" w:hAnsi="Times New Roman"/>
                <w:sz w:val="28"/>
                <w:szCs w:val="28"/>
              </w:rPr>
            </w:pPr>
            <w:r>
              <w:rPr>
                <w:rFonts w:hint="eastAsia" w:ascii="Times New Roman" w:hAnsi="Times New Roman"/>
                <w:b/>
                <w:bCs/>
                <w:sz w:val="28"/>
                <w:szCs w:val="28"/>
              </w:rPr>
              <w:t>本项目分为3个包</w:t>
            </w:r>
            <w:r>
              <w:rPr>
                <w:rFonts w:hint="eastAsia" w:ascii="Times New Roman" w:hAnsi="Times New Roman"/>
                <w:sz w:val="28"/>
                <w:szCs w:val="28"/>
              </w:rPr>
              <w:t>：</w:t>
            </w:r>
            <w:r>
              <w:rPr>
                <w:rFonts w:hint="eastAsia" w:ascii="Times New Roman" w:hAnsi="Times New Roman"/>
                <w:b/>
                <w:bCs/>
                <w:sz w:val="28"/>
                <w:szCs w:val="28"/>
              </w:rPr>
              <w:t>包1最高限价</w:t>
            </w:r>
            <w:r>
              <w:rPr>
                <w:rFonts w:hint="eastAsia" w:ascii="Times New Roman" w:hAnsi="Times New Roman"/>
                <w:color w:val="FF0000"/>
                <w:sz w:val="28"/>
                <w:szCs w:val="28"/>
                <w:u w:val="single"/>
              </w:rPr>
              <w:t>2590000</w:t>
            </w:r>
            <w:r>
              <w:rPr>
                <w:rFonts w:hint="eastAsia" w:ascii="Times New Roman" w:hAnsi="Times New Roman"/>
                <w:sz w:val="28"/>
                <w:szCs w:val="28"/>
              </w:rPr>
              <w:t>元；</w:t>
            </w:r>
          </w:p>
          <w:p>
            <w:pPr>
              <w:autoSpaceDE w:val="0"/>
              <w:autoSpaceDN w:val="0"/>
              <w:adjustRightInd w:val="0"/>
              <w:spacing w:line="360" w:lineRule="auto"/>
              <w:ind w:right="210" w:rightChars="100"/>
              <w:rPr>
                <w:rFonts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b/>
                <w:bCs/>
                <w:sz w:val="28"/>
                <w:szCs w:val="28"/>
              </w:rPr>
              <w:t>包2最高限价</w:t>
            </w:r>
            <w:r>
              <w:rPr>
                <w:rFonts w:hint="eastAsia" w:ascii="Times New Roman" w:hAnsi="Times New Roman"/>
                <w:color w:val="FF0000"/>
                <w:sz w:val="28"/>
                <w:szCs w:val="28"/>
                <w:u w:val="single"/>
              </w:rPr>
              <w:t>935000</w:t>
            </w:r>
            <w:r>
              <w:rPr>
                <w:rFonts w:hint="eastAsia" w:ascii="Times New Roman" w:hAnsi="Times New Roman"/>
                <w:sz w:val="28"/>
                <w:szCs w:val="28"/>
              </w:rPr>
              <w:t>元；</w:t>
            </w:r>
          </w:p>
          <w:p>
            <w:pPr>
              <w:autoSpaceDE w:val="0"/>
              <w:autoSpaceDN w:val="0"/>
              <w:adjustRightInd w:val="0"/>
              <w:spacing w:line="360" w:lineRule="auto"/>
              <w:ind w:right="210" w:rightChars="100"/>
              <w:rPr>
                <w:rFonts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b/>
                <w:bCs/>
                <w:sz w:val="28"/>
                <w:szCs w:val="28"/>
              </w:rPr>
              <w:t xml:space="preserve"> 包3最高限价</w:t>
            </w:r>
            <w:r>
              <w:rPr>
                <w:rFonts w:hint="eastAsia" w:ascii="Times New Roman" w:hAnsi="Times New Roman"/>
                <w:color w:val="FF0000"/>
                <w:sz w:val="28"/>
                <w:szCs w:val="28"/>
                <w:u w:val="single"/>
              </w:rPr>
              <w:t>819000</w:t>
            </w:r>
            <w:r>
              <w:rPr>
                <w:rFonts w:hint="eastAsia" w:ascii="Times New Roman" w:hAnsi="Times New Roman"/>
                <w:sz w:val="28"/>
                <w:szCs w:val="28"/>
              </w:rPr>
              <w:t xml:space="preserve">元；                </w:t>
            </w:r>
          </w:p>
          <w:p>
            <w:pPr>
              <w:autoSpaceDE w:val="0"/>
              <w:autoSpaceDN w:val="0"/>
              <w:adjustRightInd w:val="0"/>
              <w:spacing w:line="360" w:lineRule="auto"/>
              <w:ind w:right="210" w:rightChars="100"/>
              <w:rPr>
                <w:rFonts w:ascii="宋体" w:hAnsi="宋体" w:cs="宋体"/>
                <w:b/>
                <w:lang w:val="zh-CN"/>
              </w:rPr>
            </w:pPr>
            <w:r>
              <w:rPr>
                <w:rFonts w:hint="eastAsia"/>
                <w:b/>
                <w:sz w:val="28"/>
                <w:szCs w:val="28"/>
                <w:lang w:val="zh-CN"/>
              </w:rPr>
              <w:t>如投标人投标报价高于最高限价则其投标文件将按无效投标文件处理。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08"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采购方式</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评标方法</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综合评分法(详见第6章)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eastAsia="仿宋_GB2312" w:cs="宋体"/>
                <w:lang w:val="zh-CN"/>
              </w:rPr>
            </w:pPr>
            <w:r>
              <w:rPr>
                <w:rFonts w:hint="eastAsia" w:ascii="宋体" w:hAnsi="宋体" w:cs="宋体"/>
                <w:lang w:val="zh-CN"/>
              </w:rPr>
              <w:t>低于成本价不正当竞争预防措施</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rPr>
            </w:pPr>
            <w:r>
              <w:rPr>
                <w:rFonts w:hint="eastAsia" w:ascii="宋体" w:hAnsi="宋体" w:cs="宋体"/>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投标保证金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rPr>
            </w:pPr>
            <w:r>
              <w:rPr>
                <w:rFonts w:hint="eastAsia" w:ascii="宋体" w:hAnsi="宋体"/>
                <w:b/>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详见投标人须知2.6.4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投标有效期</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提交投标文件的截止之日起</w:t>
            </w:r>
            <w:r>
              <w:rPr>
                <w:rFonts w:hint="eastAsia" w:ascii="宋体" w:hAnsi="宋体" w:cs="宋体"/>
                <w:u w:val="single"/>
                <w:lang w:val="zh-CN"/>
              </w:rPr>
              <w:t>120</w:t>
            </w:r>
            <w:r>
              <w:rPr>
                <w:rFonts w:hint="eastAsia" w:ascii="宋体" w:hAnsi="宋体" w:cs="宋体"/>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投标文件的制作和签章、加密</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投标文件的递交</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详见投标人须知2.4.12</w:t>
            </w:r>
          </w:p>
          <w:p>
            <w:pPr>
              <w:tabs>
                <w:tab w:val="left" w:pos="7665"/>
              </w:tabs>
              <w:snapToGrid w:val="0"/>
              <w:jc w:val="left"/>
              <w:rPr>
                <w:b/>
              </w:rPr>
            </w:pPr>
            <w:r>
              <w:rPr>
                <w:rFonts w:hint="eastAsia" w:ascii="宋体" w:hAnsi="宋体"/>
                <w:b/>
              </w:rPr>
              <w:t>注：投标人使用</w:t>
            </w:r>
            <w:r>
              <w:rPr>
                <w:rFonts w:ascii="宋体" w:hAnsi="宋体"/>
                <w:b/>
              </w:rPr>
              <w:t>CA证书在</w:t>
            </w:r>
            <w:r>
              <w:rPr>
                <w:rFonts w:hint="eastAsia" w:ascii="宋体" w:hAnsi="宋体"/>
                <w:b/>
              </w:rPr>
              <w:t>投标截止时间前，将投标文件上传至政府</w:t>
            </w:r>
            <w:r>
              <w:rPr>
                <w:rFonts w:ascii="宋体" w:hAnsi="宋体"/>
                <w:b/>
              </w:rPr>
              <w:t>采购</w:t>
            </w:r>
            <w:r>
              <w:rPr>
                <w:rFonts w:hint="eastAsia" w:ascii="宋体" w:hAnsi="宋体"/>
                <w:b/>
              </w:rPr>
              <w:t>云平台，上传前须对投标文件是否有电子签章等进行核对。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投标文件的补充、修改</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投标文件的撤回</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b/>
              </w:rPr>
              <w:t>开标及开标程序</w:t>
            </w:r>
          </w:p>
        </w:tc>
        <w:tc>
          <w:tcPr>
            <w:tcW w:w="6910"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详见投标人须知2.5.1。</w:t>
            </w:r>
          </w:p>
          <w:p>
            <w:pPr>
              <w:snapToGrid w:val="0"/>
              <w:spacing w:line="360" w:lineRule="auto"/>
              <w:rPr>
                <w:rFonts w:ascii="宋体" w:hAnsi="宋体"/>
                <w:b/>
              </w:rPr>
            </w:pPr>
            <w:r>
              <w:rPr>
                <w:rFonts w:hint="eastAsia" w:ascii="宋体" w:hAnsi="宋体"/>
                <w:b/>
              </w:rPr>
              <w:t>投标文件解密：开启解密后，投标人应在系统提示的解密开始时间后</w:t>
            </w:r>
            <w:r>
              <w:rPr>
                <w:rFonts w:ascii="宋体" w:hAnsi="宋体"/>
                <w:b/>
              </w:rPr>
              <w:t>60</w:t>
            </w:r>
            <w:r>
              <w:rPr>
                <w:rFonts w:hint="eastAsia" w:ascii="宋体" w:hAnsi="宋体"/>
                <w:b/>
              </w:rPr>
              <w:t>分钟内 ，使用对投标文件进行加密的CA证书在线完成对投标人递交至政府采购云平台的投标文件的解密。</w:t>
            </w:r>
          </w:p>
          <w:p>
            <w:pPr>
              <w:snapToGrid w:val="0"/>
              <w:spacing w:line="360" w:lineRule="auto"/>
              <w:rPr>
                <w:rFonts w:ascii="宋体" w:hAnsi="宋体"/>
                <w:b/>
              </w:rPr>
            </w:pPr>
            <w:r>
              <w:rPr>
                <w:rFonts w:hint="eastAsia" w:ascii="宋体" w:hAnsi="宋体"/>
                <w:b/>
              </w:rPr>
              <w:t>投标人电脑终端等硬件设备和软件系统配置：投标人电脑终端等硬件设备和软件系统配置应符合开标大厅投标人电脑终端配置要求并运行正常，投标人承担因未尽职责产生的不利后果。</w:t>
            </w:r>
          </w:p>
          <w:p>
            <w:pPr>
              <w:tabs>
                <w:tab w:val="left" w:pos="7665"/>
              </w:tabs>
              <w:snapToGrid w:val="0"/>
              <w:jc w:val="left"/>
              <w:rPr>
                <w:rFonts w:ascii="宋体" w:hAnsi="宋体"/>
              </w:rPr>
            </w:pPr>
            <w:r>
              <w:rPr>
                <w:rFonts w:hint="eastAsia" w:ascii="宋体" w:hAnsi="宋体"/>
                <w:b/>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对招标文件中供应商参加本次政府采购活动应当具备的条件，招标项目服务、商务及其他要求，</w:t>
            </w:r>
            <w:r>
              <w:rPr>
                <w:rFonts w:hint="eastAsia" w:ascii="宋体" w:hAnsi="宋体"/>
                <w:lang w:val="zh-CN"/>
              </w:rPr>
              <w:t>投标资料造假或虚假承诺，</w:t>
            </w:r>
            <w:r>
              <w:rPr>
                <w:rFonts w:hint="eastAsia" w:ascii="宋体" w:hAnsi="宋体"/>
              </w:rPr>
              <w:t>以及关于资格审查的询问、质疑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向采购人提出，并由采购人按相关规定作出答复（详见投标人须知2.8）。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93"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对招标文件中的其他内容、采购过程及中标结果（除</w:t>
            </w:r>
            <w:r>
              <w:rPr>
                <w:rFonts w:ascii="宋体" w:hAnsi="宋体"/>
              </w:rPr>
              <w:t>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向市公资交易中心提出，并由市公资交易中心按相关规定作出答复（详见投标人须知2.8）。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投标人投诉</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投诉受理单位：本项目同级财政部门，即都江堰市财政局。</w:t>
            </w:r>
          </w:p>
          <w:p>
            <w:pPr>
              <w:tabs>
                <w:tab w:val="left" w:pos="7665"/>
              </w:tabs>
              <w:spacing w:line="360" w:lineRule="auto"/>
              <w:rPr>
                <w:rFonts w:ascii="宋体" w:hAnsi="宋体" w:cs="宋体"/>
                <w:lang w:val="zh-CN"/>
              </w:rPr>
            </w:pPr>
            <w:r>
              <w:rPr>
                <w:rFonts w:hint="eastAsia" w:ascii="宋体" w:hAnsi="宋体" w:cs="宋体"/>
                <w:lang w:val="zh-CN"/>
              </w:rPr>
              <w:t>联系电话：028-89747932。</w:t>
            </w:r>
          </w:p>
          <w:p>
            <w:pPr>
              <w:tabs>
                <w:tab w:val="left" w:pos="7665"/>
              </w:tabs>
              <w:spacing w:line="360" w:lineRule="auto"/>
              <w:rPr>
                <w:rFonts w:ascii="宋体" w:hAnsi="宋体" w:cs="宋体"/>
                <w:lang w:val="zh-CN"/>
              </w:rPr>
            </w:pPr>
            <w:r>
              <w:rPr>
                <w:rFonts w:hint="eastAsia" w:ascii="宋体" w:hAnsi="宋体" w:cs="宋体"/>
                <w:lang w:val="zh-CN"/>
              </w:rPr>
              <w:t>地址：都江堰市善政路607号。</w:t>
            </w:r>
          </w:p>
          <w:p>
            <w:pPr>
              <w:tabs>
                <w:tab w:val="left" w:pos="7665"/>
              </w:tabs>
              <w:spacing w:line="360" w:lineRule="auto"/>
              <w:rPr>
                <w:rFonts w:ascii="宋体" w:hAnsi="宋体"/>
              </w:rPr>
            </w:pPr>
            <w:r>
              <w:rPr>
                <w:rFonts w:hint="eastAsia" w:ascii="宋体" w:hAnsi="宋体" w:cs="宋体"/>
                <w:lang w:val="zh-CN"/>
              </w:rPr>
              <w:t>邮编：</w:t>
            </w:r>
            <w:r>
              <w:rPr>
                <w:rFonts w:hint="eastAsia" w:ascii="宋体" w:hAnsi="宋体" w:cs="宋体"/>
              </w:rPr>
              <w:t>611830</w:t>
            </w:r>
            <w:r>
              <w:rPr>
                <w:rFonts w:hint="eastAsia" w:ascii="宋体" w:hAnsi="宋体" w:cs="宋体"/>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33"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8"/>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评标情况公告</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投标人</w:t>
            </w:r>
            <w:r>
              <w:rPr>
                <w:rFonts w:hint="eastAsia" w:ascii="宋体" w:hAnsi="宋体" w:cs="宋体"/>
                <w:lang w:val="zh-CN"/>
              </w:rPr>
              <w:t>投标文件资格性、符合性检查情况、采用综合评分法时的总得分情况、评标结果等将在成都市公共资源交易服务中心网、四川政府采购网上采购结果公告栏中予以公告。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27"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8"/>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中标通知书</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中标公告在四川政府采购网上公告后，中标供应商自行登录政府采购云平台下载中标通知书。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0"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8"/>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四川省都江堰市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8"/>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政府采购合同公告、备案</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4" w:leftChars="-2" w:right="210" w:firstLine="12" w:firstLineChars="6"/>
              <w:rPr>
                <w:rFonts w:ascii="宋体" w:hAnsi="宋体"/>
              </w:rPr>
            </w:pPr>
            <w:r>
              <w:rPr>
                <w:rFonts w:hint="eastAsia" w:ascii="宋体"/>
              </w:rPr>
              <w:t>政府采购合同签订之日起2个工作日内，采购人将在四川政府采购网公告政府采购合同；疫情防控期间，采购人原则上在5个工作日内与供应商签订政府采购合同及向本采购项目同级财政部门，即都江堰市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049"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8"/>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b/>
              </w:rPr>
            </w:pPr>
            <w:r>
              <w:rPr>
                <w:rFonts w:hint="eastAsia" w:ascii="宋体" w:hAnsi="宋体"/>
              </w:rPr>
              <w:t>中小企业政府采购信用融资</w:t>
            </w:r>
          </w:p>
        </w:tc>
        <w:tc>
          <w:tcPr>
            <w:tcW w:w="6910" w:type="dxa"/>
            <w:tcBorders>
              <w:top w:val="single" w:color="auto" w:sz="4" w:space="0"/>
              <w:left w:val="single" w:color="auto" w:sz="8" w:space="0"/>
              <w:bottom w:val="single" w:color="auto" w:sz="4" w:space="0"/>
              <w:right w:val="single" w:color="auto" w:sz="18" w:space="0"/>
            </w:tcBorders>
            <w:vAlign w:val="center"/>
          </w:tcPr>
          <w:p>
            <w:pPr>
              <w:snapToGrid w:val="0"/>
              <w:spacing w:line="360" w:lineRule="auto"/>
              <w:rPr>
                <w:rFonts w:ascii="宋体" w:hAnsi="宋体"/>
              </w:rPr>
            </w:pPr>
            <w:r>
              <w:rPr>
                <w:rFonts w:hint="eastAsia" w:ascii="宋体" w:hAnsi="宋体"/>
              </w:rPr>
              <w:t>参加本次招标活动的中小企业供应商无需提供财产抵押或第三方担保，凭借政府采购合同可向融资机构申请融资。具体内容详见成都市公共资源交易服务中心网（http://www.cdggzy.com/）都江堰市分中心“通知公告”栏《都江堰市财政局 中国人民银行都江堰市支行关于转发〈成都市中小企业政府采购信用融资暂行办法〉的通知》（都财发[2019]88号）和《都江堰市财政局 中国人民银行都江堰市支行关于转发〈都江堰市支持中小企业政府采购信用融资实施方案〉的通知》（都财发[2019]92号）”。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8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8"/>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进口产品</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9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8"/>
              </w:numPr>
              <w:snapToGrid w:val="0"/>
              <w:spacing w:line="360" w:lineRule="auto"/>
              <w:ind w:left="0" w:firstLine="0"/>
              <w:jc w:val="center"/>
              <w:rPr>
                <w:rFonts w:ascii="宋体" w:hAnsi="宋体"/>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ind w:firstLine="240" w:firstLineChars="100"/>
              <w:rPr>
                <w:sz w:val="24"/>
              </w:rPr>
            </w:pPr>
            <w:r>
              <w:rPr>
                <w:rFonts w:hint="eastAsia"/>
                <w:sz w:val="24"/>
              </w:rPr>
              <w:t>采购单位将按照都江堰市的相关规定对本单位的政府采购项目中标（成交）供应商诚信情况进行核查。</w:t>
            </w:r>
          </w:p>
          <w:p>
            <w:pPr>
              <w:ind w:firstLine="240" w:firstLineChars="100"/>
              <w:rPr>
                <w:sz w:val="24"/>
              </w:rPr>
            </w:pPr>
            <w:r>
              <w:rPr>
                <w:sz w:val="24"/>
              </w:rPr>
              <w:t>1</w:t>
            </w:r>
            <w:r>
              <w:rPr>
                <w:rFonts w:hint="eastAsia"/>
                <w:sz w:val="24"/>
              </w:rPr>
              <w:t>、核查资料内容。在采购项目中标（成交）供应商确定后，采购单位须按采购文件要求，对项目中标（成交）供应商提供的投标（响应）文件中涉及的证明材料的真实性进行核查，规定核查资料为：除《中华人民共和国政府采购法》第二十二条第一款规定以外的其他特殊资格条件的证明材料。以及涉及项目信誉评分的政府部门或第三方机构出具的证明文件、证书等资料，并由采购单位根据核查情况形成核查报告。</w:t>
            </w:r>
          </w:p>
          <w:p>
            <w:pPr>
              <w:ind w:firstLine="240" w:firstLineChars="100"/>
              <w:rPr>
                <w:sz w:val="24"/>
              </w:rPr>
            </w:pPr>
            <w:r>
              <w:rPr>
                <w:sz w:val="24"/>
              </w:rPr>
              <w:t>2</w:t>
            </w:r>
            <w:r>
              <w:rPr>
                <w:rFonts w:hint="eastAsia"/>
                <w:sz w:val="24"/>
              </w:rPr>
              <w:t>、核查范围。（</w:t>
            </w:r>
            <w:r>
              <w:rPr>
                <w:sz w:val="24"/>
              </w:rPr>
              <w:t>1</w:t>
            </w:r>
            <w:r>
              <w:rPr>
                <w:rFonts w:hint="eastAsia"/>
                <w:sz w:val="24"/>
              </w:rPr>
              <w:t>）采购预算金额在</w:t>
            </w:r>
            <w:r>
              <w:rPr>
                <w:sz w:val="24"/>
              </w:rPr>
              <w:t>50</w:t>
            </w:r>
            <w:r>
              <w:rPr>
                <w:rFonts w:hint="eastAsia"/>
                <w:sz w:val="24"/>
              </w:rPr>
              <w:t>万元（含）以上项目，对中标（成交）供应商上述规定资料的核查须达到</w:t>
            </w:r>
            <w:r>
              <w:rPr>
                <w:sz w:val="24"/>
              </w:rPr>
              <w:t>100%</w:t>
            </w:r>
            <w:r>
              <w:rPr>
                <w:rFonts w:hint="eastAsia"/>
                <w:sz w:val="24"/>
              </w:rPr>
              <w:t>。（</w:t>
            </w:r>
            <w:r>
              <w:rPr>
                <w:sz w:val="24"/>
              </w:rPr>
              <w:t>2</w:t>
            </w:r>
            <w:r>
              <w:rPr>
                <w:rFonts w:hint="eastAsia"/>
                <w:sz w:val="24"/>
              </w:rPr>
              <w:t>）采购预算金额在</w:t>
            </w:r>
            <w:r>
              <w:rPr>
                <w:sz w:val="24"/>
              </w:rPr>
              <w:t>50</w:t>
            </w:r>
            <w:r>
              <w:rPr>
                <w:rFonts w:hint="eastAsia"/>
                <w:sz w:val="24"/>
              </w:rPr>
              <w:t>万元以下的项目，对中标（成交）供应商上述规定资料的核查不低于</w:t>
            </w:r>
            <w:r>
              <w:rPr>
                <w:sz w:val="24"/>
              </w:rPr>
              <w:t>50%</w:t>
            </w:r>
            <w:r>
              <w:rPr>
                <w:rFonts w:hint="eastAsia"/>
                <w:sz w:val="24"/>
              </w:rPr>
              <w:t>（网上竞价项目除外）。（</w:t>
            </w:r>
            <w:r>
              <w:rPr>
                <w:sz w:val="24"/>
              </w:rPr>
              <w:t>3</w:t>
            </w:r>
            <w:r>
              <w:rPr>
                <w:rFonts w:hint="eastAsia"/>
                <w:sz w:val="24"/>
              </w:rPr>
              <w:t>）与人们群众切身利益或公共安全相关的项目，对中标（成交）供应商上述规定资料的核查须达到</w:t>
            </w:r>
            <w:r>
              <w:rPr>
                <w:sz w:val="24"/>
              </w:rPr>
              <w:t>100%</w:t>
            </w:r>
            <w:r>
              <w:rPr>
                <w:rFonts w:hint="eastAsia"/>
                <w:sz w:val="24"/>
              </w:rPr>
              <w:t>。（</w:t>
            </w:r>
            <w:r>
              <w:rPr>
                <w:sz w:val="24"/>
              </w:rPr>
              <w:t>4</w:t>
            </w:r>
            <w:r>
              <w:rPr>
                <w:rFonts w:hint="eastAsia"/>
                <w:sz w:val="24"/>
              </w:rPr>
              <w:t>）采购单位认为需要核查的其他情况。</w:t>
            </w:r>
          </w:p>
          <w:p>
            <w:pPr>
              <w:tabs>
                <w:tab w:val="left" w:pos="7665"/>
              </w:tabs>
              <w:snapToGrid w:val="0"/>
              <w:spacing w:line="360" w:lineRule="auto"/>
              <w:rPr>
                <w:rFonts w:ascii="宋体" w:hAnsi="宋体"/>
              </w:rPr>
            </w:pPr>
            <w:r>
              <w:rPr>
                <w:sz w:val="24"/>
              </w:rPr>
              <w:t>3</w:t>
            </w:r>
            <w:r>
              <w:rPr>
                <w:rFonts w:hint="eastAsia"/>
                <w:sz w:val="24"/>
              </w:rPr>
              <w:t>、核查结果运用。采购单位形成的供应商诚信情况核查报告做为签订合同的依据之一。对核查发现虚假材料的中标（成交）供应商，由市财政局按相关法律法规进行处罚。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9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8"/>
              </w:numPr>
              <w:snapToGrid w:val="0"/>
              <w:spacing w:line="360" w:lineRule="auto"/>
              <w:ind w:left="0" w:firstLine="0"/>
              <w:jc w:val="center"/>
              <w:rPr>
                <w:rFonts w:ascii="宋体" w:hAnsi="宋体"/>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pStyle w:val="13"/>
              <w:ind w:firstLine="480" w:firstLineChars="200"/>
              <w:rPr>
                <w:rFonts w:ascii="Calibri" w:hAnsi="Calibri"/>
                <w:color w:val="FF0000"/>
                <w:kern w:val="2"/>
                <w:sz w:val="24"/>
                <w:szCs w:val="22"/>
              </w:rPr>
            </w:pPr>
            <w:r>
              <w:rPr>
                <w:rFonts w:hint="eastAsia" w:ascii="Calibri" w:hAnsi="Calibri"/>
                <w:color w:val="FF0000"/>
                <w:kern w:val="2"/>
                <w:sz w:val="24"/>
                <w:szCs w:val="22"/>
              </w:rPr>
              <w:t>采购单位将在中标（成交）通知书发出后，要求中标（成交）供应商在5个工作日内提供招标文件“3.2.2申明”中申明的以下资料复印件：1、营业执照副本或事业单位法人证书副本或法人登记证书副本或自然人的身份证明；2、中标前一年度资产负债表或银行出具的资信证明（投标人成立时间至投标截止时间止不足一年的，提供成立后任意时段的资产负债表）。</w:t>
            </w:r>
          </w:p>
          <w:p>
            <w:pPr>
              <w:tabs>
                <w:tab w:val="left" w:pos="7665"/>
              </w:tabs>
              <w:snapToGrid w:val="0"/>
              <w:spacing w:line="360" w:lineRule="auto"/>
              <w:rPr>
                <w:sz w:val="24"/>
              </w:rPr>
            </w:pPr>
            <w:r>
              <w:rPr>
                <w:rFonts w:hint="eastAsia"/>
                <w:color w:val="FF0000"/>
                <w:sz w:val="24"/>
              </w:rPr>
              <w:t>注：如中标（成交）供应商未按照规定时间和要求提供资料的，将以提供虚假材料谋取中标追究中标（成交）供应商的法律责任（因采购人原因未按规定时间和要求提供资料的除外）。</w:t>
            </w:r>
          </w:p>
        </w:tc>
      </w:tr>
    </w:tbl>
    <w:p>
      <w:pPr>
        <w:keepNext/>
        <w:keepLines/>
        <w:numPr>
          <w:ilvl w:val="1"/>
          <w:numId w:val="3"/>
        </w:numPr>
        <w:spacing w:before="260" w:after="260" w:line="360" w:lineRule="auto"/>
        <w:jc w:val="left"/>
        <w:outlineLvl w:val="1"/>
        <w:rPr>
          <w:rFonts w:ascii="宋体" w:hAnsi="宋体"/>
          <w:b/>
          <w:bCs/>
          <w:sz w:val="28"/>
          <w:szCs w:val="28"/>
        </w:rPr>
      </w:pPr>
      <w:bookmarkStart w:id="22" w:name="_Toc78191609"/>
      <w:r>
        <w:rPr>
          <w:rFonts w:hint="eastAsia" w:ascii="宋体" w:hAnsi="宋体"/>
          <w:b/>
          <w:bCs/>
          <w:sz w:val="28"/>
          <w:szCs w:val="28"/>
        </w:rPr>
        <w:t>总则</w:t>
      </w:r>
      <w:bookmarkEnd w:id="22"/>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适用范围</w:t>
      </w:r>
    </w:p>
    <w:p>
      <w:pPr>
        <w:numPr>
          <w:ilvl w:val="0"/>
          <w:numId w:val="9"/>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本招标文件仅适用于本次公开招标采购项目。</w:t>
      </w:r>
    </w:p>
    <w:p>
      <w:pPr>
        <w:numPr>
          <w:ilvl w:val="0"/>
          <w:numId w:val="9"/>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的最终解释权由采购人或市公资交易中心享有。对招标文件中供应商参加本次政府采购活动应当具备的条件，招标项目技术、服务、商务及其他要求，评标细则及标准由采购人负责解释。除上述招标文件内容，其他内容由市公资交易中心负责解释。</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有关定义</w:t>
      </w:r>
    </w:p>
    <w:p>
      <w:pPr>
        <w:numPr>
          <w:ilvl w:val="0"/>
          <w:numId w:val="10"/>
        </w:numPr>
        <w:tabs>
          <w:tab w:val="left" w:pos="1134"/>
        </w:tabs>
        <w:spacing w:line="360" w:lineRule="auto"/>
        <w:ind w:left="0" w:firstLine="568"/>
        <w:rPr>
          <w:rFonts w:ascii="宋体" w:hAnsi="宋体"/>
          <w:sz w:val="28"/>
          <w:szCs w:val="28"/>
        </w:rPr>
      </w:pPr>
      <w:r>
        <w:rPr>
          <w:rFonts w:hint="eastAsia" w:ascii="宋体" w:hAnsi="宋体"/>
          <w:sz w:val="28"/>
          <w:szCs w:val="28"/>
        </w:rPr>
        <w:t>“采购人”和“甲方”系指依法进行政府采购的都江堰市级机关、事业单位、团体组织。本次招标的采购人是</w:t>
      </w:r>
      <w:r>
        <w:rPr>
          <w:rFonts w:hint="eastAsia" w:ascii="宋体" w:hAnsi="宋体"/>
          <w:b/>
          <w:color w:val="FF0000"/>
          <w:sz w:val="28"/>
          <w:szCs w:val="28"/>
          <w:u w:val="single"/>
        </w:rPr>
        <w:t>都江堰市中医医院</w:t>
      </w:r>
      <w:r>
        <w:rPr>
          <w:rFonts w:hint="eastAsia" w:ascii="宋体" w:hAnsi="宋体"/>
          <w:sz w:val="28"/>
          <w:szCs w:val="28"/>
        </w:rPr>
        <w:t>。</w:t>
      </w:r>
    </w:p>
    <w:p>
      <w:pPr>
        <w:numPr>
          <w:ilvl w:val="0"/>
          <w:numId w:val="10"/>
        </w:numPr>
        <w:tabs>
          <w:tab w:val="left" w:pos="1134"/>
        </w:tabs>
        <w:spacing w:line="360" w:lineRule="auto"/>
        <w:ind w:left="0" w:firstLine="567"/>
        <w:rPr>
          <w:rFonts w:ascii="宋体" w:hAnsi="宋体"/>
          <w:sz w:val="28"/>
          <w:szCs w:val="28"/>
        </w:rPr>
      </w:pPr>
      <w:r>
        <w:rPr>
          <w:rFonts w:hint="eastAsia" w:ascii="宋体" w:hAnsi="宋体"/>
          <w:sz w:val="28"/>
          <w:szCs w:val="28"/>
        </w:rPr>
        <w:t>“投标人”系指在系统中成功提交《采购文件获取登记表》拟参加投标和向采购人提供货物及服务的供应商。</w:t>
      </w:r>
    </w:p>
    <w:p>
      <w:pPr>
        <w:numPr>
          <w:ilvl w:val="0"/>
          <w:numId w:val="10"/>
        </w:numPr>
        <w:tabs>
          <w:tab w:val="left" w:pos="1134"/>
        </w:tabs>
        <w:spacing w:line="360" w:lineRule="auto"/>
        <w:ind w:left="0" w:firstLine="567"/>
        <w:rPr>
          <w:rFonts w:ascii="宋体" w:hAnsi="宋体"/>
          <w:sz w:val="28"/>
          <w:szCs w:val="28"/>
        </w:rPr>
      </w:pPr>
      <w:r>
        <w:rPr>
          <w:rFonts w:hint="eastAsia" w:ascii="宋体" w:hAnsi="宋体"/>
          <w:sz w:val="28"/>
          <w:szCs w:val="28"/>
        </w:rPr>
        <w:t>本招标文件各部分规定的期间以时、日、月、年计算。期间开始的时和日，不计算在期间内，而从次日开始计算。期间届满的最后一天是节假日的，以节假日后的第一日为期间届满的日期。</w:t>
      </w:r>
    </w:p>
    <w:p>
      <w:pPr>
        <w:numPr>
          <w:ilvl w:val="0"/>
          <w:numId w:val="10"/>
        </w:numPr>
        <w:tabs>
          <w:tab w:val="left" w:pos="1134"/>
        </w:tabs>
        <w:spacing w:line="360" w:lineRule="auto"/>
        <w:ind w:left="0" w:firstLine="568"/>
        <w:rPr>
          <w:rFonts w:ascii="宋体" w:hAnsi="宋体"/>
          <w:sz w:val="28"/>
          <w:szCs w:val="28"/>
        </w:rPr>
      </w:pPr>
      <w:r>
        <w:rPr>
          <w:rFonts w:hint="eastAsia" w:ascii="宋体" w:hAnsi="宋体"/>
          <w:sz w:val="28"/>
          <w:szCs w:val="28"/>
        </w:rPr>
        <w:t>本招标文件各部分规定的“以上”、“以下”、“内”、“以内”，包括本数；所称的“不足”，不包括本数。</w:t>
      </w:r>
    </w:p>
    <w:p>
      <w:pPr>
        <w:numPr>
          <w:ilvl w:val="0"/>
          <w:numId w:val="10"/>
        </w:numPr>
        <w:tabs>
          <w:tab w:val="left" w:pos="1134"/>
        </w:tabs>
        <w:spacing w:line="360" w:lineRule="auto"/>
        <w:ind w:left="0" w:firstLine="568"/>
        <w:rPr>
          <w:rFonts w:ascii="宋体" w:hAnsi="宋体"/>
          <w:sz w:val="28"/>
          <w:szCs w:val="28"/>
        </w:rPr>
      </w:pPr>
      <w:r>
        <w:rPr>
          <w:rFonts w:ascii="宋体" w:hAnsi="宋体"/>
          <w:sz w:val="28"/>
          <w:szCs w:val="28"/>
        </w:rPr>
        <w:t>重大违法记录是指供应商因违法经营受到刑事处罚或者责令停产停业、吊销许可证或者执照、较大数额罚款等行政处罚</w:t>
      </w:r>
      <w:r>
        <w:rPr>
          <w:rFonts w:hint="eastAsia" w:ascii="宋体" w:hAnsi="宋体"/>
          <w:sz w:val="28"/>
          <w:szCs w:val="28"/>
        </w:rPr>
        <w:t>。本</w:t>
      </w:r>
      <w:r>
        <w:rPr>
          <w:rFonts w:ascii="宋体" w:hAnsi="宋体"/>
          <w:sz w:val="28"/>
          <w:szCs w:val="28"/>
        </w:rPr>
        <w:t>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p>
    <w:p>
      <w:pPr>
        <w:numPr>
          <w:ilvl w:val="0"/>
          <w:numId w:val="10"/>
        </w:numPr>
        <w:tabs>
          <w:tab w:val="left" w:pos="1134"/>
        </w:tabs>
        <w:spacing w:line="360" w:lineRule="auto"/>
        <w:ind w:left="0" w:firstLine="568"/>
        <w:rPr>
          <w:rFonts w:ascii="宋体" w:hAnsi="宋体"/>
          <w:sz w:val="28"/>
          <w:szCs w:val="28"/>
        </w:rPr>
      </w:pPr>
      <w:r>
        <w:rPr>
          <w:rFonts w:hint="eastAsia" w:ascii="宋体" w:hAnsi="宋体"/>
          <w:sz w:val="28"/>
          <w:szCs w:val="28"/>
        </w:rPr>
        <w:t>不见面开标是指，市公资交易中心依托政府采购云平台组织开标活动，供应商在线参与开标的一种组织形式。</w:t>
      </w:r>
    </w:p>
    <w:p>
      <w:pPr>
        <w:numPr>
          <w:ilvl w:val="0"/>
          <w:numId w:val="10"/>
        </w:numPr>
        <w:tabs>
          <w:tab w:val="left" w:pos="1134"/>
        </w:tabs>
        <w:spacing w:line="360" w:lineRule="auto"/>
        <w:ind w:left="0" w:firstLine="568"/>
        <w:rPr>
          <w:rFonts w:ascii="宋体" w:hAnsi="宋体"/>
          <w:sz w:val="28"/>
          <w:szCs w:val="28"/>
        </w:rPr>
      </w:pPr>
      <w:r>
        <w:rPr>
          <w:rFonts w:hint="eastAsia" w:ascii="宋体" w:hAnsi="宋体"/>
          <w:color w:val="FF0000"/>
          <w:sz w:val="28"/>
          <w:szCs w:val="28"/>
        </w:rPr>
        <w:t>本招标文件“招标编号”、四川省政府采购网上该项目自动生成的“采购项目编号”以及成都市公共资源交易服务中心网上该项目自动生成的“项目编号”均有效。</w:t>
      </w:r>
    </w:p>
    <w:p>
      <w:pPr>
        <w:keepNext/>
        <w:keepLines/>
        <w:numPr>
          <w:ilvl w:val="2"/>
          <w:numId w:val="3"/>
        </w:numPr>
        <w:spacing w:line="360" w:lineRule="auto"/>
        <w:ind w:left="3119" w:hanging="3119"/>
        <w:outlineLvl w:val="2"/>
        <w:rPr>
          <w:rFonts w:ascii="宋体" w:hAnsi="宋体"/>
          <w:b/>
          <w:bCs/>
          <w:sz w:val="28"/>
          <w:szCs w:val="28"/>
        </w:rPr>
      </w:pPr>
      <w:bookmarkStart w:id="23" w:name="_Toc183682344"/>
      <w:bookmarkStart w:id="24" w:name="_Toc217446036"/>
      <w:bookmarkStart w:id="25" w:name="_Toc183582207"/>
      <w:bookmarkStart w:id="26" w:name="_Toc217390843"/>
      <w:r>
        <w:rPr>
          <w:rFonts w:hint="eastAsia" w:ascii="宋体" w:hAnsi="宋体"/>
          <w:b/>
          <w:bCs/>
          <w:sz w:val="28"/>
          <w:szCs w:val="28"/>
        </w:rPr>
        <w:t>合格的投标人</w:t>
      </w:r>
      <w:bookmarkEnd w:id="23"/>
      <w:bookmarkEnd w:id="24"/>
      <w:bookmarkEnd w:id="25"/>
      <w:bookmarkEnd w:id="26"/>
    </w:p>
    <w:p>
      <w:pPr>
        <w:tabs>
          <w:tab w:val="left" w:pos="7665"/>
        </w:tabs>
        <w:spacing w:line="360" w:lineRule="auto"/>
        <w:ind w:firstLine="565" w:firstLineChars="202"/>
        <w:rPr>
          <w:rFonts w:ascii="宋体" w:hAnsi="宋体"/>
          <w:sz w:val="28"/>
          <w:szCs w:val="28"/>
        </w:rPr>
      </w:pPr>
      <w:r>
        <w:rPr>
          <w:rFonts w:hint="eastAsia" w:ascii="宋体" w:hAnsi="宋体"/>
          <w:sz w:val="28"/>
          <w:szCs w:val="28"/>
        </w:rPr>
        <w:t>合格的投标人应具备以下条件：</w:t>
      </w:r>
    </w:p>
    <w:p>
      <w:pPr>
        <w:numPr>
          <w:ilvl w:val="0"/>
          <w:numId w:val="11"/>
        </w:numPr>
        <w:tabs>
          <w:tab w:val="left" w:pos="1134"/>
        </w:tabs>
        <w:spacing w:line="360" w:lineRule="auto"/>
        <w:rPr>
          <w:rFonts w:ascii="宋体" w:hAnsi="宋体"/>
          <w:sz w:val="28"/>
          <w:szCs w:val="28"/>
        </w:rPr>
      </w:pPr>
      <w:r>
        <w:rPr>
          <w:rFonts w:hint="eastAsia" w:ascii="宋体" w:hAnsi="宋体"/>
          <w:sz w:val="28"/>
          <w:szCs w:val="28"/>
        </w:rPr>
        <w:t>本招标文件“投标邀请”第五条规定的条件；</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按照招标文件“投标邀请”中第六、七、八条规定获取了招标文件。</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投标费用</w:t>
      </w:r>
    </w:p>
    <w:p>
      <w:pPr>
        <w:spacing w:line="360" w:lineRule="auto"/>
        <w:ind w:firstLine="660" w:firstLineChars="236"/>
        <w:rPr>
          <w:rFonts w:ascii="宋体" w:hAnsi="宋体"/>
          <w:sz w:val="28"/>
          <w:szCs w:val="28"/>
        </w:rPr>
      </w:pPr>
      <w:r>
        <w:rPr>
          <w:rFonts w:hint="eastAsia" w:ascii="宋体" w:hAnsi="宋体"/>
          <w:sz w:val="28"/>
          <w:szCs w:val="28"/>
        </w:rPr>
        <w:t>投标人应自行承担参加投标的全部费用。</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充分、公平竞争保障措施</w:t>
      </w:r>
    </w:p>
    <w:p>
      <w:pPr>
        <w:numPr>
          <w:ilvl w:val="0"/>
          <w:numId w:val="12"/>
        </w:numPr>
        <w:tabs>
          <w:tab w:val="left" w:pos="1134"/>
        </w:tabs>
        <w:adjustRightInd w:val="0"/>
        <w:spacing w:line="360" w:lineRule="auto"/>
        <w:ind w:left="0" w:firstLine="567"/>
        <w:rPr>
          <w:rFonts w:ascii="宋体" w:hAnsi="宋体"/>
          <w:sz w:val="28"/>
          <w:szCs w:val="28"/>
        </w:rPr>
      </w:pPr>
      <w:r>
        <w:rPr>
          <w:rFonts w:hint="eastAsia" w:ascii="宋体" w:hAnsi="宋体"/>
          <w:sz w:val="28"/>
          <w:szCs w:val="28"/>
        </w:rPr>
        <w:t>单位负责人为同一人或者存在直接控股、管理关系的不同供应商，不得参加同一项目的投标。</w:t>
      </w:r>
    </w:p>
    <w:p>
      <w:pPr>
        <w:numPr>
          <w:ilvl w:val="0"/>
          <w:numId w:val="12"/>
        </w:numPr>
        <w:tabs>
          <w:tab w:val="left" w:pos="1134"/>
        </w:tabs>
        <w:adjustRightInd w:val="0"/>
        <w:spacing w:line="360" w:lineRule="auto"/>
        <w:ind w:left="0" w:firstLine="567"/>
        <w:rPr>
          <w:rFonts w:ascii="宋体" w:hAnsi="宋体"/>
          <w:b/>
          <w:sz w:val="28"/>
          <w:szCs w:val="28"/>
        </w:rPr>
      </w:pPr>
      <w:r>
        <w:rPr>
          <w:rFonts w:hint="eastAsia" w:ascii="宋体" w:hAnsi="宋体"/>
          <w:sz w:val="28"/>
          <w:szCs w:val="28"/>
        </w:rPr>
        <w:t>为采购项目提供整体设计、规范编制或者项目管理、监理、检测等服务的供应商，不得再参加该采购项目的其他采购活动。供应商为采购人、</w:t>
      </w:r>
      <w:r>
        <w:rPr>
          <w:rFonts w:hint="eastAsia" w:ascii="宋体" w:cs="Arial"/>
          <w:sz w:val="28"/>
          <w:szCs w:val="28"/>
        </w:rPr>
        <w:t>采购代理机构</w:t>
      </w:r>
      <w:r>
        <w:rPr>
          <w:rFonts w:hint="eastAsia" w:ascii="宋体" w:hAnsi="宋体"/>
          <w:sz w:val="28"/>
          <w:szCs w:val="28"/>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numPr>
          <w:ilvl w:val="0"/>
          <w:numId w:val="12"/>
        </w:numPr>
        <w:tabs>
          <w:tab w:val="left" w:pos="1134"/>
        </w:tabs>
        <w:adjustRightInd w:val="0"/>
        <w:spacing w:line="360" w:lineRule="auto"/>
        <w:ind w:left="0" w:firstLine="567"/>
        <w:rPr>
          <w:rFonts w:ascii="宋体" w:hAnsi="宋体"/>
          <w:b/>
          <w:sz w:val="28"/>
          <w:szCs w:val="28"/>
        </w:rPr>
      </w:pPr>
      <w:r>
        <w:rPr>
          <w:rFonts w:hint="eastAsia" w:asciiTheme="minorEastAsia" w:hAnsiTheme="minorEastAsia"/>
          <w:sz w:val="28"/>
          <w:szCs w:val="28"/>
          <w:lang w:val="zh-CN"/>
        </w:rPr>
        <w:t>本项目</w:t>
      </w:r>
      <w:r>
        <w:rPr>
          <w:rFonts w:hint="eastAsia" w:asciiTheme="minorEastAsia" w:hAnsiTheme="minorEastAsia"/>
          <w:color w:val="FF0000"/>
          <w:sz w:val="28"/>
          <w:szCs w:val="28"/>
          <w:lang w:val="zh-CN"/>
        </w:rPr>
        <w:t>核心产品，包1为床旁连续性血液净化机，包2为经颅多普勒超声诊断仪，包3为电子阴道镜</w:t>
      </w:r>
      <w:r>
        <w:rPr>
          <w:rFonts w:hint="eastAsia" w:asciiTheme="minorEastAsia" w:hAnsiTheme="minorEastAsia"/>
          <w:b/>
          <w:sz w:val="28"/>
          <w:szCs w:val="28"/>
        </w:rPr>
        <w:t>。</w:t>
      </w:r>
      <w:r>
        <w:rPr>
          <w:rFonts w:hint="eastAsia" w:hAnsi="宋体"/>
          <w:sz w:val="28"/>
          <w:szCs w:val="28"/>
        </w:rPr>
        <w:t>提供核心产品品牌相</w:t>
      </w:r>
      <w:r>
        <w:rPr>
          <w:rFonts w:hint="eastAsia" w:hAnsi="宋体"/>
          <w:sz w:val="28"/>
          <w:szCs w:val="28"/>
          <w:lang w:val="zh-CN"/>
        </w:rPr>
        <w:t>同且通过资格检查和符合性检查的不同投标人参加同一项目</w:t>
      </w:r>
      <w:r>
        <w:rPr>
          <w:rFonts w:hAnsi="宋体"/>
          <w:sz w:val="28"/>
          <w:szCs w:val="28"/>
          <w:lang w:val="zh-CN"/>
        </w:rPr>
        <w:t>（</w:t>
      </w:r>
      <w:r>
        <w:rPr>
          <w:rFonts w:hint="eastAsia" w:hAnsi="宋体"/>
          <w:sz w:val="28"/>
          <w:szCs w:val="28"/>
          <w:lang w:val="zh-CN"/>
        </w:rPr>
        <w:t>包件</w:t>
      </w:r>
      <w:r>
        <w:rPr>
          <w:rFonts w:hAnsi="宋体"/>
          <w:sz w:val="28"/>
          <w:szCs w:val="28"/>
          <w:lang w:val="zh-CN"/>
        </w:rPr>
        <w:t>）</w:t>
      </w:r>
      <w:r>
        <w:rPr>
          <w:rFonts w:hint="eastAsia" w:hAnsi="宋体"/>
          <w:sz w:val="28"/>
          <w:szCs w:val="28"/>
          <w:lang w:val="zh-CN"/>
        </w:rPr>
        <w:t>投标的，按一家投标人计算，评审后得分最高的投标人获得中标候选人推荐资格；评审得分相同的，报价最低的投标人获得中标候选人推荐资格；评审得分相同且报价相同的，由评标委员会采取随机抽取的方式确定一个投标人获得中标候选人推荐资格。</w:t>
      </w:r>
    </w:p>
    <w:p>
      <w:pPr>
        <w:keepNext/>
        <w:keepLines/>
        <w:numPr>
          <w:ilvl w:val="1"/>
          <w:numId w:val="3"/>
        </w:numPr>
        <w:spacing w:line="360" w:lineRule="auto"/>
        <w:jc w:val="left"/>
        <w:outlineLvl w:val="1"/>
        <w:rPr>
          <w:rFonts w:ascii="宋体" w:hAnsi="宋体"/>
          <w:b/>
          <w:bCs/>
          <w:sz w:val="28"/>
          <w:szCs w:val="28"/>
        </w:rPr>
      </w:pPr>
      <w:bookmarkStart w:id="27" w:name="_Toc183582210"/>
      <w:bookmarkStart w:id="28" w:name="_Toc183682347"/>
      <w:bookmarkStart w:id="29" w:name="_Toc78191610"/>
      <w:bookmarkStart w:id="30" w:name="_Toc217446039"/>
      <w:r>
        <w:rPr>
          <w:rFonts w:hint="eastAsia" w:ascii="宋体" w:hAnsi="宋体"/>
          <w:b/>
          <w:bCs/>
          <w:sz w:val="28"/>
          <w:szCs w:val="28"/>
        </w:rPr>
        <w:t>招标文件</w:t>
      </w:r>
      <w:bookmarkEnd w:id="27"/>
      <w:bookmarkEnd w:id="28"/>
      <w:bookmarkEnd w:id="29"/>
      <w:bookmarkEnd w:id="30"/>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招标文件的构成</w:t>
      </w:r>
    </w:p>
    <w:p>
      <w:pPr>
        <w:numPr>
          <w:ilvl w:val="0"/>
          <w:numId w:val="13"/>
        </w:numPr>
        <w:tabs>
          <w:tab w:val="left" w:pos="1134"/>
        </w:tabs>
        <w:spacing w:line="360" w:lineRule="auto"/>
        <w:ind w:left="0" w:firstLine="567"/>
        <w:rPr>
          <w:rFonts w:ascii="宋体" w:hAnsi="宋体"/>
          <w:sz w:val="28"/>
          <w:szCs w:val="28"/>
        </w:rPr>
      </w:pPr>
      <w:r>
        <w:rPr>
          <w:rFonts w:hint="eastAsia" w:ascii="宋体" w:hAnsi="宋体"/>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14"/>
        </w:numPr>
        <w:tabs>
          <w:tab w:val="left" w:pos="1134"/>
        </w:tabs>
        <w:spacing w:line="360" w:lineRule="auto"/>
        <w:ind w:left="0" w:firstLine="567"/>
        <w:rPr>
          <w:rFonts w:ascii="宋体" w:hAnsi="宋体"/>
          <w:sz w:val="28"/>
          <w:szCs w:val="28"/>
        </w:rPr>
      </w:pPr>
      <w:r>
        <w:rPr>
          <w:rFonts w:hint="eastAsia" w:ascii="宋体" w:hAnsi="宋体"/>
          <w:sz w:val="28"/>
          <w:szCs w:val="28"/>
        </w:rPr>
        <w:t>投标邀请；</w:t>
      </w:r>
    </w:p>
    <w:p>
      <w:pPr>
        <w:numPr>
          <w:ilvl w:val="1"/>
          <w:numId w:val="14"/>
        </w:numPr>
        <w:tabs>
          <w:tab w:val="left" w:pos="1134"/>
        </w:tabs>
        <w:spacing w:line="360" w:lineRule="auto"/>
        <w:ind w:left="0" w:firstLine="567"/>
        <w:rPr>
          <w:rFonts w:ascii="宋体" w:hAnsi="宋体"/>
          <w:sz w:val="28"/>
          <w:szCs w:val="28"/>
        </w:rPr>
      </w:pPr>
      <w:r>
        <w:rPr>
          <w:rFonts w:hint="eastAsia" w:ascii="宋体" w:hAnsi="宋体"/>
          <w:sz w:val="28"/>
          <w:szCs w:val="28"/>
        </w:rPr>
        <w:t>投标人须知；</w:t>
      </w:r>
    </w:p>
    <w:p>
      <w:pPr>
        <w:numPr>
          <w:ilvl w:val="1"/>
          <w:numId w:val="14"/>
        </w:numPr>
        <w:tabs>
          <w:tab w:val="left" w:pos="1134"/>
        </w:tabs>
        <w:spacing w:line="360" w:lineRule="auto"/>
        <w:ind w:left="0" w:firstLine="567"/>
        <w:rPr>
          <w:rFonts w:ascii="宋体" w:hAnsi="宋体"/>
          <w:sz w:val="28"/>
          <w:szCs w:val="28"/>
        </w:rPr>
      </w:pPr>
      <w:r>
        <w:rPr>
          <w:rFonts w:hint="eastAsia" w:ascii="宋体" w:hAnsi="宋体"/>
          <w:sz w:val="28"/>
          <w:szCs w:val="28"/>
        </w:rPr>
        <w:t>投标文件格式；</w:t>
      </w:r>
    </w:p>
    <w:p>
      <w:pPr>
        <w:numPr>
          <w:ilvl w:val="1"/>
          <w:numId w:val="14"/>
        </w:numPr>
        <w:tabs>
          <w:tab w:val="left" w:pos="1134"/>
        </w:tabs>
        <w:spacing w:line="360" w:lineRule="auto"/>
        <w:ind w:left="0" w:firstLine="567"/>
        <w:rPr>
          <w:rFonts w:ascii="宋体" w:hAnsi="宋体"/>
          <w:sz w:val="28"/>
          <w:szCs w:val="28"/>
        </w:rPr>
      </w:pPr>
      <w:r>
        <w:rPr>
          <w:rFonts w:hint="eastAsia" w:ascii="宋体" w:hAnsi="宋体"/>
          <w:sz w:val="28"/>
          <w:szCs w:val="28"/>
        </w:rPr>
        <w:t>招标项目技术、服务、商务及其他要求；</w:t>
      </w:r>
    </w:p>
    <w:p>
      <w:pPr>
        <w:numPr>
          <w:ilvl w:val="1"/>
          <w:numId w:val="14"/>
        </w:numPr>
        <w:tabs>
          <w:tab w:val="left" w:pos="1134"/>
        </w:tabs>
        <w:spacing w:line="360" w:lineRule="auto"/>
        <w:ind w:left="0" w:firstLine="567"/>
        <w:rPr>
          <w:rFonts w:ascii="宋体" w:hAnsi="宋体"/>
          <w:sz w:val="28"/>
          <w:szCs w:val="28"/>
        </w:rPr>
      </w:pPr>
      <w:r>
        <w:rPr>
          <w:rFonts w:hint="eastAsia" w:ascii="宋体" w:hAnsi="宋体"/>
          <w:sz w:val="28"/>
          <w:szCs w:val="28"/>
        </w:rPr>
        <w:t>资格性审查；</w:t>
      </w:r>
    </w:p>
    <w:p>
      <w:pPr>
        <w:numPr>
          <w:ilvl w:val="1"/>
          <w:numId w:val="14"/>
        </w:numPr>
        <w:tabs>
          <w:tab w:val="left" w:pos="1134"/>
        </w:tabs>
        <w:spacing w:line="360" w:lineRule="auto"/>
        <w:ind w:left="0" w:firstLine="567"/>
        <w:rPr>
          <w:rFonts w:ascii="宋体" w:hAnsi="宋体"/>
          <w:sz w:val="28"/>
          <w:szCs w:val="28"/>
        </w:rPr>
      </w:pPr>
      <w:r>
        <w:rPr>
          <w:rFonts w:hint="eastAsia" w:ascii="宋体" w:hAnsi="宋体"/>
          <w:sz w:val="28"/>
          <w:szCs w:val="28"/>
        </w:rPr>
        <w:t>评标办法；</w:t>
      </w:r>
    </w:p>
    <w:p>
      <w:pPr>
        <w:numPr>
          <w:ilvl w:val="1"/>
          <w:numId w:val="14"/>
        </w:numPr>
        <w:tabs>
          <w:tab w:val="left" w:pos="1134"/>
        </w:tabs>
        <w:spacing w:line="360" w:lineRule="auto"/>
        <w:ind w:left="0" w:firstLine="567"/>
        <w:rPr>
          <w:rFonts w:ascii="宋体" w:hAnsi="宋体"/>
          <w:sz w:val="28"/>
          <w:szCs w:val="28"/>
        </w:rPr>
      </w:pPr>
      <w:r>
        <w:rPr>
          <w:rFonts w:hint="eastAsia" w:ascii="宋体" w:hAnsi="宋体"/>
          <w:sz w:val="28"/>
          <w:szCs w:val="28"/>
        </w:rPr>
        <w:t>拟签订合同文本。</w:t>
      </w:r>
    </w:p>
    <w:p>
      <w:pPr>
        <w:numPr>
          <w:ilvl w:val="0"/>
          <w:numId w:val="13"/>
        </w:numPr>
        <w:tabs>
          <w:tab w:val="left" w:pos="1134"/>
        </w:tabs>
        <w:spacing w:line="360" w:lineRule="auto"/>
        <w:ind w:left="0" w:firstLine="567"/>
        <w:rPr>
          <w:rFonts w:ascii="宋体" w:hAnsi="宋体"/>
          <w:sz w:val="28"/>
          <w:szCs w:val="28"/>
        </w:rPr>
      </w:pPr>
      <w:r>
        <w:rPr>
          <w:rFonts w:hint="eastAsia" w:ascii="宋体" w:hAnsi="宋体"/>
          <w:sz w:val="28"/>
          <w:szCs w:val="28"/>
        </w:rPr>
        <w:t>投标人应认真阅读和充分理解招标文件中所有的事项、格式条款和规范要求。投标人没有对招标文件全面做出实质性响应所产生的风险由投标人承担。</w:t>
      </w:r>
    </w:p>
    <w:p>
      <w:pPr>
        <w:keepNext/>
        <w:keepLines/>
        <w:numPr>
          <w:ilvl w:val="2"/>
          <w:numId w:val="3"/>
        </w:numPr>
        <w:spacing w:line="360" w:lineRule="auto"/>
        <w:ind w:left="0" w:firstLine="0"/>
        <w:outlineLvl w:val="2"/>
        <w:rPr>
          <w:rFonts w:ascii="宋体" w:hAnsi="宋体"/>
          <w:b/>
          <w:bCs/>
          <w:sz w:val="28"/>
          <w:szCs w:val="28"/>
        </w:rPr>
      </w:pPr>
      <w:bookmarkStart w:id="31" w:name="_Toc183682348"/>
      <w:bookmarkStart w:id="32" w:name="_Toc183582211"/>
      <w:bookmarkStart w:id="33" w:name="_Toc217446040"/>
      <w:r>
        <w:rPr>
          <w:rFonts w:hint="eastAsia" w:ascii="宋体" w:hAnsi="宋体"/>
          <w:b/>
          <w:bCs/>
          <w:sz w:val="28"/>
          <w:szCs w:val="28"/>
        </w:rPr>
        <w:t>招标文件的澄清</w:t>
      </w:r>
      <w:bookmarkEnd w:id="31"/>
      <w:bookmarkEnd w:id="32"/>
      <w:r>
        <w:rPr>
          <w:rFonts w:hint="eastAsia" w:ascii="宋体" w:hAnsi="宋体"/>
          <w:b/>
          <w:bCs/>
          <w:sz w:val="28"/>
          <w:szCs w:val="28"/>
        </w:rPr>
        <w:t>和修改</w:t>
      </w:r>
      <w:bookmarkEnd w:id="33"/>
      <w:bookmarkStart w:id="34" w:name="_Toc183582214"/>
      <w:bookmarkStart w:id="35" w:name="_Toc183682351"/>
      <w:bookmarkStart w:id="36" w:name="_Toc77400780"/>
      <w:bookmarkStart w:id="37" w:name="_Toc89075876"/>
      <w:bookmarkStart w:id="38" w:name="_Toc217446042"/>
    </w:p>
    <w:p>
      <w:pPr>
        <w:numPr>
          <w:ilvl w:val="0"/>
          <w:numId w:val="15"/>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在投标截止时间前，采购人或者</w:t>
      </w:r>
      <w:r>
        <w:rPr>
          <w:rFonts w:hint="eastAsia" w:cs="Arial"/>
          <w:sz w:val="28"/>
          <w:szCs w:val="28"/>
        </w:rPr>
        <w:t>市公资交易中心</w:t>
      </w:r>
      <w:r>
        <w:rPr>
          <w:rFonts w:hint="eastAsia" w:ascii="宋体" w:hAnsi="宋体"/>
          <w:sz w:val="28"/>
          <w:szCs w:val="28"/>
        </w:rPr>
        <w:t>可以对已发出的招标文件进行必要的澄清或者修改。</w:t>
      </w:r>
    </w:p>
    <w:p>
      <w:pPr>
        <w:numPr>
          <w:ilvl w:val="0"/>
          <w:numId w:val="15"/>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市公资交易中心将在“四川政府采购网”和“成都市公共资源交易服务中心”网站上发布澄清公告，同时通过政府采购云平台将澄清或者修改的内容告知所有在系统中成功获取招标文件的潜在投标人（投标人通过账号或CA证书登录政府采购云平台查看）</w:t>
      </w:r>
    </w:p>
    <w:p>
      <w:pPr>
        <w:numPr>
          <w:ilvl w:val="0"/>
          <w:numId w:val="15"/>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可能影响投标文件编制的，市公资交易中心应当在投标截止时间至少15日前，通过政府采购云平台通知所有获取招标文件的潜在投标人；不足15日的，采购人或市公资交易中心应当顺延提交投标文件的截止时间。</w:t>
      </w:r>
    </w:p>
    <w:p>
      <w:pPr>
        <w:keepNext/>
        <w:keepLines/>
        <w:numPr>
          <w:ilvl w:val="1"/>
          <w:numId w:val="3"/>
        </w:numPr>
        <w:spacing w:line="360" w:lineRule="auto"/>
        <w:jc w:val="left"/>
        <w:outlineLvl w:val="1"/>
        <w:rPr>
          <w:rFonts w:ascii="宋体" w:hAnsi="宋体"/>
          <w:b/>
          <w:bCs/>
          <w:sz w:val="28"/>
          <w:szCs w:val="28"/>
        </w:rPr>
      </w:pPr>
      <w:bookmarkStart w:id="39" w:name="_Toc78191611"/>
      <w:r>
        <w:rPr>
          <w:rFonts w:hint="eastAsia" w:ascii="宋体" w:hAnsi="宋体"/>
          <w:b/>
          <w:bCs/>
          <w:sz w:val="28"/>
          <w:szCs w:val="28"/>
        </w:rPr>
        <w:t>投标文件</w:t>
      </w:r>
      <w:bookmarkEnd w:id="34"/>
      <w:bookmarkEnd w:id="35"/>
      <w:bookmarkEnd w:id="36"/>
      <w:bookmarkEnd w:id="37"/>
      <w:bookmarkEnd w:id="38"/>
      <w:bookmarkEnd w:id="39"/>
    </w:p>
    <w:p>
      <w:pPr>
        <w:keepNext/>
        <w:keepLines/>
        <w:numPr>
          <w:ilvl w:val="2"/>
          <w:numId w:val="3"/>
        </w:numPr>
        <w:spacing w:line="360" w:lineRule="auto"/>
        <w:ind w:left="0" w:firstLine="0"/>
        <w:outlineLvl w:val="2"/>
        <w:rPr>
          <w:rFonts w:ascii="宋体" w:hAnsi="宋体"/>
          <w:b/>
          <w:bCs/>
          <w:sz w:val="28"/>
          <w:szCs w:val="28"/>
        </w:rPr>
      </w:pPr>
      <w:bookmarkStart w:id="40" w:name="_Toc183682352"/>
      <w:bookmarkStart w:id="41" w:name="_Toc217446043"/>
      <w:bookmarkStart w:id="42" w:name="_Toc183582215"/>
      <w:r>
        <w:rPr>
          <w:rFonts w:hint="eastAsia" w:ascii="宋体" w:hAnsi="宋体"/>
          <w:b/>
          <w:bCs/>
          <w:sz w:val="28"/>
          <w:szCs w:val="28"/>
        </w:rPr>
        <w:t>投标文件的语言</w:t>
      </w:r>
      <w:bookmarkEnd w:id="40"/>
      <w:bookmarkEnd w:id="41"/>
      <w:bookmarkEnd w:id="42"/>
    </w:p>
    <w:p>
      <w:pPr>
        <w:numPr>
          <w:ilvl w:val="0"/>
          <w:numId w:val="16"/>
        </w:numPr>
        <w:tabs>
          <w:tab w:val="left" w:pos="1134"/>
        </w:tabs>
        <w:spacing w:line="360" w:lineRule="auto"/>
        <w:ind w:left="0" w:firstLine="560"/>
        <w:rPr>
          <w:rFonts w:ascii="宋体" w:hAnsi="宋体"/>
          <w:sz w:val="28"/>
          <w:szCs w:val="28"/>
        </w:rPr>
      </w:pPr>
      <w:r>
        <w:rPr>
          <w:rFonts w:hint="eastAsia" w:ascii="宋体" w:hAnsi="宋体"/>
          <w:sz w:val="28"/>
          <w:szCs w:val="28"/>
        </w:rPr>
        <w:t>投标人提交的投标文件以及投标人与采购人或</w:t>
      </w:r>
      <w:r>
        <w:rPr>
          <w:rFonts w:hint="eastAsia" w:cs="Arial"/>
          <w:sz w:val="28"/>
          <w:szCs w:val="28"/>
        </w:rPr>
        <w:t>市公资交易中心</w:t>
      </w:r>
      <w:r>
        <w:rPr>
          <w:rFonts w:hint="eastAsia" w:ascii="宋体" w:hAnsi="宋体"/>
          <w:sz w:val="28"/>
          <w:szCs w:val="28"/>
        </w:rPr>
        <w:t>就有关投标的所有来往书面文件均须使用中文，投标文件中所附或引用的外文资料，应翻译成中文附在相关外文资料后面。（说明：投标人的法定代表人为外籍人士的，则法定代表人的签字和护照除外）。</w:t>
      </w:r>
    </w:p>
    <w:p>
      <w:pPr>
        <w:numPr>
          <w:ilvl w:val="0"/>
          <w:numId w:val="16"/>
        </w:numPr>
        <w:tabs>
          <w:tab w:val="left" w:pos="1134"/>
        </w:tabs>
        <w:spacing w:line="360" w:lineRule="auto"/>
        <w:ind w:left="0" w:firstLine="560"/>
        <w:rPr>
          <w:rFonts w:ascii="宋体" w:hAnsi="宋体"/>
          <w:sz w:val="28"/>
          <w:szCs w:val="28"/>
        </w:rPr>
      </w:pPr>
      <w:r>
        <w:rPr>
          <w:rFonts w:hint="eastAsia" w:ascii="宋体" w:hAnsi="宋体"/>
          <w:sz w:val="28"/>
          <w:szCs w:val="28"/>
        </w:rPr>
        <w:t xml:space="preserve">对不同文字文本投标文件的解释发生异议的，以中文文本为准。若投标人投标文件中提供的外文资料未翻译成中文，则评标委员会可将其视为无效材料。 </w:t>
      </w:r>
    </w:p>
    <w:p>
      <w:pPr>
        <w:keepNext/>
        <w:keepLines/>
        <w:numPr>
          <w:ilvl w:val="2"/>
          <w:numId w:val="3"/>
        </w:numPr>
        <w:spacing w:line="360" w:lineRule="auto"/>
        <w:ind w:left="0" w:firstLine="0"/>
        <w:outlineLvl w:val="2"/>
        <w:rPr>
          <w:rFonts w:ascii="宋体" w:hAnsi="宋体"/>
          <w:b/>
          <w:bCs/>
          <w:sz w:val="28"/>
          <w:szCs w:val="28"/>
        </w:rPr>
      </w:pPr>
      <w:bookmarkStart w:id="43" w:name="_Toc183582216"/>
      <w:bookmarkStart w:id="44" w:name="_Toc183682353"/>
      <w:bookmarkStart w:id="45" w:name="_Toc217446044"/>
      <w:r>
        <w:rPr>
          <w:rFonts w:hint="eastAsia" w:ascii="宋体" w:hAnsi="宋体"/>
          <w:b/>
          <w:bCs/>
          <w:sz w:val="28"/>
          <w:szCs w:val="28"/>
        </w:rPr>
        <w:t>计量单位</w:t>
      </w:r>
      <w:bookmarkEnd w:id="43"/>
      <w:bookmarkEnd w:id="44"/>
      <w:bookmarkEnd w:id="45"/>
    </w:p>
    <w:p>
      <w:pPr>
        <w:tabs>
          <w:tab w:val="left" w:pos="7665"/>
        </w:tabs>
        <w:spacing w:line="360" w:lineRule="auto"/>
        <w:ind w:left="13" w:firstLine="554"/>
        <w:rPr>
          <w:rFonts w:ascii="宋体" w:hAnsi="宋体"/>
          <w:sz w:val="28"/>
          <w:szCs w:val="28"/>
        </w:rPr>
      </w:pPr>
      <w:r>
        <w:rPr>
          <w:rFonts w:hint="eastAsia" w:ascii="宋体" w:hAnsi="宋体"/>
          <w:sz w:val="28"/>
          <w:szCs w:val="28"/>
        </w:rPr>
        <w:t>除招标文件中另有规定外，本次采购项目所有合同项下的投标均采用国家法定的计量单位。</w:t>
      </w:r>
    </w:p>
    <w:p>
      <w:pPr>
        <w:keepNext/>
        <w:keepLines/>
        <w:numPr>
          <w:ilvl w:val="2"/>
          <w:numId w:val="3"/>
        </w:numPr>
        <w:spacing w:line="360" w:lineRule="auto"/>
        <w:ind w:left="0" w:firstLine="0"/>
        <w:outlineLvl w:val="2"/>
        <w:rPr>
          <w:rFonts w:ascii="宋体" w:hAnsi="宋体"/>
          <w:b/>
          <w:bCs/>
          <w:sz w:val="28"/>
          <w:szCs w:val="28"/>
        </w:rPr>
      </w:pPr>
      <w:bookmarkStart w:id="46" w:name="_Toc217446045"/>
      <w:r>
        <w:rPr>
          <w:rFonts w:hint="eastAsia" w:ascii="宋体" w:hAnsi="宋体"/>
          <w:b/>
          <w:bCs/>
          <w:sz w:val="28"/>
          <w:szCs w:val="28"/>
        </w:rPr>
        <w:t>投标货币</w:t>
      </w:r>
      <w:bookmarkEnd w:id="46"/>
    </w:p>
    <w:p>
      <w:pPr>
        <w:tabs>
          <w:tab w:val="left" w:pos="7665"/>
        </w:tabs>
        <w:spacing w:line="360" w:lineRule="auto"/>
        <w:ind w:left="13" w:firstLine="554"/>
        <w:rPr>
          <w:rFonts w:ascii="宋体" w:hAnsi="宋体"/>
          <w:sz w:val="28"/>
          <w:szCs w:val="28"/>
        </w:rPr>
      </w:pPr>
      <w:r>
        <w:rPr>
          <w:rFonts w:hint="eastAsia" w:ascii="宋体" w:hAnsi="宋体"/>
          <w:sz w:val="28"/>
          <w:szCs w:val="28"/>
        </w:rPr>
        <w:t>本次招标项目的投标均以人民币报价。</w:t>
      </w:r>
    </w:p>
    <w:p>
      <w:pPr>
        <w:keepNext/>
        <w:keepLines/>
        <w:numPr>
          <w:ilvl w:val="2"/>
          <w:numId w:val="3"/>
        </w:numPr>
        <w:spacing w:line="360" w:lineRule="auto"/>
        <w:ind w:left="0" w:firstLine="0"/>
        <w:outlineLvl w:val="2"/>
        <w:rPr>
          <w:rFonts w:ascii="宋体" w:hAnsi="宋体"/>
          <w:b/>
          <w:bCs/>
          <w:sz w:val="28"/>
          <w:szCs w:val="28"/>
        </w:rPr>
      </w:pPr>
      <w:bookmarkStart w:id="47" w:name="_Toc217446046"/>
      <w:r>
        <w:rPr>
          <w:rFonts w:hint="eastAsia" w:ascii="宋体" w:hAnsi="宋体"/>
          <w:b/>
          <w:bCs/>
          <w:sz w:val="28"/>
          <w:szCs w:val="28"/>
        </w:rPr>
        <w:t>联合体投标</w:t>
      </w:r>
      <w:bookmarkEnd w:id="47"/>
    </w:p>
    <w:p>
      <w:pPr>
        <w:tabs>
          <w:tab w:val="left" w:pos="1134"/>
        </w:tabs>
        <w:spacing w:line="360" w:lineRule="auto"/>
        <w:ind w:left="546"/>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联合体投标。</w:t>
      </w:r>
    </w:p>
    <w:p>
      <w:pPr>
        <w:keepNext/>
        <w:keepLines/>
        <w:numPr>
          <w:ilvl w:val="2"/>
          <w:numId w:val="3"/>
        </w:numPr>
        <w:spacing w:line="360" w:lineRule="auto"/>
        <w:ind w:left="0" w:firstLine="0"/>
        <w:outlineLvl w:val="2"/>
        <w:rPr>
          <w:rFonts w:ascii="宋体" w:hAnsi="宋体"/>
          <w:b/>
          <w:bCs/>
          <w:sz w:val="28"/>
          <w:szCs w:val="28"/>
        </w:rPr>
      </w:pPr>
      <w:bookmarkStart w:id="48" w:name="_Toc217446047"/>
      <w:r>
        <w:rPr>
          <w:rFonts w:hint="eastAsia" w:ascii="宋体" w:hAnsi="宋体"/>
          <w:b/>
          <w:bCs/>
          <w:sz w:val="28"/>
          <w:szCs w:val="28"/>
        </w:rPr>
        <w:t>知识产权</w:t>
      </w:r>
      <w:bookmarkEnd w:id="48"/>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采购人享有本项目实施过程中产生的知识成果及知识产权。</w:t>
      </w:r>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如采用投标人所不拥有的知识产权，则在投标报价中必须包括合法获取该知识产权的相关费用。</w:t>
      </w:r>
    </w:p>
    <w:p>
      <w:pPr>
        <w:keepNext/>
        <w:keepLines/>
        <w:numPr>
          <w:ilvl w:val="2"/>
          <w:numId w:val="3"/>
        </w:numPr>
        <w:spacing w:line="360" w:lineRule="auto"/>
        <w:ind w:left="0" w:firstLine="0"/>
        <w:outlineLvl w:val="2"/>
        <w:rPr>
          <w:rFonts w:ascii="宋体" w:hAnsi="宋体"/>
          <w:b/>
          <w:bCs/>
          <w:sz w:val="28"/>
          <w:szCs w:val="28"/>
        </w:rPr>
      </w:pPr>
      <w:bookmarkStart w:id="49" w:name="_Toc183582217"/>
      <w:bookmarkStart w:id="50" w:name="_Toc183682354"/>
      <w:bookmarkStart w:id="51" w:name="_Toc217446048"/>
      <w:r>
        <w:rPr>
          <w:rFonts w:hint="eastAsia" w:ascii="宋体" w:hAnsi="宋体"/>
          <w:b/>
          <w:bCs/>
          <w:sz w:val="28"/>
          <w:szCs w:val="28"/>
        </w:rPr>
        <w:t>投标文件的组成</w:t>
      </w:r>
      <w:bookmarkEnd w:id="49"/>
      <w:bookmarkEnd w:id="50"/>
      <w:bookmarkEnd w:id="51"/>
    </w:p>
    <w:p>
      <w:pPr>
        <w:spacing w:line="360" w:lineRule="auto"/>
        <w:ind w:firstLine="548" w:firstLineChars="196"/>
        <w:rPr>
          <w:rFonts w:ascii="宋体" w:hAnsi="宋体"/>
          <w:sz w:val="28"/>
          <w:szCs w:val="28"/>
        </w:rPr>
      </w:pPr>
      <w:r>
        <w:rPr>
          <w:rFonts w:hint="eastAsia" w:ascii="宋体" w:hAnsi="宋体"/>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pPr>
        <w:pStyle w:val="6"/>
        <w:numPr>
          <w:ilvl w:val="3"/>
          <w:numId w:val="3"/>
        </w:numPr>
        <w:rPr>
          <w:rFonts w:ascii="宋体" w:hAnsi="宋体"/>
        </w:rPr>
      </w:pPr>
      <w:r>
        <w:rPr>
          <w:rFonts w:hint="eastAsia" w:ascii="宋体" w:hAnsi="宋体"/>
        </w:rPr>
        <w:t>资格响应文件：</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关于投标人资格申明的函；</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声明；</w:t>
      </w:r>
    </w:p>
    <w:p>
      <w:pPr>
        <w:numPr>
          <w:ilvl w:val="0"/>
          <w:numId w:val="18"/>
        </w:numPr>
        <w:tabs>
          <w:tab w:val="left" w:pos="1134"/>
        </w:tabs>
        <w:spacing w:line="360" w:lineRule="auto"/>
        <w:ind w:left="0" w:firstLine="565" w:firstLineChars="201"/>
        <w:rPr>
          <w:rFonts w:ascii="宋体" w:hAnsi="宋体"/>
          <w:b/>
          <w:sz w:val="28"/>
          <w:szCs w:val="28"/>
        </w:rPr>
      </w:pPr>
      <w:r>
        <w:rPr>
          <w:rFonts w:hint="eastAsia" w:ascii="宋体" w:hAnsi="宋体"/>
          <w:b/>
          <w:sz w:val="28"/>
          <w:szCs w:val="28"/>
        </w:rPr>
        <w:t>中小企业声明函（说明：提供了残疾人福利性单位声明函或监狱企业证明文件复印件的不需提供）；</w:t>
      </w:r>
    </w:p>
    <w:p>
      <w:pPr>
        <w:numPr>
          <w:ilvl w:val="0"/>
          <w:numId w:val="18"/>
        </w:numPr>
        <w:tabs>
          <w:tab w:val="left" w:pos="1134"/>
        </w:tabs>
        <w:spacing w:line="360" w:lineRule="auto"/>
        <w:ind w:left="0" w:firstLine="565" w:firstLineChars="201"/>
        <w:rPr>
          <w:rFonts w:ascii="宋体" w:hAnsi="宋体"/>
          <w:b/>
          <w:sz w:val="28"/>
          <w:szCs w:val="28"/>
        </w:rPr>
      </w:pPr>
      <w:r>
        <w:rPr>
          <w:rFonts w:hint="eastAsia" w:ascii="宋体" w:hAnsi="宋体"/>
          <w:b/>
          <w:sz w:val="28"/>
          <w:szCs w:val="28"/>
        </w:rPr>
        <w:t>残疾人福利性单位声明函（说明：提供了中小企业声明函或监狱企业证明文件复印件的不需提供）；</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投标人应提交的其他相关资格证明材料：</w:t>
      </w:r>
    </w:p>
    <w:p>
      <w:pPr>
        <w:pStyle w:val="2"/>
        <w:ind w:firstLine="1124" w:firstLineChars="400"/>
      </w:pPr>
      <w:r>
        <w:rPr>
          <w:rFonts w:hint="eastAsia" w:ascii="宋体" w:hAnsi="宋体"/>
          <w:b/>
          <w:sz w:val="28"/>
          <w:szCs w:val="28"/>
        </w:rPr>
        <w:t>按第5章资格性审查标准提供的其他资格证明材料</w:t>
      </w:r>
    </w:p>
    <w:p>
      <w:pPr>
        <w:pStyle w:val="6"/>
        <w:numPr>
          <w:ilvl w:val="3"/>
          <w:numId w:val="3"/>
        </w:numPr>
        <w:rPr>
          <w:rFonts w:ascii="宋体" w:hAnsi="宋体"/>
        </w:rPr>
      </w:pPr>
      <w:r>
        <w:rPr>
          <w:rFonts w:hint="eastAsia" w:ascii="宋体" w:hAnsi="宋体"/>
        </w:rPr>
        <w:t>商务技术</w:t>
      </w:r>
      <w:r>
        <w:rPr>
          <w:rFonts w:ascii="宋体" w:hAnsi="宋体"/>
        </w:rPr>
        <w:t>响应</w:t>
      </w:r>
      <w:r>
        <w:rPr>
          <w:rFonts w:hint="eastAsia" w:ascii="宋体" w:hAnsi="宋体"/>
        </w:rPr>
        <w:t>文件</w:t>
      </w:r>
    </w:p>
    <w:p>
      <w:pPr>
        <w:numPr>
          <w:ilvl w:val="0"/>
          <w:numId w:val="19"/>
        </w:numPr>
        <w:tabs>
          <w:tab w:val="left" w:pos="1134"/>
        </w:tabs>
        <w:spacing w:line="360" w:lineRule="auto"/>
        <w:ind w:hanging="279"/>
        <w:jc w:val="left"/>
        <w:rPr>
          <w:rFonts w:ascii="宋体" w:hAnsi="宋体"/>
          <w:b/>
          <w:sz w:val="28"/>
          <w:szCs w:val="28"/>
        </w:rPr>
      </w:pPr>
      <w:r>
        <w:rPr>
          <w:rFonts w:hint="eastAsia" w:ascii="宋体" w:hAnsi="宋体"/>
          <w:b/>
          <w:sz w:val="28"/>
          <w:szCs w:val="28"/>
        </w:rPr>
        <w:t>投标函；</w:t>
      </w:r>
    </w:p>
    <w:p>
      <w:pPr>
        <w:numPr>
          <w:ilvl w:val="0"/>
          <w:numId w:val="19"/>
        </w:numPr>
        <w:tabs>
          <w:tab w:val="left" w:pos="1134"/>
        </w:tabs>
        <w:spacing w:line="360" w:lineRule="auto"/>
        <w:ind w:left="0" w:firstLine="546"/>
        <w:rPr>
          <w:rFonts w:ascii="宋体" w:hAnsi="宋体"/>
          <w:b/>
          <w:sz w:val="28"/>
          <w:szCs w:val="28"/>
        </w:rPr>
      </w:pPr>
      <w:r>
        <w:rPr>
          <w:rFonts w:hint="eastAsia" w:ascii="宋体" w:hAnsi="宋体"/>
          <w:b/>
          <w:sz w:val="28"/>
          <w:szCs w:val="28"/>
        </w:rPr>
        <w:t>法定代表人身份证明书；</w:t>
      </w:r>
    </w:p>
    <w:p>
      <w:pPr>
        <w:numPr>
          <w:ilvl w:val="0"/>
          <w:numId w:val="19"/>
        </w:numPr>
        <w:tabs>
          <w:tab w:val="left" w:pos="1134"/>
        </w:tabs>
        <w:spacing w:line="360" w:lineRule="auto"/>
        <w:ind w:left="0" w:firstLine="546"/>
        <w:rPr>
          <w:rFonts w:ascii="宋体" w:hAnsi="宋体"/>
          <w:b/>
          <w:sz w:val="28"/>
          <w:szCs w:val="28"/>
        </w:rPr>
      </w:pPr>
      <w:r>
        <w:rPr>
          <w:rFonts w:hint="eastAsia" w:ascii="宋体" w:hAnsi="宋体"/>
          <w:b/>
          <w:sz w:val="28"/>
          <w:szCs w:val="28"/>
        </w:rPr>
        <w:t>投标人基本情况表；</w:t>
      </w:r>
    </w:p>
    <w:p>
      <w:pPr>
        <w:numPr>
          <w:ilvl w:val="0"/>
          <w:numId w:val="19"/>
        </w:numPr>
        <w:tabs>
          <w:tab w:val="left" w:pos="1134"/>
        </w:tabs>
        <w:spacing w:line="360" w:lineRule="auto"/>
        <w:ind w:left="0" w:firstLine="546"/>
        <w:rPr>
          <w:rFonts w:ascii="宋体" w:hAnsi="宋体"/>
          <w:b/>
          <w:sz w:val="28"/>
          <w:szCs w:val="28"/>
        </w:rPr>
      </w:pPr>
      <w:r>
        <w:rPr>
          <w:rFonts w:hint="eastAsia" w:ascii="宋体" w:hAnsi="宋体"/>
          <w:b/>
          <w:sz w:val="28"/>
          <w:szCs w:val="28"/>
        </w:rPr>
        <w:t>投标产品技术性能、技术参数和配置的详细描述；</w:t>
      </w:r>
    </w:p>
    <w:p>
      <w:pPr>
        <w:numPr>
          <w:ilvl w:val="0"/>
          <w:numId w:val="19"/>
        </w:numPr>
        <w:tabs>
          <w:tab w:val="left" w:pos="1134"/>
        </w:tabs>
        <w:spacing w:line="360" w:lineRule="auto"/>
        <w:ind w:left="0" w:firstLine="546"/>
        <w:rPr>
          <w:rFonts w:ascii="宋体" w:hAnsi="宋体"/>
          <w:b/>
          <w:sz w:val="28"/>
          <w:szCs w:val="28"/>
        </w:rPr>
      </w:pPr>
      <w:r>
        <w:rPr>
          <w:rFonts w:hint="eastAsia" w:ascii="宋体" w:hAnsi="宋体"/>
          <w:b/>
          <w:sz w:val="28"/>
          <w:szCs w:val="28"/>
        </w:rPr>
        <w:t>售后服务及承诺；</w:t>
      </w:r>
    </w:p>
    <w:p>
      <w:pPr>
        <w:numPr>
          <w:ilvl w:val="0"/>
          <w:numId w:val="19"/>
        </w:numPr>
        <w:tabs>
          <w:tab w:val="left" w:pos="1134"/>
        </w:tabs>
        <w:spacing w:line="360" w:lineRule="auto"/>
        <w:ind w:left="0" w:firstLine="546"/>
        <w:rPr>
          <w:rFonts w:ascii="宋体" w:hAnsi="宋体"/>
          <w:b/>
          <w:sz w:val="28"/>
          <w:szCs w:val="28"/>
        </w:rPr>
      </w:pPr>
      <w:r>
        <w:rPr>
          <w:rFonts w:hint="eastAsia" w:ascii="宋体" w:hAnsi="宋体"/>
          <w:b/>
          <w:sz w:val="28"/>
          <w:szCs w:val="28"/>
        </w:rPr>
        <w:t>承诺函；</w:t>
      </w:r>
    </w:p>
    <w:p>
      <w:pPr>
        <w:pStyle w:val="2"/>
        <w:ind w:firstLine="562" w:firstLineChars="200"/>
      </w:pPr>
      <w:r>
        <w:rPr>
          <w:rFonts w:hint="eastAsia" w:ascii="宋体" w:hAnsi="宋体"/>
          <w:b/>
          <w:sz w:val="28"/>
          <w:szCs w:val="28"/>
        </w:rPr>
        <w:t>七、项目实施方案</w:t>
      </w:r>
    </w:p>
    <w:p>
      <w:pPr>
        <w:pStyle w:val="6"/>
        <w:numPr>
          <w:ilvl w:val="3"/>
          <w:numId w:val="3"/>
        </w:numPr>
        <w:ind w:left="0" w:hanging="8"/>
        <w:rPr>
          <w:rFonts w:ascii="宋体" w:hAnsi="宋体"/>
        </w:rPr>
      </w:pPr>
      <w:r>
        <w:rPr>
          <w:rFonts w:hint="eastAsia" w:ascii="宋体" w:hAnsi="宋体"/>
        </w:rPr>
        <w:t>报价</w:t>
      </w:r>
      <w:r>
        <w:rPr>
          <w:rFonts w:ascii="宋体" w:hAnsi="宋体"/>
        </w:rPr>
        <w:t>要求响应文件</w:t>
      </w:r>
    </w:p>
    <w:p>
      <w:pPr>
        <w:pStyle w:val="78"/>
        <w:tabs>
          <w:tab w:val="left" w:pos="1134"/>
        </w:tabs>
        <w:spacing w:line="360" w:lineRule="auto"/>
        <w:ind w:left="-8" w:firstLine="562" w:firstLineChars="200"/>
        <w:rPr>
          <w:rFonts w:ascii="宋体" w:hAnsi="宋体"/>
          <w:b/>
          <w:sz w:val="28"/>
          <w:szCs w:val="28"/>
        </w:rPr>
      </w:pPr>
      <w:r>
        <w:rPr>
          <w:rFonts w:hint="eastAsia" w:ascii="宋体" w:hAnsi="宋体"/>
          <w:b/>
          <w:sz w:val="28"/>
          <w:szCs w:val="28"/>
        </w:rPr>
        <w:t>一、开标一览表（投标报价以投标人在政府采购云平台开标一览表中填写的报价为准）；</w:t>
      </w:r>
    </w:p>
    <w:p>
      <w:pPr>
        <w:tabs>
          <w:tab w:val="left" w:pos="1134"/>
        </w:tabs>
        <w:spacing w:line="360" w:lineRule="auto"/>
        <w:ind w:firstLine="562" w:firstLineChars="200"/>
        <w:rPr>
          <w:rFonts w:ascii="宋体" w:hAnsi="宋体"/>
          <w:b/>
          <w:sz w:val="28"/>
          <w:szCs w:val="28"/>
        </w:rPr>
      </w:pPr>
      <w:r>
        <w:rPr>
          <w:rFonts w:hint="eastAsia" w:ascii="宋体" w:hAnsi="宋体"/>
          <w:b/>
          <w:sz w:val="28"/>
          <w:szCs w:val="28"/>
        </w:rPr>
        <w:t>二、报价明细表(报价明细表中要求填写品牌、规格型号、制造商、进口或国产的，投标人必须载明其投标产品的品牌、规格型号、制造商、进口或国产)。</w:t>
      </w:r>
    </w:p>
    <w:p>
      <w:pPr>
        <w:keepNext/>
        <w:keepLines/>
        <w:numPr>
          <w:ilvl w:val="2"/>
          <w:numId w:val="3"/>
        </w:numPr>
        <w:spacing w:line="360" w:lineRule="auto"/>
        <w:ind w:left="0" w:firstLine="0"/>
        <w:outlineLvl w:val="2"/>
        <w:rPr>
          <w:rFonts w:ascii="宋体" w:hAnsi="宋体"/>
          <w:b/>
          <w:bCs/>
          <w:sz w:val="28"/>
          <w:szCs w:val="28"/>
        </w:rPr>
      </w:pPr>
      <w:bookmarkStart w:id="52" w:name="_Toc316291396"/>
      <w:bookmarkEnd w:id="52"/>
      <w:bookmarkStart w:id="53" w:name="_Toc316292020"/>
      <w:bookmarkEnd w:id="53"/>
      <w:bookmarkStart w:id="54" w:name="_Toc316291395"/>
      <w:bookmarkEnd w:id="54"/>
      <w:bookmarkStart w:id="55" w:name="_Toc316292019"/>
      <w:bookmarkEnd w:id="55"/>
      <w:bookmarkStart w:id="56" w:name="_Toc183682355"/>
      <w:bookmarkStart w:id="57" w:name="_Toc183582218"/>
      <w:bookmarkStart w:id="58" w:name="_Toc217446049"/>
      <w:r>
        <w:rPr>
          <w:rFonts w:hint="eastAsia" w:ascii="宋体" w:hAnsi="宋体"/>
          <w:b/>
          <w:bCs/>
          <w:sz w:val="28"/>
          <w:szCs w:val="28"/>
        </w:rPr>
        <w:t>投标文件格式</w:t>
      </w:r>
      <w:bookmarkEnd w:id="56"/>
      <w:bookmarkEnd w:id="57"/>
      <w:bookmarkEnd w:id="58"/>
      <w:r>
        <w:rPr>
          <w:rFonts w:hint="eastAsia" w:ascii="宋体" w:hAnsi="宋体"/>
          <w:b/>
          <w:bCs/>
          <w:sz w:val="28"/>
          <w:szCs w:val="28"/>
        </w:rPr>
        <w:tab/>
      </w:r>
    </w:p>
    <w:p>
      <w:pPr>
        <w:numPr>
          <w:ilvl w:val="0"/>
          <w:numId w:val="20"/>
        </w:numPr>
        <w:tabs>
          <w:tab w:val="left" w:pos="1134"/>
        </w:tabs>
        <w:spacing w:line="360" w:lineRule="auto"/>
        <w:ind w:left="0" w:firstLine="567"/>
        <w:rPr>
          <w:rFonts w:ascii="宋体" w:hAnsi="宋体"/>
          <w:sz w:val="28"/>
          <w:szCs w:val="28"/>
        </w:rPr>
      </w:pPr>
      <w:r>
        <w:rPr>
          <w:rFonts w:hint="eastAsia" w:ascii="宋体" w:hAnsi="宋体"/>
          <w:sz w:val="28"/>
          <w:szCs w:val="28"/>
        </w:rPr>
        <w:t>投标人应按照招标文件第3章中提供的“投标文件格式”填写相关内容。</w:t>
      </w:r>
    </w:p>
    <w:p>
      <w:pPr>
        <w:numPr>
          <w:ilvl w:val="0"/>
          <w:numId w:val="20"/>
        </w:numPr>
        <w:tabs>
          <w:tab w:val="left" w:pos="1134"/>
        </w:tabs>
        <w:spacing w:line="360" w:lineRule="auto"/>
        <w:ind w:left="0" w:firstLine="567"/>
        <w:rPr>
          <w:rFonts w:ascii="宋体" w:hAnsi="宋体"/>
          <w:sz w:val="28"/>
          <w:szCs w:val="28"/>
        </w:rPr>
      </w:pPr>
      <w:r>
        <w:rPr>
          <w:rFonts w:hint="eastAsia" w:ascii="宋体" w:hAnsi="宋体"/>
          <w:sz w:val="28"/>
          <w:szCs w:val="28"/>
        </w:rPr>
        <w:t>对于没有格式要求的投标文件由投标人自行编写。</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投标报价</w:t>
      </w:r>
    </w:p>
    <w:p>
      <w:pPr>
        <w:numPr>
          <w:ilvl w:val="0"/>
          <w:numId w:val="21"/>
        </w:numPr>
        <w:tabs>
          <w:tab w:val="left" w:pos="1134"/>
        </w:tabs>
        <w:spacing w:line="360" w:lineRule="auto"/>
        <w:ind w:left="0" w:firstLine="560"/>
        <w:rPr>
          <w:rFonts w:ascii="宋体" w:hAnsi="宋体"/>
          <w:sz w:val="28"/>
          <w:szCs w:val="28"/>
        </w:rPr>
      </w:pPr>
      <w:r>
        <w:rPr>
          <w:rFonts w:hint="eastAsia" w:ascii="宋体" w:hAnsi="宋体"/>
          <w:sz w:val="28"/>
          <w:szCs w:val="28"/>
        </w:rPr>
        <w:t>投标人的报价是投标人响应招标项目要求的全部工作内容的价格体现，包括投标人完成本项目所需的一切费用。</w:t>
      </w:r>
    </w:p>
    <w:p>
      <w:pPr>
        <w:numPr>
          <w:ilvl w:val="0"/>
          <w:numId w:val="21"/>
        </w:numPr>
        <w:tabs>
          <w:tab w:val="left" w:pos="1134"/>
        </w:tabs>
        <w:spacing w:line="360" w:lineRule="auto"/>
        <w:ind w:left="0" w:firstLine="560"/>
        <w:rPr>
          <w:rFonts w:ascii="宋体" w:hAnsi="宋体"/>
          <w:sz w:val="28"/>
          <w:szCs w:val="28"/>
        </w:rPr>
      </w:pPr>
      <w:r>
        <w:rPr>
          <w:rFonts w:hint="eastAsia" w:ascii="宋体" w:hAnsi="宋体"/>
          <w:sz w:val="28"/>
          <w:szCs w:val="28"/>
        </w:rPr>
        <w:t>投标人每种货物及服务内容只允许有一个报价，并且在合同履行过程中是固定不变的，任何有选择或可调整的报价将不予接受，并按无效投标处理。</w:t>
      </w:r>
    </w:p>
    <w:p>
      <w:pPr>
        <w:tabs>
          <w:tab w:val="left" w:pos="1134"/>
        </w:tabs>
        <w:spacing w:line="360" w:lineRule="auto"/>
        <w:ind w:firstLine="565" w:firstLineChars="202"/>
        <w:rPr>
          <w:rFonts w:ascii="宋体" w:hAnsi="宋体"/>
          <w:sz w:val="28"/>
          <w:szCs w:val="28"/>
        </w:rPr>
      </w:pPr>
      <w:bookmarkStart w:id="59" w:name="_Toc183682360"/>
      <w:bookmarkStart w:id="60" w:name="_Toc183582223"/>
      <w:bookmarkStart w:id="61" w:name="_Toc217446050"/>
      <w:r>
        <w:rPr>
          <w:rFonts w:hint="eastAsia" w:ascii="宋体" w:hAnsi="宋体"/>
          <w:sz w:val="28"/>
          <w:szCs w:val="28"/>
        </w:rPr>
        <w:t>三、投标文件报价出现前后不一致的，按照下列规定修正：（1）大写金额和小写金额不一致的，以大写金额为准，但大写金额出现文字错误，导致金额无法判断的除外；（</w:t>
      </w:r>
      <w:r>
        <w:rPr>
          <w:rFonts w:ascii="宋体" w:hAnsi="宋体"/>
          <w:sz w:val="28"/>
          <w:szCs w:val="28"/>
        </w:rPr>
        <w:t>2</w:t>
      </w:r>
      <w:r>
        <w:rPr>
          <w:rFonts w:hint="eastAsia" w:ascii="宋体" w:hAnsi="宋体"/>
          <w:sz w:val="28"/>
          <w:szCs w:val="28"/>
        </w:rPr>
        <w:t>）单价金额小数点或者百分比有明显错位的，应以总价为准，并修改单价；（</w:t>
      </w:r>
      <w:r>
        <w:rPr>
          <w:rFonts w:ascii="宋体" w:hAnsi="宋体"/>
          <w:sz w:val="28"/>
          <w:szCs w:val="28"/>
        </w:rPr>
        <w:t>3</w:t>
      </w:r>
      <w:r>
        <w:rPr>
          <w:rFonts w:hint="eastAsia" w:ascii="宋体" w:hAnsi="宋体"/>
          <w:sz w:val="28"/>
          <w:szCs w:val="28"/>
        </w:rPr>
        <w:t>）总价金额与按单价汇总金额不一致的，以单价金额计算结果为准。</w:t>
      </w:r>
    </w:p>
    <w:p>
      <w:pPr>
        <w:tabs>
          <w:tab w:val="left" w:pos="1134"/>
        </w:tabs>
        <w:spacing w:line="360" w:lineRule="auto"/>
        <w:ind w:firstLine="565" w:firstLineChars="202"/>
        <w:rPr>
          <w:rFonts w:ascii="宋体" w:hAnsi="宋体"/>
          <w:sz w:val="28"/>
          <w:szCs w:val="28"/>
        </w:rPr>
      </w:pPr>
      <w:r>
        <w:rPr>
          <w:rFonts w:hint="eastAsia" w:cs="Arial"/>
          <w:sz w:val="28"/>
          <w:szCs w:val="28"/>
        </w:rPr>
        <w:t>同时出现两种以上不一致的，按照前款规定的顺序修正。修正后的报价经投标人以书面形式通过政府采购云平台进行确认，并加盖投标人（法定名称）电子签章，投标人逾时确认的，其投标无效。</w:t>
      </w:r>
      <w:r>
        <w:rPr>
          <w:rFonts w:hint="eastAsia" w:ascii="宋体" w:hAnsi="宋体"/>
          <w:sz w:val="28"/>
          <w:szCs w:val="28"/>
        </w:rPr>
        <w:t>如因断电、断网、系统故障或其他不可抗力等因素</w:t>
      </w:r>
      <w:r>
        <w:rPr>
          <w:rFonts w:hint="eastAsia" w:cs="Arial"/>
          <w:sz w:val="28"/>
          <w:szCs w:val="28"/>
        </w:rPr>
        <w:t>，导致系统无法使用的，由投标人按评标委员会的要求进行澄清或者说明。</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投标保证金</w:t>
      </w:r>
      <w:bookmarkEnd w:id="59"/>
      <w:bookmarkEnd w:id="60"/>
      <w:bookmarkEnd w:id="61"/>
    </w:p>
    <w:p>
      <w:pPr>
        <w:spacing w:line="360" w:lineRule="auto"/>
        <w:ind w:firstLine="560" w:firstLineChars="200"/>
        <w:rPr>
          <w:rFonts w:ascii="宋体" w:hAnsi="宋体"/>
          <w:sz w:val="28"/>
          <w:szCs w:val="28"/>
        </w:rPr>
      </w:pPr>
      <w:r>
        <w:rPr>
          <w:rFonts w:hint="eastAsia" w:cs="Arial"/>
          <w:sz w:val="28"/>
          <w:szCs w:val="28"/>
        </w:rPr>
        <w:t>本项目不收取投标保证金。</w:t>
      </w:r>
    </w:p>
    <w:p>
      <w:pPr>
        <w:keepNext/>
        <w:keepLines/>
        <w:numPr>
          <w:ilvl w:val="2"/>
          <w:numId w:val="3"/>
        </w:numPr>
        <w:tabs>
          <w:tab w:val="left" w:pos="851"/>
        </w:tabs>
        <w:spacing w:line="360" w:lineRule="auto"/>
        <w:ind w:left="0" w:firstLine="0"/>
        <w:outlineLvl w:val="2"/>
        <w:rPr>
          <w:rFonts w:ascii="宋体" w:hAnsi="宋体"/>
          <w:b/>
          <w:bCs/>
          <w:sz w:val="28"/>
          <w:szCs w:val="28"/>
        </w:rPr>
      </w:pPr>
      <w:bookmarkStart w:id="62" w:name="_Toc316292024"/>
      <w:bookmarkEnd w:id="62"/>
      <w:bookmarkStart w:id="63" w:name="_Toc316291400"/>
      <w:bookmarkEnd w:id="63"/>
      <w:bookmarkStart w:id="64" w:name="_Toc183682361"/>
      <w:bookmarkStart w:id="65" w:name="_Toc183582224"/>
      <w:bookmarkStart w:id="66" w:name="_Toc217446051"/>
      <w:r>
        <w:rPr>
          <w:rFonts w:hint="eastAsia" w:ascii="宋体" w:hAnsi="宋体"/>
          <w:b/>
          <w:bCs/>
          <w:sz w:val="28"/>
          <w:szCs w:val="28"/>
        </w:rPr>
        <w:t>投标有效期</w:t>
      </w:r>
      <w:bookmarkEnd w:id="64"/>
      <w:bookmarkEnd w:id="65"/>
      <w:bookmarkEnd w:id="66"/>
    </w:p>
    <w:p>
      <w:pPr>
        <w:numPr>
          <w:ilvl w:val="0"/>
          <w:numId w:val="22"/>
        </w:numPr>
        <w:tabs>
          <w:tab w:val="left" w:pos="1134"/>
        </w:tabs>
        <w:spacing w:line="360" w:lineRule="auto"/>
        <w:ind w:left="0" w:firstLine="567"/>
        <w:rPr>
          <w:rFonts w:ascii="宋体" w:hAnsi="宋体"/>
          <w:sz w:val="28"/>
          <w:szCs w:val="28"/>
        </w:rPr>
      </w:pPr>
      <w:r>
        <w:rPr>
          <w:rFonts w:hint="eastAsia" w:ascii="宋体" w:hAnsi="宋体"/>
          <w:sz w:val="28"/>
          <w:szCs w:val="28"/>
        </w:rPr>
        <w:t>投标有效期为</w:t>
      </w:r>
      <w:r>
        <w:rPr>
          <w:rFonts w:hint="eastAsia" w:ascii="Helvetica" w:hAnsi="Helvetica" w:cs="Helvetica"/>
          <w:sz w:val="28"/>
          <w:szCs w:val="28"/>
        </w:rPr>
        <w:t>提交投标文件的截止之日起</w:t>
      </w:r>
      <w:r>
        <w:rPr>
          <w:rFonts w:hint="eastAsia" w:ascii="宋体" w:hAnsi="宋体"/>
          <w:sz w:val="28"/>
          <w:szCs w:val="28"/>
          <w:u w:val="single"/>
        </w:rPr>
        <w:t>120</w:t>
      </w:r>
      <w:r>
        <w:rPr>
          <w:rFonts w:hint="eastAsia" w:ascii="宋体" w:hAnsi="宋体"/>
          <w:sz w:val="28"/>
          <w:szCs w:val="28"/>
        </w:rPr>
        <w:t>天。投标有效期短于此规定期限的或不作响应的，则其投标文件将按无效投标文件处理。</w:t>
      </w:r>
    </w:p>
    <w:p>
      <w:pPr>
        <w:numPr>
          <w:ilvl w:val="0"/>
          <w:numId w:val="22"/>
        </w:numPr>
        <w:tabs>
          <w:tab w:val="left" w:pos="1134"/>
        </w:tabs>
        <w:spacing w:line="360" w:lineRule="auto"/>
        <w:ind w:left="0" w:firstLine="567"/>
        <w:rPr>
          <w:rFonts w:ascii="宋体" w:hAnsi="宋体"/>
          <w:sz w:val="28"/>
          <w:szCs w:val="28"/>
        </w:rPr>
      </w:pPr>
      <w:r>
        <w:rPr>
          <w:rFonts w:hint="eastAsia" w:ascii="宋体" w:hAnsi="宋体"/>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5"/>
        <w:numPr>
          <w:ilvl w:val="2"/>
          <w:numId w:val="3"/>
        </w:numPr>
        <w:tabs>
          <w:tab w:val="left" w:pos="851"/>
        </w:tabs>
        <w:spacing w:after="200"/>
        <w:ind w:left="0" w:firstLine="0"/>
        <w:rPr>
          <w:color w:val="auto"/>
        </w:rPr>
      </w:pPr>
      <w:bookmarkStart w:id="67" w:name="_Toc183682364"/>
      <w:bookmarkStart w:id="68" w:name="_Toc183582227"/>
      <w:bookmarkStart w:id="69" w:name="_Toc217446054"/>
      <w:r>
        <w:rPr>
          <w:rFonts w:hint="eastAsia"/>
          <w:color w:val="auto"/>
        </w:rPr>
        <w:t>投标文件的制作和签章、加密</w:t>
      </w:r>
    </w:p>
    <w:p>
      <w:pPr>
        <w:spacing w:line="360" w:lineRule="auto"/>
        <w:ind w:firstLine="562" w:firstLineChars="200"/>
        <w:rPr>
          <w:rFonts w:ascii="宋体" w:hAnsi="宋体"/>
          <w:sz w:val="28"/>
          <w:szCs w:val="28"/>
        </w:rPr>
      </w:pPr>
      <w:r>
        <w:rPr>
          <w:rFonts w:hint="eastAsia" w:ascii="宋体" w:hAnsi="宋体"/>
          <w:b/>
          <w:sz w:val="28"/>
          <w:szCs w:val="28"/>
        </w:rPr>
        <w:t>一、投标文件应根据招标文件的要求进行制作。</w:t>
      </w:r>
      <w:r>
        <w:rPr>
          <w:rFonts w:hint="eastAsia" w:ascii="宋体" w:hAnsi="宋体"/>
          <w:sz w:val="28"/>
          <w:szCs w:val="28"/>
        </w:rPr>
        <w:t>（说明：1、招标文件中要求提供复印件证明材料的，包含提供原件的影印件或复印件。2、要求提供复印件的证明材料须清晰可辨。）</w:t>
      </w:r>
    </w:p>
    <w:p>
      <w:pPr>
        <w:spacing w:line="360" w:lineRule="auto"/>
        <w:ind w:firstLine="560" w:firstLineChars="200"/>
        <w:rPr>
          <w:rFonts w:ascii="宋体" w:hAnsi="宋体"/>
          <w:sz w:val="28"/>
          <w:szCs w:val="28"/>
        </w:rPr>
      </w:pPr>
      <w:r>
        <w:rPr>
          <w:rFonts w:hint="eastAsia" w:ascii="宋体" w:hAnsi="宋体"/>
          <w:sz w:val="28"/>
          <w:szCs w:val="28"/>
        </w:rPr>
        <w:t>二、投标文件制作详情：</w:t>
      </w:r>
    </w:p>
    <w:p>
      <w:pPr>
        <w:spacing w:line="360" w:lineRule="auto"/>
        <w:ind w:firstLine="560" w:firstLineChars="200"/>
        <w:rPr>
          <w:rFonts w:ascii="宋体" w:hAnsi="宋体"/>
          <w:sz w:val="28"/>
          <w:szCs w:val="28"/>
        </w:rPr>
      </w:pPr>
      <w:r>
        <w:rPr>
          <w:rFonts w:hint="eastAsia" w:ascii="宋体" w:hAnsi="宋体"/>
          <w:sz w:val="28"/>
          <w:szCs w:val="28"/>
        </w:rPr>
        <w:t>1、本项目实行电子投标。投标人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w:t>
      </w:r>
      <w:r>
        <w:rPr>
          <w:rFonts w:hint="eastAsia" w:ascii="宋体" w:hAnsi="宋体"/>
          <w:b/>
          <w:sz w:val="28"/>
          <w:szCs w:val="28"/>
        </w:rPr>
        <w:t>投标人应按招标文件要求，通过“政采云投标客户端”制作、加密并提交投标文件。</w:t>
      </w:r>
    </w:p>
    <w:p>
      <w:pPr>
        <w:spacing w:line="360" w:lineRule="auto"/>
        <w:ind w:firstLine="562" w:firstLineChars="200"/>
        <w:rPr>
          <w:rFonts w:ascii="宋体" w:hAnsi="宋体"/>
          <w:b/>
          <w:sz w:val="28"/>
          <w:szCs w:val="28"/>
        </w:rPr>
      </w:pPr>
      <w:r>
        <w:rPr>
          <w:rFonts w:hint="eastAsia" w:ascii="宋体" w:hAnsi="宋体"/>
          <w:b/>
          <w:sz w:val="28"/>
          <w:szCs w:val="28"/>
        </w:rPr>
        <w:t>2、投标文件应加盖投标人（法定名称）电子签章，不得使用投标人专用章（如经济合同章、投标专用章等）或下属单位印章代替。</w:t>
      </w:r>
    </w:p>
    <w:p>
      <w:pPr>
        <w:spacing w:line="360" w:lineRule="auto"/>
        <w:ind w:firstLine="562" w:firstLineChars="200"/>
        <w:rPr>
          <w:rFonts w:ascii="宋体" w:hAnsi="宋体"/>
          <w:b/>
          <w:sz w:val="28"/>
          <w:szCs w:val="28"/>
        </w:rPr>
      </w:pPr>
      <w:r>
        <w:rPr>
          <w:rFonts w:hint="eastAsia" w:ascii="宋体" w:hAnsi="宋体"/>
          <w:b/>
          <w:sz w:val="28"/>
          <w:szCs w:val="28"/>
        </w:rPr>
        <w:t>3、投标人应使用本企业CA数字证书对投标文件进行加密。</w:t>
      </w:r>
    </w:p>
    <w:p>
      <w:pPr>
        <w:spacing w:line="360" w:lineRule="auto"/>
        <w:ind w:firstLine="562" w:firstLineChars="200"/>
        <w:rPr>
          <w:rFonts w:ascii="宋体" w:hAnsi="宋体"/>
          <w:b/>
          <w:sz w:val="28"/>
          <w:szCs w:val="28"/>
        </w:rPr>
      </w:pPr>
      <w:r>
        <w:rPr>
          <w:rFonts w:hint="eastAsia" w:ascii="宋体" w:hAnsi="宋体"/>
          <w:b/>
          <w:sz w:val="28"/>
          <w:szCs w:val="28"/>
        </w:rPr>
        <w:t>4、招标文件有修改的，投标人须重新下载修改后的招标文件（修改后的招标文件在更正公告中下载），根据修改后的招标文件制作、撤回修改，并递交投标文件。</w:t>
      </w:r>
    </w:p>
    <w:p>
      <w:pPr>
        <w:spacing w:line="360" w:lineRule="auto"/>
        <w:ind w:firstLine="560" w:firstLineChars="200"/>
        <w:rPr>
          <w:rFonts w:ascii="宋体" w:hAnsi="宋体"/>
          <w:sz w:val="28"/>
          <w:szCs w:val="28"/>
        </w:rPr>
      </w:pPr>
      <w:r>
        <w:rPr>
          <w:rFonts w:hint="eastAsia" w:ascii="宋体" w:hAnsi="宋体"/>
          <w:sz w:val="28"/>
          <w:szCs w:val="28"/>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pPr>
        <w:pStyle w:val="5"/>
        <w:numPr>
          <w:ilvl w:val="2"/>
          <w:numId w:val="3"/>
        </w:numPr>
        <w:spacing w:after="200"/>
        <w:ind w:left="0" w:firstLine="0"/>
        <w:rPr>
          <w:color w:val="auto"/>
        </w:rPr>
      </w:pPr>
      <w:r>
        <w:rPr>
          <w:rFonts w:hint="eastAsia"/>
          <w:color w:val="auto"/>
        </w:rPr>
        <w:t>投标文件的</w:t>
      </w:r>
      <w:bookmarkEnd w:id="67"/>
      <w:bookmarkEnd w:id="68"/>
      <w:r>
        <w:rPr>
          <w:rFonts w:hint="eastAsia"/>
          <w:color w:val="auto"/>
        </w:rPr>
        <w:t>递交</w:t>
      </w:r>
      <w:bookmarkEnd w:id="69"/>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一、投标人应当在投标文件递交截止时间前，将生成的已加密的投标文件成功递交至“政府采购云平台”。</w:t>
      </w:r>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二、因招标文件的修改推迟投标截止日期的，投标人按市公资交易中心在“四川政府采购网”和“成都市公共资源交易服务中心”网站上发布的澄清公告中修改的时间递交投标文件，同时通过“政府采购云平台”将澄清或者修改的内容告知所有在系统中成功获取招标文件的潜在投标人。</w:t>
      </w:r>
    </w:p>
    <w:p>
      <w:pPr>
        <w:tabs>
          <w:tab w:val="left" w:pos="0"/>
        </w:tabs>
        <w:spacing w:line="360" w:lineRule="auto"/>
        <w:ind w:firstLine="420" w:firstLineChars="150"/>
        <w:rPr>
          <w:rFonts w:ascii="宋体" w:hAnsi="宋体"/>
          <w:bCs/>
          <w:sz w:val="28"/>
          <w:szCs w:val="28"/>
        </w:rPr>
      </w:pPr>
      <w:r>
        <w:rPr>
          <w:rFonts w:hint="eastAsia" w:ascii="宋体" w:hAnsi="宋体" w:eastAsiaTheme="minorEastAsia" w:cstheme="minorBidi"/>
          <w:bCs/>
          <w:sz w:val="28"/>
          <w:szCs w:val="28"/>
        </w:rPr>
        <w:t>三、投标人应充分考虑递交文件的不可预见因素，未在投标截止时间前完成递交的，在投标截止时间后将无法递交</w:t>
      </w:r>
      <w:r>
        <w:rPr>
          <w:rFonts w:hint="eastAsia" w:ascii="宋体" w:hAnsi="宋体"/>
          <w:bCs/>
          <w:sz w:val="28"/>
          <w:szCs w:val="28"/>
        </w:rPr>
        <w:t>。</w:t>
      </w:r>
    </w:p>
    <w:p>
      <w:pPr>
        <w:pStyle w:val="5"/>
        <w:numPr>
          <w:ilvl w:val="2"/>
          <w:numId w:val="3"/>
        </w:numPr>
        <w:spacing w:after="200"/>
        <w:ind w:left="0" w:firstLine="0"/>
        <w:rPr>
          <w:color w:val="auto"/>
        </w:rPr>
      </w:pPr>
      <w:r>
        <w:rPr>
          <w:rFonts w:hint="eastAsia"/>
          <w:color w:val="auto"/>
        </w:rPr>
        <w:t>投标文件的补充、修改</w:t>
      </w:r>
    </w:p>
    <w:p>
      <w:pPr>
        <w:numPr>
          <w:ilvl w:val="0"/>
          <w:numId w:val="23"/>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numPr>
          <w:ilvl w:val="0"/>
          <w:numId w:val="23"/>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在投标截止时间之后，投标人不得对其递交的投标文件做任何补充、修改。</w:t>
      </w:r>
    </w:p>
    <w:p>
      <w:pPr>
        <w:pStyle w:val="5"/>
        <w:numPr>
          <w:ilvl w:val="2"/>
          <w:numId w:val="3"/>
        </w:numPr>
        <w:spacing w:after="200"/>
        <w:ind w:left="0" w:firstLine="0"/>
        <w:rPr>
          <w:color w:val="auto"/>
        </w:rPr>
      </w:pPr>
      <w:bookmarkStart w:id="70" w:name="_Toc316475586"/>
      <w:bookmarkEnd w:id="70"/>
      <w:bookmarkStart w:id="71" w:name="_Toc316475587"/>
      <w:bookmarkEnd w:id="71"/>
      <w:bookmarkStart w:id="72" w:name="_Toc217446055"/>
      <w:bookmarkStart w:id="73" w:name="_Toc183682365"/>
      <w:bookmarkStart w:id="74" w:name="_Toc183582228"/>
      <w:r>
        <w:rPr>
          <w:rFonts w:hint="eastAsia"/>
          <w:color w:val="auto"/>
        </w:rPr>
        <w:t>投标文件的</w:t>
      </w:r>
      <w:bookmarkEnd w:id="72"/>
      <w:bookmarkEnd w:id="73"/>
      <w:bookmarkEnd w:id="74"/>
      <w:r>
        <w:rPr>
          <w:rFonts w:hint="eastAsia"/>
          <w:color w:val="auto"/>
        </w:rPr>
        <w:t>撤回</w:t>
      </w:r>
    </w:p>
    <w:p>
      <w:pPr>
        <w:spacing w:before="120" w:after="200" w:line="360" w:lineRule="auto"/>
        <w:ind w:firstLine="560" w:firstLineChars="200"/>
        <w:rPr>
          <w:rFonts w:ascii="宋体" w:hAnsi="宋体"/>
          <w:bCs/>
          <w:sz w:val="28"/>
          <w:szCs w:val="28"/>
        </w:rPr>
      </w:pPr>
      <w:r>
        <w:rPr>
          <w:rFonts w:hint="eastAsia" w:ascii="宋体" w:hAnsi="宋体"/>
          <w:bCs/>
          <w:sz w:val="28"/>
          <w:szCs w:val="28"/>
        </w:rPr>
        <w:t>在投标截止时间之前，投标人可对已递交的投标文件进行撤回。在投标截止时间之后，投标人不得撤回投标文件。</w:t>
      </w:r>
    </w:p>
    <w:p>
      <w:pPr>
        <w:pStyle w:val="5"/>
        <w:numPr>
          <w:ilvl w:val="2"/>
          <w:numId w:val="3"/>
        </w:numPr>
        <w:spacing w:after="200" w:line="240" w:lineRule="auto"/>
        <w:rPr>
          <w:color w:val="auto"/>
        </w:rPr>
      </w:pPr>
      <w:r>
        <w:rPr>
          <w:rFonts w:hint="eastAsia"/>
          <w:color w:val="auto"/>
        </w:rPr>
        <w:t>投标文件的解密</w:t>
      </w:r>
    </w:p>
    <w:p>
      <w:pPr>
        <w:tabs>
          <w:tab w:val="left" w:pos="1134"/>
        </w:tabs>
        <w:spacing w:before="120" w:line="360" w:lineRule="auto"/>
        <w:ind w:firstLine="565" w:firstLineChars="202"/>
        <w:rPr>
          <w:rFonts w:ascii="宋体" w:hAnsi="宋体"/>
          <w:bCs/>
          <w:sz w:val="28"/>
          <w:szCs w:val="28"/>
        </w:rPr>
      </w:pPr>
      <w:r>
        <w:rPr>
          <w:rFonts w:hint="eastAsia" w:ascii="宋体" w:hAnsi="宋体"/>
          <w:bCs/>
          <w:sz w:val="28"/>
          <w:szCs w:val="28"/>
        </w:rPr>
        <w:t>投标人</w:t>
      </w:r>
      <w:r>
        <w:rPr>
          <w:rFonts w:hint="eastAsia" w:ascii="宋体" w:hAnsi="宋体"/>
          <w:sz w:val="28"/>
          <w:szCs w:val="28"/>
        </w:rPr>
        <w:t>登录政府采购云平台，点击“项目采购—开标评标”模块，找到对应项目，进入“开标大厅”，等待市公资交易中心开启解密后，进行线上解密。</w:t>
      </w:r>
      <w:r>
        <w:rPr>
          <w:rFonts w:hint="eastAsia" w:ascii="宋体" w:hAnsi="宋体"/>
          <w:bCs/>
          <w:sz w:val="28"/>
          <w:szCs w:val="28"/>
        </w:rPr>
        <w:t>除因</w:t>
      </w:r>
      <w:r>
        <w:rPr>
          <w:rFonts w:hint="eastAsia" w:ascii="宋体" w:hAnsi="宋体"/>
          <w:sz w:val="28"/>
          <w:szCs w:val="28"/>
        </w:rPr>
        <w:t>市公资交易中心</w:t>
      </w:r>
      <w:r>
        <w:rPr>
          <w:rFonts w:hint="eastAsia" w:ascii="宋体" w:hAnsi="宋体"/>
          <w:bCs/>
          <w:sz w:val="28"/>
          <w:szCs w:val="28"/>
        </w:rPr>
        <w:t>断电、断网、系统故障或其他不可抗力等因素，导致系统无法使用外，投标人在规定的解密时间内，未成功解密的投标文件将视为无效投标文件。</w:t>
      </w:r>
    </w:p>
    <w:p>
      <w:pPr>
        <w:keepNext/>
        <w:keepLines/>
        <w:numPr>
          <w:ilvl w:val="1"/>
          <w:numId w:val="3"/>
        </w:numPr>
        <w:spacing w:line="360" w:lineRule="auto"/>
        <w:jc w:val="left"/>
        <w:outlineLvl w:val="1"/>
        <w:rPr>
          <w:rFonts w:ascii="宋体" w:hAnsi="宋体"/>
          <w:b/>
          <w:bCs/>
          <w:sz w:val="28"/>
          <w:szCs w:val="28"/>
        </w:rPr>
      </w:pPr>
      <w:bookmarkStart w:id="75" w:name="_Toc217446056"/>
      <w:bookmarkStart w:id="76" w:name="_Toc183582231"/>
      <w:bookmarkStart w:id="77" w:name="_Toc89075878"/>
      <w:bookmarkStart w:id="78" w:name="_Toc183682368"/>
      <w:bookmarkStart w:id="79" w:name="_Toc78191612"/>
      <w:bookmarkStart w:id="80" w:name="_Toc77400782"/>
      <w:r>
        <w:rPr>
          <w:rFonts w:hint="eastAsia" w:ascii="宋体" w:hAnsi="宋体"/>
          <w:b/>
          <w:bCs/>
          <w:sz w:val="28"/>
          <w:szCs w:val="28"/>
        </w:rPr>
        <w:t>开标、资格审查、评标和中标</w:t>
      </w:r>
      <w:bookmarkEnd w:id="75"/>
      <w:bookmarkEnd w:id="76"/>
      <w:bookmarkEnd w:id="77"/>
      <w:bookmarkEnd w:id="78"/>
      <w:bookmarkEnd w:id="79"/>
      <w:bookmarkEnd w:id="80"/>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开标及开标程序</w:t>
      </w:r>
    </w:p>
    <w:p>
      <w:pPr>
        <w:pStyle w:val="80"/>
        <w:numPr>
          <w:ilvl w:val="0"/>
          <w:numId w:val="24"/>
        </w:numPr>
        <w:tabs>
          <w:tab w:val="left" w:pos="1134"/>
        </w:tabs>
        <w:spacing w:before="120" w:after="200" w:line="360" w:lineRule="auto"/>
        <w:ind w:left="0" w:right="210" w:firstLine="567" w:firstLineChars="0"/>
        <w:rPr>
          <w:rFonts w:ascii="宋体" w:hAnsi="宋体" w:eastAsia="宋体" w:cs="宋体"/>
          <w:sz w:val="28"/>
          <w:szCs w:val="28"/>
        </w:rPr>
      </w:pPr>
      <w:r>
        <w:rPr>
          <w:rFonts w:hint="eastAsia" w:ascii="宋体" w:hAnsi="宋体" w:eastAsia="宋体" w:cs="宋体"/>
          <w:sz w:val="28"/>
          <w:szCs w:val="28"/>
        </w:rPr>
        <w:t>本项目为不见面开标项目。递交投标文件的投标人不足3家的，不予开标。</w:t>
      </w:r>
    </w:p>
    <w:p>
      <w:pPr>
        <w:pStyle w:val="80"/>
        <w:numPr>
          <w:ilvl w:val="0"/>
          <w:numId w:val="24"/>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开标准备工作。投标人需在开标当日、投标截止时间前登录“政府采购云平台”，通过“开标大厅”参与不见面开标。登录成都市公共资源交易服务中心门户网站（https://www.cdggzy.com/）—政府采购云平台—项目采购—开标评标—开标大厅（找到对应项目）。提示：投标人未按时登录不见面开标系统，错过开标解密时间的，由投标人自行承担不利后果。</w:t>
      </w:r>
    </w:p>
    <w:p>
      <w:pPr>
        <w:pStyle w:val="80"/>
        <w:numPr>
          <w:ilvl w:val="0"/>
          <w:numId w:val="24"/>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解密投标文件。等待市公资交易中心开启解密后，投标人进行线上解密。开启解密后，投标人应在60分钟内，使用加密该投标文件的CA数字证书在线完成投标文件的解密。除因市公资交易中心断电、断网、系统故障或其他不可抗力等因素，导致系统无法使用外，投标人在规定的解密时间内，未成功解密的投标文件将视为无效投标文件。</w:t>
      </w:r>
    </w:p>
    <w:p>
      <w:pPr>
        <w:pStyle w:val="80"/>
        <w:numPr>
          <w:ilvl w:val="0"/>
          <w:numId w:val="24"/>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80"/>
        <w:numPr>
          <w:ilvl w:val="0"/>
          <w:numId w:val="24"/>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80"/>
        <w:numPr>
          <w:ilvl w:val="0"/>
          <w:numId w:val="24"/>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因市公资交易中心断电、断网、系统故障或其他不可抗力等因素导致不见面开标系统无法正常运行的，开标活动中止或延迟，待系统恢复正常后继续进行开标活动。</w:t>
      </w:r>
    </w:p>
    <w:p>
      <w:pPr>
        <w:pStyle w:val="80"/>
        <w:numPr>
          <w:ilvl w:val="0"/>
          <w:numId w:val="24"/>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资格审查</w:t>
      </w:r>
    </w:p>
    <w:p>
      <w:pPr>
        <w:spacing w:line="360" w:lineRule="auto"/>
        <w:ind w:firstLine="495"/>
        <w:rPr>
          <w:rFonts w:ascii="宋体" w:hAnsi="宋体"/>
          <w:sz w:val="28"/>
          <w:szCs w:val="28"/>
        </w:rPr>
      </w:pPr>
      <w:r>
        <w:rPr>
          <w:rFonts w:hint="eastAsia" w:ascii="宋体" w:hAnsi="宋体"/>
          <w:sz w:val="28"/>
          <w:szCs w:val="28"/>
        </w:rPr>
        <w:t>详见招标文件第5章。</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评标</w:t>
      </w:r>
    </w:p>
    <w:p>
      <w:pPr>
        <w:spacing w:line="360" w:lineRule="auto"/>
        <w:ind w:firstLine="495"/>
        <w:rPr>
          <w:rFonts w:ascii="宋体" w:hAnsi="宋体"/>
          <w:sz w:val="28"/>
          <w:szCs w:val="28"/>
        </w:rPr>
      </w:pPr>
      <w:r>
        <w:rPr>
          <w:rFonts w:hint="eastAsia" w:ascii="宋体" w:hAnsi="宋体"/>
          <w:sz w:val="28"/>
          <w:szCs w:val="28"/>
        </w:rPr>
        <w:t>详见招标文件第6章。</w:t>
      </w:r>
    </w:p>
    <w:p>
      <w:pPr>
        <w:keepNext/>
        <w:keepLines/>
        <w:numPr>
          <w:ilvl w:val="2"/>
          <w:numId w:val="3"/>
        </w:numPr>
        <w:spacing w:line="360" w:lineRule="auto"/>
        <w:ind w:left="0" w:firstLine="0"/>
        <w:outlineLvl w:val="2"/>
        <w:rPr>
          <w:rFonts w:ascii="宋体" w:hAnsi="宋体"/>
          <w:b/>
          <w:bCs/>
          <w:sz w:val="28"/>
          <w:szCs w:val="28"/>
        </w:rPr>
      </w:pPr>
      <w:bookmarkStart w:id="81" w:name="_Toc183582238"/>
      <w:bookmarkStart w:id="82" w:name="_Toc183682375"/>
      <w:bookmarkStart w:id="83" w:name="_Toc217446063"/>
      <w:r>
        <w:rPr>
          <w:rFonts w:hint="eastAsia" w:ascii="宋体" w:hAnsi="宋体"/>
          <w:b/>
          <w:bCs/>
          <w:sz w:val="28"/>
          <w:szCs w:val="28"/>
        </w:rPr>
        <w:t>中标通知</w:t>
      </w:r>
      <w:bookmarkEnd w:id="81"/>
      <w:bookmarkEnd w:id="82"/>
      <w:r>
        <w:rPr>
          <w:rFonts w:hint="eastAsia" w:ascii="宋体" w:hAnsi="宋体"/>
          <w:b/>
          <w:bCs/>
          <w:sz w:val="28"/>
          <w:szCs w:val="28"/>
        </w:rPr>
        <w:t>书</w:t>
      </w:r>
      <w:bookmarkEnd w:id="83"/>
    </w:p>
    <w:p>
      <w:pPr>
        <w:spacing w:line="360" w:lineRule="auto"/>
        <w:ind w:right="210" w:firstLine="560" w:firstLineChars="200"/>
        <w:rPr>
          <w:rFonts w:ascii="宋体" w:hAnsi="宋体"/>
          <w:sz w:val="28"/>
          <w:szCs w:val="28"/>
        </w:rPr>
      </w:pPr>
      <w:bookmarkStart w:id="84" w:name="_Toc217446064"/>
      <w:bookmarkStart w:id="85" w:name="_Toc183682377"/>
      <w:bookmarkStart w:id="86" w:name="_Toc183582240"/>
      <w:r>
        <w:rPr>
          <w:rFonts w:hint="eastAsia" w:ascii="宋体" w:hAnsi="宋体"/>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spacing w:line="360" w:lineRule="auto"/>
        <w:ind w:firstLine="560" w:firstLineChars="200"/>
        <w:rPr>
          <w:rFonts w:ascii="宋体" w:hAnsi="宋体"/>
          <w:sz w:val="28"/>
          <w:szCs w:val="28"/>
        </w:rPr>
      </w:pPr>
      <w:r>
        <w:rPr>
          <w:rFonts w:hint="eastAsia" w:ascii="宋体" w:hAnsi="宋体"/>
          <w:sz w:val="28"/>
          <w:szCs w:val="28"/>
        </w:rPr>
        <w:t>二、中标通知书对采购人和中标人均具有法律效力。中标通知书发出后，采购人改变中标结果，或者中标人无正当理由放弃中标的，应当承担相应的法律责任。</w:t>
      </w:r>
    </w:p>
    <w:p>
      <w:pPr>
        <w:spacing w:line="360" w:lineRule="auto"/>
        <w:ind w:firstLine="560" w:firstLineChars="200"/>
        <w:rPr>
          <w:rFonts w:ascii="宋体" w:hAnsi="宋体"/>
          <w:sz w:val="28"/>
          <w:szCs w:val="28"/>
        </w:rPr>
      </w:pPr>
      <w:r>
        <w:rPr>
          <w:rFonts w:hint="eastAsia" w:ascii="宋体" w:hAnsi="宋体"/>
          <w:sz w:val="28"/>
          <w:szCs w:val="28"/>
        </w:rPr>
        <w:t>三、中标公告在四川政府采购网上公告后，中标供应商自行登录政府采购云平台下载中标通知书。</w:t>
      </w:r>
    </w:p>
    <w:p>
      <w:pPr>
        <w:keepNext/>
        <w:keepLines/>
        <w:numPr>
          <w:ilvl w:val="1"/>
          <w:numId w:val="3"/>
        </w:numPr>
        <w:spacing w:before="240" w:line="360" w:lineRule="auto"/>
        <w:jc w:val="left"/>
        <w:outlineLvl w:val="1"/>
        <w:rPr>
          <w:rFonts w:ascii="宋体" w:hAnsi="宋体"/>
          <w:b/>
          <w:bCs/>
          <w:sz w:val="28"/>
          <w:szCs w:val="28"/>
        </w:rPr>
      </w:pPr>
      <w:bookmarkStart w:id="87" w:name="_Toc78191613"/>
      <w:r>
        <w:rPr>
          <w:rFonts w:hint="eastAsia" w:ascii="宋体" w:hAnsi="宋体"/>
          <w:b/>
          <w:bCs/>
          <w:sz w:val="28"/>
          <w:szCs w:val="28"/>
        </w:rPr>
        <w:t>签订及履行合同和验收</w:t>
      </w:r>
      <w:bookmarkEnd w:id="84"/>
      <w:bookmarkEnd w:id="87"/>
    </w:p>
    <w:p>
      <w:pPr>
        <w:keepNext/>
        <w:keepLines/>
        <w:numPr>
          <w:ilvl w:val="2"/>
          <w:numId w:val="3"/>
        </w:numPr>
        <w:spacing w:line="360" w:lineRule="auto"/>
        <w:ind w:left="0" w:firstLine="0"/>
        <w:outlineLvl w:val="2"/>
        <w:rPr>
          <w:rFonts w:ascii="宋体" w:hAnsi="宋体"/>
          <w:b/>
          <w:bCs/>
          <w:sz w:val="28"/>
          <w:szCs w:val="28"/>
        </w:rPr>
      </w:pPr>
      <w:bookmarkStart w:id="88" w:name="_Toc217446065"/>
      <w:r>
        <w:rPr>
          <w:rFonts w:hint="eastAsia" w:ascii="宋体" w:hAnsi="宋体"/>
          <w:b/>
          <w:bCs/>
          <w:sz w:val="28"/>
          <w:szCs w:val="28"/>
        </w:rPr>
        <w:t>签订合同</w:t>
      </w:r>
      <w:bookmarkEnd w:id="88"/>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二、采购人不得向中标人提出任何不合理的要求，作为签订合同的条件，不得与中标人私下订立背离合同实质性内容的任何协议，所签订的合同不得对招标文件和中标人投标文件作实质性修改。</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三、招标文件、投标文件、中标通知书等一切与本项目评标结果有关且经责任主体确认的资料均为合同的有效组成部分。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四、询问或者质疑事项可能影响中标、成交结果的，采购人应当暂停签订合同，已经签订合同的，应当中止履行合同。</w:t>
      </w:r>
    </w:p>
    <w:p>
      <w:pPr>
        <w:keepNext/>
        <w:keepLines/>
        <w:numPr>
          <w:ilvl w:val="2"/>
          <w:numId w:val="3"/>
        </w:numPr>
        <w:spacing w:line="360" w:lineRule="auto"/>
        <w:ind w:left="3119" w:hanging="3119"/>
        <w:outlineLvl w:val="2"/>
        <w:rPr>
          <w:rFonts w:ascii="宋体" w:hAnsi="宋体"/>
          <w:b/>
          <w:bCs/>
          <w:sz w:val="28"/>
          <w:szCs w:val="28"/>
        </w:rPr>
      </w:pPr>
      <w:bookmarkStart w:id="89" w:name="_Toc315871033"/>
      <w:bookmarkEnd w:id="89"/>
      <w:bookmarkStart w:id="90" w:name="_Toc217446066"/>
      <w:r>
        <w:rPr>
          <w:rFonts w:hint="eastAsia" w:ascii="宋体" w:hAnsi="宋体"/>
          <w:b/>
          <w:bCs/>
          <w:sz w:val="28"/>
          <w:szCs w:val="28"/>
        </w:rPr>
        <w:t>合同分包</w:t>
      </w:r>
      <w:bookmarkEnd w:id="90"/>
      <w:r>
        <w:rPr>
          <w:rFonts w:hint="eastAsia" w:ascii="宋体" w:hAnsi="宋体"/>
          <w:b/>
          <w:bCs/>
          <w:sz w:val="28"/>
          <w:szCs w:val="28"/>
        </w:rPr>
        <w:t>和转包</w:t>
      </w:r>
    </w:p>
    <w:p>
      <w:pPr>
        <w:keepNext/>
        <w:keepLines/>
        <w:numPr>
          <w:ilvl w:val="3"/>
          <w:numId w:val="3"/>
        </w:numPr>
        <w:spacing w:line="360" w:lineRule="auto"/>
        <w:ind w:left="1275" w:hanging="1275"/>
        <w:outlineLvl w:val="2"/>
        <w:rPr>
          <w:rFonts w:ascii="宋体" w:hAnsi="宋体"/>
          <w:b/>
          <w:bCs/>
          <w:sz w:val="28"/>
          <w:szCs w:val="28"/>
        </w:rPr>
      </w:pPr>
      <w:r>
        <w:rPr>
          <w:rFonts w:hint="eastAsia" w:ascii="宋体" w:hAnsi="宋体"/>
          <w:b/>
          <w:bCs/>
          <w:sz w:val="28"/>
          <w:szCs w:val="28"/>
        </w:rPr>
        <w:t>合同分包</w:t>
      </w:r>
    </w:p>
    <w:p>
      <w:pPr>
        <w:pStyle w:val="120"/>
        <w:spacing w:line="360" w:lineRule="auto"/>
        <w:ind w:firstLine="560" w:firstLineChars="200"/>
        <w:rPr>
          <w:rFonts w:cs="Times New Roman"/>
          <w:color w:val="000000" w:themeColor="text1"/>
          <w:sz w:val="28"/>
          <w:szCs w:val="28"/>
          <w:lang w:val="zh-CN"/>
          <w14:textFill>
            <w14:solidFill>
              <w14:schemeClr w14:val="tx1"/>
            </w14:solidFill>
          </w14:textFill>
        </w:rPr>
      </w:pPr>
      <w:r>
        <w:rPr>
          <w:rFonts w:hint="eastAsia" w:cs="Times New Roman"/>
          <w:color w:val="000000" w:themeColor="text1"/>
          <w:sz w:val="28"/>
          <w:szCs w:val="28"/>
          <w:lang w:val="zh-CN"/>
          <w14:textFill>
            <w14:solidFill>
              <w14:schemeClr w14:val="tx1"/>
            </w14:solidFill>
          </w14:textFill>
        </w:rPr>
        <w:t>本</w:t>
      </w:r>
      <w:r>
        <w:rPr>
          <w:rFonts w:cs="Times New Roman"/>
          <w:color w:val="000000" w:themeColor="text1"/>
          <w:sz w:val="28"/>
          <w:szCs w:val="28"/>
          <w:lang w:val="zh-CN"/>
          <w14:textFill>
            <w14:solidFill>
              <w14:schemeClr w14:val="tx1"/>
            </w14:solidFill>
          </w14:textFill>
        </w:rPr>
        <w:t>项目不允许分包</w:t>
      </w:r>
      <w:r>
        <w:rPr>
          <w:rFonts w:hint="eastAsia" w:cs="Times New Roman"/>
          <w:color w:val="000000" w:themeColor="text1"/>
          <w:sz w:val="28"/>
          <w:szCs w:val="28"/>
          <w:lang w:val="zh-CN"/>
          <w14:textFill>
            <w14:solidFill>
              <w14:schemeClr w14:val="tx1"/>
            </w14:solidFill>
          </w14:textFill>
        </w:rPr>
        <w:t xml:space="preserve"> </w:t>
      </w:r>
    </w:p>
    <w:p>
      <w:pPr>
        <w:keepNext/>
        <w:keepLines/>
        <w:numPr>
          <w:ilvl w:val="3"/>
          <w:numId w:val="3"/>
        </w:numPr>
        <w:spacing w:line="360" w:lineRule="auto"/>
        <w:ind w:left="1275" w:hanging="1275"/>
        <w:outlineLvl w:val="2"/>
        <w:rPr>
          <w:rFonts w:ascii="宋体" w:hAnsi="宋体"/>
          <w:b/>
          <w:bCs/>
          <w:sz w:val="28"/>
          <w:szCs w:val="28"/>
        </w:rPr>
      </w:pPr>
      <w:r>
        <w:rPr>
          <w:rFonts w:hint="eastAsia" w:ascii="宋体" w:hAnsi="宋体"/>
          <w:b/>
          <w:bCs/>
          <w:sz w:val="28"/>
          <w:szCs w:val="28"/>
        </w:rPr>
        <w:t>合同转包</w:t>
      </w:r>
    </w:p>
    <w:p>
      <w:pPr>
        <w:spacing w:line="360" w:lineRule="auto"/>
        <w:ind w:firstLine="560" w:firstLineChars="200"/>
        <w:rPr>
          <w:rFonts w:ascii="宋体" w:hAnsi="宋体" w:cs="宋体"/>
          <w:sz w:val="28"/>
          <w:szCs w:val="28"/>
        </w:rPr>
      </w:pPr>
      <w:r>
        <w:rPr>
          <w:rFonts w:hint="eastAsia" w:ascii="宋体" w:hAnsi="宋体"/>
          <w:sz w:val="28"/>
          <w:szCs w:val="28"/>
        </w:rPr>
        <w:t>一、严禁中标供应商将本项目转包。本项目所称转包，是指</w:t>
      </w:r>
      <w:r>
        <w:rPr>
          <w:rFonts w:hint="eastAsia" w:ascii="宋体" w:hAnsi="宋体" w:cs="宋体"/>
          <w:sz w:val="28"/>
          <w:szCs w:val="28"/>
        </w:rPr>
        <w:t xml:space="preserve">将本项目转给他人或者将本项目全部肢解以后以分包的名义分别转给他人的行为。 </w:t>
      </w:r>
    </w:p>
    <w:p>
      <w:pPr>
        <w:spacing w:line="360" w:lineRule="auto"/>
        <w:ind w:firstLine="495"/>
        <w:rPr>
          <w:rFonts w:ascii="宋体" w:hAnsi="宋体"/>
          <w:sz w:val="28"/>
          <w:szCs w:val="28"/>
        </w:rPr>
      </w:pPr>
      <w:r>
        <w:rPr>
          <w:rFonts w:hint="eastAsia" w:ascii="宋体" w:hAnsi="宋体"/>
          <w:sz w:val="28"/>
          <w:szCs w:val="28"/>
        </w:rPr>
        <w:t>二、中标供应商转包的，视同拒绝履行政府采购合同，将依法追究法律责任。</w:t>
      </w:r>
    </w:p>
    <w:p>
      <w:pPr>
        <w:keepNext/>
        <w:keepLines/>
        <w:numPr>
          <w:ilvl w:val="2"/>
          <w:numId w:val="3"/>
        </w:numPr>
        <w:spacing w:before="240" w:line="360" w:lineRule="auto"/>
        <w:ind w:left="0" w:firstLine="0"/>
        <w:outlineLvl w:val="2"/>
        <w:rPr>
          <w:rFonts w:ascii="宋体" w:hAnsi="宋体"/>
          <w:b/>
          <w:bCs/>
          <w:sz w:val="28"/>
          <w:szCs w:val="28"/>
        </w:rPr>
      </w:pPr>
      <w:bookmarkStart w:id="91" w:name="_Toc217446067"/>
      <w:r>
        <w:rPr>
          <w:rFonts w:hint="eastAsia" w:ascii="宋体" w:hAnsi="宋体"/>
          <w:b/>
          <w:bCs/>
          <w:sz w:val="28"/>
          <w:szCs w:val="28"/>
        </w:rPr>
        <w:t>采购人增加合同标的的权</w:t>
      </w:r>
      <w:bookmarkEnd w:id="91"/>
      <w:r>
        <w:rPr>
          <w:rFonts w:hint="eastAsia" w:ascii="宋体" w:hAnsi="宋体"/>
          <w:b/>
          <w:bCs/>
          <w:sz w:val="28"/>
          <w:szCs w:val="28"/>
        </w:rPr>
        <w:t>利</w:t>
      </w:r>
    </w:p>
    <w:p>
      <w:pPr>
        <w:spacing w:after="180" w:line="360" w:lineRule="auto"/>
        <w:ind w:firstLine="560" w:firstLineChars="200"/>
        <w:rPr>
          <w:rFonts w:ascii="宋体" w:hAnsi="宋体"/>
          <w:sz w:val="28"/>
          <w:szCs w:val="28"/>
        </w:rPr>
      </w:pPr>
      <w:r>
        <w:rPr>
          <w:rFonts w:hint="eastAsia" w:ascii="宋体" w:hAnsi="宋体"/>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keepNext/>
        <w:keepLines/>
        <w:numPr>
          <w:ilvl w:val="2"/>
          <w:numId w:val="3"/>
        </w:numPr>
        <w:spacing w:line="360" w:lineRule="auto"/>
        <w:ind w:left="0" w:firstLine="0"/>
        <w:outlineLvl w:val="2"/>
        <w:rPr>
          <w:rFonts w:ascii="宋体" w:hAnsi="宋体"/>
          <w:b/>
          <w:bCs/>
          <w:sz w:val="28"/>
          <w:szCs w:val="28"/>
        </w:rPr>
      </w:pPr>
      <w:bookmarkStart w:id="92" w:name="_Toc217446068"/>
      <w:r>
        <w:rPr>
          <w:rFonts w:hint="eastAsia" w:ascii="宋体" w:hAnsi="宋体"/>
          <w:b/>
          <w:bCs/>
          <w:sz w:val="28"/>
          <w:szCs w:val="28"/>
        </w:rPr>
        <w:t>履约保证金</w:t>
      </w:r>
      <w:bookmarkEnd w:id="92"/>
    </w:p>
    <w:p>
      <w:pPr>
        <w:spacing w:after="180" w:line="360" w:lineRule="auto"/>
        <w:ind w:firstLine="562" w:firstLineChars="200"/>
        <w:rPr>
          <w:rFonts w:ascii="宋体" w:hAnsi="宋体"/>
          <w:color w:val="FF0000"/>
          <w:sz w:val="28"/>
          <w:szCs w:val="28"/>
        </w:rPr>
      </w:pPr>
      <w:bookmarkStart w:id="93" w:name="_Toc217446069"/>
      <w:r>
        <w:rPr>
          <w:rFonts w:hint="eastAsia" w:ascii="宋体" w:hAnsi="宋体"/>
          <w:b/>
          <w:bCs/>
          <w:color w:val="FF0000"/>
          <w:sz w:val="28"/>
          <w:szCs w:val="28"/>
        </w:rPr>
        <w:t>本项目不收取履约保证金。</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合同公告</w:t>
      </w:r>
    </w:p>
    <w:p>
      <w:pPr>
        <w:spacing w:after="180" w:line="360" w:lineRule="auto"/>
        <w:ind w:firstLine="560" w:firstLineChars="200"/>
        <w:rPr>
          <w:rFonts w:ascii="宋体" w:hAnsi="宋体"/>
          <w:sz w:val="28"/>
          <w:szCs w:val="28"/>
        </w:rPr>
      </w:pPr>
      <w:r>
        <w:rPr>
          <w:rFonts w:hint="eastAsia" w:ascii="宋体" w:hAnsi="宋体"/>
          <w:sz w:val="28"/>
          <w:szCs w:val="28"/>
        </w:rPr>
        <w:t>采购人应当自政府采购合同签订之日起2个工作日内，在四川政府采购网公告，但政府采购合同中涉及国家秘密、商业秘密的内容除外。</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合同备案</w:t>
      </w:r>
    </w:p>
    <w:p>
      <w:pPr>
        <w:spacing w:after="180" w:line="360" w:lineRule="auto"/>
        <w:ind w:firstLine="560" w:firstLineChars="200"/>
        <w:rPr>
          <w:rFonts w:ascii="宋体" w:hAnsi="宋体"/>
          <w:sz w:val="28"/>
          <w:szCs w:val="28"/>
        </w:rPr>
      </w:pPr>
      <w:r>
        <w:rPr>
          <w:rFonts w:hint="eastAsia" w:ascii="宋体" w:hAnsi="宋体"/>
          <w:sz w:val="28"/>
          <w:szCs w:val="28"/>
        </w:rPr>
        <w:t>合同签订后5个工作日内将签订的合同原件或复印件（一份）送都江堰市公共资源交易服务中心评审科存档。疫情防控期间，采购人原则上在5个工作日内与供应商签订政府采购合同及向本采购项目同级财政部门，即都江堰市财政局备案政府采购合同。（注意：备案后，采购人应在“成都市公共资源交易服务中心网”，使用单位数字身份证书登录，进行合同信息的录入工作。）</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履行合同</w:t>
      </w:r>
      <w:bookmarkEnd w:id="93"/>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一、合同一经签订，双方应严格履行合同规定的义务。</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二、在合同履行过程中，如发生合同纠纷，合同双方应按照《中华人民共和国民法典》及合同条款的有关规定进行处理。</w:t>
      </w:r>
    </w:p>
    <w:p>
      <w:pPr>
        <w:keepNext/>
        <w:keepLines/>
        <w:numPr>
          <w:ilvl w:val="2"/>
          <w:numId w:val="3"/>
        </w:numPr>
        <w:spacing w:line="360" w:lineRule="auto"/>
        <w:ind w:left="0" w:firstLine="0"/>
        <w:outlineLvl w:val="2"/>
        <w:rPr>
          <w:rFonts w:ascii="宋体" w:hAnsi="宋体"/>
          <w:b/>
          <w:bCs/>
          <w:sz w:val="28"/>
          <w:szCs w:val="28"/>
        </w:rPr>
      </w:pPr>
      <w:bookmarkStart w:id="94" w:name="_Toc217446070"/>
      <w:r>
        <w:rPr>
          <w:rFonts w:hint="eastAsia" w:ascii="宋体" w:hAnsi="宋体"/>
          <w:b/>
          <w:bCs/>
          <w:sz w:val="28"/>
          <w:szCs w:val="28"/>
        </w:rPr>
        <w:t>验收</w:t>
      </w:r>
      <w:bookmarkEnd w:id="94"/>
      <w:r>
        <w:rPr>
          <w:rFonts w:hint="eastAsia" w:ascii="宋体" w:hAnsi="宋体"/>
          <w:b/>
          <w:bCs/>
          <w:sz w:val="28"/>
          <w:szCs w:val="28"/>
        </w:rPr>
        <w:t>或考核</w:t>
      </w:r>
    </w:p>
    <w:bookmarkEnd w:id="85"/>
    <w:bookmarkEnd w:id="86"/>
    <w:p>
      <w:pPr>
        <w:spacing w:line="360" w:lineRule="auto"/>
        <w:ind w:firstLine="560" w:firstLineChars="200"/>
        <w:rPr>
          <w:rFonts w:ascii="宋体" w:hAnsi="宋体"/>
          <w:sz w:val="28"/>
          <w:szCs w:val="28"/>
        </w:rPr>
      </w:pPr>
      <w:bookmarkStart w:id="95" w:name="_Toc217446074"/>
      <w:bookmarkStart w:id="96" w:name="_Toc183582243"/>
      <w:bookmarkStart w:id="97" w:name="_Toc183682380"/>
      <w:r>
        <w:rPr>
          <w:rFonts w:hint="eastAsia" w:ascii="宋体" w:hAnsi="宋体"/>
          <w:sz w:val="28"/>
          <w:szCs w:val="28"/>
        </w:rPr>
        <w:t>采购人严格按照国家相关法律法规的要求组织验收或考核。</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资金支付</w:t>
      </w:r>
    </w:p>
    <w:p>
      <w:pPr>
        <w:numPr>
          <w:ilvl w:val="0"/>
          <w:numId w:val="25"/>
        </w:numPr>
        <w:shd w:val="clear" w:color="auto" w:fill="FFFFFF"/>
        <w:spacing w:line="360" w:lineRule="auto"/>
        <w:ind w:firstLine="570"/>
        <w:rPr>
          <w:rFonts w:ascii="宋体" w:hAnsi="宋体" w:cs="Helvetica"/>
          <w:sz w:val="28"/>
          <w:szCs w:val="28"/>
        </w:rPr>
      </w:pPr>
      <w:r>
        <w:rPr>
          <w:rFonts w:hint="eastAsia" w:ascii="宋体" w:hAnsi="宋体" w:cs="Helvetica"/>
          <w:sz w:val="28"/>
          <w:szCs w:val="28"/>
        </w:rPr>
        <w:t>采购人按财政部门的相关规定及采购合同的约定进行支付。</w:t>
      </w:r>
    </w:p>
    <w:p>
      <w:pPr>
        <w:pStyle w:val="2"/>
        <w:rPr>
          <w:rFonts w:ascii="宋体" w:hAnsi="宋体" w:cs="Helvetica"/>
          <w:color w:val="FF0000"/>
          <w:sz w:val="28"/>
          <w:szCs w:val="28"/>
        </w:rPr>
      </w:pPr>
      <w:r>
        <w:rPr>
          <w:rFonts w:hint="eastAsia"/>
        </w:rPr>
        <w:t xml:space="preserve">    </w:t>
      </w:r>
      <w:r>
        <w:rPr>
          <w:rFonts w:hint="eastAsia" w:ascii="宋体" w:hAnsi="宋体" w:cs="Helvetica"/>
          <w:sz w:val="28"/>
          <w:szCs w:val="28"/>
        </w:rPr>
        <w:t xml:space="preserve"> </w:t>
      </w:r>
      <w:r>
        <w:rPr>
          <w:rFonts w:hint="eastAsia" w:ascii="宋体" w:hAnsi="宋体" w:cs="Helvetica"/>
          <w:color w:val="FF0000"/>
          <w:sz w:val="28"/>
          <w:szCs w:val="28"/>
        </w:rPr>
        <w:t>二、本项目具体资金支付方式：设备安装调试完成并验收合格，收到正式票据60日内支付合同金额90%，质保期满后60日内支付合同金额10%。</w:t>
      </w:r>
    </w:p>
    <w:p>
      <w:pPr>
        <w:keepNext/>
        <w:keepLines/>
        <w:numPr>
          <w:ilvl w:val="1"/>
          <w:numId w:val="3"/>
        </w:numPr>
        <w:spacing w:line="360" w:lineRule="auto"/>
        <w:jc w:val="left"/>
        <w:outlineLvl w:val="1"/>
        <w:rPr>
          <w:rFonts w:ascii="宋体" w:hAnsi="宋体"/>
          <w:b/>
          <w:bCs/>
          <w:sz w:val="28"/>
          <w:szCs w:val="28"/>
        </w:rPr>
      </w:pPr>
      <w:bookmarkStart w:id="98" w:name="_Toc78191614"/>
      <w:r>
        <w:rPr>
          <w:rFonts w:hint="eastAsia" w:ascii="宋体" w:hAnsi="宋体"/>
          <w:b/>
          <w:bCs/>
          <w:sz w:val="28"/>
          <w:szCs w:val="28"/>
        </w:rPr>
        <w:t>投标纪律要求</w:t>
      </w:r>
      <w:bookmarkEnd w:id="95"/>
      <w:bookmarkEnd w:id="98"/>
    </w:p>
    <w:p>
      <w:pPr>
        <w:keepNext/>
        <w:keepLines/>
        <w:numPr>
          <w:ilvl w:val="2"/>
          <w:numId w:val="3"/>
        </w:numPr>
        <w:spacing w:line="360" w:lineRule="auto"/>
        <w:ind w:left="0" w:firstLine="0"/>
        <w:outlineLvl w:val="2"/>
        <w:rPr>
          <w:rFonts w:ascii="宋体" w:hAnsi="宋体"/>
          <w:b/>
          <w:bCs/>
          <w:sz w:val="28"/>
          <w:szCs w:val="28"/>
        </w:rPr>
      </w:pPr>
      <w:bookmarkStart w:id="99" w:name="_Toc217446075"/>
      <w:r>
        <w:rPr>
          <w:rFonts w:hint="eastAsia" w:ascii="宋体" w:hAnsi="宋体"/>
          <w:b/>
          <w:bCs/>
          <w:sz w:val="28"/>
          <w:szCs w:val="28"/>
        </w:rPr>
        <w:t>投标人不得具有的情形</w:t>
      </w:r>
      <w:bookmarkEnd w:id="99"/>
    </w:p>
    <w:p>
      <w:pPr>
        <w:spacing w:after="180" w:line="360" w:lineRule="auto"/>
        <w:ind w:firstLine="567"/>
        <w:rPr>
          <w:rFonts w:ascii="宋体" w:hAnsi="宋体"/>
          <w:sz w:val="28"/>
          <w:szCs w:val="28"/>
        </w:rPr>
      </w:pPr>
      <w:r>
        <w:rPr>
          <w:rFonts w:hint="eastAsia" w:ascii="宋体" w:hAnsi="宋体"/>
          <w:sz w:val="28"/>
          <w:szCs w:val="28"/>
        </w:rPr>
        <w:t>投标人参加投标不得有下列情形：</w:t>
      </w:r>
    </w:p>
    <w:p>
      <w:pPr>
        <w:numPr>
          <w:ilvl w:val="1"/>
          <w:numId w:val="26"/>
        </w:numPr>
        <w:tabs>
          <w:tab w:val="left" w:pos="1134"/>
        </w:tabs>
        <w:spacing w:line="360" w:lineRule="auto"/>
        <w:ind w:left="420" w:firstLine="147"/>
        <w:rPr>
          <w:rFonts w:ascii="宋体" w:hAnsi="宋体"/>
          <w:sz w:val="28"/>
          <w:szCs w:val="28"/>
        </w:rPr>
      </w:pPr>
      <w:r>
        <w:rPr>
          <w:rFonts w:hint="eastAsia" w:ascii="宋体" w:hAnsi="宋体"/>
          <w:sz w:val="28"/>
          <w:szCs w:val="28"/>
        </w:rPr>
        <w:t>有下列情形之一的，视为投标人串通投标：</w:t>
      </w:r>
    </w:p>
    <w:p>
      <w:pPr>
        <w:tabs>
          <w:tab w:val="left" w:pos="1134"/>
        </w:tabs>
        <w:spacing w:line="360" w:lineRule="auto"/>
        <w:ind w:left="420"/>
        <w:rPr>
          <w:rFonts w:ascii="宋体" w:hAnsi="宋体"/>
          <w:sz w:val="28"/>
          <w:szCs w:val="28"/>
        </w:rPr>
      </w:pPr>
      <w:r>
        <w:rPr>
          <w:rFonts w:hint="eastAsia" w:ascii="宋体" w:hAnsi="宋体"/>
          <w:sz w:val="28"/>
          <w:szCs w:val="28"/>
        </w:rPr>
        <w:t>（一）不同投标人的投标文件由同一单位或者个人编制；</w:t>
      </w:r>
    </w:p>
    <w:p>
      <w:pPr>
        <w:tabs>
          <w:tab w:val="left" w:pos="1134"/>
        </w:tabs>
        <w:spacing w:line="360" w:lineRule="auto"/>
        <w:ind w:left="420"/>
        <w:rPr>
          <w:rFonts w:ascii="宋体" w:hAnsi="宋体"/>
          <w:sz w:val="28"/>
          <w:szCs w:val="28"/>
        </w:rPr>
      </w:pPr>
      <w:r>
        <w:rPr>
          <w:rFonts w:hint="eastAsia" w:ascii="宋体" w:hAnsi="宋体"/>
          <w:sz w:val="28"/>
          <w:szCs w:val="28"/>
        </w:rPr>
        <w:t>（二）不同投标人委托同一单位或者个人办理投标事宜；</w:t>
      </w:r>
    </w:p>
    <w:p>
      <w:pPr>
        <w:tabs>
          <w:tab w:val="left" w:pos="1134"/>
        </w:tabs>
        <w:spacing w:line="360" w:lineRule="auto"/>
        <w:ind w:left="420"/>
        <w:rPr>
          <w:rFonts w:ascii="宋体" w:hAnsi="宋体"/>
          <w:sz w:val="28"/>
          <w:szCs w:val="28"/>
        </w:rPr>
      </w:pPr>
      <w:r>
        <w:rPr>
          <w:rFonts w:hint="eastAsia" w:ascii="宋体" w:hAnsi="宋体"/>
          <w:sz w:val="28"/>
          <w:szCs w:val="28"/>
        </w:rPr>
        <w:t>（三）不同投标人的投标文件载明的项目管理成员或者联系人员为同一人；</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（四）不同投标人的投标文件异常一致或者投标报价呈规律性差异；</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（五）不同投标人的投标文件相互混装；</w:t>
      </w:r>
    </w:p>
    <w:p>
      <w:pPr>
        <w:tabs>
          <w:tab w:val="left" w:pos="1134"/>
        </w:tabs>
        <w:spacing w:line="360" w:lineRule="auto"/>
        <w:ind w:left="420"/>
        <w:rPr>
          <w:rFonts w:ascii="宋体" w:hAnsi="宋体"/>
          <w:sz w:val="28"/>
          <w:szCs w:val="28"/>
        </w:rPr>
      </w:pPr>
      <w:r>
        <w:rPr>
          <w:rFonts w:hint="eastAsia" w:ascii="宋体" w:hAnsi="宋体"/>
          <w:sz w:val="28"/>
          <w:szCs w:val="28"/>
        </w:rPr>
        <w:t>（六）不同投标人的投标保证金从同一单位或者个人的账户转出；</w:t>
      </w:r>
    </w:p>
    <w:p>
      <w:pPr>
        <w:numPr>
          <w:ilvl w:val="1"/>
          <w:numId w:val="26"/>
        </w:numPr>
        <w:tabs>
          <w:tab w:val="left" w:pos="1134"/>
        </w:tabs>
        <w:spacing w:line="360" w:lineRule="auto"/>
        <w:ind w:left="420" w:firstLine="147"/>
        <w:rPr>
          <w:rFonts w:ascii="宋体" w:hAnsi="宋体"/>
          <w:sz w:val="28"/>
          <w:szCs w:val="28"/>
        </w:rPr>
      </w:pPr>
      <w:r>
        <w:rPr>
          <w:rFonts w:hint="eastAsia" w:ascii="宋体" w:hAnsi="宋体"/>
          <w:sz w:val="28"/>
          <w:szCs w:val="28"/>
        </w:rPr>
        <w:t>提供虚假材料谋取中标；</w:t>
      </w:r>
    </w:p>
    <w:p>
      <w:pPr>
        <w:numPr>
          <w:ilvl w:val="1"/>
          <w:numId w:val="26"/>
        </w:numPr>
        <w:tabs>
          <w:tab w:val="left" w:pos="1134"/>
        </w:tabs>
        <w:spacing w:line="360" w:lineRule="auto"/>
        <w:ind w:left="420" w:firstLine="147"/>
        <w:rPr>
          <w:rFonts w:ascii="宋体" w:hAnsi="宋体"/>
          <w:sz w:val="28"/>
          <w:szCs w:val="28"/>
        </w:rPr>
      </w:pPr>
      <w:r>
        <w:rPr>
          <w:rFonts w:hint="eastAsia" w:ascii="宋体" w:hAnsi="宋体"/>
          <w:sz w:val="28"/>
          <w:szCs w:val="28"/>
        </w:rPr>
        <w:t>采取不正当手段诋毁、排挤其他投标人；</w:t>
      </w:r>
    </w:p>
    <w:p>
      <w:pPr>
        <w:numPr>
          <w:ilvl w:val="1"/>
          <w:numId w:val="26"/>
        </w:numPr>
        <w:tabs>
          <w:tab w:val="left" w:pos="1134"/>
        </w:tabs>
        <w:spacing w:line="360" w:lineRule="auto"/>
        <w:ind w:left="420" w:firstLine="147"/>
        <w:rPr>
          <w:rFonts w:ascii="宋体" w:hAnsi="宋体"/>
          <w:sz w:val="28"/>
          <w:szCs w:val="28"/>
        </w:rPr>
      </w:pPr>
      <w:r>
        <w:rPr>
          <w:rFonts w:hint="eastAsia" w:ascii="宋体" w:hAnsi="宋体"/>
          <w:sz w:val="28"/>
          <w:szCs w:val="28"/>
        </w:rPr>
        <w:t>与采购人或</w:t>
      </w:r>
      <w:r>
        <w:rPr>
          <w:rFonts w:hint="eastAsia" w:cs="Arial"/>
          <w:sz w:val="28"/>
          <w:szCs w:val="28"/>
        </w:rPr>
        <w:t>市公资交易中心</w:t>
      </w:r>
      <w:r>
        <w:rPr>
          <w:rFonts w:hint="eastAsia" w:ascii="宋体" w:hAnsi="宋体"/>
          <w:sz w:val="28"/>
          <w:szCs w:val="28"/>
        </w:rPr>
        <w:t>、其他投标人恶意串通；</w:t>
      </w:r>
    </w:p>
    <w:p>
      <w:pPr>
        <w:numPr>
          <w:ilvl w:val="1"/>
          <w:numId w:val="26"/>
        </w:numPr>
        <w:tabs>
          <w:tab w:val="left" w:pos="1134"/>
        </w:tabs>
        <w:spacing w:line="360" w:lineRule="auto"/>
        <w:ind w:left="0" w:firstLine="567"/>
        <w:rPr>
          <w:rFonts w:ascii="宋体" w:hAnsi="宋体"/>
          <w:sz w:val="28"/>
          <w:szCs w:val="28"/>
        </w:rPr>
      </w:pPr>
      <w:r>
        <w:rPr>
          <w:rFonts w:hint="eastAsia" w:ascii="宋体" w:hAnsi="宋体"/>
          <w:sz w:val="28"/>
          <w:szCs w:val="28"/>
        </w:rPr>
        <w:t>向采购人或</w:t>
      </w:r>
      <w:r>
        <w:rPr>
          <w:rFonts w:hint="eastAsia" w:cs="Arial"/>
          <w:sz w:val="28"/>
          <w:szCs w:val="28"/>
        </w:rPr>
        <w:t>市公资交易中心</w:t>
      </w:r>
      <w:r>
        <w:rPr>
          <w:rFonts w:hint="eastAsia" w:ascii="宋体" w:hAnsi="宋体"/>
          <w:sz w:val="28"/>
          <w:szCs w:val="28"/>
        </w:rPr>
        <w:t>、评标委员会成员行贿或者提供其他不正当利益；</w:t>
      </w:r>
    </w:p>
    <w:p>
      <w:pPr>
        <w:numPr>
          <w:ilvl w:val="1"/>
          <w:numId w:val="26"/>
        </w:numPr>
        <w:tabs>
          <w:tab w:val="left" w:pos="1134"/>
        </w:tabs>
        <w:spacing w:line="360" w:lineRule="auto"/>
        <w:ind w:left="420" w:firstLine="147"/>
        <w:rPr>
          <w:rFonts w:ascii="宋体" w:hAnsi="宋体"/>
          <w:sz w:val="28"/>
          <w:szCs w:val="28"/>
        </w:rPr>
      </w:pPr>
      <w:r>
        <w:rPr>
          <w:rFonts w:hint="eastAsia" w:ascii="宋体" w:hAnsi="宋体"/>
          <w:sz w:val="28"/>
          <w:szCs w:val="28"/>
        </w:rPr>
        <w:t>在招标过程中与采购人或</w:t>
      </w:r>
      <w:r>
        <w:rPr>
          <w:rFonts w:hint="eastAsia" w:cs="Arial"/>
          <w:sz w:val="28"/>
          <w:szCs w:val="28"/>
        </w:rPr>
        <w:t>市公资交易中心</w:t>
      </w:r>
      <w:r>
        <w:rPr>
          <w:rFonts w:hint="eastAsia" w:ascii="宋体" w:hAnsi="宋体"/>
          <w:sz w:val="28"/>
          <w:szCs w:val="28"/>
        </w:rPr>
        <w:t>进行协商谈判；</w:t>
      </w:r>
    </w:p>
    <w:p>
      <w:pPr>
        <w:numPr>
          <w:ilvl w:val="1"/>
          <w:numId w:val="26"/>
        </w:numPr>
        <w:tabs>
          <w:tab w:val="left" w:pos="1134"/>
        </w:tabs>
        <w:spacing w:line="360" w:lineRule="auto"/>
        <w:ind w:left="420" w:firstLine="147"/>
        <w:rPr>
          <w:rFonts w:ascii="宋体" w:hAnsi="宋体"/>
          <w:sz w:val="28"/>
          <w:szCs w:val="28"/>
        </w:rPr>
      </w:pPr>
      <w:r>
        <w:rPr>
          <w:rFonts w:hint="eastAsia" w:ascii="宋体" w:hAnsi="宋体"/>
          <w:sz w:val="28"/>
          <w:szCs w:val="28"/>
        </w:rPr>
        <w:t>中标后无正当理由拒不与采购人签订政府采购合同；</w:t>
      </w:r>
    </w:p>
    <w:p>
      <w:pPr>
        <w:numPr>
          <w:ilvl w:val="1"/>
          <w:numId w:val="26"/>
        </w:numPr>
        <w:tabs>
          <w:tab w:val="left" w:pos="1134"/>
        </w:tabs>
        <w:spacing w:line="360" w:lineRule="auto"/>
        <w:ind w:left="420" w:firstLine="147"/>
        <w:rPr>
          <w:rFonts w:ascii="宋体" w:hAnsi="宋体"/>
          <w:sz w:val="28"/>
          <w:szCs w:val="28"/>
        </w:rPr>
      </w:pPr>
      <w:r>
        <w:rPr>
          <w:rFonts w:hint="eastAsia" w:ascii="宋体" w:hAnsi="宋体"/>
          <w:sz w:val="28"/>
          <w:szCs w:val="28"/>
        </w:rPr>
        <w:t>未按照采购文件确定的事项签订政府采购合同；</w:t>
      </w:r>
    </w:p>
    <w:p>
      <w:pPr>
        <w:numPr>
          <w:ilvl w:val="1"/>
          <w:numId w:val="26"/>
        </w:numPr>
        <w:tabs>
          <w:tab w:val="left" w:pos="1134"/>
        </w:tabs>
        <w:spacing w:line="360" w:lineRule="auto"/>
        <w:ind w:left="420" w:firstLine="147"/>
        <w:rPr>
          <w:rFonts w:ascii="宋体" w:hAnsi="宋体"/>
          <w:sz w:val="28"/>
          <w:szCs w:val="28"/>
        </w:rPr>
      </w:pPr>
      <w:r>
        <w:rPr>
          <w:rFonts w:hint="eastAsia" w:ascii="宋体" w:hAnsi="宋体"/>
          <w:sz w:val="28"/>
          <w:szCs w:val="28"/>
        </w:rPr>
        <w:t>将政府采购合同转包或者违规分包；</w:t>
      </w:r>
    </w:p>
    <w:p>
      <w:pPr>
        <w:numPr>
          <w:ilvl w:val="1"/>
          <w:numId w:val="26"/>
        </w:numPr>
        <w:tabs>
          <w:tab w:val="left" w:pos="1134"/>
        </w:tabs>
        <w:spacing w:line="360" w:lineRule="auto"/>
        <w:ind w:left="420" w:firstLine="147"/>
        <w:rPr>
          <w:rFonts w:ascii="宋体" w:hAnsi="宋体"/>
          <w:sz w:val="28"/>
          <w:szCs w:val="28"/>
        </w:rPr>
      </w:pPr>
      <w:r>
        <w:rPr>
          <w:rFonts w:hint="eastAsia" w:ascii="宋体" w:hAnsi="宋体"/>
          <w:sz w:val="28"/>
          <w:szCs w:val="28"/>
        </w:rPr>
        <w:t>提供假冒伪劣产品；</w:t>
      </w:r>
    </w:p>
    <w:p>
      <w:pPr>
        <w:numPr>
          <w:ilvl w:val="1"/>
          <w:numId w:val="26"/>
        </w:numPr>
        <w:tabs>
          <w:tab w:val="left" w:pos="1134"/>
          <w:tab w:val="left" w:pos="1418"/>
        </w:tabs>
        <w:spacing w:line="360" w:lineRule="auto"/>
        <w:ind w:left="420" w:firstLine="147"/>
        <w:rPr>
          <w:rFonts w:ascii="宋体" w:hAnsi="宋体"/>
          <w:sz w:val="28"/>
          <w:szCs w:val="28"/>
        </w:rPr>
      </w:pPr>
      <w:r>
        <w:rPr>
          <w:rFonts w:hint="eastAsia" w:ascii="宋体" w:hAnsi="宋体"/>
          <w:sz w:val="28"/>
          <w:szCs w:val="28"/>
        </w:rPr>
        <w:t>擅自变更、中止或者终止政府采购合同；</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十二、被列入失信被执行人、重大税收违法案件当事人名单、政府采购严重违法失信行为记录名单。参加政府采购活动前三年内，在经营活动中有重大违法记录；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十三、在行贿犯罪信息查询期限内，根据中国裁判文书网（https://wenshu.court.gov.cn）查询结果供应商及其现任法定代表人、主要负责人有行贿犯罪记录；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十四、处于被行政部门禁止参与政府采购活动的期限内；</w:t>
      </w:r>
    </w:p>
    <w:p>
      <w:pPr>
        <w:tabs>
          <w:tab w:val="left" w:pos="1134"/>
        </w:tabs>
        <w:spacing w:line="360" w:lineRule="auto"/>
        <w:ind w:left="567"/>
        <w:rPr>
          <w:rFonts w:ascii="宋体" w:hAnsi="宋体"/>
          <w:sz w:val="28"/>
          <w:szCs w:val="28"/>
        </w:rPr>
      </w:pPr>
      <w:r>
        <w:rPr>
          <w:rFonts w:hint="eastAsia" w:ascii="宋体" w:hAnsi="宋体"/>
          <w:sz w:val="28"/>
          <w:szCs w:val="28"/>
        </w:rPr>
        <w:t>十五、拒绝有关部门的监督检查或者向监督检查部门提供虚假情况；</w:t>
      </w:r>
    </w:p>
    <w:p>
      <w:pPr>
        <w:spacing w:after="180" w:line="360" w:lineRule="auto"/>
        <w:ind w:firstLine="565" w:firstLineChars="202"/>
        <w:rPr>
          <w:rFonts w:ascii="宋体" w:hAnsi="宋体"/>
          <w:sz w:val="28"/>
          <w:szCs w:val="28"/>
        </w:rPr>
      </w:pPr>
      <w:r>
        <w:rPr>
          <w:rFonts w:hint="eastAsia" w:ascii="宋体" w:hAnsi="宋体"/>
          <w:sz w:val="28"/>
          <w:szCs w:val="28"/>
        </w:rPr>
        <w:t>十六、法律法规规定的其他情形。</w:t>
      </w:r>
    </w:p>
    <w:p>
      <w:pPr>
        <w:spacing w:after="180" w:line="360" w:lineRule="auto"/>
        <w:ind w:firstLine="568" w:firstLineChars="202"/>
        <w:rPr>
          <w:rFonts w:ascii="宋体" w:hAnsi="宋体"/>
          <w:b/>
          <w:sz w:val="28"/>
          <w:szCs w:val="28"/>
        </w:rPr>
      </w:pPr>
      <w:r>
        <w:rPr>
          <w:rFonts w:hint="eastAsia" w:ascii="宋体" w:hAnsi="宋体"/>
          <w:b/>
          <w:sz w:val="28"/>
          <w:szCs w:val="28"/>
        </w:rPr>
        <w:t>投标人有上述情形的，按照规定追究法律责任，具备一至十四条情形之一的，同时将认定投标人投标无效或不确定其为中标人，或者取消中标资格或认定中标无效。</w:t>
      </w:r>
    </w:p>
    <w:p>
      <w:pPr>
        <w:keepNext/>
        <w:keepLines/>
        <w:numPr>
          <w:ilvl w:val="2"/>
          <w:numId w:val="3"/>
        </w:numPr>
        <w:spacing w:line="360" w:lineRule="auto"/>
        <w:ind w:left="0" w:firstLine="0"/>
        <w:outlineLvl w:val="2"/>
        <w:rPr>
          <w:rFonts w:ascii="宋体" w:hAnsi="宋体"/>
          <w:b/>
          <w:bCs/>
          <w:sz w:val="28"/>
          <w:szCs w:val="28"/>
        </w:rPr>
      </w:pPr>
      <w:bookmarkStart w:id="100" w:name="_Toc314574786"/>
      <w:r>
        <w:rPr>
          <w:rFonts w:hint="eastAsia" w:ascii="宋体" w:hAnsi="宋体"/>
          <w:b/>
          <w:bCs/>
          <w:sz w:val="28"/>
          <w:szCs w:val="28"/>
        </w:rPr>
        <w:t>保密</w:t>
      </w:r>
      <w:bookmarkEnd w:id="100"/>
    </w:p>
    <w:p>
      <w:pPr>
        <w:numPr>
          <w:ilvl w:val="0"/>
          <w:numId w:val="27"/>
        </w:numPr>
        <w:tabs>
          <w:tab w:val="left" w:pos="0"/>
          <w:tab w:val="left" w:pos="1134"/>
        </w:tabs>
        <w:spacing w:line="360" w:lineRule="auto"/>
        <w:ind w:left="0" w:firstLine="567"/>
        <w:rPr>
          <w:rFonts w:ascii="宋体" w:hAnsi="宋体"/>
          <w:sz w:val="28"/>
          <w:szCs w:val="28"/>
        </w:rPr>
      </w:pPr>
      <w:r>
        <w:rPr>
          <w:rFonts w:hint="eastAsia" w:ascii="宋体" w:hAnsi="宋体"/>
          <w:sz w:val="28"/>
          <w:szCs w:val="28"/>
        </w:rPr>
        <w:t>不得透露有关在系统中成功提交《采购文件获取登记表》的潜在投标人的任何情况。</w:t>
      </w:r>
    </w:p>
    <w:p>
      <w:pPr>
        <w:numPr>
          <w:ilvl w:val="0"/>
          <w:numId w:val="27"/>
        </w:numPr>
        <w:tabs>
          <w:tab w:val="left" w:pos="0"/>
          <w:tab w:val="left" w:pos="1134"/>
        </w:tabs>
        <w:spacing w:line="360" w:lineRule="auto"/>
        <w:ind w:left="0" w:firstLine="567"/>
        <w:rPr>
          <w:rFonts w:ascii="宋体" w:hAnsi="宋体"/>
          <w:sz w:val="28"/>
          <w:szCs w:val="28"/>
        </w:rPr>
      </w:pPr>
      <w:r>
        <w:rPr>
          <w:rFonts w:hint="eastAsia" w:ascii="宋体" w:hAnsi="宋体"/>
          <w:sz w:val="28"/>
          <w:szCs w:val="28"/>
        </w:rPr>
        <w:t>有关投标文件的审查、澄清、评估和比较以及合同授予意向等情况都不得对外透露。</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回避</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在政府采购活动中，采购人员</w:t>
      </w:r>
      <w:r>
        <w:rPr>
          <w:rFonts w:hint="eastAsia" w:cs="Helvetica"/>
          <w:sz w:val="28"/>
          <w:szCs w:val="28"/>
        </w:rPr>
        <w:t>（如</w:t>
      </w:r>
      <w:r>
        <w:rPr>
          <w:rFonts w:hint="eastAsia"/>
          <w:sz w:val="28"/>
          <w:szCs w:val="28"/>
        </w:rPr>
        <w:t>采购人内部负责采购项目的具体经办工作人员或直接分管采购项目的负责人、</w:t>
      </w:r>
      <w:r>
        <w:rPr>
          <w:rFonts w:hint="eastAsia" w:cs="Arial"/>
          <w:sz w:val="28"/>
          <w:szCs w:val="28"/>
        </w:rPr>
        <w:t>市公资交易中心</w:t>
      </w:r>
      <w:r>
        <w:rPr>
          <w:rFonts w:hint="eastAsia"/>
          <w:sz w:val="28"/>
          <w:szCs w:val="28"/>
        </w:rPr>
        <w:t>负责采购项目的具体经办工作人员或直接分管采购活动的负责人等</w:t>
      </w:r>
      <w:r>
        <w:rPr>
          <w:rFonts w:hint="eastAsia" w:cs="Helvetica"/>
          <w:sz w:val="28"/>
          <w:szCs w:val="28"/>
        </w:rPr>
        <w:t>）</w:t>
      </w:r>
      <w:r>
        <w:rPr>
          <w:rFonts w:hint="eastAsia" w:ascii="宋体" w:hAnsi="宋体" w:cs="Helvetica"/>
          <w:sz w:val="28"/>
          <w:szCs w:val="28"/>
        </w:rPr>
        <w:t>及相关人员与</w:t>
      </w:r>
      <w:r>
        <w:rPr>
          <w:rFonts w:hint="eastAsia" w:ascii="宋体" w:hAnsi="宋体"/>
          <w:sz w:val="28"/>
          <w:szCs w:val="28"/>
        </w:rPr>
        <w:t>供应商</w:t>
      </w:r>
      <w:r>
        <w:rPr>
          <w:rFonts w:hint="eastAsia" w:ascii="宋体" w:hAnsi="宋体" w:cs="Helvetica"/>
          <w:sz w:val="28"/>
          <w:szCs w:val="28"/>
        </w:rPr>
        <w:t>有下列利害关系之一的，应当回避：</w:t>
      </w:r>
    </w:p>
    <w:p>
      <w:pPr>
        <w:shd w:val="clear" w:color="auto" w:fill="FFFFFF"/>
        <w:spacing w:line="360" w:lineRule="auto"/>
        <w:ind w:left="708" w:hanging="708" w:hangingChars="253"/>
        <w:rPr>
          <w:rFonts w:ascii="宋体" w:hAnsi="宋体" w:cs="Helvetica"/>
          <w:sz w:val="28"/>
          <w:szCs w:val="28"/>
        </w:rPr>
      </w:pPr>
      <w:r>
        <w:rPr>
          <w:rFonts w:hint="eastAsia" w:ascii="宋体" w:hAnsi="宋体" w:cs="Helvetica"/>
          <w:sz w:val="28"/>
          <w:szCs w:val="28"/>
        </w:rPr>
        <w:t>　　（一）参加采购活动前3年内与</w:t>
      </w:r>
      <w:r>
        <w:rPr>
          <w:rFonts w:hint="eastAsia" w:ascii="宋体" w:hAnsi="宋体"/>
          <w:sz w:val="28"/>
          <w:szCs w:val="28"/>
        </w:rPr>
        <w:t>供应商</w:t>
      </w:r>
      <w:r>
        <w:rPr>
          <w:rFonts w:hint="eastAsia" w:ascii="宋体" w:hAnsi="宋体" w:cs="Helvetica"/>
          <w:sz w:val="28"/>
          <w:szCs w:val="28"/>
        </w:rPr>
        <w:t>存在劳动关系；</w:t>
      </w:r>
    </w:p>
    <w:p>
      <w:pPr>
        <w:shd w:val="clear" w:color="auto" w:fill="FFFFFF"/>
        <w:spacing w:line="360" w:lineRule="auto"/>
        <w:rPr>
          <w:rFonts w:ascii="宋体" w:hAnsi="宋体" w:cs="Helvetica"/>
          <w:sz w:val="28"/>
          <w:szCs w:val="28"/>
        </w:rPr>
      </w:pPr>
      <w:r>
        <w:rPr>
          <w:rFonts w:hint="eastAsia" w:ascii="宋体" w:hAnsi="宋体" w:cs="Helvetica"/>
          <w:sz w:val="28"/>
          <w:szCs w:val="28"/>
        </w:rPr>
        <w:t>　　（二）参加采购活动前3年内担任</w:t>
      </w:r>
      <w:r>
        <w:rPr>
          <w:rFonts w:hint="eastAsia" w:ascii="宋体" w:hAnsi="宋体"/>
          <w:sz w:val="28"/>
          <w:szCs w:val="28"/>
        </w:rPr>
        <w:t>供应商</w:t>
      </w:r>
      <w:r>
        <w:rPr>
          <w:rFonts w:hint="eastAsia" w:ascii="宋体" w:hAnsi="宋体" w:cs="Helvetica"/>
          <w:sz w:val="28"/>
          <w:szCs w:val="28"/>
        </w:rPr>
        <w:t>的董事、监事；</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（三）参加采购活动前3年内是</w:t>
      </w:r>
      <w:r>
        <w:rPr>
          <w:rFonts w:hint="eastAsia" w:ascii="宋体" w:hAnsi="宋体"/>
          <w:sz w:val="28"/>
          <w:szCs w:val="28"/>
        </w:rPr>
        <w:t>供应商</w:t>
      </w:r>
      <w:r>
        <w:rPr>
          <w:rFonts w:hint="eastAsia" w:ascii="宋体" w:hAnsi="宋体" w:cs="Helvetica"/>
          <w:sz w:val="28"/>
          <w:szCs w:val="28"/>
        </w:rPr>
        <w:t>的控股股东或者实际控制人；</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（四）与</w:t>
      </w:r>
      <w:r>
        <w:rPr>
          <w:rFonts w:hint="eastAsia" w:ascii="宋体" w:hAnsi="宋体"/>
          <w:sz w:val="28"/>
          <w:szCs w:val="28"/>
        </w:rPr>
        <w:t>供应商</w:t>
      </w:r>
      <w:r>
        <w:rPr>
          <w:rFonts w:hint="eastAsia" w:ascii="宋体" w:hAnsi="宋体" w:cs="Helvetica"/>
          <w:sz w:val="28"/>
          <w:szCs w:val="28"/>
        </w:rPr>
        <w:t>的法定代表人或者负责人有夫妻、直系血亲、三代以内旁系血亲或者近姻亲关系；</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（五）与</w:t>
      </w:r>
      <w:r>
        <w:rPr>
          <w:rFonts w:hint="eastAsia" w:ascii="宋体" w:hAnsi="宋体"/>
          <w:sz w:val="28"/>
          <w:szCs w:val="28"/>
        </w:rPr>
        <w:t>供应商</w:t>
      </w:r>
      <w:r>
        <w:rPr>
          <w:rFonts w:hint="eastAsia" w:ascii="宋体" w:hAnsi="宋体" w:cs="Helvetica"/>
          <w:sz w:val="28"/>
          <w:szCs w:val="28"/>
        </w:rPr>
        <w:t>有其他可能影响政府采购活动公平、公正进行的关系。</w:t>
      </w:r>
    </w:p>
    <w:p>
      <w:pPr>
        <w:shd w:val="clear" w:color="auto" w:fill="FFFFFF"/>
        <w:spacing w:line="360" w:lineRule="auto"/>
        <w:ind w:firstLine="570"/>
        <w:rPr>
          <w:rFonts w:ascii="宋体" w:hAnsi="宋体" w:cs="Helvetica"/>
          <w:sz w:val="28"/>
          <w:szCs w:val="28"/>
        </w:rPr>
      </w:pPr>
      <w:r>
        <w:rPr>
          <w:rFonts w:hint="eastAsia" w:ascii="宋体" w:hAnsi="宋体"/>
          <w:sz w:val="28"/>
          <w:szCs w:val="28"/>
        </w:rPr>
        <w:t>供应商</w:t>
      </w:r>
      <w:r>
        <w:rPr>
          <w:rFonts w:hint="eastAsia" w:ascii="宋体" w:hAnsi="宋体" w:cs="Helvetica"/>
          <w:sz w:val="28"/>
          <w:szCs w:val="28"/>
        </w:rPr>
        <w:t>认为采购人员及相关人员与其他</w:t>
      </w:r>
      <w:r>
        <w:rPr>
          <w:rFonts w:hint="eastAsia" w:ascii="宋体" w:hAnsi="宋体"/>
          <w:sz w:val="28"/>
          <w:szCs w:val="28"/>
        </w:rPr>
        <w:t>供应商</w:t>
      </w:r>
      <w:r>
        <w:rPr>
          <w:rFonts w:hint="eastAsia" w:ascii="宋体" w:hAnsi="宋体" w:cs="Helvetica"/>
          <w:sz w:val="28"/>
          <w:szCs w:val="28"/>
        </w:rPr>
        <w:t>有利害关系的，可以向采购人或者</w:t>
      </w:r>
      <w:r>
        <w:rPr>
          <w:rFonts w:hint="eastAsia" w:ascii="宋体" w:hAnsi="宋体" w:cs="Arial"/>
          <w:sz w:val="28"/>
          <w:szCs w:val="28"/>
        </w:rPr>
        <w:t>采购代理机构</w:t>
      </w:r>
      <w:r>
        <w:rPr>
          <w:rFonts w:hint="eastAsia" w:ascii="宋体" w:hAnsi="宋体" w:cs="Helvetica"/>
          <w:sz w:val="28"/>
          <w:szCs w:val="28"/>
        </w:rPr>
        <w:t>书面提出回避申请，并说明理由。采购人或者</w:t>
      </w:r>
      <w:r>
        <w:rPr>
          <w:rFonts w:hint="eastAsia" w:ascii="宋体" w:hAnsi="宋体" w:cs="Arial"/>
          <w:sz w:val="28"/>
          <w:szCs w:val="28"/>
        </w:rPr>
        <w:t>采购代理机构</w:t>
      </w:r>
      <w:r>
        <w:rPr>
          <w:rFonts w:hint="eastAsia" w:ascii="宋体" w:hAnsi="宋体" w:cs="Helvetica"/>
          <w:sz w:val="28"/>
          <w:szCs w:val="28"/>
        </w:rPr>
        <w:t>应当及时询问被申请回避人员，有利害关系的被申请回避人员应当回避。</w:t>
      </w:r>
    </w:p>
    <w:p>
      <w:pPr>
        <w:keepNext/>
        <w:keepLines/>
        <w:numPr>
          <w:ilvl w:val="1"/>
          <w:numId w:val="3"/>
        </w:numPr>
        <w:spacing w:line="360" w:lineRule="auto"/>
        <w:jc w:val="left"/>
        <w:outlineLvl w:val="1"/>
        <w:rPr>
          <w:rFonts w:ascii="宋体" w:hAnsi="宋体"/>
          <w:b/>
          <w:bCs/>
          <w:sz w:val="28"/>
          <w:szCs w:val="28"/>
        </w:rPr>
      </w:pPr>
      <w:bookmarkStart w:id="101" w:name="_Toc78191615"/>
      <w:bookmarkStart w:id="102" w:name="_Toc217446078"/>
      <w:r>
        <w:rPr>
          <w:rFonts w:hint="eastAsia" w:ascii="宋体" w:hAnsi="宋体"/>
          <w:b/>
          <w:bCs/>
          <w:sz w:val="28"/>
          <w:szCs w:val="28"/>
        </w:rPr>
        <w:t>询问、质疑和投诉</w:t>
      </w:r>
      <w:bookmarkEnd w:id="101"/>
      <w:bookmarkEnd w:id="102"/>
      <w:bookmarkStart w:id="103" w:name="_Toc217446079"/>
    </w:p>
    <w:bookmarkEnd w:id="96"/>
    <w:bookmarkEnd w:id="97"/>
    <w:bookmarkEnd w:id="103"/>
    <w:p>
      <w:pPr>
        <w:numPr>
          <w:ilvl w:val="0"/>
          <w:numId w:val="28"/>
        </w:numPr>
        <w:spacing w:line="360" w:lineRule="auto"/>
        <w:ind w:left="0" w:firstLine="567"/>
        <w:jc w:val="left"/>
        <w:rPr>
          <w:sz w:val="28"/>
          <w:szCs w:val="28"/>
        </w:rPr>
      </w:pPr>
      <w:r>
        <w:rPr>
          <w:rFonts w:hint="eastAsia"/>
          <w:sz w:val="28"/>
          <w:szCs w:val="28"/>
        </w:rPr>
        <w:t>询问、质疑、投诉的接收和处理严格按照《中华人民共和国政府采购法》、《中华人民共和国政府采购法实施条例》《中华人民共和国财政部货物和服务招投标管理办法》（财政部第</w:t>
      </w:r>
      <w:r>
        <w:rPr>
          <w:sz w:val="28"/>
          <w:szCs w:val="28"/>
        </w:rPr>
        <w:t>87</w:t>
      </w:r>
      <w:r>
        <w:rPr>
          <w:rFonts w:hint="eastAsia"/>
          <w:sz w:val="28"/>
          <w:szCs w:val="28"/>
        </w:rPr>
        <w:t>号令）和《政府采购质疑和投诉办法》（财政部</w:t>
      </w:r>
      <w:r>
        <w:rPr>
          <w:sz w:val="28"/>
          <w:szCs w:val="28"/>
        </w:rPr>
        <w:t>94</w:t>
      </w:r>
      <w:r>
        <w:rPr>
          <w:rFonts w:hint="eastAsia"/>
          <w:sz w:val="28"/>
          <w:szCs w:val="28"/>
        </w:rPr>
        <w:t>号令）的规定办理。</w:t>
      </w:r>
    </w:p>
    <w:p>
      <w:pPr>
        <w:numPr>
          <w:ilvl w:val="0"/>
          <w:numId w:val="28"/>
        </w:numPr>
        <w:spacing w:line="360" w:lineRule="auto"/>
        <w:ind w:left="0" w:firstLine="567"/>
        <w:jc w:val="left"/>
        <w:rPr>
          <w:sz w:val="28"/>
          <w:szCs w:val="28"/>
        </w:rPr>
      </w:pPr>
      <w:r>
        <w:rPr>
          <w:rFonts w:hint="eastAsia"/>
          <w:sz w:val="28"/>
          <w:szCs w:val="28"/>
        </w:rPr>
        <w:t>供应商</w:t>
      </w:r>
      <w:r>
        <w:rPr>
          <w:rFonts w:hint="eastAsia" w:ascii="宋体" w:hAnsi="宋体"/>
          <w:sz w:val="28"/>
          <w:szCs w:val="28"/>
        </w:rPr>
        <w:t>询问、质疑的对象</w:t>
      </w:r>
    </w:p>
    <w:p>
      <w:pPr>
        <w:numPr>
          <w:ilvl w:val="1"/>
          <w:numId w:val="29"/>
        </w:numPr>
        <w:tabs>
          <w:tab w:val="left" w:pos="0"/>
          <w:tab w:val="left" w:pos="1276"/>
        </w:tabs>
        <w:spacing w:after="120" w:line="360" w:lineRule="auto"/>
        <w:ind w:left="0" w:firstLine="567"/>
        <w:rPr>
          <w:rFonts w:ascii="宋体" w:hAnsi="宋体"/>
          <w:sz w:val="28"/>
          <w:szCs w:val="28"/>
        </w:rPr>
      </w:pPr>
      <w:r>
        <w:rPr>
          <w:rFonts w:hint="eastAsia"/>
          <w:sz w:val="28"/>
          <w:szCs w:val="28"/>
        </w:rPr>
        <w:t>供应商</w:t>
      </w:r>
      <w:r>
        <w:rPr>
          <w:rFonts w:hint="eastAsia" w:ascii="宋体" w:hAnsi="宋体"/>
          <w:sz w:val="28"/>
          <w:szCs w:val="28"/>
        </w:rPr>
        <w:t>对招标文件中</w:t>
      </w:r>
      <w:r>
        <w:rPr>
          <w:rFonts w:hint="eastAsia"/>
          <w:sz w:val="28"/>
          <w:szCs w:val="28"/>
        </w:rPr>
        <w:t>供应商</w:t>
      </w:r>
      <w:r>
        <w:rPr>
          <w:rFonts w:hint="eastAsia" w:ascii="宋体" w:hAnsi="宋体"/>
          <w:sz w:val="28"/>
          <w:szCs w:val="28"/>
        </w:rPr>
        <w:t>参加本次政府采购活动应当具备的条件，招标项目技术、服务、商务及其他要求，</w:t>
      </w:r>
      <w:r>
        <w:rPr>
          <w:rFonts w:hint="eastAsia" w:ascii="宋体" w:hAnsi="宋体"/>
          <w:color w:val="000000" w:themeColor="text1"/>
          <w:sz w:val="28"/>
          <w:szCs w:val="28"/>
          <w:lang w:val="zh-CN"/>
          <w14:textFill>
            <w14:solidFill>
              <w14:schemeClr w14:val="tx1"/>
            </w14:solidFill>
          </w14:textFill>
        </w:rPr>
        <w:t>投标资料造假或虚假承诺</w:t>
      </w:r>
      <w:r>
        <w:rPr>
          <w:rFonts w:hint="eastAsia" w:ascii="宋体" w:hAnsi="宋体"/>
          <w:sz w:val="28"/>
          <w:szCs w:val="28"/>
        </w:rPr>
        <w:t>，和中标结果中关于资格审查提出询问或质疑的，应通过政府采购</w:t>
      </w:r>
      <w:r>
        <w:rPr>
          <w:rFonts w:ascii="宋体" w:hAnsi="宋体"/>
          <w:sz w:val="28"/>
          <w:szCs w:val="28"/>
        </w:rPr>
        <w:t>云平台</w:t>
      </w:r>
      <w:r>
        <w:rPr>
          <w:rFonts w:hint="eastAsia" w:ascii="宋体" w:hAnsi="宋体"/>
          <w:sz w:val="28"/>
          <w:szCs w:val="28"/>
        </w:rPr>
        <w:t>向采购人提出；</w:t>
      </w:r>
    </w:p>
    <w:p>
      <w:pPr>
        <w:numPr>
          <w:ilvl w:val="1"/>
          <w:numId w:val="29"/>
        </w:numPr>
        <w:tabs>
          <w:tab w:val="left" w:pos="1276"/>
        </w:tabs>
        <w:spacing w:after="120" w:line="360" w:lineRule="auto"/>
        <w:ind w:left="0" w:firstLine="567"/>
        <w:rPr>
          <w:rFonts w:ascii="宋体" w:hAnsi="宋体"/>
          <w:sz w:val="28"/>
          <w:szCs w:val="28"/>
        </w:rPr>
      </w:pPr>
      <w:r>
        <w:rPr>
          <w:rFonts w:hint="eastAsia"/>
          <w:sz w:val="28"/>
          <w:szCs w:val="28"/>
        </w:rPr>
        <w:t>供应商对除上述招标文件中的其他内容，采购过程及中标结果中（除资格审查）</w:t>
      </w:r>
      <w:r>
        <w:rPr>
          <w:rFonts w:hint="eastAsia" w:ascii="宋体" w:hAnsi="宋体"/>
          <w:sz w:val="28"/>
          <w:szCs w:val="28"/>
        </w:rPr>
        <w:t>提出询问或质疑的，应通过政府采购</w:t>
      </w:r>
      <w:r>
        <w:rPr>
          <w:rFonts w:ascii="宋体" w:hAnsi="宋体"/>
          <w:sz w:val="28"/>
          <w:szCs w:val="28"/>
        </w:rPr>
        <w:t>云平台</w:t>
      </w:r>
      <w:r>
        <w:rPr>
          <w:rFonts w:hint="eastAsia" w:ascii="宋体" w:hAnsi="宋体"/>
          <w:sz w:val="28"/>
          <w:szCs w:val="28"/>
        </w:rPr>
        <w:t>向</w:t>
      </w:r>
      <w:r>
        <w:rPr>
          <w:rFonts w:hint="eastAsia" w:ascii="宋体" w:hAnsi="宋体" w:cs="Arial"/>
          <w:sz w:val="28"/>
          <w:szCs w:val="28"/>
        </w:rPr>
        <w:t>市公资交易中心</w:t>
      </w:r>
      <w:r>
        <w:rPr>
          <w:rFonts w:hint="eastAsia" w:ascii="宋体" w:hAnsi="宋体"/>
          <w:sz w:val="28"/>
          <w:szCs w:val="28"/>
        </w:rPr>
        <w:t>提出。</w:t>
      </w:r>
    </w:p>
    <w:p>
      <w:pPr>
        <w:numPr>
          <w:ilvl w:val="0"/>
          <w:numId w:val="28"/>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numPr>
          <w:ilvl w:val="0"/>
          <w:numId w:val="28"/>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供应商应在法定质疑期内一次性提出针对同一采购程序环节的质疑。</w:t>
      </w:r>
    </w:p>
    <w:p>
      <w:pPr>
        <w:numPr>
          <w:ilvl w:val="0"/>
          <w:numId w:val="28"/>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供应商提出质疑时应当准备的资料</w:t>
      </w:r>
    </w:p>
    <w:p>
      <w:pPr>
        <w:pStyle w:val="41"/>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（一）质疑书正本1份；</w:t>
      </w:r>
    </w:p>
    <w:p>
      <w:pPr>
        <w:pStyle w:val="41"/>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（二）法定代表人授权委托书1份（委托代理人办理质疑事宜的需提供）；</w:t>
      </w:r>
    </w:p>
    <w:p>
      <w:pPr>
        <w:pStyle w:val="41"/>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（三）营业执照或法人证书复印件1份（加盖公章）；</w:t>
      </w:r>
    </w:p>
    <w:p>
      <w:pPr>
        <w:pStyle w:val="41"/>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（四）法定代表人身份证复印件1份；</w:t>
      </w:r>
    </w:p>
    <w:p>
      <w:pPr>
        <w:pStyle w:val="41"/>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（五）委托代理人身份证复印件1份（委托代理人办理质疑事宜的需提供）；</w:t>
      </w:r>
    </w:p>
    <w:p>
      <w:pPr>
        <w:pStyle w:val="41"/>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（六）针对质疑事项必要的证明材料。</w:t>
      </w:r>
    </w:p>
    <w:p>
      <w:pPr>
        <w:numPr>
          <w:ilvl w:val="0"/>
          <w:numId w:val="28"/>
        </w:numPr>
        <w:tabs>
          <w:tab w:val="left" w:pos="1134"/>
        </w:tabs>
        <w:spacing w:line="360" w:lineRule="auto"/>
        <w:ind w:left="0" w:firstLine="567"/>
        <w:rPr>
          <w:rFonts w:ascii="宋体" w:hAnsi="宋体"/>
          <w:sz w:val="28"/>
          <w:szCs w:val="28"/>
        </w:rPr>
      </w:pPr>
      <w:r>
        <w:rPr>
          <w:rFonts w:hint="eastAsia" w:ascii="宋体" w:hAnsi="宋体"/>
          <w:sz w:val="28"/>
          <w:szCs w:val="28"/>
        </w:rPr>
        <w:t>供应商对采购人或市公资交易中心的质疑答复不满意，或者采购人或市公资交易中心未在规定期限内作出答复的，供应商可以在答复期满后15个工作日内向同级财政部门提起投诉。</w:t>
      </w:r>
    </w:p>
    <w:p>
      <w:pPr>
        <w:keepNext/>
        <w:keepLines/>
        <w:numPr>
          <w:ilvl w:val="1"/>
          <w:numId w:val="3"/>
        </w:numPr>
        <w:spacing w:before="260" w:line="360" w:lineRule="auto"/>
        <w:jc w:val="left"/>
        <w:outlineLvl w:val="1"/>
        <w:rPr>
          <w:rFonts w:ascii="宋体" w:hAnsi="宋体"/>
          <w:b/>
          <w:bCs/>
          <w:sz w:val="28"/>
          <w:szCs w:val="28"/>
        </w:rPr>
      </w:pPr>
      <w:bookmarkStart w:id="104" w:name="_Toc78191616"/>
      <w:r>
        <w:rPr>
          <w:rFonts w:hint="eastAsia" w:ascii="宋体" w:hAnsi="宋体"/>
          <w:b/>
          <w:bCs/>
          <w:sz w:val="28"/>
          <w:szCs w:val="28"/>
        </w:rPr>
        <w:t>中小企业政府采购信用融资</w:t>
      </w:r>
      <w:bookmarkEnd w:id="104"/>
    </w:p>
    <w:p>
      <w:pPr>
        <w:numPr>
          <w:ilvl w:val="0"/>
          <w:numId w:val="30"/>
        </w:numPr>
        <w:tabs>
          <w:tab w:val="left" w:pos="1134"/>
        </w:tabs>
        <w:spacing w:line="360" w:lineRule="auto"/>
        <w:ind w:left="0" w:firstLine="567"/>
        <w:rPr>
          <w:rFonts w:ascii="宋体" w:hAnsi="宋体"/>
          <w:sz w:val="28"/>
          <w:szCs w:val="28"/>
        </w:rPr>
      </w:pPr>
      <w:r>
        <w:rPr>
          <w:rFonts w:hint="eastAsia" w:ascii="宋体" w:hAnsi="宋体"/>
          <w:sz w:val="28"/>
          <w:szCs w:val="28"/>
        </w:rPr>
        <w:t>参与本次招标活动中标的中小企业投标人无需提供财产抵押或第三方担保，凭借政府采购合同可向融资机构申请融资。</w:t>
      </w:r>
    </w:p>
    <w:p>
      <w:pPr>
        <w:numPr>
          <w:ilvl w:val="0"/>
          <w:numId w:val="30"/>
        </w:numPr>
        <w:tabs>
          <w:tab w:val="left" w:pos="1134"/>
        </w:tabs>
        <w:spacing w:line="360" w:lineRule="auto"/>
        <w:ind w:left="0" w:firstLine="567"/>
        <w:rPr>
          <w:rFonts w:ascii="宋体" w:hAnsi="宋体"/>
          <w:sz w:val="28"/>
          <w:szCs w:val="28"/>
        </w:rPr>
      </w:pPr>
      <w:r>
        <w:rPr>
          <w:rFonts w:hint="eastAsia" w:ascii="宋体" w:hAnsi="宋体"/>
          <w:color w:val="000000" w:themeColor="text1"/>
          <w:sz w:val="28"/>
          <w:szCs w:val="28"/>
          <w14:textFill>
            <w14:solidFill>
              <w14:schemeClr w14:val="tx1"/>
            </w14:solidFill>
          </w14:textFill>
        </w:rPr>
        <w:t>具体内容详见成都市公共资源交易服务中心网（http://www.cdggzy.com/）都江堰市分中心“通知公告”栏《都江堰市财政局 中国人民银行都江堰市支行关于转发〈成都市中小企业政府采购信用融资暂行办法〉的通知》（都财发[2019]88号）和《都江堰市财政局 中国人民银行都江堰市支行关于转发〈都江堰市支持中小企业政府采购信用融资实施方案〉的通知》（都财发[2019]92号）</w:t>
      </w:r>
      <w:r>
        <w:rPr>
          <w:rFonts w:hint="eastAsia" w:ascii="宋体" w:hAnsi="宋体"/>
          <w:sz w:val="28"/>
          <w:szCs w:val="28"/>
        </w:rPr>
        <w:t>。</w:t>
      </w: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rPr>
          <w:rFonts w:ascii="宋体" w:hAnsi="宋体"/>
          <w:sz w:val="28"/>
          <w:szCs w:val="28"/>
        </w:rPr>
      </w:pPr>
      <w:r>
        <w:rPr>
          <w:rFonts w:ascii="宋体" w:hAnsi="宋体"/>
          <w:sz w:val="28"/>
          <w:szCs w:val="28"/>
        </w:rPr>
        <w:br w:type="page"/>
      </w:r>
    </w:p>
    <w:p>
      <w:pPr>
        <w:pStyle w:val="2"/>
      </w:pPr>
    </w:p>
    <w:p>
      <w:pPr>
        <w:tabs>
          <w:tab w:val="left" w:pos="1276"/>
        </w:tabs>
        <w:spacing w:line="360" w:lineRule="auto"/>
        <w:rPr>
          <w:rFonts w:ascii="宋体" w:hAnsi="宋体"/>
          <w:sz w:val="28"/>
          <w:szCs w:val="28"/>
        </w:rPr>
      </w:pPr>
    </w:p>
    <w:p>
      <w:pPr>
        <w:keepNext/>
        <w:keepLines/>
        <w:numPr>
          <w:ilvl w:val="0"/>
          <w:numId w:val="3"/>
        </w:numPr>
        <w:spacing w:before="340" w:after="330" w:line="400" w:lineRule="exact"/>
        <w:ind w:left="567"/>
        <w:jc w:val="center"/>
        <w:outlineLvl w:val="0"/>
        <w:rPr>
          <w:rFonts w:ascii="宋体" w:hAnsi="宋体"/>
          <w:b/>
          <w:bCs/>
          <w:spacing w:val="-20"/>
          <w:kern w:val="44"/>
          <w:sz w:val="32"/>
          <w:szCs w:val="32"/>
        </w:rPr>
      </w:pPr>
      <w:bookmarkStart w:id="105" w:name="_Toc316292052"/>
      <w:bookmarkEnd w:id="105"/>
      <w:bookmarkStart w:id="106" w:name="_Toc316292050"/>
      <w:bookmarkEnd w:id="106"/>
      <w:bookmarkStart w:id="107" w:name="_Toc316292051"/>
      <w:bookmarkEnd w:id="107"/>
      <w:bookmarkStart w:id="108" w:name="_Toc316292048"/>
      <w:bookmarkEnd w:id="108"/>
      <w:bookmarkStart w:id="109" w:name="_Toc315871050"/>
      <w:bookmarkEnd w:id="109"/>
      <w:bookmarkStart w:id="110" w:name="_Toc315871047"/>
      <w:bookmarkEnd w:id="110"/>
      <w:bookmarkStart w:id="111" w:name="_Toc315871048"/>
      <w:bookmarkEnd w:id="111"/>
      <w:bookmarkStart w:id="112" w:name="_Toc315871045"/>
      <w:bookmarkEnd w:id="112"/>
      <w:bookmarkStart w:id="113" w:name="_Toc315871046"/>
      <w:bookmarkEnd w:id="113"/>
      <w:bookmarkStart w:id="114" w:name="_Toc316292049"/>
      <w:bookmarkEnd w:id="114"/>
      <w:bookmarkStart w:id="115" w:name="_Toc315871049"/>
      <w:bookmarkEnd w:id="115"/>
      <w:bookmarkStart w:id="116" w:name="_Toc78191617"/>
      <w:r>
        <w:rPr>
          <w:rFonts w:hint="eastAsia" w:ascii="宋体" w:hAnsi="宋体"/>
          <w:b/>
          <w:bCs/>
          <w:spacing w:val="-20"/>
          <w:kern w:val="44"/>
          <w:sz w:val="32"/>
          <w:szCs w:val="32"/>
        </w:rPr>
        <w:t>投标文件格式</w:t>
      </w:r>
      <w:bookmarkEnd w:id="116"/>
    </w:p>
    <w:p>
      <w:pPr>
        <w:keepNext/>
        <w:keepLines/>
        <w:numPr>
          <w:ilvl w:val="1"/>
          <w:numId w:val="3"/>
        </w:numPr>
        <w:spacing w:before="260" w:after="260" w:line="360" w:lineRule="auto"/>
        <w:jc w:val="left"/>
        <w:outlineLvl w:val="1"/>
        <w:rPr>
          <w:rFonts w:ascii="宋体" w:hAnsi="宋体"/>
          <w:b/>
          <w:bCs/>
          <w:sz w:val="28"/>
          <w:szCs w:val="28"/>
        </w:rPr>
      </w:pPr>
      <w:bookmarkStart w:id="117" w:name="_Toc78191618"/>
      <w:r>
        <w:rPr>
          <w:rFonts w:hint="eastAsia" w:ascii="宋体" w:hAnsi="宋体"/>
          <w:b/>
          <w:bCs/>
          <w:sz w:val="28"/>
          <w:szCs w:val="28"/>
        </w:rPr>
        <w:t>投标文件封面格式</w:t>
      </w:r>
      <w:bookmarkEnd w:id="117"/>
    </w:p>
    <w:p>
      <w:pPr>
        <w:spacing w:line="360" w:lineRule="auto"/>
        <w:rPr>
          <w:rFonts w:ascii="宋体" w:hAnsi="宋体"/>
          <w:bCs/>
          <w:szCs w:val="21"/>
        </w:rPr>
      </w:pPr>
    </w:p>
    <w:p>
      <w:pPr>
        <w:spacing w:line="360" w:lineRule="auto"/>
        <w:rPr>
          <w:rFonts w:ascii="宋体" w:hAnsi="宋体"/>
          <w:bCs/>
          <w:szCs w:val="21"/>
        </w:rPr>
      </w:pPr>
    </w:p>
    <w:p>
      <w:pPr>
        <w:spacing w:line="360" w:lineRule="auto"/>
        <w:jc w:val="right"/>
        <w:rPr>
          <w:rFonts w:ascii="宋体" w:hAnsi="宋体"/>
        </w:rPr>
      </w:pPr>
    </w:p>
    <w:p>
      <w:pPr>
        <w:spacing w:line="360" w:lineRule="auto"/>
        <w:jc w:val="center"/>
        <w:rPr>
          <w:rFonts w:ascii="宋体" w:hAnsi="宋体"/>
          <w:spacing w:val="78"/>
          <w:sz w:val="96"/>
          <w:szCs w:val="120"/>
        </w:rPr>
      </w:pPr>
      <w:r>
        <w:rPr>
          <w:rFonts w:hint="eastAsia" w:ascii="宋体" w:hAnsi="宋体"/>
          <w:spacing w:val="78"/>
          <w:sz w:val="96"/>
          <w:szCs w:val="120"/>
        </w:rPr>
        <w:t>投标文件</w:t>
      </w:r>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ind w:left="1751" w:hanging="1751" w:hangingChars="545"/>
        <w:rPr>
          <w:rFonts w:ascii="宋体" w:hAnsi="宋体"/>
          <w:b/>
          <w:bCs/>
          <w:sz w:val="32"/>
          <w:szCs w:val="32"/>
        </w:rPr>
      </w:pPr>
      <w:r>
        <w:rPr>
          <w:rFonts w:hint="eastAsia" w:ascii="宋体" w:hAnsi="宋体"/>
          <w:b/>
          <w:bCs/>
          <w:sz w:val="32"/>
          <w:szCs w:val="32"/>
        </w:rPr>
        <w:t>项目名称：XXXXX采购项目</w:t>
      </w:r>
    </w:p>
    <w:p>
      <w:pPr>
        <w:spacing w:line="360" w:lineRule="auto"/>
        <w:rPr>
          <w:rFonts w:ascii="宋体" w:hAnsi="宋体"/>
          <w:b/>
          <w:sz w:val="32"/>
          <w:szCs w:val="32"/>
          <w:u w:val="single"/>
        </w:rPr>
      </w:pPr>
      <w:r>
        <w:rPr>
          <w:rFonts w:hint="eastAsia" w:ascii="宋体" w:hAnsi="宋体"/>
          <w:b/>
          <w:bCs/>
          <w:sz w:val="32"/>
          <w:szCs w:val="32"/>
        </w:rPr>
        <w:t>项目编号：JY3202</w:t>
      </w:r>
      <w:r>
        <w:rPr>
          <w:rFonts w:hint="eastAsia" w:ascii="宋体" w:hAnsi="宋体"/>
          <w:b/>
          <w:bCs/>
          <w:sz w:val="32"/>
          <w:szCs w:val="32"/>
          <w:u w:val="single"/>
        </w:rPr>
        <w:t xml:space="preserve">       </w:t>
      </w:r>
      <w:r>
        <w:rPr>
          <w:rFonts w:hint="eastAsia" w:ascii="宋体" w:hAnsi="宋体"/>
          <w:b/>
          <w:bCs/>
          <w:sz w:val="32"/>
          <w:szCs w:val="32"/>
        </w:rPr>
        <w:t>号</w:t>
      </w: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ind w:firstLine="630" w:firstLineChars="196"/>
        <w:rPr>
          <w:rFonts w:ascii="宋体" w:hAnsi="宋体"/>
          <w:b/>
          <w:bCs/>
          <w:sz w:val="32"/>
          <w:szCs w:val="32"/>
        </w:rPr>
      </w:pPr>
      <w:r>
        <w:rPr>
          <w:rFonts w:hint="eastAsia" w:ascii="宋体" w:hAnsi="宋体"/>
          <w:b/>
          <w:bCs/>
          <w:sz w:val="32"/>
          <w:szCs w:val="32"/>
        </w:rPr>
        <w:t>投标人名称：XXXX</w:t>
      </w:r>
    </w:p>
    <w:p>
      <w:pPr>
        <w:spacing w:line="360" w:lineRule="auto"/>
        <w:ind w:firstLine="569" w:firstLineChars="177"/>
        <w:rPr>
          <w:rFonts w:ascii="宋体" w:hAnsi="宋体"/>
          <w:b/>
          <w:bCs/>
          <w:sz w:val="32"/>
          <w:szCs w:val="32"/>
        </w:rPr>
      </w:pPr>
      <w:r>
        <w:rPr>
          <w:rFonts w:hint="eastAsia" w:ascii="宋体" w:hAnsi="宋体"/>
          <w:b/>
          <w:bCs/>
          <w:sz w:val="32"/>
          <w:szCs w:val="32"/>
        </w:rPr>
        <w:t>日       期：202X年XX月XX日</w:t>
      </w:r>
    </w:p>
    <w:p>
      <w:pPr>
        <w:spacing w:line="360" w:lineRule="auto"/>
        <w:ind w:firstLine="569" w:firstLineChars="177"/>
        <w:rPr>
          <w:rFonts w:ascii="宋体" w:hAnsi="宋体"/>
          <w:b/>
          <w:bCs/>
          <w:sz w:val="32"/>
          <w:szCs w:val="32"/>
        </w:rPr>
      </w:pPr>
    </w:p>
    <w:p>
      <w:pPr>
        <w:spacing w:line="360" w:lineRule="auto"/>
        <w:ind w:firstLine="569" w:firstLineChars="177"/>
        <w:rPr>
          <w:rFonts w:ascii="宋体" w:hAnsi="宋体"/>
          <w:b/>
          <w:bCs/>
          <w:sz w:val="32"/>
          <w:szCs w:val="32"/>
        </w:rPr>
      </w:pPr>
    </w:p>
    <w:p>
      <w:pPr>
        <w:spacing w:line="360" w:lineRule="auto"/>
        <w:ind w:firstLine="569" w:firstLineChars="177"/>
        <w:rPr>
          <w:rFonts w:ascii="宋体" w:hAnsi="宋体"/>
          <w:b/>
          <w:bCs/>
          <w:sz w:val="32"/>
          <w:szCs w:val="32"/>
        </w:rPr>
      </w:pPr>
    </w:p>
    <w:p>
      <w:pPr>
        <w:keepNext/>
        <w:keepLines/>
        <w:numPr>
          <w:ilvl w:val="1"/>
          <w:numId w:val="3"/>
        </w:numPr>
        <w:spacing w:before="260" w:after="260" w:line="360" w:lineRule="auto"/>
        <w:jc w:val="left"/>
        <w:outlineLvl w:val="1"/>
        <w:rPr>
          <w:rFonts w:ascii="宋体" w:hAnsi="宋体"/>
          <w:b/>
          <w:bCs/>
          <w:sz w:val="28"/>
          <w:szCs w:val="28"/>
        </w:rPr>
      </w:pPr>
      <w:bookmarkStart w:id="118" w:name="_Toc78191619"/>
      <w:r>
        <w:rPr>
          <w:rFonts w:hint="eastAsia" w:ascii="宋体" w:hAnsi="宋体"/>
          <w:b/>
          <w:bCs/>
          <w:sz w:val="28"/>
          <w:szCs w:val="28"/>
        </w:rPr>
        <w:t>资格响应文件</w:t>
      </w:r>
      <w:bookmarkEnd w:id="118"/>
    </w:p>
    <w:p>
      <w:pPr>
        <w:keepNext/>
        <w:keepLines/>
        <w:numPr>
          <w:ilvl w:val="2"/>
          <w:numId w:val="3"/>
        </w:numPr>
        <w:spacing w:line="360" w:lineRule="auto"/>
        <w:ind w:left="3119" w:hanging="3119"/>
        <w:outlineLvl w:val="2"/>
        <w:rPr>
          <w:rFonts w:ascii="宋体" w:hAnsi="宋体"/>
          <w:b/>
          <w:bCs/>
          <w:sz w:val="28"/>
          <w:szCs w:val="28"/>
        </w:rPr>
      </w:pPr>
      <w:r>
        <w:rPr>
          <w:rFonts w:hint="eastAsia" w:ascii="宋体" w:hAnsi="宋体"/>
          <w:b/>
          <w:bCs/>
          <w:sz w:val="28"/>
          <w:szCs w:val="28"/>
        </w:rPr>
        <w:t>关于投标人资格申明的函</w:t>
      </w:r>
    </w:p>
    <w:p>
      <w:pPr>
        <w:spacing w:line="360" w:lineRule="auto"/>
        <w:rPr>
          <w:rFonts w:ascii="宋体" w:hAnsi="宋体"/>
          <w:sz w:val="28"/>
          <w:szCs w:val="28"/>
        </w:rPr>
      </w:pPr>
      <w:bookmarkStart w:id="119" w:name="_Toc238581782"/>
      <w:bookmarkStart w:id="120" w:name="_Toc119295087"/>
      <w:bookmarkStart w:id="121" w:name="_Toc52184753"/>
      <w:bookmarkStart w:id="122" w:name="_Toc119296788"/>
      <w:bookmarkStart w:id="123" w:name="_Toc119203988"/>
      <w:bookmarkStart w:id="124" w:name="_Toc146903609"/>
      <w:r>
        <w:rPr>
          <w:rFonts w:hint="eastAsia" w:ascii="宋体" w:hAnsi="宋体"/>
          <w:sz w:val="28"/>
          <w:szCs w:val="28"/>
        </w:rPr>
        <w:t>致：</w:t>
      </w:r>
      <w:bookmarkEnd w:id="119"/>
      <w:r>
        <w:rPr>
          <w:rFonts w:hint="eastAsia" w:ascii="宋体" w:hAnsi="宋体"/>
          <w:sz w:val="28"/>
          <w:szCs w:val="28"/>
        </w:rPr>
        <w:t>都江堰市公共资源交易服务中心</w:t>
      </w:r>
    </w:p>
    <w:p>
      <w:pPr>
        <w:spacing w:line="360" w:lineRule="auto"/>
        <w:ind w:firstLine="565" w:firstLineChars="202"/>
        <w:rPr>
          <w:rFonts w:ascii="宋体" w:hAnsi="宋体"/>
          <w:sz w:val="28"/>
          <w:szCs w:val="28"/>
        </w:rPr>
      </w:pPr>
      <w:bookmarkStart w:id="125" w:name="_Toc238581783"/>
      <w:r>
        <w:rPr>
          <w:rFonts w:hint="eastAsia" w:ascii="宋体" w:hAnsi="宋体"/>
          <w:sz w:val="28"/>
          <w:szCs w:val="28"/>
        </w:rPr>
        <w:t>关于我方对</w:t>
      </w:r>
      <w:r>
        <w:rPr>
          <w:rFonts w:hint="eastAsia" w:ascii="宋体" w:hAnsi="宋体"/>
          <w:b/>
          <w:sz w:val="28"/>
          <w:szCs w:val="28"/>
          <w:u w:val="single"/>
        </w:rPr>
        <w:t>XXXXXXX 采购项目（项目编号：JY3202     号）</w:t>
      </w:r>
      <w:r>
        <w:rPr>
          <w:rFonts w:hint="eastAsia" w:ascii="宋体" w:hAnsi="宋体"/>
          <w:sz w:val="28"/>
          <w:szCs w:val="28"/>
        </w:rPr>
        <w:t>的公开招标，提交的下列文件和说明是准确的和真实的。</w:t>
      </w:r>
      <w:bookmarkEnd w:id="125"/>
    </w:p>
    <w:p>
      <w:pPr>
        <w:widowControl/>
        <w:numPr>
          <w:ilvl w:val="2"/>
          <w:numId w:val="31"/>
        </w:numPr>
        <w:spacing w:line="360" w:lineRule="auto"/>
        <w:ind w:left="0" w:firstLine="560" w:firstLineChars="200"/>
        <w:rPr>
          <w:rFonts w:ascii="宋体" w:hAnsi="宋体"/>
          <w:sz w:val="28"/>
          <w:szCs w:val="28"/>
        </w:rPr>
      </w:pPr>
      <w:bookmarkStart w:id="126" w:name="_Toc238581784"/>
      <w:r>
        <w:rPr>
          <w:rFonts w:hint="eastAsia" w:ascii="宋体" w:hAnsi="宋体"/>
          <w:sz w:val="28"/>
          <w:szCs w:val="28"/>
        </w:rPr>
        <w:t>投标人名称及概况：</w:t>
      </w:r>
      <w:bookmarkEnd w:id="120"/>
      <w:bookmarkEnd w:id="121"/>
      <w:bookmarkEnd w:id="122"/>
      <w:bookmarkEnd w:id="123"/>
      <w:bookmarkEnd w:id="124"/>
      <w:bookmarkEnd w:id="126"/>
    </w:p>
    <w:p>
      <w:pPr>
        <w:widowControl/>
        <w:numPr>
          <w:ilvl w:val="0"/>
          <w:numId w:val="32"/>
        </w:numPr>
        <w:spacing w:line="360" w:lineRule="auto"/>
        <w:ind w:left="0" w:firstLine="560" w:firstLineChars="200"/>
        <w:jc w:val="left"/>
        <w:rPr>
          <w:rFonts w:ascii="宋体" w:hAnsi="宋体"/>
          <w:sz w:val="28"/>
          <w:szCs w:val="28"/>
        </w:rPr>
      </w:pPr>
      <w:r>
        <w:rPr>
          <w:rFonts w:hint="eastAsia" w:ascii="宋体" w:hAnsi="宋体"/>
          <w:sz w:val="28"/>
          <w:szCs w:val="28"/>
        </w:rPr>
        <w:t>投标人名称：XXXX</w:t>
      </w:r>
    </w:p>
    <w:p>
      <w:pPr>
        <w:widowControl/>
        <w:numPr>
          <w:ilvl w:val="0"/>
          <w:numId w:val="32"/>
        </w:numPr>
        <w:spacing w:line="360" w:lineRule="auto"/>
        <w:ind w:left="0" w:firstLine="560" w:firstLineChars="200"/>
        <w:jc w:val="left"/>
        <w:rPr>
          <w:rFonts w:ascii="宋体" w:hAnsi="宋体"/>
          <w:sz w:val="28"/>
          <w:szCs w:val="28"/>
        </w:rPr>
      </w:pPr>
      <w:r>
        <w:rPr>
          <w:rFonts w:hint="eastAsia" w:ascii="宋体" w:hAnsi="宋体"/>
          <w:sz w:val="28"/>
          <w:szCs w:val="28"/>
        </w:rPr>
        <w:t>地址：XXXX           邮编：XXXX</w:t>
      </w:r>
    </w:p>
    <w:p>
      <w:pPr>
        <w:spacing w:line="360" w:lineRule="auto"/>
        <w:ind w:firstLine="700" w:firstLineChars="250"/>
        <w:rPr>
          <w:rFonts w:ascii="宋体" w:hAnsi="宋体"/>
          <w:sz w:val="28"/>
          <w:szCs w:val="28"/>
          <w:u w:val="single"/>
        </w:rPr>
      </w:pPr>
      <w:r>
        <w:rPr>
          <w:rFonts w:hint="eastAsia" w:ascii="宋体" w:hAnsi="宋体"/>
          <w:sz w:val="28"/>
          <w:szCs w:val="28"/>
        </w:rPr>
        <w:t>传真/电话：XXXX</w:t>
      </w:r>
    </w:p>
    <w:p>
      <w:pPr>
        <w:widowControl/>
        <w:numPr>
          <w:ilvl w:val="0"/>
          <w:numId w:val="32"/>
        </w:numPr>
        <w:spacing w:line="360" w:lineRule="auto"/>
        <w:ind w:left="0" w:firstLine="560" w:firstLineChars="200"/>
        <w:jc w:val="left"/>
        <w:rPr>
          <w:rFonts w:ascii="宋体" w:hAnsi="宋体"/>
          <w:sz w:val="28"/>
          <w:szCs w:val="28"/>
        </w:rPr>
      </w:pPr>
      <w:r>
        <w:rPr>
          <w:rFonts w:hint="eastAsia" w:ascii="宋体" w:hAnsi="宋体"/>
          <w:sz w:val="28"/>
          <w:szCs w:val="28"/>
        </w:rPr>
        <w:t>成立日期或注册日期：XXXX</w:t>
      </w:r>
    </w:p>
    <w:p>
      <w:pPr>
        <w:widowControl/>
        <w:numPr>
          <w:ilvl w:val="0"/>
          <w:numId w:val="32"/>
        </w:numPr>
        <w:spacing w:line="360" w:lineRule="auto"/>
        <w:ind w:left="0" w:firstLine="560" w:firstLineChars="200"/>
        <w:jc w:val="left"/>
        <w:rPr>
          <w:rFonts w:ascii="宋体" w:hAnsi="宋体"/>
          <w:sz w:val="28"/>
          <w:szCs w:val="28"/>
          <w:u w:val="single"/>
        </w:rPr>
      </w:pPr>
      <w:r>
        <w:rPr>
          <w:rFonts w:hint="eastAsia" w:ascii="宋体" w:hAnsi="宋体"/>
          <w:sz w:val="28"/>
          <w:szCs w:val="28"/>
        </w:rPr>
        <w:t>法定代表人姓名：XXXX</w:t>
      </w:r>
    </w:p>
    <w:p>
      <w:pPr>
        <w:widowControl/>
        <w:numPr>
          <w:ilvl w:val="2"/>
          <w:numId w:val="31"/>
        </w:numPr>
        <w:tabs>
          <w:tab w:val="left" w:pos="1276"/>
        </w:tabs>
        <w:spacing w:line="360" w:lineRule="auto"/>
        <w:ind w:left="0" w:firstLine="567"/>
        <w:rPr>
          <w:rFonts w:ascii="宋体" w:hAnsi="宋体"/>
          <w:sz w:val="28"/>
          <w:szCs w:val="28"/>
        </w:rPr>
      </w:pPr>
      <w:r>
        <w:rPr>
          <w:rFonts w:hint="eastAsia" w:ascii="宋体" w:hAnsi="宋体"/>
          <w:sz w:val="28"/>
          <w:szCs w:val="28"/>
        </w:rPr>
        <w:t>开户银行名称：XXXX</w:t>
      </w:r>
    </w:p>
    <w:p>
      <w:pPr>
        <w:spacing w:line="360" w:lineRule="auto"/>
        <w:ind w:firstLine="1260" w:firstLineChars="450"/>
        <w:rPr>
          <w:rFonts w:ascii="宋体" w:hAnsi="宋体"/>
          <w:sz w:val="28"/>
          <w:szCs w:val="28"/>
          <w:u w:val="single"/>
        </w:rPr>
      </w:pPr>
      <w:r>
        <w:rPr>
          <w:rFonts w:hint="eastAsia" w:ascii="宋体" w:hAnsi="宋体"/>
          <w:sz w:val="28"/>
          <w:szCs w:val="28"/>
        </w:rPr>
        <w:t>地址：XXXX</w:t>
      </w:r>
    </w:p>
    <w:p>
      <w:pPr>
        <w:spacing w:line="360" w:lineRule="auto"/>
        <w:ind w:firstLine="1260" w:firstLineChars="450"/>
        <w:rPr>
          <w:rFonts w:ascii="宋体" w:hAnsi="宋体"/>
          <w:sz w:val="28"/>
          <w:szCs w:val="28"/>
        </w:rPr>
      </w:pPr>
      <w:r>
        <w:rPr>
          <w:rFonts w:hint="eastAsia" w:ascii="宋体" w:hAnsi="宋体"/>
          <w:sz w:val="28"/>
          <w:szCs w:val="28"/>
        </w:rPr>
        <w:t>账号：XXXX</w:t>
      </w: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spacing w:line="360" w:lineRule="auto"/>
        <w:ind w:left="283" w:leftChars="135" w:firstLine="280" w:firstLineChars="100"/>
        <w:rPr>
          <w:rFonts w:ascii="宋体" w:hAnsi="宋体"/>
          <w:sz w:val="28"/>
          <w:szCs w:val="28"/>
          <w:u w:val="single"/>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声明</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致：都江堰市公共资源交易服务中心</w:t>
      </w:r>
    </w:p>
    <w:p>
      <w:pPr>
        <w:ind w:firstLine="560" w:firstLineChars="200"/>
        <w:rPr>
          <w:sz w:val="28"/>
          <w:szCs w:val="28"/>
        </w:rPr>
      </w:pPr>
      <w:r>
        <w:rPr>
          <w:rFonts w:hint="eastAsia" w:ascii="宋体" w:hAnsi="宋体"/>
          <w:color w:val="000000" w:themeColor="text1"/>
          <w:sz w:val="28"/>
          <w:szCs w:val="28"/>
          <w14:textFill>
            <w14:solidFill>
              <w14:schemeClr w14:val="tx1"/>
            </w14:solidFill>
          </w14:textFill>
        </w:rPr>
        <w:t>我单位作为</w:t>
      </w:r>
      <w:r>
        <w:rPr>
          <w:rFonts w:hint="eastAsia" w:ascii="宋体" w:hAnsi="宋体"/>
          <w:b/>
          <w:color w:val="000000" w:themeColor="text1"/>
          <w:sz w:val="28"/>
          <w:szCs w:val="28"/>
          <w:u w:val="single"/>
          <w14:textFill>
            <w14:solidFill>
              <w14:schemeClr w14:val="tx1"/>
            </w14:solidFill>
          </w14:textFill>
        </w:rPr>
        <w:t>XXXX采购项目（项目编号：JY3202        号）</w:t>
      </w:r>
      <w:r>
        <w:rPr>
          <w:rFonts w:hint="eastAsia" w:ascii="宋体" w:hAnsi="宋体"/>
          <w:color w:val="000000" w:themeColor="text1"/>
          <w:sz w:val="28"/>
          <w:szCs w:val="28"/>
          <w14:textFill>
            <w14:solidFill>
              <w14:schemeClr w14:val="tx1"/>
            </w14:solidFill>
          </w14:textFill>
        </w:rPr>
        <w:t>的投标人，在此郑重声明：</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w:t>
      </w:r>
      <w:r>
        <w:rPr>
          <w:rFonts w:hint="eastAsia"/>
          <w:sz w:val="28"/>
          <w:szCs w:val="28"/>
        </w:rPr>
        <w:t>我单位</w:t>
      </w:r>
      <w:r>
        <w:rPr>
          <w:rFonts w:hint="eastAsia" w:ascii="宋体" w:hAnsi="宋体"/>
          <w:b/>
          <w:color w:val="000000" w:themeColor="text1"/>
          <w:sz w:val="28"/>
          <w:szCs w:val="28"/>
          <w:u w:val="single"/>
          <w14:textFill>
            <w14:solidFill>
              <w14:schemeClr w14:val="tx1"/>
            </w14:solidFill>
          </w14:textFill>
        </w:rPr>
        <w:t>（说明：填写“具有”或“不具有”）</w:t>
      </w:r>
      <w:r>
        <w:rPr>
          <w:rFonts w:hint="eastAsia" w:ascii="宋体" w:hAnsi="宋体"/>
          <w:sz w:val="28"/>
          <w:szCs w:val="28"/>
        </w:rPr>
        <w:t>独立承担民事责任的能力；</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sz w:val="28"/>
          <w:szCs w:val="28"/>
        </w:rPr>
        <w:t>二、</w:t>
      </w:r>
      <w:r>
        <w:rPr>
          <w:rFonts w:hint="eastAsia" w:ascii="宋体" w:hAnsi="宋体"/>
          <w:color w:val="000000" w:themeColor="text1"/>
          <w:sz w:val="28"/>
          <w:szCs w:val="28"/>
          <w14:textFill>
            <w14:solidFill>
              <w14:schemeClr w14:val="tx1"/>
            </w14:solidFill>
          </w14:textFill>
        </w:rPr>
        <w:t>我单位</w:t>
      </w:r>
      <w:r>
        <w:rPr>
          <w:rFonts w:hint="eastAsia" w:ascii="宋体" w:hAnsi="宋体"/>
          <w:b/>
          <w:color w:val="000000" w:themeColor="text1"/>
          <w:sz w:val="28"/>
          <w:szCs w:val="28"/>
          <w:u w:val="single"/>
          <w14:textFill>
            <w14:solidFill>
              <w14:schemeClr w14:val="tx1"/>
            </w14:solidFill>
          </w14:textFill>
        </w:rPr>
        <w:t>（说明：填写“具有”或“不具有”）</w:t>
      </w:r>
      <w:r>
        <w:rPr>
          <w:rFonts w:hint="eastAsia" w:ascii="宋体" w:hAnsi="宋体"/>
          <w:color w:val="000000" w:themeColor="text1"/>
          <w:sz w:val="28"/>
          <w:szCs w:val="28"/>
          <w14:textFill>
            <w14:solidFill>
              <w14:schemeClr w14:val="tx1"/>
            </w14:solidFill>
          </w14:textFill>
        </w:rPr>
        <w:t>良好的商业信誉和健全的财务会计制度；</w:t>
      </w:r>
    </w:p>
    <w:p>
      <w:pPr>
        <w:pStyle w:val="13"/>
        <w:ind w:firstLine="560" w:firstLineChars="200"/>
        <w:rPr>
          <w:rFonts w:ascii="宋体" w:hAnsi="宋体"/>
          <w:sz w:val="28"/>
          <w:szCs w:val="28"/>
        </w:rPr>
      </w:pPr>
      <w:r>
        <w:rPr>
          <w:rFonts w:hint="eastAsia"/>
          <w:sz w:val="28"/>
          <w:szCs w:val="28"/>
        </w:rPr>
        <w:t>三、我单位（</w:t>
      </w:r>
      <w:r>
        <w:rPr>
          <w:rFonts w:hint="eastAsia" w:ascii="宋体" w:hAnsi="宋体"/>
          <w:b/>
          <w:color w:val="000000" w:themeColor="text1"/>
          <w:sz w:val="28"/>
          <w:szCs w:val="28"/>
          <w:u w:val="single"/>
          <w14:textFill>
            <w14:solidFill>
              <w14:schemeClr w14:val="tx1"/>
            </w14:solidFill>
          </w14:textFill>
        </w:rPr>
        <w:t>说明：填写“具有”或“不具有”）</w:t>
      </w:r>
      <w:r>
        <w:rPr>
          <w:rFonts w:hint="eastAsia" w:ascii="宋体" w:hAnsi="宋体"/>
          <w:sz w:val="28"/>
          <w:szCs w:val="28"/>
        </w:rPr>
        <w:t>履行合同所必需的设备和专业技术能力；</w:t>
      </w:r>
    </w:p>
    <w:p>
      <w:pPr>
        <w:pStyle w:val="2"/>
        <w:ind w:firstLine="560" w:firstLineChars="200"/>
        <w:rPr>
          <w:rFonts w:ascii="宋体" w:hAnsi="宋体"/>
          <w:color w:val="000000" w:themeColor="text1"/>
          <w:sz w:val="28"/>
          <w:szCs w:val="28"/>
          <w14:textFill>
            <w14:solidFill>
              <w14:schemeClr w14:val="tx1"/>
            </w14:solidFill>
          </w14:textFill>
        </w:rPr>
      </w:pPr>
      <w:r>
        <w:rPr>
          <w:rFonts w:hint="eastAsia" w:ascii="宋体" w:hAnsi="宋体"/>
          <w:sz w:val="28"/>
          <w:szCs w:val="28"/>
        </w:rPr>
        <w:t>四、我单位（</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sz w:val="28"/>
          <w:szCs w:val="28"/>
        </w:rPr>
        <w:t>依法缴纳税收和社会保障资金的良好记录；</w:t>
      </w:r>
    </w:p>
    <w:p>
      <w:pPr>
        <w:ind w:firstLine="560" w:firstLineChars="200"/>
        <w:rPr>
          <w:sz w:val="28"/>
          <w:szCs w:val="28"/>
        </w:rPr>
      </w:pPr>
      <w:r>
        <w:rPr>
          <w:rFonts w:hint="eastAsia" w:ascii="宋体" w:hAnsi="宋体"/>
          <w:color w:val="000000" w:themeColor="text1"/>
          <w:sz w:val="28"/>
          <w:szCs w:val="28"/>
          <w14:textFill>
            <w14:solidFill>
              <w14:schemeClr w14:val="tx1"/>
            </w14:solidFill>
          </w14:textFill>
        </w:rPr>
        <w:t>五、我单位参加政府采购活动前三年内，在经营活动中</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14:textFill>
            <w14:solidFill>
              <w14:schemeClr w14:val="tx1"/>
            </w14:solidFill>
          </w14:textFill>
        </w:rPr>
        <w:t>重大违法记录。</w:t>
      </w:r>
    </w:p>
    <w:p>
      <w:pPr>
        <w:pStyle w:val="2"/>
        <w:ind w:firstLine="560" w:firstLineChars="200"/>
        <w:rPr>
          <w:sz w:val="28"/>
          <w:szCs w:val="28"/>
        </w:rPr>
      </w:pPr>
      <w:r>
        <w:rPr>
          <w:rFonts w:hint="eastAsia"/>
          <w:sz w:val="28"/>
          <w:szCs w:val="28"/>
        </w:rPr>
        <w:t>六、我单位</w:t>
      </w:r>
      <w:r>
        <w:rPr>
          <w:rFonts w:hint="eastAsia" w:ascii="宋体" w:hAnsi="宋体"/>
          <w:b/>
          <w:color w:val="000000" w:themeColor="text1"/>
          <w:sz w:val="28"/>
          <w:szCs w:val="28"/>
          <w:u w:val="single"/>
          <w14:textFill>
            <w14:solidFill>
              <w14:schemeClr w14:val="tx1"/>
            </w14:solidFill>
          </w14:textFill>
        </w:rPr>
        <w:t>（说明：填写“满足”或“不满足”）</w:t>
      </w:r>
      <w:r>
        <w:rPr>
          <w:rFonts w:hint="eastAsia" w:ascii="宋体" w:hAnsi="宋体"/>
          <w:sz w:val="28"/>
          <w:szCs w:val="28"/>
        </w:rPr>
        <w:t>法律、行政法规规定的其他条件；</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七、与我单位负责人为同一人或者存在直接控股、管理关系的相关供应商：</w:t>
      </w:r>
      <w:r>
        <w:rPr>
          <w:rFonts w:hint="eastAsia" w:ascii="宋体" w:hAnsi="宋体"/>
          <w:b/>
          <w:color w:val="000000" w:themeColor="text1"/>
          <w:sz w:val="28"/>
          <w:szCs w:val="28"/>
          <w:u w:val="single"/>
          <w14:textFill>
            <w14:solidFill>
              <w14:schemeClr w14:val="tx1"/>
            </w14:solidFill>
          </w14:textFill>
        </w:rPr>
        <w:t>（说明：填写“无”或“（一）供应商名称１；（二）供应商名称２；（三）……”）</w:t>
      </w:r>
      <w:r>
        <w:rPr>
          <w:rFonts w:hint="eastAsia" w:ascii="宋体" w:hAnsi="宋体"/>
          <w:color w:val="000000" w:themeColor="text1"/>
          <w:sz w:val="28"/>
          <w:szCs w:val="28"/>
          <w14:textFill>
            <w14:solidFill>
              <w14:schemeClr w14:val="tx1"/>
            </w14:solidFill>
          </w14:textFill>
        </w:rPr>
        <w:t xml:space="preserve"> 。</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八、在行贿犯罪信息查询期限内，我单位及我单位现任法定代表人、主要负责人</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14:textFill>
            <w14:solidFill>
              <w14:schemeClr w14:val="tx1"/>
            </w14:solidFill>
          </w14:textFill>
        </w:rPr>
        <w:t>行贿犯罪记录。</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九、我单位</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14:textFill>
            <w14:solidFill>
              <w14:schemeClr w14:val="tx1"/>
            </w14:solidFill>
          </w14:textFill>
        </w:rPr>
        <w:t>失信被执行人、重大税收违法案件当事人名单。</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十、我单位</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14:textFill>
            <w14:solidFill>
              <w14:schemeClr w14:val="tx1"/>
            </w14:solidFill>
          </w14:textFill>
        </w:rPr>
        <w:t>政府采购严重违法失信行为记录名单。</w:t>
      </w:r>
    </w:p>
    <w:p>
      <w:pPr>
        <w:ind w:firstLine="560" w:firstLineChars="200"/>
        <w:rPr>
          <w:b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十一、我单位</w:t>
      </w:r>
      <w:r>
        <w:rPr>
          <w:rFonts w:hint="eastAsia" w:ascii="宋体" w:hAnsi="宋体"/>
          <w:b/>
          <w:color w:val="000000" w:themeColor="text1"/>
          <w:sz w:val="28"/>
          <w:szCs w:val="28"/>
          <w:u w:val="single"/>
          <w14:textFill>
            <w14:solidFill>
              <w14:schemeClr w14:val="tx1"/>
            </w14:solidFill>
          </w14:textFill>
        </w:rPr>
        <w:t>（说明：填写“未处于”或“处于”）</w:t>
      </w:r>
      <w:r>
        <w:rPr>
          <w:rFonts w:hint="eastAsia" w:ascii="宋体" w:hAnsi="宋体"/>
          <w:bCs/>
          <w:color w:val="000000" w:themeColor="text1"/>
          <w:sz w:val="28"/>
          <w:szCs w:val="28"/>
          <w14:textFill>
            <w14:solidFill>
              <w14:schemeClr w14:val="tx1"/>
            </w14:solidFill>
          </w14:textFill>
        </w:rPr>
        <w:t>被行政部门禁止参与政府采购活动的期限内。</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特此声明。</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投标人名称：XXXX</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    期：20XX年XX月XX日</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说明： 1.对声明中第五条的说明：如投标人在参加政府采购活动前三年内，在经营活动中有重大违法记录的，应填写“有”，投标人将被认定投标无效或被取消中标资格；</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2.对声明中第七条的说明：单位负责人为同一人或者存在直接控股、管理关系的不同供应商，不得参加同一合同项下的政府采购活动；</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对声明中第九、十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5.对声明中第十一条的说明：如投标人处于被行政部门禁止参加政府采购活动期限内的，该声明填“处于”，投标人将被认定投标无效或被取消中标资格；</w:t>
      </w:r>
    </w:p>
    <w:p>
      <w:pPr>
        <w:ind w:firstLine="560" w:firstLineChars="200"/>
        <w:rPr>
          <w:rFonts w:ascii="宋体" w:hAnsi="宋体"/>
          <w:color w:val="FF0000"/>
          <w:sz w:val="28"/>
          <w:szCs w:val="28"/>
        </w:rPr>
      </w:pPr>
      <w:r>
        <w:rPr>
          <w:rFonts w:hint="eastAsia" w:ascii="宋体" w:hAnsi="宋体"/>
          <w:color w:val="FF0000"/>
          <w:sz w:val="28"/>
          <w:szCs w:val="28"/>
        </w:rPr>
        <w:t>6、我单位保证以上申明文件资料是真实、准确的，我单位保证按照招标文件“2.1投标人须知前附表24项”的要求向采购人提供资料。如经查实上述的内容事项存在虚假或未按照招标文件“2.1投标人须知前附表24项”的要求向采购人提供资料，我单位愿意接受以提供虚假材料谋取中标追究法律责任。</w:t>
      </w:r>
    </w:p>
    <w:p>
      <w:pPr>
        <w:ind w:firstLine="560" w:firstLineChars="200"/>
        <w:rPr>
          <w:rFonts w:ascii="宋体" w:hAnsi="宋体"/>
          <w:color w:val="FF0000"/>
          <w:sz w:val="28"/>
          <w:szCs w:val="28"/>
        </w:rPr>
      </w:pPr>
      <w:r>
        <w:rPr>
          <w:rFonts w:ascii="宋体" w:hAnsi="宋体"/>
          <w:color w:val="FF0000"/>
          <w:sz w:val="28"/>
          <w:szCs w:val="28"/>
        </w:rPr>
        <w:br w:type="page"/>
      </w:r>
    </w:p>
    <w:p>
      <w:pPr>
        <w:tabs>
          <w:tab w:val="left" w:pos="1260"/>
        </w:tabs>
        <w:spacing w:line="560" w:lineRule="exact"/>
        <w:ind w:firstLine="420" w:firstLineChars="200"/>
        <w:rPr>
          <w:rFonts w:ascii="宋体" w:hAnsi="宋体"/>
          <w:szCs w:val="28"/>
        </w:rPr>
      </w:pPr>
    </w:p>
    <w:p>
      <w:pPr>
        <w:keepNext/>
        <w:keepLines/>
        <w:numPr>
          <w:ilvl w:val="2"/>
          <w:numId w:val="3"/>
        </w:numPr>
        <w:spacing w:line="360" w:lineRule="auto"/>
        <w:ind w:left="3119" w:hanging="3119"/>
        <w:outlineLvl w:val="2"/>
        <w:rPr>
          <w:rFonts w:ascii="宋体" w:hAnsi="宋体"/>
          <w:b/>
          <w:bCs/>
          <w:sz w:val="28"/>
          <w:szCs w:val="28"/>
        </w:rPr>
      </w:pPr>
      <w:r>
        <w:rPr>
          <w:rFonts w:hint="eastAsia" w:ascii="宋体" w:hAnsi="宋体"/>
          <w:b/>
          <w:bCs/>
          <w:sz w:val="28"/>
          <w:szCs w:val="28"/>
        </w:rPr>
        <w:t>中小企业声明函</w:t>
      </w:r>
    </w:p>
    <w:p>
      <w:pPr>
        <w:spacing w:line="440" w:lineRule="exact"/>
        <w:ind w:firstLine="574" w:firstLineChars="196"/>
        <w:jc w:val="center"/>
        <w:rPr>
          <w:rFonts w:ascii="宋体" w:hAnsi="宋体"/>
          <w:b/>
          <w:sz w:val="28"/>
          <w:szCs w:val="28"/>
        </w:rPr>
      </w:pPr>
      <w:r>
        <w:rPr>
          <w:rFonts w:hint="eastAsia" w:ascii="宋体" w:hAnsi="宋体"/>
          <w:b/>
          <w:spacing w:val="6"/>
          <w:sz w:val="28"/>
          <w:szCs w:val="28"/>
        </w:rPr>
        <w:t>中小企业声明函</w:t>
      </w:r>
    </w:p>
    <w:p>
      <w:pPr>
        <w:spacing w:line="480" w:lineRule="exact"/>
        <w:ind w:firstLine="561"/>
        <w:rPr>
          <w:rFonts w:ascii="宋体" w:hAnsi="宋体"/>
          <w:sz w:val="28"/>
          <w:szCs w:val="28"/>
        </w:rPr>
      </w:pPr>
      <w:r>
        <w:rPr>
          <w:rFonts w:hint="eastAsia" w:ascii="宋体" w:hAnsi="宋体"/>
          <w:sz w:val="28"/>
          <w:szCs w:val="28"/>
        </w:rPr>
        <w:t>本公司郑重声明，根据《政府采购促进中小企业发展管理办法》（财库﹝2020﹞46 号）的规定，本公司参加</w:t>
      </w:r>
      <w:r>
        <w:rPr>
          <w:rFonts w:hint="eastAsia" w:ascii="宋体" w:hAnsi="宋体"/>
          <w:b/>
          <w:bCs/>
          <w:sz w:val="28"/>
          <w:szCs w:val="28"/>
          <w:u w:val="single"/>
        </w:rPr>
        <w:t>XXXXXX</w:t>
      </w:r>
      <w:r>
        <w:rPr>
          <w:rFonts w:hint="eastAsia" w:ascii="宋体" w:hAnsi="宋体"/>
          <w:sz w:val="28"/>
          <w:szCs w:val="28"/>
        </w:rPr>
        <w:t>（单位名称）的</w:t>
      </w:r>
      <w:r>
        <w:rPr>
          <w:rFonts w:hint="eastAsia" w:ascii="宋体" w:hAnsi="宋体"/>
          <w:b/>
          <w:bCs/>
          <w:sz w:val="28"/>
          <w:szCs w:val="28"/>
          <w:u w:val="single"/>
        </w:rPr>
        <w:t>XXXXX采购项目</w:t>
      </w:r>
      <w:r>
        <w:rPr>
          <w:rFonts w:hint="eastAsia" w:ascii="宋体" w:hAnsi="宋体"/>
          <w:sz w:val="28"/>
          <w:szCs w:val="28"/>
        </w:rPr>
        <w:t>（项目名称）采购活动，</w:t>
      </w:r>
      <w:r>
        <w:rPr>
          <w:rFonts w:hint="eastAsia" w:ascii="宋体" w:hAnsi="宋体"/>
          <w:b/>
          <w:sz w:val="28"/>
          <w:szCs w:val="28"/>
        </w:rPr>
        <w:t>提供的货物全部由符合政策要求的中小企业制造。</w:t>
      </w:r>
      <w:r>
        <w:rPr>
          <w:rFonts w:hint="eastAsia" w:ascii="宋体" w:hAnsi="宋体"/>
          <w:sz w:val="28"/>
          <w:szCs w:val="28"/>
        </w:rPr>
        <w:t>相关企业的具体情况如下：</w:t>
      </w:r>
    </w:p>
    <w:p>
      <w:pPr>
        <w:spacing w:line="480" w:lineRule="exact"/>
        <w:ind w:firstLine="561"/>
        <w:rPr>
          <w:rFonts w:ascii="宋体" w:hAnsi="宋体"/>
          <w:sz w:val="28"/>
          <w:szCs w:val="28"/>
        </w:rPr>
      </w:pPr>
      <w:r>
        <w:rPr>
          <w:rFonts w:hint="eastAsia" w:ascii="宋体" w:hAnsi="宋体"/>
          <w:sz w:val="28"/>
          <w:szCs w:val="28"/>
        </w:rPr>
        <w:t xml:space="preserve"> 1.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（采购文件中明确的所属行业）行业；制造商为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以上企业，不属于大企业的分支机构，不存在控股股东 为大企业的情形，也不存在与大企业的负责人为同一人的情形。</w:t>
      </w:r>
    </w:p>
    <w:p>
      <w:pPr>
        <w:spacing w:line="480" w:lineRule="exact"/>
        <w:ind w:firstLine="561"/>
        <w:rPr>
          <w:rFonts w:ascii="宋体" w:hAnsi="宋体"/>
          <w:sz w:val="28"/>
          <w:szCs w:val="28"/>
        </w:rPr>
      </w:pPr>
      <w:r>
        <w:rPr>
          <w:rFonts w:hint="eastAsia" w:ascii="宋体" w:hAnsi="宋体"/>
          <w:sz w:val="28"/>
          <w:szCs w:val="28"/>
        </w:rPr>
        <w:t>本企业对上述声明内容的真实性负责。如有虚假，将依法承担相应责任。</w:t>
      </w:r>
    </w:p>
    <w:p>
      <w:pPr>
        <w:spacing w:line="480" w:lineRule="exact"/>
        <w:ind w:right="280" w:firstLine="561"/>
        <w:jc w:val="left"/>
        <w:rPr>
          <w:rFonts w:ascii="宋体" w:hAnsi="宋体"/>
          <w:sz w:val="28"/>
          <w:szCs w:val="28"/>
        </w:rPr>
      </w:pPr>
    </w:p>
    <w:p>
      <w:pPr>
        <w:spacing w:line="480" w:lineRule="exact"/>
        <w:ind w:right="280" w:firstLine="561"/>
        <w:jc w:val="left"/>
        <w:rPr>
          <w:rFonts w:ascii="宋体" w:hAnsi="宋体"/>
          <w:sz w:val="28"/>
          <w:szCs w:val="28"/>
        </w:rPr>
      </w:pPr>
      <w:r>
        <w:rPr>
          <w:rFonts w:hint="eastAsia" w:ascii="宋体" w:hAnsi="宋体"/>
          <w:sz w:val="28"/>
          <w:szCs w:val="28"/>
        </w:rPr>
        <w:t>企业名称：</w:t>
      </w:r>
      <w:r>
        <w:rPr>
          <w:rFonts w:hint="eastAsia" w:ascii="宋体" w:hAnsi="宋体"/>
          <w:sz w:val="28"/>
          <w:szCs w:val="28"/>
          <w:u w:val="single"/>
        </w:rPr>
        <w:t>___XXXX____</w:t>
      </w:r>
    </w:p>
    <w:p>
      <w:pPr>
        <w:spacing w:line="480" w:lineRule="exact"/>
        <w:ind w:firstLine="561"/>
        <w:jc w:val="left"/>
        <w:rPr>
          <w:rFonts w:ascii="宋体" w:hAnsi="宋体"/>
          <w:sz w:val="28"/>
          <w:szCs w:val="28"/>
        </w:rPr>
      </w:pPr>
      <w:r>
        <w:rPr>
          <w:rFonts w:hint="eastAsia" w:ascii="宋体" w:hAnsi="宋体"/>
          <w:sz w:val="28"/>
          <w:szCs w:val="28"/>
        </w:rPr>
        <w:t>日 期：202X年XX月XX日</w:t>
      </w:r>
    </w:p>
    <w:p>
      <w:pPr>
        <w:pStyle w:val="80"/>
        <w:tabs>
          <w:tab w:val="left" w:pos="567"/>
          <w:tab w:val="left" w:pos="709"/>
          <w:tab w:val="left" w:pos="851"/>
        </w:tabs>
        <w:spacing w:line="520" w:lineRule="exact"/>
        <w:ind w:firstLine="0" w:firstLineChars="0"/>
        <w:rPr>
          <w:rFonts w:ascii="宋体" w:hAnsi="宋体" w:eastAsia="宋体"/>
          <w:b/>
          <w:sz w:val="28"/>
          <w:szCs w:val="28"/>
        </w:rPr>
      </w:pPr>
    </w:p>
    <w:p>
      <w:pPr>
        <w:pStyle w:val="80"/>
        <w:tabs>
          <w:tab w:val="left" w:pos="567"/>
          <w:tab w:val="left" w:pos="709"/>
          <w:tab w:val="left" w:pos="851"/>
        </w:tabs>
        <w:spacing w:line="520" w:lineRule="exact"/>
        <w:ind w:firstLine="0" w:firstLineChars="0"/>
        <w:rPr>
          <w:rFonts w:ascii="宋体" w:hAnsi="宋体" w:eastAsia="宋体"/>
          <w:b/>
          <w:sz w:val="28"/>
          <w:szCs w:val="28"/>
        </w:rPr>
      </w:pPr>
    </w:p>
    <w:p>
      <w:pPr>
        <w:pStyle w:val="80"/>
        <w:tabs>
          <w:tab w:val="left" w:pos="567"/>
          <w:tab w:val="left" w:pos="709"/>
          <w:tab w:val="left" w:pos="851"/>
        </w:tabs>
        <w:spacing w:line="520" w:lineRule="exact"/>
        <w:ind w:firstLine="0" w:firstLineChars="0"/>
        <w:rPr>
          <w:rFonts w:ascii="宋体" w:hAnsi="宋体" w:eastAsia="宋体"/>
          <w:b/>
          <w:sz w:val="28"/>
          <w:szCs w:val="28"/>
          <w:vertAlign w:val="superscript"/>
        </w:rPr>
      </w:pPr>
      <w:r>
        <w:rPr>
          <w:rFonts w:hint="eastAsia" w:ascii="宋体" w:hAnsi="宋体" w:eastAsia="宋体"/>
          <w:b/>
          <w:sz w:val="28"/>
          <w:szCs w:val="28"/>
        </w:rPr>
        <w:t>说明：1、</w:t>
      </w:r>
      <w:r>
        <w:rPr>
          <w:rFonts w:hint="eastAsia" w:ascii="宋体" w:hAnsi="宋体"/>
          <w:b/>
          <w:sz w:val="28"/>
          <w:szCs w:val="28"/>
        </w:rPr>
        <w:t>提供了《残疾人福利性单位声明函》或监狱企业证明文件复印件的不需提供；</w:t>
      </w:r>
    </w:p>
    <w:p>
      <w:pPr>
        <w:pStyle w:val="80"/>
        <w:tabs>
          <w:tab w:val="left" w:pos="567"/>
          <w:tab w:val="left" w:pos="709"/>
          <w:tab w:val="left" w:pos="851"/>
        </w:tabs>
        <w:spacing w:line="520" w:lineRule="exact"/>
        <w:ind w:firstLine="0" w:firstLineChars="0"/>
        <w:rPr>
          <w:rFonts w:ascii="宋体" w:hAnsi="宋体" w:eastAsia="宋体"/>
          <w:b/>
          <w:sz w:val="28"/>
          <w:szCs w:val="28"/>
        </w:rPr>
      </w:pPr>
      <w:r>
        <w:rPr>
          <w:rFonts w:hint="eastAsia" w:ascii="宋体" w:hAnsi="宋体" w:eastAsia="宋体"/>
          <w:b/>
          <w:sz w:val="28"/>
          <w:szCs w:val="28"/>
        </w:rPr>
        <w:t>2、从业人员、营业收入、资产总额填报上一年度数据，无上一年度数据的新成立企业可不填报。</w:t>
      </w:r>
    </w:p>
    <w:p>
      <w:pPr>
        <w:pStyle w:val="80"/>
        <w:tabs>
          <w:tab w:val="left" w:pos="567"/>
          <w:tab w:val="left" w:pos="709"/>
          <w:tab w:val="left" w:pos="851"/>
        </w:tabs>
        <w:spacing w:line="520" w:lineRule="exact"/>
        <w:ind w:firstLine="0" w:firstLineChars="0"/>
        <w:rPr>
          <w:rFonts w:ascii="宋体" w:hAnsi="宋体" w:eastAsia="宋体"/>
          <w:b/>
          <w:sz w:val="28"/>
          <w:szCs w:val="28"/>
        </w:rPr>
      </w:pPr>
    </w:p>
    <w:p>
      <w:pPr>
        <w:pStyle w:val="80"/>
        <w:tabs>
          <w:tab w:val="left" w:pos="567"/>
          <w:tab w:val="left" w:pos="709"/>
          <w:tab w:val="left" w:pos="851"/>
        </w:tabs>
        <w:spacing w:line="520" w:lineRule="exact"/>
        <w:ind w:firstLine="0" w:firstLineChars="0"/>
        <w:rPr>
          <w:rFonts w:ascii="宋体" w:hAnsi="宋体" w:eastAsia="宋体"/>
          <w:b/>
          <w:sz w:val="28"/>
          <w:szCs w:val="28"/>
        </w:rPr>
      </w:pPr>
    </w:p>
    <w:p>
      <w:pPr>
        <w:keepNext/>
        <w:keepLines/>
        <w:numPr>
          <w:ilvl w:val="2"/>
          <w:numId w:val="3"/>
        </w:numPr>
        <w:spacing w:line="360" w:lineRule="auto"/>
        <w:ind w:left="3119" w:hanging="3119"/>
        <w:outlineLvl w:val="2"/>
        <w:rPr>
          <w:rFonts w:ascii="宋体" w:hAnsi="宋体"/>
          <w:b/>
          <w:bCs/>
          <w:sz w:val="28"/>
          <w:szCs w:val="28"/>
        </w:rPr>
      </w:pPr>
      <w:r>
        <w:rPr>
          <w:rFonts w:hint="eastAsia" w:ascii="宋体" w:hAnsi="宋体"/>
          <w:b/>
          <w:bCs/>
          <w:sz w:val="28"/>
          <w:szCs w:val="28"/>
        </w:rPr>
        <w:t>残疾人福利性单位声明函</w:t>
      </w:r>
    </w:p>
    <w:p>
      <w:pPr>
        <w:spacing w:line="588" w:lineRule="exact"/>
        <w:ind w:firstLine="562" w:firstLineChars="200"/>
        <w:jc w:val="center"/>
        <w:rPr>
          <w:b/>
          <w:sz w:val="28"/>
          <w:szCs w:val="28"/>
        </w:rPr>
      </w:pPr>
      <w:r>
        <w:rPr>
          <w:rFonts w:hint="eastAsia"/>
          <w:b/>
          <w:sz w:val="28"/>
          <w:szCs w:val="28"/>
        </w:rPr>
        <w:t>残疾人福利性单位声明函</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bCs/>
          <w:sz w:val="28"/>
          <w:szCs w:val="28"/>
          <w:u w:val="single"/>
        </w:rPr>
        <w:t>XXXXX</w:t>
      </w:r>
      <w:r>
        <w:rPr>
          <w:rFonts w:hint="eastAsia" w:ascii="宋体" w:hAnsi="宋体"/>
          <w:spacing w:val="6"/>
          <w:sz w:val="28"/>
          <w:szCs w:val="28"/>
          <w:u w:val="single"/>
        </w:rPr>
        <w:t>的</w:t>
      </w:r>
      <w:r>
        <w:rPr>
          <w:rFonts w:hint="eastAsia" w:ascii="宋体" w:hAnsi="宋体"/>
          <w:b/>
          <w:bCs/>
          <w:sz w:val="28"/>
          <w:szCs w:val="28"/>
          <w:u w:val="single"/>
        </w:rPr>
        <w:t>XXXXX采购项目</w:t>
      </w:r>
      <w:r>
        <w:rPr>
          <w:rFonts w:hint="eastAsia" w:ascii="宋体" w:hAnsi="宋体"/>
          <w:spacing w:val="6"/>
          <w:sz w:val="28"/>
          <w:szCs w:val="28"/>
        </w:rPr>
        <w:t>采购活动提供本单位制造的货物，或者提供其他残疾人福利性单位制造的货物（不包括使用非残疾人福利性单位注册商标的货物）。</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588" w:lineRule="exact"/>
        <w:ind w:firstLine="584" w:firstLineChars="200"/>
        <w:rPr>
          <w:rFonts w:ascii="宋体" w:hAnsi="宋体"/>
          <w:spacing w:val="6"/>
          <w:sz w:val="28"/>
          <w:szCs w:val="28"/>
        </w:rPr>
      </w:pPr>
    </w:p>
    <w:p>
      <w:pPr>
        <w:spacing w:line="588" w:lineRule="exact"/>
        <w:ind w:firstLine="584" w:firstLineChars="200"/>
        <w:rPr>
          <w:rFonts w:ascii="宋体" w:hAnsi="宋体"/>
          <w:spacing w:val="6"/>
          <w:sz w:val="28"/>
          <w:szCs w:val="28"/>
        </w:rPr>
      </w:pPr>
    </w:p>
    <w:p>
      <w:pPr>
        <w:spacing w:line="588" w:lineRule="exact"/>
        <w:jc w:val="right"/>
        <w:rPr>
          <w:rFonts w:ascii="宋体" w:hAnsi="宋体"/>
          <w:spacing w:val="6"/>
          <w:sz w:val="28"/>
          <w:szCs w:val="28"/>
        </w:rPr>
      </w:pPr>
    </w:p>
    <w:p>
      <w:pPr>
        <w:tabs>
          <w:tab w:val="left" w:pos="3969"/>
        </w:tabs>
        <w:spacing w:line="588" w:lineRule="exact"/>
        <w:ind w:right="88"/>
        <w:jc w:val="left"/>
        <w:rPr>
          <w:rFonts w:ascii="宋体" w:hAnsi="宋体"/>
          <w:spacing w:val="6"/>
          <w:sz w:val="28"/>
          <w:szCs w:val="28"/>
        </w:rPr>
      </w:pPr>
      <w:r>
        <w:rPr>
          <w:rFonts w:hint="eastAsia" w:ascii="宋体" w:hAnsi="宋体"/>
          <w:spacing w:val="6"/>
          <w:sz w:val="28"/>
          <w:szCs w:val="28"/>
        </w:rPr>
        <w:t>单位名称：</w:t>
      </w:r>
      <w:r>
        <w:rPr>
          <w:rFonts w:hint="eastAsia" w:ascii="宋体" w:hAnsi="宋体"/>
          <w:spacing w:val="6"/>
          <w:sz w:val="28"/>
          <w:szCs w:val="28"/>
          <w:u w:val="single"/>
        </w:rPr>
        <w:t>XXXX</w:t>
      </w:r>
    </w:p>
    <w:p>
      <w:pPr>
        <w:tabs>
          <w:tab w:val="left" w:pos="3969"/>
        </w:tabs>
        <w:spacing w:line="588" w:lineRule="exact"/>
        <w:ind w:right="-58"/>
        <w:jc w:val="left"/>
        <w:rPr>
          <w:rFonts w:ascii="宋体" w:hAnsi="宋体"/>
          <w:bCs/>
          <w:sz w:val="28"/>
        </w:rPr>
      </w:pPr>
      <w:r>
        <w:rPr>
          <w:rFonts w:hint="eastAsia" w:ascii="宋体" w:hAnsi="宋体"/>
          <w:spacing w:val="6"/>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spacing w:line="588" w:lineRule="exact"/>
        <w:ind w:firstLine="586" w:firstLineChars="200"/>
        <w:rPr>
          <w:rFonts w:ascii="宋体" w:hAnsi="宋体"/>
          <w:b/>
          <w:spacing w:val="6"/>
          <w:sz w:val="28"/>
          <w:szCs w:val="28"/>
        </w:rPr>
      </w:pPr>
      <w:r>
        <w:rPr>
          <w:rFonts w:hint="eastAsia" w:ascii="宋体" w:hAnsi="宋体"/>
          <w:b/>
          <w:spacing w:val="6"/>
          <w:sz w:val="28"/>
          <w:szCs w:val="28"/>
        </w:rPr>
        <w:t>说明</w:t>
      </w:r>
      <w:r>
        <w:rPr>
          <w:rFonts w:ascii="宋体" w:hAnsi="宋体"/>
          <w:b/>
          <w:spacing w:val="6"/>
          <w:sz w:val="28"/>
          <w:szCs w:val="28"/>
        </w:rPr>
        <w:t>：</w:t>
      </w:r>
      <w:r>
        <w:rPr>
          <w:rFonts w:hint="eastAsia" w:ascii="宋体" w:hAnsi="宋体"/>
          <w:b/>
          <w:spacing w:val="6"/>
          <w:sz w:val="28"/>
          <w:szCs w:val="28"/>
        </w:rPr>
        <w:t>提供了《中小</w:t>
      </w:r>
      <w:r>
        <w:rPr>
          <w:rFonts w:ascii="宋体" w:hAnsi="宋体"/>
          <w:b/>
          <w:spacing w:val="6"/>
          <w:sz w:val="28"/>
          <w:szCs w:val="28"/>
        </w:rPr>
        <w:t>企业声明函</w:t>
      </w:r>
      <w:r>
        <w:rPr>
          <w:rFonts w:hint="eastAsia" w:ascii="宋体" w:hAnsi="宋体"/>
          <w:b/>
          <w:spacing w:val="6"/>
          <w:sz w:val="28"/>
          <w:szCs w:val="28"/>
        </w:rPr>
        <w:t>》或监狱企业证明文件复印件的不需提供。</w:t>
      </w:r>
    </w:p>
    <w:p>
      <w:pPr>
        <w:tabs>
          <w:tab w:val="left" w:pos="3969"/>
        </w:tabs>
        <w:spacing w:line="588" w:lineRule="exact"/>
        <w:ind w:right="-58"/>
        <w:jc w:val="right"/>
        <w:rPr>
          <w:rFonts w:ascii="宋体" w:hAnsi="宋体"/>
          <w:bCs/>
          <w:sz w:val="28"/>
        </w:rPr>
      </w:pPr>
    </w:p>
    <w:p>
      <w:pPr>
        <w:tabs>
          <w:tab w:val="left" w:pos="3969"/>
        </w:tabs>
        <w:spacing w:line="588" w:lineRule="exact"/>
        <w:ind w:right="-58"/>
        <w:jc w:val="right"/>
        <w:rPr>
          <w:rFonts w:ascii="宋体" w:hAnsi="宋体"/>
          <w:bCs/>
          <w:sz w:val="28"/>
        </w:rPr>
      </w:pPr>
    </w:p>
    <w:p>
      <w:pPr>
        <w:tabs>
          <w:tab w:val="left" w:pos="3969"/>
        </w:tabs>
        <w:spacing w:line="588" w:lineRule="exact"/>
        <w:ind w:right="-58"/>
        <w:jc w:val="right"/>
        <w:rPr>
          <w:rFonts w:ascii="宋体" w:hAnsi="宋体"/>
          <w:bCs/>
          <w:sz w:val="28"/>
        </w:rPr>
      </w:pPr>
    </w:p>
    <w:p>
      <w:pPr>
        <w:tabs>
          <w:tab w:val="left" w:pos="3969"/>
        </w:tabs>
        <w:spacing w:line="588" w:lineRule="exact"/>
        <w:ind w:right="-58"/>
        <w:jc w:val="right"/>
        <w:rPr>
          <w:rFonts w:ascii="宋体" w:hAnsi="宋体"/>
          <w:bCs/>
          <w:sz w:val="28"/>
        </w:rPr>
      </w:pPr>
    </w:p>
    <w:p>
      <w:pPr>
        <w:tabs>
          <w:tab w:val="left" w:pos="3969"/>
        </w:tabs>
        <w:spacing w:line="588" w:lineRule="exact"/>
        <w:ind w:right="502"/>
        <w:rPr>
          <w:rFonts w:ascii="宋体" w:hAnsi="宋体"/>
          <w:bCs/>
          <w:sz w:val="28"/>
        </w:rPr>
      </w:pP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投标人应提交的其他相关资格证明材料</w:t>
      </w:r>
    </w:p>
    <w:p>
      <w:pPr>
        <w:pStyle w:val="80"/>
        <w:spacing w:before="60" w:line="360" w:lineRule="auto"/>
        <w:ind w:left="546" w:firstLine="0" w:firstLineChars="0"/>
        <w:rPr>
          <w:rFonts w:ascii="宋体" w:hAnsi="宋体"/>
          <w:sz w:val="28"/>
          <w:szCs w:val="28"/>
        </w:rPr>
      </w:pPr>
      <w:r>
        <w:rPr>
          <w:rFonts w:hint="eastAsia" w:ascii="宋体" w:hAnsi="宋体" w:eastAsia="宋体" w:cs="Times New Roman"/>
          <w:bCs/>
          <w:color w:val="000000" w:themeColor="text1"/>
          <w:kern w:val="0"/>
          <w:sz w:val="28"/>
          <w:szCs w:val="28"/>
          <w14:textFill>
            <w14:solidFill>
              <w14:schemeClr w14:val="tx1"/>
            </w14:solidFill>
          </w14:textFill>
        </w:rPr>
        <w:t>按第5章资格性审查标准提供的其他资格证明材料</w:t>
      </w:r>
      <w:r>
        <w:rPr>
          <w:rFonts w:hint="eastAsia" w:ascii="宋体" w:hAnsi="宋体"/>
          <w:sz w:val="28"/>
          <w:szCs w:val="28"/>
        </w:rPr>
        <w:t>。</w:t>
      </w:r>
    </w:p>
    <w:p>
      <w:pPr>
        <w:rPr>
          <w:rFonts w:ascii="宋体" w:hAnsi="宋体"/>
          <w:sz w:val="28"/>
          <w:szCs w:val="28"/>
        </w:rPr>
      </w:pPr>
      <w:r>
        <w:rPr>
          <w:rFonts w:hint="eastAsia" w:ascii="宋体" w:hAnsi="宋体"/>
          <w:sz w:val="28"/>
          <w:szCs w:val="28"/>
        </w:rPr>
        <w:br w:type="page"/>
      </w:r>
    </w:p>
    <w:p>
      <w:pPr>
        <w:pStyle w:val="80"/>
        <w:spacing w:before="60" w:line="360" w:lineRule="auto"/>
        <w:ind w:left="546" w:firstLine="0" w:firstLineChars="0"/>
        <w:rPr>
          <w:rFonts w:ascii="宋体" w:hAnsi="宋体"/>
          <w:sz w:val="28"/>
          <w:szCs w:val="28"/>
        </w:rPr>
      </w:pPr>
    </w:p>
    <w:p>
      <w:pPr>
        <w:keepNext/>
        <w:keepLines/>
        <w:numPr>
          <w:ilvl w:val="1"/>
          <w:numId w:val="3"/>
        </w:numPr>
        <w:spacing w:line="360" w:lineRule="auto"/>
        <w:jc w:val="left"/>
        <w:outlineLvl w:val="1"/>
        <w:rPr>
          <w:rFonts w:ascii="宋体" w:hAnsi="宋体"/>
          <w:b/>
          <w:bCs/>
          <w:sz w:val="28"/>
          <w:szCs w:val="28"/>
        </w:rPr>
      </w:pPr>
      <w:bookmarkStart w:id="127" w:name="_Toc78191620"/>
      <w:r>
        <w:rPr>
          <w:rFonts w:hint="eastAsia" w:ascii="宋体" w:hAnsi="宋体"/>
          <w:b/>
          <w:bCs/>
          <w:sz w:val="28"/>
          <w:szCs w:val="28"/>
        </w:rPr>
        <w:t>商务技术</w:t>
      </w:r>
      <w:r>
        <w:rPr>
          <w:rFonts w:ascii="宋体" w:hAnsi="宋体"/>
          <w:b/>
          <w:bCs/>
          <w:sz w:val="28"/>
          <w:szCs w:val="28"/>
        </w:rPr>
        <w:t>响应文件</w:t>
      </w:r>
      <w:bookmarkEnd w:id="127"/>
    </w:p>
    <w:p>
      <w:pPr>
        <w:keepNext/>
        <w:keepLines/>
        <w:numPr>
          <w:ilvl w:val="2"/>
          <w:numId w:val="3"/>
        </w:numPr>
        <w:spacing w:line="360" w:lineRule="auto"/>
        <w:ind w:left="569" w:hanging="569"/>
        <w:outlineLvl w:val="2"/>
        <w:rPr>
          <w:rFonts w:ascii="宋体" w:hAnsi="宋体"/>
          <w:b/>
          <w:bCs/>
          <w:sz w:val="28"/>
          <w:szCs w:val="28"/>
        </w:rPr>
      </w:pPr>
      <w:r>
        <w:rPr>
          <w:rFonts w:hint="eastAsia" w:ascii="宋体" w:hAnsi="宋体"/>
          <w:b/>
          <w:bCs/>
          <w:sz w:val="28"/>
          <w:szCs w:val="28"/>
        </w:rPr>
        <w:t>投标函</w:t>
      </w:r>
    </w:p>
    <w:p>
      <w:pPr>
        <w:spacing w:line="560" w:lineRule="exact"/>
        <w:rPr>
          <w:rFonts w:ascii="宋体" w:hAnsi="宋体"/>
          <w:bCs/>
          <w:sz w:val="28"/>
          <w:szCs w:val="28"/>
        </w:rPr>
      </w:pPr>
      <w:r>
        <w:rPr>
          <w:rFonts w:hint="eastAsia" w:ascii="宋体" w:hAnsi="宋体"/>
          <w:bCs/>
          <w:sz w:val="28"/>
          <w:szCs w:val="28"/>
        </w:rPr>
        <w:t>都江堰市公共资源交易服务中心：</w:t>
      </w:r>
    </w:p>
    <w:p>
      <w:pPr>
        <w:spacing w:line="560" w:lineRule="exact"/>
        <w:ind w:firstLine="565" w:firstLineChars="202"/>
        <w:rPr>
          <w:rFonts w:ascii="宋体" w:hAnsi="宋体"/>
          <w:bCs/>
          <w:sz w:val="28"/>
          <w:szCs w:val="28"/>
        </w:rPr>
      </w:pPr>
      <w:r>
        <w:rPr>
          <w:rFonts w:hint="eastAsia" w:ascii="宋体" w:hAnsi="宋体"/>
          <w:bCs/>
          <w:sz w:val="28"/>
          <w:szCs w:val="28"/>
        </w:rPr>
        <w:t>我方全面研究了“</w:t>
      </w:r>
      <w:r>
        <w:rPr>
          <w:rFonts w:hint="eastAsia" w:ascii="宋体" w:hAnsi="宋体"/>
          <w:b/>
          <w:sz w:val="28"/>
          <w:szCs w:val="28"/>
          <w:u w:val="single"/>
        </w:rPr>
        <w:t>XXXX采购项目</w:t>
      </w:r>
      <w:r>
        <w:rPr>
          <w:rFonts w:hint="eastAsia" w:ascii="宋体" w:hAnsi="宋体"/>
          <w:b/>
          <w:bCs/>
          <w:sz w:val="28"/>
          <w:szCs w:val="28"/>
          <w:u w:val="single"/>
        </w:rPr>
        <w:t>”（项目编号：JY3202    号）</w:t>
      </w:r>
      <w:r>
        <w:rPr>
          <w:rFonts w:hint="eastAsia" w:ascii="宋体" w:hAnsi="宋体"/>
          <w:bCs/>
          <w:sz w:val="28"/>
          <w:szCs w:val="28"/>
        </w:rPr>
        <w:t>招标文件，决定参加贵单位组织的本项目投标。</w:t>
      </w:r>
    </w:p>
    <w:p>
      <w:pPr>
        <w:numPr>
          <w:ilvl w:val="1"/>
          <w:numId w:val="33"/>
        </w:numPr>
        <w:tabs>
          <w:tab w:val="left" w:pos="1134"/>
        </w:tabs>
        <w:spacing w:line="560" w:lineRule="exact"/>
        <w:ind w:left="0" w:firstLine="567"/>
        <w:rPr>
          <w:rFonts w:ascii="宋体" w:hAnsi="宋体"/>
          <w:sz w:val="28"/>
          <w:szCs w:val="28"/>
        </w:rPr>
      </w:pPr>
      <w:r>
        <w:rPr>
          <w:rFonts w:hint="eastAsia" w:ascii="宋体" w:hAnsi="宋体"/>
          <w:sz w:val="28"/>
          <w:szCs w:val="28"/>
        </w:rPr>
        <w:t>我方自愿按照招标文件规定的各项要求向采购人提供所需货物及服务，</w:t>
      </w:r>
      <w:r>
        <w:rPr>
          <w:rFonts w:hint="eastAsia" w:ascii="宋体" w:hAnsi="宋体"/>
          <w:b/>
          <w:sz w:val="28"/>
          <w:szCs w:val="28"/>
        </w:rPr>
        <w:t>投标报价以《开标一览表》为准</w:t>
      </w:r>
      <w:r>
        <w:rPr>
          <w:rFonts w:hint="eastAsia" w:ascii="宋体" w:hAnsi="宋体"/>
          <w:sz w:val="28"/>
          <w:szCs w:val="28"/>
        </w:rPr>
        <w:t>。</w:t>
      </w:r>
    </w:p>
    <w:p>
      <w:pPr>
        <w:numPr>
          <w:ilvl w:val="1"/>
          <w:numId w:val="33"/>
        </w:numPr>
        <w:tabs>
          <w:tab w:val="left" w:pos="1134"/>
        </w:tabs>
        <w:spacing w:line="560" w:lineRule="exact"/>
        <w:ind w:left="0" w:firstLine="567"/>
        <w:rPr>
          <w:rFonts w:ascii="宋体" w:hAnsi="宋体"/>
          <w:sz w:val="28"/>
          <w:szCs w:val="28"/>
        </w:rPr>
      </w:pPr>
      <w:r>
        <w:rPr>
          <w:rFonts w:hint="eastAsia" w:ascii="宋体" w:hAnsi="宋体"/>
          <w:sz w:val="28"/>
          <w:szCs w:val="28"/>
        </w:rPr>
        <w:t>如果我方中标，我方将严格履行合同规定的责任和义务，否则将承担由此产生的一切责任。</w:t>
      </w:r>
    </w:p>
    <w:p>
      <w:pPr>
        <w:numPr>
          <w:ilvl w:val="1"/>
          <w:numId w:val="33"/>
        </w:numPr>
        <w:tabs>
          <w:tab w:val="left" w:pos="1134"/>
        </w:tabs>
        <w:spacing w:line="560" w:lineRule="exact"/>
        <w:ind w:left="0" w:firstLine="567"/>
        <w:rPr>
          <w:rFonts w:ascii="宋体" w:hAnsi="宋体"/>
          <w:sz w:val="28"/>
          <w:szCs w:val="28"/>
        </w:rPr>
      </w:pPr>
      <w:r>
        <w:rPr>
          <w:rFonts w:hint="eastAsia" w:ascii="宋体" w:hAnsi="宋体"/>
          <w:sz w:val="28"/>
          <w:szCs w:val="28"/>
        </w:rPr>
        <w:t>我方已知晓全部招标文件的内容，包括修改文件（如有）以及全部相关资料和有关附件，并对上述文件均无异议。</w:t>
      </w:r>
    </w:p>
    <w:p>
      <w:pPr>
        <w:numPr>
          <w:ilvl w:val="1"/>
          <w:numId w:val="33"/>
        </w:numPr>
        <w:tabs>
          <w:tab w:val="left" w:pos="1134"/>
        </w:tabs>
        <w:spacing w:line="560" w:lineRule="exact"/>
        <w:ind w:left="0" w:firstLine="567"/>
        <w:rPr>
          <w:rFonts w:ascii="宋体" w:hAnsi="宋体"/>
          <w:sz w:val="28"/>
          <w:szCs w:val="28"/>
        </w:rPr>
      </w:pPr>
      <w:r>
        <w:rPr>
          <w:rFonts w:hint="eastAsia" w:ascii="宋体" w:hAnsi="宋体"/>
          <w:sz w:val="28"/>
          <w:szCs w:val="28"/>
        </w:rPr>
        <w:t>投标有效期为从投标截止之日起120天。</w:t>
      </w:r>
    </w:p>
    <w:p>
      <w:pPr>
        <w:numPr>
          <w:ilvl w:val="1"/>
          <w:numId w:val="33"/>
        </w:numPr>
        <w:tabs>
          <w:tab w:val="left" w:pos="1134"/>
        </w:tabs>
        <w:spacing w:line="560" w:lineRule="exact"/>
        <w:ind w:left="0" w:firstLine="567"/>
        <w:rPr>
          <w:rFonts w:ascii="宋体" w:hAnsi="宋体"/>
          <w:sz w:val="28"/>
          <w:szCs w:val="28"/>
        </w:rPr>
      </w:pPr>
      <w:r>
        <w:rPr>
          <w:rFonts w:hint="eastAsia" w:ascii="宋体" w:hAnsi="宋体"/>
          <w:sz w:val="28"/>
          <w:szCs w:val="28"/>
        </w:rPr>
        <w:t>我方愿意提供贵中心可能另外要求的，与投标有关的文件资料，并保证我方已提供和将要提供的文件资料是真实、准确的，并对此承担一切法律后果。</w:t>
      </w:r>
    </w:p>
    <w:p>
      <w:pPr>
        <w:numPr>
          <w:ilvl w:val="1"/>
          <w:numId w:val="33"/>
        </w:numPr>
        <w:tabs>
          <w:tab w:val="left" w:pos="1134"/>
        </w:tabs>
        <w:spacing w:line="360" w:lineRule="auto"/>
        <w:ind w:left="0" w:firstLine="567"/>
        <w:rPr>
          <w:rFonts w:ascii="宋体" w:hAnsi="宋体"/>
          <w:sz w:val="28"/>
          <w:szCs w:val="28"/>
        </w:rPr>
      </w:pPr>
      <w:r>
        <w:rPr>
          <w:rFonts w:hint="eastAsia" w:ascii="宋体" w:hAnsi="宋体"/>
          <w:sz w:val="28"/>
          <w:szCs w:val="28"/>
        </w:rPr>
        <w:t>我单位联系方式：</w:t>
      </w:r>
      <w:r>
        <w:rPr>
          <w:rFonts w:hint="eastAsia" w:ascii="宋体" w:hAnsi="宋体"/>
          <w:sz w:val="28"/>
          <w:szCs w:val="28"/>
          <w:u w:val="single"/>
        </w:rPr>
        <w:t>XXXX</w:t>
      </w:r>
    </w:p>
    <w:p>
      <w:pPr>
        <w:spacing w:line="360" w:lineRule="auto"/>
        <w:ind w:left="420" w:firstLine="565"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spacing w:line="360" w:lineRule="auto"/>
        <w:ind w:left="420" w:firstLine="565"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spacing w:line="360" w:lineRule="auto"/>
        <w:ind w:left="420" w:firstLine="565"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spacing w:after="120" w:line="360" w:lineRule="auto"/>
        <w:ind w:left="420" w:leftChars="200" w:firstLine="560" w:firstLine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spacing w:line="360" w:lineRule="auto"/>
        <w:ind w:left="283" w:leftChars="135" w:firstLine="700" w:firstLineChars="25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bookmarkStart w:id="128" w:name="_Toc239846734"/>
      <w:bookmarkStart w:id="129" w:name="_Toc237145395"/>
      <w:bookmarkStart w:id="130" w:name="_Toc229802674"/>
      <w:bookmarkStart w:id="131" w:name="_Toc314574804"/>
      <w:bookmarkStart w:id="132" w:name="_Toc231030275"/>
      <w:bookmarkStart w:id="133" w:name="_Toc240367172"/>
      <w:bookmarkStart w:id="134" w:name="_Toc240865266"/>
      <w:bookmarkStart w:id="135" w:name="_Toc239849853"/>
      <w:bookmarkStart w:id="136" w:name="_Toc265494342"/>
    </w:p>
    <w:p>
      <w:pPr>
        <w:keepNext/>
        <w:keepLines/>
        <w:numPr>
          <w:ilvl w:val="2"/>
          <w:numId w:val="3"/>
        </w:numPr>
        <w:spacing w:line="360" w:lineRule="auto"/>
        <w:ind w:left="3119" w:hanging="3119"/>
        <w:outlineLvl w:val="2"/>
        <w:rPr>
          <w:rFonts w:ascii="宋体" w:hAnsi="宋体"/>
          <w:b/>
          <w:bCs/>
          <w:sz w:val="28"/>
          <w:szCs w:val="28"/>
        </w:rPr>
      </w:pPr>
      <w:r>
        <w:rPr>
          <w:rFonts w:hint="eastAsia" w:ascii="宋体" w:hAnsi="宋体"/>
          <w:b/>
          <w:bCs/>
          <w:sz w:val="28"/>
          <w:szCs w:val="28"/>
        </w:rPr>
        <w:t>法定代表人身份证明书</w:t>
      </w:r>
    </w:p>
    <w:p>
      <w:pPr>
        <w:tabs>
          <w:tab w:val="left" w:pos="6300"/>
        </w:tabs>
        <w:spacing w:line="360" w:lineRule="auto"/>
        <w:ind w:firstLine="573"/>
        <w:rPr>
          <w:rFonts w:ascii="宋体" w:hAnsi="宋体"/>
          <w:sz w:val="28"/>
          <w:u w:val="single"/>
          <w:lang w:val="zh-CN"/>
        </w:rPr>
      </w:pPr>
    </w:p>
    <w:p>
      <w:pPr>
        <w:tabs>
          <w:tab w:val="left" w:pos="6300"/>
        </w:tabs>
        <w:spacing w:line="360" w:lineRule="auto"/>
        <w:ind w:firstLine="573"/>
        <w:rPr>
          <w:rFonts w:ascii="宋体" w:hAnsi="宋体"/>
          <w:sz w:val="28"/>
          <w:lang w:val="zh-CN"/>
        </w:rPr>
      </w:pPr>
      <w:r>
        <w:rPr>
          <w:rFonts w:hint="eastAsia" w:ascii="宋体" w:hAnsi="宋体"/>
          <w:sz w:val="28"/>
          <w:u w:val="single"/>
          <w:lang w:val="zh-CN"/>
        </w:rPr>
        <w:t>XXXX（法定代表人姓名）</w:t>
      </w:r>
      <w:r>
        <w:rPr>
          <w:rFonts w:hint="eastAsia" w:ascii="宋体" w:hAnsi="宋体"/>
          <w:sz w:val="28"/>
          <w:lang w:val="zh-CN"/>
        </w:rPr>
        <w:t>在</w:t>
      </w:r>
      <w:r>
        <w:rPr>
          <w:rFonts w:hint="eastAsia" w:ascii="宋体" w:hAnsi="宋体"/>
          <w:sz w:val="28"/>
          <w:u w:val="single"/>
          <w:lang w:val="zh-CN"/>
        </w:rPr>
        <w:t>XXXX（投标人名称）</w:t>
      </w:r>
      <w:r>
        <w:rPr>
          <w:rFonts w:hint="eastAsia" w:ascii="宋体" w:hAnsi="宋体"/>
          <w:sz w:val="28"/>
          <w:lang w:val="zh-CN"/>
        </w:rPr>
        <w:t>处任</w:t>
      </w:r>
      <w:r>
        <w:rPr>
          <w:rFonts w:hint="eastAsia" w:ascii="宋体" w:hAnsi="宋体"/>
          <w:sz w:val="28"/>
          <w:u w:val="single"/>
          <w:lang w:val="zh-CN"/>
        </w:rPr>
        <w:t>XXXX（职务名称）</w:t>
      </w:r>
      <w:r>
        <w:rPr>
          <w:rFonts w:hint="eastAsia" w:ascii="宋体" w:hAnsi="宋体"/>
          <w:sz w:val="28"/>
          <w:lang w:val="zh-CN"/>
        </w:rPr>
        <w:t>职务，是</w:t>
      </w:r>
      <w:r>
        <w:rPr>
          <w:rFonts w:hint="eastAsia" w:ascii="宋体" w:hAnsi="宋体"/>
          <w:sz w:val="28"/>
          <w:u w:val="single"/>
          <w:lang w:val="zh-CN"/>
        </w:rPr>
        <w:t>XXXX（投标人名称）</w:t>
      </w:r>
      <w:r>
        <w:rPr>
          <w:rFonts w:hint="eastAsia" w:ascii="宋体" w:hAnsi="宋体"/>
          <w:sz w:val="28"/>
          <w:lang w:val="zh-CN"/>
        </w:rPr>
        <w:t>的法定代表人。</w:t>
      </w: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bookmarkStart w:id="137" w:name="_Toc263768866"/>
      <w:r>
        <w:rPr>
          <w:rFonts w:hint="eastAsia" w:ascii="宋体" w:hAnsi="宋体"/>
          <w:sz w:val="28"/>
          <w:lang w:val="zh-CN"/>
        </w:rPr>
        <w:t>特此证明。</w:t>
      </w:r>
      <w:bookmarkEnd w:id="137"/>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spacing w:line="360" w:lineRule="auto"/>
        <w:rPr>
          <w:rFonts w:ascii="宋体" w:hAnsi="宋体"/>
          <w:sz w:val="28"/>
          <w:lang w:val="zh-CN"/>
        </w:rPr>
      </w:pPr>
      <w:r>
        <w:rPr>
          <w:rFonts w:hint="eastAsia" w:ascii="宋体" w:hAnsi="宋体"/>
          <w:sz w:val="28"/>
          <w:lang w:val="zh-CN"/>
        </w:rPr>
        <w:t>投标人名称：</w:t>
      </w:r>
      <w:r>
        <w:rPr>
          <w:rFonts w:hint="eastAsia" w:ascii="宋体" w:hAnsi="宋体"/>
          <w:sz w:val="28"/>
          <w:u w:val="single"/>
          <w:lang w:val="zh-CN"/>
        </w:rPr>
        <w:t>XXXX</w:t>
      </w:r>
    </w:p>
    <w:p>
      <w:pPr>
        <w:spacing w:line="360" w:lineRule="auto"/>
        <w:rPr>
          <w:rFonts w:ascii="宋体" w:hAnsi="宋体"/>
          <w:b/>
          <w:sz w:val="28"/>
          <w:u w:val="single"/>
          <w:lang w:val="zh-CN"/>
        </w:rPr>
      </w:pPr>
      <w:r>
        <w:rPr>
          <w:rFonts w:hint="eastAsia" w:ascii="宋体" w:hAnsi="宋体"/>
          <w:sz w:val="28"/>
        </w:rPr>
        <w:t>日期：</w:t>
      </w:r>
      <w:r>
        <w:rPr>
          <w:rFonts w:hint="eastAsia" w:ascii="宋体" w:hAnsi="宋体"/>
          <w:bCs/>
          <w:sz w:val="28"/>
        </w:rPr>
        <w:t>20</w:t>
      </w:r>
      <w:r>
        <w:rPr>
          <w:rFonts w:hint="eastAsia" w:ascii="宋体" w:hAnsi="宋体"/>
          <w:sz w:val="28"/>
          <w:lang w:val="zh-CN"/>
        </w:rPr>
        <w:t>2</w:t>
      </w:r>
      <w:r>
        <w:rPr>
          <w:rFonts w:hint="eastAsia" w:ascii="宋体" w:hAnsi="宋体"/>
          <w:sz w:val="28"/>
          <w:u w:val="single"/>
          <w:lang w:val="zh-CN"/>
        </w:rPr>
        <w:t>X</w:t>
      </w:r>
      <w:r>
        <w:rPr>
          <w:rFonts w:hint="eastAsia" w:ascii="宋体" w:hAnsi="宋体"/>
          <w:bCs/>
          <w:sz w:val="28"/>
        </w:rPr>
        <w:t>年</w:t>
      </w:r>
      <w:r>
        <w:rPr>
          <w:rFonts w:hint="eastAsia" w:ascii="宋体" w:hAnsi="宋体"/>
          <w:sz w:val="28"/>
          <w:u w:val="single"/>
          <w:lang w:val="zh-CN"/>
        </w:rPr>
        <w:t>XX</w:t>
      </w:r>
      <w:r>
        <w:rPr>
          <w:rFonts w:hint="eastAsia" w:ascii="宋体" w:hAnsi="宋体"/>
          <w:bCs/>
          <w:sz w:val="28"/>
        </w:rPr>
        <w:t>月</w:t>
      </w:r>
      <w:r>
        <w:rPr>
          <w:rFonts w:hint="eastAsia" w:ascii="宋体" w:hAnsi="宋体"/>
          <w:sz w:val="28"/>
          <w:u w:val="single"/>
          <w:lang w:val="zh-CN"/>
        </w:rPr>
        <w:t>XX</w:t>
      </w:r>
      <w:r>
        <w:rPr>
          <w:rFonts w:hint="eastAsia" w:ascii="宋体" w:hAnsi="宋体"/>
          <w:bCs/>
          <w:sz w:val="28"/>
        </w:rPr>
        <w:t>日</w:t>
      </w:r>
    </w:p>
    <w:p>
      <w:pPr>
        <w:spacing w:after="180" w:line="360" w:lineRule="auto"/>
        <w:ind w:firstLine="568" w:firstLineChars="202"/>
        <w:rPr>
          <w:rFonts w:ascii="宋体" w:hAnsi="宋体"/>
          <w:b/>
          <w:sz w:val="28"/>
          <w:szCs w:val="28"/>
        </w:rPr>
      </w:pPr>
    </w:p>
    <w:p>
      <w:pPr>
        <w:spacing w:after="180" w:line="360" w:lineRule="auto"/>
        <w:ind w:firstLine="568" w:firstLineChars="202"/>
        <w:rPr>
          <w:rFonts w:ascii="宋体" w:hAnsi="宋体"/>
          <w:b/>
          <w:sz w:val="28"/>
          <w:szCs w:val="28"/>
        </w:rPr>
      </w:pPr>
      <w:r>
        <w:rPr>
          <w:rFonts w:hint="eastAsia" w:ascii="宋体" w:hAnsi="宋体"/>
          <w:b/>
          <w:sz w:val="28"/>
          <w:szCs w:val="28"/>
        </w:rPr>
        <w:t>说明：上述证明文件在投标文件中附有法定代表人身份证复印件（身份证两面均应复印）或护照复印件（投标人的法定代表人为外籍人士的，则提供护照复印件）时才能生效。</w:t>
      </w:r>
    </w:p>
    <w:p>
      <w:pPr>
        <w:spacing w:after="180" w:line="302" w:lineRule="auto"/>
        <w:rPr>
          <w:rFonts w:ascii="宋体" w:hAnsi="宋体"/>
          <w:b/>
          <w:sz w:val="28"/>
          <w:szCs w:val="28"/>
        </w:rPr>
      </w:pPr>
    </w:p>
    <w:bookmarkEnd w:id="128"/>
    <w:bookmarkEnd w:id="129"/>
    <w:bookmarkEnd w:id="130"/>
    <w:bookmarkEnd w:id="131"/>
    <w:bookmarkEnd w:id="132"/>
    <w:bookmarkEnd w:id="133"/>
    <w:bookmarkEnd w:id="134"/>
    <w:bookmarkEnd w:id="135"/>
    <w:bookmarkEnd w:id="136"/>
    <w:p>
      <w:pPr>
        <w:keepNext/>
        <w:keepLines/>
        <w:numPr>
          <w:ilvl w:val="2"/>
          <w:numId w:val="3"/>
        </w:numPr>
        <w:spacing w:line="360" w:lineRule="auto"/>
        <w:ind w:left="3119" w:hanging="3119"/>
        <w:outlineLvl w:val="2"/>
        <w:rPr>
          <w:rFonts w:ascii="宋体" w:hAnsi="宋体"/>
          <w:b/>
          <w:bCs/>
          <w:sz w:val="28"/>
          <w:szCs w:val="28"/>
        </w:rPr>
      </w:pPr>
      <w:bookmarkStart w:id="138" w:name="_Toc315871054"/>
      <w:bookmarkEnd w:id="138"/>
      <w:bookmarkStart w:id="139" w:name="_Toc302997926"/>
      <w:bookmarkStart w:id="140" w:name="_Toc220299393"/>
      <w:bookmarkStart w:id="141" w:name="_Toc263768870"/>
      <w:bookmarkStart w:id="142" w:name="_Toc263753605"/>
      <w:bookmarkStart w:id="143" w:name="_Toc217446083"/>
      <w:r>
        <w:rPr>
          <w:rFonts w:hint="eastAsia" w:ascii="宋体" w:hAnsi="宋体"/>
          <w:b/>
          <w:bCs/>
          <w:sz w:val="28"/>
          <w:szCs w:val="28"/>
        </w:rPr>
        <w:t>投标人基本情况表</w:t>
      </w:r>
      <w:bookmarkEnd w:id="139"/>
    </w:p>
    <w:tbl>
      <w:tblPr>
        <w:tblStyle w:val="47"/>
        <w:tblW w:w="85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投标人名称</w:t>
            </w:r>
          </w:p>
        </w:tc>
        <w:tc>
          <w:tcPr>
            <w:tcW w:w="7006"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注册地址</w:t>
            </w:r>
          </w:p>
        </w:tc>
        <w:tc>
          <w:tcPr>
            <w:tcW w:w="34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联系方式</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516" w:type="dxa"/>
            <w:vMerge w:val="continue"/>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单位性质</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法定代表人</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 w:hRule="atLeast"/>
          <w:jc w:val="center"/>
        </w:trPr>
        <w:tc>
          <w:tcPr>
            <w:tcW w:w="1516"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技术负责人</w:t>
            </w:r>
          </w:p>
        </w:tc>
        <w:tc>
          <w:tcPr>
            <w:tcW w:w="97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1516"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财务负责人</w:t>
            </w:r>
          </w:p>
        </w:tc>
        <w:tc>
          <w:tcPr>
            <w:tcW w:w="97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成立时间</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ind w:firstLine="1470" w:firstLineChars="700"/>
              <w:rPr>
                <w:rFonts w:ascii="宋体" w:hAnsi="宋体"/>
                <w:szCs w:val="21"/>
              </w:rPr>
            </w:pPr>
            <w:r>
              <w:rPr>
                <w:rFonts w:hint="eastAsia" w:ascii="宋体" w:hAnsi="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企业资质等级</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营业执照号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注册资金</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开户银行</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账号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经营范围</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jc w:val="center"/>
        </w:trPr>
        <w:tc>
          <w:tcPr>
            <w:tcW w:w="1516"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rFonts w:ascii="宋体" w:hAnsi="宋体"/>
                <w:szCs w:val="21"/>
              </w:rPr>
            </w:pPr>
            <w:r>
              <w:rPr>
                <w:rFonts w:hint="eastAsia" w:ascii="宋体" w:hAnsi="宋体"/>
                <w:szCs w:val="21"/>
              </w:rPr>
              <w:t>备注</w:t>
            </w:r>
          </w:p>
        </w:tc>
        <w:tc>
          <w:tcPr>
            <w:tcW w:w="7006"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rFonts w:ascii="宋体" w:hAnsi="宋体"/>
                <w:szCs w:val="21"/>
              </w:rPr>
            </w:pPr>
          </w:p>
        </w:tc>
      </w:tr>
    </w:tbl>
    <w:p>
      <w:pPr>
        <w:adjustRightInd w:val="0"/>
        <w:spacing w:line="400" w:lineRule="exact"/>
        <w:rPr>
          <w:rFonts w:ascii="宋体" w:hAnsi="宋体"/>
          <w:bCs/>
          <w:sz w:val="28"/>
          <w:szCs w:val="28"/>
        </w:rPr>
      </w:pPr>
    </w:p>
    <w:p>
      <w:pPr>
        <w:spacing w:after="120" w:line="360" w:lineRule="auto"/>
        <w:ind w:left="420" w:leftChars="200" w:firstLine="288" w:firstLineChars="103"/>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ab/>
      </w:r>
      <w:r>
        <w:rPr>
          <w:rFonts w:hint="eastAsia" w:ascii="宋体" w:hAnsi="宋体"/>
          <w:bCs/>
          <w:sz w:val="28"/>
          <w:szCs w:val="28"/>
          <w:u w:val="single"/>
        </w:rPr>
        <w:t>XXXX</w:t>
      </w:r>
    </w:p>
    <w:p>
      <w:pPr>
        <w:adjustRightInd w:val="0"/>
        <w:spacing w:line="400" w:lineRule="exact"/>
        <w:ind w:firstLine="700" w:firstLineChars="250"/>
        <w:rPr>
          <w:rFonts w:ascii="宋体" w:hAnsi="宋体"/>
          <w:bCs/>
          <w:sz w:val="28"/>
          <w:u w:val="single"/>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700" w:firstLineChars="250"/>
        <w:rPr>
          <w:rFonts w:ascii="宋体" w:hAnsi="宋体"/>
          <w:bCs/>
          <w:sz w:val="28"/>
        </w:rPr>
      </w:pPr>
    </w:p>
    <w:p>
      <w:pPr>
        <w:adjustRightInd w:val="0"/>
        <w:spacing w:line="400" w:lineRule="exact"/>
        <w:ind w:firstLine="700" w:firstLineChars="250"/>
        <w:rPr>
          <w:rFonts w:ascii="宋体" w:hAnsi="宋体"/>
          <w:bCs/>
          <w:sz w:val="28"/>
          <w:szCs w:val="28"/>
        </w:rPr>
      </w:pPr>
    </w:p>
    <w:bookmarkEnd w:id="140"/>
    <w:bookmarkEnd w:id="141"/>
    <w:bookmarkEnd w:id="142"/>
    <w:p>
      <w:pPr>
        <w:keepNext/>
        <w:keepLines/>
        <w:numPr>
          <w:ilvl w:val="2"/>
          <w:numId w:val="3"/>
        </w:numPr>
        <w:spacing w:line="360" w:lineRule="auto"/>
        <w:ind w:left="142" w:hanging="142"/>
        <w:outlineLvl w:val="2"/>
        <w:rPr>
          <w:rFonts w:ascii="宋体" w:hAnsi="宋体"/>
          <w:b/>
          <w:bCs/>
          <w:sz w:val="28"/>
          <w:szCs w:val="28"/>
        </w:rPr>
      </w:pPr>
      <w:bookmarkStart w:id="144" w:name="_Toc302997928"/>
      <w:bookmarkStart w:id="145" w:name="_Toc263768877"/>
      <w:bookmarkStart w:id="146" w:name="_Toc263753619"/>
      <w:r>
        <w:rPr>
          <w:rFonts w:hint="eastAsia" w:ascii="宋体" w:hAnsi="宋体"/>
          <w:b/>
          <w:bCs/>
          <w:sz w:val="28"/>
          <w:szCs w:val="28"/>
        </w:rPr>
        <w:t>投标产品技术性能、技术参数和配置的详细描述</w:t>
      </w:r>
    </w:p>
    <w:p>
      <w:pPr>
        <w:snapToGrid w:val="0"/>
        <w:spacing w:line="360" w:lineRule="auto"/>
        <w:ind w:right="-624" w:rightChars="-297"/>
        <w:rPr>
          <w:rFonts w:ascii="宋体" w:hAnsi="宋体"/>
          <w:b/>
          <w:sz w:val="28"/>
        </w:rPr>
      </w:pPr>
      <w:r>
        <w:rPr>
          <w:rFonts w:hint="eastAsia" w:ascii="宋体" w:hAnsi="宋体"/>
          <w:b/>
          <w:sz w:val="28"/>
        </w:rPr>
        <w:t>项目名称：</w:t>
      </w:r>
      <w:r>
        <w:rPr>
          <w:rFonts w:hint="eastAsia" w:ascii="宋体" w:hAnsi="宋体"/>
          <w:b/>
          <w:sz w:val="28"/>
          <w:szCs w:val="28"/>
          <w:u w:val="single"/>
        </w:rPr>
        <w:t>XXXXXX采购项目</w:t>
      </w:r>
    </w:p>
    <w:p>
      <w:pPr>
        <w:snapToGrid w:val="0"/>
        <w:spacing w:line="360" w:lineRule="auto"/>
        <w:ind w:right="-624" w:rightChars="-297"/>
        <w:rPr>
          <w:rFonts w:ascii="宋体" w:hAnsi="宋体"/>
        </w:rPr>
      </w:pPr>
      <w:r>
        <w:rPr>
          <w:rFonts w:hint="eastAsia" w:ascii="宋体" w:hAnsi="宋体"/>
          <w:b/>
          <w:sz w:val="28"/>
        </w:rPr>
        <w:t>项目编号：</w:t>
      </w:r>
      <w:r>
        <w:rPr>
          <w:rFonts w:hint="eastAsia" w:ascii="宋体" w:hAnsi="宋体"/>
          <w:b/>
          <w:sz w:val="28"/>
          <w:szCs w:val="28"/>
          <w:u w:val="single"/>
        </w:rPr>
        <w:t>JY3202     号</w:t>
      </w:r>
    </w:p>
    <w:p>
      <w:pPr>
        <w:spacing w:line="360" w:lineRule="auto"/>
        <w:rPr>
          <w:rFonts w:ascii="宋体" w:hAnsi="宋体"/>
          <w:b/>
          <w:sz w:val="28"/>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u w:val="single"/>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rPr>
          <w:rFonts w:ascii="宋体" w:hAnsi="宋体"/>
          <w:bCs/>
          <w:sz w:val="28"/>
        </w:rPr>
      </w:pPr>
    </w:p>
    <w:p>
      <w:pPr>
        <w:adjustRightInd w:val="0"/>
        <w:spacing w:line="400" w:lineRule="exact"/>
        <w:rPr>
          <w:rFonts w:ascii="宋体" w:hAnsi="宋体"/>
          <w:bCs/>
          <w:sz w:val="28"/>
        </w:rPr>
      </w:pPr>
    </w:p>
    <w:p>
      <w:pPr>
        <w:keepNext/>
        <w:keepLines/>
        <w:numPr>
          <w:ilvl w:val="2"/>
          <w:numId w:val="3"/>
        </w:numPr>
        <w:spacing w:line="360" w:lineRule="auto"/>
        <w:ind w:left="3119" w:hanging="3119"/>
        <w:outlineLvl w:val="2"/>
        <w:rPr>
          <w:rFonts w:ascii="宋体" w:hAnsi="宋体"/>
          <w:b/>
          <w:bCs/>
          <w:sz w:val="28"/>
          <w:szCs w:val="28"/>
        </w:rPr>
      </w:pPr>
      <w:r>
        <w:rPr>
          <w:rFonts w:hint="eastAsia" w:ascii="宋体" w:hAnsi="宋体"/>
          <w:b/>
          <w:bCs/>
          <w:sz w:val="28"/>
          <w:szCs w:val="28"/>
        </w:rPr>
        <w:t>售后服务及承诺</w:t>
      </w:r>
      <w:bookmarkEnd w:id="144"/>
      <w:bookmarkEnd w:id="145"/>
      <w:bookmarkEnd w:id="146"/>
    </w:p>
    <w:p>
      <w:pPr>
        <w:snapToGrid w:val="0"/>
        <w:spacing w:line="360" w:lineRule="auto"/>
        <w:ind w:right="-624" w:rightChars="-297"/>
        <w:rPr>
          <w:rFonts w:ascii="宋体" w:hAnsi="宋体"/>
          <w:b/>
          <w:sz w:val="28"/>
          <w:szCs w:val="28"/>
        </w:rPr>
      </w:pPr>
      <w:r>
        <w:rPr>
          <w:rFonts w:hint="eastAsia" w:ascii="宋体" w:hAnsi="宋体"/>
          <w:b/>
          <w:sz w:val="28"/>
        </w:rPr>
        <w:t>项目名称：</w:t>
      </w:r>
      <w:r>
        <w:rPr>
          <w:rFonts w:hint="eastAsia" w:ascii="宋体" w:hAnsi="宋体"/>
          <w:b/>
          <w:sz w:val="28"/>
          <w:szCs w:val="28"/>
          <w:u w:val="single"/>
        </w:rPr>
        <w:t>XXXXX采购项目</w:t>
      </w:r>
    </w:p>
    <w:p>
      <w:pPr>
        <w:snapToGrid w:val="0"/>
        <w:spacing w:line="360" w:lineRule="auto"/>
        <w:ind w:right="-624" w:rightChars="-297"/>
        <w:rPr>
          <w:rFonts w:ascii="宋体" w:hAnsi="宋体"/>
          <w:b/>
          <w:sz w:val="28"/>
        </w:rPr>
      </w:pPr>
      <w:r>
        <w:rPr>
          <w:rFonts w:hint="eastAsia" w:ascii="宋体" w:hAnsi="宋体"/>
          <w:b/>
          <w:sz w:val="28"/>
        </w:rPr>
        <w:t>项目编号：</w:t>
      </w:r>
      <w:r>
        <w:rPr>
          <w:rFonts w:hint="eastAsia" w:ascii="宋体" w:hAnsi="宋体"/>
          <w:b/>
          <w:sz w:val="28"/>
          <w:u w:val="single"/>
        </w:rPr>
        <w:t>JY3202      号</w:t>
      </w:r>
    </w:p>
    <w:p>
      <w:pPr>
        <w:tabs>
          <w:tab w:val="left" w:pos="720"/>
        </w:tabs>
        <w:spacing w:line="360" w:lineRule="auto"/>
        <w:ind w:firstLine="560" w:firstLineChars="200"/>
        <w:rPr>
          <w:rFonts w:ascii="宋体" w:hAnsi="宋体"/>
          <w:sz w:val="28"/>
        </w:rPr>
      </w:pPr>
      <w:r>
        <w:rPr>
          <w:rFonts w:hint="eastAsia" w:ascii="宋体" w:hAnsi="宋体"/>
          <w:sz w:val="28"/>
        </w:rPr>
        <w:t>一、验收标准</w:t>
      </w:r>
    </w:p>
    <w:p>
      <w:pPr>
        <w:spacing w:line="360" w:lineRule="auto"/>
        <w:ind w:firstLine="565" w:firstLineChars="202"/>
        <w:rPr>
          <w:rFonts w:ascii="宋体" w:hAnsi="宋体"/>
          <w:sz w:val="28"/>
        </w:rPr>
      </w:pPr>
      <w:r>
        <w:rPr>
          <w:rFonts w:hint="eastAsia" w:ascii="宋体" w:hAnsi="宋体"/>
          <w:sz w:val="28"/>
        </w:rPr>
        <w:t xml:space="preserve">    （投标人应提出详细的验收程序和所执行的验收标准）</w:t>
      </w:r>
    </w:p>
    <w:p>
      <w:pPr>
        <w:spacing w:line="360" w:lineRule="auto"/>
        <w:ind w:firstLine="565" w:firstLineChars="202"/>
        <w:rPr>
          <w:rFonts w:ascii="宋体" w:hAnsi="宋体"/>
          <w:sz w:val="28"/>
        </w:rPr>
      </w:pPr>
    </w:p>
    <w:p>
      <w:pPr>
        <w:spacing w:line="360" w:lineRule="auto"/>
        <w:ind w:firstLine="565" w:firstLineChars="202"/>
        <w:rPr>
          <w:rFonts w:ascii="宋体" w:hAnsi="宋体"/>
          <w:sz w:val="28"/>
        </w:rPr>
      </w:pPr>
      <w:r>
        <w:rPr>
          <w:rFonts w:hint="eastAsia" w:ascii="宋体" w:hAnsi="宋体"/>
          <w:sz w:val="28"/>
        </w:rPr>
        <w:t>二、交货进度计划及保障措施</w:t>
      </w:r>
    </w:p>
    <w:p>
      <w:pPr>
        <w:spacing w:line="360" w:lineRule="auto"/>
        <w:ind w:firstLine="565" w:firstLineChars="202"/>
        <w:rPr>
          <w:rFonts w:ascii="宋体" w:hAnsi="宋体"/>
          <w:sz w:val="28"/>
        </w:rPr>
      </w:pPr>
    </w:p>
    <w:p>
      <w:pPr>
        <w:spacing w:line="360" w:lineRule="auto"/>
        <w:ind w:firstLine="565" w:firstLineChars="202"/>
        <w:rPr>
          <w:rFonts w:ascii="宋体" w:hAnsi="宋体"/>
          <w:sz w:val="28"/>
        </w:rPr>
      </w:pPr>
    </w:p>
    <w:p>
      <w:pPr>
        <w:tabs>
          <w:tab w:val="left" w:pos="720"/>
        </w:tabs>
        <w:spacing w:line="360" w:lineRule="auto"/>
        <w:ind w:firstLine="560" w:firstLineChars="200"/>
        <w:rPr>
          <w:rFonts w:ascii="宋体" w:hAnsi="宋体"/>
          <w:sz w:val="28"/>
        </w:rPr>
      </w:pPr>
      <w:r>
        <w:rPr>
          <w:rFonts w:hint="eastAsia" w:ascii="宋体" w:hAnsi="宋体"/>
          <w:sz w:val="28"/>
        </w:rPr>
        <w:t>三、售后服务承诺</w:t>
      </w:r>
    </w:p>
    <w:p>
      <w:pPr>
        <w:ind w:firstLine="565" w:firstLineChars="202"/>
        <w:rPr>
          <w:rFonts w:ascii="宋体" w:hAnsi="宋体"/>
          <w:sz w:val="28"/>
        </w:rPr>
      </w:pPr>
      <w:r>
        <w:rPr>
          <w:rFonts w:hint="eastAsia" w:ascii="宋体" w:hAnsi="宋体"/>
          <w:sz w:val="28"/>
        </w:rPr>
        <w:t>（售后服务承诺应包括但不限于以下内容）</w:t>
      </w:r>
    </w:p>
    <w:p>
      <w:pPr>
        <w:spacing w:line="400" w:lineRule="exact"/>
        <w:ind w:firstLine="560" w:firstLineChars="200"/>
        <w:rPr>
          <w:rFonts w:ascii="宋体" w:hAnsi="宋体"/>
          <w:sz w:val="28"/>
        </w:rPr>
      </w:pPr>
      <w:r>
        <w:rPr>
          <w:rFonts w:hint="eastAsia" w:ascii="宋体" w:hAnsi="宋体"/>
          <w:sz w:val="28"/>
        </w:rPr>
        <w:t>（一）产品制造厂家或投标人设立的售后服务机构网点清单、服务电话和维修人员名单；</w:t>
      </w:r>
    </w:p>
    <w:p>
      <w:pPr>
        <w:spacing w:line="400" w:lineRule="exact"/>
        <w:ind w:firstLine="560" w:firstLineChars="200"/>
        <w:rPr>
          <w:rFonts w:ascii="宋体" w:hAnsi="宋体"/>
          <w:sz w:val="28"/>
        </w:rPr>
      </w:pPr>
      <w:r>
        <w:rPr>
          <w:rFonts w:hint="eastAsia" w:ascii="宋体" w:hAnsi="宋体"/>
          <w:sz w:val="28"/>
        </w:rPr>
        <w:t>（二）说明投标产品的保修时间、保修期内的保修内容与范围、维修响应时间等；</w:t>
      </w:r>
    </w:p>
    <w:p>
      <w:pPr>
        <w:ind w:firstLine="565" w:firstLineChars="202"/>
        <w:rPr>
          <w:rFonts w:ascii="宋体" w:hAnsi="宋体"/>
          <w:sz w:val="28"/>
        </w:rPr>
      </w:pPr>
      <w:r>
        <w:rPr>
          <w:rFonts w:hint="eastAsia" w:ascii="宋体" w:hAnsi="宋体"/>
          <w:sz w:val="28"/>
        </w:rPr>
        <w:t>（三）……</w:t>
      </w:r>
    </w:p>
    <w:p>
      <w:pPr>
        <w:ind w:firstLine="565" w:firstLineChars="202"/>
        <w:rPr>
          <w:rFonts w:ascii="宋体" w:hAnsi="宋体"/>
          <w:sz w:val="28"/>
        </w:rPr>
      </w:pPr>
      <w:r>
        <w:rPr>
          <w:rFonts w:hint="eastAsia" w:ascii="宋体" w:hAnsi="宋体"/>
          <w:sz w:val="28"/>
        </w:rPr>
        <w:t>四、技术支持的能力及方案</w:t>
      </w:r>
    </w:p>
    <w:p>
      <w:pPr>
        <w:ind w:firstLine="565" w:firstLineChars="202"/>
        <w:rPr>
          <w:rFonts w:ascii="宋体" w:hAnsi="宋体"/>
          <w:sz w:val="28"/>
        </w:rPr>
      </w:pPr>
    </w:p>
    <w:p>
      <w:pPr>
        <w:ind w:firstLine="565" w:firstLineChars="202"/>
        <w:rPr>
          <w:rFonts w:ascii="宋体" w:hAnsi="宋体"/>
          <w:sz w:val="28"/>
        </w:rPr>
      </w:pPr>
    </w:p>
    <w:p>
      <w:pPr>
        <w:tabs>
          <w:tab w:val="left" w:pos="720"/>
        </w:tabs>
        <w:ind w:firstLine="560" w:firstLineChars="200"/>
        <w:rPr>
          <w:rFonts w:ascii="宋体" w:hAnsi="宋体"/>
          <w:sz w:val="28"/>
        </w:rPr>
      </w:pPr>
      <w:r>
        <w:rPr>
          <w:rFonts w:hint="eastAsia" w:ascii="宋体" w:hAnsi="宋体"/>
          <w:sz w:val="28"/>
        </w:rPr>
        <w:t>五、其他说明的内容</w:t>
      </w:r>
      <w:bookmarkEnd w:id="143"/>
      <w:bookmarkStart w:id="147" w:name="_Toc316475719"/>
    </w:p>
    <w:p>
      <w:pPr>
        <w:ind w:firstLine="565" w:firstLineChars="202"/>
        <w:rPr>
          <w:rFonts w:ascii="宋体" w:hAnsi="宋体"/>
          <w:sz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ind w:firstLine="565" w:firstLineChars="202"/>
        <w:rPr>
          <w:rFonts w:ascii="宋体" w:hAnsi="宋体"/>
          <w:bCs/>
          <w:sz w:val="28"/>
          <w:szCs w:val="28"/>
        </w:rPr>
      </w:pPr>
    </w:p>
    <w:p>
      <w:pPr>
        <w:rPr>
          <w:rFonts w:ascii="宋体" w:hAnsi="宋体"/>
          <w:bCs/>
          <w:sz w:val="28"/>
          <w:szCs w:val="28"/>
        </w:rPr>
      </w:pPr>
    </w:p>
    <w:p>
      <w:pPr>
        <w:rPr>
          <w:rFonts w:ascii="宋体" w:hAnsi="宋体"/>
          <w:bCs/>
          <w:sz w:val="28"/>
          <w:szCs w:val="28"/>
        </w:rPr>
      </w:pPr>
    </w:p>
    <w:p>
      <w:pPr>
        <w:rPr>
          <w:rFonts w:ascii="宋体" w:hAnsi="宋体"/>
          <w:bCs/>
          <w:sz w:val="28"/>
          <w:szCs w:val="28"/>
        </w:rPr>
      </w:pPr>
    </w:p>
    <w:p>
      <w:pPr>
        <w:rPr>
          <w:rFonts w:ascii="宋体" w:hAnsi="宋体"/>
          <w:bCs/>
          <w:sz w:val="28"/>
          <w:szCs w:val="28"/>
        </w:rPr>
      </w:pPr>
    </w:p>
    <w:p>
      <w:pPr>
        <w:keepNext/>
        <w:keepLines/>
        <w:numPr>
          <w:ilvl w:val="2"/>
          <w:numId w:val="3"/>
        </w:numPr>
        <w:spacing w:line="360" w:lineRule="auto"/>
        <w:outlineLvl w:val="2"/>
        <w:rPr>
          <w:rFonts w:ascii="宋体" w:hAnsi="宋体"/>
          <w:b/>
          <w:sz w:val="28"/>
          <w:szCs w:val="28"/>
        </w:rPr>
      </w:pPr>
      <w:r>
        <w:rPr>
          <w:rFonts w:hint="eastAsia" w:ascii="宋体" w:hAnsi="宋体"/>
          <w:b/>
          <w:sz w:val="28"/>
          <w:szCs w:val="28"/>
        </w:rPr>
        <w:t>承诺函</w:t>
      </w:r>
    </w:p>
    <w:p>
      <w:pPr>
        <w:snapToGrid w:val="0"/>
        <w:spacing w:line="360" w:lineRule="auto"/>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rPr>
        <w:t>XXXXX采购项目</w:t>
      </w:r>
    </w:p>
    <w:p>
      <w:pPr>
        <w:snapToGrid w:val="0"/>
        <w:spacing w:line="360" w:lineRule="auto"/>
        <w:rPr>
          <w:rFonts w:ascii="宋体" w:hAnsi="宋体"/>
          <w:b/>
          <w:sz w:val="28"/>
          <w:szCs w:val="28"/>
        </w:rPr>
      </w:pPr>
      <w:r>
        <w:rPr>
          <w:rFonts w:hint="eastAsia" w:ascii="宋体" w:hAnsi="宋体"/>
          <w:b/>
          <w:sz w:val="28"/>
          <w:szCs w:val="28"/>
        </w:rPr>
        <w:t>项目编号：</w:t>
      </w:r>
      <w:r>
        <w:rPr>
          <w:rFonts w:hint="eastAsia" w:ascii="宋体" w:hAnsi="宋体"/>
          <w:b/>
          <w:sz w:val="28"/>
          <w:szCs w:val="28"/>
          <w:u w:val="single"/>
        </w:rPr>
        <w:t>JY3202     号</w:t>
      </w:r>
    </w:p>
    <w:p>
      <w:pPr>
        <w:snapToGrid w:val="0"/>
        <w:spacing w:line="360" w:lineRule="auto"/>
        <w:rPr>
          <w:rFonts w:ascii="宋体" w:hAnsi="宋体"/>
          <w:b/>
          <w:sz w:val="28"/>
          <w:szCs w:val="28"/>
        </w:rPr>
      </w:pPr>
    </w:p>
    <w:p>
      <w:pPr>
        <w:snapToGrid w:val="0"/>
        <w:spacing w:line="560" w:lineRule="exact"/>
        <w:ind w:firstLine="560" w:firstLineChars="200"/>
        <w:rPr>
          <w:rFonts w:ascii="宋体" w:hAnsi="宋体"/>
          <w:sz w:val="28"/>
        </w:rPr>
      </w:pPr>
      <w:r>
        <w:rPr>
          <w:rFonts w:hint="eastAsia" w:ascii="宋体" w:hAnsi="宋体"/>
          <w:sz w:val="28"/>
        </w:rPr>
        <w:t>我公司作为参加本项目的投标人，在此郑重承诺：</w:t>
      </w:r>
    </w:p>
    <w:p>
      <w:pPr>
        <w:pStyle w:val="80"/>
        <w:numPr>
          <w:ilvl w:val="0"/>
          <w:numId w:val="34"/>
        </w:numPr>
        <w:tabs>
          <w:tab w:val="left" w:pos="1134"/>
        </w:tabs>
        <w:snapToGrid w:val="0"/>
        <w:spacing w:before="60" w:after="200" w:line="560" w:lineRule="exact"/>
        <w:ind w:left="0" w:right="210" w:firstLine="567" w:firstLineChars="0"/>
        <w:rPr>
          <w:rFonts w:ascii="宋体" w:hAnsi="宋体"/>
          <w:sz w:val="28"/>
          <w:szCs w:val="28"/>
        </w:rPr>
      </w:pPr>
      <w:r>
        <w:rPr>
          <w:rFonts w:hint="eastAsia" w:ascii="宋体" w:hAnsi="宋体"/>
          <w:sz w:val="28"/>
          <w:szCs w:val="28"/>
        </w:rPr>
        <w:t>…………。</w:t>
      </w:r>
    </w:p>
    <w:p>
      <w:pPr>
        <w:snapToGrid w:val="0"/>
        <w:spacing w:line="360" w:lineRule="auto"/>
        <w:ind w:firstLine="560" w:firstLineChars="200"/>
        <w:rPr>
          <w:rFonts w:ascii="宋体" w:hAnsi="宋体"/>
          <w:sz w:val="28"/>
          <w:szCs w:val="28"/>
        </w:rPr>
      </w:pPr>
      <w:r>
        <w:rPr>
          <w:rFonts w:hint="eastAsia" w:ascii="宋体" w:hAnsi="宋体"/>
          <w:sz w:val="28"/>
          <w:szCs w:val="28"/>
        </w:rPr>
        <w:t>特此承诺</w:t>
      </w: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pPr>
    </w:p>
    <w:p>
      <w:pPr>
        <w:snapToGrid w:val="0"/>
        <w:spacing w:line="360" w:lineRule="auto"/>
        <w:ind w:firstLine="560" w:firstLineChars="200"/>
        <w:rPr>
          <w:rFonts w:ascii="宋体" w:hAnsi="宋体"/>
          <w:sz w:val="28"/>
          <w:szCs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rPr>
          <w:rFonts w:ascii="宋体" w:hAnsi="宋体"/>
          <w:bCs/>
          <w:sz w:val="28"/>
        </w:rPr>
      </w:pPr>
    </w:p>
    <w:p>
      <w:pPr>
        <w:pStyle w:val="2"/>
      </w:pPr>
    </w:p>
    <w:p>
      <w:pPr>
        <w:adjustRightInd w:val="0"/>
        <w:spacing w:line="400" w:lineRule="exact"/>
        <w:rPr>
          <w:rFonts w:ascii="宋体" w:hAnsi="宋体"/>
          <w:bCs/>
          <w:sz w:val="28"/>
        </w:rPr>
      </w:pPr>
    </w:p>
    <w:p>
      <w:pPr>
        <w:rPr>
          <w:rFonts w:ascii="宋体" w:hAnsi="宋体"/>
          <w:bCs/>
          <w:color w:val="FF0000"/>
          <w:sz w:val="28"/>
          <w:szCs w:val="28"/>
        </w:rPr>
      </w:pPr>
      <w:r>
        <w:rPr>
          <w:rFonts w:hint="eastAsia" w:ascii="宋体" w:hAnsi="宋体"/>
          <w:bCs/>
          <w:color w:val="FF0000"/>
          <w:sz w:val="28"/>
          <w:szCs w:val="28"/>
        </w:rPr>
        <w:br w:type="page"/>
      </w:r>
    </w:p>
    <w:p>
      <w:pPr>
        <w:keepNext/>
        <w:keepLines/>
        <w:numPr>
          <w:ilvl w:val="2"/>
          <w:numId w:val="3"/>
        </w:numPr>
        <w:spacing w:line="360" w:lineRule="auto"/>
        <w:outlineLvl w:val="2"/>
        <w:rPr>
          <w:rFonts w:ascii="宋体" w:hAnsi="宋体"/>
          <w:b/>
          <w:sz w:val="28"/>
          <w:szCs w:val="28"/>
        </w:rPr>
      </w:pPr>
      <w:r>
        <w:rPr>
          <w:rFonts w:hint="eastAsia" w:ascii="宋体" w:hAnsi="宋体"/>
          <w:b/>
          <w:sz w:val="28"/>
          <w:szCs w:val="28"/>
        </w:rPr>
        <w:t>项目实施方案</w:t>
      </w:r>
    </w:p>
    <w:p>
      <w:pPr>
        <w:adjustRightInd w:val="0"/>
        <w:spacing w:line="400" w:lineRule="exact"/>
        <w:rPr>
          <w:rFonts w:ascii="宋体" w:hAnsi="宋体"/>
          <w:bCs/>
          <w:sz w:val="28"/>
        </w:rPr>
      </w:pPr>
    </w:p>
    <w:p>
      <w:pPr>
        <w:snapToGrid w:val="0"/>
        <w:spacing w:line="360" w:lineRule="auto"/>
        <w:ind w:right="-624" w:rightChars="-297"/>
        <w:rPr>
          <w:rFonts w:ascii="宋体" w:hAnsi="宋体"/>
          <w:b/>
          <w:sz w:val="28"/>
          <w:szCs w:val="28"/>
        </w:rPr>
      </w:pPr>
      <w:r>
        <w:rPr>
          <w:rFonts w:hint="eastAsia" w:ascii="宋体" w:hAnsi="宋体"/>
          <w:b/>
          <w:sz w:val="28"/>
          <w:szCs w:val="28"/>
        </w:rPr>
        <w:t>目名称：</w:t>
      </w:r>
      <w:r>
        <w:rPr>
          <w:rFonts w:hint="eastAsia" w:ascii="宋体" w:hAnsi="宋体"/>
          <w:b/>
          <w:sz w:val="28"/>
          <w:szCs w:val="28"/>
          <w:u w:val="single"/>
        </w:rPr>
        <w:t>XXX采购项目</w:t>
      </w:r>
    </w:p>
    <w:p>
      <w:pPr>
        <w:snapToGrid w:val="0"/>
        <w:spacing w:line="360" w:lineRule="auto"/>
        <w:rPr>
          <w:rFonts w:ascii="宋体" w:hAnsi="宋体"/>
          <w:b/>
          <w:sz w:val="28"/>
          <w:szCs w:val="28"/>
        </w:rPr>
      </w:pPr>
      <w:r>
        <w:rPr>
          <w:rFonts w:hint="eastAsia" w:ascii="宋体" w:hAnsi="宋体"/>
          <w:b/>
          <w:sz w:val="28"/>
          <w:szCs w:val="28"/>
        </w:rPr>
        <w:t>项目编号：</w:t>
      </w:r>
      <w:r>
        <w:rPr>
          <w:rFonts w:hint="eastAsia" w:ascii="宋体" w:hAnsi="宋体"/>
          <w:b/>
          <w:sz w:val="28"/>
          <w:u w:val="single"/>
        </w:rPr>
        <w:t>JY3202      号</w:t>
      </w: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rPr>
          <w:rFonts w:ascii="宋体" w:hAnsi="宋体"/>
          <w:bCs/>
          <w:sz w:val="28"/>
        </w:rPr>
      </w:pPr>
    </w:p>
    <w:p>
      <w:pPr>
        <w:rPr>
          <w:rFonts w:ascii="宋体" w:hAnsi="宋体"/>
          <w:bCs/>
          <w:sz w:val="28"/>
        </w:rPr>
      </w:pPr>
      <w:r>
        <w:rPr>
          <w:rFonts w:ascii="宋体" w:hAnsi="宋体"/>
          <w:bCs/>
          <w:sz w:val="28"/>
        </w:rPr>
        <w:br w:type="page"/>
      </w:r>
    </w:p>
    <w:p>
      <w:pPr>
        <w:pStyle w:val="2"/>
      </w:pPr>
    </w:p>
    <w:p>
      <w:pPr>
        <w:keepNext/>
        <w:keepLines/>
        <w:numPr>
          <w:ilvl w:val="1"/>
          <w:numId w:val="3"/>
        </w:numPr>
        <w:spacing w:line="360" w:lineRule="auto"/>
        <w:jc w:val="left"/>
        <w:outlineLvl w:val="1"/>
        <w:rPr>
          <w:rFonts w:ascii="宋体" w:hAnsi="宋体"/>
          <w:b/>
          <w:bCs/>
          <w:sz w:val="28"/>
          <w:szCs w:val="28"/>
        </w:rPr>
      </w:pPr>
      <w:r>
        <w:rPr>
          <w:rFonts w:hint="eastAsia" w:ascii="宋体" w:hAnsi="宋体"/>
          <w:b/>
          <w:bCs/>
          <w:sz w:val="28"/>
          <w:szCs w:val="28"/>
        </w:rPr>
        <w:t xml:space="preserve"> </w:t>
      </w:r>
      <w:bookmarkStart w:id="148" w:name="_Toc78191621"/>
      <w:r>
        <w:rPr>
          <w:rFonts w:hint="eastAsia" w:ascii="宋体" w:hAnsi="宋体"/>
          <w:b/>
          <w:bCs/>
          <w:sz w:val="28"/>
          <w:szCs w:val="28"/>
        </w:rPr>
        <w:t>报价</w:t>
      </w:r>
      <w:r>
        <w:rPr>
          <w:rFonts w:ascii="宋体" w:hAnsi="宋体"/>
          <w:b/>
          <w:bCs/>
          <w:sz w:val="28"/>
          <w:szCs w:val="28"/>
        </w:rPr>
        <w:t>要求响应文件</w:t>
      </w:r>
      <w:bookmarkEnd w:id="148"/>
    </w:p>
    <w:p>
      <w:pPr>
        <w:keepNext/>
        <w:keepLines/>
        <w:numPr>
          <w:ilvl w:val="2"/>
          <w:numId w:val="3"/>
        </w:numPr>
        <w:spacing w:line="360" w:lineRule="auto"/>
        <w:outlineLvl w:val="2"/>
        <w:rPr>
          <w:rFonts w:ascii="宋体" w:hAnsi="宋体"/>
          <w:b/>
          <w:bCs/>
          <w:sz w:val="28"/>
          <w:szCs w:val="28"/>
        </w:rPr>
      </w:pPr>
      <w:r>
        <w:rPr>
          <w:rFonts w:hint="eastAsia" w:ascii="宋体" w:hAnsi="宋体"/>
          <w:b/>
          <w:bCs/>
          <w:sz w:val="28"/>
          <w:szCs w:val="28"/>
        </w:rPr>
        <w:t>开标</w:t>
      </w:r>
      <w:r>
        <w:rPr>
          <w:rFonts w:ascii="宋体" w:hAnsi="宋体"/>
          <w:b/>
          <w:bCs/>
          <w:sz w:val="28"/>
          <w:szCs w:val="28"/>
        </w:rPr>
        <w:t>一览表</w:t>
      </w:r>
    </w:p>
    <w:p>
      <w:pPr>
        <w:tabs>
          <w:tab w:val="left" w:pos="1134"/>
        </w:tabs>
        <w:spacing w:line="560" w:lineRule="exact"/>
        <w:ind w:firstLine="427" w:firstLineChars="152"/>
        <w:rPr>
          <w:rFonts w:ascii="宋体" w:hAnsi="宋体"/>
          <w:b/>
          <w:bCs/>
          <w:sz w:val="28"/>
          <w:szCs w:val="28"/>
        </w:rPr>
      </w:pPr>
      <w:r>
        <w:rPr>
          <w:rFonts w:hint="eastAsia" w:ascii="宋体" w:hAnsi="宋体"/>
          <w:b/>
          <w:bCs/>
          <w:sz w:val="28"/>
          <w:szCs w:val="28"/>
        </w:rPr>
        <w:t>标项1：XXXX采购项目</w:t>
      </w:r>
    </w:p>
    <w:tbl>
      <w:tblPr>
        <w:tblStyle w:val="47"/>
        <w:tblW w:w="66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Pr>
          <w:p>
            <w:pPr>
              <w:tabs>
                <w:tab w:val="left" w:pos="1134"/>
              </w:tabs>
              <w:spacing w:line="560" w:lineRule="exact"/>
              <w:jc w:val="center"/>
              <w:rPr>
                <w:rFonts w:ascii="宋体" w:hAnsi="宋体"/>
                <w:sz w:val="28"/>
                <w:szCs w:val="28"/>
              </w:rPr>
            </w:pPr>
            <w:r>
              <w:rPr>
                <w:rFonts w:hint="eastAsia" w:ascii="宋体" w:hAnsi="宋体"/>
                <w:sz w:val="28"/>
                <w:szCs w:val="28"/>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Pr>
          <w:p>
            <w:pPr>
              <w:tabs>
                <w:tab w:val="left" w:pos="1134"/>
              </w:tabs>
              <w:spacing w:line="560" w:lineRule="exact"/>
              <w:rPr>
                <w:rFonts w:ascii="宋体" w:hAnsi="宋体"/>
                <w:sz w:val="28"/>
                <w:szCs w:val="28"/>
              </w:rPr>
            </w:pPr>
          </w:p>
        </w:tc>
      </w:tr>
    </w:tbl>
    <w:p>
      <w:pPr>
        <w:tabs>
          <w:tab w:val="left" w:pos="1134"/>
        </w:tabs>
        <w:spacing w:line="560" w:lineRule="exact"/>
        <w:ind w:firstLine="425" w:firstLineChars="152"/>
        <w:rPr>
          <w:rFonts w:ascii="宋体" w:hAnsi="宋体"/>
          <w:sz w:val="28"/>
          <w:szCs w:val="28"/>
        </w:rPr>
      </w:pPr>
    </w:p>
    <w:p>
      <w:pPr>
        <w:tabs>
          <w:tab w:val="left" w:pos="1134"/>
        </w:tabs>
        <w:spacing w:line="560" w:lineRule="exact"/>
        <w:ind w:firstLine="427" w:firstLineChars="152"/>
        <w:rPr>
          <w:rFonts w:ascii="宋体" w:hAnsi="宋体"/>
          <w:b/>
          <w:bCs/>
          <w:sz w:val="28"/>
        </w:rPr>
      </w:pPr>
      <w:r>
        <w:rPr>
          <w:rFonts w:hint="eastAsia" w:ascii="宋体" w:hAnsi="宋体"/>
          <w:b/>
          <w:sz w:val="28"/>
          <w:szCs w:val="28"/>
        </w:rPr>
        <w:t>投标报价以投标人在政府采购云平台开标一览表中填写的报价为准。</w:t>
      </w: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rPr>
          <w:rFonts w:ascii="宋体" w:hAnsi="宋体"/>
          <w:bCs/>
          <w:sz w:val="28"/>
        </w:rPr>
      </w:pPr>
    </w:p>
    <w:p>
      <w:pPr>
        <w:keepNext/>
        <w:keepLines/>
        <w:numPr>
          <w:ilvl w:val="2"/>
          <w:numId w:val="3"/>
        </w:numPr>
        <w:spacing w:line="360" w:lineRule="auto"/>
        <w:ind w:left="3119" w:hanging="3119"/>
        <w:outlineLvl w:val="2"/>
        <w:rPr>
          <w:rFonts w:ascii="宋体" w:hAnsi="宋体"/>
          <w:b/>
          <w:bCs/>
          <w:sz w:val="28"/>
          <w:szCs w:val="28"/>
        </w:rPr>
      </w:pPr>
      <w:r>
        <w:rPr>
          <w:rFonts w:hint="eastAsia" w:ascii="宋体" w:hAnsi="宋体"/>
          <w:b/>
          <w:bCs/>
          <w:sz w:val="28"/>
          <w:szCs w:val="28"/>
        </w:rPr>
        <w:t>报价明细表</w:t>
      </w:r>
    </w:p>
    <w:p>
      <w:pPr>
        <w:snapToGrid w:val="0"/>
        <w:spacing w:line="360" w:lineRule="auto"/>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rPr>
        <w:t>XXXX采购项目</w:t>
      </w:r>
    </w:p>
    <w:p>
      <w:pPr>
        <w:snapToGrid w:val="0"/>
        <w:spacing w:line="360" w:lineRule="auto"/>
        <w:rPr>
          <w:rFonts w:ascii="宋体" w:hAnsi="宋体"/>
          <w:b/>
          <w:sz w:val="28"/>
          <w:szCs w:val="28"/>
        </w:rPr>
      </w:pPr>
      <w:r>
        <w:rPr>
          <w:rFonts w:hint="eastAsia" w:ascii="宋体" w:hAnsi="宋体"/>
          <w:b/>
          <w:sz w:val="28"/>
          <w:szCs w:val="28"/>
        </w:rPr>
        <w:t>项目编号：</w:t>
      </w:r>
      <w:r>
        <w:rPr>
          <w:rFonts w:hint="eastAsia" w:ascii="宋体" w:hAnsi="宋体"/>
          <w:b/>
          <w:sz w:val="28"/>
          <w:szCs w:val="28"/>
          <w:u w:val="single"/>
        </w:rPr>
        <w:t>JY3202     号</w:t>
      </w:r>
    </w:p>
    <w:p>
      <w:pPr>
        <w:snapToGrid w:val="0"/>
        <w:spacing w:line="500" w:lineRule="exact"/>
        <w:ind w:right="-57" w:rightChars="-27"/>
        <w:rPr>
          <w:rFonts w:ascii="宋体" w:hAnsi="宋体"/>
          <w:b/>
          <w:bCs/>
          <w:sz w:val="28"/>
          <w:u w:val="single"/>
        </w:rPr>
      </w:pPr>
    </w:p>
    <w:tbl>
      <w:tblPr>
        <w:tblStyle w:val="47"/>
        <w:tblpPr w:leftFromText="180" w:rightFromText="180" w:vertAnchor="text" w:horzAnchor="margin" w:tblpY="1"/>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30"/>
        <w:gridCol w:w="816"/>
        <w:gridCol w:w="672"/>
        <w:gridCol w:w="992"/>
        <w:gridCol w:w="920"/>
        <w:gridCol w:w="850"/>
        <w:gridCol w:w="708"/>
        <w:gridCol w:w="782"/>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序号</w:t>
            </w:r>
          </w:p>
        </w:tc>
        <w:tc>
          <w:tcPr>
            <w:tcW w:w="1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货物名称（标的</w:t>
            </w:r>
            <w:r>
              <w:rPr>
                <w:rFonts w:ascii="宋体" w:hAnsi="宋体"/>
                <w:b/>
                <w:szCs w:val="28"/>
              </w:rPr>
              <w:t>名称</w:t>
            </w:r>
            <w:r>
              <w:rPr>
                <w:rFonts w:hint="eastAsia" w:ascii="宋体" w:hAnsi="宋体"/>
                <w:b/>
                <w:szCs w:val="28"/>
              </w:rPr>
              <w:t>）</w:t>
            </w:r>
          </w:p>
        </w:tc>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品牌</w:t>
            </w:r>
          </w:p>
        </w:tc>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制造商</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进口或国产</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数量</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单位</w:t>
            </w: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单价</w:t>
            </w: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总价（元）</w:t>
            </w:r>
            <w:r>
              <w:rPr>
                <w:rFonts w:hint="eastAsia" w:ascii="宋体" w:hAnsi="宋体"/>
                <w:b/>
                <w:bCs/>
                <w:sz w:val="24"/>
                <w:szCs w:val="28"/>
              </w:rPr>
              <w:t>（单价×数量）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1</w:t>
            </w:r>
          </w:p>
        </w:tc>
        <w:tc>
          <w:tcPr>
            <w:tcW w:w="1630" w:type="dxa"/>
            <w:tcBorders>
              <w:top w:val="single" w:color="auto" w:sz="4" w:space="0"/>
              <w:left w:val="single" w:color="auto" w:sz="4" w:space="0"/>
              <w:bottom w:val="single" w:color="auto" w:sz="4" w:space="0"/>
              <w:right w:val="single" w:color="auto" w:sz="4" w:space="0"/>
            </w:tcBorders>
            <w:vAlign w:val="center"/>
          </w:tcPr>
          <w:p>
            <w:pPr>
              <w:pStyle w:val="231"/>
              <w:spacing w:line="360" w:lineRule="auto"/>
              <w:ind w:firstLine="0" w:firstLineChars="0"/>
              <w:jc w:val="center"/>
              <w:rPr>
                <w:rFonts w:ascii="宋体" w:hAnsi="宋体"/>
                <w:szCs w:val="28"/>
              </w:rPr>
            </w:pPr>
            <w:r>
              <w:rPr>
                <w:rFonts w:hint="eastAsia" w:ascii="宋体" w:hAnsi="宋体"/>
                <w:szCs w:val="28"/>
              </w:rPr>
              <w:t>……</w:t>
            </w: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2</w:t>
            </w:r>
          </w:p>
        </w:tc>
        <w:tc>
          <w:tcPr>
            <w:tcW w:w="1630" w:type="dxa"/>
            <w:tcBorders>
              <w:top w:val="single" w:color="auto" w:sz="4" w:space="0"/>
              <w:left w:val="single" w:color="auto" w:sz="4" w:space="0"/>
              <w:bottom w:val="single" w:color="auto" w:sz="4" w:space="0"/>
              <w:right w:val="single" w:color="auto" w:sz="4" w:space="0"/>
            </w:tcBorders>
            <w:vAlign w:val="center"/>
          </w:tcPr>
          <w:p>
            <w:pPr>
              <w:pStyle w:val="231"/>
              <w:spacing w:line="360" w:lineRule="auto"/>
              <w:ind w:firstLine="0" w:firstLineChars="0"/>
              <w:jc w:val="center"/>
              <w:rPr>
                <w:rFonts w:ascii="宋体" w:hAnsi="宋体"/>
                <w:szCs w:val="28"/>
              </w:rPr>
            </w:pPr>
            <w:r>
              <w:rPr>
                <w:rFonts w:hint="eastAsia" w:ascii="宋体" w:hAnsi="宋体"/>
                <w:szCs w:val="28"/>
              </w:rPr>
              <w:t>……</w:t>
            </w: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bl>
    <w:p>
      <w:pPr>
        <w:spacing w:line="440" w:lineRule="atLeast"/>
        <w:ind w:firstLine="419" w:firstLineChars="149"/>
        <w:rPr>
          <w:rFonts w:ascii="宋体" w:hAnsi="宋体"/>
          <w:b/>
          <w:sz w:val="28"/>
          <w:szCs w:val="28"/>
        </w:rPr>
      </w:pPr>
    </w:p>
    <w:p>
      <w:pPr>
        <w:spacing w:line="440" w:lineRule="atLeast"/>
        <w:ind w:firstLine="419" w:firstLineChars="149"/>
        <w:rPr>
          <w:rFonts w:ascii="宋体" w:hAnsi="宋体"/>
          <w:b/>
          <w:sz w:val="28"/>
          <w:szCs w:val="28"/>
        </w:rPr>
      </w:pPr>
      <w:r>
        <w:rPr>
          <w:rFonts w:hint="eastAsia" w:ascii="宋体" w:hAnsi="宋体"/>
          <w:b/>
          <w:sz w:val="28"/>
          <w:szCs w:val="28"/>
        </w:rPr>
        <w:t>说明：</w:t>
      </w:r>
      <w:r>
        <w:rPr>
          <w:rFonts w:ascii="宋体" w:hAnsi="宋体"/>
          <w:b/>
          <w:sz w:val="28"/>
          <w:szCs w:val="28"/>
        </w:rPr>
        <w:t xml:space="preserve"> </w:t>
      </w:r>
      <w:r>
        <w:rPr>
          <w:rFonts w:hint="eastAsia" w:ascii="宋体" w:hAnsi="宋体"/>
          <w:b/>
          <w:sz w:val="28"/>
          <w:szCs w:val="28"/>
        </w:rPr>
        <w:t>1、进口产品是指通过中国海关报关验放进入中国境内且产自关境外的产品。</w:t>
      </w:r>
    </w:p>
    <w:p>
      <w:pPr>
        <w:numPr>
          <w:ilvl w:val="0"/>
          <w:numId w:val="35"/>
        </w:numPr>
        <w:spacing w:line="440" w:lineRule="atLeast"/>
        <w:ind w:firstLine="419" w:firstLineChars="149"/>
        <w:rPr>
          <w:rFonts w:ascii="宋体" w:hAnsi="宋体"/>
          <w:b/>
          <w:sz w:val="28"/>
          <w:szCs w:val="28"/>
        </w:rPr>
      </w:pPr>
      <w:r>
        <w:rPr>
          <w:rFonts w:hint="eastAsia" w:ascii="宋体" w:hAnsi="宋体"/>
          <w:b/>
          <w:sz w:val="28"/>
          <w:szCs w:val="28"/>
        </w:rPr>
        <w:t>分项报价明细表格式中要求填写品牌、规格型号、制造商、进口或国产的，投标人必须载明其投标产品的品牌、规格型号、制造商、进口或国产。</w:t>
      </w:r>
    </w:p>
    <w:p>
      <w:pPr>
        <w:spacing w:line="360" w:lineRule="auto"/>
        <w:ind w:firstLine="422" w:firstLineChars="150"/>
        <w:rPr>
          <w:rFonts w:ascii="宋体" w:hAnsi="宋体"/>
          <w:b/>
          <w:sz w:val="28"/>
          <w:szCs w:val="28"/>
        </w:rPr>
      </w:pPr>
      <w:r>
        <w:rPr>
          <w:rFonts w:hint="eastAsia" w:ascii="宋体" w:hAnsi="宋体"/>
          <w:b/>
          <w:sz w:val="28"/>
          <w:szCs w:val="28"/>
        </w:rPr>
        <w:t>3.报价</w:t>
      </w:r>
      <w:r>
        <w:rPr>
          <w:rFonts w:ascii="宋体" w:hAnsi="宋体"/>
          <w:b/>
          <w:sz w:val="28"/>
          <w:szCs w:val="28"/>
        </w:rPr>
        <w:t>明细以投标人在政府采购云平台</w:t>
      </w:r>
      <w:r>
        <w:rPr>
          <w:rFonts w:hint="eastAsia" w:ascii="宋体" w:hAnsi="宋体"/>
          <w:b/>
          <w:sz w:val="28"/>
          <w:szCs w:val="28"/>
        </w:rPr>
        <w:t>报价</w:t>
      </w:r>
      <w:r>
        <w:rPr>
          <w:rFonts w:ascii="宋体" w:hAnsi="宋体"/>
          <w:b/>
          <w:sz w:val="28"/>
          <w:szCs w:val="28"/>
        </w:rPr>
        <w:t>明细表中填写的</w:t>
      </w:r>
      <w:r>
        <w:rPr>
          <w:rFonts w:hint="eastAsia" w:ascii="宋体" w:hAnsi="宋体"/>
          <w:b/>
          <w:sz w:val="28"/>
          <w:szCs w:val="28"/>
        </w:rPr>
        <w:t>为准</w:t>
      </w:r>
      <w:r>
        <w:rPr>
          <w:rFonts w:ascii="宋体" w:hAnsi="宋体"/>
          <w:b/>
          <w:sz w:val="28"/>
          <w:szCs w:val="28"/>
        </w:rPr>
        <w:t>。</w:t>
      </w:r>
    </w:p>
    <w:p>
      <w:pPr>
        <w:pStyle w:val="2"/>
      </w:pPr>
    </w:p>
    <w:p>
      <w:pPr>
        <w:spacing w:line="440" w:lineRule="atLeast"/>
        <w:ind w:firstLine="1262" w:firstLineChars="449"/>
        <w:rPr>
          <w:rFonts w:ascii="宋体" w:hAnsi="宋体"/>
          <w:b/>
          <w:sz w:val="28"/>
          <w:szCs w:val="28"/>
        </w:rPr>
      </w:pPr>
    </w:p>
    <w:p>
      <w:pPr>
        <w:adjustRightInd w:val="0"/>
        <w:spacing w:line="400" w:lineRule="exact"/>
        <w:ind w:firstLine="420" w:firstLineChars="150"/>
        <w:rPr>
          <w:rFonts w:ascii="宋体" w:hAnsi="宋体"/>
          <w:bCs/>
          <w:sz w:val="28"/>
          <w:u w:val="single"/>
        </w:rPr>
      </w:pP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bookmarkEnd w:id="147"/>
    <w:p>
      <w:pPr>
        <w:keepNext/>
        <w:keepLines/>
        <w:numPr>
          <w:ilvl w:val="0"/>
          <w:numId w:val="3"/>
        </w:numPr>
        <w:spacing w:line="360" w:lineRule="auto"/>
        <w:ind w:left="0" w:firstLine="0"/>
        <w:jc w:val="center"/>
        <w:outlineLvl w:val="0"/>
        <w:rPr>
          <w:rFonts w:ascii="宋体" w:hAnsi="宋体"/>
          <w:b/>
          <w:bCs/>
          <w:spacing w:val="-20"/>
          <w:kern w:val="44"/>
          <w:sz w:val="32"/>
          <w:szCs w:val="32"/>
        </w:rPr>
      </w:pPr>
      <w:bookmarkStart w:id="149" w:name="_Toc78191622"/>
      <w:bookmarkStart w:id="150" w:name="_Toc217446093"/>
      <w:bookmarkStart w:id="151" w:name="_Toc321382057"/>
      <w:bookmarkStart w:id="152" w:name="_Toc316292231"/>
      <w:r>
        <w:rPr>
          <w:rFonts w:hint="eastAsia" w:ascii="宋体" w:hAnsi="宋体"/>
          <w:b/>
          <w:bCs/>
          <w:spacing w:val="-20"/>
          <w:kern w:val="44"/>
          <w:sz w:val="32"/>
          <w:szCs w:val="32"/>
        </w:rPr>
        <w:t>招标项目技术、服务、商务及其他要求</w:t>
      </w:r>
      <w:bookmarkEnd w:id="149"/>
      <w:bookmarkEnd w:id="150"/>
    </w:p>
    <w:p>
      <w:pPr>
        <w:keepNext/>
        <w:keepLines/>
        <w:numPr>
          <w:ilvl w:val="1"/>
          <w:numId w:val="3"/>
        </w:numPr>
        <w:tabs>
          <w:tab w:val="left" w:pos="0"/>
          <w:tab w:val="left" w:pos="426"/>
          <w:tab w:val="left" w:pos="576"/>
          <w:tab w:val="left" w:pos="786"/>
        </w:tabs>
        <w:spacing w:line="360" w:lineRule="auto"/>
        <w:ind w:left="0" w:firstLine="0"/>
        <w:outlineLvl w:val="1"/>
        <w:rPr>
          <w:rFonts w:ascii="宋体" w:hAnsi="宋体"/>
          <w:b/>
          <w:bCs/>
          <w:sz w:val="32"/>
          <w:szCs w:val="32"/>
        </w:rPr>
      </w:pPr>
      <w:bookmarkStart w:id="153" w:name="_Toc78191623"/>
      <w:r>
        <w:rPr>
          <w:rFonts w:hint="eastAsia" w:ascii="宋体" w:hAnsi="宋体"/>
          <w:b/>
          <w:bCs/>
          <w:sz w:val="32"/>
          <w:szCs w:val="32"/>
        </w:rPr>
        <w:t>项目概况</w:t>
      </w:r>
      <w:bookmarkEnd w:id="153"/>
      <w:r>
        <w:rPr>
          <w:rFonts w:hint="eastAsia" w:ascii="宋体" w:hAnsi="宋体"/>
          <w:b/>
          <w:bCs/>
          <w:sz w:val="32"/>
          <w:szCs w:val="32"/>
        </w:rPr>
        <w:t>：</w:t>
      </w:r>
      <w:bookmarkStart w:id="154" w:name="_Toc78191624"/>
      <w:r>
        <w:rPr>
          <w:rFonts w:hint="eastAsia" w:ascii="Times New Roman" w:hAnsi="Times New Roman"/>
          <w:b/>
          <w:sz w:val="24"/>
        </w:rPr>
        <w:t>都江堰市中医医院2021年第一批医疗设备采购</w:t>
      </w:r>
      <w:bookmarkEnd w:id="154"/>
    </w:p>
    <w:p/>
    <w:p>
      <w:pPr>
        <w:keepNext/>
        <w:keepLines/>
        <w:numPr>
          <w:ilvl w:val="1"/>
          <w:numId w:val="3"/>
        </w:numPr>
        <w:tabs>
          <w:tab w:val="left" w:pos="0"/>
          <w:tab w:val="left" w:pos="426"/>
          <w:tab w:val="left" w:pos="576"/>
          <w:tab w:val="left" w:pos="786"/>
        </w:tabs>
        <w:spacing w:line="360" w:lineRule="auto"/>
        <w:ind w:left="0" w:firstLine="0"/>
        <w:outlineLvl w:val="1"/>
        <w:rPr>
          <w:rFonts w:ascii="宋体" w:hAnsi="宋体"/>
          <w:b/>
          <w:bCs/>
          <w:sz w:val="28"/>
          <w:szCs w:val="32"/>
        </w:rPr>
      </w:pPr>
      <w:bookmarkStart w:id="155" w:name="_Toc78191625"/>
      <w:r>
        <w:rPr>
          <w:rFonts w:hint="eastAsia" w:ascii="宋体" w:hAnsi="宋体"/>
          <w:b/>
          <w:bCs/>
          <w:sz w:val="28"/>
          <w:szCs w:val="32"/>
        </w:rPr>
        <w:t>技术参数及要求</w:t>
      </w:r>
      <w:bookmarkEnd w:id="155"/>
    </w:p>
    <w:p>
      <w:pPr>
        <w:jc w:val="center"/>
        <w:rPr>
          <w:b/>
          <w:bCs/>
          <w:sz w:val="36"/>
          <w:szCs w:val="36"/>
        </w:rPr>
      </w:pPr>
      <w:bookmarkStart w:id="156" w:name="_Toc78191626"/>
      <w:bookmarkStart w:id="157" w:name="_Toc529173741"/>
      <w:bookmarkStart w:id="158" w:name="_Toc533672602"/>
      <w:r>
        <w:rPr>
          <w:rFonts w:hint="eastAsia"/>
          <w:b/>
          <w:bCs/>
          <w:sz w:val="36"/>
          <w:szCs w:val="36"/>
        </w:rPr>
        <w:t>都江堰市中医医院2021年第一批医疗设备采购清单及项目技术参数</w:t>
      </w:r>
    </w:p>
    <w:p>
      <w:pPr>
        <w:pStyle w:val="2"/>
        <w:rPr>
          <w:sz w:val="28"/>
          <w:szCs w:val="28"/>
        </w:rPr>
      </w:pPr>
      <w:r>
        <w:rPr>
          <w:rFonts w:hint="eastAsia"/>
          <w:b/>
          <w:bCs/>
          <w:sz w:val="28"/>
          <w:szCs w:val="28"/>
        </w:rPr>
        <w:t>包1</w:t>
      </w:r>
    </w:p>
    <w:tbl>
      <w:tblPr>
        <w:tblStyle w:val="47"/>
        <w:tblW w:w="7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647"/>
        <w:gridCol w:w="1038"/>
        <w:gridCol w:w="463"/>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序号</w:t>
            </w:r>
          </w:p>
        </w:tc>
        <w:tc>
          <w:tcPr>
            <w:tcW w:w="2647"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设备名称</w:t>
            </w:r>
          </w:p>
        </w:tc>
        <w:tc>
          <w:tcPr>
            <w:tcW w:w="103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数量</w:t>
            </w:r>
          </w:p>
        </w:tc>
        <w:tc>
          <w:tcPr>
            <w:tcW w:w="463"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单位</w:t>
            </w:r>
          </w:p>
        </w:tc>
        <w:tc>
          <w:tcPr>
            <w:tcW w:w="2946"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400" w:lineRule="exact"/>
              <w:jc w:val="center"/>
              <w:rPr>
                <w:rFonts w:ascii="仿宋_GB2312" w:eastAsia="仿宋_GB2312"/>
                <w:sz w:val="24"/>
                <w:szCs w:val="24"/>
              </w:rPr>
            </w:pPr>
            <w:r>
              <w:rPr>
                <w:rFonts w:hint="eastAsia" w:ascii="仿宋_GB2312" w:eastAsia="仿宋_GB2312"/>
                <w:sz w:val="24"/>
                <w:szCs w:val="24"/>
              </w:rPr>
              <w:t>1</w:t>
            </w:r>
          </w:p>
        </w:tc>
        <w:tc>
          <w:tcPr>
            <w:tcW w:w="2647" w:type="dxa"/>
            <w:shd w:val="clear" w:color="auto" w:fill="auto"/>
          </w:tcPr>
          <w:p>
            <w:pPr>
              <w:spacing w:line="400" w:lineRule="exact"/>
              <w:jc w:val="left"/>
              <w:rPr>
                <w:rFonts w:ascii="仿宋_GB2312" w:eastAsia="仿宋_GB2312"/>
                <w:sz w:val="24"/>
                <w:szCs w:val="24"/>
              </w:rPr>
            </w:pPr>
            <w:r>
              <w:rPr>
                <w:rFonts w:hint="eastAsia" w:ascii="仿宋_GB2312" w:eastAsia="仿宋_GB2312"/>
                <w:sz w:val="24"/>
                <w:szCs w:val="24"/>
              </w:rPr>
              <w:t>床旁连续性血液净化机</w:t>
            </w:r>
          </w:p>
        </w:tc>
        <w:tc>
          <w:tcPr>
            <w:tcW w:w="1038" w:type="dxa"/>
            <w:shd w:val="clear" w:color="auto" w:fill="auto"/>
          </w:tcPr>
          <w:p>
            <w:pPr>
              <w:spacing w:line="400" w:lineRule="exact"/>
              <w:jc w:val="center"/>
              <w:rPr>
                <w:rFonts w:ascii="仿宋_GB2312" w:eastAsia="仿宋_GB2312"/>
                <w:sz w:val="24"/>
                <w:szCs w:val="24"/>
              </w:rPr>
            </w:pPr>
            <w:r>
              <w:rPr>
                <w:rFonts w:hint="eastAsia" w:ascii="仿宋_GB2312" w:eastAsia="仿宋_GB2312"/>
                <w:sz w:val="24"/>
                <w:szCs w:val="24"/>
              </w:rPr>
              <w:t>1</w:t>
            </w:r>
          </w:p>
        </w:tc>
        <w:tc>
          <w:tcPr>
            <w:tcW w:w="463" w:type="dxa"/>
            <w:shd w:val="clear" w:color="auto" w:fill="auto"/>
          </w:tcPr>
          <w:p>
            <w:pPr>
              <w:spacing w:line="400" w:lineRule="exact"/>
              <w:jc w:val="center"/>
              <w:rPr>
                <w:rFonts w:ascii="仿宋_GB2312" w:eastAsia="仿宋_GB2312"/>
                <w:sz w:val="24"/>
                <w:szCs w:val="24"/>
              </w:rPr>
            </w:pPr>
            <w:r>
              <w:rPr>
                <w:rFonts w:hint="eastAsia" w:ascii="仿宋_GB2312" w:eastAsia="仿宋_GB2312"/>
                <w:sz w:val="24"/>
                <w:szCs w:val="24"/>
              </w:rPr>
              <w:t>台</w:t>
            </w:r>
          </w:p>
        </w:tc>
        <w:tc>
          <w:tcPr>
            <w:tcW w:w="2946" w:type="dxa"/>
            <w:shd w:val="clear" w:color="auto" w:fill="auto"/>
          </w:tcPr>
          <w:p>
            <w:pPr>
              <w:spacing w:line="400" w:lineRule="exact"/>
              <w:rPr>
                <w:rFonts w:ascii="仿宋_GB2312" w:eastAsia="仿宋_GB2312"/>
                <w:sz w:val="24"/>
                <w:szCs w:val="24"/>
              </w:rPr>
            </w:pPr>
            <w:r>
              <w:rPr>
                <w:rFonts w:hint="eastAsia" w:ascii="仿宋_GB2312" w:eastAsia="仿宋_GB2312"/>
                <w:sz w:val="24"/>
                <w:szCs w:val="24"/>
              </w:rPr>
              <w:t>ICU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400" w:lineRule="exact"/>
              <w:jc w:val="center"/>
              <w:rPr>
                <w:rFonts w:ascii="仿宋_GB2312" w:eastAsia="仿宋_GB2312"/>
                <w:sz w:val="24"/>
                <w:szCs w:val="24"/>
              </w:rPr>
            </w:pPr>
            <w:r>
              <w:rPr>
                <w:rFonts w:hint="eastAsia" w:ascii="仿宋_GB2312" w:eastAsia="仿宋_GB2312"/>
                <w:sz w:val="24"/>
                <w:szCs w:val="24"/>
              </w:rPr>
              <w:t>2</w:t>
            </w:r>
          </w:p>
        </w:tc>
        <w:tc>
          <w:tcPr>
            <w:tcW w:w="2647" w:type="dxa"/>
            <w:shd w:val="clear" w:color="auto" w:fill="auto"/>
          </w:tcPr>
          <w:p>
            <w:pPr>
              <w:spacing w:line="400" w:lineRule="exact"/>
              <w:jc w:val="left"/>
              <w:rPr>
                <w:rFonts w:ascii="仿宋_GB2312" w:eastAsia="仿宋_GB2312"/>
                <w:sz w:val="24"/>
                <w:szCs w:val="24"/>
              </w:rPr>
            </w:pPr>
            <w:r>
              <w:rPr>
                <w:rFonts w:hint="eastAsia" w:ascii="仿宋_GB2312" w:eastAsia="仿宋_GB2312"/>
                <w:sz w:val="24"/>
                <w:szCs w:val="24"/>
              </w:rPr>
              <w:t>全自动电控心肺复苏机</w:t>
            </w:r>
          </w:p>
        </w:tc>
        <w:tc>
          <w:tcPr>
            <w:tcW w:w="1038" w:type="dxa"/>
            <w:shd w:val="clear" w:color="auto" w:fill="auto"/>
          </w:tcPr>
          <w:p>
            <w:pPr>
              <w:spacing w:line="400" w:lineRule="exact"/>
              <w:jc w:val="center"/>
              <w:rPr>
                <w:rFonts w:ascii="仿宋_GB2312" w:eastAsia="仿宋_GB2312"/>
                <w:sz w:val="24"/>
                <w:szCs w:val="24"/>
              </w:rPr>
            </w:pPr>
            <w:r>
              <w:rPr>
                <w:rFonts w:hint="eastAsia" w:ascii="仿宋_GB2312" w:eastAsia="仿宋_GB2312"/>
                <w:sz w:val="24"/>
                <w:szCs w:val="24"/>
              </w:rPr>
              <w:t>1</w:t>
            </w:r>
          </w:p>
        </w:tc>
        <w:tc>
          <w:tcPr>
            <w:tcW w:w="463" w:type="dxa"/>
            <w:shd w:val="clear" w:color="auto" w:fill="auto"/>
          </w:tcPr>
          <w:p>
            <w:pPr>
              <w:spacing w:line="400" w:lineRule="exact"/>
              <w:jc w:val="center"/>
              <w:rPr>
                <w:rFonts w:ascii="仿宋_GB2312" w:eastAsia="仿宋_GB2312"/>
                <w:sz w:val="24"/>
                <w:szCs w:val="24"/>
              </w:rPr>
            </w:pPr>
            <w:r>
              <w:rPr>
                <w:rFonts w:hint="eastAsia" w:ascii="仿宋_GB2312" w:eastAsia="仿宋_GB2312"/>
                <w:sz w:val="24"/>
                <w:szCs w:val="24"/>
              </w:rPr>
              <w:t>台</w:t>
            </w:r>
          </w:p>
        </w:tc>
        <w:tc>
          <w:tcPr>
            <w:tcW w:w="2946" w:type="dxa"/>
            <w:shd w:val="clear" w:color="auto" w:fill="auto"/>
          </w:tcPr>
          <w:p>
            <w:pPr>
              <w:spacing w:line="400" w:lineRule="exact"/>
              <w:rPr>
                <w:rFonts w:ascii="仿宋_GB2312" w:eastAsia="仿宋_GB2312"/>
                <w:sz w:val="24"/>
                <w:szCs w:val="24"/>
              </w:rPr>
            </w:pPr>
            <w:r>
              <w:rPr>
                <w:rFonts w:hint="eastAsia" w:ascii="仿宋_GB2312" w:eastAsia="仿宋_GB2312"/>
                <w:sz w:val="24"/>
                <w:szCs w:val="24"/>
              </w:rPr>
              <w:t>急诊科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400" w:lineRule="exact"/>
              <w:jc w:val="center"/>
              <w:rPr>
                <w:rFonts w:ascii="仿宋_GB2312" w:eastAsia="仿宋_GB2312"/>
                <w:sz w:val="24"/>
                <w:szCs w:val="24"/>
              </w:rPr>
            </w:pPr>
            <w:r>
              <w:rPr>
                <w:rFonts w:hint="eastAsia" w:ascii="仿宋_GB2312" w:eastAsia="仿宋_GB2312"/>
                <w:sz w:val="24"/>
                <w:szCs w:val="24"/>
              </w:rPr>
              <w:t>3</w:t>
            </w:r>
          </w:p>
        </w:tc>
        <w:tc>
          <w:tcPr>
            <w:tcW w:w="2647" w:type="dxa"/>
            <w:shd w:val="clear" w:color="auto" w:fill="auto"/>
          </w:tcPr>
          <w:p>
            <w:pPr>
              <w:spacing w:line="400" w:lineRule="exact"/>
              <w:jc w:val="left"/>
              <w:rPr>
                <w:rFonts w:ascii="仿宋_GB2312" w:eastAsia="仿宋_GB2312"/>
                <w:sz w:val="24"/>
                <w:szCs w:val="24"/>
              </w:rPr>
            </w:pPr>
            <w:r>
              <w:rPr>
                <w:rFonts w:hint="eastAsia" w:ascii="仿宋_GB2312" w:eastAsia="仿宋_GB2312"/>
                <w:sz w:val="24"/>
                <w:szCs w:val="24"/>
              </w:rPr>
              <w:t>可视喉镜</w:t>
            </w:r>
          </w:p>
        </w:tc>
        <w:tc>
          <w:tcPr>
            <w:tcW w:w="1038" w:type="dxa"/>
            <w:shd w:val="clear" w:color="auto" w:fill="auto"/>
          </w:tcPr>
          <w:p>
            <w:pPr>
              <w:spacing w:line="400" w:lineRule="exact"/>
              <w:jc w:val="center"/>
              <w:rPr>
                <w:rFonts w:ascii="仿宋_GB2312" w:eastAsia="仿宋_GB2312"/>
                <w:sz w:val="24"/>
                <w:szCs w:val="24"/>
              </w:rPr>
            </w:pPr>
            <w:r>
              <w:rPr>
                <w:rFonts w:hint="eastAsia" w:ascii="仿宋_GB2312" w:eastAsia="仿宋_GB2312"/>
                <w:sz w:val="24"/>
                <w:szCs w:val="24"/>
              </w:rPr>
              <w:t>2</w:t>
            </w:r>
          </w:p>
        </w:tc>
        <w:tc>
          <w:tcPr>
            <w:tcW w:w="463" w:type="dxa"/>
            <w:shd w:val="clear" w:color="auto" w:fill="auto"/>
          </w:tcPr>
          <w:p>
            <w:pPr>
              <w:spacing w:line="400" w:lineRule="exact"/>
              <w:jc w:val="center"/>
              <w:rPr>
                <w:rFonts w:ascii="仿宋_GB2312" w:eastAsia="仿宋_GB2312"/>
                <w:sz w:val="24"/>
                <w:szCs w:val="24"/>
              </w:rPr>
            </w:pPr>
            <w:r>
              <w:rPr>
                <w:rFonts w:hint="eastAsia" w:ascii="仿宋_GB2312" w:eastAsia="仿宋_GB2312"/>
                <w:sz w:val="24"/>
                <w:szCs w:val="24"/>
              </w:rPr>
              <w:t>台</w:t>
            </w:r>
          </w:p>
        </w:tc>
        <w:tc>
          <w:tcPr>
            <w:tcW w:w="2946" w:type="dxa"/>
            <w:shd w:val="clear" w:color="auto" w:fill="auto"/>
          </w:tcPr>
          <w:p>
            <w:pPr>
              <w:spacing w:line="400" w:lineRule="exact"/>
              <w:rPr>
                <w:rFonts w:ascii="仿宋_GB2312" w:eastAsia="仿宋_GB2312"/>
                <w:sz w:val="24"/>
                <w:szCs w:val="24"/>
              </w:rPr>
            </w:pPr>
            <w:r>
              <w:rPr>
                <w:rFonts w:hint="eastAsia" w:ascii="仿宋_GB2312" w:eastAsia="仿宋_GB2312"/>
                <w:sz w:val="24"/>
                <w:szCs w:val="24"/>
              </w:rPr>
              <w:t>急诊科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vAlign w:val="center"/>
          </w:tcPr>
          <w:p>
            <w:pPr>
              <w:spacing w:line="400" w:lineRule="exact"/>
              <w:rPr>
                <w:rFonts w:ascii="仿宋_GB2312" w:eastAsia="仿宋_GB2312"/>
                <w:sz w:val="24"/>
                <w:szCs w:val="24"/>
              </w:rPr>
            </w:pPr>
            <w:r>
              <w:rPr>
                <w:rFonts w:hint="eastAsia" w:ascii="仿宋_GB2312" w:eastAsia="仿宋_GB2312"/>
                <w:sz w:val="24"/>
                <w:szCs w:val="24"/>
              </w:rPr>
              <w:t>4</w:t>
            </w:r>
          </w:p>
        </w:tc>
        <w:tc>
          <w:tcPr>
            <w:tcW w:w="2647" w:type="dxa"/>
            <w:shd w:val="clear" w:color="auto" w:fill="auto"/>
            <w:vAlign w:val="center"/>
          </w:tcPr>
          <w:p>
            <w:pPr>
              <w:spacing w:line="400" w:lineRule="exact"/>
              <w:rPr>
                <w:rFonts w:ascii="仿宋_GB2312" w:eastAsia="仿宋_GB2312"/>
                <w:sz w:val="24"/>
                <w:szCs w:val="24"/>
              </w:rPr>
            </w:pPr>
            <w:r>
              <w:rPr>
                <w:rFonts w:hint="eastAsia" w:ascii="仿宋_GB2312" w:eastAsia="仿宋_GB2312"/>
                <w:sz w:val="24"/>
                <w:szCs w:val="24"/>
              </w:rPr>
              <w:t>无创呼吸机</w:t>
            </w:r>
          </w:p>
        </w:tc>
        <w:tc>
          <w:tcPr>
            <w:tcW w:w="1038" w:type="dxa"/>
            <w:shd w:val="clear" w:color="auto" w:fill="auto"/>
            <w:vAlign w:val="center"/>
          </w:tcPr>
          <w:p>
            <w:pPr>
              <w:spacing w:line="400" w:lineRule="exact"/>
              <w:jc w:val="center"/>
              <w:rPr>
                <w:rFonts w:ascii="仿宋_GB2312" w:eastAsia="仿宋_GB2312"/>
                <w:sz w:val="24"/>
                <w:szCs w:val="24"/>
              </w:rPr>
            </w:pPr>
            <w:r>
              <w:rPr>
                <w:rFonts w:hint="eastAsia" w:ascii="仿宋_GB2312" w:eastAsia="仿宋_GB2312"/>
                <w:sz w:val="24"/>
                <w:szCs w:val="24"/>
              </w:rPr>
              <w:t>1</w:t>
            </w:r>
          </w:p>
        </w:tc>
        <w:tc>
          <w:tcPr>
            <w:tcW w:w="463" w:type="dxa"/>
            <w:shd w:val="clear" w:color="auto" w:fill="auto"/>
            <w:vAlign w:val="center"/>
          </w:tcPr>
          <w:p>
            <w:pPr>
              <w:spacing w:line="400" w:lineRule="exact"/>
              <w:jc w:val="center"/>
              <w:rPr>
                <w:rFonts w:ascii="仿宋_GB2312" w:eastAsia="仿宋_GB2312"/>
                <w:sz w:val="24"/>
                <w:szCs w:val="24"/>
              </w:rPr>
            </w:pPr>
            <w:r>
              <w:rPr>
                <w:rFonts w:hint="eastAsia" w:ascii="仿宋_GB2312" w:eastAsia="仿宋_GB2312"/>
                <w:sz w:val="24"/>
                <w:szCs w:val="24"/>
              </w:rPr>
              <w:t>台</w:t>
            </w:r>
          </w:p>
        </w:tc>
        <w:tc>
          <w:tcPr>
            <w:tcW w:w="2946" w:type="dxa"/>
            <w:shd w:val="clear" w:color="auto" w:fill="auto"/>
            <w:vAlign w:val="center"/>
          </w:tcPr>
          <w:p>
            <w:pPr>
              <w:spacing w:line="300" w:lineRule="exact"/>
              <w:rPr>
                <w:rFonts w:ascii="仿宋_GB2312" w:eastAsia="仿宋_GB2312"/>
                <w:sz w:val="24"/>
                <w:szCs w:val="24"/>
              </w:rPr>
            </w:pPr>
            <w:r>
              <w:rPr>
                <w:rFonts w:hint="eastAsia" w:ascii="仿宋_GB2312" w:eastAsia="仿宋_GB2312"/>
                <w:sz w:val="24"/>
                <w:szCs w:val="24"/>
              </w:rPr>
              <w:t>肺病科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400" w:lineRule="exact"/>
              <w:jc w:val="center"/>
              <w:rPr>
                <w:rFonts w:ascii="仿宋_GB2312" w:eastAsia="仿宋_GB2312"/>
                <w:sz w:val="24"/>
                <w:szCs w:val="24"/>
              </w:rPr>
            </w:pPr>
            <w:r>
              <w:rPr>
                <w:rFonts w:hint="eastAsia" w:ascii="仿宋_GB2312" w:eastAsia="仿宋_GB2312"/>
                <w:sz w:val="24"/>
                <w:szCs w:val="24"/>
              </w:rPr>
              <w:t>5</w:t>
            </w:r>
          </w:p>
        </w:tc>
        <w:tc>
          <w:tcPr>
            <w:tcW w:w="2647" w:type="dxa"/>
            <w:shd w:val="clear" w:color="auto" w:fill="auto"/>
          </w:tcPr>
          <w:p>
            <w:pPr>
              <w:spacing w:line="400" w:lineRule="exact"/>
              <w:jc w:val="left"/>
              <w:rPr>
                <w:rFonts w:ascii="仿宋_GB2312" w:eastAsia="仿宋_GB2312"/>
                <w:sz w:val="24"/>
                <w:szCs w:val="24"/>
              </w:rPr>
            </w:pPr>
            <w:r>
              <w:rPr>
                <w:rFonts w:hint="eastAsia" w:ascii="仿宋_GB2312" w:eastAsia="仿宋_GB2312"/>
                <w:sz w:val="24"/>
                <w:szCs w:val="24"/>
              </w:rPr>
              <w:t>有创呼吸机</w:t>
            </w:r>
          </w:p>
        </w:tc>
        <w:tc>
          <w:tcPr>
            <w:tcW w:w="1038" w:type="dxa"/>
            <w:shd w:val="clear" w:color="auto" w:fill="auto"/>
          </w:tcPr>
          <w:p>
            <w:pPr>
              <w:spacing w:line="400" w:lineRule="exact"/>
              <w:jc w:val="center"/>
              <w:rPr>
                <w:rFonts w:ascii="仿宋_GB2312" w:eastAsia="仿宋_GB2312"/>
                <w:sz w:val="24"/>
                <w:szCs w:val="24"/>
              </w:rPr>
            </w:pPr>
            <w:r>
              <w:rPr>
                <w:rFonts w:hint="eastAsia" w:ascii="仿宋_GB2312" w:eastAsia="仿宋_GB2312"/>
                <w:sz w:val="24"/>
                <w:szCs w:val="24"/>
              </w:rPr>
              <w:t>1</w:t>
            </w:r>
          </w:p>
        </w:tc>
        <w:tc>
          <w:tcPr>
            <w:tcW w:w="463" w:type="dxa"/>
            <w:shd w:val="clear" w:color="auto" w:fill="auto"/>
          </w:tcPr>
          <w:p>
            <w:pPr>
              <w:spacing w:line="400" w:lineRule="exact"/>
              <w:jc w:val="center"/>
              <w:rPr>
                <w:rFonts w:ascii="仿宋_GB2312" w:eastAsia="仿宋_GB2312"/>
                <w:sz w:val="24"/>
                <w:szCs w:val="24"/>
              </w:rPr>
            </w:pPr>
            <w:r>
              <w:rPr>
                <w:rFonts w:hint="eastAsia" w:ascii="仿宋_GB2312" w:eastAsia="仿宋_GB2312"/>
                <w:sz w:val="24"/>
                <w:szCs w:val="24"/>
              </w:rPr>
              <w:t>台</w:t>
            </w:r>
          </w:p>
        </w:tc>
        <w:tc>
          <w:tcPr>
            <w:tcW w:w="2946" w:type="dxa"/>
            <w:shd w:val="clear" w:color="auto" w:fill="auto"/>
          </w:tcPr>
          <w:p>
            <w:pPr>
              <w:spacing w:line="400" w:lineRule="exact"/>
              <w:rPr>
                <w:rFonts w:ascii="仿宋_GB2312" w:eastAsia="仿宋_GB2312"/>
                <w:sz w:val="24"/>
                <w:szCs w:val="24"/>
              </w:rPr>
            </w:pPr>
            <w:r>
              <w:rPr>
                <w:rFonts w:hint="eastAsia" w:ascii="仿宋_GB2312" w:eastAsia="仿宋_GB2312"/>
                <w:sz w:val="24"/>
                <w:szCs w:val="24"/>
              </w:rPr>
              <w:t>急诊科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400" w:lineRule="exact"/>
              <w:jc w:val="center"/>
              <w:rPr>
                <w:rFonts w:ascii="仿宋_GB2312" w:eastAsia="仿宋_GB2312"/>
                <w:sz w:val="24"/>
                <w:szCs w:val="24"/>
              </w:rPr>
            </w:pPr>
            <w:r>
              <w:rPr>
                <w:rFonts w:hint="eastAsia" w:ascii="仿宋_GB2312" w:eastAsia="仿宋_GB2312"/>
                <w:sz w:val="24"/>
                <w:szCs w:val="24"/>
              </w:rPr>
              <w:t>6</w:t>
            </w:r>
          </w:p>
        </w:tc>
        <w:tc>
          <w:tcPr>
            <w:tcW w:w="2647" w:type="dxa"/>
            <w:shd w:val="clear" w:color="auto" w:fill="auto"/>
          </w:tcPr>
          <w:p>
            <w:pPr>
              <w:spacing w:line="400" w:lineRule="exact"/>
              <w:jc w:val="left"/>
              <w:rPr>
                <w:rFonts w:ascii="仿宋_GB2312" w:eastAsia="仿宋_GB2312"/>
                <w:sz w:val="24"/>
                <w:szCs w:val="24"/>
              </w:rPr>
            </w:pPr>
            <w:r>
              <w:rPr>
                <w:rFonts w:hint="eastAsia" w:ascii="仿宋_GB2312" w:eastAsia="仿宋_GB2312"/>
                <w:sz w:val="24"/>
                <w:szCs w:val="24"/>
              </w:rPr>
              <w:t>移动式抢救床</w:t>
            </w:r>
          </w:p>
        </w:tc>
        <w:tc>
          <w:tcPr>
            <w:tcW w:w="1038" w:type="dxa"/>
            <w:shd w:val="clear" w:color="auto" w:fill="auto"/>
          </w:tcPr>
          <w:p>
            <w:pPr>
              <w:spacing w:line="400" w:lineRule="exact"/>
              <w:jc w:val="center"/>
              <w:rPr>
                <w:rFonts w:ascii="仿宋_GB2312" w:eastAsia="仿宋_GB2312"/>
                <w:sz w:val="24"/>
                <w:szCs w:val="24"/>
              </w:rPr>
            </w:pPr>
            <w:r>
              <w:rPr>
                <w:rFonts w:hint="eastAsia" w:ascii="仿宋_GB2312" w:eastAsia="仿宋_GB2312"/>
                <w:sz w:val="24"/>
                <w:szCs w:val="24"/>
              </w:rPr>
              <w:t>4</w:t>
            </w:r>
          </w:p>
        </w:tc>
        <w:tc>
          <w:tcPr>
            <w:tcW w:w="463" w:type="dxa"/>
            <w:shd w:val="clear" w:color="auto" w:fill="auto"/>
          </w:tcPr>
          <w:p>
            <w:pPr>
              <w:spacing w:line="400" w:lineRule="exact"/>
              <w:jc w:val="center"/>
              <w:rPr>
                <w:rFonts w:ascii="仿宋_GB2312" w:eastAsia="仿宋_GB2312"/>
                <w:sz w:val="24"/>
                <w:szCs w:val="24"/>
              </w:rPr>
            </w:pPr>
            <w:r>
              <w:rPr>
                <w:rFonts w:hint="eastAsia" w:ascii="仿宋_GB2312" w:eastAsia="仿宋_GB2312"/>
                <w:sz w:val="24"/>
                <w:szCs w:val="24"/>
              </w:rPr>
              <w:t>张</w:t>
            </w:r>
          </w:p>
        </w:tc>
        <w:tc>
          <w:tcPr>
            <w:tcW w:w="2946" w:type="dxa"/>
            <w:shd w:val="clear" w:color="auto" w:fill="auto"/>
          </w:tcPr>
          <w:p>
            <w:pPr>
              <w:spacing w:line="400" w:lineRule="exact"/>
              <w:rPr>
                <w:rFonts w:ascii="仿宋_GB2312" w:eastAsia="仿宋_GB2312"/>
                <w:sz w:val="24"/>
                <w:szCs w:val="24"/>
              </w:rPr>
            </w:pPr>
            <w:r>
              <w:rPr>
                <w:rFonts w:hint="eastAsia" w:ascii="仿宋_GB2312" w:eastAsia="仿宋_GB2312"/>
                <w:sz w:val="24"/>
                <w:szCs w:val="24"/>
              </w:rPr>
              <w:t>急诊科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400" w:lineRule="exact"/>
              <w:jc w:val="center"/>
              <w:rPr>
                <w:rFonts w:ascii="仿宋_GB2312" w:eastAsia="仿宋_GB2312"/>
                <w:sz w:val="24"/>
                <w:szCs w:val="24"/>
              </w:rPr>
            </w:pPr>
            <w:r>
              <w:rPr>
                <w:rFonts w:hint="eastAsia" w:ascii="仿宋_GB2312" w:eastAsia="仿宋_GB2312"/>
                <w:sz w:val="24"/>
                <w:szCs w:val="24"/>
              </w:rPr>
              <w:t>7</w:t>
            </w:r>
          </w:p>
        </w:tc>
        <w:tc>
          <w:tcPr>
            <w:tcW w:w="2647" w:type="dxa"/>
            <w:shd w:val="clear" w:color="auto" w:fill="auto"/>
          </w:tcPr>
          <w:p>
            <w:pPr>
              <w:spacing w:line="400" w:lineRule="exact"/>
              <w:jc w:val="left"/>
              <w:rPr>
                <w:rFonts w:ascii="仿宋_GB2312" w:eastAsia="仿宋_GB2312"/>
                <w:sz w:val="24"/>
                <w:szCs w:val="24"/>
              </w:rPr>
            </w:pPr>
            <w:r>
              <w:rPr>
                <w:rFonts w:hint="eastAsia" w:ascii="仿宋_GB2312" w:eastAsia="仿宋_GB2312"/>
                <w:sz w:val="24"/>
                <w:szCs w:val="24"/>
              </w:rPr>
              <w:t>吊塔</w:t>
            </w:r>
          </w:p>
        </w:tc>
        <w:tc>
          <w:tcPr>
            <w:tcW w:w="1038" w:type="dxa"/>
            <w:shd w:val="clear" w:color="auto" w:fill="auto"/>
          </w:tcPr>
          <w:p>
            <w:pPr>
              <w:spacing w:line="400" w:lineRule="exact"/>
              <w:jc w:val="center"/>
              <w:rPr>
                <w:rFonts w:ascii="仿宋_GB2312" w:eastAsia="仿宋_GB2312"/>
                <w:sz w:val="24"/>
                <w:szCs w:val="24"/>
              </w:rPr>
            </w:pPr>
            <w:r>
              <w:rPr>
                <w:rFonts w:hint="eastAsia" w:ascii="仿宋_GB2312" w:eastAsia="仿宋_GB2312"/>
                <w:sz w:val="24"/>
                <w:szCs w:val="24"/>
              </w:rPr>
              <w:t>4</w:t>
            </w:r>
          </w:p>
        </w:tc>
        <w:tc>
          <w:tcPr>
            <w:tcW w:w="463" w:type="dxa"/>
            <w:shd w:val="clear" w:color="auto" w:fill="auto"/>
          </w:tcPr>
          <w:p>
            <w:pPr>
              <w:spacing w:line="400" w:lineRule="exact"/>
              <w:jc w:val="center"/>
              <w:rPr>
                <w:rFonts w:ascii="仿宋_GB2312" w:eastAsia="仿宋_GB2312"/>
                <w:sz w:val="24"/>
                <w:szCs w:val="24"/>
              </w:rPr>
            </w:pPr>
            <w:r>
              <w:rPr>
                <w:rFonts w:hint="eastAsia" w:ascii="仿宋_GB2312" w:eastAsia="仿宋_GB2312"/>
                <w:sz w:val="24"/>
                <w:szCs w:val="24"/>
              </w:rPr>
              <w:t>套</w:t>
            </w:r>
          </w:p>
        </w:tc>
        <w:tc>
          <w:tcPr>
            <w:tcW w:w="2946" w:type="dxa"/>
            <w:shd w:val="clear" w:color="auto" w:fill="auto"/>
          </w:tcPr>
          <w:p>
            <w:pPr>
              <w:spacing w:line="400" w:lineRule="exact"/>
              <w:rPr>
                <w:rFonts w:ascii="仿宋_GB2312" w:eastAsia="仿宋_GB2312"/>
                <w:sz w:val="24"/>
                <w:szCs w:val="24"/>
              </w:rPr>
            </w:pPr>
            <w:r>
              <w:rPr>
                <w:rFonts w:hint="eastAsia" w:ascii="仿宋_GB2312" w:eastAsia="仿宋_GB2312"/>
                <w:sz w:val="24"/>
                <w:szCs w:val="24"/>
              </w:rPr>
              <w:t>急诊科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400" w:lineRule="exact"/>
              <w:jc w:val="center"/>
              <w:rPr>
                <w:rFonts w:ascii="仿宋_GB2312" w:eastAsia="仿宋_GB2312"/>
                <w:sz w:val="24"/>
                <w:szCs w:val="24"/>
              </w:rPr>
            </w:pPr>
            <w:r>
              <w:rPr>
                <w:rFonts w:hint="eastAsia" w:ascii="仿宋_GB2312" w:eastAsia="仿宋_GB2312"/>
                <w:sz w:val="24"/>
                <w:szCs w:val="24"/>
              </w:rPr>
              <w:t>8</w:t>
            </w:r>
          </w:p>
        </w:tc>
        <w:tc>
          <w:tcPr>
            <w:tcW w:w="2647" w:type="dxa"/>
            <w:shd w:val="clear" w:color="auto" w:fill="auto"/>
          </w:tcPr>
          <w:p>
            <w:pPr>
              <w:spacing w:line="400" w:lineRule="exact"/>
              <w:jc w:val="left"/>
              <w:rPr>
                <w:rFonts w:ascii="仿宋_GB2312" w:eastAsia="仿宋_GB2312"/>
                <w:sz w:val="24"/>
                <w:szCs w:val="24"/>
              </w:rPr>
            </w:pPr>
            <w:r>
              <w:rPr>
                <w:rFonts w:hint="eastAsia" w:ascii="仿宋_GB2312" w:eastAsia="仿宋_GB2312"/>
                <w:sz w:val="24"/>
                <w:szCs w:val="24"/>
              </w:rPr>
              <w:t>除颤仪</w:t>
            </w:r>
          </w:p>
        </w:tc>
        <w:tc>
          <w:tcPr>
            <w:tcW w:w="1038" w:type="dxa"/>
            <w:shd w:val="clear" w:color="auto" w:fill="auto"/>
          </w:tcPr>
          <w:p>
            <w:pPr>
              <w:spacing w:line="400" w:lineRule="exact"/>
              <w:jc w:val="center"/>
              <w:rPr>
                <w:rFonts w:ascii="仿宋_GB2312" w:eastAsia="仿宋_GB2312"/>
                <w:sz w:val="24"/>
                <w:szCs w:val="24"/>
              </w:rPr>
            </w:pPr>
            <w:r>
              <w:rPr>
                <w:rFonts w:hint="eastAsia" w:ascii="仿宋_GB2312" w:eastAsia="仿宋_GB2312"/>
                <w:sz w:val="24"/>
                <w:szCs w:val="24"/>
              </w:rPr>
              <w:t>1</w:t>
            </w:r>
          </w:p>
        </w:tc>
        <w:tc>
          <w:tcPr>
            <w:tcW w:w="463" w:type="dxa"/>
            <w:shd w:val="clear" w:color="auto" w:fill="auto"/>
          </w:tcPr>
          <w:p>
            <w:pPr>
              <w:spacing w:line="400" w:lineRule="exact"/>
              <w:jc w:val="center"/>
              <w:rPr>
                <w:rFonts w:ascii="仿宋_GB2312" w:eastAsia="仿宋_GB2312"/>
                <w:sz w:val="24"/>
                <w:szCs w:val="24"/>
              </w:rPr>
            </w:pPr>
            <w:r>
              <w:rPr>
                <w:rFonts w:hint="eastAsia" w:ascii="仿宋_GB2312" w:eastAsia="仿宋_GB2312"/>
                <w:sz w:val="24"/>
                <w:szCs w:val="24"/>
              </w:rPr>
              <w:t>台</w:t>
            </w:r>
          </w:p>
        </w:tc>
        <w:tc>
          <w:tcPr>
            <w:tcW w:w="2946" w:type="dxa"/>
            <w:shd w:val="clear" w:color="auto" w:fill="auto"/>
          </w:tcPr>
          <w:p>
            <w:pPr>
              <w:spacing w:line="400" w:lineRule="exact"/>
              <w:rPr>
                <w:rFonts w:ascii="仿宋_GB2312" w:eastAsia="仿宋_GB2312"/>
                <w:sz w:val="24"/>
                <w:szCs w:val="24"/>
              </w:rPr>
            </w:pPr>
            <w:r>
              <w:rPr>
                <w:rFonts w:hint="eastAsia" w:ascii="仿宋_GB2312" w:eastAsia="仿宋_GB2312"/>
                <w:sz w:val="24"/>
                <w:szCs w:val="24"/>
              </w:rPr>
              <w:t>医装部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400" w:lineRule="exact"/>
              <w:jc w:val="center"/>
              <w:rPr>
                <w:rFonts w:hint="eastAsia" w:ascii="仿宋_GB2312" w:eastAsia="仿宋_GB2312"/>
                <w:sz w:val="24"/>
                <w:szCs w:val="24"/>
              </w:rPr>
            </w:pPr>
            <w:r>
              <w:rPr>
                <w:rFonts w:hint="eastAsia" w:ascii="仿宋_GB2312" w:eastAsia="仿宋_GB2312"/>
                <w:sz w:val="24"/>
                <w:szCs w:val="24"/>
              </w:rPr>
              <w:t>9</w:t>
            </w:r>
          </w:p>
        </w:tc>
        <w:tc>
          <w:tcPr>
            <w:tcW w:w="2647" w:type="dxa"/>
            <w:shd w:val="clear" w:color="auto" w:fill="auto"/>
          </w:tcPr>
          <w:p>
            <w:pPr>
              <w:spacing w:line="360" w:lineRule="auto"/>
              <w:jc w:val="left"/>
              <w:rPr>
                <w:rFonts w:ascii="仿宋_GB2312" w:eastAsia="仿宋_GB2312"/>
                <w:sz w:val="24"/>
                <w:szCs w:val="24"/>
              </w:rPr>
            </w:pPr>
            <w:r>
              <w:rPr>
                <w:rFonts w:hint="eastAsia" w:ascii="仿宋_GB2312" w:eastAsia="仿宋_GB2312"/>
                <w:sz w:val="24"/>
                <w:szCs w:val="24"/>
              </w:rPr>
              <w:t>开颅动力系统（颅骨钻、铣刀等）</w:t>
            </w:r>
          </w:p>
        </w:tc>
        <w:tc>
          <w:tcPr>
            <w:tcW w:w="1038"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1</w:t>
            </w:r>
          </w:p>
        </w:tc>
        <w:tc>
          <w:tcPr>
            <w:tcW w:w="463"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套</w:t>
            </w:r>
          </w:p>
        </w:tc>
        <w:tc>
          <w:tcPr>
            <w:tcW w:w="2946" w:type="dxa"/>
            <w:shd w:val="clear" w:color="auto" w:fill="auto"/>
          </w:tcPr>
          <w:p>
            <w:pPr>
              <w:spacing w:line="360" w:lineRule="auto"/>
              <w:rPr>
                <w:rFonts w:ascii="仿宋_GB2312" w:eastAsia="仿宋_GB2312"/>
                <w:sz w:val="24"/>
                <w:szCs w:val="24"/>
              </w:rPr>
            </w:pPr>
            <w:r>
              <w:rPr>
                <w:rFonts w:hint="eastAsia" w:ascii="仿宋_GB2312" w:eastAsia="仿宋_GB2312"/>
                <w:sz w:val="24"/>
                <w:szCs w:val="24"/>
              </w:rPr>
              <w:t>ICU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400" w:lineRule="exact"/>
              <w:jc w:val="center"/>
              <w:rPr>
                <w:rFonts w:hint="eastAsia" w:ascii="仿宋_GB2312" w:eastAsia="仿宋_GB2312"/>
                <w:sz w:val="24"/>
                <w:szCs w:val="24"/>
              </w:rPr>
            </w:pPr>
            <w:r>
              <w:rPr>
                <w:rFonts w:hint="eastAsia" w:ascii="仿宋_GB2312" w:eastAsia="仿宋_GB2312"/>
                <w:sz w:val="24"/>
                <w:szCs w:val="24"/>
              </w:rPr>
              <w:t>10</w:t>
            </w:r>
          </w:p>
        </w:tc>
        <w:tc>
          <w:tcPr>
            <w:tcW w:w="2647" w:type="dxa"/>
            <w:shd w:val="clear" w:color="auto" w:fill="auto"/>
          </w:tcPr>
          <w:p>
            <w:pPr>
              <w:spacing w:line="360" w:lineRule="auto"/>
              <w:jc w:val="left"/>
              <w:rPr>
                <w:rFonts w:ascii="仿宋_GB2312" w:eastAsia="仿宋_GB2312"/>
                <w:sz w:val="24"/>
                <w:szCs w:val="24"/>
              </w:rPr>
            </w:pPr>
            <w:r>
              <w:rPr>
                <w:rFonts w:hint="eastAsia" w:ascii="仿宋_GB2312" w:eastAsia="仿宋_GB2312"/>
                <w:sz w:val="24"/>
                <w:szCs w:val="24"/>
              </w:rPr>
              <w:t>麻醉机</w:t>
            </w:r>
          </w:p>
        </w:tc>
        <w:tc>
          <w:tcPr>
            <w:tcW w:w="1038"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1</w:t>
            </w:r>
          </w:p>
        </w:tc>
        <w:tc>
          <w:tcPr>
            <w:tcW w:w="463"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台</w:t>
            </w:r>
          </w:p>
        </w:tc>
        <w:tc>
          <w:tcPr>
            <w:tcW w:w="2946" w:type="dxa"/>
            <w:shd w:val="clear" w:color="auto" w:fill="auto"/>
          </w:tcPr>
          <w:p>
            <w:pPr>
              <w:spacing w:line="360" w:lineRule="auto"/>
              <w:rPr>
                <w:rFonts w:ascii="仿宋_GB2312" w:eastAsia="仿宋_GB2312"/>
                <w:sz w:val="24"/>
                <w:szCs w:val="24"/>
              </w:rPr>
            </w:pPr>
            <w:r>
              <w:rPr>
                <w:rFonts w:hint="eastAsia" w:ascii="仿宋_GB2312" w:eastAsia="仿宋_GB2312"/>
                <w:sz w:val="24"/>
                <w:szCs w:val="24"/>
              </w:rPr>
              <w:t>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400" w:lineRule="exact"/>
              <w:jc w:val="center"/>
              <w:rPr>
                <w:rFonts w:hint="eastAsia" w:ascii="仿宋_GB2312" w:eastAsia="仿宋_GB2312"/>
                <w:sz w:val="24"/>
                <w:szCs w:val="24"/>
              </w:rPr>
            </w:pPr>
            <w:r>
              <w:rPr>
                <w:rFonts w:hint="eastAsia" w:ascii="仿宋_GB2312" w:eastAsia="仿宋_GB2312"/>
                <w:sz w:val="24"/>
                <w:szCs w:val="24"/>
              </w:rPr>
              <w:t>11</w:t>
            </w:r>
          </w:p>
        </w:tc>
        <w:tc>
          <w:tcPr>
            <w:tcW w:w="2647" w:type="dxa"/>
            <w:shd w:val="clear" w:color="auto" w:fill="auto"/>
          </w:tcPr>
          <w:p>
            <w:pPr>
              <w:spacing w:line="360" w:lineRule="auto"/>
              <w:jc w:val="left"/>
              <w:rPr>
                <w:rFonts w:ascii="仿宋_GB2312" w:eastAsia="仿宋_GB2312"/>
                <w:sz w:val="24"/>
                <w:szCs w:val="24"/>
              </w:rPr>
            </w:pPr>
            <w:r>
              <w:rPr>
                <w:rFonts w:hint="eastAsia" w:ascii="仿宋_GB2312" w:eastAsia="仿宋_GB2312"/>
                <w:sz w:val="24"/>
                <w:szCs w:val="24"/>
              </w:rPr>
              <w:t>麻醉监护仪</w:t>
            </w:r>
          </w:p>
        </w:tc>
        <w:tc>
          <w:tcPr>
            <w:tcW w:w="1038"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1</w:t>
            </w:r>
          </w:p>
        </w:tc>
        <w:tc>
          <w:tcPr>
            <w:tcW w:w="463"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台</w:t>
            </w:r>
          </w:p>
        </w:tc>
        <w:tc>
          <w:tcPr>
            <w:tcW w:w="2946" w:type="dxa"/>
            <w:shd w:val="clear" w:color="auto" w:fill="auto"/>
          </w:tcPr>
          <w:p>
            <w:pPr>
              <w:spacing w:line="360" w:lineRule="auto"/>
              <w:rPr>
                <w:rFonts w:ascii="仿宋_GB2312" w:eastAsia="仿宋_GB2312"/>
                <w:sz w:val="24"/>
                <w:szCs w:val="24"/>
              </w:rPr>
            </w:pPr>
            <w:r>
              <w:rPr>
                <w:rFonts w:hint="eastAsia" w:ascii="仿宋_GB2312" w:eastAsia="仿宋_GB2312"/>
                <w:sz w:val="24"/>
                <w:szCs w:val="24"/>
              </w:rPr>
              <w:t>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04" w:type="dxa"/>
            <w:gridSpan w:val="2"/>
            <w:shd w:val="clear" w:color="auto" w:fill="auto"/>
            <w:vAlign w:val="center"/>
          </w:tcPr>
          <w:p>
            <w:pPr>
              <w:spacing w:line="400" w:lineRule="exact"/>
              <w:jc w:val="center"/>
              <w:rPr>
                <w:rFonts w:ascii="仿宋_GB2312" w:eastAsia="仿宋_GB2312"/>
                <w:sz w:val="24"/>
                <w:szCs w:val="24"/>
              </w:rPr>
            </w:pPr>
            <w:r>
              <w:rPr>
                <w:rFonts w:hint="eastAsia" w:ascii="仿宋_GB2312" w:eastAsia="仿宋_GB2312"/>
                <w:sz w:val="24"/>
                <w:szCs w:val="24"/>
              </w:rPr>
              <w:t>合计</w:t>
            </w:r>
          </w:p>
        </w:tc>
        <w:tc>
          <w:tcPr>
            <w:tcW w:w="1038" w:type="dxa"/>
            <w:shd w:val="clear" w:color="auto" w:fill="auto"/>
          </w:tcPr>
          <w:p>
            <w:pPr>
              <w:spacing w:line="400" w:lineRule="exact"/>
              <w:jc w:val="center"/>
              <w:rPr>
                <w:rFonts w:ascii="仿宋_GB2312" w:eastAsia="仿宋_GB2312"/>
                <w:sz w:val="24"/>
                <w:szCs w:val="24"/>
              </w:rPr>
            </w:pPr>
            <w:r>
              <w:rPr>
                <w:rFonts w:hint="eastAsia" w:ascii="仿宋_GB2312" w:eastAsia="仿宋_GB2312"/>
                <w:sz w:val="24"/>
                <w:szCs w:val="24"/>
              </w:rPr>
              <w:t>18</w:t>
            </w:r>
          </w:p>
        </w:tc>
        <w:tc>
          <w:tcPr>
            <w:tcW w:w="463" w:type="dxa"/>
            <w:shd w:val="clear" w:color="auto" w:fill="auto"/>
          </w:tcPr>
          <w:p>
            <w:pPr>
              <w:spacing w:line="400" w:lineRule="exact"/>
              <w:jc w:val="center"/>
              <w:rPr>
                <w:rFonts w:ascii="仿宋_GB2312" w:eastAsia="仿宋_GB2312"/>
                <w:sz w:val="24"/>
                <w:szCs w:val="24"/>
              </w:rPr>
            </w:pPr>
          </w:p>
        </w:tc>
        <w:tc>
          <w:tcPr>
            <w:tcW w:w="2946" w:type="dxa"/>
            <w:shd w:val="clear" w:color="auto" w:fill="auto"/>
          </w:tcPr>
          <w:p>
            <w:pPr>
              <w:spacing w:line="400" w:lineRule="exact"/>
              <w:rPr>
                <w:rFonts w:ascii="仿宋_GB2312" w:eastAsia="仿宋_GB2312"/>
                <w:sz w:val="24"/>
                <w:szCs w:val="24"/>
              </w:rPr>
            </w:pPr>
          </w:p>
        </w:tc>
      </w:tr>
    </w:tbl>
    <w:p>
      <w:pPr>
        <w:rPr>
          <w:rFonts w:ascii="Times New Roman" w:hAnsi="Times New Roman" w:eastAsia="仿宋_GB2312"/>
          <w:sz w:val="28"/>
        </w:rPr>
      </w:pPr>
    </w:p>
    <w:p>
      <w:pPr>
        <w:jc w:val="center"/>
        <w:rPr>
          <w:b/>
          <w:bCs/>
          <w:sz w:val="36"/>
          <w:szCs w:val="36"/>
        </w:rPr>
      </w:pPr>
    </w:p>
    <w:p>
      <w:pPr>
        <w:jc w:val="center"/>
        <w:rPr>
          <w:b/>
          <w:bCs/>
          <w:sz w:val="36"/>
          <w:szCs w:val="36"/>
        </w:rPr>
      </w:pPr>
      <w:r>
        <w:rPr>
          <w:rFonts w:hint="eastAsia"/>
          <w:b/>
          <w:bCs/>
          <w:sz w:val="36"/>
          <w:szCs w:val="36"/>
        </w:rPr>
        <w:t>01-01 床旁连续性血液净化机</w:t>
      </w:r>
    </w:p>
    <w:p>
      <w:pPr>
        <w:spacing w:line="420" w:lineRule="exact"/>
        <w:ind w:firstLine="480" w:firstLineChars="200"/>
        <w:rPr>
          <w:rFonts w:ascii="仿宋_GB2312" w:hAnsi="仿宋" w:eastAsia="仿宋_GB2312" w:cs="仿宋"/>
          <w:sz w:val="24"/>
          <w:szCs w:val="24"/>
        </w:rPr>
      </w:pP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w:t>
      </w:r>
      <w:r>
        <w:rPr>
          <w:rFonts w:ascii="仿宋_GB2312" w:hAnsi="仿宋" w:eastAsia="仿宋_GB2312" w:cs="仿宋"/>
          <w:sz w:val="24"/>
          <w:szCs w:val="24"/>
        </w:rPr>
        <w:t>支持连续性静脉血液透析、连续性静脉血液滤过、连续性静脉血液透析滤过、缓慢性连续性超滤、血液灌流、单重血浆置换、血浆吸附等治疗功能，并提供国家药品监督管理局出具的以上治疗功能的证明文件。</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w:t>
      </w:r>
      <w:r>
        <w:rPr>
          <w:rFonts w:ascii="仿宋_GB2312" w:hAnsi="仿宋" w:eastAsia="仿宋_GB2312" w:cs="仿宋"/>
          <w:sz w:val="24"/>
          <w:szCs w:val="24"/>
        </w:rPr>
        <w:t>≥12英寸可旋转液晶触摸显示屏。</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w:t>
      </w:r>
      <w:r>
        <w:rPr>
          <w:rFonts w:ascii="仿宋_GB2312" w:hAnsi="仿宋" w:eastAsia="仿宋_GB2312" w:cs="仿宋"/>
          <w:sz w:val="24"/>
          <w:szCs w:val="24"/>
        </w:rPr>
        <w:t>设备配置有枸橼酸输入泵和钙溶液推注泵。</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4.具有</w:t>
      </w:r>
      <w:r>
        <w:rPr>
          <w:rFonts w:ascii="仿宋_GB2312" w:hAnsi="仿宋" w:eastAsia="仿宋_GB2312" w:cs="仿宋"/>
          <w:sz w:val="24"/>
          <w:szCs w:val="24"/>
        </w:rPr>
        <w:t>管路安装图文引导。</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w:t>
      </w:r>
      <w:r>
        <w:rPr>
          <w:rFonts w:ascii="仿宋_GB2312" w:hAnsi="仿宋" w:eastAsia="仿宋_GB2312" w:cs="仿宋"/>
          <w:sz w:val="24"/>
          <w:szCs w:val="24"/>
        </w:rPr>
        <w:t>一套耗材管路满足所有连续肾脏替代治疗模式，包括：连续性静脉静脉血液透析、连续性静脉静脉血液滤过、连续性静脉静脉血液透析滤过等治疗模式。</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w:t>
      </w:r>
      <w:r>
        <w:rPr>
          <w:rFonts w:ascii="仿宋_GB2312" w:hAnsi="仿宋" w:eastAsia="仿宋_GB2312" w:cs="仿宋"/>
          <w:sz w:val="24"/>
          <w:szCs w:val="24"/>
        </w:rPr>
        <w:t>设备</w:t>
      </w:r>
      <w:r>
        <w:rPr>
          <w:rFonts w:hint="eastAsia" w:ascii="仿宋_GB2312" w:hAnsi="仿宋" w:eastAsia="仿宋_GB2312" w:cs="仿宋"/>
          <w:sz w:val="24"/>
          <w:szCs w:val="24"/>
        </w:rPr>
        <w:t>至少</w:t>
      </w:r>
      <w:r>
        <w:rPr>
          <w:rFonts w:ascii="仿宋_GB2312" w:hAnsi="仿宋" w:eastAsia="仿宋_GB2312" w:cs="仿宋"/>
          <w:sz w:val="24"/>
          <w:szCs w:val="24"/>
        </w:rPr>
        <w:t>配置1个注射泵，至少支持 10ml、20ml、30ml、50ml 规格的注射器，注射流量范围为：10mL/h～2000mL/h。</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w:t>
      </w:r>
      <w:r>
        <w:rPr>
          <w:rFonts w:ascii="仿宋_GB2312" w:hAnsi="仿宋" w:eastAsia="仿宋_GB2312" w:cs="仿宋"/>
          <w:sz w:val="24"/>
          <w:szCs w:val="24"/>
        </w:rPr>
        <w:t>设备至少配置4个流量泵。</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8.</w:t>
      </w:r>
      <w:r>
        <w:rPr>
          <w:rFonts w:ascii="仿宋_GB2312" w:hAnsi="仿宋" w:eastAsia="仿宋_GB2312" w:cs="仿宋"/>
          <w:sz w:val="24"/>
          <w:szCs w:val="24"/>
        </w:rPr>
        <w:t>流量控制范围</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8.1血泵流量范围：30mL/min～580mL/min，±10%。</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8.2补液泵流量范围：5mL/min～245mL/min，±0.1mL/min或±5％。</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8.3废液泵流量范围：5mL/min～245mL/min，±0.1mL/min 或设置值的±5％。</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8.4分流泵流量范围：5mL/min～245mL/min，±0.1mL/min 或设置值的±5％。</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w:t>
      </w:r>
      <w:r>
        <w:rPr>
          <w:rFonts w:ascii="仿宋_GB2312" w:hAnsi="仿宋" w:eastAsia="仿宋_GB2312" w:cs="仿宋"/>
          <w:sz w:val="24"/>
          <w:szCs w:val="24"/>
        </w:rPr>
        <w:t>监测范围</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9.1</w:t>
      </w:r>
      <w:r>
        <w:rPr>
          <w:rFonts w:hint="eastAsia" w:ascii="仿宋_GB2312" w:hAnsi="仿宋" w:eastAsia="仿宋_GB2312" w:cs="仿宋"/>
          <w:sz w:val="24"/>
          <w:szCs w:val="24"/>
        </w:rPr>
        <w:t xml:space="preserve"> </w:t>
      </w:r>
      <w:r>
        <w:rPr>
          <w:rFonts w:ascii="仿宋_GB2312" w:hAnsi="仿宋" w:eastAsia="仿宋_GB2312" w:cs="仿宋"/>
          <w:sz w:val="24"/>
          <w:szCs w:val="24"/>
        </w:rPr>
        <w:t>*动脉压监测范围: -480mmHg～+680mmHg，精度：±5mmHg。</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9.2静脉压监测范围: -480mmHg～+680mmHg，精度：±5mmHg。</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9.3跨膜压监测范围: -480mmHg～+680mmHg，精度：±5mmHg。</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9.4滤前压监控： -480mmHg～+680mmHg 精度：±5mmHg。</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9.5一级膜外压监控： -480mmHg～+680mmHg 精度：±5mmHg。</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9.6二级膜外压监控： -480mmHg～+680mmHg 精度：±5mmHg。</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9.7气泡检测器：可监测≥0.02ml的气泡。</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9.8漏血监测：设备有漏血监护系统，最大报警限值≤0.35mL/min（HCT 32%）。</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w:t>
      </w:r>
      <w:r>
        <w:rPr>
          <w:rFonts w:ascii="仿宋_GB2312" w:hAnsi="仿宋" w:eastAsia="仿宋_GB2312" w:cs="仿宋"/>
          <w:sz w:val="24"/>
          <w:szCs w:val="24"/>
        </w:rPr>
        <w:t>脱水范围为 0mL/h～4000mL/h，脱水误差≤±20mL/h。</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w:t>
      </w:r>
      <w:r>
        <w:rPr>
          <w:rFonts w:ascii="仿宋_GB2312" w:hAnsi="仿宋" w:eastAsia="仿宋_GB2312" w:cs="仿宋"/>
          <w:sz w:val="24"/>
          <w:szCs w:val="24"/>
        </w:rPr>
        <w:t>具有防止实际脱水量偏离设置值的独立防护系统，防护系统的最大动作值为±100mL。</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12.</w:t>
      </w:r>
      <w:r>
        <w:rPr>
          <w:rFonts w:ascii="仿宋_GB2312" w:hAnsi="仿宋" w:eastAsia="仿宋_GB2312" w:cs="仿宋"/>
          <w:sz w:val="24"/>
          <w:szCs w:val="24"/>
        </w:rPr>
        <w:t>具有预防或防止液袋抽空的措施，治疗界面换液剩余时间提示。</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13.</w:t>
      </w:r>
      <w:r>
        <w:rPr>
          <w:rFonts w:ascii="仿宋_GB2312" w:hAnsi="仿宋" w:eastAsia="仿宋_GB2312" w:cs="仿宋"/>
          <w:sz w:val="24"/>
          <w:szCs w:val="24"/>
        </w:rPr>
        <w:t>置换液温度控制范围：33℃～40℃。</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14.</w:t>
      </w:r>
      <w:r>
        <w:rPr>
          <w:rFonts w:ascii="仿宋_GB2312" w:hAnsi="仿宋" w:eastAsia="仿宋_GB2312" w:cs="仿宋"/>
          <w:sz w:val="24"/>
          <w:szCs w:val="24"/>
        </w:rPr>
        <w:t>设备</w:t>
      </w:r>
      <w:r>
        <w:rPr>
          <w:rFonts w:hint="eastAsia" w:ascii="仿宋_GB2312" w:hAnsi="仿宋" w:eastAsia="仿宋_GB2312" w:cs="仿宋"/>
          <w:sz w:val="24"/>
          <w:szCs w:val="24"/>
        </w:rPr>
        <w:t>至少</w:t>
      </w:r>
      <w:r>
        <w:rPr>
          <w:rFonts w:ascii="仿宋_GB2312" w:hAnsi="仿宋" w:eastAsia="仿宋_GB2312" w:cs="仿宋"/>
          <w:sz w:val="24"/>
          <w:szCs w:val="24"/>
        </w:rPr>
        <w:t>具有3个高精度称重计</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14.1补液秤称重范围：0kg～28kg，精度为±5g或±0.1％。</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14.2废液秤称重范围： 0kg～28kg，精度为±5g或±0.1％。</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14.3辅助1补液秤称重范围：0kg～10kg，称重精度为±5g 或±0.1％。</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15.</w:t>
      </w:r>
      <w:r>
        <w:rPr>
          <w:rFonts w:hint="eastAsia" w:ascii="仿宋_GB2312" w:hAnsi="宋体" w:eastAsia="仿宋_GB2312" w:cs="宋体"/>
          <w:sz w:val="24"/>
          <w:szCs w:val="24"/>
        </w:rPr>
        <w:t>*</w:t>
      </w:r>
      <w:r>
        <w:rPr>
          <w:rFonts w:ascii="仿宋_GB2312" w:hAnsi="仿宋" w:eastAsia="仿宋_GB2312" w:cs="仿宋"/>
          <w:sz w:val="24"/>
          <w:szCs w:val="24"/>
        </w:rPr>
        <w:t>置换液加热装置：采用双面平板加热装置，有加热反馈控制系统。</w:t>
      </w:r>
    </w:p>
    <w:p>
      <w:pPr>
        <w:spacing w:line="420" w:lineRule="exact"/>
        <w:ind w:firstLine="480" w:firstLineChars="200"/>
        <w:rPr>
          <w:rFonts w:ascii="仿宋_GB2312" w:hAnsi="仿宋" w:eastAsia="仿宋_GB2312" w:cs="仿宋"/>
          <w:sz w:val="24"/>
          <w:szCs w:val="24"/>
        </w:rPr>
      </w:pPr>
    </w:p>
    <w:p>
      <w:pPr>
        <w:jc w:val="center"/>
        <w:rPr>
          <w:b/>
          <w:bCs/>
          <w:sz w:val="36"/>
          <w:szCs w:val="36"/>
        </w:rPr>
      </w:pPr>
    </w:p>
    <w:p>
      <w:pPr>
        <w:jc w:val="center"/>
        <w:rPr>
          <w:b/>
          <w:bCs/>
          <w:sz w:val="36"/>
          <w:szCs w:val="36"/>
        </w:rPr>
      </w:pPr>
      <w:r>
        <w:rPr>
          <w:rFonts w:hint="eastAsia"/>
          <w:b/>
          <w:bCs/>
          <w:sz w:val="36"/>
          <w:szCs w:val="36"/>
        </w:rPr>
        <w:t>01-02 全自动电控心肺复苏机</w:t>
      </w:r>
    </w:p>
    <w:p>
      <w:pPr>
        <w:spacing w:line="420" w:lineRule="exact"/>
        <w:rPr>
          <w:rFonts w:ascii="仿宋" w:hAnsi="仿宋" w:eastAsia="仿宋" w:cs="仿宋"/>
          <w:sz w:val="24"/>
        </w:rPr>
      </w:pP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1.按压原理：采用胸腔接触式按压方式，胸部无负荷、垂直按压、自动中心位置定位；背部有固定板支撑。</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2.驱动方式：电动电控。</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w:t>
      </w:r>
      <w:r>
        <w:rPr>
          <w:rFonts w:hint="eastAsia" w:ascii="仿宋_GB2312" w:hAnsi="宋体" w:eastAsia="仿宋_GB2312" w:cs="宋体"/>
          <w:sz w:val="24"/>
          <w:szCs w:val="24"/>
        </w:rPr>
        <w:t>*</w:t>
      </w:r>
      <w:r>
        <w:rPr>
          <w:rFonts w:hint="eastAsia" w:ascii="仿宋_GB2312" w:hAnsi="仿宋" w:eastAsia="仿宋_GB2312" w:cs="仿宋"/>
          <w:sz w:val="24"/>
          <w:szCs w:val="24"/>
        </w:rPr>
        <w:t>机械结构：为双杆两侧固定结构，功能操作界面在设备上方。</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w:t>
      </w:r>
      <w:r>
        <w:rPr>
          <w:rFonts w:hint="eastAsia" w:ascii="仿宋_GB2312" w:hAnsi="宋体" w:eastAsia="仿宋_GB2312" w:cs="宋体"/>
          <w:sz w:val="24"/>
          <w:szCs w:val="24"/>
        </w:rPr>
        <w:t>*</w:t>
      </w:r>
      <w:r>
        <w:rPr>
          <w:rFonts w:hint="eastAsia" w:ascii="仿宋_GB2312" w:hAnsi="仿宋" w:eastAsia="仿宋_GB2312" w:cs="仿宋"/>
          <w:sz w:val="24"/>
          <w:szCs w:val="24"/>
        </w:rPr>
        <w:t>按压深度：按压深度 3～6 厘米，至少三挡可调。</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5.按压释放比:50%±5%，按压比1:1。</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6.按压通气模式：至少包含15:2 按压模式、30:2 按压模式、连续按压模式。</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7.通气时间：在 15:2 及 30:2 模式下，通气停顿时间不大于 3 秒。</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8.工作环境：温度-20℃～+55℃，湿度≥93%条件下，能保证正常工作状态。</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w:t>
      </w:r>
      <w:r>
        <w:rPr>
          <w:rFonts w:hint="eastAsia" w:ascii="仿宋_GB2312" w:hAnsi="宋体" w:eastAsia="仿宋_GB2312" w:cs="宋体"/>
          <w:sz w:val="24"/>
          <w:szCs w:val="24"/>
        </w:rPr>
        <w:t>*</w:t>
      </w:r>
      <w:r>
        <w:rPr>
          <w:rFonts w:hint="eastAsia" w:ascii="仿宋_GB2312" w:hAnsi="仿宋" w:eastAsia="仿宋_GB2312" w:cs="仿宋"/>
          <w:sz w:val="24"/>
          <w:szCs w:val="24"/>
        </w:rPr>
        <w:t>工作时间：新电池充满电情况下，电池最大运行时间≥75 分钟。2 块电池可持续工作120分钟以上。交流电接入状态下，可持续工作无间断；同时给予电池充电，设备工作过程中可不停机更换备用电池。保证设备处于不中断状态持续工作。</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10.电池最大充电时间≤100 分钟。</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11.适用胸廓范围：最大胸宽 45 厘米，胸骨高度范围 13.3～30.3 厘米。</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12.</w:t>
      </w:r>
      <w:r>
        <w:rPr>
          <w:rFonts w:hint="eastAsia" w:ascii="仿宋_GB2312" w:hAnsi="宋体" w:eastAsia="仿宋_GB2312" w:cs="宋体"/>
          <w:sz w:val="24"/>
          <w:szCs w:val="24"/>
        </w:rPr>
        <w:t>*</w:t>
      </w:r>
      <w:r>
        <w:rPr>
          <w:rFonts w:hint="eastAsia" w:ascii="仿宋_GB2312" w:hAnsi="仿宋" w:eastAsia="仿宋_GB2312" w:cs="仿宋"/>
          <w:sz w:val="24"/>
          <w:szCs w:val="24"/>
        </w:rPr>
        <w:t>心肺复苏机的按压器峰值压力＞60 公斤。</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13.具有电池寿命提示，需要更换电池给予提示。</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14.具有设备内部故障报警功能，设备故障时给予报警提示。</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15.按压头自动归位：当主机发生错误，按压头可自动归位。</w:t>
      </w:r>
    </w:p>
    <w:p>
      <w:pPr>
        <w:rPr>
          <w:rFonts w:ascii="仿宋_GB2312" w:eastAsia="仿宋_GB2312"/>
          <w:sz w:val="24"/>
          <w:szCs w:val="24"/>
        </w:rPr>
      </w:pPr>
    </w:p>
    <w:p>
      <w:pPr>
        <w:jc w:val="center"/>
        <w:rPr>
          <w:b/>
          <w:bCs/>
          <w:sz w:val="36"/>
          <w:szCs w:val="36"/>
        </w:rPr>
      </w:pPr>
      <w:r>
        <w:rPr>
          <w:rFonts w:hint="eastAsia"/>
          <w:b/>
          <w:bCs/>
          <w:sz w:val="36"/>
          <w:szCs w:val="36"/>
        </w:rPr>
        <w:t>01-03 可视喉镜</w:t>
      </w:r>
    </w:p>
    <w:p>
      <w:pPr>
        <w:spacing w:line="360" w:lineRule="auto"/>
        <w:rPr>
          <w:rFonts w:ascii="宋体" w:hAnsi="宋体"/>
          <w:sz w:val="24"/>
        </w:rPr>
      </w:pPr>
      <w:r>
        <w:rPr>
          <w:rFonts w:ascii="宋体" w:hAnsi="宋体"/>
          <w:sz w:val="24"/>
        </w:rPr>
        <w:tab/>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1.可视喉镜镜片参数</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 xml:space="preserve">1.1 </w:t>
      </w:r>
      <w:r>
        <w:rPr>
          <w:rFonts w:hint="eastAsia" w:ascii="仿宋_GB2312" w:hAnsi="宋体" w:eastAsia="仿宋_GB2312" w:cs="宋体"/>
          <w:sz w:val="24"/>
          <w:szCs w:val="24"/>
        </w:rPr>
        <w:t>*</w:t>
      </w:r>
      <w:r>
        <w:rPr>
          <w:rFonts w:hint="eastAsia" w:ascii="仿宋_GB2312" w:hAnsi="仿宋" w:eastAsia="仿宋_GB2312" w:cs="仿宋"/>
          <w:sz w:val="24"/>
          <w:szCs w:val="24"/>
        </w:rPr>
        <w:t>喉镜片采用医用级PC料，无菌包装 ，一次性使用。</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1.2 喉镜摄像头与叶片前端的垂直距离：大号≤35mm，中号≤32mm，小号≤28mm。</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1.3 镜片长度：大号≥119mm，中号≥95mm，小号≥78mm。</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1.4 镜片厚度（摄像头处）：大号≤10mm，中号≤10mm，小号≤10mm。</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1.5 镜片角度：大号≥41度，中号≥35度，小号≥19度。</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2.可视喉镜技术要求</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 显示屏</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2.1.1</w:t>
      </w:r>
      <w:r>
        <w:rPr>
          <w:rFonts w:hint="eastAsia" w:ascii="仿宋_GB2312" w:hAnsi="仿宋" w:eastAsia="仿宋_GB2312" w:cs="仿宋"/>
          <w:sz w:val="24"/>
          <w:szCs w:val="24"/>
        </w:rPr>
        <w:tab/>
      </w:r>
      <w:r>
        <w:rPr>
          <w:rFonts w:hint="eastAsia" w:ascii="仿宋_GB2312" w:hAnsi="仿宋" w:eastAsia="仿宋_GB2312" w:cs="仿宋"/>
          <w:sz w:val="24"/>
          <w:szCs w:val="24"/>
        </w:rPr>
        <w:t>高清广角显示屏≥3英寸</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2.1.2</w:t>
      </w:r>
      <w:r>
        <w:rPr>
          <w:rFonts w:hint="eastAsia" w:ascii="仿宋_GB2312" w:hAnsi="仿宋" w:eastAsia="仿宋_GB2312" w:cs="仿宋"/>
          <w:sz w:val="24"/>
          <w:szCs w:val="24"/>
        </w:rPr>
        <w:tab/>
      </w:r>
      <w:r>
        <w:rPr>
          <w:rFonts w:hint="eastAsia" w:ascii="仿宋_GB2312" w:hAnsi="仿宋" w:eastAsia="仿宋_GB2312" w:cs="仿宋"/>
          <w:sz w:val="24"/>
          <w:szCs w:val="24"/>
        </w:rPr>
        <w:t>分辨率：≥960×480</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2.1.3</w:t>
      </w:r>
      <w:r>
        <w:rPr>
          <w:rFonts w:hint="eastAsia" w:ascii="仿宋_GB2312" w:hAnsi="仿宋" w:eastAsia="仿宋_GB2312" w:cs="仿宋"/>
          <w:sz w:val="24"/>
          <w:szCs w:val="24"/>
        </w:rPr>
        <w:tab/>
      </w:r>
      <w:r>
        <w:rPr>
          <w:rFonts w:hint="eastAsia" w:ascii="仿宋_GB2312" w:hAnsi="仿宋" w:eastAsia="仿宋_GB2312" w:cs="仿宋"/>
          <w:sz w:val="24"/>
          <w:szCs w:val="24"/>
        </w:rPr>
        <w:t>屏幕旋转角度：前后：0º～130º，左右：0º～270。</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2.1.4</w:t>
      </w:r>
      <w:r>
        <w:rPr>
          <w:rFonts w:hint="eastAsia" w:ascii="仿宋_GB2312" w:hAnsi="仿宋" w:eastAsia="仿宋_GB2312" w:cs="仿宋"/>
          <w:sz w:val="24"/>
          <w:szCs w:val="24"/>
        </w:rPr>
        <w:tab/>
      </w:r>
      <w:r>
        <w:rPr>
          <w:rFonts w:hint="eastAsia" w:ascii="仿宋_GB2312" w:hAnsi="仿宋" w:eastAsia="仿宋_GB2312" w:cs="仿宋"/>
          <w:sz w:val="24"/>
          <w:szCs w:val="24"/>
        </w:rPr>
        <w:t>具备AV输出接口、数据导出和充电接口，内存≥4G。</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2.2 摄像系统</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2.2.1</w:t>
      </w:r>
      <w:r>
        <w:rPr>
          <w:rFonts w:hint="eastAsia" w:ascii="仿宋_GB2312" w:hAnsi="仿宋" w:eastAsia="仿宋_GB2312" w:cs="仿宋"/>
          <w:sz w:val="24"/>
          <w:szCs w:val="24"/>
        </w:rPr>
        <w:tab/>
      </w:r>
      <w:r>
        <w:rPr>
          <w:rFonts w:hint="eastAsia" w:ascii="仿宋_GB2312" w:hAnsi="宋体" w:eastAsia="仿宋_GB2312" w:cs="宋体"/>
          <w:sz w:val="24"/>
          <w:szCs w:val="24"/>
        </w:rPr>
        <w:t>*</w:t>
      </w:r>
      <w:r>
        <w:rPr>
          <w:rFonts w:hint="eastAsia" w:ascii="仿宋_GB2312" w:hAnsi="仿宋" w:eastAsia="仿宋_GB2312" w:cs="仿宋"/>
          <w:sz w:val="24"/>
          <w:szCs w:val="24"/>
        </w:rPr>
        <w:t>数字化摄像系统，像素≥200万。</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2.2.2</w:t>
      </w:r>
      <w:r>
        <w:rPr>
          <w:rFonts w:hint="eastAsia" w:ascii="仿宋_GB2312" w:hAnsi="仿宋" w:eastAsia="仿宋_GB2312" w:cs="仿宋"/>
          <w:sz w:val="24"/>
          <w:szCs w:val="24"/>
        </w:rPr>
        <w:tab/>
      </w:r>
      <w:r>
        <w:rPr>
          <w:rFonts w:hint="eastAsia" w:ascii="仿宋_GB2312" w:hAnsi="仿宋" w:eastAsia="仿宋_GB2312" w:cs="仿宋"/>
          <w:sz w:val="24"/>
          <w:szCs w:val="24"/>
        </w:rPr>
        <w:t>视场角≥70。</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2.2.3</w:t>
      </w:r>
      <w:r>
        <w:rPr>
          <w:rFonts w:hint="eastAsia" w:ascii="仿宋_GB2312" w:hAnsi="仿宋" w:eastAsia="仿宋_GB2312" w:cs="仿宋"/>
          <w:sz w:val="24"/>
          <w:szCs w:val="24"/>
        </w:rPr>
        <w:tab/>
      </w:r>
      <w:r>
        <w:rPr>
          <w:rFonts w:hint="eastAsia" w:ascii="仿宋_GB2312" w:hAnsi="仿宋" w:eastAsia="仿宋_GB2312" w:cs="仿宋"/>
          <w:sz w:val="24"/>
          <w:szCs w:val="24"/>
        </w:rPr>
        <w:t>有效景深：3～100mm。</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2.2.4</w:t>
      </w:r>
      <w:r>
        <w:rPr>
          <w:rFonts w:hint="eastAsia" w:ascii="仿宋_GB2312" w:hAnsi="仿宋" w:eastAsia="仿宋_GB2312" w:cs="仿宋"/>
          <w:sz w:val="24"/>
          <w:szCs w:val="24"/>
        </w:rPr>
        <w:tab/>
      </w:r>
      <w:r>
        <w:rPr>
          <w:rFonts w:hint="eastAsia" w:ascii="仿宋_GB2312" w:hAnsi="仿宋" w:eastAsia="仿宋_GB2312" w:cs="仿宋"/>
          <w:sz w:val="24"/>
          <w:szCs w:val="24"/>
        </w:rPr>
        <w:t>超强的防雾功能：开机即用，无需预热。</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2.2.5</w:t>
      </w:r>
      <w:r>
        <w:rPr>
          <w:rFonts w:hint="eastAsia" w:ascii="仿宋_GB2312" w:hAnsi="仿宋" w:eastAsia="仿宋_GB2312" w:cs="仿宋"/>
          <w:sz w:val="24"/>
          <w:szCs w:val="24"/>
        </w:rPr>
        <w:tab/>
      </w:r>
      <w:r>
        <w:rPr>
          <w:rFonts w:hint="eastAsia" w:ascii="仿宋_GB2312" w:hAnsi="仿宋" w:eastAsia="仿宋_GB2312" w:cs="仿宋"/>
          <w:sz w:val="24"/>
          <w:szCs w:val="24"/>
        </w:rPr>
        <w:t>光照度：≥2000lux。</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2.3 电池</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2.3.1</w:t>
      </w:r>
      <w:r>
        <w:rPr>
          <w:rFonts w:hint="eastAsia" w:ascii="仿宋_GB2312" w:hAnsi="仿宋" w:eastAsia="仿宋_GB2312" w:cs="仿宋"/>
          <w:sz w:val="24"/>
          <w:szCs w:val="24"/>
        </w:rPr>
        <w:tab/>
      </w:r>
      <w:r>
        <w:rPr>
          <w:rFonts w:hint="eastAsia" w:ascii="仿宋_GB2312" w:hAnsi="仿宋" w:eastAsia="仿宋_GB2312" w:cs="仿宋"/>
          <w:sz w:val="24"/>
          <w:szCs w:val="24"/>
        </w:rPr>
        <w:t>充电器输入:100～240V，50/60Hz</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2.3.2</w:t>
      </w:r>
      <w:r>
        <w:rPr>
          <w:rFonts w:hint="eastAsia" w:ascii="仿宋_GB2312" w:hAnsi="仿宋" w:eastAsia="仿宋_GB2312" w:cs="仿宋"/>
          <w:sz w:val="24"/>
          <w:szCs w:val="24"/>
        </w:rPr>
        <w:tab/>
      </w:r>
      <w:r>
        <w:rPr>
          <w:rFonts w:hint="eastAsia" w:ascii="仿宋_GB2312" w:hAnsi="仿宋" w:eastAsia="仿宋_GB2312" w:cs="仿宋"/>
          <w:sz w:val="24"/>
          <w:szCs w:val="24"/>
        </w:rPr>
        <w:t>充电器输出:5V,2000mA</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2.3.3</w:t>
      </w:r>
      <w:r>
        <w:rPr>
          <w:rFonts w:hint="eastAsia" w:ascii="仿宋_GB2312" w:hAnsi="仿宋" w:eastAsia="仿宋_GB2312" w:cs="仿宋"/>
          <w:sz w:val="24"/>
          <w:szCs w:val="24"/>
        </w:rPr>
        <w:tab/>
      </w:r>
      <w:r>
        <w:rPr>
          <w:rFonts w:hint="eastAsia" w:ascii="仿宋_GB2312" w:hAnsi="仿宋" w:eastAsia="仿宋_GB2312" w:cs="仿宋"/>
          <w:sz w:val="24"/>
          <w:szCs w:val="24"/>
        </w:rPr>
        <w:t>电池容量≥3000mA</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2.3.4</w:t>
      </w:r>
      <w:r>
        <w:rPr>
          <w:rFonts w:hint="eastAsia" w:ascii="仿宋_GB2312" w:hAnsi="仿宋" w:eastAsia="仿宋_GB2312" w:cs="仿宋"/>
          <w:sz w:val="24"/>
          <w:szCs w:val="24"/>
        </w:rPr>
        <w:tab/>
      </w:r>
      <w:r>
        <w:rPr>
          <w:rFonts w:hint="eastAsia" w:ascii="仿宋_GB2312" w:hAnsi="仿宋" w:eastAsia="仿宋_GB2312" w:cs="仿宋"/>
          <w:sz w:val="24"/>
          <w:szCs w:val="24"/>
        </w:rPr>
        <w:t>充电时间:≤5h</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2.3.5</w:t>
      </w:r>
      <w:r>
        <w:rPr>
          <w:rFonts w:hint="eastAsia" w:ascii="仿宋_GB2312" w:hAnsi="仿宋" w:eastAsia="仿宋_GB2312" w:cs="仿宋"/>
          <w:sz w:val="24"/>
          <w:szCs w:val="24"/>
        </w:rPr>
        <w:tab/>
      </w:r>
      <w:r>
        <w:rPr>
          <w:rFonts w:hint="eastAsia" w:ascii="仿宋_GB2312" w:hAnsi="仿宋" w:eastAsia="仿宋_GB2312" w:cs="仿宋"/>
          <w:sz w:val="24"/>
          <w:szCs w:val="24"/>
        </w:rPr>
        <w:t>电池放电时间≥6h</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2.4</w:t>
      </w:r>
      <w:r>
        <w:rPr>
          <w:rFonts w:hint="eastAsia" w:ascii="仿宋_GB2312" w:hAnsi="仿宋" w:eastAsia="仿宋_GB2312" w:cs="仿宋"/>
          <w:sz w:val="24"/>
          <w:szCs w:val="24"/>
        </w:rPr>
        <w:tab/>
      </w:r>
      <w:r>
        <w:rPr>
          <w:rFonts w:hint="eastAsia" w:ascii="仿宋_GB2312" w:hAnsi="仿宋" w:eastAsia="仿宋_GB2312" w:cs="仿宋"/>
          <w:sz w:val="24"/>
          <w:szCs w:val="24"/>
        </w:rPr>
        <w:t>具有一键拍照、一键定格、实时录像等功能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2.5</w:t>
      </w:r>
      <w:r>
        <w:rPr>
          <w:rFonts w:hint="eastAsia" w:ascii="仿宋_GB2312" w:hAnsi="仿宋" w:eastAsia="仿宋_GB2312" w:cs="仿宋"/>
          <w:sz w:val="24"/>
          <w:szCs w:val="24"/>
        </w:rPr>
        <w:tab/>
      </w:r>
      <w:r>
        <w:rPr>
          <w:rFonts w:hint="eastAsia" w:ascii="仿宋_GB2312" w:hAnsi="仿宋" w:eastAsia="仿宋_GB2312" w:cs="仿宋"/>
          <w:sz w:val="24"/>
          <w:szCs w:val="24"/>
        </w:rPr>
        <w:t>具有AV输出功能，方便教学及演示</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2.6</w:t>
      </w:r>
      <w:r>
        <w:rPr>
          <w:rFonts w:hint="eastAsia" w:ascii="仿宋_GB2312" w:hAnsi="仿宋" w:eastAsia="仿宋_GB2312" w:cs="仿宋"/>
          <w:sz w:val="24"/>
          <w:szCs w:val="24"/>
        </w:rPr>
        <w:tab/>
      </w:r>
      <w:r>
        <w:rPr>
          <w:rFonts w:hint="eastAsia" w:ascii="仿宋_GB2312" w:hAnsi="仿宋" w:eastAsia="仿宋_GB2312" w:cs="仿宋"/>
          <w:sz w:val="24"/>
          <w:szCs w:val="24"/>
        </w:rPr>
        <w:t>手柄和摄像系统的连接采用锁扣式设计。</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2.7</w:t>
      </w:r>
      <w:r>
        <w:rPr>
          <w:rFonts w:hint="eastAsia" w:ascii="仿宋_GB2312" w:hAnsi="仿宋" w:eastAsia="仿宋_GB2312" w:cs="仿宋"/>
          <w:sz w:val="24"/>
          <w:szCs w:val="24"/>
        </w:rPr>
        <w:tab/>
      </w:r>
      <w:r>
        <w:rPr>
          <w:rFonts w:hint="eastAsia" w:ascii="仿宋_GB2312" w:hAnsi="仿宋" w:eastAsia="仿宋_GB2312" w:cs="仿宋"/>
          <w:sz w:val="24"/>
          <w:szCs w:val="24"/>
        </w:rPr>
        <w:t>产品适用于成人、儿童、婴幼儿。</w:t>
      </w:r>
    </w:p>
    <w:p>
      <w:pPr>
        <w:spacing w:line="420" w:lineRule="exact"/>
        <w:ind w:firstLine="480" w:firstLineChars="200"/>
        <w:rPr>
          <w:rFonts w:ascii="仿宋_GB2312" w:hAnsi="仿宋" w:eastAsia="仿宋_GB2312" w:cs="仿宋"/>
          <w:sz w:val="24"/>
          <w:szCs w:val="24"/>
        </w:rPr>
      </w:pPr>
    </w:p>
    <w:p>
      <w:pPr>
        <w:jc w:val="center"/>
        <w:rPr>
          <w:b/>
          <w:bCs/>
          <w:sz w:val="36"/>
          <w:szCs w:val="36"/>
        </w:rPr>
      </w:pPr>
      <w:r>
        <w:rPr>
          <w:rFonts w:hint="eastAsia"/>
          <w:b/>
          <w:bCs/>
          <w:sz w:val="36"/>
          <w:szCs w:val="36"/>
        </w:rPr>
        <w:t>01-04 无创呼吸机</w:t>
      </w:r>
    </w:p>
    <w:p>
      <w:pPr>
        <w:spacing w:line="420" w:lineRule="exact"/>
        <w:ind w:firstLine="480" w:firstLineChars="200"/>
        <w:rPr>
          <w:rFonts w:ascii="仿宋_GB2312" w:hAnsi="仿宋" w:eastAsia="仿宋_GB2312" w:cs="仿宋"/>
          <w:sz w:val="24"/>
          <w:szCs w:val="24"/>
        </w:rPr>
      </w:pP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w:t>
      </w:r>
      <w:r>
        <w:rPr>
          <w:rFonts w:ascii="仿宋_GB2312" w:hAnsi="仿宋" w:eastAsia="仿宋_GB2312" w:cs="仿宋"/>
          <w:sz w:val="24"/>
          <w:szCs w:val="24"/>
        </w:rPr>
        <w:t>采用</w:t>
      </w:r>
      <w:r>
        <w:rPr>
          <w:rFonts w:hint="eastAsia" w:ascii="仿宋_GB2312" w:hAnsi="仿宋" w:eastAsia="仿宋_GB2312" w:cs="仿宋"/>
          <w:sz w:val="24"/>
          <w:szCs w:val="24"/>
        </w:rPr>
        <w:t>≥3.5英寸</w:t>
      </w:r>
      <w:r>
        <w:rPr>
          <w:rFonts w:ascii="仿宋_GB2312" w:hAnsi="仿宋" w:eastAsia="仿宋_GB2312" w:cs="仿宋"/>
          <w:sz w:val="24"/>
          <w:szCs w:val="24"/>
        </w:rPr>
        <w:t>彩色液晶屏,显示</w:t>
      </w:r>
      <w:r>
        <w:rPr>
          <w:rFonts w:hint="eastAsia" w:ascii="仿宋_GB2312" w:hAnsi="仿宋" w:eastAsia="仿宋_GB2312" w:cs="仿宋"/>
          <w:sz w:val="24"/>
          <w:szCs w:val="24"/>
        </w:rPr>
        <w:t>呼吸</w:t>
      </w:r>
      <w:r>
        <w:rPr>
          <w:rFonts w:ascii="仿宋_GB2312" w:hAnsi="仿宋" w:eastAsia="仿宋_GB2312" w:cs="仿宋"/>
          <w:sz w:val="24"/>
          <w:szCs w:val="24"/>
        </w:rPr>
        <w:t>参数、报警信息及波形</w:t>
      </w:r>
      <w:r>
        <w:rPr>
          <w:rFonts w:hint="eastAsia" w:ascii="仿宋_GB2312" w:hAnsi="仿宋" w:eastAsia="仿宋_GB2312" w:cs="仿宋"/>
          <w:sz w:val="24"/>
          <w:szCs w:val="24"/>
        </w:rPr>
        <w:t>柱。</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w:t>
      </w:r>
      <w:r>
        <w:rPr>
          <w:rFonts w:ascii="仿宋_GB2312" w:hAnsi="仿宋" w:eastAsia="仿宋_GB2312" w:cs="仿宋"/>
          <w:sz w:val="24"/>
          <w:szCs w:val="24"/>
        </w:rPr>
        <w:t>人体理工学设计</w:t>
      </w:r>
      <w:r>
        <w:rPr>
          <w:rFonts w:hint="eastAsia" w:ascii="仿宋_GB2312" w:hAnsi="仿宋" w:eastAsia="仿宋_GB2312" w:cs="仿宋"/>
          <w:sz w:val="24"/>
          <w:szCs w:val="24"/>
        </w:rPr>
        <w:t>适配多种形式支</w:t>
      </w:r>
      <w:r>
        <w:rPr>
          <w:rFonts w:ascii="仿宋_GB2312" w:hAnsi="仿宋" w:eastAsia="仿宋_GB2312" w:cs="仿宋"/>
          <w:sz w:val="24"/>
          <w:szCs w:val="24"/>
        </w:rPr>
        <w:t>架</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3.自备湿化器增加空气湿度。</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4.电源：直流24 V（－15 % ～ ＋25 %），2.5 A。</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5.电源适配器：交流输入 100 V -240 V～，频率50Hz /60 Hz，直流输出 24 V，2.5 A。</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6.环境温度范围：</w:t>
      </w:r>
      <w:r>
        <w:rPr>
          <w:rFonts w:ascii="仿宋_GB2312" w:hAnsi="仿宋" w:eastAsia="仿宋_GB2312" w:cs="仿宋"/>
          <w:sz w:val="24"/>
          <w:szCs w:val="24"/>
        </w:rPr>
        <w:t>+</w:t>
      </w:r>
      <w:r>
        <w:rPr>
          <w:rFonts w:hint="eastAsia" w:ascii="仿宋_GB2312" w:hAnsi="仿宋" w:eastAsia="仿宋_GB2312" w:cs="仿宋"/>
          <w:sz w:val="24"/>
          <w:szCs w:val="24"/>
        </w:rPr>
        <w:t>5 ℃ ～ +35 ℃，相对湿度范围：15 %</w:t>
      </w:r>
      <w:r>
        <w:rPr>
          <w:rFonts w:ascii="仿宋_GB2312" w:hAnsi="仿宋" w:eastAsia="仿宋_GB2312" w:cs="仿宋"/>
          <w:sz w:val="24"/>
          <w:szCs w:val="24"/>
        </w:rPr>
        <w:t xml:space="preserve"> ～</w:t>
      </w:r>
      <w:r>
        <w:rPr>
          <w:rFonts w:hint="eastAsia" w:ascii="仿宋_GB2312" w:hAnsi="仿宋" w:eastAsia="仿宋_GB2312" w:cs="仿宋"/>
          <w:sz w:val="24"/>
          <w:szCs w:val="24"/>
        </w:rPr>
        <w:t xml:space="preserve"> 95</w:t>
      </w:r>
      <w:r>
        <w:rPr>
          <w:rFonts w:ascii="仿宋_GB2312" w:hAnsi="仿宋" w:eastAsia="仿宋_GB2312" w:cs="仿宋"/>
          <w:sz w:val="24"/>
          <w:szCs w:val="24"/>
        </w:rPr>
        <w:t xml:space="preserve"> %</w:t>
      </w:r>
      <w:r>
        <w:rPr>
          <w:rFonts w:hint="eastAsia" w:ascii="仿宋_GB2312" w:hAnsi="仿宋" w:eastAsia="仿宋_GB2312" w:cs="仿宋"/>
          <w:sz w:val="24"/>
          <w:szCs w:val="24"/>
        </w:rPr>
        <w:t>，大气压力范围：830 hP</w:t>
      </w:r>
      <w:r>
        <w:rPr>
          <w:rFonts w:ascii="仿宋_GB2312" w:hAnsi="仿宋" w:eastAsia="仿宋_GB2312" w:cs="仿宋"/>
          <w:sz w:val="24"/>
          <w:szCs w:val="24"/>
        </w:rPr>
        <w:t xml:space="preserve">a </w:t>
      </w:r>
      <w:r>
        <w:rPr>
          <w:rFonts w:hint="eastAsia" w:ascii="仿宋_GB2312" w:hAnsi="仿宋" w:eastAsia="仿宋_GB2312" w:cs="仿宋"/>
          <w:sz w:val="24"/>
          <w:szCs w:val="24"/>
        </w:rPr>
        <w:t>～ 1060 hP</w:t>
      </w:r>
      <w:r>
        <w:rPr>
          <w:rFonts w:ascii="仿宋_GB2312" w:hAnsi="仿宋" w:eastAsia="仿宋_GB2312" w:cs="仿宋"/>
          <w:sz w:val="24"/>
          <w:szCs w:val="24"/>
        </w:rPr>
        <w:t>a</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w:t>
      </w:r>
      <w:r>
        <w:rPr>
          <w:rFonts w:ascii="仿宋_GB2312" w:hAnsi="仿宋" w:eastAsia="仿宋_GB2312" w:cs="仿宋"/>
          <w:sz w:val="24"/>
          <w:szCs w:val="24"/>
        </w:rPr>
        <w:t>通气模式</w:t>
      </w:r>
      <w:r>
        <w:rPr>
          <w:rFonts w:hint="eastAsia" w:ascii="仿宋_GB2312" w:hAnsi="仿宋" w:eastAsia="仿宋_GB2312" w:cs="仿宋"/>
          <w:sz w:val="24"/>
          <w:szCs w:val="24"/>
        </w:rPr>
        <w:t>：至少具有自主呼吸/时间控制模式（S/T模式）、时间</w:t>
      </w:r>
      <w:r>
        <w:rPr>
          <w:rFonts w:ascii="仿宋_GB2312" w:hAnsi="仿宋" w:eastAsia="仿宋_GB2312" w:cs="仿宋"/>
          <w:sz w:val="24"/>
          <w:szCs w:val="24"/>
        </w:rPr>
        <w:t>控制</w:t>
      </w:r>
      <w:r>
        <w:rPr>
          <w:rFonts w:hint="eastAsia" w:ascii="仿宋_GB2312" w:hAnsi="仿宋" w:eastAsia="仿宋_GB2312" w:cs="仿宋"/>
          <w:sz w:val="24"/>
          <w:szCs w:val="24"/>
        </w:rPr>
        <w:t>模式（T模式</w:t>
      </w:r>
      <w:r>
        <w:rPr>
          <w:rFonts w:ascii="仿宋_GB2312" w:hAnsi="仿宋" w:eastAsia="仿宋_GB2312" w:cs="仿宋"/>
          <w:sz w:val="24"/>
          <w:szCs w:val="24"/>
        </w:rPr>
        <w:t>）</w:t>
      </w:r>
      <w:r>
        <w:rPr>
          <w:rFonts w:hint="eastAsia" w:ascii="仿宋_GB2312" w:hAnsi="仿宋" w:eastAsia="仿宋_GB2312" w:cs="仿宋"/>
          <w:sz w:val="24"/>
          <w:szCs w:val="24"/>
        </w:rPr>
        <w:t>、自主呼吸模式</w:t>
      </w:r>
      <w:r>
        <w:rPr>
          <w:rFonts w:ascii="仿宋_GB2312" w:hAnsi="仿宋" w:eastAsia="仿宋_GB2312" w:cs="仿宋"/>
          <w:sz w:val="24"/>
          <w:szCs w:val="24"/>
        </w:rPr>
        <w:t>（</w:t>
      </w:r>
      <w:r>
        <w:rPr>
          <w:rFonts w:hint="eastAsia" w:ascii="仿宋_GB2312" w:hAnsi="仿宋" w:eastAsia="仿宋_GB2312" w:cs="仿宋"/>
          <w:sz w:val="24"/>
          <w:szCs w:val="24"/>
        </w:rPr>
        <w:t>S模式</w:t>
      </w:r>
      <w:r>
        <w:rPr>
          <w:rFonts w:ascii="仿宋_GB2312" w:hAnsi="仿宋" w:eastAsia="仿宋_GB2312" w:cs="仿宋"/>
          <w:sz w:val="24"/>
          <w:szCs w:val="24"/>
        </w:rPr>
        <w:t>）</w:t>
      </w:r>
      <w:r>
        <w:rPr>
          <w:rFonts w:hint="eastAsia" w:ascii="仿宋_GB2312" w:hAnsi="仿宋" w:eastAsia="仿宋_GB2312" w:cs="仿宋"/>
          <w:sz w:val="24"/>
          <w:szCs w:val="24"/>
        </w:rPr>
        <w:t>、持续正压通气模式（CPAP模式）、压力</w:t>
      </w:r>
      <w:r>
        <w:rPr>
          <w:rFonts w:ascii="仿宋_GB2312" w:hAnsi="仿宋" w:eastAsia="仿宋_GB2312" w:cs="仿宋"/>
          <w:sz w:val="24"/>
          <w:szCs w:val="24"/>
        </w:rPr>
        <w:t>控制通气（</w:t>
      </w:r>
      <w:r>
        <w:rPr>
          <w:rFonts w:hint="eastAsia" w:ascii="仿宋_GB2312" w:hAnsi="仿宋" w:eastAsia="仿宋_GB2312" w:cs="仿宋"/>
          <w:sz w:val="24"/>
          <w:szCs w:val="24"/>
        </w:rPr>
        <w:t>PC</w:t>
      </w:r>
      <w:r>
        <w:rPr>
          <w:rFonts w:ascii="仿宋_GB2312" w:hAnsi="仿宋" w:eastAsia="仿宋_GB2312" w:cs="仿宋"/>
          <w:sz w:val="24"/>
          <w:szCs w:val="24"/>
        </w:rPr>
        <w:t>）</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8.</w:t>
      </w:r>
      <w:r>
        <w:rPr>
          <w:rFonts w:ascii="仿宋_GB2312" w:hAnsi="仿宋" w:eastAsia="仿宋_GB2312" w:cs="仿宋"/>
          <w:sz w:val="24"/>
          <w:szCs w:val="24"/>
        </w:rPr>
        <w:t>调节参数</w:t>
      </w:r>
      <w:r>
        <w:rPr>
          <w:rFonts w:hint="eastAsia" w:ascii="仿宋_GB2312" w:hAnsi="仿宋" w:eastAsia="仿宋_GB2312" w:cs="仿宋"/>
          <w:sz w:val="24"/>
          <w:szCs w:val="24"/>
        </w:rPr>
        <w:t>：AVPAS：开/关，潮气量：</w:t>
      </w:r>
      <w:r>
        <w:rPr>
          <w:rFonts w:ascii="仿宋_GB2312" w:hAnsi="仿宋" w:eastAsia="仿宋_GB2312" w:cs="仿宋"/>
          <w:sz w:val="24"/>
          <w:szCs w:val="24"/>
        </w:rPr>
        <w:t>200 m</w:t>
      </w:r>
      <w:r>
        <w:rPr>
          <w:rFonts w:hint="eastAsia" w:ascii="仿宋_GB2312" w:hAnsi="仿宋" w:eastAsia="仿宋_GB2312" w:cs="仿宋"/>
          <w:sz w:val="24"/>
          <w:szCs w:val="24"/>
        </w:rPr>
        <w:t>L～1500</w:t>
      </w:r>
      <w:r>
        <w:rPr>
          <w:rFonts w:ascii="仿宋_GB2312" w:hAnsi="仿宋" w:eastAsia="仿宋_GB2312" w:cs="仿宋"/>
          <w:sz w:val="24"/>
          <w:szCs w:val="24"/>
        </w:rPr>
        <w:t xml:space="preserve"> m</w:t>
      </w:r>
      <w:r>
        <w:rPr>
          <w:rFonts w:hint="eastAsia" w:ascii="仿宋_GB2312" w:hAnsi="仿宋" w:eastAsia="仿宋_GB2312" w:cs="仿宋"/>
          <w:sz w:val="24"/>
          <w:szCs w:val="24"/>
        </w:rPr>
        <w:t>L，呼吸频率</w:t>
      </w:r>
      <w:bookmarkStart w:id="159" w:name="_Toc446512908"/>
      <w:r>
        <w:rPr>
          <w:rFonts w:hint="eastAsia" w:ascii="仿宋_GB2312" w:hAnsi="仿宋" w:eastAsia="仿宋_GB2312" w:cs="仿宋"/>
          <w:sz w:val="24"/>
          <w:szCs w:val="24"/>
        </w:rPr>
        <w:t>：3</w:t>
      </w:r>
      <w:r>
        <w:rPr>
          <w:rFonts w:ascii="仿宋_GB2312" w:hAnsi="仿宋" w:eastAsia="仿宋_GB2312" w:cs="仿宋"/>
          <w:sz w:val="24"/>
          <w:szCs w:val="24"/>
        </w:rPr>
        <w:t xml:space="preserve"> bpm</w:t>
      </w:r>
      <w:r>
        <w:rPr>
          <w:rFonts w:hint="eastAsia" w:ascii="仿宋_GB2312" w:hAnsi="仿宋" w:eastAsia="仿宋_GB2312" w:cs="仿宋"/>
          <w:sz w:val="24"/>
          <w:szCs w:val="24"/>
        </w:rPr>
        <w:t xml:space="preserve">～40 </w:t>
      </w:r>
      <w:bookmarkEnd w:id="159"/>
      <w:r>
        <w:rPr>
          <w:rFonts w:ascii="仿宋_GB2312" w:hAnsi="仿宋" w:eastAsia="仿宋_GB2312" w:cs="仿宋"/>
          <w:sz w:val="24"/>
          <w:szCs w:val="24"/>
        </w:rPr>
        <w:t>bpm</w:t>
      </w:r>
      <w:r>
        <w:rPr>
          <w:rFonts w:hint="eastAsia" w:ascii="仿宋_GB2312" w:hAnsi="仿宋" w:eastAsia="仿宋_GB2312" w:cs="仿宋"/>
          <w:sz w:val="24"/>
          <w:szCs w:val="24"/>
        </w:rPr>
        <w:t>，吸气时间</w:t>
      </w:r>
      <w:bookmarkStart w:id="160" w:name="_Toc446512911"/>
      <w:r>
        <w:rPr>
          <w:rFonts w:hint="eastAsia" w:ascii="仿宋_GB2312" w:hAnsi="仿宋" w:eastAsia="仿宋_GB2312" w:cs="仿宋"/>
          <w:sz w:val="24"/>
          <w:szCs w:val="24"/>
        </w:rPr>
        <w:t>：0.0 s～3.0 s</w:t>
      </w:r>
      <w:bookmarkEnd w:id="160"/>
      <w:r>
        <w:rPr>
          <w:rFonts w:hint="eastAsia" w:ascii="仿宋_GB2312" w:hAnsi="仿宋" w:eastAsia="仿宋_GB2312" w:cs="仿宋"/>
          <w:sz w:val="24"/>
          <w:szCs w:val="24"/>
        </w:rPr>
        <w:t>，吸气压力（IPAP）</w:t>
      </w:r>
      <w:bookmarkStart w:id="161" w:name="_Toc446512914"/>
      <w:r>
        <w:rPr>
          <w:rFonts w:hint="eastAsia" w:ascii="仿宋_GB2312" w:hAnsi="仿宋" w:eastAsia="仿宋_GB2312" w:cs="仿宋"/>
          <w:sz w:val="24"/>
          <w:szCs w:val="24"/>
        </w:rPr>
        <w:t>：4 cmH2O～</w:t>
      </w:r>
      <w:r>
        <w:rPr>
          <w:rFonts w:ascii="仿宋_GB2312" w:hAnsi="仿宋" w:eastAsia="仿宋_GB2312" w:cs="仿宋"/>
          <w:sz w:val="24"/>
          <w:szCs w:val="24"/>
        </w:rPr>
        <w:t>30</w:t>
      </w:r>
      <w:r>
        <w:rPr>
          <w:rFonts w:hint="eastAsia" w:ascii="仿宋_GB2312" w:hAnsi="仿宋" w:eastAsia="仿宋_GB2312" w:cs="仿宋"/>
          <w:sz w:val="24"/>
          <w:szCs w:val="24"/>
        </w:rPr>
        <w:t xml:space="preserve"> </w:t>
      </w:r>
      <w:bookmarkEnd w:id="161"/>
      <w:r>
        <w:rPr>
          <w:rFonts w:hint="eastAsia" w:ascii="仿宋_GB2312" w:hAnsi="仿宋" w:eastAsia="仿宋_GB2312" w:cs="仿宋"/>
          <w:sz w:val="24"/>
          <w:szCs w:val="24"/>
        </w:rPr>
        <w:t>cmH2O、最大</w:t>
      </w:r>
      <w:r>
        <w:rPr>
          <w:rFonts w:ascii="仿宋_GB2312" w:hAnsi="仿宋" w:eastAsia="仿宋_GB2312" w:cs="仿宋"/>
          <w:sz w:val="24"/>
          <w:szCs w:val="24"/>
        </w:rPr>
        <w:t>吸气压（</w:t>
      </w:r>
      <w:r>
        <w:rPr>
          <w:rFonts w:hint="eastAsia" w:ascii="仿宋_GB2312" w:hAnsi="仿宋" w:eastAsia="仿宋_GB2312" w:cs="仿宋"/>
          <w:sz w:val="24"/>
          <w:szCs w:val="24"/>
        </w:rPr>
        <w:t>IPAPMAX</w:t>
      </w:r>
      <w:r>
        <w:rPr>
          <w:rFonts w:ascii="仿宋_GB2312" w:hAnsi="仿宋" w:eastAsia="仿宋_GB2312" w:cs="仿宋"/>
          <w:sz w:val="24"/>
          <w:szCs w:val="24"/>
        </w:rPr>
        <w:t>）</w:t>
      </w:r>
      <w:r>
        <w:rPr>
          <w:rFonts w:hint="eastAsia" w:ascii="仿宋_GB2312" w:hAnsi="仿宋" w:eastAsia="仿宋_GB2312" w:cs="仿宋"/>
          <w:sz w:val="24"/>
          <w:szCs w:val="24"/>
        </w:rPr>
        <w:t>：4 cmH2O～</w:t>
      </w:r>
      <w:r>
        <w:rPr>
          <w:rFonts w:ascii="仿宋_GB2312" w:hAnsi="仿宋" w:eastAsia="仿宋_GB2312" w:cs="仿宋"/>
          <w:sz w:val="24"/>
          <w:szCs w:val="24"/>
        </w:rPr>
        <w:t>30</w:t>
      </w:r>
      <w:r>
        <w:rPr>
          <w:rFonts w:hint="eastAsia" w:ascii="仿宋_GB2312" w:hAnsi="仿宋" w:eastAsia="仿宋_GB2312" w:cs="仿宋"/>
          <w:sz w:val="24"/>
          <w:szCs w:val="24"/>
        </w:rPr>
        <w:t xml:space="preserve"> cmH2O，最小</w:t>
      </w:r>
      <w:r>
        <w:rPr>
          <w:rFonts w:ascii="仿宋_GB2312" w:hAnsi="仿宋" w:eastAsia="仿宋_GB2312" w:cs="仿宋"/>
          <w:sz w:val="24"/>
          <w:szCs w:val="24"/>
        </w:rPr>
        <w:t>吸气压（</w:t>
      </w:r>
      <w:r>
        <w:rPr>
          <w:rFonts w:hint="eastAsia" w:ascii="仿宋_GB2312" w:hAnsi="仿宋" w:eastAsia="仿宋_GB2312" w:cs="仿宋"/>
          <w:sz w:val="24"/>
          <w:szCs w:val="24"/>
        </w:rPr>
        <w:t>IPAPM</w:t>
      </w:r>
      <w:r>
        <w:rPr>
          <w:rFonts w:ascii="仿宋_GB2312" w:hAnsi="仿宋" w:eastAsia="仿宋_GB2312" w:cs="仿宋"/>
          <w:sz w:val="24"/>
          <w:szCs w:val="24"/>
        </w:rPr>
        <w:t>IN）</w:t>
      </w:r>
      <w:r>
        <w:rPr>
          <w:rFonts w:hint="eastAsia" w:ascii="仿宋_GB2312" w:hAnsi="仿宋" w:eastAsia="仿宋_GB2312" w:cs="仿宋"/>
          <w:sz w:val="24"/>
          <w:szCs w:val="24"/>
        </w:rPr>
        <w:t>：4 cmH2O～</w:t>
      </w:r>
      <w:r>
        <w:rPr>
          <w:rFonts w:ascii="仿宋_GB2312" w:hAnsi="仿宋" w:eastAsia="仿宋_GB2312" w:cs="仿宋"/>
          <w:sz w:val="24"/>
          <w:szCs w:val="24"/>
        </w:rPr>
        <w:t>30</w:t>
      </w:r>
      <w:r>
        <w:rPr>
          <w:rFonts w:hint="eastAsia" w:ascii="仿宋_GB2312" w:hAnsi="仿宋" w:eastAsia="仿宋_GB2312" w:cs="仿宋"/>
          <w:sz w:val="24"/>
          <w:szCs w:val="24"/>
        </w:rPr>
        <w:t xml:space="preserve"> cmH2O，呼气压力（EPAP）</w:t>
      </w:r>
      <w:bookmarkStart w:id="162" w:name="_Toc446512917"/>
      <w:r>
        <w:rPr>
          <w:rFonts w:hint="eastAsia" w:ascii="仿宋_GB2312" w:hAnsi="仿宋" w:eastAsia="仿宋_GB2312" w:cs="仿宋"/>
          <w:sz w:val="24"/>
          <w:szCs w:val="24"/>
        </w:rPr>
        <w:t>：4 cmH2O～2</w:t>
      </w:r>
      <w:r>
        <w:rPr>
          <w:rFonts w:ascii="仿宋_GB2312" w:hAnsi="仿宋" w:eastAsia="仿宋_GB2312" w:cs="仿宋"/>
          <w:sz w:val="24"/>
          <w:szCs w:val="24"/>
        </w:rPr>
        <w:t>5</w:t>
      </w:r>
      <w:r>
        <w:rPr>
          <w:rFonts w:hint="eastAsia" w:ascii="仿宋_GB2312" w:hAnsi="仿宋" w:eastAsia="仿宋_GB2312" w:cs="仿宋"/>
          <w:sz w:val="24"/>
          <w:szCs w:val="24"/>
        </w:rPr>
        <w:t xml:space="preserve"> </w:t>
      </w:r>
      <w:bookmarkEnd w:id="162"/>
      <w:r>
        <w:rPr>
          <w:rFonts w:hint="eastAsia" w:ascii="仿宋_GB2312" w:hAnsi="仿宋" w:eastAsia="仿宋_GB2312" w:cs="仿宋"/>
          <w:sz w:val="24"/>
          <w:szCs w:val="24"/>
        </w:rPr>
        <w:t>cmH2O，持续气道正压（CPAP）</w:t>
      </w:r>
      <w:bookmarkStart w:id="163" w:name="_Toc446512920"/>
      <w:r>
        <w:rPr>
          <w:rFonts w:hint="eastAsia" w:ascii="仿宋_GB2312" w:hAnsi="仿宋" w:eastAsia="仿宋_GB2312" w:cs="仿宋"/>
          <w:sz w:val="24"/>
          <w:szCs w:val="24"/>
        </w:rPr>
        <w:t xml:space="preserve">：4 cmH2O～20 </w:t>
      </w:r>
      <w:bookmarkEnd w:id="163"/>
      <w:r>
        <w:rPr>
          <w:rFonts w:hint="eastAsia" w:ascii="仿宋_GB2312" w:hAnsi="仿宋" w:eastAsia="仿宋_GB2312" w:cs="仿宋"/>
          <w:sz w:val="24"/>
          <w:szCs w:val="24"/>
        </w:rPr>
        <w:t>cmH2O，压力延时上升时间</w:t>
      </w:r>
      <w:bookmarkStart w:id="164" w:name="_Toc446512923"/>
      <w:r>
        <w:rPr>
          <w:rFonts w:hint="eastAsia" w:ascii="仿宋_GB2312" w:hAnsi="仿宋" w:eastAsia="仿宋_GB2312" w:cs="仿宋"/>
          <w:sz w:val="24"/>
          <w:szCs w:val="24"/>
        </w:rPr>
        <w:t xml:space="preserve">：0 </w:t>
      </w:r>
      <w:r>
        <w:rPr>
          <w:rFonts w:ascii="仿宋_GB2312" w:hAnsi="仿宋" w:eastAsia="仿宋_GB2312" w:cs="仿宋"/>
          <w:sz w:val="24"/>
          <w:szCs w:val="24"/>
        </w:rPr>
        <w:t>min</w:t>
      </w:r>
      <w:r>
        <w:rPr>
          <w:rFonts w:hint="eastAsia" w:ascii="仿宋_GB2312" w:hAnsi="仿宋" w:eastAsia="仿宋_GB2312" w:cs="仿宋"/>
          <w:sz w:val="24"/>
          <w:szCs w:val="24"/>
        </w:rPr>
        <w:t xml:space="preserve">～60 </w:t>
      </w:r>
      <w:bookmarkEnd w:id="164"/>
      <w:r>
        <w:rPr>
          <w:rFonts w:ascii="仿宋_GB2312" w:hAnsi="仿宋" w:eastAsia="仿宋_GB2312" w:cs="仿宋"/>
          <w:sz w:val="24"/>
          <w:szCs w:val="24"/>
        </w:rPr>
        <w:t>min</w:t>
      </w:r>
      <w:r>
        <w:rPr>
          <w:rFonts w:hint="eastAsia" w:ascii="仿宋_GB2312" w:hAnsi="仿宋" w:eastAsia="仿宋_GB2312" w:cs="仿宋"/>
          <w:sz w:val="24"/>
          <w:szCs w:val="24"/>
        </w:rPr>
        <w:t>，压力上升时间</w:t>
      </w:r>
      <w:bookmarkStart w:id="165" w:name="_Toc446512926"/>
      <w:r>
        <w:rPr>
          <w:rFonts w:hint="eastAsia" w:ascii="仿宋_GB2312" w:hAnsi="仿宋" w:eastAsia="仿宋_GB2312" w:cs="仿宋"/>
          <w:sz w:val="24"/>
          <w:szCs w:val="24"/>
        </w:rPr>
        <w:t>：自动调节,0.1 s～ 0.6s</w:t>
      </w:r>
      <w:bookmarkEnd w:id="165"/>
      <w:r>
        <w:rPr>
          <w:rFonts w:hint="eastAsia" w:ascii="仿宋_GB2312" w:hAnsi="仿宋" w:eastAsia="仿宋_GB2312" w:cs="仿宋"/>
          <w:sz w:val="24"/>
          <w:szCs w:val="24"/>
        </w:rPr>
        <w:t>，吸气灵敏度</w:t>
      </w:r>
      <w:bookmarkStart w:id="166" w:name="_Toc446512929"/>
      <w:r>
        <w:rPr>
          <w:rFonts w:ascii="仿宋_GB2312" w:hAnsi="仿宋" w:eastAsia="仿宋_GB2312" w:cs="仿宋"/>
          <w:sz w:val="24"/>
          <w:szCs w:val="24"/>
        </w:rPr>
        <w:t xml:space="preserve"> </w:t>
      </w:r>
      <w:r>
        <w:rPr>
          <w:rFonts w:hint="eastAsia" w:ascii="仿宋_GB2312" w:hAnsi="仿宋" w:eastAsia="仿宋_GB2312" w:cs="仿宋"/>
          <w:sz w:val="24"/>
          <w:szCs w:val="24"/>
        </w:rPr>
        <w:t>：自动调节、1～3</w:t>
      </w:r>
      <w:bookmarkEnd w:id="166"/>
      <w:r>
        <w:rPr>
          <w:rFonts w:hint="eastAsia" w:ascii="仿宋_GB2312" w:hAnsi="仿宋" w:eastAsia="仿宋_GB2312" w:cs="仿宋"/>
          <w:sz w:val="24"/>
          <w:szCs w:val="24"/>
        </w:rPr>
        <w:t xml:space="preserve"> ，呼气灵敏度</w:t>
      </w:r>
      <w:bookmarkStart w:id="167" w:name="_Toc446512931"/>
      <w:r>
        <w:rPr>
          <w:rFonts w:hint="eastAsia" w:ascii="仿宋_GB2312" w:hAnsi="仿宋" w:eastAsia="仿宋_GB2312" w:cs="仿宋"/>
          <w:sz w:val="24"/>
          <w:szCs w:val="24"/>
        </w:rPr>
        <w:t>：自动调节、1～3</w:t>
      </w:r>
      <w:bookmarkEnd w:id="167"/>
      <w:r>
        <w:rPr>
          <w:rFonts w:hint="eastAsia" w:ascii="仿宋_GB2312" w:hAnsi="仿宋" w:eastAsia="仿宋_GB2312" w:cs="仿宋"/>
          <w:sz w:val="24"/>
          <w:szCs w:val="24"/>
        </w:rPr>
        <w:t>，舒适度</w:t>
      </w:r>
      <w:bookmarkStart w:id="168" w:name="_Toc446512933"/>
      <w:r>
        <w:rPr>
          <w:rFonts w:hint="eastAsia" w:ascii="仿宋_GB2312" w:hAnsi="仿宋" w:eastAsia="仿宋_GB2312" w:cs="仿宋"/>
          <w:sz w:val="24"/>
          <w:szCs w:val="24"/>
        </w:rPr>
        <w:t>：关、1～3</w:t>
      </w:r>
      <w:bookmarkEnd w:id="168"/>
      <w:r>
        <w:rPr>
          <w:rFonts w:hint="eastAsia" w:ascii="仿宋_GB2312" w:hAnsi="仿宋" w:eastAsia="仿宋_GB2312" w:cs="仿宋"/>
          <w:sz w:val="24"/>
          <w:szCs w:val="24"/>
        </w:rPr>
        <w:t>，湿化器</w:t>
      </w:r>
      <w:bookmarkStart w:id="169" w:name="_Toc446512935"/>
      <w:r>
        <w:rPr>
          <w:rFonts w:hint="eastAsia" w:ascii="仿宋_GB2312" w:hAnsi="仿宋" w:eastAsia="仿宋_GB2312" w:cs="仿宋"/>
          <w:sz w:val="24"/>
          <w:szCs w:val="24"/>
        </w:rPr>
        <w:t>：0～5</w:t>
      </w:r>
      <w:bookmarkStart w:id="170" w:name="_Toc454864868"/>
      <w:bookmarkEnd w:id="169"/>
      <w:r>
        <w:rPr>
          <w:rFonts w:hint="eastAsia" w:ascii="仿宋_GB2312" w:hAnsi="仿宋" w:eastAsia="仿宋_GB2312" w:cs="仿宋"/>
          <w:sz w:val="24"/>
          <w:szCs w:val="24"/>
        </w:rPr>
        <w:t>，自动</w:t>
      </w:r>
      <w:r>
        <w:rPr>
          <w:rFonts w:ascii="仿宋_GB2312" w:hAnsi="仿宋" w:eastAsia="仿宋_GB2312" w:cs="仿宋"/>
          <w:sz w:val="24"/>
          <w:szCs w:val="24"/>
        </w:rPr>
        <w:t>功能</w:t>
      </w:r>
      <w:r>
        <w:rPr>
          <w:rFonts w:hint="eastAsia" w:ascii="仿宋_GB2312" w:hAnsi="仿宋" w:eastAsia="仿宋_GB2312" w:cs="仿宋"/>
          <w:sz w:val="24"/>
          <w:szCs w:val="24"/>
        </w:rPr>
        <w:t>：关/开，压力限制</w:t>
      </w:r>
      <w:bookmarkEnd w:id="170"/>
      <w:r>
        <w:rPr>
          <w:rFonts w:hint="eastAsia" w:ascii="仿宋_GB2312" w:hAnsi="仿宋" w:eastAsia="仿宋_GB2312" w:cs="仿宋"/>
          <w:sz w:val="24"/>
          <w:szCs w:val="24"/>
        </w:rPr>
        <w:t>：20 cmH2O～3</w:t>
      </w:r>
      <w:r>
        <w:rPr>
          <w:rFonts w:ascii="仿宋_GB2312" w:hAnsi="仿宋" w:eastAsia="仿宋_GB2312" w:cs="仿宋"/>
          <w:sz w:val="24"/>
          <w:szCs w:val="24"/>
        </w:rPr>
        <w:t>5</w:t>
      </w:r>
      <w:r>
        <w:rPr>
          <w:rFonts w:hint="eastAsia" w:ascii="仿宋_GB2312" w:hAnsi="仿宋" w:eastAsia="仿宋_GB2312" w:cs="仿宋"/>
          <w:sz w:val="24"/>
          <w:szCs w:val="24"/>
        </w:rPr>
        <w:t xml:space="preserve"> cmH2O。</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w:t>
      </w:r>
      <w:r>
        <w:rPr>
          <w:rFonts w:ascii="仿宋_GB2312" w:hAnsi="仿宋" w:eastAsia="仿宋_GB2312" w:cs="仿宋"/>
          <w:sz w:val="24"/>
          <w:szCs w:val="24"/>
        </w:rPr>
        <w:t>监测参数</w:t>
      </w:r>
      <w:r>
        <w:rPr>
          <w:rFonts w:hint="eastAsia" w:ascii="仿宋_GB2312" w:hAnsi="仿宋" w:eastAsia="仿宋_GB2312" w:cs="仿宋"/>
          <w:sz w:val="24"/>
          <w:szCs w:val="24"/>
        </w:rPr>
        <w:t xml:space="preserve">：频率（Freq）：0 </w:t>
      </w:r>
      <w:r>
        <w:rPr>
          <w:rFonts w:ascii="仿宋_GB2312" w:hAnsi="仿宋" w:eastAsia="仿宋_GB2312" w:cs="仿宋"/>
          <w:sz w:val="24"/>
          <w:szCs w:val="24"/>
        </w:rPr>
        <w:t>bpm</w:t>
      </w:r>
      <w:r>
        <w:rPr>
          <w:rFonts w:hint="eastAsia" w:ascii="仿宋_GB2312" w:hAnsi="仿宋" w:eastAsia="仿宋_GB2312" w:cs="仿宋"/>
          <w:sz w:val="24"/>
          <w:szCs w:val="24"/>
        </w:rPr>
        <w:t xml:space="preserve">～100 </w:t>
      </w:r>
      <w:r>
        <w:rPr>
          <w:rFonts w:ascii="仿宋_GB2312" w:hAnsi="仿宋" w:eastAsia="仿宋_GB2312" w:cs="仿宋"/>
          <w:sz w:val="24"/>
          <w:szCs w:val="24"/>
        </w:rPr>
        <w:t>bpm</w:t>
      </w:r>
      <w:r>
        <w:rPr>
          <w:rFonts w:hint="eastAsia" w:ascii="仿宋_GB2312" w:hAnsi="仿宋" w:eastAsia="仿宋_GB2312" w:cs="仿宋"/>
          <w:sz w:val="24"/>
          <w:szCs w:val="24"/>
        </w:rPr>
        <w:t xml:space="preserve">，潮气量（VT）：0 </w:t>
      </w:r>
      <w:r>
        <w:rPr>
          <w:rFonts w:ascii="仿宋_GB2312" w:hAnsi="仿宋" w:eastAsia="仿宋_GB2312" w:cs="仿宋"/>
          <w:sz w:val="24"/>
          <w:szCs w:val="24"/>
        </w:rPr>
        <w:t>m</w:t>
      </w:r>
      <w:r>
        <w:rPr>
          <w:rFonts w:hint="eastAsia" w:ascii="仿宋_GB2312" w:hAnsi="仿宋" w:eastAsia="仿宋_GB2312" w:cs="仿宋"/>
          <w:sz w:val="24"/>
          <w:szCs w:val="24"/>
        </w:rPr>
        <w:t>L～</w:t>
      </w:r>
      <w:r>
        <w:rPr>
          <w:rFonts w:ascii="仿宋_GB2312" w:hAnsi="仿宋" w:eastAsia="仿宋_GB2312" w:cs="仿宋"/>
          <w:sz w:val="24"/>
          <w:szCs w:val="24"/>
        </w:rPr>
        <w:t>2</w:t>
      </w:r>
      <w:r>
        <w:rPr>
          <w:rFonts w:hint="eastAsia" w:ascii="仿宋_GB2312" w:hAnsi="仿宋" w:eastAsia="仿宋_GB2312" w:cs="仿宋"/>
          <w:sz w:val="24"/>
          <w:szCs w:val="24"/>
        </w:rPr>
        <w:t xml:space="preserve">000 </w:t>
      </w:r>
      <w:r>
        <w:rPr>
          <w:rFonts w:ascii="仿宋_GB2312" w:hAnsi="仿宋" w:eastAsia="仿宋_GB2312" w:cs="仿宋"/>
          <w:sz w:val="24"/>
          <w:szCs w:val="24"/>
        </w:rPr>
        <w:t>m</w:t>
      </w:r>
      <w:r>
        <w:rPr>
          <w:rFonts w:hint="eastAsia" w:ascii="仿宋_GB2312" w:hAnsi="仿宋" w:eastAsia="仿宋_GB2312" w:cs="仿宋"/>
          <w:sz w:val="24"/>
          <w:szCs w:val="24"/>
        </w:rPr>
        <w:t>L，分钟通气量（MV）：0 L/</w:t>
      </w:r>
      <w:r>
        <w:rPr>
          <w:rFonts w:ascii="仿宋_GB2312" w:hAnsi="仿宋" w:eastAsia="仿宋_GB2312" w:cs="仿宋"/>
          <w:sz w:val="24"/>
          <w:szCs w:val="24"/>
        </w:rPr>
        <w:t>min</w:t>
      </w:r>
      <w:r>
        <w:rPr>
          <w:rFonts w:hint="eastAsia" w:ascii="仿宋_GB2312" w:hAnsi="仿宋" w:eastAsia="仿宋_GB2312" w:cs="仿宋"/>
          <w:sz w:val="24"/>
          <w:szCs w:val="24"/>
        </w:rPr>
        <w:t>～</w:t>
      </w:r>
      <w:r>
        <w:rPr>
          <w:rFonts w:ascii="仿宋_GB2312" w:hAnsi="仿宋" w:eastAsia="仿宋_GB2312" w:cs="仿宋"/>
          <w:sz w:val="24"/>
          <w:szCs w:val="24"/>
        </w:rPr>
        <w:t>99</w:t>
      </w:r>
      <w:r>
        <w:rPr>
          <w:rFonts w:hint="eastAsia" w:ascii="仿宋_GB2312" w:hAnsi="仿宋" w:eastAsia="仿宋_GB2312" w:cs="仿宋"/>
          <w:sz w:val="24"/>
          <w:szCs w:val="24"/>
        </w:rPr>
        <w:t xml:space="preserve"> L/</w:t>
      </w:r>
      <w:r>
        <w:rPr>
          <w:rFonts w:ascii="仿宋_GB2312" w:hAnsi="仿宋" w:eastAsia="仿宋_GB2312" w:cs="仿宋"/>
          <w:sz w:val="24"/>
          <w:szCs w:val="24"/>
        </w:rPr>
        <w:t>min</w:t>
      </w:r>
      <w:r>
        <w:rPr>
          <w:rFonts w:hint="eastAsia" w:ascii="仿宋_GB2312" w:hAnsi="仿宋" w:eastAsia="仿宋_GB2312" w:cs="仿宋"/>
          <w:sz w:val="24"/>
          <w:szCs w:val="24"/>
        </w:rPr>
        <w:t>，吸气时间（T</w:t>
      </w:r>
      <w:r>
        <w:rPr>
          <w:rFonts w:ascii="仿宋_GB2312" w:hAnsi="仿宋" w:eastAsia="仿宋_GB2312" w:cs="仿宋"/>
          <w:sz w:val="24"/>
          <w:szCs w:val="24"/>
        </w:rPr>
        <w:t>ime</w:t>
      </w:r>
      <w:r>
        <w:rPr>
          <w:rFonts w:hint="eastAsia" w:ascii="仿宋_GB2312" w:hAnsi="仿宋" w:eastAsia="仿宋_GB2312" w:cs="仿宋"/>
          <w:sz w:val="24"/>
          <w:szCs w:val="24"/>
        </w:rPr>
        <w:t>）：0.0 s～3.0 s，吸气压力（</w:t>
      </w:r>
      <w:r>
        <w:rPr>
          <w:rFonts w:ascii="仿宋_GB2312" w:hAnsi="仿宋" w:eastAsia="仿宋_GB2312" w:cs="仿宋"/>
          <w:sz w:val="24"/>
          <w:szCs w:val="24"/>
        </w:rPr>
        <w:t>IPAP</w:t>
      </w:r>
      <w:r>
        <w:rPr>
          <w:rFonts w:hint="eastAsia" w:ascii="仿宋_GB2312" w:hAnsi="仿宋" w:eastAsia="仿宋_GB2312" w:cs="仿宋"/>
          <w:sz w:val="24"/>
          <w:szCs w:val="24"/>
        </w:rPr>
        <w:t>）：0 cmH2O～40 cmH2O，呼气</w:t>
      </w:r>
      <w:r>
        <w:rPr>
          <w:rFonts w:ascii="仿宋_GB2312" w:hAnsi="仿宋" w:eastAsia="仿宋_GB2312" w:cs="仿宋"/>
          <w:sz w:val="24"/>
          <w:szCs w:val="24"/>
        </w:rPr>
        <w:t>压力（</w:t>
      </w:r>
      <w:r>
        <w:rPr>
          <w:rFonts w:hint="eastAsia" w:ascii="仿宋_GB2312" w:hAnsi="仿宋" w:eastAsia="仿宋_GB2312" w:cs="仿宋"/>
          <w:sz w:val="24"/>
          <w:szCs w:val="24"/>
        </w:rPr>
        <w:t>EPAP</w:t>
      </w:r>
      <w:r>
        <w:rPr>
          <w:rFonts w:ascii="仿宋_GB2312" w:hAnsi="仿宋" w:eastAsia="仿宋_GB2312" w:cs="仿宋"/>
          <w:sz w:val="24"/>
          <w:szCs w:val="24"/>
        </w:rPr>
        <w:t>）</w:t>
      </w:r>
      <w:r>
        <w:rPr>
          <w:rFonts w:hint="eastAsia" w:ascii="仿宋_GB2312" w:hAnsi="仿宋" w:eastAsia="仿宋_GB2312" w:cs="仿宋"/>
          <w:sz w:val="24"/>
          <w:szCs w:val="24"/>
        </w:rPr>
        <w:t>：0 cmH2O～40 cmH2O，气道</w:t>
      </w:r>
      <w:r>
        <w:rPr>
          <w:rFonts w:ascii="仿宋_GB2312" w:hAnsi="仿宋" w:eastAsia="仿宋_GB2312" w:cs="仿宋"/>
          <w:sz w:val="24"/>
          <w:szCs w:val="24"/>
        </w:rPr>
        <w:t>正压（</w:t>
      </w:r>
      <w:r>
        <w:rPr>
          <w:rFonts w:hint="eastAsia" w:ascii="仿宋_GB2312" w:hAnsi="仿宋" w:eastAsia="仿宋_GB2312" w:cs="仿宋"/>
          <w:sz w:val="24"/>
          <w:szCs w:val="24"/>
        </w:rPr>
        <w:t>CPAP</w:t>
      </w:r>
      <w:r>
        <w:rPr>
          <w:rFonts w:ascii="仿宋_GB2312" w:hAnsi="仿宋" w:eastAsia="仿宋_GB2312" w:cs="仿宋"/>
          <w:sz w:val="24"/>
          <w:szCs w:val="24"/>
        </w:rPr>
        <w:t>）</w:t>
      </w:r>
      <w:r>
        <w:rPr>
          <w:rFonts w:hint="eastAsia" w:ascii="仿宋_GB2312" w:hAnsi="仿宋" w:eastAsia="仿宋_GB2312" w:cs="仿宋"/>
          <w:sz w:val="24"/>
          <w:szCs w:val="24"/>
        </w:rPr>
        <w:t>：0 cmH2O～40 cmH2O。</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w:t>
      </w:r>
      <w:r>
        <w:rPr>
          <w:rFonts w:ascii="仿宋_GB2312" w:hAnsi="仿宋" w:eastAsia="仿宋_GB2312" w:cs="仿宋"/>
          <w:sz w:val="24"/>
          <w:szCs w:val="24"/>
        </w:rPr>
        <w:t>图形显示</w:t>
      </w:r>
      <w:r>
        <w:rPr>
          <w:rFonts w:hint="eastAsia" w:ascii="仿宋_GB2312" w:hAnsi="仿宋" w:eastAsia="仿宋_GB2312" w:cs="仿宋"/>
          <w:sz w:val="24"/>
          <w:szCs w:val="24"/>
        </w:rPr>
        <w:t>：气道压力（全部模式）</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11.至少具有窒息报警、管道脱落报警、报警系统消声（静音）、低</w:t>
      </w:r>
      <w:r>
        <w:rPr>
          <w:rFonts w:ascii="仿宋_GB2312" w:hAnsi="仿宋" w:eastAsia="仿宋_GB2312" w:cs="仿宋"/>
          <w:sz w:val="24"/>
          <w:szCs w:val="24"/>
        </w:rPr>
        <w:t>通气量报警</w:t>
      </w:r>
      <w:r>
        <w:rPr>
          <w:rFonts w:hint="eastAsia" w:ascii="仿宋_GB2312" w:hAnsi="仿宋" w:eastAsia="仿宋_GB2312" w:cs="仿宋"/>
          <w:sz w:val="24"/>
          <w:szCs w:val="24"/>
        </w:rPr>
        <w:t>、高呼吸频率报警、低呼吸频率报警、气道高压报警、断电</w:t>
      </w:r>
      <w:r>
        <w:rPr>
          <w:rFonts w:ascii="仿宋_GB2312" w:hAnsi="仿宋" w:eastAsia="仿宋_GB2312" w:cs="仿宋"/>
          <w:sz w:val="24"/>
          <w:szCs w:val="24"/>
        </w:rPr>
        <w:t>报警</w:t>
      </w:r>
      <w:r>
        <w:rPr>
          <w:rFonts w:hint="eastAsia" w:ascii="仿宋_GB2312" w:hAnsi="仿宋" w:eastAsia="仿宋_GB2312" w:cs="仿宋"/>
          <w:sz w:val="24"/>
          <w:szCs w:val="24"/>
        </w:rPr>
        <w:t>、潮气量</w:t>
      </w:r>
      <w:r>
        <w:rPr>
          <w:rFonts w:ascii="仿宋_GB2312" w:hAnsi="仿宋" w:eastAsia="仿宋_GB2312" w:cs="仿宋"/>
          <w:sz w:val="24"/>
          <w:szCs w:val="24"/>
        </w:rPr>
        <w:t>过低报警</w:t>
      </w:r>
      <w:r>
        <w:rPr>
          <w:rFonts w:hint="eastAsia" w:ascii="仿宋_GB2312" w:hAnsi="仿宋" w:eastAsia="仿宋_GB2312" w:cs="仿宋"/>
          <w:sz w:val="24"/>
          <w:szCs w:val="24"/>
        </w:rPr>
        <w:t>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12.配备加温湿化器，具有防水流倒灌技术，湿化灌的注水口在上面。</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13.配备插拔式电池≥1个，电池放电时间≥1小时；配备移动支架。</w:t>
      </w:r>
    </w:p>
    <w:p>
      <w:pPr>
        <w:spacing w:line="420" w:lineRule="exact"/>
        <w:ind w:firstLine="480" w:firstLineChars="200"/>
        <w:rPr>
          <w:rFonts w:ascii="仿宋_GB2312" w:hAnsi="仿宋" w:eastAsia="仿宋_GB2312" w:cs="仿宋"/>
          <w:sz w:val="24"/>
          <w:szCs w:val="24"/>
        </w:rPr>
      </w:pPr>
    </w:p>
    <w:p>
      <w:pPr>
        <w:jc w:val="center"/>
        <w:rPr>
          <w:b/>
          <w:bCs/>
          <w:sz w:val="36"/>
          <w:szCs w:val="36"/>
        </w:rPr>
      </w:pPr>
      <w:r>
        <w:rPr>
          <w:rFonts w:hint="eastAsia"/>
          <w:b/>
          <w:bCs/>
          <w:sz w:val="36"/>
          <w:szCs w:val="36"/>
        </w:rPr>
        <w:t>01-05 有创呼吸机</w:t>
      </w:r>
    </w:p>
    <w:p>
      <w:pPr>
        <w:spacing w:line="420" w:lineRule="exact"/>
        <w:ind w:firstLine="480" w:firstLineChars="200"/>
        <w:rPr>
          <w:sz w:val="24"/>
        </w:rPr>
      </w:pPr>
    </w:p>
    <w:p>
      <w:pPr>
        <w:spacing w:line="420" w:lineRule="exact"/>
        <w:ind w:firstLine="480" w:firstLineChars="200"/>
        <w:rPr>
          <w:rFonts w:ascii="仿宋_GB2312" w:hAnsi="仿宋" w:eastAsia="仿宋_GB2312" w:cs="仿宋"/>
          <w:sz w:val="24"/>
          <w:szCs w:val="24"/>
        </w:rPr>
      </w:pPr>
      <w:r>
        <w:rPr>
          <w:rFonts w:hint="eastAsia"/>
          <w:sz w:val="24"/>
        </w:rPr>
        <w:t>1.</w:t>
      </w:r>
      <w:r>
        <w:rPr>
          <w:rFonts w:hint="eastAsia" w:ascii="仿宋_GB2312" w:hAnsi="仿宋" w:eastAsia="仿宋_GB2312" w:cs="仿宋"/>
          <w:sz w:val="24"/>
          <w:szCs w:val="24"/>
        </w:rPr>
        <w:t xml:space="preserve"> *≥12英寸彩色液晶全触摸屏操作，中文界面。</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2.支持屏幕同屏显示≥4道波形。</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3.*电动电控涡轮驱动供气呼吸机，适用于成人，小儿，婴幼儿病人类型，并提供技术证明材料。</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4.内置高能锂电池，至少标配一块锂电池；最多可配置2块电池，2块锂电池情况下供电时间≥4小时。</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5.具有漏气自动补偿、管道的顺应性和BTPS补偿功能。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6.*至少提供高压氧气气源和低压氧气气源两种方式。</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7.可升级支持12V直流电供电接口。</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8.有创通气模式包括：容量控制通气下的辅助控制通气A/C和同步间歇指令通气SIMV、压力控制通气下的A/C和SIMV、CPAP/PSV、窒息通气模式，同时支持升级通气模式：双相气道正压通气（如BIPAP或Bi-vent）、自动适应性压力调整容量控制功能（如AUTOFLOW或者PRVC等）、压力释放通气APRV和压力调节容量控制-同步间歇指令模式（PRVC-SIMV）。</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9.*支持升级高级通气模式：压力释放通气APRV，智能通气模式（如自适应分钟通气AMV，自适应支持通气ASV等）。</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10.*支持升级心肺复苏通气模式。</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11.支持无创通气模式。</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12.标配高流量氧疗，最大氧流速可达80L/min，最大氧浓度可达100%，并具有氧疗计时功能。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13.具有智能同步技术，具有吸气触发、压力上升时间、呼气触发自动调节功能。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14.支持手动呼吸、吸气保持、呼气保持、雾化、纯氧灌注、智能吸痰程序、NIF、PEEPi及P0.1测定。</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15.支持监测参数≥72小时的趋势图、表分析。</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16.支持病人信息、当前的设置参数、报警和趋势等数据的导出。</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17.提供冻结功能，呼吸波形及呼吸环冻结后，支持通过USB接口导出保存到U盘。</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18.可升级低流速P-V工具，帮助确定最佳PEEP值。</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19.可升级自动插管阻力补偿（ATRC）功能，选择不同孔径的气管插管，呼吸机可以自动调节送气压力，使插管末端的压力与呼吸机压力设置值保持一致。</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20.具有单位理想体重输送的潮气量 （TVe/IBW）监测功能。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21.吸气安全阀组件可拆卸，并能高温高压蒸汽消毒（134℃）。</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22.呼气阀采用内置压差流量传感器，支持高温高压蒸汽消毒（134℃）。</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23.支持选配旁流CO2和主流CO2监测。</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24.潮气量范围不小于：20ml—2000ml。</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25.呼吸频率范围不小于：1-100次/min。</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26.SIMV频率范围不小于：1-60次/min。</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27.吸/呼比：4:1—1:10。</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28.最大峰值流速：≥210L/min。</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29.吸气压力范围不小于：5--80 cmH2O。</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30.压力支持范围不小于：0—80cmH2O。</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31.PEEP：0-50 cmH2O。</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32.压力触发灵敏度：-20 — -0.5cmH2O。</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33.流速触发灵敏度：0.5—20L/ min。</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34.氧浓度：21—100%。</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35.监测气道压力参数：PEEP、气道峰压、平台压、平均压等监测。</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36.每分钟呼出通气量：至少具有总的分钟通气量、自主呼吸的分钟通气量、泄漏的分钟通气量的监测。</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37.潮气量的监测：至少具有吸入潮气量、呼出潮气量的监测。</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38.呼吸频率监测：至少具有总的呼吸频率、自主呼吸频率、机控呼吸频率的监测。</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39.波形显示：至少具有压力/时间、流速/时间、容量/时间。</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40.具有吸入的氧浓度的监测。</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41.至少具有压力/容积、流速/容积、流速/压力环3种呼吸环监测。</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42.肺的力学：至少具有吸气阻力、呼气阻力、静态顺应性、动态顺应性和时间常数的监测。</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43.*信息互连：能够和监护仪互联，至少支持同一品牌监护仪，把呼吸机的监测参数和波形实时显示到监护仪上，继而连接中央站、CIS系统，满足科室信息化的需求。支持HL7协议。</w:t>
      </w:r>
    </w:p>
    <w:p>
      <w:pPr>
        <w:spacing w:line="420" w:lineRule="exact"/>
        <w:ind w:firstLine="480" w:firstLineChars="200"/>
        <w:rPr>
          <w:rFonts w:ascii="仿宋_GB2312" w:hAnsi="仿宋" w:eastAsia="仿宋_GB2312" w:cs="仿宋"/>
          <w:sz w:val="24"/>
          <w:szCs w:val="24"/>
        </w:rPr>
      </w:pPr>
    </w:p>
    <w:p>
      <w:pPr>
        <w:jc w:val="center"/>
        <w:rPr>
          <w:b/>
          <w:bCs/>
          <w:color w:val="000000"/>
          <w:sz w:val="36"/>
          <w:szCs w:val="36"/>
        </w:rPr>
      </w:pPr>
      <w:r>
        <w:rPr>
          <w:rFonts w:hint="eastAsia"/>
          <w:b/>
          <w:bCs/>
          <w:color w:val="000000"/>
          <w:sz w:val="36"/>
          <w:szCs w:val="36"/>
        </w:rPr>
        <w:t>01-</w:t>
      </w:r>
      <w:r>
        <w:rPr>
          <w:b/>
          <w:bCs/>
          <w:color w:val="000000"/>
          <w:sz w:val="36"/>
          <w:szCs w:val="36"/>
        </w:rPr>
        <w:t>0</w:t>
      </w:r>
      <w:r>
        <w:rPr>
          <w:rFonts w:hint="eastAsia"/>
          <w:b/>
          <w:bCs/>
          <w:color w:val="000000"/>
          <w:sz w:val="36"/>
          <w:szCs w:val="36"/>
        </w:rPr>
        <w:t xml:space="preserve">6 </w:t>
      </w:r>
      <w:r>
        <w:rPr>
          <w:b/>
          <w:bCs/>
          <w:color w:val="000000"/>
          <w:sz w:val="36"/>
          <w:szCs w:val="36"/>
        </w:rPr>
        <w:t>移动式抢救床</w:t>
      </w:r>
    </w:p>
    <w:p>
      <w:pPr>
        <w:spacing w:line="420" w:lineRule="exact"/>
        <w:ind w:firstLine="480" w:firstLineChars="200"/>
        <w:rPr>
          <w:rFonts w:ascii="仿宋_GB2312" w:hAnsi="仿宋" w:eastAsia="仿宋_GB2312" w:cs="仿宋"/>
          <w:sz w:val="24"/>
          <w:szCs w:val="24"/>
        </w:rPr>
      </w:pP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w:t>
      </w:r>
      <w:r>
        <w:rPr>
          <w:rFonts w:ascii="仿宋_GB2312" w:hAnsi="仿宋" w:eastAsia="仿宋_GB2312" w:cs="仿宋"/>
          <w:sz w:val="24"/>
          <w:szCs w:val="24"/>
        </w:rPr>
        <w:t>车体最大外尺寸：长</w:t>
      </w:r>
      <w:r>
        <w:rPr>
          <w:rFonts w:hint="eastAsia" w:ascii="仿宋_GB2312" w:hAnsi="仿宋" w:eastAsia="仿宋_GB2312" w:cs="仿宋"/>
          <w:sz w:val="24"/>
          <w:szCs w:val="24"/>
        </w:rPr>
        <w:t>（1900-2000）×</w:t>
      </w:r>
      <w:r>
        <w:rPr>
          <w:rFonts w:ascii="仿宋_GB2312" w:hAnsi="仿宋" w:eastAsia="仿宋_GB2312" w:cs="仿宋"/>
          <w:sz w:val="24"/>
          <w:szCs w:val="24"/>
        </w:rPr>
        <w:t>宽</w:t>
      </w:r>
      <w:r>
        <w:rPr>
          <w:rFonts w:hint="eastAsia" w:ascii="仿宋_GB2312" w:hAnsi="仿宋" w:eastAsia="仿宋_GB2312" w:cs="仿宋"/>
          <w:sz w:val="24"/>
          <w:szCs w:val="24"/>
        </w:rPr>
        <w:t>（700-800）×</w:t>
      </w:r>
      <w:r>
        <w:rPr>
          <w:rFonts w:ascii="仿宋_GB2312" w:hAnsi="仿宋" w:eastAsia="仿宋_GB2312" w:cs="仿宋"/>
          <w:sz w:val="24"/>
          <w:szCs w:val="24"/>
        </w:rPr>
        <w:t>高（630-950）mm，底盘脚踏宽</w:t>
      </w:r>
      <w:r>
        <w:rPr>
          <w:rFonts w:hint="eastAsia" w:ascii="仿宋_GB2312" w:hAnsi="仿宋" w:eastAsia="仿宋_GB2312" w:cs="仿宋"/>
          <w:sz w:val="24"/>
          <w:szCs w:val="24"/>
        </w:rPr>
        <w:t>≥</w:t>
      </w:r>
      <w:r>
        <w:rPr>
          <w:rFonts w:ascii="仿宋_GB2312" w:hAnsi="仿宋" w:eastAsia="仿宋_GB2312" w:cs="仿宋"/>
          <w:sz w:val="24"/>
          <w:szCs w:val="24"/>
        </w:rPr>
        <w:t>700mm，pp护栏宽</w:t>
      </w:r>
      <w:r>
        <w:rPr>
          <w:rFonts w:hint="eastAsia" w:ascii="仿宋_GB2312" w:hAnsi="仿宋" w:eastAsia="仿宋_GB2312" w:cs="仿宋"/>
          <w:sz w:val="24"/>
          <w:szCs w:val="24"/>
        </w:rPr>
        <w:t>≥</w:t>
      </w:r>
      <w:r>
        <w:rPr>
          <w:rFonts w:ascii="仿宋_GB2312" w:hAnsi="仿宋" w:eastAsia="仿宋_GB2312" w:cs="仿宋"/>
          <w:sz w:val="24"/>
          <w:szCs w:val="24"/>
        </w:rPr>
        <w:t>730mm</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w:t>
      </w:r>
      <w:r>
        <w:rPr>
          <w:rFonts w:ascii="仿宋_GB2312" w:hAnsi="仿宋" w:eastAsia="仿宋_GB2312" w:cs="仿宋"/>
          <w:sz w:val="24"/>
          <w:szCs w:val="24"/>
        </w:rPr>
        <w:t>床面尺寸：</w:t>
      </w:r>
      <w:r>
        <w:rPr>
          <w:rFonts w:hint="eastAsia" w:ascii="仿宋_GB2312" w:hAnsi="仿宋" w:eastAsia="仿宋_GB2312" w:cs="仿宋"/>
          <w:sz w:val="24"/>
          <w:szCs w:val="24"/>
        </w:rPr>
        <w:t>≥</w:t>
      </w:r>
      <w:r>
        <w:rPr>
          <w:rFonts w:ascii="仿宋_GB2312" w:hAnsi="仿宋" w:eastAsia="仿宋_GB2312" w:cs="仿宋"/>
          <w:sz w:val="24"/>
          <w:szCs w:val="24"/>
        </w:rPr>
        <w:t>长19</w:t>
      </w:r>
      <w:r>
        <w:rPr>
          <w:rFonts w:hint="eastAsia" w:ascii="仿宋_GB2312" w:hAnsi="仿宋" w:eastAsia="仿宋_GB2312" w:cs="仿宋"/>
          <w:sz w:val="24"/>
          <w:szCs w:val="24"/>
        </w:rPr>
        <w:t>0</w:t>
      </w:r>
      <w:r>
        <w:rPr>
          <w:rFonts w:ascii="仿宋_GB2312" w:hAnsi="仿宋" w:eastAsia="仿宋_GB2312" w:cs="仿宋"/>
          <w:sz w:val="24"/>
          <w:szCs w:val="24"/>
        </w:rPr>
        <w:t>0</w:t>
      </w:r>
      <w:r>
        <w:rPr>
          <w:rFonts w:hint="eastAsia" w:ascii="仿宋_GB2312" w:hAnsi="仿宋" w:eastAsia="仿宋_GB2312" w:cs="仿宋"/>
          <w:sz w:val="24"/>
          <w:szCs w:val="24"/>
        </w:rPr>
        <w:t>×</w:t>
      </w:r>
      <w:r>
        <w:rPr>
          <w:rFonts w:ascii="仿宋_GB2312" w:hAnsi="仿宋" w:eastAsia="仿宋_GB2312" w:cs="仿宋"/>
          <w:sz w:val="24"/>
          <w:szCs w:val="24"/>
        </w:rPr>
        <w:t>宽630mm，床面高低范围：630-950mm</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3.整车配备4个≥6英寸双片中控轮，可实现一踏四轮制动及释放。并配备中心第五轮，可以保持车辆直线行走，缩小转弯半径，可实现单人操作。</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4.车辆最大承重≥250kg。</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5.车辆配备ABS隐藏式护栏，一健放下，可隐藏于床体下方。</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6.床头背板可实现0到90度升起，让病人实现仰卧姿态。</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7.床头背板下方设有氧气瓶搁架，并配有锁紧装置。</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8.整车下方采用液压升降装置，可实现整床水平升降，并可实现0到15度前后倾斜。</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9.下方一体式整体ABS 罩壳，罩壳上方自带氧气瓶凹槽及杂物托盘。</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10.整床设有病人称重系统，病人睡在床上，床尾ABS面板下方自带液晶显示屏，可随时显示体重，利于医护观察。称重系统内设有蓄电池。</w:t>
      </w:r>
    </w:p>
    <w:p>
      <w:pPr>
        <w:spacing w:line="420" w:lineRule="exact"/>
        <w:ind w:firstLine="480" w:firstLineChars="200"/>
        <w:rPr>
          <w:rFonts w:ascii="仿宋_GB2312" w:hAnsi="仿宋" w:eastAsia="仿宋_GB2312" w:cs="仿宋"/>
          <w:sz w:val="24"/>
          <w:szCs w:val="24"/>
        </w:rPr>
      </w:pPr>
    </w:p>
    <w:p>
      <w:pPr>
        <w:jc w:val="center"/>
        <w:rPr>
          <w:b/>
          <w:bCs/>
          <w:sz w:val="36"/>
          <w:szCs w:val="36"/>
        </w:rPr>
      </w:pPr>
      <w:r>
        <w:rPr>
          <w:rFonts w:hint="eastAsia"/>
          <w:b/>
          <w:bCs/>
          <w:sz w:val="36"/>
          <w:szCs w:val="36"/>
        </w:rPr>
        <w:t xml:space="preserve">01-07 </w:t>
      </w:r>
      <w:r>
        <w:rPr>
          <w:b/>
          <w:bCs/>
          <w:sz w:val="36"/>
          <w:szCs w:val="36"/>
        </w:rPr>
        <w:t>吊塔</w:t>
      </w:r>
    </w:p>
    <w:p>
      <w:pPr>
        <w:rPr>
          <w:rFonts w:ascii="Times New Roman" w:hAnsi="Times New Roman"/>
          <w:szCs w:val="20"/>
        </w:rPr>
      </w:pP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1.*所有吊塔上承载的设备的电源线路及气源管路和塔体之间没有相对移动，所有电源线路及气源管路必须在塔体不能外露，保证吊塔在移动过程中，不会因位置的改变导致线路脱落的意外发生。</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2.横梁长度2200mm-3500mm可供选择。</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3.*符合气电分离要求,桥梁式吊塔中用于氧化医用气体、麻醉气体净化系统的终端，距离在正常工作状态下或单一故障状态下可能产生火花的电器元件的距离≥250</w:t>
      </w:r>
      <w:r>
        <w:rPr>
          <w:rFonts w:ascii="仿宋_GB2312" w:hAnsi="仿宋" w:eastAsia="仿宋_GB2312" w:cs="仿宋"/>
          <w:sz w:val="24"/>
          <w:szCs w:val="24"/>
        </w:rPr>
        <w:t>mm</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4.*桥梁式吊塔医用气体管道系统能承受≥1M</w:t>
      </w:r>
      <w:r>
        <w:rPr>
          <w:rFonts w:ascii="仿宋_GB2312" w:hAnsi="仿宋" w:eastAsia="仿宋_GB2312" w:cs="仿宋"/>
          <w:sz w:val="24"/>
          <w:szCs w:val="24"/>
        </w:rPr>
        <w:t>pa</w:t>
      </w:r>
      <w:r>
        <w:rPr>
          <w:rFonts w:hint="eastAsia" w:ascii="仿宋_GB2312" w:hAnsi="仿宋" w:eastAsia="仿宋_GB2312" w:cs="仿宋"/>
          <w:sz w:val="24"/>
          <w:szCs w:val="24"/>
        </w:rPr>
        <w:t>的气压要求；桥梁式吊塔负压吸引系统能承受≥500K</w:t>
      </w:r>
      <w:r>
        <w:rPr>
          <w:rFonts w:ascii="仿宋_GB2312" w:hAnsi="仿宋" w:eastAsia="仿宋_GB2312" w:cs="仿宋"/>
          <w:sz w:val="24"/>
          <w:szCs w:val="24"/>
        </w:rPr>
        <w:t>pa</w:t>
      </w:r>
      <w:r>
        <w:rPr>
          <w:rFonts w:hint="eastAsia" w:ascii="仿宋_GB2312" w:hAnsi="仿宋" w:eastAsia="仿宋_GB2312" w:cs="仿宋"/>
          <w:sz w:val="24"/>
          <w:szCs w:val="24"/>
        </w:rPr>
        <w:t>的气压要求。</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5.*桥梁式吊塔防护等级应符合GB4208-2008中IP20的规定。</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6.内置LED照明灯和夜光背景灯，内置于吊桥横梁中，和吊桥设备一体，LED灯泡寿命≥20000小时。</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7.夜光背景灯安装位置在横梁朝天花板方向内，灯光向上照射。</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8.*所有气电端口安装于气电箱上，禁止安装于横梁上。</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9.干区-1</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9.1承重负载能力≥150Kg。</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9.2气电箱长度≥700mm。</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9.3德式标准气体插座（至少具有空气1个，负压吸引1个，氧气1个），含所有插头.</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9.4电源插座≥6个。</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9.5网络接口≥ 2个。</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9.6等电位住≥2个。</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9.7二层设备托盘，其中一层带抽屉，抽屉为吸呐式，托盘≥650X350mm。</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9.8吊杆两侧须带有国际标准不锈钢设备边条和国际标准通用制式∮38钢管，可用于连接各种设备（呼吸机、监护仪等）配套连接装置等。</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10.干区-2</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10.1承重负载能力≥150Kg。</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10.2气电箱长度≥700mm。</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10.3德式标准气体插座（至少具有空气1个，负压吸引1个，氧气1个）。</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10.4 配加强型双关节旋转伸展臂1个，双臂长300mmX300mm。</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10.5至少配备高度可调不锈钢输液架1个。</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10.6 电源插座≥6个</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10.7网络接口≥ 2个</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10.8等电位住≥2个</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10.9二层设备托盘，其中一层带抽屉，抽屉为吸呐式，托盘≥650X350mm。</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10.10吊杆两侧须带有国际标准不锈钢设备边条和国际标准通用制式∮38钢管，可用于连接各种设备（呼吸机、监护仪等）配套连接装置等。</w:t>
      </w:r>
    </w:p>
    <w:p>
      <w:pPr>
        <w:tabs>
          <w:tab w:val="left" w:pos="1553"/>
        </w:tabs>
        <w:spacing w:line="420" w:lineRule="exact"/>
        <w:rPr>
          <w:rFonts w:ascii="仿宋_GB2312" w:hAnsi="仿宋" w:eastAsia="仿宋_GB2312" w:cs="仿宋"/>
          <w:sz w:val="24"/>
          <w:szCs w:val="24"/>
        </w:rPr>
      </w:pPr>
    </w:p>
    <w:p>
      <w:pPr>
        <w:jc w:val="center"/>
        <w:rPr>
          <w:b/>
          <w:bCs/>
          <w:sz w:val="36"/>
          <w:szCs w:val="36"/>
        </w:rPr>
      </w:pPr>
      <w:r>
        <w:rPr>
          <w:rFonts w:hint="eastAsia"/>
          <w:b/>
          <w:bCs/>
          <w:sz w:val="36"/>
          <w:szCs w:val="36"/>
        </w:rPr>
        <w:t xml:space="preserve">01-08 </w:t>
      </w:r>
      <w:r>
        <w:rPr>
          <w:b/>
          <w:bCs/>
          <w:sz w:val="36"/>
          <w:szCs w:val="36"/>
        </w:rPr>
        <w:t>除颤</w:t>
      </w:r>
      <w:r>
        <w:rPr>
          <w:rFonts w:hint="eastAsia"/>
          <w:b/>
          <w:bCs/>
          <w:sz w:val="36"/>
          <w:szCs w:val="36"/>
        </w:rPr>
        <w:t>仪</w:t>
      </w:r>
    </w:p>
    <w:p>
      <w:pPr>
        <w:spacing w:line="360" w:lineRule="auto"/>
        <w:jc w:val="center"/>
        <w:rPr>
          <w:rFonts w:ascii="宋体" w:hAnsi="宋体"/>
          <w:b/>
          <w:sz w:val="24"/>
        </w:rPr>
      </w:pP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1.适用于成人、儿童、新生儿。</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w:t>
      </w:r>
      <w:r>
        <w:rPr>
          <w:rFonts w:ascii="仿宋_GB2312" w:hAnsi="仿宋" w:eastAsia="仿宋_GB2312" w:cs="仿宋"/>
          <w:sz w:val="24"/>
          <w:szCs w:val="24"/>
        </w:rPr>
        <w:t xml:space="preserve">显示器: </w:t>
      </w:r>
      <w:r>
        <w:rPr>
          <w:rFonts w:hint="eastAsia" w:ascii="仿宋_GB2312" w:hAnsi="仿宋" w:eastAsia="仿宋_GB2312" w:cs="仿宋"/>
          <w:sz w:val="24"/>
          <w:szCs w:val="24"/>
        </w:rPr>
        <w:t>≥6.5</w:t>
      </w:r>
      <w:r>
        <w:rPr>
          <w:rFonts w:ascii="仿宋_GB2312" w:hAnsi="仿宋" w:eastAsia="仿宋_GB2312" w:cs="仿宋"/>
          <w:sz w:val="24"/>
          <w:szCs w:val="24"/>
        </w:rPr>
        <w:t>英寸</w:t>
      </w:r>
      <w:r>
        <w:rPr>
          <w:rFonts w:hint="eastAsia" w:ascii="仿宋_GB2312" w:hAnsi="仿宋" w:eastAsia="仿宋_GB2312" w:cs="仿宋"/>
          <w:sz w:val="24"/>
          <w:szCs w:val="24"/>
        </w:rPr>
        <w:t>,</w:t>
      </w:r>
      <w:r>
        <w:rPr>
          <w:rFonts w:ascii="仿宋_GB2312" w:hAnsi="仿宋" w:eastAsia="仿宋_GB2312" w:cs="仿宋"/>
          <w:sz w:val="24"/>
          <w:szCs w:val="24"/>
        </w:rPr>
        <w:t>彩色</w:t>
      </w:r>
      <w:r>
        <w:rPr>
          <w:rFonts w:hint="eastAsia" w:ascii="仿宋_GB2312" w:hAnsi="仿宋" w:eastAsia="仿宋_GB2312" w:cs="仿宋"/>
          <w:sz w:val="24"/>
          <w:szCs w:val="24"/>
        </w:rPr>
        <w:t>LCD显示，高背光显示，屏幕亮度≥1000cd/m2 ,屏幕有倾斜,</w:t>
      </w:r>
      <w:r>
        <w:rPr>
          <w:rFonts w:ascii="仿宋_GB2312" w:hAnsi="仿宋" w:eastAsia="仿宋_GB2312" w:cs="仿宋"/>
          <w:sz w:val="24"/>
          <w:szCs w:val="24"/>
        </w:rPr>
        <w:t>可显示</w:t>
      </w:r>
      <w:r>
        <w:rPr>
          <w:rFonts w:hint="eastAsia" w:ascii="仿宋_GB2312" w:hAnsi="仿宋" w:eastAsia="仿宋_GB2312" w:cs="仿宋"/>
          <w:sz w:val="24"/>
          <w:szCs w:val="24"/>
        </w:rPr>
        <w:t>ECG，SpO2, EtCO2等四通道波形, 支持数字放大，波形冻结。</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3.*1秒内完成开机、最高能量选择、智能自检等三个项目。</w:t>
      </w:r>
    </w:p>
    <w:p>
      <w:pPr>
        <w:spacing w:line="420" w:lineRule="exact"/>
        <w:ind w:firstLine="480" w:firstLineChars="200"/>
        <w:rPr>
          <w:rFonts w:ascii="仿宋_GB2312" w:hAnsi="仿宋" w:eastAsia="仿宋_GB2312" w:cs="仿宋"/>
          <w:color w:val="000000"/>
          <w:sz w:val="24"/>
          <w:szCs w:val="24"/>
        </w:rPr>
      </w:pPr>
      <w:r>
        <w:rPr>
          <w:rFonts w:hint="eastAsia" w:ascii="仿宋_GB2312" w:hAnsi="仿宋" w:eastAsia="仿宋_GB2312" w:cs="仿宋"/>
          <w:color w:val="000000"/>
          <w:sz w:val="24"/>
          <w:szCs w:val="24"/>
        </w:rPr>
        <w:t>4.</w:t>
      </w:r>
      <w:r>
        <w:rPr>
          <w:rFonts w:ascii="仿宋_GB2312" w:hAnsi="仿宋" w:eastAsia="仿宋_GB2312" w:cs="仿宋"/>
          <w:color w:val="000000"/>
          <w:sz w:val="24"/>
          <w:szCs w:val="24"/>
        </w:rPr>
        <w:t>除颤电流波形：</w:t>
      </w:r>
      <w:r>
        <w:rPr>
          <w:rFonts w:hint="eastAsia" w:ascii="仿宋_GB2312" w:hAnsi="仿宋" w:eastAsia="仿宋_GB2312" w:cs="仿宋"/>
          <w:color w:val="000000"/>
          <w:sz w:val="24"/>
          <w:szCs w:val="24"/>
        </w:rPr>
        <w:t>双相波技术。</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w:t>
      </w:r>
      <w:r>
        <w:rPr>
          <w:rFonts w:ascii="仿宋_GB2312" w:hAnsi="仿宋" w:eastAsia="仿宋_GB2312" w:cs="仿宋"/>
          <w:sz w:val="24"/>
          <w:szCs w:val="24"/>
        </w:rPr>
        <w:t>手动除颤电极板：</w:t>
      </w:r>
      <w:r>
        <w:rPr>
          <w:rFonts w:hint="eastAsia" w:ascii="仿宋_GB2312" w:hAnsi="仿宋" w:eastAsia="仿宋_GB2312" w:cs="仿宋"/>
          <w:sz w:val="24"/>
          <w:szCs w:val="24"/>
        </w:rPr>
        <w:t>至少配备</w:t>
      </w:r>
      <w:r>
        <w:rPr>
          <w:rFonts w:ascii="仿宋_GB2312" w:hAnsi="仿宋" w:eastAsia="仿宋_GB2312" w:cs="仿宋"/>
          <w:sz w:val="24"/>
          <w:szCs w:val="24"/>
        </w:rPr>
        <w:t>成人、儿童各一付</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w:t>
      </w:r>
      <w:r>
        <w:rPr>
          <w:rFonts w:ascii="仿宋_GB2312" w:hAnsi="仿宋" w:eastAsia="仿宋_GB2312" w:cs="仿宋"/>
          <w:sz w:val="24"/>
          <w:szCs w:val="24"/>
        </w:rPr>
        <w:t>标配工作模式：手动除颤</w:t>
      </w:r>
      <w:r>
        <w:rPr>
          <w:rFonts w:hint="eastAsia" w:ascii="仿宋_GB2312" w:hAnsi="仿宋" w:eastAsia="仿宋_GB2312" w:cs="仿宋"/>
          <w:sz w:val="24"/>
          <w:szCs w:val="24"/>
        </w:rPr>
        <w:t>、</w:t>
      </w:r>
      <w:r>
        <w:rPr>
          <w:rFonts w:ascii="仿宋_GB2312" w:hAnsi="仿宋" w:eastAsia="仿宋_GB2312" w:cs="仿宋"/>
          <w:sz w:val="24"/>
          <w:szCs w:val="24"/>
        </w:rPr>
        <w:t>同步复律</w:t>
      </w:r>
      <w:r>
        <w:rPr>
          <w:rFonts w:hint="eastAsia" w:ascii="仿宋_GB2312" w:hAnsi="仿宋" w:eastAsia="仿宋_GB2312" w:cs="仿宋"/>
          <w:sz w:val="24"/>
          <w:szCs w:val="24"/>
        </w:rPr>
        <w:t>、</w:t>
      </w:r>
      <w:r>
        <w:rPr>
          <w:rFonts w:ascii="仿宋_GB2312" w:hAnsi="仿宋" w:eastAsia="仿宋_GB2312" w:cs="仿宋"/>
          <w:sz w:val="24"/>
          <w:szCs w:val="24"/>
        </w:rPr>
        <w:t>生命体征监护</w:t>
      </w:r>
      <w:r>
        <w:rPr>
          <w:rFonts w:hint="eastAsia" w:ascii="仿宋_GB2312" w:hAnsi="仿宋" w:eastAsia="仿宋_GB2312" w:cs="仿宋"/>
          <w:sz w:val="24"/>
          <w:szCs w:val="24"/>
        </w:rPr>
        <w:t>、</w:t>
      </w:r>
      <w:r>
        <w:rPr>
          <w:rFonts w:ascii="仿宋_GB2312" w:hAnsi="仿宋" w:eastAsia="仿宋_GB2312" w:cs="仿宋"/>
          <w:sz w:val="24"/>
          <w:szCs w:val="24"/>
        </w:rPr>
        <w:t>内部放电</w:t>
      </w:r>
      <w:r>
        <w:rPr>
          <w:rFonts w:hint="eastAsia" w:ascii="仿宋_GB2312" w:hAnsi="仿宋" w:eastAsia="仿宋_GB2312" w:cs="仿宋"/>
          <w:sz w:val="24"/>
          <w:szCs w:val="24"/>
        </w:rPr>
        <w:t>、</w:t>
      </w:r>
      <w:r>
        <w:rPr>
          <w:rFonts w:ascii="仿宋_GB2312" w:hAnsi="仿宋" w:eastAsia="仿宋_GB2312" w:cs="仿宋"/>
          <w:sz w:val="24"/>
          <w:szCs w:val="24"/>
        </w:rPr>
        <w:t>机器</w:t>
      </w:r>
      <w:r>
        <w:rPr>
          <w:rFonts w:hint="eastAsia" w:ascii="仿宋_GB2312" w:hAnsi="仿宋" w:eastAsia="仿宋_GB2312" w:cs="仿宋"/>
          <w:sz w:val="24"/>
          <w:szCs w:val="24"/>
        </w:rPr>
        <w:t>智能</w:t>
      </w:r>
      <w:r>
        <w:rPr>
          <w:rFonts w:ascii="仿宋_GB2312" w:hAnsi="仿宋" w:eastAsia="仿宋_GB2312" w:cs="仿宋"/>
          <w:sz w:val="24"/>
          <w:szCs w:val="24"/>
        </w:rPr>
        <w:t>自检</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w:t>
      </w:r>
      <w:r>
        <w:rPr>
          <w:rFonts w:ascii="仿宋_GB2312" w:hAnsi="仿宋" w:eastAsia="仿宋_GB2312" w:cs="仿宋"/>
          <w:sz w:val="24"/>
          <w:szCs w:val="24"/>
        </w:rPr>
        <w:t xml:space="preserve">除颤能量: </w:t>
      </w:r>
      <w:r>
        <w:rPr>
          <w:rFonts w:hint="eastAsia" w:ascii="仿宋_GB2312" w:hAnsi="仿宋" w:eastAsia="仿宋_GB2312" w:cs="仿宋"/>
          <w:sz w:val="24"/>
          <w:szCs w:val="24"/>
        </w:rPr>
        <w:t>≤30</w:t>
      </w:r>
      <w:r>
        <w:rPr>
          <w:rFonts w:ascii="仿宋_GB2312" w:hAnsi="仿宋" w:eastAsia="仿宋_GB2312" w:cs="仿宋"/>
          <w:sz w:val="24"/>
          <w:szCs w:val="24"/>
        </w:rPr>
        <w:t>0J</w:t>
      </w:r>
      <w:r>
        <w:rPr>
          <w:rFonts w:hint="eastAsia" w:ascii="仿宋_GB2312" w:hAnsi="仿宋" w:eastAsia="仿宋_GB2312" w:cs="仿宋"/>
          <w:sz w:val="24"/>
          <w:szCs w:val="24"/>
        </w:rPr>
        <w:t>, ≥</w:t>
      </w:r>
      <w:r>
        <w:rPr>
          <w:rFonts w:ascii="仿宋_GB2312" w:hAnsi="仿宋" w:eastAsia="仿宋_GB2312" w:cs="仿宋"/>
          <w:sz w:val="24"/>
          <w:szCs w:val="24"/>
        </w:rPr>
        <w:t>1</w:t>
      </w:r>
      <w:r>
        <w:rPr>
          <w:rFonts w:hint="eastAsia" w:ascii="仿宋_GB2312" w:hAnsi="仿宋" w:eastAsia="仿宋_GB2312" w:cs="仿宋"/>
          <w:sz w:val="24"/>
          <w:szCs w:val="24"/>
        </w:rPr>
        <w:t>2</w:t>
      </w:r>
      <w:r>
        <w:rPr>
          <w:rFonts w:ascii="仿宋_GB2312" w:hAnsi="仿宋" w:eastAsia="仿宋_GB2312" w:cs="仿宋"/>
          <w:sz w:val="24"/>
          <w:szCs w:val="24"/>
        </w:rPr>
        <w:t>档能量选择</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8.</w:t>
      </w:r>
      <w:r>
        <w:rPr>
          <w:rFonts w:ascii="仿宋_GB2312" w:hAnsi="仿宋" w:eastAsia="仿宋_GB2312" w:cs="仿宋"/>
          <w:sz w:val="24"/>
          <w:szCs w:val="24"/>
        </w:rPr>
        <w:t xml:space="preserve">能量及工作模式选择: </w:t>
      </w:r>
      <w:r>
        <w:rPr>
          <w:rFonts w:hint="eastAsia" w:ascii="仿宋_GB2312" w:hAnsi="仿宋" w:eastAsia="仿宋_GB2312" w:cs="仿宋"/>
          <w:sz w:val="24"/>
          <w:szCs w:val="24"/>
        </w:rPr>
        <w:t>一体</w:t>
      </w:r>
      <w:r>
        <w:rPr>
          <w:rFonts w:ascii="仿宋_GB2312" w:hAnsi="仿宋" w:eastAsia="仿宋_GB2312" w:cs="仿宋"/>
          <w:sz w:val="24"/>
          <w:szCs w:val="24"/>
        </w:rPr>
        <w:t>旋扭式</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9.*快速</w:t>
      </w:r>
      <w:r>
        <w:rPr>
          <w:rFonts w:ascii="仿宋_GB2312" w:hAnsi="仿宋" w:eastAsia="仿宋_GB2312" w:cs="仿宋"/>
          <w:sz w:val="24"/>
          <w:szCs w:val="24"/>
        </w:rPr>
        <w:t>充电：</w:t>
      </w:r>
      <w:r>
        <w:rPr>
          <w:rFonts w:hint="eastAsia" w:ascii="仿宋_GB2312" w:hAnsi="仿宋" w:eastAsia="仿宋_GB2312" w:cs="仿宋"/>
          <w:sz w:val="24"/>
          <w:szCs w:val="24"/>
        </w:rPr>
        <w:t>4</w:t>
      </w:r>
      <w:r>
        <w:rPr>
          <w:rFonts w:ascii="仿宋_GB2312" w:hAnsi="仿宋" w:eastAsia="仿宋_GB2312" w:cs="仿宋"/>
          <w:sz w:val="24"/>
          <w:szCs w:val="24"/>
        </w:rPr>
        <w:t>秒内充电到</w:t>
      </w:r>
      <w:r>
        <w:rPr>
          <w:rFonts w:hint="eastAsia" w:ascii="仿宋_GB2312" w:hAnsi="仿宋" w:eastAsia="仿宋_GB2312" w:cs="仿宋"/>
          <w:sz w:val="24"/>
          <w:szCs w:val="24"/>
        </w:rPr>
        <w:t>200J（包括使用交流电时），</w:t>
      </w:r>
      <w:r>
        <w:rPr>
          <w:rFonts w:ascii="仿宋_GB2312" w:hAnsi="仿宋" w:eastAsia="仿宋_GB2312" w:cs="仿宋"/>
          <w:sz w:val="24"/>
          <w:szCs w:val="24"/>
        </w:rPr>
        <w:t>充电过程中可在屏幕上显示当前能量值</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w:t>
      </w:r>
      <w:r>
        <w:rPr>
          <w:rFonts w:ascii="仿宋_GB2312" w:hAnsi="仿宋" w:eastAsia="仿宋_GB2312" w:cs="仿宋"/>
          <w:sz w:val="24"/>
          <w:szCs w:val="24"/>
        </w:rPr>
        <w:t>ECG波形恢复时间：除颤放电后，心电波形在3秒内恢复</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w:t>
      </w:r>
      <w:r>
        <w:rPr>
          <w:rFonts w:ascii="仿宋_GB2312" w:hAnsi="仿宋" w:eastAsia="仿宋_GB2312" w:cs="仿宋"/>
          <w:sz w:val="24"/>
          <w:szCs w:val="24"/>
        </w:rPr>
        <w:t>心电导联：标配三导联，可选</w:t>
      </w:r>
      <w:r>
        <w:rPr>
          <w:rFonts w:hint="eastAsia" w:ascii="仿宋_GB2312" w:hAnsi="仿宋" w:eastAsia="仿宋_GB2312" w:cs="仿宋"/>
          <w:sz w:val="24"/>
          <w:szCs w:val="24"/>
        </w:rPr>
        <w:t>配6芯</w:t>
      </w:r>
      <w:r>
        <w:rPr>
          <w:rFonts w:ascii="仿宋_GB2312" w:hAnsi="仿宋" w:eastAsia="仿宋_GB2312" w:cs="仿宋"/>
          <w:sz w:val="24"/>
          <w:szCs w:val="24"/>
        </w:rPr>
        <w:t>心电导联</w:t>
      </w:r>
      <w:r>
        <w:rPr>
          <w:rFonts w:hint="eastAsia" w:ascii="仿宋_GB2312" w:hAnsi="仿宋" w:eastAsia="仿宋_GB2312" w:cs="仿宋"/>
          <w:sz w:val="24"/>
          <w:szCs w:val="24"/>
        </w:rPr>
        <w:t>线。</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12.</w:t>
      </w:r>
      <w:r>
        <w:rPr>
          <w:rFonts w:ascii="仿宋_GB2312" w:hAnsi="仿宋" w:eastAsia="仿宋_GB2312" w:cs="仿宋"/>
          <w:sz w:val="24"/>
          <w:szCs w:val="24"/>
        </w:rPr>
        <w:t>心电共模抑制比：</w:t>
      </w:r>
      <w:r>
        <w:rPr>
          <w:rFonts w:hint="eastAsia" w:ascii="仿宋_GB2312" w:hAnsi="仿宋" w:eastAsia="仿宋_GB2312" w:cs="仿宋"/>
          <w:sz w:val="24"/>
          <w:szCs w:val="24"/>
        </w:rPr>
        <w:t>≥</w:t>
      </w:r>
      <w:r>
        <w:rPr>
          <w:rFonts w:ascii="仿宋_GB2312" w:hAnsi="仿宋" w:eastAsia="仿宋_GB2312" w:cs="仿宋"/>
          <w:sz w:val="24"/>
          <w:szCs w:val="24"/>
        </w:rPr>
        <w:t>100dB</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13.</w:t>
      </w:r>
      <w:r>
        <w:rPr>
          <w:rFonts w:ascii="仿宋_GB2312" w:hAnsi="仿宋" w:eastAsia="仿宋_GB2312" w:cs="仿宋"/>
          <w:sz w:val="24"/>
          <w:szCs w:val="24"/>
        </w:rPr>
        <w:t>电容：高性能集合式电容</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14.*</w:t>
      </w:r>
      <w:r>
        <w:rPr>
          <w:rFonts w:ascii="仿宋_GB2312" w:hAnsi="仿宋" w:eastAsia="仿宋_GB2312" w:cs="仿宋"/>
          <w:sz w:val="24"/>
          <w:szCs w:val="24"/>
        </w:rPr>
        <w:t>可升级主流法呼吸末二氧化碳</w:t>
      </w:r>
      <w:r>
        <w:rPr>
          <w:rFonts w:hint="eastAsia" w:ascii="仿宋_GB2312" w:hAnsi="仿宋" w:eastAsia="仿宋_GB2312" w:cs="仿宋"/>
          <w:sz w:val="24"/>
          <w:szCs w:val="24"/>
        </w:rPr>
        <w:t>，</w:t>
      </w:r>
      <w:r>
        <w:rPr>
          <w:rFonts w:ascii="仿宋_GB2312" w:hAnsi="仿宋" w:eastAsia="仿宋_GB2312" w:cs="仿宋"/>
          <w:sz w:val="24"/>
          <w:szCs w:val="24"/>
        </w:rPr>
        <w:t>既能用于插管病人，又能用于非插管病人，传感器预热时间</w:t>
      </w:r>
      <w:r>
        <w:rPr>
          <w:rFonts w:hint="eastAsia" w:ascii="仿宋_GB2312" w:hAnsi="仿宋" w:eastAsia="仿宋_GB2312" w:cs="仿宋"/>
          <w:sz w:val="24"/>
          <w:szCs w:val="24"/>
        </w:rPr>
        <w:t>≤10</w:t>
      </w:r>
      <w:r>
        <w:rPr>
          <w:rFonts w:ascii="仿宋_GB2312" w:hAnsi="仿宋" w:eastAsia="仿宋_GB2312" w:cs="仿宋"/>
          <w:sz w:val="24"/>
          <w:szCs w:val="24"/>
        </w:rPr>
        <w:t>秒，</w:t>
      </w:r>
      <w:r>
        <w:rPr>
          <w:rFonts w:hint="eastAsia" w:ascii="仿宋_GB2312" w:hAnsi="仿宋" w:eastAsia="仿宋_GB2312" w:cs="仿宋"/>
          <w:sz w:val="24"/>
          <w:szCs w:val="24"/>
        </w:rPr>
        <w:t>传感器重量≤10g, IPX7防水等级</w:t>
      </w:r>
      <w:r>
        <w:rPr>
          <w:rFonts w:ascii="仿宋_GB2312" w:hAnsi="仿宋" w:eastAsia="仿宋_GB2312" w:cs="仿宋"/>
          <w:sz w:val="24"/>
          <w:szCs w:val="24"/>
        </w:rPr>
        <w:t>，耐摔</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15.</w:t>
      </w:r>
      <w:r>
        <w:rPr>
          <w:rFonts w:ascii="仿宋_GB2312" w:hAnsi="仿宋" w:eastAsia="仿宋_GB2312" w:cs="仿宋"/>
          <w:sz w:val="24"/>
          <w:szCs w:val="24"/>
        </w:rPr>
        <w:t>可升级血氧饱和度：血氧饱和度探头采用平行夹设计，可水洗消毒</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16.自检指示</w:t>
      </w:r>
      <w:r>
        <w:rPr>
          <w:rFonts w:ascii="仿宋_GB2312" w:hAnsi="仿宋" w:eastAsia="仿宋_GB2312" w:cs="仿宋"/>
          <w:sz w:val="24"/>
          <w:szCs w:val="24"/>
        </w:rPr>
        <w:t>：</w:t>
      </w:r>
      <w:r>
        <w:rPr>
          <w:rFonts w:hint="eastAsia" w:ascii="仿宋_GB2312" w:hAnsi="仿宋" w:eastAsia="仿宋_GB2312" w:cs="仿宋"/>
          <w:sz w:val="24"/>
          <w:szCs w:val="24"/>
        </w:rPr>
        <w:t>带有自检指示灯，关机状态下可每天自动自检，并更新状态灯颜色（绿色代表一切正常，红色代表有异常），清晰指示仪器状态，并自动保存自检结果。</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17.</w:t>
      </w:r>
      <w:r>
        <w:rPr>
          <w:rFonts w:ascii="仿宋_GB2312" w:hAnsi="仿宋" w:eastAsia="仿宋_GB2312" w:cs="仿宋"/>
          <w:sz w:val="24"/>
          <w:szCs w:val="24"/>
        </w:rPr>
        <w:t>电池：采用安全性高的环保电池</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18.使用环境：工作温度：-5℃到45℃；振动冲击及跌落认证：通过</w:t>
      </w:r>
      <w:r>
        <w:rPr>
          <w:rFonts w:ascii="仿宋_GB2312" w:hAnsi="仿宋" w:eastAsia="仿宋_GB2312" w:cs="仿宋"/>
          <w:sz w:val="24"/>
          <w:szCs w:val="24"/>
        </w:rPr>
        <w:t xml:space="preserve">MIL-STD-810F 514.5 Category 4 </w:t>
      </w:r>
      <w:r>
        <w:rPr>
          <w:rFonts w:hint="eastAsia" w:ascii="仿宋_GB2312" w:hAnsi="仿宋" w:eastAsia="仿宋_GB2312" w:cs="仿宋"/>
          <w:sz w:val="24"/>
          <w:szCs w:val="24"/>
        </w:rPr>
        <w:t>及</w:t>
      </w:r>
      <w:r>
        <w:rPr>
          <w:rFonts w:ascii="仿宋_GB2312" w:hAnsi="仿宋" w:eastAsia="仿宋_GB2312" w:cs="仿宋"/>
          <w:sz w:val="24"/>
          <w:szCs w:val="24"/>
        </w:rPr>
        <w:t xml:space="preserve">MIL-STD-810F 514.5 Category 9 </w:t>
      </w:r>
      <w:r>
        <w:rPr>
          <w:rFonts w:hint="eastAsia" w:ascii="仿宋_GB2312" w:hAnsi="仿宋" w:eastAsia="仿宋_GB2312" w:cs="仿宋"/>
          <w:sz w:val="24"/>
          <w:szCs w:val="24"/>
        </w:rPr>
        <w:t>，可用于救护车及急救直升机。</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19.仪器内置屏幕智能操作指导，带有电极板放置架，具有报警指示灯。</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20.数据存储：可存储≥160小时心电图连续波形，可存储周围环境音。</w:t>
      </w:r>
    </w:p>
    <w:p>
      <w:pPr>
        <w:ind w:firstLine="480" w:firstLineChars="200"/>
        <w:jc w:val="left"/>
        <w:rPr>
          <w:rFonts w:ascii="方正小标宋简体" w:eastAsia="方正小标宋简体"/>
          <w:b/>
          <w:sz w:val="36"/>
          <w:szCs w:val="44"/>
        </w:rPr>
      </w:pPr>
      <w:r>
        <w:rPr>
          <w:rFonts w:hint="eastAsia" w:ascii="仿宋_GB2312" w:hAnsi="仿宋" w:eastAsia="仿宋_GB2312" w:cs="仿宋"/>
          <w:sz w:val="24"/>
          <w:szCs w:val="24"/>
        </w:rPr>
        <w:t>21.提供至少一支原装专业除颤导电膏。</w:t>
      </w:r>
    </w:p>
    <w:p>
      <w:pPr>
        <w:jc w:val="center"/>
        <w:rPr>
          <w:rFonts w:ascii="方正小标宋简体" w:eastAsia="方正小标宋简体"/>
          <w:b/>
          <w:sz w:val="36"/>
          <w:szCs w:val="44"/>
        </w:rPr>
      </w:pPr>
    </w:p>
    <w:p>
      <w:pPr>
        <w:spacing w:line="420" w:lineRule="exact"/>
        <w:jc w:val="center"/>
        <w:rPr>
          <w:b/>
          <w:bCs/>
          <w:sz w:val="36"/>
          <w:szCs w:val="36"/>
        </w:rPr>
      </w:pPr>
      <w:r>
        <w:rPr>
          <w:rFonts w:hint="eastAsia"/>
          <w:b/>
          <w:bCs/>
          <w:sz w:val="36"/>
          <w:szCs w:val="36"/>
        </w:rPr>
        <w:t>01-09 开颅动力系统</w:t>
      </w:r>
    </w:p>
    <w:p>
      <w:pPr>
        <w:spacing w:line="360" w:lineRule="auto"/>
        <w:rPr>
          <w:rFonts w:ascii="宋体" w:hAnsi="宋体"/>
          <w:sz w:val="24"/>
        </w:rPr>
      </w:pP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 主机：</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 工作参数可数字化实时显示 。</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1.2  具</w:t>
      </w:r>
      <w:r>
        <w:rPr>
          <w:rFonts w:ascii="仿宋_GB2312" w:hAnsi="仿宋" w:eastAsia="仿宋_GB2312" w:cs="仿宋"/>
          <w:sz w:val="24"/>
          <w:szCs w:val="24"/>
        </w:rPr>
        <w:t>有刨削功能扩展接口</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1.3  </w:t>
      </w:r>
      <w:r>
        <w:rPr>
          <w:rFonts w:ascii="仿宋_GB2312" w:hAnsi="仿宋" w:eastAsia="仿宋_GB2312" w:cs="仿宋"/>
          <w:sz w:val="24"/>
          <w:szCs w:val="24"/>
        </w:rPr>
        <w:t>具备注水泵扩展功能（可实现流量无级调速）</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 xml:space="preserve">1.4  </w:t>
      </w:r>
      <w:r>
        <w:rPr>
          <w:rFonts w:ascii="仿宋_GB2312" w:hAnsi="仿宋" w:eastAsia="仿宋_GB2312" w:cs="仿宋"/>
          <w:sz w:val="24"/>
          <w:szCs w:val="24"/>
        </w:rPr>
        <w:t>恒速驱动控制系统，负载速降</w:t>
      </w:r>
      <w:r>
        <w:rPr>
          <w:rFonts w:hint="eastAsia" w:ascii="仿宋_GB2312" w:hAnsi="仿宋" w:eastAsia="仿宋_GB2312" w:cs="仿宋"/>
          <w:sz w:val="24"/>
          <w:szCs w:val="24"/>
        </w:rPr>
        <w:t>≤</w:t>
      </w:r>
      <w:r>
        <w:rPr>
          <w:rFonts w:ascii="仿宋_GB2312" w:hAnsi="仿宋" w:eastAsia="仿宋_GB2312" w:cs="仿宋"/>
          <w:sz w:val="24"/>
          <w:szCs w:val="24"/>
        </w:rPr>
        <w:t>5%</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 xml:space="preserve">1.5  </w:t>
      </w:r>
      <w:r>
        <w:rPr>
          <w:rFonts w:ascii="仿宋_GB2312" w:hAnsi="仿宋" w:eastAsia="仿宋_GB2312" w:cs="仿宋"/>
          <w:sz w:val="24"/>
          <w:szCs w:val="24"/>
        </w:rPr>
        <w:t>闭环控制系统，主动预警提示</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 xml:space="preserve">1.6  </w:t>
      </w:r>
      <w:r>
        <w:rPr>
          <w:rFonts w:ascii="仿宋_GB2312" w:hAnsi="仿宋" w:eastAsia="仿宋_GB2312" w:cs="仿宋"/>
          <w:sz w:val="24"/>
          <w:szCs w:val="24"/>
        </w:rPr>
        <w:t>电机自动识别功能</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1.7  *</w:t>
      </w:r>
      <w:r>
        <w:rPr>
          <w:rFonts w:ascii="仿宋_GB2312" w:hAnsi="仿宋" w:eastAsia="仿宋_GB2312" w:cs="仿宋"/>
          <w:sz w:val="24"/>
          <w:szCs w:val="24"/>
        </w:rPr>
        <w:t>具有小骨拓展功能（空心钻，摆锯，往复锯）</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1.8  </w:t>
      </w:r>
      <w:r>
        <w:rPr>
          <w:rFonts w:ascii="仿宋_GB2312" w:hAnsi="仿宋" w:eastAsia="仿宋_GB2312" w:cs="仿宋"/>
          <w:sz w:val="24"/>
          <w:szCs w:val="24"/>
        </w:rPr>
        <w:t>大功率微电机式开颅和高速磨钻完美结合</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1.9  ≥</w:t>
      </w:r>
      <w:r>
        <w:rPr>
          <w:rFonts w:ascii="仿宋_GB2312" w:hAnsi="仿宋" w:eastAsia="仿宋_GB2312" w:cs="仿宋"/>
          <w:sz w:val="24"/>
          <w:szCs w:val="24"/>
        </w:rPr>
        <w:t>7</w:t>
      </w:r>
      <w:r>
        <w:rPr>
          <w:rFonts w:hint="eastAsia" w:ascii="仿宋_GB2312" w:hAnsi="仿宋" w:eastAsia="仿宋_GB2312" w:cs="仿宋"/>
          <w:sz w:val="24"/>
          <w:szCs w:val="24"/>
        </w:rPr>
        <w:t>英</w:t>
      </w:r>
      <w:r>
        <w:rPr>
          <w:rFonts w:ascii="仿宋_GB2312" w:hAnsi="仿宋" w:eastAsia="仿宋_GB2312" w:cs="仿宋"/>
          <w:sz w:val="24"/>
          <w:szCs w:val="24"/>
        </w:rPr>
        <w:t>寸彩色液晶触摸菜单操作界面</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1.10</w:t>
      </w:r>
      <w:r>
        <w:rPr>
          <w:rFonts w:ascii="仿宋_GB2312" w:hAnsi="仿宋" w:eastAsia="仿宋_GB2312" w:cs="仿宋"/>
          <w:sz w:val="24"/>
          <w:szCs w:val="24"/>
        </w:rPr>
        <w:t>动力采用先进</w:t>
      </w:r>
      <w:r>
        <w:rPr>
          <w:rFonts w:hint="eastAsia" w:ascii="仿宋_GB2312" w:hAnsi="仿宋" w:eastAsia="仿宋_GB2312" w:cs="仿宋"/>
          <w:sz w:val="24"/>
          <w:szCs w:val="24"/>
        </w:rPr>
        <w:t>微电脑</w:t>
      </w:r>
      <w:r>
        <w:rPr>
          <w:rFonts w:ascii="仿宋_GB2312" w:hAnsi="仿宋" w:eastAsia="仿宋_GB2312" w:cs="仿宋"/>
          <w:sz w:val="24"/>
          <w:szCs w:val="24"/>
        </w:rPr>
        <w:t>控制系统，系统功能多、噪音低、工作稳定</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1.11</w:t>
      </w:r>
      <w:r>
        <w:rPr>
          <w:rFonts w:ascii="仿宋_GB2312" w:hAnsi="仿宋" w:eastAsia="仿宋_GB2312" w:cs="仿宋"/>
          <w:sz w:val="24"/>
          <w:szCs w:val="24"/>
        </w:rPr>
        <w:t>具有刀具选择功能，也可以在通用模式下使用</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1.12</w:t>
      </w:r>
      <w:r>
        <w:rPr>
          <w:rFonts w:ascii="仿宋_GB2312" w:hAnsi="仿宋" w:eastAsia="仿宋_GB2312" w:cs="仿宋"/>
          <w:sz w:val="24"/>
          <w:szCs w:val="24"/>
        </w:rPr>
        <w:t>可设置最高转速，脚踏开关操控实现无级变速</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1.13 *</w:t>
      </w:r>
      <w:r>
        <w:rPr>
          <w:rFonts w:ascii="仿宋_GB2312" w:hAnsi="仿宋" w:eastAsia="仿宋_GB2312" w:cs="仿宋"/>
          <w:sz w:val="24"/>
          <w:szCs w:val="24"/>
        </w:rPr>
        <w:t>手柄连接自动激活，刨削（吸切）刀具自动识别</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 xml:space="preserve">1.14 </w:t>
      </w:r>
      <w:r>
        <w:rPr>
          <w:rFonts w:ascii="仿宋_GB2312" w:hAnsi="仿宋" w:eastAsia="仿宋_GB2312" w:cs="仿宋"/>
          <w:sz w:val="24"/>
          <w:szCs w:val="24"/>
        </w:rPr>
        <w:t>BF型电气安全设计和100-240V宽电压电源设计</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  脚踏开关：</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  线缆长≤3.5m，无级调速，可进行功能切换及注水控制。</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2.2  IPX8防水等级，防滑、防侧翻。</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2.3  踏板高度≤48mm，减轻脚疲劳。</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2.4  承载重量：≥1350N（138kg）。</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  微电机：</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3.1  ISO-E类型标准接口，接插方便快捷，可高温高压消毒。</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3.2  *开颅用微电机，输出动力强劲稳定，峰值输出功率达≥150W，输出扭矩≥2.86Ncm，转速可达≥40000r/min。</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3.3  自动风冷技术，噪音：＜65dB，工作最高温度：＜40℃。</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3.4  最大直径：≤23.5mm，重量：≤127g。</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  颅骨钻手柄：</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4.1  体积小，最大外径：ф30mm，长：≤130mm，轻质合金材料制造，重量≤0.445kg，可高温高压消毒。</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4.2  带手把，握持舒适，轻巧方便，操控性强。</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4.3  免钥匙接口。</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4.4  表面硬质阳极氧化，防刮耐磨、防腐蚀。</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4.5  转速为0-1500r/min，低噪音、低振动，最高转速时空载噪音：＜75dB。</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  颅骨钻头：</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5.1  机械式钻穿即停功能，确保操作安全。</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5.2  高精密快装卸接口设计。</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5.3  钻头规格：ф4mm，ф6mm，ф9mm，ф12mm可选。</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5.4  刃口采用优质不锈钢HRC58以上高硬度热处理，锋利耐用。</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5.5  免钥匙接口。</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  颅骨铣手机：</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6.1  最大柄径：≤22mm，表面防滑花纹设计，可握持式或执笔式操作。</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6.2  重量：≤148g，低噪音、低振动，最高转速时，空载噪音：＜75dB，工作最高温度：＜45℃。</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6.3  快速铣刀安装接口。</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6.4  脑膜护鞘可360°自由旋转设计，最小铣切半径≤5mm，铣切骨板顺畅安全。</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6.5  无级调速，最高输出转速：≥40000r/min。</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6.6  可高温高压消毒。</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  颅骨铣刀：</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7.1  *螺旋密封功能，防止体液进入铣手机内部，增强耐用性。</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7.2  直刃设计，锋利耐用，铣切轻松快捷。</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7.3  头端直径：≤Φ1.6mm，铣切颅骨缝隙：1.6-2.34mm。</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7.4 一次性无菌铣刀。</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8.  磨钻手柄：</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8.1  ISO-E类型标准接口，接插方便快捷，可高温高压消毒。</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8.2  最大直径≥20mm，角度≥21°，执笔式、防滑结构设计。</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8.3  最高转速≥80000r/min，可正反转，低发热、低噪音，最高转速时空载噪音：＜75dB，长时间运行最高热平衡温度：＜45℃。</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8.4  磨钻手柄与微电机连接具有锁定功能，防止任意旋转。</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8.5可接刚性传动无级变向磨钻手柄。</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 磨钻头：</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9.1  钨钢材质，抗弯抗扭，锋利耐用，可高温高压消毒。</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9.2  圆跳动0.01mm，高速转动下径向跳动量＜0.01mm；。</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9.3 一次性无菌磨钻头。</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9.4 金刚砂球形磨钻头：≤Ф2.0mm、≤Ф3.0mm，柄径≤Φ2.38mm。</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9.5 钨钢球形磨钻头：≤Ф3.0mm、≤Ф5.0mm，柄径≤Φ2.38mm。</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9.6最高转速：≥80000r/min。</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 xml:space="preserve">10 . </w:t>
      </w:r>
      <w:r>
        <w:rPr>
          <w:rFonts w:ascii="仿宋_GB2312" w:hAnsi="仿宋" w:eastAsia="仿宋_GB2312" w:cs="仿宋"/>
          <w:sz w:val="24"/>
          <w:szCs w:val="24"/>
        </w:rPr>
        <w:t>磨微电机</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 xml:space="preserve">0.1 </w:t>
      </w:r>
      <w:r>
        <w:rPr>
          <w:rFonts w:ascii="仿宋_GB2312" w:hAnsi="仿宋" w:eastAsia="仿宋_GB2312" w:cs="仿宋"/>
          <w:sz w:val="24"/>
          <w:szCs w:val="24"/>
        </w:rPr>
        <w:t>ISO-E类型标准接口，接插方便快捷，可高温高压消毒；</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10.2</w:t>
      </w:r>
      <w:r>
        <w:rPr>
          <w:rFonts w:ascii="仿宋_GB2312" w:hAnsi="仿宋" w:eastAsia="仿宋_GB2312" w:cs="仿宋"/>
          <w:sz w:val="24"/>
          <w:szCs w:val="24"/>
        </w:rPr>
        <w:t>高速电机马达，输出动力强劲稳定，峰值输出功率</w:t>
      </w:r>
      <w:r>
        <w:rPr>
          <w:rFonts w:hint="eastAsia" w:ascii="仿宋_GB2312" w:hAnsi="仿宋" w:eastAsia="仿宋_GB2312" w:cs="仿宋"/>
          <w:sz w:val="24"/>
          <w:szCs w:val="24"/>
        </w:rPr>
        <w:t>≥</w:t>
      </w:r>
      <w:r>
        <w:rPr>
          <w:rFonts w:ascii="仿宋_GB2312" w:hAnsi="仿宋" w:eastAsia="仿宋_GB2312" w:cs="仿宋"/>
          <w:sz w:val="24"/>
          <w:szCs w:val="24"/>
        </w:rPr>
        <w:t>100W，转速</w:t>
      </w:r>
      <w:r>
        <w:rPr>
          <w:rFonts w:hint="eastAsia" w:ascii="仿宋_GB2312" w:hAnsi="仿宋" w:eastAsia="仿宋_GB2312" w:cs="仿宋"/>
          <w:sz w:val="24"/>
          <w:szCs w:val="24"/>
        </w:rPr>
        <w:t>≥</w:t>
      </w:r>
      <w:r>
        <w:rPr>
          <w:rFonts w:ascii="仿宋_GB2312" w:hAnsi="仿宋" w:eastAsia="仿宋_GB2312" w:cs="仿宋"/>
          <w:sz w:val="24"/>
          <w:szCs w:val="24"/>
        </w:rPr>
        <w:t>40000r/min</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10.3</w:t>
      </w:r>
      <w:r>
        <w:rPr>
          <w:rFonts w:ascii="仿宋_GB2312" w:hAnsi="仿宋" w:eastAsia="仿宋_GB2312" w:cs="仿宋"/>
          <w:sz w:val="24"/>
          <w:szCs w:val="24"/>
        </w:rPr>
        <w:t>自动风冷技术，温升小，噪音低，噪音＜65dB，</w:t>
      </w:r>
      <w:r>
        <w:rPr>
          <w:rFonts w:hint="eastAsia" w:ascii="仿宋_GB2312" w:hAnsi="仿宋" w:eastAsia="仿宋_GB2312" w:cs="仿宋"/>
          <w:sz w:val="24"/>
          <w:szCs w:val="24"/>
        </w:rPr>
        <w:t>工作</w:t>
      </w:r>
      <w:r>
        <w:rPr>
          <w:rFonts w:ascii="仿宋_GB2312" w:hAnsi="仿宋" w:eastAsia="仿宋_GB2312" w:cs="仿宋"/>
          <w:sz w:val="24"/>
          <w:szCs w:val="24"/>
        </w:rPr>
        <w:t>最高温度＜40℃</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 xml:space="preserve">10.4 </w:t>
      </w:r>
      <w:r>
        <w:rPr>
          <w:rFonts w:ascii="仿宋_GB2312" w:hAnsi="仿宋" w:eastAsia="仿宋_GB2312" w:cs="仿宋"/>
          <w:sz w:val="24"/>
          <w:szCs w:val="24"/>
        </w:rPr>
        <w:t>最大直径</w:t>
      </w:r>
      <w:r>
        <w:rPr>
          <w:rFonts w:hint="eastAsia" w:ascii="仿宋_GB2312" w:hAnsi="仿宋" w:eastAsia="仿宋_GB2312" w:cs="仿宋"/>
          <w:sz w:val="24"/>
          <w:szCs w:val="24"/>
        </w:rPr>
        <w:t>≤</w:t>
      </w:r>
      <w:r>
        <w:rPr>
          <w:rFonts w:ascii="仿宋_GB2312" w:hAnsi="仿宋" w:eastAsia="仿宋_GB2312" w:cs="仿宋"/>
          <w:sz w:val="24"/>
          <w:szCs w:val="24"/>
        </w:rPr>
        <w:t>20mm，重量</w:t>
      </w:r>
      <w:r>
        <w:rPr>
          <w:rFonts w:hint="eastAsia" w:ascii="仿宋_GB2312" w:hAnsi="仿宋" w:eastAsia="仿宋_GB2312" w:cs="仿宋"/>
          <w:sz w:val="24"/>
          <w:szCs w:val="24"/>
        </w:rPr>
        <w:t>≤</w:t>
      </w:r>
      <w:r>
        <w:rPr>
          <w:rFonts w:ascii="仿宋_GB2312" w:hAnsi="仿宋" w:eastAsia="仿宋_GB2312" w:cs="仿宋"/>
          <w:sz w:val="24"/>
          <w:szCs w:val="24"/>
        </w:rPr>
        <w:t>110g；</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10.5 *</w:t>
      </w:r>
      <w:r>
        <w:rPr>
          <w:rFonts w:ascii="仿宋_GB2312" w:hAnsi="仿宋" w:eastAsia="仿宋_GB2312" w:cs="仿宋"/>
          <w:sz w:val="24"/>
          <w:szCs w:val="24"/>
        </w:rPr>
        <w:t>急停时间＜0.2s</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11.清洁套件：医用高速传动。</w:t>
      </w:r>
      <w:bookmarkStart w:id="171" w:name="_Toc343695275"/>
      <w:bookmarkEnd w:id="171"/>
    </w:p>
    <w:p>
      <w:pPr>
        <w:spacing w:line="420" w:lineRule="exact"/>
        <w:ind w:firstLine="480" w:firstLineChars="200"/>
        <w:rPr>
          <w:rFonts w:ascii="仿宋_GB2312" w:hAnsi="仿宋" w:eastAsia="仿宋_GB2312" w:cs="仿宋"/>
          <w:sz w:val="24"/>
          <w:szCs w:val="24"/>
        </w:rPr>
      </w:pPr>
    </w:p>
    <w:p>
      <w:pPr>
        <w:spacing w:line="420" w:lineRule="exact"/>
        <w:jc w:val="center"/>
        <w:rPr>
          <w:b/>
          <w:bCs/>
          <w:sz w:val="36"/>
          <w:szCs w:val="36"/>
        </w:rPr>
      </w:pPr>
      <w:r>
        <w:rPr>
          <w:rFonts w:hint="eastAsia"/>
          <w:b/>
          <w:bCs/>
          <w:sz w:val="36"/>
          <w:szCs w:val="36"/>
        </w:rPr>
        <w:t xml:space="preserve">01-10  </w:t>
      </w:r>
      <w:r>
        <w:rPr>
          <w:b/>
          <w:bCs/>
          <w:sz w:val="36"/>
          <w:szCs w:val="36"/>
        </w:rPr>
        <w:t>麻醉机</w:t>
      </w:r>
    </w:p>
    <w:p>
      <w:pPr>
        <w:widowControl/>
        <w:spacing w:line="360" w:lineRule="auto"/>
        <w:textAlignment w:val="baseline"/>
        <w:rPr>
          <w:rFonts w:ascii="Arial" w:hAnsi="Arial"/>
          <w:b/>
          <w:sz w:val="24"/>
        </w:rPr>
      </w:pP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1</w:t>
      </w:r>
      <w:r>
        <w:rPr>
          <w:rFonts w:hint="eastAsia" w:ascii="仿宋_GB2312" w:hAnsi="仿宋" w:eastAsia="仿宋_GB2312" w:cs="仿宋"/>
          <w:sz w:val="24"/>
          <w:szCs w:val="24"/>
        </w:rPr>
        <w:t>.</w:t>
      </w:r>
      <w:r>
        <w:rPr>
          <w:rFonts w:ascii="仿宋_GB2312" w:hAnsi="仿宋" w:eastAsia="仿宋_GB2312" w:cs="仿宋"/>
          <w:sz w:val="24"/>
          <w:szCs w:val="24"/>
        </w:rPr>
        <w:t>工作条件及基本配件</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1.1 操作环境，温度：10° 至40°C，湿度：15 至 95%</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1.2 电源：220V，50/60Hz</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1.3 后备电池使用时间：</w:t>
      </w:r>
      <w:r>
        <w:rPr>
          <w:rFonts w:hint="eastAsia" w:ascii="仿宋_GB2312" w:hAnsi="仿宋" w:eastAsia="仿宋_GB2312" w:cs="仿宋"/>
          <w:sz w:val="24"/>
          <w:szCs w:val="24"/>
        </w:rPr>
        <w:t>≥</w:t>
      </w:r>
      <w:r>
        <w:rPr>
          <w:rFonts w:ascii="仿宋_GB2312" w:hAnsi="仿宋" w:eastAsia="仿宋_GB2312" w:cs="仿宋"/>
          <w:sz w:val="24"/>
          <w:szCs w:val="24"/>
        </w:rPr>
        <w:t>120分钟</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1.4 具有RJ45接口、HL7、以太网连接功能</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 xml:space="preserve">1.5 </w:t>
      </w:r>
      <w:r>
        <w:rPr>
          <w:rFonts w:hint="eastAsia" w:ascii="仿宋_GB2312" w:hAnsi="仿宋" w:eastAsia="仿宋_GB2312" w:cs="仿宋"/>
          <w:sz w:val="24"/>
          <w:szCs w:val="24"/>
        </w:rPr>
        <w:t>*</w:t>
      </w:r>
      <w:r>
        <w:rPr>
          <w:rFonts w:ascii="仿宋_GB2312" w:hAnsi="仿宋" w:eastAsia="仿宋_GB2312" w:cs="仿宋"/>
          <w:sz w:val="24"/>
          <w:szCs w:val="24"/>
        </w:rPr>
        <w:t>机架：带大工作台侧栏杆推车，</w:t>
      </w:r>
      <w:r>
        <w:rPr>
          <w:rFonts w:hint="eastAsia" w:ascii="仿宋_GB2312" w:hAnsi="仿宋" w:eastAsia="仿宋_GB2312" w:cs="仿宋"/>
          <w:sz w:val="24"/>
          <w:szCs w:val="24"/>
        </w:rPr>
        <w:t>至少</w:t>
      </w:r>
      <w:r>
        <w:rPr>
          <w:rFonts w:ascii="仿宋_GB2312" w:hAnsi="仿宋" w:eastAsia="仿宋_GB2312" w:cs="仿宋"/>
          <w:sz w:val="24"/>
          <w:szCs w:val="24"/>
        </w:rPr>
        <w:t>三个抽屉，标配独立脚轮刹车。</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1.6 适合内窥镜手术模式：具备顶光灯，能够在黑暗环境中提供麻醉机工作台面照明。</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2</w:t>
      </w:r>
      <w:r>
        <w:rPr>
          <w:rFonts w:hint="eastAsia" w:ascii="仿宋_GB2312" w:hAnsi="仿宋" w:eastAsia="仿宋_GB2312" w:cs="仿宋"/>
          <w:sz w:val="24"/>
          <w:szCs w:val="24"/>
        </w:rPr>
        <w:t>.</w:t>
      </w:r>
      <w:r>
        <w:rPr>
          <w:rFonts w:ascii="仿宋_GB2312" w:hAnsi="仿宋" w:eastAsia="仿宋_GB2312" w:cs="仿宋"/>
          <w:sz w:val="24"/>
          <w:szCs w:val="24"/>
        </w:rPr>
        <w:t>气源</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2.1 标配氧气、空气双气源，可选笑气气源</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2.2 具备机械的笑、氧保护装置，不受停电影响，保证任何流量下氧浓度不低于25%</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2.3 快速充氧范围25 - 75 l/min</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3</w:t>
      </w:r>
      <w:r>
        <w:rPr>
          <w:rFonts w:hint="eastAsia" w:ascii="仿宋_GB2312" w:hAnsi="仿宋" w:eastAsia="仿宋_GB2312" w:cs="仿宋"/>
          <w:sz w:val="24"/>
          <w:szCs w:val="24"/>
        </w:rPr>
        <w:t>.</w:t>
      </w:r>
      <w:r>
        <w:rPr>
          <w:rFonts w:ascii="仿宋_GB2312" w:hAnsi="仿宋" w:eastAsia="仿宋_GB2312" w:cs="仿宋"/>
          <w:sz w:val="24"/>
          <w:szCs w:val="24"/>
        </w:rPr>
        <w:t>流量计</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 xml:space="preserve">3.1 </w:t>
      </w:r>
      <w:r>
        <w:rPr>
          <w:rFonts w:hint="eastAsia" w:ascii="仿宋_GB2312" w:hAnsi="仿宋" w:eastAsia="仿宋_GB2312" w:cs="仿宋"/>
          <w:sz w:val="24"/>
          <w:szCs w:val="24"/>
        </w:rPr>
        <w:t>*</w:t>
      </w:r>
      <w:r>
        <w:rPr>
          <w:rFonts w:ascii="仿宋_GB2312" w:hAnsi="仿宋" w:eastAsia="仿宋_GB2312" w:cs="仿宋"/>
          <w:sz w:val="24"/>
          <w:szCs w:val="24"/>
        </w:rPr>
        <w:t>全电子流量计 (可直接设置氧浓度和总流量)</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3.2 具备备用流量计</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3.3 具备直观的适宜低流量麻醉的新鲜气体流量指示工具</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4</w:t>
      </w:r>
      <w:r>
        <w:rPr>
          <w:rFonts w:hint="eastAsia" w:ascii="仿宋_GB2312" w:hAnsi="仿宋" w:eastAsia="仿宋_GB2312" w:cs="仿宋"/>
          <w:sz w:val="24"/>
          <w:szCs w:val="24"/>
        </w:rPr>
        <w:t>.</w:t>
      </w:r>
      <w:r>
        <w:rPr>
          <w:rFonts w:ascii="仿宋_GB2312" w:hAnsi="仿宋" w:eastAsia="仿宋_GB2312" w:cs="仿宋"/>
          <w:sz w:val="24"/>
          <w:szCs w:val="24"/>
        </w:rPr>
        <w:t>挥发罐</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4.1 标配双麻醉罐位</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 xml:space="preserve">4.2 </w:t>
      </w:r>
      <w:r>
        <w:rPr>
          <w:rFonts w:hint="eastAsia" w:ascii="仿宋_GB2312" w:hAnsi="仿宋" w:eastAsia="仿宋_GB2312" w:cs="仿宋"/>
          <w:sz w:val="24"/>
          <w:szCs w:val="24"/>
        </w:rPr>
        <w:t>*</w:t>
      </w:r>
      <w:r>
        <w:rPr>
          <w:rFonts w:ascii="仿宋_GB2312" w:hAnsi="仿宋" w:eastAsia="仿宋_GB2312" w:cs="仿宋"/>
          <w:sz w:val="24"/>
          <w:szCs w:val="24"/>
        </w:rPr>
        <w:t>标配一个同品牌高品质麻醉挥发罐，具备压力、流速和温度补偿</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5</w:t>
      </w:r>
      <w:r>
        <w:rPr>
          <w:rFonts w:hint="eastAsia" w:ascii="仿宋_GB2312" w:hAnsi="仿宋" w:eastAsia="仿宋_GB2312" w:cs="仿宋"/>
          <w:sz w:val="24"/>
          <w:szCs w:val="24"/>
        </w:rPr>
        <w:t>.</w:t>
      </w:r>
      <w:r>
        <w:rPr>
          <w:rFonts w:ascii="仿宋_GB2312" w:hAnsi="仿宋" w:eastAsia="仿宋_GB2312" w:cs="仿宋"/>
          <w:sz w:val="24"/>
          <w:szCs w:val="24"/>
        </w:rPr>
        <w:t>呼吸回路</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 xml:space="preserve">5.1 </w:t>
      </w:r>
      <w:r>
        <w:rPr>
          <w:rFonts w:hint="eastAsia" w:ascii="仿宋_GB2312" w:hAnsi="仿宋" w:eastAsia="仿宋_GB2312" w:cs="仿宋"/>
          <w:sz w:val="24"/>
          <w:szCs w:val="24"/>
        </w:rPr>
        <w:t>*</w:t>
      </w:r>
      <w:r>
        <w:rPr>
          <w:rFonts w:ascii="仿宋_GB2312" w:hAnsi="仿宋" w:eastAsia="仿宋_GB2312" w:cs="仿宋"/>
          <w:sz w:val="24"/>
          <w:szCs w:val="24"/>
        </w:rPr>
        <w:t>回路整体可徒手拆卸，一体化回路，回路整体可旋转</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5.2 回路部件可以耐受134</w:t>
      </w:r>
      <w:r>
        <w:rPr>
          <w:rFonts w:hint="eastAsia" w:ascii="仿宋_GB2312" w:hAnsi="仿宋" w:eastAsia="仿宋_GB2312" w:cs="仿宋"/>
          <w:sz w:val="24"/>
          <w:szCs w:val="24"/>
        </w:rPr>
        <w:t>℃</w:t>
      </w:r>
      <w:r>
        <w:rPr>
          <w:rFonts w:ascii="仿宋_GB2312" w:hAnsi="仿宋" w:eastAsia="仿宋_GB2312" w:cs="仿宋"/>
          <w:sz w:val="24"/>
          <w:szCs w:val="24"/>
        </w:rPr>
        <w:t>高温高压消毒以避免院内交叉感染</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5.3 二氧化碳吸收罐，容积</w:t>
      </w:r>
      <w:r>
        <w:rPr>
          <w:rFonts w:hint="eastAsia" w:ascii="仿宋_GB2312" w:hAnsi="仿宋" w:eastAsia="仿宋_GB2312" w:cs="仿宋"/>
          <w:sz w:val="24"/>
          <w:szCs w:val="24"/>
        </w:rPr>
        <w:t>≥</w:t>
      </w:r>
      <w:r>
        <w:rPr>
          <w:rFonts w:ascii="仿宋_GB2312" w:hAnsi="仿宋" w:eastAsia="仿宋_GB2312" w:cs="仿宋"/>
          <w:sz w:val="24"/>
          <w:szCs w:val="24"/>
        </w:rPr>
        <w:t>1500ml</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5.4 内置双流量传感器，分别在吸入端，呼出端</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5.5 低回路系统容积，为快速调节新鲜气体流量以及输出麻药浓度提供了保障</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5.6 可选配共同新鲜气体输出口，输出口无需改装可直接连接特殊的开放式回路，如Bain回路、T管等</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 xml:space="preserve">5.7 </w:t>
      </w:r>
      <w:r>
        <w:rPr>
          <w:rFonts w:hint="eastAsia" w:ascii="仿宋_GB2312" w:hAnsi="仿宋" w:eastAsia="仿宋_GB2312" w:cs="仿宋"/>
          <w:sz w:val="24"/>
          <w:szCs w:val="24"/>
        </w:rPr>
        <w:t>*</w:t>
      </w:r>
      <w:r>
        <w:rPr>
          <w:rFonts w:ascii="仿宋_GB2312" w:hAnsi="仿宋" w:eastAsia="仿宋_GB2312" w:cs="仿宋"/>
          <w:sz w:val="24"/>
          <w:szCs w:val="24"/>
        </w:rPr>
        <w:t>具有回路加温功能，无需冷凝器，保证回路不受积水影响，保证流量传感器精准及向病人提供温暖气体，避免对呼吸道的刺激</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5.8 可选配自动CO2旁路功能，在机械通气过程中，更换钠石灰罐无需选择确认，无需关停机械通气，可方便直接更换</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5.9 具备智能回路识别报警系统，当钠石灰罐未安装到位时，机器能智能识别，并报警提示</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6</w:t>
      </w:r>
      <w:r>
        <w:rPr>
          <w:rFonts w:hint="eastAsia" w:ascii="仿宋_GB2312" w:hAnsi="仿宋" w:eastAsia="仿宋_GB2312" w:cs="仿宋"/>
          <w:sz w:val="24"/>
          <w:szCs w:val="24"/>
        </w:rPr>
        <w:t>.</w:t>
      </w:r>
      <w:r>
        <w:rPr>
          <w:rFonts w:ascii="仿宋_GB2312" w:hAnsi="仿宋" w:eastAsia="仿宋_GB2312" w:cs="仿宋"/>
          <w:sz w:val="24"/>
          <w:szCs w:val="24"/>
        </w:rPr>
        <w:t>呼吸机</w:t>
      </w:r>
      <w:r>
        <w:rPr>
          <w:rFonts w:hint="eastAsia" w:ascii="仿宋_GB2312" w:hAnsi="仿宋" w:eastAsia="仿宋_GB2312" w:cs="仿宋"/>
          <w:sz w:val="24"/>
          <w:szCs w:val="24"/>
        </w:rPr>
        <w:t>：</w:t>
      </w:r>
      <w:r>
        <w:rPr>
          <w:rFonts w:ascii="仿宋_GB2312" w:hAnsi="仿宋" w:eastAsia="仿宋_GB2312" w:cs="仿宋"/>
          <w:sz w:val="24"/>
          <w:szCs w:val="24"/>
        </w:rPr>
        <w:t xml:space="preserve"> </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 xml:space="preserve">6.1 </w:t>
      </w:r>
      <w:r>
        <w:rPr>
          <w:rFonts w:hint="eastAsia" w:ascii="仿宋_GB2312" w:hAnsi="仿宋" w:eastAsia="仿宋_GB2312" w:cs="仿宋"/>
          <w:sz w:val="24"/>
          <w:szCs w:val="24"/>
        </w:rPr>
        <w:t>*</w:t>
      </w:r>
      <w:r>
        <w:rPr>
          <w:rFonts w:ascii="仿宋_GB2312" w:hAnsi="仿宋" w:eastAsia="仿宋_GB2312" w:cs="仿宋"/>
          <w:sz w:val="24"/>
          <w:szCs w:val="24"/>
        </w:rPr>
        <w:t>气动电控呼吸机，全中文操作和显示</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 xml:space="preserve">6.2 </w:t>
      </w:r>
      <w:r>
        <w:rPr>
          <w:rFonts w:hint="eastAsia" w:ascii="仿宋_GB2312" w:hAnsi="仿宋" w:eastAsia="仿宋_GB2312" w:cs="仿宋"/>
          <w:sz w:val="24"/>
          <w:szCs w:val="24"/>
        </w:rPr>
        <w:t>*</w:t>
      </w:r>
      <w:r>
        <w:rPr>
          <w:rFonts w:ascii="仿宋_GB2312" w:hAnsi="仿宋" w:eastAsia="仿宋_GB2312" w:cs="仿宋"/>
          <w:sz w:val="24"/>
          <w:szCs w:val="24"/>
        </w:rPr>
        <w:t>提供辅助/控制通气，标配VCV、PCV通气模式，可选配升级SIMV（SIMV-VC、SIMV-PC）、PCV-VG通气模式</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 xml:space="preserve">6.3 潮气量设置范围：20ml-1500ml </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6.4 吸气压力设置范围：PEEP+5～70 cmH2O</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6.5 呼吸频率：4-100 次/分钟</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6.6 吸呼比：4:1到1:8</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6.7 压力限制范围：10到 100 cmH2O</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6.8 电子PEEP，显示屏设置，范围：OFF，3 到 30 cmH2O</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6.9 吸气暂停：OFF，5%-60%</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6.10上升式风箱，可以直接观察病人实际呼吸状态</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6.11 具备吸入端，呼出端双流量传感器，实现动态潮气量实时自动补偿功能，补偿新鲜气体变化、气体压缩、回路顺应性变化以及小的回路泄漏造成的吸入潮气量和设置潮气量的误差</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6.12 可选配肺保护工具：专业PEEP递增法肺复张工具</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7</w:t>
      </w:r>
      <w:r>
        <w:rPr>
          <w:rFonts w:hint="eastAsia" w:ascii="仿宋_GB2312" w:hAnsi="仿宋" w:eastAsia="仿宋_GB2312" w:cs="仿宋"/>
          <w:sz w:val="24"/>
          <w:szCs w:val="24"/>
        </w:rPr>
        <w:t>.</w:t>
      </w:r>
      <w:r>
        <w:rPr>
          <w:rFonts w:ascii="仿宋_GB2312" w:hAnsi="仿宋" w:eastAsia="仿宋_GB2312" w:cs="仿宋"/>
          <w:sz w:val="24"/>
          <w:szCs w:val="24"/>
        </w:rPr>
        <w:t>数字和波形监测</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7.1 具备三级声光报警功能，有独立红黄报警灯显示</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 xml:space="preserve">7.2 </w:t>
      </w:r>
      <w:r>
        <w:rPr>
          <w:rFonts w:hint="eastAsia" w:ascii="仿宋_GB2312" w:hAnsi="仿宋" w:eastAsia="仿宋_GB2312" w:cs="仿宋"/>
          <w:sz w:val="24"/>
          <w:szCs w:val="24"/>
        </w:rPr>
        <w:t>*≥</w:t>
      </w:r>
      <w:r>
        <w:rPr>
          <w:rFonts w:ascii="仿宋_GB2312" w:hAnsi="仿宋" w:eastAsia="仿宋_GB2312" w:cs="仿宋"/>
          <w:sz w:val="24"/>
          <w:szCs w:val="24"/>
        </w:rPr>
        <w:t>15</w:t>
      </w:r>
      <w:r>
        <w:rPr>
          <w:rFonts w:hint="eastAsia" w:ascii="仿宋_GB2312" w:hAnsi="仿宋" w:eastAsia="仿宋_GB2312" w:cs="仿宋"/>
          <w:sz w:val="24"/>
          <w:szCs w:val="24"/>
        </w:rPr>
        <w:t>英</w:t>
      </w:r>
      <w:r>
        <w:rPr>
          <w:rFonts w:ascii="仿宋_GB2312" w:hAnsi="仿宋" w:eastAsia="仿宋_GB2312" w:cs="仿宋"/>
          <w:sz w:val="24"/>
          <w:szCs w:val="24"/>
        </w:rPr>
        <w:t>寸彩色触摸屏，显示屏与主机一体化内嵌式非外挂式设计，可同屏显示</w:t>
      </w:r>
      <w:r>
        <w:rPr>
          <w:rFonts w:hint="eastAsia" w:ascii="仿宋_GB2312" w:hAnsi="仿宋" w:eastAsia="仿宋_GB2312" w:cs="仿宋"/>
          <w:sz w:val="24"/>
          <w:szCs w:val="24"/>
        </w:rPr>
        <w:t>≥</w:t>
      </w:r>
      <w:r>
        <w:rPr>
          <w:rFonts w:ascii="仿宋_GB2312" w:hAnsi="仿宋" w:eastAsia="仿宋_GB2312" w:cs="仿宋"/>
          <w:sz w:val="24"/>
          <w:szCs w:val="24"/>
        </w:rPr>
        <w:t>3通道波形。</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7.3 内置插件槽，可直接热插拔插件</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 xml:space="preserve">7.4 </w:t>
      </w:r>
      <w:r>
        <w:rPr>
          <w:rFonts w:hint="eastAsia" w:ascii="仿宋_GB2312" w:hAnsi="仿宋" w:eastAsia="仿宋_GB2312" w:cs="仿宋"/>
          <w:sz w:val="24"/>
          <w:szCs w:val="24"/>
        </w:rPr>
        <w:t>*</w:t>
      </w:r>
      <w:r>
        <w:rPr>
          <w:rFonts w:ascii="仿宋_GB2312" w:hAnsi="仿宋" w:eastAsia="仿宋_GB2312" w:cs="仿宋"/>
          <w:sz w:val="24"/>
          <w:szCs w:val="24"/>
        </w:rPr>
        <w:t>插件可在监护仪和麻醉机之间通用</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7.5 标配插件：EtCO2监测模块</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7.6 监测参数：呼吸频率、潮气量、分钟通气量、吸呼比、气道压（峰压、平台压、平均压、PEEP）、气道阻力、顺应性；EtCO2监测、呼吸环（P-V，P-F，F-V）监测；可选配氧电池法吸入氧浓度监测</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7.7 同屏幕3通道任意波形显示（压力时间波形，流速时间波形，容量时间波形，可选呼末CO2波形），波形和环图可以同屏显示</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7.8 潮气量监测范围：0 到2500ml</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7.9 分钟通气量监测范围：0L/min 到100L/min</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p>
    <w:p>
      <w:pPr>
        <w:spacing w:line="420" w:lineRule="exact"/>
        <w:jc w:val="center"/>
        <w:rPr>
          <w:b/>
          <w:bCs/>
          <w:sz w:val="36"/>
          <w:szCs w:val="36"/>
        </w:rPr>
      </w:pPr>
      <w:r>
        <w:rPr>
          <w:rFonts w:hint="eastAsia"/>
          <w:b/>
          <w:bCs/>
          <w:sz w:val="36"/>
          <w:szCs w:val="36"/>
        </w:rPr>
        <w:t>01-11  麻醉监护仪（插件模块化监护仪）</w:t>
      </w:r>
    </w:p>
    <w:p>
      <w:pPr>
        <w:widowControl/>
        <w:autoSpaceDE w:val="0"/>
        <w:autoSpaceDN w:val="0"/>
        <w:adjustRightInd w:val="0"/>
        <w:spacing w:after="120" w:line="360" w:lineRule="auto"/>
        <w:jc w:val="left"/>
        <w:rPr>
          <w:rFonts w:ascii="宋体" w:hAnsi="宋体" w:cs="宋体"/>
          <w:b/>
          <w:kern w:val="0"/>
          <w:szCs w:val="21"/>
        </w:rPr>
      </w:pP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1.监护仪结构：</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 模块化插件式床边监护仪，主机、显示屏和插件槽一体化设计，主机插槽数≥4个。</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1.2 *≥12英寸彩色电容触摸屏，分辨率≥128</w:t>
      </w:r>
      <w:r>
        <w:rPr>
          <w:rFonts w:ascii="仿宋_GB2312" w:hAnsi="仿宋" w:eastAsia="仿宋_GB2312" w:cs="仿宋"/>
          <w:sz w:val="24"/>
          <w:szCs w:val="24"/>
        </w:rPr>
        <w:t>0</w:t>
      </w:r>
      <w:r>
        <w:rPr>
          <w:rFonts w:hint="eastAsia" w:ascii="仿宋_GB2312" w:hAnsi="仿宋" w:eastAsia="仿宋_GB2312" w:cs="仿宋"/>
          <w:sz w:val="24"/>
          <w:szCs w:val="24"/>
        </w:rPr>
        <w:t xml:space="preserve"> x</w:t>
      </w:r>
      <w:r>
        <w:rPr>
          <w:rFonts w:ascii="仿宋_GB2312" w:hAnsi="仿宋" w:eastAsia="仿宋_GB2312" w:cs="仿宋"/>
          <w:sz w:val="24"/>
          <w:szCs w:val="24"/>
        </w:rPr>
        <w:t xml:space="preserve"> </w:t>
      </w:r>
      <w:r>
        <w:rPr>
          <w:rFonts w:hint="eastAsia" w:ascii="仿宋_GB2312" w:hAnsi="仿宋" w:eastAsia="仿宋_GB2312" w:cs="仿宋"/>
          <w:sz w:val="24"/>
          <w:szCs w:val="24"/>
        </w:rPr>
        <w:t>80</w:t>
      </w:r>
      <w:r>
        <w:rPr>
          <w:rFonts w:ascii="仿宋_GB2312" w:hAnsi="仿宋" w:eastAsia="仿宋_GB2312" w:cs="仿宋"/>
          <w:sz w:val="24"/>
          <w:szCs w:val="24"/>
        </w:rPr>
        <w:t>0</w:t>
      </w:r>
      <w:r>
        <w:rPr>
          <w:rFonts w:hint="eastAsia" w:ascii="仿宋_GB2312" w:hAnsi="仿宋" w:eastAsia="仿宋_GB2312" w:cs="仿宋"/>
          <w:sz w:val="24"/>
          <w:szCs w:val="24"/>
        </w:rPr>
        <w:t>像素，≥8通道显示，</w:t>
      </w:r>
      <w:r>
        <w:rPr>
          <w:rFonts w:ascii="仿宋_GB2312" w:hAnsi="仿宋" w:eastAsia="仿宋_GB2312" w:cs="仿宋"/>
          <w:sz w:val="24"/>
          <w:szCs w:val="24"/>
        </w:rPr>
        <w:t>显示屏亮度自动调节</w:t>
      </w:r>
      <w:r>
        <w:rPr>
          <w:rFonts w:hint="eastAsia" w:ascii="仿宋_GB2312" w:hAnsi="仿宋" w:eastAsia="仿宋_GB2312" w:cs="仿宋"/>
          <w:sz w:val="24"/>
          <w:szCs w:val="24"/>
        </w:rPr>
        <w:t>。</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1.3 采用无风扇设计。</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1.4 配置内置锂电池，供电时间≥4小时。</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1.5 配置≥4个USB接口，支持连接存储介质、鼠标、键盘、条码扫描枪等USB设备。</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2.监测参数：</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 基本功能模块至少支持心电、呼吸、心率、无创血压、血氧饱和度、脉搏、双通道体温和双通道有创血压的同时监测。</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2.2 *基本功能模块支持升级从监护仪拔出后作为一个独立的监护仪，支持病人的无缝转移，具有显示屏，屏幕尺寸≥5英寸，内置锂电池供电≥4小时，无风扇设计。</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2.3 *具备3/5导心电监测,支持升级12导心电测量，并在监护仪上完成12导静息分析，具备房颤心律失常分析功能，支持≥20种实时心律失常分析。</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2.4 *提供ST段分析功能，支持在专门的窗口中分组显示心脏前壁，下壁和侧壁的ST实时片段和参考片段。</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2.5 监测ST段抬高或者压低，提供ST报警。</w:t>
      </w:r>
      <w:r>
        <w:rPr>
          <w:rFonts w:ascii="仿宋_GB2312" w:hAnsi="仿宋" w:eastAsia="仿宋_GB2312" w:cs="仿宋"/>
          <w:sz w:val="24"/>
          <w:szCs w:val="24"/>
        </w:rPr>
        <w:t>提供单个，或多个ST值报警，并支持相对的报警限设置。</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2.6 具备导联类型自动识别功能，具备智能导联脱落监测功能，导联脱落的情况下仍能保持监护。</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2.8 *</w:t>
      </w:r>
      <w:r>
        <w:rPr>
          <w:rFonts w:ascii="仿宋_GB2312" w:hAnsi="仿宋" w:eastAsia="仿宋_GB2312" w:cs="仿宋"/>
          <w:sz w:val="24"/>
          <w:szCs w:val="24"/>
        </w:rPr>
        <w:t>具有</w:t>
      </w:r>
      <w:r>
        <w:rPr>
          <w:rFonts w:hint="eastAsia" w:ascii="仿宋_GB2312" w:hAnsi="仿宋" w:eastAsia="仿宋_GB2312" w:cs="仿宋"/>
          <w:sz w:val="24"/>
          <w:szCs w:val="24"/>
        </w:rPr>
        <w:t>QT/QTc测量功能，提供QT，QTc和ΔQTc参数值。</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 xml:space="preserve">2.9 </w:t>
      </w:r>
      <w:r>
        <w:rPr>
          <w:rFonts w:ascii="仿宋_GB2312" w:hAnsi="仿宋" w:eastAsia="仿宋_GB2312" w:cs="仿宋"/>
          <w:sz w:val="24"/>
          <w:szCs w:val="24"/>
        </w:rPr>
        <w:t>提供QT和QTc模板显示。</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2.10 无创血压至少</w:t>
      </w:r>
      <w:r>
        <w:rPr>
          <w:rFonts w:ascii="仿宋_GB2312" w:hAnsi="仿宋" w:eastAsia="仿宋_GB2312" w:cs="仿宋"/>
          <w:sz w:val="24"/>
          <w:szCs w:val="24"/>
        </w:rPr>
        <w:t>提供手动、自动间隔、连续</w:t>
      </w:r>
      <w:r>
        <w:rPr>
          <w:rFonts w:hint="eastAsia" w:ascii="仿宋_GB2312" w:hAnsi="仿宋" w:eastAsia="仿宋_GB2312" w:cs="仿宋"/>
          <w:sz w:val="24"/>
          <w:szCs w:val="24"/>
        </w:rPr>
        <w:t>、</w:t>
      </w:r>
      <w:r>
        <w:rPr>
          <w:rFonts w:ascii="仿宋_GB2312" w:hAnsi="仿宋" w:eastAsia="仿宋_GB2312" w:cs="仿宋"/>
          <w:sz w:val="24"/>
          <w:szCs w:val="24"/>
        </w:rPr>
        <w:t>序列</w:t>
      </w:r>
      <w:r>
        <w:rPr>
          <w:rFonts w:hint="eastAsia" w:ascii="仿宋_GB2312" w:hAnsi="仿宋" w:eastAsia="仿宋_GB2312" w:cs="仿宋"/>
          <w:sz w:val="24"/>
          <w:szCs w:val="24"/>
        </w:rPr>
        <w:t>四</w:t>
      </w:r>
      <w:r>
        <w:rPr>
          <w:rFonts w:ascii="仿宋_GB2312" w:hAnsi="仿宋" w:eastAsia="仿宋_GB2312" w:cs="仿宋"/>
          <w:sz w:val="24"/>
          <w:szCs w:val="24"/>
        </w:rPr>
        <w:t>种测量模式</w:t>
      </w:r>
      <w:r>
        <w:rPr>
          <w:rFonts w:hint="eastAsia" w:ascii="仿宋_GB2312" w:hAnsi="仿宋" w:eastAsia="仿宋_GB2312" w:cs="仿宋"/>
          <w:sz w:val="24"/>
          <w:szCs w:val="24"/>
        </w:rPr>
        <w:t>。</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2.11 提供血氧监测提供灌注指数（PI）的监测。</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2.12 配置指套式血氧探头，支持浸泡清洁与消毒，防水等级≥IPx7。</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2.13 具备双通道有创压IBP监测，支持升级多达8通道有创压监测。</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2.14 提供肺动脉锲压（PAWP）的监测和PPV参数监测</w:t>
      </w:r>
      <w:r>
        <w:rPr>
          <w:rFonts w:ascii="仿宋_GB2312" w:hAnsi="仿宋" w:eastAsia="仿宋_GB2312" w:cs="仿宋"/>
          <w:sz w:val="24"/>
          <w:szCs w:val="24"/>
        </w:rPr>
        <w:t xml:space="preserve"> </w:t>
      </w:r>
      <w:r>
        <w:rPr>
          <w:rFonts w:hint="eastAsia" w:ascii="仿宋_GB2312" w:hAnsi="仿宋" w:eastAsia="仿宋_GB2312" w:cs="仿宋"/>
          <w:sz w:val="24"/>
          <w:szCs w:val="24"/>
        </w:rPr>
        <w:t>。</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2.15 具备≥4道IBP波形叠加显示。</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2.16 *支持EtCO2监测模块，采用旁流技术，支持升级顺磁氧监测技术进行O2监测，水槽要求易用快速更换。</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2.17 CO2波形至少提供填充和线条两种方式显示。</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2.18 CO2波形最小走速为≤3mm/s,满足同屏查看更多呼吸周期。</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2.19 支持升级麻醉深度BISx4监测模块或者单机，提供不少于4通道EEG，双频指数（</w:t>
      </w:r>
      <w:r>
        <w:rPr>
          <w:rFonts w:ascii="仿宋_GB2312" w:hAnsi="仿宋" w:eastAsia="仿宋_GB2312" w:cs="仿宋"/>
          <w:sz w:val="24"/>
          <w:szCs w:val="24"/>
        </w:rPr>
        <w:t>BIS</w:t>
      </w:r>
      <w:r>
        <w:rPr>
          <w:rFonts w:hint="eastAsia" w:ascii="仿宋_GB2312" w:hAnsi="仿宋" w:eastAsia="仿宋_GB2312" w:cs="仿宋"/>
          <w:sz w:val="24"/>
          <w:szCs w:val="24"/>
        </w:rPr>
        <w:t>），肌电活动（</w:t>
      </w:r>
      <w:r>
        <w:rPr>
          <w:rFonts w:ascii="仿宋_GB2312" w:hAnsi="仿宋" w:eastAsia="仿宋_GB2312" w:cs="仿宋"/>
          <w:sz w:val="24"/>
          <w:szCs w:val="24"/>
        </w:rPr>
        <w:t>EMG</w:t>
      </w:r>
      <w:r>
        <w:rPr>
          <w:rFonts w:hint="eastAsia" w:ascii="仿宋_GB2312" w:hAnsi="仿宋" w:eastAsia="仿宋_GB2312" w:cs="仿宋"/>
          <w:sz w:val="24"/>
          <w:szCs w:val="24"/>
        </w:rPr>
        <w:t>）,抑制比（SR），频谱边缘频率（SEF）等参数的监测。</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2.20 提供功率谱密度（</w:t>
      </w:r>
      <w:r>
        <w:rPr>
          <w:rFonts w:ascii="仿宋_GB2312" w:hAnsi="仿宋" w:eastAsia="仿宋_GB2312" w:cs="仿宋"/>
          <w:sz w:val="24"/>
          <w:szCs w:val="24"/>
        </w:rPr>
        <w:t>DSA</w:t>
      </w:r>
      <w:r>
        <w:rPr>
          <w:rFonts w:hint="eastAsia" w:ascii="仿宋_GB2312" w:hAnsi="仿宋" w:eastAsia="仿宋_GB2312" w:cs="仿宋"/>
          <w:sz w:val="24"/>
          <w:szCs w:val="24"/>
        </w:rPr>
        <w:t>）显示界面，可以直观地显示一段时间内的双侧功率谱分布变化的情况。</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2.21 *支持升级血流动力学PiCCO监测模块或者单机，</w:t>
      </w:r>
      <w:r>
        <w:rPr>
          <w:rFonts w:ascii="仿宋_GB2312" w:hAnsi="仿宋" w:eastAsia="仿宋_GB2312" w:cs="仿宋"/>
          <w:sz w:val="24"/>
          <w:szCs w:val="24"/>
        </w:rPr>
        <w:t>采用Pulsion PiCCO技术</w:t>
      </w:r>
      <w:r>
        <w:rPr>
          <w:rFonts w:hint="eastAsia" w:ascii="仿宋_GB2312" w:hAnsi="仿宋" w:eastAsia="仿宋_GB2312" w:cs="仿宋"/>
          <w:sz w:val="24"/>
          <w:szCs w:val="24"/>
        </w:rPr>
        <w:t>股动脉和中心静脉常规穿刺实现微创CCO等血液动力学监测参数，并提供蛛网图。</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2.22 支持升级中心静脉血氧饱和度ScvO2监测，监测组织氧供和氧耗情况。</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2.23 支持升级RM呼吸力学监测，监测参数至少包括FEV1.0，RSBI，WOB等17种参数。</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2.24 当同时监测RM和主流CO2参数时，提供扩展参数，包括容积CO2（VCO2）参数、通气参数和死腔参数，并提供容积CO2曲线。</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2.25 当同时监测RM和AG参数，并配备有O2监测时，提供扩展参数，包括容积CO2，RQ和EE参数。</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2.26 支持升级NMT肌松监测模块。</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2.27 支持升级EEG脑电监测模块，支持进行4通道脑电的监测。</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2.28 支持升级rSO2组织氧饱和度模块，适用于成人，小儿和新生儿。</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2.29 支持升级与主流呼吸机品牌的呼吸机相连，实现呼吸机设备的信息在监护仪上显示、存储、记录、打印或者用于参与计算。</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3.系统功能：</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 xml:space="preserve">3.1 </w:t>
      </w:r>
      <w:r>
        <w:rPr>
          <w:rFonts w:ascii="仿宋_GB2312" w:hAnsi="仿宋" w:eastAsia="仿宋_GB2312" w:cs="仿宋"/>
          <w:sz w:val="24"/>
          <w:szCs w:val="24"/>
        </w:rPr>
        <w:t>大字体界面</w:t>
      </w:r>
      <w:r>
        <w:rPr>
          <w:rFonts w:hint="eastAsia" w:ascii="仿宋_GB2312" w:hAnsi="仿宋" w:eastAsia="仿宋_GB2312" w:cs="仿宋"/>
          <w:sz w:val="24"/>
          <w:szCs w:val="24"/>
        </w:rPr>
        <w:t>至少</w:t>
      </w:r>
      <w:r>
        <w:rPr>
          <w:rFonts w:ascii="仿宋_GB2312" w:hAnsi="仿宋" w:eastAsia="仿宋_GB2312" w:cs="仿宋"/>
          <w:sz w:val="24"/>
          <w:szCs w:val="24"/>
        </w:rPr>
        <w:t>支持</w:t>
      </w:r>
      <w:r>
        <w:rPr>
          <w:rFonts w:hint="eastAsia" w:ascii="仿宋_GB2312" w:hAnsi="仿宋" w:eastAsia="仿宋_GB2312" w:cs="仿宋"/>
          <w:sz w:val="24"/>
          <w:szCs w:val="24"/>
        </w:rPr>
        <w:t>6个参数区的设置和显示。</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 xml:space="preserve">3.2 </w:t>
      </w:r>
      <w:r>
        <w:rPr>
          <w:rFonts w:ascii="仿宋_GB2312" w:hAnsi="仿宋" w:eastAsia="仿宋_GB2312" w:cs="仿宋"/>
          <w:sz w:val="24"/>
          <w:szCs w:val="24"/>
        </w:rPr>
        <w:t>具有图形化报警指示功能</w:t>
      </w:r>
      <w:r>
        <w:rPr>
          <w:rFonts w:hint="eastAsia" w:ascii="仿宋_GB2312" w:hAnsi="仿宋" w:eastAsia="仿宋_GB2312" w:cs="仿宋"/>
          <w:sz w:val="24"/>
          <w:szCs w:val="24"/>
        </w:rPr>
        <w:t>。</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 xml:space="preserve">3.3 </w:t>
      </w:r>
      <w:r>
        <w:rPr>
          <w:rFonts w:ascii="仿宋_GB2312" w:hAnsi="仿宋" w:eastAsia="仿宋_GB2312" w:cs="仿宋"/>
          <w:sz w:val="24"/>
          <w:szCs w:val="24"/>
        </w:rPr>
        <w:t>所有参数报警限自动设置</w:t>
      </w:r>
      <w:r>
        <w:rPr>
          <w:rFonts w:hint="eastAsia" w:ascii="仿宋_GB2312" w:hAnsi="仿宋" w:eastAsia="仿宋_GB2312" w:cs="仿宋"/>
          <w:sz w:val="24"/>
          <w:szCs w:val="24"/>
        </w:rPr>
        <w:t>。</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 xml:space="preserve">3.4 </w:t>
      </w:r>
      <w:r>
        <w:rPr>
          <w:rFonts w:ascii="仿宋_GB2312" w:hAnsi="仿宋" w:eastAsia="仿宋_GB2312" w:cs="仿宋"/>
          <w:sz w:val="24"/>
          <w:szCs w:val="24"/>
        </w:rPr>
        <w:t>能够设置护理组，一个护理组能够设置6-12</w:t>
      </w:r>
      <w:r>
        <w:rPr>
          <w:rFonts w:hint="eastAsia" w:ascii="仿宋_GB2312" w:hAnsi="仿宋" w:eastAsia="仿宋_GB2312" w:cs="仿宋"/>
          <w:sz w:val="24"/>
          <w:szCs w:val="24"/>
        </w:rPr>
        <w:t>个病人。这些病人之间能够互相进行它床观察。</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3.5 具备血液动力学，药物计算，氧合计算，通气计算和肾功能计算功能。</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3.6 至少具备</w:t>
      </w:r>
      <w:r>
        <w:rPr>
          <w:rFonts w:ascii="仿宋_GB2312" w:hAnsi="仿宋" w:eastAsia="仿宋_GB2312" w:cs="仿宋"/>
          <w:sz w:val="24"/>
          <w:szCs w:val="24"/>
        </w:rPr>
        <w:t>40</w:t>
      </w:r>
      <w:r>
        <w:rPr>
          <w:rFonts w:hint="eastAsia" w:ascii="仿宋_GB2312" w:hAnsi="仿宋" w:eastAsia="仿宋_GB2312" w:cs="仿宋"/>
          <w:sz w:val="24"/>
          <w:szCs w:val="24"/>
        </w:rPr>
        <w:t>个</w:t>
      </w:r>
      <w:r>
        <w:rPr>
          <w:rFonts w:ascii="仿宋_GB2312" w:hAnsi="仿宋" w:eastAsia="仿宋_GB2312" w:cs="仿宋"/>
          <w:sz w:val="24"/>
          <w:szCs w:val="24"/>
        </w:rPr>
        <w:t>及以上</w:t>
      </w:r>
      <w:r>
        <w:rPr>
          <w:rFonts w:hint="eastAsia" w:ascii="仿宋_GB2312" w:hAnsi="仿宋" w:eastAsia="仿宋_GB2312" w:cs="仿宋"/>
          <w:sz w:val="24"/>
          <w:szCs w:val="24"/>
        </w:rPr>
        <w:t>参数的≥120小时（分辨率1分钟）趋势表、趋势图回顾，≥4小时（分辨率≤5秒）趋势表、趋势图回顾。</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3.7 ≥</w:t>
      </w:r>
      <w:r>
        <w:rPr>
          <w:rFonts w:ascii="仿宋_GB2312" w:hAnsi="仿宋" w:eastAsia="仿宋_GB2312" w:cs="仿宋"/>
          <w:sz w:val="24"/>
          <w:szCs w:val="24"/>
        </w:rPr>
        <w:t>1000条事件回顾。每条报警事件能够存储</w:t>
      </w:r>
      <w:r>
        <w:rPr>
          <w:rFonts w:hint="eastAsia" w:ascii="仿宋_GB2312" w:hAnsi="仿宋" w:eastAsia="仿宋_GB2312" w:cs="仿宋"/>
          <w:sz w:val="24"/>
          <w:szCs w:val="24"/>
        </w:rPr>
        <w:t>≥32秒三道相关波形，以及报警触发时所有测量参数值。</w:t>
      </w:r>
    </w:p>
    <w:p>
      <w:pPr>
        <w:tabs>
          <w:tab w:val="left" w:pos="420"/>
        </w:tabs>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 xml:space="preserve">3.8 </w:t>
      </w:r>
      <w:r>
        <w:rPr>
          <w:rFonts w:ascii="仿宋_GB2312" w:hAnsi="仿宋" w:eastAsia="仿宋_GB2312" w:cs="仿宋"/>
          <w:sz w:val="24"/>
          <w:szCs w:val="24"/>
        </w:rPr>
        <w:t>事件回顾时能够提供报警事件列表。能够根据时间、报警优先级、报警类型和参数组对事件进行筛选。</w:t>
      </w:r>
    </w:p>
    <w:p>
      <w:pPr>
        <w:ind w:firstLine="480" w:firstLineChars="200"/>
        <w:jc w:val="left"/>
        <w:rPr>
          <w:rFonts w:ascii="方正小标宋简体" w:eastAsia="方正小标宋简体"/>
          <w:b/>
          <w:sz w:val="36"/>
          <w:szCs w:val="44"/>
        </w:rPr>
      </w:pPr>
      <w:r>
        <w:rPr>
          <w:rFonts w:hint="eastAsia" w:ascii="仿宋_GB2312" w:hAnsi="仿宋" w:eastAsia="仿宋_GB2312" w:cs="仿宋"/>
          <w:sz w:val="24"/>
          <w:szCs w:val="24"/>
        </w:rPr>
        <w:t>3.9 ≥120小时（分辨率≤5分钟）ST模板回顾。</w:t>
      </w:r>
    </w:p>
    <w:p>
      <w:pPr>
        <w:pStyle w:val="2"/>
        <w:rPr>
          <w:rFonts w:ascii="方正小标宋简体" w:eastAsia="方正小标宋简体"/>
          <w:b/>
          <w:sz w:val="36"/>
          <w:szCs w:val="44"/>
        </w:rPr>
      </w:pPr>
    </w:p>
    <w:p/>
    <w:p>
      <w:pPr>
        <w:jc w:val="left"/>
        <w:rPr>
          <w:rFonts w:ascii="方正小标宋简体" w:eastAsia="方正小标宋简体"/>
          <w:b/>
          <w:sz w:val="28"/>
          <w:szCs w:val="28"/>
        </w:rPr>
      </w:pPr>
      <w:r>
        <w:rPr>
          <w:rFonts w:hint="eastAsia" w:ascii="方正小标宋简体" w:eastAsia="方正小标宋简体"/>
          <w:b/>
          <w:sz w:val="28"/>
          <w:szCs w:val="28"/>
        </w:rPr>
        <w:t>包2</w:t>
      </w:r>
    </w:p>
    <w:tbl>
      <w:tblPr>
        <w:tblStyle w:val="47"/>
        <w:tblW w:w="8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3193"/>
        <w:gridCol w:w="1078"/>
        <w:gridCol w:w="736"/>
        <w:gridCol w:w="3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序号</w:t>
            </w:r>
          </w:p>
        </w:tc>
        <w:tc>
          <w:tcPr>
            <w:tcW w:w="3193"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设备名称</w:t>
            </w:r>
          </w:p>
        </w:tc>
        <w:tc>
          <w:tcPr>
            <w:tcW w:w="107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数量</w:t>
            </w:r>
          </w:p>
        </w:tc>
        <w:tc>
          <w:tcPr>
            <w:tcW w:w="736"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单位</w:t>
            </w:r>
          </w:p>
        </w:tc>
        <w:tc>
          <w:tcPr>
            <w:tcW w:w="3355"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1</w:t>
            </w:r>
          </w:p>
        </w:tc>
        <w:tc>
          <w:tcPr>
            <w:tcW w:w="3193" w:type="dxa"/>
            <w:shd w:val="clear" w:color="auto" w:fill="auto"/>
          </w:tcPr>
          <w:p>
            <w:pPr>
              <w:spacing w:line="360" w:lineRule="auto"/>
              <w:jc w:val="left"/>
              <w:rPr>
                <w:rFonts w:ascii="仿宋_GB2312" w:eastAsia="仿宋_GB2312"/>
                <w:sz w:val="24"/>
                <w:szCs w:val="24"/>
              </w:rPr>
            </w:pPr>
            <w:r>
              <w:rPr>
                <w:rFonts w:hint="eastAsia" w:ascii="仿宋_GB2312" w:eastAsia="仿宋_GB2312"/>
                <w:sz w:val="24"/>
                <w:szCs w:val="24"/>
              </w:rPr>
              <w:t>经颅多普勒超声诊断仪</w:t>
            </w:r>
          </w:p>
        </w:tc>
        <w:tc>
          <w:tcPr>
            <w:tcW w:w="1078"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1</w:t>
            </w:r>
          </w:p>
        </w:tc>
        <w:tc>
          <w:tcPr>
            <w:tcW w:w="736"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台</w:t>
            </w:r>
          </w:p>
        </w:tc>
        <w:tc>
          <w:tcPr>
            <w:tcW w:w="3355" w:type="dxa"/>
            <w:shd w:val="clear" w:color="auto" w:fill="auto"/>
          </w:tcPr>
          <w:p>
            <w:pPr>
              <w:spacing w:line="360" w:lineRule="auto"/>
              <w:rPr>
                <w:rFonts w:ascii="仿宋_GB2312" w:eastAsia="仿宋_GB2312"/>
                <w:sz w:val="24"/>
                <w:szCs w:val="24"/>
              </w:rPr>
            </w:pPr>
            <w:r>
              <w:rPr>
                <w:rFonts w:hint="eastAsia" w:ascii="仿宋_GB2312" w:eastAsia="仿宋_GB2312"/>
                <w:sz w:val="24"/>
                <w:szCs w:val="24"/>
              </w:rPr>
              <w:t>超声科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2</w:t>
            </w:r>
          </w:p>
        </w:tc>
        <w:tc>
          <w:tcPr>
            <w:tcW w:w="3193" w:type="dxa"/>
            <w:shd w:val="clear" w:color="auto" w:fill="auto"/>
          </w:tcPr>
          <w:p>
            <w:pPr>
              <w:spacing w:line="420" w:lineRule="exact"/>
              <w:jc w:val="left"/>
              <w:rPr>
                <w:rFonts w:ascii="仿宋_GB2312" w:eastAsia="仿宋_GB2312"/>
                <w:sz w:val="24"/>
                <w:szCs w:val="24"/>
              </w:rPr>
            </w:pPr>
            <w:r>
              <w:rPr>
                <w:rFonts w:hint="eastAsia" w:ascii="仿宋_GB2312" w:eastAsia="仿宋_GB2312"/>
                <w:sz w:val="24"/>
                <w:szCs w:val="24"/>
              </w:rPr>
              <w:t>输液泵</w:t>
            </w:r>
          </w:p>
        </w:tc>
        <w:tc>
          <w:tcPr>
            <w:tcW w:w="1078"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1</w:t>
            </w:r>
          </w:p>
        </w:tc>
        <w:tc>
          <w:tcPr>
            <w:tcW w:w="736"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台</w:t>
            </w:r>
          </w:p>
        </w:tc>
        <w:tc>
          <w:tcPr>
            <w:tcW w:w="3355" w:type="dxa"/>
            <w:shd w:val="clear" w:color="auto" w:fill="auto"/>
          </w:tcPr>
          <w:p>
            <w:pPr>
              <w:spacing w:line="420" w:lineRule="exact"/>
              <w:rPr>
                <w:rFonts w:ascii="仿宋_GB2312" w:eastAsia="仿宋_GB2312"/>
                <w:sz w:val="24"/>
                <w:szCs w:val="24"/>
              </w:rPr>
            </w:pPr>
            <w:r>
              <w:rPr>
                <w:rFonts w:hint="eastAsia" w:ascii="仿宋_GB2312" w:eastAsia="仿宋_GB2312"/>
                <w:sz w:val="24"/>
                <w:szCs w:val="24"/>
              </w:rPr>
              <w:t>心脑科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3</w:t>
            </w:r>
          </w:p>
        </w:tc>
        <w:tc>
          <w:tcPr>
            <w:tcW w:w="3193" w:type="dxa"/>
            <w:shd w:val="clear" w:color="auto" w:fill="auto"/>
          </w:tcPr>
          <w:p>
            <w:pPr>
              <w:spacing w:line="420" w:lineRule="exact"/>
              <w:jc w:val="left"/>
              <w:rPr>
                <w:rFonts w:ascii="仿宋_GB2312" w:eastAsia="仿宋_GB2312"/>
                <w:sz w:val="24"/>
                <w:szCs w:val="24"/>
              </w:rPr>
            </w:pPr>
            <w:r>
              <w:rPr>
                <w:rFonts w:hint="eastAsia" w:ascii="仿宋_GB2312" w:eastAsia="仿宋_GB2312"/>
                <w:sz w:val="24"/>
                <w:szCs w:val="24"/>
              </w:rPr>
              <w:t>治疗台</w:t>
            </w:r>
          </w:p>
        </w:tc>
        <w:tc>
          <w:tcPr>
            <w:tcW w:w="1078"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6</w:t>
            </w:r>
          </w:p>
        </w:tc>
        <w:tc>
          <w:tcPr>
            <w:tcW w:w="736"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组</w:t>
            </w:r>
          </w:p>
        </w:tc>
        <w:tc>
          <w:tcPr>
            <w:tcW w:w="3355" w:type="dxa"/>
            <w:shd w:val="clear" w:color="auto" w:fill="auto"/>
          </w:tcPr>
          <w:p>
            <w:pPr>
              <w:spacing w:line="300" w:lineRule="exact"/>
              <w:rPr>
                <w:rFonts w:ascii="仿宋_GB2312" w:eastAsia="仿宋_GB2312"/>
                <w:sz w:val="24"/>
                <w:szCs w:val="24"/>
              </w:rPr>
            </w:pPr>
            <w:r>
              <w:rPr>
                <w:rFonts w:hint="eastAsia" w:ascii="仿宋_GB2312" w:eastAsia="仿宋_GB2312"/>
                <w:sz w:val="24"/>
                <w:szCs w:val="24"/>
              </w:rPr>
              <w:t>肺病科、心病科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4</w:t>
            </w:r>
          </w:p>
        </w:tc>
        <w:tc>
          <w:tcPr>
            <w:tcW w:w="3193" w:type="dxa"/>
            <w:shd w:val="clear" w:color="auto" w:fill="auto"/>
          </w:tcPr>
          <w:p>
            <w:pPr>
              <w:spacing w:line="420" w:lineRule="exact"/>
              <w:jc w:val="left"/>
              <w:rPr>
                <w:rFonts w:ascii="仿宋_GB2312" w:eastAsia="仿宋_GB2312"/>
                <w:sz w:val="24"/>
                <w:szCs w:val="24"/>
              </w:rPr>
            </w:pPr>
            <w:r>
              <w:rPr>
                <w:rFonts w:hint="eastAsia" w:ascii="仿宋_GB2312" w:eastAsia="仿宋_GB2312"/>
                <w:sz w:val="24"/>
                <w:szCs w:val="24"/>
              </w:rPr>
              <w:t>动态多参数遥测监护仪</w:t>
            </w:r>
          </w:p>
        </w:tc>
        <w:tc>
          <w:tcPr>
            <w:tcW w:w="1078"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8</w:t>
            </w:r>
          </w:p>
        </w:tc>
        <w:tc>
          <w:tcPr>
            <w:tcW w:w="736"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台</w:t>
            </w:r>
          </w:p>
        </w:tc>
        <w:tc>
          <w:tcPr>
            <w:tcW w:w="3355" w:type="dxa"/>
            <w:shd w:val="clear" w:color="auto" w:fill="auto"/>
          </w:tcPr>
          <w:p>
            <w:pPr>
              <w:spacing w:line="420" w:lineRule="exact"/>
              <w:rPr>
                <w:rFonts w:ascii="仿宋_GB2312" w:eastAsia="仿宋_GB2312"/>
                <w:sz w:val="24"/>
                <w:szCs w:val="24"/>
              </w:rPr>
            </w:pPr>
            <w:r>
              <w:rPr>
                <w:rFonts w:hint="eastAsia" w:ascii="仿宋_GB2312" w:eastAsia="仿宋_GB2312"/>
                <w:sz w:val="24"/>
                <w:szCs w:val="24"/>
              </w:rPr>
              <w:t>肺病科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5</w:t>
            </w:r>
          </w:p>
        </w:tc>
        <w:tc>
          <w:tcPr>
            <w:tcW w:w="3193" w:type="dxa"/>
            <w:shd w:val="clear" w:color="auto" w:fill="auto"/>
          </w:tcPr>
          <w:p>
            <w:pPr>
              <w:spacing w:line="420" w:lineRule="exact"/>
              <w:jc w:val="left"/>
              <w:rPr>
                <w:rFonts w:ascii="仿宋_GB2312" w:eastAsia="仿宋_GB2312"/>
                <w:sz w:val="24"/>
                <w:szCs w:val="24"/>
              </w:rPr>
            </w:pPr>
            <w:r>
              <w:rPr>
                <w:rFonts w:hint="eastAsia" w:ascii="仿宋_GB2312" w:eastAsia="仿宋_GB2312"/>
                <w:sz w:val="24"/>
                <w:szCs w:val="24"/>
              </w:rPr>
              <w:t>母婴监护仪</w:t>
            </w:r>
          </w:p>
        </w:tc>
        <w:tc>
          <w:tcPr>
            <w:tcW w:w="1078"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1</w:t>
            </w:r>
          </w:p>
        </w:tc>
        <w:tc>
          <w:tcPr>
            <w:tcW w:w="736"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台</w:t>
            </w:r>
          </w:p>
        </w:tc>
        <w:tc>
          <w:tcPr>
            <w:tcW w:w="3355" w:type="dxa"/>
            <w:shd w:val="clear" w:color="auto" w:fill="auto"/>
          </w:tcPr>
          <w:p>
            <w:pPr>
              <w:spacing w:line="420" w:lineRule="exact"/>
              <w:rPr>
                <w:rFonts w:ascii="仿宋_GB2312" w:eastAsia="仿宋_GB2312"/>
                <w:sz w:val="24"/>
                <w:szCs w:val="24"/>
              </w:rPr>
            </w:pPr>
            <w:r>
              <w:rPr>
                <w:rFonts w:hint="eastAsia" w:ascii="仿宋_GB2312" w:eastAsia="仿宋_GB2312"/>
                <w:sz w:val="24"/>
                <w:szCs w:val="24"/>
              </w:rPr>
              <w:t>妇产科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6</w:t>
            </w:r>
          </w:p>
        </w:tc>
        <w:tc>
          <w:tcPr>
            <w:tcW w:w="3193" w:type="dxa"/>
            <w:shd w:val="clear" w:color="auto" w:fill="auto"/>
          </w:tcPr>
          <w:p>
            <w:pPr>
              <w:spacing w:line="420" w:lineRule="exact"/>
              <w:jc w:val="left"/>
              <w:rPr>
                <w:rFonts w:ascii="仿宋_GB2312" w:eastAsia="仿宋_GB2312"/>
                <w:sz w:val="24"/>
                <w:szCs w:val="24"/>
              </w:rPr>
            </w:pPr>
            <w:r>
              <w:rPr>
                <w:rFonts w:hint="eastAsia" w:ascii="仿宋_GB2312" w:eastAsia="仿宋_GB2312"/>
                <w:sz w:val="24"/>
                <w:szCs w:val="24"/>
              </w:rPr>
              <w:t>移动式空气消毒机</w:t>
            </w:r>
          </w:p>
        </w:tc>
        <w:tc>
          <w:tcPr>
            <w:tcW w:w="1078"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22</w:t>
            </w:r>
          </w:p>
        </w:tc>
        <w:tc>
          <w:tcPr>
            <w:tcW w:w="736"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台</w:t>
            </w:r>
          </w:p>
        </w:tc>
        <w:tc>
          <w:tcPr>
            <w:tcW w:w="3355" w:type="dxa"/>
            <w:shd w:val="clear" w:color="auto" w:fill="auto"/>
          </w:tcPr>
          <w:p>
            <w:pPr>
              <w:spacing w:line="420" w:lineRule="exact"/>
              <w:rPr>
                <w:rFonts w:ascii="仿宋_GB2312" w:eastAsia="仿宋_GB2312"/>
                <w:sz w:val="24"/>
                <w:szCs w:val="24"/>
              </w:rPr>
            </w:pPr>
            <w:r>
              <w:rPr>
                <w:rFonts w:hint="eastAsia" w:ascii="仿宋_GB2312" w:eastAsia="仿宋_GB2312"/>
                <w:sz w:val="24"/>
                <w:szCs w:val="24"/>
              </w:rPr>
              <w:t>医装部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7</w:t>
            </w:r>
          </w:p>
        </w:tc>
        <w:tc>
          <w:tcPr>
            <w:tcW w:w="3193" w:type="dxa"/>
            <w:shd w:val="clear" w:color="auto" w:fill="auto"/>
          </w:tcPr>
          <w:p>
            <w:pPr>
              <w:spacing w:line="420" w:lineRule="exact"/>
              <w:jc w:val="left"/>
              <w:rPr>
                <w:rFonts w:ascii="仿宋_GB2312" w:eastAsia="仿宋_GB2312"/>
                <w:sz w:val="24"/>
                <w:szCs w:val="24"/>
              </w:rPr>
            </w:pPr>
            <w:r>
              <w:rPr>
                <w:rFonts w:hint="eastAsia" w:ascii="仿宋_GB2312" w:eastAsia="仿宋_GB2312"/>
                <w:sz w:val="24"/>
                <w:szCs w:val="24"/>
              </w:rPr>
              <w:t>心电监护仪</w:t>
            </w:r>
          </w:p>
        </w:tc>
        <w:tc>
          <w:tcPr>
            <w:tcW w:w="1078"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1</w:t>
            </w:r>
          </w:p>
        </w:tc>
        <w:tc>
          <w:tcPr>
            <w:tcW w:w="736"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台</w:t>
            </w:r>
          </w:p>
        </w:tc>
        <w:tc>
          <w:tcPr>
            <w:tcW w:w="3355" w:type="dxa"/>
            <w:shd w:val="clear" w:color="auto" w:fill="auto"/>
          </w:tcPr>
          <w:p>
            <w:pPr>
              <w:spacing w:line="420" w:lineRule="exact"/>
              <w:rPr>
                <w:rFonts w:ascii="仿宋_GB2312" w:eastAsia="仿宋_GB2312"/>
                <w:sz w:val="24"/>
                <w:szCs w:val="24"/>
              </w:rPr>
            </w:pPr>
            <w:r>
              <w:rPr>
                <w:rFonts w:hint="eastAsia" w:ascii="仿宋_GB2312" w:eastAsia="仿宋_GB2312"/>
                <w:sz w:val="24"/>
                <w:szCs w:val="24"/>
              </w:rPr>
              <w:t>肛肠科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8</w:t>
            </w:r>
          </w:p>
        </w:tc>
        <w:tc>
          <w:tcPr>
            <w:tcW w:w="3193" w:type="dxa"/>
            <w:shd w:val="clear" w:color="auto" w:fill="auto"/>
          </w:tcPr>
          <w:p>
            <w:pPr>
              <w:spacing w:line="420" w:lineRule="exact"/>
              <w:jc w:val="left"/>
              <w:rPr>
                <w:rFonts w:ascii="仿宋_GB2312" w:eastAsia="仿宋_GB2312"/>
                <w:sz w:val="24"/>
                <w:szCs w:val="24"/>
              </w:rPr>
            </w:pPr>
            <w:r>
              <w:rPr>
                <w:rFonts w:hint="eastAsia" w:ascii="仿宋_GB2312" w:eastAsia="仿宋_GB2312"/>
                <w:sz w:val="24"/>
                <w:szCs w:val="24"/>
              </w:rPr>
              <w:t>心电监护仪</w:t>
            </w:r>
          </w:p>
        </w:tc>
        <w:tc>
          <w:tcPr>
            <w:tcW w:w="1078"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4</w:t>
            </w:r>
          </w:p>
        </w:tc>
        <w:tc>
          <w:tcPr>
            <w:tcW w:w="736"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台</w:t>
            </w:r>
          </w:p>
        </w:tc>
        <w:tc>
          <w:tcPr>
            <w:tcW w:w="3355" w:type="dxa"/>
            <w:shd w:val="clear" w:color="auto" w:fill="auto"/>
          </w:tcPr>
          <w:p>
            <w:pPr>
              <w:spacing w:line="420" w:lineRule="exact"/>
              <w:rPr>
                <w:rFonts w:ascii="仿宋_GB2312" w:eastAsia="仿宋_GB2312"/>
                <w:sz w:val="24"/>
                <w:szCs w:val="24"/>
              </w:rPr>
            </w:pPr>
            <w:r>
              <w:rPr>
                <w:rFonts w:hint="eastAsia" w:ascii="仿宋_GB2312" w:eastAsia="仿宋_GB2312"/>
                <w:sz w:val="24"/>
                <w:szCs w:val="24"/>
              </w:rPr>
              <w:t>急诊科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9</w:t>
            </w:r>
          </w:p>
        </w:tc>
        <w:tc>
          <w:tcPr>
            <w:tcW w:w="3193" w:type="dxa"/>
            <w:shd w:val="clear" w:color="auto" w:fill="auto"/>
          </w:tcPr>
          <w:p>
            <w:pPr>
              <w:spacing w:line="420" w:lineRule="exact"/>
              <w:jc w:val="left"/>
              <w:rPr>
                <w:rFonts w:ascii="仿宋_GB2312" w:eastAsia="仿宋_GB2312"/>
                <w:sz w:val="24"/>
                <w:szCs w:val="24"/>
              </w:rPr>
            </w:pPr>
            <w:r>
              <w:rPr>
                <w:rFonts w:hint="eastAsia" w:ascii="仿宋_GB2312" w:eastAsia="仿宋_GB2312"/>
                <w:sz w:val="24"/>
                <w:szCs w:val="24"/>
              </w:rPr>
              <w:t>24小时动态心电监测仪</w:t>
            </w:r>
          </w:p>
        </w:tc>
        <w:tc>
          <w:tcPr>
            <w:tcW w:w="1078"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2</w:t>
            </w:r>
          </w:p>
        </w:tc>
        <w:tc>
          <w:tcPr>
            <w:tcW w:w="736"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台</w:t>
            </w:r>
          </w:p>
        </w:tc>
        <w:tc>
          <w:tcPr>
            <w:tcW w:w="3355" w:type="dxa"/>
            <w:shd w:val="clear" w:color="auto" w:fill="auto"/>
          </w:tcPr>
          <w:p>
            <w:pPr>
              <w:spacing w:line="420" w:lineRule="exact"/>
              <w:rPr>
                <w:rFonts w:ascii="仿宋_GB2312" w:eastAsia="仿宋_GB2312"/>
                <w:sz w:val="24"/>
                <w:szCs w:val="24"/>
              </w:rPr>
            </w:pPr>
            <w:r>
              <w:rPr>
                <w:rFonts w:hint="eastAsia" w:ascii="仿宋_GB2312" w:eastAsia="仿宋_GB2312"/>
                <w:sz w:val="24"/>
                <w:szCs w:val="24"/>
              </w:rPr>
              <w:t>心病科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10</w:t>
            </w:r>
          </w:p>
        </w:tc>
        <w:tc>
          <w:tcPr>
            <w:tcW w:w="3193" w:type="dxa"/>
            <w:shd w:val="clear" w:color="auto" w:fill="auto"/>
          </w:tcPr>
          <w:p>
            <w:pPr>
              <w:spacing w:line="420" w:lineRule="exact"/>
              <w:jc w:val="left"/>
              <w:rPr>
                <w:rFonts w:ascii="仿宋_GB2312" w:eastAsia="仿宋_GB2312"/>
                <w:sz w:val="24"/>
                <w:szCs w:val="24"/>
              </w:rPr>
            </w:pPr>
            <w:r>
              <w:rPr>
                <w:rFonts w:hint="eastAsia" w:ascii="仿宋_GB2312" w:eastAsia="仿宋_GB2312"/>
                <w:sz w:val="24"/>
                <w:szCs w:val="24"/>
              </w:rPr>
              <w:t>24小时动态血压监测仪</w:t>
            </w:r>
          </w:p>
        </w:tc>
        <w:tc>
          <w:tcPr>
            <w:tcW w:w="1078"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3</w:t>
            </w:r>
          </w:p>
        </w:tc>
        <w:tc>
          <w:tcPr>
            <w:tcW w:w="736"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台</w:t>
            </w:r>
          </w:p>
        </w:tc>
        <w:tc>
          <w:tcPr>
            <w:tcW w:w="3355" w:type="dxa"/>
            <w:shd w:val="clear" w:color="auto" w:fill="auto"/>
          </w:tcPr>
          <w:p>
            <w:pPr>
              <w:spacing w:line="300" w:lineRule="exact"/>
              <w:rPr>
                <w:rFonts w:ascii="仿宋_GB2312" w:eastAsia="仿宋_GB2312"/>
                <w:sz w:val="24"/>
                <w:szCs w:val="24"/>
              </w:rPr>
            </w:pPr>
            <w:r>
              <w:rPr>
                <w:rFonts w:hint="eastAsia" w:ascii="仿宋_GB2312" w:eastAsia="仿宋_GB2312"/>
                <w:sz w:val="24"/>
                <w:szCs w:val="24"/>
              </w:rPr>
              <w:t>心病科、心脑病科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11</w:t>
            </w:r>
          </w:p>
        </w:tc>
        <w:tc>
          <w:tcPr>
            <w:tcW w:w="3193" w:type="dxa"/>
            <w:shd w:val="clear" w:color="auto" w:fill="auto"/>
          </w:tcPr>
          <w:p>
            <w:pPr>
              <w:spacing w:line="420" w:lineRule="exact"/>
              <w:jc w:val="left"/>
              <w:rPr>
                <w:rFonts w:ascii="仿宋_GB2312" w:eastAsia="仿宋_GB2312"/>
                <w:sz w:val="24"/>
                <w:szCs w:val="24"/>
              </w:rPr>
            </w:pPr>
            <w:r>
              <w:rPr>
                <w:rFonts w:hint="eastAsia" w:ascii="仿宋_GB2312" w:eastAsia="仿宋_GB2312"/>
                <w:sz w:val="24"/>
                <w:szCs w:val="24"/>
              </w:rPr>
              <w:t>心电图机</w:t>
            </w:r>
          </w:p>
        </w:tc>
        <w:tc>
          <w:tcPr>
            <w:tcW w:w="1078"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2</w:t>
            </w:r>
          </w:p>
        </w:tc>
        <w:tc>
          <w:tcPr>
            <w:tcW w:w="736"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台</w:t>
            </w:r>
          </w:p>
        </w:tc>
        <w:tc>
          <w:tcPr>
            <w:tcW w:w="3355" w:type="dxa"/>
            <w:shd w:val="clear" w:color="auto" w:fill="auto"/>
          </w:tcPr>
          <w:p>
            <w:pPr>
              <w:spacing w:line="300" w:lineRule="exact"/>
              <w:rPr>
                <w:rFonts w:ascii="仿宋_GB2312" w:eastAsia="仿宋_GB2312"/>
                <w:sz w:val="24"/>
                <w:szCs w:val="24"/>
              </w:rPr>
            </w:pPr>
            <w:r>
              <w:rPr>
                <w:rFonts w:hint="eastAsia" w:ascii="仿宋_GB2312" w:eastAsia="仿宋_GB2312"/>
                <w:sz w:val="24"/>
                <w:szCs w:val="24"/>
              </w:rPr>
              <w:t>心病科、针灸科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0" w:type="dxa"/>
            <w:gridSpan w:val="2"/>
            <w:shd w:val="clear" w:color="auto" w:fill="auto"/>
            <w:vAlign w:val="center"/>
          </w:tcPr>
          <w:p>
            <w:pPr>
              <w:spacing w:line="420" w:lineRule="exact"/>
              <w:jc w:val="center"/>
              <w:rPr>
                <w:rFonts w:ascii="仿宋_GB2312" w:eastAsia="仿宋_GB2312"/>
                <w:sz w:val="24"/>
                <w:szCs w:val="24"/>
              </w:rPr>
            </w:pPr>
            <w:r>
              <w:rPr>
                <w:rFonts w:hint="eastAsia" w:ascii="仿宋_GB2312" w:eastAsia="仿宋_GB2312"/>
                <w:sz w:val="24"/>
                <w:szCs w:val="24"/>
              </w:rPr>
              <w:t>合计</w:t>
            </w:r>
          </w:p>
        </w:tc>
        <w:tc>
          <w:tcPr>
            <w:tcW w:w="1078"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51</w:t>
            </w:r>
          </w:p>
        </w:tc>
        <w:tc>
          <w:tcPr>
            <w:tcW w:w="736" w:type="dxa"/>
            <w:shd w:val="clear" w:color="auto" w:fill="auto"/>
          </w:tcPr>
          <w:p>
            <w:pPr>
              <w:spacing w:line="420" w:lineRule="exact"/>
              <w:jc w:val="center"/>
              <w:rPr>
                <w:rFonts w:ascii="仿宋_GB2312" w:eastAsia="仿宋_GB2312"/>
                <w:sz w:val="24"/>
                <w:szCs w:val="24"/>
              </w:rPr>
            </w:pPr>
          </w:p>
        </w:tc>
        <w:tc>
          <w:tcPr>
            <w:tcW w:w="3355" w:type="dxa"/>
            <w:shd w:val="clear" w:color="auto" w:fill="auto"/>
          </w:tcPr>
          <w:p>
            <w:pPr>
              <w:spacing w:line="420" w:lineRule="exact"/>
              <w:rPr>
                <w:rFonts w:ascii="仿宋_GB2312" w:eastAsia="仿宋_GB2312"/>
                <w:sz w:val="24"/>
                <w:szCs w:val="24"/>
              </w:rPr>
            </w:pPr>
          </w:p>
        </w:tc>
      </w:tr>
    </w:tbl>
    <w:p>
      <w:pPr>
        <w:jc w:val="center"/>
        <w:rPr>
          <w:rFonts w:ascii="方正小标宋简体" w:eastAsia="方正小标宋简体"/>
          <w:b/>
          <w:sz w:val="36"/>
          <w:szCs w:val="44"/>
        </w:rPr>
      </w:pPr>
    </w:p>
    <w:p>
      <w:pPr>
        <w:spacing w:line="420" w:lineRule="exact"/>
        <w:jc w:val="center"/>
        <w:rPr>
          <w:b/>
          <w:bCs/>
          <w:sz w:val="36"/>
          <w:szCs w:val="36"/>
        </w:rPr>
      </w:pPr>
      <w:r>
        <w:rPr>
          <w:rFonts w:hint="eastAsia"/>
          <w:b/>
          <w:bCs/>
          <w:sz w:val="36"/>
          <w:szCs w:val="36"/>
        </w:rPr>
        <w:t>02-01 经颅多普勒超声诊断仪</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1.硬件要求：</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 *便携一体式主机、触摸屏操作。</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1.2 至少配置1.6MHz手持探头、4MHz手持探头。</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1.3 *中心频率为1.6MHz探头最大工作距离325mm（提供检验报告）。</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1.4 FFT采样率至少包括64、128、256、512、1024。</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1.5 *配备30键以上的有线“三防”小键盘，并至少具有4个自定义键。</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2.软件要求：</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 *50mm深度时,单向最大速度量程能达到750cm/s以上,在68mm深度,采用10mm的采样容积,速度量程可达到600cm/s以上（提供检验报告）。</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2.2 *检测参数：Vs、Vd、Vm、PI、RI、S/D、HR、SBI、HITS、TI、Dmean指数、 lindegaard指数。</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2.3 LP标识法：标识当前信号噪声处理状态。</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2.4 8000gates动态M模：无限时记录原始血流信息，任何状态下可以实现每1mm间隔的血流信息回放、测量，回放数据在任何电脑上都可以播放。</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2.5 *具有快照功能：对于异常的数据方便记录；快照频谱都可以进行栓子分析，并且可以手动添加栓子事件；快照频谱数据可以再次分析，并且可以手动标示；频谱图像可以同时进行双向参数计算、显示。</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2.6 具有一键报告功能。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2.7 可以从病人文档中选取图谱用于幻灯演示，不需要格式转换。</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2.8 *IWM POWER PEAK实时输出与显示：血红细胞强度加权平均值IWM、能量Power以及峰值血流速度Peak连续曲线显示与输出，IWM血红细胞数量最大值、最小值与平均值定性分析与计算。</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2.9 具备DICOM3.0网络接口，可连接医院网络。</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2.10 血流动力学检查方面配备卧立位实验软件，满足神经科在焦虑症诊断及帕金森早期发现等。</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2.11 *配备同一品牌超声图文工作站，便于临床出具报告。</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2.12 专家版</w:t>
      </w:r>
      <w:r>
        <w:rPr>
          <w:rFonts w:ascii="仿宋_GB2312" w:hAnsi="仿宋" w:eastAsia="仿宋_GB2312" w:cs="仿宋"/>
          <w:sz w:val="24"/>
          <w:szCs w:val="24"/>
        </w:rPr>
        <w:t>H-Veri</w:t>
      </w:r>
      <w:r>
        <w:rPr>
          <w:rFonts w:hint="eastAsia" w:ascii="仿宋_GB2312" w:hAnsi="仿宋" w:eastAsia="仿宋_GB2312" w:cs="仿宋"/>
          <w:sz w:val="24"/>
          <w:szCs w:val="24"/>
        </w:rPr>
        <w:t>双通道模式：双通道各项参数均可以独立调节，特别是两侧速度量程独立调节，避免出现一侧频谱“倒挂”；国际专家版微栓子检测模式：具有微栓子的伪差自动识别功能、自动计数功能，微栓子频谱图、纺锤波、声谱图、直方图等呈现方式；配备双通道和测量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 xml:space="preserve">2.13 </w:t>
      </w:r>
      <w:r>
        <w:rPr>
          <w:rFonts w:ascii="仿宋_GB2312" w:hAnsi="仿宋" w:eastAsia="仿宋_GB2312" w:cs="仿宋"/>
          <w:sz w:val="24"/>
          <w:szCs w:val="24"/>
        </w:rPr>
        <w:t>XL2</w:t>
      </w:r>
      <w:r>
        <w:rPr>
          <w:rFonts w:hint="eastAsia" w:ascii="仿宋_GB2312" w:hAnsi="仿宋" w:eastAsia="仿宋_GB2312" w:cs="仿宋"/>
          <w:sz w:val="24"/>
          <w:szCs w:val="24"/>
        </w:rPr>
        <w:t>智慧型发泡实验软件：发泡实验流程的专家版语音引导、栓子自动计数、发泡实验结果的智能分级。</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 xml:space="preserve">2.14 </w:t>
      </w:r>
      <w:r>
        <w:rPr>
          <w:rFonts w:ascii="仿宋_GB2312" w:hAnsi="仿宋" w:eastAsia="仿宋_GB2312" w:cs="仿宋"/>
          <w:sz w:val="24"/>
          <w:szCs w:val="24"/>
        </w:rPr>
        <w:t>ICM+</w:t>
      </w:r>
      <w:r>
        <w:rPr>
          <w:rFonts w:hint="eastAsia" w:ascii="仿宋_GB2312" w:hAnsi="仿宋" w:eastAsia="仿宋_GB2312" w:cs="仿宋"/>
          <w:sz w:val="24"/>
          <w:szCs w:val="24"/>
        </w:rPr>
        <w:t>软件分析平台搭载（提供相关证明文件）。</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2.15 连续血压信号接入，行脑血流自动调节分析CO2输入：脑血流与二氧化碳同步显示，同步趋势数据，脑血流储备功能评估。</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2.16 预留全自动监护探头及跟踪系统接口，可升级：自动搜索、自动扫描、自动跟踪三个部分。</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2.17 数据分析系统：同一病人、同一病种及流行病学统计分析，可生成曲线图、直方图、饼状图、均值偏差等，同时可以EXCL输出。</w:t>
      </w:r>
    </w:p>
    <w:p>
      <w:pPr>
        <w:spacing w:line="420" w:lineRule="exact"/>
        <w:ind w:firstLine="480" w:firstLineChars="200"/>
        <w:rPr>
          <w:rFonts w:ascii="仿宋_GB2312" w:hAnsi="仿宋" w:eastAsia="仿宋_GB2312" w:cs="仿宋"/>
          <w:sz w:val="24"/>
          <w:szCs w:val="24"/>
        </w:rPr>
      </w:pPr>
    </w:p>
    <w:p>
      <w:pPr>
        <w:jc w:val="center"/>
        <w:rPr>
          <w:b/>
          <w:bCs/>
          <w:sz w:val="36"/>
          <w:szCs w:val="36"/>
        </w:rPr>
      </w:pPr>
      <w:r>
        <w:rPr>
          <w:rFonts w:hint="eastAsia"/>
          <w:b/>
          <w:bCs/>
          <w:sz w:val="36"/>
          <w:szCs w:val="36"/>
        </w:rPr>
        <w:t>02-02 输液泵</w:t>
      </w:r>
    </w:p>
    <w:p>
      <w:pPr>
        <w:spacing w:line="420" w:lineRule="exact"/>
        <w:ind w:firstLine="480" w:firstLineChars="200"/>
        <w:rPr>
          <w:rFonts w:ascii="仿宋_GB2312" w:hAnsi="仿宋" w:eastAsia="仿宋_GB2312" w:cs="仿宋"/>
          <w:sz w:val="24"/>
          <w:szCs w:val="24"/>
        </w:rPr>
      </w:pP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1.</w:t>
      </w:r>
      <w:r>
        <w:rPr>
          <w:rFonts w:hint="eastAsia" w:ascii="仿宋_GB2312" w:hAnsi="仿宋" w:eastAsia="仿宋_GB2312" w:cs="仿宋"/>
          <w:sz w:val="24"/>
          <w:szCs w:val="24"/>
        </w:rPr>
        <w:t>适用符合标准的各品牌输液器。</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2.*≥8种输液模式可选：速度模式、时间模式、体重模式、序列模式、点滴模式、梯度模式、首剂量模式、微量模式。</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3.输液速度范围：0.1-1500.0ml/h, 最小增量为0.01ml/h。</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4.预置输液量范围：0.1-9999ml（最小增量0.01）。</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5.输液总量显示范围：</w:t>
      </w:r>
      <w:r>
        <w:rPr>
          <w:rFonts w:ascii="仿宋_GB2312" w:hAnsi="仿宋" w:eastAsia="仿宋_GB2312" w:cs="仿宋"/>
          <w:sz w:val="24"/>
          <w:szCs w:val="24"/>
        </w:rPr>
        <w:t>0-99999.9</w:t>
      </w:r>
      <w:r>
        <w:rPr>
          <w:rFonts w:hint="eastAsia" w:ascii="仿宋_GB2312" w:hAnsi="仿宋" w:eastAsia="仿宋_GB2312" w:cs="仿宋"/>
          <w:sz w:val="24"/>
          <w:szCs w:val="24"/>
        </w:rPr>
        <w:t>9</w:t>
      </w:r>
      <w:r>
        <w:rPr>
          <w:rFonts w:ascii="仿宋_GB2312" w:hAnsi="仿宋" w:eastAsia="仿宋_GB2312" w:cs="仿宋"/>
          <w:sz w:val="24"/>
          <w:szCs w:val="24"/>
        </w:rPr>
        <w:t>m</w:t>
      </w:r>
      <w:r>
        <w:rPr>
          <w:rFonts w:hint="eastAsia" w:ascii="仿宋_GB2312" w:hAnsi="仿宋" w:eastAsia="仿宋_GB2312" w:cs="仿宋"/>
          <w:sz w:val="24"/>
          <w:szCs w:val="24"/>
        </w:rPr>
        <w:t>l。</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6.输液精度±5% 。</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7.具有排气功能。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8.至少具有</w:t>
      </w:r>
      <w:r>
        <w:rPr>
          <w:rFonts w:ascii="仿宋_GB2312" w:hAnsi="仿宋" w:eastAsia="仿宋_GB2312" w:cs="仿宋"/>
          <w:sz w:val="24"/>
          <w:szCs w:val="24"/>
        </w:rPr>
        <w:t>3</w:t>
      </w:r>
      <w:r>
        <w:rPr>
          <w:rFonts w:hint="eastAsia" w:ascii="仿宋_GB2312" w:hAnsi="仿宋" w:eastAsia="仿宋_GB2312" w:cs="仿宋"/>
          <w:sz w:val="24"/>
          <w:szCs w:val="24"/>
        </w:rPr>
        <w:t>种快进方式：手动快进、快速定量快进、自动快进。</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9.KVO速度0.1-30ml/h；KVO设置为0 时可关闭。</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10.分体式气泡检测：具有单个气泡和累积气泡检测，至少7级可调，最小检测气泡≤25ul。</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11.防药液自流：智能阻断技术，泵门打开时，保证液体不会任意流出。</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12.*泵门和止液夹：输液泵具有电动止液夹和电动泵门控制。</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13.*≥3.5英寸触摸显示屏，全中文显示，方便快捷的人机操作界面。</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14.显示屏亮度至少10级可调。</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15.具有阻塞预警报警功能。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16.支持上、下端阻塞报警。</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17.*下阻塞级别：75mmHg-975mmHg，至少13级可选择；动态显示管路的压力状态。</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18.更改输速时不需要中断输液。</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19.具备输液精度校正功能：用户可自定义其他符合标准的输液器。</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20.报警：至少包含输注即将完成、输注完成、输注阻塞、管路上端阻塞、电池电量低、电池耗竭、无电池、无外部电源、管路有气泡、无滴数传感器、无滴液、滴数异常、遗忘操作、待机结束、阻塞预警、泵门打开。</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21.再报警功能：至少包含静音报警声音后，若仍然存在报警，约2分钟后，将继续报警。</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22.事件记录功能：能够存储、回放≥2</w:t>
      </w:r>
      <w:r>
        <w:rPr>
          <w:rFonts w:ascii="仿宋_GB2312" w:hAnsi="仿宋" w:eastAsia="仿宋_GB2312" w:cs="仿宋"/>
          <w:sz w:val="24"/>
          <w:szCs w:val="24"/>
        </w:rPr>
        <w:t>000</w:t>
      </w:r>
      <w:r>
        <w:rPr>
          <w:rFonts w:hint="eastAsia" w:ascii="仿宋_GB2312" w:hAnsi="仿宋" w:eastAsia="仿宋_GB2312" w:cs="仿宋"/>
          <w:sz w:val="24"/>
          <w:szCs w:val="24"/>
        </w:rPr>
        <w:t>个事件。</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23.记录≥20条最近治疗方案。</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24.支持自定义药物库。</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25.声音音量等级：至少可调10级报警音量。</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26.条码扫描：患者信息通过条码扫描输入。</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27.无线联网功能：输液泵可无线连接静脉输注中央站，连接医院信息系统。</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28.有线联网功能：输液泵可有线连接静脉输注中央站，连接医院信息系统。</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29.电源切换功能：当交流</w:t>
      </w:r>
      <w:r>
        <w:rPr>
          <w:rFonts w:ascii="仿宋_GB2312" w:hAnsi="仿宋" w:eastAsia="仿宋_GB2312" w:cs="仿宋"/>
          <w:sz w:val="24"/>
          <w:szCs w:val="24"/>
        </w:rPr>
        <w:t>/</w:t>
      </w:r>
      <w:r>
        <w:rPr>
          <w:rFonts w:hint="eastAsia" w:ascii="仿宋_GB2312" w:hAnsi="仿宋" w:eastAsia="仿宋_GB2312" w:cs="仿宋"/>
          <w:sz w:val="24"/>
          <w:szCs w:val="24"/>
        </w:rPr>
        <w:t>直流电源停止供电时，输液泵自动切换为内置电池供电。</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30.*内置锂电池，在2</w:t>
      </w:r>
      <w:r>
        <w:rPr>
          <w:rFonts w:ascii="仿宋_GB2312" w:hAnsi="仿宋" w:eastAsia="仿宋_GB2312" w:cs="仿宋"/>
          <w:sz w:val="24"/>
          <w:szCs w:val="24"/>
        </w:rPr>
        <w:t>5ml/h</w:t>
      </w:r>
      <w:r>
        <w:rPr>
          <w:rFonts w:hint="eastAsia" w:ascii="仿宋_GB2312" w:hAnsi="仿宋" w:eastAsia="仿宋_GB2312" w:cs="仿宋"/>
          <w:sz w:val="24"/>
          <w:szCs w:val="24"/>
        </w:rPr>
        <w:t>速度状态下，标配电池工作时间≥5小时；可选配大容量锂电池，工作时间≥20小时。</w:t>
      </w:r>
    </w:p>
    <w:p>
      <w:pPr>
        <w:jc w:val="center"/>
        <w:rPr>
          <w:b/>
          <w:bCs/>
          <w:sz w:val="36"/>
          <w:szCs w:val="36"/>
        </w:rPr>
      </w:pPr>
      <w:r>
        <w:rPr>
          <w:rFonts w:hint="eastAsia"/>
          <w:b/>
          <w:bCs/>
          <w:sz w:val="36"/>
          <w:szCs w:val="36"/>
        </w:rPr>
        <w:t>02-03 治疗台</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1.台面、柜底座采用优质不锈钢钢板。</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2.柜体采用优质冷轧钢板焊接，并经酸洗磷化静电喷塑。</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3.工作台上部柜内隔板可以调整高低，上门可做对开门及推拉门，抽屉及上下柜均带独立锁。</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4.规格：4组1700×350/700×1750mm，1组2000×350/700×1750mm，1组             1800×350/700×1750mm。</w:t>
      </w:r>
    </w:p>
    <w:p>
      <w:pPr>
        <w:spacing w:line="420" w:lineRule="exact"/>
        <w:ind w:firstLine="480" w:firstLineChars="200"/>
        <w:rPr>
          <w:rFonts w:ascii="仿宋_GB2312" w:hAnsi="仿宋" w:eastAsia="仿宋_GB2312" w:cs="仿宋"/>
          <w:sz w:val="24"/>
          <w:szCs w:val="24"/>
        </w:rPr>
      </w:pPr>
    </w:p>
    <w:p>
      <w:pPr>
        <w:jc w:val="center"/>
        <w:rPr>
          <w:b/>
          <w:bCs/>
          <w:sz w:val="36"/>
          <w:szCs w:val="36"/>
        </w:rPr>
      </w:pPr>
      <w:r>
        <w:rPr>
          <w:rFonts w:hint="eastAsia"/>
          <w:b/>
          <w:bCs/>
          <w:sz w:val="36"/>
          <w:szCs w:val="36"/>
        </w:rPr>
        <w:t>02-04 动态多参数遥测监护仪</w:t>
      </w:r>
    </w:p>
    <w:p>
      <w:pPr>
        <w:spacing w:line="420" w:lineRule="exact"/>
        <w:ind w:firstLine="480" w:firstLineChars="200"/>
        <w:rPr>
          <w:rFonts w:ascii="仿宋_GB2312" w:hAnsi="仿宋" w:eastAsia="仿宋_GB2312" w:cs="仿宋"/>
          <w:sz w:val="24"/>
          <w:szCs w:val="24"/>
        </w:rPr>
      </w:pP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1.</w:t>
      </w:r>
      <w:r>
        <w:rPr>
          <w:rFonts w:hint="eastAsia" w:ascii="仿宋_GB2312" w:hAnsi="仿宋" w:eastAsia="仿宋_GB2312" w:cs="仿宋"/>
          <w:sz w:val="24"/>
          <w:szCs w:val="24"/>
        </w:rPr>
        <w:t>≥</w:t>
      </w:r>
      <w:r>
        <w:rPr>
          <w:rFonts w:ascii="仿宋_GB2312" w:hAnsi="仿宋" w:eastAsia="仿宋_GB2312" w:cs="仿宋"/>
          <w:sz w:val="24"/>
          <w:szCs w:val="24"/>
        </w:rPr>
        <w:t>3英寸液晶屏幕显示</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2.*可实现心电、无创血压、血氧、脉搏、呼吸、体温的实时监护</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3.电池：连续使用</w:t>
      </w:r>
      <w:r>
        <w:rPr>
          <w:rFonts w:hint="eastAsia" w:ascii="仿宋_GB2312" w:hAnsi="仿宋" w:eastAsia="仿宋_GB2312" w:cs="仿宋"/>
          <w:sz w:val="24"/>
          <w:szCs w:val="24"/>
        </w:rPr>
        <w:t>≥</w:t>
      </w:r>
      <w:r>
        <w:rPr>
          <w:rFonts w:ascii="仿宋_GB2312" w:hAnsi="仿宋" w:eastAsia="仿宋_GB2312" w:cs="仿宋"/>
          <w:sz w:val="24"/>
          <w:szCs w:val="24"/>
        </w:rPr>
        <w:t>36小时</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4.</w:t>
      </w:r>
      <w:r>
        <w:rPr>
          <w:rFonts w:hint="eastAsia" w:ascii="仿宋_GB2312" w:hAnsi="仿宋" w:eastAsia="仿宋_GB2312" w:cs="仿宋"/>
          <w:sz w:val="24"/>
          <w:szCs w:val="24"/>
        </w:rPr>
        <w:t>具有</w:t>
      </w:r>
      <w:r>
        <w:rPr>
          <w:rFonts w:ascii="仿宋_GB2312" w:hAnsi="仿宋" w:eastAsia="仿宋_GB2312" w:cs="仿宋"/>
          <w:sz w:val="24"/>
          <w:szCs w:val="24"/>
        </w:rPr>
        <w:t>TDMA数字通信</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5.具有护士呼叫功能。</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6.*可与医院现有中央监护系统相连接</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w:t>
      </w:r>
      <w:r>
        <w:rPr>
          <w:rFonts w:ascii="仿宋_GB2312" w:hAnsi="仿宋" w:eastAsia="仿宋_GB2312" w:cs="仿宋"/>
          <w:sz w:val="24"/>
          <w:szCs w:val="24"/>
        </w:rPr>
        <w:t>.心电</w:t>
      </w:r>
      <w:r>
        <w:rPr>
          <w:rFonts w:hint="eastAsia" w:ascii="仿宋_GB2312" w:hAnsi="仿宋" w:eastAsia="仿宋_GB2312" w:cs="仿宋"/>
          <w:sz w:val="24"/>
          <w:szCs w:val="24"/>
        </w:rPr>
        <w:t>：</w:t>
      </w:r>
      <w:r>
        <w:rPr>
          <w:rFonts w:ascii="仿宋_GB2312" w:hAnsi="仿宋" w:eastAsia="仿宋_GB2312" w:cs="仿宋"/>
          <w:sz w:val="24"/>
          <w:szCs w:val="24"/>
        </w:rPr>
        <w:t>心率测量范围(10～255)次/分</w:t>
      </w:r>
      <w:r>
        <w:rPr>
          <w:rFonts w:hint="eastAsia" w:ascii="仿宋_GB2312" w:hAnsi="仿宋" w:eastAsia="仿宋_GB2312" w:cs="仿宋"/>
          <w:sz w:val="24"/>
          <w:szCs w:val="24"/>
        </w:rPr>
        <w:t>，</w:t>
      </w:r>
      <w:r>
        <w:rPr>
          <w:rFonts w:ascii="仿宋_GB2312" w:hAnsi="仿宋" w:eastAsia="仿宋_GB2312" w:cs="仿宋"/>
          <w:sz w:val="24"/>
          <w:szCs w:val="24"/>
        </w:rPr>
        <w:t>心率测量精度±3次/分</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8</w:t>
      </w:r>
      <w:r>
        <w:rPr>
          <w:rFonts w:ascii="仿宋_GB2312" w:hAnsi="仿宋" w:eastAsia="仿宋_GB2312" w:cs="仿宋"/>
          <w:sz w:val="24"/>
          <w:szCs w:val="24"/>
        </w:rPr>
        <w:t>.血压</w:t>
      </w:r>
      <w:r>
        <w:rPr>
          <w:rFonts w:hint="eastAsia" w:ascii="仿宋_GB2312" w:hAnsi="仿宋" w:eastAsia="仿宋_GB2312" w:cs="仿宋"/>
          <w:sz w:val="24"/>
          <w:szCs w:val="24"/>
        </w:rPr>
        <w:t>：</w:t>
      </w:r>
      <w:r>
        <w:rPr>
          <w:rFonts w:ascii="仿宋_GB2312" w:hAnsi="仿宋" w:eastAsia="仿宋_GB2312" w:cs="仿宋"/>
          <w:sz w:val="24"/>
          <w:szCs w:val="24"/>
        </w:rPr>
        <w:t>血压测量范围0kPa(0mmHg) ～40kPa(300mmHg)</w:t>
      </w:r>
      <w:r>
        <w:rPr>
          <w:rFonts w:hint="eastAsia" w:ascii="仿宋_GB2312" w:hAnsi="仿宋" w:eastAsia="仿宋_GB2312" w:cs="仿宋"/>
          <w:sz w:val="24"/>
          <w:szCs w:val="24"/>
        </w:rPr>
        <w:t>，</w:t>
      </w:r>
      <w:r>
        <w:rPr>
          <w:rFonts w:ascii="仿宋_GB2312" w:hAnsi="仿宋" w:eastAsia="仿宋_GB2312" w:cs="仿宋"/>
          <w:sz w:val="24"/>
          <w:szCs w:val="24"/>
        </w:rPr>
        <w:t>精度：±0.4kPa（±3mmHg）</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w:t>
      </w:r>
      <w:r>
        <w:rPr>
          <w:rFonts w:ascii="仿宋_GB2312" w:hAnsi="仿宋" w:eastAsia="仿宋_GB2312" w:cs="仿宋"/>
          <w:sz w:val="24"/>
          <w:szCs w:val="24"/>
        </w:rPr>
        <w:t>.血氧</w:t>
      </w:r>
      <w:r>
        <w:rPr>
          <w:rFonts w:hint="eastAsia" w:ascii="仿宋_GB2312" w:hAnsi="仿宋" w:eastAsia="仿宋_GB2312" w:cs="仿宋"/>
          <w:sz w:val="24"/>
          <w:szCs w:val="24"/>
        </w:rPr>
        <w:t>：</w:t>
      </w:r>
      <w:r>
        <w:rPr>
          <w:rFonts w:ascii="仿宋_GB2312" w:hAnsi="仿宋" w:eastAsia="仿宋_GB2312" w:cs="仿宋"/>
          <w:sz w:val="24"/>
          <w:szCs w:val="24"/>
        </w:rPr>
        <w:t>血氧饱和度测量范围0%～100%</w:t>
      </w:r>
      <w:r>
        <w:rPr>
          <w:rFonts w:hint="eastAsia" w:ascii="仿宋_GB2312" w:hAnsi="仿宋" w:eastAsia="仿宋_GB2312" w:cs="仿宋"/>
          <w:sz w:val="24"/>
          <w:szCs w:val="24"/>
        </w:rPr>
        <w:t>，</w:t>
      </w:r>
      <w:r>
        <w:rPr>
          <w:rFonts w:ascii="仿宋_GB2312" w:hAnsi="仿宋" w:eastAsia="仿宋_GB2312" w:cs="仿宋"/>
          <w:sz w:val="24"/>
          <w:szCs w:val="24"/>
        </w:rPr>
        <w:t>测量精度70%-100%范围内±2%，35%-69%范围内±4%</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w:t>
      </w:r>
      <w:r>
        <w:rPr>
          <w:rFonts w:ascii="仿宋_GB2312" w:hAnsi="仿宋" w:eastAsia="仿宋_GB2312" w:cs="仿宋"/>
          <w:sz w:val="24"/>
          <w:szCs w:val="24"/>
        </w:rPr>
        <w:t>.脉搏</w:t>
      </w:r>
      <w:r>
        <w:rPr>
          <w:rFonts w:hint="eastAsia" w:ascii="仿宋_GB2312" w:hAnsi="仿宋" w:eastAsia="仿宋_GB2312" w:cs="仿宋"/>
          <w:sz w:val="24"/>
          <w:szCs w:val="24"/>
        </w:rPr>
        <w:t>：</w:t>
      </w:r>
      <w:r>
        <w:rPr>
          <w:rFonts w:ascii="仿宋_GB2312" w:hAnsi="仿宋" w:eastAsia="仿宋_GB2312" w:cs="仿宋"/>
          <w:sz w:val="24"/>
          <w:szCs w:val="24"/>
        </w:rPr>
        <w:t>脉搏测量范围(10～255)次/分</w:t>
      </w:r>
      <w:r>
        <w:rPr>
          <w:rFonts w:hint="eastAsia" w:ascii="仿宋_GB2312" w:hAnsi="仿宋" w:eastAsia="仿宋_GB2312" w:cs="仿宋"/>
          <w:sz w:val="24"/>
          <w:szCs w:val="24"/>
        </w:rPr>
        <w:t>，</w:t>
      </w:r>
      <w:r>
        <w:rPr>
          <w:rFonts w:ascii="仿宋_GB2312" w:hAnsi="仿宋" w:eastAsia="仿宋_GB2312" w:cs="仿宋"/>
          <w:sz w:val="24"/>
          <w:szCs w:val="24"/>
        </w:rPr>
        <w:t>精度30-255bpm范围内±3bpm</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w:t>
      </w:r>
      <w:r>
        <w:rPr>
          <w:rFonts w:ascii="仿宋_GB2312" w:hAnsi="仿宋" w:eastAsia="仿宋_GB2312" w:cs="仿宋"/>
          <w:sz w:val="24"/>
          <w:szCs w:val="24"/>
        </w:rPr>
        <w:t>.呼吸</w:t>
      </w:r>
      <w:r>
        <w:rPr>
          <w:rFonts w:hint="eastAsia" w:ascii="仿宋_GB2312" w:hAnsi="仿宋" w:eastAsia="仿宋_GB2312" w:cs="仿宋"/>
          <w:sz w:val="24"/>
          <w:szCs w:val="24"/>
        </w:rPr>
        <w:t>：</w:t>
      </w:r>
      <w:r>
        <w:rPr>
          <w:rFonts w:ascii="仿宋_GB2312" w:hAnsi="仿宋" w:eastAsia="仿宋_GB2312" w:cs="仿宋"/>
          <w:sz w:val="24"/>
          <w:szCs w:val="24"/>
        </w:rPr>
        <w:t>呼吸测量范围(4～120) 次/分</w:t>
      </w:r>
      <w:r>
        <w:rPr>
          <w:rFonts w:hint="eastAsia" w:ascii="仿宋_GB2312" w:hAnsi="仿宋" w:eastAsia="仿宋_GB2312" w:cs="仿宋"/>
          <w:sz w:val="24"/>
          <w:szCs w:val="24"/>
        </w:rPr>
        <w:t>，</w:t>
      </w:r>
      <w:r>
        <w:rPr>
          <w:rFonts w:ascii="仿宋_GB2312" w:hAnsi="仿宋" w:eastAsia="仿宋_GB2312" w:cs="仿宋"/>
          <w:sz w:val="24"/>
          <w:szCs w:val="24"/>
        </w:rPr>
        <w:t>精度：±2次/分</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12</w:t>
      </w:r>
      <w:r>
        <w:rPr>
          <w:rFonts w:ascii="仿宋_GB2312" w:hAnsi="仿宋" w:eastAsia="仿宋_GB2312" w:cs="仿宋"/>
          <w:sz w:val="24"/>
          <w:szCs w:val="24"/>
        </w:rPr>
        <w:t>.体温</w:t>
      </w:r>
      <w:r>
        <w:rPr>
          <w:rFonts w:hint="eastAsia" w:ascii="仿宋_GB2312" w:hAnsi="仿宋" w:eastAsia="仿宋_GB2312" w:cs="仿宋"/>
          <w:sz w:val="24"/>
          <w:szCs w:val="24"/>
        </w:rPr>
        <w:t>：</w:t>
      </w:r>
      <w:r>
        <w:rPr>
          <w:rFonts w:ascii="仿宋_GB2312" w:hAnsi="仿宋" w:eastAsia="仿宋_GB2312" w:cs="仿宋"/>
          <w:sz w:val="24"/>
          <w:szCs w:val="24"/>
        </w:rPr>
        <w:t>体温测量范围25℃～45℃</w:t>
      </w:r>
      <w:r>
        <w:rPr>
          <w:rFonts w:hint="eastAsia" w:ascii="仿宋_GB2312" w:hAnsi="仿宋" w:eastAsia="仿宋_GB2312" w:cs="仿宋"/>
          <w:sz w:val="24"/>
          <w:szCs w:val="24"/>
        </w:rPr>
        <w:t>，</w:t>
      </w:r>
      <w:r>
        <w:rPr>
          <w:rFonts w:ascii="仿宋_GB2312" w:hAnsi="仿宋" w:eastAsia="仿宋_GB2312" w:cs="仿宋"/>
          <w:sz w:val="24"/>
          <w:szCs w:val="24"/>
        </w:rPr>
        <w:t>精度：35-40℃范围内±0.2℃</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13.各种线路用保护套保护，配备≥2个监护仪背包。</w:t>
      </w:r>
    </w:p>
    <w:p>
      <w:pPr>
        <w:spacing w:line="420" w:lineRule="exact"/>
        <w:ind w:firstLine="480" w:firstLineChars="200"/>
        <w:rPr>
          <w:rFonts w:ascii="仿宋_GB2312" w:hAnsi="仿宋" w:eastAsia="仿宋_GB2312" w:cs="仿宋"/>
          <w:sz w:val="24"/>
          <w:szCs w:val="24"/>
        </w:rPr>
      </w:pPr>
    </w:p>
    <w:p>
      <w:pPr>
        <w:jc w:val="center"/>
        <w:rPr>
          <w:b/>
          <w:bCs/>
          <w:sz w:val="36"/>
          <w:szCs w:val="36"/>
        </w:rPr>
      </w:pPr>
      <w:r>
        <w:rPr>
          <w:rFonts w:hint="eastAsia"/>
          <w:b/>
          <w:bCs/>
          <w:sz w:val="36"/>
          <w:szCs w:val="36"/>
        </w:rPr>
        <w:t>02-05 母婴监护仪技术参数</w:t>
      </w:r>
    </w:p>
    <w:p>
      <w:pPr>
        <w:spacing w:line="420" w:lineRule="exact"/>
        <w:ind w:firstLine="723" w:firstLineChars="200"/>
        <w:rPr>
          <w:b/>
          <w:bCs/>
          <w:sz w:val="36"/>
          <w:szCs w:val="36"/>
        </w:rPr>
      </w:pP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w:t>
      </w:r>
      <w:r>
        <w:rPr>
          <w:rFonts w:ascii="仿宋_GB2312" w:hAnsi="仿宋" w:eastAsia="仿宋_GB2312" w:cs="仿宋"/>
          <w:sz w:val="24"/>
          <w:szCs w:val="24"/>
        </w:rPr>
        <w:t>*插件式设计，可由主机和带屏幕的转运模块组成，可支持双屏一体化同步显示功能。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w:t>
      </w:r>
      <w:r>
        <w:rPr>
          <w:rFonts w:ascii="仿宋_GB2312" w:hAnsi="仿宋" w:eastAsia="仿宋_GB2312" w:cs="仿宋"/>
          <w:sz w:val="24"/>
          <w:szCs w:val="24"/>
        </w:rPr>
        <w:t>监测参数：胎心率、宫缩压、胎动、插件模块（心电/心率、脉率、血压、血氧、呼吸、体温、呼末二氧化碳）。</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w:t>
      </w:r>
      <w:r>
        <w:rPr>
          <w:rFonts w:ascii="仿宋_GB2312" w:hAnsi="仿宋" w:eastAsia="仿宋_GB2312" w:cs="仿宋"/>
          <w:sz w:val="24"/>
          <w:szCs w:val="24"/>
        </w:rPr>
        <w:t>超声工作频率：</w:t>
      </w:r>
      <w:r>
        <w:rPr>
          <w:rFonts w:hint="eastAsia" w:ascii="仿宋_GB2312" w:hAnsi="仿宋" w:eastAsia="仿宋_GB2312" w:cs="仿宋"/>
          <w:sz w:val="24"/>
          <w:szCs w:val="24"/>
        </w:rPr>
        <w:t>≥</w:t>
      </w:r>
      <w:r>
        <w:rPr>
          <w:rFonts w:ascii="仿宋_GB2312" w:hAnsi="仿宋" w:eastAsia="仿宋_GB2312" w:cs="仿宋"/>
          <w:sz w:val="24"/>
          <w:szCs w:val="24"/>
        </w:rPr>
        <w:t>1 MHz。</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w:t>
      </w:r>
      <w:r>
        <w:rPr>
          <w:rFonts w:ascii="仿宋_GB2312" w:hAnsi="仿宋" w:eastAsia="仿宋_GB2312" w:cs="仿宋"/>
          <w:sz w:val="24"/>
          <w:szCs w:val="24"/>
        </w:rPr>
        <w:t>胎心率测量范围：30～250bpm ，精度：±1bpm。</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w:t>
      </w:r>
      <w:r>
        <w:rPr>
          <w:rFonts w:ascii="仿宋_GB2312" w:hAnsi="仿宋" w:eastAsia="仿宋_GB2312" w:cs="仿宋"/>
          <w:sz w:val="24"/>
          <w:szCs w:val="24"/>
        </w:rPr>
        <w:t>宫缩压力测量范围0-100单位，非线性误差为±5%。</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w:t>
      </w:r>
      <w:r>
        <w:rPr>
          <w:rFonts w:ascii="仿宋_GB2312" w:hAnsi="仿宋" w:eastAsia="仿宋_GB2312" w:cs="仿宋"/>
          <w:sz w:val="24"/>
          <w:szCs w:val="24"/>
        </w:rPr>
        <w:t>具有手动/自动胎动标记功能。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w:t>
      </w:r>
      <w:r>
        <w:rPr>
          <w:rFonts w:ascii="仿宋_GB2312" w:hAnsi="仿宋" w:eastAsia="仿宋_GB2312" w:cs="仿宋"/>
          <w:sz w:val="24"/>
          <w:szCs w:val="24"/>
        </w:rPr>
        <w:t>标配3/5导心电，可选配12导心电测量。</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8.</w:t>
      </w:r>
      <w:r>
        <w:rPr>
          <w:rFonts w:ascii="仿宋_GB2312" w:hAnsi="仿宋" w:eastAsia="仿宋_GB2312" w:cs="仿宋"/>
          <w:sz w:val="24"/>
          <w:szCs w:val="24"/>
        </w:rPr>
        <w:t>增益：1.25mm/mv（×0.125）、2、5mm/mv（×0.25）、5mm/mv（×0.5）、10mm/mv（×1）、20mm/mv（×2）、40mm/mv（×4）及自动增益。</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w:t>
      </w:r>
      <w:r>
        <w:rPr>
          <w:rFonts w:ascii="仿宋_GB2312" w:hAnsi="仿宋" w:eastAsia="仿宋_GB2312" w:cs="仿宋"/>
          <w:sz w:val="24"/>
          <w:szCs w:val="24"/>
        </w:rPr>
        <w:t>心率测量范围：成人15-300bpm，儿童/新生儿15-350bpm，精度：±1%或±1bpm，取大者。</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w:t>
      </w:r>
      <w:r>
        <w:rPr>
          <w:rFonts w:ascii="仿宋_GB2312" w:hAnsi="仿宋" w:eastAsia="仿宋_GB2312" w:cs="仿宋"/>
          <w:sz w:val="24"/>
          <w:szCs w:val="24"/>
        </w:rPr>
        <w:t>具有智能导联脱落功能。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w:t>
      </w:r>
      <w:r>
        <w:rPr>
          <w:rFonts w:ascii="仿宋_GB2312" w:hAnsi="仿宋" w:eastAsia="仿宋_GB2312" w:cs="仿宋"/>
          <w:sz w:val="24"/>
          <w:szCs w:val="24"/>
        </w:rPr>
        <w:t>NIBP静态压力测量范围：0-300mmHg，精度±3 mmHg。</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12.</w:t>
      </w:r>
      <w:r>
        <w:rPr>
          <w:rFonts w:ascii="仿宋_GB2312" w:hAnsi="仿宋" w:eastAsia="仿宋_GB2312" w:cs="仿宋"/>
          <w:sz w:val="24"/>
          <w:szCs w:val="24"/>
        </w:rPr>
        <w:t>自动测量模式间隔时间可选：1min，2 min，2.5min，3 min，4 min，5 min，10 min，15 min，30 min，60 min，90 min，120 min，180 min，240 min，480 min，720 min。</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13.</w:t>
      </w:r>
      <w:r>
        <w:rPr>
          <w:rFonts w:ascii="仿宋_GB2312" w:hAnsi="仿宋" w:eastAsia="仿宋_GB2312" w:cs="仿宋"/>
          <w:sz w:val="24"/>
          <w:szCs w:val="24"/>
        </w:rPr>
        <w:t>可选配Masimo血氧监测，具有灌注指数PI显示，测量范围0.02%-20%，更具有信号质量指数SQI指令功能。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14.</w:t>
      </w:r>
      <w:r>
        <w:rPr>
          <w:rFonts w:ascii="仿宋_GB2312" w:hAnsi="仿宋" w:eastAsia="仿宋_GB2312" w:cs="仿宋"/>
          <w:sz w:val="24"/>
          <w:szCs w:val="24"/>
        </w:rPr>
        <w:t>可选配呼吸末二氧化碳监测，测量范围0-190mmHg。</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15.≥</w:t>
      </w:r>
      <w:r>
        <w:rPr>
          <w:rFonts w:ascii="仿宋_GB2312" w:hAnsi="仿宋" w:eastAsia="仿宋_GB2312" w:cs="仿宋"/>
          <w:sz w:val="24"/>
          <w:szCs w:val="24"/>
        </w:rPr>
        <w:t>12英寸TFT液晶显示屏，触摸屏，笔记本式前翻盖设计。</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16.*</w:t>
      </w:r>
      <w:r>
        <w:rPr>
          <w:rFonts w:ascii="仿宋_GB2312" w:hAnsi="仿宋" w:eastAsia="仿宋_GB2312" w:cs="仿宋"/>
          <w:sz w:val="24"/>
          <w:szCs w:val="24"/>
        </w:rPr>
        <w:t>电脑键盘设计，可通过键盘、按键、触摸屏多种方式输入。</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17.*</w:t>
      </w:r>
      <w:r>
        <w:rPr>
          <w:rFonts w:ascii="仿宋_GB2312" w:hAnsi="仿宋" w:eastAsia="仿宋_GB2312" w:cs="仿宋"/>
          <w:sz w:val="24"/>
          <w:szCs w:val="24"/>
        </w:rPr>
        <w:t>支持手写中文输入患者信息。</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18.</w:t>
      </w:r>
      <w:r>
        <w:rPr>
          <w:rFonts w:ascii="仿宋_GB2312" w:hAnsi="仿宋" w:eastAsia="仿宋_GB2312" w:cs="仿宋"/>
          <w:sz w:val="24"/>
          <w:szCs w:val="24"/>
        </w:rPr>
        <w:t>具备滑屏操作技术，快速切换显示界面。</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19.</w:t>
      </w:r>
      <w:r>
        <w:rPr>
          <w:rFonts w:ascii="仿宋_GB2312" w:hAnsi="仿宋" w:eastAsia="仿宋_GB2312" w:cs="仿宋"/>
          <w:sz w:val="24"/>
          <w:szCs w:val="24"/>
        </w:rPr>
        <w:t>内置</w:t>
      </w:r>
      <w:r>
        <w:rPr>
          <w:rFonts w:hint="eastAsia" w:ascii="仿宋_GB2312" w:hAnsi="仿宋" w:eastAsia="仿宋_GB2312" w:cs="仿宋"/>
          <w:sz w:val="24"/>
          <w:szCs w:val="24"/>
        </w:rPr>
        <w:t>≥</w:t>
      </w:r>
      <w:r>
        <w:rPr>
          <w:rFonts w:ascii="仿宋_GB2312" w:hAnsi="仿宋" w:eastAsia="仿宋_GB2312" w:cs="仿宋"/>
          <w:sz w:val="24"/>
          <w:szCs w:val="24"/>
        </w:rPr>
        <w:t>150mm宽行打印机，连续准确记录胎心率、宫缩压曲线及胎儿活动曲线，支持USB连接外置激光打印机。</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20.</w:t>
      </w:r>
      <w:r>
        <w:rPr>
          <w:rFonts w:ascii="仿宋_GB2312" w:hAnsi="仿宋" w:eastAsia="仿宋_GB2312" w:cs="仿宋"/>
          <w:sz w:val="24"/>
          <w:szCs w:val="24"/>
        </w:rPr>
        <w:t>配备收纳式探头支架，不用时可收纳隐藏。</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w:t>
      </w:r>
      <w:r>
        <w:rPr>
          <w:rFonts w:ascii="仿宋_GB2312" w:hAnsi="仿宋" w:eastAsia="仿宋_GB2312" w:cs="仿宋"/>
          <w:sz w:val="24"/>
          <w:szCs w:val="24"/>
        </w:rPr>
        <w:t>内置专家评分系统，</w:t>
      </w:r>
      <w:r>
        <w:rPr>
          <w:rFonts w:hint="eastAsia" w:ascii="仿宋_GB2312" w:hAnsi="仿宋" w:eastAsia="仿宋_GB2312" w:cs="仿宋"/>
          <w:sz w:val="24"/>
          <w:szCs w:val="24"/>
        </w:rPr>
        <w:t>至少</w:t>
      </w:r>
      <w:r>
        <w:rPr>
          <w:rFonts w:ascii="仿宋_GB2312" w:hAnsi="仿宋" w:eastAsia="仿宋_GB2312" w:cs="仿宋"/>
          <w:sz w:val="24"/>
          <w:szCs w:val="24"/>
        </w:rPr>
        <w:t>提供KREBS、Fischer、改良Fischer和NST四种评分方式可选。</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22.</w:t>
      </w:r>
      <w:r>
        <w:rPr>
          <w:rFonts w:ascii="仿宋_GB2312" w:hAnsi="仿宋" w:eastAsia="仿宋_GB2312" w:cs="仿宋"/>
          <w:sz w:val="24"/>
          <w:szCs w:val="24"/>
        </w:rPr>
        <w:t>具有胎心信号强弱提示功能</w:t>
      </w:r>
      <w:r>
        <w:rPr>
          <w:rFonts w:hint="eastAsia" w:ascii="仿宋_GB2312" w:hAnsi="仿宋" w:eastAsia="仿宋_GB2312" w:cs="仿宋"/>
          <w:sz w:val="24"/>
          <w:szCs w:val="24"/>
        </w:rPr>
        <w:t>、</w:t>
      </w:r>
      <w:r>
        <w:rPr>
          <w:rFonts w:ascii="仿宋_GB2312" w:hAnsi="仿宋" w:eastAsia="仿宋_GB2312" w:cs="仿宋"/>
          <w:sz w:val="24"/>
          <w:szCs w:val="24"/>
        </w:rPr>
        <w:t>交叉通道验证功能、双胎迹线分离功能。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23.</w:t>
      </w:r>
      <w:r>
        <w:rPr>
          <w:rFonts w:ascii="仿宋_GB2312" w:hAnsi="仿宋" w:eastAsia="仿宋_GB2312" w:cs="仿宋"/>
          <w:sz w:val="24"/>
          <w:szCs w:val="24"/>
        </w:rPr>
        <w:t>具有定时监护和定时打印功能，避免超时监护对胎儿造成影响。</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24.</w:t>
      </w:r>
      <w:r>
        <w:rPr>
          <w:rFonts w:ascii="仿宋_GB2312" w:hAnsi="仿宋" w:eastAsia="仿宋_GB2312" w:cs="仿宋"/>
          <w:sz w:val="24"/>
          <w:szCs w:val="24"/>
        </w:rPr>
        <w:t>具有智能电源管理功能，可设置定时触发隐藏底部按钮</w:t>
      </w:r>
      <w:r>
        <w:rPr>
          <w:rFonts w:hint="eastAsia" w:ascii="仿宋_GB2312" w:hAnsi="仿宋" w:eastAsia="仿宋_GB2312" w:cs="仿宋"/>
          <w:sz w:val="24"/>
          <w:szCs w:val="24"/>
        </w:rPr>
        <w:t>、</w:t>
      </w:r>
      <w:r>
        <w:rPr>
          <w:rFonts w:ascii="仿宋_GB2312" w:hAnsi="仿宋" w:eastAsia="仿宋_GB2312" w:cs="仿宋"/>
          <w:sz w:val="24"/>
          <w:szCs w:val="24"/>
        </w:rPr>
        <w:t>锁屏</w:t>
      </w:r>
      <w:r>
        <w:rPr>
          <w:rFonts w:hint="eastAsia" w:ascii="仿宋_GB2312" w:hAnsi="仿宋" w:eastAsia="仿宋_GB2312" w:cs="仿宋"/>
          <w:sz w:val="24"/>
          <w:szCs w:val="24"/>
        </w:rPr>
        <w:t>、</w:t>
      </w:r>
      <w:r>
        <w:rPr>
          <w:rFonts w:ascii="仿宋_GB2312" w:hAnsi="仿宋" w:eastAsia="仿宋_GB2312" w:cs="仿宋"/>
          <w:sz w:val="24"/>
          <w:szCs w:val="24"/>
        </w:rPr>
        <w:t>待机</w:t>
      </w:r>
      <w:r>
        <w:rPr>
          <w:rFonts w:hint="eastAsia" w:ascii="仿宋_GB2312" w:hAnsi="仿宋" w:eastAsia="仿宋_GB2312" w:cs="仿宋"/>
          <w:sz w:val="24"/>
          <w:szCs w:val="24"/>
        </w:rPr>
        <w:t>、</w:t>
      </w:r>
      <w:r>
        <w:rPr>
          <w:rFonts w:ascii="仿宋_GB2312" w:hAnsi="仿宋" w:eastAsia="仿宋_GB2312" w:cs="仿宋"/>
          <w:sz w:val="24"/>
          <w:szCs w:val="24"/>
        </w:rPr>
        <w:t>关机等操作。</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25.</w:t>
      </w:r>
      <w:r>
        <w:rPr>
          <w:rFonts w:ascii="仿宋_GB2312" w:hAnsi="仿宋" w:eastAsia="仿宋_GB2312" w:cs="仿宋"/>
          <w:sz w:val="24"/>
          <w:szCs w:val="24"/>
        </w:rPr>
        <w:t>具有数据掉电存储功能</w:t>
      </w:r>
      <w:r>
        <w:rPr>
          <w:rFonts w:hint="eastAsia" w:ascii="仿宋_GB2312" w:hAnsi="仿宋" w:eastAsia="仿宋_GB2312" w:cs="仿宋"/>
          <w:sz w:val="24"/>
          <w:szCs w:val="24"/>
        </w:rPr>
        <w:t>、</w:t>
      </w:r>
      <w:r>
        <w:rPr>
          <w:rFonts w:ascii="仿宋_GB2312" w:hAnsi="仿宋" w:eastAsia="仿宋_GB2312" w:cs="仿宋"/>
          <w:sz w:val="24"/>
          <w:szCs w:val="24"/>
        </w:rPr>
        <w:t>波形冻结功能</w:t>
      </w:r>
      <w:r>
        <w:rPr>
          <w:rFonts w:hint="eastAsia" w:ascii="仿宋_GB2312" w:hAnsi="仿宋" w:eastAsia="仿宋_GB2312" w:cs="仿宋"/>
          <w:sz w:val="24"/>
          <w:szCs w:val="24"/>
        </w:rPr>
        <w:t>，</w:t>
      </w:r>
      <w:r>
        <w:rPr>
          <w:rFonts w:ascii="仿宋_GB2312" w:hAnsi="仿宋" w:eastAsia="仿宋_GB2312" w:cs="仿宋"/>
          <w:sz w:val="24"/>
          <w:szCs w:val="24"/>
        </w:rPr>
        <w:t>胎心率波形可冻结回放</w:t>
      </w:r>
      <w:r>
        <w:rPr>
          <w:rFonts w:hint="eastAsia" w:ascii="仿宋_GB2312" w:hAnsi="仿宋" w:eastAsia="仿宋_GB2312" w:cs="仿宋"/>
          <w:sz w:val="24"/>
          <w:szCs w:val="24"/>
        </w:rPr>
        <w:t>≥</w:t>
      </w:r>
      <w:r>
        <w:rPr>
          <w:rFonts w:ascii="仿宋_GB2312" w:hAnsi="仿宋" w:eastAsia="仿宋_GB2312" w:cs="仿宋"/>
          <w:sz w:val="24"/>
          <w:szCs w:val="24"/>
        </w:rPr>
        <w:t>60小时。</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26.</w:t>
      </w:r>
      <w:r>
        <w:rPr>
          <w:rFonts w:ascii="仿宋_GB2312" w:hAnsi="仿宋" w:eastAsia="仿宋_GB2312" w:cs="仿宋"/>
          <w:sz w:val="24"/>
          <w:szCs w:val="24"/>
        </w:rPr>
        <w:t>具备数据存储功能，可存储</w:t>
      </w:r>
      <w:r>
        <w:rPr>
          <w:rFonts w:hint="eastAsia" w:ascii="仿宋_GB2312" w:hAnsi="仿宋" w:eastAsia="仿宋_GB2312" w:cs="仿宋"/>
          <w:sz w:val="24"/>
          <w:szCs w:val="24"/>
        </w:rPr>
        <w:t>≥</w:t>
      </w:r>
      <w:r>
        <w:rPr>
          <w:rFonts w:ascii="仿宋_GB2312" w:hAnsi="仿宋" w:eastAsia="仿宋_GB2312" w:cs="仿宋"/>
          <w:sz w:val="24"/>
          <w:szCs w:val="24"/>
        </w:rPr>
        <w:t>3000份病历报告。</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27.</w:t>
      </w:r>
      <w:r>
        <w:rPr>
          <w:rFonts w:ascii="仿宋_GB2312" w:hAnsi="仿宋" w:eastAsia="仿宋_GB2312" w:cs="仿宋"/>
          <w:sz w:val="24"/>
          <w:szCs w:val="24"/>
        </w:rPr>
        <w:t>具有胎监界面、母亲/胎儿监护界面、母亲监护界面、列表界面、趋势共存界面、呼吸氧合界面、大字体界面等多种界面可选。</w:t>
      </w:r>
    </w:p>
    <w:p>
      <w:pPr>
        <w:spacing w:line="420" w:lineRule="exact"/>
        <w:ind w:firstLine="480" w:firstLineChars="200"/>
        <w:rPr>
          <w:rFonts w:ascii="仿宋_GB2312" w:hAnsi="仿宋" w:eastAsia="仿宋_GB2312" w:cs="仿宋"/>
          <w:color w:val="000000"/>
          <w:sz w:val="24"/>
          <w:szCs w:val="24"/>
        </w:rPr>
      </w:pPr>
      <w:r>
        <w:rPr>
          <w:rFonts w:hint="eastAsia" w:ascii="仿宋_GB2312" w:hAnsi="仿宋" w:eastAsia="仿宋_GB2312" w:cs="仿宋"/>
          <w:color w:val="000000"/>
          <w:sz w:val="24"/>
          <w:szCs w:val="24"/>
        </w:rPr>
        <w:t>28.</w:t>
      </w:r>
      <w:r>
        <w:rPr>
          <w:rFonts w:ascii="仿宋_GB2312" w:hAnsi="仿宋" w:eastAsia="仿宋_GB2312" w:cs="仿宋"/>
          <w:color w:val="000000"/>
          <w:sz w:val="24"/>
          <w:szCs w:val="24"/>
        </w:rPr>
        <w:t>内置锂电池。</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29.</w:t>
      </w:r>
      <w:r>
        <w:rPr>
          <w:rFonts w:ascii="仿宋_GB2312" w:hAnsi="仿宋" w:eastAsia="仿宋_GB2312" w:cs="仿宋"/>
          <w:sz w:val="24"/>
          <w:szCs w:val="24"/>
        </w:rPr>
        <w:t>内置通讯接口，支持有线/无线连接中央监护系统。</w:t>
      </w:r>
    </w:p>
    <w:p>
      <w:pPr>
        <w:spacing w:line="420" w:lineRule="exact"/>
        <w:ind w:firstLine="480" w:firstLineChars="200"/>
        <w:rPr>
          <w:rFonts w:ascii="仿宋_GB2312" w:hAnsi="仿宋" w:eastAsia="仿宋_GB2312" w:cs="仿宋"/>
          <w:sz w:val="24"/>
          <w:szCs w:val="24"/>
        </w:rPr>
      </w:pPr>
    </w:p>
    <w:p>
      <w:pPr>
        <w:spacing w:line="420" w:lineRule="exact"/>
        <w:ind w:firstLine="480" w:firstLineChars="200"/>
        <w:rPr>
          <w:rFonts w:ascii="仿宋_GB2312" w:hAnsi="仿宋" w:eastAsia="仿宋_GB2312" w:cs="仿宋"/>
          <w:sz w:val="24"/>
          <w:szCs w:val="24"/>
        </w:rPr>
      </w:pPr>
    </w:p>
    <w:p>
      <w:pPr>
        <w:spacing w:line="420" w:lineRule="exact"/>
        <w:ind w:firstLine="480" w:firstLineChars="200"/>
        <w:rPr>
          <w:rFonts w:ascii="仿宋_GB2312" w:hAnsi="仿宋" w:eastAsia="仿宋_GB2312" w:cs="仿宋"/>
          <w:sz w:val="24"/>
          <w:szCs w:val="24"/>
        </w:rPr>
      </w:pPr>
    </w:p>
    <w:p>
      <w:pPr>
        <w:spacing w:line="420" w:lineRule="exact"/>
        <w:jc w:val="center"/>
        <w:rPr>
          <w:b/>
          <w:bCs/>
          <w:sz w:val="36"/>
          <w:szCs w:val="36"/>
        </w:rPr>
      </w:pPr>
      <w:r>
        <w:rPr>
          <w:rFonts w:hint="eastAsia"/>
          <w:b/>
          <w:bCs/>
          <w:sz w:val="36"/>
          <w:szCs w:val="36"/>
        </w:rPr>
        <w:t>02-06 移动式空气消毒机</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一、主要功能：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1.*微电脑程序控制，中文背光液晶显示屏。</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2.UV管、电机、负离子故障自动检测带真人语音故障提示。</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3.UV强度在线自动检测，镜面不锈钢板固定，增加UV照射强度。</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4.*整机工作寿命计时和清洗保养提醒功能。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5.主管失效备管自动支援及加强功能。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6.具有时钟计时芯片。</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7.程控、遥控、手控多控消毒运行。</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8.风速高、中、低可选。</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9.*双通道立体式出风，循环风量大。</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10.带多次使用初中效尘埃过滤网、活性炭网除臭及光触媒除菌等辅助消毒手段。</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11.内置隐藏式遥控器放置盒，具防丢失功能。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12.外设防滑扶手，推拉移动自如。</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二、主要技术参数：</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 xml:space="preserve">1.适用体积：≥80m3 </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 外形：移动式</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1.2 *循环消毒风量：≥800m3/h</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1.3 *紫外线辐照强度（垂直距离灯管15cm处）：≥7.36×103μW/cm2</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1.4 消毒功率：≤410W</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1.5 紫外线管寿命：≥5000h</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1.6 紫外线泄漏量：≤5μW/cm2</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1.7 消毒时空气中臭氧量：≤0.1mg/m3</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1.8 负离子发生量：≥6×106个/cm3</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1.9 额定电压：AC 220V±22V</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1.10 额定频率：50Hz±1Hz</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1.11 噪音：≤55dB(A)</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1.12 消毒后空气中细菌总数：Ⅱ、Ⅲ类无菌环境标准</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1.13 适用环境：人在动态环境及静态环境（医院病区）</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1.14 安全防护分类：I类</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1.15 提供消毒产品卫生安全评价报告</w:t>
      </w:r>
    </w:p>
    <w:p>
      <w:pPr>
        <w:spacing w:line="420" w:lineRule="exact"/>
        <w:ind w:firstLine="480" w:firstLineChars="200"/>
        <w:rPr>
          <w:rFonts w:ascii="仿宋_GB2312" w:hAnsi="仿宋" w:eastAsia="仿宋_GB2312" w:cs="仿宋"/>
          <w:sz w:val="24"/>
          <w:szCs w:val="24"/>
        </w:rPr>
      </w:pPr>
    </w:p>
    <w:p>
      <w:pPr>
        <w:spacing w:line="420" w:lineRule="exact"/>
        <w:jc w:val="center"/>
        <w:rPr>
          <w:b/>
          <w:bCs/>
          <w:sz w:val="36"/>
          <w:szCs w:val="36"/>
        </w:rPr>
      </w:pPr>
      <w:r>
        <w:rPr>
          <w:rFonts w:hint="eastAsia"/>
          <w:b/>
          <w:bCs/>
          <w:sz w:val="36"/>
          <w:szCs w:val="36"/>
        </w:rPr>
        <w:t>02-07 心电监护仪</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1.适用于成人、儿童、新生儿。</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2.彩色TFT显示屏，屏幕≥10.4英寸，分辨率≥800×600。</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3.*波形显示通道数≥10，波形颜色与位置可调。</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4.具备呼吸氧合图、趋势共存、大字体、NIBP回顾等多种显示界面。</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5.监测功能：</w:t>
      </w:r>
      <w:r>
        <w:rPr>
          <w:rFonts w:ascii="仿宋_GB2312" w:hAnsi="仿宋" w:eastAsia="仿宋_GB2312" w:cs="仿宋"/>
          <w:sz w:val="24"/>
          <w:szCs w:val="24"/>
        </w:rPr>
        <w:t>标配心电、呼吸、血氧饱和度、无创血压、脉搏、体温监测</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4.心电规格：三/五导联自动切换，具有7导联心电同屏显示，具有监护、诊断、手术、用户模式，可抗肌电、除颤等干扰，具有心电级联功能，心率测量范围：10～350 bpm，心率测量精度：±1％ 或 ±1bpm,心律失常分析17种，具有起搏分析功能，具有ST段分析功能。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5.呼吸规格：监测方法：阻抗法，呼吸监测范围：0～150 bpm，呼吸监测精度：±2 bpm。</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6.血氧饱和度规格：数字式血氧，抗运动、抗弱灌注，具有脉搏调制音功能，血氧饱和度监测范围：0～100%，血氧饱和度测量精度：±2%（70%-100%）。</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w:t>
      </w:r>
      <w:r>
        <w:rPr>
          <w:rFonts w:ascii="仿宋_GB2312" w:hAnsi="仿宋" w:eastAsia="仿宋_GB2312" w:cs="仿宋"/>
          <w:sz w:val="24"/>
          <w:szCs w:val="24"/>
        </w:rPr>
        <w:t>脉搏</w:t>
      </w:r>
      <w:r>
        <w:rPr>
          <w:rFonts w:hint="eastAsia" w:ascii="仿宋_GB2312" w:hAnsi="仿宋" w:eastAsia="仿宋_GB2312" w:cs="仿宋"/>
          <w:sz w:val="24"/>
          <w:szCs w:val="24"/>
        </w:rPr>
        <w:t>规格：脉率测量范围：25 bpm～250 bpm，脉率测量精度：±1% 或 ±1 bpm。</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8.无创血压规格：测量范围：成人10—270mmHg；小儿10-235mmHg；新生儿10—135mmHg，具有成人、小儿、新生儿分段过压保护功能，测量模式：手动、自动、快速（STAT）。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w:t>
      </w:r>
      <w:r>
        <w:rPr>
          <w:rFonts w:ascii="仿宋_GB2312" w:hAnsi="仿宋" w:eastAsia="仿宋_GB2312" w:cs="仿宋"/>
          <w:sz w:val="24"/>
          <w:szCs w:val="24"/>
        </w:rPr>
        <w:t>体温</w:t>
      </w:r>
      <w:r>
        <w:rPr>
          <w:rFonts w:hint="eastAsia" w:ascii="仿宋_GB2312" w:hAnsi="仿宋" w:eastAsia="仿宋_GB2312" w:cs="仿宋"/>
          <w:sz w:val="24"/>
          <w:szCs w:val="24"/>
        </w:rPr>
        <w:t>规格：双通道体温监测，具有温差显示，测量范围：0～50 ℃，精度：±0.1 ℃。</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10.操作方式：快捷按键和旋钮操作，中/英文操作界面。</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11.报警：声光双重三级报警。</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12.</w:t>
      </w:r>
      <w:r>
        <w:rPr>
          <w:rFonts w:ascii="仿宋_GB2312" w:hAnsi="仿宋" w:eastAsia="仿宋_GB2312" w:cs="仿宋"/>
          <w:sz w:val="24"/>
          <w:szCs w:val="24"/>
        </w:rPr>
        <w:t>数据存储</w:t>
      </w:r>
      <w:r>
        <w:rPr>
          <w:rFonts w:hint="eastAsia" w:ascii="仿宋_GB2312" w:hAnsi="仿宋" w:eastAsia="仿宋_GB2312" w:cs="仿宋"/>
          <w:sz w:val="24"/>
          <w:szCs w:val="24"/>
        </w:rPr>
        <w:t>：≥168小时趋势图表存储与回顾功能，≥30分钟重点监护导联波形存储回放功能，具有报警回顾功能，≥1800组报警事件，具有无创血压测量回顾功能，≥1000组无创血压测量数据，具有全参数掉电存储功能。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13.</w:t>
      </w:r>
      <w:r>
        <w:rPr>
          <w:rFonts w:ascii="仿宋_GB2312" w:hAnsi="仿宋" w:eastAsia="仿宋_GB2312" w:cs="仿宋"/>
          <w:sz w:val="24"/>
          <w:szCs w:val="24"/>
        </w:rPr>
        <w:t>联网功能</w:t>
      </w:r>
      <w:r>
        <w:rPr>
          <w:rFonts w:hint="eastAsia" w:ascii="仿宋_GB2312" w:hAnsi="仿宋" w:eastAsia="仿宋_GB2312" w:cs="仿宋"/>
          <w:sz w:val="24"/>
          <w:szCs w:val="24"/>
        </w:rPr>
        <w:t>：可通过有线、无线和混联方式联入中央机。</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14.电池：可插拔铅酸电池，双电池仓，单个电池供电时间≥60分钟，可选配锂电池，单个电池供电时间≥240分钟。</w:t>
      </w:r>
    </w:p>
    <w:p>
      <w:pPr>
        <w:spacing w:line="420" w:lineRule="exact"/>
        <w:ind w:firstLine="480" w:firstLineChars="200"/>
        <w:rPr>
          <w:rFonts w:ascii="仿宋_GB2312" w:hAnsi="仿宋" w:eastAsia="仿宋_GB2312" w:cs="仿宋"/>
          <w:sz w:val="24"/>
          <w:szCs w:val="24"/>
        </w:rPr>
      </w:pPr>
    </w:p>
    <w:p>
      <w:pPr>
        <w:spacing w:line="420" w:lineRule="exact"/>
        <w:ind w:firstLine="480" w:firstLineChars="200"/>
        <w:rPr>
          <w:rFonts w:ascii="仿宋_GB2312" w:hAnsi="仿宋" w:eastAsia="仿宋_GB2312" w:cs="仿宋"/>
          <w:sz w:val="24"/>
          <w:szCs w:val="24"/>
        </w:rPr>
      </w:pPr>
    </w:p>
    <w:p>
      <w:pPr>
        <w:spacing w:line="420" w:lineRule="exact"/>
        <w:ind w:firstLine="480" w:firstLineChars="200"/>
        <w:rPr>
          <w:rFonts w:ascii="仿宋_GB2312" w:hAnsi="仿宋" w:eastAsia="仿宋_GB2312" w:cs="仿宋"/>
          <w:sz w:val="24"/>
          <w:szCs w:val="24"/>
        </w:rPr>
      </w:pPr>
    </w:p>
    <w:p>
      <w:pPr>
        <w:spacing w:line="420" w:lineRule="exact"/>
        <w:jc w:val="center"/>
        <w:rPr>
          <w:b/>
          <w:bCs/>
          <w:sz w:val="36"/>
          <w:szCs w:val="36"/>
        </w:rPr>
      </w:pPr>
      <w:r>
        <w:rPr>
          <w:rFonts w:hint="eastAsia"/>
          <w:b/>
          <w:bCs/>
          <w:sz w:val="36"/>
          <w:szCs w:val="36"/>
        </w:rPr>
        <w:t>02-08 心电</w:t>
      </w:r>
      <w:r>
        <w:rPr>
          <w:b/>
          <w:bCs/>
          <w:sz w:val="36"/>
          <w:szCs w:val="36"/>
        </w:rPr>
        <w:t>监护仪</w:t>
      </w:r>
      <w:r>
        <w:rPr>
          <w:rFonts w:hint="eastAsia"/>
          <w:b/>
          <w:bCs/>
          <w:sz w:val="36"/>
          <w:szCs w:val="36"/>
        </w:rPr>
        <w:t xml:space="preserve"> </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1.便携一体式监护仪,可用于监护成人,儿童,新生儿患者。</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2.*≥10英寸彩色</w:t>
      </w:r>
      <w:r>
        <w:rPr>
          <w:rFonts w:ascii="仿宋_GB2312" w:hAnsi="仿宋" w:eastAsia="仿宋_GB2312" w:cs="仿宋"/>
          <w:sz w:val="24"/>
          <w:szCs w:val="24"/>
        </w:rPr>
        <w:t>LED</w:t>
      </w:r>
      <w:r>
        <w:rPr>
          <w:rFonts w:hint="eastAsia" w:ascii="仿宋_GB2312" w:hAnsi="仿宋" w:eastAsia="仿宋_GB2312" w:cs="仿宋"/>
          <w:sz w:val="24"/>
          <w:szCs w:val="24"/>
        </w:rPr>
        <w:t>液晶显示屏，分辨率达≥800×600，至少8通道波形显示。</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3.整机无风扇设计，降低环境噪音干扰。</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4.监测参数：</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4.1 标准配置可监测心电，呼吸，无创血压，血氧饱和度，脉搏和体温。</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4.2 心电波形速度支持≥4种选择：6.25、12.5、25和50mm/s。</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4.3 具备智能导联脱落监测功能，个别导联脱落的情况下仍能保持监护。</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4.4 *提供心率</w:t>
      </w:r>
      <w:r>
        <w:rPr>
          <w:rFonts w:ascii="仿宋_GB2312" w:hAnsi="仿宋" w:eastAsia="仿宋_GB2312" w:cs="仿宋"/>
          <w:sz w:val="24"/>
          <w:szCs w:val="24"/>
        </w:rPr>
        <w:t>变化统计</w:t>
      </w:r>
      <w:r>
        <w:rPr>
          <w:rFonts w:hint="eastAsia" w:ascii="仿宋_GB2312" w:hAnsi="仿宋" w:eastAsia="仿宋_GB2312" w:cs="仿宋"/>
          <w:sz w:val="24"/>
          <w:szCs w:val="24"/>
        </w:rPr>
        <w:t>界面，包括患者平均心率、夜间平均心率、白天平均心率、最快心率和最慢心率等，直观快速了解过去24小时患者的心率变化和心率分布情况。</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4.5 血氧监测时标配支持PI血氧灌注指数的监测，有效反映血氧灌注情况。</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4.6 采用抗干扰和弱灌注血氧专利技术保证血氧监护的优异性。</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4.7 无创血压至少支持手动、连续和自动测量模式。</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4.8 *成人无创血压测量范围：收缩压 25-290mmHg，舒张压 10-250mmHg。</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4.9 小儿无创血压测量范围：收缩压 25-240mmHg，舒张压 10-200mmHg。</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4.10 新生儿无创血压测量范围：收缩压 25-140mmHg，舒张压 10-115mmHg。</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4.11 *提供</w:t>
      </w:r>
      <w:r>
        <w:rPr>
          <w:rFonts w:ascii="仿宋_GB2312" w:hAnsi="仿宋" w:eastAsia="仿宋_GB2312" w:cs="仿宋"/>
          <w:sz w:val="24"/>
          <w:szCs w:val="24"/>
        </w:rPr>
        <w:t>动态血压分析</w:t>
      </w:r>
      <w:r>
        <w:rPr>
          <w:rFonts w:hint="eastAsia" w:ascii="仿宋_GB2312" w:hAnsi="仿宋" w:eastAsia="仿宋_GB2312" w:cs="仿宋"/>
          <w:sz w:val="24"/>
          <w:szCs w:val="24"/>
        </w:rPr>
        <w:t>界面，包括平均血压、白天平均血压、夜间平均血压、最高血压、最低血压和正常血压比例等，直观快速了解过去24小时患者血压变化和分布情况。</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5.系统功能：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5.1 支持中/英文输入。</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5.2 具有三级声光报警，参数报警级别可调。</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5.3 具备报警集中设置功能。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5.4 具备血液动力学、药物计算功能。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5.5 支持&gt;=1000小时趋势数据的存储与回顾功能。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5.6 具备监护模式、待机模式，演示模式、隐私模式和夜间模式不少于5种工作模式。</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5.7 具备趋势共存界面、呼吸氧合图界面，大字体显示界面，及标准显示界面等多种显示界面。</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5.8 具备网络通信功能，实现中央站的集中监护。</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5.9 标配一块高能</w:t>
      </w:r>
      <w:r>
        <w:rPr>
          <w:rFonts w:ascii="仿宋_GB2312" w:hAnsi="仿宋" w:eastAsia="仿宋_GB2312" w:cs="仿宋"/>
          <w:sz w:val="24"/>
          <w:szCs w:val="24"/>
        </w:rPr>
        <w:t>锂电池，工作时间</w:t>
      </w:r>
      <w:r>
        <w:rPr>
          <w:rFonts w:hint="eastAsia" w:ascii="仿宋_GB2312" w:hAnsi="仿宋" w:eastAsia="仿宋_GB2312" w:cs="仿宋"/>
          <w:sz w:val="24"/>
          <w:szCs w:val="24"/>
        </w:rPr>
        <w:t>≥4小时。</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5.10 支持监护仪系统日志向U盘设备的导出功能，日志包括：系统状态、异常和技术报警等。</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5.11 主机集成附件收纳槽，支持将心电、血氧和无创血压等导联线附件进行收纳放置，方便监护仪设备的高效管理和转移。</w:t>
      </w:r>
    </w:p>
    <w:p>
      <w:pPr>
        <w:spacing w:line="420" w:lineRule="exact"/>
        <w:ind w:firstLine="480" w:firstLineChars="200"/>
        <w:rPr>
          <w:rFonts w:ascii="仿宋_GB2312" w:hAnsi="仿宋" w:eastAsia="仿宋_GB2312" w:cs="仿宋"/>
          <w:sz w:val="24"/>
          <w:szCs w:val="24"/>
        </w:rPr>
      </w:pPr>
    </w:p>
    <w:p>
      <w:pPr>
        <w:spacing w:line="420" w:lineRule="exact"/>
        <w:ind w:firstLine="480" w:firstLineChars="200"/>
        <w:rPr>
          <w:rFonts w:ascii="仿宋_GB2312" w:hAnsi="仿宋" w:eastAsia="仿宋_GB2312" w:cs="仿宋"/>
          <w:sz w:val="24"/>
          <w:szCs w:val="24"/>
        </w:rPr>
      </w:pPr>
    </w:p>
    <w:p>
      <w:pPr>
        <w:spacing w:line="420" w:lineRule="exact"/>
        <w:jc w:val="center"/>
        <w:rPr>
          <w:b/>
          <w:bCs/>
          <w:sz w:val="36"/>
          <w:szCs w:val="36"/>
        </w:rPr>
      </w:pPr>
      <w:r>
        <w:rPr>
          <w:rFonts w:hint="eastAsia"/>
          <w:b/>
          <w:bCs/>
          <w:sz w:val="36"/>
          <w:szCs w:val="36"/>
        </w:rPr>
        <w:t>02-09 24小时动态心电监测仪</w:t>
      </w:r>
    </w:p>
    <w:p>
      <w:pPr>
        <w:spacing w:line="420" w:lineRule="exact"/>
        <w:ind w:firstLine="482" w:firstLineChars="200"/>
        <w:rPr>
          <w:rFonts w:ascii="仿宋_GB2312" w:hAnsi="仿宋" w:eastAsia="仿宋_GB2312" w:cs="仿宋"/>
          <w:sz w:val="24"/>
          <w:szCs w:val="24"/>
        </w:rPr>
      </w:pPr>
      <w:r>
        <w:rPr>
          <w:rFonts w:hint="eastAsia" w:ascii="宋体" w:hAnsi="宋体"/>
          <w:b/>
          <w:bCs/>
          <w:sz w:val="24"/>
          <w:szCs w:val="24"/>
        </w:rPr>
        <w:t>1.</w:t>
      </w:r>
      <w:r>
        <w:rPr>
          <w:rFonts w:ascii="仿宋_GB2312" w:hAnsi="仿宋" w:eastAsia="仿宋_GB2312" w:cs="仿宋"/>
          <w:sz w:val="24"/>
          <w:szCs w:val="24"/>
        </w:rPr>
        <w:t>动态心电记录仪</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1.1</w:t>
      </w:r>
      <w:r>
        <w:rPr>
          <w:rFonts w:hint="eastAsia" w:ascii="仿宋_GB2312" w:hAnsi="仿宋" w:eastAsia="仿宋_GB2312" w:cs="仿宋"/>
          <w:sz w:val="24"/>
          <w:szCs w:val="24"/>
        </w:rPr>
        <w:t xml:space="preserve"> </w:t>
      </w:r>
      <w:r>
        <w:rPr>
          <w:rFonts w:ascii="仿宋_GB2312" w:hAnsi="仿宋" w:eastAsia="仿宋_GB2312" w:cs="仿宋"/>
          <w:sz w:val="24"/>
          <w:szCs w:val="24"/>
        </w:rPr>
        <w:t>导联方式：标准12导联</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1.2</w:t>
      </w:r>
      <w:r>
        <w:rPr>
          <w:rFonts w:hint="eastAsia" w:ascii="仿宋_GB2312" w:hAnsi="仿宋" w:eastAsia="仿宋_GB2312" w:cs="仿宋"/>
          <w:sz w:val="24"/>
          <w:szCs w:val="24"/>
        </w:rPr>
        <w:t xml:space="preserve"> </w:t>
      </w:r>
      <w:r>
        <w:rPr>
          <w:rFonts w:ascii="仿宋_GB2312" w:hAnsi="仿宋" w:eastAsia="仿宋_GB2312" w:cs="仿宋"/>
          <w:sz w:val="24"/>
          <w:szCs w:val="24"/>
        </w:rPr>
        <w:t>1节7号碱性电池供电，最高可连续记录96小时以上</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1.3</w:t>
      </w:r>
      <w:r>
        <w:rPr>
          <w:rFonts w:hint="eastAsia" w:ascii="仿宋_GB2312" w:hAnsi="仿宋" w:eastAsia="仿宋_GB2312" w:cs="仿宋"/>
          <w:sz w:val="24"/>
          <w:szCs w:val="24"/>
        </w:rPr>
        <w:t xml:space="preserve"> </w:t>
      </w:r>
      <w:r>
        <w:rPr>
          <w:rFonts w:ascii="仿宋_GB2312" w:hAnsi="仿宋" w:eastAsia="仿宋_GB2312" w:cs="仿宋"/>
          <w:sz w:val="24"/>
          <w:szCs w:val="24"/>
        </w:rPr>
        <w:t xml:space="preserve">内置起搏器信号采集电路，3导和12导均可独立检测起搏器信号。 </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1.4</w:t>
      </w:r>
      <w:r>
        <w:rPr>
          <w:rFonts w:hint="eastAsia" w:ascii="仿宋_GB2312" w:hAnsi="仿宋" w:eastAsia="仿宋_GB2312" w:cs="仿宋"/>
          <w:sz w:val="24"/>
          <w:szCs w:val="24"/>
        </w:rPr>
        <w:t xml:space="preserve"> *</w:t>
      </w:r>
      <w:r>
        <w:rPr>
          <w:rFonts w:ascii="仿宋_GB2312" w:hAnsi="仿宋" w:eastAsia="仿宋_GB2312" w:cs="仿宋"/>
          <w:sz w:val="24"/>
          <w:szCs w:val="24"/>
        </w:rPr>
        <w:t>自动检测起搏器，当检测到起搏器时采样率为10000Hz；未检测到起搏器时，采样率为4000Hz</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1.5</w:t>
      </w:r>
      <w:r>
        <w:rPr>
          <w:rFonts w:hint="eastAsia" w:ascii="仿宋_GB2312" w:hAnsi="仿宋" w:eastAsia="仿宋_GB2312" w:cs="仿宋"/>
          <w:sz w:val="24"/>
          <w:szCs w:val="24"/>
        </w:rPr>
        <w:t xml:space="preserve"> </w:t>
      </w:r>
      <w:r>
        <w:rPr>
          <w:rFonts w:ascii="仿宋_GB2312" w:hAnsi="仿宋" w:eastAsia="仿宋_GB2312" w:cs="仿宋"/>
          <w:sz w:val="24"/>
          <w:szCs w:val="24"/>
        </w:rPr>
        <w:t>可采集最小脉宽0.1ms，最小幅值2mv的起搏器信号</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1.6</w:t>
      </w:r>
      <w:r>
        <w:rPr>
          <w:rFonts w:hint="eastAsia" w:ascii="仿宋_GB2312" w:hAnsi="仿宋" w:eastAsia="仿宋_GB2312" w:cs="仿宋"/>
          <w:sz w:val="24"/>
          <w:szCs w:val="24"/>
        </w:rPr>
        <w:t xml:space="preserve"> </w:t>
      </w:r>
      <w:r>
        <w:rPr>
          <w:rFonts w:ascii="仿宋_GB2312" w:hAnsi="仿宋" w:eastAsia="仿宋_GB2312" w:cs="仿宋"/>
          <w:sz w:val="24"/>
          <w:szCs w:val="24"/>
        </w:rPr>
        <w:t>采用SD卡存储心电数据，SD卡容量为</w:t>
      </w:r>
      <w:r>
        <w:rPr>
          <w:rFonts w:hint="eastAsia" w:ascii="仿宋_GB2312" w:hAnsi="仿宋" w:eastAsia="仿宋_GB2312" w:cs="仿宋"/>
          <w:sz w:val="24"/>
          <w:szCs w:val="24"/>
        </w:rPr>
        <w:t>≥</w:t>
      </w:r>
      <w:r>
        <w:rPr>
          <w:rFonts w:ascii="仿宋_GB2312" w:hAnsi="仿宋" w:eastAsia="仿宋_GB2312" w:cs="仿宋"/>
          <w:sz w:val="24"/>
          <w:szCs w:val="24"/>
        </w:rPr>
        <w:t>4GB，可增配多张SD卡</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1.7</w:t>
      </w:r>
      <w:r>
        <w:rPr>
          <w:rFonts w:hint="eastAsia" w:ascii="仿宋_GB2312" w:hAnsi="仿宋" w:eastAsia="仿宋_GB2312" w:cs="仿宋"/>
          <w:sz w:val="24"/>
          <w:szCs w:val="24"/>
        </w:rPr>
        <w:t xml:space="preserve"> </w:t>
      </w:r>
      <w:r>
        <w:rPr>
          <w:rFonts w:ascii="仿宋_GB2312" w:hAnsi="仿宋" w:eastAsia="仿宋_GB2312" w:cs="仿宋"/>
          <w:sz w:val="24"/>
          <w:szCs w:val="24"/>
        </w:rPr>
        <w:t>记录时间可选24、48小时，或连续记忆模式</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1.8</w:t>
      </w:r>
      <w:r>
        <w:rPr>
          <w:rFonts w:hint="eastAsia" w:ascii="仿宋_GB2312" w:hAnsi="仿宋" w:eastAsia="仿宋_GB2312" w:cs="仿宋"/>
          <w:sz w:val="24"/>
          <w:szCs w:val="24"/>
        </w:rPr>
        <w:t xml:space="preserve"> *</w:t>
      </w:r>
      <w:r>
        <w:rPr>
          <w:rFonts w:ascii="仿宋_GB2312" w:hAnsi="仿宋" w:eastAsia="仿宋_GB2312" w:cs="仿宋"/>
          <w:sz w:val="24"/>
          <w:szCs w:val="24"/>
        </w:rPr>
        <w:t>记录盒可实时显示电池电量和导联线脱落情况，当电池电量不足或者导联线脱落时，采用蜂鸣器和指示灯的方式报警，导联连接正常时，记录盒可自动开始记录</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w:t>
      </w:r>
      <w:r>
        <w:rPr>
          <w:rFonts w:ascii="仿宋_GB2312" w:hAnsi="仿宋" w:eastAsia="仿宋_GB2312" w:cs="仿宋"/>
          <w:sz w:val="24"/>
          <w:szCs w:val="24"/>
        </w:rPr>
        <w:t>软件分析功能</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2.1</w:t>
      </w:r>
      <w:r>
        <w:rPr>
          <w:rFonts w:hint="eastAsia" w:ascii="仿宋_GB2312" w:hAnsi="仿宋" w:eastAsia="仿宋_GB2312" w:cs="仿宋"/>
          <w:sz w:val="24"/>
          <w:szCs w:val="24"/>
        </w:rPr>
        <w:t xml:space="preserve"> </w:t>
      </w:r>
      <w:r>
        <w:rPr>
          <w:rFonts w:ascii="仿宋_GB2312" w:hAnsi="仿宋" w:eastAsia="仿宋_GB2312" w:cs="仿宋"/>
          <w:sz w:val="24"/>
          <w:szCs w:val="24"/>
        </w:rPr>
        <w:t>3导/12导兼容，可设定任意通道单独分析；3导联同步分析时，自动分析时间小于30秒</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2.2</w:t>
      </w:r>
      <w:r>
        <w:rPr>
          <w:rFonts w:hint="eastAsia" w:ascii="仿宋_GB2312" w:hAnsi="仿宋" w:eastAsia="仿宋_GB2312" w:cs="仿宋"/>
          <w:sz w:val="24"/>
          <w:szCs w:val="24"/>
        </w:rPr>
        <w:t xml:space="preserve"> </w:t>
      </w:r>
      <w:r>
        <w:rPr>
          <w:rFonts w:ascii="仿宋_GB2312" w:hAnsi="仿宋" w:eastAsia="仿宋_GB2312" w:cs="仿宋"/>
          <w:sz w:val="24"/>
          <w:szCs w:val="24"/>
        </w:rPr>
        <w:t>模板分析：可区分正常、房早、室早、起搏、伪差、疑问心搏模板，模板数目自适应，根据实际波形逐波生成，修改模板方便快捷，可反复修改、单波修改、多波修改功能，模板内同屏心拍叠加图</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2.3</w:t>
      </w:r>
      <w:r>
        <w:rPr>
          <w:rFonts w:hint="eastAsia" w:ascii="仿宋_GB2312" w:hAnsi="仿宋" w:eastAsia="仿宋_GB2312" w:cs="仿宋"/>
          <w:sz w:val="24"/>
          <w:szCs w:val="24"/>
        </w:rPr>
        <w:t xml:space="preserve"> </w:t>
      </w:r>
      <w:r>
        <w:rPr>
          <w:rFonts w:ascii="仿宋_GB2312" w:hAnsi="仿宋" w:eastAsia="仿宋_GB2312" w:cs="仿宋"/>
          <w:sz w:val="24"/>
          <w:szCs w:val="24"/>
        </w:rPr>
        <w:t>模板叠加分析功能：可对单个或多个模板内心搏进行叠加分析，可将形态不同的心搏进行快速区分</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2.4</w:t>
      </w:r>
      <w:r>
        <w:rPr>
          <w:rFonts w:hint="eastAsia" w:ascii="仿宋_GB2312" w:hAnsi="仿宋" w:eastAsia="仿宋_GB2312" w:cs="仿宋"/>
          <w:sz w:val="24"/>
          <w:szCs w:val="24"/>
        </w:rPr>
        <w:t xml:space="preserve"> *</w:t>
      </w:r>
      <w:r>
        <w:rPr>
          <w:rFonts w:ascii="仿宋_GB2312" w:hAnsi="仿宋" w:eastAsia="仿宋_GB2312" w:cs="仿宋"/>
          <w:sz w:val="24"/>
          <w:szCs w:val="24"/>
        </w:rPr>
        <w:t>直方图分析: 包括R-R间期、N-N间期、N-V间期、N-S间期、N-J间期、R-S间期、S-S间期、S-N间期、S-R间期、R-V间期、V-V间期、V-N间期、V-R间期、起搏到起搏、起搏到原发、原发到起搏、RR间期比、心率直方图在内的39种直方图，方便医生快速准确修正自动分析结果</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2.5</w:t>
      </w:r>
      <w:r>
        <w:rPr>
          <w:rFonts w:hint="eastAsia" w:ascii="仿宋_GB2312" w:hAnsi="仿宋" w:eastAsia="仿宋_GB2312" w:cs="仿宋"/>
          <w:sz w:val="24"/>
          <w:szCs w:val="24"/>
        </w:rPr>
        <w:t xml:space="preserve"> *</w:t>
      </w:r>
      <w:r>
        <w:rPr>
          <w:rFonts w:ascii="仿宋_GB2312" w:hAnsi="仿宋" w:eastAsia="仿宋_GB2312" w:cs="仿宋"/>
          <w:sz w:val="24"/>
          <w:szCs w:val="24"/>
        </w:rPr>
        <w:t>房颤、房扑自动分析：一键自动分析房颤，可准确定位房颤发生时间、持续时间和房颤段平均心率，房颤事件列表显示</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2.6 房颤、房扑手动分析：基于RR间期散点图和彭卡莱散点图的房颤分析工具，方便快速准确手工定位房颤、房扑的起始时间和持续时间</w:t>
      </w:r>
      <w:r>
        <w:rPr>
          <w:rFonts w:hint="eastAsia" w:ascii="仿宋_GB2312" w:hAnsi="仿宋" w:eastAsia="仿宋_GB2312" w:cs="仿宋"/>
          <w:sz w:val="24"/>
          <w:szCs w:val="24"/>
        </w:rPr>
        <w:t>。</w:t>
      </w:r>
      <w:r>
        <w:rPr>
          <w:rFonts w:ascii="仿宋_GB2312" w:hAnsi="仿宋" w:eastAsia="仿宋_GB2312" w:cs="仿宋"/>
          <w:sz w:val="24"/>
          <w:szCs w:val="24"/>
        </w:rPr>
        <w:t xml:space="preserve"> </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2.7 单独的起搏心搏模板</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2.8 起搏器分析：单独的起搏器分析工具，可自动区分房型单腔、室性单腔、双腔起搏钉类型，并以直方图加条图的方式显示</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2.9</w:t>
      </w:r>
      <w:r>
        <w:rPr>
          <w:rFonts w:hint="eastAsia" w:ascii="仿宋_GB2312" w:hAnsi="仿宋" w:eastAsia="仿宋_GB2312" w:cs="仿宋"/>
          <w:sz w:val="24"/>
          <w:szCs w:val="24"/>
        </w:rPr>
        <w:t xml:space="preserve"> </w:t>
      </w:r>
      <w:r>
        <w:rPr>
          <w:rFonts w:ascii="仿宋_GB2312" w:hAnsi="仿宋" w:eastAsia="仿宋_GB2312" w:cs="仿宋"/>
          <w:sz w:val="24"/>
          <w:szCs w:val="24"/>
        </w:rPr>
        <w:t>心率分析：可自动定位最快、最慢心率，单独的心率图分析工具</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2.10 心律失常事件列表：室早时间、房早事件、停搏事件、心率异常事件、ST段事件单独列表，可根据心律失常发生时间、模板编号、事件类型对事件进行排序</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2.11 心律失常事件直方图：根据心律失常次数描绘直方图，方便快速准确定位严重心律失常</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2.12全览图批量编辑：可以大面积选择心搏标记为伪差或者添加房颤事件、用户自定义事件</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2.13报告预览功能：可自动生成综述结论，结论术语可由用户自定义。报告预览中图条可再编辑</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2.14报告自定义功能:可自定义报告打印项目、页边距、字体、行距、图条打印通道和长度等信息</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2.15 心率变异性(HRV)分析：HRV频域、时域自动分析，可对全程、夜间及每小时的心搏进行HRV时域分析</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2.16 心率振荡（HRT）分析：可自动分析心率振荡时间，分析参数可设置</w:t>
      </w:r>
      <w:r>
        <w:rPr>
          <w:rFonts w:hint="eastAsia" w:ascii="仿宋_GB2312" w:hAnsi="仿宋" w:eastAsia="仿宋_GB2312" w:cs="仿宋"/>
          <w:sz w:val="24"/>
          <w:szCs w:val="24"/>
        </w:rPr>
        <w:t>。</w:t>
      </w:r>
      <w:r>
        <w:rPr>
          <w:rFonts w:ascii="仿宋_GB2312" w:hAnsi="仿宋" w:eastAsia="仿宋_GB2312" w:cs="仿宋"/>
          <w:sz w:val="24"/>
          <w:szCs w:val="24"/>
        </w:rPr>
        <w:t xml:space="preserve"> </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2.17 电子尺工具:测量尺可测量心电信号的间期和幅值,平行尺可代替分规功能</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2.18 ECG滤波功能:提供工频滤波和实时基线滤波功能,提高心电信号质量</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2.19 数据库管理功能：可根据病人姓名、ID号、性别、记录时间、分析医生等信息对记录进行查找和浏览，数据库中显示字段可自定义；病人记录可以进行备份、导入和删除操作</w:t>
      </w:r>
      <w:r>
        <w:rPr>
          <w:rFonts w:hint="eastAsia" w:ascii="仿宋_GB2312" w:hAnsi="仿宋" w:eastAsia="仿宋_GB2312" w:cs="仿宋"/>
          <w:sz w:val="24"/>
          <w:szCs w:val="24"/>
        </w:rPr>
        <w:t>。</w:t>
      </w:r>
    </w:p>
    <w:p>
      <w:pPr>
        <w:spacing w:line="420" w:lineRule="exact"/>
        <w:ind w:firstLine="420" w:firstLineChars="200"/>
        <w:rPr>
          <w:rFonts w:ascii="宋体" w:hAnsi="宋体"/>
          <w:szCs w:val="21"/>
        </w:rPr>
      </w:pPr>
    </w:p>
    <w:p>
      <w:pPr>
        <w:spacing w:line="420" w:lineRule="exact"/>
        <w:jc w:val="center"/>
        <w:rPr>
          <w:b/>
          <w:bCs/>
          <w:sz w:val="36"/>
          <w:szCs w:val="36"/>
        </w:rPr>
      </w:pPr>
      <w:r>
        <w:rPr>
          <w:rFonts w:hint="eastAsia"/>
          <w:b/>
          <w:bCs/>
          <w:sz w:val="36"/>
          <w:szCs w:val="36"/>
        </w:rPr>
        <w:t>02-10 24小时动态血压监护仪</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1.测量范围：收缩压60-260mmHg，舒张压30-195mmHg。</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2.测量精度：+ 3mmHg。</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3.充气压力：0-299mmHg。</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4.心率：30-200mmHg。</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5.记录容量：≥400条。</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6.测量方法：示波法，线性放气。</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7.测量模式：至少包括定时模式/自动模式/睡眠模式/自定义模式。</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8.测量间隔：至少包括5/10/15/20/30/60/120分钟。</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9.电池：两节AA（5号）碱性电池，支持至少200次测量。</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10.PC接口：至少包括红外/蓝牙/USB。</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11.自适应放气和充气技术。</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12.内置双处理器并行监控，保证测量安全。</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13.内置USB通讯接口，无需驱动即可快速连接至PC。</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14.用户不适时可按键快速停止测量并放气。</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15.提供血压脉搏波波形显示功能，辅助医生进行二次诊断。</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16.智能识别病人测量状态，包括静止、心律失常、轻/中/重度运动等。</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17.提供多种图表辅助分析工具，至少包括趋势图、相关图、饼图、直方图、昼夜规律图、比较图等；</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18.提供血压变异系数、夜间血压下降比、血压负荷、晨峰血压等分析指标。</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19.提供血压负荷、白大衣性高血压、隐匿性高血压、昼夜节律、动态动脉硬化指数等自动分析结论。</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20.支持双臂血压分析。</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21.支持网络信息平台，实现网络分析共享功能。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22.支持PDF报告打印，自定义模板报告，彩色打印等功能；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23.支持EXCEL导出功能。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24.提供24小时测量模式功能。</w:t>
      </w:r>
    </w:p>
    <w:p>
      <w:pPr>
        <w:spacing w:line="420" w:lineRule="exact"/>
        <w:ind w:firstLine="480" w:firstLineChars="200"/>
        <w:rPr>
          <w:rFonts w:ascii="仿宋_GB2312" w:hAnsi="仿宋" w:eastAsia="仿宋_GB2312" w:cs="仿宋"/>
          <w:sz w:val="24"/>
          <w:szCs w:val="24"/>
        </w:rPr>
      </w:pPr>
    </w:p>
    <w:p>
      <w:pPr>
        <w:spacing w:line="420" w:lineRule="exact"/>
        <w:jc w:val="center"/>
        <w:rPr>
          <w:rFonts w:ascii="黑体" w:hAnsi="Times New Roman" w:eastAsia="黑体"/>
          <w:b/>
          <w:sz w:val="22"/>
          <w:szCs w:val="32"/>
        </w:rPr>
      </w:pPr>
      <w:r>
        <w:rPr>
          <w:rFonts w:hint="eastAsia"/>
          <w:b/>
          <w:bCs/>
          <w:sz w:val="36"/>
          <w:szCs w:val="36"/>
        </w:rPr>
        <w:t>02-11 心电图机</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 xml:space="preserve">1.工作条件： </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 产品可在电源交流100伏-240伏，50/60赫兹，室温5-40℃和相对湿度25%RH-80%RH的环境下正常工作。</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2.ECG输入：</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 *ECG输入通道：标准</w:t>
      </w:r>
      <w:r>
        <w:rPr>
          <w:rFonts w:ascii="仿宋_GB2312" w:hAnsi="仿宋" w:eastAsia="仿宋_GB2312" w:cs="仿宋"/>
          <w:sz w:val="24"/>
          <w:szCs w:val="24"/>
        </w:rPr>
        <w:t>12</w:t>
      </w:r>
      <w:r>
        <w:rPr>
          <w:rFonts w:hint="eastAsia" w:ascii="仿宋_GB2312" w:hAnsi="仿宋" w:eastAsia="仿宋_GB2312" w:cs="仿宋"/>
          <w:sz w:val="24"/>
          <w:szCs w:val="24"/>
        </w:rPr>
        <w:t>导联心电信号同步采集。</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2.2 *导联选择：手动</w:t>
      </w:r>
      <w:r>
        <w:rPr>
          <w:rFonts w:ascii="仿宋_GB2312" w:hAnsi="仿宋" w:eastAsia="仿宋_GB2312" w:cs="仿宋"/>
          <w:sz w:val="24"/>
          <w:szCs w:val="24"/>
        </w:rPr>
        <w:t>/</w:t>
      </w:r>
      <w:r>
        <w:rPr>
          <w:rFonts w:hint="eastAsia" w:ascii="仿宋_GB2312" w:hAnsi="仿宋" w:eastAsia="仿宋_GB2312" w:cs="仿宋"/>
          <w:sz w:val="24"/>
          <w:szCs w:val="24"/>
        </w:rPr>
        <w:t>自动可选,（支持Nehb、Cabrera导联体系）。</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2.3 输入阻抗：</w:t>
      </w:r>
      <w:r>
        <w:rPr>
          <w:rFonts w:ascii="仿宋_GB2312" w:hAnsi="仿宋" w:eastAsia="仿宋_GB2312" w:cs="仿宋"/>
          <w:sz w:val="24"/>
          <w:szCs w:val="24"/>
        </w:rPr>
        <w:t>≥100M Ω</w:t>
      </w:r>
      <w:r>
        <w:rPr>
          <w:rFonts w:hint="eastAsia" w:ascii="仿宋_GB2312" w:hAnsi="仿宋" w:eastAsia="仿宋_GB2312" w:cs="仿宋"/>
          <w:sz w:val="24"/>
          <w:szCs w:val="24"/>
        </w:rPr>
        <w:t>（</w:t>
      </w:r>
      <w:r>
        <w:rPr>
          <w:rFonts w:ascii="仿宋_GB2312" w:hAnsi="仿宋" w:eastAsia="仿宋_GB2312" w:cs="仿宋"/>
          <w:sz w:val="24"/>
          <w:szCs w:val="24"/>
        </w:rPr>
        <w:t>10Hz</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2.4 频率响应：</w:t>
      </w:r>
      <w:r>
        <w:rPr>
          <w:rFonts w:ascii="仿宋_GB2312" w:hAnsi="仿宋" w:eastAsia="仿宋_GB2312" w:cs="仿宋"/>
          <w:sz w:val="24"/>
          <w:szCs w:val="24"/>
        </w:rPr>
        <w:t xml:space="preserve">0.01Hz </w:t>
      </w:r>
      <w:r>
        <w:rPr>
          <w:rFonts w:hint="eastAsia" w:ascii="仿宋_GB2312" w:hAnsi="仿宋" w:eastAsia="仿宋_GB2312" w:cs="仿宋"/>
          <w:sz w:val="24"/>
          <w:szCs w:val="24"/>
        </w:rPr>
        <w:t>-</w:t>
      </w:r>
      <w:r>
        <w:rPr>
          <w:rFonts w:ascii="仿宋_GB2312" w:hAnsi="仿宋" w:eastAsia="仿宋_GB2312" w:cs="仿宋"/>
          <w:sz w:val="24"/>
          <w:szCs w:val="24"/>
        </w:rPr>
        <w:t xml:space="preserve"> 300Hz </w:t>
      </w:r>
      <w:r>
        <w:rPr>
          <w:rFonts w:hint="eastAsia" w:ascii="仿宋_GB2312" w:hAnsi="仿宋" w:eastAsia="仿宋_GB2312" w:cs="仿宋"/>
          <w:sz w:val="24"/>
          <w:szCs w:val="24"/>
        </w:rPr>
        <w:t>（</w:t>
      </w:r>
      <w:r>
        <w:rPr>
          <w:rFonts w:ascii="仿宋_GB2312" w:hAnsi="仿宋" w:eastAsia="仿宋_GB2312" w:cs="仿宋"/>
          <w:sz w:val="24"/>
          <w:szCs w:val="24"/>
        </w:rPr>
        <w:t>+0.4</w:t>
      </w:r>
      <w:r>
        <w:rPr>
          <w:rFonts w:hint="eastAsia" w:ascii="仿宋_GB2312" w:hAnsi="仿宋" w:eastAsia="仿宋_GB2312" w:cs="仿宋"/>
          <w:sz w:val="24"/>
          <w:szCs w:val="24"/>
        </w:rPr>
        <w:t>dB-</w:t>
      </w:r>
      <w:r>
        <w:rPr>
          <w:rFonts w:ascii="仿宋_GB2312" w:hAnsi="仿宋" w:eastAsia="仿宋_GB2312" w:cs="仿宋"/>
          <w:sz w:val="24"/>
          <w:szCs w:val="24"/>
        </w:rPr>
        <w:t>3.0dB</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2.5 定标电压：</w:t>
      </w:r>
      <w:r>
        <w:rPr>
          <w:rFonts w:ascii="仿宋_GB2312" w:hAnsi="仿宋" w:eastAsia="仿宋_GB2312" w:cs="仿宋"/>
          <w:sz w:val="24"/>
          <w:szCs w:val="24"/>
        </w:rPr>
        <w:t>1mV</w:t>
      </w:r>
      <w:r>
        <w:rPr>
          <w:rFonts w:hint="eastAsia" w:ascii="仿宋_GB2312" w:hAnsi="仿宋" w:eastAsia="仿宋_GB2312" w:cs="仿宋"/>
          <w:sz w:val="24"/>
          <w:szCs w:val="24"/>
        </w:rPr>
        <w:t>±2%。</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2.6 耐极化电压：</w:t>
      </w:r>
      <w:r>
        <w:rPr>
          <w:rFonts w:ascii="仿宋_GB2312" w:hAnsi="仿宋" w:eastAsia="仿宋_GB2312" w:cs="仿宋"/>
          <w:sz w:val="24"/>
          <w:szCs w:val="24"/>
        </w:rPr>
        <w:t>±900mV</w:t>
      </w:r>
      <w:r>
        <w:rPr>
          <w:rFonts w:hint="eastAsia" w:ascii="仿宋_GB2312" w:hAnsi="仿宋" w:eastAsia="仿宋_GB2312" w:cs="仿宋"/>
          <w:sz w:val="24"/>
          <w:szCs w:val="24"/>
        </w:rPr>
        <w:t>（±5%） 。</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2.7 内部噪声：</w:t>
      </w:r>
      <w:r>
        <w:rPr>
          <w:rFonts w:ascii="仿宋_GB2312" w:hAnsi="仿宋" w:eastAsia="仿宋_GB2312" w:cs="仿宋"/>
          <w:sz w:val="24"/>
          <w:szCs w:val="24"/>
        </w:rPr>
        <w:t>≤</w:t>
      </w:r>
      <w:r>
        <w:rPr>
          <w:rFonts w:hint="eastAsia" w:ascii="仿宋_GB2312" w:hAnsi="仿宋" w:eastAsia="仿宋_GB2312" w:cs="仿宋"/>
          <w:sz w:val="24"/>
          <w:szCs w:val="24"/>
        </w:rPr>
        <w:t>12.5µVp-p。</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2.8 时间常数：≥</w:t>
      </w:r>
      <w:r>
        <w:rPr>
          <w:rFonts w:ascii="仿宋_GB2312" w:hAnsi="仿宋" w:eastAsia="仿宋_GB2312" w:cs="仿宋"/>
          <w:sz w:val="24"/>
          <w:szCs w:val="24"/>
        </w:rPr>
        <w:t>3.2 s</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2.9 *共模抑制比：≥</w:t>
      </w:r>
      <w:r>
        <w:rPr>
          <w:rFonts w:ascii="仿宋_GB2312" w:hAnsi="仿宋" w:eastAsia="仿宋_GB2312" w:cs="仿宋"/>
          <w:sz w:val="24"/>
          <w:szCs w:val="24"/>
        </w:rPr>
        <w:t>140dB</w:t>
      </w:r>
      <w:r>
        <w:rPr>
          <w:rFonts w:hint="eastAsia" w:ascii="仿宋_GB2312" w:hAnsi="仿宋" w:eastAsia="仿宋_GB2312" w:cs="仿宋"/>
          <w:sz w:val="24"/>
          <w:szCs w:val="24"/>
        </w:rPr>
        <w:t>（A</w:t>
      </w:r>
      <w:r>
        <w:rPr>
          <w:rFonts w:ascii="仿宋_GB2312" w:hAnsi="仿宋" w:eastAsia="仿宋_GB2312" w:cs="仿宋"/>
          <w:sz w:val="24"/>
          <w:szCs w:val="24"/>
        </w:rPr>
        <w:t>C</w:t>
      </w:r>
      <w:r>
        <w:rPr>
          <w:rFonts w:hint="eastAsia" w:ascii="仿宋_GB2312" w:hAnsi="仿宋" w:eastAsia="仿宋_GB2312" w:cs="仿宋"/>
          <w:sz w:val="24"/>
          <w:szCs w:val="24"/>
        </w:rPr>
        <w:t>滤波开启）；≥</w:t>
      </w:r>
      <w:r>
        <w:rPr>
          <w:rFonts w:ascii="仿宋_GB2312" w:hAnsi="仿宋" w:eastAsia="仿宋_GB2312" w:cs="仿宋"/>
          <w:sz w:val="24"/>
          <w:szCs w:val="24"/>
        </w:rPr>
        <w:t>123dB</w:t>
      </w:r>
      <w:r>
        <w:rPr>
          <w:rFonts w:hint="eastAsia" w:ascii="仿宋_GB2312" w:hAnsi="仿宋" w:eastAsia="仿宋_GB2312" w:cs="仿宋"/>
          <w:sz w:val="24"/>
          <w:szCs w:val="24"/>
        </w:rPr>
        <w:t>（A</w:t>
      </w:r>
      <w:r>
        <w:rPr>
          <w:rFonts w:ascii="仿宋_GB2312" w:hAnsi="仿宋" w:eastAsia="仿宋_GB2312" w:cs="仿宋"/>
          <w:sz w:val="24"/>
          <w:szCs w:val="24"/>
        </w:rPr>
        <w:t>C</w:t>
      </w:r>
      <w:r>
        <w:rPr>
          <w:rFonts w:hint="eastAsia" w:ascii="仿宋_GB2312" w:hAnsi="仿宋" w:eastAsia="仿宋_GB2312" w:cs="仿宋"/>
          <w:sz w:val="24"/>
          <w:szCs w:val="24"/>
        </w:rPr>
        <w:t>滤波关闭）。</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2.10 输入电流：≤0.01μA。</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3.波形处理：</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3.1 *A/D转换：24</w:t>
      </w:r>
      <w:r>
        <w:rPr>
          <w:rFonts w:ascii="仿宋_GB2312" w:hAnsi="仿宋" w:eastAsia="仿宋_GB2312" w:cs="仿宋"/>
          <w:sz w:val="24"/>
          <w:szCs w:val="24"/>
        </w:rPr>
        <w:t>bit</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3.2 采样率：</w:t>
      </w:r>
      <w:r>
        <w:rPr>
          <w:rFonts w:ascii="仿宋_GB2312" w:hAnsi="仿宋" w:eastAsia="仿宋_GB2312" w:cs="仿宋"/>
          <w:sz w:val="24"/>
          <w:szCs w:val="24"/>
        </w:rPr>
        <w:t>16</w:t>
      </w:r>
      <w:r>
        <w:rPr>
          <w:rFonts w:hint="eastAsia" w:ascii="仿宋_GB2312" w:hAnsi="仿宋" w:eastAsia="仿宋_GB2312" w:cs="仿宋"/>
          <w:sz w:val="24"/>
          <w:szCs w:val="24"/>
        </w:rPr>
        <w:t>k</w:t>
      </w:r>
      <w:r>
        <w:rPr>
          <w:rFonts w:ascii="仿宋_GB2312" w:hAnsi="仿宋" w:eastAsia="仿宋_GB2312" w:cs="仿宋"/>
          <w:sz w:val="24"/>
          <w:szCs w:val="24"/>
        </w:rPr>
        <w:t>Hz</w:t>
      </w:r>
      <w:r>
        <w:rPr>
          <w:rFonts w:hint="eastAsia" w:ascii="仿宋_GB2312" w:hAnsi="仿宋" w:eastAsia="仿宋_GB2312" w:cs="仿宋"/>
          <w:sz w:val="24"/>
          <w:szCs w:val="24"/>
        </w:rPr>
        <w:t>，每导联。</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3.3 灵敏度选择：</w:t>
      </w:r>
      <w:r>
        <w:rPr>
          <w:rFonts w:ascii="仿宋_GB2312" w:hAnsi="仿宋" w:eastAsia="仿宋_GB2312" w:cs="仿宋"/>
          <w:sz w:val="24"/>
          <w:szCs w:val="24"/>
        </w:rPr>
        <w:t>1.25</w:t>
      </w:r>
      <w:r>
        <w:rPr>
          <w:rFonts w:hint="eastAsia" w:ascii="仿宋_GB2312" w:hAnsi="仿宋" w:eastAsia="仿宋_GB2312" w:cs="仿宋"/>
          <w:sz w:val="24"/>
          <w:szCs w:val="24"/>
        </w:rPr>
        <w:t>、2.5、</w:t>
      </w:r>
      <w:r>
        <w:rPr>
          <w:rFonts w:ascii="仿宋_GB2312" w:hAnsi="仿宋" w:eastAsia="仿宋_GB2312" w:cs="仿宋"/>
          <w:sz w:val="24"/>
          <w:szCs w:val="24"/>
        </w:rPr>
        <w:t>5</w:t>
      </w:r>
      <w:r>
        <w:rPr>
          <w:rFonts w:hint="eastAsia" w:ascii="仿宋_GB2312" w:hAnsi="仿宋" w:eastAsia="仿宋_GB2312" w:cs="仿宋"/>
          <w:sz w:val="24"/>
          <w:szCs w:val="24"/>
        </w:rPr>
        <w:t>、</w:t>
      </w:r>
      <w:r>
        <w:rPr>
          <w:rFonts w:ascii="仿宋_GB2312" w:hAnsi="仿宋" w:eastAsia="仿宋_GB2312" w:cs="仿宋"/>
          <w:sz w:val="24"/>
          <w:szCs w:val="24"/>
        </w:rPr>
        <w:t>10</w:t>
      </w:r>
      <w:r>
        <w:rPr>
          <w:rFonts w:hint="eastAsia" w:ascii="仿宋_GB2312" w:hAnsi="仿宋" w:eastAsia="仿宋_GB2312" w:cs="仿宋"/>
          <w:sz w:val="24"/>
          <w:szCs w:val="24"/>
        </w:rPr>
        <w:t>、</w:t>
      </w:r>
      <w:r>
        <w:rPr>
          <w:rFonts w:ascii="仿宋_GB2312" w:hAnsi="仿宋" w:eastAsia="仿宋_GB2312" w:cs="仿宋"/>
          <w:sz w:val="24"/>
          <w:szCs w:val="24"/>
        </w:rPr>
        <w:t>20</w:t>
      </w:r>
      <w:r>
        <w:rPr>
          <w:rFonts w:hint="eastAsia" w:ascii="仿宋_GB2312" w:hAnsi="仿宋" w:eastAsia="仿宋_GB2312" w:cs="仿宋"/>
          <w:sz w:val="24"/>
          <w:szCs w:val="24"/>
        </w:rPr>
        <w:t>、10/5、自动（AGC</w:t>
      </w:r>
      <w:r>
        <w:rPr>
          <w:rFonts w:ascii="仿宋_GB2312" w:hAnsi="仿宋" w:eastAsia="仿宋_GB2312" w:cs="仿宋"/>
          <w:sz w:val="24"/>
          <w:szCs w:val="24"/>
        </w:rPr>
        <w:t>）mm/mV</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3.4 抗干扰滤波：具有交流滤波、肌电滤波、基线漂移滤波、低通滤波功能。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3.5 自动分析功能：具有</w:t>
      </w:r>
      <w:r>
        <w:rPr>
          <w:rFonts w:ascii="仿宋_GB2312" w:hAnsi="仿宋" w:eastAsia="仿宋_GB2312" w:cs="仿宋"/>
          <w:sz w:val="24"/>
          <w:szCs w:val="24"/>
        </w:rPr>
        <w:t>12</w:t>
      </w:r>
      <w:r>
        <w:rPr>
          <w:rFonts w:hint="eastAsia" w:ascii="仿宋_GB2312" w:hAnsi="仿宋" w:eastAsia="仿宋_GB2312" w:cs="仿宋"/>
          <w:sz w:val="24"/>
          <w:szCs w:val="24"/>
        </w:rPr>
        <w:t>导联同步自动分析以及RR分析功能。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3.6 自诊断功能：具有设备自诊断及故障提示功能。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4.存储器</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4.1 设备内置存储器，存储病历≥800例。</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4.2 数据可通过SD卡、USB口导入导出。</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 xml:space="preserve">4.3 </w:t>
      </w:r>
      <w:r>
        <w:rPr>
          <w:rFonts w:ascii="仿宋_GB2312" w:hAnsi="仿宋" w:eastAsia="仿宋_GB2312" w:cs="仿宋"/>
          <w:sz w:val="24"/>
          <w:szCs w:val="24"/>
        </w:rPr>
        <w:t>支持外接U盘和SD卡可扩展存储空间</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5.显示器：</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5.1 ≥7英寸彩色液晶显示屏（可选配触摸屏），倾斜角设计，支持显示背景网格。</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5.2 显示信息：同屏显示12导同步心电波形。</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5.3 显示内容至少包含波形、心率、导联、走纸速度、增益、滤波器、时间、电池电量指示、输入法、文件、信息提示区、中文患者信息等。</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6.记录器：</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6.1 热敏式点阵打印机。</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6.2 走纸速度：5、6.25、10、12.5、</w:t>
      </w:r>
      <w:r>
        <w:rPr>
          <w:rFonts w:ascii="仿宋_GB2312" w:hAnsi="仿宋" w:eastAsia="仿宋_GB2312" w:cs="仿宋"/>
          <w:sz w:val="24"/>
          <w:szCs w:val="24"/>
        </w:rPr>
        <w:t>25</w:t>
      </w:r>
      <w:r>
        <w:rPr>
          <w:rFonts w:hint="eastAsia" w:ascii="仿宋_GB2312" w:hAnsi="仿宋" w:eastAsia="仿宋_GB2312" w:cs="仿宋"/>
          <w:sz w:val="24"/>
          <w:szCs w:val="24"/>
        </w:rPr>
        <w:t>、</w:t>
      </w:r>
      <w:r>
        <w:rPr>
          <w:rFonts w:ascii="仿宋_GB2312" w:hAnsi="仿宋" w:eastAsia="仿宋_GB2312" w:cs="仿宋"/>
          <w:sz w:val="24"/>
          <w:szCs w:val="24"/>
        </w:rPr>
        <w:t xml:space="preserve">50 mm/s </w:t>
      </w:r>
      <w:r>
        <w:rPr>
          <w:rFonts w:hint="eastAsia" w:ascii="仿宋_GB2312" w:hAnsi="仿宋" w:eastAsia="仿宋_GB2312" w:cs="仿宋"/>
          <w:sz w:val="24"/>
          <w:szCs w:val="24"/>
        </w:rPr>
        <w:t>（</w:t>
      </w:r>
      <w:r>
        <w:rPr>
          <w:rFonts w:ascii="仿宋_GB2312" w:hAnsi="仿宋" w:eastAsia="仿宋_GB2312" w:cs="仿宋"/>
          <w:sz w:val="24"/>
          <w:szCs w:val="24"/>
        </w:rPr>
        <w:t>±3%</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6.3 记录通道：3×4、3×4+1</w:t>
      </w:r>
      <w:r>
        <w:rPr>
          <w:rFonts w:ascii="仿宋_GB2312" w:hAnsi="仿宋" w:eastAsia="仿宋_GB2312" w:cs="仿宋"/>
          <w:sz w:val="24"/>
          <w:szCs w:val="24"/>
        </w:rPr>
        <w:t>R</w:t>
      </w:r>
      <w:r>
        <w:rPr>
          <w:rFonts w:hint="eastAsia" w:ascii="仿宋_GB2312" w:hAnsi="仿宋" w:eastAsia="仿宋_GB2312" w:cs="仿宋"/>
          <w:sz w:val="24"/>
          <w:szCs w:val="24"/>
        </w:rPr>
        <w:t>、3×4+3</w:t>
      </w:r>
      <w:r>
        <w:rPr>
          <w:rFonts w:ascii="仿宋_GB2312" w:hAnsi="仿宋" w:eastAsia="仿宋_GB2312" w:cs="仿宋"/>
          <w:sz w:val="24"/>
          <w:szCs w:val="24"/>
        </w:rPr>
        <w:t>R</w:t>
      </w:r>
      <w:r>
        <w:rPr>
          <w:rFonts w:hint="eastAsia" w:ascii="仿宋_GB2312" w:hAnsi="仿宋" w:eastAsia="仿宋_GB2312" w:cs="仿宋"/>
          <w:sz w:val="24"/>
          <w:szCs w:val="24"/>
        </w:rPr>
        <w:t>、6×2、6×2+1</w:t>
      </w:r>
      <w:r>
        <w:rPr>
          <w:rFonts w:ascii="仿宋_GB2312" w:hAnsi="仿宋" w:eastAsia="仿宋_GB2312" w:cs="仿宋"/>
          <w:sz w:val="24"/>
          <w:szCs w:val="24"/>
        </w:rPr>
        <w:t>R</w:t>
      </w:r>
      <w:r>
        <w:rPr>
          <w:rFonts w:hint="eastAsia" w:ascii="仿宋_GB2312" w:hAnsi="仿宋" w:eastAsia="仿宋_GB2312" w:cs="仿宋"/>
          <w:sz w:val="24"/>
          <w:szCs w:val="24"/>
        </w:rPr>
        <w:t xml:space="preserve">、12×1。 </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7.1 具有性别、年龄组快速切换键。</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7.2 可准确判定接触不良的电极并予以指示。</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7.3 具有自动测量功能和自动诊断功能。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7.4 手动、自动、节律、</w:t>
      </w:r>
      <w:r>
        <w:rPr>
          <w:rFonts w:ascii="仿宋_GB2312" w:hAnsi="仿宋" w:eastAsia="仿宋_GB2312" w:cs="仿宋"/>
          <w:sz w:val="24"/>
          <w:szCs w:val="24"/>
        </w:rPr>
        <w:t>R-R</w:t>
      </w:r>
      <w:r>
        <w:rPr>
          <w:rFonts w:hint="eastAsia" w:ascii="仿宋_GB2312" w:hAnsi="仿宋" w:eastAsia="仿宋_GB2312" w:cs="仿宋"/>
          <w:sz w:val="24"/>
          <w:szCs w:val="24"/>
        </w:rPr>
        <w:t>四种工作模式可供选择。</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7.5 自动模式下可以支持10-60s时间的采集，记录，存储，传输。</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7.6 支持实时采样、触发采样、周期采样模式，支持心律失常检测自动延时打印报告。</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7.7 具有长时间波形冻结功能，方便医生对所需区间的波形进行更好的观察、分析、并选择所需要的时间段进行记录。</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7.8 具有病历管理功能，可进行病历查询、预览、修改、传输、打印，方便医生调阅病人信息。</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8.外部输入接口：至少包括USB接口、网络接口、</w:t>
      </w:r>
      <w:r>
        <w:rPr>
          <w:rFonts w:ascii="仿宋_GB2312" w:hAnsi="仿宋" w:eastAsia="仿宋_GB2312" w:cs="仿宋"/>
          <w:sz w:val="24"/>
          <w:szCs w:val="24"/>
        </w:rPr>
        <w:t>外部输入输出端口</w:t>
      </w:r>
      <w:r>
        <w:rPr>
          <w:rFonts w:hint="eastAsia" w:ascii="仿宋_GB2312" w:hAnsi="仿宋" w:eastAsia="仿宋_GB2312" w:cs="仿宋"/>
          <w:sz w:val="24"/>
          <w:szCs w:val="24"/>
        </w:rPr>
        <w:t>、SD卡接口。</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9.具有外部隐藏式提手。</w:t>
      </w:r>
    </w:p>
    <w:p>
      <w:pPr>
        <w:spacing w:line="420" w:lineRule="exact"/>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10.电源：交直流两用，自动转换；交流电源：交流</w:t>
      </w:r>
      <w:r>
        <w:rPr>
          <w:rFonts w:ascii="仿宋_GB2312" w:hAnsi="仿宋" w:eastAsia="仿宋_GB2312" w:cs="仿宋"/>
          <w:sz w:val="24"/>
          <w:szCs w:val="24"/>
        </w:rPr>
        <w:t xml:space="preserve"> </w:t>
      </w:r>
      <w:r>
        <w:rPr>
          <w:rFonts w:hint="eastAsia" w:ascii="仿宋_GB2312" w:hAnsi="仿宋" w:eastAsia="仿宋_GB2312" w:cs="仿宋"/>
          <w:sz w:val="24"/>
          <w:szCs w:val="24"/>
        </w:rPr>
        <w:t>100</w:t>
      </w:r>
      <w:r>
        <w:rPr>
          <w:rFonts w:ascii="仿宋_GB2312" w:hAnsi="仿宋" w:eastAsia="仿宋_GB2312" w:cs="仿宋"/>
          <w:sz w:val="24"/>
          <w:szCs w:val="24"/>
        </w:rPr>
        <w:t>V</w:t>
      </w:r>
      <w:r>
        <w:rPr>
          <w:rFonts w:hint="eastAsia" w:ascii="仿宋_GB2312" w:hAnsi="仿宋" w:eastAsia="仿宋_GB2312" w:cs="仿宋"/>
          <w:sz w:val="24"/>
          <w:szCs w:val="24"/>
        </w:rPr>
        <w:t>-240V，</w:t>
      </w:r>
      <w:r>
        <w:rPr>
          <w:rFonts w:ascii="仿宋_GB2312" w:hAnsi="仿宋" w:eastAsia="仿宋_GB2312" w:cs="仿宋"/>
          <w:sz w:val="24"/>
          <w:szCs w:val="24"/>
        </w:rPr>
        <w:t>50Hz</w:t>
      </w:r>
      <w:r>
        <w:rPr>
          <w:rFonts w:hint="eastAsia" w:ascii="仿宋_GB2312" w:hAnsi="仿宋" w:eastAsia="仿宋_GB2312" w:cs="仿宋"/>
          <w:sz w:val="24"/>
          <w:szCs w:val="24"/>
        </w:rPr>
        <w:t xml:space="preserve">/60Hz； 直流电源：内置可充电锂离子电池，充足后可正常工作时间4小时以上。 </w:t>
      </w:r>
    </w:p>
    <w:p>
      <w:pPr>
        <w:pStyle w:val="2"/>
        <w:rPr>
          <w:rFonts w:hint="eastAsia"/>
        </w:rPr>
      </w:pPr>
    </w:p>
    <w:p/>
    <w:p>
      <w:pPr>
        <w:jc w:val="left"/>
        <w:rPr>
          <w:rFonts w:ascii="方正小标宋简体" w:eastAsia="方正小标宋简体"/>
          <w:b/>
          <w:sz w:val="28"/>
          <w:szCs w:val="28"/>
        </w:rPr>
      </w:pPr>
      <w:r>
        <w:rPr>
          <w:rFonts w:hint="eastAsia" w:ascii="方正小标宋简体" w:eastAsia="方正小标宋简体"/>
          <w:b/>
          <w:sz w:val="28"/>
          <w:szCs w:val="28"/>
        </w:rPr>
        <w:t>包3</w:t>
      </w:r>
    </w:p>
    <w:tbl>
      <w:tblPr>
        <w:tblStyle w:val="47"/>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3045"/>
        <w:gridCol w:w="1076"/>
        <w:gridCol w:w="1146"/>
        <w:gridCol w:w="3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序号</w:t>
            </w:r>
          </w:p>
        </w:tc>
        <w:tc>
          <w:tcPr>
            <w:tcW w:w="3045"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设备名称</w:t>
            </w:r>
          </w:p>
        </w:tc>
        <w:tc>
          <w:tcPr>
            <w:tcW w:w="1076"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数量</w:t>
            </w:r>
          </w:p>
        </w:tc>
        <w:tc>
          <w:tcPr>
            <w:tcW w:w="1146"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单位</w:t>
            </w:r>
          </w:p>
        </w:tc>
        <w:tc>
          <w:tcPr>
            <w:tcW w:w="3409"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1</w:t>
            </w:r>
          </w:p>
        </w:tc>
        <w:tc>
          <w:tcPr>
            <w:tcW w:w="3045" w:type="dxa"/>
            <w:shd w:val="clear" w:color="auto" w:fill="auto"/>
          </w:tcPr>
          <w:p>
            <w:pPr>
              <w:spacing w:line="360" w:lineRule="auto"/>
              <w:jc w:val="left"/>
              <w:rPr>
                <w:rFonts w:ascii="仿宋_GB2312" w:eastAsia="仿宋_GB2312"/>
                <w:sz w:val="24"/>
                <w:szCs w:val="24"/>
              </w:rPr>
            </w:pPr>
            <w:r>
              <w:rPr>
                <w:rFonts w:hint="eastAsia" w:ascii="仿宋_GB2312" w:eastAsia="仿宋_GB2312"/>
                <w:sz w:val="24"/>
                <w:szCs w:val="24"/>
              </w:rPr>
              <w:t>电子阴道镜</w:t>
            </w:r>
          </w:p>
        </w:tc>
        <w:tc>
          <w:tcPr>
            <w:tcW w:w="1076" w:type="dxa"/>
            <w:shd w:val="clear" w:color="auto" w:fill="auto"/>
          </w:tcPr>
          <w:p>
            <w:pPr>
              <w:spacing w:line="360" w:lineRule="auto"/>
              <w:jc w:val="center"/>
              <w:rPr>
                <w:rFonts w:ascii="仿宋_GB2312" w:eastAsia="仿宋_GB2312"/>
                <w:color w:val="FF0000"/>
                <w:sz w:val="24"/>
                <w:szCs w:val="24"/>
              </w:rPr>
            </w:pPr>
            <w:r>
              <w:rPr>
                <w:rFonts w:hint="eastAsia" w:ascii="仿宋_GB2312" w:eastAsia="仿宋_GB2312"/>
                <w:color w:val="FF0000"/>
                <w:sz w:val="24"/>
                <w:szCs w:val="24"/>
              </w:rPr>
              <w:t>1</w:t>
            </w:r>
          </w:p>
        </w:tc>
        <w:tc>
          <w:tcPr>
            <w:tcW w:w="1146"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台</w:t>
            </w:r>
          </w:p>
        </w:tc>
        <w:tc>
          <w:tcPr>
            <w:tcW w:w="3409" w:type="dxa"/>
            <w:shd w:val="clear" w:color="auto" w:fill="auto"/>
          </w:tcPr>
          <w:p>
            <w:pPr>
              <w:spacing w:line="360" w:lineRule="auto"/>
              <w:rPr>
                <w:rFonts w:ascii="仿宋_GB2312" w:eastAsia="仿宋_GB2312"/>
                <w:sz w:val="24"/>
                <w:szCs w:val="24"/>
              </w:rPr>
            </w:pPr>
            <w:r>
              <w:rPr>
                <w:rFonts w:hint="eastAsia" w:ascii="仿宋_GB2312" w:eastAsia="仿宋_GB2312"/>
                <w:sz w:val="24"/>
                <w:szCs w:val="24"/>
              </w:rPr>
              <w:t>妇产科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2</w:t>
            </w:r>
          </w:p>
        </w:tc>
        <w:tc>
          <w:tcPr>
            <w:tcW w:w="3045" w:type="dxa"/>
            <w:shd w:val="clear" w:color="auto" w:fill="auto"/>
          </w:tcPr>
          <w:p>
            <w:pPr>
              <w:spacing w:line="420" w:lineRule="exact"/>
              <w:jc w:val="left"/>
              <w:rPr>
                <w:rFonts w:ascii="仿宋_GB2312" w:eastAsia="仿宋_GB2312"/>
                <w:sz w:val="24"/>
                <w:szCs w:val="24"/>
              </w:rPr>
            </w:pPr>
            <w:r>
              <w:rPr>
                <w:rFonts w:hint="eastAsia" w:ascii="仿宋_GB2312" w:eastAsia="仿宋_GB2312"/>
                <w:sz w:val="24"/>
                <w:szCs w:val="24"/>
              </w:rPr>
              <w:t>空气波治疗仪</w:t>
            </w:r>
          </w:p>
        </w:tc>
        <w:tc>
          <w:tcPr>
            <w:tcW w:w="1076" w:type="dxa"/>
            <w:shd w:val="clear" w:color="auto" w:fill="auto"/>
          </w:tcPr>
          <w:p>
            <w:pPr>
              <w:spacing w:line="420" w:lineRule="exact"/>
              <w:jc w:val="center"/>
              <w:rPr>
                <w:rFonts w:ascii="仿宋_GB2312" w:eastAsia="仿宋_GB2312"/>
                <w:color w:val="FF0000"/>
                <w:sz w:val="24"/>
                <w:szCs w:val="24"/>
              </w:rPr>
            </w:pPr>
            <w:r>
              <w:rPr>
                <w:rFonts w:hint="eastAsia" w:ascii="仿宋_GB2312" w:eastAsia="仿宋_GB2312"/>
                <w:color w:val="FF0000"/>
                <w:sz w:val="24"/>
                <w:szCs w:val="24"/>
              </w:rPr>
              <w:t>3</w:t>
            </w:r>
          </w:p>
        </w:tc>
        <w:tc>
          <w:tcPr>
            <w:tcW w:w="1146"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台</w:t>
            </w:r>
          </w:p>
        </w:tc>
        <w:tc>
          <w:tcPr>
            <w:tcW w:w="3409" w:type="dxa"/>
            <w:shd w:val="clear" w:color="auto" w:fill="auto"/>
          </w:tcPr>
          <w:p>
            <w:pPr>
              <w:spacing w:line="300" w:lineRule="exact"/>
              <w:rPr>
                <w:rFonts w:ascii="仿宋_GB2312" w:eastAsia="仿宋_GB2312"/>
                <w:sz w:val="24"/>
                <w:szCs w:val="24"/>
              </w:rPr>
            </w:pPr>
            <w:r>
              <w:rPr>
                <w:rFonts w:hint="eastAsia" w:ascii="仿宋_GB2312" w:eastAsia="仿宋_GB2312"/>
                <w:sz w:val="24"/>
                <w:szCs w:val="24"/>
              </w:rPr>
              <w:t>ICU、妇产科、针灸科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3</w:t>
            </w:r>
          </w:p>
        </w:tc>
        <w:tc>
          <w:tcPr>
            <w:tcW w:w="3045" w:type="dxa"/>
            <w:shd w:val="clear" w:color="auto" w:fill="auto"/>
          </w:tcPr>
          <w:p>
            <w:pPr>
              <w:spacing w:line="420" w:lineRule="exact"/>
              <w:jc w:val="left"/>
              <w:rPr>
                <w:rFonts w:ascii="仿宋_GB2312" w:eastAsia="仿宋_GB2312"/>
                <w:sz w:val="24"/>
                <w:szCs w:val="24"/>
              </w:rPr>
            </w:pPr>
            <w:r>
              <w:rPr>
                <w:rFonts w:hint="eastAsia" w:ascii="仿宋_GB2312" w:eastAsia="仿宋_GB2312"/>
                <w:sz w:val="24"/>
                <w:szCs w:val="24"/>
              </w:rPr>
              <w:t>气囊压力表</w:t>
            </w:r>
          </w:p>
        </w:tc>
        <w:tc>
          <w:tcPr>
            <w:tcW w:w="1076" w:type="dxa"/>
            <w:shd w:val="clear" w:color="auto" w:fill="auto"/>
          </w:tcPr>
          <w:p>
            <w:pPr>
              <w:spacing w:line="420" w:lineRule="exact"/>
              <w:jc w:val="center"/>
              <w:rPr>
                <w:rFonts w:ascii="仿宋_GB2312" w:eastAsia="仿宋_GB2312"/>
                <w:color w:val="FF0000"/>
                <w:sz w:val="24"/>
                <w:szCs w:val="24"/>
              </w:rPr>
            </w:pPr>
            <w:bookmarkStart w:id="234" w:name="_GoBack"/>
            <w:bookmarkEnd w:id="234"/>
            <w:r>
              <w:rPr>
                <w:rFonts w:hint="eastAsia" w:ascii="仿宋_GB2312" w:eastAsia="仿宋_GB2312"/>
                <w:color w:val="FF0000"/>
                <w:sz w:val="24"/>
                <w:szCs w:val="24"/>
              </w:rPr>
              <w:t>1</w:t>
            </w:r>
          </w:p>
        </w:tc>
        <w:tc>
          <w:tcPr>
            <w:tcW w:w="1146"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个</w:t>
            </w:r>
          </w:p>
        </w:tc>
        <w:tc>
          <w:tcPr>
            <w:tcW w:w="3409" w:type="dxa"/>
            <w:shd w:val="clear" w:color="auto" w:fill="auto"/>
          </w:tcPr>
          <w:p>
            <w:pPr>
              <w:spacing w:line="420" w:lineRule="exact"/>
              <w:rPr>
                <w:rFonts w:ascii="仿宋_GB2312" w:eastAsia="仿宋_GB2312"/>
                <w:sz w:val="24"/>
                <w:szCs w:val="24"/>
              </w:rPr>
            </w:pPr>
            <w:r>
              <w:rPr>
                <w:rFonts w:hint="eastAsia" w:ascii="仿宋_GB2312" w:eastAsia="仿宋_GB2312"/>
                <w:sz w:val="24"/>
                <w:szCs w:val="24"/>
              </w:rPr>
              <w:t>ICU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4</w:t>
            </w:r>
          </w:p>
        </w:tc>
        <w:tc>
          <w:tcPr>
            <w:tcW w:w="3045" w:type="dxa"/>
            <w:shd w:val="clear" w:color="auto" w:fill="auto"/>
          </w:tcPr>
          <w:p>
            <w:pPr>
              <w:spacing w:line="420" w:lineRule="exact"/>
              <w:jc w:val="left"/>
              <w:rPr>
                <w:rFonts w:ascii="仿宋_GB2312" w:eastAsia="仿宋_GB2312"/>
                <w:sz w:val="24"/>
                <w:szCs w:val="24"/>
              </w:rPr>
            </w:pPr>
            <w:r>
              <w:rPr>
                <w:rFonts w:hint="eastAsia" w:ascii="仿宋_GB2312" w:eastAsia="仿宋_GB2312"/>
                <w:sz w:val="24"/>
                <w:szCs w:val="24"/>
              </w:rPr>
              <w:t>高级分娩综合技能训练模型</w:t>
            </w:r>
          </w:p>
        </w:tc>
        <w:tc>
          <w:tcPr>
            <w:tcW w:w="1076" w:type="dxa"/>
            <w:shd w:val="clear" w:color="auto" w:fill="auto"/>
          </w:tcPr>
          <w:p>
            <w:pPr>
              <w:spacing w:line="420" w:lineRule="exact"/>
              <w:jc w:val="center"/>
              <w:rPr>
                <w:rFonts w:ascii="仿宋_GB2312" w:eastAsia="仿宋_GB2312"/>
                <w:color w:val="FF0000"/>
                <w:sz w:val="24"/>
                <w:szCs w:val="24"/>
              </w:rPr>
            </w:pPr>
            <w:r>
              <w:rPr>
                <w:rFonts w:hint="eastAsia" w:ascii="仿宋_GB2312" w:eastAsia="仿宋_GB2312"/>
                <w:color w:val="FF0000"/>
                <w:sz w:val="24"/>
                <w:szCs w:val="24"/>
              </w:rPr>
              <w:t>1</w:t>
            </w:r>
          </w:p>
        </w:tc>
        <w:tc>
          <w:tcPr>
            <w:tcW w:w="1146"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套</w:t>
            </w:r>
          </w:p>
        </w:tc>
        <w:tc>
          <w:tcPr>
            <w:tcW w:w="3409" w:type="dxa"/>
            <w:shd w:val="clear" w:color="auto" w:fill="auto"/>
          </w:tcPr>
          <w:p>
            <w:pPr>
              <w:spacing w:line="420" w:lineRule="exact"/>
              <w:rPr>
                <w:rFonts w:ascii="仿宋_GB2312" w:eastAsia="仿宋_GB2312"/>
                <w:sz w:val="24"/>
                <w:szCs w:val="24"/>
              </w:rPr>
            </w:pPr>
            <w:r>
              <w:rPr>
                <w:rFonts w:hint="eastAsia" w:ascii="仿宋_GB2312" w:eastAsia="仿宋_GB2312"/>
                <w:sz w:val="24"/>
                <w:szCs w:val="24"/>
              </w:rPr>
              <w:t>妇产科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5</w:t>
            </w:r>
          </w:p>
        </w:tc>
        <w:tc>
          <w:tcPr>
            <w:tcW w:w="3045" w:type="dxa"/>
            <w:shd w:val="clear" w:color="auto" w:fill="auto"/>
          </w:tcPr>
          <w:p>
            <w:pPr>
              <w:spacing w:line="420" w:lineRule="exact"/>
              <w:jc w:val="left"/>
              <w:rPr>
                <w:rFonts w:ascii="仿宋_GB2312" w:eastAsia="仿宋_GB2312"/>
                <w:sz w:val="24"/>
                <w:szCs w:val="24"/>
              </w:rPr>
            </w:pPr>
            <w:r>
              <w:rPr>
                <w:rFonts w:hint="eastAsia" w:ascii="仿宋_GB2312" w:eastAsia="仿宋_GB2312"/>
                <w:sz w:val="24"/>
                <w:szCs w:val="24"/>
              </w:rPr>
              <w:t>新生儿心肺复苏插管模型</w:t>
            </w:r>
          </w:p>
        </w:tc>
        <w:tc>
          <w:tcPr>
            <w:tcW w:w="1076" w:type="dxa"/>
            <w:shd w:val="clear" w:color="auto" w:fill="auto"/>
          </w:tcPr>
          <w:p>
            <w:pPr>
              <w:spacing w:line="420" w:lineRule="exact"/>
              <w:jc w:val="center"/>
              <w:rPr>
                <w:rFonts w:ascii="仿宋_GB2312" w:eastAsia="仿宋_GB2312"/>
                <w:color w:val="FF0000"/>
                <w:sz w:val="24"/>
                <w:szCs w:val="24"/>
              </w:rPr>
            </w:pPr>
            <w:r>
              <w:rPr>
                <w:rFonts w:hint="eastAsia" w:ascii="仿宋_GB2312" w:eastAsia="仿宋_GB2312"/>
                <w:color w:val="FF0000"/>
                <w:sz w:val="24"/>
                <w:szCs w:val="24"/>
              </w:rPr>
              <w:t>1</w:t>
            </w:r>
          </w:p>
        </w:tc>
        <w:tc>
          <w:tcPr>
            <w:tcW w:w="1146" w:type="dxa"/>
            <w:shd w:val="clear" w:color="auto" w:fill="auto"/>
          </w:tcPr>
          <w:p>
            <w:pPr>
              <w:spacing w:line="420" w:lineRule="exact"/>
              <w:jc w:val="center"/>
              <w:rPr>
                <w:rFonts w:ascii="仿宋_GB2312" w:eastAsia="仿宋_GB2312"/>
                <w:sz w:val="24"/>
                <w:szCs w:val="24"/>
              </w:rPr>
            </w:pPr>
            <w:r>
              <w:rPr>
                <w:rFonts w:hint="eastAsia" w:ascii="仿宋_GB2312" w:eastAsia="仿宋_GB2312"/>
                <w:sz w:val="24"/>
                <w:szCs w:val="24"/>
              </w:rPr>
              <w:t>套</w:t>
            </w:r>
          </w:p>
        </w:tc>
        <w:tc>
          <w:tcPr>
            <w:tcW w:w="3409" w:type="dxa"/>
            <w:shd w:val="clear" w:color="auto" w:fill="auto"/>
          </w:tcPr>
          <w:p>
            <w:pPr>
              <w:spacing w:line="420" w:lineRule="exact"/>
              <w:rPr>
                <w:rFonts w:ascii="仿宋_GB2312" w:eastAsia="仿宋_GB2312"/>
                <w:sz w:val="24"/>
                <w:szCs w:val="24"/>
              </w:rPr>
            </w:pPr>
            <w:r>
              <w:rPr>
                <w:rFonts w:hint="eastAsia" w:ascii="仿宋_GB2312" w:eastAsia="仿宋_GB2312"/>
                <w:sz w:val="24"/>
                <w:szCs w:val="24"/>
              </w:rPr>
              <w:t>妇产科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6</w:t>
            </w:r>
          </w:p>
        </w:tc>
        <w:tc>
          <w:tcPr>
            <w:tcW w:w="3045" w:type="dxa"/>
            <w:shd w:val="clear" w:color="auto" w:fill="auto"/>
          </w:tcPr>
          <w:p>
            <w:pPr>
              <w:spacing w:line="360" w:lineRule="auto"/>
              <w:jc w:val="left"/>
              <w:rPr>
                <w:rFonts w:ascii="仿宋_GB2312" w:eastAsia="仿宋_GB2312"/>
                <w:sz w:val="24"/>
                <w:szCs w:val="24"/>
              </w:rPr>
            </w:pPr>
            <w:r>
              <w:rPr>
                <w:rFonts w:hint="eastAsia" w:ascii="仿宋_GB2312" w:eastAsia="仿宋_GB2312"/>
                <w:sz w:val="24"/>
                <w:szCs w:val="24"/>
              </w:rPr>
              <w:t>内镜送水泵</w:t>
            </w:r>
          </w:p>
        </w:tc>
        <w:tc>
          <w:tcPr>
            <w:tcW w:w="1076" w:type="dxa"/>
            <w:shd w:val="clear" w:color="auto" w:fill="auto"/>
          </w:tcPr>
          <w:p>
            <w:pPr>
              <w:spacing w:line="360" w:lineRule="auto"/>
              <w:jc w:val="center"/>
              <w:rPr>
                <w:rFonts w:ascii="仿宋_GB2312" w:eastAsia="仿宋_GB2312"/>
                <w:color w:val="FF0000"/>
                <w:sz w:val="24"/>
                <w:szCs w:val="24"/>
              </w:rPr>
            </w:pPr>
            <w:r>
              <w:rPr>
                <w:rFonts w:hint="eastAsia" w:ascii="仿宋_GB2312" w:eastAsia="仿宋_GB2312"/>
                <w:color w:val="FF0000"/>
                <w:sz w:val="24"/>
                <w:szCs w:val="24"/>
              </w:rPr>
              <w:t>1</w:t>
            </w:r>
          </w:p>
        </w:tc>
        <w:tc>
          <w:tcPr>
            <w:tcW w:w="1146"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台</w:t>
            </w:r>
          </w:p>
        </w:tc>
        <w:tc>
          <w:tcPr>
            <w:tcW w:w="3409" w:type="dxa"/>
            <w:shd w:val="clear" w:color="auto" w:fill="auto"/>
          </w:tcPr>
          <w:p>
            <w:pPr>
              <w:spacing w:line="360" w:lineRule="auto"/>
              <w:rPr>
                <w:rFonts w:ascii="仿宋_GB2312" w:eastAsia="仿宋_GB2312"/>
                <w:sz w:val="24"/>
                <w:szCs w:val="24"/>
              </w:rPr>
            </w:pPr>
            <w:r>
              <w:rPr>
                <w:rFonts w:hint="eastAsia" w:ascii="仿宋_GB2312" w:eastAsia="仿宋_GB2312"/>
                <w:sz w:val="24"/>
                <w:szCs w:val="24"/>
              </w:rPr>
              <w:t>内镜室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7</w:t>
            </w:r>
          </w:p>
        </w:tc>
        <w:tc>
          <w:tcPr>
            <w:tcW w:w="3045" w:type="dxa"/>
            <w:shd w:val="clear" w:color="auto" w:fill="auto"/>
          </w:tcPr>
          <w:p>
            <w:pPr>
              <w:spacing w:line="360" w:lineRule="auto"/>
              <w:jc w:val="left"/>
              <w:rPr>
                <w:rFonts w:ascii="仿宋_GB2312" w:eastAsia="仿宋_GB2312"/>
                <w:sz w:val="24"/>
                <w:szCs w:val="24"/>
              </w:rPr>
            </w:pPr>
            <w:r>
              <w:rPr>
                <w:rFonts w:hint="eastAsia" w:ascii="仿宋_GB2312" w:eastAsia="仿宋_GB2312"/>
                <w:sz w:val="24"/>
                <w:szCs w:val="24"/>
              </w:rPr>
              <w:t>内镜用二氧化碳送气装置</w:t>
            </w:r>
          </w:p>
        </w:tc>
        <w:tc>
          <w:tcPr>
            <w:tcW w:w="1076" w:type="dxa"/>
            <w:shd w:val="clear" w:color="auto" w:fill="auto"/>
          </w:tcPr>
          <w:p>
            <w:pPr>
              <w:spacing w:line="360" w:lineRule="auto"/>
              <w:jc w:val="center"/>
              <w:rPr>
                <w:rFonts w:ascii="仿宋_GB2312" w:eastAsia="仿宋_GB2312"/>
                <w:color w:val="FF0000"/>
                <w:sz w:val="24"/>
                <w:szCs w:val="24"/>
              </w:rPr>
            </w:pPr>
            <w:r>
              <w:rPr>
                <w:rFonts w:hint="eastAsia" w:ascii="仿宋_GB2312" w:eastAsia="仿宋_GB2312"/>
                <w:color w:val="FF0000"/>
                <w:sz w:val="24"/>
                <w:szCs w:val="24"/>
              </w:rPr>
              <w:t>1</w:t>
            </w:r>
          </w:p>
        </w:tc>
        <w:tc>
          <w:tcPr>
            <w:tcW w:w="1146"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台</w:t>
            </w:r>
          </w:p>
        </w:tc>
        <w:tc>
          <w:tcPr>
            <w:tcW w:w="3409" w:type="dxa"/>
            <w:shd w:val="clear" w:color="auto" w:fill="auto"/>
          </w:tcPr>
          <w:p>
            <w:pPr>
              <w:spacing w:line="360" w:lineRule="auto"/>
              <w:rPr>
                <w:rFonts w:ascii="仿宋_GB2312" w:eastAsia="仿宋_GB2312"/>
                <w:sz w:val="24"/>
                <w:szCs w:val="24"/>
              </w:rPr>
            </w:pPr>
            <w:r>
              <w:rPr>
                <w:rFonts w:hint="eastAsia" w:ascii="仿宋_GB2312" w:eastAsia="仿宋_GB2312"/>
                <w:sz w:val="24"/>
                <w:szCs w:val="24"/>
              </w:rPr>
              <w:t>内镜室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8</w:t>
            </w:r>
          </w:p>
        </w:tc>
        <w:tc>
          <w:tcPr>
            <w:tcW w:w="3045" w:type="dxa"/>
            <w:shd w:val="clear" w:color="auto" w:fill="auto"/>
          </w:tcPr>
          <w:p>
            <w:pPr>
              <w:spacing w:line="360" w:lineRule="auto"/>
              <w:jc w:val="left"/>
              <w:rPr>
                <w:rFonts w:ascii="仿宋_GB2312" w:eastAsia="仿宋_GB2312"/>
                <w:sz w:val="24"/>
                <w:szCs w:val="24"/>
              </w:rPr>
            </w:pPr>
            <w:r>
              <w:rPr>
                <w:rFonts w:hint="eastAsia" w:ascii="仿宋_GB2312" w:eastAsia="仿宋_GB2312"/>
                <w:sz w:val="24"/>
                <w:szCs w:val="24"/>
              </w:rPr>
              <w:t>食道扩张探条</w:t>
            </w:r>
          </w:p>
        </w:tc>
        <w:tc>
          <w:tcPr>
            <w:tcW w:w="1076" w:type="dxa"/>
            <w:shd w:val="clear" w:color="auto" w:fill="auto"/>
          </w:tcPr>
          <w:p>
            <w:pPr>
              <w:spacing w:line="360" w:lineRule="auto"/>
              <w:jc w:val="center"/>
              <w:rPr>
                <w:rFonts w:ascii="仿宋_GB2312" w:eastAsia="仿宋_GB2312"/>
                <w:color w:val="FF0000"/>
                <w:sz w:val="24"/>
                <w:szCs w:val="24"/>
              </w:rPr>
            </w:pPr>
            <w:r>
              <w:rPr>
                <w:rFonts w:hint="eastAsia" w:ascii="仿宋_GB2312" w:eastAsia="仿宋_GB2312"/>
                <w:color w:val="FF0000"/>
                <w:sz w:val="24"/>
                <w:szCs w:val="24"/>
              </w:rPr>
              <w:t>1</w:t>
            </w:r>
          </w:p>
        </w:tc>
        <w:tc>
          <w:tcPr>
            <w:tcW w:w="1146"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套</w:t>
            </w:r>
          </w:p>
        </w:tc>
        <w:tc>
          <w:tcPr>
            <w:tcW w:w="3409" w:type="dxa"/>
            <w:shd w:val="clear" w:color="auto" w:fill="auto"/>
          </w:tcPr>
          <w:p>
            <w:pPr>
              <w:spacing w:line="360" w:lineRule="auto"/>
              <w:rPr>
                <w:rFonts w:ascii="仿宋_GB2312" w:eastAsia="仿宋_GB2312"/>
                <w:sz w:val="24"/>
                <w:szCs w:val="24"/>
              </w:rPr>
            </w:pPr>
            <w:r>
              <w:rPr>
                <w:rFonts w:hint="eastAsia" w:ascii="仿宋_GB2312" w:eastAsia="仿宋_GB2312"/>
                <w:sz w:val="24"/>
                <w:szCs w:val="24"/>
              </w:rPr>
              <w:t>内镜室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9</w:t>
            </w:r>
          </w:p>
        </w:tc>
        <w:tc>
          <w:tcPr>
            <w:tcW w:w="3045" w:type="dxa"/>
            <w:shd w:val="clear" w:color="auto" w:fill="auto"/>
          </w:tcPr>
          <w:p>
            <w:pPr>
              <w:spacing w:line="360" w:lineRule="auto"/>
              <w:jc w:val="left"/>
              <w:rPr>
                <w:rFonts w:ascii="仿宋_GB2312" w:eastAsia="仿宋_GB2312"/>
                <w:sz w:val="24"/>
                <w:szCs w:val="24"/>
              </w:rPr>
            </w:pPr>
            <w:r>
              <w:rPr>
                <w:rFonts w:hint="eastAsia" w:ascii="仿宋_GB2312" w:eastAsia="仿宋_GB2312"/>
                <w:sz w:val="24"/>
                <w:szCs w:val="24"/>
              </w:rPr>
              <w:t>红蓝黄光治疗仪</w:t>
            </w:r>
          </w:p>
        </w:tc>
        <w:tc>
          <w:tcPr>
            <w:tcW w:w="1076" w:type="dxa"/>
            <w:shd w:val="clear" w:color="auto" w:fill="auto"/>
          </w:tcPr>
          <w:p>
            <w:pPr>
              <w:spacing w:line="360" w:lineRule="auto"/>
              <w:jc w:val="center"/>
              <w:rPr>
                <w:rFonts w:ascii="仿宋_GB2312" w:eastAsia="仿宋_GB2312"/>
                <w:color w:val="FF0000"/>
                <w:sz w:val="24"/>
                <w:szCs w:val="24"/>
              </w:rPr>
            </w:pPr>
            <w:r>
              <w:rPr>
                <w:rFonts w:hint="eastAsia" w:ascii="仿宋_GB2312" w:eastAsia="仿宋_GB2312"/>
                <w:color w:val="FF0000"/>
                <w:sz w:val="24"/>
                <w:szCs w:val="24"/>
              </w:rPr>
              <w:t>1</w:t>
            </w:r>
          </w:p>
        </w:tc>
        <w:tc>
          <w:tcPr>
            <w:tcW w:w="1146"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台</w:t>
            </w:r>
          </w:p>
        </w:tc>
        <w:tc>
          <w:tcPr>
            <w:tcW w:w="3409" w:type="dxa"/>
            <w:shd w:val="clear" w:color="auto" w:fill="auto"/>
          </w:tcPr>
          <w:p>
            <w:pPr>
              <w:spacing w:line="360" w:lineRule="auto"/>
              <w:rPr>
                <w:rFonts w:ascii="仿宋_GB2312" w:eastAsia="仿宋_GB2312"/>
                <w:sz w:val="24"/>
                <w:szCs w:val="24"/>
              </w:rPr>
            </w:pPr>
            <w:r>
              <w:rPr>
                <w:rFonts w:hint="eastAsia" w:ascii="仿宋_GB2312" w:eastAsia="仿宋_GB2312"/>
                <w:sz w:val="24"/>
                <w:szCs w:val="24"/>
              </w:rPr>
              <w:t>皮肤科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10</w:t>
            </w:r>
          </w:p>
        </w:tc>
        <w:tc>
          <w:tcPr>
            <w:tcW w:w="3045" w:type="dxa"/>
            <w:shd w:val="clear" w:color="auto" w:fill="auto"/>
          </w:tcPr>
          <w:p>
            <w:pPr>
              <w:spacing w:line="360" w:lineRule="auto"/>
              <w:jc w:val="left"/>
              <w:rPr>
                <w:rFonts w:ascii="仿宋_GB2312" w:eastAsia="仿宋_GB2312"/>
                <w:sz w:val="24"/>
                <w:szCs w:val="24"/>
              </w:rPr>
            </w:pPr>
            <w:r>
              <w:rPr>
                <w:rFonts w:hint="eastAsia" w:ascii="仿宋_GB2312" w:eastAsia="仿宋_GB2312"/>
                <w:sz w:val="24"/>
                <w:szCs w:val="24"/>
              </w:rPr>
              <w:t>308纳米紫外线光疗仪</w:t>
            </w:r>
          </w:p>
        </w:tc>
        <w:tc>
          <w:tcPr>
            <w:tcW w:w="1076" w:type="dxa"/>
            <w:shd w:val="clear" w:color="auto" w:fill="auto"/>
          </w:tcPr>
          <w:p>
            <w:pPr>
              <w:spacing w:line="360" w:lineRule="auto"/>
              <w:jc w:val="center"/>
              <w:rPr>
                <w:rFonts w:ascii="仿宋_GB2312" w:eastAsia="仿宋_GB2312"/>
                <w:color w:val="FF0000"/>
                <w:sz w:val="24"/>
                <w:szCs w:val="24"/>
              </w:rPr>
            </w:pPr>
            <w:r>
              <w:rPr>
                <w:rFonts w:hint="eastAsia" w:ascii="仿宋_GB2312" w:eastAsia="仿宋_GB2312"/>
                <w:color w:val="FF0000"/>
                <w:sz w:val="24"/>
                <w:szCs w:val="24"/>
              </w:rPr>
              <w:t>1</w:t>
            </w:r>
          </w:p>
        </w:tc>
        <w:tc>
          <w:tcPr>
            <w:tcW w:w="1146"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台</w:t>
            </w:r>
          </w:p>
        </w:tc>
        <w:tc>
          <w:tcPr>
            <w:tcW w:w="3409" w:type="dxa"/>
            <w:shd w:val="clear" w:color="auto" w:fill="auto"/>
          </w:tcPr>
          <w:p>
            <w:pPr>
              <w:spacing w:line="360" w:lineRule="auto"/>
              <w:rPr>
                <w:rFonts w:ascii="仿宋_GB2312" w:eastAsia="仿宋_GB2312"/>
                <w:sz w:val="24"/>
                <w:szCs w:val="24"/>
              </w:rPr>
            </w:pPr>
            <w:r>
              <w:rPr>
                <w:rFonts w:hint="eastAsia" w:ascii="仿宋_GB2312" w:eastAsia="仿宋_GB2312"/>
                <w:sz w:val="24"/>
                <w:szCs w:val="24"/>
              </w:rPr>
              <w:t>皮肤科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11</w:t>
            </w:r>
          </w:p>
        </w:tc>
        <w:tc>
          <w:tcPr>
            <w:tcW w:w="3045" w:type="dxa"/>
            <w:shd w:val="clear" w:color="auto" w:fill="auto"/>
          </w:tcPr>
          <w:p>
            <w:pPr>
              <w:spacing w:line="360" w:lineRule="auto"/>
              <w:jc w:val="left"/>
              <w:rPr>
                <w:rFonts w:ascii="仿宋_GB2312" w:eastAsia="仿宋_GB2312"/>
                <w:sz w:val="24"/>
                <w:szCs w:val="24"/>
              </w:rPr>
            </w:pPr>
            <w:r>
              <w:rPr>
                <w:rFonts w:hint="eastAsia" w:ascii="仿宋_GB2312" w:eastAsia="仿宋_GB2312"/>
                <w:sz w:val="24"/>
                <w:szCs w:val="24"/>
              </w:rPr>
              <w:t>皮肤镜</w:t>
            </w:r>
          </w:p>
        </w:tc>
        <w:tc>
          <w:tcPr>
            <w:tcW w:w="1076" w:type="dxa"/>
            <w:shd w:val="clear" w:color="auto" w:fill="auto"/>
          </w:tcPr>
          <w:p>
            <w:pPr>
              <w:spacing w:line="360" w:lineRule="auto"/>
              <w:jc w:val="center"/>
              <w:rPr>
                <w:rFonts w:ascii="仿宋_GB2312" w:eastAsia="仿宋_GB2312"/>
                <w:color w:val="FF0000"/>
                <w:sz w:val="24"/>
                <w:szCs w:val="24"/>
              </w:rPr>
            </w:pPr>
            <w:r>
              <w:rPr>
                <w:rFonts w:hint="eastAsia" w:ascii="仿宋_GB2312" w:eastAsia="仿宋_GB2312"/>
                <w:color w:val="FF0000"/>
                <w:sz w:val="24"/>
                <w:szCs w:val="24"/>
              </w:rPr>
              <w:t>1</w:t>
            </w:r>
          </w:p>
        </w:tc>
        <w:tc>
          <w:tcPr>
            <w:tcW w:w="1146"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台</w:t>
            </w:r>
          </w:p>
        </w:tc>
        <w:tc>
          <w:tcPr>
            <w:tcW w:w="3409" w:type="dxa"/>
            <w:shd w:val="clear" w:color="auto" w:fill="auto"/>
          </w:tcPr>
          <w:p>
            <w:pPr>
              <w:spacing w:line="360" w:lineRule="auto"/>
              <w:rPr>
                <w:rFonts w:ascii="仿宋_GB2312" w:eastAsia="仿宋_GB2312"/>
                <w:sz w:val="24"/>
                <w:szCs w:val="24"/>
              </w:rPr>
            </w:pPr>
            <w:r>
              <w:rPr>
                <w:rFonts w:hint="eastAsia" w:ascii="仿宋_GB2312" w:eastAsia="仿宋_GB2312"/>
                <w:sz w:val="24"/>
                <w:szCs w:val="24"/>
              </w:rPr>
              <w:t>皮肤科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12</w:t>
            </w:r>
          </w:p>
        </w:tc>
        <w:tc>
          <w:tcPr>
            <w:tcW w:w="3045" w:type="dxa"/>
            <w:shd w:val="clear" w:color="auto" w:fill="auto"/>
          </w:tcPr>
          <w:p>
            <w:pPr>
              <w:spacing w:line="360" w:lineRule="auto"/>
              <w:jc w:val="left"/>
              <w:rPr>
                <w:rFonts w:ascii="仿宋_GB2312" w:eastAsia="仿宋_GB2312"/>
                <w:sz w:val="24"/>
                <w:szCs w:val="24"/>
              </w:rPr>
            </w:pPr>
            <w:r>
              <w:rPr>
                <w:rFonts w:hint="eastAsia" w:ascii="仿宋_GB2312" w:eastAsia="仿宋_GB2312"/>
                <w:sz w:val="24"/>
                <w:szCs w:val="24"/>
              </w:rPr>
              <w:t>半导体激光生发仪</w:t>
            </w:r>
          </w:p>
        </w:tc>
        <w:tc>
          <w:tcPr>
            <w:tcW w:w="1076" w:type="dxa"/>
            <w:shd w:val="clear" w:color="auto" w:fill="auto"/>
          </w:tcPr>
          <w:p>
            <w:pPr>
              <w:spacing w:line="360" w:lineRule="auto"/>
              <w:jc w:val="center"/>
              <w:rPr>
                <w:rFonts w:ascii="仿宋_GB2312" w:eastAsia="仿宋_GB2312"/>
                <w:color w:val="FF0000"/>
                <w:sz w:val="24"/>
                <w:szCs w:val="24"/>
              </w:rPr>
            </w:pPr>
            <w:r>
              <w:rPr>
                <w:rFonts w:hint="eastAsia" w:ascii="仿宋_GB2312" w:eastAsia="仿宋_GB2312"/>
                <w:color w:val="FF0000"/>
                <w:sz w:val="24"/>
                <w:szCs w:val="24"/>
              </w:rPr>
              <w:t>1</w:t>
            </w:r>
          </w:p>
        </w:tc>
        <w:tc>
          <w:tcPr>
            <w:tcW w:w="1146"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台</w:t>
            </w:r>
          </w:p>
        </w:tc>
        <w:tc>
          <w:tcPr>
            <w:tcW w:w="3409" w:type="dxa"/>
            <w:shd w:val="clear" w:color="auto" w:fill="auto"/>
          </w:tcPr>
          <w:p>
            <w:pPr>
              <w:spacing w:line="360" w:lineRule="auto"/>
              <w:rPr>
                <w:rFonts w:ascii="仿宋_GB2312" w:eastAsia="仿宋_GB2312"/>
                <w:sz w:val="24"/>
                <w:szCs w:val="24"/>
              </w:rPr>
            </w:pPr>
            <w:r>
              <w:rPr>
                <w:rFonts w:hint="eastAsia" w:ascii="仿宋_GB2312" w:eastAsia="仿宋_GB2312"/>
                <w:sz w:val="24"/>
                <w:szCs w:val="24"/>
              </w:rPr>
              <w:t>皮肤科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13</w:t>
            </w:r>
          </w:p>
        </w:tc>
        <w:tc>
          <w:tcPr>
            <w:tcW w:w="3045" w:type="dxa"/>
            <w:shd w:val="clear" w:color="auto" w:fill="auto"/>
          </w:tcPr>
          <w:p>
            <w:pPr>
              <w:spacing w:line="360" w:lineRule="auto"/>
              <w:jc w:val="left"/>
              <w:rPr>
                <w:rFonts w:ascii="仿宋_GB2312" w:eastAsia="仿宋_GB2312"/>
                <w:sz w:val="24"/>
                <w:szCs w:val="24"/>
              </w:rPr>
            </w:pPr>
            <w:r>
              <w:rPr>
                <w:rFonts w:hint="eastAsia" w:ascii="仿宋_GB2312" w:eastAsia="仿宋_GB2312"/>
                <w:sz w:val="24"/>
                <w:szCs w:val="24"/>
              </w:rPr>
              <w:t>智能熏蒸机</w:t>
            </w:r>
          </w:p>
        </w:tc>
        <w:tc>
          <w:tcPr>
            <w:tcW w:w="1076" w:type="dxa"/>
            <w:shd w:val="clear" w:color="auto" w:fill="auto"/>
          </w:tcPr>
          <w:p>
            <w:pPr>
              <w:spacing w:line="360" w:lineRule="auto"/>
              <w:jc w:val="center"/>
              <w:rPr>
                <w:rFonts w:ascii="仿宋_GB2312" w:eastAsia="仿宋_GB2312"/>
                <w:color w:val="FF0000"/>
                <w:sz w:val="24"/>
                <w:szCs w:val="24"/>
              </w:rPr>
            </w:pPr>
            <w:r>
              <w:rPr>
                <w:rFonts w:hint="eastAsia" w:ascii="仿宋_GB2312" w:eastAsia="仿宋_GB2312"/>
                <w:color w:val="FF0000"/>
                <w:sz w:val="24"/>
                <w:szCs w:val="24"/>
              </w:rPr>
              <w:t>1</w:t>
            </w:r>
          </w:p>
        </w:tc>
        <w:tc>
          <w:tcPr>
            <w:tcW w:w="1146"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台</w:t>
            </w:r>
          </w:p>
        </w:tc>
        <w:tc>
          <w:tcPr>
            <w:tcW w:w="3409" w:type="dxa"/>
            <w:shd w:val="clear" w:color="auto" w:fill="auto"/>
          </w:tcPr>
          <w:p>
            <w:pPr>
              <w:spacing w:line="360" w:lineRule="auto"/>
              <w:rPr>
                <w:rFonts w:ascii="仿宋_GB2312" w:eastAsia="仿宋_GB2312"/>
                <w:sz w:val="24"/>
                <w:szCs w:val="24"/>
              </w:rPr>
            </w:pPr>
            <w:r>
              <w:rPr>
                <w:rFonts w:hint="eastAsia" w:ascii="仿宋_GB2312" w:eastAsia="仿宋_GB2312"/>
                <w:sz w:val="24"/>
                <w:szCs w:val="24"/>
              </w:rPr>
              <w:t>皮肤科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14</w:t>
            </w:r>
          </w:p>
        </w:tc>
        <w:tc>
          <w:tcPr>
            <w:tcW w:w="3045" w:type="dxa"/>
            <w:shd w:val="clear" w:color="auto" w:fill="auto"/>
          </w:tcPr>
          <w:p>
            <w:pPr>
              <w:spacing w:line="360" w:lineRule="auto"/>
              <w:jc w:val="left"/>
              <w:rPr>
                <w:rFonts w:ascii="仿宋_GB2312" w:eastAsia="仿宋_GB2312"/>
                <w:sz w:val="24"/>
                <w:szCs w:val="24"/>
              </w:rPr>
            </w:pPr>
            <w:r>
              <w:rPr>
                <w:rFonts w:hint="eastAsia" w:ascii="仿宋_GB2312" w:eastAsia="仿宋_GB2312"/>
                <w:sz w:val="24"/>
                <w:szCs w:val="24"/>
              </w:rPr>
              <w:t>电脑视野检查仪</w:t>
            </w:r>
          </w:p>
        </w:tc>
        <w:tc>
          <w:tcPr>
            <w:tcW w:w="1076" w:type="dxa"/>
            <w:shd w:val="clear" w:color="auto" w:fill="auto"/>
          </w:tcPr>
          <w:p>
            <w:pPr>
              <w:spacing w:line="360" w:lineRule="auto"/>
              <w:jc w:val="center"/>
              <w:rPr>
                <w:rFonts w:ascii="仿宋_GB2312" w:eastAsia="仿宋_GB2312"/>
                <w:color w:val="FF0000"/>
                <w:sz w:val="24"/>
                <w:szCs w:val="24"/>
              </w:rPr>
            </w:pPr>
            <w:r>
              <w:rPr>
                <w:rFonts w:hint="eastAsia" w:ascii="仿宋_GB2312" w:eastAsia="仿宋_GB2312"/>
                <w:color w:val="FF0000"/>
                <w:sz w:val="24"/>
                <w:szCs w:val="24"/>
              </w:rPr>
              <w:t>1</w:t>
            </w:r>
          </w:p>
        </w:tc>
        <w:tc>
          <w:tcPr>
            <w:tcW w:w="1146"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台</w:t>
            </w:r>
          </w:p>
        </w:tc>
        <w:tc>
          <w:tcPr>
            <w:tcW w:w="3409" w:type="dxa"/>
            <w:shd w:val="clear" w:color="auto" w:fill="auto"/>
          </w:tcPr>
          <w:p>
            <w:pPr>
              <w:spacing w:line="360" w:lineRule="auto"/>
              <w:rPr>
                <w:rFonts w:ascii="仿宋_GB2312" w:eastAsia="仿宋_GB2312"/>
                <w:sz w:val="24"/>
                <w:szCs w:val="24"/>
              </w:rPr>
            </w:pPr>
            <w:r>
              <w:rPr>
                <w:rFonts w:hint="eastAsia" w:ascii="仿宋_GB2312" w:eastAsia="仿宋_GB2312"/>
                <w:sz w:val="24"/>
                <w:szCs w:val="24"/>
              </w:rPr>
              <w:t>五官科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15</w:t>
            </w:r>
          </w:p>
        </w:tc>
        <w:tc>
          <w:tcPr>
            <w:tcW w:w="3045" w:type="dxa"/>
            <w:shd w:val="clear" w:color="auto" w:fill="auto"/>
          </w:tcPr>
          <w:p>
            <w:pPr>
              <w:spacing w:line="360" w:lineRule="auto"/>
              <w:jc w:val="left"/>
              <w:rPr>
                <w:rFonts w:ascii="仿宋_GB2312" w:eastAsia="仿宋_GB2312"/>
                <w:sz w:val="24"/>
                <w:szCs w:val="24"/>
              </w:rPr>
            </w:pPr>
            <w:r>
              <w:rPr>
                <w:rFonts w:hint="eastAsia" w:ascii="仿宋_GB2312" w:eastAsia="仿宋_GB2312"/>
                <w:sz w:val="24"/>
                <w:szCs w:val="24"/>
              </w:rPr>
              <w:t>视频耳镜</w:t>
            </w:r>
          </w:p>
        </w:tc>
        <w:tc>
          <w:tcPr>
            <w:tcW w:w="1076" w:type="dxa"/>
            <w:shd w:val="clear" w:color="auto" w:fill="auto"/>
          </w:tcPr>
          <w:p>
            <w:pPr>
              <w:spacing w:line="360" w:lineRule="auto"/>
              <w:jc w:val="center"/>
              <w:rPr>
                <w:rFonts w:ascii="仿宋_GB2312" w:eastAsia="仿宋_GB2312"/>
                <w:color w:val="FF0000"/>
                <w:sz w:val="24"/>
                <w:szCs w:val="24"/>
              </w:rPr>
            </w:pPr>
            <w:r>
              <w:rPr>
                <w:rFonts w:hint="eastAsia" w:ascii="仿宋_GB2312" w:eastAsia="仿宋_GB2312"/>
                <w:color w:val="FF0000"/>
                <w:sz w:val="24"/>
                <w:szCs w:val="24"/>
              </w:rPr>
              <w:t>1</w:t>
            </w:r>
          </w:p>
        </w:tc>
        <w:tc>
          <w:tcPr>
            <w:tcW w:w="1146"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套</w:t>
            </w:r>
          </w:p>
        </w:tc>
        <w:tc>
          <w:tcPr>
            <w:tcW w:w="3409" w:type="dxa"/>
            <w:shd w:val="clear" w:color="auto" w:fill="auto"/>
          </w:tcPr>
          <w:p>
            <w:pPr>
              <w:spacing w:line="360" w:lineRule="auto"/>
              <w:rPr>
                <w:rFonts w:ascii="仿宋_GB2312" w:eastAsia="仿宋_GB2312"/>
                <w:sz w:val="24"/>
                <w:szCs w:val="24"/>
              </w:rPr>
            </w:pPr>
            <w:r>
              <w:rPr>
                <w:rFonts w:hint="eastAsia" w:ascii="仿宋_GB2312" w:eastAsia="仿宋_GB2312"/>
                <w:sz w:val="24"/>
                <w:szCs w:val="24"/>
              </w:rPr>
              <w:t>五官科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16</w:t>
            </w:r>
          </w:p>
        </w:tc>
        <w:tc>
          <w:tcPr>
            <w:tcW w:w="3045" w:type="dxa"/>
            <w:shd w:val="clear" w:color="auto" w:fill="auto"/>
          </w:tcPr>
          <w:p>
            <w:pPr>
              <w:spacing w:line="360" w:lineRule="auto"/>
              <w:jc w:val="left"/>
              <w:rPr>
                <w:rFonts w:ascii="仿宋_GB2312" w:eastAsia="仿宋_GB2312"/>
                <w:sz w:val="24"/>
                <w:szCs w:val="24"/>
              </w:rPr>
            </w:pPr>
            <w:r>
              <w:rPr>
                <w:rFonts w:hint="eastAsia" w:ascii="仿宋_GB2312" w:eastAsia="仿宋_GB2312"/>
                <w:sz w:val="24"/>
                <w:szCs w:val="24"/>
              </w:rPr>
              <w:t>鼻镜、喉镜镜头</w:t>
            </w:r>
          </w:p>
        </w:tc>
        <w:tc>
          <w:tcPr>
            <w:tcW w:w="1076" w:type="dxa"/>
            <w:shd w:val="clear" w:color="auto" w:fill="auto"/>
          </w:tcPr>
          <w:p>
            <w:pPr>
              <w:spacing w:line="360" w:lineRule="auto"/>
              <w:jc w:val="center"/>
              <w:rPr>
                <w:rFonts w:ascii="仿宋_GB2312" w:eastAsia="仿宋_GB2312"/>
                <w:color w:val="FF0000"/>
                <w:sz w:val="24"/>
                <w:szCs w:val="24"/>
              </w:rPr>
            </w:pPr>
            <w:r>
              <w:rPr>
                <w:rFonts w:hint="eastAsia" w:ascii="仿宋_GB2312" w:eastAsia="仿宋_GB2312"/>
                <w:color w:val="FF0000"/>
                <w:sz w:val="24"/>
                <w:szCs w:val="24"/>
              </w:rPr>
              <w:t>1</w:t>
            </w:r>
          </w:p>
        </w:tc>
        <w:tc>
          <w:tcPr>
            <w:tcW w:w="1146"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套</w:t>
            </w:r>
          </w:p>
        </w:tc>
        <w:tc>
          <w:tcPr>
            <w:tcW w:w="3409" w:type="dxa"/>
            <w:shd w:val="clear" w:color="auto" w:fill="auto"/>
          </w:tcPr>
          <w:p>
            <w:pPr>
              <w:spacing w:line="360" w:lineRule="auto"/>
              <w:rPr>
                <w:rFonts w:ascii="仿宋_GB2312" w:eastAsia="仿宋_GB2312"/>
                <w:sz w:val="24"/>
                <w:szCs w:val="24"/>
              </w:rPr>
            </w:pPr>
            <w:r>
              <w:rPr>
                <w:rFonts w:hint="eastAsia" w:ascii="仿宋_GB2312" w:eastAsia="仿宋_GB2312"/>
                <w:sz w:val="24"/>
                <w:szCs w:val="24"/>
              </w:rPr>
              <w:t>五官科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17</w:t>
            </w:r>
          </w:p>
        </w:tc>
        <w:tc>
          <w:tcPr>
            <w:tcW w:w="3045" w:type="dxa"/>
            <w:shd w:val="clear" w:color="auto" w:fill="auto"/>
          </w:tcPr>
          <w:p>
            <w:pPr>
              <w:spacing w:line="360" w:lineRule="auto"/>
              <w:jc w:val="left"/>
              <w:rPr>
                <w:rFonts w:ascii="仿宋_GB2312" w:eastAsia="仿宋_GB2312"/>
                <w:sz w:val="24"/>
                <w:szCs w:val="24"/>
              </w:rPr>
            </w:pPr>
            <w:r>
              <w:rPr>
                <w:rFonts w:hint="eastAsia" w:ascii="仿宋_GB2312" w:eastAsia="仿宋_GB2312"/>
                <w:sz w:val="24"/>
                <w:szCs w:val="24"/>
              </w:rPr>
              <w:t>中药熏蒸机</w:t>
            </w:r>
          </w:p>
        </w:tc>
        <w:tc>
          <w:tcPr>
            <w:tcW w:w="1076" w:type="dxa"/>
            <w:shd w:val="clear" w:color="auto" w:fill="auto"/>
          </w:tcPr>
          <w:p>
            <w:pPr>
              <w:spacing w:line="360" w:lineRule="auto"/>
              <w:jc w:val="center"/>
              <w:rPr>
                <w:rFonts w:ascii="仿宋_GB2312" w:eastAsia="仿宋_GB2312"/>
                <w:color w:val="FF0000"/>
                <w:sz w:val="24"/>
                <w:szCs w:val="24"/>
              </w:rPr>
            </w:pPr>
            <w:r>
              <w:rPr>
                <w:rFonts w:hint="eastAsia" w:ascii="仿宋_GB2312" w:eastAsia="仿宋_GB2312"/>
                <w:color w:val="FF0000"/>
                <w:sz w:val="24"/>
                <w:szCs w:val="24"/>
              </w:rPr>
              <w:t>2</w:t>
            </w:r>
          </w:p>
        </w:tc>
        <w:tc>
          <w:tcPr>
            <w:tcW w:w="1146" w:type="dxa"/>
            <w:shd w:val="clear" w:color="auto" w:fill="auto"/>
          </w:tcPr>
          <w:p>
            <w:pPr>
              <w:spacing w:line="360" w:lineRule="auto"/>
              <w:jc w:val="center"/>
              <w:rPr>
                <w:rFonts w:ascii="仿宋_GB2312" w:eastAsia="仿宋_GB2312"/>
                <w:sz w:val="24"/>
                <w:szCs w:val="24"/>
              </w:rPr>
            </w:pPr>
            <w:r>
              <w:rPr>
                <w:rFonts w:hint="eastAsia" w:ascii="仿宋_GB2312" w:eastAsia="仿宋_GB2312"/>
                <w:sz w:val="24"/>
                <w:szCs w:val="24"/>
              </w:rPr>
              <w:t>台</w:t>
            </w:r>
          </w:p>
        </w:tc>
        <w:tc>
          <w:tcPr>
            <w:tcW w:w="3409" w:type="dxa"/>
            <w:shd w:val="clear" w:color="auto" w:fill="auto"/>
          </w:tcPr>
          <w:p>
            <w:pPr>
              <w:spacing w:line="360" w:lineRule="auto"/>
              <w:rPr>
                <w:rFonts w:ascii="仿宋_GB2312" w:eastAsia="仿宋_GB2312"/>
                <w:sz w:val="24"/>
                <w:szCs w:val="24"/>
              </w:rPr>
            </w:pPr>
            <w:r>
              <w:rPr>
                <w:rFonts w:hint="eastAsia" w:ascii="仿宋_GB2312" w:eastAsia="仿宋_GB2312"/>
                <w:sz w:val="24"/>
                <w:szCs w:val="24"/>
              </w:rPr>
              <w:t>针灸科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02" w:type="dxa"/>
            <w:gridSpan w:val="2"/>
            <w:shd w:val="clear" w:color="auto" w:fill="auto"/>
            <w:vAlign w:val="center"/>
          </w:tcPr>
          <w:p>
            <w:pPr>
              <w:spacing w:line="360" w:lineRule="auto"/>
              <w:jc w:val="center"/>
              <w:rPr>
                <w:rFonts w:ascii="仿宋_GB2312" w:eastAsia="仿宋_GB2312"/>
                <w:sz w:val="24"/>
                <w:szCs w:val="24"/>
              </w:rPr>
            </w:pPr>
            <w:r>
              <w:rPr>
                <w:rFonts w:hint="eastAsia" w:ascii="仿宋_GB2312" w:eastAsia="仿宋_GB2312"/>
                <w:sz w:val="24"/>
                <w:szCs w:val="24"/>
              </w:rPr>
              <w:t>合计</w:t>
            </w:r>
          </w:p>
        </w:tc>
        <w:tc>
          <w:tcPr>
            <w:tcW w:w="1076" w:type="dxa"/>
            <w:shd w:val="clear" w:color="auto" w:fill="auto"/>
          </w:tcPr>
          <w:p>
            <w:pPr>
              <w:spacing w:line="360" w:lineRule="auto"/>
              <w:jc w:val="center"/>
              <w:rPr>
                <w:rFonts w:hint="eastAsia" w:ascii="仿宋_GB2312" w:eastAsia="仿宋_GB2312"/>
                <w:color w:val="FF0000"/>
                <w:sz w:val="24"/>
                <w:szCs w:val="24"/>
                <w:lang w:eastAsia="zh-CN"/>
              </w:rPr>
            </w:pPr>
            <w:r>
              <w:rPr>
                <w:rFonts w:hint="eastAsia" w:ascii="仿宋_GB2312" w:eastAsia="仿宋_GB2312"/>
                <w:color w:val="FF0000"/>
                <w:sz w:val="24"/>
                <w:szCs w:val="24"/>
                <w:lang w:val="en-US" w:eastAsia="zh-CN"/>
              </w:rPr>
              <w:t>20</w:t>
            </w:r>
          </w:p>
        </w:tc>
        <w:tc>
          <w:tcPr>
            <w:tcW w:w="1146" w:type="dxa"/>
            <w:shd w:val="clear" w:color="auto" w:fill="auto"/>
          </w:tcPr>
          <w:p>
            <w:pPr>
              <w:spacing w:line="360" w:lineRule="auto"/>
              <w:jc w:val="center"/>
              <w:rPr>
                <w:rFonts w:ascii="仿宋_GB2312" w:eastAsia="仿宋_GB2312"/>
                <w:sz w:val="24"/>
                <w:szCs w:val="24"/>
              </w:rPr>
            </w:pPr>
          </w:p>
        </w:tc>
        <w:tc>
          <w:tcPr>
            <w:tcW w:w="3409" w:type="dxa"/>
            <w:shd w:val="clear" w:color="auto" w:fill="auto"/>
          </w:tcPr>
          <w:p>
            <w:pPr>
              <w:spacing w:line="360" w:lineRule="auto"/>
              <w:rPr>
                <w:rFonts w:ascii="仿宋_GB2312" w:eastAsia="仿宋_GB2312"/>
                <w:sz w:val="24"/>
                <w:szCs w:val="24"/>
              </w:rPr>
            </w:pPr>
          </w:p>
        </w:tc>
      </w:tr>
    </w:tbl>
    <w:p>
      <w:pPr>
        <w:jc w:val="left"/>
        <w:rPr>
          <w:rFonts w:ascii="方正小标宋简体" w:eastAsia="方正小标宋简体"/>
          <w:b/>
          <w:sz w:val="28"/>
          <w:szCs w:val="28"/>
        </w:rPr>
      </w:pPr>
    </w:p>
    <w:p>
      <w:pPr>
        <w:spacing w:line="420" w:lineRule="exact"/>
        <w:jc w:val="center"/>
        <w:rPr>
          <w:b/>
          <w:bCs/>
          <w:sz w:val="36"/>
          <w:szCs w:val="36"/>
        </w:rPr>
      </w:pPr>
    </w:p>
    <w:p>
      <w:pPr>
        <w:spacing w:line="420" w:lineRule="exact"/>
        <w:jc w:val="center"/>
        <w:rPr>
          <w:b/>
          <w:bCs/>
          <w:sz w:val="36"/>
          <w:szCs w:val="36"/>
        </w:rPr>
      </w:pPr>
      <w:r>
        <w:rPr>
          <w:rFonts w:hint="eastAsia"/>
          <w:b/>
          <w:bCs/>
          <w:sz w:val="36"/>
          <w:szCs w:val="36"/>
        </w:rPr>
        <w:t>03-01 电子阴道镜</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1.阴道镜镜头参数：</w:t>
      </w:r>
      <w:r>
        <w:rPr>
          <w:rFonts w:hint="eastAsia" w:ascii="仿宋_GB2312" w:hAnsi="仿宋" w:eastAsia="仿宋_GB2312" w:cs="仿宋"/>
          <w:sz w:val="24"/>
          <w:szCs w:val="24"/>
        </w:rPr>
        <w:tab/>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 镜头具有连续变焦、自动聚焦和高清CMOS成像功能，输出FULL  HD 1080P信号。</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1.2 像素不低于200万。</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1.3 *成像系统水平分辨率不低于1000TVL。</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1.4 放大倍数支持：1～36倍（可选1～60倍）。</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1.5 有效操作距离：150mm～350mm。</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1.6 视场范围：≥Ø100mm(3X),≥Ø15mm(18X)。</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1.7 景深：≥150mm(3X),≥50mm(18X)。</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1.8 空间分辨率：≥14 lp/mm。</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1.9 图像几何失真度≤1%。</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1.10 亮度可调的高显色性贴片LED光源，与镜头集成一体，30cm处光源照度≥3000Lx, 光源色温：3200K～7000K。</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1.11 *光斑直径≥ Ø70mm ,照度均匀性≥80%,显色指数Ra≥90。</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1.12 色彩还原最大误差≤30NBS，平均色彩还原误差≤20NBS，饱和度值95%~120%。</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1.13 最大照度时辐射照度≤350 W/m2。</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1.14 光源在200nm~400nm光谱范围内，最大照度时的有效紫外辐射照度≤0.008 W/m2。</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1.15 有快速自动聚焦和手动聚焦功能，手动聚焦支持独立按键控制的微距调节功能。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1.16 镜头9按键扇形布局，可正常消毒清理，单手操作按键即可实现对图像观察的视野变换（放大/缩小）、可视焦距调节（手动定位聚焦+/-）、白光变色温成像（三级，包括自然光成像、暗光成像模式以及曝光补偿模式）、电子绿色滤镜成像（三级）、计时显示和图像冻结功能控制，并支持镜头手柄按键控制图像采集。</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1.17 可通过镜头操作按键独立控制醋酸试验计时标记显示和关闭功能，醋酸计时时长可自定义设置，并可在打印报告中显示图像的醋酸反映时间标记，为检查过程提供量化评估依据，放大倍数和计时时间分布在图像一侧，减少对图像观察的影响。</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1.18 镜头手柄后方按键有定位宫颈口与采集图像两种功能，便于快速确定病变部位的位置。</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1.19 *图像采集单元提供HDMI视频输出接口。</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1.20 采用全金属模具结构可升降直立式支架，镜头可调，确保其使用的稳定性，升降固定的可靠性及操作的灵敏性。</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2.阴道镜工作站性能参数：</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 工作站功能：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2.1.1 具有自动提示患者随访管理功能，医护人员可根据患者需求转入预约，让医院对高危患者进行有效的系统管理，同时患者信息的集中录入，可有效提高医生阴道镜检查的效率。</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2.1.2 可以提供≧4种病人信息获取方式。</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2.1.3 具有病例重点关注功能，医生可根据醒目的颜色和标记快速发现需要重点关注的患者，同时提供查询功能，便于医生快速查找患者信息。</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2.1.4 *能将阴道镜检查过程中所采集的图像按时间顺序同屏显示（图像数量≥12幅），并且可以通过镜头扣手按键一键操作多幅图片同屏显示，方便医生对比分析患者病变部位醋白变化和碘染色的关联。</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2.1.5 可以自定义设置粗醋白计时时间，自定义时间范围。</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2.1.6 支持≧4种采图方式。具有脚踏板控制、鼠标控制或镜头扣手按键控制采图、定时自动采图、视频采集过程中采图、视频回放过程中采图的功能；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2.1.7 采图后可支持图像镜像观察。</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2.1.8 自动采图时具备声音提醒功能。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2.1.9 提供≧2种方式开启计时功能。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2.1.10 支持观察检查界面两种以上显示方式，图像采集时进行全屏观察。</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2.1.11 提供符合IFCPC2011和ASCCP2017的阴道镜术语和检查规范，提供阴道镜诊断术语及参考图谱，并可与当前检查患者检查图像对比显示在同一界面，方便对比参考，辅助检查医生做出准确判断。</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2.1.12 系统图像采集方式可以支持保存bmp,jpg 2种图像格式</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2.1.13 在观察检查界面中可快速查找患者历史资料，便于医生对比分析、追溯患者的检查与治疗过程。</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2.1.14 具有定时自动采图功能，给出临床检查流自动提示信息。</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2.1.15 具有视频采集功能，能够在检查或手术过程中进行录像，并且对视频进行回放，回放过程中支持再次采集图像。</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2.1.16 图像处理功能：可以对图像进行注释、标注，图像亮度、对比度可调；可对病变部位的面积、长度进行测量、标注到病例中。</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2.1.17 提供RCI及Swede评估方法,可通过病变边界、范围、表面轮廓、醋白上皮颜色、醋酸变化、血管形态及碘染色等维度做评分，用于评估宫颈病变的程度，并提供参考图谱，为基层医院学习掌握提供辅助。</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2.1.18 *提供R-way阴道镜诊断评估方法，具有阴道镜操作提醒及自动采图功能，量化检查流程，提供基于三种不同溶液实验结果关联“特征”的智能评估和报告系统，便于医生规范阴道镜检查流程和拟诊结果，同时简化了阴道镜检查技术的培训难度，更适合基层医院使用，提供≧50例病理确诊的病例资料供操作练习，能够提供进修培训其临床应用功能的教学医院。</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2.1.19 具有图片导出导入功能。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2.1.20 提供临床检查过程的帮助文件。</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2.1.21 *可对阴道镜检查、手术治疗进行针对性的记录和随访管理，提供≧6种打印报告模版，提交患者打印报告后系统自动生成PDF文件备份,提供邮件、DICOM等选择报告发送模式，便于医疗纠纷的追述。</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2.1.22 生成报告后，在报告页面可以直接编辑报告，便于医生操作。</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2.1.23 病例存储≥50000份，支持病例查找，编辑，删除，导入，导出等功能。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2.1.24 可对拟诊结果、病理结果、实验室检查结果、检查医生和开单医生的工作量等进行统计分析，统计结果可以拼图、直方图和折线图形式进行显示，并可输出到Excel表。</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2.2 工作站可扩展信息化应用 ：</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2.2.1 可以识别≥2种编码格式的扫描枪。</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2.2.2 具有外接身份证读取设备功能，刷身份证可以直接导入病人姓名及身份证号码功能。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2.2.3 可以支持标准HL7协议，可以方便对接HIS系统。</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2.2.4 支持LDAP集成登陆，方便医院账号管理。</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2.2.5 支持PDF报告发送至邮箱。</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2.2.6 *提供DICOM3.0数据交换接口，可方便与医院PACS系统互联，提供的服务包括：DICOM worklist, DICOM verify, DICOM storage。</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2.2.7 具有功能模块自定义功能：医生可以根据操作习惯，自定义软件操作工作流。</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3.工作站数据库：</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3.1 提供≧两类国际专业术语数据库。</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3.2 提供临床病理参考图谱,数据库包括至少十种临床病症现象的标准参考图谱。</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3.3提供数百张张病理确诊的病例资料数据图库。</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3.4 *提供≥70例病理确诊的病例资料供操作练习，可提供进修培训其临床应用功能的教学医院；</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3.5 *提供≥3种的评估方法。</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4.工作站网络应用功能：</w:t>
      </w:r>
      <w:r>
        <w:rPr>
          <w:rFonts w:hint="eastAsia" w:ascii="仿宋_GB2312" w:hAnsi="仿宋" w:eastAsia="仿宋_GB2312" w:cs="仿宋"/>
          <w:sz w:val="24"/>
          <w:szCs w:val="24"/>
        </w:rPr>
        <w:tab/>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4.1 支持局网和广域网两种组网方式</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4.2 基于患者为中心的网络数据库系统，对不同阴道镜检查的数据进行统一管理。对患者的阴道镜转诊检查指征、所有的历史病例、诊断术语等进行规范化管理，保证患者数据的一致性。</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4.3 支持护士工作站、医生工作站和阴道镜工作站互联构成门诊应用网络，提供四级用户权限管理（主任、医生、护士及系统管理者）。</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4.4 具有广域网连接功能，能够与电子阴道镜数据管理系统联网，便于宫颈门诊中心或区域性子宫颈癌早诊早治质控中心更好的开展网络化应用和质控管理，提高管理效率，提升临床诊疗与随访管理的服务质量。</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4.5 转诊信息和病理结果信息综合管理网络化应用，方便门诊业务的统计分析。</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4.6 阴道镜病人信息、图片信息不管是局域网还是广域网连接方式，都支持实时上传。</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4.7 为确保网络阴道镜系统使用的安全性及可靠性，在断网情况下，阴道镜也能支持单机运行，网络连通后单机阴道镜能自动恢复与服务器数据同步。</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4.8 提供数据信息的自动备份与恢复功能。</w:t>
      </w:r>
    </w:p>
    <w:p>
      <w:pPr>
        <w:spacing w:line="420" w:lineRule="exact"/>
        <w:ind w:firstLine="480" w:firstLineChars="200"/>
        <w:rPr>
          <w:color w:val="000000"/>
          <w:sz w:val="24"/>
          <w:szCs w:val="24"/>
        </w:rPr>
      </w:pPr>
      <w:r>
        <w:rPr>
          <w:rFonts w:hint="eastAsia" w:ascii="仿宋_GB2312" w:hAnsi="仿宋" w:eastAsia="仿宋_GB2312" w:cs="仿宋"/>
          <w:sz w:val="24"/>
          <w:szCs w:val="24"/>
        </w:rPr>
        <w:t>4.9 支持联网叫号系统，便于对阴道镜检查患者的分流处理，提高工作效率。</w:t>
      </w:r>
    </w:p>
    <w:p>
      <w:pPr>
        <w:spacing w:line="420" w:lineRule="exact"/>
        <w:jc w:val="center"/>
        <w:rPr>
          <w:b/>
          <w:bCs/>
          <w:sz w:val="36"/>
          <w:szCs w:val="36"/>
        </w:rPr>
      </w:pPr>
    </w:p>
    <w:p>
      <w:pPr>
        <w:jc w:val="center"/>
        <w:rPr>
          <w:b/>
          <w:bCs/>
          <w:sz w:val="36"/>
          <w:szCs w:val="36"/>
        </w:rPr>
      </w:pPr>
      <w:r>
        <w:rPr>
          <w:rFonts w:hint="eastAsia"/>
          <w:b/>
          <w:bCs/>
          <w:sz w:val="36"/>
          <w:szCs w:val="36"/>
        </w:rPr>
        <w:t>03-02 空气波</w:t>
      </w:r>
      <w:r>
        <w:rPr>
          <w:b/>
          <w:bCs/>
          <w:sz w:val="36"/>
          <w:szCs w:val="36"/>
        </w:rPr>
        <w:t>治疗仪</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1.柜式一体机，可同时使用两个八腔气囊。</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2.*液晶触摸屏加旋转编码器操作。</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 xml:space="preserve">3.时间设定功能时间范围为0～60min，步长1min。 </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4.*生物波功能：≥四组生物波输出，输出模式至少包含连续波、正弦波和方波三种模式，脉冲频率1Hz～99Hz连续可调，步长1Hz，脉冲宽度≥500μs。</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5.充气模式：至少八种基础充气模式，可任意组合治疗。</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6.治疗仪压力范围：5～25kPa可调。</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7.极限压强≤40kPa，且超过2kPa的持续时间≥3min。</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8.过压保护：治疗仪具有过压保护措施。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9.*手动释压器：治疗仪提供在各种状态下手动解除患者压强的措施。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10.连接：连接管路有防止接错的装置或标识。</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11.工作噪声：治疗仪正常工作时的噪声≤70dB。</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12.每个部位至少6个压力点。</w:t>
      </w:r>
    </w:p>
    <w:p>
      <w:pPr>
        <w:spacing w:line="420" w:lineRule="exact"/>
        <w:ind w:firstLine="480" w:firstLineChars="200"/>
        <w:rPr>
          <w:rFonts w:ascii="仿宋_GB2312" w:hAnsi="仿宋" w:eastAsia="仿宋_GB2312" w:cs="仿宋"/>
          <w:sz w:val="24"/>
          <w:szCs w:val="24"/>
        </w:rPr>
      </w:pPr>
    </w:p>
    <w:p>
      <w:pPr>
        <w:jc w:val="center"/>
        <w:rPr>
          <w:b/>
          <w:bCs/>
          <w:sz w:val="36"/>
          <w:szCs w:val="36"/>
        </w:rPr>
      </w:pPr>
      <w:r>
        <w:rPr>
          <w:rFonts w:hint="eastAsia"/>
          <w:b/>
          <w:bCs/>
          <w:sz w:val="36"/>
          <w:szCs w:val="36"/>
        </w:rPr>
        <w:t>03-03 气囊压力表</w:t>
      </w:r>
    </w:p>
    <w:p>
      <w:pPr>
        <w:spacing w:line="360" w:lineRule="auto"/>
        <w:rPr>
          <w:rFonts w:ascii="宋体" w:hAnsi="宋体"/>
          <w:sz w:val="24"/>
          <w:szCs w:val="24"/>
        </w:rPr>
      </w:pP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1.气囊压力表和配件用于给各种气管插管、气管切开插管、双腔支气管插管等的高容量低压气管插管充气、放气及压力检测。</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2、气囊压力表由压力表(表盘及面板保护圈组成)、充气手柄组成，配置有附件（延长管）1根。</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3、气囊压力表为弹簧管机械指针式压力表。</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4、连接管为PVC材料，面板保护圈为橡胶材料。</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5、具有抽气功能，可将气囊内气体抽出（拔管时使用）。</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6、VBM气囊测压表后面有独特设计挂钩.可将其挂置于各类围栏、架子上。</w:t>
      </w:r>
    </w:p>
    <w:p>
      <w:pPr>
        <w:spacing w:line="420" w:lineRule="exact"/>
        <w:jc w:val="center"/>
        <w:rPr>
          <w:rFonts w:hint="eastAsia"/>
          <w:b/>
          <w:bCs/>
          <w:sz w:val="36"/>
          <w:szCs w:val="36"/>
        </w:rPr>
      </w:pPr>
    </w:p>
    <w:p>
      <w:pPr>
        <w:spacing w:line="420" w:lineRule="exact"/>
        <w:jc w:val="center"/>
        <w:rPr>
          <w:rFonts w:ascii="仿宋_GB2312" w:hAnsi="仿宋" w:eastAsia="仿宋_GB2312" w:cs="仿宋"/>
          <w:sz w:val="24"/>
          <w:szCs w:val="24"/>
        </w:rPr>
      </w:pPr>
      <w:r>
        <w:rPr>
          <w:rFonts w:hint="eastAsia"/>
          <w:b/>
          <w:bCs/>
          <w:sz w:val="36"/>
          <w:szCs w:val="36"/>
        </w:rPr>
        <w:t>03-04 高级分娩综合技能训练模型</w:t>
      </w:r>
      <w:r>
        <w:rPr>
          <w:rFonts w:hint="eastAsia"/>
          <w:b/>
          <w:bCs/>
          <w:sz w:val="36"/>
          <w:szCs w:val="36"/>
        </w:rPr>
        <w:cr/>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1.可进行整个分娩过程的示教。</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2.可示教胎头吸引术的胎儿、脐带及胎盘，胎儿关节灵活，可演示多种正常与异常的胎位分娩。</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3.可练习并掌握正常分娩、异常分娩（难产）、助产技巧以及会阴保护等综合技能。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4.可进行多胎妊娠（双胎）分娩操作训练。</w:t>
      </w:r>
    </w:p>
    <w:p>
      <w:pPr>
        <w:spacing w:line="420" w:lineRule="exact"/>
        <w:ind w:firstLine="480" w:firstLineChars="200"/>
        <w:rPr>
          <w:rFonts w:ascii="仿宋_GB2312" w:hAnsi="仿宋" w:eastAsia="仿宋_GB2312" w:cs="仿宋"/>
          <w:sz w:val="24"/>
          <w:szCs w:val="24"/>
        </w:rPr>
      </w:pPr>
    </w:p>
    <w:p>
      <w:pPr>
        <w:spacing w:line="420" w:lineRule="exact"/>
        <w:ind w:firstLine="480" w:firstLineChars="200"/>
        <w:rPr>
          <w:rFonts w:ascii="仿宋_GB2312" w:hAnsi="仿宋" w:eastAsia="仿宋_GB2312" w:cs="仿宋"/>
          <w:sz w:val="24"/>
          <w:szCs w:val="24"/>
        </w:rPr>
      </w:pPr>
    </w:p>
    <w:p>
      <w:pPr>
        <w:spacing w:line="420" w:lineRule="exact"/>
        <w:jc w:val="center"/>
        <w:rPr>
          <w:b/>
          <w:bCs/>
          <w:sz w:val="36"/>
          <w:szCs w:val="36"/>
        </w:rPr>
      </w:pPr>
      <w:r>
        <w:rPr>
          <w:rFonts w:hint="eastAsia"/>
          <w:b/>
          <w:bCs/>
          <w:sz w:val="36"/>
          <w:szCs w:val="36"/>
        </w:rPr>
        <w:t>03-05 新生儿心肺复苏插管模型</w:t>
      </w:r>
    </w:p>
    <w:p>
      <w:pPr>
        <w:spacing w:line="420" w:lineRule="exact"/>
        <w:ind w:firstLine="480" w:firstLineChars="200"/>
        <w:rPr>
          <w:rFonts w:ascii="宋体" w:hAnsi="宋体"/>
          <w:sz w:val="24"/>
          <w:szCs w:val="24"/>
        </w:rPr>
      </w:pP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w:t>
      </w:r>
      <w:r>
        <w:rPr>
          <w:rFonts w:ascii="仿宋_GB2312" w:hAnsi="仿宋" w:eastAsia="仿宋_GB2312" w:cs="仿宋"/>
          <w:sz w:val="24"/>
          <w:szCs w:val="24"/>
        </w:rPr>
        <w:t>*</w:t>
      </w:r>
      <w:r>
        <w:rPr>
          <w:rFonts w:hint="eastAsia" w:ascii="仿宋_GB2312" w:hAnsi="仿宋" w:eastAsia="仿宋_GB2312" w:cs="仿宋"/>
          <w:sz w:val="24"/>
          <w:szCs w:val="24"/>
        </w:rPr>
        <w:t>具有气管插管功能。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2.模拟标准气道开放。</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3.全程语音提示，音量可以调节。</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4.具有人工手位胸外按压显示报警：按压位置正确，错误的指示灯显示及错误的语音提示；按压深度正确（前后径1/3处区域），错误（小于前后径1/3处或大于前后径1/3处）的指示灯显示及错误的语示提示。</w:t>
      </w:r>
      <w:r>
        <w:rPr>
          <w:rFonts w:hint="eastAsia" w:ascii="仿宋_GB2312" w:hAnsi="仿宋" w:eastAsia="仿宋_GB2312" w:cs="仿宋"/>
          <w:sz w:val="24"/>
          <w:szCs w:val="24"/>
        </w:rPr>
        <w:cr/>
      </w:r>
      <w:r>
        <w:rPr>
          <w:rFonts w:hint="eastAsia" w:ascii="仿宋_GB2312" w:hAnsi="仿宋" w:eastAsia="仿宋_GB2312" w:cs="仿宋"/>
          <w:sz w:val="24"/>
          <w:szCs w:val="24"/>
        </w:rPr>
        <w:t xml:space="preserve">    5.具有人工口对口呼吸（吹气）显示报警：吹入的潮气量＜30ml的指示灯显示及语音提示；吹入的潮气量在30ml-50ml的正确指示灯显示；吹入的潮气量过快或者超大，造成气体进入胃部指示灯显示及语音提示。</w:t>
      </w:r>
      <w:r>
        <w:rPr>
          <w:rFonts w:hint="eastAsia" w:ascii="仿宋_GB2312" w:hAnsi="仿宋" w:eastAsia="仿宋_GB2312" w:cs="仿宋"/>
          <w:sz w:val="24"/>
          <w:szCs w:val="24"/>
        </w:rPr>
        <w:cr/>
      </w:r>
      <w:r>
        <w:rPr>
          <w:rFonts w:hint="eastAsia" w:ascii="仿宋_GB2312" w:hAnsi="仿宋" w:eastAsia="仿宋_GB2312" w:cs="仿宋"/>
          <w:sz w:val="24"/>
          <w:szCs w:val="24"/>
        </w:rPr>
        <w:t xml:space="preserve">    6.按压与人工呼吸比：30：2。</w:t>
      </w:r>
      <w:r>
        <w:rPr>
          <w:rFonts w:hint="eastAsia" w:ascii="仿宋_GB2312" w:hAnsi="仿宋" w:eastAsia="仿宋_GB2312" w:cs="仿宋"/>
          <w:sz w:val="24"/>
          <w:szCs w:val="24"/>
        </w:rPr>
        <w:cr/>
      </w:r>
      <w:r>
        <w:rPr>
          <w:rFonts w:hint="eastAsia" w:ascii="仿宋_GB2312" w:hAnsi="仿宋" w:eastAsia="仿宋_GB2312" w:cs="仿宋"/>
          <w:sz w:val="24"/>
          <w:szCs w:val="24"/>
        </w:rPr>
        <w:t xml:space="preserve">    7.操作周期：按压与人工吹气30：2做五个循环周期CPR操作。</w:t>
      </w:r>
      <w:r>
        <w:rPr>
          <w:rFonts w:hint="eastAsia" w:ascii="仿宋_GB2312" w:hAnsi="仿宋" w:eastAsia="仿宋_GB2312" w:cs="仿宋"/>
          <w:sz w:val="24"/>
          <w:szCs w:val="24"/>
        </w:rPr>
        <w:cr/>
      </w:r>
      <w:r>
        <w:rPr>
          <w:rFonts w:hint="eastAsia" w:ascii="仿宋_GB2312" w:hAnsi="仿宋" w:eastAsia="仿宋_GB2312" w:cs="仿宋"/>
          <w:sz w:val="24"/>
          <w:szCs w:val="24"/>
        </w:rPr>
        <w:t xml:space="preserve">    8.操作频率：≥100次/分，（至少100、110、120次/分三档可选）</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9.操作方式：训练操作。</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10.检查肱动脉反映：手捏压力皮球，模拟肱动脉搏动。</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11.工作状态：采用220V电源或者采用4节1号电池的直流电源状态下工作，适应野外无电源地方训练。</w:t>
      </w:r>
    </w:p>
    <w:p>
      <w:pPr>
        <w:spacing w:line="420" w:lineRule="exact"/>
        <w:jc w:val="center"/>
        <w:rPr>
          <w:rFonts w:hint="eastAsia"/>
          <w:b/>
          <w:bCs/>
          <w:sz w:val="36"/>
          <w:szCs w:val="36"/>
        </w:rPr>
      </w:pPr>
    </w:p>
    <w:p>
      <w:pPr>
        <w:pStyle w:val="2"/>
      </w:pPr>
    </w:p>
    <w:p>
      <w:pPr>
        <w:spacing w:line="420" w:lineRule="exact"/>
        <w:jc w:val="center"/>
        <w:rPr>
          <w:b/>
          <w:bCs/>
          <w:sz w:val="36"/>
          <w:szCs w:val="36"/>
        </w:rPr>
      </w:pPr>
      <w:r>
        <w:rPr>
          <w:rFonts w:hint="eastAsia"/>
          <w:b/>
          <w:bCs/>
          <w:sz w:val="36"/>
          <w:szCs w:val="36"/>
        </w:rPr>
        <w:t>03-06 内镜送水泵</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1.适用液体：无菌水。</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2.适用泵管内径：3.2mm～4.8mm（壁厚1.6mm）。</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3.最大输出压强：≤350kPa。</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4.最大输出流量：270±40ml/min（3.2mm 内径泵管）；600±60ml/min（4.8mm 内径泵管）。</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5.定时时间：20S。</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6.定时精度：±3S。</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7.挂架载荷：≥2Kg。</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8.能耗（额定输入功率）：100-240V～  50/60Hz 60VA。</w:t>
      </w:r>
    </w:p>
    <w:p>
      <w:pPr>
        <w:spacing w:line="420" w:lineRule="exact"/>
        <w:ind w:firstLine="480" w:firstLineChars="200"/>
        <w:rPr>
          <w:rFonts w:ascii="仿宋_GB2312" w:hAnsi="仿宋" w:eastAsia="仿宋_GB2312" w:cs="仿宋"/>
          <w:sz w:val="24"/>
          <w:szCs w:val="24"/>
        </w:rPr>
      </w:pPr>
    </w:p>
    <w:p>
      <w:pPr>
        <w:spacing w:line="420" w:lineRule="exact"/>
        <w:jc w:val="center"/>
        <w:rPr>
          <w:b/>
          <w:bCs/>
          <w:sz w:val="36"/>
          <w:szCs w:val="36"/>
        </w:rPr>
      </w:pPr>
      <w:r>
        <w:rPr>
          <w:rFonts w:hint="eastAsia"/>
          <w:b/>
          <w:bCs/>
          <w:sz w:val="36"/>
          <w:szCs w:val="36"/>
        </w:rPr>
        <w:t>03-07 内镜用二氧化碳送气装置</w:t>
      </w:r>
    </w:p>
    <w:p>
      <w:pPr>
        <w:spacing w:line="420" w:lineRule="exact"/>
        <w:ind w:firstLine="480" w:firstLineChars="200"/>
        <w:rPr>
          <w:rFonts w:ascii="仿宋_GB2312" w:hAnsi="仿宋" w:eastAsia="仿宋_GB2312" w:cs="仿宋"/>
          <w:sz w:val="24"/>
          <w:szCs w:val="24"/>
        </w:rPr>
      </w:pPr>
      <w:r>
        <w:rPr>
          <w:rFonts w:hint="eastAsia" w:ascii="宋体" w:hAnsi="宋体"/>
          <w:sz w:val="24"/>
          <w:szCs w:val="24"/>
        </w:rPr>
        <w:t>1.</w:t>
      </w:r>
      <w:r>
        <w:rPr>
          <w:rFonts w:hint="eastAsia" w:ascii="仿宋_GB2312" w:hAnsi="仿宋" w:eastAsia="仿宋_GB2312" w:cs="仿宋"/>
          <w:sz w:val="24"/>
          <w:szCs w:val="24"/>
        </w:rPr>
        <w:t>适用气体：医用高纯二氧化碳气体（CO2）。</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2.输入CO2气体额定压强范围：≥0.3432MPa-1.4MPa。</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3.输入CO2气体压强上限报警最大值：≥1.5MPa。</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4.输入CO2气体压强下限报警最小值：≤250KPa。</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5.输出CO2气体额定压强：45KPa±4KPa。</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6.输出CO2气体流量下限报警最小值：≤0.2L/min。</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7.输出CO2气体额定流量：8.5 L/min±1 L/min。</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8.输出CO2气体额定流量精度：≤±0.3 L/min。</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9.输出CO2气体温度范围（辅助加热功能）：15-35℃。</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10.四档定时模式可选</w:t>
      </w:r>
      <w:r>
        <w:rPr>
          <w:rFonts w:hint="eastAsia" w:ascii="仿宋_GB2312" w:hAnsi="仿宋" w:eastAsia="仿宋_GB2312" w:cs="仿宋"/>
          <w:sz w:val="24"/>
          <w:szCs w:val="24"/>
        </w:rPr>
        <w:tab/>
      </w:r>
      <w:r>
        <w:rPr>
          <w:rFonts w:hint="eastAsia" w:ascii="仿宋_GB2312" w:hAnsi="仿宋" w:eastAsia="仿宋_GB2312" w:cs="仿宋"/>
          <w:sz w:val="24"/>
          <w:szCs w:val="24"/>
        </w:rPr>
        <w:t>4种（15min，30min，60min，120min）。</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11.定时精度：±10S。</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12.耗能（额定输入功率）：100-240V～50/60Hz 60VA。</w:t>
      </w:r>
    </w:p>
    <w:p>
      <w:pPr>
        <w:spacing w:line="420" w:lineRule="exact"/>
        <w:ind w:firstLine="480" w:firstLineChars="200"/>
        <w:rPr>
          <w:rFonts w:ascii="仿宋_GB2312" w:hAnsi="仿宋" w:eastAsia="仿宋_GB2312" w:cs="仿宋"/>
          <w:sz w:val="24"/>
          <w:szCs w:val="24"/>
        </w:rPr>
      </w:pPr>
    </w:p>
    <w:p>
      <w:pPr>
        <w:spacing w:line="420" w:lineRule="exact"/>
        <w:jc w:val="center"/>
        <w:rPr>
          <w:b/>
          <w:bCs/>
          <w:sz w:val="36"/>
          <w:szCs w:val="36"/>
        </w:rPr>
      </w:pPr>
      <w:r>
        <w:rPr>
          <w:rFonts w:hint="eastAsia"/>
          <w:b/>
          <w:bCs/>
          <w:sz w:val="36"/>
          <w:szCs w:val="36"/>
        </w:rPr>
        <w:t>03-08 食道扩张探条</w:t>
      </w:r>
    </w:p>
    <w:p>
      <w:pPr>
        <w:spacing w:line="360" w:lineRule="auto"/>
      </w:pP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w:t>
      </w:r>
      <w:r>
        <w:rPr>
          <w:rFonts w:ascii="仿宋_GB2312" w:hAnsi="仿宋" w:eastAsia="仿宋_GB2312" w:cs="仿宋"/>
          <w:sz w:val="24"/>
          <w:szCs w:val="24"/>
        </w:rPr>
        <w:t>扩张条采用医用级高分子材料制成，软硬适中。</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w:t>
      </w:r>
      <w:r>
        <w:rPr>
          <w:rFonts w:ascii="仿宋_GB2312" w:hAnsi="仿宋" w:eastAsia="仿宋_GB2312" w:cs="仿宋"/>
          <w:sz w:val="24"/>
          <w:szCs w:val="24"/>
        </w:rPr>
        <w:t>端部圆锥顺滑，利于扩张，创伤小。</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w:t>
      </w:r>
      <w:r>
        <w:rPr>
          <w:rFonts w:ascii="仿宋_GB2312" w:hAnsi="仿宋" w:eastAsia="仿宋_GB2312" w:cs="仿宋"/>
          <w:sz w:val="24"/>
          <w:szCs w:val="24"/>
        </w:rPr>
        <w:t>头端有显影环，在X射线下定位更准确。</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w:t>
      </w:r>
      <w:r>
        <w:rPr>
          <w:rFonts w:ascii="仿宋_GB2312" w:hAnsi="仿宋" w:eastAsia="仿宋_GB2312" w:cs="仿宋"/>
          <w:sz w:val="24"/>
          <w:szCs w:val="24"/>
        </w:rPr>
        <w:t>配有不锈钢超弹导丝。</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w:t>
      </w:r>
      <w:r>
        <w:rPr>
          <w:rFonts w:ascii="仿宋_GB2312" w:hAnsi="仿宋" w:eastAsia="仿宋_GB2312" w:cs="仿宋"/>
          <w:sz w:val="24"/>
          <w:szCs w:val="24"/>
        </w:rPr>
        <w:t>配有清洗孔道清洁刷。</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w:t>
      </w:r>
      <w:r>
        <w:rPr>
          <w:rFonts w:ascii="仿宋_GB2312" w:hAnsi="仿宋" w:eastAsia="仿宋_GB2312" w:cs="仿宋"/>
          <w:sz w:val="24"/>
          <w:szCs w:val="24"/>
        </w:rPr>
        <w:t>配有便携外箱，便于运输。</w:t>
      </w:r>
    </w:p>
    <w:p>
      <w:pPr>
        <w:spacing w:line="420" w:lineRule="exact"/>
        <w:ind w:firstLine="480" w:firstLineChars="200"/>
        <w:rPr>
          <w:rFonts w:ascii="仿宋_GB2312" w:hAnsi="仿宋" w:eastAsia="仿宋_GB2312" w:cs="仿宋"/>
          <w:sz w:val="24"/>
          <w:szCs w:val="24"/>
        </w:rPr>
      </w:pPr>
    </w:p>
    <w:p>
      <w:pPr>
        <w:spacing w:line="420" w:lineRule="exact"/>
        <w:jc w:val="center"/>
        <w:rPr>
          <w:b/>
          <w:bCs/>
          <w:sz w:val="36"/>
          <w:szCs w:val="36"/>
        </w:rPr>
      </w:pPr>
      <w:r>
        <w:rPr>
          <w:rFonts w:hint="eastAsia"/>
          <w:b/>
          <w:bCs/>
          <w:sz w:val="36"/>
          <w:szCs w:val="36"/>
        </w:rPr>
        <w:t>03-09 红蓝黄光治疗仪</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1.设备用途：</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用于轻、中度炎性痤疮红光和蓝光治疗，中、重度痤疮及囊肿性痤疮的光动力疗法、各类皮肤的嫩肤治疗、敏感性皮肤的黄光舒敏治疗、面部过敏性皮炎的治疗、抗衰嫩肤美白、淡化斑点、增加皮肤弹性。</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2.技术参数：</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 LED光源芯片，输出稳定，光源使用寿命</w:t>
      </w:r>
      <w:r>
        <w:rPr>
          <w:rFonts w:ascii="仿宋_GB2312" w:hAnsi="仿宋" w:eastAsia="仿宋_GB2312" w:cs="仿宋"/>
          <w:sz w:val="24"/>
          <w:szCs w:val="24"/>
        </w:rPr>
        <w:t>≥</w:t>
      </w:r>
      <w:r>
        <w:rPr>
          <w:rFonts w:hint="eastAsia" w:ascii="仿宋_GB2312" w:hAnsi="仿宋" w:eastAsia="仿宋_GB2312" w:cs="仿宋"/>
          <w:sz w:val="24"/>
          <w:szCs w:val="24"/>
        </w:rPr>
        <w:t>30000小时。</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2.2 光源输出强度高，见效快，疗程短，不良反应小。</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2.3 蓝光峰值≥415nm，红光峰值≥633nm，黄光</w:t>
      </w:r>
      <w:r>
        <w:rPr>
          <w:rFonts w:ascii="仿宋_GB2312" w:hAnsi="仿宋" w:eastAsia="仿宋_GB2312" w:cs="仿宋"/>
          <w:sz w:val="24"/>
          <w:szCs w:val="24"/>
        </w:rPr>
        <w:t>峰值</w:t>
      </w:r>
      <w:r>
        <w:rPr>
          <w:rFonts w:hint="eastAsia" w:ascii="仿宋_GB2312" w:hAnsi="仿宋" w:eastAsia="仿宋_GB2312" w:cs="仿宋"/>
          <w:sz w:val="24"/>
          <w:szCs w:val="24"/>
        </w:rPr>
        <w:t>≥590</w:t>
      </w:r>
      <w:r>
        <w:rPr>
          <w:rFonts w:ascii="仿宋_GB2312" w:hAnsi="仿宋" w:eastAsia="仿宋_GB2312" w:cs="仿宋"/>
          <w:sz w:val="24"/>
          <w:szCs w:val="24"/>
        </w:rPr>
        <w:t>nm</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2.4 光源设计选用“广角密布型”光源阵列，输出强度均匀，并可在患者舒适的治疗距离范围内保证足够强度。</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2.5 采用“恒流并联式”光源阵列模组，可靠性高，不会因为单颗芯片的缺陷导致整列LED光源或整个LED集成模块损坏。</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2.6 光源辐照面积大，采用可包围可伸展的五幅光源模块设计，可以根据治疗部位灵活调整。</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2.7 辐照器可以根据治疗需要灵活的上下左右调整、旋转，患者可在坐卧等多种方式下完成治疗。</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2.8 治疗方式上至少有连续治疗和脉冲治疗2种模式可选。</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2.9 配置≥8英寸高清真彩触摸式显示屏，图形化操作界面。</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2.10 操控系统具有自我记忆和预存储模式。</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2.11 辐照强度可调模式，适合各种治疗方案。</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2.12 *峰值波段（nm）：蓝光：</w:t>
      </w:r>
      <w:r>
        <w:rPr>
          <w:rFonts w:ascii="仿宋_GB2312" w:hAnsi="仿宋" w:eastAsia="仿宋_GB2312" w:cs="仿宋"/>
          <w:sz w:val="24"/>
          <w:szCs w:val="24"/>
        </w:rPr>
        <w:t>415nm±10nm；</w:t>
      </w:r>
      <w:r>
        <w:rPr>
          <w:rFonts w:hint="eastAsia" w:ascii="仿宋_GB2312" w:hAnsi="仿宋" w:eastAsia="仿宋_GB2312" w:cs="仿宋"/>
          <w:sz w:val="24"/>
          <w:szCs w:val="24"/>
        </w:rPr>
        <w:t>红光：</w:t>
      </w:r>
      <w:r>
        <w:rPr>
          <w:rFonts w:ascii="仿宋_GB2312" w:hAnsi="仿宋" w:eastAsia="仿宋_GB2312" w:cs="仿宋"/>
          <w:sz w:val="24"/>
          <w:szCs w:val="24"/>
        </w:rPr>
        <w:t>63</w:t>
      </w:r>
      <w:r>
        <w:rPr>
          <w:rFonts w:hint="eastAsia" w:ascii="仿宋_GB2312" w:hAnsi="仿宋" w:eastAsia="仿宋_GB2312" w:cs="仿宋"/>
          <w:sz w:val="24"/>
          <w:szCs w:val="24"/>
        </w:rPr>
        <w:t>3</w:t>
      </w:r>
      <w:r>
        <w:rPr>
          <w:rFonts w:ascii="仿宋_GB2312" w:hAnsi="仿宋" w:eastAsia="仿宋_GB2312" w:cs="仿宋"/>
          <w:sz w:val="24"/>
          <w:szCs w:val="24"/>
        </w:rPr>
        <w:t>nm±10nm；</w:t>
      </w:r>
      <w:r>
        <w:rPr>
          <w:rFonts w:hint="eastAsia" w:ascii="仿宋_GB2312" w:hAnsi="仿宋" w:eastAsia="仿宋_GB2312" w:cs="仿宋"/>
          <w:sz w:val="24"/>
          <w:szCs w:val="24"/>
        </w:rPr>
        <w:t>黄光</w:t>
      </w:r>
      <w:r>
        <w:rPr>
          <w:rFonts w:ascii="仿宋_GB2312" w:hAnsi="仿宋" w:eastAsia="仿宋_GB2312" w:cs="仿宋"/>
          <w:sz w:val="24"/>
          <w:szCs w:val="24"/>
        </w:rPr>
        <w:t>：</w:t>
      </w:r>
      <w:r>
        <w:rPr>
          <w:rFonts w:hint="eastAsia" w:ascii="仿宋_GB2312" w:hAnsi="仿宋" w:eastAsia="仿宋_GB2312" w:cs="仿宋"/>
          <w:sz w:val="24"/>
          <w:szCs w:val="24"/>
        </w:rPr>
        <w:t>590</w:t>
      </w:r>
      <w:r>
        <w:rPr>
          <w:rFonts w:ascii="仿宋_GB2312" w:hAnsi="仿宋" w:eastAsia="仿宋_GB2312" w:cs="仿宋"/>
          <w:sz w:val="24"/>
          <w:szCs w:val="24"/>
        </w:rPr>
        <w:t xml:space="preserve"> nm±10nm</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2.13 *光源类型：LED红光/LED蓝光/LED黄光。</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2.14 *辐照强度（</w:t>
      </w:r>
      <w:r>
        <w:rPr>
          <w:rFonts w:ascii="仿宋_GB2312" w:hAnsi="仿宋" w:eastAsia="仿宋_GB2312" w:cs="仿宋"/>
          <w:sz w:val="24"/>
          <w:szCs w:val="24"/>
        </w:rPr>
        <w:t>mw/cm²）：蓝光: 67</w:t>
      </w:r>
      <w:r>
        <w:rPr>
          <w:rFonts w:hint="eastAsia" w:ascii="仿宋_GB2312" w:hAnsi="仿宋" w:eastAsia="仿宋_GB2312" w:cs="仿宋"/>
          <w:sz w:val="24"/>
          <w:szCs w:val="24"/>
        </w:rPr>
        <w:t>～</w:t>
      </w:r>
      <w:r>
        <w:rPr>
          <w:rFonts w:ascii="仿宋_GB2312" w:hAnsi="仿宋" w:eastAsia="仿宋_GB2312" w:cs="仿宋"/>
          <w:sz w:val="24"/>
          <w:szCs w:val="24"/>
        </w:rPr>
        <w:t>208，红光:25</w:t>
      </w:r>
      <w:r>
        <w:rPr>
          <w:rFonts w:hint="eastAsia" w:ascii="仿宋_GB2312" w:hAnsi="仿宋" w:eastAsia="仿宋_GB2312" w:cs="仿宋"/>
          <w:sz w:val="24"/>
          <w:szCs w:val="24"/>
        </w:rPr>
        <w:t>～</w:t>
      </w:r>
      <w:r>
        <w:rPr>
          <w:rFonts w:ascii="仿宋_GB2312" w:hAnsi="仿宋" w:eastAsia="仿宋_GB2312" w:cs="仿宋"/>
          <w:sz w:val="24"/>
          <w:szCs w:val="24"/>
        </w:rPr>
        <w:t>95</w:t>
      </w:r>
      <w:r>
        <w:rPr>
          <w:rFonts w:hint="eastAsia" w:ascii="仿宋_GB2312" w:hAnsi="仿宋" w:eastAsia="仿宋_GB2312" w:cs="仿宋"/>
          <w:sz w:val="24"/>
          <w:szCs w:val="24"/>
        </w:rPr>
        <w:t>；黄光：16～52。</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2.15 辐照面积（长×宽，mm）：≥410×160。</w:t>
      </w:r>
    </w:p>
    <w:p>
      <w:pPr>
        <w:spacing w:line="420" w:lineRule="exact"/>
        <w:ind w:firstLine="480" w:firstLineChars="200"/>
        <w:rPr>
          <w:rFonts w:ascii="仿宋_GB2312" w:hAnsi="仿宋" w:eastAsia="仿宋_GB2312" w:cs="仿宋"/>
          <w:color w:val="000000"/>
          <w:sz w:val="24"/>
          <w:szCs w:val="24"/>
        </w:rPr>
      </w:pPr>
      <w:r>
        <w:rPr>
          <w:rFonts w:hint="eastAsia" w:ascii="仿宋_GB2312" w:hAnsi="仿宋" w:eastAsia="仿宋_GB2312" w:cs="仿宋"/>
          <w:color w:val="000000"/>
          <w:sz w:val="24"/>
          <w:szCs w:val="24"/>
        </w:rPr>
        <w:t>2.16 交流电压： 220</w:t>
      </w:r>
      <w:r>
        <w:rPr>
          <w:rFonts w:ascii="仿宋_GB2312" w:hAnsi="仿宋" w:eastAsia="仿宋_GB2312" w:cs="仿宋"/>
          <w:color w:val="000000"/>
          <w:sz w:val="24"/>
          <w:szCs w:val="24"/>
        </w:rPr>
        <w:t xml:space="preserve"> V</w:t>
      </w:r>
      <w:r>
        <w:rPr>
          <w:rFonts w:hint="eastAsia" w:ascii="仿宋_GB2312" w:hAnsi="仿宋" w:eastAsia="仿宋_GB2312" w:cs="仿宋"/>
          <w:color w:val="000000"/>
          <w:sz w:val="24"/>
          <w:szCs w:val="24"/>
        </w:rPr>
        <w:t>±22</w:t>
      </w:r>
      <w:r>
        <w:rPr>
          <w:rFonts w:ascii="仿宋_GB2312" w:hAnsi="仿宋" w:eastAsia="仿宋_GB2312" w:cs="仿宋"/>
          <w:color w:val="000000"/>
          <w:sz w:val="24"/>
          <w:szCs w:val="24"/>
        </w:rPr>
        <w:t xml:space="preserve"> V</w:t>
      </w:r>
      <w:r>
        <w:rPr>
          <w:rFonts w:hint="eastAsia" w:ascii="仿宋_GB2312" w:hAnsi="仿宋" w:eastAsia="仿宋_GB2312" w:cs="仿宋"/>
          <w:color w:val="000000"/>
          <w:sz w:val="24"/>
          <w:szCs w:val="24"/>
        </w:rPr>
        <w:t>。</w:t>
      </w:r>
    </w:p>
    <w:p>
      <w:pPr>
        <w:spacing w:line="420" w:lineRule="exact"/>
        <w:ind w:firstLine="480" w:firstLineChars="200"/>
        <w:rPr>
          <w:rFonts w:ascii="仿宋_GB2312" w:hAnsi="仿宋" w:eastAsia="仿宋_GB2312" w:cs="仿宋"/>
          <w:color w:val="000000"/>
          <w:sz w:val="24"/>
          <w:szCs w:val="24"/>
        </w:rPr>
      </w:pPr>
      <w:r>
        <w:rPr>
          <w:rFonts w:hint="eastAsia" w:ascii="仿宋_GB2312" w:hAnsi="仿宋" w:eastAsia="仿宋_GB2312" w:cs="仿宋"/>
          <w:color w:val="000000"/>
          <w:sz w:val="24"/>
          <w:szCs w:val="24"/>
        </w:rPr>
        <w:t>2.17 电源频率</w:t>
      </w:r>
      <w:r>
        <w:rPr>
          <w:rFonts w:ascii="仿宋_GB2312" w:hAnsi="仿宋" w:eastAsia="仿宋_GB2312" w:cs="仿宋"/>
          <w:color w:val="000000"/>
          <w:sz w:val="24"/>
          <w:szCs w:val="24"/>
        </w:rPr>
        <w:t>: 50 Hz</w:t>
      </w:r>
      <w:r>
        <w:rPr>
          <w:rFonts w:hint="eastAsia" w:ascii="仿宋_GB2312" w:hAnsi="仿宋" w:eastAsia="仿宋_GB2312" w:cs="仿宋"/>
          <w:color w:val="000000"/>
          <w:sz w:val="24"/>
          <w:szCs w:val="24"/>
        </w:rPr>
        <w:t>±1</w:t>
      </w:r>
      <w:r>
        <w:rPr>
          <w:rFonts w:ascii="仿宋_GB2312" w:hAnsi="仿宋" w:eastAsia="仿宋_GB2312" w:cs="仿宋"/>
          <w:color w:val="000000"/>
          <w:sz w:val="24"/>
          <w:szCs w:val="24"/>
        </w:rPr>
        <w:t xml:space="preserve"> Hz</w:t>
      </w:r>
      <w:r>
        <w:rPr>
          <w:rFonts w:hint="eastAsia" w:ascii="仿宋_GB2312" w:hAnsi="仿宋" w:eastAsia="仿宋_GB2312" w:cs="仿宋"/>
          <w:color w:val="000000"/>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 xml:space="preserve">2.18 </w:t>
      </w:r>
      <w:r>
        <w:rPr>
          <w:rFonts w:ascii="仿宋_GB2312" w:hAnsi="仿宋" w:eastAsia="仿宋_GB2312" w:cs="仿宋"/>
          <w:sz w:val="24"/>
          <w:szCs w:val="24"/>
        </w:rPr>
        <w:t xml:space="preserve">输入功率: </w:t>
      </w:r>
      <w:r>
        <w:rPr>
          <w:rFonts w:hint="eastAsia" w:ascii="仿宋_GB2312" w:hAnsi="仿宋" w:eastAsia="仿宋_GB2312" w:cs="仿宋"/>
          <w:sz w:val="24"/>
          <w:szCs w:val="24"/>
        </w:rPr>
        <w:t>≤8</w:t>
      </w:r>
      <w:r>
        <w:rPr>
          <w:rFonts w:ascii="仿宋_GB2312" w:hAnsi="仿宋" w:eastAsia="仿宋_GB2312" w:cs="仿宋"/>
          <w:sz w:val="24"/>
          <w:szCs w:val="24"/>
        </w:rPr>
        <w:t>00 VA</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p>
    <w:p>
      <w:pPr>
        <w:spacing w:line="420" w:lineRule="exact"/>
        <w:jc w:val="center"/>
        <w:rPr>
          <w:b/>
          <w:bCs/>
          <w:sz w:val="36"/>
          <w:szCs w:val="36"/>
        </w:rPr>
      </w:pPr>
      <w:r>
        <w:rPr>
          <w:rFonts w:hint="eastAsia"/>
          <w:b/>
          <w:bCs/>
          <w:sz w:val="36"/>
          <w:szCs w:val="36"/>
        </w:rPr>
        <w:t>03-10 308纳米紫外线光疗仪</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1.*以氮化铝镓（AlGaN）为“核芯”的LED固态光源，直接发出308nm波段的紫外线，无需过滤，光谱更加纯净和均匀,无杂光干扰。</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2.*光源使用寿命≥5000小时。</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3.整机设计符合人体工学原理，锂电池充电式无线手持移动设计，底座和治疗手柄可实现无线分离，适合任何病灶部位的治疗。</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4.采用低压设计，保证治疗过程中的安全；治疗剂量：0-5J（5000mJ）;治疗时配备各种形状的硅胶垫保护患者皮损部位周边的好皮肤，适应各类大小皮损。</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5.配置智能型数字式操作界面，采用剂量设计。</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6.双面散热孔设计，机身采用抗紫外线阻燃材料。</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7.治疗开始和治疗结束时都有语音提示功能，治疗结束时设备自动停止照射，治疗过程中，数字式控制器实时显示递减计数和余值，设备具有最高剂量输入限制功能。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8.配置辐照窗定位器，“锁”住能量，实现精准治疗。</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9.光源波段：≥308nm。</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10.辐照强度：</w:t>
      </w:r>
      <w:r>
        <w:rPr>
          <w:rFonts w:hint="eastAsia" w:ascii="宋体" w:hAnsi="宋体"/>
          <w:sz w:val="24"/>
          <w:szCs w:val="24"/>
        </w:rPr>
        <w:t>≥20mW/cm²20。</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11.辐照面积(mm)：≥45×45。</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12.电源电压：交流100-230VAC。</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13.电源频率：50/60HZ。</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14.输入电流：≤0.5A。</w:t>
      </w:r>
    </w:p>
    <w:p>
      <w:pPr>
        <w:spacing w:line="360" w:lineRule="auto"/>
        <w:ind w:firstLine="602" w:firstLineChars="200"/>
        <w:jc w:val="center"/>
        <w:rPr>
          <w:rFonts w:ascii="宋体" w:hAnsi="宋体" w:cs="微软雅黑"/>
          <w:b/>
          <w:color w:val="000000"/>
          <w:sz w:val="30"/>
          <w:szCs w:val="30"/>
        </w:rPr>
      </w:pPr>
    </w:p>
    <w:p>
      <w:pPr>
        <w:spacing w:line="420" w:lineRule="exact"/>
        <w:jc w:val="center"/>
        <w:rPr>
          <w:b/>
          <w:bCs/>
          <w:sz w:val="36"/>
          <w:szCs w:val="36"/>
        </w:rPr>
      </w:pPr>
      <w:r>
        <w:rPr>
          <w:rFonts w:hint="eastAsia"/>
          <w:b/>
          <w:bCs/>
          <w:sz w:val="36"/>
          <w:szCs w:val="36"/>
        </w:rPr>
        <w:t>03-11 皮肤镜</w:t>
      </w:r>
    </w:p>
    <w:p>
      <w:pPr>
        <w:spacing w:line="360" w:lineRule="auto"/>
        <w:ind w:firstLine="482" w:firstLineChars="200"/>
        <w:jc w:val="center"/>
        <w:rPr>
          <w:rFonts w:ascii="宋体" w:hAnsi="宋体" w:cs="微软雅黑"/>
          <w:b/>
          <w:color w:val="000000"/>
          <w:sz w:val="24"/>
        </w:rPr>
      </w:pP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1.*设备使用范围：用于对人皮肤、毛发的病变组织进行拍照和观察。</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2.设备须整机注册，设备组成至少包含：摄像头、LED光源、软件、仪器台车、电脑、打印机。</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3.设备须通过“医用电器设备安全通用要求”和“电磁兼容”检测，并提供相关资质。</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4.须提供整机设备的临床试验报告，临床试验结论:灵敏度、特异度不得低于95%。</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5.电脑：CPU≥双核，硬盘≥1TB，内存≥4G，显示器≥19英寸液晶。</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6.彩色喷墨打印机一台。</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7.仪器台车一台。</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8.微观摄像机一个。</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9.*微观摄像机成像分辨率≥2592×1944，像素≥500万。</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10.微观摄像机倍数范围：20X～220X可自行调节，放大倍率支持无极变倍功能并具有倍率锁定功能，无需更换镜头。</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11.微观摄像机应支持多种图像观察及采集方法，需包含：偏振光法、非偏振光法、浸润式、非浸润式、接触式、非接触式、可任意多种组合使用，其中接触式浸润法的观察和采集应具有标尺显示功能。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12.适配至少9种镜头支架，不仅支持多种不同皮损检测。支持指缝、耳背、外耳道、鼻腔等特殊部位。</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13.支持一次性垫片/圈，实现污染控制。</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14.*软件系统数据库、报告模板须涉及病种至少40种，包含常见皮肤肿瘤。配备皮肤病皮肤镜图谱数据库，并对疾病有详细的文字描述。涉及的疾病模板符合“皮肤镜诊断专家共识”包括：痣、黑素瘤、面部黑素瘤、肢端黑素细胞性皮损、非黑素细胞性肿瘤、色素减少性皮肤病、非色素性皮肤肿瘤、红斑鳞屑性疾病、甲病、毛发等。需提供电子皮肤镜系统软件著作权证书。</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15.软件测量功能：实现任意形状皮损的面积和周长测量功能。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16.软件系统需具有特异性指征报告模式。</w:t>
      </w:r>
    </w:p>
    <w:p>
      <w:pPr>
        <w:spacing w:line="420" w:lineRule="exact"/>
        <w:ind w:firstLine="480" w:firstLineChars="200"/>
        <w:rPr>
          <w:rFonts w:ascii="宋体" w:hAnsi="宋体"/>
          <w:sz w:val="24"/>
          <w:szCs w:val="24"/>
        </w:rPr>
      </w:pPr>
    </w:p>
    <w:p>
      <w:pPr>
        <w:spacing w:line="420" w:lineRule="exact"/>
        <w:jc w:val="center"/>
        <w:rPr>
          <w:rFonts w:ascii="宋体" w:hAnsi="宋体"/>
          <w:b/>
          <w:sz w:val="32"/>
          <w:szCs w:val="32"/>
        </w:rPr>
      </w:pPr>
      <w:r>
        <w:rPr>
          <w:rFonts w:hint="eastAsia"/>
          <w:b/>
          <w:bCs/>
          <w:sz w:val="36"/>
          <w:szCs w:val="36"/>
        </w:rPr>
        <w:t>03-12 半导体</w:t>
      </w:r>
      <w:r>
        <w:rPr>
          <w:b/>
          <w:bCs/>
          <w:sz w:val="36"/>
          <w:szCs w:val="36"/>
        </w:rPr>
        <w:t>激光生发仪</w:t>
      </w:r>
    </w:p>
    <w:p>
      <w:pPr>
        <w:jc w:val="center"/>
        <w:rPr>
          <w:rFonts w:ascii="宋体" w:hAnsi="宋体"/>
        </w:rPr>
      </w:pP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1.激光：5mW激光管,650±10nm，单管有效光功率：2～5mW。</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2.脉宽：60±20ms ，周期：143±20ms ，频率：7±1Hz。</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3.激光管：寿命≥4000小时。</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4.电源适配器：100～240v 50/60Hz  9V 1.3A。</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5.锂电池:正常7.2V(2*3.6V)，充满8.2±0.2V；容量：≥2600mAH。</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6.电池单次</w:t>
      </w:r>
      <w:r>
        <w:rPr>
          <w:rFonts w:ascii="仿宋_GB2312" w:hAnsi="仿宋" w:eastAsia="仿宋_GB2312" w:cs="仿宋"/>
          <w:sz w:val="24"/>
          <w:szCs w:val="24"/>
        </w:rPr>
        <w:t>治疗持续时间：</w:t>
      </w:r>
      <w:r>
        <w:rPr>
          <w:rFonts w:hint="eastAsia" w:ascii="仿宋_GB2312" w:hAnsi="仿宋" w:eastAsia="仿宋_GB2312" w:cs="仿宋"/>
          <w:sz w:val="24"/>
          <w:szCs w:val="24"/>
        </w:rPr>
        <w:t>30±6</w:t>
      </w:r>
      <w:r>
        <w:rPr>
          <w:rFonts w:ascii="仿宋_GB2312" w:hAnsi="仿宋" w:eastAsia="仿宋_GB2312" w:cs="仿宋"/>
          <w:sz w:val="24"/>
          <w:szCs w:val="24"/>
        </w:rPr>
        <w:t xml:space="preserve"> min</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p>
    <w:p>
      <w:pPr>
        <w:spacing w:line="420" w:lineRule="exact"/>
        <w:jc w:val="center"/>
        <w:rPr>
          <w:b/>
          <w:bCs/>
          <w:sz w:val="36"/>
          <w:szCs w:val="36"/>
        </w:rPr>
      </w:pPr>
      <w:r>
        <w:rPr>
          <w:rFonts w:hint="eastAsia"/>
          <w:b/>
          <w:bCs/>
          <w:sz w:val="36"/>
          <w:szCs w:val="36"/>
        </w:rPr>
        <w:t>03-13 智能熏蒸机</w:t>
      </w:r>
    </w:p>
    <w:p>
      <w:pPr>
        <w:spacing w:line="420" w:lineRule="exact"/>
        <w:ind w:firstLine="480" w:firstLineChars="200"/>
        <w:rPr>
          <w:rFonts w:ascii="仿宋_GB2312" w:hAnsi="仿宋" w:eastAsia="仿宋_GB2312" w:cs="仿宋"/>
          <w:sz w:val="24"/>
          <w:szCs w:val="24"/>
        </w:rPr>
      </w:pP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1.定时时间：1</w:t>
      </w:r>
      <w:r>
        <w:rPr>
          <w:rFonts w:ascii="仿宋_GB2312" w:hAnsi="仿宋" w:eastAsia="仿宋_GB2312" w:cs="仿宋"/>
          <w:sz w:val="24"/>
          <w:szCs w:val="24"/>
        </w:rPr>
        <w:t>-99</w:t>
      </w:r>
      <w:r>
        <w:rPr>
          <w:rFonts w:hint="eastAsia" w:ascii="仿宋_GB2312" w:hAnsi="仿宋" w:eastAsia="仿宋_GB2312" w:cs="仿宋"/>
          <w:sz w:val="24"/>
          <w:szCs w:val="24"/>
        </w:rPr>
        <w:t>min任意可调，连续工作时间≥8h。</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2.温度显示范围：0℃</w:t>
      </w:r>
      <w:r>
        <w:rPr>
          <w:rFonts w:ascii="仿宋_GB2312" w:hAnsi="仿宋" w:eastAsia="仿宋_GB2312" w:cs="仿宋"/>
          <w:sz w:val="24"/>
          <w:szCs w:val="24"/>
        </w:rPr>
        <w:t>-150</w:t>
      </w:r>
      <w:r>
        <w:rPr>
          <w:rFonts w:hint="eastAsia" w:ascii="仿宋_GB2312" w:hAnsi="仿宋" w:eastAsia="仿宋_GB2312" w:cs="仿宋"/>
          <w:sz w:val="24"/>
          <w:szCs w:val="24"/>
        </w:rPr>
        <w:t>℃，显示精度±1℃。</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3.*压力调节范围：2</w:t>
      </w:r>
      <w:r>
        <w:rPr>
          <w:rFonts w:ascii="仿宋_GB2312" w:hAnsi="仿宋" w:eastAsia="仿宋_GB2312" w:cs="仿宋"/>
          <w:sz w:val="24"/>
          <w:szCs w:val="24"/>
        </w:rPr>
        <w:t>0</w:t>
      </w:r>
      <w:r>
        <w:rPr>
          <w:rFonts w:hint="eastAsia" w:ascii="仿宋_GB2312" w:hAnsi="仿宋" w:eastAsia="仿宋_GB2312" w:cs="仿宋"/>
          <w:sz w:val="24"/>
          <w:szCs w:val="24"/>
        </w:rPr>
        <w:t>-</w:t>
      </w:r>
      <w:r>
        <w:rPr>
          <w:rFonts w:ascii="仿宋_GB2312" w:hAnsi="仿宋" w:eastAsia="仿宋_GB2312" w:cs="仿宋"/>
          <w:sz w:val="24"/>
          <w:szCs w:val="24"/>
        </w:rPr>
        <w:t>35KP</w:t>
      </w:r>
      <w:r>
        <w:rPr>
          <w:rFonts w:hint="eastAsia" w:ascii="仿宋_GB2312" w:hAnsi="仿宋" w:eastAsia="仿宋_GB2312" w:cs="仿宋"/>
          <w:sz w:val="24"/>
          <w:szCs w:val="24"/>
        </w:rPr>
        <w:t>a。</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4.输入功率：≥2</w:t>
      </w:r>
      <w:r>
        <w:rPr>
          <w:rFonts w:ascii="仿宋_GB2312" w:hAnsi="仿宋" w:eastAsia="仿宋_GB2312" w:cs="仿宋"/>
          <w:sz w:val="24"/>
          <w:szCs w:val="24"/>
        </w:rPr>
        <w:t>000V</w:t>
      </w:r>
      <w:r>
        <w:rPr>
          <w:rFonts w:hint="eastAsia" w:ascii="仿宋_GB2312" w:hAnsi="仿宋" w:eastAsia="仿宋_GB2312" w:cs="仿宋"/>
          <w:sz w:val="24"/>
          <w:szCs w:val="24"/>
        </w:rPr>
        <w:t>A。</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5.熏蒸锅容积：≥</w:t>
      </w:r>
      <w:r>
        <w:rPr>
          <w:rFonts w:ascii="仿宋_GB2312" w:hAnsi="仿宋" w:eastAsia="仿宋_GB2312" w:cs="仿宋"/>
          <w:sz w:val="24"/>
          <w:szCs w:val="24"/>
        </w:rPr>
        <w:t>5L</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6.正常工作加药量V：</w:t>
      </w:r>
      <w:r>
        <w:rPr>
          <w:rFonts w:ascii="仿宋_GB2312" w:hAnsi="仿宋" w:eastAsia="仿宋_GB2312" w:cs="仿宋"/>
          <w:sz w:val="24"/>
          <w:szCs w:val="24"/>
        </w:rPr>
        <w:t>2.2L</w:t>
      </w:r>
      <w:r>
        <w:rPr>
          <w:rFonts w:hint="eastAsia" w:ascii="仿宋_GB2312" w:hAnsi="仿宋" w:eastAsia="仿宋_GB2312" w:cs="仿宋"/>
          <w:sz w:val="24"/>
          <w:szCs w:val="24"/>
        </w:rPr>
        <w:t>≤V≤</w:t>
      </w:r>
      <w:r>
        <w:rPr>
          <w:rFonts w:ascii="仿宋_GB2312" w:hAnsi="仿宋" w:eastAsia="仿宋_GB2312" w:cs="仿宋"/>
          <w:sz w:val="24"/>
          <w:szCs w:val="24"/>
        </w:rPr>
        <w:t>3L</w:t>
      </w:r>
      <w:r>
        <w:rPr>
          <w:rFonts w:hint="eastAsia"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7.双路输出中药蒸汽</w:t>
      </w:r>
      <w:r>
        <w:rPr>
          <w:rFonts w:ascii="仿宋_GB2312" w:hAnsi="仿宋" w:eastAsia="仿宋_GB2312" w:cs="仿宋"/>
          <w:sz w:val="24"/>
          <w:szCs w:val="24"/>
        </w:rPr>
        <w:t>。</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8.*至少两种工作模式可</w:t>
      </w:r>
      <w:r>
        <w:rPr>
          <w:rFonts w:ascii="仿宋_GB2312" w:hAnsi="仿宋" w:eastAsia="仿宋_GB2312" w:cs="仿宋"/>
          <w:sz w:val="24"/>
          <w:szCs w:val="24"/>
        </w:rPr>
        <w:t>任意设定</w:t>
      </w:r>
      <w:r>
        <w:rPr>
          <w:rFonts w:hint="eastAsia" w:ascii="仿宋_GB2312" w:hAnsi="仿宋" w:eastAsia="仿宋_GB2312" w:cs="仿宋"/>
          <w:sz w:val="24"/>
          <w:szCs w:val="24"/>
        </w:rPr>
        <w:t>（即</w:t>
      </w:r>
      <w:r>
        <w:rPr>
          <w:rFonts w:ascii="仿宋_GB2312" w:hAnsi="仿宋" w:eastAsia="仿宋_GB2312" w:cs="仿宋"/>
          <w:sz w:val="24"/>
          <w:szCs w:val="24"/>
        </w:rPr>
        <w:t>常规模式、强弱模式</w:t>
      </w:r>
      <w:r>
        <w:rPr>
          <w:rFonts w:hint="eastAsia" w:ascii="仿宋_GB2312" w:hAnsi="仿宋" w:eastAsia="仿宋_GB2312" w:cs="仿宋"/>
          <w:sz w:val="24"/>
          <w:szCs w:val="24"/>
        </w:rPr>
        <w:t>）。（提供产品图片证明文件）。</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9.采用广视角</w:t>
      </w:r>
      <w:r>
        <w:rPr>
          <w:rFonts w:ascii="仿宋_GB2312" w:hAnsi="仿宋" w:eastAsia="仿宋_GB2312" w:cs="仿宋"/>
          <w:sz w:val="24"/>
          <w:szCs w:val="24"/>
        </w:rPr>
        <w:t>液晶屏显示</w:t>
      </w:r>
      <w:r>
        <w:rPr>
          <w:rFonts w:hint="eastAsia" w:ascii="仿宋_GB2312" w:hAnsi="仿宋" w:eastAsia="仿宋_GB2312" w:cs="仿宋"/>
          <w:sz w:val="24"/>
          <w:szCs w:val="24"/>
        </w:rPr>
        <w:t>仪器的工作参数，并具有实时</w:t>
      </w:r>
      <w:r>
        <w:rPr>
          <w:rFonts w:ascii="仿宋_GB2312" w:hAnsi="仿宋" w:eastAsia="仿宋_GB2312" w:cs="仿宋"/>
          <w:sz w:val="24"/>
          <w:szCs w:val="24"/>
        </w:rPr>
        <w:t>状态</w:t>
      </w:r>
      <w:r>
        <w:rPr>
          <w:rFonts w:hint="eastAsia" w:ascii="仿宋_GB2312" w:hAnsi="仿宋" w:eastAsia="仿宋_GB2312" w:cs="仿宋"/>
          <w:sz w:val="24"/>
          <w:szCs w:val="24"/>
        </w:rPr>
        <w:t>提示功能。如“液体缺少，请加液体”、“正在预热”、“正在治疗”、“压力超高，正在减压”等。</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10.熏蒸容器具有六重安全防护。</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11.设有两个独立的熏蒸容器，并在熏蒸容器内设置具有过滤功能的蒸汽输出装置，防止药渣进入，堵塞蒸汽管道；蒸汽输出装置可拆卸，方便清洗药垢。</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12.翻盖0～90°范围内任意悬停。</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13.喷头配有安全隔离罩，使病人和喷嘴之间保持安全距离，防止烫伤。</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14.*至少配置自动、手动两种排废液方式。（提供产品图片证明文件）</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15.*</w:t>
      </w:r>
      <w:r>
        <w:rPr>
          <w:rFonts w:ascii="仿宋_GB2312" w:hAnsi="仿宋" w:eastAsia="仿宋_GB2312" w:cs="仿宋"/>
          <w:sz w:val="24"/>
          <w:szCs w:val="24"/>
        </w:rPr>
        <w:t>具有浓度检测功能，通过数值大小</w:t>
      </w:r>
      <w:r>
        <w:rPr>
          <w:rFonts w:hint="eastAsia" w:ascii="仿宋_GB2312" w:hAnsi="仿宋" w:eastAsia="仿宋_GB2312" w:cs="仿宋"/>
          <w:sz w:val="24"/>
          <w:szCs w:val="24"/>
        </w:rPr>
        <w:t>指示</w:t>
      </w:r>
      <w:r>
        <w:rPr>
          <w:rFonts w:ascii="仿宋_GB2312" w:hAnsi="仿宋" w:eastAsia="仿宋_GB2312" w:cs="仿宋"/>
          <w:sz w:val="24"/>
          <w:szCs w:val="24"/>
        </w:rPr>
        <w:t>运行时药物的浓度。</w:t>
      </w:r>
      <w:r>
        <w:rPr>
          <w:rFonts w:hint="eastAsia" w:ascii="仿宋_GB2312" w:hAnsi="仿宋" w:eastAsia="仿宋_GB2312" w:cs="仿宋"/>
          <w:sz w:val="24"/>
          <w:szCs w:val="24"/>
        </w:rPr>
        <w:t>（提供产品图片证明文件）</w:t>
      </w:r>
    </w:p>
    <w:p>
      <w:pPr>
        <w:spacing w:line="420" w:lineRule="exact"/>
        <w:ind w:firstLine="480" w:firstLineChars="200"/>
        <w:rPr>
          <w:rFonts w:ascii="仿宋_GB2312" w:hAnsi="仿宋" w:eastAsia="仿宋_GB2312" w:cs="仿宋"/>
          <w:sz w:val="24"/>
          <w:szCs w:val="24"/>
        </w:rPr>
      </w:pPr>
    </w:p>
    <w:p>
      <w:pPr>
        <w:spacing w:line="420" w:lineRule="exact"/>
        <w:jc w:val="center"/>
        <w:rPr>
          <w:b/>
          <w:bCs/>
          <w:sz w:val="36"/>
          <w:szCs w:val="36"/>
        </w:rPr>
      </w:pPr>
      <w:r>
        <w:rPr>
          <w:rFonts w:hint="eastAsia"/>
          <w:b/>
          <w:bCs/>
          <w:sz w:val="36"/>
          <w:szCs w:val="36"/>
        </w:rPr>
        <w:t>03-14 电脑视野检查仪</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1.分体式外观设计。</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2.自动眼位检测与校正系统（AEC），腮托完全自动调整。</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3.智能检测策略（IDT），3分钟可完成完整的阈值检查。</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4.具备驾驶员快速150度水平视野检测专用模式。</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5.检查方式：静态视野，动态视野。</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6.刺激方式：光学投影。</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7.检测范围：0-90度。</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8.刺激器类型：半球型（半径≥30cm）。</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9.投射光源：白。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10.背景光颜色及亮度：白色≥31.5asb。</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11.视标亮度：0asb</w:t>
      </w:r>
      <w:r>
        <w:rPr>
          <w:rFonts w:ascii="仿宋_GB2312" w:hAnsi="仿宋" w:eastAsia="仿宋_GB2312" w:cs="仿宋"/>
          <w:sz w:val="24"/>
          <w:szCs w:val="24"/>
        </w:rPr>
        <w:t>—</w:t>
      </w:r>
      <w:r>
        <w:rPr>
          <w:rFonts w:hint="eastAsia" w:ascii="仿宋_GB2312" w:hAnsi="仿宋" w:eastAsia="仿宋_GB2312" w:cs="仿宋"/>
          <w:sz w:val="24"/>
          <w:szCs w:val="24"/>
        </w:rPr>
        <w:t>10000asb。</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12.视标间隔、保持时间：≥200ms(可自定义，无上限)。</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13.亮度等级：0</w:t>
      </w:r>
      <w:r>
        <w:rPr>
          <w:rFonts w:ascii="仿宋_GB2312" w:hAnsi="仿宋" w:eastAsia="仿宋_GB2312" w:cs="仿宋"/>
          <w:sz w:val="24"/>
          <w:szCs w:val="24"/>
        </w:rPr>
        <w:t>—</w:t>
      </w:r>
      <w:r>
        <w:rPr>
          <w:rFonts w:hint="eastAsia" w:ascii="仿宋_GB2312" w:hAnsi="仿宋" w:eastAsia="仿宋_GB2312" w:cs="仿宋"/>
          <w:sz w:val="24"/>
          <w:szCs w:val="24"/>
        </w:rPr>
        <w:t>51db。</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14.刺激视标大小（Goldmann标准）：III级。</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15.检测策略：全阈值、快速阈值、自定义、二表示法、三表示法、缺损量化。</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16.阈值策略：智能动态、快速智能动态、年龄相关、阈值相关、单一强度。</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17.阈值测试模式：中心10-2；中心24-2；中心30-2；中心60-4；鼻侧阶梯；黄斑。</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18.筛查、特殊测试模式：中心40；中心64；中心76；中心80；中心Armaly；周边60；鼻侧阶梯；Armaly 全视野；全视野81；全视野120；全视野135；全视野246；上部36；上部64；Esterman单眼；Esterman双眼。</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19.固视监视：动态视频实时检测、生理盲点检测、眼位跟踪曲线、眼位偏移报警。</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20.分析软件：可信度分析、单一视野分析、三合一报告分析、概览视野分析，GHT青光眼半视野分析。</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21.报告图：数值图、灰度图、总体偏差分贝图、总体偏差概率图、模式偏差分贝图、模式偏差概率图、凝视图，快速水平视野。</w:t>
      </w:r>
    </w:p>
    <w:p>
      <w:pPr>
        <w:spacing w:line="420" w:lineRule="exact"/>
        <w:ind w:firstLine="480" w:firstLineChars="200"/>
        <w:rPr>
          <w:rFonts w:ascii="仿宋_GB2312" w:hAnsi="仿宋" w:eastAsia="仿宋_GB2312" w:cs="仿宋"/>
          <w:sz w:val="24"/>
          <w:szCs w:val="24"/>
        </w:rPr>
      </w:pPr>
    </w:p>
    <w:p>
      <w:pPr>
        <w:spacing w:line="420" w:lineRule="exact"/>
        <w:jc w:val="center"/>
        <w:rPr>
          <w:b/>
          <w:bCs/>
          <w:sz w:val="36"/>
          <w:szCs w:val="36"/>
        </w:rPr>
      </w:pPr>
      <w:r>
        <w:rPr>
          <w:rFonts w:hint="eastAsia"/>
          <w:b/>
          <w:bCs/>
          <w:sz w:val="36"/>
          <w:szCs w:val="36"/>
        </w:rPr>
        <w:t>03-15 视频耳镜</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1.显示屏TFT/LCD≥3英寸。</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2.*显示器转动角度，前后转动角度≥120度。</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3.显示屏左侧设计，不影响操作者视野直观观察镜管置入工作腔道。</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4.人机工程学手柄设计，纺锤形手柄握持舒适。</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5.存储空间≥32G，最大存储照片量≥32万张，可存储录像≥25小时。</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6.电池容量≥3400mAh，配备≥2节专用锂电池。</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7.输入功率≤4VA。</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8.*视场角≥72°。</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9.角分辨力ra（d）≥0.9C/（°）。</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10.摄像头像素≥100万像素。</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11.*内置LED光源，不用外接冷光源。</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12.光照度≥1000lux。</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13.耳镜镜管设计01：镜管长度≥71mm，工作长度≥31mm，镜管头端直径≤3.9mm。</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14.耳镜镜管设计02(选配)：镜管长度≥139mm，工作长度≥90mm，镜管头端直径≤3.9mm。</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15.景深5mm-100mm。</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16.充电器输入100V-240V 50-60Hz。</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17.充电器输出≥5V。</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18.充电时间≤4小时、放电时间≥3小时。</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19.充电方式：卡坐充式充电方式，即用即充，充电座又是设备放置架。</w:t>
      </w:r>
    </w:p>
    <w:p>
      <w:pPr>
        <w:spacing w:line="420" w:lineRule="exact"/>
        <w:ind w:firstLine="480" w:firstLineChars="200"/>
        <w:rPr>
          <w:rFonts w:ascii="仿宋_GB2312" w:hAnsi="仿宋" w:eastAsia="仿宋_GB2312" w:cs="仿宋"/>
          <w:sz w:val="24"/>
          <w:szCs w:val="24"/>
        </w:rPr>
      </w:pPr>
    </w:p>
    <w:p>
      <w:pPr>
        <w:spacing w:line="420" w:lineRule="exact"/>
        <w:jc w:val="center"/>
        <w:rPr>
          <w:b/>
          <w:bCs/>
          <w:sz w:val="36"/>
          <w:szCs w:val="36"/>
        </w:rPr>
      </w:pPr>
      <w:r>
        <w:rPr>
          <w:rFonts w:hint="eastAsia"/>
          <w:b/>
          <w:bCs/>
          <w:sz w:val="36"/>
          <w:szCs w:val="36"/>
        </w:rPr>
        <w:t>03-16 鼻镜、喉镜镜头</w:t>
      </w:r>
    </w:p>
    <w:p>
      <w:pPr>
        <w:spacing w:line="360" w:lineRule="auto"/>
        <w:rPr>
          <w:rFonts w:ascii="宋体" w:hAnsi="宋体"/>
          <w:sz w:val="24"/>
          <w:szCs w:val="24"/>
        </w:rPr>
      </w:pP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1.鼻镜镜头：</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 镜管长度≥224mm。</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1.2 工作长度≥175mm。</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1.3 镜管头端直径≤4.0mm。</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1.4 景深5mm-100mm。</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2.喉镜镜头：</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2.1镜管长度≥234mm。</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2.2工作长度≥185mm。</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2.3镜管头端直径≤8mm。</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2.4景深10mm-100mm。</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2.5镜管更换方式：推拉式自锁航空插头的连接方式。</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2.6 *镜管与主机连接方式，热插拔，即插即用，无需重启设备。</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3.*支持视频耳镜系统配套使用。</w:t>
      </w:r>
    </w:p>
    <w:p>
      <w:pPr>
        <w:spacing w:line="420" w:lineRule="exact"/>
        <w:ind w:firstLine="480" w:firstLineChars="200"/>
        <w:rPr>
          <w:rFonts w:ascii="仿宋_GB2312" w:hAnsi="仿宋" w:eastAsia="仿宋_GB2312" w:cs="仿宋"/>
          <w:sz w:val="24"/>
          <w:szCs w:val="24"/>
        </w:rPr>
      </w:pPr>
    </w:p>
    <w:p>
      <w:pPr>
        <w:spacing w:line="420" w:lineRule="exact"/>
        <w:jc w:val="center"/>
        <w:rPr>
          <w:b/>
          <w:bCs/>
          <w:sz w:val="36"/>
          <w:szCs w:val="36"/>
        </w:rPr>
      </w:pPr>
      <w:r>
        <w:rPr>
          <w:rFonts w:hint="eastAsia"/>
          <w:b/>
          <w:bCs/>
          <w:sz w:val="36"/>
          <w:szCs w:val="36"/>
        </w:rPr>
        <w:t>03-17  中药熏蒸机</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1.*预热及治疗功率至少1、2、3、4档可调。</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2.预热设定温度为40℃～90℃可调。</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3.药液从常温加热到95℃时间≤15分钟（因加液量及药液温度不同，通常为3～10分钟）。</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4.治疗时间1-35分钟可调。</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5.智能倒计时功能，真正做到喷汽时间与治疗时间完全相符。</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6.具有缺液报警及缺液自动停止加热功能。</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7.按键操作、治疗结束、缺液时具有声音提示。</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8.当熏蒸机加热容器中气压大于0.08MPa时，减压阀排气减压。</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9.*喷杆关节四轴旋转可调，喷头动作角度万向，确保临床患者坐姿卧姿不同体位的熏蒸需求。</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10.设备输出功率：≥1600VA。</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11.额定容量：≥5L。</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12.通道数：单通道（一个喷头）。</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13.*喷头采用双腔隔热设计，具有主容器和副容器，保证喷汽均匀，不喷水不滴水。</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14.机箱容器部分和电路显示部分采用分体设计，便于保养和维修，并做到    完全隔离。</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15.采用气路、液路防阻塞设计及工艺。</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16.采用直径达23mm排液管路,确保排液方便快捷不阻塞。</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17.外置气路过滤器。</w:t>
      </w:r>
    </w:p>
    <w:p>
      <w:pPr>
        <w:spacing w:line="42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 xml:space="preserve">18.采用防干烧、耐高温、防腐蚀、防结垢加热器。 </w:t>
      </w:r>
    </w:p>
    <w:p>
      <w:pPr>
        <w:spacing w:line="420" w:lineRule="exact"/>
        <w:ind w:firstLine="480" w:firstLineChars="200"/>
        <w:rPr>
          <w:rFonts w:ascii="仿宋_GB2312" w:hAnsi="仿宋" w:eastAsia="仿宋_GB2312" w:cs="仿宋"/>
          <w:sz w:val="24"/>
          <w:szCs w:val="24"/>
        </w:rPr>
      </w:pPr>
    </w:p>
    <w:p>
      <w:pPr>
        <w:spacing w:line="420" w:lineRule="exact"/>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注：带“*”参数为重要参数。</w:t>
      </w:r>
    </w:p>
    <w:p>
      <w:pPr>
        <w:pStyle w:val="2"/>
      </w:pPr>
    </w:p>
    <w:p>
      <w:pPr>
        <w:keepNext/>
        <w:keepLines/>
        <w:numPr>
          <w:ilvl w:val="1"/>
          <w:numId w:val="3"/>
        </w:numPr>
        <w:tabs>
          <w:tab w:val="left" w:pos="0"/>
          <w:tab w:val="left" w:pos="426"/>
          <w:tab w:val="left" w:pos="576"/>
          <w:tab w:val="left" w:pos="786"/>
        </w:tabs>
        <w:spacing w:line="360" w:lineRule="auto"/>
        <w:ind w:left="0" w:firstLine="0"/>
        <w:outlineLvl w:val="1"/>
        <w:rPr>
          <w:rFonts w:ascii="宋体" w:hAnsi="宋体"/>
          <w:b/>
          <w:bCs/>
          <w:sz w:val="28"/>
          <w:szCs w:val="28"/>
        </w:rPr>
      </w:pPr>
      <w:r>
        <w:rPr>
          <w:rFonts w:hint="eastAsia" w:ascii="宋体" w:hAnsi="宋体"/>
          <w:b/>
          <w:bCs/>
          <w:sz w:val="28"/>
          <w:szCs w:val="28"/>
        </w:rPr>
        <w:t>核心产品</w:t>
      </w:r>
      <w:bookmarkEnd w:id="156"/>
    </w:p>
    <w:p>
      <w:pPr>
        <w:spacing w:line="276" w:lineRule="auto"/>
        <w:ind w:firstLine="560" w:firstLineChars="200"/>
        <w:rPr>
          <w:rFonts w:ascii="宋体" w:hAnsi="宋体"/>
          <w:sz w:val="28"/>
          <w:szCs w:val="28"/>
        </w:rPr>
      </w:pPr>
      <w:r>
        <w:rPr>
          <w:rFonts w:hint="eastAsia" w:ascii="宋体" w:hAnsi="宋体"/>
          <w:sz w:val="28"/>
          <w:szCs w:val="28"/>
        </w:rPr>
        <w:t>包1为床旁连续性血液净化机，包2为经颅多普勒超声诊断仪，包3为电子阴道镜。</w:t>
      </w:r>
    </w:p>
    <w:p>
      <w:pPr>
        <w:keepNext/>
        <w:keepLines/>
        <w:numPr>
          <w:ilvl w:val="1"/>
          <w:numId w:val="3"/>
        </w:numPr>
        <w:tabs>
          <w:tab w:val="left" w:pos="0"/>
          <w:tab w:val="left" w:pos="426"/>
          <w:tab w:val="left" w:pos="576"/>
          <w:tab w:val="left" w:pos="786"/>
        </w:tabs>
        <w:spacing w:line="360" w:lineRule="auto"/>
        <w:ind w:left="0" w:firstLine="0"/>
        <w:outlineLvl w:val="1"/>
        <w:rPr>
          <w:rFonts w:ascii="宋体" w:hAnsi="宋体"/>
          <w:b/>
          <w:bCs/>
          <w:sz w:val="28"/>
          <w:szCs w:val="28"/>
        </w:rPr>
      </w:pPr>
      <w:bookmarkStart w:id="172" w:name="_Toc78191627"/>
      <w:r>
        <w:rPr>
          <w:rFonts w:hint="eastAsia" w:ascii="宋体" w:hAnsi="宋体"/>
          <w:b/>
          <w:bCs/>
          <w:sz w:val="28"/>
          <w:szCs w:val="28"/>
        </w:rPr>
        <w:t>商务</w:t>
      </w:r>
      <w:r>
        <w:rPr>
          <w:rFonts w:ascii="宋体" w:hAnsi="宋体"/>
          <w:b/>
          <w:bCs/>
          <w:sz w:val="28"/>
          <w:szCs w:val="28"/>
        </w:rPr>
        <w:t>要求</w:t>
      </w:r>
      <w:bookmarkEnd w:id="172"/>
    </w:p>
    <w:p>
      <w:pPr>
        <w:pStyle w:val="5"/>
        <w:numPr>
          <w:ilvl w:val="2"/>
          <w:numId w:val="3"/>
        </w:numPr>
        <w:tabs>
          <w:tab w:val="left" w:pos="0"/>
          <w:tab w:val="left" w:pos="426"/>
          <w:tab w:val="left" w:pos="576"/>
          <w:tab w:val="left" w:pos="786"/>
        </w:tabs>
      </w:pPr>
      <w:r>
        <w:rPr>
          <w:rFonts w:hint="eastAsia"/>
          <w:color w:val="auto"/>
        </w:rPr>
        <w:t>交货时间：签订合同后30天内。</w:t>
      </w:r>
    </w:p>
    <w:p>
      <w:pPr>
        <w:pStyle w:val="5"/>
        <w:numPr>
          <w:ilvl w:val="2"/>
          <w:numId w:val="3"/>
        </w:numPr>
        <w:tabs>
          <w:tab w:val="left" w:pos="0"/>
          <w:tab w:val="left" w:pos="426"/>
          <w:tab w:val="left" w:pos="576"/>
          <w:tab w:val="left" w:pos="786"/>
        </w:tabs>
      </w:pPr>
      <w:r>
        <w:rPr>
          <w:rFonts w:hint="eastAsia"/>
          <w:color w:val="auto"/>
        </w:rPr>
        <w:t>交货地点：都江堰市中医医院。</w:t>
      </w:r>
    </w:p>
    <w:p>
      <w:pPr>
        <w:pStyle w:val="5"/>
        <w:numPr>
          <w:ilvl w:val="2"/>
          <w:numId w:val="3"/>
        </w:numPr>
        <w:tabs>
          <w:tab w:val="left" w:pos="0"/>
          <w:tab w:val="left" w:pos="426"/>
          <w:tab w:val="left" w:pos="576"/>
          <w:tab w:val="left" w:pos="786"/>
        </w:tabs>
        <w:rPr>
          <w:color w:val="auto"/>
        </w:rPr>
      </w:pPr>
      <w:r>
        <w:rPr>
          <w:rFonts w:hint="eastAsia"/>
          <w:color w:val="auto"/>
        </w:rPr>
        <w:t>付款方式：设备安装调试后并验收合格，收到正式票据60日内支付合同金额90%，质保期满后60日内支付合同金额10%。</w:t>
      </w:r>
    </w:p>
    <w:p>
      <w:pPr>
        <w:spacing w:line="360" w:lineRule="auto"/>
        <w:ind w:firstLine="560" w:firstLineChars="200"/>
        <w:rPr>
          <w:rFonts w:ascii="宋体" w:hAnsi="宋体"/>
          <w:sz w:val="28"/>
          <w:szCs w:val="28"/>
        </w:rPr>
      </w:pPr>
    </w:p>
    <w:p>
      <w:pPr>
        <w:pStyle w:val="5"/>
        <w:numPr>
          <w:ilvl w:val="2"/>
          <w:numId w:val="3"/>
        </w:numPr>
        <w:tabs>
          <w:tab w:val="left" w:pos="0"/>
          <w:tab w:val="left" w:pos="426"/>
          <w:tab w:val="left" w:pos="576"/>
          <w:tab w:val="left" w:pos="786"/>
        </w:tabs>
        <w:rPr>
          <w:color w:val="auto"/>
        </w:rPr>
      </w:pPr>
      <w:r>
        <w:rPr>
          <w:rFonts w:hint="eastAsia"/>
          <w:color w:val="auto"/>
        </w:rPr>
        <w:t>验收方式</w:t>
      </w:r>
    </w:p>
    <w:p>
      <w:pPr>
        <w:pStyle w:val="80"/>
        <w:spacing w:line="360" w:lineRule="auto"/>
        <w:ind w:firstLine="560"/>
        <w:rPr>
          <w:rFonts w:ascii="宋体" w:hAnsi="宋体" w:eastAsia="宋体" w:cs="Times New Roman"/>
          <w:color w:val="FF0000"/>
          <w:sz w:val="28"/>
          <w:szCs w:val="28"/>
        </w:rPr>
      </w:pPr>
      <w:r>
        <w:rPr>
          <w:rFonts w:hint="eastAsia" w:ascii="宋体" w:hAnsi="宋体" w:eastAsia="宋体" w:cs="Times New Roman"/>
          <w:color w:val="FF0000"/>
          <w:sz w:val="28"/>
          <w:szCs w:val="28"/>
        </w:rPr>
        <w:t>按国家有关规定以及招标文件的质量要求和技术指标、中标人的投标文件及承诺与合同约定标准进行验收；双方如对质量要求和技术指标的约定标准有相互抵触或异议的事项，由采购人在招标与投标文件中按质量要求和技术指标比较优胜的原则确定该项的约定标准进行验收。</w:t>
      </w:r>
    </w:p>
    <w:p>
      <w:pPr>
        <w:pStyle w:val="5"/>
        <w:numPr>
          <w:ilvl w:val="2"/>
          <w:numId w:val="3"/>
        </w:numPr>
        <w:rPr>
          <w:color w:val="auto"/>
        </w:rPr>
      </w:pPr>
      <w:r>
        <w:rPr>
          <w:rFonts w:hint="eastAsia"/>
          <w:color w:val="auto"/>
        </w:rPr>
        <w:t>包装、运输及保管、保险</w:t>
      </w:r>
    </w:p>
    <w:p>
      <w:pPr>
        <w:adjustRightInd w:val="0"/>
        <w:snapToGrid w:val="0"/>
        <w:spacing w:line="276" w:lineRule="auto"/>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中标人所提供的货物应为制造商原装出厂包装，符合国家相关标准，由于包装不善引起的货物损坏、缺漏的损失由投标人负责。</w:t>
      </w:r>
    </w:p>
    <w:p>
      <w:pPr>
        <w:spacing w:line="276" w:lineRule="auto"/>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中标人负责将货物运到采购人指定现场过程中的全部运输、装卸车、货物现场的搬运等所产生的费用并免费提供产品清洁服务。</w:t>
      </w:r>
    </w:p>
    <w:p>
      <w:pPr>
        <w:pStyle w:val="5"/>
        <w:numPr>
          <w:ilvl w:val="2"/>
          <w:numId w:val="3"/>
        </w:numPr>
        <w:rPr>
          <w:color w:val="auto"/>
        </w:rPr>
      </w:pPr>
      <w:r>
        <w:rPr>
          <w:rFonts w:hint="eastAsia"/>
          <w:color w:val="auto"/>
        </w:rPr>
        <w:t>质量保证与安装调试</w:t>
      </w:r>
    </w:p>
    <w:p>
      <w:pPr>
        <w:pStyle w:val="231"/>
        <w:tabs>
          <w:tab w:val="left" w:pos="1276"/>
        </w:tabs>
        <w:adjustRightInd w:val="0"/>
        <w:snapToGrid w:val="0"/>
        <w:spacing w:line="276" w:lineRule="auto"/>
        <w:ind w:left="709" w:firstLine="0" w:firstLineChars="0"/>
        <w:rPr>
          <w:rFonts w:ascii="宋体" w:hAnsi="宋体"/>
          <w:color w:val="FF0000"/>
          <w:sz w:val="28"/>
          <w:szCs w:val="28"/>
        </w:rPr>
      </w:pPr>
      <w:r>
        <w:rPr>
          <w:rFonts w:hint="eastAsia" w:ascii="宋体" w:hAnsi="宋体"/>
          <w:color w:val="FF0000"/>
          <w:sz w:val="28"/>
          <w:szCs w:val="28"/>
        </w:rPr>
        <w:t>质保期≥1年，免费安装调试。</w:t>
      </w:r>
    </w:p>
    <w:p>
      <w:pPr>
        <w:pStyle w:val="5"/>
        <w:numPr>
          <w:ilvl w:val="2"/>
          <w:numId w:val="3"/>
        </w:numPr>
        <w:tabs>
          <w:tab w:val="left" w:pos="0"/>
          <w:tab w:val="left" w:pos="426"/>
          <w:tab w:val="left" w:pos="576"/>
          <w:tab w:val="left" w:pos="786"/>
        </w:tabs>
        <w:rPr>
          <w:color w:val="auto"/>
        </w:rPr>
      </w:pPr>
      <w:r>
        <w:rPr>
          <w:rFonts w:hint="eastAsia"/>
          <w:color w:val="auto"/>
        </w:rPr>
        <w:t>售后服务要求</w:t>
      </w:r>
    </w:p>
    <w:p>
      <w:pPr>
        <w:pStyle w:val="80"/>
        <w:spacing w:line="360" w:lineRule="auto"/>
        <w:ind w:firstLine="560"/>
        <w:rPr>
          <w:rFonts w:ascii="宋体" w:hAnsi="宋体" w:eastAsia="宋体" w:cs="Times New Roman"/>
          <w:color w:val="FF0000"/>
          <w:sz w:val="28"/>
          <w:szCs w:val="28"/>
        </w:rPr>
      </w:pPr>
      <w:r>
        <w:rPr>
          <w:rFonts w:hint="eastAsia" w:ascii="宋体" w:hAnsi="宋体" w:eastAsia="宋体" w:cs="Times New Roman"/>
          <w:color w:val="FF0000"/>
          <w:sz w:val="28"/>
          <w:szCs w:val="28"/>
        </w:rPr>
        <w:t>质保期内故障响应时间≤4小时，若48小时故障不能修复，须提供备用设备。</w:t>
      </w:r>
    </w:p>
    <w:p>
      <w:pPr>
        <w:keepNext/>
        <w:keepLines/>
        <w:numPr>
          <w:ilvl w:val="1"/>
          <w:numId w:val="3"/>
        </w:numPr>
        <w:tabs>
          <w:tab w:val="left" w:pos="0"/>
          <w:tab w:val="left" w:pos="426"/>
          <w:tab w:val="left" w:pos="576"/>
          <w:tab w:val="left" w:pos="786"/>
        </w:tabs>
        <w:spacing w:line="360" w:lineRule="auto"/>
        <w:ind w:left="0" w:firstLine="0"/>
        <w:outlineLvl w:val="1"/>
        <w:rPr>
          <w:rFonts w:ascii="宋体" w:hAnsi="宋体"/>
          <w:b/>
          <w:bCs/>
          <w:sz w:val="28"/>
          <w:szCs w:val="28"/>
        </w:rPr>
      </w:pPr>
      <w:bookmarkStart w:id="173" w:name="_Toc78191628"/>
      <w:r>
        <w:rPr>
          <w:rFonts w:hint="eastAsia" w:ascii="宋体" w:hAnsi="宋体"/>
          <w:b/>
          <w:bCs/>
          <w:sz w:val="28"/>
          <w:szCs w:val="28"/>
        </w:rPr>
        <w:t>最高限价</w:t>
      </w:r>
      <w:bookmarkEnd w:id="173"/>
    </w:p>
    <w:p>
      <w:pPr>
        <w:spacing w:line="360" w:lineRule="auto"/>
        <w:ind w:firstLine="551" w:firstLineChars="196"/>
        <w:rPr>
          <w:rFonts w:ascii="宋体" w:hAnsi="宋体"/>
          <w:b/>
          <w:sz w:val="28"/>
          <w:szCs w:val="28"/>
          <w:lang w:val="zh-CN"/>
        </w:rPr>
      </w:pPr>
      <w:r>
        <w:rPr>
          <w:rFonts w:hint="eastAsia" w:ascii="宋体" w:hAnsi="宋体"/>
          <w:b/>
          <w:sz w:val="28"/>
          <w:szCs w:val="28"/>
        </w:rPr>
        <w:t>★本项目投标</w:t>
      </w:r>
      <w:r>
        <w:rPr>
          <w:rFonts w:ascii="宋体" w:hAnsi="宋体"/>
          <w:b/>
          <w:sz w:val="28"/>
          <w:szCs w:val="28"/>
        </w:rPr>
        <w:t>报价</w:t>
      </w:r>
      <w:r>
        <w:rPr>
          <w:rFonts w:hint="eastAsia" w:ascii="Times New Roman" w:hAnsi="Times New Roman"/>
          <w:b/>
          <w:bCs/>
          <w:color w:val="FF0000"/>
          <w:sz w:val="28"/>
          <w:szCs w:val="28"/>
        </w:rPr>
        <w:t>包1最高限价为</w:t>
      </w:r>
      <w:r>
        <w:rPr>
          <w:rFonts w:hint="eastAsia" w:ascii="Times New Roman" w:hAnsi="Times New Roman"/>
          <w:color w:val="FF0000"/>
          <w:sz w:val="28"/>
          <w:szCs w:val="28"/>
          <w:u w:val="single"/>
        </w:rPr>
        <w:t xml:space="preserve"> 2590000</w:t>
      </w:r>
      <w:r>
        <w:rPr>
          <w:rFonts w:hint="eastAsia" w:ascii="Times New Roman" w:hAnsi="Times New Roman"/>
          <w:color w:val="FF0000"/>
          <w:sz w:val="28"/>
          <w:szCs w:val="28"/>
        </w:rPr>
        <w:t xml:space="preserve">元； </w:t>
      </w:r>
      <w:r>
        <w:rPr>
          <w:rFonts w:hint="eastAsia" w:ascii="Times New Roman" w:hAnsi="Times New Roman"/>
          <w:b/>
          <w:bCs/>
          <w:color w:val="FF0000"/>
          <w:sz w:val="28"/>
          <w:szCs w:val="28"/>
        </w:rPr>
        <w:t>包2最高限价为</w:t>
      </w:r>
      <w:r>
        <w:rPr>
          <w:rFonts w:hint="eastAsia" w:ascii="Times New Roman" w:hAnsi="Times New Roman"/>
          <w:color w:val="FF0000"/>
          <w:sz w:val="28"/>
          <w:szCs w:val="28"/>
          <w:u w:val="single"/>
        </w:rPr>
        <w:t>935000</w:t>
      </w:r>
      <w:r>
        <w:rPr>
          <w:rFonts w:hint="eastAsia" w:ascii="Times New Roman" w:hAnsi="Times New Roman"/>
          <w:color w:val="FF0000"/>
          <w:sz w:val="28"/>
          <w:szCs w:val="28"/>
        </w:rPr>
        <w:t>元；</w:t>
      </w:r>
      <w:r>
        <w:rPr>
          <w:rFonts w:hint="eastAsia" w:ascii="Times New Roman" w:hAnsi="Times New Roman"/>
          <w:b/>
          <w:bCs/>
          <w:color w:val="FF0000"/>
          <w:sz w:val="28"/>
          <w:szCs w:val="28"/>
        </w:rPr>
        <w:t xml:space="preserve"> 包3最高限价为</w:t>
      </w:r>
      <w:r>
        <w:rPr>
          <w:rFonts w:hint="eastAsia" w:ascii="Times New Roman" w:hAnsi="Times New Roman"/>
          <w:color w:val="FF0000"/>
          <w:sz w:val="28"/>
          <w:szCs w:val="28"/>
          <w:u w:val="single"/>
        </w:rPr>
        <w:t>819000</w:t>
      </w:r>
      <w:r>
        <w:rPr>
          <w:rFonts w:hint="eastAsia" w:ascii="Times New Roman" w:hAnsi="Times New Roman"/>
          <w:color w:val="FF0000"/>
          <w:sz w:val="28"/>
          <w:szCs w:val="28"/>
        </w:rPr>
        <w:t>元；</w:t>
      </w:r>
      <w:r>
        <w:rPr>
          <w:rFonts w:hint="eastAsia" w:ascii="宋体" w:hAnsi="宋体" w:cstheme="minorBidi"/>
          <w:b/>
          <w:sz w:val="28"/>
          <w:szCs w:val="28"/>
          <w:lang w:val="zh-CN"/>
        </w:rPr>
        <w:t>如投标人投标报价高于最高限价的则其投标文件将按无效投标文件处理。</w:t>
      </w:r>
    </w:p>
    <w:p>
      <w:pPr>
        <w:keepNext/>
        <w:keepLines/>
        <w:numPr>
          <w:ilvl w:val="1"/>
          <w:numId w:val="3"/>
        </w:numPr>
        <w:tabs>
          <w:tab w:val="left" w:pos="0"/>
          <w:tab w:val="left" w:pos="426"/>
          <w:tab w:val="left" w:pos="576"/>
          <w:tab w:val="left" w:pos="786"/>
        </w:tabs>
        <w:spacing w:line="360" w:lineRule="auto"/>
        <w:ind w:left="0" w:firstLine="0"/>
        <w:outlineLvl w:val="1"/>
        <w:rPr>
          <w:rFonts w:ascii="宋体" w:hAnsi="宋体"/>
          <w:b/>
          <w:sz w:val="28"/>
          <w:szCs w:val="28"/>
        </w:rPr>
      </w:pPr>
      <w:bookmarkStart w:id="174" w:name="_Toc78191629"/>
      <w:r>
        <w:rPr>
          <w:rFonts w:hint="eastAsia" w:ascii="宋体" w:hAnsi="宋体"/>
          <w:b/>
          <w:sz w:val="28"/>
          <w:szCs w:val="28"/>
        </w:rPr>
        <w:t>其他要求</w:t>
      </w:r>
      <w:bookmarkEnd w:id="174"/>
    </w:p>
    <w:p>
      <w:pPr>
        <w:pStyle w:val="80"/>
        <w:numPr>
          <w:ilvl w:val="0"/>
          <w:numId w:val="36"/>
        </w:numPr>
        <w:tabs>
          <w:tab w:val="left" w:pos="1134"/>
        </w:tabs>
        <w:snapToGrid w:val="0"/>
        <w:spacing w:line="360" w:lineRule="auto"/>
        <w:ind w:left="0" w:firstLine="567" w:firstLineChars="0"/>
        <w:rPr>
          <w:rFonts w:asciiTheme="minorEastAsia" w:hAnsiTheme="minorEastAsia"/>
          <w:b/>
          <w:sz w:val="28"/>
          <w:szCs w:val="28"/>
        </w:rPr>
      </w:pPr>
      <w:r>
        <w:rPr>
          <w:rFonts w:hint="eastAsia" w:asciiTheme="minorEastAsia" w:hAnsiTheme="minorEastAsia"/>
          <w:b/>
          <w:sz w:val="28"/>
          <w:szCs w:val="28"/>
        </w:rPr>
        <w:t>★在评标过程中，评标委员会认为投标人投标报价明显低于其他通过符合性审查投标人的投标报价，有可能影响产品质量或者不能诚信履约的，评标委员会应当要求其在评标现场合理的时间内提供书面说明，必要时提交相关证明材料。投标人提交的书面说明、相关证明材料（如涉及），应当加盖投标人（法定名称）电子签章，在评标委员会要求的时间内通过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p>
      <w:pPr>
        <w:pStyle w:val="80"/>
        <w:numPr>
          <w:ilvl w:val="0"/>
          <w:numId w:val="36"/>
        </w:numPr>
        <w:tabs>
          <w:tab w:val="left" w:pos="1134"/>
        </w:tabs>
        <w:snapToGrid w:val="0"/>
        <w:spacing w:line="360" w:lineRule="auto"/>
        <w:ind w:left="11" w:firstLine="629" w:firstLineChars="0"/>
        <w:rPr>
          <w:rFonts w:asciiTheme="minorEastAsia" w:hAnsiTheme="minorEastAsia"/>
          <w:b/>
          <w:sz w:val="28"/>
          <w:szCs w:val="28"/>
        </w:rPr>
      </w:pPr>
      <w:r>
        <w:rPr>
          <w:rFonts w:hint="eastAsia" w:asciiTheme="minorEastAsia" w:hAnsiTheme="minorEastAsia"/>
          <w:b/>
          <w:sz w:val="28"/>
          <w:szCs w:val="28"/>
        </w:rPr>
        <w:t>★投标人为本项目提供的所有产品、辅材中属于《国家强制性产品认证目录》范围内产品的，均通过国家强制性产品认证并取得认证证书。（说明：按照招标文件3.3.6承诺函内容进行承诺）</w:t>
      </w:r>
    </w:p>
    <w:p>
      <w:pPr>
        <w:pStyle w:val="80"/>
        <w:numPr>
          <w:ilvl w:val="0"/>
          <w:numId w:val="36"/>
        </w:numPr>
        <w:tabs>
          <w:tab w:val="left" w:pos="1134"/>
        </w:tabs>
        <w:snapToGrid w:val="0"/>
        <w:spacing w:line="360" w:lineRule="auto"/>
        <w:ind w:left="11" w:firstLine="629" w:firstLineChars="0"/>
        <w:rPr>
          <w:rFonts w:asciiTheme="minorEastAsia" w:hAnsiTheme="minorEastAsia"/>
          <w:b/>
          <w:sz w:val="28"/>
          <w:szCs w:val="28"/>
        </w:rPr>
      </w:pPr>
      <w:r>
        <w:rPr>
          <w:rFonts w:hint="eastAsia" w:asciiTheme="minorEastAsia" w:hAnsiTheme="minorEastAsia"/>
          <w:b/>
          <w:sz w:val="28"/>
          <w:szCs w:val="28"/>
        </w:rPr>
        <w:t>★投标人为本项目提供的所有产品、辅材符合现行的强制性国家相关标准、行业标准。（说明：按照招标文件3.3.6承诺函内容进行承诺）</w:t>
      </w:r>
    </w:p>
    <w:p>
      <w:pPr>
        <w:pStyle w:val="120"/>
        <w:tabs>
          <w:tab w:val="left" w:pos="1134"/>
        </w:tabs>
        <w:spacing w:before="156" w:line="360" w:lineRule="auto"/>
        <w:ind w:right="210" w:firstLine="562" w:firstLineChars="200"/>
        <w:jc w:val="both"/>
        <w:rPr>
          <w:rFonts w:asciiTheme="minorEastAsia" w:hAnsiTheme="minorEastAsia"/>
          <w:b/>
          <w:sz w:val="28"/>
          <w:szCs w:val="28"/>
        </w:rPr>
      </w:pPr>
      <w:r>
        <w:rPr>
          <w:rFonts w:hint="eastAsia" w:asciiTheme="minorEastAsia" w:hAnsiTheme="minorEastAsia"/>
          <w:b/>
          <w:sz w:val="28"/>
          <w:szCs w:val="28"/>
        </w:rPr>
        <w:t>四、★</w:t>
      </w:r>
      <w:r>
        <w:rPr>
          <w:rFonts w:hint="eastAsia" w:asciiTheme="minorEastAsia" w:hAnsiTheme="minorEastAsia"/>
          <w:b/>
          <w:sz w:val="28"/>
          <w:szCs w:val="28"/>
          <w:lang w:val="zh-CN"/>
        </w:rPr>
        <w:t>投</w:t>
      </w:r>
      <w:r>
        <w:rPr>
          <w:rFonts w:asciiTheme="minorEastAsia" w:hAnsiTheme="minorEastAsia"/>
          <w:b/>
          <w:sz w:val="28"/>
          <w:szCs w:val="28"/>
          <w:lang w:val="zh-CN"/>
        </w:rPr>
        <w:t>标</w:t>
      </w:r>
      <w:r>
        <w:rPr>
          <w:rFonts w:hint="eastAsia" w:asciiTheme="minorEastAsia" w:hAnsiTheme="minorEastAsia"/>
          <w:b/>
          <w:sz w:val="28"/>
          <w:szCs w:val="28"/>
          <w:lang w:val="zh-CN"/>
        </w:rPr>
        <w:t>人为本项目实施涉及的商品包装和快递包装，均符合财政部等三部门联合印发商品包装和快递包装政府采购需求标准（试行）（财办库[2020]123号）的要求。</w:t>
      </w:r>
      <w:r>
        <w:rPr>
          <w:rFonts w:asciiTheme="minorEastAsia" w:hAnsiTheme="minorEastAsia" w:eastAsiaTheme="minorEastAsia"/>
          <w:b/>
          <w:sz w:val="28"/>
          <w:szCs w:val="28"/>
          <w:lang w:val="zh-CN"/>
        </w:rPr>
        <w:t>（说明：投标人应按招标文件</w:t>
      </w:r>
      <w:r>
        <w:rPr>
          <w:rFonts w:ascii="Times New Roman" w:hAnsi="Times New Roman" w:cs="Times New Roman" w:eastAsiaTheme="minorEastAsia"/>
          <w:b/>
          <w:sz w:val="28"/>
          <w:szCs w:val="28"/>
          <w:lang w:val="zh-CN"/>
        </w:rPr>
        <w:t>3.3.</w:t>
      </w:r>
      <w:r>
        <w:rPr>
          <w:rFonts w:ascii="Times New Roman" w:hAnsi="Times New Roman" w:eastAsiaTheme="minorEastAsia"/>
          <w:b/>
          <w:sz w:val="28"/>
          <w:szCs w:val="28"/>
          <w:lang w:val="zh-CN"/>
        </w:rPr>
        <w:t>6</w:t>
      </w:r>
      <w:r>
        <w:rPr>
          <w:rFonts w:asciiTheme="minorEastAsia" w:hAnsiTheme="minorEastAsia" w:eastAsiaTheme="minorEastAsia"/>
          <w:b/>
          <w:sz w:val="28"/>
          <w:szCs w:val="28"/>
          <w:lang w:val="zh-CN"/>
        </w:rPr>
        <w:t>承诺函的格式及要求提供承诺函。）</w:t>
      </w:r>
    </w:p>
    <w:p>
      <w:pPr>
        <w:tabs>
          <w:tab w:val="left" w:pos="1134"/>
        </w:tabs>
        <w:snapToGrid w:val="0"/>
        <w:spacing w:line="360" w:lineRule="auto"/>
        <w:rPr>
          <w:rFonts w:asciiTheme="minorEastAsia" w:hAnsiTheme="minorEastAsia"/>
          <w:b/>
          <w:bCs/>
          <w:sz w:val="28"/>
          <w:szCs w:val="28"/>
          <w:lang w:val="zh-CN"/>
        </w:rPr>
      </w:pPr>
    </w:p>
    <w:p>
      <w:pPr>
        <w:tabs>
          <w:tab w:val="left" w:pos="1134"/>
        </w:tabs>
        <w:snapToGrid w:val="0"/>
        <w:spacing w:line="360" w:lineRule="auto"/>
        <w:rPr>
          <w:rFonts w:asciiTheme="minorEastAsia" w:hAnsiTheme="minorEastAsia"/>
          <w:b/>
          <w:bCs/>
          <w:sz w:val="28"/>
          <w:szCs w:val="28"/>
          <w:lang w:val="zh-CN"/>
        </w:rPr>
      </w:pPr>
    </w:p>
    <w:p>
      <w:pPr>
        <w:tabs>
          <w:tab w:val="left" w:pos="1134"/>
        </w:tabs>
        <w:snapToGrid w:val="0"/>
        <w:spacing w:line="360" w:lineRule="auto"/>
        <w:rPr>
          <w:rFonts w:asciiTheme="minorEastAsia" w:hAnsiTheme="minorEastAsia"/>
          <w:b/>
          <w:bCs/>
          <w:sz w:val="28"/>
          <w:szCs w:val="28"/>
          <w:lang w:val="zh-CN"/>
        </w:rPr>
      </w:pPr>
    </w:p>
    <w:p>
      <w:pPr>
        <w:tabs>
          <w:tab w:val="left" w:pos="1134"/>
        </w:tabs>
        <w:snapToGrid w:val="0"/>
        <w:spacing w:line="360" w:lineRule="auto"/>
        <w:rPr>
          <w:rFonts w:asciiTheme="minorEastAsia" w:hAnsiTheme="minorEastAsia"/>
          <w:b/>
          <w:bCs/>
          <w:sz w:val="28"/>
          <w:szCs w:val="28"/>
          <w:lang w:val="zh-CN"/>
        </w:rPr>
      </w:pPr>
    </w:p>
    <w:p>
      <w:pPr>
        <w:tabs>
          <w:tab w:val="left" w:pos="1134"/>
        </w:tabs>
        <w:snapToGrid w:val="0"/>
        <w:spacing w:line="360" w:lineRule="auto"/>
        <w:rPr>
          <w:rFonts w:asciiTheme="minorEastAsia" w:hAnsiTheme="minorEastAsia"/>
          <w:b/>
          <w:bCs/>
          <w:sz w:val="28"/>
          <w:szCs w:val="28"/>
          <w:lang w:val="zh-CN"/>
        </w:rPr>
      </w:pPr>
    </w:p>
    <w:p>
      <w:pPr>
        <w:tabs>
          <w:tab w:val="left" w:pos="1134"/>
        </w:tabs>
        <w:snapToGrid w:val="0"/>
        <w:spacing w:line="360" w:lineRule="auto"/>
        <w:rPr>
          <w:rFonts w:asciiTheme="minorEastAsia" w:hAnsiTheme="minorEastAsia"/>
          <w:b/>
          <w:bCs/>
          <w:sz w:val="28"/>
          <w:szCs w:val="28"/>
          <w:lang w:val="zh-CN"/>
        </w:rPr>
      </w:pPr>
    </w:p>
    <w:p>
      <w:pPr>
        <w:tabs>
          <w:tab w:val="left" w:pos="1134"/>
        </w:tabs>
        <w:snapToGrid w:val="0"/>
        <w:spacing w:line="360" w:lineRule="auto"/>
        <w:rPr>
          <w:rFonts w:asciiTheme="minorEastAsia" w:hAnsiTheme="minorEastAsia"/>
          <w:b/>
          <w:bCs/>
          <w:sz w:val="28"/>
          <w:szCs w:val="28"/>
          <w:lang w:val="zh-CN"/>
        </w:rPr>
      </w:pPr>
    </w:p>
    <w:p>
      <w:pPr>
        <w:tabs>
          <w:tab w:val="left" w:pos="1134"/>
        </w:tabs>
        <w:snapToGrid w:val="0"/>
        <w:spacing w:line="360" w:lineRule="auto"/>
        <w:rPr>
          <w:rFonts w:asciiTheme="minorEastAsia" w:hAnsiTheme="minorEastAsia"/>
          <w:b/>
          <w:bCs/>
          <w:sz w:val="28"/>
          <w:szCs w:val="28"/>
          <w:lang w:val="zh-CN"/>
        </w:rPr>
      </w:pPr>
    </w:p>
    <w:p>
      <w:pPr>
        <w:tabs>
          <w:tab w:val="left" w:pos="1134"/>
        </w:tabs>
        <w:snapToGrid w:val="0"/>
        <w:spacing w:line="360" w:lineRule="auto"/>
        <w:rPr>
          <w:rFonts w:asciiTheme="minorEastAsia" w:hAnsiTheme="minorEastAsia"/>
          <w:b/>
          <w:bCs/>
          <w:sz w:val="28"/>
          <w:szCs w:val="28"/>
          <w:lang w:val="zh-CN"/>
        </w:rPr>
      </w:pPr>
    </w:p>
    <w:p>
      <w:pPr>
        <w:tabs>
          <w:tab w:val="left" w:pos="1134"/>
        </w:tabs>
        <w:snapToGrid w:val="0"/>
        <w:spacing w:line="360" w:lineRule="auto"/>
        <w:rPr>
          <w:rFonts w:asciiTheme="minorEastAsia" w:hAnsiTheme="minorEastAsia"/>
          <w:b/>
          <w:bCs/>
          <w:sz w:val="28"/>
          <w:szCs w:val="28"/>
          <w:lang w:val="zh-CN"/>
        </w:rPr>
      </w:pPr>
    </w:p>
    <w:p>
      <w:pPr>
        <w:tabs>
          <w:tab w:val="left" w:pos="1134"/>
        </w:tabs>
        <w:snapToGrid w:val="0"/>
        <w:spacing w:line="360" w:lineRule="auto"/>
        <w:rPr>
          <w:rFonts w:asciiTheme="minorEastAsia" w:hAnsiTheme="minorEastAsia"/>
          <w:b/>
          <w:bCs/>
          <w:sz w:val="28"/>
          <w:szCs w:val="28"/>
          <w:lang w:val="zh-CN"/>
        </w:rPr>
      </w:pPr>
    </w:p>
    <w:p>
      <w:pPr>
        <w:tabs>
          <w:tab w:val="left" w:pos="1134"/>
        </w:tabs>
        <w:snapToGrid w:val="0"/>
        <w:spacing w:line="360" w:lineRule="auto"/>
        <w:rPr>
          <w:rFonts w:asciiTheme="minorEastAsia" w:hAnsiTheme="minorEastAsia"/>
          <w:b/>
          <w:bCs/>
          <w:sz w:val="28"/>
          <w:szCs w:val="28"/>
          <w:lang w:val="zh-CN"/>
        </w:rPr>
      </w:pPr>
    </w:p>
    <w:p>
      <w:pPr>
        <w:tabs>
          <w:tab w:val="left" w:pos="1134"/>
        </w:tabs>
        <w:snapToGrid w:val="0"/>
        <w:spacing w:line="360" w:lineRule="auto"/>
        <w:rPr>
          <w:rFonts w:asciiTheme="minorEastAsia" w:hAnsiTheme="minorEastAsia"/>
          <w:b/>
          <w:bCs/>
          <w:sz w:val="28"/>
          <w:szCs w:val="28"/>
          <w:lang w:val="zh-CN"/>
        </w:rPr>
      </w:pPr>
    </w:p>
    <w:p>
      <w:pPr>
        <w:tabs>
          <w:tab w:val="left" w:pos="1134"/>
        </w:tabs>
        <w:snapToGrid w:val="0"/>
        <w:spacing w:line="360" w:lineRule="auto"/>
        <w:rPr>
          <w:rFonts w:asciiTheme="minorEastAsia" w:hAnsiTheme="minorEastAsia"/>
          <w:b/>
          <w:bCs/>
          <w:sz w:val="28"/>
          <w:szCs w:val="28"/>
          <w:lang w:val="zh-CN"/>
        </w:rPr>
      </w:pPr>
    </w:p>
    <w:p>
      <w:pPr>
        <w:tabs>
          <w:tab w:val="left" w:pos="1134"/>
        </w:tabs>
        <w:snapToGrid w:val="0"/>
        <w:spacing w:line="360" w:lineRule="auto"/>
        <w:rPr>
          <w:rFonts w:asciiTheme="minorEastAsia" w:hAnsiTheme="minorEastAsia"/>
          <w:b/>
          <w:bCs/>
          <w:sz w:val="28"/>
          <w:szCs w:val="28"/>
          <w:lang w:val="zh-CN"/>
        </w:rPr>
      </w:pPr>
    </w:p>
    <w:p>
      <w:pPr>
        <w:tabs>
          <w:tab w:val="left" w:pos="1134"/>
        </w:tabs>
        <w:snapToGrid w:val="0"/>
        <w:spacing w:line="360" w:lineRule="auto"/>
        <w:rPr>
          <w:rFonts w:asciiTheme="minorEastAsia" w:hAnsiTheme="minorEastAsia"/>
          <w:b/>
          <w:bCs/>
          <w:sz w:val="28"/>
          <w:szCs w:val="28"/>
          <w:lang w:val="zh-CN"/>
        </w:rPr>
      </w:pPr>
    </w:p>
    <w:p>
      <w:pPr>
        <w:tabs>
          <w:tab w:val="left" w:pos="1134"/>
        </w:tabs>
        <w:snapToGrid w:val="0"/>
        <w:spacing w:line="360" w:lineRule="auto"/>
        <w:rPr>
          <w:rFonts w:asciiTheme="minorEastAsia" w:hAnsiTheme="minorEastAsia"/>
          <w:b/>
          <w:bCs/>
          <w:sz w:val="28"/>
          <w:szCs w:val="28"/>
          <w:lang w:val="zh-CN"/>
        </w:rPr>
      </w:pPr>
    </w:p>
    <w:p>
      <w:pPr>
        <w:tabs>
          <w:tab w:val="left" w:pos="1134"/>
        </w:tabs>
        <w:snapToGrid w:val="0"/>
        <w:spacing w:line="360" w:lineRule="auto"/>
        <w:rPr>
          <w:rFonts w:asciiTheme="minorEastAsia" w:hAnsiTheme="minorEastAsia"/>
          <w:b/>
          <w:bCs/>
          <w:sz w:val="28"/>
          <w:szCs w:val="28"/>
          <w:lang w:val="zh-CN"/>
        </w:rPr>
      </w:pPr>
    </w:p>
    <w:bookmarkEnd w:id="157"/>
    <w:bookmarkEnd w:id="158"/>
    <w:p>
      <w:pPr>
        <w:keepNext/>
        <w:keepLines/>
        <w:numPr>
          <w:ilvl w:val="0"/>
          <w:numId w:val="3"/>
        </w:numPr>
        <w:spacing w:before="340" w:after="330" w:line="400" w:lineRule="exact"/>
        <w:ind w:hanging="2692"/>
        <w:jc w:val="center"/>
        <w:outlineLvl w:val="0"/>
        <w:rPr>
          <w:rFonts w:ascii="宋体" w:hAnsi="宋体"/>
          <w:b/>
          <w:bCs/>
          <w:spacing w:val="-20"/>
          <w:kern w:val="44"/>
          <w:sz w:val="32"/>
          <w:szCs w:val="32"/>
        </w:rPr>
      </w:pPr>
      <w:bookmarkStart w:id="175" w:name="_Toc78191630"/>
      <w:r>
        <w:rPr>
          <w:rFonts w:hint="eastAsia" w:ascii="宋体" w:hAnsi="宋体"/>
          <w:b/>
          <w:bCs/>
          <w:spacing w:val="-20"/>
          <w:kern w:val="44"/>
          <w:sz w:val="32"/>
          <w:szCs w:val="32"/>
        </w:rPr>
        <w:t>资格性审查</w:t>
      </w:r>
      <w:bookmarkEnd w:id="175"/>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资格性审查由采购人组建的资格审查小组依据法律法规和招标文件的规定，对投标保证金(市公资交易中心出具的</w:t>
      </w:r>
      <w:r>
        <w:rPr>
          <w:rFonts w:hint="eastAsia" w:ascii="宋体" w:hAnsi="宋体"/>
          <w:b/>
          <w:sz w:val="28"/>
          <w:szCs w:val="28"/>
        </w:rPr>
        <w:t>《</w:t>
      </w:r>
      <w:r>
        <w:rPr>
          <w:rFonts w:hint="eastAsia" w:ascii="宋体" w:hAnsi="宋体" w:cs="宋体"/>
          <w:b/>
          <w:sz w:val="28"/>
          <w:szCs w:val="28"/>
        </w:rPr>
        <w:t>成都市政府采购项目供应商参与及保证金交纳情况表》</w:t>
      </w:r>
      <w:r>
        <w:rPr>
          <w:rFonts w:hint="eastAsia" w:ascii="宋体" w:hAnsi="宋体"/>
          <w:b/>
          <w:sz w:val="28"/>
          <w:szCs w:val="28"/>
        </w:rPr>
        <w:t>或投标人递交的投标保函</w:t>
      </w:r>
      <w:r>
        <w:rPr>
          <w:rFonts w:hint="eastAsia" w:ascii="宋体" w:hAnsi="宋体"/>
          <w:sz w:val="28"/>
          <w:szCs w:val="28"/>
        </w:rPr>
        <w:t>)、投标文件中的资格证明等进行审查，以确定投标人是否具备投标资格，并出具资格性审查报告。</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时因断电、断网、系统故障或其他不可抗力等因素，导致资格审查小组无法通过系统阅读投标文件进行审查的，待系统恢复后继续审查。出现上述情况时，市公资交易中心将以电子邮件形式通知各投标人。资格性审查标准见下表：</w:t>
      </w:r>
    </w:p>
    <w:tbl>
      <w:tblPr>
        <w:tblStyle w:val="47"/>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700"/>
        <w:gridCol w:w="1197"/>
        <w:gridCol w:w="5940"/>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2585" w:type="dxa"/>
            <w:gridSpan w:val="3"/>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资格性审查项</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color w:val="000000" w:themeColor="text1"/>
                <w:sz w:val="20"/>
                <w14:textFill>
                  <w14:solidFill>
                    <w14:schemeClr w14:val="tx1"/>
                  </w14:solidFill>
                </w14:textFill>
              </w:rPr>
            </w:pPr>
            <w:r>
              <w:rPr>
                <w:b/>
                <w:color w:val="000000" w:themeColor="text1"/>
                <w:sz w:val="20"/>
                <w14:textFill>
                  <w14:solidFill>
                    <w14:schemeClr w14:val="tx1"/>
                  </w14:solidFill>
                </w14:textFill>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1</w:t>
            </w:r>
          </w:p>
        </w:tc>
        <w:tc>
          <w:tcPr>
            <w:tcW w:w="700" w:type="dxa"/>
            <w:vMerge w:val="restart"/>
            <w:tcBorders>
              <w:top w:val="single" w:color="auto" w:sz="2" w:space="0"/>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书面声明材料</w:t>
            </w: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具有独立承担民事责任的能力</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投标人具有独立承担民事责任的能力的书面声明材料。【说明：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；②供应商具有</w:t>
            </w:r>
            <w:r>
              <w:rPr>
                <w:rFonts w:hint="eastAsia"/>
                <w:color w:val="000000" w:themeColor="text1"/>
                <w:sz w:val="20"/>
                <w14:textFill>
                  <w14:solidFill>
                    <w14:schemeClr w14:val="tx1"/>
                  </w14:solidFill>
                </w14:textFill>
              </w:rPr>
              <w:t>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具有良好的商业信誉的证明材料</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投标人具有良好的商业信誉的书面声明材料。【说明：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；②供应商具有良好的商业信誉</w:t>
            </w:r>
            <w:r>
              <w:rPr>
                <w:rFonts w:hint="eastAsia"/>
                <w:color w:val="000000" w:themeColor="text1"/>
                <w:sz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具有履行合同所必须的设备和专业技术能力</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投标人具有履行合同所必须的设备和专业技术能力的书面声明材料。【说明：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w:t>
            </w:r>
            <w:r>
              <w:rPr>
                <w:rFonts w:hint="eastAsia"/>
                <w:color w:val="000000" w:themeColor="text1"/>
                <w:sz w:val="20"/>
                <w14:textFill>
                  <w14:solidFill>
                    <w14:schemeClr w14:val="tx1"/>
                  </w14:solidFill>
                </w14:textFill>
              </w:rPr>
              <w:t>具有履行合同所必须的设备和专业技术能力。】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有依法缴纳税收和社会保障资金的良好记录</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投标人有依法缴纳税收和社会保障资金的良好记录的书面声明材料。【说明：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w:t>
            </w:r>
            <w:r>
              <w:rPr>
                <w:rFonts w:hint="eastAsia"/>
                <w:color w:val="000000" w:themeColor="text1"/>
                <w:sz w:val="20"/>
                <w14:textFill>
                  <w14:solidFill>
                    <w14:schemeClr w14:val="tx1"/>
                  </w14:solidFill>
                </w14:textFill>
              </w:rPr>
              <w:t>有依法缴纳税收和社会保障资金的良好记录。】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参加政府采购活动前三年内，在经营活动中没有重大违法记录</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投标人参加政府采购活动前三年内，在经营活动中没有重大违法记录的书面声明材料。【说明：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w:t>
            </w:r>
            <w:r>
              <w:rPr>
                <w:rFonts w:hint="eastAsia"/>
                <w:color w:val="000000" w:themeColor="text1"/>
                <w:sz w:val="20"/>
                <w14:textFill>
                  <w14:solidFill>
                    <w14:schemeClr w14:val="tx1"/>
                  </w14:solidFill>
                </w14:textFill>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法律、行政法规规定的其他条件</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投标人具有法律、行政法规规定的其他条件的书面声明材料。【说明：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w:t>
            </w:r>
            <w:r>
              <w:rPr>
                <w:rFonts w:hint="eastAsia"/>
                <w:color w:val="000000" w:themeColor="text1"/>
                <w:sz w:val="20"/>
                <w14:textFill>
                  <w14:solidFill>
                    <w14:schemeClr w14:val="tx1"/>
                  </w14:solidFill>
                </w14:textFill>
              </w:rPr>
              <w:t>具有法律、行政法规规定的其他条件。】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未被列入失信被执行人、重大税收违法案件当事人名单、政府采购严重违法失信行为记录名单</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投标人未列入失信被执行人、重大税收违法案件当事人名单、政府采购严重违法失信行为记录名单的书面声明材料。【说明：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投标人未列入失信被执行人、重大税收违法案件当事人名单、政府采购严重违法失信行为记录名单；</w:t>
            </w:r>
            <w:r>
              <w:rPr>
                <w:rFonts w:hint="eastAsia" w:ascii="宋体" w:hAnsi="宋体"/>
                <w:color w:val="000000" w:themeColor="text1"/>
                <w:sz w:val="20"/>
                <w:szCs w:val="28"/>
                <w14:textFill>
                  <w14:solidFill>
                    <w14:schemeClr w14:val="tx1"/>
                  </w14:solidFill>
                </w14:textFill>
              </w:rPr>
              <w:t>②</w:t>
            </w:r>
            <w:r>
              <w:rPr>
                <w:rFonts w:hint="eastAsia"/>
                <w:color w:val="000000" w:themeColor="text1"/>
                <w:sz w:val="20"/>
                <w14:textFill>
                  <w14:solidFill>
                    <w14:schemeClr w14:val="tx1"/>
                  </w14:solidFill>
                </w14:textFill>
              </w:rPr>
              <w:t>按第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p>
          <w:p>
            <w:pPr>
              <w:tabs>
                <w:tab w:val="left" w:pos="851"/>
              </w:tabs>
              <w:spacing w:line="360" w:lineRule="auto"/>
              <w:rPr>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未处于被行政部门禁止参与政府采购活动的期限内</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投标人未处于被行政部门禁止参与政府采购活动的期限内。【说明：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；②供应商未处于被行政部门禁止参与政府采购活动的期限内。</w:t>
            </w:r>
            <w:r>
              <w:rPr>
                <w:rFonts w:hint="eastAsia"/>
                <w:color w:val="000000" w:themeColor="text1"/>
                <w:sz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行贿犯罪记录</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在行贿犯罪信息查询期限内，投标人及其现任法定代表人、主要负责人没有行贿犯罪记录的书面声明材料。【说明：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章的内容及要求提供书面声明材料，投标文件中不需提供中国裁判文书网（</w:t>
            </w:r>
            <w:r>
              <w:rPr>
                <w:color w:val="000000" w:themeColor="text1"/>
                <w:sz w:val="20"/>
                <w14:textFill>
                  <w14:solidFill>
                    <w14:schemeClr w14:val="tx1"/>
                  </w14:solidFill>
                </w14:textFill>
              </w:rPr>
              <w:t>https://wenshu.court.gov.cn</w:t>
            </w:r>
            <w:r>
              <w:rPr>
                <w:rFonts w:hint="eastAsia"/>
                <w:color w:val="000000" w:themeColor="text1"/>
                <w:sz w:val="20"/>
                <w14:textFill>
                  <w14:solidFill>
                    <w14:schemeClr w14:val="tx1"/>
                  </w14:solidFill>
                </w14:textFill>
              </w:rPr>
              <w:t>）查询结果的证明材料；</w:t>
            </w:r>
            <w:r>
              <w:rPr>
                <w:rFonts w:hint="eastAsia" w:ascii="宋体" w:hAnsi="宋体"/>
                <w:color w:val="000000" w:themeColor="text1"/>
                <w:sz w:val="20"/>
                <w:szCs w:val="28"/>
                <w14:textFill>
                  <w14:solidFill>
                    <w14:schemeClr w14:val="tx1"/>
                  </w14:solidFill>
                </w14:textFill>
              </w:rPr>
              <w:t>②在行贿犯罪信息查询期限内，供应商及其现任法定代表人、主要负责人没有行贿犯罪记录</w:t>
            </w:r>
            <w:r>
              <w:rPr>
                <w:rFonts w:hint="eastAsia"/>
                <w:color w:val="000000" w:themeColor="text1"/>
                <w:sz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bottom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单位负责人为同一人或者存在直接控股、管理关系的不同供应商，不得参加同一项目的投标</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与投标人负责人为同一人或者存在直接控股、管理关系的相关供应商的书面声明材料。【说明：①按招标文件第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章的内容及要求提供书面声明材料；②参加投标的供应商中无与投标人的负责人为同一人或者存在直接控股、管理关系的供应商。】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restart"/>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2</w:t>
            </w:r>
          </w:p>
        </w:tc>
        <w:tc>
          <w:tcPr>
            <w:tcW w:w="700" w:type="dxa"/>
            <w:vMerge w:val="restart"/>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其他</w:t>
            </w: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信用记录</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供应商未被列入失信被执行人、重大税收违法案件当事人名单、政府采购严重违法失信行为记录名单及其他不符合《中华人民共和国政府采购法》第二十二条规定条件的供应商，以下列查询记录为准：</w:t>
            </w:r>
          </w:p>
          <w:p>
            <w:pPr>
              <w:tabs>
                <w:tab w:val="left" w:pos="851"/>
              </w:tabs>
              <w:spacing w:line="360" w:lineRule="auto"/>
              <w:ind w:firstLine="400" w:firstLineChars="200"/>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资格审查小组对“信用中国”网站、“中国政府采购网”网站进行查询，并根据查询结果对投标人的信用记录进行审查。（说明：投标人未被列入失信被执行人、重大税收违法案件当事人名单、政府采购严重违法失信行为记录名单[投标人在参加政府采购活动前被禁止在一定期限内参加政府采购活动，期限届满的可以参加政府采购活动，但投标人应在资格性投标文件中提供相关证明材料]，没有未依法缴纳税收和社会保障资金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不属于其他国家相关法律法规规定的禁止参加投标的供应商</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color w:val="000000" w:themeColor="text1"/>
                <w:sz w:val="20"/>
                <w14:textFill>
                  <w14:solidFill>
                    <w14:schemeClr w14:val="tx1"/>
                  </w14:solidFill>
                </w14:textFill>
              </w:rPr>
              <w:t>1</w:t>
            </w:r>
            <w:r>
              <w:rPr>
                <w:rFonts w:hint="eastAsia"/>
                <w:color w:val="000000" w:themeColor="text1"/>
                <w:sz w:val="20"/>
                <w14:textFill>
                  <w14:solidFill>
                    <w14:schemeClr w14:val="tx1"/>
                  </w14:solidFill>
                </w14:textFill>
              </w:rPr>
              <w:t>、根据招标文件的要求不属于禁止参加投标或投标无效的供应商；</w:t>
            </w:r>
          </w:p>
          <w:p>
            <w:pPr>
              <w:tabs>
                <w:tab w:val="left" w:pos="851"/>
              </w:tabs>
              <w:spacing w:line="360" w:lineRule="auto"/>
              <w:rPr>
                <w:color w:val="000000" w:themeColor="text1"/>
                <w:sz w:val="20"/>
                <w14:textFill>
                  <w14:solidFill>
                    <w14:schemeClr w14:val="tx1"/>
                  </w14:solidFill>
                </w14:textFill>
              </w:rPr>
            </w:pPr>
            <w:r>
              <w:rPr>
                <w:color w:val="000000" w:themeColor="text1"/>
                <w:sz w:val="20"/>
                <w14:textFill>
                  <w14:solidFill>
                    <w14:schemeClr w14:val="tx1"/>
                  </w14:solidFill>
                </w14:textFill>
              </w:rPr>
              <w:t>2</w:t>
            </w:r>
            <w:r>
              <w:rPr>
                <w:rFonts w:hint="eastAsia"/>
                <w:color w:val="000000" w:themeColor="text1"/>
                <w:sz w:val="20"/>
                <w14:textFill>
                  <w14:solidFill>
                    <w14:schemeClr w14:val="tx1"/>
                  </w14:solidFill>
                </w14:textFill>
              </w:rPr>
              <w:t>、资格审查小组未发现或者未知晓投标人存在属于国家相关法律法规规定的禁止参加投标或投标无效的供应商。</w:t>
            </w:r>
          </w:p>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联合体投标</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非联合体投标。【说明：无须提供证明材料，上传空白页即可，不对本项上传的材料作资格审查】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资质要求</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投标保证金</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投标文件解密情况</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ascii="宋体" w:hAnsi="宋体"/>
                <w:color w:val="000000" w:themeColor="text1"/>
                <w:sz w:val="20"/>
                <w:szCs w:val="28"/>
                <w14:textFill>
                  <w14:solidFill>
                    <w14:schemeClr w14:val="tx1"/>
                  </w14:solidFill>
                </w14:textFill>
              </w:rPr>
              <w:t>除因断电、断网、系统故障或其他不可抗力等因素，导致系统无法使用外，投标文件已成功解密。</w:t>
            </w:r>
            <w:r>
              <w:rPr>
                <w:rFonts w:hint="eastAsia"/>
                <w:color w:val="000000" w:themeColor="text1"/>
                <w:sz w:val="20"/>
                <w14:textFill>
                  <w14:solidFill>
                    <w14:schemeClr w14:val="tx1"/>
                  </w14:solidFill>
                </w14:textFill>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投标文件签章</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sz w:val="20"/>
              </w:rPr>
              <w:t>投标文件加盖有投标人（法定名称）电子签章。【说明：无须提供证明材料，上传空白页即可，不对本项上传的材料作资格审查】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投标文件资格响应</w:t>
            </w:r>
            <w:r>
              <w:rPr>
                <w:color w:val="000000" w:themeColor="text1"/>
                <w:sz w:val="20"/>
                <w14:textFill>
                  <w14:solidFill>
                    <w14:schemeClr w14:val="tx1"/>
                  </w14:solidFill>
                </w14:textFill>
              </w:rPr>
              <w:t>文件</w:t>
            </w:r>
            <w:r>
              <w:rPr>
                <w:rFonts w:hint="eastAsia"/>
                <w:color w:val="000000" w:themeColor="text1"/>
                <w:sz w:val="20"/>
                <w14:textFill>
                  <w14:solidFill>
                    <w14:schemeClr w14:val="tx1"/>
                  </w14:solidFill>
                </w14:textFill>
              </w:rPr>
              <w:t>组成</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符合招标文件</w:t>
            </w:r>
            <w:r>
              <w:rPr>
                <w:color w:val="000000" w:themeColor="text1"/>
                <w:sz w:val="20"/>
                <w14:textFill>
                  <w14:solidFill>
                    <w14:schemeClr w14:val="tx1"/>
                  </w14:solidFill>
                </w14:textFill>
              </w:rPr>
              <w:t>“2.4.6</w:t>
            </w:r>
            <w:r>
              <w:rPr>
                <w:rFonts w:hint="eastAsia"/>
                <w:color w:val="000000" w:themeColor="text1"/>
                <w:sz w:val="20"/>
                <w14:textFill>
                  <w14:solidFill>
                    <w14:schemeClr w14:val="tx1"/>
                  </w14:solidFill>
                </w14:textFill>
              </w:rPr>
              <w:t>投标文件的组成</w:t>
            </w:r>
            <w:r>
              <w:rPr>
                <w:color w:val="000000" w:themeColor="text1"/>
                <w:sz w:val="20"/>
                <w14:textFill>
                  <w14:solidFill>
                    <w14:schemeClr w14:val="tx1"/>
                  </w14:solidFill>
                </w14:textFill>
              </w:rPr>
              <w:t>”</w:t>
            </w:r>
            <w:r>
              <w:rPr>
                <w:rFonts w:hint="eastAsia"/>
                <w:color w:val="000000" w:themeColor="text1"/>
                <w:sz w:val="20"/>
                <w14:textFill>
                  <w14:solidFill>
                    <w14:schemeClr w14:val="tx1"/>
                  </w14:solidFill>
                </w14:textFill>
              </w:rPr>
              <w:t>规定要求。【说明：无须提供证明材料，上传空白页即可，不对本项上传的材料作资格审查】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投标文件资格响应文件的语言</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语言符合招标文件的要求。【说明：无须提供证明材料，上传空白页即可，不对本项上传的材料作资格审查】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3</w:t>
            </w:r>
          </w:p>
        </w:tc>
        <w:tc>
          <w:tcPr>
            <w:tcW w:w="1897"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专门面向中小企业证明材料</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pPr>
            <w:r>
              <w:rPr>
                <w:rFonts w:hint="eastAsia"/>
              </w:rPr>
              <w:t>按3.2.3.1格式提供的中小企业声明函或按3.2.3.2格式提供的残疾人福利性单位声明函（格式详见3.2.3.2）或</w:t>
            </w:r>
            <w:r>
              <w:rPr>
                <w:rFonts w:hint="eastAsia"/>
                <w:lang w:val="zh-CN"/>
              </w:rPr>
              <w:t>由省级以上监狱管理局、戒毒管理局（含新疆生产建设兵团）出具的投标人属于监狱企业的证明文件复印件。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4</w:t>
            </w:r>
          </w:p>
        </w:tc>
        <w:tc>
          <w:tcPr>
            <w:tcW w:w="1897"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根据采购项目提出的特殊资格条件证明材料</w:t>
            </w:r>
          </w:p>
        </w:tc>
        <w:tc>
          <w:tcPr>
            <w:tcW w:w="5940" w:type="dxa"/>
            <w:tcBorders>
              <w:top w:val="single" w:color="auto" w:sz="2" w:space="0"/>
              <w:left w:val="single" w:color="auto" w:sz="2" w:space="0"/>
              <w:bottom w:val="single" w:color="auto" w:sz="2" w:space="0"/>
              <w:right w:val="single" w:color="auto" w:sz="2" w:space="0"/>
            </w:tcBorders>
            <w:vAlign w:val="center"/>
          </w:tcPr>
          <w:p>
            <w:pPr>
              <w:spacing w:line="360" w:lineRule="auto"/>
              <w:ind w:left="34"/>
              <w:rPr>
                <w:rFonts w:ascii="宋体" w:hAnsi="宋体"/>
                <w:color w:val="FF0000"/>
              </w:rPr>
            </w:pPr>
            <w:r>
              <w:rPr>
                <w:rFonts w:hint="eastAsia" w:ascii="宋体" w:hAnsi="宋体"/>
                <w:color w:val="FF0000"/>
              </w:rPr>
              <w:t>（1）投标人有效的《医疗器械经营企业许可证》复印件，复印件加盖</w:t>
            </w:r>
            <w:r>
              <w:rPr>
                <w:rFonts w:hint="eastAsia" w:ascii="宋体" w:hAnsi="宋体"/>
                <w:color w:val="FF0000"/>
                <w:lang w:eastAsia="zh-CN"/>
              </w:rPr>
              <w:t>投标人</w:t>
            </w:r>
            <w:r>
              <w:rPr>
                <w:rFonts w:hint="eastAsia" w:ascii="宋体" w:hAnsi="宋体"/>
                <w:color w:val="FF0000"/>
              </w:rPr>
              <w:t>公章鲜章；</w:t>
            </w:r>
          </w:p>
          <w:p>
            <w:pPr>
              <w:spacing w:line="360" w:lineRule="auto"/>
              <w:ind w:left="34"/>
              <w:rPr>
                <w:rFonts w:ascii="宋体" w:hAnsi="宋体"/>
                <w:color w:val="FF0000"/>
              </w:rPr>
            </w:pPr>
            <w:r>
              <w:rPr>
                <w:rFonts w:hint="eastAsia" w:ascii="宋体" w:hAnsi="宋体"/>
                <w:color w:val="FF0000"/>
              </w:rPr>
              <w:t>（2）投标产品有效的相对应的《医疗器械注册证》复印件，复印件加盖</w:t>
            </w:r>
            <w:r>
              <w:rPr>
                <w:rFonts w:hint="eastAsia" w:ascii="宋体" w:hAnsi="宋体"/>
                <w:color w:val="FF0000"/>
                <w:lang w:eastAsia="zh-CN"/>
              </w:rPr>
              <w:t>投标人</w:t>
            </w:r>
            <w:r>
              <w:rPr>
                <w:rFonts w:hint="eastAsia" w:ascii="宋体" w:hAnsi="宋体"/>
                <w:color w:val="FF0000"/>
              </w:rPr>
              <w:t>公章鲜章；</w:t>
            </w:r>
          </w:p>
          <w:p>
            <w:pPr>
              <w:pStyle w:val="2"/>
              <w:rPr>
                <w:color w:val="FF0000"/>
              </w:rPr>
            </w:pPr>
            <w:r>
              <w:rPr>
                <w:rFonts w:hint="eastAsia" w:ascii="宋体" w:hAnsi="宋体"/>
                <w:color w:val="FF0000"/>
              </w:rPr>
              <w:t>（3）投标产品制造商有效的《医疗器械生产企业许可证》复印件，复印件加盖</w:t>
            </w:r>
            <w:r>
              <w:rPr>
                <w:rFonts w:hint="eastAsia" w:ascii="宋体" w:hAnsi="宋体"/>
                <w:color w:val="FF0000"/>
                <w:lang w:eastAsia="zh-CN"/>
              </w:rPr>
              <w:t>投标人</w:t>
            </w:r>
            <w:r>
              <w:rPr>
                <w:rFonts w:hint="eastAsia" w:ascii="宋体" w:hAnsi="宋体"/>
                <w:color w:val="FF0000"/>
              </w:rPr>
              <w:t>公章鲜章。</w:t>
            </w:r>
          </w:p>
        </w:tc>
      </w:tr>
    </w:tbl>
    <w:p>
      <w:pPr>
        <w:tabs>
          <w:tab w:val="left" w:pos="851"/>
        </w:tabs>
        <w:spacing w:line="360" w:lineRule="auto"/>
        <w:ind w:firstLine="560" w:firstLineChars="200"/>
        <w:rPr>
          <w:rFonts w:ascii="宋体" w:hAnsi="宋体"/>
          <w:sz w:val="28"/>
          <w:szCs w:val="28"/>
        </w:rPr>
      </w:pPr>
    </w:p>
    <w:p>
      <w:pPr>
        <w:tabs>
          <w:tab w:val="left" w:pos="851"/>
        </w:tabs>
        <w:spacing w:line="360" w:lineRule="auto"/>
        <w:ind w:firstLine="560" w:firstLineChars="200"/>
        <w:rPr>
          <w:rFonts w:ascii="宋体" w:hAnsi="宋体"/>
          <w:sz w:val="28"/>
          <w:szCs w:val="28"/>
        </w:rPr>
      </w:pPr>
      <w:r>
        <w:rPr>
          <w:rFonts w:hint="eastAsia" w:ascii="宋体" w:hAnsi="宋体"/>
          <w:sz w:val="28"/>
          <w:szCs w:val="28"/>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二、“信用中国”和“中国政府采购网”网站查询结果，将以纸质截图或将截图保存至电子介质的形式留存。</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投标人的投标文件资格性审查时被判定为无效的，市公资交易中心将通知投标人（以短信、现场公示、电话、“政府采购云平台”等任一方式）。。投标人如对资格审查结论有异议的，应及时向市公资交易中心反馈意见。市公资交易中心将及时告知资格审查小组。（说明：无论投标人是否收到通知或提供反馈意见，均不影响资格审查和评标工作，且市公资交易中心对此将不承担任何的责任。投标人对资格审查结论有异议的，其反馈意见仅限于资格审查小组对资格审查结论的正确性进行复核，避免出现审查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四、通过资格性审查的供应商＜3名，采购失败。</w:t>
      </w:r>
    </w:p>
    <w:p>
      <w:pPr>
        <w:tabs>
          <w:tab w:val="left" w:pos="851"/>
        </w:tabs>
        <w:spacing w:line="360" w:lineRule="auto"/>
        <w:ind w:firstLine="565" w:firstLineChars="202"/>
        <w:rPr>
          <w:rFonts w:ascii="宋体" w:hAnsi="宋体"/>
          <w:sz w:val="28"/>
          <w:szCs w:val="28"/>
        </w:rPr>
      </w:pPr>
    </w:p>
    <w:p>
      <w:pPr>
        <w:tabs>
          <w:tab w:val="left" w:pos="851"/>
        </w:tabs>
        <w:spacing w:line="360" w:lineRule="auto"/>
        <w:rPr>
          <w:rFonts w:ascii="宋体" w:hAnsi="宋体"/>
          <w:sz w:val="28"/>
          <w:szCs w:val="28"/>
        </w:rPr>
      </w:pPr>
    </w:p>
    <w:p>
      <w:pPr>
        <w:keepNext/>
        <w:keepLines/>
        <w:numPr>
          <w:ilvl w:val="0"/>
          <w:numId w:val="3"/>
        </w:numPr>
        <w:spacing w:line="360" w:lineRule="auto"/>
        <w:ind w:left="0" w:firstLine="0"/>
        <w:jc w:val="center"/>
        <w:outlineLvl w:val="0"/>
        <w:rPr>
          <w:rFonts w:ascii="宋体" w:hAnsi="宋体"/>
          <w:b/>
          <w:bCs/>
          <w:spacing w:val="-20"/>
          <w:kern w:val="44"/>
          <w:sz w:val="32"/>
          <w:szCs w:val="32"/>
        </w:rPr>
      </w:pPr>
      <w:bookmarkStart w:id="176" w:name="_Toc78191631"/>
      <w:r>
        <w:rPr>
          <w:rFonts w:hint="eastAsia" w:ascii="宋体" w:hAnsi="宋体"/>
          <w:b/>
          <w:bCs/>
          <w:spacing w:val="-20"/>
          <w:kern w:val="44"/>
          <w:sz w:val="32"/>
          <w:szCs w:val="32"/>
        </w:rPr>
        <w:t>评标办法</w:t>
      </w:r>
      <w:bookmarkEnd w:id="176"/>
    </w:p>
    <w:p>
      <w:pPr>
        <w:keepNext/>
        <w:keepLines/>
        <w:numPr>
          <w:ilvl w:val="1"/>
          <w:numId w:val="3"/>
        </w:numPr>
        <w:spacing w:line="360" w:lineRule="auto"/>
        <w:jc w:val="left"/>
        <w:outlineLvl w:val="1"/>
        <w:rPr>
          <w:rFonts w:ascii="宋体" w:hAnsi="宋体"/>
          <w:b/>
          <w:bCs/>
          <w:sz w:val="28"/>
          <w:szCs w:val="28"/>
        </w:rPr>
      </w:pPr>
      <w:bookmarkStart w:id="177" w:name="_Toc78191632"/>
      <w:r>
        <w:rPr>
          <w:rFonts w:hint="eastAsia" w:ascii="宋体" w:hAnsi="宋体"/>
          <w:b/>
          <w:bCs/>
          <w:sz w:val="28"/>
          <w:szCs w:val="28"/>
        </w:rPr>
        <w:t>总则</w:t>
      </w:r>
      <w:bookmarkEnd w:id="177"/>
    </w:p>
    <w:p>
      <w:pPr>
        <w:numPr>
          <w:ilvl w:val="0"/>
          <w:numId w:val="37"/>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根据《中华人民共和国政府采购法》、《中华人民共和国政府采购法实施条例》和《政府采购货物和服务招标投标管理办法》等法律规章，结合采购项目特点制定本评标办法。</w:t>
      </w:r>
    </w:p>
    <w:p>
      <w:pPr>
        <w:numPr>
          <w:ilvl w:val="0"/>
          <w:numId w:val="37"/>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评标工作由</w:t>
      </w:r>
      <w:r>
        <w:rPr>
          <w:rFonts w:hint="eastAsia" w:cs="Arial"/>
          <w:sz w:val="28"/>
          <w:szCs w:val="28"/>
        </w:rPr>
        <w:t>市公资交易中心</w:t>
      </w:r>
      <w:r>
        <w:rPr>
          <w:rFonts w:hint="eastAsia" w:ascii="宋体" w:hAnsi="宋体"/>
          <w:sz w:val="28"/>
          <w:szCs w:val="28"/>
        </w:rPr>
        <w:t>负责组织，具体评标事务由采购人或</w:t>
      </w:r>
      <w:r>
        <w:rPr>
          <w:rFonts w:hint="eastAsia" w:cs="Arial"/>
          <w:sz w:val="28"/>
          <w:szCs w:val="28"/>
        </w:rPr>
        <w:t>市公资交易中心</w:t>
      </w:r>
      <w:r>
        <w:rPr>
          <w:rFonts w:hint="eastAsia" w:ascii="宋体" w:hAnsi="宋体"/>
          <w:sz w:val="28"/>
          <w:szCs w:val="28"/>
        </w:rPr>
        <w:t>依法组建的评标委员会负责。评标委员会由采购人代表和评审专家组成。</w:t>
      </w:r>
    </w:p>
    <w:p>
      <w:pPr>
        <w:numPr>
          <w:ilvl w:val="0"/>
          <w:numId w:val="37"/>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评标工作应遵循公平、公正、科学及择优的原则，并以相同的评标程序和标准对待所有的投标人。</w:t>
      </w:r>
    </w:p>
    <w:p>
      <w:pPr>
        <w:numPr>
          <w:ilvl w:val="0"/>
          <w:numId w:val="37"/>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评标委员会按照招标文件规定的评标程序、评标方法和标准进行独立评审，并独立履行下列职责：</w:t>
      </w:r>
    </w:p>
    <w:p>
      <w:pPr>
        <w:numPr>
          <w:ilvl w:val="1"/>
          <w:numId w:val="38"/>
        </w:numPr>
        <w:spacing w:line="360" w:lineRule="auto"/>
        <w:ind w:left="0" w:firstLine="567"/>
        <w:rPr>
          <w:rFonts w:ascii="宋体" w:hAnsi="宋体"/>
          <w:sz w:val="28"/>
          <w:szCs w:val="28"/>
        </w:rPr>
      </w:pPr>
      <w:r>
        <w:rPr>
          <w:rFonts w:hint="eastAsia" w:ascii="宋体" w:hAnsi="宋体"/>
          <w:sz w:val="28"/>
          <w:szCs w:val="28"/>
        </w:rPr>
        <w:t>熟悉和理解招标文件；</w:t>
      </w:r>
    </w:p>
    <w:p>
      <w:pPr>
        <w:numPr>
          <w:ilvl w:val="1"/>
          <w:numId w:val="38"/>
        </w:numPr>
        <w:spacing w:line="360" w:lineRule="auto"/>
        <w:ind w:left="0" w:firstLine="567"/>
        <w:rPr>
          <w:rFonts w:ascii="宋体" w:hAnsi="宋体"/>
          <w:sz w:val="28"/>
          <w:szCs w:val="28"/>
        </w:rPr>
      </w:pPr>
      <w:r>
        <w:rPr>
          <w:rFonts w:hint="eastAsia" w:ascii="宋体" w:hAnsi="宋体"/>
          <w:sz w:val="28"/>
          <w:szCs w:val="28"/>
        </w:rPr>
        <w:t>审查、评价投标文件是否符合招标文件的商务、技术等实质性要求；</w:t>
      </w:r>
    </w:p>
    <w:p>
      <w:pPr>
        <w:numPr>
          <w:ilvl w:val="1"/>
          <w:numId w:val="38"/>
        </w:numPr>
        <w:spacing w:line="360" w:lineRule="auto"/>
        <w:ind w:left="0" w:firstLine="567"/>
        <w:rPr>
          <w:rFonts w:ascii="宋体" w:hAnsi="宋体"/>
          <w:sz w:val="28"/>
          <w:szCs w:val="28"/>
        </w:rPr>
      </w:pPr>
      <w:r>
        <w:rPr>
          <w:rFonts w:hint="eastAsia" w:ascii="宋体" w:hAnsi="宋体"/>
          <w:sz w:val="28"/>
          <w:szCs w:val="28"/>
        </w:rPr>
        <w:t>对投标文件进行比较和评价；</w:t>
      </w:r>
    </w:p>
    <w:p>
      <w:pPr>
        <w:numPr>
          <w:ilvl w:val="1"/>
          <w:numId w:val="38"/>
        </w:numPr>
        <w:spacing w:line="360" w:lineRule="auto"/>
        <w:ind w:left="0" w:firstLine="567"/>
        <w:rPr>
          <w:rFonts w:ascii="宋体" w:hAnsi="宋体"/>
          <w:sz w:val="28"/>
          <w:szCs w:val="28"/>
        </w:rPr>
      </w:pPr>
      <w:r>
        <w:rPr>
          <w:rFonts w:hint="eastAsia" w:ascii="宋体" w:hAnsi="宋体"/>
          <w:sz w:val="28"/>
          <w:szCs w:val="28"/>
        </w:rPr>
        <w:t>根据需要要求采购人对招标文件作出解释；根据需要要求投标人对投标文件有关事项作出解释或者澄清；</w:t>
      </w:r>
    </w:p>
    <w:p>
      <w:pPr>
        <w:numPr>
          <w:ilvl w:val="1"/>
          <w:numId w:val="38"/>
        </w:numPr>
        <w:spacing w:line="360" w:lineRule="auto"/>
        <w:ind w:left="0" w:firstLine="567"/>
        <w:rPr>
          <w:rFonts w:ascii="宋体" w:hAnsi="宋体"/>
          <w:sz w:val="28"/>
          <w:szCs w:val="28"/>
        </w:rPr>
      </w:pPr>
      <w:r>
        <w:rPr>
          <w:rFonts w:hint="eastAsia" w:ascii="宋体" w:hAnsi="宋体"/>
          <w:sz w:val="28"/>
          <w:szCs w:val="28"/>
        </w:rPr>
        <w:t>确定中标候选人名单，以及根据采购人委托直接确定中标人；</w:t>
      </w:r>
    </w:p>
    <w:p>
      <w:pPr>
        <w:numPr>
          <w:ilvl w:val="1"/>
          <w:numId w:val="38"/>
        </w:numPr>
        <w:spacing w:line="360" w:lineRule="auto"/>
        <w:ind w:left="0" w:firstLine="567"/>
        <w:rPr>
          <w:rFonts w:ascii="宋体" w:hAnsi="宋体"/>
          <w:sz w:val="28"/>
          <w:szCs w:val="28"/>
        </w:rPr>
      </w:pPr>
      <w:r>
        <w:rPr>
          <w:rFonts w:hint="eastAsia" w:ascii="宋体" w:hAnsi="宋体"/>
          <w:sz w:val="28"/>
          <w:szCs w:val="28"/>
        </w:rPr>
        <w:t>起草评标报告并进行签署；</w:t>
      </w:r>
    </w:p>
    <w:p>
      <w:pPr>
        <w:numPr>
          <w:ilvl w:val="1"/>
          <w:numId w:val="38"/>
        </w:numPr>
        <w:spacing w:line="360" w:lineRule="auto"/>
        <w:ind w:left="0" w:firstLine="567"/>
        <w:rPr>
          <w:rFonts w:ascii="宋体" w:hAnsi="宋体"/>
          <w:sz w:val="28"/>
          <w:szCs w:val="28"/>
        </w:rPr>
      </w:pPr>
      <w:r>
        <w:rPr>
          <w:rFonts w:hint="eastAsia" w:ascii="宋体" w:hAnsi="宋体"/>
          <w:sz w:val="28"/>
          <w:szCs w:val="28"/>
        </w:rPr>
        <w:t>向采购人、市公资交易中心或者财政、监察等有关部门报告或举报非法干预评标工作的行为；</w:t>
      </w:r>
    </w:p>
    <w:p>
      <w:pPr>
        <w:numPr>
          <w:ilvl w:val="1"/>
          <w:numId w:val="38"/>
        </w:numPr>
        <w:spacing w:line="360" w:lineRule="auto"/>
        <w:ind w:left="0" w:firstLine="567"/>
        <w:rPr>
          <w:rFonts w:ascii="宋体" w:hAnsi="宋体"/>
          <w:sz w:val="28"/>
          <w:szCs w:val="28"/>
        </w:rPr>
      </w:pPr>
      <w:r>
        <w:rPr>
          <w:rFonts w:hint="eastAsia" w:ascii="宋体" w:hAnsi="宋体"/>
          <w:sz w:val="28"/>
          <w:szCs w:val="28"/>
        </w:rPr>
        <w:t>向采购人、</w:t>
      </w:r>
      <w:r>
        <w:rPr>
          <w:rFonts w:hint="eastAsia" w:cs="Arial"/>
          <w:sz w:val="28"/>
          <w:szCs w:val="28"/>
        </w:rPr>
        <w:t>市公资交易中心</w:t>
      </w:r>
      <w:r>
        <w:rPr>
          <w:rFonts w:hint="eastAsia" w:ascii="宋体" w:hAnsi="宋体"/>
          <w:sz w:val="28"/>
          <w:szCs w:val="28"/>
        </w:rPr>
        <w:t>或者有关部门报告评标中发现的违法行为。</w:t>
      </w:r>
    </w:p>
    <w:p>
      <w:pPr>
        <w:numPr>
          <w:ilvl w:val="1"/>
          <w:numId w:val="38"/>
        </w:numPr>
        <w:spacing w:line="360" w:lineRule="auto"/>
        <w:ind w:left="0" w:firstLine="567"/>
        <w:rPr>
          <w:rFonts w:ascii="宋体" w:hAnsi="宋体"/>
          <w:sz w:val="28"/>
          <w:szCs w:val="28"/>
        </w:rPr>
      </w:pPr>
      <w:r>
        <w:rPr>
          <w:rFonts w:hint="eastAsia" w:ascii="宋体" w:hAnsi="宋体"/>
          <w:sz w:val="28"/>
          <w:szCs w:val="28"/>
        </w:rPr>
        <w:t>法律、法规和规章规定的其他职责。</w:t>
      </w:r>
    </w:p>
    <w:p>
      <w:pPr>
        <w:numPr>
          <w:ilvl w:val="0"/>
          <w:numId w:val="37"/>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评标过程独立、保密。投标人非法干预评标过程的行为将导致其投标文件作为无效处理。</w:t>
      </w:r>
    </w:p>
    <w:p>
      <w:pPr>
        <w:numPr>
          <w:ilvl w:val="0"/>
          <w:numId w:val="37"/>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评标委员会决定投标文件的响应性依据投标文件本身的内容，而不寻求外部的证据，招标文件有明确约定的除外。</w:t>
      </w:r>
    </w:p>
    <w:p>
      <w:pPr>
        <w:numPr>
          <w:ilvl w:val="0"/>
          <w:numId w:val="37"/>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评标委员会发现招标文件表述不明确或需要说明的事项，可提请采购人和市公资交易中心书面解释说明。</w:t>
      </w:r>
    </w:p>
    <w:p>
      <w:pPr>
        <w:keepNext/>
        <w:keepLines/>
        <w:numPr>
          <w:ilvl w:val="1"/>
          <w:numId w:val="3"/>
        </w:numPr>
        <w:spacing w:line="360" w:lineRule="auto"/>
        <w:jc w:val="left"/>
        <w:outlineLvl w:val="1"/>
        <w:rPr>
          <w:rFonts w:ascii="宋体" w:hAnsi="宋体"/>
          <w:b/>
          <w:bCs/>
          <w:sz w:val="28"/>
          <w:szCs w:val="28"/>
        </w:rPr>
      </w:pPr>
      <w:bookmarkStart w:id="178" w:name="_Toc78191633"/>
      <w:r>
        <w:rPr>
          <w:rFonts w:hint="eastAsia" w:ascii="宋体" w:hAnsi="宋体"/>
          <w:b/>
          <w:bCs/>
          <w:sz w:val="28"/>
          <w:szCs w:val="28"/>
        </w:rPr>
        <w:t>评标方法</w:t>
      </w:r>
      <w:bookmarkEnd w:id="178"/>
    </w:p>
    <w:p>
      <w:pPr>
        <w:spacing w:line="360" w:lineRule="auto"/>
        <w:ind w:firstLine="565" w:firstLineChars="202"/>
        <w:rPr>
          <w:rFonts w:ascii="宋体" w:hAnsi="宋体"/>
          <w:sz w:val="28"/>
          <w:szCs w:val="28"/>
        </w:rPr>
      </w:pPr>
      <w:r>
        <w:rPr>
          <w:rFonts w:hint="eastAsia" w:ascii="宋体" w:hAnsi="宋体"/>
          <w:sz w:val="28"/>
          <w:szCs w:val="28"/>
        </w:rPr>
        <w:t>综合评分法。</w:t>
      </w:r>
    </w:p>
    <w:p>
      <w:pPr>
        <w:keepNext/>
        <w:keepLines/>
        <w:numPr>
          <w:ilvl w:val="1"/>
          <w:numId w:val="3"/>
        </w:numPr>
        <w:spacing w:line="360" w:lineRule="auto"/>
        <w:jc w:val="left"/>
        <w:outlineLvl w:val="1"/>
        <w:rPr>
          <w:rFonts w:ascii="宋体" w:hAnsi="宋体"/>
          <w:b/>
          <w:bCs/>
          <w:sz w:val="28"/>
          <w:szCs w:val="28"/>
        </w:rPr>
      </w:pPr>
      <w:bookmarkStart w:id="179" w:name="_Toc78191634"/>
      <w:r>
        <w:rPr>
          <w:rFonts w:hint="eastAsia" w:ascii="宋体" w:hAnsi="宋体"/>
          <w:b/>
          <w:bCs/>
          <w:sz w:val="28"/>
          <w:szCs w:val="28"/>
        </w:rPr>
        <w:t>评标程序</w:t>
      </w:r>
      <w:bookmarkEnd w:id="179"/>
    </w:p>
    <w:p>
      <w:pPr>
        <w:keepNext/>
        <w:keepLines/>
        <w:numPr>
          <w:ilvl w:val="2"/>
          <w:numId w:val="3"/>
        </w:numPr>
        <w:spacing w:line="360" w:lineRule="auto"/>
        <w:ind w:left="3119" w:hanging="3119"/>
        <w:outlineLvl w:val="2"/>
        <w:rPr>
          <w:rFonts w:ascii="宋体" w:hAnsi="宋体"/>
          <w:b/>
          <w:bCs/>
          <w:sz w:val="28"/>
          <w:szCs w:val="28"/>
        </w:rPr>
      </w:pPr>
      <w:r>
        <w:rPr>
          <w:rFonts w:hint="eastAsia" w:ascii="宋体" w:hAnsi="宋体"/>
          <w:b/>
          <w:bCs/>
          <w:sz w:val="28"/>
          <w:szCs w:val="28"/>
        </w:rPr>
        <w:t>符合性审查</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符合性审查标准见下表（按以下顺序审查）：</w:t>
      </w:r>
    </w:p>
    <w:tbl>
      <w:tblPr>
        <w:tblStyle w:val="47"/>
        <w:tblW w:w="91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143"/>
        <w:gridCol w:w="6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 w:val="24"/>
                <w:szCs w:val="28"/>
              </w:rPr>
            </w:pPr>
            <w:r>
              <w:rPr>
                <w:rFonts w:hint="eastAsia" w:ascii="宋体" w:hAnsi="宋体"/>
                <w:b/>
                <w:sz w:val="24"/>
                <w:szCs w:val="28"/>
              </w:rPr>
              <w:t>序号</w:t>
            </w:r>
          </w:p>
        </w:tc>
        <w:tc>
          <w:tcPr>
            <w:tcW w:w="214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b/>
                <w:sz w:val="24"/>
                <w:szCs w:val="28"/>
              </w:rPr>
            </w:pPr>
            <w:r>
              <w:rPr>
                <w:rFonts w:hint="eastAsia" w:ascii="宋体" w:hAnsi="宋体"/>
                <w:b/>
                <w:sz w:val="24"/>
                <w:szCs w:val="28"/>
              </w:rPr>
              <w:t>符合性审查项</w:t>
            </w:r>
          </w:p>
        </w:tc>
        <w:tc>
          <w:tcPr>
            <w:tcW w:w="62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rPr>
                <w:rFonts w:ascii="宋体" w:hAnsi="宋体"/>
                <w:sz w:val="24"/>
                <w:szCs w:val="28"/>
              </w:rPr>
            </w:pPr>
            <w:r>
              <w:rPr>
                <w:rFonts w:hint="eastAsia" w:ascii="宋体" w:hAnsi="宋体"/>
                <w:b/>
                <w:sz w:val="24"/>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1</w:t>
            </w:r>
          </w:p>
        </w:tc>
        <w:tc>
          <w:tcPr>
            <w:tcW w:w="214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投标文件商务</w:t>
            </w:r>
            <w:r>
              <w:rPr>
                <w:rFonts w:ascii="宋体" w:hAnsi="宋体"/>
                <w:sz w:val="24"/>
                <w:szCs w:val="28"/>
              </w:rPr>
              <w:t>技术响应文件</w:t>
            </w:r>
            <w:r>
              <w:rPr>
                <w:rFonts w:hint="eastAsia" w:ascii="宋体" w:hAnsi="宋体"/>
                <w:sz w:val="24"/>
                <w:szCs w:val="28"/>
              </w:rPr>
              <w:t>、</w:t>
            </w:r>
            <w:r>
              <w:rPr>
                <w:rFonts w:ascii="宋体" w:hAnsi="宋体"/>
                <w:sz w:val="24"/>
                <w:szCs w:val="28"/>
              </w:rPr>
              <w:t>报价要求响应文件</w:t>
            </w:r>
            <w:r>
              <w:rPr>
                <w:rFonts w:hint="eastAsia" w:ascii="宋体" w:hAnsi="宋体"/>
                <w:sz w:val="24"/>
                <w:szCs w:val="28"/>
              </w:rPr>
              <w:t>组成</w:t>
            </w:r>
          </w:p>
        </w:tc>
        <w:tc>
          <w:tcPr>
            <w:tcW w:w="62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ascii="宋体" w:hAnsi="宋体"/>
                <w:sz w:val="24"/>
                <w:szCs w:val="28"/>
              </w:rPr>
              <w:t>2</w:t>
            </w:r>
          </w:p>
        </w:tc>
        <w:tc>
          <w:tcPr>
            <w:tcW w:w="214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投标文件商务</w:t>
            </w:r>
            <w:r>
              <w:rPr>
                <w:rFonts w:ascii="宋体" w:hAnsi="宋体"/>
                <w:sz w:val="24"/>
                <w:szCs w:val="28"/>
              </w:rPr>
              <w:t>技术响应文件</w:t>
            </w:r>
            <w:r>
              <w:rPr>
                <w:rFonts w:hint="eastAsia" w:ascii="宋体" w:hAnsi="宋体"/>
                <w:sz w:val="24"/>
                <w:szCs w:val="28"/>
              </w:rPr>
              <w:t>、</w:t>
            </w:r>
            <w:r>
              <w:rPr>
                <w:rFonts w:ascii="宋体" w:hAnsi="宋体"/>
                <w:sz w:val="24"/>
                <w:szCs w:val="28"/>
              </w:rPr>
              <w:t>报价要求响应文件</w:t>
            </w:r>
            <w:r>
              <w:rPr>
                <w:rFonts w:hint="eastAsia" w:ascii="宋体" w:hAnsi="宋体"/>
                <w:sz w:val="24"/>
                <w:szCs w:val="28"/>
              </w:rPr>
              <w:t>的计量单位、语言、报价货币、投标有效期</w:t>
            </w:r>
          </w:p>
        </w:tc>
        <w:tc>
          <w:tcPr>
            <w:tcW w:w="62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ascii="宋体" w:hAnsi="宋体"/>
                <w:sz w:val="24"/>
                <w:szCs w:val="28"/>
              </w:rPr>
              <w:t>3</w:t>
            </w:r>
          </w:p>
        </w:tc>
        <w:tc>
          <w:tcPr>
            <w:tcW w:w="214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第4章打★号的技术、服务、商务和其他要求</w:t>
            </w:r>
          </w:p>
        </w:tc>
        <w:tc>
          <w:tcPr>
            <w:tcW w:w="62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投标文件均实质性响应招标文件中加★号的技术、服务、商务和其他要求。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ascii="宋体" w:hAnsi="宋体"/>
                <w:sz w:val="24"/>
                <w:szCs w:val="28"/>
              </w:rPr>
              <w:t>4</w:t>
            </w:r>
          </w:p>
        </w:tc>
        <w:tc>
          <w:tcPr>
            <w:tcW w:w="214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进口产品</w:t>
            </w:r>
          </w:p>
        </w:tc>
        <w:tc>
          <w:tcPr>
            <w:tcW w:w="62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招标文件中未载明“允许采购进口产品”的产品，投标产品为国产产品。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ascii="宋体" w:hAnsi="宋体"/>
                <w:sz w:val="24"/>
                <w:szCs w:val="28"/>
              </w:rPr>
              <w:t>5</w:t>
            </w:r>
          </w:p>
        </w:tc>
        <w:tc>
          <w:tcPr>
            <w:tcW w:w="214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不属于禁止参加投标或投标无效的供应商</w:t>
            </w:r>
          </w:p>
        </w:tc>
        <w:tc>
          <w:tcPr>
            <w:tcW w:w="62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（1）根据招标文件的要求不属于禁止参加投标或投标无效的供应商；</w:t>
            </w:r>
          </w:p>
          <w:p>
            <w:pPr>
              <w:tabs>
                <w:tab w:val="left" w:pos="851"/>
              </w:tabs>
              <w:spacing w:line="360" w:lineRule="auto"/>
              <w:rPr>
                <w:rFonts w:ascii="宋体" w:hAnsi="宋体"/>
                <w:sz w:val="24"/>
                <w:szCs w:val="28"/>
              </w:rPr>
            </w:pPr>
            <w:r>
              <w:rPr>
                <w:rFonts w:hint="eastAsia" w:ascii="宋体" w:hAnsi="宋体"/>
                <w:sz w:val="24"/>
                <w:szCs w:val="28"/>
              </w:rPr>
              <w:t>（2）评标委员会未发现或者未知晓投标人存在属于国家相关法律法规规定的禁止参加投标或投标无效的供应商。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ascii="宋体" w:hAnsi="宋体"/>
                <w:sz w:val="24"/>
                <w:szCs w:val="28"/>
              </w:rPr>
              <w:t>6</w:t>
            </w:r>
          </w:p>
        </w:tc>
        <w:tc>
          <w:tcPr>
            <w:tcW w:w="214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法定代表人身份证复印件或护照复印件</w:t>
            </w:r>
          </w:p>
        </w:tc>
        <w:tc>
          <w:tcPr>
            <w:tcW w:w="62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身份证复印件或护照复印件【注：法定代表人身份证复印件（身份证两面均应复印，在有效期内）或护照复印件（法定代表人为外籍人士的，按此提供）。】。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ascii="宋体" w:hAnsi="宋体"/>
                <w:sz w:val="24"/>
                <w:szCs w:val="28"/>
              </w:rPr>
              <w:t>7</w:t>
            </w:r>
          </w:p>
        </w:tc>
        <w:tc>
          <w:tcPr>
            <w:tcW w:w="214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除资格性审查要求的证明材料外，招标文件要求提供的其他证明材料</w:t>
            </w:r>
          </w:p>
        </w:tc>
        <w:tc>
          <w:tcPr>
            <w:tcW w:w="62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rPr>
            </w:pPr>
            <w:r>
              <w:rPr>
                <w:rFonts w:hint="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ascii="宋体" w:hAnsi="宋体"/>
                <w:sz w:val="24"/>
                <w:szCs w:val="28"/>
              </w:rPr>
              <w:t>8</w:t>
            </w:r>
          </w:p>
        </w:tc>
        <w:tc>
          <w:tcPr>
            <w:tcW w:w="214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投标报价</w:t>
            </w:r>
          </w:p>
        </w:tc>
        <w:tc>
          <w:tcPr>
            <w:tcW w:w="62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rPr>
            </w:pPr>
            <w:r>
              <w:rPr>
                <w:rFonts w:hint="eastAsia" w:ascii="宋体" w:hAnsi="宋体"/>
                <w:sz w:val="24"/>
                <w:szCs w:val="28"/>
              </w:rPr>
              <w:t>开标一览表、</w:t>
            </w:r>
            <w:r>
              <w:rPr>
                <w:rFonts w:ascii="宋体" w:hAnsi="宋体"/>
                <w:sz w:val="24"/>
                <w:szCs w:val="28"/>
              </w:rPr>
              <w:t>投标文件</w:t>
            </w:r>
            <w:r>
              <w:rPr>
                <w:rFonts w:hint="eastAsia" w:ascii="宋体" w:hAnsi="宋体"/>
                <w:sz w:val="24"/>
                <w:szCs w:val="28"/>
              </w:rPr>
              <w:t>【注：（1）投标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Pr>
                <w:rFonts w:hint="eastAsia" w:ascii="宋体" w:hAnsi="宋体" w:cs="宋体"/>
                <w:sz w:val="24"/>
                <w:szCs w:val="28"/>
              </w:rPr>
              <w:t>②</w:t>
            </w:r>
            <w:r>
              <w:rPr>
                <w:rFonts w:hint="eastAsia" w:ascii="宋体" w:hAnsi="宋体"/>
                <w:sz w:val="24"/>
                <w:szCs w:val="28"/>
              </w:rPr>
              <w:t>单价金额小数点或者百分比有明显错位的，以总价为准，并修改单价；</w:t>
            </w:r>
            <w:r>
              <w:rPr>
                <w:rFonts w:hint="eastAsia" w:ascii="宋体" w:hAnsi="宋体" w:cs="宋体"/>
                <w:sz w:val="24"/>
                <w:szCs w:val="28"/>
              </w:rPr>
              <w:t>③</w:t>
            </w:r>
            <w:r>
              <w:rPr>
                <w:rFonts w:hint="eastAsia" w:ascii="宋体" w:hAnsi="宋体"/>
                <w:sz w:val="24"/>
                <w:szCs w:val="28"/>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Pr>
                <w:rFonts w:ascii="宋体" w:hAnsi="宋体"/>
                <w:sz w:val="24"/>
                <w:szCs w:val="28"/>
              </w:rPr>
              <w:t>5）如因断电、断网、系统故障或其他不可抗力等因素，导致系统无法使用的，由投标人按评标委员会的要求进行澄清或者说明</w:t>
            </w:r>
            <w:r>
              <w:rPr>
                <w:rFonts w:hint="eastAsia" w:ascii="宋体" w:hAnsi="宋体"/>
                <w:sz w:val="24"/>
                <w:szCs w:val="28"/>
              </w:rPr>
              <w:t>。】</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二、投标人的投标文件符合性审查时被判定为无效投标文件的，市公资交易中心将通知投标人（以短信、现场公示、电话、 “政府采购云平台”等任一方式）。投标人如对评审结论有异议的，应及时向市公资交易中心反馈意见。市公资交易中心在评审结束前将收到的反馈意见及时告知评标委员会。（说明：无论投标人是否收到通知或提供反馈意见，均不影响评标委员会的评标工作，且市公资交易中心对此将不承担任何的责任。投标人对评审结论有异议的，其反馈意见仅限于评标委员会对评审结论的正确性进行复核，避免出现评审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三、通过符合性审查的供应商＜3名，本项目采购失败。</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解释、澄清有关问题</w:t>
      </w:r>
    </w:p>
    <w:p>
      <w:pPr>
        <w:numPr>
          <w:ilvl w:val="0"/>
          <w:numId w:val="39"/>
        </w:numPr>
        <w:tabs>
          <w:tab w:val="left" w:pos="1134"/>
        </w:tabs>
        <w:spacing w:line="360" w:lineRule="auto"/>
        <w:ind w:left="0" w:firstLine="525"/>
        <w:rPr>
          <w:rFonts w:ascii="宋体" w:hAnsi="宋体"/>
          <w:sz w:val="28"/>
          <w:szCs w:val="28"/>
        </w:rPr>
      </w:pPr>
      <w:r>
        <w:rPr>
          <w:rFonts w:hint="eastAsia" w:ascii="宋体" w:hAnsi="宋体"/>
          <w:sz w:val="28"/>
          <w:szCs w:val="28"/>
        </w:rPr>
        <w:t>评标过程中，评标委员会认为招标文件有关事项表述不明确或需要说明的，可以提请市公资交易中心书面解释。市公资交易中心的解释不得改变招标文件的原义或者影响公平、公正，解释事项如果涉及投标人权益的以有利于投标人的原则进行解释。</w:t>
      </w:r>
    </w:p>
    <w:p>
      <w:pPr>
        <w:numPr>
          <w:ilvl w:val="0"/>
          <w:numId w:val="39"/>
        </w:numPr>
        <w:tabs>
          <w:tab w:val="left" w:pos="1134"/>
        </w:tabs>
        <w:spacing w:after="200" w:line="560" w:lineRule="exact"/>
        <w:ind w:left="0" w:firstLine="525"/>
        <w:rPr>
          <w:rFonts w:ascii="宋体" w:hAnsi="宋体"/>
          <w:sz w:val="28"/>
          <w:szCs w:val="28"/>
        </w:rPr>
      </w:pPr>
      <w:r>
        <w:rPr>
          <w:rFonts w:hint="eastAsia" w:ascii="宋体" w:hAnsi="宋体"/>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39"/>
        </w:numPr>
        <w:tabs>
          <w:tab w:val="left" w:pos="1134"/>
        </w:tabs>
        <w:spacing w:line="360" w:lineRule="auto"/>
        <w:ind w:left="0" w:firstLine="525"/>
        <w:rPr>
          <w:rFonts w:ascii="宋体" w:hAnsi="宋体"/>
          <w:sz w:val="28"/>
          <w:szCs w:val="28"/>
        </w:rPr>
      </w:pPr>
      <w:r>
        <w:rPr>
          <w:rFonts w:hint="eastAsia" w:ascii="宋体" w:hAnsi="宋体"/>
          <w:sz w:val="28"/>
          <w:szCs w:val="28"/>
        </w:rPr>
        <w:t>澄清应当不超出投标文件的范围、不实质性改变投标文件的内容、不影响投标人的公平竞争、不导致投标文件从不响应招标文件变为响应招标文件的条件。下列内容不得澄清：</w:t>
      </w:r>
    </w:p>
    <w:p>
      <w:pPr>
        <w:numPr>
          <w:ilvl w:val="0"/>
          <w:numId w:val="40"/>
        </w:numPr>
        <w:tabs>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投标人投标文件中不响应招标文件规定的技术参数指标和商务应答；</w:t>
      </w:r>
    </w:p>
    <w:p>
      <w:pPr>
        <w:numPr>
          <w:ilvl w:val="0"/>
          <w:numId w:val="40"/>
        </w:numPr>
        <w:tabs>
          <w:tab w:val="left" w:pos="1260"/>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投标人投标文件中未提供的证明其是否符合招标文件资格性、符合性规定要求的相关材料。</w:t>
      </w:r>
    </w:p>
    <w:p>
      <w:pPr>
        <w:numPr>
          <w:ilvl w:val="0"/>
          <w:numId w:val="40"/>
        </w:numPr>
        <w:tabs>
          <w:tab w:val="left" w:pos="993"/>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投标人投标文件中的材料因印刷、影印等不清晰而难以辨认的。</w:t>
      </w:r>
    </w:p>
    <w:p>
      <w:pPr>
        <w:numPr>
          <w:ilvl w:val="0"/>
          <w:numId w:val="39"/>
        </w:numPr>
        <w:tabs>
          <w:tab w:val="left" w:pos="1134"/>
        </w:tabs>
        <w:spacing w:line="360" w:lineRule="auto"/>
        <w:ind w:left="0" w:firstLine="525"/>
        <w:rPr>
          <w:rFonts w:ascii="宋体" w:hAnsi="宋体"/>
          <w:sz w:val="28"/>
          <w:szCs w:val="28"/>
        </w:rPr>
      </w:pPr>
      <w:r>
        <w:rPr>
          <w:rFonts w:hint="eastAsia" w:ascii="宋体" w:hAnsi="宋体"/>
          <w:sz w:val="28"/>
          <w:szCs w:val="28"/>
        </w:rPr>
        <w:t>投标文件报价出现下列情况的，不需要投标人澄清，按以下原则处理：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（二）大写金额和小写金额不一致的，以大写金额为准，但大写金额出现文字错误，导致金额无法判断的除外；</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（三）单价金额小数点或者百分比有明显错位的，以总价为准，并修改单价；</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（四）总价金额与按单价汇总金额不一致的，以单价金额计算结果为准。</w:t>
      </w:r>
    </w:p>
    <w:p>
      <w:pPr>
        <w:spacing w:line="360" w:lineRule="auto"/>
        <w:ind w:firstLine="561"/>
        <w:rPr>
          <w:sz w:val="28"/>
          <w:szCs w:val="28"/>
        </w:rPr>
      </w:pPr>
      <w:r>
        <w:rPr>
          <w:rFonts w:hint="eastAsia"/>
          <w:sz w:val="28"/>
          <w:szCs w:val="28"/>
        </w:rPr>
        <w:t>同时出现两种以上不一致的，按照前款规定的顺序修正。修正后的报价经投标人确认后产生约束力，投标人不确认的，其投标无效。</w:t>
      </w:r>
    </w:p>
    <w:p>
      <w:pPr>
        <w:tabs>
          <w:tab w:val="left" w:pos="720"/>
        </w:tabs>
        <w:spacing w:line="360" w:lineRule="auto"/>
        <w:ind w:firstLine="561"/>
        <w:rPr>
          <w:sz w:val="28"/>
          <w:szCs w:val="28"/>
        </w:rPr>
      </w:pPr>
      <w:r>
        <w:rPr>
          <w:rFonts w:hint="eastAsia"/>
          <w:sz w:val="28"/>
          <w:szCs w:val="28"/>
        </w:rPr>
        <w:t>五、对不同语言文本投标文件的解释发生异议的，以中文文本为准。</w:t>
      </w:r>
    </w:p>
    <w:p>
      <w:pPr>
        <w:tabs>
          <w:tab w:val="left" w:pos="720"/>
        </w:tabs>
        <w:spacing w:line="560" w:lineRule="exact"/>
        <w:ind w:firstLine="560" w:firstLineChars="200"/>
        <w:rPr>
          <w:sz w:val="28"/>
          <w:szCs w:val="28"/>
        </w:rPr>
      </w:pPr>
      <w:r>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评标委员会应当积极履行澄清、说明或者更正的职责，不得滥用权力。</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比较与评价</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按招标文件中规定的评标细则及标准，对符合性检查合格的投标文件进行商务和技术评估，综合比较和评价。</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复核</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评分汇总结束后，评标委员会应当进行复核，特别要对拟推荐为中标候选供应商的、报价最低的、投标文件被认定为无效的进行重点复核。</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评标结果汇总完成后，评标委员会拟出具评审报告前，</w:t>
      </w:r>
      <w:r>
        <w:rPr>
          <w:rFonts w:hint="eastAsia" w:cs="Arial"/>
          <w:sz w:val="28"/>
          <w:szCs w:val="28"/>
        </w:rPr>
        <w:t>市公资交易中心</w:t>
      </w:r>
      <w:r>
        <w:rPr>
          <w:rFonts w:hint="eastAsia" w:ascii="宋体" w:hAnsi="宋体"/>
          <w:sz w:val="28"/>
          <w:szCs w:val="28"/>
        </w:rPr>
        <w:t>应当组织2名以上的工作人员，在采购现场监督人员的监督之下，依据有关的法律制度和采购文件对评审结果进行复核，出具复核报告。</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评标结果汇总完成后，除下列情形外，任何人不得修改评标结果：</w:t>
      </w:r>
    </w:p>
    <w:p>
      <w:pPr>
        <w:numPr>
          <w:ilvl w:val="0"/>
          <w:numId w:val="41"/>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分值汇总计算错误的；</w:t>
      </w:r>
    </w:p>
    <w:p>
      <w:pPr>
        <w:numPr>
          <w:ilvl w:val="0"/>
          <w:numId w:val="41"/>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分项评分超出评分标准范围的；</w:t>
      </w:r>
    </w:p>
    <w:p>
      <w:pPr>
        <w:numPr>
          <w:ilvl w:val="0"/>
          <w:numId w:val="41"/>
        </w:numPr>
        <w:tabs>
          <w:tab w:val="left" w:pos="851"/>
          <w:tab w:val="left" w:pos="1276"/>
          <w:tab w:val="left" w:pos="1560"/>
        </w:tabs>
        <w:spacing w:line="360" w:lineRule="auto"/>
        <w:ind w:left="0" w:firstLine="424"/>
        <w:rPr>
          <w:rFonts w:ascii="宋体" w:hAnsi="宋体" w:cstheme="minorBidi"/>
          <w:sz w:val="28"/>
          <w:szCs w:val="28"/>
        </w:rPr>
      </w:pPr>
      <w:r>
        <w:rPr>
          <w:rFonts w:hint="eastAsia" w:ascii="宋体" w:hAnsi="宋体" w:cstheme="minorBidi"/>
          <w:sz w:val="28"/>
          <w:szCs w:val="28"/>
        </w:rPr>
        <w:t>评标委员会成员对客观评审因素评分不一致的；</w:t>
      </w:r>
    </w:p>
    <w:p>
      <w:pPr>
        <w:numPr>
          <w:ilvl w:val="0"/>
          <w:numId w:val="41"/>
        </w:numPr>
        <w:tabs>
          <w:tab w:val="left" w:pos="851"/>
          <w:tab w:val="left" w:pos="1276"/>
        </w:tabs>
        <w:spacing w:line="360" w:lineRule="auto"/>
        <w:ind w:left="0" w:firstLine="426"/>
        <w:rPr>
          <w:rFonts w:ascii="宋体" w:hAnsi="宋体" w:cstheme="minorBidi"/>
          <w:sz w:val="28"/>
          <w:szCs w:val="28"/>
        </w:rPr>
      </w:pPr>
      <w:r>
        <w:rPr>
          <w:rFonts w:hint="eastAsia" w:ascii="宋体" w:hAnsi="宋体" w:cstheme="minorBidi"/>
          <w:sz w:val="28"/>
          <w:szCs w:val="28"/>
        </w:rPr>
        <w:t>经评标委员会认定评分畸高、畸低的。</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确定中标候选人名单</w:t>
      </w:r>
    </w:p>
    <w:p>
      <w:pPr>
        <w:tabs>
          <w:tab w:val="left" w:pos="851"/>
        </w:tabs>
        <w:spacing w:line="360" w:lineRule="auto"/>
        <w:ind w:firstLine="565" w:firstLineChars="202"/>
        <w:rPr>
          <w:rFonts w:ascii="Helvetica" w:hAnsi="Helvetica" w:cs="Helvetica"/>
          <w:kern w:val="0"/>
          <w:sz w:val="28"/>
          <w:szCs w:val="28"/>
        </w:rPr>
      </w:pPr>
      <w:r>
        <w:rPr>
          <w:rFonts w:hint="eastAsia" w:ascii="宋体" w:hAnsi="宋体"/>
          <w:sz w:val="28"/>
          <w:szCs w:val="28"/>
        </w:rPr>
        <w:t>按投标人综合得分从高到低进行排序，确定1至3名中标候选人。综合得分相同的，按投标报价由低到高顺序排列，得分且投标报价相同的并列。</w:t>
      </w:r>
      <w:r>
        <w:rPr>
          <w:rFonts w:hint="eastAsia" w:ascii="Helvetica" w:hAnsi="Helvetica" w:cs="Helvetica"/>
          <w:kern w:val="0"/>
          <w:sz w:val="28"/>
          <w:szCs w:val="28"/>
        </w:rPr>
        <w:t>投标文件满足招标文件全部实质性要求，且按照评审因素的量化指标评审得分最高的投标人为排名第一的中标候选人。</w:t>
      </w:r>
    </w:p>
    <w:p>
      <w:pPr>
        <w:tabs>
          <w:tab w:val="left" w:pos="851"/>
        </w:tabs>
        <w:spacing w:line="360" w:lineRule="auto"/>
        <w:ind w:firstLine="565" w:firstLineChars="202"/>
        <w:rPr>
          <w:rFonts w:ascii="宋体" w:hAnsi="宋体"/>
          <w:sz w:val="28"/>
          <w:szCs w:val="28"/>
        </w:rPr>
      </w:pPr>
      <w:r>
        <w:rPr>
          <w:rFonts w:hint="eastAsia" w:ascii="宋体" w:hAnsi="宋体"/>
          <w:sz w:val="28"/>
          <w:szCs w:val="28"/>
          <w:lang w:val="zh-CN"/>
        </w:rPr>
        <w:t>提供核心产品品牌相同且通过资格检查和符合性检查的不同投标人参加同一项目投标的，按一家投标人计算，评审后得分最高的投标人获得中标候选人推荐资格；评审得分相同的，报价最低的投标人获得中标候选人推荐资格；评审得分相同且报价相同的，由评标委员会采取随机抽取的方式确定一个投标人获得中标候选人推荐资格。</w:t>
      </w:r>
    </w:p>
    <w:p>
      <w:pPr>
        <w:keepNext/>
        <w:keepLines/>
        <w:numPr>
          <w:ilvl w:val="2"/>
          <w:numId w:val="3"/>
        </w:numPr>
        <w:spacing w:before="240" w:line="360" w:lineRule="auto"/>
        <w:ind w:left="0" w:firstLine="0"/>
        <w:outlineLvl w:val="2"/>
        <w:rPr>
          <w:rFonts w:ascii="宋体" w:hAnsi="宋体"/>
          <w:b/>
          <w:bCs/>
          <w:sz w:val="28"/>
          <w:szCs w:val="28"/>
        </w:rPr>
      </w:pPr>
      <w:r>
        <w:rPr>
          <w:rFonts w:hint="eastAsia" w:ascii="宋体" w:hAnsi="宋体"/>
          <w:b/>
          <w:bCs/>
          <w:sz w:val="28"/>
          <w:szCs w:val="28"/>
        </w:rPr>
        <w:t>编写评标报告</w:t>
      </w:r>
    </w:p>
    <w:p>
      <w:pPr>
        <w:spacing w:line="360" w:lineRule="auto"/>
        <w:ind w:firstLine="560" w:firstLineChars="200"/>
        <w:rPr>
          <w:rFonts w:ascii="宋体" w:hAnsi="宋体"/>
          <w:sz w:val="28"/>
          <w:szCs w:val="28"/>
        </w:rPr>
      </w:pPr>
      <w:r>
        <w:rPr>
          <w:rFonts w:hint="eastAsia" w:ascii="宋体" w:hAnsi="宋体"/>
          <w:sz w:val="28"/>
          <w:szCs w:val="28"/>
        </w:rPr>
        <w:t>评标报告是评标委员会根据全体评标成员签字的原始评标记录和评标结果编写的报告，其主要内容包括：</w:t>
      </w:r>
    </w:p>
    <w:p>
      <w:pPr>
        <w:numPr>
          <w:ilvl w:val="0"/>
          <w:numId w:val="42"/>
        </w:numPr>
        <w:tabs>
          <w:tab w:val="left" w:pos="1155"/>
        </w:tabs>
        <w:spacing w:line="360" w:lineRule="auto"/>
        <w:ind w:left="0" w:firstLine="525"/>
        <w:rPr>
          <w:rFonts w:ascii="宋体" w:hAnsi="宋体"/>
          <w:sz w:val="28"/>
          <w:szCs w:val="28"/>
        </w:rPr>
      </w:pPr>
      <w:r>
        <w:rPr>
          <w:rFonts w:hint="eastAsia" w:ascii="宋体" w:hAnsi="宋体"/>
          <w:sz w:val="28"/>
          <w:szCs w:val="28"/>
        </w:rPr>
        <w:t>招标公告刊登的媒体名称、开标日期和地点；</w:t>
      </w:r>
    </w:p>
    <w:p>
      <w:pPr>
        <w:numPr>
          <w:ilvl w:val="0"/>
          <w:numId w:val="42"/>
        </w:numPr>
        <w:tabs>
          <w:tab w:val="left" w:pos="1155"/>
        </w:tabs>
        <w:spacing w:line="360" w:lineRule="auto"/>
        <w:ind w:left="0" w:firstLine="525"/>
        <w:rPr>
          <w:rFonts w:ascii="宋体" w:hAnsi="宋体"/>
          <w:sz w:val="28"/>
          <w:szCs w:val="28"/>
        </w:rPr>
      </w:pPr>
      <w:r>
        <w:rPr>
          <w:rFonts w:hint="eastAsia" w:ascii="宋体" w:hAnsi="宋体"/>
          <w:sz w:val="28"/>
          <w:szCs w:val="28"/>
        </w:rPr>
        <w:t>投标人名单和评标委员会成员名单；</w:t>
      </w:r>
    </w:p>
    <w:p>
      <w:pPr>
        <w:numPr>
          <w:ilvl w:val="0"/>
          <w:numId w:val="42"/>
        </w:numPr>
        <w:tabs>
          <w:tab w:val="left" w:pos="1155"/>
        </w:tabs>
        <w:spacing w:line="360" w:lineRule="auto"/>
        <w:ind w:left="0" w:firstLine="525"/>
        <w:rPr>
          <w:rFonts w:ascii="宋体" w:hAnsi="宋体"/>
          <w:sz w:val="28"/>
          <w:szCs w:val="28"/>
        </w:rPr>
      </w:pPr>
      <w:r>
        <w:rPr>
          <w:rFonts w:hint="eastAsia" w:ascii="宋体" w:hAnsi="宋体"/>
          <w:sz w:val="28"/>
          <w:szCs w:val="28"/>
        </w:rPr>
        <w:t>评标方法和标准；</w:t>
      </w:r>
    </w:p>
    <w:p>
      <w:pPr>
        <w:numPr>
          <w:ilvl w:val="0"/>
          <w:numId w:val="42"/>
        </w:numPr>
        <w:tabs>
          <w:tab w:val="left" w:pos="1155"/>
        </w:tabs>
        <w:spacing w:line="360" w:lineRule="auto"/>
        <w:ind w:left="0" w:firstLine="525"/>
        <w:rPr>
          <w:rFonts w:ascii="宋体" w:hAnsi="宋体"/>
          <w:sz w:val="28"/>
          <w:szCs w:val="28"/>
        </w:rPr>
      </w:pPr>
      <w:r>
        <w:rPr>
          <w:rFonts w:hint="eastAsia" w:ascii="宋体" w:hAnsi="宋体"/>
          <w:sz w:val="28"/>
          <w:szCs w:val="28"/>
        </w:rPr>
        <w:t>开标记录和评标情况及说明，包括投标无效投标人名单及原因；</w:t>
      </w:r>
    </w:p>
    <w:p>
      <w:pPr>
        <w:numPr>
          <w:ilvl w:val="0"/>
          <w:numId w:val="42"/>
        </w:numPr>
        <w:tabs>
          <w:tab w:val="left" w:pos="1155"/>
        </w:tabs>
        <w:spacing w:line="360" w:lineRule="auto"/>
        <w:ind w:left="0" w:firstLine="525"/>
        <w:rPr>
          <w:rFonts w:ascii="宋体" w:hAnsi="宋体"/>
          <w:sz w:val="28"/>
          <w:szCs w:val="28"/>
        </w:rPr>
      </w:pPr>
      <w:r>
        <w:rPr>
          <w:rFonts w:hint="eastAsia" w:ascii="宋体" w:hAnsi="宋体"/>
          <w:sz w:val="28"/>
          <w:szCs w:val="28"/>
        </w:rPr>
        <w:t>评标结果，确定的中标候选人名单或者经采购人委托直接确定的中标人；</w:t>
      </w:r>
    </w:p>
    <w:p>
      <w:pPr>
        <w:numPr>
          <w:ilvl w:val="0"/>
          <w:numId w:val="42"/>
        </w:numPr>
        <w:tabs>
          <w:tab w:val="left" w:pos="1155"/>
        </w:tabs>
        <w:spacing w:line="360" w:lineRule="auto"/>
        <w:ind w:left="0" w:firstLine="525"/>
        <w:rPr>
          <w:rFonts w:ascii="宋体" w:hAnsi="宋体"/>
          <w:sz w:val="28"/>
          <w:szCs w:val="28"/>
        </w:rPr>
      </w:pPr>
      <w:r>
        <w:rPr>
          <w:rFonts w:hint="eastAsia" w:ascii="宋体" w:hAnsi="宋体"/>
          <w:sz w:val="28"/>
          <w:szCs w:val="28"/>
        </w:rPr>
        <w:t>其他需要说明的情况，包括评标过程中投标人根据评标委员会要求进行的澄清、说明或者补正，评标委员会成员的更换等；</w:t>
      </w:r>
    </w:p>
    <w:p>
      <w:pPr>
        <w:numPr>
          <w:ilvl w:val="0"/>
          <w:numId w:val="42"/>
        </w:numPr>
        <w:tabs>
          <w:tab w:val="left" w:pos="1155"/>
        </w:tabs>
        <w:spacing w:line="360" w:lineRule="auto"/>
        <w:ind w:left="0" w:firstLine="525"/>
        <w:rPr>
          <w:rFonts w:ascii="宋体" w:hAnsi="宋体"/>
          <w:sz w:val="28"/>
          <w:szCs w:val="28"/>
        </w:rPr>
      </w:pPr>
      <w:r>
        <w:rPr>
          <w:rFonts w:hint="eastAsia" w:ascii="宋体" w:hAnsi="宋体"/>
          <w:sz w:val="28"/>
          <w:szCs w:val="28"/>
        </w:rPr>
        <w:t>报价最高的投标人为中标候选人的，评标委员会应当对其报价的合理性予以特别说明。</w:t>
      </w:r>
    </w:p>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keepLines/>
        <w:numPr>
          <w:ilvl w:val="1"/>
          <w:numId w:val="3"/>
        </w:numPr>
        <w:spacing w:line="360" w:lineRule="auto"/>
        <w:jc w:val="left"/>
        <w:outlineLvl w:val="1"/>
        <w:rPr>
          <w:rFonts w:ascii="宋体" w:hAnsi="宋体"/>
          <w:b/>
          <w:bCs/>
          <w:sz w:val="28"/>
          <w:szCs w:val="28"/>
        </w:rPr>
      </w:pPr>
      <w:bookmarkStart w:id="180" w:name="_Toc78191635"/>
      <w:r>
        <w:rPr>
          <w:rFonts w:hint="eastAsia" w:ascii="宋体" w:hAnsi="宋体"/>
          <w:b/>
          <w:bCs/>
          <w:sz w:val="28"/>
          <w:szCs w:val="28"/>
        </w:rPr>
        <w:t>评标争议处理规则</w:t>
      </w:r>
      <w:bookmarkEnd w:id="180"/>
    </w:p>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sz w:val="28"/>
          <w:szCs w:val="28"/>
        </w:rPr>
        <w:t>持不同意见的评标委员会成员应当在评标报告上签署不同意见及理由，否则视为同意评标报告。</w:t>
      </w:r>
      <w:r>
        <w:rPr>
          <w:rFonts w:hint="eastAsia" w:ascii="宋体" w:hAnsi="宋体"/>
          <w:sz w:val="28"/>
          <w:szCs w:val="28"/>
        </w:rPr>
        <w:t>持不同意见的评标委员会成员认为认定过程和结果不符合法律法规或者招标文件规定的，应当及时向采购人或</w:t>
      </w:r>
      <w:r>
        <w:rPr>
          <w:rFonts w:hint="eastAsia" w:cs="Arial"/>
          <w:sz w:val="28"/>
          <w:szCs w:val="28"/>
        </w:rPr>
        <w:t>市公资交易中心</w:t>
      </w:r>
      <w:r>
        <w:rPr>
          <w:rFonts w:hint="eastAsia" w:ascii="宋体" w:hAnsi="宋体"/>
          <w:sz w:val="28"/>
          <w:szCs w:val="28"/>
        </w:rPr>
        <w:t>书面反映。采购人或</w:t>
      </w:r>
      <w:r>
        <w:rPr>
          <w:rFonts w:hint="eastAsia" w:cs="Arial"/>
          <w:sz w:val="28"/>
          <w:szCs w:val="28"/>
        </w:rPr>
        <w:t>市公资交易中心</w:t>
      </w:r>
      <w:r>
        <w:rPr>
          <w:rFonts w:hint="eastAsia" w:ascii="宋体" w:hAnsi="宋体"/>
          <w:sz w:val="28"/>
          <w:szCs w:val="28"/>
        </w:rPr>
        <w:t>收到书面反映后，应当书面报告采购项目同级财政部门依法处理。</w:t>
      </w:r>
    </w:p>
    <w:p>
      <w:pPr>
        <w:keepNext/>
        <w:keepLines/>
        <w:numPr>
          <w:ilvl w:val="1"/>
          <w:numId w:val="3"/>
        </w:numPr>
        <w:spacing w:line="360" w:lineRule="auto"/>
        <w:jc w:val="left"/>
        <w:outlineLvl w:val="1"/>
        <w:rPr>
          <w:rFonts w:ascii="宋体" w:hAnsi="宋体"/>
          <w:b/>
          <w:bCs/>
          <w:sz w:val="28"/>
          <w:szCs w:val="28"/>
        </w:rPr>
      </w:pPr>
      <w:bookmarkStart w:id="181" w:name="_Toc78191636"/>
      <w:r>
        <w:rPr>
          <w:rFonts w:hint="eastAsia" w:ascii="宋体" w:hAnsi="宋体"/>
          <w:b/>
          <w:bCs/>
          <w:sz w:val="28"/>
          <w:szCs w:val="28"/>
        </w:rPr>
        <w:t>评标细则及标准</w:t>
      </w:r>
      <w:bookmarkEnd w:id="181"/>
    </w:p>
    <w:p>
      <w:pPr>
        <w:numPr>
          <w:ilvl w:val="0"/>
          <w:numId w:val="43"/>
        </w:numPr>
        <w:tabs>
          <w:tab w:val="left" w:pos="1155"/>
        </w:tabs>
        <w:spacing w:after="200" w:line="360" w:lineRule="auto"/>
        <w:ind w:left="0" w:firstLine="567"/>
        <w:rPr>
          <w:rFonts w:ascii="宋体" w:hAnsi="宋体"/>
          <w:sz w:val="28"/>
          <w:szCs w:val="28"/>
        </w:rPr>
      </w:pPr>
      <w:r>
        <w:rPr>
          <w:rFonts w:hint="eastAsia" w:ascii="宋体" w:hAnsi="宋体"/>
          <w:sz w:val="28"/>
          <w:szCs w:val="28"/>
        </w:rPr>
        <w:t>评标委员会只对通过初审的投标文件，根据招标文件的要求采用相同的评标程序、评分办法及标准进行评价和比较。</w:t>
      </w:r>
    </w:p>
    <w:p>
      <w:pPr>
        <w:numPr>
          <w:ilvl w:val="0"/>
          <w:numId w:val="43"/>
        </w:numPr>
        <w:tabs>
          <w:tab w:val="left" w:pos="1155"/>
        </w:tabs>
        <w:spacing w:after="200" w:line="360" w:lineRule="auto"/>
        <w:ind w:left="0" w:firstLine="567"/>
        <w:rPr>
          <w:rFonts w:ascii="宋体" w:hAnsi="宋体"/>
          <w:sz w:val="28"/>
          <w:szCs w:val="28"/>
        </w:rPr>
      </w:pPr>
      <w:r>
        <w:rPr>
          <w:rFonts w:hint="eastAsia" w:ascii="宋体" w:hAnsi="宋体"/>
          <w:sz w:val="28"/>
          <w:szCs w:val="28"/>
        </w:rPr>
        <w:t>本次综合评分的因素是：价格、服务、商务等。</w:t>
      </w:r>
    </w:p>
    <w:p>
      <w:pPr>
        <w:numPr>
          <w:ilvl w:val="0"/>
          <w:numId w:val="43"/>
        </w:numPr>
        <w:tabs>
          <w:tab w:val="left" w:pos="1155"/>
        </w:tabs>
        <w:spacing w:after="200" w:line="360" w:lineRule="auto"/>
        <w:ind w:left="0" w:firstLine="525"/>
        <w:rPr>
          <w:rFonts w:ascii="宋体" w:hAnsi="宋体"/>
          <w:sz w:val="28"/>
          <w:szCs w:val="28"/>
        </w:rPr>
      </w:pPr>
      <w:r>
        <w:rPr>
          <w:rFonts w:hint="eastAsia" w:ascii="宋体" w:hAnsi="宋体"/>
          <w:sz w:val="28"/>
          <w:szCs w:val="28"/>
        </w:rPr>
        <w:t>评标委员会成员应依据招标文件规定的评分标准和方法独立打分。</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评分办法</w:t>
      </w:r>
    </w:p>
    <w:p>
      <w:pPr>
        <w:spacing w:line="360" w:lineRule="auto"/>
        <w:ind w:firstLine="630" w:firstLineChars="225"/>
        <w:rPr>
          <w:rFonts w:ascii="宋体" w:hAnsi="宋体"/>
          <w:sz w:val="28"/>
          <w:szCs w:val="28"/>
        </w:rPr>
      </w:pPr>
      <w:r>
        <w:rPr>
          <w:rFonts w:hint="eastAsia" w:ascii="宋体" w:hAnsi="宋体"/>
          <w:sz w:val="28"/>
          <w:szCs w:val="28"/>
        </w:rPr>
        <w:t xml:space="preserve">本次评标采用综合评分法，由评标委员会各成员独立对通过初审（资格检查和符合性检查）的投标人的投标文件进行评审和打分，    </w:t>
      </w:r>
    </w:p>
    <w:p>
      <w:pPr>
        <w:spacing w:line="360" w:lineRule="auto"/>
        <w:ind w:firstLine="630" w:firstLineChars="225"/>
        <w:rPr>
          <w:rFonts w:ascii="宋体" w:hAnsi="宋体"/>
          <w:sz w:val="28"/>
          <w:szCs w:val="28"/>
        </w:rPr>
      </w:pPr>
      <w:r>
        <w:rPr>
          <w:rFonts w:hint="eastAsia" w:ascii="宋体" w:hAnsi="宋体"/>
          <w:sz w:val="28"/>
          <w:szCs w:val="28"/>
        </w:rPr>
        <w:t>评标得分＝（A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）/n</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3</w:t>
      </w:r>
    </w:p>
    <w:p>
      <w:pPr>
        <w:widowControl/>
        <w:spacing w:line="360" w:lineRule="auto"/>
        <w:ind w:firstLine="560" w:firstLineChars="200"/>
        <w:rPr>
          <w:rFonts w:ascii="宋体" w:hAnsi="宋体"/>
          <w:sz w:val="28"/>
          <w:szCs w:val="28"/>
        </w:rPr>
      </w:pPr>
      <w:r>
        <w:rPr>
          <w:rFonts w:hint="eastAsia" w:ascii="宋体" w:hAnsi="宋体"/>
          <w:sz w:val="28"/>
          <w:szCs w:val="28"/>
        </w:rPr>
        <w:t>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分别为每个</w:t>
      </w:r>
      <w:r>
        <w:rPr>
          <w:rFonts w:hint="eastAsia" w:ascii="宋体" w:hAnsi="宋体" w:cs="宋体"/>
          <w:kern w:val="0"/>
          <w:sz w:val="28"/>
          <w:szCs w:val="28"/>
        </w:rPr>
        <w:t>经济类</w:t>
      </w:r>
      <w:r>
        <w:rPr>
          <w:rFonts w:hint="eastAsia" w:ascii="宋体" w:hAnsi="宋体"/>
          <w:sz w:val="28"/>
          <w:szCs w:val="28"/>
        </w:rPr>
        <w:t>评委的打分，n</w:t>
      </w:r>
      <w:r>
        <w:rPr>
          <w:rFonts w:hint="eastAsia" w:ascii="宋体" w:hAnsi="宋体"/>
          <w:sz w:val="28"/>
          <w:szCs w:val="28"/>
          <w:vertAlign w:val="subscript"/>
        </w:rPr>
        <w:t>1</w:t>
      </w:r>
      <w:r>
        <w:rPr>
          <w:rFonts w:hint="eastAsia" w:ascii="宋体" w:hAnsi="宋体"/>
          <w:sz w:val="28"/>
          <w:szCs w:val="28"/>
        </w:rPr>
        <w:t>为</w:t>
      </w:r>
      <w:r>
        <w:rPr>
          <w:rFonts w:hint="eastAsia" w:ascii="宋体" w:hAnsi="宋体" w:cs="宋体"/>
          <w:kern w:val="0"/>
          <w:sz w:val="28"/>
          <w:szCs w:val="28"/>
        </w:rPr>
        <w:t>经济类</w:t>
      </w:r>
      <w:r>
        <w:rPr>
          <w:rFonts w:hint="eastAsia" w:ascii="宋体" w:hAnsi="宋体"/>
          <w:sz w:val="28"/>
          <w:szCs w:val="28"/>
        </w:rPr>
        <w:t>评委人数；B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xml:space="preserve"> 分别为每个技术类评委（含采购人代表）的打分，n</w:t>
      </w:r>
      <w:r>
        <w:rPr>
          <w:rFonts w:hint="eastAsia" w:ascii="宋体" w:hAnsi="宋体"/>
          <w:sz w:val="28"/>
          <w:szCs w:val="28"/>
          <w:vertAlign w:val="subscript"/>
        </w:rPr>
        <w:t>2</w:t>
      </w:r>
      <w:r>
        <w:rPr>
          <w:rFonts w:hint="eastAsia" w:ascii="宋体" w:hAnsi="宋体"/>
          <w:sz w:val="28"/>
          <w:szCs w:val="28"/>
        </w:rPr>
        <w:t>为</w:t>
      </w:r>
      <w:r>
        <w:rPr>
          <w:rFonts w:hint="eastAsia" w:ascii="宋体" w:hAnsi="宋体" w:cs="宋体"/>
          <w:kern w:val="0"/>
          <w:sz w:val="28"/>
          <w:szCs w:val="28"/>
        </w:rPr>
        <w:t>技术类</w:t>
      </w:r>
      <w:r>
        <w:rPr>
          <w:rFonts w:hint="eastAsia" w:ascii="宋体" w:hAnsi="宋体"/>
          <w:sz w:val="28"/>
          <w:szCs w:val="28"/>
        </w:rPr>
        <w:t>评委（含采购人代表）人数；C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xml:space="preserve"> 分别为评审委员会每个成员的打分，n</w:t>
      </w:r>
      <w:r>
        <w:rPr>
          <w:rFonts w:hint="eastAsia" w:ascii="宋体" w:hAnsi="宋体"/>
          <w:sz w:val="28"/>
          <w:szCs w:val="28"/>
          <w:vertAlign w:val="subscript"/>
        </w:rPr>
        <w:t>3</w:t>
      </w:r>
      <w:r>
        <w:rPr>
          <w:rFonts w:hint="eastAsia" w:ascii="宋体" w:hAnsi="宋体"/>
          <w:sz w:val="28"/>
          <w:szCs w:val="28"/>
        </w:rPr>
        <w:t>为评委人数。</w:t>
      </w:r>
    </w:p>
    <w:p>
      <w:pPr>
        <w:keepNext/>
        <w:keepLines/>
        <w:numPr>
          <w:ilvl w:val="2"/>
          <w:numId w:val="3"/>
        </w:numPr>
        <w:spacing w:line="360" w:lineRule="auto"/>
        <w:ind w:left="0" w:firstLine="0"/>
        <w:outlineLvl w:val="2"/>
        <w:rPr>
          <w:rFonts w:ascii="宋体" w:hAnsi="宋体"/>
          <w:sz w:val="28"/>
        </w:rPr>
      </w:pPr>
      <w:r>
        <w:rPr>
          <w:rFonts w:hint="eastAsia" w:ascii="宋体" w:hAnsi="宋体"/>
          <w:b/>
          <w:bCs/>
          <w:sz w:val="28"/>
          <w:szCs w:val="28"/>
        </w:rPr>
        <w:t>评分标准</w:t>
      </w:r>
    </w:p>
    <w:tbl>
      <w:tblPr>
        <w:tblStyle w:val="47"/>
        <w:tblpPr w:leftFromText="180" w:rightFromText="180" w:vertAnchor="text" w:horzAnchor="page" w:tblpX="1779" w:tblpY="311"/>
        <w:tblOverlap w:val="never"/>
        <w:tblW w:w="918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10"/>
        <w:gridCol w:w="126"/>
        <w:gridCol w:w="906"/>
        <w:gridCol w:w="5103"/>
        <w:gridCol w:w="11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101" w:type="dxa"/>
            <w:tcBorders>
              <w:bottom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序号</w:t>
            </w:r>
          </w:p>
        </w:tc>
        <w:tc>
          <w:tcPr>
            <w:tcW w:w="1842" w:type="dxa"/>
            <w:gridSpan w:val="3"/>
            <w:tcBorders>
              <w:bottom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评审项目</w:t>
            </w:r>
          </w:p>
        </w:tc>
        <w:tc>
          <w:tcPr>
            <w:tcW w:w="5103" w:type="dxa"/>
            <w:tcBorders>
              <w:bottom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评分标准</w:t>
            </w:r>
          </w:p>
        </w:tc>
        <w:tc>
          <w:tcPr>
            <w:tcW w:w="1134" w:type="dxa"/>
            <w:tcBorders>
              <w:bottom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tcBorders>
              <w:top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1842" w:type="dxa"/>
            <w:gridSpan w:val="3"/>
            <w:tcBorders>
              <w:top w:val="single" w:color="auto" w:sz="4" w:space="0"/>
              <w:bottom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bCs/>
                <w:szCs w:val="21"/>
              </w:rPr>
              <w:t>报价</w:t>
            </w:r>
          </w:p>
        </w:tc>
        <w:tc>
          <w:tcPr>
            <w:tcW w:w="5103" w:type="dxa"/>
            <w:tcBorders>
              <w:top w:val="single" w:color="auto" w:sz="4" w:space="0"/>
            </w:tcBorders>
            <w:vAlign w:val="center"/>
          </w:tcPr>
          <w:p>
            <w:pPr>
              <w:spacing w:line="360" w:lineRule="auto"/>
              <w:contextualSpacing/>
              <w:rPr>
                <w:rFonts w:ascii="宋体" w:hAnsi="宋体"/>
                <w:szCs w:val="21"/>
              </w:rPr>
            </w:pPr>
            <w:r>
              <w:rPr>
                <w:rFonts w:hint="eastAsia" w:ascii="宋体" w:hAnsi="宋体"/>
                <w:szCs w:val="21"/>
              </w:rPr>
              <w:t>1. 经评标委员会评审，通过资格性和符合性审查，且投标报价最低的投标人的投标报价作为评标基准价.</w:t>
            </w:r>
          </w:p>
          <w:p>
            <w:pPr>
              <w:spacing w:line="360" w:lineRule="auto"/>
              <w:contextualSpacing/>
              <w:rPr>
                <w:rFonts w:ascii="宋体" w:hAnsi="宋体"/>
                <w:szCs w:val="21"/>
              </w:rPr>
            </w:pPr>
            <w:r>
              <w:rPr>
                <w:rFonts w:hint="eastAsia" w:ascii="宋体" w:hAnsi="宋体"/>
                <w:szCs w:val="21"/>
              </w:rPr>
              <w:t>2.投标报价得分=(评标基准价／投标报价)×30。</w:t>
            </w:r>
          </w:p>
        </w:tc>
        <w:tc>
          <w:tcPr>
            <w:tcW w:w="1134" w:type="dxa"/>
            <w:tcBorders>
              <w:top w:val="single" w:color="auto" w:sz="4" w:space="0"/>
            </w:tcBorders>
            <w:vAlign w:val="center"/>
          </w:tcPr>
          <w:p>
            <w:pPr>
              <w:spacing w:line="360" w:lineRule="auto"/>
              <w:jc w:val="center"/>
              <w:rPr>
                <w:rFonts w:ascii="宋体" w:hAnsi="宋体"/>
                <w:szCs w:val="21"/>
              </w:rPr>
            </w:pPr>
            <w:r>
              <w:rPr>
                <w:rFonts w:hint="eastAsia" w:ascii="宋体" w:hAnsi="宋体"/>
                <w:bCs/>
                <w:szCs w:val="21"/>
              </w:rPr>
              <w:t>30分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7" w:hRule="atLeast"/>
        </w:trPr>
        <w:tc>
          <w:tcPr>
            <w:tcW w:w="1101" w:type="dxa"/>
            <w:vMerge w:val="restart"/>
            <w:tcBorders>
              <w:top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2</w:t>
            </w:r>
          </w:p>
        </w:tc>
        <w:tc>
          <w:tcPr>
            <w:tcW w:w="810" w:type="dxa"/>
            <w:vMerge w:val="restart"/>
            <w:tcBorders>
              <w:top w:val="single" w:color="auto" w:sz="4" w:space="0"/>
            </w:tcBorders>
            <w:vAlign w:val="center"/>
          </w:tcPr>
          <w:p>
            <w:pPr>
              <w:spacing w:line="360" w:lineRule="auto"/>
              <w:jc w:val="center"/>
              <w:rPr>
                <w:rFonts w:ascii="宋体" w:hAnsi="宋体"/>
                <w:szCs w:val="21"/>
              </w:rPr>
            </w:pPr>
            <w:r>
              <w:rPr>
                <w:rFonts w:hint="eastAsia"/>
              </w:rPr>
              <w:t>技术或者服务水平</w:t>
            </w:r>
          </w:p>
        </w:tc>
        <w:tc>
          <w:tcPr>
            <w:tcW w:w="1032" w:type="dxa"/>
            <w:gridSpan w:val="2"/>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技术指标和配置</w:t>
            </w:r>
          </w:p>
        </w:tc>
        <w:tc>
          <w:tcPr>
            <w:tcW w:w="5103" w:type="dxa"/>
            <w:tcBorders>
              <w:top w:val="single" w:color="auto" w:sz="4" w:space="0"/>
            </w:tcBorders>
            <w:vAlign w:val="center"/>
          </w:tcPr>
          <w:p>
            <w:pPr>
              <w:widowControl/>
              <w:jc w:val="left"/>
              <w:rPr>
                <w:rFonts w:ascii="宋体" w:hAnsi="宋体"/>
                <w:bCs/>
                <w:sz w:val="24"/>
              </w:rPr>
            </w:pPr>
            <w:r>
              <w:rPr>
                <w:rFonts w:hint="eastAsia" w:ascii="宋体" w:hAnsi="宋体" w:eastAsia="宋体" w:cs="Times New Roman"/>
                <w:color w:val="auto"/>
                <w:kern w:val="2"/>
                <w:sz w:val="21"/>
                <w:szCs w:val="21"/>
                <w:lang w:val="en-US" w:eastAsia="zh-CN" w:bidi="ar-SA"/>
              </w:rPr>
              <w:t>完全符合招标文件要求没有负偏离得49分；技术指标和配置高于招标要求并体现出产品的质量和性能更优的，一项加0.5分，最多加1分；与招标文件标注“</w:t>
            </w:r>
            <w:r>
              <w:rPr>
                <w:rFonts w:hint="eastAsia" w:ascii="仿宋_GB2312" w:hAnsi="宋体" w:eastAsia="仿宋_GB2312" w:cs="宋体"/>
                <w:sz w:val="24"/>
                <w:szCs w:val="24"/>
              </w:rPr>
              <w:t>*</w:t>
            </w:r>
            <w:r>
              <w:rPr>
                <w:rFonts w:hint="eastAsia" w:ascii="宋体" w:hAnsi="宋体" w:eastAsia="宋体" w:cs="Times New Roman"/>
                <w:color w:val="auto"/>
                <w:kern w:val="2"/>
                <w:sz w:val="21"/>
                <w:szCs w:val="21"/>
                <w:lang w:val="en-US" w:eastAsia="zh-CN" w:bidi="ar-SA"/>
              </w:rPr>
              <w:t>”的要求有负偏离的，一项扣2分；与招标文件其他要求有</w:t>
            </w:r>
            <w:r>
              <w:rPr>
                <w:rFonts w:hint="eastAsia" w:ascii="宋体" w:hAnsi="宋体" w:eastAsia="宋体" w:cs="Times New Roman"/>
                <w:color w:val="FF0000"/>
                <w:kern w:val="2"/>
                <w:sz w:val="21"/>
                <w:szCs w:val="21"/>
                <w:lang w:val="en-US" w:eastAsia="zh-CN" w:bidi="ar-SA"/>
              </w:rPr>
              <w:t>非实质性</w:t>
            </w:r>
            <w:r>
              <w:rPr>
                <w:rFonts w:hint="eastAsia" w:ascii="宋体" w:hAnsi="宋体" w:eastAsia="宋体" w:cs="Times New Roman"/>
                <w:color w:val="auto"/>
                <w:kern w:val="2"/>
                <w:sz w:val="21"/>
                <w:szCs w:val="21"/>
                <w:lang w:val="en-US" w:eastAsia="zh-CN" w:bidi="ar-SA"/>
              </w:rPr>
              <w:t>负偏离的，一项扣1分，扣完为止。</w:t>
            </w:r>
          </w:p>
        </w:tc>
        <w:tc>
          <w:tcPr>
            <w:tcW w:w="1134" w:type="dxa"/>
            <w:tcBorders>
              <w:top w:val="single" w:color="auto" w:sz="4" w:space="0"/>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50分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vMerge w:val="continue"/>
            <w:vAlign w:val="center"/>
          </w:tcPr>
          <w:p>
            <w:pPr>
              <w:spacing w:line="360" w:lineRule="auto"/>
              <w:jc w:val="center"/>
              <w:rPr>
                <w:rFonts w:ascii="宋体" w:hAnsi="宋体" w:cs="宋体"/>
                <w:kern w:val="0"/>
                <w:szCs w:val="21"/>
              </w:rPr>
            </w:pPr>
          </w:p>
        </w:tc>
        <w:tc>
          <w:tcPr>
            <w:tcW w:w="810" w:type="dxa"/>
            <w:vMerge w:val="continue"/>
            <w:tcBorders>
              <w:bottom w:val="single" w:color="auto" w:sz="4" w:space="0"/>
            </w:tcBorders>
            <w:vAlign w:val="center"/>
          </w:tcPr>
          <w:p>
            <w:pPr>
              <w:spacing w:line="360" w:lineRule="auto"/>
              <w:jc w:val="center"/>
            </w:pPr>
          </w:p>
        </w:tc>
        <w:tc>
          <w:tcPr>
            <w:tcW w:w="1032" w:type="dxa"/>
            <w:gridSpan w:val="2"/>
            <w:tcBorders>
              <w:top w:val="single" w:color="auto" w:sz="4" w:space="0"/>
              <w:bottom w:val="single" w:color="auto" w:sz="4" w:space="0"/>
            </w:tcBorders>
            <w:vAlign w:val="center"/>
          </w:tcPr>
          <w:p>
            <w:pPr>
              <w:widowControl/>
              <w:jc w:val="center"/>
              <w:rPr>
                <w:rFonts w:ascii="宋体" w:hAnsi="宋体"/>
                <w:szCs w:val="21"/>
              </w:rPr>
            </w:pPr>
            <w:r>
              <w:rPr>
                <w:rFonts w:hint="eastAsia" w:ascii="宋体" w:hAnsi="宋体"/>
                <w:szCs w:val="21"/>
              </w:rPr>
              <w:t>节能、环境标志产品</w:t>
            </w:r>
          </w:p>
        </w:tc>
        <w:tc>
          <w:tcPr>
            <w:tcW w:w="5103" w:type="dxa"/>
            <w:tcBorders>
              <w:top w:val="single" w:color="auto" w:sz="4" w:space="0"/>
            </w:tcBorders>
          </w:tcPr>
          <w:p>
            <w:pPr>
              <w:jc w:val="left"/>
              <w:rPr>
                <w:rFonts w:ascii="宋体" w:hAnsi="宋体"/>
                <w:szCs w:val="21"/>
              </w:rPr>
            </w:pPr>
            <w:r>
              <w:rPr>
                <w:rFonts w:hint="eastAsia" w:ascii="宋体" w:hAnsi="宋体"/>
                <w:szCs w:val="21"/>
              </w:rPr>
              <w:t>投标人投标产品中</w:t>
            </w:r>
            <w:r>
              <w:rPr>
                <w:rFonts w:ascii="宋体" w:hAnsi="宋体"/>
                <w:szCs w:val="21"/>
              </w:rPr>
              <w:t>每有一项产品</w:t>
            </w:r>
            <w:r>
              <w:rPr>
                <w:rFonts w:hint="eastAsia" w:ascii="宋体" w:hAnsi="宋体"/>
                <w:szCs w:val="21"/>
              </w:rPr>
              <w:t>具有国家确定的认证机构出具的节能产品认证证书的得</w:t>
            </w:r>
            <w:r>
              <w:rPr>
                <w:rFonts w:hint="eastAsia" w:ascii="宋体" w:hAnsi="宋体"/>
                <w:szCs w:val="21"/>
                <w:lang w:val="en-US" w:eastAsia="zh-CN"/>
              </w:rPr>
              <w:t>0.5</w:t>
            </w:r>
            <w:r>
              <w:rPr>
                <w:rFonts w:ascii="宋体" w:hAnsi="宋体"/>
                <w:szCs w:val="21"/>
              </w:rPr>
              <w:t>分；投标人投标产品</w:t>
            </w:r>
            <w:r>
              <w:rPr>
                <w:rFonts w:hint="eastAsia" w:ascii="宋体" w:hAnsi="宋体"/>
                <w:szCs w:val="21"/>
              </w:rPr>
              <w:t>中</w:t>
            </w:r>
            <w:r>
              <w:rPr>
                <w:rFonts w:ascii="宋体" w:hAnsi="宋体"/>
                <w:szCs w:val="21"/>
              </w:rPr>
              <w:t>每有一项产品</w:t>
            </w:r>
            <w:r>
              <w:rPr>
                <w:rFonts w:hint="eastAsia" w:ascii="宋体" w:hAnsi="宋体"/>
                <w:szCs w:val="21"/>
              </w:rPr>
              <w:t>具</w:t>
            </w:r>
            <w:r>
              <w:rPr>
                <w:rFonts w:ascii="宋体" w:hAnsi="宋体"/>
                <w:szCs w:val="21"/>
              </w:rPr>
              <w:t>有国家确定的认证机构出具的环境标志产品认证证书的得</w:t>
            </w:r>
            <w:r>
              <w:rPr>
                <w:rFonts w:hint="eastAsia" w:ascii="宋体" w:hAnsi="宋体"/>
                <w:szCs w:val="21"/>
                <w:lang w:val="en-US" w:eastAsia="zh-CN"/>
              </w:rPr>
              <w:t>0.5</w:t>
            </w:r>
            <w:r>
              <w:rPr>
                <w:rFonts w:ascii="宋体" w:hAnsi="宋体"/>
                <w:szCs w:val="21"/>
              </w:rPr>
              <w:t>分</w:t>
            </w:r>
            <w:r>
              <w:rPr>
                <w:rFonts w:hint="eastAsia" w:ascii="宋体" w:hAnsi="宋体"/>
                <w:szCs w:val="21"/>
              </w:rPr>
              <w:t>；</w:t>
            </w:r>
            <w:r>
              <w:rPr>
                <w:rFonts w:ascii="宋体" w:hAnsi="宋体"/>
                <w:szCs w:val="21"/>
              </w:rPr>
              <w:t>投标人投标产品</w:t>
            </w:r>
            <w:r>
              <w:rPr>
                <w:rFonts w:hint="eastAsia" w:ascii="宋体" w:hAnsi="宋体"/>
                <w:szCs w:val="21"/>
              </w:rPr>
              <w:t>中</w:t>
            </w:r>
            <w:r>
              <w:rPr>
                <w:rFonts w:ascii="宋体" w:hAnsi="宋体"/>
                <w:szCs w:val="21"/>
              </w:rPr>
              <w:t>每有一项产品同时具有国家确定的认证机构出具的节能产品认证证书和环境标志产品认证证书的，得</w:t>
            </w:r>
            <w:r>
              <w:rPr>
                <w:rFonts w:hint="eastAsia" w:ascii="宋体" w:hAnsi="宋体"/>
                <w:szCs w:val="21"/>
              </w:rPr>
              <w:t>1</w:t>
            </w:r>
            <w:r>
              <w:rPr>
                <w:rFonts w:ascii="宋体" w:hAnsi="宋体"/>
                <w:szCs w:val="21"/>
              </w:rPr>
              <w:t>分。本项最多得</w:t>
            </w:r>
            <w:r>
              <w:rPr>
                <w:rFonts w:hint="eastAsia" w:ascii="宋体" w:hAnsi="宋体"/>
                <w:szCs w:val="21"/>
              </w:rPr>
              <w:t>4</w:t>
            </w:r>
            <w:r>
              <w:rPr>
                <w:rFonts w:ascii="宋体" w:hAnsi="宋体"/>
                <w:szCs w:val="21"/>
              </w:rPr>
              <w:t>分</w:t>
            </w:r>
            <w:r>
              <w:rPr>
                <w:rFonts w:hint="eastAsia" w:ascii="宋体" w:hAnsi="宋体"/>
                <w:szCs w:val="21"/>
              </w:rPr>
              <w:t>。</w:t>
            </w:r>
          </w:p>
          <w:p>
            <w:pPr>
              <w:jc w:val="left"/>
            </w:pPr>
            <w:r>
              <w:rPr>
                <w:rFonts w:hint="eastAsia" w:ascii="宋体" w:hAnsi="宋体"/>
                <w:szCs w:val="21"/>
              </w:rPr>
              <w:t>说明：（1）</w:t>
            </w:r>
            <w:r>
              <w:rPr>
                <w:rFonts w:hint="eastAsia"/>
              </w:rPr>
              <w:t>属于节能产品政府采购品目清单范围内政府强制采购产品的，不再作为评分因素；</w:t>
            </w:r>
          </w:p>
          <w:p>
            <w:pPr>
              <w:spacing w:line="360" w:lineRule="auto"/>
              <w:contextualSpacing/>
              <w:rPr>
                <w:rFonts w:ascii="宋体" w:hAnsi="宋体"/>
                <w:szCs w:val="21"/>
              </w:rPr>
            </w:pPr>
            <w:r>
              <w:rPr>
                <w:rFonts w:hint="eastAsia"/>
              </w:rPr>
              <w:t>（2）</w:t>
            </w:r>
            <w:r>
              <w:rPr>
                <w:rFonts w:hint="eastAsia" w:ascii="宋体" w:hAnsi="宋体"/>
                <w:szCs w:val="21"/>
              </w:rPr>
              <w:t>提供有效期内的证书复印件加盖投标人公章鲜章。</w:t>
            </w:r>
          </w:p>
        </w:tc>
        <w:tc>
          <w:tcPr>
            <w:tcW w:w="1134" w:type="dxa"/>
            <w:tcBorders>
              <w:top w:val="single" w:color="auto" w:sz="4" w:space="0"/>
            </w:tcBorders>
            <w:vAlign w:val="center"/>
          </w:tcPr>
          <w:p>
            <w:pPr>
              <w:widowControl/>
              <w:jc w:val="center"/>
              <w:rPr>
                <w:rFonts w:ascii="宋体" w:hAnsi="宋体"/>
                <w:szCs w:val="21"/>
              </w:rPr>
            </w:pPr>
            <w:r>
              <w:rPr>
                <w:rFonts w:hint="eastAsia" w:ascii="宋体" w:hAnsi="宋体"/>
                <w:bCs/>
                <w:szCs w:val="21"/>
              </w:rPr>
              <w:t>4分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vMerge w:val="restart"/>
            <w:tcBorders>
              <w:top w:val="single" w:color="auto" w:sz="4" w:space="0"/>
              <w:left w:val="doub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3</w:t>
            </w:r>
          </w:p>
        </w:tc>
        <w:tc>
          <w:tcPr>
            <w:tcW w:w="810" w:type="dxa"/>
            <w:vMerge w:val="restart"/>
            <w:tcBorders>
              <w:top w:val="single" w:color="auto" w:sz="4" w:space="0"/>
            </w:tcBorders>
            <w:vAlign w:val="center"/>
          </w:tcPr>
          <w:p>
            <w:pPr>
              <w:spacing w:line="360" w:lineRule="auto"/>
              <w:jc w:val="center"/>
              <w:rPr>
                <w:rFonts w:ascii="宋体" w:hAnsi="宋体"/>
                <w:szCs w:val="21"/>
              </w:rPr>
            </w:pPr>
            <w:r>
              <w:rPr>
                <w:rFonts w:hint="eastAsia"/>
              </w:rPr>
              <w:t>履约能力</w:t>
            </w:r>
          </w:p>
        </w:tc>
        <w:tc>
          <w:tcPr>
            <w:tcW w:w="1032" w:type="dxa"/>
            <w:gridSpan w:val="2"/>
            <w:tcBorders>
              <w:top w:val="single" w:color="auto" w:sz="4" w:space="0"/>
            </w:tcBorders>
            <w:vAlign w:val="center"/>
          </w:tcPr>
          <w:p>
            <w:pPr>
              <w:spacing w:line="360" w:lineRule="auto"/>
              <w:jc w:val="center"/>
              <w:rPr>
                <w:rFonts w:ascii="宋体" w:hAnsi="宋体"/>
                <w:szCs w:val="21"/>
              </w:rPr>
            </w:pPr>
            <w:r>
              <w:rPr>
                <w:rFonts w:hint="eastAsia" w:ascii="宋体" w:hAnsi="宋体"/>
                <w:szCs w:val="21"/>
              </w:rPr>
              <w:t>项目业绩</w:t>
            </w:r>
          </w:p>
        </w:tc>
        <w:tc>
          <w:tcPr>
            <w:tcW w:w="5103" w:type="dxa"/>
            <w:tcBorders>
              <w:top w:val="single" w:color="auto" w:sz="4" w:space="0"/>
            </w:tcBorders>
            <w:vAlign w:val="center"/>
          </w:tcPr>
          <w:p>
            <w:pPr>
              <w:widowControl/>
              <w:jc w:val="left"/>
              <w:rPr>
                <w:rFonts w:ascii="宋体" w:hAnsi="宋体"/>
                <w:szCs w:val="21"/>
              </w:rPr>
            </w:pPr>
            <w:r>
              <w:rPr>
                <w:rFonts w:hint="eastAsia" w:ascii="宋体" w:hAnsi="宋体"/>
                <w:szCs w:val="21"/>
              </w:rPr>
              <w:t>以</w:t>
            </w:r>
            <w:r>
              <w:rPr>
                <w:rFonts w:hint="eastAsia"/>
              </w:rPr>
              <w:t>投标人</w:t>
            </w:r>
            <w:r>
              <w:rPr>
                <w:rFonts w:hint="eastAsia" w:ascii="宋体" w:hAnsi="宋体"/>
                <w:szCs w:val="21"/>
              </w:rPr>
              <w:t>201</w:t>
            </w:r>
            <w:r>
              <w:rPr>
                <w:rFonts w:hint="eastAsia" w:ascii="宋体" w:hAnsi="宋体"/>
                <w:szCs w:val="21"/>
                <w:u w:val="single"/>
              </w:rPr>
              <w:t>9</w:t>
            </w:r>
            <w:r>
              <w:rPr>
                <w:rFonts w:hint="eastAsia" w:ascii="宋体" w:hAnsi="宋体"/>
                <w:szCs w:val="21"/>
              </w:rPr>
              <w:t>年以来的</w:t>
            </w:r>
            <w:r>
              <w:rPr>
                <w:rFonts w:hint="eastAsia"/>
              </w:rPr>
              <w:t>类似项目业绩（合同至少包含所投包件核心产品中任意一项内容）</w:t>
            </w:r>
            <w:r>
              <w:rPr>
                <w:rFonts w:hint="eastAsia" w:ascii="宋体" w:hAnsi="宋体"/>
                <w:szCs w:val="21"/>
              </w:rPr>
              <w:t>计算每有一个得1分，最多得6分。</w:t>
            </w:r>
          </w:p>
          <w:p>
            <w:pPr>
              <w:widowControl/>
              <w:jc w:val="left"/>
              <w:rPr>
                <w:rFonts w:ascii="宋体" w:hAnsi="宋体"/>
                <w:szCs w:val="21"/>
              </w:rPr>
            </w:pPr>
            <w:r>
              <w:rPr>
                <w:rFonts w:hint="eastAsia" w:ascii="宋体" w:hAnsi="宋体"/>
                <w:szCs w:val="21"/>
              </w:rPr>
              <w:t>提供项目业绩合同复印件和合同资金支付的银行票据复印件（合同资金为分期付款的，至少应提供一次合同资金支付的银行票据复印件），同时提供合同验收合格的证明材料。</w:t>
            </w:r>
          </w:p>
        </w:tc>
        <w:tc>
          <w:tcPr>
            <w:tcW w:w="1134" w:type="dxa"/>
            <w:tcBorders>
              <w:top w:val="single" w:color="auto" w:sz="4" w:space="0"/>
            </w:tcBorders>
            <w:vAlign w:val="center"/>
          </w:tcPr>
          <w:p>
            <w:pPr>
              <w:spacing w:line="360" w:lineRule="auto"/>
              <w:jc w:val="center"/>
              <w:rPr>
                <w:rFonts w:ascii="宋体" w:hAnsi="宋体"/>
                <w:bCs/>
                <w:szCs w:val="21"/>
              </w:rPr>
            </w:pPr>
            <w:r>
              <w:rPr>
                <w:rFonts w:hint="eastAsia" w:ascii="宋体" w:hAnsi="宋体"/>
                <w:bCs/>
                <w:szCs w:val="21"/>
              </w:rPr>
              <w:t>6分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vMerge w:val="continue"/>
            <w:tcBorders>
              <w:left w:val="double" w:color="auto" w:sz="4" w:space="0"/>
            </w:tcBorders>
            <w:vAlign w:val="center"/>
          </w:tcPr>
          <w:p>
            <w:pPr>
              <w:widowControl/>
              <w:spacing w:line="360" w:lineRule="auto"/>
              <w:jc w:val="center"/>
              <w:rPr>
                <w:rFonts w:ascii="宋体" w:hAnsi="宋体" w:cs="宋体"/>
                <w:kern w:val="0"/>
                <w:szCs w:val="21"/>
              </w:rPr>
            </w:pPr>
          </w:p>
        </w:tc>
        <w:tc>
          <w:tcPr>
            <w:tcW w:w="810" w:type="dxa"/>
            <w:vMerge w:val="continue"/>
            <w:tcBorders>
              <w:bottom w:val="single" w:color="auto" w:sz="4" w:space="0"/>
            </w:tcBorders>
            <w:vAlign w:val="center"/>
          </w:tcPr>
          <w:p>
            <w:pPr>
              <w:widowControl/>
              <w:jc w:val="center"/>
              <w:rPr>
                <w:rFonts w:ascii="宋体" w:hAnsi="宋体"/>
                <w:szCs w:val="21"/>
              </w:rPr>
            </w:pPr>
          </w:p>
        </w:tc>
        <w:tc>
          <w:tcPr>
            <w:tcW w:w="1032" w:type="dxa"/>
            <w:gridSpan w:val="2"/>
            <w:tcBorders>
              <w:bottom w:val="single" w:color="auto" w:sz="4" w:space="0"/>
            </w:tcBorders>
            <w:vAlign w:val="center"/>
          </w:tcPr>
          <w:p>
            <w:pPr>
              <w:widowControl/>
              <w:jc w:val="center"/>
              <w:rPr>
                <w:rFonts w:ascii="宋体" w:hAnsi="宋体"/>
                <w:szCs w:val="21"/>
              </w:rPr>
            </w:pPr>
            <w:r>
              <w:rPr>
                <w:rFonts w:hint="eastAsia" w:ascii="宋体" w:hAnsi="宋体"/>
                <w:szCs w:val="21"/>
              </w:rPr>
              <w:t>信誉</w:t>
            </w:r>
          </w:p>
        </w:tc>
        <w:tc>
          <w:tcPr>
            <w:tcW w:w="5103" w:type="dxa"/>
            <w:vAlign w:val="center"/>
          </w:tcPr>
          <w:p>
            <w:pPr>
              <w:numPr>
                <w:ilvl w:val="0"/>
                <w:numId w:val="44"/>
              </w:numPr>
              <w:spacing w:line="276" w:lineRule="auto"/>
              <w:rPr>
                <w:rFonts w:ascii="宋体" w:hAnsi="宋体"/>
                <w:szCs w:val="21"/>
              </w:rPr>
            </w:pPr>
            <w:r>
              <w:rPr>
                <w:rFonts w:hint="eastAsia" w:ascii="宋体" w:hAnsi="宋体"/>
                <w:szCs w:val="21"/>
              </w:rPr>
              <w:t>有投标产品制造商</w:t>
            </w:r>
            <w:r>
              <w:rPr>
                <w:rFonts w:hint="eastAsia"/>
                <w:szCs w:val="21"/>
              </w:rPr>
              <w:t>获得</w:t>
            </w:r>
            <w:r>
              <w:rPr>
                <w:rFonts w:hint="eastAsia" w:ascii="宋体" w:hAnsi="宋体"/>
                <w:szCs w:val="21"/>
              </w:rPr>
              <w:t>ISO9001认证的得2分；</w:t>
            </w:r>
          </w:p>
          <w:p>
            <w:pPr>
              <w:numPr>
                <w:ilvl w:val="0"/>
                <w:numId w:val="44"/>
              </w:numPr>
              <w:spacing w:line="276" w:lineRule="auto"/>
              <w:rPr>
                <w:rFonts w:ascii="宋体" w:hAnsi="宋体"/>
                <w:szCs w:val="21"/>
              </w:rPr>
            </w:pPr>
            <w:r>
              <w:rPr>
                <w:rFonts w:hint="eastAsia" w:ascii="宋体" w:hAnsi="宋体"/>
                <w:szCs w:val="21"/>
              </w:rPr>
              <w:t>有投标产品制造商</w:t>
            </w:r>
            <w:r>
              <w:rPr>
                <w:rFonts w:hint="eastAsia"/>
                <w:szCs w:val="21"/>
              </w:rPr>
              <w:t>获得</w:t>
            </w:r>
            <w:r>
              <w:rPr>
                <w:rFonts w:hint="eastAsia" w:ascii="宋体" w:hAnsi="宋体"/>
                <w:szCs w:val="21"/>
              </w:rPr>
              <w:t>ISO14001认证的得2分；</w:t>
            </w:r>
          </w:p>
          <w:p>
            <w:pPr>
              <w:spacing w:line="276" w:lineRule="auto"/>
              <w:jc w:val="left"/>
              <w:rPr>
                <w:rFonts w:ascii="宋体" w:hAnsi="宋体"/>
                <w:szCs w:val="21"/>
              </w:rPr>
            </w:pPr>
            <w:r>
              <w:rPr>
                <w:rFonts w:hint="eastAsia" w:ascii="宋体" w:hAnsi="宋体"/>
                <w:szCs w:val="21"/>
              </w:rPr>
              <w:t>（3）有投标产品制造商获得ISO</w:t>
            </w:r>
            <w:r>
              <w:rPr>
                <w:rFonts w:hint="eastAsia"/>
              </w:rPr>
              <w:t>13485</w:t>
            </w:r>
            <w:r>
              <w:rPr>
                <w:rFonts w:hint="eastAsia" w:ascii="宋体" w:hAnsi="宋体"/>
                <w:szCs w:val="21"/>
              </w:rPr>
              <w:t>认证得</w:t>
            </w:r>
            <w:r>
              <w:rPr>
                <w:rFonts w:hint="eastAsia"/>
                <w:szCs w:val="21"/>
              </w:rPr>
              <w:t>2</w:t>
            </w:r>
            <w:r>
              <w:rPr>
                <w:rFonts w:hint="eastAsia" w:ascii="宋体" w:hAnsi="宋体"/>
                <w:szCs w:val="21"/>
              </w:rPr>
              <w:t>分。</w:t>
            </w:r>
          </w:p>
          <w:p>
            <w:pPr>
              <w:widowControl/>
              <w:jc w:val="left"/>
              <w:rPr>
                <w:rFonts w:ascii="宋体" w:hAnsi="宋体"/>
                <w:szCs w:val="21"/>
              </w:rPr>
            </w:pPr>
            <w:r>
              <w:rPr>
                <w:rFonts w:hint="eastAsia" w:ascii="宋体" w:hAnsi="宋体"/>
                <w:szCs w:val="21"/>
              </w:rPr>
              <w:t>以有效证书复印件为准，复印件加投标人盖公章鲜章。</w:t>
            </w:r>
          </w:p>
        </w:tc>
        <w:tc>
          <w:tcPr>
            <w:tcW w:w="1134" w:type="dxa"/>
            <w:vAlign w:val="center"/>
          </w:tcPr>
          <w:p>
            <w:pPr>
              <w:widowControl/>
              <w:ind w:left="-38"/>
              <w:jc w:val="center"/>
              <w:rPr>
                <w:rFonts w:ascii="宋体" w:hAnsi="宋体"/>
                <w:szCs w:val="21"/>
              </w:rPr>
            </w:pPr>
            <w:r>
              <w:rPr>
                <w:rFonts w:hint="eastAsia" w:ascii="宋体" w:hAnsi="宋体"/>
                <w:bCs/>
                <w:szCs w:val="21"/>
              </w:rPr>
              <w:t>6分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tcBorders>
              <w:left w:val="doub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4</w:t>
            </w:r>
          </w:p>
        </w:tc>
        <w:tc>
          <w:tcPr>
            <w:tcW w:w="1842" w:type="dxa"/>
            <w:gridSpan w:val="3"/>
            <w:vAlign w:val="center"/>
          </w:tcPr>
          <w:p>
            <w:pPr>
              <w:widowControl/>
              <w:jc w:val="center"/>
              <w:rPr>
                <w:rFonts w:ascii="宋体" w:hAnsi="宋体"/>
                <w:szCs w:val="21"/>
              </w:rPr>
            </w:pPr>
            <w:r>
              <w:rPr>
                <w:rFonts w:hint="eastAsia" w:ascii="宋体" w:hAnsi="宋体"/>
                <w:sz w:val="24"/>
              </w:rPr>
              <w:t>售后服务</w:t>
            </w:r>
          </w:p>
        </w:tc>
        <w:tc>
          <w:tcPr>
            <w:tcW w:w="5103" w:type="dxa"/>
            <w:vAlign w:val="center"/>
          </w:tcPr>
          <w:p>
            <w:pPr>
              <w:widowControl/>
              <w:rPr>
                <w:rFonts w:ascii="宋体" w:hAnsi="宋体"/>
                <w:szCs w:val="21"/>
              </w:rPr>
            </w:pPr>
            <w:r>
              <w:rPr>
                <w:rFonts w:hint="eastAsia" w:ascii="宋体" w:hAnsi="宋体"/>
                <w:szCs w:val="21"/>
              </w:rPr>
              <w:t>根据投标人制定的售后服务方案进行评审，完全满足所投包件采购需求的得3分，有1项不满足的扣0.5分，本项扣完为止。</w:t>
            </w:r>
          </w:p>
        </w:tc>
        <w:tc>
          <w:tcPr>
            <w:tcW w:w="1134" w:type="dxa"/>
            <w:vAlign w:val="center"/>
          </w:tcPr>
          <w:p>
            <w:pPr>
              <w:jc w:val="center"/>
              <w:rPr>
                <w:rFonts w:ascii="宋体" w:hAnsi="宋体"/>
                <w:bCs/>
                <w:szCs w:val="21"/>
              </w:rPr>
            </w:pPr>
            <w:r>
              <w:rPr>
                <w:rFonts w:hint="eastAsia" w:ascii="宋体" w:hAnsi="宋体"/>
                <w:bCs/>
                <w:szCs w:val="21"/>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tcBorders>
              <w:left w:val="double" w:color="auto" w:sz="4" w:space="0"/>
              <w:bottom w:val="doub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5</w:t>
            </w:r>
          </w:p>
        </w:tc>
        <w:tc>
          <w:tcPr>
            <w:tcW w:w="936" w:type="dxa"/>
            <w:gridSpan w:val="2"/>
            <w:tcBorders>
              <w:bottom w:val="single" w:color="auto" w:sz="4" w:space="0"/>
            </w:tcBorders>
            <w:vAlign w:val="center"/>
          </w:tcPr>
          <w:p>
            <w:pPr>
              <w:widowControl/>
              <w:rPr>
                <w:rFonts w:ascii="宋体" w:hAnsi="宋体"/>
                <w:sz w:val="24"/>
              </w:rPr>
            </w:pPr>
            <w:r>
              <w:rPr>
                <w:rFonts w:hint="eastAsia" w:ascii="宋体" w:hAnsi="宋体"/>
                <w:szCs w:val="21"/>
              </w:rPr>
              <w:t>扶持政策</w:t>
            </w:r>
          </w:p>
        </w:tc>
        <w:tc>
          <w:tcPr>
            <w:tcW w:w="906" w:type="dxa"/>
            <w:tcBorders>
              <w:bottom w:val="single" w:color="auto" w:sz="4" w:space="0"/>
            </w:tcBorders>
            <w:vAlign w:val="center"/>
          </w:tcPr>
          <w:p>
            <w:pPr>
              <w:widowControl/>
              <w:rPr>
                <w:rFonts w:ascii="宋体" w:hAnsi="宋体"/>
                <w:szCs w:val="21"/>
              </w:rPr>
            </w:pPr>
            <w:r>
              <w:rPr>
                <w:rFonts w:hint="eastAsia" w:ascii="宋体" w:hAnsi="宋体"/>
                <w:szCs w:val="21"/>
              </w:rPr>
              <w:t>支持不发达地区或少数民族地区</w:t>
            </w:r>
          </w:p>
        </w:tc>
        <w:tc>
          <w:tcPr>
            <w:tcW w:w="5103" w:type="dxa"/>
            <w:tcBorders>
              <w:bottom w:val="double" w:color="auto" w:sz="4" w:space="0"/>
            </w:tcBorders>
            <w:vAlign w:val="center"/>
          </w:tcPr>
          <w:p>
            <w:pPr>
              <w:widowControl/>
              <w:rPr>
                <w:rFonts w:ascii="宋体" w:hAnsi="宋体"/>
                <w:szCs w:val="21"/>
              </w:rPr>
            </w:pPr>
            <w:r>
              <w:rPr>
                <w:rFonts w:hint="eastAsia" w:ascii="宋体" w:hAnsi="宋体"/>
                <w:szCs w:val="21"/>
              </w:rPr>
              <w:t>投标人注册地为少数民族或不发达地区的得1分。</w:t>
            </w:r>
          </w:p>
          <w:p>
            <w:pPr>
              <w:widowControl/>
              <w:rPr>
                <w:rFonts w:ascii="宋体" w:hAnsi="宋体"/>
                <w:szCs w:val="21"/>
              </w:rPr>
            </w:pPr>
            <w:r>
              <w:rPr>
                <w:rFonts w:hint="eastAsia" w:ascii="宋体" w:hAnsi="宋体"/>
                <w:szCs w:val="21"/>
              </w:rPr>
              <w:t>(说明：在投标文件中承诺。）</w:t>
            </w:r>
          </w:p>
        </w:tc>
        <w:tc>
          <w:tcPr>
            <w:tcW w:w="1134" w:type="dxa"/>
            <w:tcBorders>
              <w:bottom w:val="double" w:color="auto" w:sz="4" w:space="0"/>
            </w:tcBorders>
            <w:vAlign w:val="center"/>
          </w:tcPr>
          <w:p>
            <w:pPr>
              <w:jc w:val="center"/>
              <w:rPr>
                <w:rFonts w:ascii="宋体" w:hAnsi="宋体"/>
                <w:bCs/>
                <w:szCs w:val="21"/>
              </w:rPr>
            </w:pPr>
            <w:r>
              <w:rPr>
                <w:rFonts w:hint="eastAsia" w:ascii="宋体" w:hAnsi="宋体"/>
                <w:bCs/>
                <w:szCs w:val="21"/>
              </w:rPr>
              <w:t>1分</w:t>
            </w:r>
          </w:p>
        </w:tc>
      </w:tr>
    </w:tbl>
    <w:p>
      <w:pPr>
        <w:ind w:firstLine="560" w:firstLineChars="200"/>
        <w:rPr>
          <w:rFonts w:ascii="宋体" w:hAnsi="宋体"/>
          <w:sz w:val="28"/>
        </w:rPr>
      </w:pPr>
    </w:p>
    <w:p>
      <w:pPr>
        <w:ind w:firstLine="560" w:firstLineChars="200"/>
        <w:rPr>
          <w:rFonts w:ascii="宋体" w:hAnsi="宋体"/>
          <w:sz w:val="28"/>
        </w:rPr>
      </w:pPr>
      <w:r>
        <w:rPr>
          <w:rFonts w:hint="eastAsia" w:ascii="宋体" w:hAnsi="宋体"/>
          <w:sz w:val="28"/>
        </w:rPr>
        <w:t>说明：</w:t>
      </w:r>
    </w:p>
    <w:p>
      <w:pPr>
        <w:spacing w:line="360" w:lineRule="auto"/>
        <w:ind w:firstLine="560" w:firstLineChars="200"/>
        <w:rPr>
          <w:rFonts w:ascii="宋体" w:hAnsi="宋体"/>
          <w:sz w:val="28"/>
        </w:rPr>
      </w:pPr>
      <w:r>
        <w:rPr>
          <w:rFonts w:hint="eastAsia" w:ascii="宋体" w:hAnsi="宋体"/>
          <w:sz w:val="28"/>
        </w:rPr>
        <w:t>1、评分的取值按四舍五入法，保留小数点后两位；</w:t>
      </w:r>
    </w:p>
    <w:p>
      <w:pPr>
        <w:spacing w:line="360" w:lineRule="auto"/>
        <w:ind w:firstLine="560" w:firstLineChars="200"/>
        <w:rPr>
          <w:rFonts w:ascii="宋体" w:hAnsi="宋体"/>
          <w:sz w:val="28"/>
        </w:rPr>
      </w:pPr>
      <w:r>
        <w:rPr>
          <w:rFonts w:hint="eastAsia" w:ascii="宋体" w:hAnsi="宋体"/>
          <w:sz w:val="28"/>
        </w:rPr>
        <w:t>2、评分标准中要求提供复印件的证明材料须清晰可辨。</w:t>
      </w:r>
    </w:p>
    <w:p>
      <w:pPr>
        <w:keepNext/>
        <w:keepLines/>
        <w:numPr>
          <w:ilvl w:val="1"/>
          <w:numId w:val="3"/>
        </w:numPr>
        <w:spacing w:before="260" w:after="260" w:line="360" w:lineRule="auto"/>
        <w:jc w:val="left"/>
        <w:outlineLvl w:val="1"/>
        <w:rPr>
          <w:rFonts w:ascii="宋体" w:hAnsi="宋体"/>
          <w:b/>
          <w:bCs/>
          <w:sz w:val="28"/>
          <w:szCs w:val="28"/>
        </w:rPr>
      </w:pPr>
      <w:bookmarkStart w:id="182" w:name="_Toc78191637"/>
      <w:r>
        <w:rPr>
          <w:rFonts w:hint="eastAsia" w:ascii="宋体" w:hAnsi="宋体"/>
          <w:b/>
          <w:bCs/>
          <w:sz w:val="28"/>
          <w:szCs w:val="28"/>
        </w:rPr>
        <w:t>废标</w:t>
      </w:r>
      <w:bookmarkEnd w:id="182"/>
    </w:p>
    <w:p>
      <w:pPr>
        <w:spacing w:line="360" w:lineRule="auto"/>
        <w:ind w:firstLine="560" w:firstLineChars="200"/>
        <w:rPr>
          <w:rFonts w:ascii="宋体" w:hAnsi="宋体"/>
          <w:sz w:val="28"/>
          <w:szCs w:val="28"/>
        </w:rPr>
      </w:pPr>
      <w:r>
        <w:rPr>
          <w:rFonts w:hint="eastAsia" w:ascii="宋体" w:hAnsi="宋体"/>
          <w:sz w:val="28"/>
          <w:szCs w:val="28"/>
        </w:rPr>
        <w:t>本次政府采购活动中，出现下列情形之一的，予以废标：</w:t>
      </w:r>
    </w:p>
    <w:p>
      <w:pPr>
        <w:numPr>
          <w:ilvl w:val="0"/>
          <w:numId w:val="45"/>
        </w:numPr>
        <w:tabs>
          <w:tab w:val="left" w:pos="1155"/>
        </w:tabs>
        <w:spacing w:line="360" w:lineRule="auto"/>
        <w:ind w:left="0" w:firstLine="525"/>
        <w:rPr>
          <w:rFonts w:ascii="宋体" w:hAnsi="宋体"/>
          <w:sz w:val="28"/>
          <w:szCs w:val="28"/>
        </w:rPr>
      </w:pPr>
      <w:r>
        <w:rPr>
          <w:rFonts w:hint="eastAsia" w:ascii="宋体" w:hAnsi="宋体"/>
          <w:sz w:val="28"/>
          <w:szCs w:val="28"/>
        </w:rPr>
        <w:t>符合专业条件的投标人或者对招标文件作实质响应的投标人不足三家的；</w:t>
      </w:r>
    </w:p>
    <w:p>
      <w:pPr>
        <w:numPr>
          <w:ilvl w:val="0"/>
          <w:numId w:val="45"/>
        </w:numPr>
        <w:tabs>
          <w:tab w:val="left" w:pos="1155"/>
        </w:tabs>
        <w:spacing w:line="360" w:lineRule="auto"/>
        <w:ind w:left="0" w:firstLine="525"/>
        <w:rPr>
          <w:rFonts w:ascii="宋体" w:hAnsi="宋体"/>
          <w:sz w:val="28"/>
          <w:szCs w:val="28"/>
        </w:rPr>
      </w:pPr>
      <w:r>
        <w:rPr>
          <w:rFonts w:hint="eastAsia" w:ascii="宋体" w:hAnsi="宋体"/>
          <w:sz w:val="28"/>
          <w:szCs w:val="28"/>
        </w:rPr>
        <w:t>出现影响采购公正的违法、违规行为的；</w:t>
      </w:r>
    </w:p>
    <w:p>
      <w:pPr>
        <w:numPr>
          <w:ilvl w:val="0"/>
          <w:numId w:val="45"/>
        </w:numPr>
        <w:tabs>
          <w:tab w:val="left" w:pos="1155"/>
        </w:tabs>
        <w:spacing w:line="360" w:lineRule="auto"/>
        <w:ind w:left="0" w:firstLine="525"/>
        <w:rPr>
          <w:rFonts w:ascii="宋体" w:hAnsi="宋体"/>
          <w:sz w:val="28"/>
          <w:szCs w:val="28"/>
        </w:rPr>
      </w:pPr>
      <w:r>
        <w:rPr>
          <w:rFonts w:hint="eastAsia" w:ascii="宋体" w:hAnsi="宋体"/>
          <w:sz w:val="28"/>
          <w:szCs w:val="28"/>
        </w:rPr>
        <w:t>投标人的报价均超过了采购预算，采购人不能支付的；</w:t>
      </w:r>
    </w:p>
    <w:p>
      <w:pPr>
        <w:numPr>
          <w:ilvl w:val="0"/>
          <w:numId w:val="45"/>
        </w:numPr>
        <w:tabs>
          <w:tab w:val="left" w:pos="1155"/>
        </w:tabs>
        <w:spacing w:line="360" w:lineRule="auto"/>
        <w:ind w:left="0" w:firstLine="525"/>
        <w:rPr>
          <w:rFonts w:ascii="宋体" w:hAnsi="宋体"/>
          <w:sz w:val="28"/>
          <w:szCs w:val="28"/>
        </w:rPr>
      </w:pPr>
      <w:r>
        <w:rPr>
          <w:rFonts w:hint="eastAsia" w:ascii="宋体" w:hAnsi="宋体"/>
          <w:sz w:val="28"/>
          <w:szCs w:val="28"/>
        </w:rPr>
        <w:t>因重大变故，采购任务取消的；</w:t>
      </w:r>
    </w:p>
    <w:p>
      <w:pPr>
        <w:numPr>
          <w:ilvl w:val="0"/>
          <w:numId w:val="45"/>
        </w:numPr>
        <w:tabs>
          <w:tab w:val="left" w:pos="1155"/>
        </w:tabs>
        <w:spacing w:line="360" w:lineRule="auto"/>
        <w:ind w:left="0" w:firstLine="525"/>
        <w:rPr>
          <w:rFonts w:ascii="宋体" w:hAnsi="宋体"/>
          <w:sz w:val="28"/>
          <w:szCs w:val="28"/>
        </w:rPr>
      </w:pPr>
      <w:r>
        <w:rPr>
          <w:rFonts w:hint="eastAsia" w:ascii="宋体" w:hAnsi="宋体"/>
          <w:sz w:val="28"/>
          <w:szCs w:val="28"/>
        </w:rPr>
        <w:t>废标后，市公资交易中心将在“四川政府采购网”和“成都市公共资源交易服务中心”网站上公告。</w:t>
      </w:r>
    </w:p>
    <w:p>
      <w:pPr>
        <w:keepNext/>
        <w:keepLines/>
        <w:numPr>
          <w:ilvl w:val="1"/>
          <w:numId w:val="3"/>
        </w:numPr>
        <w:spacing w:before="260" w:after="260" w:line="360" w:lineRule="auto"/>
        <w:jc w:val="left"/>
        <w:outlineLvl w:val="1"/>
        <w:rPr>
          <w:rFonts w:ascii="宋体" w:hAnsi="宋体"/>
          <w:b/>
          <w:bCs/>
          <w:sz w:val="28"/>
          <w:szCs w:val="28"/>
        </w:rPr>
      </w:pPr>
      <w:bookmarkStart w:id="183" w:name="_Toc78191638"/>
      <w:r>
        <w:rPr>
          <w:rFonts w:hint="eastAsia" w:ascii="宋体" w:hAnsi="宋体"/>
          <w:b/>
          <w:bCs/>
          <w:sz w:val="28"/>
          <w:szCs w:val="28"/>
        </w:rPr>
        <w:t>定标</w:t>
      </w:r>
      <w:bookmarkEnd w:id="183"/>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定标原则</w:t>
      </w:r>
    </w:p>
    <w:p>
      <w:pPr>
        <w:spacing w:line="560" w:lineRule="exact"/>
        <w:ind w:firstLine="560" w:firstLineChars="200"/>
        <w:rPr>
          <w:rFonts w:ascii="宋体" w:hAnsi="宋体"/>
          <w:sz w:val="28"/>
          <w:szCs w:val="28"/>
        </w:rPr>
      </w:pPr>
      <w:r>
        <w:rPr>
          <w:rFonts w:hint="eastAsia" w:ascii="宋体" w:hAnsi="宋体"/>
          <w:sz w:val="28"/>
          <w:szCs w:val="28"/>
        </w:rPr>
        <w:t>本项目根据评标委员会确定的中标候选人名单，采购人按顺序确定1名中标人。中标候选供应商并列的，</w:t>
      </w:r>
      <w:r>
        <w:rPr>
          <w:rFonts w:hint="eastAsia" w:ascii="宋体"/>
          <w:sz w:val="28"/>
          <w:szCs w:val="28"/>
        </w:rPr>
        <w:t>由采购人采取随机抽取的方式确定中标人</w:t>
      </w:r>
      <w:r>
        <w:rPr>
          <w:rFonts w:hint="eastAsia" w:ascii="宋体" w:hAnsi="宋体"/>
          <w:sz w:val="28"/>
          <w:szCs w:val="28"/>
        </w:rPr>
        <w:t>。</w:t>
      </w:r>
    </w:p>
    <w:p>
      <w:pPr>
        <w:spacing w:line="560" w:lineRule="exact"/>
        <w:ind w:firstLine="560" w:firstLineChars="200"/>
        <w:rPr>
          <w:rFonts w:ascii="宋体" w:hAnsi="宋体"/>
          <w:sz w:val="28"/>
          <w:szCs w:val="28"/>
        </w:rPr>
      </w:pPr>
      <w:r>
        <w:rPr>
          <w:rFonts w:hint="eastAsia" w:cs="Helvetica" w:asciiTheme="minorEastAsia" w:hAnsiTheme="minorEastAsia" w:eastAsiaTheme="minorEastAsia"/>
          <w:kern w:val="0"/>
          <w:sz w:val="28"/>
          <w:szCs w:val="28"/>
        </w:rPr>
        <w:t>采购人在收到评标报告</w:t>
      </w:r>
      <w:r>
        <w:rPr>
          <w:rFonts w:hint="eastAsia" w:cs="宋体" w:asciiTheme="minorEastAsia" w:hAnsiTheme="minorEastAsia" w:eastAsiaTheme="minorEastAsia"/>
          <w:kern w:val="0"/>
          <w:sz w:val="28"/>
          <w:szCs w:val="28"/>
        </w:rPr>
        <w:t>5</w:t>
      </w:r>
      <w:r>
        <w:rPr>
          <w:rFonts w:hint="eastAsia" w:cs="Helvetica" w:asciiTheme="minorEastAsia" w:hAnsiTheme="minorEastAsia" w:eastAsiaTheme="minorEastAsia"/>
          <w:kern w:val="0"/>
          <w:sz w:val="28"/>
          <w:szCs w:val="28"/>
        </w:rPr>
        <w:t>个工作日内未按评标报告推荐的中标候选人顺序确定中标人，又不能说明合法理由的，视同按评标报告推荐的顺序确定排名第一的中标候选人为中标人。</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定标程序</w:t>
      </w:r>
    </w:p>
    <w:p>
      <w:pPr>
        <w:spacing w:line="360" w:lineRule="auto"/>
        <w:ind w:firstLine="560" w:firstLineChars="200"/>
        <w:rPr>
          <w:rFonts w:ascii="宋体" w:hAnsi="宋体" w:cs="Helvetica"/>
          <w:sz w:val="28"/>
          <w:szCs w:val="28"/>
        </w:rPr>
      </w:pPr>
      <w:r>
        <w:rPr>
          <w:rFonts w:hint="eastAsia" w:ascii="宋体" w:hAnsi="宋体" w:cs="Helvetica"/>
          <w:sz w:val="28"/>
          <w:szCs w:val="28"/>
        </w:rPr>
        <w:t>一、评审委员会将评审情况写出书面报告。</w:t>
      </w:r>
    </w:p>
    <w:p>
      <w:pPr>
        <w:spacing w:line="360" w:lineRule="auto"/>
        <w:ind w:firstLine="560" w:firstLineChars="200"/>
        <w:rPr>
          <w:rFonts w:ascii="宋体" w:hAnsi="宋体" w:cs="Helvetica"/>
          <w:sz w:val="28"/>
          <w:szCs w:val="28"/>
        </w:rPr>
      </w:pPr>
      <w:r>
        <w:rPr>
          <w:rFonts w:hint="eastAsia" w:ascii="宋体" w:hAnsi="宋体" w:cs="Helvetica"/>
          <w:sz w:val="28"/>
          <w:szCs w:val="28"/>
        </w:rPr>
        <w:t>二、市公资交易中心在评审结束之日起2个工作日内将评审报告送采购人。</w:t>
      </w:r>
    </w:p>
    <w:p>
      <w:pPr>
        <w:spacing w:line="360" w:lineRule="auto"/>
        <w:ind w:firstLine="560" w:firstLineChars="200"/>
        <w:rPr>
          <w:rFonts w:ascii="宋体" w:hAnsi="宋体" w:cs="Helvetica"/>
          <w:sz w:val="28"/>
          <w:szCs w:val="28"/>
        </w:rPr>
      </w:pPr>
      <w:r>
        <w:rPr>
          <w:rFonts w:hint="eastAsia" w:ascii="宋体" w:hAnsi="宋体" w:cs="Helvetica"/>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spacing w:line="360" w:lineRule="auto"/>
        <w:ind w:firstLine="560" w:firstLineChars="200"/>
        <w:rPr>
          <w:rFonts w:ascii="宋体" w:hAnsi="宋体" w:cs="Helvetica"/>
          <w:sz w:val="28"/>
          <w:szCs w:val="28"/>
        </w:rPr>
      </w:pPr>
      <w:r>
        <w:rPr>
          <w:rFonts w:hint="eastAsia" w:ascii="宋体" w:hAnsi="宋体" w:cs="Helvetica"/>
          <w:sz w:val="28"/>
          <w:szCs w:val="28"/>
        </w:rPr>
        <w:t>四、根据采购人确定的中标（成交）人，市公资交易中心在“四川政府采购网”和“成都市公共资源交易服务中心”网站上发布中标（成交）公告，同时向中标（成交）人发出中标（成交）通知书。</w:t>
      </w:r>
    </w:p>
    <w:p>
      <w:pPr>
        <w:spacing w:line="360" w:lineRule="auto"/>
        <w:ind w:firstLine="560" w:firstLineChars="200"/>
        <w:rPr>
          <w:rFonts w:ascii="宋体" w:hAnsi="宋体" w:cs="Helvetica"/>
          <w:sz w:val="28"/>
          <w:szCs w:val="28"/>
        </w:rPr>
      </w:pPr>
      <w:r>
        <w:rPr>
          <w:rFonts w:hint="eastAsia" w:ascii="宋体" w:hAnsi="宋体" w:cs="Helvetica"/>
          <w:sz w:val="28"/>
          <w:szCs w:val="28"/>
        </w:rPr>
        <w:t>五、采购人、市公资交易中心不解释中标（成交）或未中标（成交）原因，不退回投标文件和其他投标资料。</w:t>
      </w:r>
    </w:p>
    <w:p>
      <w:pPr>
        <w:keepNext/>
        <w:keepLines/>
        <w:numPr>
          <w:ilvl w:val="1"/>
          <w:numId w:val="3"/>
        </w:numPr>
        <w:spacing w:line="360" w:lineRule="auto"/>
        <w:jc w:val="left"/>
        <w:outlineLvl w:val="1"/>
        <w:rPr>
          <w:rFonts w:ascii="宋体" w:hAnsi="宋体"/>
          <w:b/>
          <w:bCs/>
          <w:sz w:val="28"/>
          <w:szCs w:val="28"/>
        </w:rPr>
      </w:pPr>
      <w:bookmarkStart w:id="184" w:name="_Toc78191639"/>
      <w:r>
        <w:rPr>
          <w:rFonts w:hint="eastAsia" w:ascii="宋体" w:hAnsi="宋体"/>
          <w:b/>
          <w:bCs/>
          <w:sz w:val="28"/>
          <w:szCs w:val="28"/>
        </w:rPr>
        <w:t>评标专家在政府采购活动中承担以下义务</w:t>
      </w:r>
      <w:bookmarkEnd w:id="184"/>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遵纪守法，客观、公正、廉洁地履行职责。</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保守秘密。不得泄漏投标人的投标文件及知悉的商业秘密，不得向投标人透露评审情况。</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发现投标人在政府采购活动中有不正当竞争或恶意串通等违规行为，及时向政府采购评审工作的组织者或财政部门报告并加以制止。</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发现采购人、市公资交易中心及其工作人员在政府采购活动中有干预评审、发表倾向性和歧视性言论、受贿或者接受投标人的其他好处及其他违法违规行为，及时向财政部门报告。</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解答有关方面对政府采购评审工作中有关问题的询问，配合采购人或者市公资交易中心答复投标人的询问、质疑，配合财政部门的投诉处理工作等事宜。</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法律、法规和规章规定的其他义务。</w:t>
      </w:r>
    </w:p>
    <w:p>
      <w:pPr>
        <w:keepNext/>
        <w:keepLines/>
        <w:numPr>
          <w:ilvl w:val="1"/>
          <w:numId w:val="3"/>
        </w:numPr>
        <w:spacing w:line="360" w:lineRule="auto"/>
        <w:jc w:val="left"/>
        <w:outlineLvl w:val="1"/>
        <w:rPr>
          <w:rFonts w:ascii="宋体" w:hAnsi="宋体"/>
          <w:b/>
          <w:bCs/>
          <w:sz w:val="28"/>
          <w:szCs w:val="28"/>
        </w:rPr>
      </w:pPr>
      <w:bookmarkStart w:id="185" w:name="_Toc78191640"/>
      <w:r>
        <w:rPr>
          <w:rFonts w:hint="eastAsia" w:ascii="宋体" w:hAnsi="宋体"/>
          <w:b/>
          <w:bCs/>
          <w:sz w:val="28"/>
          <w:szCs w:val="28"/>
        </w:rPr>
        <w:t>评标委员会及其成员不得有下列行为</w:t>
      </w:r>
      <w:bookmarkEnd w:id="185"/>
    </w:p>
    <w:p>
      <w:pPr>
        <w:numPr>
          <w:ilvl w:val="0"/>
          <w:numId w:val="47"/>
        </w:numPr>
        <w:tabs>
          <w:tab w:val="left" w:pos="1155"/>
        </w:tabs>
        <w:spacing w:line="360" w:lineRule="auto"/>
        <w:rPr>
          <w:rFonts w:ascii="宋体" w:hAnsi="宋体"/>
          <w:sz w:val="28"/>
          <w:szCs w:val="28"/>
        </w:rPr>
      </w:pPr>
      <w:r>
        <w:rPr>
          <w:rFonts w:hint="eastAsia" w:ascii="宋体" w:hAnsi="宋体"/>
          <w:sz w:val="28"/>
          <w:szCs w:val="28"/>
        </w:rPr>
        <w:t>确定参与评标至评标结束前私自接触投标人；</w:t>
      </w:r>
    </w:p>
    <w:p>
      <w:pPr>
        <w:numPr>
          <w:ilvl w:val="0"/>
          <w:numId w:val="47"/>
        </w:numPr>
        <w:tabs>
          <w:tab w:val="left" w:pos="1155"/>
        </w:tabs>
        <w:spacing w:line="360" w:lineRule="auto"/>
        <w:ind w:left="0" w:firstLine="567"/>
        <w:rPr>
          <w:rFonts w:ascii="宋体" w:hAnsi="宋体"/>
          <w:sz w:val="28"/>
          <w:szCs w:val="28"/>
        </w:rPr>
      </w:pPr>
      <w:r>
        <w:rPr>
          <w:rFonts w:hint="eastAsia" w:ascii="宋体" w:hAnsi="宋体"/>
          <w:sz w:val="28"/>
          <w:szCs w:val="28"/>
        </w:rPr>
        <w:t>接受投标人提出的与投标文件不一致的澄清或者说明，除招标文件明确可以澄清的除外；</w:t>
      </w:r>
    </w:p>
    <w:p>
      <w:pPr>
        <w:numPr>
          <w:ilvl w:val="0"/>
          <w:numId w:val="47"/>
        </w:numPr>
        <w:tabs>
          <w:tab w:val="left" w:pos="1155"/>
        </w:tabs>
        <w:spacing w:line="360" w:lineRule="auto"/>
        <w:ind w:left="0" w:firstLine="567"/>
        <w:rPr>
          <w:rFonts w:ascii="宋体" w:hAnsi="宋体"/>
          <w:sz w:val="28"/>
          <w:szCs w:val="28"/>
        </w:rPr>
      </w:pPr>
      <w:r>
        <w:rPr>
          <w:rFonts w:hint="eastAsia" w:ascii="宋体" w:hAnsi="宋体"/>
          <w:sz w:val="28"/>
          <w:szCs w:val="28"/>
        </w:rPr>
        <w:t>违反评标纪律发表倾向性意见或者征询采购人的倾向性意见；</w:t>
      </w:r>
    </w:p>
    <w:p>
      <w:pPr>
        <w:numPr>
          <w:ilvl w:val="0"/>
          <w:numId w:val="47"/>
        </w:numPr>
        <w:tabs>
          <w:tab w:val="left" w:pos="1155"/>
        </w:tabs>
        <w:spacing w:line="360" w:lineRule="auto"/>
        <w:rPr>
          <w:rFonts w:ascii="宋体" w:hAnsi="宋体"/>
          <w:sz w:val="28"/>
          <w:szCs w:val="28"/>
        </w:rPr>
      </w:pPr>
      <w:r>
        <w:rPr>
          <w:rFonts w:hint="eastAsia" w:ascii="宋体" w:hAnsi="宋体"/>
          <w:sz w:val="28"/>
          <w:szCs w:val="28"/>
        </w:rPr>
        <w:t>对需要专业判断的主观评审因素协商评分；</w:t>
      </w:r>
    </w:p>
    <w:p>
      <w:pPr>
        <w:numPr>
          <w:ilvl w:val="0"/>
          <w:numId w:val="47"/>
        </w:numPr>
        <w:tabs>
          <w:tab w:val="left" w:pos="1155"/>
        </w:tabs>
        <w:spacing w:line="360" w:lineRule="auto"/>
        <w:rPr>
          <w:rFonts w:ascii="宋体" w:hAnsi="宋体"/>
          <w:sz w:val="28"/>
          <w:szCs w:val="28"/>
        </w:rPr>
      </w:pPr>
      <w:r>
        <w:rPr>
          <w:rFonts w:hint="eastAsia" w:ascii="宋体" w:hAnsi="宋体"/>
          <w:sz w:val="28"/>
          <w:szCs w:val="28"/>
        </w:rPr>
        <w:t>在评标过程中擅离职守，影响评标程序正常进行的；</w:t>
      </w:r>
    </w:p>
    <w:p>
      <w:pPr>
        <w:numPr>
          <w:ilvl w:val="0"/>
          <w:numId w:val="47"/>
        </w:numPr>
        <w:tabs>
          <w:tab w:val="left" w:pos="1155"/>
        </w:tabs>
        <w:spacing w:line="360" w:lineRule="auto"/>
        <w:rPr>
          <w:rFonts w:ascii="宋体" w:hAnsi="宋体"/>
          <w:sz w:val="28"/>
          <w:szCs w:val="28"/>
        </w:rPr>
      </w:pPr>
      <w:r>
        <w:rPr>
          <w:rFonts w:hint="eastAsia" w:ascii="宋体" w:hAnsi="宋体"/>
          <w:sz w:val="28"/>
          <w:szCs w:val="28"/>
        </w:rPr>
        <w:t>记录、复制或者带走任何评标资料；</w:t>
      </w:r>
    </w:p>
    <w:p>
      <w:pPr>
        <w:numPr>
          <w:ilvl w:val="0"/>
          <w:numId w:val="47"/>
        </w:numPr>
        <w:tabs>
          <w:tab w:val="left" w:pos="1155"/>
        </w:tabs>
        <w:spacing w:line="360" w:lineRule="auto"/>
        <w:rPr>
          <w:rFonts w:ascii="宋体" w:hAnsi="宋体"/>
          <w:sz w:val="28"/>
          <w:szCs w:val="28"/>
        </w:rPr>
      </w:pPr>
      <w:r>
        <w:rPr>
          <w:rFonts w:hint="eastAsia" w:ascii="宋体" w:hAnsi="宋体"/>
          <w:sz w:val="28"/>
          <w:szCs w:val="28"/>
        </w:rPr>
        <w:t>其他不遵守评标纪律的行为。</w:t>
      </w:r>
    </w:p>
    <w:p>
      <w:pPr>
        <w:spacing w:line="360" w:lineRule="auto"/>
        <w:ind w:firstLine="560" w:firstLineChars="200"/>
        <w:rPr>
          <w:sz w:val="28"/>
          <w:szCs w:val="28"/>
        </w:rPr>
      </w:pPr>
      <w:r>
        <w:rPr>
          <w:rFonts w:hint="eastAsia"/>
          <w:sz w:val="28"/>
          <w:szCs w:val="28"/>
        </w:rPr>
        <w:t>评标委员会成员有前款第一至五项行为之一的，其评审意见无效，并不得获取评审劳务报酬和报销异地评审差旅费。</w:t>
      </w:r>
    </w:p>
    <w:p>
      <w:pPr>
        <w:keepNext/>
        <w:keepLines/>
        <w:numPr>
          <w:ilvl w:val="1"/>
          <w:numId w:val="3"/>
        </w:numPr>
        <w:spacing w:before="240" w:line="360" w:lineRule="auto"/>
        <w:jc w:val="left"/>
        <w:outlineLvl w:val="1"/>
        <w:rPr>
          <w:rFonts w:ascii="宋体" w:hAnsi="宋体"/>
          <w:b/>
          <w:bCs/>
          <w:sz w:val="28"/>
          <w:szCs w:val="28"/>
        </w:rPr>
      </w:pPr>
      <w:bookmarkStart w:id="186" w:name="_Toc78191641"/>
      <w:r>
        <w:rPr>
          <w:rFonts w:hint="eastAsia" w:ascii="宋体" w:hAnsi="宋体"/>
          <w:b/>
          <w:bCs/>
          <w:sz w:val="28"/>
          <w:szCs w:val="28"/>
        </w:rPr>
        <w:t>评审专家在政府采购活动中应当遵守以下工作纪律</w:t>
      </w:r>
      <w:bookmarkEnd w:id="186"/>
    </w:p>
    <w:p>
      <w:pPr>
        <w:numPr>
          <w:ilvl w:val="0"/>
          <w:numId w:val="48"/>
        </w:numPr>
        <w:tabs>
          <w:tab w:val="left" w:pos="1155"/>
        </w:tabs>
        <w:spacing w:line="360" w:lineRule="auto"/>
        <w:ind w:left="0" w:firstLine="527"/>
        <w:rPr>
          <w:rFonts w:ascii="宋体" w:hAnsi="宋体"/>
          <w:sz w:val="28"/>
          <w:szCs w:val="28"/>
        </w:rPr>
      </w:pPr>
      <w:r>
        <w:rPr>
          <w:rFonts w:hint="eastAsia" w:ascii="宋体" w:hAnsi="宋体"/>
          <w:sz w:val="28"/>
          <w:szCs w:val="28"/>
        </w:rPr>
        <w:t>遵行《政府采购法》第十二条和《政府采购法实施条例》第九条及政府采购相关法律法规关于回避的规定。</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应邀按时参加评审和咨询活动，遵守评标区管理规定。</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进入评标区之前应将所有的通信设备存入公资交易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hint="eastAsia" w:cs="Arial"/>
          <w:sz w:val="28"/>
          <w:szCs w:val="28"/>
        </w:rPr>
        <w:t>市公资交易中心</w:t>
      </w:r>
      <w:r>
        <w:rPr>
          <w:rFonts w:hint="eastAsia" w:ascii="宋体" w:hAnsi="宋体"/>
          <w:sz w:val="28"/>
          <w:szCs w:val="28"/>
        </w:rPr>
        <w:t>，不得私自转托他人。</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不得参加与自己有利害关系的政府采购项目的评审活动。对与自己有利害关系的评审项目，如受到邀请，应主动提出回避。财政部门、采购人或</w:t>
      </w:r>
      <w:r>
        <w:rPr>
          <w:rFonts w:hint="eastAsia" w:cs="Arial"/>
          <w:sz w:val="28"/>
          <w:szCs w:val="28"/>
        </w:rPr>
        <w:t>市公资交易中心</w:t>
      </w:r>
      <w:r>
        <w:rPr>
          <w:rFonts w:hint="eastAsia" w:ascii="宋体" w:hAnsi="宋体"/>
          <w:sz w:val="28"/>
          <w:szCs w:val="28"/>
        </w:rPr>
        <w:t>也可要求该评审专家回避。</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在评标过程中和评标结束后，不得记录、复制或带走任何评标资料，除因规定的义务外，不得向外界透露评标内容。</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服从评标现场</w:t>
      </w:r>
      <w:r>
        <w:rPr>
          <w:rFonts w:hint="eastAsia" w:cs="Arial"/>
          <w:sz w:val="28"/>
          <w:szCs w:val="28"/>
        </w:rPr>
        <w:t>市公资交易中心</w:t>
      </w:r>
      <w:r>
        <w:rPr>
          <w:rFonts w:hint="eastAsia" w:ascii="宋体" w:hAnsi="宋体"/>
          <w:sz w:val="28"/>
          <w:szCs w:val="28"/>
        </w:rPr>
        <w:t>的现场秩序管理，接受评标现场监督人员的合法监督。</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遵守有关廉洁自律规定，不得私下接触投标人，不得收受投标人及有关业务单位和个人的财物或好处，不得接受采购组织单位的请托。</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在咨询工作中，严格执行国家产业政策和产品标准，认真听取咨询方的合理要求，提出科学合理的、无倾向性和歧视性的咨询方案，并对所提出的意见和建议承担个人责任。</w:t>
      </w:r>
    </w:p>
    <w:p>
      <w:pPr>
        <w:numPr>
          <w:ilvl w:val="0"/>
          <w:numId w:val="48"/>
        </w:numPr>
        <w:tabs>
          <w:tab w:val="left" w:pos="1155"/>
          <w:tab w:val="left" w:pos="1276"/>
          <w:tab w:val="left" w:pos="1418"/>
        </w:tabs>
        <w:spacing w:line="580" w:lineRule="exact"/>
        <w:ind w:left="527" w:firstLine="40"/>
        <w:rPr>
          <w:rFonts w:ascii="宋体" w:hAnsi="宋体"/>
          <w:sz w:val="28"/>
          <w:szCs w:val="28"/>
        </w:rPr>
      </w:pPr>
      <w:r>
        <w:rPr>
          <w:rFonts w:hint="eastAsia" w:ascii="宋体" w:hAnsi="宋体"/>
          <w:sz w:val="28"/>
          <w:szCs w:val="28"/>
        </w:rPr>
        <w:t>有关部门（机构）制定的其他评审工作纪律。</w:t>
      </w:r>
    </w:p>
    <w:p>
      <w:pPr>
        <w:tabs>
          <w:tab w:val="left" w:pos="1155"/>
          <w:tab w:val="left" w:pos="1276"/>
          <w:tab w:val="left" w:pos="1418"/>
        </w:tabs>
        <w:spacing w:line="580" w:lineRule="exact"/>
        <w:rPr>
          <w:rFonts w:ascii="宋体" w:hAnsi="宋体"/>
          <w:sz w:val="28"/>
          <w:szCs w:val="28"/>
        </w:rPr>
      </w:pPr>
    </w:p>
    <w:p>
      <w:pPr>
        <w:pStyle w:val="2"/>
        <w:rPr>
          <w:rFonts w:ascii="宋体" w:hAnsi="宋体"/>
          <w:sz w:val="28"/>
          <w:szCs w:val="28"/>
        </w:rPr>
      </w:pPr>
    </w:p>
    <w:p>
      <w:pPr>
        <w:pStyle w:val="34"/>
        <w:rPr>
          <w:rFonts w:ascii="宋体" w:hAnsi="宋体"/>
          <w:sz w:val="28"/>
          <w:szCs w:val="28"/>
        </w:rPr>
      </w:pPr>
    </w:p>
    <w:p>
      <w:pPr>
        <w:rPr>
          <w:rFonts w:ascii="宋体" w:hAnsi="宋体"/>
          <w:sz w:val="28"/>
          <w:szCs w:val="28"/>
        </w:rPr>
      </w:pPr>
    </w:p>
    <w:p>
      <w:pPr>
        <w:pStyle w:val="2"/>
      </w:pPr>
    </w:p>
    <w:p>
      <w:pPr>
        <w:keepNext/>
        <w:keepLines/>
        <w:numPr>
          <w:ilvl w:val="0"/>
          <w:numId w:val="3"/>
        </w:numPr>
        <w:spacing w:line="360" w:lineRule="auto"/>
        <w:ind w:left="0" w:firstLine="0"/>
        <w:jc w:val="center"/>
        <w:outlineLvl w:val="0"/>
        <w:rPr>
          <w:rFonts w:ascii="宋体" w:hAnsi="宋体"/>
          <w:b/>
          <w:bCs/>
          <w:spacing w:val="-20"/>
          <w:kern w:val="44"/>
          <w:sz w:val="32"/>
          <w:szCs w:val="32"/>
        </w:rPr>
      </w:pPr>
      <w:bookmarkStart w:id="187" w:name="_Toc78191642"/>
      <w:r>
        <w:rPr>
          <w:rFonts w:hint="eastAsia" w:ascii="宋体" w:hAnsi="宋体"/>
          <w:b/>
          <w:bCs/>
          <w:spacing w:val="-20"/>
          <w:kern w:val="44"/>
          <w:sz w:val="32"/>
          <w:szCs w:val="32"/>
        </w:rPr>
        <w:t>拟签订合同</w:t>
      </w:r>
      <w:bookmarkStart w:id="188" w:name="_Toc316475677"/>
      <w:bookmarkEnd w:id="188"/>
      <w:bookmarkStart w:id="189" w:name="_Toc316475757"/>
      <w:bookmarkEnd w:id="189"/>
      <w:bookmarkStart w:id="190" w:name="_Toc316475762"/>
      <w:bookmarkEnd w:id="190"/>
      <w:bookmarkStart w:id="191" w:name="_Toc316475753"/>
      <w:bookmarkEnd w:id="191"/>
      <w:bookmarkStart w:id="192" w:name="_Toc299975364"/>
      <w:bookmarkEnd w:id="192"/>
      <w:bookmarkStart w:id="193" w:name="_Toc316475666"/>
      <w:bookmarkEnd w:id="193"/>
      <w:bookmarkStart w:id="194" w:name="_Toc316475760"/>
      <w:bookmarkEnd w:id="194"/>
      <w:bookmarkStart w:id="195" w:name="_Toc316475754"/>
      <w:bookmarkEnd w:id="195"/>
      <w:bookmarkStart w:id="196" w:name="_Toc277152522"/>
      <w:bookmarkEnd w:id="196"/>
      <w:bookmarkStart w:id="197" w:name="_Toc214858832"/>
      <w:bookmarkEnd w:id="197"/>
      <w:bookmarkStart w:id="198" w:name="_Toc316475675"/>
      <w:bookmarkEnd w:id="198"/>
      <w:bookmarkStart w:id="199" w:name="_Toc316475673"/>
      <w:bookmarkEnd w:id="199"/>
      <w:bookmarkStart w:id="200" w:name="_Toc277152521"/>
      <w:bookmarkEnd w:id="200"/>
      <w:bookmarkStart w:id="201" w:name="_Toc316475764"/>
      <w:bookmarkEnd w:id="201"/>
      <w:bookmarkStart w:id="202" w:name="_Toc316475763"/>
      <w:bookmarkEnd w:id="202"/>
      <w:bookmarkStart w:id="203" w:name="_Toc316475672"/>
      <w:bookmarkEnd w:id="203"/>
      <w:bookmarkStart w:id="204" w:name="_Toc316475761"/>
      <w:bookmarkEnd w:id="204"/>
      <w:bookmarkStart w:id="205" w:name="_Toc316475676"/>
      <w:bookmarkEnd w:id="205"/>
      <w:bookmarkStart w:id="206" w:name="_Toc277152520"/>
      <w:bookmarkEnd w:id="206"/>
      <w:bookmarkStart w:id="207" w:name="_Toc316475759"/>
      <w:bookmarkEnd w:id="207"/>
      <w:bookmarkStart w:id="208" w:name="_Toc299975392"/>
      <w:bookmarkEnd w:id="208"/>
      <w:bookmarkStart w:id="209" w:name="_Toc316475667"/>
      <w:bookmarkEnd w:id="209"/>
      <w:bookmarkStart w:id="210" w:name="_Toc316475751"/>
      <w:bookmarkEnd w:id="210"/>
      <w:bookmarkStart w:id="211" w:name="_Toc277152523"/>
      <w:bookmarkEnd w:id="211"/>
      <w:bookmarkStart w:id="212" w:name="_Toc316475671"/>
      <w:bookmarkEnd w:id="212"/>
      <w:bookmarkStart w:id="213" w:name="_Toc316475752"/>
      <w:bookmarkEnd w:id="213"/>
      <w:bookmarkStart w:id="214" w:name="_Toc316475755"/>
      <w:bookmarkEnd w:id="214"/>
      <w:bookmarkStart w:id="215" w:name="_Toc316475669"/>
      <w:bookmarkEnd w:id="215"/>
      <w:bookmarkStart w:id="216" w:name="_Toc316475668"/>
      <w:bookmarkEnd w:id="216"/>
      <w:bookmarkStart w:id="217" w:name="_Toc316475670"/>
      <w:bookmarkEnd w:id="217"/>
      <w:bookmarkStart w:id="218" w:name="_Toc316475758"/>
      <w:bookmarkEnd w:id="218"/>
      <w:bookmarkStart w:id="219" w:name="_Toc316475674"/>
      <w:bookmarkEnd w:id="219"/>
      <w:bookmarkStart w:id="220" w:name="_Toc316475756"/>
      <w:bookmarkEnd w:id="220"/>
      <w:bookmarkStart w:id="221" w:name="_Toc316475664"/>
      <w:bookmarkEnd w:id="221"/>
      <w:bookmarkStart w:id="222" w:name="_Toc316475665"/>
      <w:bookmarkEnd w:id="222"/>
      <w:bookmarkStart w:id="223" w:name="_Toc34729074"/>
      <w:bookmarkStart w:id="224" w:name="_Toc8573798"/>
      <w:bookmarkStart w:id="225" w:name="_Toc217446108"/>
      <w:r>
        <w:rPr>
          <w:rFonts w:hint="eastAsia" w:ascii="宋体" w:hAnsi="宋体"/>
          <w:b/>
          <w:bCs/>
          <w:spacing w:val="-20"/>
          <w:kern w:val="44"/>
          <w:sz w:val="32"/>
          <w:szCs w:val="32"/>
        </w:rPr>
        <w:t>文本</w:t>
      </w:r>
      <w:bookmarkEnd w:id="187"/>
      <w:r>
        <w:rPr>
          <w:rFonts w:ascii="宋体" w:hAnsi="宋体"/>
          <w:b/>
          <w:bCs/>
          <w:spacing w:val="-20"/>
          <w:kern w:val="44"/>
          <w:sz w:val="32"/>
          <w:szCs w:val="32"/>
        </w:rPr>
        <w:t xml:space="preserve"> </w:t>
      </w:r>
      <w:r>
        <w:rPr>
          <w:rFonts w:hint="eastAsia" w:ascii="宋体" w:hAnsi="宋体"/>
          <w:b/>
          <w:bCs/>
          <w:spacing w:val="-20"/>
          <w:kern w:val="44"/>
          <w:sz w:val="32"/>
          <w:szCs w:val="32"/>
        </w:rPr>
        <w:t>(草案)</w:t>
      </w:r>
    </w:p>
    <w:bookmarkEnd w:id="223"/>
    <w:bookmarkEnd w:id="224"/>
    <w:bookmarkEnd w:id="225"/>
    <w:p>
      <w:pPr>
        <w:spacing w:line="460" w:lineRule="exact"/>
        <w:rPr>
          <w:rFonts w:ascii="仿宋" w:hAnsi="仿宋" w:eastAsia="仿宋"/>
          <w:sz w:val="32"/>
          <w:szCs w:val="32"/>
        </w:rPr>
      </w:pPr>
    </w:p>
    <w:p>
      <w:pPr>
        <w:spacing w:line="360" w:lineRule="auto"/>
        <w:jc w:val="center"/>
        <w:rPr>
          <w:rFonts w:ascii="宋体" w:hAnsi="宋体"/>
          <w:sz w:val="44"/>
          <w:szCs w:val="44"/>
        </w:rPr>
      </w:pPr>
      <w:r>
        <w:rPr>
          <w:rFonts w:hint="eastAsia" w:ascii="宋体" w:hAnsi="宋体"/>
          <w:bCs/>
          <w:sz w:val="44"/>
          <w:szCs w:val="44"/>
        </w:rPr>
        <w:t>设备采购合同</w:t>
      </w:r>
    </w:p>
    <w:p>
      <w:pPr>
        <w:spacing w:line="336" w:lineRule="auto"/>
        <w:rPr>
          <w:rFonts w:ascii="宋体" w:hAnsi="宋体" w:cs="宋体"/>
          <w:color w:val="000000"/>
          <w:sz w:val="24"/>
        </w:rPr>
      </w:pPr>
      <w:r>
        <w:rPr>
          <w:rFonts w:hint="eastAsia" w:ascii="宋体" w:hAnsi="宋体"/>
          <w:color w:val="000000"/>
          <w:sz w:val="24"/>
        </w:rPr>
        <w:t>合同编号：</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36" w:lineRule="auto"/>
        <w:rPr>
          <w:rFonts w:ascii="宋体" w:hAnsi="宋体" w:cs="宋体"/>
          <w:sz w:val="24"/>
        </w:rPr>
      </w:pPr>
      <w:r>
        <w:rPr>
          <w:rFonts w:hint="eastAsia" w:ascii="宋体" w:hAnsi="宋体" w:cs="宋体"/>
          <w:sz w:val="24"/>
        </w:rPr>
        <w:t>签订地点：都江堰市</w:t>
      </w:r>
      <w:r>
        <w:rPr>
          <w:rFonts w:hint="eastAsia" w:ascii="宋体" w:hAnsi="宋体"/>
          <w:color w:val="000000"/>
          <w:sz w:val="24"/>
          <w:u w:val="single"/>
        </w:rPr>
        <w:t>中医医院</w:t>
      </w:r>
    </w:p>
    <w:p>
      <w:pPr>
        <w:spacing w:line="336" w:lineRule="auto"/>
        <w:rPr>
          <w:rFonts w:ascii="宋体" w:hAnsi="宋体" w:cs="宋体"/>
          <w:color w:val="000000"/>
          <w:sz w:val="24"/>
        </w:rPr>
      </w:pPr>
      <w:r>
        <w:rPr>
          <w:rFonts w:hint="eastAsia" w:ascii="宋体" w:hAnsi="宋体" w:cs="宋体"/>
          <w:color w:val="000000"/>
          <w:sz w:val="24"/>
        </w:rPr>
        <w:t>签订时间：    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336" w:lineRule="auto"/>
        <w:rPr>
          <w:rFonts w:ascii="宋体" w:hAnsi="宋体"/>
          <w:color w:val="000000"/>
          <w:sz w:val="24"/>
          <w:u w:val="single"/>
        </w:rPr>
      </w:pPr>
      <w:r>
        <w:rPr>
          <w:rFonts w:hint="eastAsia" w:ascii="宋体" w:hAnsi="宋体"/>
          <w:color w:val="000000"/>
          <w:sz w:val="24"/>
        </w:rPr>
        <w:t>采购人（甲方）：</w:t>
      </w:r>
      <w:r>
        <w:rPr>
          <w:rFonts w:hint="eastAsia" w:ascii="宋体" w:hAnsi="宋体"/>
          <w:color w:val="000000"/>
          <w:sz w:val="24"/>
          <w:u w:val="single"/>
        </w:rPr>
        <w:t>都江堰市中医医院</w:t>
      </w:r>
    </w:p>
    <w:p>
      <w:pPr>
        <w:spacing w:line="336" w:lineRule="auto"/>
        <w:rPr>
          <w:color w:val="FF0000"/>
          <w:sz w:val="24"/>
          <w:u w:val="single"/>
        </w:rPr>
      </w:pPr>
      <w:r>
        <w:rPr>
          <w:rFonts w:hint="eastAsia"/>
          <w:color w:val="FF0000"/>
          <w:sz w:val="24"/>
        </w:rPr>
        <w:t>供应商（乙方）：</w:t>
      </w:r>
    </w:p>
    <w:p>
      <w:pPr>
        <w:pStyle w:val="103"/>
        <w:spacing w:line="336" w:lineRule="auto"/>
        <w:ind w:firstLine="600" w:firstLineChars="250"/>
        <w:rPr>
          <w:rFonts w:ascii="宋体"/>
        </w:rPr>
      </w:pPr>
      <w:r>
        <w:rPr>
          <w:rFonts w:hint="eastAsia" w:ascii="宋体" w:hAnsi="宋体"/>
          <w:color w:val="000000"/>
        </w:rPr>
        <w:t>根据《中华人民共和国政府采购法》、《中华人民共和国民典法》</w:t>
      </w:r>
      <w:r>
        <w:rPr>
          <w:rFonts w:hint="eastAsia" w:ascii="宋体" w:hAnsi="宋体"/>
          <w:color w:val="FF0000"/>
        </w:rPr>
        <w:t>及</w:t>
      </w:r>
      <w:bookmarkStart w:id="226" w:name="PO_项目名称_1"/>
      <w:bookmarkStart w:id="227" w:name="_Hlk533091799"/>
      <w:r>
        <w:rPr>
          <w:rFonts w:hint="eastAsia" w:ascii="宋体" w:hAnsi="宋体"/>
          <w:bCs/>
          <w:color w:val="FF0000"/>
          <w:szCs w:val="32"/>
          <w:u w:val="single"/>
        </w:rPr>
        <w:t>都江堰市中医医院XXX采购</w:t>
      </w:r>
      <w:bookmarkEnd w:id="226"/>
      <w:bookmarkEnd w:id="227"/>
      <w:r>
        <w:rPr>
          <w:rFonts w:hint="eastAsia" w:ascii="宋体"/>
          <w:color w:val="FF0000"/>
          <w:szCs w:val="32"/>
        </w:rPr>
        <w:t>项目</w:t>
      </w:r>
      <w:r>
        <w:rPr>
          <w:rFonts w:hint="eastAsia" w:ascii="宋体" w:hAnsi="宋体"/>
          <w:color w:val="FF0000"/>
        </w:rPr>
        <w:t>（项目编号：XXX）</w:t>
      </w:r>
      <w:r>
        <w:rPr>
          <w:rFonts w:hint="eastAsia" w:ascii="宋体" w:hAnsi="宋体"/>
          <w:color w:val="FF0000"/>
          <w:u w:val="single"/>
        </w:rPr>
        <w:t>第XX包</w:t>
      </w:r>
      <w:r>
        <w:rPr>
          <w:rFonts w:hint="eastAsia" w:ascii="宋体" w:hAnsi="宋体"/>
          <w:color w:val="FF0000"/>
        </w:rPr>
        <w:t>的《招标文件》、乙方的《投标文件》及《中标(成交）通知书》，甲、乙双方同意签订本合同</w:t>
      </w:r>
      <w:r>
        <w:rPr>
          <w:rFonts w:hint="eastAsia" w:ascii="宋体" w:hAnsi="宋体"/>
          <w:color w:val="000000"/>
        </w:rPr>
        <w:t>。详细技术说明及其他有关合同项目的特定信息由合同附件予以说明，合同附件及本项目的招标文件、投标文件、《</w:t>
      </w:r>
      <w:r>
        <w:rPr>
          <w:rFonts w:hint="eastAsia" w:ascii="宋体" w:hAnsi="宋体"/>
        </w:rPr>
        <w:t>中标</w:t>
      </w:r>
      <w:r>
        <w:rPr>
          <w:rFonts w:hint="eastAsia" w:ascii="宋体" w:hAnsi="宋体"/>
          <w:color w:val="FF0000"/>
        </w:rPr>
        <w:t>(成交）通知书</w:t>
      </w:r>
      <w:r>
        <w:rPr>
          <w:rFonts w:hint="eastAsia" w:ascii="宋体" w:hAnsi="宋体"/>
        </w:rPr>
        <w:t>》等均为本合同不可分割的部分。双方同意共同遵守如下条款：</w:t>
      </w:r>
    </w:p>
    <w:p>
      <w:pPr>
        <w:pStyle w:val="103"/>
        <w:spacing w:line="336" w:lineRule="auto"/>
        <w:ind w:firstLine="0" w:firstLineChars="0"/>
        <w:rPr>
          <w:rFonts w:ascii="宋体" w:hAnsi="宋体"/>
          <w:b/>
          <w:sz w:val="28"/>
          <w:szCs w:val="28"/>
        </w:rPr>
      </w:pPr>
      <w:r>
        <w:rPr>
          <w:rFonts w:hint="eastAsia" w:ascii="宋体" w:hAnsi="宋体"/>
          <w:b/>
          <w:sz w:val="28"/>
          <w:szCs w:val="28"/>
        </w:rPr>
        <w:t>1.合同货物</w:t>
      </w:r>
    </w:p>
    <w:tbl>
      <w:tblPr>
        <w:tblStyle w:val="47"/>
        <w:tblW w:w="934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9"/>
        <w:gridCol w:w="1248"/>
        <w:gridCol w:w="1208"/>
        <w:gridCol w:w="722"/>
        <w:gridCol w:w="722"/>
        <w:gridCol w:w="1169"/>
        <w:gridCol w:w="1303"/>
        <w:gridCol w:w="15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634"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s="Arial"/>
                <w:color w:val="FF0000"/>
                <w:sz w:val="24"/>
              </w:rPr>
            </w:pPr>
            <w:r>
              <w:rPr>
                <w:rFonts w:hint="eastAsia" w:ascii="宋体" w:hAnsi="宋体" w:cs="Arial"/>
                <w:color w:val="FF0000"/>
                <w:sz w:val="24"/>
              </w:rPr>
              <w:t>货物品名</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s="Arial"/>
                <w:color w:val="FF0000"/>
                <w:sz w:val="24"/>
              </w:rPr>
            </w:pPr>
            <w:r>
              <w:rPr>
                <w:rFonts w:hint="eastAsia" w:ascii="宋体" w:hAnsi="宋体" w:cs="Arial"/>
                <w:color w:val="FF0000"/>
                <w:sz w:val="24"/>
              </w:rPr>
              <w:t>生产厂家</w:t>
            </w:r>
          </w:p>
        </w:tc>
        <w:tc>
          <w:tcPr>
            <w:tcW w:w="1208"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s="Arial"/>
                <w:color w:val="FF0000"/>
                <w:sz w:val="24"/>
              </w:rPr>
            </w:pPr>
            <w:r>
              <w:rPr>
                <w:rFonts w:hint="eastAsia" w:ascii="宋体" w:hAnsi="宋体" w:cs="Arial"/>
                <w:color w:val="FF0000"/>
                <w:sz w:val="24"/>
              </w:rPr>
              <w:t>规格型号</w:t>
            </w:r>
          </w:p>
        </w:tc>
        <w:tc>
          <w:tcPr>
            <w:tcW w:w="722"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olor w:val="FF0000"/>
                <w:sz w:val="24"/>
              </w:rPr>
            </w:pPr>
            <w:r>
              <w:rPr>
                <w:rFonts w:hint="eastAsia" w:ascii="宋体" w:hAnsi="宋体" w:cs="Arial"/>
                <w:color w:val="FF0000"/>
                <w:sz w:val="24"/>
              </w:rPr>
              <w:t>单位</w:t>
            </w:r>
          </w:p>
        </w:tc>
        <w:tc>
          <w:tcPr>
            <w:tcW w:w="722"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olor w:val="FF0000"/>
                <w:sz w:val="24"/>
              </w:rPr>
            </w:pPr>
            <w:r>
              <w:rPr>
                <w:rFonts w:hint="eastAsia" w:ascii="宋体" w:hAnsi="宋体" w:cs="Arial"/>
                <w:color w:val="FF0000"/>
                <w:sz w:val="24"/>
              </w:rPr>
              <w:t>数量</w:t>
            </w:r>
          </w:p>
        </w:tc>
        <w:tc>
          <w:tcPr>
            <w:tcW w:w="1169" w:type="dxa"/>
            <w:tcBorders>
              <w:top w:val="single" w:color="auto" w:sz="4" w:space="0"/>
              <w:left w:val="single" w:color="auto" w:sz="4" w:space="0"/>
              <w:bottom w:val="single" w:color="auto" w:sz="4" w:space="0"/>
              <w:right w:val="single" w:color="auto" w:sz="4" w:space="0"/>
            </w:tcBorders>
            <w:vAlign w:val="center"/>
          </w:tcPr>
          <w:p>
            <w:pPr>
              <w:spacing w:line="336" w:lineRule="auto"/>
              <w:ind w:firstLine="120" w:firstLineChars="50"/>
              <w:jc w:val="center"/>
              <w:rPr>
                <w:rFonts w:ascii="宋体" w:hAnsi="宋体" w:cs="Arial"/>
                <w:color w:val="FF0000"/>
                <w:sz w:val="24"/>
              </w:rPr>
            </w:pPr>
            <w:r>
              <w:rPr>
                <w:rFonts w:hint="eastAsia" w:ascii="宋体" w:hAnsi="宋体" w:cs="Arial"/>
                <w:color w:val="FF0000"/>
                <w:sz w:val="24"/>
              </w:rPr>
              <w:t>单价</w:t>
            </w:r>
          </w:p>
          <w:p>
            <w:pPr>
              <w:spacing w:line="336" w:lineRule="auto"/>
              <w:jc w:val="center"/>
              <w:rPr>
                <w:rFonts w:ascii="宋体" w:hAnsi="宋体" w:cs="Arial"/>
                <w:color w:val="FF0000"/>
                <w:sz w:val="24"/>
              </w:rPr>
            </w:pPr>
            <w:r>
              <w:rPr>
                <w:rFonts w:hint="eastAsia" w:ascii="宋体" w:hAnsi="宋体" w:cs="Arial"/>
                <w:color w:val="FF0000"/>
                <w:sz w:val="24"/>
              </w:rPr>
              <w:t>（元）</w:t>
            </w:r>
          </w:p>
        </w:tc>
        <w:tc>
          <w:tcPr>
            <w:tcW w:w="1303"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s="Arial"/>
                <w:color w:val="FF0000"/>
                <w:sz w:val="24"/>
              </w:rPr>
            </w:pPr>
            <w:r>
              <w:rPr>
                <w:rFonts w:hint="eastAsia" w:ascii="宋体" w:hAnsi="宋体" w:cs="Arial"/>
                <w:color w:val="FF0000"/>
                <w:sz w:val="24"/>
              </w:rPr>
              <w:t>总价</w:t>
            </w:r>
          </w:p>
          <w:p>
            <w:pPr>
              <w:spacing w:line="336" w:lineRule="auto"/>
              <w:jc w:val="center"/>
              <w:rPr>
                <w:rFonts w:ascii="宋体" w:hAnsi="宋体"/>
                <w:color w:val="FF0000"/>
                <w:sz w:val="24"/>
              </w:rPr>
            </w:pPr>
            <w:r>
              <w:rPr>
                <w:rFonts w:hint="eastAsia" w:ascii="宋体" w:hAnsi="宋体" w:cs="Arial"/>
                <w:color w:val="FF0000"/>
                <w:sz w:val="24"/>
              </w:rPr>
              <w:t>（元）</w:t>
            </w:r>
          </w:p>
        </w:tc>
        <w:tc>
          <w:tcPr>
            <w:tcW w:w="1521"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olor w:val="FF0000"/>
                <w:sz w:val="24"/>
              </w:rPr>
            </w:pPr>
            <w:r>
              <w:rPr>
                <w:rFonts w:hint="eastAsia" w:ascii="宋体" w:hAnsi="宋体" w:cs="Arial"/>
                <w:color w:val="FF0000"/>
                <w:sz w:val="24"/>
              </w:rPr>
              <w:t>注册证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705"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olor w:val="FF0000"/>
                <w:sz w:val="24"/>
              </w:rPr>
            </w:pPr>
            <w:r>
              <w:rPr>
                <w:rFonts w:hint="eastAsia" w:ascii="宋体" w:hAnsi="宋体"/>
                <w:color w:val="FF0000"/>
                <w:sz w:val="24"/>
              </w:rPr>
              <w:t>详见附件1</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36" w:lineRule="auto"/>
              <w:ind w:right="-105" w:rightChars="-50"/>
              <w:jc w:val="center"/>
              <w:rPr>
                <w:rFonts w:ascii="宋体" w:hAnsi="宋体"/>
                <w:color w:val="FF0000"/>
                <w:sz w:val="24"/>
              </w:rPr>
            </w:pPr>
            <w:r>
              <w:rPr>
                <w:rFonts w:hint="eastAsia" w:ascii="宋体" w:hAnsi="宋体"/>
                <w:color w:val="FF0000"/>
                <w:sz w:val="24"/>
              </w:rPr>
              <w:t>详见附件1</w:t>
            </w:r>
          </w:p>
        </w:tc>
        <w:tc>
          <w:tcPr>
            <w:tcW w:w="1208"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olor w:val="FF0000"/>
                <w:sz w:val="24"/>
              </w:rPr>
            </w:pPr>
            <w:r>
              <w:rPr>
                <w:rFonts w:hint="eastAsia" w:ascii="宋体" w:hAnsi="宋体"/>
                <w:color w:val="FF0000"/>
                <w:sz w:val="24"/>
              </w:rPr>
              <w:t>详见附件1</w:t>
            </w:r>
          </w:p>
        </w:tc>
        <w:tc>
          <w:tcPr>
            <w:tcW w:w="722"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olor w:val="FF0000"/>
                <w:sz w:val="24"/>
              </w:rPr>
            </w:pPr>
            <w:r>
              <w:rPr>
                <w:rFonts w:hint="eastAsia" w:ascii="宋体" w:hAnsi="宋体"/>
                <w:color w:val="FF0000"/>
                <w:sz w:val="24"/>
              </w:rPr>
              <w:t>详见附件1</w:t>
            </w:r>
          </w:p>
        </w:tc>
        <w:tc>
          <w:tcPr>
            <w:tcW w:w="722"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olor w:val="FF0000"/>
                <w:sz w:val="24"/>
              </w:rPr>
            </w:pPr>
            <w:r>
              <w:rPr>
                <w:rFonts w:hint="eastAsia" w:ascii="宋体" w:hAnsi="宋体"/>
                <w:color w:val="FF0000"/>
                <w:sz w:val="24"/>
              </w:rPr>
              <w:t>详见附件1</w:t>
            </w:r>
          </w:p>
        </w:tc>
        <w:tc>
          <w:tcPr>
            <w:tcW w:w="1169" w:type="dxa"/>
            <w:tcBorders>
              <w:top w:val="single" w:color="auto" w:sz="4" w:space="0"/>
              <w:left w:val="nil"/>
              <w:bottom w:val="single" w:color="auto" w:sz="4" w:space="0"/>
              <w:right w:val="single" w:color="auto" w:sz="4" w:space="0"/>
            </w:tcBorders>
            <w:vAlign w:val="center"/>
          </w:tcPr>
          <w:p>
            <w:pPr>
              <w:widowControl/>
              <w:spacing w:line="360" w:lineRule="atLeast"/>
              <w:jc w:val="center"/>
              <w:outlineLvl w:val="1"/>
              <w:rPr>
                <w:rFonts w:ascii="宋体" w:hAnsi="宋体"/>
                <w:color w:val="FF0000"/>
                <w:sz w:val="24"/>
              </w:rPr>
            </w:pPr>
            <w:r>
              <w:rPr>
                <w:rFonts w:hint="eastAsia" w:ascii="宋体" w:hAnsi="宋体"/>
                <w:color w:val="FF0000"/>
                <w:sz w:val="24"/>
              </w:rPr>
              <w:t>详见附件1</w:t>
            </w:r>
          </w:p>
        </w:tc>
        <w:tc>
          <w:tcPr>
            <w:tcW w:w="1303" w:type="dxa"/>
            <w:tcBorders>
              <w:top w:val="single" w:color="auto" w:sz="4" w:space="0"/>
              <w:left w:val="nil"/>
              <w:bottom w:val="single" w:color="auto" w:sz="4" w:space="0"/>
              <w:right w:val="single" w:color="auto" w:sz="4" w:space="0"/>
            </w:tcBorders>
            <w:vAlign w:val="center"/>
          </w:tcPr>
          <w:p>
            <w:pPr>
              <w:widowControl/>
              <w:spacing w:line="360" w:lineRule="atLeast"/>
              <w:jc w:val="center"/>
              <w:outlineLvl w:val="1"/>
              <w:rPr>
                <w:rFonts w:ascii="宋体" w:hAnsi="宋体"/>
                <w:color w:val="FF0000"/>
                <w:sz w:val="24"/>
              </w:rPr>
            </w:pPr>
            <w:r>
              <w:rPr>
                <w:rFonts w:hint="eastAsia" w:ascii="宋体" w:hAnsi="宋体"/>
                <w:color w:val="FF0000"/>
                <w:sz w:val="24"/>
              </w:rPr>
              <w:t>详见附件1</w:t>
            </w:r>
          </w:p>
        </w:tc>
        <w:tc>
          <w:tcPr>
            <w:tcW w:w="1521"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olor w:val="FF0000"/>
                <w:sz w:val="24"/>
              </w:rPr>
            </w:pPr>
            <w:r>
              <w:rPr>
                <w:rFonts w:hint="eastAsia" w:ascii="宋体" w:hAnsi="宋体"/>
                <w:color w:val="FF0000"/>
                <w:sz w:val="24"/>
              </w:rPr>
              <w:t>详见附件1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olor w:val="FF0000"/>
                <w:sz w:val="24"/>
              </w:rPr>
            </w:pPr>
            <w:r>
              <w:rPr>
                <w:rFonts w:hint="eastAsia" w:ascii="宋体" w:hAnsi="宋体"/>
                <w:color w:val="FF0000"/>
                <w:sz w:val="24"/>
              </w:rPr>
              <w:t>总金额（元）</w:t>
            </w:r>
          </w:p>
        </w:tc>
        <w:tc>
          <w:tcPr>
            <w:tcW w:w="7893" w:type="dxa"/>
            <w:gridSpan w:val="7"/>
            <w:tcBorders>
              <w:top w:val="single" w:color="auto" w:sz="4" w:space="0"/>
              <w:left w:val="single" w:color="auto" w:sz="4" w:space="0"/>
              <w:bottom w:val="single" w:color="auto" w:sz="4" w:space="0"/>
              <w:right w:val="single" w:color="auto" w:sz="4" w:space="0"/>
            </w:tcBorders>
            <w:vAlign w:val="center"/>
          </w:tcPr>
          <w:p>
            <w:pPr>
              <w:spacing w:line="336" w:lineRule="auto"/>
              <w:rPr>
                <w:rFonts w:ascii="宋体" w:hAnsi="宋体"/>
                <w:color w:val="FF0000"/>
                <w:sz w:val="24"/>
              </w:rPr>
            </w:pPr>
            <w:r>
              <w:rPr>
                <w:rFonts w:hint="eastAsia" w:ascii="宋体" w:hAnsi="宋体" w:cs="宋体"/>
                <w:color w:val="FF0000"/>
                <w:sz w:val="24"/>
              </w:rPr>
              <w:t xml:space="preserve">¥ </w:t>
            </w:r>
            <w:r>
              <w:rPr>
                <w:rFonts w:hint="eastAsia" w:ascii="宋体" w:hAnsi="宋体"/>
                <w:color w:val="FF0000"/>
                <w:sz w:val="24"/>
              </w:rPr>
              <w:t>元    大写：</w:t>
            </w:r>
          </w:p>
        </w:tc>
      </w:tr>
    </w:tbl>
    <w:p>
      <w:pPr>
        <w:pStyle w:val="103"/>
        <w:spacing w:line="336" w:lineRule="auto"/>
        <w:ind w:firstLine="0" w:firstLineChars="0"/>
        <w:rPr>
          <w:rFonts w:ascii="宋体" w:hAnsi="宋体"/>
          <w:color w:val="FF0000"/>
          <w:sz w:val="28"/>
          <w:szCs w:val="28"/>
        </w:rPr>
      </w:pPr>
      <w:r>
        <w:rPr>
          <w:rFonts w:hint="eastAsia" w:ascii="宋体" w:hAnsi="宋体"/>
          <w:b/>
          <w:color w:val="FF0000"/>
          <w:sz w:val="28"/>
          <w:szCs w:val="28"/>
        </w:rPr>
        <w:t>2.合同总价</w:t>
      </w:r>
    </w:p>
    <w:p>
      <w:pPr>
        <w:pStyle w:val="16"/>
        <w:spacing w:line="336" w:lineRule="auto"/>
        <w:ind w:firstLineChars="175"/>
        <w:rPr>
          <w:rFonts w:ascii="宋体" w:hAnsi="宋体"/>
          <w:color w:val="FF0000"/>
          <w:sz w:val="24"/>
        </w:rPr>
      </w:pPr>
      <w:r>
        <w:rPr>
          <w:rFonts w:hint="eastAsia" w:ascii="宋体" w:hAnsi="宋体"/>
          <w:color w:val="FF0000"/>
          <w:sz w:val="24"/>
        </w:rPr>
        <w:t>合同总价为人民币大写XXX：，即RMB￥XXX</w:t>
      </w:r>
      <w:r>
        <w:rPr>
          <w:rFonts w:hint="eastAsia" w:ascii="宋体" w:hAnsi="宋体"/>
          <w:color w:val="FF0000"/>
          <w:sz w:val="24"/>
          <w:u w:val="single"/>
        </w:rPr>
        <w:t>元</w:t>
      </w:r>
      <w:r>
        <w:rPr>
          <w:rFonts w:hint="eastAsia" w:ascii="宋体" w:hAnsi="宋体"/>
          <w:color w:val="FF0000"/>
          <w:sz w:val="24"/>
        </w:rPr>
        <w:t>；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103"/>
        <w:spacing w:line="336" w:lineRule="auto"/>
        <w:ind w:firstLine="0" w:firstLineChars="0"/>
        <w:rPr>
          <w:rFonts w:ascii="宋体" w:hAnsi="宋体"/>
          <w:b/>
          <w:sz w:val="28"/>
          <w:szCs w:val="28"/>
        </w:rPr>
      </w:pPr>
      <w:bookmarkStart w:id="228" w:name="_Toc217446109"/>
      <w:r>
        <w:rPr>
          <w:rFonts w:hint="eastAsia" w:ascii="宋体" w:hAnsi="宋体"/>
          <w:b/>
          <w:sz w:val="28"/>
          <w:szCs w:val="28"/>
        </w:rPr>
        <w:t>3.质量要求</w:t>
      </w:r>
      <w:bookmarkEnd w:id="228"/>
    </w:p>
    <w:p>
      <w:pPr>
        <w:pStyle w:val="103"/>
        <w:spacing w:line="336" w:lineRule="auto"/>
        <w:ind w:firstLine="480"/>
        <w:rPr>
          <w:rFonts w:ascii="宋体" w:hAnsi="宋体"/>
        </w:rPr>
      </w:pPr>
      <w:r>
        <w:rPr>
          <w:rFonts w:hint="eastAsia" w:ascii="宋体" w:hAnsi="宋体"/>
        </w:rPr>
        <w:t>1、乙方须提供全新的货物（含零部件、配件等），表面无划伤、无碰撞痕迹，且权属清楚，不得侵害他人的知识产权。</w:t>
      </w:r>
    </w:p>
    <w:p>
      <w:pPr>
        <w:pStyle w:val="103"/>
        <w:spacing w:line="336" w:lineRule="auto"/>
        <w:ind w:firstLine="480"/>
        <w:rPr>
          <w:rFonts w:ascii="宋体" w:hAnsi="宋体"/>
        </w:rPr>
      </w:pPr>
      <w:r>
        <w:rPr>
          <w:rFonts w:hint="eastAsia" w:ascii="宋体" w:hAnsi="宋体"/>
        </w:rPr>
        <w:t>2、货物必须符合或优于国家（行业）标准，以及本项目招标文件的质量要求和技术指标与出厂标准。</w:t>
      </w:r>
    </w:p>
    <w:p>
      <w:pPr>
        <w:pStyle w:val="103"/>
        <w:spacing w:line="336" w:lineRule="auto"/>
        <w:ind w:firstLine="480"/>
        <w:rPr>
          <w:rFonts w:ascii="宋体" w:hAnsi="宋体"/>
        </w:rPr>
      </w:pPr>
      <w:r>
        <w:rPr>
          <w:rFonts w:hint="eastAsia" w:ascii="宋体" w:hAnsi="宋体"/>
        </w:rPr>
        <w:t>3、本次采购乙方无需提供成品样品；每台货物上均应有产品质量检验合格标志。</w:t>
      </w:r>
    </w:p>
    <w:p>
      <w:pPr>
        <w:pStyle w:val="103"/>
        <w:spacing w:line="336" w:lineRule="auto"/>
        <w:ind w:firstLine="480"/>
        <w:rPr>
          <w:rFonts w:ascii="宋体" w:hAnsi="宋体"/>
        </w:rPr>
      </w:pPr>
      <w:r>
        <w:rPr>
          <w:rFonts w:hint="eastAsia" w:ascii="宋体" w:hAnsi="宋体"/>
        </w:rPr>
        <w:t>4、质保期内货物制造质量出现问题，乙方应负责三包（包修、包换、包退），费用由乙方负担，甲方有权到乙方生产场地检查货物质量和生产进度。</w:t>
      </w:r>
    </w:p>
    <w:p>
      <w:pPr>
        <w:pStyle w:val="103"/>
        <w:spacing w:line="336" w:lineRule="auto"/>
        <w:ind w:firstLine="480"/>
        <w:rPr>
          <w:rFonts w:ascii="宋体" w:hAnsi="宋体"/>
        </w:rPr>
      </w:pPr>
      <w:r>
        <w:rPr>
          <w:rFonts w:hint="eastAsia" w:ascii="宋体" w:hAnsi="宋体"/>
        </w:rPr>
        <w:t>5、货到现场后由甲方保管，若甲方保管不当造成的质量问题，乙方亦应负责修理，费用由甲方负担。</w:t>
      </w:r>
    </w:p>
    <w:p>
      <w:pPr>
        <w:pStyle w:val="103"/>
        <w:spacing w:line="336" w:lineRule="auto"/>
        <w:ind w:firstLine="0" w:firstLineChars="0"/>
        <w:rPr>
          <w:rFonts w:ascii="宋体" w:hAnsi="宋体"/>
          <w:b/>
          <w:sz w:val="28"/>
          <w:szCs w:val="28"/>
        </w:rPr>
      </w:pPr>
      <w:bookmarkStart w:id="229" w:name="_Toc217446110"/>
      <w:r>
        <w:rPr>
          <w:rFonts w:hint="eastAsia" w:ascii="宋体" w:hAnsi="宋体"/>
          <w:b/>
          <w:sz w:val="28"/>
          <w:szCs w:val="28"/>
        </w:rPr>
        <w:t>4.交货及初步验收</w:t>
      </w:r>
      <w:bookmarkEnd w:id="229"/>
    </w:p>
    <w:p>
      <w:pPr>
        <w:pStyle w:val="103"/>
        <w:spacing w:line="336" w:lineRule="auto"/>
        <w:ind w:firstLine="352" w:firstLineChars="147"/>
        <w:rPr>
          <w:rFonts w:ascii="宋体" w:hAnsi="宋体"/>
          <w:b/>
          <w:sz w:val="28"/>
          <w:szCs w:val="28"/>
        </w:rPr>
      </w:pPr>
      <w:r>
        <w:rPr>
          <w:rFonts w:hint="eastAsia" w:ascii="宋体" w:hAnsi="宋体"/>
        </w:rPr>
        <w:t>4.1、乙方交货期限为合同签订生效后的</w:t>
      </w:r>
      <w:r>
        <w:rPr>
          <w:rFonts w:hint="eastAsia" w:ascii="宋体" w:hAnsi="宋体"/>
          <w:color w:val="000000"/>
          <w:u w:val="single"/>
        </w:rPr>
        <w:t>60</w:t>
      </w:r>
      <w:r>
        <w:rPr>
          <w:rFonts w:hint="eastAsia" w:ascii="宋体" w:hAnsi="宋体"/>
        </w:rPr>
        <w:t>日内，在合同签订生效</w:t>
      </w:r>
      <w:r>
        <w:rPr>
          <w:rFonts w:hint="eastAsia" w:ascii="宋体" w:hAnsi="宋体"/>
          <w:color w:val="000000"/>
        </w:rPr>
        <w:t>之日起</w:t>
      </w:r>
      <w:r>
        <w:rPr>
          <w:rFonts w:hint="eastAsia" w:ascii="宋体" w:hAnsi="宋体"/>
          <w:color w:val="000000"/>
          <w:u w:val="single"/>
        </w:rPr>
        <w:t>60</w:t>
      </w:r>
      <w:r>
        <w:rPr>
          <w:rFonts w:hint="eastAsia" w:ascii="宋体" w:hAnsi="宋体"/>
          <w:color w:val="000000"/>
        </w:rPr>
        <w:t>天内交货到甲方指定地点，随即在甲方</w:t>
      </w:r>
      <w:r>
        <w:rPr>
          <w:rFonts w:hint="eastAsia" w:ascii="宋体" w:hAnsi="宋体"/>
          <w:color w:val="000000"/>
          <w:u w:val="single"/>
        </w:rPr>
        <w:t>规定时间</w:t>
      </w:r>
      <w:r>
        <w:rPr>
          <w:rFonts w:hint="eastAsia" w:ascii="宋体" w:hAnsi="宋体"/>
          <w:color w:val="000000"/>
        </w:rPr>
        <w:t>内全部完成安装调试验收合格交</w:t>
      </w:r>
      <w:r>
        <w:rPr>
          <w:rFonts w:hint="eastAsia" w:ascii="宋体" w:hAnsi="宋体"/>
        </w:rPr>
        <w:t>付使用，如由于甲方的原因造成合同延迟签订、货物延迟安装或验收的，时间顺延。</w:t>
      </w:r>
    </w:p>
    <w:p>
      <w:pPr>
        <w:pStyle w:val="103"/>
        <w:spacing w:line="336" w:lineRule="auto"/>
        <w:ind w:firstLine="316" w:firstLineChars="132"/>
        <w:rPr>
          <w:rFonts w:ascii="宋体" w:hAnsi="宋体"/>
        </w:rPr>
      </w:pPr>
      <w:r>
        <w:rPr>
          <w:rFonts w:hint="eastAsia" w:ascii="宋体" w:hAnsi="宋体"/>
        </w:rPr>
        <w:t>4.2、初步验收由甲方组织，乙方配合进行：</w:t>
      </w:r>
    </w:p>
    <w:p>
      <w:pPr>
        <w:pStyle w:val="103"/>
        <w:spacing w:line="336" w:lineRule="auto"/>
        <w:ind w:firstLine="316" w:firstLineChars="132"/>
        <w:rPr>
          <w:rFonts w:ascii="宋体" w:hAnsi="宋体"/>
        </w:rPr>
      </w:pPr>
      <w:r>
        <w:rPr>
          <w:rFonts w:hint="eastAsia" w:ascii="宋体" w:hAnsi="宋体"/>
        </w:rPr>
        <w:t>4.2.1 货物在乙方通知安装完毕后</w:t>
      </w:r>
      <w:r>
        <w:rPr>
          <w:rFonts w:hint="eastAsia" w:ascii="宋体" w:hAnsi="宋体"/>
          <w:u w:val="single"/>
        </w:rPr>
        <w:t>3</w:t>
      </w:r>
      <w:r>
        <w:rPr>
          <w:rFonts w:hint="eastAsia" w:ascii="宋体" w:hAnsi="宋体"/>
        </w:rPr>
        <w:t>日内进行初步验收。</w:t>
      </w:r>
    </w:p>
    <w:p>
      <w:pPr>
        <w:pStyle w:val="103"/>
        <w:spacing w:line="336" w:lineRule="auto"/>
        <w:ind w:firstLine="316" w:firstLineChars="132"/>
        <w:rPr>
          <w:rFonts w:ascii="宋体" w:hAnsi="宋体"/>
        </w:rPr>
      </w:pPr>
      <w:r>
        <w:rPr>
          <w:rFonts w:hint="eastAsia" w:ascii="宋体" w:hAnsi="宋体"/>
        </w:rPr>
        <w:t>4.2.2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103"/>
        <w:spacing w:line="336" w:lineRule="auto"/>
        <w:ind w:firstLine="360" w:firstLineChars="150"/>
        <w:rPr>
          <w:rFonts w:ascii="宋体" w:hAnsi="宋体"/>
        </w:rPr>
      </w:pPr>
      <w:r>
        <w:rPr>
          <w:rFonts w:hint="eastAsia" w:ascii="宋体" w:hAnsi="宋体"/>
        </w:rPr>
        <w:t>4.2.3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03"/>
        <w:spacing w:line="336" w:lineRule="auto"/>
        <w:ind w:firstLine="316" w:firstLineChars="132"/>
        <w:rPr>
          <w:rFonts w:ascii="宋体" w:hAnsi="宋体"/>
        </w:rPr>
      </w:pPr>
      <w:r>
        <w:rPr>
          <w:rFonts w:hint="eastAsia" w:ascii="宋体" w:hAnsi="宋体"/>
        </w:rPr>
        <w:t>4.2.4 如初步验收合格，双方签署质量验收报告。</w:t>
      </w:r>
    </w:p>
    <w:p>
      <w:pPr>
        <w:pStyle w:val="103"/>
        <w:spacing w:line="336" w:lineRule="auto"/>
        <w:ind w:firstLine="316" w:firstLineChars="132"/>
        <w:rPr>
          <w:rFonts w:ascii="宋体" w:hAnsi="宋体"/>
        </w:rPr>
      </w:pPr>
      <w:r>
        <w:rPr>
          <w:rFonts w:hint="eastAsia" w:ascii="宋体" w:hAnsi="宋体"/>
        </w:rPr>
        <w:t>4.3、货物安装完成并经乙方通知甲方后</w:t>
      </w:r>
      <w:r>
        <w:rPr>
          <w:rFonts w:hint="eastAsia" w:ascii="宋体" w:hAnsi="宋体"/>
          <w:u w:val="single"/>
        </w:rPr>
        <w:t xml:space="preserve"> 7</w:t>
      </w:r>
      <w:r>
        <w:rPr>
          <w:rFonts w:hint="eastAsia" w:ascii="宋体" w:hAnsi="宋体"/>
        </w:rPr>
        <w:t>日内，甲方无故不进行初步验收工作并已使用货物的，视同已安装完成并初步验收合格。</w:t>
      </w:r>
    </w:p>
    <w:p>
      <w:pPr>
        <w:pStyle w:val="103"/>
        <w:spacing w:line="336" w:lineRule="auto"/>
        <w:ind w:firstLine="316" w:firstLineChars="132"/>
        <w:rPr>
          <w:rFonts w:ascii="宋体" w:hAnsi="宋体"/>
        </w:rPr>
      </w:pPr>
      <w:r>
        <w:rPr>
          <w:rFonts w:hint="eastAsia" w:ascii="宋体" w:hAnsi="宋体"/>
        </w:rPr>
        <w:t>4.4、乙方应将所提供货物的装箱清单、配件、随机工具、维修维护手册、软件备份、原厂保修卡、维修密码、故障代码表、备件及零部件清单含报价等维护维修必须材料和信息等资料交付给甲方；乙方不能完整交付货物及本款规定的单证和工具的，必须负责补齐，否则视为未按合同约定交货并需承担相应的违约责任。</w:t>
      </w:r>
      <w:bookmarkStart w:id="230" w:name="_Toc217446111"/>
    </w:p>
    <w:p>
      <w:pPr>
        <w:pStyle w:val="103"/>
        <w:spacing w:line="336" w:lineRule="auto"/>
        <w:ind w:firstLine="360" w:firstLineChars="150"/>
        <w:rPr>
          <w:rFonts w:ascii="宋体" w:hAnsi="宋体"/>
        </w:rPr>
      </w:pPr>
      <w:r>
        <w:rPr>
          <w:rFonts w:hint="eastAsia" w:ascii="宋体" w:hAnsi="宋体"/>
        </w:rPr>
        <w:t>4.5、如货物经乙方</w:t>
      </w:r>
      <w:r>
        <w:rPr>
          <w:rFonts w:hint="eastAsia" w:ascii="宋体" w:hAnsi="宋体"/>
          <w:u w:val="single"/>
        </w:rPr>
        <w:t xml:space="preserve"> 1 </w:t>
      </w:r>
      <w:r>
        <w:rPr>
          <w:rFonts w:hint="eastAsia" w:ascii="宋体" w:hAnsi="宋体"/>
        </w:rPr>
        <w:t>次维修仍不能达到合同约定的质量标准，甲方有权退货，并视作乙方不能交付货物而需全额退还甲方已支付货款及利息并支付违约赔偿金给甲方，甲方还可依法追究乙方的违约责任。</w:t>
      </w:r>
    </w:p>
    <w:p>
      <w:pPr>
        <w:spacing w:line="336" w:lineRule="auto"/>
        <w:ind w:firstLine="360" w:firstLineChars="150"/>
        <w:rPr>
          <w:rFonts w:ascii="宋体" w:hAnsi="宋体"/>
          <w:sz w:val="24"/>
        </w:rPr>
      </w:pPr>
      <w:r>
        <w:rPr>
          <w:rFonts w:hint="eastAsia" w:ascii="宋体" w:hAnsi="宋体"/>
          <w:sz w:val="24"/>
        </w:rPr>
        <w:t>4.6、其他未尽事宜应严格按照《省财政厅关于加强政府采购项目履约验收工作的通知》（川财采（2009）30号）的要求。</w:t>
      </w:r>
    </w:p>
    <w:p>
      <w:pPr>
        <w:pStyle w:val="103"/>
        <w:spacing w:line="336" w:lineRule="auto"/>
        <w:ind w:firstLine="0" w:firstLineChars="0"/>
        <w:rPr>
          <w:rFonts w:ascii="宋体" w:hAnsi="宋体"/>
          <w:b/>
          <w:sz w:val="28"/>
          <w:szCs w:val="28"/>
        </w:rPr>
      </w:pPr>
      <w:r>
        <w:rPr>
          <w:rFonts w:hint="eastAsia" w:ascii="宋体" w:hAnsi="宋体"/>
          <w:b/>
          <w:sz w:val="28"/>
          <w:szCs w:val="28"/>
        </w:rPr>
        <w:t>5.设备复验</w:t>
      </w:r>
    </w:p>
    <w:p>
      <w:pPr>
        <w:pStyle w:val="103"/>
        <w:spacing w:line="336" w:lineRule="auto"/>
        <w:ind w:firstLine="360" w:firstLineChars="150"/>
        <w:rPr>
          <w:rFonts w:ascii="宋体" w:hAnsi="宋体"/>
        </w:rPr>
      </w:pPr>
      <w:r>
        <w:rPr>
          <w:rFonts w:hint="eastAsia" w:ascii="宋体" w:hAnsi="宋体"/>
        </w:rPr>
        <w:t>5.1设备初验合格后</w:t>
      </w:r>
      <w:r>
        <w:rPr>
          <w:rFonts w:hint="eastAsia" w:ascii="宋体" w:hAnsi="宋体"/>
          <w:u w:val="single"/>
        </w:rPr>
        <w:t xml:space="preserve"> 3</w:t>
      </w:r>
      <w:r>
        <w:rPr>
          <w:rFonts w:hint="eastAsia" w:ascii="宋体" w:hAnsi="宋体"/>
        </w:rPr>
        <w:t>个工作日内，乙方应对设备进行运行调试完毕。</w:t>
      </w:r>
    </w:p>
    <w:p>
      <w:pPr>
        <w:pStyle w:val="103"/>
        <w:spacing w:line="336" w:lineRule="auto"/>
        <w:ind w:firstLine="360" w:firstLineChars="150"/>
        <w:rPr>
          <w:rFonts w:ascii="宋体" w:hAnsi="宋体"/>
        </w:rPr>
      </w:pPr>
      <w:r>
        <w:rPr>
          <w:rFonts w:hint="eastAsia" w:ascii="宋体" w:hAnsi="宋体"/>
        </w:rPr>
        <w:t>5.2调试期满后，乙方通知甲方进行设备复验。若设备未通过复验，甲方有权要求乙方在7个工作日内对设备完成重新调试，若仍并未通过复验，甲方有权要求乙方更换设备或解除合同。若复验收合格的，签署验收合格文件。该文件以5.2.1及5.2.2方式生效；</w:t>
      </w:r>
    </w:p>
    <w:p>
      <w:pPr>
        <w:pStyle w:val="103"/>
        <w:spacing w:line="336" w:lineRule="auto"/>
        <w:ind w:firstLine="360" w:firstLineChars="150"/>
        <w:rPr>
          <w:rFonts w:ascii="宋体" w:hAnsi="宋体"/>
        </w:rPr>
      </w:pPr>
      <w:r>
        <w:rPr>
          <w:rFonts w:hint="eastAsia" w:ascii="宋体" w:hAnsi="宋体"/>
        </w:rPr>
        <w:t>5.2.1甲方指定工作人员签字；</w:t>
      </w:r>
    </w:p>
    <w:p>
      <w:pPr>
        <w:pStyle w:val="103"/>
        <w:spacing w:line="336" w:lineRule="auto"/>
        <w:ind w:firstLine="360" w:firstLineChars="150"/>
        <w:rPr>
          <w:rFonts w:ascii="宋体" w:hAnsi="宋体"/>
        </w:rPr>
      </w:pPr>
      <w:r>
        <w:rPr>
          <w:rFonts w:hint="eastAsia" w:ascii="宋体" w:hAnsi="宋体"/>
        </w:rPr>
        <w:t>5.2.2甲方加盖管理部门公章。</w:t>
      </w:r>
    </w:p>
    <w:p>
      <w:pPr>
        <w:pStyle w:val="103"/>
        <w:spacing w:line="336" w:lineRule="auto"/>
        <w:ind w:firstLine="360" w:firstLineChars="150"/>
        <w:rPr>
          <w:rFonts w:ascii="宋体" w:hAnsi="宋体"/>
        </w:rPr>
      </w:pPr>
      <w:r>
        <w:rPr>
          <w:rFonts w:hint="eastAsia" w:ascii="宋体" w:hAnsi="宋体"/>
        </w:rPr>
        <w:t>5.3复验收的设备需同时满足下列内容：</w:t>
      </w:r>
    </w:p>
    <w:p>
      <w:pPr>
        <w:pStyle w:val="103"/>
        <w:spacing w:line="336" w:lineRule="auto"/>
        <w:ind w:firstLine="360" w:firstLineChars="150"/>
        <w:rPr>
          <w:rFonts w:ascii="宋体" w:hAnsi="宋体"/>
        </w:rPr>
      </w:pPr>
      <w:r>
        <w:rPr>
          <w:rFonts w:hint="eastAsia" w:ascii="宋体" w:hAnsi="宋体"/>
        </w:rPr>
        <w:t>5.3.1招标(比选)文件中注明的所有技术参数。</w:t>
      </w:r>
    </w:p>
    <w:p>
      <w:pPr>
        <w:pStyle w:val="103"/>
        <w:spacing w:line="336" w:lineRule="auto"/>
        <w:ind w:firstLine="360" w:firstLineChars="150"/>
        <w:rPr>
          <w:rFonts w:ascii="宋体" w:hAnsi="宋体"/>
        </w:rPr>
      </w:pPr>
      <w:r>
        <w:rPr>
          <w:rFonts w:hint="eastAsia" w:ascii="宋体" w:hAnsi="宋体"/>
        </w:rPr>
        <w:t>5.3.2关于设备合法性、使用、设备质量的所有书面文件，进口设备须具备所有海关手续。</w:t>
      </w:r>
    </w:p>
    <w:p>
      <w:pPr>
        <w:pStyle w:val="103"/>
        <w:spacing w:line="336" w:lineRule="auto"/>
        <w:ind w:firstLine="360" w:firstLineChars="150"/>
        <w:rPr>
          <w:rFonts w:ascii="宋体" w:hAnsi="宋体"/>
        </w:rPr>
      </w:pPr>
      <w:r>
        <w:rPr>
          <w:rFonts w:hint="eastAsia" w:ascii="宋体" w:hAnsi="宋体"/>
        </w:rPr>
        <w:t>5.3.3《医学装备验收表》规定的其他各项要求。《医学装备验收表》作为本合同的附件。</w:t>
      </w:r>
    </w:p>
    <w:p>
      <w:pPr>
        <w:pStyle w:val="103"/>
        <w:spacing w:line="336" w:lineRule="auto"/>
        <w:ind w:firstLine="0" w:firstLineChars="0"/>
        <w:rPr>
          <w:rFonts w:ascii="宋体" w:hAnsi="宋体"/>
          <w:b/>
          <w:sz w:val="28"/>
          <w:szCs w:val="28"/>
        </w:rPr>
      </w:pPr>
      <w:r>
        <w:rPr>
          <w:rFonts w:hint="eastAsia" w:ascii="宋体" w:hAnsi="宋体"/>
          <w:b/>
          <w:sz w:val="28"/>
          <w:szCs w:val="28"/>
        </w:rPr>
        <w:t>6.人员培训</w:t>
      </w:r>
    </w:p>
    <w:p>
      <w:pPr>
        <w:pStyle w:val="103"/>
        <w:spacing w:line="336" w:lineRule="auto"/>
        <w:ind w:firstLine="360" w:firstLineChars="150"/>
        <w:rPr>
          <w:rFonts w:ascii="宋体" w:hAnsi="宋体"/>
        </w:rPr>
      </w:pPr>
      <w:r>
        <w:rPr>
          <w:rFonts w:hint="eastAsia" w:ascii="宋体" w:hAnsi="宋体"/>
        </w:rPr>
        <w:t>6.1乙方应按照甲方要求对甲方工作人员进行免费培训，保证受训人员能熟练操作，并对该设备能进行日常维护。</w:t>
      </w:r>
    </w:p>
    <w:p>
      <w:pPr>
        <w:pStyle w:val="103"/>
        <w:spacing w:line="336" w:lineRule="auto"/>
        <w:ind w:firstLine="0" w:firstLineChars="0"/>
        <w:rPr>
          <w:rFonts w:ascii="宋体" w:hAnsi="宋体"/>
          <w:b/>
          <w:sz w:val="28"/>
          <w:szCs w:val="28"/>
        </w:rPr>
      </w:pPr>
      <w:r>
        <w:rPr>
          <w:rFonts w:hint="eastAsia" w:ascii="宋体" w:hAnsi="宋体"/>
          <w:b/>
          <w:sz w:val="28"/>
          <w:szCs w:val="28"/>
        </w:rPr>
        <w:t>7.质量承诺</w:t>
      </w:r>
    </w:p>
    <w:p>
      <w:pPr>
        <w:pStyle w:val="103"/>
        <w:spacing w:line="336" w:lineRule="auto"/>
        <w:ind w:firstLine="360" w:firstLineChars="150"/>
        <w:rPr>
          <w:rFonts w:ascii="宋体" w:hAnsi="宋体"/>
        </w:rPr>
      </w:pPr>
      <w:r>
        <w:rPr>
          <w:rFonts w:hint="eastAsia" w:ascii="宋体" w:hAnsi="宋体"/>
        </w:rPr>
        <w:t>7.1乙方应保证该设备全新，标识清楚，权属清楚，原产地真实，质量符合国家标准(在无国家标准时，符合行业标准)，不得以假充真，以次充好。</w:t>
      </w:r>
    </w:p>
    <w:p>
      <w:pPr>
        <w:pStyle w:val="103"/>
        <w:spacing w:line="336" w:lineRule="auto"/>
        <w:ind w:firstLine="360" w:firstLineChars="150"/>
        <w:rPr>
          <w:rFonts w:ascii="宋体" w:hAnsi="宋体"/>
        </w:rPr>
      </w:pPr>
      <w:r>
        <w:rPr>
          <w:rFonts w:hint="eastAsia" w:ascii="宋体" w:hAnsi="宋体"/>
        </w:rPr>
        <w:t>7.2在保修期内乙方应保证甲方对该设备的使用达到第</w:t>
      </w:r>
      <w:r>
        <w:rPr>
          <w:rFonts w:hint="eastAsia" w:ascii="宋体" w:hAnsi="宋体"/>
          <w:u w:val="single"/>
        </w:rPr>
        <w:t xml:space="preserve">_B </w:t>
      </w:r>
      <w:r>
        <w:rPr>
          <w:rFonts w:hint="eastAsia" w:ascii="宋体" w:hAnsi="宋体"/>
        </w:rPr>
        <w:t>种标准；</w:t>
      </w:r>
    </w:p>
    <w:p>
      <w:pPr>
        <w:pStyle w:val="103"/>
        <w:spacing w:line="336" w:lineRule="auto"/>
        <w:ind w:firstLine="360" w:firstLineChars="150"/>
        <w:rPr>
          <w:rFonts w:ascii="宋体" w:hAnsi="宋体"/>
          <w:color w:val="000000"/>
        </w:rPr>
      </w:pPr>
      <w:r>
        <w:rPr>
          <w:rFonts w:hint="eastAsia" w:ascii="宋体" w:hAnsi="宋体"/>
          <w:color w:val="000000"/>
        </w:rPr>
        <w:t>A.每年正常使用时间不少于</w:t>
      </w:r>
      <w:r>
        <w:rPr>
          <w:rFonts w:hint="eastAsia" w:ascii="宋体" w:hAnsi="宋体"/>
          <w:color w:val="000000"/>
          <w:u w:val="single"/>
        </w:rPr>
        <w:t xml:space="preserve"> / </w:t>
      </w:r>
      <w:r>
        <w:rPr>
          <w:rFonts w:hint="eastAsia" w:ascii="宋体" w:hAnsi="宋体"/>
          <w:color w:val="000000"/>
        </w:rPr>
        <w:t>天(以365天/年计算)</w:t>
      </w:r>
    </w:p>
    <w:p>
      <w:pPr>
        <w:pStyle w:val="103"/>
        <w:spacing w:line="336" w:lineRule="auto"/>
        <w:ind w:firstLine="360" w:firstLineChars="150"/>
        <w:rPr>
          <w:rFonts w:ascii="宋体" w:hAnsi="宋体"/>
        </w:rPr>
      </w:pPr>
      <w:r>
        <w:rPr>
          <w:rFonts w:hint="eastAsia" w:ascii="宋体" w:hAnsi="宋体"/>
        </w:rPr>
        <w:t>B.每年因故障停用时间小于</w:t>
      </w:r>
      <w:r>
        <w:rPr>
          <w:rFonts w:hint="eastAsia" w:ascii="宋体" w:hAnsi="宋体"/>
          <w:u w:val="single"/>
        </w:rPr>
        <w:t xml:space="preserve"> 10</w:t>
      </w:r>
      <w:r>
        <w:rPr>
          <w:rFonts w:hint="eastAsia" w:ascii="宋体" w:hAnsi="宋体"/>
        </w:rPr>
        <w:t>天(以365天/年计算)。</w:t>
      </w:r>
    </w:p>
    <w:p>
      <w:pPr>
        <w:pStyle w:val="103"/>
        <w:spacing w:line="336" w:lineRule="auto"/>
        <w:ind w:firstLine="360" w:firstLineChars="150"/>
        <w:rPr>
          <w:rFonts w:ascii="宋体" w:hAnsi="宋体"/>
        </w:rPr>
      </w:pPr>
      <w:r>
        <w:rPr>
          <w:rFonts w:hint="eastAsia" w:ascii="宋体" w:hAnsi="宋体"/>
        </w:rPr>
        <w:t>7.3如因设备质量瑕疵导致甲方无法正常使用或影响使用效果，由此与患者发生纠纷而导致甲方赔偿，乙方对此承担全部责任。</w:t>
      </w:r>
    </w:p>
    <w:p>
      <w:pPr>
        <w:pStyle w:val="103"/>
        <w:spacing w:line="336" w:lineRule="auto"/>
        <w:ind w:firstLine="0" w:firstLineChars="0"/>
        <w:rPr>
          <w:rFonts w:ascii="宋体" w:hAnsi="宋体"/>
          <w:b/>
          <w:sz w:val="28"/>
          <w:szCs w:val="28"/>
        </w:rPr>
      </w:pPr>
      <w:r>
        <w:rPr>
          <w:rFonts w:hint="eastAsia" w:ascii="宋体" w:hAnsi="宋体"/>
          <w:b/>
          <w:sz w:val="28"/>
          <w:szCs w:val="28"/>
        </w:rPr>
        <w:t>8.设备软件升级特别约定</w:t>
      </w:r>
    </w:p>
    <w:p>
      <w:pPr>
        <w:pStyle w:val="103"/>
        <w:spacing w:line="336" w:lineRule="auto"/>
        <w:ind w:firstLine="360" w:firstLineChars="150"/>
        <w:rPr>
          <w:rFonts w:ascii="宋体" w:hAnsi="宋体"/>
        </w:rPr>
      </w:pPr>
      <w:r>
        <w:rPr>
          <w:rFonts w:hint="eastAsia" w:ascii="宋体" w:hAnsi="宋体"/>
        </w:rPr>
        <w:t>8.1当设备软件有升级版本时，乙方承诺及时为甲方提供免费升级服务。</w:t>
      </w:r>
    </w:p>
    <w:p>
      <w:pPr>
        <w:pStyle w:val="103"/>
        <w:spacing w:line="336" w:lineRule="auto"/>
        <w:ind w:firstLine="0" w:firstLineChars="0"/>
        <w:rPr>
          <w:rFonts w:ascii="宋体" w:hAnsi="宋体"/>
          <w:b/>
          <w:color w:val="FF0000"/>
          <w:sz w:val="28"/>
          <w:szCs w:val="28"/>
        </w:rPr>
      </w:pPr>
      <w:r>
        <w:rPr>
          <w:rFonts w:hint="eastAsia" w:ascii="宋体" w:hAnsi="宋体"/>
          <w:b/>
          <w:color w:val="FF0000"/>
          <w:sz w:val="28"/>
          <w:szCs w:val="28"/>
        </w:rPr>
        <w:t>9.付款方式</w:t>
      </w:r>
      <w:bookmarkEnd w:id="230"/>
    </w:p>
    <w:p>
      <w:pPr>
        <w:pStyle w:val="103"/>
        <w:spacing w:line="336" w:lineRule="auto"/>
        <w:ind w:firstLine="360" w:firstLineChars="150"/>
        <w:rPr>
          <w:rFonts w:ascii="宋体" w:hAnsi="宋体"/>
          <w:color w:val="FF0000"/>
        </w:rPr>
      </w:pPr>
      <w:r>
        <w:rPr>
          <w:rFonts w:hint="eastAsia" w:ascii="宋体" w:hAnsi="宋体"/>
          <w:color w:val="FF0000"/>
        </w:rPr>
        <w:t>9.1 全部货物安装调试完毕并复验合格之日起，甲方接到乙方通知与票据凭证资料以后的60日内，向乙方核拨合同总价90%款项，￥</w:t>
      </w:r>
      <w:r>
        <w:rPr>
          <w:rFonts w:ascii="宋体" w:hAnsi="宋体"/>
          <w:color w:val="FF0000"/>
          <w:u w:val="single"/>
        </w:rPr>
        <w:t xml:space="preserve"> </w:t>
      </w:r>
      <w:r>
        <w:rPr>
          <w:rFonts w:hint="eastAsia" w:ascii="宋体" w:hAnsi="宋体"/>
          <w:color w:val="FF0000"/>
        </w:rPr>
        <w:t>元，大写：。</w:t>
      </w:r>
    </w:p>
    <w:p>
      <w:pPr>
        <w:pStyle w:val="103"/>
        <w:spacing w:line="336" w:lineRule="auto"/>
        <w:ind w:firstLine="360" w:firstLineChars="150"/>
        <w:rPr>
          <w:rFonts w:ascii="宋体" w:hAnsi="宋体"/>
          <w:color w:val="FF0000"/>
        </w:rPr>
      </w:pPr>
      <w:r>
        <w:rPr>
          <w:rFonts w:hint="eastAsia" w:ascii="宋体" w:hAnsi="宋体"/>
          <w:color w:val="FF0000"/>
        </w:rPr>
        <w:t>9.2 质保期到期后，设备运转正常，甲方在60 日内全额无息支付合同总价10%的余款￥：元，大写：给乙方。</w:t>
      </w:r>
    </w:p>
    <w:p>
      <w:pPr>
        <w:pStyle w:val="103"/>
        <w:spacing w:line="336" w:lineRule="auto"/>
        <w:ind w:firstLine="360" w:firstLineChars="150"/>
        <w:rPr>
          <w:rFonts w:ascii="宋体" w:hAnsi="宋体"/>
          <w:color w:val="FF0000"/>
        </w:rPr>
      </w:pPr>
      <w:r>
        <w:rPr>
          <w:rFonts w:hint="eastAsia" w:ascii="宋体" w:hAnsi="宋体"/>
          <w:color w:val="FF0000"/>
        </w:rPr>
        <w:t>9.3乙方须向甲方出具合法有效完整的完税发票及凭证资料后甲方进行支付结算。否则甲方可延期付款并不因此承担违约责任。</w:t>
      </w:r>
    </w:p>
    <w:p>
      <w:pPr>
        <w:pStyle w:val="103"/>
        <w:spacing w:line="336" w:lineRule="auto"/>
        <w:ind w:firstLine="0" w:firstLineChars="0"/>
        <w:rPr>
          <w:rFonts w:ascii="宋体" w:hAnsi="宋体"/>
          <w:b/>
          <w:sz w:val="28"/>
          <w:szCs w:val="28"/>
        </w:rPr>
      </w:pPr>
      <w:r>
        <w:rPr>
          <w:rFonts w:hint="eastAsia" w:ascii="宋体" w:hAnsi="宋体"/>
          <w:b/>
          <w:sz w:val="28"/>
          <w:szCs w:val="28"/>
        </w:rPr>
        <w:t>10.设备保修及维修</w:t>
      </w:r>
    </w:p>
    <w:p>
      <w:pPr>
        <w:pStyle w:val="103"/>
        <w:spacing w:line="336" w:lineRule="auto"/>
        <w:ind w:firstLine="360" w:firstLineChars="150"/>
        <w:rPr>
          <w:rFonts w:ascii="宋体" w:hAnsi="宋体"/>
        </w:rPr>
      </w:pPr>
      <w:r>
        <w:rPr>
          <w:rFonts w:hint="eastAsia" w:ascii="宋体" w:hAnsi="宋体"/>
        </w:rPr>
        <w:t>10.1整机免费保修期限自复验合格之日起</w:t>
      </w:r>
      <w:r>
        <w:rPr>
          <w:rFonts w:hint="eastAsia" w:ascii="宋体" w:hAnsi="宋体"/>
          <w:u w:val="single"/>
        </w:rPr>
        <w:t xml:space="preserve">   </w:t>
      </w:r>
      <w:r>
        <w:rPr>
          <w:rFonts w:hint="eastAsia" w:ascii="宋体" w:hAnsi="宋体"/>
        </w:rPr>
        <w:t>年，终身维修。</w:t>
      </w:r>
    </w:p>
    <w:p>
      <w:pPr>
        <w:pStyle w:val="103"/>
        <w:spacing w:line="336" w:lineRule="auto"/>
        <w:ind w:firstLine="360" w:firstLineChars="150"/>
        <w:rPr>
          <w:rFonts w:ascii="宋体" w:hAnsi="宋体"/>
        </w:rPr>
      </w:pPr>
      <w:r>
        <w:rPr>
          <w:rFonts w:hint="eastAsia" w:ascii="宋体" w:hAnsi="宋体"/>
        </w:rPr>
        <w:t>10.2乙方接到甲方故障通知后应在</w:t>
      </w:r>
      <w:r>
        <w:rPr>
          <w:rFonts w:hint="eastAsia" w:ascii="宋体" w:hAnsi="宋体"/>
          <w:u w:val="single"/>
        </w:rPr>
        <w:t>24</w:t>
      </w:r>
      <w:r>
        <w:rPr>
          <w:rFonts w:hint="eastAsia" w:ascii="宋体" w:hAnsi="宋体"/>
        </w:rPr>
        <w:t>小时内指派人员及时进行检测维修，如维修不涉及零配件更换，应在接到甲方故障通知后</w:t>
      </w:r>
      <w:r>
        <w:rPr>
          <w:rFonts w:hint="eastAsia" w:ascii="宋体" w:hAnsi="宋体"/>
          <w:u w:val="single"/>
        </w:rPr>
        <w:t>48小时</w:t>
      </w:r>
      <w:r>
        <w:rPr>
          <w:rFonts w:hint="eastAsia" w:ascii="宋体" w:hAnsi="宋体"/>
        </w:rPr>
        <w:t>内修复完毕；如涉及到零配件更换，应在接到甲方故障通知后</w:t>
      </w:r>
      <w:r>
        <w:rPr>
          <w:rFonts w:hint="eastAsia" w:ascii="宋体" w:hAnsi="宋体"/>
          <w:u w:val="single"/>
        </w:rPr>
        <w:t>5</w:t>
      </w:r>
      <w:r>
        <w:rPr>
          <w:rFonts w:hint="eastAsia" w:ascii="宋体" w:hAnsi="宋体"/>
        </w:rPr>
        <w:t>日内修复完毕，在保修期内，产生的所有费用均由乙方承担。乙方若未在规定期限内修复设备而给甲方造成直接和间接经济损失，由乙方承担。</w:t>
      </w:r>
    </w:p>
    <w:p>
      <w:pPr>
        <w:pStyle w:val="103"/>
        <w:spacing w:line="336" w:lineRule="auto"/>
        <w:ind w:firstLine="360" w:firstLineChars="150"/>
        <w:rPr>
          <w:rFonts w:ascii="宋体" w:hAnsi="宋体"/>
        </w:rPr>
      </w:pPr>
      <w:r>
        <w:rPr>
          <w:rFonts w:hint="eastAsia" w:ascii="宋体" w:hAnsi="宋体"/>
        </w:rPr>
        <w:t>10.3保(维)修期间如需更换零配件，乙方应保证所更换的零配件与原设备相同规格和品质；保修期外零配件及耗材的费用根据市场价格浮动。</w:t>
      </w:r>
    </w:p>
    <w:p>
      <w:pPr>
        <w:pStyle w:val="103"/>
        <w:spacing w:line="336" w:lineRule="auto"/>
        <w:ind w:firstLine="360" w:firstLineChars="150"/>
        <w:rPr>
          <w:rFonts w:ascii="宋体" w:hAnsi="宋体"/>
        </w:rPr>
      </w:pPr>
      <w:r>
        <w:rPr>
          <w:rFonts w:hint="eastAsia" w:ascii="宋体" w:hAnsi="宋体"/>
        </w:rPr>
        <w:t>10.4如设备在保修期内单次维修时间超过</w:t>
      </w:r>
      <w:r>
        <w:rPr>
          <w:rFonts w:hint="eastAsia" w:ascii="宋体" w:hAnsi="宋体"/>
          <w:u w:val="single"/>
        </w:rPr>
        <w:t>10</w:t>
      </w:r>
      <w:r>
        <w:rPr>
          <w:rFonts w:hint="eastAsia" w:ascii="宋体" w:hAnsi="宋体"/>
        </w:rPr>
        <w:t>天或同一故障维修次数超过</w:t>
      </w:r>
      <w:r>
        <w:rPr>
          <w:rFonts w:hint="eastAsia" w:ascii="宋体" w:hAnsi="宋体"/>
          <w:u w:val="single"/>
        </w:rPr>
        <w:t>3</w:t>
      </w:r>
      <w:r>
        <w:rPr>
          <w:rFonts w:hint="eastAsia" w:ascii="宋体" w:hAnsi="宋体"/>
        </w:rPr>
        <w:t>次，甲方有权要求乙方无条件更换设备，乙方不得推诿拒绝。</w:t>
      </w:r>
    </w:p>
    <w:p>
      <w:pPr>
        <w:pStyle w:val="103"/>
        <w:spacing w:line="336" w:lineRule="auto"/>
        <w:ind w:firstLine="360" w:firstLineChars="150"/>
        <w:rPr>
          <w:rFonts w:ascii="宋体" w:hAnsi="宋体"/>
        </w:rPr>
      </w:pPr>
      <w:r>
        <w:rPr>
          <w:rFonts w:hint="eastAsia" w:ascii="宋体" w:hAnsi="宋体"/>
        </w:rPr>
        <w:t>10.5维修期间，如接到甲方故障通知后</w:t>
      </w:r>
      <w:r>
        <w:rPr>
          <w:rFonts w:hint="eastAsia" w:ascii="宋体" w:hAnsi="宋体"/>
          <w:u w:val="single"/>
        </w:rPr>
        <w:t>72</w:t>
      </w:r>
      <w:r>
        <w:rPr>
          <w:rFonts w:hint="eastAsia" w:ascii="宋体" w:hAnsi="宋体"/>
        </w:rPr>
        <w:t>小时内没有修复，乙方向甲方提供替用设备。</w:t>
      </w:r>
    </w:p>
    <w:p>
      <w:pPr>
        <w:pStyle w:val="103"/>
        <w:spacing w:line="336" w:lineRule="auto"/>
        <w:ind w:firstLine="360" w:firstLineChars="150"/>
        <w:rPr>
          <w:rFonts w:ascii="宋体" w:hAnsi="宋体"/>
        </w:rPr>
      </w:pPr>
      <w:r>
        <w:rPr>
          <w:rFonts w:hint="eastAsia" w:ascii="宋体" w:hAnsi="宋体"/>
        </w:rPr>
        <w:t>10.6若设备涉及计算机软件系统的，乙方有义务保障为甲方此后对设备完全的使用及维修，包括但不限于使用设备的源代码、密码，乙方不得拒绝或收取额外费用。</w:t>
      </w:r>
    </w:p>
    <w:p>
      <w:pPr>
        <w:pStyle w:val="103"/>
        <w:spacing w:line="336" w:lineRule="auto"/>
        <w:ind w:firstLine="0" w:firstLineChars="0"/>
        <w:rPr>
          <w:rFonts w:ascii="宋体" w:hAnsi="宋体"/>
          <w:b/>
          <w:sz w:val="28"/>
          <w:szCs w:val="28"/>
        </w:rPr>
      </w:pPr>
      <w:bookmarkStart w:id="231" w:name="_Toc217446113"/>
      <w:r>
        <w:rPr>
          <w:rFonts w:hint="eastAsia" w:ascii="宋体" w:hAnsi="宋体"/>
          <w:b/>
          <w:sz w:val="28"/>
          <w:szCs w:val="28"/>
        </w:rPr>
        <w:t>11.违约责任</w:t>
      </w:r>
      <w:bookmarkEnd w:id="231"/>
    </w:p>
    <w:p>
      <w:pPr>
        <w:pStyle w:val="103"/>
        <w:spacing w:line="336" w:lineRule="auto"/>
        <w:ind w:firstLine="360" w:firstLineChars="150"/>
        <w:rPr>
          <w:rFonts w:ascii="宋体" w:hAnsi="宋体"/>
        </w:rPr>
      </w:pPr>
      <w:r>
        <w:rPr>
          <w:rFonts w:hint="eastAsia" w:ascii="宋体" w:hAnsi="宋体"/>
        </w:rPr>
        <w:t>11.1甲方违约责任</w:t>
      </w:r>
    </w:p>
    <w:p>
      <w:pPr>
        <w:pStyle w:val="103"/>
        <w:spacing w:line="336" w:lineRule="auto"/>
        <w:ind w:firstLine="360" w:firstLineChars="150"/>
        <w:rPr>
          <w:rFonts w:ascii="宋体" w:hAnsi="宋体"/>
        </w:rPr>
      </w:pPr>
      <w:r>
        <w:rPr>
          <w:rFonts w:hint="eastAsia" w:ascii="宋体" w:hAnsi="宋体"/>
        </w:rPr>
        <w:t>11.1.1 甲方无正当理由拒收货物的，甲方应偿付合同总价百分之</w:t>
      </w:r>
      <w:r>
        <w:rPr>
          <w:rFonts w:hint="eastAsia" w:ascii="宋体" w:hAnsi="宋体"/>
          <w:u w:val="single"/>
        </w:rPr>
        <w:t xml:space="preserve"> 三 </w:t>
      </w:r>
      <w:r>
        <w:rPr>
          <w:rFonts w:hint="eastAsia" w:ascii="宋体" w:hAnsi="宋体"/>
        </w:rPr>
        <w:t>的违约金；</w:t>
      </w:r>
    </w:p>
    <w:p>
      <w:pPr>
        <w:spacing w:line="336" w:lineRule="auto"/>
        <w:ind w:firstLine="360" w:firstLineChars="150"/>
        <w:rPr>
          <w:rFonts w:ascii="宋体" w:hAnsi="宋体"/>
          <w:sz w:val="24"/>
        </w:rPr>
      </w:pPr>
      <w:r>
        <w:rPr>
          <w:rFonts w:hint="eastAsia" w:ascii="宋体" w:hAnsi="宋体"/>
          <w:sz w:val="24"/>
        </w:rPr>
        <w:t>11.1.2 甲方逾期支付货款的，除应及时付足货款外，应向乙方偿付欠款总额万分之</w:t>
      </w:r>
      <w:r>
        <w:rPr>
          <w:rFonts w:hint="eastAsia" w:ascii="宋体" w:hAnsi="宋体"/>
          <w:sz w:val="24"/>
          <w:u w:val="single"/>
        </w:rPr>
        <w:t>五</w:t>
      </w:r>
      <w:r>
        <w:rPr>
          <w:rFonts w:hint="eastAsia" w:ascii="宋体" w:hAnsi="宋体"/>
          <w:sz w:val="24"/>
        </w:rPr>
        <w:t>/天的违约金；逾期付款超过</w:t>
      </w:r>
      <w:r>
        <w:rPr>
          <w:rFonts w:hint="eastAsia" w:ascii="宋体" w:hAnsi="宋体"/>
          <w:sz w:val="24"/>
          <w:u w:val="single"/>
        </w:rPr>
        <w:t>60</w:t>
      </w:r>
      <w:r>
        <w:rPr>
          <w:rFonts w:hint="eastAsia" w:ascii="宋体" w:hAnsi="宋体"/>
          <w:sz w:val="24"/>
        </w:rPr>
        <w:t>天的，乙方有权终止合同；</w:t>
      </w:r>
    </w:p>
    <w:p>
      <w:pPr>
        <w:pStyle w:val="103"/>
        <w:spacing w:line="336" w:lineRule="auto"/>
        <w:ind w:firstLine="360" w:firstLineChars="150"/>
        <w:rPr>
          <w:rFonts w:ascii="宋体" w:hAnsi="宋体"/>
        </w:rPr>
      </w:pPr>
      <w:r>
        <w:rPr>
          <w:rFonts w:hint="eastAsia" w:ascii="宋体" w:hAnsi="宋体"/>
        </w:rPr>
        <w:t>11.1.3 甲方偿付的违约金不足以弥补乙方损失的，还应按乙方损失尚未弥补的部分，支付赔偿金给乙方。</w:t>
      </w:r>
    </w:p>
    <w:p>
      <w:pPr>
        <w:pStyle w:val="103"/>
        <w:spacing w:line="336" w:lineRule="auto"/>
        <w:ind w:firstLine="360" w:firstLineChars="150"/>
        <w:rPr>
          <w:rFonts w:ascii="宋体" w:hAnsi="宋体"/>
        </w:rPr>
      </w:pPr>
      <w:r>
        <w:rPr>
          <w:rFonts w:hint="eastAsia" w:ascii="宋体" w:hAnsi="宋体"/>
        </w:rPr>
        <w:t>11.2 乙方违约责任</w:t>
      </w:r>
    </w:p>
    <w:p>
      <w:pPr>
        <w:pStyle w:val="103"/>
        <w:spacing w:line="336" w:lineRule="auto"/>
        <w:ind w:firstLine="360" w:firstLineChars="150"/>
        <w:rPr>
          <w:rFonts w:ascii="宋体" w:hAnsi="宋体"/>
        </w:rPr>
      </w:pPr>
      <w:r>
        <w:rPr>
          <w:rFonts w:hint="eastAsia" w:ascii="宋体" w:hAnsi="宋体"/>
        </w:rPr>
        <w:t>11.2.1乙方交付的货物质量不符合合同规定的，乙方应向甲方支付合同总价的百分之</w:t>
      </w:r>
      <w:r>
        <w:rPr>
          <w:rFonts w:hint="eastAsia" w:ascii="宋体" w:hAnsi="宋体"/>
          <w:u w:val="single"/>
        </w:rPr>
        <w:t>三</w:t>
      </w:r>
      <w:r>
        <w:rPr>
          <w:rFonts w:hint="eastAsia" w:ascii="宋体" w:hAnsi="宋体"/>
        </w:rPr>
        <w:t>的违约金，并须在合同规定的交货时间内更换合格的货物给甲方，否则，视作乙方不能交付货物而违约，按本条本款下述第“（11.2.2）”项规定由乙方偿付违约赔偿金给甲方。</w:t>
      </w:r>
    </w:p>
    <w:p>
      <w:pPr>
        <w:pStyle w:val="103"/>
        <w:spacing w:line="336" w:lineRule="auto"/>
        <w:ind w:firstLine="360" w:firstLineChars="150"/>
        <w:rPr>
          <w:rFonts w:ascii="宋体" w:hAnsi="宋体"/>
        </w:rPr>
      </w:pPr>
      <w:r>
        <w:rPr>
          <w:rFonts w:hint="eastAsia" w:ascii="宋体" w:hAnsi="宋体"/>
        </w:rPr>
        <w:t>11.2.2乙方不能交付货物或逾期交付货物而违约的，除应及时交足货物外，应向甲方偿付逾期交货部分货款总额的万分之</w:t>
      </w:r>
      <w:r>
        <w:rPr>
          <w:rFonts w:hint="eastAsia" w:ascii="宋体" w:hAnsi="宋体"/>
          <w:u w:val="single"/>
        </w:rPr>
        <w:t>五</w:t>
      </w:r>
      <w:r>
        <w:rPr>
          <w:rFonts w:hint="eastAsia" w:ascii="宋体" w:hAnsi="宋体"/>
        </w:rPr>
        <w:t>/天的违约金；逾期交货超过</w:t>
      </w:r>
      <w:r>
        <w:rPr>
          <w:rFonts w:hint="eastAsia" w:ascii="宋体" w:hAnsi="宋体"/>
          <w:u w:val="single"/>
        </w:rPr>
        <w:t>60</w:t>
      </w:r>
      <w:r>
        <w:rPr>
          <w:rFonts w:hint="eastAsia" w:ascii="宋体" w:hAnsi="宋体"/>
        </w:rPr>
        <w:t>天，甲方有权终止合同，乙方则应按合同总价的百分之</w:t>
      </w:r>
      <w:r>
        <w:rPr>
          <w:rFonts w:hint="eastAsia" w:ascii="宋体" w:hAnsi="宋体"/>
          <w:u w:val="single"/>
        </w:rPr>
        <w:t>三</w:t>
      </w:r>
      <w:r>
        <w:rPr>
          <w:rFonts w:hint="eastAsia" w:ascii="宋体" w:hAnsi="宋体"/>
        </w:rPr>
        <w:t>的款额向甲方偿付赔偿金，并须全额退还甲方已经付给乙方的货款及其利息。</w:t>
      </w:r>
    </w:p>
    <w:p>
      <w:pPr>
        <w:pStyle w:val="103"/>
        <w:spacing w:line="336" w:lineRule="auto"/>
        <w:ind w:firstLine="360" w:firstLineChars="150"/>
        <w:rPr>
          <w:rFonts w:ascii="宋体" w:hAnsi="宋体"/>
        </w:rPr>
      </w:pPr>
      <w:r>
        <w:rPr>
          <w:rFonts w:hint="eastAsia" w:ascii="宋体" w:hAnsi="宋体"/>
        </w:rPr>
        <w:t>11.2.3若货物经有法定资格条件的质量技术监督机构检测后，检测结果认定货物质量不符合本合同规定标准的，乙方须在 30天内无条件更换合格的货物，如逾期不能更换合格的货物，甲方有权终止本合同，乙方应另付合同总价的百分之</w:t>
      </w:r>
      <w:r>
        <w:rPr>
          <w:rFonts w:hint="eastAsia" w:ascii="宋体" w:hAnsi="宋体"/>
          <w:u w:val="single"/>
        </w:rPr>
        <w:t xml:space="preserve">三 </w:t>
      </w:r>
      <w:r>
        <w:rPr>
          <w:rFonts w:hint="eastAsia" w:ascii="宋体" w:hAnsi="宋体"/>
        </w:rPr>
        <w:t>的赔偿金给甲方。</w:t>
      </w:r>
    </w:p>
    <w:p>
      <w:pPr>
        <w:pStyle w:val="103"/>
        <w:spacing w:line="336" w:lineRule="auto"/>
        <w:ind w:firstLine="360" w:firstLineChars="150"/>
        <w:rPr>
          <w:rFonts w:ascii="宋体" w:hAnsi="宋体"/>
        </w:rPr>
      </w:pPr>
      <w:r>
        <w:rPr>
          <w:rFonts w:hint="eastAsia" w:ascii="宋体" w:hAnsi="宋体"/>
        </w:rPr>
        <w:t>11.2.4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宋体" w:hAnsi="宋体"/>
          <w:u w:val="single"/>
        </w:rPr>
        <w:t>三</w:t>
      </w:r>
      <w:r>
        <w:rPr>
          <w:rFonts w:hint="eastAsia" w:ascii="宋体" w:hAnsi="宋体"/>
        </w:rPr>
        <w:t>向甲方支付违约金并赔偿因此给甲方造成的一切损失。</w:t>
      </w:r>
    </w:p>
    <w:p>
      <w:pPr>
        <w:pStyle w:val="103"/>
        <w:spacing w:line="336" w:lineRule="auto"/>
        <w:ind w:firstLine="360" w:firstLineChars="150"/>
        <w:rPr>
          <w:rFonts w:ascii="宋体" w:hAnsi="宋体"/>
        </w:rPr>
      </w:pPr>
      <w:r>
        <w:rPr>
          <w:rFonts w:hint="eastAsia" w:ascii="宋体" w:hAnsi="宋体"/>
        </w:rPr>
        <w:t>11.2.5乙方偿付的违约金不足以弥补甲方损失的，还应按甲方损失尚未弥补的部分，支付赔偿金给甲方。</w:t>
      </w:r>
    </w:p>
    <w:p>
      <w:pPr>
        <w:pStyle w:val="103"/>
        <w:spacing w:line="336" w:lineRule="auto"/>
        <w:ind w:firstLine="0" w:firstLineChars="0"/>
        <w:rPr>
          <w:rFonts w:ascii="宋体" w:hAnsi="宋体"/>
          <w:b/>
          <w:sz w:val="28"/>
          <w:szCs w:val="28"/>
        </w:rPr>
      </w:pPr>
      <w:bookmarkStart w:id="232" w:name="_Toc217446114"/>
      <w:r>
        <w:rPr>
          <w:rFonts w:hint="eastAsia" w:ascii="宋体" w:hAnsi="宋体"/>
          <w:b/>
          <w:sz w:val="28"/>
          <w:szCs w:val="28"/>
        </w:rPr>
        <w:t>12.争议解决办法</w:t>
      </w:r>
      <w:bookmarkEnd w:id="232"/>
    </w:p>
    <w:p>
      <w:pPr>
        <w:pStyle w:val="103"/>
        <w:spacing w:line="336" w:lineRule="auto"/>
        <w:ind w:firstLine="360" w:firstLineChars="150"/>
        <w:rPr>
          <w:rFonts w:ascii="宋体" w:hAnsi="宋体"/>
        </w:rPr>
      </w:pPr>
      <w:r>
        <w:rPr>
          <w:rFonts w:hint="eastAsia" w:ascii="宋体" w:hAnsi="宋体"/>
        </w:rPr>
        <w:t>12.1因货物的质量问题发生争议，由质量技术监督部门或其指定的质量鉴定机构进行质量鉴定。货物符合标准的，鉴定费由甲方承担；货物不符合质量标准的，鉴定费由乙方承担。</w:t>
      </w:r>
    </w:p>
    <w:p>
      <w:pPr>
        <w:pStyle w:val="103"/>
        <w:spacing w:line="336" w:lineRule="auto"/>
        <w:ind w:firstLine="360" w:firstLineChars="150"/>
        <w:rPr>
          <w:rFonts w:ascii="宋体" w:hAnsi="宋体"/>
        </w:rPr>
      </w:pPr>
      <w:r>
        <w:rPr>
          <w:rFonts w:hint="eastAsia" w:ascii="宋体" w:hAnsi="宋体"/>
        </w:rPr>
        <w:t>12.2合同履行期间,若双方发生争议，可协商或由有关部门调解解决，协商或调解不成的，可向甲方所在地法院提起诉讼。</w:t>
      </w:r>
    </w:p>
    <w:p>
      <w:pPr>
        <w:pStyle w:val="103"/>
        <w:spacing w:line="336" w:lineRule="auto"/>
        <w:ind w:firstLine="360" w:firstLineChars="150"/>
        <w:rPr>
          <w:rFonts w:ascii="宋体" w:hAnsi="宋体"/>
        </w:rPr>
      </w:pPr>
      <w:r>
        <w:rPr>
          <w:rFonts w:hint="eastAsia" w:ascii="宋体" w:hAnsi="宋体"/>
        </w:rPr>
        <w:t>12.3 本合同履行中如有任何一方违约，那么守约方为保障自己合法权益而产生的律师费、诉讼费、差旅费、公告费等，均由违约方承担。</w:t>
      </w:r>
    </w:p>
    <w:p>
      <w:pPr>
        <w:pStyle w:val="103"/>
        <w:spacing w:line="336" w:lineRule="auto"/>
        <w:ind w:firstLine="0" w:firstLineChars="0"/>
        <w:rPr>
          <w:rFonts w:ascii="宋体" w:hAnsi="宋体"/>
          <w:b/>
          <w:sz w:val="28"/>
          <w:szCs w:val="28"/>
        </w:rPr>
      </w:pPr>
      <w:bookmarkStart w:id="233" w:name="_Toc217446115"/>
      <w:r>
        <w:rPr>
          <w:rFonts w:hint="eastAsia" w:ascii="宋体" w:hAnsi="宋体"/>
          <w:b/>
          <w:sz w:val="28"/>
          <w:szCs w:val="28"/>
        </w:rPr>
        <w:t>13.其他</w:t>
      </w:r>
      <w:bookmarkEnd w:id="233"/>
    </w:p>
    <w:p>
      <w:pPr>
        <w:pStyle w:val="103"/>
        <w:spacing w:line="336" w:lineRule="auto"/>
        <w:ind w:firstLine="480"/>
        <w:rPr>
          <w:rFonts w:ascii="宋体" w:hAnsi="宋体"/>
        </w:rPr>
      </w:pPr>
      <w:r>
        <w:rPr>
          <w:rFonts w:hint="eastAsia" w:ascii="宋体" w:hAnsi="宋体"/>
        </w:rPr>
        <w:t>13.1如有未尽事宜，由双方可依法订立补充合同。补充合同与本合同具有同等法律效力。补充合同与本合同有矛盾之处，以补充合同为准。</w:t>
      </w:r>
    </w:p>
    <w:p>
      <w:pPr>
        <w:pStyle w:val="103"/>
        <w:spacing w:line="336" w:lineRule="auto"/>
        <w:ind w:firstLine="480"/>
        <w:rPr>
          <w:rFonts w:ascii="宋体" w:hAnsi="宋体"/>
        </w:rPr>
      </w:pPr>
      <w:r>
        <w:rPr>
          <w:rFonts w:hint="eastAsia" w:ascii="宋体" w:hAnsi="宋体"/>
        </w:rPr>
        <w:t>13.2 送达</w:t>
      </w:r>
    </w:p>
    <w:p>
      <w:pPr>
        <w:pStyle w:val="232"/>
        <w:spacing w:line="336" w:lineRule="auto"/>
        <w:ind w:firstLine="480" w:firstLineChars="200"/>
        <w:rPr>
          <w:rFonts w:ascii="宋体" w:hAnsi="宋体" w:eastAsia="宋体" w:cs="Times New Roman"/>
          <w:color w:val="auto"/>
          <w:sz w:val="24"/>
          <w:szCs w:val="20"/>
        </w:rPr>
      </w:pPr>
      <w:r>
        <w:rPr>
          <w:rFonts w:hint="eastAsia" w:ascii="宋体" w:hAnsi="宋体" w:eastAsia="宋体" w:cs="Times New Roman"/>
          <w:color w:val="auto"/>
          <w:sz w:val="24"/>
          <w:szCs w:val="20"/>
        </w:rPr>
        <w:t>甲方送达地址：都江堰市金江社区中医医院北路</w:t>
      </w:r>
    </w:p>
    <w:p>
      <w:pPr>
        <w:pStyle w:val="232"/>
        <w:spacing w:line="336" w:lineRule="auto"/>
        <w:ind w:left="50" w:leftChars="24" w:firstLine="480" w:firstLineChars="200"/>
        <w:jc w:val="left"/>
        <w:rPr>
          <w:rFonts w:ascii="宋体" w:hAnsi="宋体" w:eastAsia="宋体" w:cs="Times New Roman"/>
          <w:color w:val="FF0000"/>
          <w:sz w:val="24"/>
          <w:szCs w:val="20"/>
        </w:rPr>
      </w:pPr>
      <w:r>
        <w:rPr>
          <w:rFonts w:hint="eastAsia" w:ascii="宋体" w:hAnsi="宋体" w:eastAsia="宋体" w:cs="Times New Roman"/>
          <w:color w:val="FF0000"/>
          <w:sz w:val="24"/>
          <w:szCs w:val="20"/>
        </w:rPr>
        <w:t xml:space="preserve">乙方送达地址： </w:t>
      </w:r>
    </w:p>
    <w:p>
      <w:pPr>
        <w:pStyle w:val="103"/>
        <w:spacing w:line="336" w:lineRule="auto"/>
        <w:ind w:firstLine="480"/>
        <w:rPr>
          <w:rFonts w:ascii="宋体" w:hAnsi="宋体"/>
        </w:rPr>
      </w:pPr>
      <w:r>
        <w:rPr>
          <w:rFonts w:hint="eastAsia" w:ascii="宋体" w:hAnsi="宋体"/>
        </w:rPr>
        <w:t>甲、乙双方关于本合同履行及相关事宜的通知，以及法院与国家机关因本合同争议发出的通知或司法文书（包括但不限于传票、判决书、裁定书、调解书等），应送达至甲乙双方在本合同中提供的地址或在此之后一方以书面形式通知另一方的其他地址。该等通知以专人递送在收到时视为正式送达、或以邮寄方式寄出3个工作日后视为正式送达，或以快递方式在交付后的第</w:t>
      </w:r>
      <w:r>
        <w:rPr>
          <w:rFonts w:hint="eastAsia" w:ascii="宋体" w:hAnsi="宋体"/>
          <w:u w:val="single"/>
        </w:rPr>
        <w:t>3</w:t>
      </w:r>
      <w:r>
        <w:rPr>
          <w:rFonts w:hint="eastAsia" w:ascii="宋体" w:hAnsi="宋体"/>
        </w:rPr>
        <w:t>个工作日视为正式送达。若一方地址发生变动，应及时书面通知另一方，否则仍以本合同载明的文书送达地址为准。</w:t>
      </w:r>
    </w:p>
    <w:p>
      <w:pPr>
        <w:pStyle w:val="103"/>
        <w:spacing w:line="336" w:lineRule="auto"/>
        <w:ind w:firstLine="480"/>
        <w:rPr>
          <w:rFonts w:ascii="宋体" w:hAnsi="宋体"/>
        </w:rPr>
      </w:pPr>
      <w:r>
        <w:rPr>
          <w:rFonts w:hint="eastAsia" w:ascii="宋体" w:hAnsi="宋体"/>
        </w:rPr>
        <w:t>13.3本合同一式伍份，自甲乙双方签字并盖章之日起生效。甲方三份，乙方、政府采购代理机构各一份，具有同等法律效力。</w:t>
      </w:r>
    </w:p>
    <w:p>
      <w:pPr>
        <w:pStyle w:val="103"/>
        <w:spacing w:line="336" w:lineRule="auto"/>
        <w:ind w:firstLine="480"/>
        <w:rPr>
          <w:rFonts w:ascii="宋体" w:hAnsi="宋体"/>
        </w:rPr>
      </w:pPr>
    </w:p>
    <w:p>
      <w:pPr>
        <w:spacing w:line="336" w:lineRule="auto"/>
        <w:rPr>
          <w:rFonts w:ascii="宋体" w:hAnsi="宋体"/>
          <w:sz w:val="24"/>
        </w:rPr>
      </w:pPr>
      <w:r>
        <w:rPr>
          <w:rFonts w:hint="eastAsia" w:ascii="宋体" w:hAnsi="宋体"/>
          <w:sz w:val="24"/>
        </w:rPr>
        <w:t>甲方：都江堰市中医医院</w:t>
      </w:r>
      <w:r>
        <w:rPr>
          <w:rFonts w:hint="eastAsia" w:ascii="宋体" w:hAnsi="宋体"/>
          <w:color w:val="FF0000"/>
          <w:sz w:val="24"/>
        </w:rPr>
        <w:t xml:space="preserve">      </w:t>
      </w:r>
      <w:r>
        <w:rPr>
          <w:rFonts w:hint="eastAsia" w:ascii="宋体" w:hAnsi="宋体"/>
          <w:sz w:val="24"/>
        </w:rPr>
        <w:t>乙方：（盖章）法定代表人</w:t>
      </w:r>
    </w:p>
    <w:p>
      <w:pPr>
        <w:spacing w:line="336" w:lineRule="auto"/>
        <w:ind w:firstLine="3360" w:firstLineChars="1400"/>
        <w:rPr>
          <w:rFonts w:ascii="宋体" w:hAnsi="宋体"/>
          <w:sz w:val="24"/>
        </w:rPr>
      </w:pPr>
      <w:r>
        <w:rPr>
          <w:rFonts w:hint="eastAsia" w:ascii="宋体" w:hAnsi="宋体"/>
          <w:sz w:val="24"/>
        </w:rPr>
        <w:t xml:space="preserve">（授权代表）：   </w:t>
      </w:r>
    </w:p>
    <w:p>
      <w:pPr>
        <w:spacing w:line="336" w:lineRule="auto"/>
        <w:ind w:firstLine="3360" w:firstLineChars="1400"/>
        <w:rPr>
          <w:rFonts w:ascii="宋体" w:hAnsi="宋体"/>
          <w:sz w:val="24"/>
        </w:rPr>
      </w:pPr>
      <w:r>
        <w:rPr>
          <w:rFonts w:hint="eastAsia" w:ascii="宋体" w:hAnsi="宋体"/>
          <w:sz w:val="24"/>
        </w:rPr>
        <w:t xml:space="preserve"> 法定代表人（授权代表）： </w:t>
      </w:r>
    </w:p>
    <w:p>
      <w:pPr>
        <w:pStyle w:val="232"/>
        <w:spacing w:line="336" w:lineRule="auto"/>
        <w:ind w:left="4320" w:hanging="4320" w:hangingChars="1800"/>
        <w:rPr>
          <w:rFonts w:ascii="宋体" w:hAnsi="宋体" w:eastAsia="宋体" w:cs="Times New Roman"/>
          <w:color w:val="auto"/>
          <w:sz w:val="24"/>
          <w:szCs w:val="20"/>
        </w:rPr>
      </w:pPr>
      <w:r>
        <w:rPr>
          <w:rFonts w:hint="eastAsia" w:ascii="宋体" w:hAnsi="宋体" w:eastAsia="宋体" w:cs="Times New Roman"/>
          <w:color w:val="auto"/>
          <w:sz w:val="24"/>
          <w:szCs w:val="20"/>
        </w:rPr>
        <w:t>地 址：四川省成都市都江堰市</w:t>
      </w:r>
    </w:p>
    <w:p>
      <w:pPr>
        <w:pStyle w:val="232"/>
        <w:spacing w:line="336" w:lineRule="auto"/>
        <w:ind w:left="4320" w:hanging="4320" w:hangingChars="1800"/>
        <w:rPr>
          <w:rFonts w:ascii="宋体" w:hAnsi="宋体" w:eastAsia="宋体" w:cs="Times New Roman"/>
          <w:color w:val="auto"/>
          <w:sz w:val="24"/>
          <w:szCs w:val="20"/>
        </w:rPr>
      </w:pPr>
      <w:r>
        <w:rPr>
          <w:rFonts w:hint="eastAsia" w:ascii="宋体" w:hAnsi="宋体" w:eastAsia="宋体" w:cs="Times New Roman"/>
          <w:color w:val="auto"/>
          <w:sz w:val="24"/>
          <w:szCs w:val="20"/>
        </w:rPr>
        <w:t>金江社区中医院北路16号     地    址：</w:t>
      </w:r>
    </w:p>
    <w:p>
      <w:pPr>
        <w:pStyle w:val="232"/>
        <w:spacing w:line="336" w:lineRule="auto"/>
        <w:ind w:firstLine="3360" w:firstLineChars="1400"/>
        <w:rPr>
          <w:rFonts w:ascii="宋体" w:hAnsi="宋体" w:eastAsia="宋体" w:cs="Times New Roman"/>
          <w:color w:val="auto"/>
          <w:sz w:val="24"/>
          <w:szCs w:val="20"/>
        </w:rPr>
      </w:pPr>
      <w:r>
        <w:rPr>
          <w:rFonts w:hint="eastAsia" w:ascii="宋体" w:hAnsi="宋体" w:eastAsia="宋体" w:cs="Times New Roman"/>
          <w:color w:val="auto"/>
          <w:sz w:val="24"/>
          <w:szCs w:val="20"/>
        </w:rPr>
        <w:t xml:space="preserve">开户银行：               </w:t>
      </w:r>
    </w:p>
    <w:p>
      <w:pPr>
        <w:pStyle w:val="232"/>
        <w:spacing w:line="336" w:lineRule="auto"/>
        <w:ind w:firstLine="3120" w:firstLineChars="1300"/>
        <w:rPr>
          <w:rFonts w:ascii="宋体" w:hAnsi="宋体" w:eastAsia="宋体" w:cs="Times New Roman"/>
          <w:color w:val="auto"/>
          <w:sz w:val="24"/>
          <w:szCs w:val="20"/>
        </w:rPr>
      </w:pPr>
      <w:r>
        <w:rPr>
          <w:rFonts w:hint="eastAsia" w:ascii="宋体" w:hAnsi="宋体" w:eastAsia="宋体" w:cs="Times New Roman"/>
          <w:color w:val="auto"/>
          <w:sz w:val="24"/>
          <w:szCs w:val="20"/>
        </w:rPr>
        <w:t xml:space="preserve"> 开户银行：</w:t>
      </w:r>
      <w:r>
        <w:rPr>
          <w:rFonts w:hint="eastAsia" w:ascii="宋体" w:hAnsi="宋体" w:eastAsia="宋体" w:cs="宋体"/>
          <w:kern w:val="0"/>
          <w:sz w:val="24"/>
          <w:szCs w:val="24"/>
        </w:rPr>
        <w:t xml:space="preserve"> </w:t>
      </w:r>
    </w:p>
    <w:p>
      <w:pPr>
        <w:widowControl/>
        <w:spacing w:line="360" w:lineRule="atLeast"/>
        <w:outlineLvl w:val="1"/>
        <w:rPr>
          <w:rFonts w:ascii="宋体" w:hAnsi="宋体"/>
          <w:sz w:val="24"/>
        </w:rPr>
      </w:pPr>
      <w:r>
        <w:rPr>
          <w:rFonts w:hint="eastAsia" w:ascii="宋体" w:hAnsi="宋体"/>
          <w:sz w:val="24"/>
          <w:szCs w:val="20"/>
        </w:rPr>
        <w:t>账    号：                 账    号：</w:t>
      </w:r>
      <w:r>
        <w:rPr>
          <w:rFonts w:ascii="宋体" w:hAnsi="宋体"/>
          <w:sz w:val="24"/>
          <w:szCs w:val="20"/>
        </w:rPr>
        <w:t xml:space="preserve"> </w:t>
      </w:r>
    </w:p>
    <w:p>
      <w:pPr>
        <w:spacing w:line="336" w:lineRule="auto"/>
        <w:rPr>
          <w:rFonts w:ascii="宋体" w:hAnsi="宋体" w:cs="宋体"/>
          <w:color w:val="000000"/>
          <w:kern w:val="0"/>
          <w:sz w:val="24"/>
        </w:rPr>
      </w:pPr>
      <w:r>
        <w:rPr>
          <w:rFonts w:hint="eastAsia" w:ascii="宋体" w:hAnsi="宋体"/>
          <w:sz w:val="24"/>
        </w:rPr>
        <w:t>电    话：                 电    话：</w:t>
      </w:r>
      <w:r>
        <w:rPr>
          <w:rFonts w:ascii="宋体" w:hAnsi="宋体" w:cs="宋体"/>
          <w:color w:val="000000"/>
          <w:kern w:val="0"/>
          <w:sz w:val="24"/>
        </w:rPr>
        <w:t xml:space="preserve"> </w:t>
      </w:r>
    </w:p>
    <w:p>
      <w:pPr>
        <w:spacing w:line="336" w:lineRule="auto"/>
        <w:rPr>
          <w:rFonts w:ascii="宋体" w:hAnsi="宋体"/>
          <w:sz w:val="24"/>
        </w:rPr>
      </w:pPr>
      <w:r>
        <w:rPr>
          <w:rFonts w:hint="eastAsia" w:ascii="宋体" w:hAnsi="宋体"/>
          <w:sz w:val="24"/>
        </w:rPr>
        <w:t>传    真：                 传    真：</w:t>
      </w:r>
      <w:r>
        <w:rPr>
          <w:rFonts w:ascii="宋体" w:hAnsi="宋体" w:cs="宋体"/>
          <w:color w:val="000000"/>
          <w:kern w:val="0"/>
          <w:sz w:val="24"/>
        </w:rPr>
        <w:t xml:space="preserve"> </w:t>
      </w:r>
    </w:p>
    <w:p>
      <w:pPr>
        <w:spacing w:line="336" w:lineRule="auto"/>
        <w:rPr>
          <w:rFonts w:ascii="宋体" w:hAnsi="宋体"/>
          <w:sz w:val="24"/>
        </w:rPr>
      </w:pPr>
      <w:r>
        <w:rPr>
          <w:rFonts w:hint="eastAsia" w:ascii="宋体" w:hAnsi="宋体"/>
          <w:sz w:val="24"/>
        </w:rPr>
        <w:t xml:space="preserve">签约日期：  年   月   日  </w:t>
      </w:r>
      <w:r>
        <w:rPr>
          <w:rFonts w:ascii="宋体" w:hAnsi="宋体"/>
          <w:sz w:val="24"/>
        </w:rPr>
        <w:t xml:space="preserve"> </w:t>
      </w:r>
      <w:r>
        <w:rPr>
          <w:rFonts w:hint="eastAsia" w:ascii="宋体" w:hAnsi="宋体"/>
          <w:sz w:val="24"/>
        </w:rPr>
        <w:t>签约日期：   年   月   日</w:t>
      </w:r>
    </w:p>
    <w:p>
      <w:pPr>
        <w:spacing w:line="336" w:lineRule="auto"/>
        <w:rPr>
          <w:rFonts w:ascii="宋体" w:hAnsi="宋体"/>
          <w:sz w:val="24"/>
        </w:rPr>
      </w:pPr>
    </w:p>
    <w:p>
      <w:pPr>
        <w:spacing w:line="336" w:lineRule="auto"/>
        <w:rPr>
          <w:rFonts w:ascii="宋体" w:hAnsi="宋体"/>
          <w:sz w:val="24"/>
        </w:rPr>
      </w:pPr>
    </w:p>
    <w:p>
      <w:pPr>
        <w:spacing w:line="336" w:lineRule="auto"/>
        <w:rPr>
          <w:rFonts w:ascii="宋体" w:hAnsi="宋体"/>
          <w:sz w:val="24"/>
        </w:rPr>
      </w:pPr>
    </w:p>
    <w:p>
      <w:pPr>
        <w:spacing w:line="336" w:lineRule="auto"/>
        <w:rPr>
          <w:rFonts w:ascii="宋体" w:hAnsi="宋体"/>
          <w:sz w:val="24"/>
        </w:rPr>
      </w:pPr>
    </w:p>
    <w:p>
      <w:pPr>
        <w:spacing w:line="336" w:lineRule="auto"/>
        <w:rPr>
          <w:rFonts w:ascii="宋体" w:hAnsi="宋体"/>
          <w:sz w:val="24"/>
        </w:rPr>
      </w:pPr>
    </w:p>
    <w:p>
      <w:pPr>
        <w:spacing w:line="336" w:lineRule="auto"/>
        <w:rPr>
          <w:rFonts w:ascii="宋体" w:hAnsi="宋体"/>
          <w:sz w:val="24"/>
        </w:rPr>
      </w:pPr>
    </w:p>
    <w:p>
      <w:pPr>
        <w:spacing w:line="336" w:lineRule="auto"/>
        <w:rPr>
          <w:rFonts w:ascii="宋体" w:hAnsi="宋体"/>
          <w:sz w:val="24"/>
        </w:rPr>
      </w:pPr>
      <w:r>
        <w:rPr>
          <w:rFonts w:hint="eastAsia" w:ascii="宋体" w:hAnsi="宋体"/>
          <w:sz w:val="24"/>
        </w:rPr>
        <w:t>附件1</w:t>
      </w:r>
    </w:p>
    <w:tbl>
      <w:tblPr>
        <w:tblStyle w:val="47"/>
        <w:tblW w:w="934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9"/>
        <w:gridCol w:w="1248"/>
        <w:gridCol w:w="1208"/>
        <w:gridCol w:w="722"/>
        <w:gridCol w:w="722"/>
        <w:gridCol w:w="1169"/>
        <w:gridCol w:w="1186"/>
        <w:gridCol w:w="16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4"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s="Arial"/>
                <w:color w:val="FF0000"/>
                <w:sz w:val="24"/>
              </w:rPr>
            </w:pPr>
            <w:r>
              <w:rPr>
                <w:rFonts w:hint="eastAsia" w:ascii="宋体" w:hAnsi="宋体" w:cs="Arial"/>
                <w:color w:val="FF0000"/>
                <w:sz w:val="24"/>
              </w:rPr>
              <w:t>货物品名</w:t>
            </w:r>
          </w:p>
        </w:tc>
        <w:tc>
          <w:tcPr>
            <w:tcW w:w="1248"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s="Arial"/>
                <w:color w:val="FF0000"/>
                <w:sz w:val="24"/>
              </w:rPr>
            </w:pPr>
            <w:r>
              <w:rPr>
                <w:rFonts w:hint="eastAsia" w:ascii="宋体" w:hAnsi="宋体" w:cs="Arial"/>
                <w:color w:val="FF0000"/>
                <w:sz w:val="24"/>
              </w:rPr>
              <w:t>生产厂家</w:t>
            </w:r>
          </w:p>
        </w:tc>
        <w:tc>
          <w:tcPr>
            <w:tcW w:w="1208"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s="Arial"/>
                <w:color w:val="FF0000"/>
                <w:sz w:val="24"/>
              </w:rPr>
            </w:pPr>
            <w:r>
              <w:rPr>
                <w:rFonts w:hint="eastAsia" w:ascii="宋体" w:hAnsi="宋体" w:cs="Arial"/>
                <w:color w:val="FF0000"/>
                <w:sz w:val="24"/>
              </w:rPr>
              <w:t>规格型号</w:t>
            </w:r>
          </w:p>
        </w:tc>
        <w:tc>
          <w:tcPr>
            <w:tcW w:w="722"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olor w:val="FF0000"/>
                <w:sz w:val="24"/>
              </w:rPr>
            </w:pPr>
            <w:r>
              <w:rPr>
                <w:rFonts w:hint="eastAsia" w:ascii="宋体" w:hAnsi="宋体" w:cs="Arial"/>
                <w:color w:val="FF0000"/>
                <w:sz w:val="24"/>
              </w:rPr>
              <w:t>单位</w:t>
            </w:r>
          </w:p>
        </w:tc>
        <w:tc>
          <w:tcPr>
            <w:tcW w:w="722"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olor w:val="FF0000"/>
                <w:sz w:val="24"/>
              </w:rPr>
            </w:pPr>
            <w:r>
              <w:rPr>
                <w:rFonts w:hint="eastAsia" w:ascii="宋体" w:hAnsi="宋体" w:cs="Arial"/>
                <w:color w:val="FF0000"/>
                <w:sz w:val="24"/>
              </w:rPr>
              <w:t>数量</w:t>
            </w:r>
          </w:p>
        </w:tc>
        <w:tc>
          <w:tcPr>
            <w:tcW w:w="1169" w:type="dxa"/>
            <w:tcBorders>
              <w:top w:val="single" w:color="auto" w:sz="4" w:space="0"/>
              <w:left w:val="single" w:color="auto" w:sz="4" w:space="0"/>
              <w:bottom w:val="single" w:color="auto" w:sz="4" w:space="0"/>
              <w:right w:val="single" w:color="auto" w:sz="4" w:space="0"/>
            </w:tcBorders>
            <w:vAlign w:val="center"/>
          </w:tcPr>
          <w:p>
            <w:pPr>
              <w:spacing w:line="336" w:lineRule="auto"/>
              <w:ind w:firstLine="120" w:firstLineChars="50"/>
              <w:jc w:val="center"/>
              <w:rPr>
                <w:rFonts w:ascii="宋体" w:hAnsi="宋体" w:cs="Arial"/>
                <w:color w:val="FF0000"/>
                <w:sz w:val="24"/>
              </w:rPr>
            </w:pPr>
            <w:r>
              <w:rPr>
                <w:rFonts w:hint="eastAsia" w:ascii="宋体" w:hAnsi="宋体" w:cs="Arial"/>
                <w:color w:val="FF0000"/>
                <w:sz w:val="24"/>
              </w:rPr>
              <w:t>单价</w:t>
            </w:r>
          </w:p>
          <w:p>
            <w:pPr>
              <w:spacing w:line="336" w:lineRule="auto"/>
              <w:jc w:val="center"/>
              <w:rPr>
                <w:rFonts w:ascii="宋体" w:hAnsi="宋体" w:cs="Arial"/>
                <w:color w:val="FF0000"/>
                <w:sz w:val="24"/>
              </w:rPr>
            </w:pPr>
            <w:r>
              <w:rPr>
                <w:rFonts w:hint="eastAsia" w:ascii="宋体" w:hAnsi="宋体" w:cs="Arial"/>
                <w:color w:val="FF0000"/>
                <w:sz w:val="24"/>
              </w:rPr>
              <w:t>（元）</w:t>
            </w:r>
          </w:p>
        </w:tc>
        <w:tc>
          <w:tcPr>
            <w:tcW w:w="1186"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s="Arial"/>
                <w:color w:val="FF0000"/>
                <w:sz w:val="24"/>
              </w:rPr>
            </w:pPr>
            <w:r>
              <w:rPr>
                <w:rFonts w:hint="eastAsia" w:ascii="宋体" w:hAnsi="宋体" w:cs="Arial"/>
                <w:color w:val="FF0000"/>
                <w:sz w:val="24"/>
              </w:rPr>
              <w:t>总价</w:t>
            </w:r>
          </w:p>
          <w:p>
            <w:pPr>
              <w:spacing w:line="336" w:lineRule="auto"/>
              <w:jc w:val="center"/>
              <w:rPr>
                <w:rFonts w:ascii="宋体" w:hAnsi="宋体"/>
                <w:color w:val="FF0000"/>
                <w:sz w:val="24"/>
              </w:rPr>
            </w:pPr>
            <w:r>
              <w:rPr>
                <w:rFonts w:hint="eastAsia" w:ascii="宋体" w:hAnsi="宋体" w:cs="Arial"/>
                <w:color w:val="FF0000"/>
                <w:sz w:val="24"/>
              </w:rPr>
              <w:t>（元）</w:t>
            </w:r>
          </w:p>
        </w:tc>
        <w:tc>
          <w:tcPr>
            <w:tcW w:w="1638"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olor w:val="FF0000"/>
                <w:sz w:val="24"/>
              </w:rPr>
            </w:pPr>
            <w:r>
              <w:rPr>
                <w:rFonts w:hint="eastAsia" w:ascii="宋体" w:hAnsi="宋体" w:cs="Arial"/>
                <w:color w:val="FF0000"/>
                <w:sz w:val="24"/>
              </w:rPr>
              <w:t>注册证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olor w:val="FF0000"/>
                <w:sz w:val="24"/>
              </w:rPr>
            </w:pPr>
          </w:p>
        </w:tc>
        <w:tc>
          <w:tcPr>
            <w:tcW w:w="1248" w:type="dxa"/>
            <w:tcBorders>
              <w:top w:val="single" w:color="auto" w:sz="4" w:space="0"/>
              <w:left w:val="single" w:color="auto" w:sz="4" w:space="0"/>
              <w:bottom w:val="single" w:color="auto" w:sz="4" w:space="0"/>
              <w:right w:val="single" w:color="auto" w:sz="4" w:space="0"/>
            </w:tcBorders>
            <w:vAlign w:val="center"/>
          </w:tcPr>
          <w:p>
            <w:pPr>
              <w:spacing w:line="336" w:lineRule="auto"/>
              <w:ind w:right="-105" w:rightChars="-50"/>
              <w:jc w:val="center"/>
              <w:rPr>
                <w:rFonts w:ascii="宋体" w:hAnsi="宋体"/>
                <w:color w:val="FF0000"/>
                <w:sz w:val="24"/>
              </w:rPr>
            </w:pPr>
          </w:p>
        </w:tc>
        <w:tc>
          <w:tcPr>
            <w:tcW w:w="1208"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olor w:val="FF0000"/>
                <w:sz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olor w:val="FF0000"/>
                <w:sz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olor w:val="FF0000"/>
                <w:sz w:val="24"/>
              </w:rPr>
            </w:pPr>
          </w:p>
        </w:tc>
        <w:tc>
          <w:tcPr>
            <w:tcW w:w="1169" w:type="dxa"/>
            <w:tcBorders>
              <w:top w:val="single" w:color="auto" w:sz="4" w:space="0"/>
              <w:left w:val="nil"/>
              <w:bottom w:val="single" w:color="auto" w:sz="4" w:space="0"/>
              <w:right w:val="single" w:color="auto" w:sz="4" w:space="0"/>
            </w:tcBorders>
            <w:vAlign w:val="center"/>
          </w:tcPr>
          <w:p>
            <w:pPr>
              <w:widowControl/>
              <w:spacing w:line="360" w:lineRule="atLeast"/>
              <w:jc w:val="center"/>
              <w:outlineLvl w:val="1"/>
              <w:rPr>
                <w:rFonts w:ascii="宋体" w:hAnsi="宋体"/>
                <w:color w:val="FF0000"/>
                <w:sz w:val="24"/>
              </w:rPr>
            </w:pPr>
          </w:p>
        </w:tc>
        <w:tc>
          <w:tcPr>
            <w:tcW w:w="1186" w:type="dxa"/>
            <w:tcBorders>
              <w:top w:val="single" w:color="auto" w:sz="4" w:space="0"/>
              <w:left w:val="nil"/>
              <w:bottom w:val="single" w:color="auto" w:sz="4" w:space="0"/>
              <w:right w:val="single" w:color="auto" w:sz="4" w:space="0"/>
            </w:tcBorders>
            <w:vAlign w:val="center"/>
          </w:tcPr>
          <w:p>
            <w:pPr>
              <w:widowControl/>
              <w:spacing w:line="360" w:lineRule="atLeast"/>
              <w:jc w:val="center"/>
              <w:outlineLvl w:val="1"/>
              <w:rPr>
                <w:rFonts w:ascii="宋体" w:hAnsi="宋体"/>
                <w:color w:val="FF0000"/>
                <w:sz w:val="24"/>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olor w:val="FF0000"/>
                <w:sz w:val="24"/>
              </w:rPr>
            </w:pP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color w:val="FF0000"/>
              </w:rPr>
            </w:pPr>
          </w:p>
        </w:tc>
        <w:tc>
          <w:tcPr>
            <w:tcW w:w="1208"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olor w:val="FF0000"/>
                <w:sz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olor w:val="FF0000"/>
                <w:sz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olor w:val="FF0000"/>
                <w:sz w:val="24"/>
              </w:rPr>
            </w:pPr>
          </w:p>
        </w:tc>
        <w:tc>
          <w:tcPr>
            <w:tcW w:w="1169" w:type="dxa"/>
            <w:tcBorders>
              <w:top w:val="nil"/>
              <w:left w:val="nil"/>
              <w:bottom w:val="single" w:color="auto" w:sz="4" w:space="0"/>
              <w:right w:val="single" w:color="auto" w:sz="4" w:space="0"/>
            </w:tcBorders>
            <w:vAlign w:val="center"/>
          </w:tcPr>
          <w:p>
            <w:pPr>
              <w:widowControl/>
              <w:spacing w:line="360" w:lineRule="atLeast"/>
              <w:jc w:val="center"/>
              <w:outlineLvl w:val="1"/>
              <w:rPr>
                <w:rFonts w:ascii="宋体" w:hAnsi="宋体"/>
                <w:color w:val="FF0000"/>
                <w:sz w:val="24"/>
              </w:rPr>
            </w:pPr>
          </w:p>
        </w:tc>
        <w:tc>
          <w:tcPr>
            <w:tcW w:w="1186" w:type="dxa"/>
            <w:tcBorders>
              <w:top w:val="nil"/>
              <w:left w:val="nil"/>
              <w:bottom w:val="single" w:color="auto" w:sz="4" w:space="0"/>
              <w:right w:val="single" w:color="auto" w:sz="4" w:space="0"/>
            </w:tcBorders>
            <w:vAlign w:val="center"/>
          </w:tcPr>
          <w:p>
            <w:pPr>
              <w:widowControl/>
              <w:spacing w:line="360" w:lineRule="atLeast"/>
              <w:jc w:val="center"/>
              <w:outlineLvl w:val="1"/>
              <w:rPr>
                <w:rFonts w:ascii="宋体" w:hAnsi="宋体"/>
                <w:color w:val="FF0000"/>
                <w:sz w:val="24"/>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olor w:val="FF0000"/>
                <w:sz w:val="24"/>
              </w:rPr>
            </w:pP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color w:val="FF0000"/>
              </w:rPr>
            </w:pPr>
          </w:p>
        </w:tc>
        <w:tc>
          <w:tcPr>
            <w:tcW w:w="1208"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olor w:val="FF0000"/>
                <w:sz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olor w:val="FF0000"/>
                <w:sz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olor w:val="FF0000"/>
                <w:sz w:val="24"/>
              </w:rPr>
            </w:pPr>
          </w:p>
        </w:tc>
        <w:tc>
          <w:tcPr>
            <w:tcW w:w="1169" w:type="dxa"/>
            <w:tcBorders>
              <w:top w:val="nil"/>
              <w:left w:val="nil"/>
              <w:bottom w:val="single" w:color="auto" w:sz="4" w:space="0"/>
              <w:right w:val="single" w:color="auto" w:sz="4" w:space="0"/>
            </w:tcBorders>
            <w:vAlign w:val="center"/>
          </w:tcPr>
          <w:p>
            <w:pPr>
              <w:widowControl/>
              <w:spacing w:line="360" w:lineRule="atLeast"/>
              <w:jc w:val="center"/>
              <w:outlineLvl w:val="1"/>
              <w:rPr>
                <w:rFonts w:ascii="宋体" w:hAnsi="宋体"/>
                <w:color w:val="FF0000"/>
                <w:sz w:val="24"/>
              </w:rPr>
            </w:pPr>
          </w:p>
        </w:tc>
        <w:tc>
          <w:tcPr>
            <w:tcW w:w="1186" w:type="dxa"/>
            <w:tcBorders>
              <w:top w:val="nil"/>
              <w:left w:val="nil"/>
              <w:bottom w:val="single" w:color="auto" w:sz="4" w:space="0"/>
              <w:right w:val="single" w:color="auto" w:sz="4" w:space="0"/>
            </w:tcBorders>
            <w:vAlign w:val="center"/>
          </w:tcPr>
          <w:p>
            <w:pPr>
              <w:widowControl/>
              <w:spacing w:line="360" w:lineRule="atLeast"/>
              <w:jc w:val="center"/>
              <w:outlineLvl w:val="1"/>
              <w:rPr>
                <w:rFonts w:ascii="宋体" w:hAnsi="宋体"/>
                <w:color w:val="FF0000"/>
                <w:sz w:val="24"/>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olor w:val="FF0000"/>
                <w:sz w:val="24"/>
              </w:rPr>
            </w:pPr>
            <w:r>
              <w:rPr>
                <w:rFonts w:hint="eastAsia" w:ascii="宋体" w:hAnsi="宋体"/>
                <w:color w:val="FF0000"/>
                <w:sz w:val="24"/>
              </w:rPr>
              <w:t>总金额（元）</w:t>
            </w:r>
          </w:p>
        </w:tc>
        <w:tc>
          <w:tcPr>
            <w:tcW w:w="7893" w:type="dxa"/>
            <w:gridSpan w:val="7"/>
            <w:tcBorders>
              <w:top w:val="single" w:color="auto" w:sz="4" w:space="0"/>
              <w:left w:val="single" w:color="auto" w:sz="4" w:space="0"/>
              <w:bottom w:val="single" w:color="auto" w:sz="4" w:space="0"/>
              <w:right w:val="single" w:color="auto" w:sz="4" w:space="0"/>
            </w:tcBorders>
            <w:vAlign w:val="center"/>
          </w:tcPr>
          <w:p>
            <w:pPr>
              <w:spacing w:line="336" w:lineRule="auto"/>
              <w:rPr>
                <w:rFonts w:ascii="宋体" w:hAnsi="宋体"/>
                <w:color w:val="FF0000"/>
                <w:sz w:val="24"/>
              </w:rPr>
            </w:pPr>
            <w:r>
              <w:rPr>
                <w:rFonts w:hint="eastAsia" w:ascii="宋体" w:hAnsi="宋体" w:cs="宋体"/>
                <w:color w:val="FF0000"/>
                <w:sz w:val="24"/>
              </w:rPr>
              <w:t xml:space="preserve">¥ </w:t>
            </w:r>
            <w:r>
              <w:rPr>
                <w:rFonts w:hint="eastAsia" w:ascii="宋体" w:hAnsi="宋体"/>
                <w:color w:val="FF0000"/>
                <w:sz w:val="24"/>
              </w:rPr>
              <w:t>元    大写：</w:t>
            </w:r>
          </w:p>
        </w:tc>
      </w:tr>
    </w:tbl>
    <w:p>
      <w:pPr>
        <w:spacing w:line="336" w:lineRule="auto"/>
        <w:rPr>
          <w:rFonts w:ascii="宋体" w:hAnsi="宋体"/>
          <w:sz w:val="24"/>
        </w:rPr>
      </w:pPr>
    </w:p>
    <w:p>
      <w:pPr>
        <w:spacing w:line="460" w:lineRule="exact"/>
        <w:rPr>
          <w:rFonts w:ascii="仿宋" w:hAnsi="仿宋" w:eastAsia="仿宋"/>
          <w:sz w:val="32"/>
          <w:szCs w:val="32"/>
        </w:rPr>
      </w:pPr>
    </w:p>
    <w:p>
      <w:pPr>
        <w:tabs>
          <w:tab w:val="left" w:pos="1155"/>
          <w:tab w:val="left" w:pos="1276"/>
          <w:tab w:val="left" w:pos="1418"/>
        </w:tabs>
        <w:spacing w:line="580" w:lineRule="exact"/>
        <w:rPr>
          <w:rFonts w:ascii="宋体" w:hAnsi="宋体"/>
          <w:sz w:val="28"/>
          <w:szCs w:val="28"/>
        </w:rPr>
      </w:pPr>
    </w:p>
    <w:bookmarkEnd w:id="0"/>
    <w:bookmarkEnd w:id="1"/>
    <w:bookmarkEnd w:id="2"/>
    <w:bookmarkEnd w:id="3"/>
    <w:bookmarkEnd w:id="151"/>
    <w:bookmarkEnd w:id="152"/>
    <w:p>
      <w:pPr>
        <w:spacing w:line="460" w:lineRule="exact"/>
        <w:rPr>
          <w:rFonts w:ascii="仿宋" w:hAnsi="仿宋" w:eastAsia="仿宋"/>
          <w:sz w:val="32"/>
          <w:szCs w:val="32"/>
        </w:rPr>
      </w:pPr>
    </w:p>
    <w:p>
      <w:pPr>
        <w:spacing w:line="460" w:lineRule="exact"/>
        <w:rPr>
          <w:rFonts w:ascii="仿宋" w:hAnsi="仿宋" w:eastAsia="仿宋"/>
          <w:sz w:val="32"/>
          <w:szCs w:val="32"/>
        </w:rPr>
      </w:pPr>
    </w:p>
    <w:p>
      <w:pPr>
        <w:spacing w:line="460" w:lineRule="exact"/>
        <w:rPr>
          <w:rFonts w:ascii="仿宋" w:hAnsi="仿宋" w:eastAsia="仿宋"/>
          <w:sz w:val="32"/>
          <w:szCs w:val="32"/>
        </w:rPr>
      </w:pPr>
    </w:p>
    <w:p/>
    <w:sectPr>
      <w:footerReference r:id="rId3" w:type="default"/>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Times New Roman"/>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隶书">
    <w:altName w:val="微软雅黑"/>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514241"/>
    </w:sdtPr>
    <w:sdtContent>
      <w:p>
        <w:pPr>
          <w:pStyle w:val="29"/>
          <w:ind w:firstLine="480"/>
          <w:jc w:val="center"/>
        </w:pPr>
        <w:r>
          <w:fldChar w:fldCharType="begin"/>
        </w:r>
        <w:r>
          <w:instrText xml:space="preserve">PAGE   \* MERGEFORMAT</w:instrText>
        </w:r>
        <w:r>
          <w:fldChar w:fldCharType="separate"/>
        </w:r>
        <w:r>
          <w:rPr>
            <w:lang w:val="zh-CN"/>
          </w:rPr>
          <w:t>2</w:t>
        </w:r>
        <w:r>
          <w:fldChar w:fldCharType="end"/>
        </w:r>
      </w:p>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D49102"/>
    <w:multiLevelType w:val="singleLevel"/>
    <w:tmpl w:val="E4D49102"/>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4">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pStyle w:val="7"/>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8"/>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7">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8">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00000029"/>
    <w:multiLevelType w:val="multilevel"/>
    <w:tmpl w:val="00000029"/>
    <w:lvl w:ilvl="0" w:tentative="0">
      <w:start w:val="1"/>
      <w:numFmt w:val="decimal"/>
      <w:lvlText w:val="%1."/>
      <w:lvlJc w:val="left"/>
      <w:pPr>
        <w:ind w:left="1271"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2B"/>
    <w:multiLevelType w:val="multilevel"/>
    <w:tmpl w:val="0000002B"/>
    <w:lvl w:ilvl="0" w:tentative="0">
      <w:start w:val="1"/>
      <w:numFmt w:val="chineseCountingThousand"/>
      <w:lvlText w:val="%1、"/>
      <w:lvlJc w:val="left"/>
      <w:pPr>
        <w:ind w:left="988"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1">
    <w:nsid w:val="0000002E"/>
    <w:multiLevelType w:val="multilevel"/>
    <w:tmpl w:val="0000002E"/>
    <w:lvl w:ilvl="0" w:tentative="0">
      <w:start w:val="1"/>
      <w:numFmt w:val="decimal"/>
      <w:pStyle w:val="3"/>
      <w:lvlText w:val="第%1章"/>
      <w:lvlJc w:val="left"/>
      <w:pPr>
        <w:ind w:left="3118" w:hanging="425"/>
      </w:pPr>
      <w:rPr>
        <w:rFonts w:hint="default" w:ascii="Times New Roman" w:hAnsi="Times New Roman" w:eastAsia="宋体" w:cs="Times New Roman"/>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6"/>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2">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4">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3E"/>
    <w:multiLevelType w:val="multilevel"/>
    <w:tmpl w:val="0000003E"/>
    <w:lvl w:ilvl="0" w:tentative="0">
      <w:start w:val="1"/>
      <w:numFmt w:val="chineseCountingThousand"/>
      <w:suff w:val="nothing"/>
      <w:lvlText w:val="%1、"/>
      <w:lvlJc w:val="left"/>
      <w:pPr>
        <w:ind w:left="2126" w:hanging="420"/>
      </w:pPr>
      <w:rPr>
        <w:b/>
        <w:i w:val="0"/>
        <w:lang w:val="en-US"/>
      </w:rPr>
    </w:lvl>
    <w:lvl w:ilvl="1" w:tentative="0">
      <w:start w:val="1"/>
      <w:numFmt w:val="decimal"/>
      <w:lvlText w:val="%2、"/>
      <w:lvlJc w:val="left"/>
      <w:pPr>
        <w:ind w:left="2122" w:hanging="1125"/>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16">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43"/>
    <w:multiLevelType w:val="multilevel"/>
    <w:tmpl w:val="00000043"/>
    <w:lvl w:ilvl="0" w:tentative="0">
      <w:start w:val="1"/>
      <w:numFmt w:val="chineseCountingThousand"/>
      <w:lvlText w:val="%1、"/>
      <w:lvlJc w:val="left"/>
      <w:pPr>
        <w:ind w:left="1413" w:hanging="420"/>
      </w:pPr>
      <w:rPr>
        <w:color w:val="auto"/>
        <w:sz w:val="28"/>
        <w:szCs w:val="28"/>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18">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9">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20">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1">
    <w:nsid w:val="161D31FE"/>
    <w:multiLevelType w:val="singleLevel"/>
    <w:tmpl w:val="161D31FE"/>
    <w:lvl w:ilvl="0" w:tentative="0">
      <w:start w:val="2"/>
      <w:numFmt w:val="decimal"/>
      <w:suff w:val="nothing"/>
      <w:lvlText w:val="%1、"/>
      <w:lvlJc w:val="left"/>
    </w:lvl>
  </w:abstractNum>
  <w:abstractNum w:abstractNumId="22">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23">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4">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5">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6">
    <w:nsid w:val="31E269DB"/>
    <w:multiLevelType w:val="multilevel"/>
    <w:tmpl w:val="31E269DB"/>
    <w:lvl w:ilvl="0" w:tentative="0">
      <w:start w:val="1"/>
      <w:numFmt w:val="japaneseCounting"/>
      <w:lvlText w:val="%1、"/>
      <w:lvlJc w:val="left"/>
      <w:pPr>
        <w:ind w:left="3394" w:hanging="1125"/>
      </w:pPr>
      <w:rPr>
        <w:rFonts w:hint="default"/>
        <w:b/>
        <w:sz w:val="28"/>
      </w:rPr>
    </w:lvl>
    <w:lvl w:ilvl="1" w:tentative="0">
      <w:start w:val="1"/>
      <w:numFmt w:val="lowerLetter"/>
      <w:lvlText w:val="%2)"/>
      <w:lvlJc w:val="left"/>
      <w:pPr>
        <w:ind w:left="2242" w:hanging="420"/>
      </w:pPr>
    </w:lvl>
    <w:lvl w:ilvl="2" w:tentative="0">
      <w:start w:val="1"/>
      <w:numFmt w:val="lowerRoman"/>
      <w:lvlText w:val="%3."/>
      <w:lvlJc w:val="right"/>
      <w:pPr>
        <w:ind w:left="2662" w:hanging="420"/>
      </w:pPr>
    </w:lvl>
    <w:lvl w:ilvl="3" w:tentative="0">
      <w:start w:val="1"/>
      <w:numFmt w:val="decimal"/>
      <w:lvlText w:val="%4."/>
      <w:lvlJc w:val="left"/>
      <w:pPr>
        <w:ind w:left="3082" w:hanging="420"/>
      </w:pPr>
    </w:lvl>
    <w:lvl w:ilvl="4" w:tentative="0">
      <w:start w:val="1"/>
      <w:numFmt w:val="lowerLetter"/>
      <w:lvlText w:val="%5)"/>
      <w:lvlJc w:val="left"/>
      <w:pPr>
        <w:ind w:left="3502" w:hanging="420"/>
      </w:pPr>
    </w:lvl>
    <w:lvl w:ilvl="5" w:tentative="0">
      <w:start w:val="1"/>
      <w:numFmt w:val="lowerRoman"/>
      <w:lvlText w:val="%6."/>
      <w:lvlJc w:val="right"/>
      <w:pPr>
        <w:ind w:left="3922" w:hanging="420"/>
      </w:pPr>
    </w:lvl>
    <w:lvl w:ilvl="6" w:tentative="0">
      <w:start w:val="1"/>
      <w:numFmt w:val="decimal"/>
      <w:lvlText w:val="%7."/>
      <w:lvlJc w:val="left"/>
      <w:pPr>
        <w:ind w:left="4342" w:hanging="420"/>
      </w:pPr>
    </w:lvl>
    <w:lvl w:ilvl="7" w:tentative="0">
      <w:start w:val="1"/>
      <w:numFmt w:val="lowerLetter"/>
      <w:lvlText w:val="%8)"/>
      <w:lvlJc w:val="left"/>
      <w:pPr>
        <w:ind w:left="4762" w:hanging="420"/>
      </w:pPr>
    </w:lvl>
    <w:lvl w:ilvl="8" w:tentative="0">
      <w:start w:val="1"/>
      <w:numFmt w:val="lowerRoman"/>
      <w:lvlText w:val="%9."/>
      <w:lvlJc w:val="right"/>
      <w:pPr>
        <w:ind w:left="5182" w:hanging="420"/>
      </w:pPr>
    </w:lvl>
  </w:abstractNum>
  <w:abstractNum w:abstractNumId="27">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8">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36BC04DA"/>
    <w:multiLevelType w:val="multilevel"/>
    <w:tmpl w:val="36BC04D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0">
    <w:nsid w:val="4ACE7CA3"/>
    <w:multiLevelType w:val="multilevel"/>
    <w:tmpl w:val="4ACE7CA3"/>
    <w:lvl w:ilvl="0" w:tentative="0">
      <w:start w:val="1"/>
      <w:numFmt w:val="decimal"/>
      <w:lvlText w:val="%1."/>
      <w:lvlJc w:val="left"/>
      <w:pPr>
        <w:ind w:left="700" w:hanging="420"/>
      </w:p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31">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2">
    <w:nsid w:val="4C72071B"/>
    <w:multiLevelType w:val="multilevel"/>
    <w:tmpl w:val="4C72071B"/>
    <w:lvl w:ilvl="0" w:tentative="0">
      <w:start w:val="1"/>
      <w:numFmt w:val="chineseCountingThousand"/>
      <w:lvlText w:val="%1、"/>
      <w:lvlJc w:val="left"/>
      <w:pPr>
        <w:ind w:left="420"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3">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4">
    <w:nsid w:val="50841406"/>
    <w:multiLevelType w:val="multilevel"/>
    <w:tmpl w:val="50841406"/>
    <w:lvl w:ilvl="0" w:tentative="0">
      <w:start w:val="1"/>
      <w:numFmt w:val="japaneseCounting"/>
      <w:lvlText w:val="%1、"/>
      <w:lvlJc w:val="left"/>
      <w:pPr>
        <w:ind w:left="3980" w:hanging="720"/>
      </w:pPr>
      <w:rPr>
        <w:rFonts w:hint="default" w:ascii="宋体" w:hAnsi="宋体" w:eastAsia="宋体"/>
        <w:b w:val="0"/>
        <w:sz w:val="28"/>
        <w:szCs w:val="28"/>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5">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6">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7">
    <w:nsid w:val="5F72EEB8"/>
    <w:multiLevelType w:val="singleLevel"/>
    <w:tmpl w:val="5F72EEB8"/>
    <w:lvl w:ilvl="0" w:tentative="0">
      <w:start w:val="1"/>
      <w:numFmt w:val="decimal"/>
      <w:suff w:val="nothing"/>
      <w:lvlText w:val="（%1）"/>
      <w:lvlJc w:val="left"/>
    </w:lvl>
  </w:abstractNum>
  <w:abstractNum w:abstractNumId="38">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9">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0">
    <w:nsid w:val="638064AA"/>
    <w:multiLevelType w:val="multilevel"/>
    <w:tmpl w:val="638064A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1">
    <w:nsid w:val="6F5B4150"/>
    <w:multiLevelType w:val="multilevel"/>
    <w:tmpl w:val="6F5B4150"/>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42">
    <w:nsid w:val="70CA42E2"/>
    <w:multiLevelType w:val="multilevel"/>
    <w:tmpl w:val="70CA42E2"/>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3">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4">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5">
    <w:nsid w:val="789D00AF"/>
    <w:multiLevelType w:val="multilevel"/>
    <w:tmpl w:val="789D00AF"/>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46">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11"/>
  </w:num>
  <w:num w:numId="2">
    <w:abstractNumId w:val="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21"/>
  </w:num>
  <w:num w:numId="36">
    <w:abstractNumId w:val="26"/>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6D4"/>
    <w:rsid w:val="000014AD"/>
    <w:rsid w:val="00012151"/>
    <w:rsid w:val="00012626"/>
    <w:rsid w:val="000141F6"/>
    <w:rsid w:val="00014A41"/>
    <w:rsid w:val="000175B6"/>
    <w:rsid w:val="000243B4"/>
    <w:rsid w:val="00027377"/>
    <w:rsid w:val="00030E31"/>
    <w:rsid w:val="00034235"/>
    <w:rsid w:val="0003441E"/>
    <w:rsid w:val="000352C7"/>
    <w:rsid w:val="00036D45"/>
    <w:rsid w:val="00037CCE"/>
    <w:rsid w:val="000403DE"/>
    <w:rsid w:val="000514D3"/>
    <w:rsid w:val="000518B7"/>
    <w:rsid w:val="00051C10"/>
    <w:rsid w:val="000556AE"/>
    <w:rsid w:val="00056BC2"/>
    <w:rsid w:val="00060F5A"/>
    <w:rsid w:val="00061B1F"/>
    <w:rsid w:val="00062ED3"/>
    <w:rsid w:val="00064CC8"/>
    <w:rsid w:val="00071C77"/>
    <w:rsid w:val="00072223"/>
    <w:rsid w:val="0007245D"/>
    <w:rsid w:val="00072790"/>
    <w:rsid w:val="000740B8"/>
    <w:rsid w:val="00075226"/>
    <w:rsid w:val="0008183B"/>
    <w:rsid w:val="0008351A"/>
    <w:rsid w:val="0008396B"/>
    <w:rsid w:val="00090CEC"/>
    <w:rsid w:val="00094004"/>
    <w:rsid w:val="00094BF4"/>
    <w:rsid w:val="00096E03"/>
    <w:rsid w:val="00097F27"/>
    <w:rsid w:val="000A04C0"/>
    <w:rsid w:val="000A0A88"/>
    <w:rsid w:val="000A1D1F"/>
    <w:rsid w:val="000A2F7D"/>
    <w:rsid w:val="000A6A86"/>
    <w:rsid w:val="000B0566"/>
    <w:rsid w:val="000B0BDD"/>
    <w:rsid w:val="000B6BFA"/>
    <w:rsid w:val="000C156C"/>
    <w:rsid w:val="000C4591"/>
    <w:rsid w:val="000C52E5"/>
    <w:rsid w:val="000D18C0"/>
    <w:rsid w:val="000D261C"/>
    <w:rsid w:val="000D28CC"/>
    <w:rsid w:val="000D4993"/>
    <w:rsid w:val="000E7E9D"/>
    <w:rsid w:val="000F0E67"/>
    <w:rsid w:val="000F60AD"/>
    <w:rsid w:val="001032A8"/>
    <w:rsid w:val="001050C6"/>
    <w:rsid w:val="0010588D"/>
    <w:rsid w:val="00105E67"/>
    <w:rsid w:val="001073E5"/>
    <w:rsid w:val="00107411"/>
    <w:rsid w:val="00111D9C"/>
    <w:rsid w:val="0011368F"/>
    <w:rsid w:val="00117416"/>
    <w:rsid w:val="001178B2"/>
    <w:rsid w:val="00120CE7"/>
    <w:rsid w:val="00121DB8"/>
    <w:rsid w:val="00122BD7"/>
    <w:rsid w:val="00122D97"/>
    <w:rsid w:val="001237A6"/>
    <w:rsid w:val="00123A95"/>
    <w:rsid w:val="001262A7"/>
    <w:rsid w:val="00127207"/>
    <w:rsid w:val="00132C64"/>
    <w:rsid w:val="00134BA8"/>
    <w:rsid w:val="001408B7"/>
    <w:rsid w:val="00140D68"/>
    <w:rsid w:val="00144FDB"/>
    <w:rsid w:val="00145269"/>
    <w:rsid w:val="001471FF"/>
    <w:rsid w:val="00153AED"/>
    <w:rsid w:val="00153CE6"/>
    <w:rsid w:val="00155145"/>
    <w:rsid w:val="00163B40"/>
    <w:rsid w:val="00167216"/>
    <w:rsid w:val="00182644"/>
    <w:rsid w:val="00183A95"/>
    <w:rsid w:val="001861B9"/>
    <w:rsid w:val="001902FC"/>
    <w:rsid w:val="001912EF"/>
    <w:rsid w:val="00192DEE"/>
    <w:rsid w:val="001A11CD"/>
    <w:rsid w:val="001A16D4"/>
    <w:rsid w:val="001A268E"/>
    <w:rsid w:val="001A7C04"/>
    <w:rsid w:val="001B0B26"/>
    <w:rsid w:val="001B33BD"/>
    <w:rsid w:val="001B3AD9"/>
    <w:rsid w:val="001B63D8"/>
    <w:rsid w:val="001B6694"/>
    <w:rsid w:val="001C04F2"/>
    <w:rsid w:val="001C6504"/>
    <w:rsid w:val="001C7B91"/>
    <w:rsid w:val="001D0739"/>
    <w:rsid w:val="001D38C2"/>
    <w:rsid w:val="001D57E6"/>
    <w:rsid w:val="001E0911"/>
    <w:rsid w:val="001E2114"/>
    <w:rsid w:val="001E369C"/>
    <w:rsid w:val="001E3E2B"/>
    <w:rsid w:val="001E567F"/>
    <w:rsid w:val="001F412D"/>
    <w:rsid w:val="001F5700"/>
    <w:rsid w:val="00200B07"/>
    <w:rsid w:val="00201F03"/>
    <w:rsid w:val="0020244C"/>
    <w:rsid w:val="00213F9F"/>
    <w:rsid w:val="00234BAB"/>
    <w:rsid w:val="0023546D"/>
    <w:rsid w:val="002359E9"/>
    <w:rsid w:val="00237B00"/>
    <w:rsid w:val="0024454D"/>
    <w:rsid w:val="00250119"/>
    <w:rsid w:val="002527EB"/>
    <w:rsid w:val="0025426D"/>
    <w:rsid w:val="002572A3"/>
    <w:rsid w:val="0026057E"/>
    <w:rsid w:val="00266214"/>
    <w:rsid w:val="00277630"/>
    <w:rsid w:val="00281AF2"/>
    <w:rsid w:val="0028299F"/>
    <w:rsid w:val="00282D00"/>
    <w:rsid w:val="00284814"/>
    <w:rsid w:val="00290A5C"/>
    <w:rsid w:val="00290E1D"/>
    <w:rsid w:val="00291F58"/>
    <w:rsid w:val="002923EA"/>
    <w:rsid w:val="0029432D"/>
    <w:rsid w:val="002A0908"/>
    <w:rsid w:val="002A21E7"/>
    <w:rsid w:val="002A4E91"/>
    <w:rsid w:val="002A6C35"/>
    <w:rsid w:val="002A6CBC"/>
    <w:rsid w:val="002A734D"/>
    <w:rsid w:val="002A7579"/>
    <w:rsid w:val="002B1ABE"/>
    <w:rsid w:val="002B2470"/>
    <w:rsid w:val="002B30CF"/>
    <w:rsid w:val="002B46A8"/>
    <w:rsid w:val="002B4E7C"/>
    <w:rsid w:val="002B5162"/>
    <w:rsid w:val="002B5F08"/>
    <w:rsid w:val="002B6C18"/>
    <w:rsid w:val="002B729A"/>
    <w:rsid w:val="002B7FDA"/>
    <w:rsid w:val="002C022D"/>
    <w:rsid w:val="002C0CB9"/>
    <w:rsid w:val="002C184B"/>
    <w:rsid w:val="002C758B"/>
    <w:rsid w:val="002D1454"/>
    <w:rsid w:val="002D219C"/>
    <w:rsid w:val="002D23E6"/>
    <w:rsid w:val="002D37C4"/>
    <w:rsid w:val="002D7F31"/>
    <w:rsid w:val="002E18B1"/>
    <w:rsid w:val="002E5A5F"/>
    <w:rsid w:val="002F2C78"/>
    <w:rsid w:val="002F4288"/>
    <w:rsid w:val="002F7DC1"/>
    <w:rsid w:val="003048DB"/>
    <w:rsid w:val="00305022"/>
    <w:rsid w:val="00305EB7"/>
    <w:rsid w:val="00306F8F"/>
    <w:rsid w:val="00310E45"/>
    <w:rsid w:val="00311377"/>
    <w:rsid w:val="00312404"/>
    <w:rsid w:val="003136FF"/>
    <w:rsid w:val="00315FD1"/>
    <w:rsid w:val="003160DE"/>
    <w:rsid w:val="00317FDF"/>
    <w:rsid w:val="00321B72"/>
    <w:rsid w:val="003259DB"/>
    <w:rsid w:val="00325D4A"/>
    <w:rsid w:val="00345ACC"/>
    <w:rsid w:val="003466A1"/>
    <w:rsid w:val="0035095F"/>
    <w:rsid w:val="00351C5C"/>
    <w:rsid w:val="00351F58"/>
    <w:rsid w:val="00352CC6"/>
    <w:rsid w:val="00363C38"/>
    <w:rsid w:val="0036589D"/>
    <w:rsid w:val="003671A2"/>
    <w:rsid w:val="00367A2C"/>
    <w:rsid w:val="00370BBF"/>
    <w:rsid w:val="003713D7"/>
    <w:rsid w:val="00376071"/>
    <w:rsid w:val="003772F0"/>
    <w:rsid w:val="0037775B"/>
    <w:rsid w:val="00377878"/>
    <w:rsid w:val="00380680"/>
    <w:rsid w:val="0038110B"/>
    <w:rsid w:val="003826D1"/>
    <w:rsid w:val="00384BF6"/>
    <w:rsid w:val="003854BD"/>
    <w:rsid w:val="00385B50"/>
    <w:rsid w:val="003872B9"/>
    <w:rsid w:val="0039004F"/>
    <w:rsid w:val="00392220"/>
    <w:rsid w:val="003973AA"/>
    <w:rsid w:val="003A464B"/>
    <w:rsid w:val="003B254C"/>
    <w:rsid w:val="003B3D08"/>
    <w:rsid w:val="003B4E95"/>
    <w:rsid w:val="003C1755"/>
    <w:rsid w:val="003C22B2"/>
    <w:rsid w:val="003C2DEB"/>
    <w:rsid w:val="003C7DC4"/>
    <w:rsid w:val="003D3695"/>
    <w:rsid w:val="003D5D1A"/>
    <w:rsid w:val="003E0EC4"/>
    <w:rsid w:val="003E352F"/>
    <w:rsid w:val="003E6168"/>
    <w:rsid w:val="003F19C0"/>
    <w:rsid w:val="003F231B"/>
    <w:rsid w:val="003F2B24"/>
    <w:rsid w:val="003F449C"/>
    <w:rsid w:val="004023F4"/>
    <w:rsid w:val="004030C8"/>
    <w:rsid w:val="004044F7"/>
    <w:rsid w:val="0040550B"/>
    <w:rsid w:val="004110CF"/>
    <w:rsid w:val="0041326A"/>
    <w:rsid w:val="004132E6"/>
    <w:rsid w:val="00414D00"/>
    <w:rsid w:val="00414E09"/>
    <w:rsid w:val="0041672F"/>
    <w:rsid w:val="004216B6"/>
    <w:rsid w:val="00421A24"/>
    <w:rsid w:val="00424A26"/>
    <w:rsid w:val="004417D5"/>
    <w:rsid w:val="00444A4E"/>
    <w:rsid w:val="00450758"/>
    <w:rsid w:val="00453E3D"/>
    <w:rsid w:val="00454540"/>
    <w:rsid w:val="00454B38"/>
    <w:rsid w:val="00455E6A"/>
    <w:rsid w:val="00461D47"/>
    <w:rsid w:val="0046315B"/>
    <w:rsid w:val="004642AB"/>
    <w:rsid w:val="00473B52"/>
    <w:rsid w:val="004860F6"/>
    <w:rsid w:val="00490EB1"/>
    <w:rsid w:val="00492416"/>
    <w:rsid w:val="004937FB"/>
    <w:rsid w:val="00496BF2"/>
    <w:rsid w:val="00497D96"/>
    <w:rsid w:val="004A33F2"/>
    <w:rsid w:val="004A46B7"/>
    <w:rsid w:val="004A7164"/>
    <w:rsid w:val="004B5BC1"/>
    <w:rsid w:val="004C0629"/>
    <w:rsid w:val="004C21C1"/>
    <w:rsid w:val="004C2617"/>
    <w:rsid w:val="004C749A"/>
    <w:rsid w:val="004D1459"/>
    <w:rsid w:val="004D4127"/>
    <w:rsid w:val="004D4BD8"/>
    <w:rsid w:val="004D5161"/>
    <w:rsid w:val="004D51B2"/>
    <w:rsid w:val="004D57C1"/>
    <w:rsid w:val="004E5120"/>
    <w:rsid w:val="004E6249"/>
    <w:rsid w:val="004E629C"/>
    <w:rsid w:val="004E69F1"/>
    <w:rsid w:val="004F5AA1"/>
    <w:rsid w:val="004F5C26"/>
    <w:rsid w:val="004F5F12"/>
    <w:rsid w:val="004F77EB"/>
    <w:rsid w:val="00501B1F"/>
    <w:rsid w:val="00503FAD"/>
    <w:rsid w:val="00512A0A"/>
    <w:rsid w:val="00516E36"/>
    <w:rsid w:val="00516FA0"/>
    <w:rsid w:val="00520369"/>
    <w:rsid w:val="005211D0"/>
    <w:rsid w:val="00521CCA"/>
    <w:rsid w:val="00525240"/>
    <w:rsid w:val="005267BB"/>
    <w:rsid w:val="0053002C"/>
    <w:rsid w:val="005357F0"/>
    <w:rsid w:val="00540B6F"/>
    <w:rsid w:val="0054101C"/>
    <w:rsid w:val="005416D4"/>
    <w:rsid w:val="005416FA"/>
    <w:rsid w:val="00543F8F"/>
    <w:rsid w:val="0054431E"/>
    <w:rsid w:val="005503FB"/>
    <w:rsid w:val="00552345"/>
    <w:rsid w:val="0055261B"/>
    <w:rsid w:val="00553FA1"/>
    <w:rsid w:val="005551E8"/>
    <w:rsid w:val="0056311F"/>
    <w:rsid w:val="0056629C"/>
    <w:rsid w:val="00570B90"/>
    <w:rsid w:val="00570C5A"/>
    <w:rsid w:val="005814A1"/>
    <w:rsid w:val="00591B1A"/>
    <w:rsid w:val="0059252D"/>
    <w:rsid w:val="005A0A72"/>
    <w:rsid w:val="005A0CAD"/>
    <w:rsid w:val="005A0D32"/>
    <w:rsid w:val="005A3BB6"/>
    <w:rsid w:val="005A4C6D"/>
    <w:rsid w:val="005A635F"/>
    <w:rsid w:val="005A660B"/>
    <w:rsid w:val="005A70E8"/>
    <w:rsid w:val="005B4EC4"/>
    <w:rsid w:val="005B4FC8"/>
    <w:rsid w:val="005C0053"/>
    <w:rsid w:val="005C0EE2"/>
    <w:rsid w:val="005C2371"/>
    <w:rsid w:val="005C6364"/>
    <w:rsid w:val="005D2B6B"/>
    <w:rsid w:val="005E19F0"/>
    <w:rsid w:val="005E295C"/>
    <w:rsid w:val="005E5BCB"/>
    <w:rsid w:val="005F120B"/>
    <w:rsid w:val="005F43EC"/>
    <w:rsid w:val="005F6D42"/>
    <w:rsid w:val="005F728C"/>
    <w:rsid w:val="00602082"/>
    <w:rsid w:val="006026DE"/>
    <w:rsid w:val="006065F6"/>
    <w:rsid w:val="00612ABE"/>
    <w:rsid w:val="00627080"/>
    <w:rsid w:val="006308A5"/>
    <w:rsid w:val="00631D06"/>
    <w:rsid w:val="006320B8"/>
    <w:rsid w:val="006378C1"/>
    <w:rsid w:val="00642C40"/>
    <w:rsid w:val="0064767E"/>
    <w:rsid w:val="00647A70"/>
    <w:rsid w:val="00647AC9"/>
    <w:rsid w:val="006505EC"/>
    <w:rsid w:val="0065074A"/>
    <w:rsid w:val="00653F0D"/>
    <w:rsid w:val="006548AC"/>
    <w:rsid w:val="00654DD5"/>
    <w:rsid w:val="006557AD"/>
    <w:rsid w:val="00656604"/>
    <w:rsid w:val="006622E5"/>
    <w:rsid w:val="0066243E"/>
    <w:rsid w:val="00662E72"/>
    <w:rsid w:val="00666707"/>
    <w:rsid w:val="006670AD"/>
    <w:rsid w:val="00671E18"/>
    <w:rsid w:val="00673782"/>
    <w:rsid w:val="00675258"/>
    <w:rsid w:val="0067612D"/>
    <w:rsid w:val="00676662"/>
    <w:rsid w:val="00680663"/>
    <w:rsid w:val="00680AEF"/>
    <w:rsid w:val="0068137A"/>
    <w:rsid w:val="0068568B"/>
    <w:rsid w:val="00685F5A"/>
    <w:rsid w:val="006872FD"/>
    <w:rsid w:val="0068756E"/>
    <w:rsid w:val="0069089A"/>
    <w:rsid w:val="006909B9"/>
    <w:rsid w:val="00695505"/>
    <w:rsid w:val="00696759"/>
    <w:rsid w:val="00697BA4"/>
    <w:rsid w:val="006A39DB"/>
    <w:rsid w:val="006A601C"/>
    <w:rsid w:val="006A66D6"/>
    <w:rsid w:val="006A764C"/>
    <w:rsid w:val="006A767F"/>
    <w:rsid w:val="006B5446"/>
    <w:rsid w:val="006B7235"/>
    <w:rsid w:val="006C0C79"/>
    <w:rsid w:val="006C352A"/>
    <w:rsid w:val="006C4437"/>
    <w:rsid w:val="006C5F89"/>
    <w:rsid w:val="006D0175"/>
    <w:rsid w:val="006D0667"/>
    <w:rsid w:val="006D3D22"/>
    <w:rsid w:val="006E3106"/>
    <w:rsid w:val="006E3F62"/>
    <w:rsid w:val="006E4F22"/>
    <w:rsid w:val="006E7141"/>
    <w:rsid w:val="006F02B4"/>
    <w:rsid w:val="006F0597"/>
    <w:rsid w:val="006F580E"/>
    <w:rsid w:val="006F6EA6"/>
    <w:rsid w:val="006F7414"/>
    <w:rsid w:val="00700B80"/>
    <w:rsid w:val="00705675"/>
    <w:rsid w:val="00705EED"/>
    <w:rsid w:val="007101E0"/>
    <w:rsid w:val="00712A0B"/>
    <w:rsid w:val="00715456"/>
    <w:rsid w:val="0071625D"/>
    <w:rsid w:val="00717BA9"/>
    <w:rsid w:val="00717DA5"/>
    <w:rsid w:val="00721223"/>
    <w:rsid w:val="00726D1D"/>
    <w:rsid w:val="00730EE6"/>
    <w:rsid w:val="00735501"/>
    <w:rsid w:val="00740A2F"/>
    <w:rsid w:val="00746EA4"/>
    <w:rsid w:val="007513A7"/>
    <w:rsid w:val="00751480"/>
    <w:rsid w:val="00752CD1"/>
    <w:rsid w:val="0075340E"/>
    <w:rsid w:val="007540E4"/>
    <w:rsid w:val="007560BF"/>
    <w:rsid w:val="007571C9"/>
    <w:rsid w:val="00757DEB"/>
    <w:rsid w:val="007639DD"/>
    <w:rsid w:val="00764320"/>
    <w:rsid w:val="0076642E"/>
    <w:rsid w:val="00767EFE"/>
    <w:rsid w:val="00770A0A"/>
    <w:rsid w:val="007712B8"/>
    <w:rsid w:val="007715F6"/>
    <w:rsid w:val="007719E0"/>
    <w:rsid w:val="00773D82"/>
    <w:rsid w:val="007746E3"/>
    <w:rsid w:val="0077555F"/>
    <w:rsid w:val="00776951"/>
    <w:rsid w:val="00780C5B"/>
    <w:rsid w:val="00783451"/>
    <w:rsid w:val="00783E48"/>
    <w:rsid w:val="00786497"/>
    <w:rsid w:val="00786C35"/>
    <w:rsid w:val="00791666"/>
    <w:rsid w:val="00793530"/>
    <w:rsid w:val="0079428F"/>
    <w:rsid w:val="00795F4E"/>
    <w:rsid w:val="007A0A96"/>
    <w:rsid w:val="007A2038"/>
    <w:rsid w:val="007A4A3A"/>
    <w:rsid w:val="007A50DD"/>
    <w:rsid w:val="007A6EF2"/>
    <w:rsid w:val="007B038E"/>
    <w:rsid w:val="007B0CFC"/>
    <w:rsid w:val="007B1777"/>
    <w:rsid w:val="007B4D7C"/>
    <w:rsid w:val="007B560F"/>
    <w:rsid w:val="007B5FB7"/>
    <w:rsid w:val="007B6E0E"/>
    <w:rsid w:val="007C7BFC"/>
    <w:rsid w:val="007C7CBC"/>
    <w:rsid w:val="007D2E1D"/>
    <w:rsid w:val="007D4EB4"/>
    <w:rsid w:val="007D5868"/>
    <w:rsid w:val="007D5C21"/>
    <w:rsid w:val="007D610F"/>
    <w:rsid w:val="007D64B2"/>
    <w:rsid w:val="007D6D58"/>
    <w:rsid w:val="007D7265"/>
    <w:rsid w:val="007D7BDB"/>
    <w:rsid w:val="007E2A9E"/>
    <w:rsid w:val="007E45B9"/>
    <w:rsid w:val="007E5548"/>
    <w:rsid w:val="007F07FA"/>
    <w:rsid w:val="007F77C7"/>
    <w:rsid w:val="00802C18"/>
    <w:rsid w:val="00806E5E"/>
    <w:rsid w:val="008079EB"/>
    <w:rsid w:val="00807CC4"/>
    <w:rsid w:val="00815525"/>
    <w:rsid w:val="00815E39"/>
    <w:rsid w:val="00816B68"/>
    <w:rsid w:val="00820874"/>
    <w:rsid w:val="00821DB9"/>
    <w:rsid w:val="00821EFD"/>
    <w:rsid w:val="00822E8B"/>
    <w:rsid w:val="00827831"/>
    <w:rsid w:val="00827890"/>
    <w:rsid w:val="0083164D"/>
    <w:rsid w:val="008318C0"/>
    <w:rsid w:val="00831D50"/>
    <w:rsid w:val="00832F16"/>
    <w:rsid w:val="008344E1"/>
    <w:rsid w:val="00836B86"/>
    <w:rsid w:val="008409EE"/>
    <w:rsid w:val="0084516F"/>
    <w:rsid w:val="008465E3"/>
    <w:rsid w:val="00846A31"/>
    <w:rsid w:val="00846BBB"/>
    <w:rsid w:val="00851A19"/>
    <w:rsid w:val="0085377B"/>
    <w:rsid w:val="00855DF8"/>
    <w:rsid w:val="008602E5"/>
    <w:rsid w:val="0086235F"/>
    <w:rsid w:val="00863FFA"/>
    <w:rsid w:val="00865690"/>
    <w:rsid w:val="0087013A"/>
    <w:rsid w:val="00872610"/>
    <w:rsid w:val="0087328A"/>
    <w:rsid w:val="00880B9B"/>
    <w:rsid w:val="008854E1"/>
    <w:rsid w:val="00887597"/>
    <w:rsid w:val="00890872"/>
    <w:rsid w:val="00892052"/>
    <w:rsid w:val="00894014"/>
    <w:rsid w:val="00894C03"/>
    <w:rsid w:val="00894FD9"/>
    <w:rsid w:val="00895FBF"/>
    <w:rsid w:val="0089618F"/>
    <w:rsid w:val="00896EB5"/>
    <w:rsid w:val="008A0693"/>
    <w:rsid w:val="008A1B22"/>
    <w:rsid w:val="008A31B9"/>
    <w:rsid w:val="008A50AC"/>
    <w:rsid w:val="008B6096"/>
    <w:rsid w:val="008B6379"/>
    <w:rsid w:val="008C269A"/>
    <w:rsid w:val="008C2BE7"/>
    <w:rsid w:val="008C411C"/>
    <w:rsid w:val="008C6003"/>
    <w:rsid w:val="008D0437"/>
    <w:rsid w:val="008D1E2A"/>
    <w:rsid w:val="008D2A3B"/>
    <w:rsid w:val="008D3722"/>
    <w:rsid w:val="008D3F9F"/>
    <w:rsid w:val="008D41D3"/>
    <w:rsid w:val="008E1246"/>
    <w:rsid w:val="008E258A"/>
    <w:rsid w:val="008E53F9"/>
    <w:rsid w:val="008E6761"/>
    <w:rsid w:val="008E7EAE"/>
    <w:rsid w:val="008F03B9"/>
    <w:rsid w:val="008F1141"/>
    <w:rsid w:val="008F254C"/>
    <w:rsid w:val="008F2A0D"/>
    <w:rsid w:val="008F3853"/>
    <w:rsid w:val="008F38AF"/>
    <w:rsid w:val="008F5E19"/>
    <w:rsid w:val="008F6FA3"/>
    <w:rsid w:val="009018B3"/>
    <w:rsid w:val="009035B3"/>
    <w:rsid w:val="00905839"/>
    <w:rsid w:val="00907431"/>
    <w:rsid w:val="0091012C"/>
    <w:rsid w:val="009109C7"/>
    <w:rsid w:val="00913505"/>
    <w:rsid w:val="009147A4"/>
    <w:rsid w:val="00915485"/>
    <w:rsid w:val="00917355"/>
    <w:rsid w:val="009216FE"/>
    <w:rsid w:val="009248FC"/>
    <w:rsid w:val="00925230"/>
    <w:rsid w:val="0092585C"/>
    <w:rsid w:val="00926676"/>
    <w:rsid w:val="0093403E"/>
    <w:rsid w:val="009364CF"/>
    <w:rsid w:val="009379FF"/>
    <w:rsid w:val="0094201C"/>
    <w:rsid w:val="00942A0C"/>
    <w:rsid w:val="0094371E"/>
    <w:rsid w:val="009443DF"/>
    <w:rsid w:val="00946CAF"/>
    <w:rsid w:val="00950C8F"/>
    <w:rsid w:val="009511AB"/>
    <w:rsid w:val="00951219"/>
    <w:rsid w:val="0095172F"/>
    <w:rsid w:val="00952677"/>
    <w:rsid w:val="0096104E"/>
    <w:rsid w:val="009613B3"/>
    <w:rsid w:val="009618DB"/>
    <w:rsid w:val="00962C7D"/>
    <w:rsid w:val="00963F27"/>
    <w:rsid w:val="00964DFB"/>
    <w:rsid w:val="00965E96"/>
    <w:rsid w:val="00966327"/>
    <w:rsid w:val="00970DEA"/>
    <w:rsid w:val="00971325"/>
    <w:rsid w:val="009725D8"/>
    <w:rsid w:val="00977951"/>
    <w:rsid w:val="00982626"/>
    <w:rsid w:val="009872DB"/>
    <w:rsid w:val="009903DE"/>
    <w:rsid w:val="0099143A"/>
    <w:rsid w:val="00995C7B"/>
    <w:rsid w:val="009971B8"/>
    <w:rsid w:val="009A248F"/>
    <w:rsid w:val="009A501D"/>
    <w:rsid w:val="009A523C"/>
    <w:rsid w:val="009A5678"/>
    <w:rsid w:val="009A68F5"/>
    <w:rsid w:val="009B58AF"/>
    <w:rsid w:val="009C1154"/>
    <w:rsid w:val="009C31A3"/>
    <w:rsid w:val="009C37CA"/>
    <w:rsid w:val="009C3BA2"/>
    <w:rsid w:val="009C63C3"/>
    <w:rsid w:val="009C746B"/>
    <w:rsid w:val="009D10AD"/>
    <w:rsid w:val="009D6AF5"/>
    <w:rsid w:val="009D6D5B"/>
    <w:rsid w:val="009E01C8"/>
    <w:rsid w:val="009E0372"/>
    <w:rsid w:val="009E0A46"/>
    <w:rsid w:val="009E19A0"/>
    <w:rsid w:val="009E6146"/>
    <w:rsid w:val="009E63B9"/>
    <w:rsid w:val="009F496E"/>
    <w:rsid w:val="009F6780"/>
    <w:rsid w:val="00A0119E"/>
    <w:rsid w:val="00A022D3"/>
    <w:rsid w:val="00A06B09"/>
    <w:rsid w:val="00A10B6D"/>
    <w:rsid w:val="00A1129D"/>
    <w:rsid w:val="00A1335D"/>
    <w:rsid w:val="00A1339A"/>
    <w:rsid w:val="00A1574E"/>
    <w:rsid w:val="00A16AA7"/>
    <w:rsid w:val="00A17799"/>
    <w:rsid w:val="00A2013E"/>
    <w:rsid w:val="00A23726"/>
    <w:rsid w:val="00A25B6F"/>
    <w:rsid w:val="00A2615C"/>
    <w:rsid w:val="00A301C6"/>
    <w:rsid w:val="00A30322"/>
    <w:rsid w:val="00A31667"/>
    <w:rsid w:val="00A31BD1"/>
    <w:rsid w:val="00A3316D"/>
    <w:rsid w:val="00A35765"/>
    <w:rsid w:val="00A36E25"/>
    <w:rsid w:val="00A37352"/>
    <w:rsid w:val="00A37E17"/>
    <w:rsid w:val="00A420B4"/>
    <w:rsid w:val="00A44395"/>
    <w:rsid w:val="00A4562E"/>
    <w:rsid w:val="00A5111C"/>
    <w:rsid w:val="00A5327E"/>
    <w:rsid w:val="00A56FA5"/>
    <w:rsid w:val="00A60A57"/>
    <w:rsid w:val="00A615D0"/>
    <w:rsid w:val="00A61713"/>
    <w:rsid w:val="00A6408C"/>
    <w:rsid w:val="00A65B79"/>
    <w:rsid w:val="00A67FE9"/>
    <w:rsid w:val="00A7094C"/>
    <w:rsid w:val="00A70B4C"/>
    <w:rsid w:val="00A71E38"/>
    <w:rsid w:val="00A72ADA"/>
    <w:rsid w:val="00A861B6"/>
    <w:rsid w:val="00A86A02"/>
    <w:rsid w:val="00A906C8"/>
    <w:rsid w:val="00A91D81"/>
    <w:rsid w:val="00A93303"/>
    <w:rsid w:val="00A96C4B"/>
    <w:rsid w:val="00AA09CA"/>
    <w:rsid w:val="00AA408C"/>
    <w:rsid w:val="00AA5D51"/>
    <w:rsid w:val="00AA660C"/>
    <w:rsid w:val="00AA75E6"/>
    <w:rsid w:val="00AB1127"/>
    <w:rsid w:val="00AB2105"/>
    <w:rsid w:val="00AC5310"/>
    <w:rsid w:val="00AC5977"/>
    <w:rsid w:val="00AD00F2"/>
    <w:rsid w:val="00AD2E49"/>
    <w:rsid w:val="00AD2FF1"/>
    <w:rsid w:val="00AD6BF9"/>
    <w:rsid w:val="00AE18E6"/>
    <w:rsid w:val="00AE1F28"/>
    <w:rsid w:val="00AE5199"/>
    <w:rsid w:val="00AE5F10"/>
    <w:rsid w:val="00AE7045"/>
    <w:rsid w:val="00AF3ACB"/>
    <w:rsid w:val="00AF54C6"/>
    <w:rsid w:val="00B0162A"/>
    <w:rsid w:val="00B02E10"/>
    <w:rsid w:val="00B04827"/>
    <w:rsid w:val="00B0526D"/>
    <w:rsid w:val="00B06C4F"/>
    <w:rsid w:val="00B0755F"/>
    <w:rsid w:val="00B13683"/>
    <w:rsid w:val="00B14099"/>
    <w:rsid w:val="00B204D2"/>
    <w:rsid w:val="00B22954"/>
    <w:rsid w:val="00B25536"/>
    <w:rsid w:val="00B25CE7"/>
    <w:rsid w:val="00B302DC"/>
    <w:rsid w:val="00B30EB5"/>
    <w:rsid w:val="00B32191"/>
    <w:rsid w:val="00B33E98"/>
    <w:rsid w:val="00B348EB"/>
    <w:rsid w:val="00B37BCF"/>
    <w:rsid w:val="00B41925"/>
    <w:rsid w:val="00B41E9C"/>
    <w:rsid w:val="00B42AB8"/>
    <w:rsid w:val="00B459A1"/>
    <w:rsid w:val="00B5171D"/>
    <w:rsid w:val="00B5326F"/>
    <w:rsid w:val="00B560A1"/>
    <w:rsid w:val="00B563AD"/>
    <w:rsid w:val="00B572D0"/>
    <w:rsid w:val="00B6069C"/>
    <w:rsid w:val="00B6125A"/>
    <w:rsid w:val="00B65B90"/>
    <w:rsid w:val="00B673F4"/>
    <w:rsid w:val="00B71718"/>
    <w:rsid w:val="00B722EA"/>
    <w:rsid w:val="00B74038"/>
    <w:rsid w:val="00B74D61"/>
    <w:rsid w:val="00B76E20"/>
    <w:rsid w:val="00B777DE"/>
    <w:rsid w:val="00B8140B"/>
    <w:rsid w:val="00B82721"/>
    <w:rsid w:val="00B82C8D"/>
    <w:rsid w:val="00B85368"/>
    <w:rsid w:val="00B93DEB"/>
    <w:rsid w:val="00B950DF"/>
    <w:rsid w:val="00B958F4"/>
    <w:rsid w:val="00B95A28"/>
    <w:rsid w:val="00BB0E10"/>
    <w:rsid w:val="00BB2867"/>
    <w:rsid w:val="00BB6E19"/>
    <w:rsid w:val="00BC0A36"/>
    <w:rsid w:val="00BC0EDC"/>
    <w:rsid w:val="00BC541F"/>
    <w:rsid w:val="00BC6085"/>
    <w:rsid w:val="00BD2D6B"/>
    <w:rsid w:val="00BD3681"/>
    <w:rsid w:val="00BD3F1F"/>
    <w:rsid w:val="00BD443D"/>
    <w:rsid w:val="00BD454B"/>
    <w:rsid w:val="00BD53EC"/>
    <w:rsid w:val="00BE69B4"/>
    <w:rsid w:val="00BE6BF6"/>
    <w:rsid w:val="00BE6E81"/>
    <w:rsid w:val="00BE74CE"/>
    <w:rsid w:val="00BF4B00"/>
    <w:rsid w:val="00BF6056"/>
    <w:rsid w:val="00C0374B"/>
    <w:rsid w:val="00C03BB4"/>
    <w:rsid w:val="00C04B7B"/>
    <w:rsid w:val="00C056BB"/>
    <w:rsid w:val="00C07C25"/>
    <w:rsid w:val="00C11711"/>
    <w:rsid w:val="00C25C2B"/>
    <w:rsid w:val="00C276A7"/>
    <w:rsid w:val="00C30B81"/>
    <w:rsid w:val="00C30FA1"/>
    <w:rsid w:val="00C34EB0"/>
    <w:rsid w:val="00C36B4E"/>
    <w:rsid w:val="00C4016E"/>
    <w:rsid w:val="00C51A6C"/>
    <w:rsid w:val="00C53932"/>
    <w:rsid w:val="00C54448"/>
    <w:rsid w:val="00C63AC3"/>
    <w:rsid w:val="00C640C6"/>
    <w:rsid w:val="00C6592B"/>
    <w:rsid w:val="00C6699D"/>
    <w:rsid w:val="00C6761E"/>
    <w:rsid w:val="00C70E74"/>
    <w:rsid w:val="00C737F6"/>
    <w:rsid w:val="00C75E07"/>
    <w:rsid w:val="00C76A2E"/>
    <w:rsid w:val="00C77B1C"/>
    <w:rsid w:val="00C80668"/>
    <w:rsid w:val="00C839FA"/>
    <w:rsid w:val="00C8763F"/>
    <w:rsid w:val="00C905A4"/>
    <w:rsid w:val="00C91820"/>
    <w:rsid w:val="00C9549E"/>
    <w:rsid w:val="00C956B1"/>
    <w:rsid w:val="00C9618B"/>
    <w:rsid w:val="00CA06D6"/>
    <w:rsid w:val="00CA07B5"/>
    <w:rsid w:val="00CA1974"/>
    <w:rsid w:val="00CA51D8"/>
    <w:rsid w:val="00CA7F71"/>
    <w:rsid w:val="00CB1CD9"/>
    <w:rsid w:val="00CB466B"/>
    <w:rsid w:val="00CB4B67"/>
    <w:rsid w:val="00CB5AF7"/>
    <w:rsid w:val="00CB66A1"/>
    <w:rsid w:val="00CC0110"/>
    <w:rsid w:val="00CC18DF"/>
    <w:rsid w:val="00CD3CBF"/>
    <w:rsid w:val="00CD7AFB"/>
    <w:rsid w:val="00CE0807"/>
    <w:rsid w:val="00CE448D"/>
    <w:rsid w:val="00CE7A61"/>
    <w:rsid w:val="00CF0E3B"/>
    <w:rsid w:val="00CF77E0"/>
    <w:rsid w:val="00D0518C"/>
    <w:rsid w:val="00D06718"/>
    <w:rsid w:val="00D10FD7"/>
    <w:rsid w:val="00D17480"/>
    <w:rsid w:val="00D174F9"/>
    <w:rsid w:val="00D2197A"/>
    <w:rsid w:val="00D222B2"/>
    <w:rsid w:val="00D23120"/>
    <w:rsid w:val="00D238EE"/>
    <w:rsid w:val="00D26E08"/>
    <w:rsid w:val="00D27B26"/>
    <w:rsid w:val="00D30A36"/>
    <w:rsid w:val="00D312B2"/>
    <w:rsid w:val="00D344B3"/>
    <w:rsid w:val="00D3706A"/>
    <w:rsid w:val="00D37995"/>
    <w:rsid w:val="00D4311A"/>
    <w:rsid w:val="00D43DE9"/>
    <w:rsid w:val="00D4676A"/>
    <w:rsid w:val="00D547DC"/>
    <w:rsid w:val="00D55190"/>
    <w:rsid w:val="00D56AEA"/>
    <w:rsid w:val="00D62941"/>
    <w:rsid w:val="00D6306E"/>
    <w:rsid w:val="00D65C74"/>
    <w:rsid w:val="00D65DE5"/>
    <w:rsid w:val="00D67E2D"/>
    <w:rsid w:val="00D73F77"/>
    <w:rsid w:val="00D7670A"/>
    <w:rsid w:val="00D813E5"/>
    <w:rsid w:val="00D82056"/>
    <w:rsid w:val="00D90D1E"/>
    <w:rsid w:val="00D95D98"/>
    <w:rsid w:val="00D966C9"/>
    <w:rsid w:val="00D96BE0"/>
    <w:rsid w:val="00DA0594"/>
    <w:rsid w:val="00DA15E2"/>
    <w:rsid w:val="00DA21FB"/>
    <w:rsid w:val="00DA31EC"/>
    <w:rsid w:val="00DA5A85"/>
    <w:rsid w:val="00DA6808"/>
    <w:rsid w:val="00DB01BF"/>
    <w:rsid w:val="00DB04A7"/>
    <w:rsid w:val="00DB0F4C"/>
    <w:rsid w:val="00DB23B4"/>
    <w:rsid w:val="00DB2A92"/>
    <w:rsid w:val="00DB3CB7"/>
    <w:rsid w:val="00DB7E76"/>
    <w:rsid w:val="00DC25C4"/>
    <w:rsid w:val="00DC2865"/>
    <w:rsid w:val="00DC6537"/>
    <w:rsid w:val="00DD0BC6"/>
    <w:rsid w:val="00DD164F"/>
    <w:rsid w:val="00DD433A"/>
    <w:rsid w:val="00DD517A"/>
    <w:rsid w:val="00DD5388"/>
    <w:rsid w:val="00DD56D5"/>
    <w:rsid w:val="00DD5D55"/>
    <w:rsid w:val="00DD7A21"/>
    <w:rsid w:val="00DD7C85"/>
    <w:rsid w:val="00DE02EF"/>
    <w:rsid w:val="00DE15D1"/>
    <w:rsid w:val="00DE1E00"/>
    <w:rsid w:val="00DE2A7B"/>
    <w:rsid w:val="00DE5380"/>
    <w:rsid w:val="00DE56DF"/>
    <w:rsid w:val="00DF186F"/>
    <w:rsid w:val="00DF1C26"/>
    <w:rsid w:val="00DF42F7"/>
    <w:rsid w:val="00E075CA"/>
    <w:rsid w:val="00E12BCD"/>
    <w:rsid w:val="00E20E5A"/>
    <w:rsid w:val="00E21A0D"/>
    <w:rsid w:val="00E22362"/>
    <w:rsid w:val="00E223ED"/>
    <w:rsid w:val="00E26769"/>
    <w:rsid w:val="00E30E70"/>
    <w:rsid w:val="00E32575"/>
    <w:rsid w:val="00E32899"/>
    <w:rsid w:val="00E403D2"/>
    <w:rsid w:val="00E41B13"/>
    <w:rsid w:val="00E4348E"/>
    <w:rsid w:val="00E4569B"/>
    <w:rsid w:val="00E46B93"/>
    <w:rsid w:val="00E47528"/>
    <w:rsid w:val="00E47DFE"/>
    <w:rsid w:val="00E507A9"/>
    <w:rsid w:val="00E52228"/>
    <w:rsid w:val="00E537F6"/>
    <w:rsid w:val="00E55917"/>
    <w:rsid w:val="00E56964"/>
    <w:rsid w:val="00E57FF3"/>
    <w:rsid w:val="00E659CF"/>
    <w:rsid w:val="00E66D58"/>
    <w:rsid w:val="00E72374"/>
    <w:rsid w:val="00E731B9"/>
    <w:rsid w:val="00E76DB4"/>
    <w:rsid w:val="00E803F1"/>
    <w:rsid w:val="00E8051E"/>
    <w:rsid w:val="00E80555"/>
    <w:rsid w:val="00E80DD4"/>
    <w:rsid w:val="00E83BF7"/>
    <w:rsid w:val="00E879F0"/>
    <w:rsid w:val="00E9016E"/>
    <w:rsid w:val="00E91619"/>
    <w:rsid w:val="00E9213F"/>
    <w:rsid w:val="00E967CD"/>
    <w:rsid w:val="00E96C70"/>
    <w:rsid w:val="00EA21BC"/>
    <w:rsid w:val="00EA35CE"/>
    <w:rsid w:val="00EA3CAF"/>
    <w:rsid w:val="00EA55D7"/>
    <w:rsid w:val="00EA67F1"/>
    <w:rsid w:val="00EB043D"/>
    <w:rsid w:val="00EB4E5C"/>
    <w:rsid w:val="00EB5195"/>
    <w:rsid w:val="00EB5D94"/>
    <w:rsid w:val="00EC0B24"/>
    <w:rsid w:val="00EC2852"/>
    <w:rsid w:val="00EC2D59"/>
    <w:rsid w:val="00EC398D"/>
    <w:rsid w:val="00EC66DD"/>
    <w:rsid w:val="00EC6CA9"/>
    <w:rsid w:val="00EC7450"/>
    <w:rsid w:val="00ED2F68"/>
    <w:rsid w:val="00ED3BC1"/>
    <w:rsid w:val="00ED3E86"/>
    <w:rsid w:val="00EE04B8"/>
    <w:rsid w:val="00EE1417"/>
    <w:rsid w:val="00EE42A3"/>
    <w:rsid w:val="00EF0045"/>
    <w:rsid w:val="00EF130A"/>
    <w:rsid w:val="00EF17B6"/>
    <w:rsid w:val="00EF22E3"/>
    <w:rsid w:val="00EF495D"/>
    <w:rsid w:val="00EF4C3C"/>
    <w:rsid w:val="00EF6688"/>
    <w:rsid w:val="00F02685"/>
    <w:rsid w:val="00F03058"/>
    <w:rsid w:val="00F03927"/>
    <w:rsid w:val="00F045A0"/>
    <w:rsid w:val="00F147C9"/>
    <w:rsid w:val="00F20389"/>
    <w:rsid w:val="00F23178"/>
    <w:rsid w:val="00F23671"/>
    <w:rsid w:val="00F240BF"/>
    <w:rsid w:val="00F244AE"/>
    <w:rsid w:val="00F25130"/>
    <w:rsid w:val="00F400F6"/>
    <w:rsid w:val="00F41AEA"/>
    <w:rsid w:val="00F42C83"/>
    <w:rsid w:val="00F47CDF"/>
    <w:rsid w:val="00F50729"/>
    <w:rsid w:val="00F536D4"/>
    <w:rsid w:val="00F63BDB"/>
    <w:rsid w:val="00F67ACB"/>
    <w:rsid w:val="00F81C60"/>
    <w:rsid w:val="00F8328F"/>
    <w:rsid w:val="00F90655"/>
    <w:rsid w:val="00FA03F9"/>
    <w:rsid w:val="00FA0C5C"/>
    <w:rsid w:val="00FA20B7"/>
    <w:rsid w:val="00FA2CAE"/>
    <w:rsid w:val="00FA6039"/>
    <w:rsid w:val="00FA639C"/>
    <w:rsid w:val="00FB2B3C"/>
    <w:rsid w:val="00FB2C5D"/>
    <w:rsid w:val="00FB3DE3"/>
    <w:rsid w:val="00FB5EC9"/>
    <w:rsid w:val="00FB63F2"/>
    <w:rsid w:val="00FB6571"/>
    <w:rsid w:val="00FB6995"/>
    <w:rsid w:val="00FC27FC"/>
    <w:rsid w:val="00FC3E65"/>
    <w:rsid w:val="00FC554B"/>
    <w:rsid w:val="00FC6936"/>
    <w:rsid w:val="00FC6C3D"/>
    <w:rsid w:val="00FD0DF8"/>
    <w:rsid w:val="00FD4714"/>
    <w:rsid w:val="00FD5FB7"/>
    <w:rsid w:val="00FD6888"/>
    <w:rsid w:val="00FE004F"/>
    <w:rsid w:val="00FE02F4"/>
    <w:rsid w:val="00FE47B2"/>
    <w:rsid w:val="00FF4125"/>
    <w:rsid w:val="00FF75D6"/>
    <w:rsid w:val="01351A5B"/>
    <w:rsid w:val="02683D9C"/>
    <w:rsid w:val="02B0060C"/>
    <w:rsid w:val="04480F26"/>
    <w:rsid w:val="05AB1DDF"/>
    <w:rsid w:val="08290CCA"/>
    <w:rsid w:val="086F512B"/>
    <w:rsid w:val="09100240"/>
    <w:rsid w:val="0FDB0781"/>
    <w:rsid w:val="130843FF"/>
    <w:rsid w:val="13894BD4"/>
    <w:rsid w:val="13D414B4"/>
    <w:rsid w:val="15D05E40"/>
    <w:rsid w:val="19A42785"/>
    <w:rsid w:val="1A095B1C"/>
    <w:rsid w:val="1B0F7D4C"/>
    <w:rsid w:val="1C4158E2"/>
    <w:rsid w:val="1C9B31ED"/>
    <w:rsid w:val="21C069C9"/>
    <w:rsid w:val="224F11CE"/>
    <w:rsid w:val="22C0005B"/>
    <w:rsid w:val="237A6EA7"/>
    <w:rsid w:val="23F24281"/>
    <w:rsid w:val="245C5493"/>
    <w:rsid w:val="24EB0EF7"/>
    <w:rsid w:val="2517404E"/>
    <w:rsid w:val="28A36F3A"/>
    <w:rsid w:val="28F31450"/>
    <w:rsid w:val="2C441D38"/>
    <w:rsid w:val="2D6F3E72"/>
    <w:rsid w:val="2DBF7EF3"/>
    <w:rsid w:val="2E03776D"/>
    <w:rsid w:val="2E28403B"/>
    <w:rsid w:val="2F203538"/>
    <w:rsid w:val="2F555DEF"/>
    <w:rsid w:val="30CA6A32"/>
    <w:rsid w:val="3242446A"/>
    <w:rsid w:val="340003E3"/>
    <w:rsid w:val="345C4C66"/>
    <w:rsid w:val="360F5DC1"/>
    <w:rsid w:val="363556FE"/>
    <w:rsid w:val="37D84A8A"/>
    <w:rsid w:val="38D83753"/>
    <w:rsid w:val="38DD44FA"/>
    <w:rsid w:val="39A65ABC"/>
    <w:rsid w:val="3A6D75EE"/>
    <w:rsid w:val="3B42422F"/>
    <w:rsid w:val="3C2E5D95"/>
    <w:rsid w:val="3CCA2502"/>
    <w:rsid w:val="3D577AFF"/>
    <w:rsid w:val="3DB13EF3"/>
    <w:rsid w:val="3FC45AED"/>
    <w:rsid w:val="40BF469D"/>
    <w:rsid w:val="43A2320B"/>
    <w:rsid w:val="44AF662F"/>
    <w:rsid w:val="46CE4F61"/>
    <w:rsid w:val="49D874A8"/>
    <w:rsid w:val="4A7F62D0"/>
    <w:rsid w:val="4A9378A7"/>
    <w:rsid w:val="4AC00271"/>
    <w:rsid w:val="4B26728F"/>
    <w:rsid w:val="4B4850FD"/>
    <w:rsid w:val="4B9A0C55"/>
    <w:rsid w:val="4CA26B86"/>
    <w:rsid w:val="4D246B54"/>
    <w:rsid w:val="4D357740"/>
    <w:rsid w:val="4DB27319"/>
    <w:rsid w:val="4E202A97"/>
    <w:rsid w:val="4E690D59"/>
    <w:rsid w:val="4E925073"/>
    <w:rsid w:val="519968DD"/>
    <w:rsid w:val="540B3912"/>
    <w:rsid w:val="55C66B4D"/>
    <w:rsid w:val="561400F5"/>
    <w:rsid w:val="585D5900"/>
    <w:rsid w:val="5A98790A"/>
    <w:rsid w:val="5CDC447F"/>
    <w:rsid w:val="5EBD1A66"/>
    <w:rsid w:val="607B04D4"/>
    <w:rsid w:val="61636241"/>
    <w:rsid w:val="6BD234EC"/>
    <w:rsid w:val="6C28108A"/>
    <w:rsid w:val="6C7C4BF7"/>
    <w:rsid w:val="6E4F2CF2"/>
    <w:rsid w:val="6F0524A4"/>
    <w:rsid w:val="6F3A4A6D"/>
    <w:rsid w:val="6F643AB0"/>
    <w:rsid w:val="6FEF212E"/>
    <w:rsid w:val="70254BDF"/>
    <w:rsid w:val="707F5208"/>
    <w:rsid w:val="71903AD3"/>
    <w:rsid w:val="73D23A69"/>
    <w:rsid w:val="73F70EE8"/>
    <w:rsid w:val="74245A33"/>
    <w:rsid w:val="742A0D13"/>
    <w:rsid w:val="76CA0521"/>
    <w:rsid w:val="76ED576D"/>
    <w:rsid w:val="773F493E"/>
    <w:rsid w:val="78E63056"/>
    <w:rsid w:val="791630D0"/>
    <w:rsid w:val="79867B84"/>
    <w:rsid w:val="79E04DB7"/>
    <w:rsid w:val="7B71300D"/>
    <w:rsid w:val="7C1D4C19"/>
    <w:rsid w:val="7CB30C26"/>
    <w:rsid w:val="7D5329A6"/>
    <w:rsid w:val="7DA8495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9"/>
    <w:qFormat/>
    <w:uiPriority w:val="99"/>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4">
    <w:name w:val="heading 2"/>
    <w:basedOn w:val="1"/>
    <w:next w:val="1"/>
    <w:link w:val="50"/>
    <w:unhideWhenUsed/>
    <w:qFormat/>
    <w:uiPriority w:val="99"/>
    <w:pPr>
      <w:keepNext/>
      <w:keepLines/>
      <w:numPr>
        <w:ilvl w:val="1"/>
        <w:numId w:val="1"/>
      </w:numPr>
      <w:spacing w:before="260" w:after="260" w:line="360" w:lineRule="auto"/>
      <w:jc w:val="left"/>
      <w:outlineLvl w:val="1"/>
    </w:pPr>
    <w:rPr>
      <w:rFonts w:ascii="宋体" w:hAnsi="宋体" w:cs="宋体"/>
      <w:b/>
      <w:bCs/>
      <w:sz w:val="28"/>
      <w:szCs w:val="28"/>
    </w:rPr>
  </w:style>
  <w:style w:type="paragraph" w:styleId="5">
    <w:name w:val="heading 3"/>
    <w:basedOn w:val="1"/>
    <w:next w:val="1"/>
    <w:link w:val="51"/>
    <w:unhideWhenUsed/>
    <w:qFormat/>
    <w:uiPriority w:val="99"/>
    <w:pPr>
      <w:keepNext/>
      <w:keepLines/>
      <w:numPr>
        <w:ilvl w:val="2"/>
        <w:numId w:val="1"/>
      </w:numPr>
      <w:spacing w:line="360" w:lineRule="auto"/>
      <w:outlineLvl w:val="2"/>
    </w:pPr>
    <w:rPr>
      <w:rFonts w:ascii="宋体" w:hAnsi="宋体" w:cs="宋体"/>
      <w:b/>
      <w:bCs/>
      <w:color w:val="000000"/>
      <w:kern w:val="0"/>
      <w:sz w:val="28"/>
      <w:szCs w:val="28"/>
    </w:rPr>
  </w:style>
  <w:style w:type="paragraph" w:styleId="6">
    <w:name w:val="heading 4"/>
    <w:basedOn w:val="1"/>
    <w:next w:val="1"/>
    <w:link w:val="52"/>
    <w:unhideWhenUsed/>
    <w:qFormat/>
    <w:uiPriority w:val="9"/>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5"/>
    <w:basedOn w:val="1"/>
    <w:next w:val="1"/>
    <w:link w:val="53"/>
    <w:unhideWhenUsed/>
    <w:qFormat/>
    <w:uiPriority w:val="0"/>
    <w:pPr>
      <w:numPr>
        <w:ilvl w:val="4"/>
        <w:numId w:val="2"/>
      </w:numPr>
      <w:tabs>
        <w:tab w:val="left" w:pos="1134"/>
      </w:tabs>
      <w:spacing w:before="280" w:after="290" w:line="360" w:lineRule="auto"/>
      <w:outlineLvl w:val="4"/>
    </w:pPr>
    <w:rPr>
      <w:rFonts w:cs="宋体"/>
      <w:b/>
      <w:bCs/>
      <w:kern w:val="0"/>
      <w:sz w:val="28"/>
      <w:szCs w:val="28"/>
    </w:rPr>
  </w:style>
  <w:style w:type="paragraph" w:styleId="8">
    <w:name w:val="heading 6"/>
    <w:basedOn w:val="1"/>
    <w:next w:val="1"/>
    <w:link w:val="54"/>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9">
    <w:name w:val="heading 7"/>
    <w:basedOn w:val="1"/>
    <w:next w:val="1"/>
    <w:link w:val="55"/>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0">
    <w:name w:val="heading 8"/>
    <w:basedOn w:val="1"/>
    <w:next w:val="1"/>
    <w:link w:val="56"/>
    <w:unhideWhenUsed/>
    <w:qFormat/>
    <w:uiPriority w:val="0"/>
    <w:pPr>
      <w:keepNext/>
      <w:keepLines/>
      <w:spacing w:before="240" w:after="64" w:line="314" w:lineRule="auto"/>
      <w:outlineLvl w:val="7"/>
    </w:pPr>
    <w:rPr>
      <w:rFonts w:ascii="Arial" w:hAnsi="Arial" w:eastAsia="黑体"/>
      <w:kern w:val="0"/>
      <w:sz w:val="24"/>
      <w:szCs w:val="24"/>
    </w:rPr>
  </w:style>
  <w:style w:type="paragraph" w:styleId="11">
    <w:name w:val="heading 9"/>
    <w:basedOn w:val="1"/>
    <w:next w:val="1"/>
    <w:link w:val="57"/>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2">
    <w:name w:val="Default Paragraph Font"/>
    <w:unhideWhenUsed/>
    <w:uiPriority w:val="1"/>
  </w:style>
  <w:style w:type="table" w:default="1" w:styleId="47">
    <w:name w:val="Normal Table"/>
    <w:unhideWhenUsed/>
    <w:uiPriority w:val="99"/>
    <w:tblPr>
      <w:tblLayout w:type="fixed"/>
      <w:tblCellMar>
        <w:top w:w="0" w:type="dxa"/>
        <w:left w:w="108" w:type="dxa"/>
        <w:bottom w:w="0" w:type="dxa"/>
        <w:right w:w="108" w:type="dxa"/>
      </w:tblCellMar>
    </w:tblPr>
  </w:style>
  <w:style w:type="paragraph" w:styleId="2">
    <w:name w:val="Body Text"/>
    <w:basedOn w:val="1"/>
    <w:next w:val="1"/>
    <w:link w:val="63"/>
    <w:unhideWhenUsed/>
    <w:qFormat/>
    <w:uiPriority w:val="0"/>
    <w:pPr>
      <w:spacing w:after="120"/>
    </w:pPr>
  </w:style>
  <w:style w:type="paragraph" w:styleId="12">
    <w:name w:val="annotation subject"/>
    <w:basedOn w:val="13"/>
    <w:next w:val="13"/>
    <w:link w:val="76"/>
    <w:unhideWhenUsed/>
    <w:qFormat/>
    <w:uiPriority w:val="99"/>
    <w:rPr>
      <w:rFonts w:ascii="Calibri" w:hAnsi="Calibri"/>
      <w:b/>
      <w:bCs/>
      <w:kern w:val="2"/>
      <w:sz w:val="21"/>
      <w:szCs w:val="22"/>
    </w:rPr>
  </w:style>
  <w:style w:type="paragraph" w:styleId="13">
    <w:name w:val="annotation text"/>
    <w:basedOn w:val="1"/>
    <w:link w:val="60"/>
    <w:unhideWhenUsed/>
    <w:qFormat/>
    <w:uiPriority w:val="0"/>
    <w:pPr>
      <w:jc w:val="left"/>
    </w:pPr>
    <w:rPr>
      <w:rFonts w:ascii="Times New Roman" w:hAnsi="Times New Roman"/>
      <w:kern w:val="0"/>
      <w:sz w:val="18"/>
      <w:szCs w:val="18"/>
    </w:rPr>
  </w:style>
  <w:style w:type="paragraph" w:styleId="14">
    <w:name w:val="toc 7"/>
    <w:basedOn w:val="1"/>
    <w:next w:val="1"/>
    <w:unhideWhenUsed/>
    <w:qFormat/>
    <w:uiPriority w:val="0"/>
    <w:pPr>
      <w:ind w:left="2520" w:leftChars="1200"/>
    </w:pPr>
    <w:rPr>
      <w:rFonts w:ascii="Times New Roman" w:hAnsi="Times New Roman"/>
      <w:szCs w:val="24"/>
    </w:rPr>
  </w:style>
  <w:style w:type="paragraph" w:styleId="15">
    <w:name w:val="Body Text First Indent"/>
    <w:basedOn w:val="2"/>
    <w:link w:val="68"/>
    <w:unhideWhenUsed/>
    <w:qFormat/>
    <w:uiPriority w:val="0"/>
    <w:pPr>
      <w:ind w:firstLine="420" w:firstLineChars="100"/>
    </w:pPr>
    <w:rPr>
      <w:rFonts w:ascii="Times New Roman" w:hAnsi="Times New Roman"/>
      <w:kern w:val="0"/>
      <w:sz w:val="18"/>
      <w:szCs w:val="18"/>
    </w:rPr>
  </w:style>
  <w:style w:type="paragraph" w:styleId="16">
    <w:name w:val="Normal Indent"/>
    <w:basedOn w:val="1"/>
    <w:link w:val="58"/>
    <w:unhideWhenUsed/>
    <w:qFormat/>
    <w:uiPriority w:val="0"/>
    <w:pPr>
      <w:spacing w:after="180" w:line="307" w:lineRule="auto"/>
      <w:ind w:firstLine="420"/>
    </w:pPr>
    <w:rPr>
      <w:rFonts w:asciiTheme="minorHAnsi" w:hAnsiTheme="minorHAnsi" w:eastAsiaTheme="minorEastAsia" w:cstheme="minorBidi"/>
    </w:rPr>
  </w:style>
  <w:style w:type="paragraph" w:styleId="17">
    <w:name w:val="caption"/>
    <w:basedOn w:val="1"/>
    <w:next w:val="1"/>
    <w:unhideWhenUsed/>
    <w:qFormat/>
    <w:uiPriority w:val="0"/>
    <w:pPr>
      <w:spacing w:before="152" w:after="160" w:line="360" w:lineRule="auto"/>
    </w:pPr>
    <w:rPr>
      <w:rFonts w:ascii="Arial" w:hAnsi="Arial" w:eastAsia="黑体" w:cs="Arial"/>
      <w:sz w:val="20"/>
      <w:szCs w:val="20"/>
    </w:rPr>
  </w:style>
  <w:style w:type="paragraph" w:styleId="18">
    <w:name w:val="Document Map"/>
    <w:basedOn w:val="1"/>
    <w:link w:val="73"/>
    <w:unhideWhenUsed/>
    <w:qFormat/>
    <w:uiPriority w:val="0"/>
    <w:pPr>
      <w:shd w:val="clear" w:color="auto" w:fill="000080"/>
    </w:pPr>
    <w:rPr>
      <w:rFonts w:ascii="Times New Roman" w:hAnsi="Times New Roman"/>
      <w:kern w:val="0"/>
      <w:sz w:val="18"/>
      <w:szCs w:val="18"/>
    </w:rPr>
  </w:style>
  <w:style w:type="paragraph" w:styleId="19">
    <w:name w:val="Body Text 3"/>
    <w:basedOn w:val="1"/>
    <w:link w:val="70"/>
    <w:unhideWhenUsed/>
    <w:qFormat/>
    <w:uiPriority w:val="0"/>
    <w:pPr>
      <w:jc w:val="center"/>
    </w:pPr>
    <w:rPr>
      <w:rFonts w:ascii="Times New Roman" w:hAnsi="Times New Roman" w:eastAsia="黑体"/>
      <w:sz w:val="44"/>
      <w:szCs w:val="24"/>
    </w:rPr>
  </w:style>
  <w:style w:type="paragraph" w:styleId="20">
    <w:name w:val="Body Text Indent"/>
    <w:basedOn w:val="1"/>
    <w:link w:val="65"/>
    <w:unhideWhenUsed/>
    <w:qFormat/>
    <w:uiPriority w:val="0"/>
    <w:pPr>
      <w:spacing w:after="120"/>
      <w:ind w:left="420" w:leftChars="200"/>
    </w:pPr>
    <w:rPr>
      <w:rFonts w:ascii="Times New Roman" w:hAnsi="Times New Roman"/>
      <w:kern w:val="0"/>
      <w:sz w:val="20"/>
      <w:szCs w:val="24"/>
    </w:rPr>
  </w:style>
  <w:style w:type="paragraph" w:styleId="21">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2">
    <w:name w:val="toc 5"/>
    <w:basedOn w:val="1"/>
    <w:next w:val="1"/>
    <w:unhideWhenUsed/>
    <w:qFormat/>
    <w:uiPriority w:val="0"/>
    <w:pPr>
      <w:ind w:left="1680" w:leftChars="800"/>
    </w:pPr>
    <w:rPr>
      <w:rFonts w:ascii="Times New Roman" w:hAnsi="Times New Roman"/>
      <w:sz w:val="18"/>
      <w:szCs w:val="18"/>
    </w:rPr>
  </w:style>
  <w:style w:type="paragraph" w:styleId="23">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4">
    <w:name w:val="Plain Text"/>
    <w:basedOn w:val="1"/>
    <w:link w:val="74"/>
    <w:unhideWhenUsed/>
    <w:qFormat/>
    <w:uiPriority w:val="0"/>
    <w:rPr>
      <w:rFonts w:ascii="宋体" w:hAnsi="Courier New"/>
      <w:kern w:val="0"/>
      <w:sz w:val="20"/>
      <w:szCs w:val="18"/>
    </w:rPr>
  </w:style>
  <w:style w:type="paragraph" w:styleId="25">
    <w:name w:val="toc 8"/>
    <w:basedOn w:val="1"/>
    <w:next w:val="1"/>
    <w:unhideWhenUsed/>
    <w:qFormat/>
    <w:uiPriority w:val="0"/>
    <w:pPr>
      <w:ind w:left="2940" w:leftChars="1400"/>
    </w:pPr>
    <w:rPr>
      <w:rFonts w:ascii="Times New Roman" w:hAnsi="Times New Roman"/>
      <w:szCs w:val="24"/>
    </w:rPr>
  </w:style>
  <w:style w:type="paragraph" w:styleId="26">
    <w:name w:val="Date"/>
    <w:basedOn w:val="1"/>
    <w:next w:val="1"/>
    <w:link w:val="67"/>
    <w:unhideWhenUsed/>
    <w:qFormat/>
    <w:uiPriority w:val="0"/>
    <w:pPr>
      <w:ind w:left="100" w:leftChars="2500"/>
    </w:pPr>
    <w:rPr>
      <w:rFonts w:ascii="Times New Roman" w:hAnsi="Times New Roman"/>
      <w:kern w:val="0"/>
      <w:sz w:val="24"/>
      <w:szCs w:val="24"/>
    </w:rPr>
  </w:style>
  <w:style w:type="paragraph" w:styleId="27">
    <w:name w:val="Body Text Indent 2"/>
    <w:basedOn w:val="1"/>
    <w:link w:val="71"/>
    <w:unhideWhenUsed/>
    <w:qFormat/>
    <w:uiPriority w:val="0"/>
    <w:pPr>
      <w:spacing w:after="120" w:line="480" w:lineRule="auto"/>
      <w:ind w:left="420" w:leftChars="200"/>
    </w:pPr>
  </w:style>
  <w:style w:type="paragraph" w:styleId="28">
    <w:name w:val="Balloon Text"/>
    <w:basedOn w:val="1"/>
    <w:link w:val="77"/>
    <w:unhideWhenUsed/>
    <w:qFormat/>
    <w:uiPriority w:val="99"/>
    <w:rPr>
      <w:rFonts w:ascii="Times New Roman" w:hAnsi="Times New Roman"/>
      <w:kern w:val="0"/>
      <w:sz w:val="18"/>
      <w:szCs w:val="18"/>
    </w:rPr>
  </w:style>
  <w:style w:type="paragraph" w:styleId="29">
    <w:name w:val="footer"/>
    <w:basedOn w:val="1"/>
    <w:link w:val="62"/>
    <w:unhideWhenUsed/>
    <w:qFormat/>
    <w:uiPriority w:val="99"/>
    <w:pPr>
      <w:tabs>
        <w:tab w:val="center" w:pos="4153"/>
        <w:tab w:val="right" w:pos="8306"/>
      </w:tabs>
      <w:snapToGrid w:val="0"/>
      <w:jc w:val="left"/>
    </w:pPr>
    <w:rPr>
      <w:kern w:val="0"/>
      <w:sz w:val="18"/>
      <w:szCs w:val="18"/>
    </w:rPr>
  </w:style>
  <w:style w:type="paragraph" w:styleId="30">
    <w:name w:val="Body Text First Indent 2"/>
    <w:basedOn w:val="20"/>
    <w:unhideWhenUsed/>
    <w:qFormat/>
    <w:uiPriority w:val="99"/>
    <w:pPr>
      <w:ind w:firstLine="420" w:firstLineChars="200"/>
    </w:pPr>
  </w:style>
  <w:style w:type="paragraph" w:styleId="31">
    <w:name w:val="header"/>
    <w:basedOn w:val="1"/>
    <w:link w:val="6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3">
    <w:name w:val="toc 4"/>
    <w:basedOn w:val="1"/>
    <w:next w:val="1"/>
    <w:unhideWhenUsed/>
    <w:qFormat/>
    <w:uiPriority w:val="0"/>
    <w:pPr>
      <w:ind w:left="1260" w:leftChars="600"/>
    </w:pPr>
    <w:rPr>
      <w:rFonts w:ascii="Times New Roman" w:hAnsi="Times New Roman"/>
      <w:sz w:val="18"/>
      <w:szCs w:val="18"/>
    </w:rPr>
  </w:style>
  <w:style w:type="paragraph" w:styleId="34">
    <w:name w:val="Subtitle"/>
    <w:basedOn w:val="1"/>
    <w:next w:val="1"/>
    <w:link w:val="66"/>
    <w:qFormat/>
    <w:uiPriority w:val="0"/>
    <w:pPr>
      <w:spacing w:before="240" w:after="60" w:line="312" w:lineRule="auto"/>
      <w:jc w:val="center"/>
      <w:outlineLvl w:val="1"/>
    </w:pPr>
    <w:rPr>
      <w:rFonts w:ascii="Cambria" w:hAnsi="Cambria"/>
      <w:b/>
      <w:bCs/>
      <w:kern w:val="28"/>
      <w:sz w:val="32"/>
      <w:szCs w:val="32"/>
    </w:rPr>
  </w:style>
  <w:style w:type="paragraph" w:styleId="35">
    <w:name w:val="footnote text"/>
    <w:basedOn w:val="1"/>
    <w:link w:val="59"/>
    <w:unhideWhenUsed/>
    <w:qFormat/>
    <w:uiPriority w:val="0"/>
    <w:pPr>
      <w:snapToGrid w:val="0"/>
      <w:jc w:val="left"/>
    </w:pPr>
    <w:rPr>
      <w:sz w:val="18"/>
      <w:szCs w:val="18"/>
    </w:rPr>
  </w:style>
  <w:style w:type="paragraph" w:styleId="36">
    <w:name w:val="toc 6"/>
    <w:basedOn w:val="1"/>
    <w:next w:val="1"/>
    <w:unhideWhenUsed/>
    <w:qFormat/>
    <w:uiPriority w:val="0"/>
    <w:pPr>
      <w:ind w:left="2100" w:leftChars="1000"/>
    </w:pPr>
    <w:rPr>
      <w:rFonts w:ascii="Times New Roman" w:hAnsi="Times New Roman"/>
      <w:szCs w:val="24"/>
    </w:rPr>
  </w:style>
  <w:style w:type="paragraph" w:styleId="37">
    <w:name w:val="Body Text Indent 3"/>
    <w:basedOn w:val="1"/>
    <w:link w:val="72"/>
    <w:unhideWhenUsed/>
    <w:qFormat/>
    <w:uiPriority w:val="0"/>
    <w:pPr>
      <w:spacing w:line="360" w:lineRule="auto"/>
      <w:ind w:left="153" w:leftChars="85" w:firstLine="560" w:firstLineChars="200"/>
    </w:pPr>
    <w:rPr>
      <w:rFonts w:ascii="宋体" w:hAnsi="宋体"/>
      <w:kern w:val="0"/>
      <w:sz w:val="28"/>
      <w:szCs w:val="28"/>
    </w:rPr>
  </w:style>
  <w:style w:type="paragraph" w:styleId="38">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9">
    <w:name w:val="toc 9"/>
    <w:basedOn w:val="1"/>
    <w:next w:val="1"/>
    <w:unhideWhenUsed/>
    <w:qFormat/>
    <w:uiPriority w:val="0"/>
    <w:pPr>
      <w:ind w:left="3360" w:leftChars="1600"/>
    </w:pPr>
    <w:rPr>
      <w:rFonts w:ascii="Times New Roman" w:hAnsi="Times New Roman"/>
      <w:szCs w:val="24"/>
    </w:rPr>
  </w:style>
  <w:style w:type="paragraph" w:styleId="40">
    <w:name w:val="Body Text 2"/>
    <w:basedOn w:val="1"/>
    <w:link w:val="69"/>
    <w:unhideWhenUsed/>
    <w:qFormat/>
    <w:uiPriority w:val="0"/>
    <w:pPr>
      <w:spacing w:after="120" w:line="480" w:lineRule="auto"/>
    </w:pPr>
    <w:rPr>
      <w:rFonts w:ascii="Times New Roman" w:hAnsi="Times New Roman"/>
      <w:kern w:val="0"/>
      <w:sz w:val="18"/>
      <w:szCs w:val="18"/>
    </w:rPr>
  </w:style>
  <w:style w:type="paragraph" w:styleId="41">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character" w:styleId="43">
    <w:name w:val="FollowedHyperlink"/>
    <w:basedOn w:val="42"/>
    <w:unhideWhenUsed/>
    <w:qFormat/>
    <w:uiPriority w:val="99"/>
    <w:rPr>
      <w:color w:val="800080" w:themeColor="followedHyperlink"/>
      <w:u w:val="single"/>
      <w14:textFill>
        <w14:solidFill>
          <w14:schemeClr w14:val="folHlink"/>
        </w14:solidFill>
      </w14:textFill>
    </w:rPr>
  </w:style>
  <w:style w:type="character" w:styleId="44">
    <w:name w:val="Hyperlink"/>
    <w:unhideWhenUsed/>
    <w:qFormat/>
    <w:uiPriority w:val="99"/>
    <w:rPr>
      <w:color w:val="0000FF"/>
      <w:u w:val="single"/>
    </w:rPr>
  </w:style>
  <w:style w:type="character" w:styleId="45">
    <w:name w:val="annotation reference"/>
    <w:unhideWhenUsed/>
    <w:qFormat/>
    <w:uiPriority w:val="0"/>
    <w:rPr>
      <w:sz w:val="21"/>
      <w:szCs w:val="21"/>
    </w:rPr>
  </w:style>
  <w:style w:type="character" w:styleId="46">
    <w:name w:val="footnote reference"/>
    <w:unhideWhenUsed/>
    <w:qFormat/>
    <w:uiPriority w:val="0"/>
    <w:rPr>
      <w:vertAlign w:val="superscript"/>
    </w:rPr>
  </w:style>
  <w:style w:type="table" w:styleId="48">
    <w:name w:val="Table Grid"/>
    <w:basedOn w:val="4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9">
    <w:name w:val="标题 1 Char"/>
    <w:basedOn w:val="42"/>
    <w:link w:val="3"/>
    <w:qFormat/>
    <w:uiPriority w:val="99"/>
    <w:rPr>
      <w:rFonts w:ascii="宋体" w:hAnsi="宋体" w:cs="宋体"/>
      <w:b/>
      <w:bCs/>
      <w:spacing w:val="-20"/>
      <w:kern w:val="44"/>
      <w:sz w:val="32"/>
      <w:szCs w:val="32"/>
    </w:rPr>
  </w:style>
  <w:style w:type="character" w:customStyle="1" w:styleId="50">
    <w:name w:val="标题 2 Char"/>
    <w:basedOn w:val="42"/>
    <w:link w:val="4"/>
    <w:qFormat/>
    <w:uiPriority w:val="99"/>
    <w:rPr>
      <w:rFonts w:ascii="宋体" w:hAnsi="宋体" w:cs="宋体"/>
      <w:b/>
      <w:bCs/>
      <w:kern w:val="2"/>
      <w:sz w:val="28"/>
      <w:szCs w:val="28"/>
    </w:rPr>
  </w:style>
  <w:style w:type="character" w:customStyle="1" w:styleId="51">
    <w:name w:val="标题 3 Char"/>
    <w:basedOn w:val="42"/>
    <w:link w:val="5"/>
    <w:qFormat/>
    <w:uiPriority w:val="99"/>
    <w:rPr>
      <w:rFonts w:ascii="宋体" w:hAnsi="宋体" w:cs="宋体"/>
      <w:b/>
      <w:bCs/>
      <w:color w:val="000000"/>
      <w:sz w:val="28"/>
      <w:szCs w:val="28"/>
    </w:rPr>
  </w:style>
  <w:style w:type="character" w:customStyle="1" w:styleId="52">
    <w:name w:val="标题 4 Char"/>
    <w:basedOn w:val="42"/>
    <w:link w:val="6"/>
    <w:qFormat/>
    <w:uiPriority w:val="9"/>
    <w:rPr>
      <w:rFonts w:ascii="Arial" w:hAnsi="Arial"/>
      <w:b/>
      <w:bCs/>
      <w:sz w:val="28"/>
      <w:szCs w:val="28"/>
    </w:rPr>
  </w:style>
  <w:style w:type="character" w:customStyle="1" w:styleId="53">
    <w:name w:val="标题 5 Char"/>
    <w:basedOn w:val="42"/>
    <w:link w:val="7"/>
    <w:qFormat/>
    <w:uiPriority w:val="0"/>
    <w:rPr>
      <w:rFonts w:ascii="Calibri" w:hAnsi="Calibri" w:cs="宋体"/>
      <w:b/>
      <w:bCs/>
      <w:sz w:val="28"/>
      <w:szCs w:val="28"/>
    </w:rPr>
  </w:style>
  <w:style w:type="character" w:customStyle="1" w:styleId="54">
    <w:name w:val="标题 6 Char"/>
    <w:basedOn w:val="42"/>
    <w:link w:val="8"/>
    <w:qFormat/>
    <w:uiPriority w:val="0"/>
    <w:rPr>
      <w:rFonts w:ascii="Arial" w:hAnsi="Arial"/>
      <w:b/>
      <w:bCs/>
      <w:sz w:val="28"/>
      <w:szCs w:val="18"/>
    </w:rPr>
  </w:style>
  <w:style w:type="character" w:customStyle="1" w:styleId="55">
    <w:name w:val="标题 7 Char"/>
    <w:basedOn w:val="42"/>
    <w:link w:val="9"/>
    <w:semiHidden/>
    <w:qFormat/>
    <w:uiPriority w:val="0"/>
    <w:rPr>
      <w:rFonts w:ascii="Arial Narrow" w:hAnsi="Arial Narrow" w:eastAsia="宋体" w:cs="Times New Roman"/>
      <w:b/>
      <w:bCs/>
      <w:iCs/>
      <w:kern w:val="0"/>
      <w:sz w:val="20"/>
      <w:szCs w:val="24"/>
      <w:lang w:eastAsia="en-US"/>
    </w:rPr>
  </w:style>
  <w:style w:type="character" w:customStyle="1" w:styleId="56">
    <w:name w:val="标题 8 Char"/>
    <w:basedOn w:val="42"/>
    <w:link w:val="10"/>
    <w:semiHidden/>
    <w:qFormat/>
    <w:uiPriority w:val="0"/>
    <w:rPr>
      <w:rFonts w:ascii="Arial" w:hAnsi="Arial" w:eastAsia="黑体" w:cs="Times New Roman"/>
      <w:kern w:val="0"/>
      <w:sz w:val="24"/>
      <w:szCs w:val="24"/>
    </w:rPr>
  </w:style>
  <w:style w:type="character" w:customStyle="1" w:styleId="57">
    <w:name w:val="标题 9 Char"/>
    <w:basedOn w:val="42"/>
    <w:link w:val="11"/>
    <w:semiHidden/>
    <w:qFormat/>
    <w:uiPriority w:val="0"/>
    <w:rPr>
      <w:rFonts w:ascii="Arial" w:hAnsi="Arial" w:eastAsia="黑体" w:cs="Times New Roman"/>
      <w:kern w:val="0"/>
      <w:sz w:val="20"/>
      <w:szCs w:val="21"/>
    </w:rPr>
  </w:style>
  <w:style w:type="character" w:customStyle="1" w:styleId="58">
    <w:name w:val="正文缩进 Char1"/>
    <w:link w:val="16"/>
    <w:qFormat/>
    <w:locked/>
    <w:uiPriority w:val="0"/>
  </w:style>
  <w:style w:type="character" w:customStyle="1" w:styleId="59">
    <w:name w:val="脚注文本 Char"/>
    <w:basedOn w:val="42"/>
    <w:link w:val="35"/>
    <w:qFormat/>
    <w:uiPriority w:val="0"/>
    <w:rPr>
      <w:rFonts w:ascii="Calibri" w:hAnsi="Calibri" w:eastAsia="宋体" w:cs="Times New Roman"/>
      <w:sz w:val="18"/>
      <w:szCs w:val="18"/>
    </w:rPr>
  </w:style>
  <w:style w:type="character" w:customStyle="1" w:styleId="60">
    <w:name w:val="批注文字 Char"/>
    <w:basedOn w:val="42"/>
    <w:link w:val="13"/>
    <w:qFormat/>
    <w:uiPriority w:val="99"/>
    <w:rPr>
      <w:rFonts w:ascii="Times New Roman" w:hAnsi="Times New Roman" w:eastAsia="宋体" w:cs="Times New Roman"/>
      <w:kern w:val="0"/>
      <w:sz w:val="18"/>
      <w:szCs w:val="18"/>
    </w:rPr>
  </w:style>
  <w:style w:type="character" w:customStyle="1" w:styleId="61">
    <w:name w:val="页眉 Char"/>
    <w:basedOn w:val="42"/>
    <w:link w:val="31"/>
    <w:qFormat/>
    <w:uiPriority w:val="99"/>
    <w:rPr>
      <w:rFonts w:ascii="Calibri" w:hAnsi="Calibri" w:eastAsia="宋体" w:cs="Times New Roman"/>
      <w:kern w:val="0"/>
      <w:sz w:val="18"/>
      <w:szCs w:val="18"/>
    </w:rPr>
  </w:style>
  <w:style w:type="character" w:customStyle="1" w:styleId="62">
    <w:name w:val="页脚 Char"/>
    <w:basedOn w:val="42"/>
    <w:link w:val="29"/>
    <w:qFormat/>
    <w:uiPriority w:val="99"/>
    <w:rPr>
      <w:rFonts w:ascii="Calibri" w:hAnsi="Calibri" w:eastAsia="宋体" w:cs="Times New Roman"/>
      <w:kern w:val="0"/>
      <w:sz w:val="18"/>
      <w:szCs w:val="18"/>
    </w:rPr>
  </w:style>
  <w:style w:type="character" w:customStyle="1" w:styleId="63">
    <w:name w:val="正文文本 Char2"/>
    <w:basedOn w:val="42"/>
    <w:link w:val="2"/>
    <w:qFormat/>
    <w:locked/>
    <w:uiPriority w:val="0"/>
    <w:rPr>
      <w:rFonts w:ascii="Calibri" w:hAnsi="Calibri" w:eastAsia="宋体" w:cs="Times New Roman"/>
    </w:rPr>
  </w:style>
  <w:style w:type="character" w:customStyle="1" w:styleId="64">
    <w:name w:val="正文文本 Char"/>
    <w:basedOn w:val="42"/>
    <w:qFormat/>
    <w:uiPriority w:val="0"/>
    <w:rPr>
      <w:rFonts w:ascii="Calibri" w:hAnsi="Calibri" w:eastAsia="宋体" w:cs="Times New Roman"/>
    </w:rPr>
  </w:style>
  <w:style w:type="character" w:customStyle="1" w:styleId="65">
    <w:name w:val="正文文本缩进 Char"/>
    <w:basedOn w:val="42"/>
    <w:link w:val="20"/>
    <w:qFormat/>
    <w:uiPriority w:val="0"/>
    <w:rPr>
      <w:rFonts w:ascii="Times New Roman" w:hAnsi="Times New Roman" w:eastAsia="宋体" w:cs="Times New Roman"/>
      <w:kern w:val="0"/>
      <w:sz w:val="20"/>
      <w:szCs w:val="24"/>
    </w:rPr>
  </w:style>
  <w:style w:type="character" w:customStyle="1" w:styleId="66">
    <w:name w:val="副标题 Char"/>
    <w:basedOn w:val="42"/>
    <w:link w:val="34"/>
    <w:qFormat/>
    <w:uiPriority w:val="0"/>
    <w:rPr>
      <w:rFonts w:ascii="Cambria" w:hAnsi="Cambria" w:eastAsia="宋体" w:cs="Times New Roman"/>
      <w:b/>
      <w:bCs/>
      <w:kern w:val="28"/>
      <w:sz w:val="32"/>
      <w:szCs w:val="32"/>
    </w:rPr>
  </w:style>
  <w:style w:type="character" w:customStyle="1" w:styleId="67">
    <w:name w:val="日期 Char"/>
    <w:basedOn w:val="42"/>
    <w:link w:val="26"/>
    <w:qFormat/>
    <w:uiPriority w:val="0"/>
    <w:rPr>
      <w:rFonts w:ascii="Times New Roman" w:hAnsi="Times New Roman" w:eastAsia="宋体" w:cs="Times New Roman"/>
      <w:kern w:val="0"/>
      <w:sz w:val="24"/>
      <w:szCs w:val="24"/>
    </w:rPr>
  </w:style>
  <w:style w:type="character" w:customStyle="1" w:styleId="68">
    <w:name w:val="正文首行缩进 Char"/>
    <w:basedOn w:val="64"/>
    <w:link w:val="15"/>
    <w:qFormat/>
    <w:uiPriority w:val="0"/>
    <w:rPr>
      <w:rFonts w:ascii="Times New Roman" w:hAnsi="Times New Roman" w:eastAsia="宋体" w:cs="Times New Roman"/>
      <w:kern w:val="0"/>
      <w:sz w:val="18"/>
      <w:szCs w:val="18"/>
    </w:rPr>
  </w:style>
  <w:style w:type="character" w:customStyle="1" w:styleId="69">
    <w:name w:val="正文文本 2 Char"/>
    <w:basedOn w:val="42"/>
    <w:link w:val="40"/>
    <w:qFormat/>
    <w:uiPriority w:val="0"/>
    <w:rPr>
      <w:rFonts w:ascii="Times New Roman" w:hAnsi="Times New Roman" w:eastAsia="宋体" w:cs="Times New Roman"/>
      <w:kern w:val="0"/>
      <w:sz w:val="18"/>
      <w:szCs w:val="18"/>
    </w:rPr>
  </w:style>
  <w:style w:type="character" w:customStyle="1" w:styleId="70">
    <w:name w:val="正文文本 3 Char"/>
    <w:basedOn w:val="42"/>
    <w:link w:val="19"/>
    <w:qFormat/>
    <w:uiPriority w:val="0"/>
    <w:rPr>
      <w:rFonts w:ascii="Times New Roman" w:hAnsi="Times New Roman" w:eastAsia="黑体" w:cs="Times New Roman"/>
      <w:sz w:val="44"/>
      <w:szCs w:val="24"/>
    </w:rPr>
  </w:style>
  <w:style w:type="character" w:customStyle="1" w:styleId="71">
    <w:name w:val="正文文本缩进 2 Char"/>
    <w:basedOn w:val="42"/>
    <w:link w:val="27"/>
    <w:qFormat/>
    <w:uiPriority w:val="0"/>
    <w:rPr>
      <w:rFonts w:ascii="Calibri" w:hAnsi="Calibri" w:eastAsia="宋体" w:cs="Times New Roman"/>
    </w:rPr>
  </w:style>
  <w:style w:type="character" w:customStyle="1" w:styleId="72">
    <w:name w:val="正文文本缩进 3 Char"/>
    <w:basedOn w:val="42"/>
    <w:link w:val="37"/>
    <w:qFormat/>
    <w:uiPriority w:val="0"/>
    <w:rPr>
      <w:rFonts w:ascii="宋体" w:hAnsi="宋体" w:eastAsia="宋体" w:cs="Times New Roman"/>
      <w:kern w:val="0"/>
      <w:sz w:val="28"/>
      <w:szCs w:val="28"/>
    </w:rPr>
  </w:style>
  <w:style w:type="character" w:customStyle="1" w:styleId="73">
    <w:name w:val="文档结构图 Char"/>
    <w:basedOn w:val="42"/>
    <w:link w:val="18"/>
    <w:qFormat/>
    <w:uiPriority w:val="0"/>
    <w:rPr>
      <w:rFonts w:ascii="Times New Roman" w:hAnsi="Times New Roman" w:eastAsia="宋体" w:cs="Times New Roman"/>
      <w:kern w:val="0"/>
      <w:sz w:val="18"/>
      <w:szCs w:val="18"/>
      <w:shd w:val="clear" w:color="auto" w:fill="000080"/>
    </w:rPr>
  </w:style>
  <w:style w:type="character" w:customStyle="1" w:styleId="74">
    <w:name w:val="纯文本 Char1"/>
    <w:link w:val="24"/>
    <w:qFormat/>
    <w:locked/>
    <w:uiPriority w:val="0"/>
    <w:rPr>
      <w:rFonts w:ascii="宋体" w:hAnsi="Courier New" w:eastAsia="宋体" w:cs="Times New Roman"/>
      <w:kern w:val="0"/>
      <w:sz w:val="20"/>
      <w:szCs w:val="18"/>
    </w:rPr>
  </w:style>
  <w:style w:type="character" w:customStyle="1" w:styleId="75">
    <w:name w:val="纯文本 Char"/>
    <w:basedOn w:val="42"/>
    <w:qFormat/>
    <w:uiPriority w:val="0"/>
    <w:rPr>
      <w:rFonts w:ascii="宋体" w:hAnsi="Courier New" w:eastAsia="宋体" w:cs="Courier New"/>
      <w:szCs w:val="21"/>
    </w:rPr>
  </w:style>
  <w:style w:type="character" w:customStyle="1" w:styleId="76">
    <w:name w:val="批注主题 Char"/>
    <w:basedOn w:val="60"/>
    <w:link w:val="12"/>
    <w:qFormat/>
    <w:uiPriority w:val="99"/>
    <w:rPr>
      <w:rFonts w:ascii="Calibri" w:hAnsi="Calibri" w:eastAsia="宋体" w:cs="Times New Roman"/>
      <w:b/>
      <w:bCs/>
      <w:kern w:val="0"/>
      <w:sz w:val="18"/>
      <w:szCs w:val="18"/>
    </w:rPr>
  </w:style>
  <w:style w:type="character" w:customStyle="1" w:styleId="77">
    <w:name w:val="批注框文本 Char"/>
    <w:basedOn w:val="42"/>
    <w:link w:val="28"/>
    <w:qFormat/>
    <w:uiPriority w:val="99"/>
    <w:rPr>
      <w:rFonts w:ascii="Times New Roman" w:hAnsi="Times New Roman" w:eastAsia="宋体" w:cs="Times New Roman"/>
      <w:kern w:val="0"/>
      <w:sz w:val="18"/>
      <w:szCs w:val="18"/>
    </w:rPr>
  </w:style>
  <w:style w:type="paragraph" w:customStyle="1" w:styleId="78">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9">
    <w:name w:val="列出段落 字符"/>
    <w:link w:val="80"/>
    <w:qFormat/>
    <w:locked/>
    <w:uiPriority w:val="34"/>
    <w:rPr>
      <w:rFonts w:ascii="Calibri" w:hAnsi="Calibri"/>
    </w:rPr>
  </w:style>
  <w:style w:type="paragraph" w:customStyle="1" w:styleId="80">
    <w:name w:val="列出段落1"/>
    <w:basedOn w:val="1"/>
    <w:link w:val="79"/>
    <w:qFormat/>
    <w:uiPriority w:val="34"/>
    <w:pPr>
      <w:ind w:firstLine="420" w:firstLineChars="200"/>
    </w:pPr>
    <w:rPr>
      <w:rFonts w:eastAsiaTheme="minorEastAsia" w:cstheme="minorBidi"/>
    </w:rPr>
  </w:style>
  <w:style w:type="character" w:customStyle="1" w:styleId="81">
    <w:name w:val="彩色列表 - 强调文字颜色 1 Char"/>
    <w:link w:val="82"/>
    <w:qFormat/>
    <w:locked/>
    <w:uiPriority w:val="0"/>
    <w:rPr>
      <w:rFonts w:ascii="Calibri" w:hAnsi="Calibri"/>
    </w:rPr>
  </w:style>
  <w:style w:type="paragraph" w:customStyle="1" w:styleId="82">
    <w:name w:val="彩色列表 - 强调文字颜色 11"/>
    <w:basedOn w:val="1"/>
    <w:link w:val="81"/>
    <w:qFormat/>
    <w:uiPriority w:val="0"/>
    <w:pPr>
      <w:ind w:firstLine="420" w:firstLineChars="200"/>
    </w:pPr>
    <w:rPr>
      <w:rFonts w:eastAsiaTheme="minorEastAsia" w:cstheme="minorBidi"/>
    </w:rPr>
  </w:style>
  <w:style w:type="paragraph" w:customStyle="1" w:styleId="83">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4">
    <w:name w:val="MM Title"/>
    <w:basedOn w:val="1"/>
    <w:qFormat/>
    <w:uiPriority w:val="0"/>
    <w:pPr>
      <w:spacing w:before="240" w:after="60"/>
      <w:jc w:val="center"/>
      <w:outlineLvl w:val="0"/>
    </w:pPr>
    <w:rPr>
      <w:rFonts w:ascii="Arial" w:hAnsi="Arial" w:cs="Arial"/>
      <w:b/>
      <w:bCs/>
      <w:sz w:val="32"/>
      <w:szCs w:val="32"/>
    </w:rPr>
  </w:style>
  <w:style w:type="paragraph" w:customStyle="1" w:styleId="85">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6">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7">
    <w:name w:val="gb_master正文"/>
    <w:basedOn w:val="1"/>
    <w:qFormat/>
    <w:uiPriority w:val="0"/>
    <w:pPr>
      <w:ind w:firstLine="200" w:firstLineChars="200"/>
    </w:pPr>
    <w:rPr>
      <w:rFonts w:ascii="Times New Roman" w:hAnsi="Times New Roman"/>
      <w:szCs w:val="24"/>
    </w:rPr>
  </w:style>
  <w:style w:type="paragraph" w:customStyle="1" w:styleId="8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9">
    <w:name w:val="无间隔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90">
    <w:name w:val="Char2 Char Char Char"/>
    <w:basedOn w:val="1"/>
    <w:qFormat/>
    <w:uiPriority w:val="0"/>
    <w:rPr>
      <w:rFonts w:ascii="仿宋_GB2312" w:hAnsi="Times New Roman"/>
      <w:b/>
      <w:sz w:val="30"/>
      <w:szCs w:val="32"/>
    </w:rPr>
  </w:style>
  <w:style w:type="paragraph" w:customStyle="1" w:styleId="91">
    <w:name w:val="样式 样式 样式 标题 2 + 宋体 五号 非加粗 黑色 + 段前: 6 磅 段后: 0 磅 行距: 单倍行距 + 段前: 12..."/>
    <w:basedOn w:val="1"/>
    <w:qFormat/>
    <w:uiPriority w:val="0"/>
    <w:pPr>
      <w:keepNext/>
      <w:keepLines/>
      <w:tabs>
        <w:tab w:val="left" w:pos="1124"/>
      </w:tabs>
      <w:adjustRightInd w:val="0"/>
      <w:spacing w:before="240"/>
      <w:ind w:left="1124" w:hanging="420"/>
      <w:jc w:val="left"/>
      <w:outlineLvl w:val="1"/>
    </w:pPr>
    <w:rPr>
      <w:rFonts w:ascii="宋体" w:hAnsi="宋体" w:cs="宋体"/>
      <w:color w:val="000000"/>
      <w:kern w:val="0"/>
      <w:szCs w:val="20"/>
    </w:rPr>
  </w:style>
  <w:style w:type="paragraph" w:customStyle="1" w:styleId="9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3">
    <w:name w:val="默认段落字体 Para Char"/>
    <w:basedOn w:val="1"/>
    <w:qFormat/>
    <w:uiPriority w:val="0"/>
    <w:rPr>
      <w:rFonts w:ascii="Tahoma" w:hAnsi="Tahoma"/>
      <w:sz w:val="24"/>
      <w:szCs w:val="20"/>
    </w:rPr>
  </w:style>
  <w:style w:type="paragraph" w:customStyle="1" w:styleId="94">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5">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6">
    <w:name w:val="样式 正文缩进 + (中文) 仿宋_GB2312 小四 Char"/>
    <w:basedOn w:val="16"/>
    <w:qFormat/>
    <w:uiPriority w:val="0"/>
    <w:pPr>
      <w:spacing w:after="0" w:line="360" w:lineRule="auto"/>
      <w:ind w:firstLine="480" w:firstLineChars="200"/>
    </w:pPr>
    <w:rPr>
      <w:rFonts w:ascii="宋体" w:hAnsi="宋体"/>
      <w:sz w:val="24"/>
      <w:szCs w:val="24"/>
    </w:rPr>
  </w:style>
  <w:style w:type="paragraph" w:customStyle="1" w:styleId="97">
    <w:name w:val="表格文字"/>
    <w:basedOn w:val="1"/>
    <w:qFormat/>
    <w:uiPriority w:val="0"/>
    <w:pPr>
      <w:spacing w:beforeLines="25"/>
    </w:pPr>
    <w:rPr>
      <w:rFonts w:ascii="Times New (W1)" w:hAnsi="Times New (W1)"/>
      <w:spacing w:val="10"/>
      <w:szCs w:val="24"/>
    </w:rPr>
  </w:style>
  <w:style w:type="paragraph" w:customStyle="1" w:styleId="98">
    <w:name w:val="文章正文"/>
    <w:basedOn w:val="1"/>
    <w:qFormat/>
    <w:uiPriority w:val="0"/>
    <w:pPr>
      <w:spacing w:line="360" w:lineRule="auto"/>
      <w:ind w:firstLine="420"/>
    </w:pPr>
    <w:rPr>
      <w:rFonts w:ascii="Times New Roman" w:hAnsi="Times New Roman"/>
      <w:sz w:val="24"/>
      <w:szCs w:val="24"/>
    </w:rPr>
  </w:style>
  <w:style w:type="paragraph" w:customStyle="1" w:styleId="99">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100">
    <w:name w:val="默认段落字体 Para Char Char"/>
    <w:basedOn w:val="1"/>
    <w:qFormat/>
    <w:uiPriority w:val="0"/>
    <w:rPr>
      <w:rFonts w:ascii="Times New Roman" w:hAnsi="Times New Roman"/>
      <w:szCs w:val="24"/>
    </w:rPr>
  </w:style>
  <w:style w:type="paragraph" w:customStyle="1" w:styleId="101">
    <w:name w:val="MM Topic 6"/>
    <w:basedOn w:val="8"/>
    <w:qFormat/>
    <w:uiPriority w:val="0"/>
    <w:pPr>
      <w:tabs>
        <w:tab w:val="left" w:pos="3260"/>
        <w:tab w:val="clear" w:pos="1702"/>
      </w:tabs>
      <w:ind w:left="0" w:firstLine="0"/>
    </w:pPr>
    <w:rPr>
      <w:rFonts w:eastAsia="黑体"/>
    </w:rPr>
  </w:style>
  <w:style w:type="paragraph" w:customStyle="1" w:styleId="102">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3">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4">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5">
    <w:name w:val="标题 5 + 首行缩进:  2 字符"/>
    <w:basedOn w:val="7"/>
    <w:next w:val="20"/>
    <w:qFormat/>
    <w:uiPriority w:val="0"/>
    <w:pPr>
      <w:tabs>
        <w:tab w:val="left" w:pos="992"/>
        <w:tab w:val="clear" w:pos="1134"/>
      </w:tabs>
      <w:snapToGrid w:val="0"/>
      <w:spacing w:before="0" w:beforeLines="50" w:after="0" w:afterLines="50"/>
      <w:ind w:left="3570" w:firstLine="482" w:firstLineChars="200"/>
    </w:pPr>
    <w:rPr>
      <w:rFonts w:cs="Times New Roman"/>
      <w:color w:val="000000"/>
      <w:szCs w:val="20"/>
    </w:rPr>
  </w:style>
  <w:style w:type="paragraph" w:customStyle="1" w:styleId="106">
    <w:name w:val="Char2 Char Char Char Char Char Char"/>
    <w:basedOn w:val="1"/>
    <w:qFormat/>
    <w:uiPriority w:val="0"/>
    <w:rPr>
      <w:rFonts w:ascii="仿宋_GB2312" w:hAnsi="Times New Roman"/>
      <w:b/>
      <w:sz w:val="30"/>
      <w:szCs w:val="32"/>
    </w:rPr>
  </w:style>
  <w:style w:type="paragraph" w:customStyle="1" w:styleId="107">
    <w:name w:val="MM Topic 2"/>
    <w:basedOn w:val="4"/>
    <w:qFormat/>
    <w:uiPriority w:val="0"/>
    <w:pPr>
      <w:numPr>
        <w:ilvl w:val="0"/>
        <w:numId w:val="0"/>
      </w:numPr>
      <w:tabs>
        <w:tab w:val="left" w:pos="992"/>
      </w:tabs>
    </w:pPr>
    <w:rPr>
      <w:rFonts w:cs="Times New Roman"/>
    </w:rPr>
  </w:style>
  <w:style w:type="paragraph" w:customStyle="1" w:styleId="108">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09">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10">
    <w:name w:val="MM Topic 8"/>
    <w:basedOn w:val="10"/>
    <w:qFormat/>
    <w:uiPriority w:val="0"/>
    <w:pPr>
      <w:tabs>
        <w:tab w:val="left" w:pos="4394"/>
      </w:tabs>
    </w:pPr>
  </w:style>
  <w:style w:type="paragraph" w:customStyle="1" w:styleId="111">
    <w:name w:val="Char1 Char Char Char Char Char Char"/>
    <w:basedOn w:val="1"/>
    <w:qFormat/>
    <w:uiPriority w:val="0"/>
    <w:rPr>
      <w:rFonts w:ascii="Tahoma" w:hAnsi="Tahoma"/>
      <w:sz w:val="24"/>
      <w:szCs w:val="20"/>
    </w:rPr>
  </w:style>
  <w:style w:type="paragraph" w:customStyle="1" w:styleId="112">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3">
    <w:name w:val="样式 小四2"/>
    <w:basedOn w:val="1"/>
    <w:qFormat/>
    <w:uiPriority w:val="0"/>
    <w:rPr>
      <w:rFonts w:ascii="宋体" w:hAnsi="宋体"/>
      <w:sz w:val="24"/>
      <w:szCs w:val="24"/>
    </w:rPr>
  </w:style>
  <w:style w:type="paragraph" w:customStyle="1" w:styleId="114">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5">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6">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7">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8">
    <w:name w:val="文章正文 Char Char1"/>
    <w:basedOn w:val="1"/>
    <w:qFormat/>
    <w:uiPriority w:val="0"/>
    <w:pPr>
      <w:spacing w:line="360" w:lineRule="auto"/>
      <w:ind w:firstLine="420"/>
    </w:pPr>
    <w:rPr>
      <w:rFonts w:ascii="Times New Roman" w:hAnsi="Times New Roman"/>
      <w:sz w:val="24"/>
      <w:szCs w:val="24"/>
    </w:rPr>
  </w:style>
  <w:style w:type="paragraph" w:customStyle="1" w:styleId="119">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20">
    <w:name w:val="样式"/>
    <w:link w:val="121"/>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21">
    <w:name w:val="样式 Char Char"/>
    <w:link w:val="120"/>
    <w:qFormat/>
    <w:locked/>
    <w:uiPriority w:val="0"/>
    <w:rPr>
      <w:rFonts w:ascii="宋体" w:hAnsi="宋体" w:eastAsia="宋体" w:cs="宋体"/>
      <w:kern w:val="0"/>
      <w:sz w:val="24"/>
      <w:szCs w:val="24"/>
    </w:rPr>
  </w:style>
  <w:style w:type="paragraph" w:customStyle="1" w:styleId="122">
    <w:name w:val="图"/>
    <w:basedOn w:val="1"/>
    <w:qFormat/>
    <w:uiPriority w:val="0"/>
    <w:pPr>
      <w:widowControl/>
      <w:adjustRightInd w:val="0"/>
      <w:snapToGrid w:val="0"/>
      <w:jc w:val="center"/>
    </w:pPr>
    <w:rPr>
      <w:rFonts w:ascii="宋体" w:hAnsi="宋体"/>
      <w:bCs/>
      <w:szCs w:val="24"/>
    </w:rPr>
  </w:style>
  <w:style w:type="paragraph" w:customStyle="1" w:styleId="123">
    <w:name w:val="Char1 Char Char Char Char Char Char1"/>
    <w:basedOn w:val="1"/>
    <w:qFormat/>
    <w:uiPriority w:val="0"/>
    <w:rPr>
      <w:rFonts w:ascii="Tahoma" w:hAnsi="Tahoma"/>
      <w:sz w:val="24"/>
      <w:szCs w:val="20"/>
    </w:rPr>
  </w:style>
  <w:style w:type="paragraph" w:customStyle="1" w:styleId="124">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5">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6">
    <w:name w:val="MM Topic 1"/>
    <w:basedOn w:val="3"/>
    <w:qFormat/>
    <w:uiPriority w:val="0"/>
    <w:pPr>
      <w:tabs>
        <w:tab w:val="left" w:pos="425"/>
      </w:tabs>
    </w:pPr>
    <w:rPr>
      <w:rFonts w:cs="Times New Roman"/>
      <w:sz w:val="44"/>
    </w:rPr>
  </w:style>
  <w:style w:type="paragraph" w:customStyle="1" w:styleId="127">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8">
    <w:name w:val="我的正文"/>
    <w:basedOn w:val="1"/>
    <w:qFormat/>
    <w:uiPriority w:val="0"/>
    <w:pPr>
      <w:spacing w:line="360" w:lineRule="auto"/>
      <w:ind w:firstLine="420" w:firstLineChars="200"/>
    </w:pPr>
    <w:rPr>
      <w:rFonts w:ascii="宋体" w:hAnsi="宋体"/>
      <w:szCs w:val="24"/>
    </w:rPr>
  </w:style>
  <w:style w:type="paragraph" w:customStyle="1" w:styleId="129">
    <w:name w:val="MM Topic 7"/>
    <w:basedOn w:val="9"/>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30">
    <w:name w:val="标书（正文）"/>
    <w:basedOn w:val="1"/>
    <w:qFormat/>
    <w:uiPriority w:val="0"/>
    <w:pPr>
      <w:spacing w:line="360" w:lineRule="auto"/>
      <w:ind w:firstLine="560" w:firstLineChars="200"/>
    </w:pPr>
    <w:rPr>
      <w:rFonts w:ascii="宋体" w:hAnsi="宋体"/>
      <w:kern w:val="10"/>
      <w:sz w:val="28"/>
      <w:szCs w:val="28"/>
    </w:rPr>
  </w:style>
  <w:style w:type="paragraph" w:customStyle="1" w:styleId="131">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32">
    <w:name w:val="论文正文"/>
    <w:basedOn w:val="1"/>
    <w:qFormat/>
    <w:uiPriority w:val="0"/>
    <w:pPr>
      <w:spacing w:line="360" w:lineRule="auto"/>
      <w:ind w:firstLine="700" w:firstLineChars="250"/>
    </w:pPr>
    <w:rPr>
      <w:rFonts w:ascii="宋体" w:hAnsi="宋体"/>
      <w:bCs/>
      <w:sz w:val="28"/>
      <w:szCs w:val="28"/>
    </w:rPr>
  </w:style>
  <w:style w:type="paragraph" w:customStyle="1" w:styleId="133">
    <w:name w:val="样式1"/>
    <w:basedOn w:val="1"/>
    <w:qFormat/>
    <w:uiPriority w:val="0"/>
    <w:rPr>
      <w:rFonts w:ascii="Times New Roman" w:hAnsi="Times New Roman" w:eastAsia="隶书"/>
      <w:i/>
      <w:dstrike/>
      <w:sz w:val="28"/>
      <w:szCs w:val="18"/>
    </w:rPr>
  </w:style>
  <w:style w:type="paragraph" w:customStyle="1" w:styleId="134">
    <w:name w:val="表格"/>
    <w:basedOn w:val="1"/>
    <w:qFormat/>
    <w:uiPriority w:val="0"/>
    <w:pPr>
      <w:spacing w:line="400" w:lineRule="exact"/>
    </w:pPr>
    <w:rPr>
      <w:rFonts w:ascii="Times New Roman" w:hAnsi="Times New Roman"/>
      <w:sz w:val="24"/>
      <w:szCs w:val="24"/>
    </w:rPr>
  </w:style>
  <w:style w:type="paragraph" w:customStyle="1" w:styleId="135">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6">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7">
    <w:name w:val="Char Char Char Char Char Char Char Char Char Char Char Char Char"/>
    <w:basedOn w:val="18"/>
    <w:qFormat/>
    <w:uiPriority w:val="0"/>
    <w:rPr>
      <w:rFonts w:ascii="Tahoma" w:hAnsi="Tahoma"/>
      <w:sz w:val="24"/>
      <w:szCs w:val="24"/>
    </w:rPr>
  </w:style>
  <w:style w:type="paragraph" w:customStyle="1" w:styleId="138">
    <w:name w:val="MM Topic 3"/>
    <w:basedOn w:val="5"/>
    <w:qFormat/>
    <w:uiPriority w:val="0"/>
    <w:pPr>
      <w:numPr>
        <w:ilvl w:val="0"/>
        <w:numId w:val="0"/>
      </w:numPr>
      <w:tabs>
        <w:tab w:val="left" w:pos="1418"/>
      </w:tabs>
    </w:pPr>
    <w:rPr>
      <w:rFonts w:cs="Times New Roman"/>
    </w:rPr>
  </w:style>
  <w:style w:type="paragraph" w:customStyle="1" w:styleId="139">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40">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41">
    <w:name w:val="Char Char Char Char"/>
    <w:basedOn w:val="1"/>
    <w:qFormat/>
    <w:uiPriority w:val="0"/>
    <w:rPr>
      <w:rFonts w:ascii="Tahoma" w:hAnsi="Tahoma"/>
      <w:sz w:val="24"/>
      <w:szCs w:val="20"/>
    </w:rPr>
  </w:style>
  <w:style w:type="paragraph" w:customStyle="1" w:styleId="142">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43">
    <w:name w:val="MM Topic 9"/>
    <w:basedOn w:val="11"/>
    <w:qFormat/>
    <w:uiPriority w:val="0"/>
    <w:pPr>
      <w:tabs>
        <w:tab w:val="left" w:pos="5102"/>
      </w:tabs>
    </w:pPr>
  </w:style>
  <w:style w:type="paragraph" w:customStyle="1" w:styleId="144">
    <w:name w:val="MM Topic 5"/>
    <w:basedOn w:val="7"/>
    <w:qFormat/>
    <w:uiPriority w:val="0"/>
    <w:pPr>
      <w:tabs>
        <w:tab w:val="left" w:pos="2551"/>
        <w:tab w:val="clear" w:pos="1134"/>
        <w:tab w:val="clear" w:pos="1560"/>
      </w:tabs>
      <w:ind w:left="0" w:firstLine="0"/>
    </w:pPr>
    <w:rPr>
      <w:rFonts w:cs="Times New Roman"/>
    </w:rPr>
  </w:style>
  <w:style w:type="paragraph" w:customStyle="1" w:styleId="145">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6">
    <w:name w:val="MM Topic 4"/>
    <w:basedOn w:val="6"/>
    <w:qFormat/>
    <w:uiPriority w:val="0"/>
    <w:pPr>
      <w:tabs>
        <w:tab w:val="left" w:pos="1984"/>
      </w:tabs>
      <w:ind w:left="0" w:firstLine="0"/>
    </w:p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9">
    <w:name w:val="样式 标题 2H2第一章 标题 2Heading 2 HiddenHeading 2 CCBSheading 2h2..."/>
    <w:basedOn w:val="4"/>
    <w:qFormat/>
    <w:uiPriority w:val="0"/>
    <w:pPr>
      <w:tabs>
        <w:tab w:val="left" w:pos="-2493"/>
      </w:tabs>
    </w:pPr>
    <w:rPr>
      <w:rFonts w:cs="Times New Roman"/>
      <w:szCs w:val="20"/>
    </w:rPr>
  </w:style>
  <w:style w:type="paragraph" w:customStyle="1" w:styleId="150">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51">
    <w:name w:val="列出段落2"/>
    <w:basedOn w:val="1"/>
    <w:qFormat/>
    <w:uiPriority w:val="0"/>
    <w:pPr>
      <w:ind w:firstLine="420" w:firstLineChars="200"/>
    </w:pPr>
  </w:style>
  <w:style w:type="paragraph" w:customStyle="1" w:styleId="152">
    <w:name w:val="列出段落4"/>
    <w:basedOn w:val="1"/>
    <w:qFormat/>
    <w:uiPriority w:val="34"/>
    <w:pPr>
      <w:ind w:firstLine="420" w:firstLineChars="200"/>
    </w:pPr>
    <w:rPr>
      <w:rFonts w:ascii="Times New Roman" w:hAnsi="Times New Roman"/>
      <w:szCs w:val="24"/>
    </w:rPr>
  </w:style>
  <w:style w:type="paragraph" w:customStyle="1" w:styleId="153">
    <w:name w:val="列出段落11"/>
    <w:basedOn w:val="1"/>
    <w:qFormat/>
    <w:uiPriority w:val="0"/>
    <w:pPr>
      <w:ind w:firstLine="420" w:firstLineChars="200"/>
    </w:pPr>
  </w:style>
  <w:style w:type="paragraph" w:customStyle="1" w:styleId="154">
    <w:name w:val="修订1"/>
    <w:qFormat/>
    <w:uiPriority w:val="99"/>
    <w:rPr>
      <w:rFonts w:ascii="Calibri" w:hAnsi="Calibri" w:eastAsia="宋体" w:cs="Times New Roman"/>
      <w:kern w:val="2"/>
      <w:sz w:val="21"/>
      <w:szCs w:val="22"/>
      <w:lang w:val="en-US" w:eastAsia="zh-CN" w:bidi="ar-SA"/>
    </w:rPr>
  </w:style>
  <w:style w:type="paragraph" w:customStyle="1" w:styleId="155">
    <w:name w:val="彩色列表 - 强调文字颜色 12"/>
    <w:basedOn w:val="1"/>
    <w:qFormat/>
    <w:uiPriority w:val="0"/>
    <w:pPr>
      <w:ind w:firstLine="420" w:firstLineChars="200"/>
    </w:pPr>
  </w:style>
  <w:style w:type="paragraph" w:customStyle="1" w:styleId="156">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7">
    <w:name w:val="列出段落3"/>
    <w:basedOn w:val="1"/>
    <w:qFormat/>
    <w:uiPriority w:val="34"/>
    <w:pPr>
      <w:widowControl/>
      <w:ind w:firstLine="420" w:firstLineChars="200"/>
      <w:jc w:val="left"/>
    </w:pPr>
    <w:rPr>
      <w:rFonts w:ascii="Times New Roman" w:hAnsi="Times New Roman"/>
      <w:kern w:val="0"/>
      <w:sz w:val="24"/>
      <w:szCs w:val="24"/>
    </w:rPr>
  </w:style>
  <w:style w:type="paragraph" w:customStyle="1" w:styleId="158">
    <w:name w:val="列项——（一级）"/>
    <w:qFormat/>
    <w:uiPriority w:val="0"/>
    <w:pPr>
      <w:widowControl w:val="0"/>
      <w:ind w:left="833" w:hanging="408"/>
      <w:jc w:val="both"/>
    </w:pPr>
    <w:rPr>
      <w:rFonts w:ascii="宋体" w:hAnsi="Times New Roman" w:eastAsia="宋体" w:cs="Times New Roman"/>
      <w:sz w:val="21"/>
      <w:lang w:val="en-US" w:eastAsia="zh-CN" w:bidi="ar-SA"/>
    </w:rPr>
  </w:style>
  <w:style w:type="character" w:customStyle="1" w:styleId="159">
    <w:name w:val="0-CD Char"/>
    <w:link w:val="160"/>
    <w:qFormat/>
    <w:locked/>
    <w:uiPriority w:val="0"/>
    <w:rPr>
      <w:rFonts w:ascii="宋体" w:hAnsi="宋体" w:eastAsia="宋体"/>
      <w:sz w:val="28"/>
      <w:szCs w:val="24"/>
    </w:rPr>
  </w:style>
  <w:style w:type="paragraph" w:customStyle="1" w:styleId="160">
    <w:name w:val="0-CD"/>
    <w:basedOn w:val="1"/>
    <w:link w:val="159"/>
    <w:qFormat/>
    <w:uiPriority w:val="0"/>
    <w:pPr>
      <w:spacing w:line="360" w:lineRule="auto"/>
      <w:ind w:firstLine="708" w:firstLineChars="253"/>
      <w:jc w:val="left"/>
    </w:pPr>
    <w:rPr>
      <w:rFonts w:ascii="宋体" w:hAnsi="宋体" w:cstheme="minorBidi"/>
      <w:sz w:val="28"/>
      <w:szCs w:val="24"/>
    </w:rPr>
  </w:style>
  <w:style w:type="character" w:customStyle="1" w:styleId="161">
    <w:name w:val="Char Char8"/>
    <w:qFormat/>
    <w:uiPriority w:val="0"/>
    <w:rPr>
      <w:rFonts w:hint="eastAsia" w:ascii="宋体" w:hAnsi="宋体" w:eastAsia="宋体"/>
      <w:kern w:val="2"/>
      <w:sz w:val="28"/>
      <w:szCs w:val="28"/>
    </w:rPr>
  </w:style>
  <w:style w:type="character" w:customStyle="1" w:styleId="162">
    <w:name w:val="Char Char5"/>
    <w:qFormat/>
    <w:uiPriority w:val="0"/>
    <w:rPr>
      <w:kern w:val="2"/>
      <w:sz w:val="21"/>
      <w:szCs w:val="24"/>
    </w:rPr>
  </w:style>
  <w:style w:type="character" w:customStyle="1" w:styleId="163">
    <w:name w:val="列出段落 Char Char"/>
    <w:qFormat/>
    <w:uiPriority w:val="0"/>
    <w:rPr>
      <w:rFonts w:hint="default" w:ascii="Calibri" w:hAnsi="Calibri" w:cs="Calibri"/>
      <w:kern w:val="2"/>
      <w:sz w:val="21"/>
      <w:szCs w:val="22"/>
    </w:rPr>
  </w:style>
  <w:style w:type="character" w:customStyle="1" w:styleId="164">
    <w:name w:val="正文文本 Char Char"/>
    <w:qFormat/>
    <w:uiPriority w:val="0"/>
    <w:rPr>
      <w:kern w:val="2"/>
      <w:sz w:val="21"/>
      <w:szCs w:val="24"/>
    </w:rPr>
  </w:style>
  <w:style w:type="character" w:customStyle="1" w:styleId="165">
    <w:name w:val="Char Char11"/>
    <w:qFormat/>
    <w:uiPriority w:val="0"/>
    <w:rPr>
      <w:rFonts w:hint="default" w:ascii="Arial Narrow" w:hAnsi="Arial Narrow"/>
      <w:b/>
      <w:bCs/>
      <w:iCs/>
      <w:szCs w:val="24"/>
      <w:lang w:eastAsia="en-US"/>
    </w:rPr>
  </w:style>
  <w:style w:type="character" w:customStyle="1" w:styleId="166">
    <w:name w:val="标书（正文） Char Char"/>
    <w:qFormat/>
    <w:uiPriority w:val="0"/>
    <w:rPr>
      <w:rFonts w:hint="eastAsia" w:ascii="宋体" w:hAnsi="宋体" w:eastAsia="宋体"/>
      <w:b/>
      <w:kern w:val="10"/>
      <w:sz w:val="21"/>
      <w:szCs w:val="21"/>
      <w:lang w:val="en-US" w:eastAsia="zh-CN" w:bidi="ar-SA"/>
    </w:rPr>
  </w:style>
  <w:style w:type="character" w:customStyle="1" w:styleId="167">
    <w:name w:val="line2"/>
    <w:basedOn w:val="42"/>
    <w:qFormat/>
    <w:uiPriority w:val="0"/>
  </w:style>
  <w:style w:type="character" w:customStyle="1" w:styleId="168">
    <w:name w:val="Char Char10"/>
    <w:qFormat/>
    <w:uiPriority w:val="0"/>
    <w:rPr>
      <w:kern w:val="2"/>
      <w:sz w:val="24"/>
      <w:szCs w:val="24"/>
    </w:rPr>
  </w:style>
  <w:style w:type="character" w:customStyle="1" w:styleId="169">
    <w:name w:val="MM Topic 4 Char Char"/>
    <w:qFormat/>
    <w:uiPriority w:val="0"/>
    <w:rPr>
      <w:rFonts w:hint="default" w:ascii="Arial" w:hAnsi="Arial" w:cs="Arial"/>
      <w:b/>
      <w:bCs/>
      <w:kern w:val="2"/>
      <w:sz w:val="28"/>
      <w:szCs w:val="28"/>
    </w:rPr>
  </w:style>
  <w:style w:type="character" w:customStyle="1" w:styleId="170">
    <w:name w:val="标书正文:  0.74 厘米 Char Char"/>
    <w:qFormat/>
    <w:uiPriority w:val="0"/>
    <w:rPr>
      <w:kern w:val="2"/>
      <w:sz w:val="24"/>
    </w:rPr>
  </w:style>
  <w:style w:type="character" w:customStyle="1" w:styleId="171">
    <w:name w:val="访问过的超链接1"/>
    <w:qFormat/>
    <w:uiPriority w:val="99"/>
    <w:rPr>
      <w:color w:val="800080"/>
      <w:u w:val="single"/>
    </w:rPr>
  </w:style>
  <w:style w:type="character" w:customStyle="1" w:styleId="172">
    <w:name w:val="标题 3 Char Char Char"/>
    <w:qFormat/>
    <w:uiPriority w:val="0"/>
    <w:rPr>
      <w:rFonts w:hint="eastAsia" w:ascii="宋体" w:hAnsi="宋体" w:eastAsia="宋体"/>
      <w:b/>
      <w:kern w:val="2"/>
      <w:sz w:val="32"/>
      <w:lang w:val="en-US" w:eastAsia="zh-CN" w:bidi="ar-SA"/>
    </w:rPr>
  </w:style>
  <w:style w:type="character" w:customStyle="1" w:styleId="173">
    <w:name w:val="（符号）邀请函中一、"/>
    <w:qFormat/>
    <w:uiPriority w:val="0"/>
    <w:rPr>
      <w:rFonts w:hint="eastAsia" w:ascii="黑体" w:hAnsi="黑体" w:eastAsia="黑体"/>
      <w:b/>
      <w:bCs/>
      <w:sz w:val="24"/>
    </w:rPr>
  </w:style>
  <w:style w:type="character" w:customStyle="1" w:styleId="174">
    <w:name w:val="tt Char"/>
    <w:qFormat/>
    <w:uiPriority w:val="0"/>
    <w:rPr>
      <w:rFonts w:hint="default" w:ascii="Arial" w:hAnsi="Arial" w:eastAsia="黑体" w:cs="Arial"/>
      <w:kern w:val="2"/>
      <w:sz w:val="21"/>
      <w:szCs w:val="21"/>
    </w:rPr>
  </w:style>
  <w:style w:type="character" w:customStyle="1" w:styleId="175">
    <w:name w:val="Char Char9"/>
    <w:qFormat/>
    <w:uiPriority w:val="0"/>
    <w:rPr>
      <w:kern w:val="2"/>
      <w:sz w:val="18"/>
      <w:szCs w:val="18"/>
    </w:rPr>
  </w:style>
  <w:style w:type="character" w:customStyle="1" w:styleId="176">
    <w:name w:val="MM Topic 3 Char Char"/>
    <w:qFormat/>
    <w:uiPriority w:val="0"/>
    <w:rPr>
      <w:rFonts w:hint="eastAsia" w:ascii="宋体" w:hAnsi="宋体" w:eastAsia="宋体"/>
      <w:b/>
      <w:bCs/>
      <w:color w:val="000000"/>
      <w:kern w:val="2"/>
      <w:sz w:val="28"/>
      <w:szCs w:val="28"/>
    </w:rPr>
  </w:style>
  <w:style w:type="character" w:customStyle="1" w:styleId="177">
    <w:name w:val="样式 小四2 Char Char"/>
    <w:qFormat/>
    <w:uiPriority w:val="0"/>
    <w:rPr>
      <w:rFonts w:hint="eastAsia" w:ascii="宋体" w:hAnsi="宋体" w:eastAsia="宋体"/>
      <w:kern w:val="2"/>
      <w:sz w:val="24"/>
      <w:szCs w:val="24"/>
    </w:rPr>
  </w:style>
  <w:style w:type="character" w:customStyle="1" w:styleId="178">
    <w:name w:val="Char Char7"/>
    <w:qFormat/>
    <w:uiPriority w:val="0"/>
    <w:rPr>
      <w:kern w:val="2"/>
      <w:sz w:val="18"/>
      <w:szCs w:val="18"/>
    </w:rPr>
  </w:style>
  <w:style w:type="character" w:customStyle="1" w:styleId="179">
    <w:name w:val="Char Char3"/>
    <w:qFormat/>
    <w:uiPriority w:val="0"/>
    <w:rPr>
      <w:b/>
      <w:bCs/>
      <w:kern w:val="2"/>
      <w:sz w:val="18"/>
      <w:szCs w:val="18"/>
    </w:rPr>
  </w:style>
  <w:style w:type="character" w:customStyle="1" w:styleId="180">
    <w:name w:val="apple-style-span"/>
    <w:basedOn w:val="42"/>
    <w:qFormat/>
    <w:uiPriority w:val="0"/>
  </w:style>
  <w:style w:type="character" w:customStyle="1" w:styleId="181">
    <w:name w:val="Char Char4"/>
    <w:qFormat/>
    <w:uiPriority w:val="0"/>
    <w:rPr>
      <w:kern w:val="2"/>
      <w:sz w:val="18"/>
      <w:szCs w:val="18"/>
    </w:rPr>
  </w:style>
  <w:style w:type="character" w:customStyle="1" w:styleId="182">
    <w:name w:val="副标题 Char1"/>
    <w:qFormat/>
    <w:uiPriority w:val="11"/>
    <w:rPr>
      <w:rFonts w:hint="default" w:ascii="Cambria" w:hAnsi="Cambria" w:cs="Times New Roman"/>
      <w:b/>
      <w:bCs/>
      <w:kern w:val="28"/>
      <w:sz w:val="32"/>
      <w:szCs w:val="32"/>
    </w:rPr>
  </w:style>
  <w:style w:type="character" w:customStyle="1" w:styleId="183">
    <w:name w:val="small"/>
    <w:basedOn w:val="42"/>
    <w:qFormat/>
    <w:uiPriority w:val="0"/>
  </w:style>
  <w:style w:type="character" w:customStyle="1" w:styleId="184">
    <w:name w:val="Legal Level 1.1.1. Char"/>
    <w:qFormat/>
    <w:uiPriority w:val="0"/>
    <w:rPr>
      <w:rFonts w:hint="default" w:ascii="Arial" w:hAnsi="Arial" w:eastAsia="黑体" w:cs="Arial"/>
      <w:kern w:val="2"/>
      <w:sz w:val="24"/>
      <w:szCs w:val="24"/>
    </w:rPr>
  </w:style>
  <w:style w:type="character" w:customStyle="1" w:styleId="185">
    <w:name w:val="文章正文 Char Char"/>
    <w:qFormat/>
    <w:uiPriority w:val="0"/>
    <w:rPr>
      <w:rFonts w:hint="eastAsia" w:ascii="宋体" w:hAnsi="宋体" w:eastAsia="宋体"/>
      <w:kern w:val="2"/>
      <w:sz w:val="24"/>
      <w:szCs w:val="24"/>
      <w:lang w:val="en-US" w:eastAsia="zh-CN" w:bidi="ar-SA"/>
    </w:rPr>
  </w:style>
  <w:style w:type="character" w:customStyle="1" w:styleId="186">
    <w:name w:val="正文文本 Char1"/>
    <w:qFormat/>
    <w:uiPriority w:val="0"/>
    <w:rPr>
      <w:rFonts w:hint="default" w:ascii="Times New Roman" w:hAnsi="Times New Roman" w:eastAsia="宋体" w:cs="Times New Roman"/>
      <w:kern w:val="0"/>
      <w:sz w:val="18"/>
      <w:szCs w:val="18"/>
    </w:rPr>
  </w:style>
  <w:style w:type="character" w:customStyle="1" w:styleId="187">
    <w:name w:val="CD正文 Char Char"/>
    <w:qFormat/>
    <w:uiPriority w:val="0"/>
    <w:rPr>
      <w:rFonts w:hint="eastAsia" w:ascii="宋体" w:hAnsi="宋体" w:eastAsia="宋体"/>
      <w:kern w:val="2"/>
      <w:sz w:val="30"/>
      <w:szCs w:val="28"/>
      <w:lang w:val="en-US" w:eastAsia="zh-CN" w:bidi="ar-SA"/>
    </w:rPr>
  </w:style>
  <w:style w:type="character" w:customStyle="1" w:styleId="188">
    <w:name w:val="Char Char2"/>
    <w:qFormat/>
    <w:uiPriority w:val="0"/>
    <w:rPr>
      <w:kern w:val="2"/>
      <w:sz w:val="18"/>
      <w:szCs w:val="18"/>
    </w:rPr>
  </w:style>
  <w:style w:type="character" w:customStyle="1" w:styleId="189">
    <w:name w:val="标题 1 Char1"/>
    <w:qFormat/>
    <w:uiPriority w:val="0"/>
    <w:rPr>
      <w:b/>
      <w:bCs/>
      <w:kern w:val="44"/>
      <w:sz w:val="44"/>
      <w:szCs w:val="44"/>
    </w:rPr>
  </w:style>
  <w:style w:type="character" w:customStyle="1" w:styleId="190">
    <w:name w:val="表正文 Char1"/>
    <w:qFormat/>
    <w:uiPriority w:val="0"/>
    <w:rPr>
      <w:rFonts w:hint="eastAsia" w:ascii="宋体" w:hAnsi="宋体" w:eastAsia="宋体"/>
      <w:kern w:val="2"/>
      <w:sz w:val="21"/>
      <w:lang w:val="en-US" w:eastAsia="zh-CN" w:bidi="ar-SA"/>
    </w:rPr>
  </w:style>
  <w:style w:type="character" w:customStyle="1" w:styleId="191">
    <w:name w:val="Char Char Char"/>
    <w:qFormat/>
    <w:uiPriority w:val="0"/>
    <w:rPr>
      <w:rFonts w:hint="eastAsia" w:ascii="宋体" w:hAnsi="宋体" w:eastAsia="宋体"/>
      <w:kern w:val="2"/>
      <w:sz w:val="18"/>
      <w:szCs w:val="18"/>
      <w:lang w:val="en-US" w:eastAsia="zh-CN" w:bidi="ar-SA"/>
    </w:rPr>
  </w:style>
  <w:style w:type="character" w:customStyle="1" w:styleId="192">
    <w:name w:val="Char Char6"/>
    <w:qFormat/>
    <w:uiPriority w:val="0"/>
    <w:rPr>
      <w:kern w:val="2"/>
      <w:sz w:val="21"/>
      <w:szCs w:val="24"/>
    </w:rPr>
  </w:style>
  <w:style w:type="character" w:customStyle="1" w:styleId="193">
    <w:name w:val="正文缩进 Char"/>
    <w:qFormat/>
    <w:uiPriority w:val="0"/>
    <w:rPr>
      <w:kern w:val="2"/>
      <w:sz w:val="21"/>
      <w:lang w:val="zh-CN" w:eastAsia="zh-CN"/>
    </w:rPr>
  </w:style>
  <w:style w:type="character" w:customStyle="1" w:styleId="194">
    <w:name w:val="font11"/>
    <w:basedOn w:val="42"/>
    <w:qFormat/>
    <w:uiPriority w:val="0"/>
    <w:rPr>
      <w:rFonts w:hint="eastAsia" w:ascii="宋体" w:hAnsi="宋体" w:eastAsia="宋体" w:cs="宋体"/>
      <w:b/>
      <w:color w:val="000000"/>
      <w:sz w:val="22"/>
      <w:szCs w:val="22"/>
      <w:u w:val="none"/>
    </w:rPr>
  </w:style>
  <w:style w:type="character" w:customStyle="1" w:styleId="195">
    <w:name w:val="font01"/>
    <w:basedOn w:val="42"/>
    <w:qFormat/>
    <w:uiPriority w:val="0"/>
    <w:rPr>
      <w:rFonts w:hint="eastAsia" w:ascii="宋体" w:hAnsi="宋体" w:eastAsia="宋体" w:cs="宋体"/>
      <w:color w:val="000000"/>
      <w:sz w:val="22"/>
      <w:szCs w:val="22"/>
      <w:u w:val="none"/>
    </w:rPr>
  </w:style>
  <w:style w:type="character" w:customStyle="1" w:styleId="196">
    <w:name w:val="页脚 Char1"/>
    <w:basedOn w:val="42"/>
    <w:qFormat/>
    <w:uiPriority w:val="99"/>
    <w:rPr>
      <w:sz w:val="18"/>
      <w:szCs w:val="18"/>
    </w:rPr>
  </w:style>
  <w:style w:type="character" w:customStyle="1" w:styleId="197">
    <w:name w:val="批注文字 Char2"/>
    <w:qFormat/>
    <w:uiPriority w:val="0"/>
    <w:rPr>
      <w:rFonts w:hint="eastAsia" w:ascii="宋体" w:hAnsi="宋体" w:eastAsia="宋体"/>
      <w:sz w:val="18"/>
      <w:szCs w:val="18"/>
    </w:rPr>
  </w:style>
  <w:style w:type="character" w:customStyle="1" w:styleId="198">
    <w:name w:val="列出段落 Char1"/>
    <w:qFormat/>
    <w:uiPriority w:val="34"/>
    <w:rPr>
      <w:rFonts w:hint="default" w:ascii="Calibri" w:hAnsi="Calibri"/>
      <w:kern w:val="2"/>
      <w:sz w:val="21"/>
      <w:szCs w:val="22"/>
    </w:rPr>
  </w:style>
  <w:style w:type="paragraph" w:customStyle="1" w:styleId="199">
    <w:name w:val="CD正文"/>
    <w:basedOn w:val="98"/>
    <w:qFormat/>
    <w:uiPriority w:val="0"/>
  </w:style>
  <w:style w:type="paragraph" w:customStyle="1" w:styleId="200">
    <w:name w:val="项目符号：一级"/>
    <w:basedOn w:val="85"/>
    <w:next w:val="85"/>
    <w:qFormat/>
    <w:uiPriority w:val="0"/>
  </w:style>
  <w:style w:type="paragraph" w:customStyle="1" w:styleId="201">
    <w:name w:val="修订2"/>
    <w:semiHidden/>
    <w:qFormat/>
    <w:uiPriority w:val="99"/>
    <w:rPr>
      <w:rFonts w:ascii="Calibri" w:hAnsi="Calibri" w:eastAsia="宋体" w:cs="Times New Roman"/>
      <w:kern w:val="2"/>
      <w:sz w:val="21"/>
      <w:szCs w:val="22"/>
      <w:lang w:val="en-US" w:eastAsia="zh-CN" w:bidi="ar-SA"/>
    </w:rPr>
  </w:style>
  <w:style w:type="paragraph" w:customStyle="1" w:styleId="202">
    <w:name w:val="修订21"/>
    <w:semiHidden/>
    <w:qFormat/>
    <w:uiPriority w:val="99"/>
    <w:rPr>
      <w:rFonts w:ascii="Calibri" w:hAnsi="Calibri" w:eastAsia="宋体" w:cs="Times New Roman"/>
      <w:kern w:val="2"/>
      <w:sz w:val="21"/>
      <w:szCs w:val="22"/>
      <w:lang w:val="en-US" w:eastAsia="zh-CN" w:bidi="ar-SA"/>
    </w:rPr>
  </w:style>
  <w:style w:type="paragraph" w:customStyle="1" w:styleId="203">
    <w:name w:val="List Paragraph1"/>
    <w:basedOn w:val="1"/>
    <w:semiHidden/>
    <w:qFormat/>
    <w:uiPriority w:val="0"/>
    <w:pPr>
      <w:ind w:firstLine="420" w:firstLineChars="200"/>
    </w:pPr>
    <w:rPr>
      <w:rFonts w:ascii="Times New Roman" w:hAnsi="Times New Roman"/>
      <w:szCs w:val="24"/>
    </w:rPr>
  </w:style>
  <w:style w:type="paragraph" w:customStyle="1" w:styleId="204">
    <w:name w:val="修订3"/>
    <w:semiHidden/>
    <w:qFormat/>
    <w:uiPriority w:val="99"/>
    <w:rPr>
      <w:rFonts w:ascii="Calibri" w:hAnsi="Calibri" w:eastAsia="宋体" w:cs="Times New Roman"/>
      <w:kern w:val="2"/>
      <w:sz w:val="21"/>
      <w:szCs w:val="22"/>
      <w:lang w:val="en-US" w:eastAsia="zh-CN" w:bidi="ar-SA"/>
    </w:rPr>
  </w:style>
  <w:style w:type="paragraph" w:customStyle="1" w:styleId="205">
    <w:name w:val="Normal Indent1"/>
    <w:basedOn w:val="1"/>
    <w:semiHidden/>
    <w:qFormat/>
    <w:uiPriority w:val="99"/>
    <w:pPr>
      <w:spacing w:line="360" w:lineRule="auto"/>
      <w:ind w:firstLine="200" w:firstLineChars="200"/>
    </w:pPr>
    <w:rPr>
      <w:sz w:val="24"/>
      <w:szCs w:val="24"/>
    </w:rPr>
  </w:style>
  <w:style w:type="character" w:customStyle="1" w:styleId="206">
    <w:name w:val="占位符文本1"/>
    <w:basedOn w:val="42"/>
    <w:semiHidden/>
    <w:qFormat/>
    <w:uiPriority w:val="99"/>
    <w:rPr>
      <w:color w:val="808080"/>
    </w:rPr>
  </w:style>
  <w:style w:type="character" w:customStyle="1" w:styleId="207">
    <w:name w:val="font61"/>
    <w:qFormat/>
    <w:uiPriority w:val="0"/>
    <w:rPr>
      <w:rFonts w:hint="eastAsia" w:ascii="仿宋_GB2312" w:eastAsia="仿宋_GB2312" w:cs="仿宋_GB2312"/>
      <w:color w:val="000000"/>
      <w:sz w:val="24"/>
      <w:szCs w:val="24"/>
      <w:u w:val="none"/>
    </w:rPr>
  </w:style>
  <w:style w:type="character" w:customStyle="1" w:styleId="208">
    <w:name w:val="日期 Char1"/>
    <w:basedOn w:val="42"/>
    <w:semiHidden/>
    <w:qFormat/>
    <w:uiPriority w:val="99"/>
    <w:rPr>
      <w:rFonts w:hint="default" w:ascii="Calibri" w:hAnsi="Calibri" w:eastAsia="宋体" w:cs="Times New Roman"/>
    </w:rPr>
  </w:style>
  <w:style w:type="character" w:customStyle="1" w:styleId="209">
    <w:name w:val="副标题 Char2"/>
    <w:basedOn w:val="42"/>
    <w:qFormat/>
    <w:uiPriority w:val="11"/>
    <w:rPr>
      <w:rFonts w:hint="default" w:eastAsia="宋体" w:asciiTheme="majorHAnsi" w:hAnsiTheme="majorHAnsi" w:cstheme="majorBidi"/>
      <w:b/>
      <w:bCs/>
      <w:kern w:val="28"/>
      <w:sz w:val="32"/>
      <w:szCs w:val="32"/>
    </w:rPr>
  </w:style>
  <w:style w:type="character" w:customStyle="1" w:styleId="210">
    <w:name w:val="正文文本缩进 3 Char1"/>
    <w:basedOn w:val="42"/>
    <w:semiHidden/>
    <w:qFormat/>
    <w:uiPriority w:val="99"/>
    <w:rPr>
      <w:rFonts w:hint="default" w:ascii="Calibri" w:hAnsi="Calibri" w:eastAsia="宋体" w:cs="Times New Roman"/>
      <w:sz w:val="16"/>
      <w:szCs w:val="16"/>
    </w:rPr>
  </w:style>
  <w:style w:type="character" w:customStyle="1" w:styleId="211">
    <w:name w:val="批注框文本 Char1"/>
    <w:basedOn w:val="42"/>
    <w:semiHidden/>
    <w:qFormat/>
    <w:uiPriority w:val="99"/>
    <w:rPr>
      <w:rFonts w:hint="default" w:ascii="Calibri" w:hAnsi="Calibri" w:eastAsia="宋体" w:cs="Times New Roman"/>
      <w:sz w:val="18"/>
      <w:szCs w:val="18"/>
    </w:rPr>
  </w:style>
  <w:style w:type="character" w:customStyle="1" w:styleId="212">
    <w:name w:val="纯文本 Char2"/>
    <w:basedOn w:val="42"/>
    <w:qFormat/>
    <w:uiPriority w:val="99"/>
    <w:rPr>
      <w:rFonts w:hint="eastAsia" w:ascii="宋体" w:hAnsi="Courier New" w:eastAsia="宋体" w:cs="Courier New"/>
      <w:szCs w:val="21"/>
    </w:rPr>
  </w:style>
  <w:style w:type="character" w:customStyle="1" w:styleId="213">
    <w:name w:val="正文文本缩进 2 Char1"/>
    <w:basedOn w:val="42"/>
    <w:semiHidden/>
    <w:qFormat/>
    <w:uiPriority w:val="99"/>
    <w:rPr>
      <w:rFonts w:hint="default" w:ascii="Calibri" w:hAnsi="Calibri" w:eastAsia="宋体" w:cs="Times New Roman"/>
    </w:rPr>
  </w:style>
  <w:style w:type="character" w:customStyle="1" w:styleId="214">
    <w:name w:val="正文文本缩进 Char1"/>
    <w:basedOn w:val="42"/>
    <w:semiHidden/>
    <w:qFormat/>
    <w:uiPriority w:val="99"/>
    <w:rPr>
      <w:rFonts w:hint="default" w:ascii="Calibri" w:hAnsi="Calibri" w:eastAsia="宋体" w:cs="Times New Roman"/>
    </w:rPr>
  </w:style>
  <w:style w:type="character" w:customStyle="1" w:styleId="215">
    <w:name w:val="正文文本 2 Char1"/>
    <w:basedOn w:val="42"/>
    <w:semiHidden/>
    <w:qFormat/>
    <w:uiPriority w:val="99"/>
    <w:rPr>
      <w:rFonts w:hint="default" w:ascii="Calibri" w:hAnsi="Calibri" w:eastAsia="宋体" w:cs="Times New Roman"/>
    </w:rPr>
  </w:style>
  <w:style w:type="character" w:customStyle="1" w:styleId="216">
    <w:name w:val="正文文本 Char3"/>
    <w:basedOn w:val="42"/>
    <w:qFormat/>
    <w:locked/>
    <w:uiPriority w:val="0"/>
    <w:rPr>
      <w:rFonts w:ascii="Calibri" w:hAnsi="Calibri" w:eastAsia="宋体"/>
      <w:kern w:val="2"/>
      <w:sz w:val="21"/>
      <w:szCs w:val="22"/>
    </w:rPr>
  </w:style>
  <w:style w:type="character" w:customStyle="1" w:styleId="217">
    <w:name w:val="正文首行缩进 Char1"/>
    <w:basedOn w:val="216"/>
    <w:semiHidden/>
    <w:qFormat/>
    <w:uiPriority w:val="99"/>
    <w:rPr>
      <w:rFonts w:ascii="Calibri" w:hAnsi="Calibri" w:eastAsia="宋体"/>
      <w:kern w:val="2"/>
      <w:sz w:val="21"/>
      <w:szCs w:val="22"/>
    </w:rPr>
  </w:style>
  <w:style w:type="character" w:customStyle="1" w:styleId="218">
    <w:name w:val="批注文字 Char1"/>
    <w:basedOn w:val="42"/>
    <w:semiHidden/>
    <w:qFormat/>
    <w:uiPriority w:val="0"/>
    <w:rPr>
      <w:rFonts w:hint="default" w:ascii="Calibri" w:hAnsi="Calibri" w:eastAsia="宋体" w:cs="Times New Roman"/>
    </w:rPr>
  </w:style>
  <w:style w:type="character" w:customStyle="1" w:styleId="219">
    <w:name w:val="正文文本 3 Char1"/>
    <w:basedOn w:val="42"/>
    <w:semiHidden/>
    <w:qFormat/>
    <w:uiPriority w:val="99"/>
    <w:rPr>
      <w:rFonts w:hint="default" w:ascii="Calibri" w:hAnsi="Calibri" w:eastAsia="宋体" w:cs="Times New Roman"/>
      <w:sz w:val="16"/>
      <w:szCs w:val="16"/>
    </w:rPr>
  </w:style>
  <w:style w:type="character" w:customStyle="1" w:styleId="220">
    <w:name w:val="文档结构图 Char1"/>
    <w:basedOn w:val="42"/>
    <w:semiHidden/>
    <w:qFormat/>
    <w:uiPriority w:val="99"/>
    <w:rPr>
      <w:rFonts w:hint="eastAsia" w:ascii="宋体" w:hAnsi="Calibri" w:eastAsia="宋体" w:cs="Times New Roman"/>
      <w:sz w:val="18"/>
      <w:szCs w:val="18"/>
    </w:rPr>
  </w:style>
  <w:style w:type="character" w:customStyle="1" w:styleId="221">
    <w:name w:val="font21"/>
    <w:qFormat/>
    <w:uiPriority w:val="0"/>
    <w:rPr>
      <w:rFonts w:hint="eastAsia" w:ascii="仿宋_GB2312" w:eastAsia="仿宋_GB2312" w:cs="仿宋_GB2312"/>
      <w:color w:val="000000"/>
      <w:sz w:val="24"/>
      <w:szCs w:val="24"/>
      <w:u w:val="none"/>
    </w:rPr>
  </w:style>
  <w:style w:type="paragraph" w:customStyle="1" w:styleId="222">
    <w:name w:val="正文_5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3">
    <w:name w:val="Table Paragraph"/>
    <w:basedOn w:val="1"/>
    <w:qFormat/>
    <w:uiPriority w:val="1"/>
    <w:rPr>
      <w:rFonts w:ascii="宋体" w:hAnsi="宋体" w:cs="宋体"/>
      <w:lang w:eastAsia="en-US" w:bidi="en-US"/>
    </w:rPr>
  </w:style>
  <w:style w:type="character" w:customStyle="1" w:styleId="224">
    <w:name w:val="font41"/>
    <w:qFormat/>
    <w:uiPriority w:val="0"/>
    <w:rPr>
      <w:rFonts w:hint="default" w:ascii="Calibri" w:hAnsi="Calibri" w:cs="Calibri"/>
      <w:color w:val="000000"/>
      <w:sz w:val="20"/>
      <w:szCs w:val="20"/>
      <w:u w:val="none"/>
    </w:rPr>
  </w:style>
  <w:style w:type="character" w:customStyle="1" w:styleId="225">
    <w:name w:val="NormalCharacter"/>
    <w:qFormat/>
    <w:uiPriority w:val="0"/>
  </w:style>
  <w:style w:type="character" w:customStyle="1" w:styleId="226">
    <w:name w:val="sugg-loading"/>
    <w:basedOn w:val="42"/>
    <w:qFormat/>
    <w:uiPriority w:val="0"/>
  </w:style>
  <w:style w:type="character" w:customStyle="1" w:styleId="227">
    <w:name w:val="font71"/>
    <w:qFormat/>
    <w:uiPriority w:val="0"/>
    <w:rPr>
      <w:rFonts w:hint="default" w:ascii="仿宋_GB2312" w:eastAsia="仿宋_GB2312" w:cs="仿宋_GB2312"/>
      <w:color w:val="FF0000"/>
      <w:sz w:val="28"/>
      <w:szCs w:val="28"/>
      <w:u w:val="none"/>
    </w:rPr>
  </w:style>
  <w:style w:type="character" w:customStyle="1" w:styleId="228">
    <w:name w:val="font81"/>
    <w:qFormat/>
    <w:uiPriority w:val="0"/>
    <w:rPr>
      <w:rFonts w:hint="eastAsia" w:ascii="宋体" w:hAnsi="宋体" w:eastAsia="宋体" w:cs="宋体"/>
      <w:color w:val="000000"/>
      <w:sz w:val="28"/>
      <w:szCs w:val="28"/>
      <w:u w:val="none"/>
    </w:rPr>
  </w:style>
  <w:style w:type="character" w:customStyle="1" w:styleId="229">
    <w:name w:val="font31"/>
    <w:qFormat/>
    <w:uiPriority w:val="0"/>
    <w:rPr>
      <w:rFonts w:hint="default" w:ascii="仿宋_GB2312" w:eastAsia="仿宋_GB2312" w:cs="仿宋_GB2312"/>
      <w:color w:val="000000"/>
      <w:sz w:val="28"/>
      <w:szCs w:val="28"/>
      <w:u w:val="none"/>
    </w:rPr>
  </w:style>
  <w:style w:type="character" w:customStyle="1" w:styleId="230">
    <w:name w:val="font51"/>
    <w:qFormat/>
    <w:uiPriority w:val="0"/>
    <w:rPr>
      <w:rFonts w:ascii="黑体" w:hAnsi="宋体" w:eastAsia="黑体" w:cs="黑体"/>
      <w:color w:val="FF0000"/>
      <w:sz w:val="28"/>
      <w:szCs w:val="28"/>
      <w:u w:val="none"/>
    </w:rPr>
  </w:style>
  <w:style w:type="paragraph" w:customStyle="1" w:styleId="231">
    <w:name w:val="列出段落5"/>
    <w:basedOn w:val="1"/>
    <w:qFormat/>
    <w:uiPriority w:val="99"/>
    <w:pPr>
      <w:ind w:firstLine="420" w:firstLineChars="200"/>
    </w:pPr>
  </w:style>
  <w:style w:type="paragraph" w:customStyle="1" w:styleId="232">
    <w:name w:val="正文 A"/>
    <w:qFormat/>
    <w:uiPriority w:val="0"/>
    <w:pPr>
      <w:widowControl w:val="0"/>
      <w:jc w:val="both"/>
    </w:pPr>
    <w:rPr>
      <w:rFonts w:ascii="Calibri"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376CA2-0190-49E9-8319-8906D193831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121</Pages>
  <Words>10266</Words>
  <Characters>58520</Characters>
  <Lines>487</Lines>
  <Paragraphs>137</Paragraphs>
  <TotalTime>0</TotalTime>
  <ScaleCrop>false</ScaleCrop>
  <LinksUpToDate>false</LinksUpToDate>
  <CharactersWithSpaces>68649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2021-05-27T01:53:00Z</dcterms:created>
  <dc:creator>高文豪</dc:creator>
  <cp:lastModifiedBy>lenovo</cp:lastModifiedBy>
  <cp:lastPrinted>2021-07-26T06:43:00Z</cp:lastPrinted>
  <dcterms:modified xsi:type="dcterms:W3CDTF">2021-11-23T01:40:28Z</dcterms:modified>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16B5CA6511C34F73B8F080E64963CC25</vt:lpwstr>
  </property>
</Properties>
</file>