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仿宋" w:hAnsi="仿宋" w:eastAsia="仿宋" w:cs="仿宋"/>
          <w:color w:val="auto"/>
          <w:spacing w:val="20"/>
          <w:sz w:val="28"/>
          <w:szCs w:val="28"/>
        </w:rPr>
      </w:pPr>
    </w:p>
    <w:p>
      <w:pPr>
        <w:pStyle w:val="63"/>
        <w:rPr>
          <w:rFonts w:hint="eastAsia" w:ascii="仿宋" w:hAnsi="仿宋" w:eastAsia="仿宋" w:cs="仿宋"/>
          <w:color w:val="auto"/>
          <w:spacing w:val="20"/>
          <w:sz w:val="28"/>
          <w:szCs w:val="28"/>
        </w:rPr>
      </w:pPr>
    </w:p>
    <w:p>
      <w:pPr>
        <w:pStyle w:val="63"/>
        <w:rPr>
          <w:rFonts w:hint="eastAsia" w:ascii="仿宋" w:hAnsi="仿宋" w:eastAsia="仿宋" w:cs="仿宋"/>
          <w:color w:val="auto"/>
          <w:spacing w:val="20"/>
          <w:sz w:val="28"/>
          <w:szCs w:val="28"/>
        </w:rPr>
      </w:pPr>
    </w:p>
    <w:p>
      <w:pPr>
        <w:pStyle w:val="2"/>
        <w:rPr>
          <w:rFonts w:hint="eastAsia" w:ascii="仿宋" w:hAnsi="仿宋" w:eastAsia="仿宋" w:cs="仿宋"/>
          <w:color w:val="auto"/>
        </w:rPr>
      </w:pPr>
    </w:p>
    <w:p>
      <w:pPr>
        <w:spacing w:line="360" w:lineRule="auto"/>
        <w:jc w:val="center"/>
        <w:rPr>
          <w:rFonts w:hint="eastAsia" w:ascii="仿宋" w:hAnsi="仿宋" w:eastAsia="仿宋" w:cs="仿宋"/>
          <w:b/>
          <w:bCs/>
          <w:color w:val="auto"/>
          <w:spacing w:val="-20"/>
          <w:sz w:val="112"/>
          <w:szCs w:val="112"/>
        </w:rPr>
      </w:pPr>
      <w:r>
        <w:rPr>
          <w:rFonts w:hint="eastAsia" w:ascii="仿宋" w:hAnsi="仿宋" w:eastAsia="仿宋" w:cs="仿宋"/>
          <w:b/>
          <w:bCs/>
          <w:color w:val="auto"/>
          <w:spacing w:val="-20"/>
          <w:sz w:val="112"/>
          <w:szCs w:val="112"/>
        </w:rPr>
        <w:t>竞争性磋商文件</w:t>
      </w:r>
    </w:p>
    <w:p>
      <w:pPr>
        <w:spacing w:line="360" w:lineRule="auto"/>
        <w:ind w:left="2235" w:leftChars="223" w:hanging="1700" w:hangingChars="500"/>
        <w:rPr>
          <w:rFonts w:hint="eastAsia" w:ascii="仿宋" w:hAnsi="仿宋" w:eastAsia="仿宋" w:cs="仿宋"/>
          <w:color w:val="auto"/>
          <w:spacing w:val="20"/>
          <w:sz w:val="30"/>
          <w:szCs w:val="30"/>
        </w:rPr>
      </w:pPr>
    </w:p>
    <w:p>
      <w:pPr>
        <w:pStyle w:val="63"/>
        <w:rPr>
          <w:rFonts w:hint="eastAsia" w:ascii="仿宋" w:hAnsi="仿宋" w:eastAsia="仿宋" w:cs="仿宋"/>
          <w:color w:val="auto"/>
          <w:spacing w:val="20"/>
          <w:sz w:val="30"/>
          <w:szCs w:val="30"/>
        </w:rPr>
      </w:pPr>
    </w:p>
    <w:p>
      <w:pPr>
        <w:pStyle w:val="63"/>
        <w:rPr>
          <w:rFonts w:hint="eastAsia" w:ascii="仿宋" w:hAnsi="仿宋" w:eastAsia="仿宋" w:cs="仿宋"/>
          <w:color w:val="auto"/>
          <w:spacing w:val="20"/>
          <w:sz w:val="30"/>
          <w:szCs w:val="30"/>
        </w:rPr>
      </w:pPr>
    </w:p>
    <w:p>
      <w:pPr>
        <w:pStyle w:val="63"/>
        <w:rPr>
          <w:rFonts w:hint="eastAsia" w:ascii="仿宋" w:hAnsi="仿宋" w:eastAsia="仿宋" w:cs="仿宋"/>
          <w:color w:val="auto"/>
        </w:rPr>
      </w:pPr>
    </w:p>
    <w:p>
      <w:pPr>
        <w:spacing w:line="360" w:lineRule="auto"/>
        <w:ind w:left="2407" w:leftChars="336" w:hanging="1601" w:hangingChars="443"/>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rPr>
        <w:t>项目名称</w:t>
      </w:r>
      <w:r>
        <w:rPr>
          <w:rFonts w:hint="eastAsia" w:ascii="仿宋" w:hAnsi="仿宋" w:eastAsia="仿宋" w:cs="仿宋"/>
          <w:b/>
          <w:bCs/>
          <w:color w:val="auto"/>
          <w:sz w:val="36"/>
          <w:szCs w:val="36"/>
          <w:lang w:eastAsia="zh-CN"/>
        </w:rPr>
        <w:t>：成都东部新区石盘街道石盘小学家属院落改造工程项目</w:t>
      </w:r>
    </w:p>
    <w:p>
      <w:pPr>
        <w:spacing w:line="360" w:lineRule="auto"/>
        <w:ind w:left="2407" w:leftChars="336" w:hanging="1601" w:hangingChars="443"/>
        <w:rPr>
          <w:rFonts w:hint="eastAsia" w:ascii="仿宋" w:hAnsi="仿宋" w:eastAsia="仿宋" w:cs="仿宋"/>
          <w:color w:val="auto"/>
          <w:sz w:val="36"/>
          <w:szCs w:val="36"/>
          <w:lang w:eastAsia="zh-CN"/>
        </w:rPr>
      </w:pPr>
      <w:r>
        <w:rPr>
          <w:rFonts w:hint="eastAsia" w:ascii="仿宋" w:hAnsi="仿宋" w:eastAsia="仿宋" w:cs="仿宋"/>
          <w:b/>
          <w:bCs/>
          <w:color w:val="auto"/>
          <w:sz w:val="36"/>
          <w:szCs w:val="36"/>
        </w:rPr>
        <w:t>项目编号:</w:t>
      </w:r>
      <w:r>
        <w:rPr>
          <w:rFonts w:hint="eastAsia" w:ascii="仿宋" w:hAnsi="仿宋" w:eastAsia="仿宋" w:cs="仿宋"/>
          <w:b/>
          <w:bCs/>
          <w:color w:val="auto"/>
          <w:sz w:val="36"/>
          <w:szCs w:val="36"/>
          <w:lang w:eastAsia="zh-CN"/>
        </w:rPr>
        <w:t>东部新区政采（2021）A0051号</w:t>
      </w:r>
    </w:p>
    <w:p>
      <w:pPr>
        <w:pStyle w:val="63"/>
        <w:rPr>
          <w:rFonts w:hint="eastAsia" w:ascii="仿宋" w:hAnsi="仿宋" w:eastAsia="仿宋" w:cs="仿宋"/>
          <w:color w:val="auto"/>
        </w:rPr>
      </w:pPr>
    </w:p>
    <w:p>
      <w:pPr>
        <w:spacing w:line="360" w:lineRule="auto"/>
        <w:jc w:val="center"/>
        <w:rPr>
          <w:rFonts w:hint="eastAsia" w:ascii="仿宋" w:hAnsi="仿宋" w:eastAsia="仿宋" w:cs="仿宋"/>
          <w:color w:val="auto"/>
          <w:kern w:val="24"/>
          <w:sz w:val="36"/>
          <w:szCs w:val="36"/>
        </w:rPr>
      </w:pP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lang w:eastAsia="zh-CN"/>
        </w:rPr>
        <w:t>成都东部新区石盘街道办事处</w:t>
      </w:r>
      <w:r>
        <w:rPr>
          <w:rFonts w:hint="eastAsia" w:ascii="仿宋" w:hAnsi="仿宋" w:eastAsia="仿宋" w:cs="仿宋"/>
          <w:b/>
          <w:bCs/>
          <w:color w:val="auto"/>
          <w:sz w:val="36"/>
          <w:szCs w:val="36"/>
        </w:rPr>
        <w:t>、</w:t>
      </w: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成都东部新区党工委管委会（成都市东部新城办）综合部</w:t>
      </w: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共同编制</w:t>
      </w:r>
    </w:p>
    <w:p>
      <w:pPr>
        <w:tabs>
          <w:tab w:val="center" w:pos="4153"/>
          <w:tab w:val="right" w:pos="8306"/>
        </w:tabs>
        <w:spacing w:line="360" w:lineRule="auto"/>
        <w:jc w:val="center"/>
        <w:rPr>
          <w:rFonts w:hint="eastAsia" w:ascii="仿宋" w:hAnsi="仿宋" w:eastAsia="仿宋" w:cs="仿宋"/>
          <w:b/>
          <w:bCs/>
          <w:color w:val="auto"/>
          <w:sz w:val="36"/>
          <w:szCs w:val="36"/>
        </w:rPr>
      </w:pPr>
    </w:p>
    <w:p>
      <w:pPr>
        <w:tabs>
          <w:tab w:val="center" w:pos="4153"/>
          <w:tab w:val="right" w:pos="8306"/>
        </w:tabs>
        <w:spacing w:line="360" w:lineRule="auto"/>
        <w:jc w:val="center"/>
        <w:rPr>
          <w:rFonts w:hint="eastAsia" w:ascii="仿宋" w:hAnsi="仿宋" w:eastAsia="仿宋" w:cs="仿宋"/>
          <w:b/>
          <w:bCs/>
          <w:color w:val="auto"/>
          <w:sz w:val="36"/>
          <w:szCs w:val="36"/>
        </w:rPr>
      </w:pPr>
    </w:p>
    <w:p>
      <w:pPr>
        <w:tabs>
          <w:tab w:val="center" w:pos="4153"/>
          <w:tab w:val="right" w:pos="8306"/>
        </w:tabs>
        <w:spacing w:line="360" w:lineRule="auto"/>
        <w:jc w:val="center"/>
        <w:rPr>
          <w:rFonts w:hint="eastAsia" w:ascii="仿宋" w:hAnsi="仿宋" w:eastAsia="仿宋" w:cs="仿宋"/>
          <w:b/>
          <w:bCs/>
          <w:color w:val="auto"/>
          <w:sz w:val="36"/>
          <w:szCs w:val="36"/>
        </w:rPr>
        <w:sectPr>
          <w:headerReference r:id="rId3" w:type="default"/>
          <w:footerReference r:id="rId4" w:type="even"/>
          <w:pgSz w:w="11906" w:h="16838"/>
          <w:pgMar w:top="1134" w:right="1274" w:bottom="1440" w:left="1418" w:header="851" w:footer="992" w:gutter="0"/>
          <w:cols w:space="720" w:num="1"/>
          <w:titlePg/>
          <w:docGrid w:type="lines" w:linePitch="312" w:charSpace="0"/>
        </w:sectPr>
      </w:pPr>
      <w:r>
        <w:rPr>
          <w:rFonts w:hint="eastAsia" w:ascii="仿宋" w:hAnsi="仿宋" w:eastAsia="仿宋" w:cs="仿宋"/>
          <w:b/>
          <w:bCs/>
          <w:color w:val="auto"/>
          <w:sz w:val="36"/>
          <w:szCs w:val="36"/>
        </w:rPr>
        <w:t>二○二一年十</w:t>
      </w:r>
      <w:r>
        <w:rPr>
          <w:rFonts w:hint="eastAsia" w:ascii="仿宋" w:hAnsi="仿宋" w:eastAsia="仿宋" w:cs="仿宋"/>
          <w:b/>
          <w:bCs/>
          <w:color w:val="auto"/>
          <w:sz w:val="36"/>
          <w:szCs w:val="36"/>
          <w:lang w:eastAsia="zh-CN"/>
        </w:rPr>
        <w:t>二</w:t>
      </w:r>
      <w:r>
        <w:rPr>
          <w:rFonts w:hint="eastAsia" w:ascii="仿宋" w:hAnsi="仿宋" w:eastAsia="仿宋" w:cs="仿宋"/>
          <w:b/>
          <w:bCs/>
          <w:color w:val="auto"/>
          <w:sz w:val="36"/>
          <w:szCs w:val="36"/>
        </w:rPr>
        <w:t>月</w:t>
      </w:r>
    </w:p>
    <w:p>
      <w:pPr>
        <w:tabs>
          <w:tab w:val="center" w:pos="4153"/>
          <w:tab w:val="right" w:pos="8306"/>
        </w:tabs>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目 录</w:t>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 w:val="0"/>
          <w:color w:val="auto"/>
          <w:sz w:val="24"/>
          <w:szCs w:val="24"/>
        </w:rPr>
        <w:fldChar w:fldCharType="begin"/>
      </w:r>
      <w:r>
        <w:rPr>
          <w:rFonts w:hint="eastAsia" w:ascii="仿宋" w:hAnsi="仿宋" w:eastAsia="仿宋" w:cs="仿宋"/>
          <w:color w:val="auto"/>
          <w:sz w:val="24"/>
          <w:szCs w:val="24"/>
        </w:rPr>
        <w:instrText xml:space="preserve">TOC \o "1-2" \h \z \u</w:instrText>
      </w:r>
      <w:r>
        <w:rPr>
          <w:rFonts w:hint="eastAsia" w:ascii="仿宋" w:hAnsi="仿宋" w:eastAsia="仿宋" w:cs="仿宋"/>
          <w:b w:val="0"/>
          <w:color w:val="auto"/>
          <w:sz w:val="24"/>
          <w:szCs w:val="24"/>
        </w:rPr>
        <w:fldChar w:fldCharType="separate"/>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_Toc161 </w:instrText>
      </w:r>
      <w:r>
        <w:rPr>
          <w:rFonts w:hint="eastAsia" w:ascii="仿宋" w:hAnsi="仿宋" w:eastAsia="仿宋" w:cs="仿宋"/>
          <w:color w:val="auto"/>
          <w:sz w:val="24"/>
          <w:szCs w:val="24"/>
        </w:rPr>
        <w:fldChar w:fldCharType="separate"/>
      </w:r>
      <w:r>
        <w:rPr>
          <w:rFonts w:hint="eastAsia" w:ascii="仿宋" w:hAnsi="仿宋" w:eastAsia="仿宋" w:cs="仿宋"/>
          <w:i w:val="0"/>
          <w:color w:val="auto"/>
          <w:sz w:val="24"/>
          <w:szCs w:val="24"/>
        </w:rPr>
        <w:t xml:space="preserve">第1章 </w:t>
      </w:r>
      <w:r>
        <w:rPr>
          <w:rFonts w:hint="eastAsia" w:ascii="仿宋" w:hAnsi="仿宋" w:eastAsia="仿宋" w:cs="仿宋"/>
          <w:color w:val="auto"/>
          <w:sz w:val="24"/>
          <w:szCs w:val="24"/>
        </w:rPr>
        <w:t>竞争性磋商邀请</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_Toc161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_Toc6328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第2章 </w:t>
      </w:r>
      <w:r>
        <w:rPr>
          <w:rFonts w:hint="eastAsia" w:ascii="仿宋" w:hAnsi="仿宋" w:eastAsia="仿宋" w:cs="仿宋"/>
          <w:color w:val="auto"/>
          <w:sz w:val="24"/>
          <w:szCs w:val="24"/>
        </w:rPr>
        <w:t>供应商须知</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_Toc6328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7</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_Toc22480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2.1 </w:t>
      </w:r>
      <w:r>
        <w:rPr>
          <w:rFonts w:hint="eastAsia" w:ascii="仿宋" w:hAnsi="仿宋" w:eastAsia="仿宋" w:cs="仿宋"/>
          <w:color w:val="auto"/>
          <w:sz w:val="24"/>
          <w:szCs w:val="24"/>
        </w:rPr>
        <w:t>供应商须知前附表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_Toc22480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7</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_Toc9117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2.2 </w:t>
      </w:r>
      <w:r>
        <w:rPr>
          <w:rFonts w:hint="eastAsia" w:ascii="仿宋" w:hAnsi="仿宋" w:eastAsia="仿宋" w:cs="仿宋"/>
          <w:color w:val="auto"/>
          <w:sz w:val="24"/>
          <w:szCs w:val="24"/>
        </w:rPr>
        <w:t>总则</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_Toc9117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10</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_Toc1892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2.3 </w:t>
      </w:r>
      <w:r>
        <w:rPr>
          <w:rFonts w:hint="eastAsia" w:ascii="仿宋" w:hAnsi="仿宋" w:eastAsia="仿宋" w:cs="仿宋"/>
          <w:color w:val="auto"/>
          <w:sz w:val="24"/>
          <w:szCs w:val="24"/>
        </w:rPr>
        <w:t>磋商文件</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_Toc1892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12</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_Toc7989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2.4 </w:t>
      </w:r>
      <w:r>
        <w:rPr>
          <w:rFonts w:hint="eastAsia" w:ascii="仿宋" w:hAnsi="仿宋" w:eastAsia="仿宋" w:cs="仿宋"/>
          <w:color w:val="auto"/>
          <w:sz w:val="24"/>
          <w:szCs w:val="24"/>
        </w:rPr>
        <w:t>施工响应文件</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_Toc7989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_Toc1092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2.5 </w:t>
      </w:r>
      <w:r>
        <w:rPr>
          <w:rFonts w:hint="eastAsia" w:ascii="仿宋" w:hAnsi="仿宋" w:eastAsia="仿宋" w:cs="仿宋"/>
          <w:color w:val="auto"/>
          <w:sz w:val="24"/>
          <w:szCs w:val="24"/>
        </w:rPr>
        <w:t>开标及开标程序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_Toc1092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21</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_Toc11712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2.6 </w:t>
      </w:r>
      <w:r>
        <w:rPr>
          <w:rFonts w:hint="eastAsia" w:ascii="仿宋" w:hAnsi="仿宋" w:eastAsia="仿宋" w:cs="仿宋"/>
          <w:color w:val="auto"/>
          <w:sz w:val="24"/>
          <w:szCs w:val="24"/>
        </w:rPr>
        <w:t>资格预审和评审</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_Toc11712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22</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_Toc19645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2.7 </w:t>
      </w:r>
      <w:r>
        <w:rPr>
          <w:rFonts w:hint="eastAsia" w:ascii="仿宋" w:hAnsi="仿宋" w:eastAsia="仿宋" w:cs="仿宋"/>
          <w:color w:val="auto"/>
          <w:sz w:val="24"/>
          <w:szCs w:val="24"/>
        </w:rPr>
        <w:t>成交通知书</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_Toc19645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_Toc27943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2.8 </w:t>
      </w:r>
      <w:r>
        <w:rPr>
          <w:rFonts w:hint="eastAsia" w:ascii="仿宋" w:hAnsi="仿宋" w:eastAsia="仿宋" w:cs="仿宋"/>
          <w:color w:val="auto"/>
          <w:sz w:val="24"/>
          <w:szCs w:val="24"/>
        </w:rPr>
        <w:t>签订及履行合同和验收</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_Toc27943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_Toc25786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2.9 </w:t>
      </w:r>
      <w:r>
        <w:rPr>
          <w:rFonts w:hint="eastAsia" w:ascii="仿宋" w:hAnsi="仿宋" w:eastAsia="仿宋" w:cs="仿宋"/>
          <w:color w:val="auto"/>
          <w:sz w:val="24"/>
          <w:szCs w:val="24"/>
        </w:rPr>
        <w:t>竞争性磋商工作纪律及要求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_Toc25786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25</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_Toc16572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2.10 </w:t>
      </w:r>
      <w:r>
        <w:rPr>
          <w:rFonts w:hint="eastAsia" w:ascii="仿宋" w:hAnsi="仿宋" w:eastAsia="仿宋" w:cs="仿宋"/>
          <w:color w:val="auto"/>
          <w:sz w:val="24"/>
          <w:szCs w:val="24"/>
        </w:rPr>
        <w:t>询问、质疑和投诉</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_Toc16572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28</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_Toc15606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2.11 </w:t>
      </w:r>
      <w:r>
        <w:rPr>
          <w:rFonts w:hint="eastAsia" w:ascii="仿宋" w:hAnsi="仿宋" w:eastAsia="仿宋" w:cs="仿宋"/>
          <w:color w:val="auto"/>
          <w:sz w:val="24"/>
          <w:szCs w:val="24"/>
        </w:rPr>
        <w:t>中小企业政府采购信用融资</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_Toc15606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29</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_Toc20029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2.12 </w:t>
      </w:r>
      <w:r>
        <w:rPr>
          <w:rFonts w:hint="eastAsia" w:ascii="仿宋" w:hAnsi="仿宋" w:eastAsia="仿宋" w:cs="仿宋"/>
          <w:color w:val="auto"/>
          <w:sz w:val="24"/>
          <w:szCs w:val="24"/>
        </w:rPr>
        <w:t>其他</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_Toc20029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29</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_Toc9332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第3章 </w:t>
      </w:r>
      <w:r>
        <w:rPr>
          <w:rFonts w:hint="eastAsia" w:ascii="仿宋" w:hAnsi="仿宋" w:eastAsia="仿宋" w:cs="仿宋"/>
          <w:color w:val="auto"/>
          <w:sz w:val="24"/>
          <w:szCs w:val="24"/>
        </w:rPr>
        <w:t>施工响应文件格式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_Toc9332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30</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_Toc28633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3.1 </w:t>
      </w:r>
      <w:r>
        <w:rPr>
          <w:rFonts w:hint="eastAsia" w:ascii="仿宋" w:hAnsi="仿宋" w:eastAsia="仿宋" w:cs="仿宋"/>
          <w:color w:val="auto"/>
          <w:sz w:val="24"/>
          <w:szCs w:val="24"/>
        </w:rPr>
        <w:t>施工响应文件格式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_Toc28633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30</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_Toc7937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第4章 </w:t>
      </w:r>
      <w:r>
        <w:rPr>
          <w:rFonts w:hint="eastAsia" w:ascii="仿宋" w:hAnsi="仿宋" w:eastAsia="仿宋" w:cs="仿宋"/>
          <w:color w:val="auto"/>
          <w:sz w:val="24"/>
          <w:szCs w:val="24"/>
        </w:rPr>
        <w:t>技术、服务、商务及其他要求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_Toc7937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41</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_Toc10644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第5章 </w:t>
      </w:r>
      <w:r>
        <w:rPr>
          <w:rFonts w:hint="eastAsia" w:ascii="仿宋" w:hAnsi="仿宋" w:eastAsia="仿宋" w:cs="仿宋"/>
          <w:color w:val="auto"/>
          <w:sz w:val="24"/>
          <w:szCs w:val="24"/>
        </w:rPr>
        <w:t>磋商办法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_Toc10644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46</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_Toc29826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5.1 </w:t>
      </w:r>
      <w:r>
        <w:rPr>
          <w:rFonts w:hint="eastAsia" w:ascii="仿宋" w:hAnsi="仿宋" w:eastAsia="仿宋" w:cs="仿宋"/>
          <w:color w:val="auto"/>
          <w:sz w:val="24"/>
          <w:szCs w:val="24"/>
        </w:rPr>
        <w:t>总则</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_Toc29826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46</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_Toc15270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5.2 </w:t>
      </w:r>
      <w:r>
        <w:rPr>
          <w:rFonts w:hint="eastAsia" w:ascii="仿宋" w:hAnsi="仿宋" w:eastAsia="仿宋" w:cs="仿宋"/>
          <w:color w:val="auto"/>
          <w:sz w:val="24"/>
          <w:szCs w:val="24"/>
        </w:rPr>
        <w:t>磋商程序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_Toc15270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47</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_Toc8568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5.3 </w:t>
      </w:r>
      <w:r>
        <w:rPr>
          <w:rFonts w:hint="eastAsia" w:ascii="仿宋" w:hAnsi="仿宋" w:eastAsia="仿宋" w:cs="仿宋"/>
          <w:color w:val="auto"/>
          <w:sz w:val="24"/>
          <w:szCs w:val="24"/>
        </w:rPr>
        <w:t>评审办法和标准</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_Toc8568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57</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_Toc18250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5.4 </w:t>
      </w:r>
      <w:r>
        <w:rPr>
          <w:rFonts w:hint="eastAsia" w:ascii="仿宋" w:hAnsi="仿宋" w:eastAsia="仿宋" w:cs="仿宋"/>
          <w:color w:val="auto"/>
          <w:sz w:val="24"/>
          <w:szCs w:val="24"/>
        </w:rPr>
        <w:t>采购失败情形</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_Toc18250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60</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_Toc12590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5.5 </w:t>
      </w:r>
      <w:r>
        <w:rPr>
          <w:rFonts w:hint="eastAsia" w:ascii="仿宋" w:hAnsi="仿宋" w:eastAsia="仿宋" w:cs="仿宋"/>
          <w:color w:val="auto"/>
          <w:sz w:val="24"/>
          <w:szCs w:val="24"/>
        </w:rPr>
        <w:t>确定成交供应商</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_Toc12590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61</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_Toc27856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5.6 </w:t>
      </w:r>
      <w:r>
        <w:rPr>
          <w:rFonts w:hint="eastAsia" w:ascii="仿宋" w:hAnsi="仿宋" w:eastAsia="仿宋" w:cs="仿宋"/>
          <w:color w:val="auto"/>
          <w:sz w:val="24"/>
          <w:szCs w:val="24"/>
        </w:rPr>
        <w:t>磋商小组成员义务</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_Toc27856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62</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_Toc26886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5.7 </w:t>
      </w:r>
      <w:r>
        <w:rPr>
          <w:rFonts w:hint="eastAsia" w:ascii="仿宋" w:hAnsi="仿宋" w:eastAsia="仿宋" w:cs="仿宋"/>
          <w:color w:val="auto"/>
          <w:sz w:val="24"/>
          <w:szCs w:val="24"/>
        </w:rPr>
        <w:t>磋商小组及其成员不得有下列行为</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_Toc26886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8"/>
        <w:keepNext w:val="0"/>
        <w:keepLines w:val="0"/>
        <w:pageBreakBefore w:val="0"/>
        <w:widowControl/>
        <w:tabs>
          <w:tab w:val="right" w:leader="dot" w:pos="921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_Toc2881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5.8 </w:t>
      </w:r>
      <w:r>
        <w:rPr>
          <w:rFonts w:hint="eastAsia" w:ascii="仿宋" w:hAnsi="仿宋" w:eastAsia="仿宋" w:cs="仿宋"/>
          <w:color w:val="auto"/>
          <w:sz w:val="24"/>
          <w:szCs w:val="24"/>
        </w:rPr>
        <w:t>磋商纪律</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_Toc2881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_Toc13159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第6章 </w:t>
      </w:r>
      <w:r>
        <w:rPr>
          <w:rFonts w:hint="eastAsia" w:ascii="仿宋" w:hAnsi="仿宋" w:eastAsia="仿宋" w:cs="仿宋"/>
          <w:color w:val="auto"/>
          <w:sz w:val="24"/>
          <w:szCs w:val="24"/>
        </w:rPr>
        <w:t>政府采购合同草案</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_Toc13159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66</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tabs>
          <w:tab w:val="right" w:leader="dot" w:pos="9214"/>
          <w:tab w:val="clear" w:pos="840"/>
          <w:tab w:val="clear" w:pos="9204"/>
        </w:tabs>
        <w:kinsoku/>
        <w:wordWrap/>
        <w:overflowPunct/>
        <w:topLinePunct w:val="0"/>
        <w:autoSpaceDE/>
        <w:autoSpaceDN/>
        <w:bidi w:val="0"/>
        <w:adjustRightInd/>
        <w:snapToGrid/>
        <w:spacing w:line="336" w:lineRule="auto"/>
        <w:textAlignment w:val="auto"/>
        <w:rPr>
          <w:rFonts w:hint="eastAsia" w:ascii="仿宋" w:hAnsi="仿宋" w:eastAsia="仿宋" w:cs="仿宋"/>
          <w:color w:val="auto"/>
          <w:sz w:val="24"/>
          <w:szCs w:val="24"/>
        </w:rPr>
      </w:pPr>
      <w:r>
        <w:rPr>
          <w:rFonts w:hint="eastAsia" w:ascii="仿宋" w:hAnsi="仿宋" w:eastAsia="仿宋" w:cs="仿宋"/>
          <w:bCs w:val="0"/>
          <w:color w:val="auto"/>
          <w:sz w:val="24"/>
          <w:szCs w:val="24"/>
        </w:rPr>
        <w:fldChar w:fldCharType="begin"/>
      </w:r>
      <w:r>
        <w:rPr>
          <w:rFonts w:hint="eastAsia" w:ascii="仿宋" w:hAnsi="仿宋" w:eastAsia="仿宋" w:cs="仿宋"/>
          <w:bCs w:val="0"/>
          <w:color w:val="auto"/>
          <w:sz w:val="24"/>
          <w:szCs w:val="24"/>
        </w:rPr>
        <w:instrText xml:space="preserve"> HYPERLINK \l _Toc2936 </w:instrText>
      </w:r>
      <w:r>
        <w:rPr>
          <w:rFonts w:hint="eastAsia" w:ascii="仿宋" w:hAnsi="仿宋" w:eastAsia="仿宋" w:cs="仿宋"/>
          <w:bCs w:val="0"/>
          <w:color w:val="auto"/>
          <w:sz w:val="24"/>
          <w:szCs w:val="24"/>
        </w:rPr>
        <w:fldChar w:fldCharType="separate"/>
      </w:r>
      <w:r>
        <w:rPr>
          <w:rFonts w:hint="eastAsia" w:ascii="仿宋" w:hAnsi="仿宋" w:eastAsia="仿宋" w:cs="仿宋"/>
          <w:i w:val="0"/>
          <w:color w:val="auto"/>
          <w:sz w:val="24"/>
          <w:szCs w:val="24"/>
        </w:rPr>
        <w:t xml:space="preserve">第7章 </w:t>
      </w:r>
      <w:r>
        <w:rPr>
          <w:rFonts w:hint="eastAsia" w:ascii="仿宋" w:hAnsi="仿宋" w:eastAsia="仿宋" w:cs="仿宋"/>
          <w:color w:val="auto"/>
          <w:sz w:val="24"/>
          <w:szCs w:val="24"/>
        </w:rPr>
        <w:t>工程量清单和工程量清单编制说明</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_Toc2936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93</w:t>
      </w:r>
      <w:r>
        <w:rPr>
          <w:rFonts w:hint="eastAsia" w:ascii="仿宋" w:hAnsi="仿宋" w:eastAsia="仿宋" w:cs="仿宋"/>
          <w:color w:val="auto"/>
          <w:sz w:val="24"/>
          <w:szCs w:val="24"/>
        </w:rPr>
        <w:fldChar w:fldCharType="end"/>
      </w:r>
      <w:r>
        <w:rPr>
          <w:rFonts w:hint="eastAsia" w:ascii="仿宋" w:hAnsi="仿宋" w:eastAsia="仿宋" w:cs="仿宋"/>
          <w:bCs w:val="0"/>
          <w:color w:val="auto"/>
          <w:sz w:val="24"/>
          <w:szCs w:val="24"/>
        </w:rPr>
        <w:fldChar w:fldCharType="end"/>
      </w:r>
    </w:p>
    <w:p>
      <w:pPr>
        <w:pStyle w:val="31"/>
        <w:keepNext w:val="0"/>
        <w:keepLines w:val="0"/>
        <w:pageBreakBefore w:val="0"/>
        <w:widowControl/>
        <w:kinsoku/>
        <w:wordWrap/>
        <w:overflowPunct/>
        <w:topLinePunct w:val="0"/>
        <w:autoSpaceDE/>
        <w:autoSpaceDN/>
        <w:bidi w:val="0"/>
        <w:adjustRightInd/>
        <w:snapToGrid/>
        <w:spacing w:line="336" w:lineRule="auto"/>
        <w:textAlignment w:val="auto"/>
        <w:rPr>
          <w:rFonts w:hint="eastAsia" w:ascii="仿宋" w:hAnsi="仿宋" w:eastAsia="仿宋" w:cs="仿宋"/>
          <w:b w:val="0"/>
          <w:bCs w:val="0"/>
          <w:color w:val="auto"/>
          <w:sz w:val="36"/>
          <w:szCs w:val="36"/>
        </w:rPr>
        <w:sectPr>
          <w:footerReference r:id="rId6" w:type="first"/>
          <w:footerReference r:id="rId5" w:type="default"/>
          <w:pgSz w:w="11906" w:h="16838"/>
          <w:pgMar w:top="1134" w:right="1274" w:bottom="1440" w:left="1418" w:header="851" w:footer="992" w:gutter="0"/>
          <w:pgNumType w:start="1"/>
          <w:cols w:space="720" w:num="1"/>
          <w:docGrid w:type="lines" w:linePitch="312" w:charSpace="0"/>
        </w:sectPr>
      </w:pPr>
      <w:r>
        <w:rPr>
          <w:rFonts w:hint="eastAsia" w:ascii="仿宋" w:hAnsi="仿宋" w:eastAsia="仿宋" w:cs="仿宋"/>
          <w:bCs w:val="0"/>
          <w:color w:val="auto"/>
          <w:sz w:val="24"/>
          <w:szCs w:val="24"/>
        </w:rPr>
        <w:fldChar w:fldCharType="end"/>
      </w:r>
    </w:p>
    <w:p>
      <w:pPr>
        <w:pStyle w:val="3"/>
        <w:numPr>
          <w:ilvl w:val="0"/>
          <w:numId w:val="1"/>
        </w:numPr>
        <w:spacing w:before="0" w:after="0"/>
        <w:ind w:left="0" w:firstLine="0"/>
        <w:rPr>
          <w:rFonts w:hint="eastAsia" w:ascii="仿宋" w:hAnsi="仿宋" w:eastAsia="仿宋" w:cs="仿宋"/>
          <w:color w:val="auto"/>
        </w:rPr>
      </w:pPr>
      <w:bookmarkStart w:id="0" w:name="_Toc72938425"/>
      <w:bookmarkStart w:id="1" w:name="_Toc161"/>
      <w:r>
        <w:rPr>
          <w:rFonts w:hint="eastAsia" w:ascii="仿宋" w:hAnsi="仿宋" w:eastAsia="仿宋" w:cs="仿宋"/>
          <w:color w:val="auto"/>
        </w:rPr>
        <w:t>竞争性磋商邀请</w:t>
      </w:r>
      <w:bookmarkEnd w:id="0"/>
      <w:bookmarkEnd w:id="1"/>
    </w:p>
    <w:p>
      <w:pPr>
        <w:spacing w:line="600" w:lineRule="exact"/>
        <w:ind w:right="-24" w:rightChars="-10" w:firstLine="565" w:firstLineChars="201"/>
        <w:rPr>
          <w:rFonts w:hint="eastAsia" w:ascii="仿宋" w:hAnsi="仿宋" w:eastAsia="仿宋" w:cs="仿宋"/>
          <w:color w:val="auto"/>
          <w:sz w:val="28"/>
          <w:szCs w:val="28"/>
        </w:rPr>
      </w:pPr>
      <w:r>
        <w:rPr>
          <w:rFonts w:hint="eastAsia" w:ascii="仿宋" w:hAnsi="仿宋" w:eastAsia="仿宋" w:cs="仿宋"/>
          <w:b/>
          <w:color w:val="auto"/>
          <w:sz w:val="28"/>
          <w:szCs w:val="28"/>
        </w:rPr>
        <w:t>成都东部新区党工委管委会（成都市东部新城办）综合部</w:t>
      </w:r>
      <w:r>
        <w:rPr>
          <w:rFonts w:hint="eastAsia" w:ascii="仿宋" w:hAnsi="仿宋" w:eastAsia="仿宋" w:cs="仿宋"/>
          <w:color w:val="auto"/>
          <w:sz w:val="28"/>
          <w:szCs w:val="28"/>
        </w:rPr>
        <w:t>(以下简称“</w:t>
      </w:r>
      <w:r>
        <w:rPr>
          <w:rFonts w:hint="eastAsia" w:ascii="仿宋" w:hAnsi="仿宋" w:eastAsia="仿宋" w:cs="仿宋"/>
          <w:b/>
          <w:bCs/>
          <w:color w:val="auto"/>
          <w:sz w:val="28"/>
          <w:szCs w:val="28"/>
          <w:lang w:eastAsia="zh-CN"/>
        </w:rPr>
        <w:t>东部新区综合部</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或</w:t>
      </w:r>
      <w:r>
        <w:rPr>
          <w:rFonts w:hint="eastAsia" w:ascii="仿宋" w:hAnsi="仿宋" w:eastAsia="仿宋" w:cs="仿宋"/>
          <w:b/>
          <w:bCs/>
          <w:color w:val="auto"/>
          <w:sz w:val="28"/>
          <w:szCs w:val="28"/>
          <w:lang w:eastAsia="zh-CN"/>
        </w:rPr>
        <w:t>“采购代理机构”</w:t>
      </w:r>
      <w:r>
        <w:rPr>
          <w:rFonts w:hint="eastAsia" w:ascii="仿宋" w:hAnsi="仿宋" w:eastAsia="仿宋" w:cs="仿宋"/>
          <w:color w:val="auto"/>
          <w:sz w:val="28"/>
          <w:szCs w:val="28"/>
        </w:rPr>
        <w:t>)受</w:t>
      </w:r>
      <w:r>
        <w:rPr>
          <w:rFonts w:hint="eastAsia" w:ascii="仿宋" w:hAnsi="仿宋" w:eastAsia="仿宋" w:cs="仿宋"/>
          <w:b/>
          <w:bCs/>
          <w:color w:val="auto"/>
          <w:sz w:val="28"/>
          <w:szCs w:val="28"/>
          <w:lang w:eastAsia="zh-CN"/>
        </w:rPr>
        <w:t>成都东部新区石盘街道办事处</w:t>
      </w:r>
      <w:r>
        <w:rPr>
          <w:rFonts w:hint="eastAsia" w:ascii="仿宋" w:hAnsi="仿宋" w:eastAsia="仿宋" w:cs="仿宋"/>
          <w:color w:val="auto"/>
          <w:sz w:val="28"/>
          <w:szCs w:val="28"/>
        </w:rPr>
        <w:t>委托,拟对</w:t>
      </w:r>
      <w:r>
        <w:rPr>
          <w:rFonts w:hint="eastAsia" w:ascii="仿宋" w:hAnsi="仿宋" w:eastAsia="仿宋" w:cs="仿宋"/>
          <w:b/>
          <w:color w:val="auto"/>
          <w:sz w:val="28"/>
          <w:szCs w:val="28"/>
          <w:lang w:eastAsia="zh-CN"/>
        </w:rPr>
        <w:t>成都东部新区石盘街道石盘小学家属院落改造工程项目</w:t>
      </w:r>
      <w:r>
        <w:rPr>
          <w:rFonts w:hint="eastAsia" w:ascii="仿宋" w:hAnsi="仿宋" w:eastAsia="仿宋" w:cs="仿宋"/>
          <w:color w:val="auto"/>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hint="eastAsia" w:ascii="仿宋" w:hAnsi="仿宋" w:eastAsia="仿宋" w:cs="仿宋"/>
          <w:color w:val="auto"/>
          <w:sz w:val="28"/>
          <w:szCs w:val="28"/>
        </w:rPr>
      </w:pPr>
      <w:r>
        <w:rPr>
          <w:rFonts w:hint="eastAsia" w:ascii="仿宋" w:hAnsi="仿宋" w:eastAsia="仿宋" w:cs="仿宋"/>
          <w:b/>
          <w:color w:val="auto"/>
          <w:sz w:val="28"/>
          <w:szCs w:val="28"/>
        </w:rPr>
        <w:t>项目编号</w:t>
      </w:r>
      <w:r>
        <w:rPr>
          <w:rFonts w:hint="eastAsia" w:ascii="仿宋" w:hAnsi="仿宋" w:eastAsia="仿宋" w:cs="仿宋"/>
          <w:color w:val="auto"/>
          <w:sz w:val="28"/>
          <w:szCs w:val="28"/>
        </w:rPr>
        <w:t>：</w:t>
      </w:r>
      <w:r>
        <w:rPr>
          <w:rFonts w:hint="eastAsia" w:ascii="仿宋" w:hAnsi="仿宋" w:eastAsia="仿宋" w:cs="仿宋"/>
          <w:b/>
          <w:color w:val="auto"/>
          <w:sz w:val="28"/>
          <w:szCs w:val="28"/>
          <w:lang w:eastAsia="zh-CN"/>
        </w:rPr>
        <w:t>东部新区政采（2021）A0051号</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项目名称</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成都东部新区石盘街道石盘小学家属院落改造工程项目</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资金来源、预算金额：</w:t>
      </w:r>
      <w:r>
        <w:rPr>
          <w:rFonts w:hint="eastAsia" w:ascii="仿宋" w:hAnsi="仿宋" w:eastAsia="仿宋" w:cs="仿宋"/>
          <w:color w:val="auto"/>
          <w:sz w:val="28"/>
          <w:szCs w:val="28"/>
        </w:rPr>
        <w:t>财政性资金，政府采购实施计划备案表号：</w:t>
      </w:r>
      <w:r>
        <w:rPr>
          <w:rFonts w:hint="eastAsia" w:ascii="仿宋" w:hAnsi="仿宋" w:eastAsia="仿宋" w:cs="仿宋"/>
          <w:b/>
          <w:bCs/>
          <w:color w:val="auto"/>
          <w:sz w:val="28"/>
          <w:szCs w:val="28"/>
        </w:rPr>
        <w:t>（2021）0</w:t>
      </w:r>
      <w:r>
        <w:rPr>
          <w:rFonts w:hint="eastAsia" w:ascii="仿宋" w:hAnsi="仿宋" w:eastAsia="仿宋" w:cs="仿宋"/>
          <w:b/>
          <w:bCs/>
          <w:color w:val="auto"/>
          <w:sz w:val="28"/>
          <w:szCs w:val="28"/>
          <w:lang w:val="en-US" w:eastAsia="zh-CN"/>
        </w:rPr>
        <w:t>787</w:t>
      </w:r>
      <w:r>
        <w:rPr>
          <w:rFonts w:hint="eastAsia" w:ascii="仿宋" w:hAnsi="仿宋" w:eastAsia="仿宋" w:cs="仿宋"/>
          <w:b/>
          <w:bCs/>
          <w:color w:val="auto"/>
          <w:sz w:val="28"/>
          <w:szCs w:val="28"/>
        </w:rPr>
        <w:t>号</w:t>
      </w:r>
      <w:r>
        <w:rPr>
          <w:rFonts w:hint="eastAsia" w:ascii="仿宋" w:hAnsi="仿宋" w:eastAsia="仿宋" w:cs="仿宋"/>
          <w:color w:val="auto"/>
          <w:sz w:val="28"/>
          <w:szCs w:val="28"/>
        </w:rPr>
        <w:t>；预算品目：</w:t>
      </w:r>
      <w:r>
        <w:rPr>
          <w:rFonts w:hint="eastAsia" w:ascii="仿宋" w:hAnsi="仿宋" w:eastAsia="仿宋" w:cs="仿宋"/>
          <w:b/>
          <w:bCs/>
          <w:color w:val="auto"/>
          <w:sz w:val="28"/>
          <w:szCs w:val="28"/>
        </w:rPr>
        <w:t>B</w:t>
      </w:r>
      <w:r>
        <w:rPr>
          <w:rFonts w:hint="eastAsia" w:ascii="仿宋" w:hAnsi="仿宋" w:eastAsia="仿宋" w:cs="仿宋"/>
          <w:b/>
          <w:bCs/>
          <w:color w:val="auto"/>
          <w:sz w:val="28"/>
          <w:szCs w:val="28"/>
          <w:lang w:val="en-US" w:eastAsia="zh-CN"/>
        </w:rPr>
        <w:t>08</w:t>
      </w:r>
      <w:r>
        <w:rPr>
          <w:rFonts w:hint="eastAsia" w:ascii="仿宋" w:hAnsi="仿宋" w:eastAsia="仿宋" w:cs="仿宋"/>
          <w:b/>
          <w:bCs/>
          <w:color w:val="auto"/>
          <w:sz w:val="28"/>
          <w:szCs w:val="28"/>
        </w:rPr>
        <w:t>99其他</w:t>
      </w:r>
      <w:r>
        <w:rPr>
          <w:rFonts w:hint="eastAsia" w:ascii="仿宋" w:hAnsi="仿宋" w:eastAsia="仿宋" w:cs="仿宋"/>
          <w:b/>
          <w:bCs/>
          <w:color w:val="auto"/>
          <w:sz w:val="28"/>
          <w:szCs w:val="28"/>
          <w:lang w:eastAsia="zh-CN"/>
        </w:rPr>
        <w:t>建筑物、构筑物修缮</w:t>
      </w:r>
      <w:r>
        <w:rPr>
          <w:rFonts w:hint="eastAsia" w:ascii="仿宋" w:hAnsi="仿宋" w:eastAsia="仿宋" w:cs="仿宋"/>
          <w:color w:val="auto"/>
          <w:sz w:val="28"/>
          <w:szCs w:val="28"/>
        </w:rPr>
        <w:t>；预算金额：</w:t>
      </w:r>
      <w:r>
        <w:rPr>
          <w:rFonts w:hint="eastAsia" w:ascii="仿宋" w:hAnsi="仿宋" w:eastAsia="仿宋" w:cs="仿宋"/>
          <w:b/>
          <w:bCs/>
          <w:color w:val="auto"/>
          <w:sz w:val="28"/>
          <w:szCs w:val="28"/>
          <w:u w:val="none"/>
          <w:lang w:val="en-US" w:eastAsia="zh-CN"/>
        </w:rPr>
        <w:t>1500000.00元</w:t>
      </w:r>
      <w:r>
        <w:rPr>
          <w:rFonts w:hint="eastAsia" w:ascii="仿宋" w:hAnsi="仿宋" w:eastAsia="仿宋" w:cs="仿宋"/>
          <w:b/>
          <w:bCs/>
          <w:color w:val="auto"/>
          <w:sz w:val="28"/>
          <w:szCs w:val="28"/>
          <w:u w:val="none"/>
        </w:rPr>
        <w:t>；</w:t>
      </w:r>
      <w:r>
        <w:rPr>
          <w:rFonts w:hint="eastAsia" w:ascii="仿宋" w:hAnsi="仿宋" w:eastAsia="仿宋" w:cs="仿宋"/>
          <w:color w:val="auto"/>
          <w:sz w:val="28"/>
          <w:szCs w:val="28"/>
        </w:rPr>
        <w:t>采购标的及所属行业：</w:t>
      </w:r>
      <w:r>
        <w:rPr>
          <w:rFonts w:hint="eastAsia" w:ascii="仿宋" w:hAnsi="仿宋" w:eastAsia="仿宋" w:cs="仿宋"/>
          <w:b/>
          <w:bCs/>
          <w:color w:val="auto"/>
          <w:sz w:val="28"/>
          <w:szCs w:val="28"/>
          <w:lang w:eastAsia="zh-CN"/>
        </w:rPr>
        <w:t>成都东部新区石盘街道石盘小学家属院落改造工程项目</w:t>
      </w:r>
      <w:r>
        <w:rPr>
          <w:rFonts w:hint="eastAsia" w:ascii="仿宋" w:hAnsi="仿宋" w:eastAsia="仿宋" w:cs="仿宋"/>
          <w:b/>
          <w:bCs/>
          <w:color w:val="auto"/>
          <w:sz w:val="28"/>
          <w:szCs w:val="28"/>
        </w:rPr>
        <w:t>，</w:t>
      </w:r>
      <w:r>
        <w:rPr>
          <w:rFonts w:hint="eastAsia" w:ascii="仿宋" w:hAnsi="仿宋" w:eastAsia="仿宋" w:cs="仿宋"/>
          <w:color w:val="auto"/>
          <w:sz w:val="28"/>
          <w:szCs w:val="28"/>
        </w:rPr>
        <w:t>所属行业为</w:t>
      </w:r>
      <w:r>
        <w:rPr>
          <w:rFonts w:hint="eastAsia" w:ascii="仿宋" w:hAnsi="仿宋" w:eastAsia="仿宋" w:cs="仿宋"/>
          <w:b/>
          <w:bCs/>
          <w:color w:val="auto"/>
          <w:sz w:val="28"/>
          <w:szCs w:val="28"/>
        </w:rPr>
        <w:t>建筑业</w:t>
      </w:r>
      <w:r>
        <w:rPr>
          <w:rFonts w:hint="eastAsia" w:ascii="仿宋" w:hAnsi="仿宋" w:eastAsia="仿宋" w:cs="仿宋"/>
          <w:color w:val="auto"/>
          <w:sz w:val="28"/>
          <w:szCs w:val="28"/>
        </w:rPr>
        <w:t>。采购</w:t>
      </w:r>
      <w:r>
        <w:rPr>
          <w:rFonts w:hint="eastAsia" w:ascii="仿宋" w:hAnsi="仿宋" w:eastAsia="仿宋" w:cs="仿宋"/>
          <w:color w:val="auto"/>
          <w:sz w:val="28"/>
          <w:szCs w:val="28"/>
          <w:lang w:eastAsia="zh-CN"/>
        </w:rPr>
        <w:t>成都东部新区石盘街道石盘小学家属院落改造工程项目</w:t>
      </w:r>
      <w:r>
        <w:rPr>
          <w:rFonts w:hint="eastAsia" w:ascii="仿宋" w:hAnsi="仿宋" w:eastAsia="仿宋" w:cs="仿宋"/>
          <w:color w:val="auto"/>
          <w:sz w:val="28"/>
          <w:szCs w:val="28"/>
        </w:rPr>
        <w:t>供应商一名。</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采购项目简介：</w:t>
      </w:r>
    </w:p>
    <w:p>
      <w:pPr>
        <w:widowControl/>
        <w:spacing w:after="0" w:line="600" w:lineRule="exact"/>
        <w:ind w:right="-24" w:rightChars="-10" w:firstLine="562" w:firstLineChars="201"/>
        <w:jc w:val="lef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本项目</w:t>
      </w:r>
      <w:r>
        <w:rPr>
          <w:rFonts w:hint="eastAsia" w:ascii="仿宋" w:hAnsi="仿宋" w:eastAsia="仿宋" w:cs="仿宋"/>
          <w:color w:val="auto"/>
          <w:kern w:val="0"/>
          <w:sz w:val="28"/>
          <w:szCs w:val="28"/>
        </w:rPr>
        <w:t>采购</w:t>
      </w:r>
      <w:r>
        <w:rPr>
          <w:rFonts w:hint="eastAsia" w:ascii="仿宋" w:hAnsi="仿宋" w:eastAsia="仿宋" w:cs="仿宋"/>
          <w:color w:val="auto"/>
          <w:kern w:val="0"/>
          <w:sz w:val="28"/>
          <w:szCs w:val="28"/>
          <w:lang w:eastAsia="zh-CN"/>
        </w:rPr>
        <w:t>成都东部新区石盘街道石盘小学家属院落改造工程项目</w:t>
      </w:r>
      <w:r>
        <w:rPr>
          <w:rFonts w:hint="eastAsia" w:ascii="仿宋" w:hAnsi="仿宋" w:eastAsia="仿宋" w:cs="仿宋"/>
          <w:color w:val="auto"/>
          <w:kern w:val="0"/>
          <w:sz w:val="28"/>
          <w:szCs w:val="28"/>
        </w:rPr>
        <w:t>供应商一名。</w:t>
      </w:r>
    </w:p>
    <w:p>
      <w:pPr>
        <w:numPr>
          <w:ilvl w:val="0"/>
          <w:numId w:val="2"/>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rPr>
        <w:t>定向采购情况：</w:t>
      </w:r>
      <w:r>
        <w:rPr>
          <w:rFonts w:hint="eastAsia" w:ascii="仿宋" w:hAnsi="仿宋" w:eastAsia="仿宋" w:cs="仿宋"/>
          <w:color w:val="auto"/>
          <w:sz w:val="28"/>
        </w:rPr>
        <w:t>本项目专门面向中小企业采购。</w:t>
      </w:r>
    </w:p>
    <w:p>
      <w:pPr>
        <w:numPr>
          <w:ilvl w:val="0"/>
          <w:numId w:val="2"/>
        </w:numPr>
        <w:tabs>
          <w:tab w:val="left" w:pos="5949"/>
        </w:tabs>
        <w:spacing w:line="600" w:lineRule="exact"/>
        <w:ind w:left="0" w:firstLine="567"/>
        <w:jc w:val="both"/>
        <w:rPr>
          <w:rFonts w:hint="eastAsia" w:ascii="仿宋" w:hAnsi="仿宋" w:eastAsia="仿宋" w:cs="仿宋"/>
          <w:color w:val="auto"/>
          <w:sz w:val="28"/>
        </w:rPr>
      </w:pPr>
      <w:r>
        <w:rPr>
          <w:rFonts w:hint="eastAsia" w:ascii="仿宋" w:hAnsi="仿宋" w:eastAsia="仿宋" w:cs="仿宋"/>
          <w:b/>
          <w:bCs/>
          <w:color w:val="auto"/>
          <w:sz w:val="28"/>
          <w:szCs w:val="28"/>
        </w:rPr>
        <w:t>邀请供应商：</w:t>
      </w:r>
      <w:r>
        <w:rPr>
          <w:rFonts w:hint="eastAsia" w:ascii="仿宋" w:hAnsi="仿宋" w:eastAsia="仿宋" w:cs="仿宋"/>
          <w:color w:val="auto"/>
          <w:sz w:val="28"/>
        </w:rPr>
        <w:t>本项目已实行资格预审，邀请通过资格预审随机抽签系统随机抽取选中的</w:t>
      </w:r>
      <w:r>
        <w:rPr>
          <w:rFonts w:hint="eastAsia" w:ascii="仿宋" w:hAnsi="仿宋" w:eastAsia="仿宋" w:cs="仿宋"/>
          <w:b/>
          <w:color w:val="auto"/>
          <w:sz w:val="28"/>
          <w:u w:val="single"/>
          <w:lang w:val="en-US" w:eastAsia="zh-CN"/>
        </w:rPr>
        <w:t>10家</w:t>
      </w:r>
      <w:r>
        <w:rPr>
          <w:rFonts w:hint="eastAsia" w:ascii="仿宋" w:hAnsi="仿宋" w:eastAsia="仿宋" w:cs="仿宋"/>
          <w:color w:val="auto"/>
          <w:sz w:val="28"/>
        </w:rPr>
        <w:t>进入磋商环节的供应商参加本项目的竞争性磋商。</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供应商参加本次政府采购活动应具备的条件</w:t>
      </w:r>
    </w:p>
    <w:p>
      <w:pPr>
        <w:spacing w:line="360" w:lineRule="auto"/>
        <w:ind w:firstLine="562" w:firstLineChars="200"/>
        <w:rPr>
          <w:rFonts w:hint="eastAsia" w:ascii="仿宋" w:hAnsi="仿宋" w:eastAsia="仿宋" w:cs="仿宋"/>
          <w:b/>
          <w:bCs/>
          <w:color w:val="auto"/>
          <w:sz w:val="28"/>
          <w:szCs w:val="28"/>
          <w:highlight w:val="none"/>
        </w:rPr>
      </w:pPr>
      <w:bookmarkStart w:id="2" w:name="_Toc24503_WPSOffice_Level2"/>
      <w:bookmarkStart w:id="3" w:name="_Toc9860_WPSOffice_Level2"/>
      <w:r>
        <w:rPr>
          <w:rFonts w:hint="eastAsia" w:ascii="仿宋" w:hAnsi="仿宋" w:eastAsia="仿宋" w:cs="仿宋"/>
          <w:b/>
          <w:bCs/>
          <w:color w:val="auto"/>
          <w:sz w:val="28"/>
          <w:szCs w:val="28"/>
          <w:highlight w:val="none"/>
        </w:rPr>
        <w:t>（一）资格要求：</w:t>
      </w:r>
      <w:bookmarkEnd w:id="2"/>
      <w:bookmarkEnd w:id="3"/>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1、具备《中华人民共和国政府采购法》第二十二条第一款规定的条件：</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（1）具有独立承担民事责任的能力；</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（2）具有良好的商业信誉和健全的财务会计制度；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（3）具有履行合同所必需的设备和专业技术能力；</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（4）有依法缴纳税收和社会保障资金的良好记录；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（5）参加政府采购活动前三年内，在经营活动中没有重大违法记录；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（6）法律、行政法规规定的其他条件。</w:t>
      </w:r>
    </w:p>
    <w:p>
      <w:pPr>
        <w:spacing w:line="360" w:lineRule="auto"/>
        <w:ind w:firstLine="562" w:firstLineChars="200"/>
        <w:rPr>
          <w:rFonts w:hint="eastAsia" w:ascii="仿宋" w:hAnsi="仿宋" w:eastAsia="仿宋" w:cs="仿宋"/>
          <w:b/>
          <w:bCs/>
          <w:color w:val="auto"/>
          <w:sz w:val="28"/>
          <w:szCs w:val="28"/>
          <w:highlight w:val="none"/>
        </w:rPr>
      </w:pPr>
      <w:bookmarkStart w:id="4" w:name="_Toc11574_WPSOffice_Level2"/>
      <w:bookmarkStart w:id="5" w:name="_Toc12093_WPSOffice_Level2"/>
      <w:r>
        <w:rPr>
          <w:rFonts w:hint="eastAsia" w:ascii="仿宋" w:hAnsi="仿宋" w:eastAsia="仿宋" w:cs="仿宋"/>
          <w:b/>
          <w:bCs/>
          <w:color w:val="auto"/>
          <w:sz w:val="28"/>
          <w:szCs w:val="28"/>
          <w:highlight w:val="none"/>
        </w:rPr>
        <w:t>（二）根据采购项目提出的特殊条件：</w:t>
      </w:r>
      <w:bookmarkEnd w:id="4"/>
      <w:bookmarkEnd w:id="5"/>
    </w:p>
    <w:p>
      <w:pPr>
        <w:spacing w:line="360" w:lineRule="auto"/>
        <w:ind w:firstLine="560" w:firstLineChars="200"/>
        <w:rPr>
          <w:rFonts w:hint="eastAsia" w:ascii="仿宋" w:hAnsi="仿宋" w:eastAsia="仿宋" w:cs="仿宋"/>
          <w:color w:val="auto"/>
          <w:sz w:val="28"/>
          <w:szCs w:val="28"/>
          <w:highlight w:val="yellow"/>
          <w:lang w:val="en-US"/>
        </w:rPr>
      </w:pPr>
      <w:bookmarkStart w:id="6" w:name="_Toc8836_WPSOffice_Level2"/>
      <w:bookmarkStart w:id="7" w:name="_Toc12366_WPSOffice_Level2"/>
      <w:r>
        <w:rPr>
          <w:rFonts w:hint="eastAsia" w:ascii="仿宋" w:hAnsi="仿宋" w:eastAsia="仿宋" w:cs="仿宋"/>
          <w:color w:val="auto"/>
          <w:sz w:val="28"/>
          <w:szCs w:val="28"/>
          <w:highlight w:val="yellow"/>
          <w:lang w:val="en-US" w:eastAsia="zh-CN"/>
        </w:rPr>
        <w:t>1、供应商具备行政主管部门颁发的建筑工程施工总承包叁级及以上资质或建筑装修装饰工程专业承包贰级及以上资质</w:t>
      </w:r>
      <w:r>
        <w:rPr>
          <w:rFonts w:hint="eastAsia" w:ascii="仿宋" w:hAnsi="仿宋" w:eastAsia="仿宋" w:cs="仿宋"/>
          <w:color w:val="auto"/>
          <w:sz w:val="28"/>
          <w:szCs w:val="28"/>
          <w:highlight w:val="yellow"/>
          <w:lang w:val="en-US"/>
        </w:rPr>
        <w:t>；</w:t>
      </w:r>
    </w:p>
    <w:p>
      <w:pPr>
        <w:spacing w:line="360" w:lineRule="auto"/>
        <w:ind w:firstLine="560" w:firstLineChars="200"/>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2、供应商具有有效的《安全生产许可证》</w:t>
      </w:r>
      <w:r>
        <w:rPr>
          <w:rFonts w:hint="eastAsia" w:ascii="仿宋" w:hAnsi="仿宋" w:eastAsia="仿宋" w:cs="仿宋"/>
          <w:color w:val="auto"/>
          <w:sz w:val="28"/>
          <w:szCs w:val="28"/>
          <w:highlight w:val="none"/>
          <w:lang w:val="en-US"/>
        </w:rPr>
        <w:t>；</w:t>
      </w:r>
    </w:p>
    <w:p>
      <w:pPr>
        <w:spacing w:line="360" w:lineRule="auto"/>
        <w:ind w:firstLine="560" w:firstLineChars="200"/>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3、企业注册地不在四川省行政区域内的省外企业须</w:t>
      </w:r>
      <w:r>
        <w:rPr>
          <w:rFonts w:hint="eastAsia" w:ascii="仿宋" w:hAnsi="仿宋" w:eastAsia="仿宋" w:cs="仿宋"/>
          <w:color w:val="auto"/>
          <w:sz w:val="28"/>
          <w:szCs w:val="28"/>
          <w:highlight w:val="none"/>
          <w:lang w:val="en-US"/>
        </w:rPr>
        <w:t>需提供有效的《四川省省外建筑企业入川承揽业务验证登记证》或带二维码的《四川省省外施工、监理企业入川承揽业务信息录入证》或带二维码的《四川省省外建筑企业入川电子登记表》；</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4、供应商及其现任法定代表人（非法人机构则为主要负责人）不得具有行贿犯罪记录；</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本项目不允许联合体参加</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eastAsia" w:ascii="仿宋" w:hAnsi="仿宋" w:eastAsia="仿宋" w:cs="仿宋"/>
          <w:color w:val="auto"/>
          <w:sz w:val="28"/>
          <w:szCs w:val="28"/>
          <w:highlight w:val="yellow"/>
          <w:lang w:val="en-US" w:eastAsia="zh-CN"/>
        </w:rPr>
      </w:pPr>
      <w:r>
        <w:rPr>
          <w:rFonts w:hint="eastAsia" w:ascii="仿宋" w:hAnsi="仿宋" w:eastAsia="仿宋" w:cs="仿宋"/>
          <w:color w:val="auto"/>
          <w:sz w:val="28"/>
          <w:szCs w:val="28"/>
          <w:highlight w:val="yellow"/>
          <w:lang w:val="en-US" w:eastAsia="zh-CN"/>
        </w:rPr>
        <w:t>6、项目经理具备建造师二级或以上建造师执业资格（建筑工程专业），具有有效的安全生产考核合格证（B证）；项目技术负责人具备建筑工程专业中级或以上职称；</w:t>
      </w:r>
    </w:p>
    <w:bookmarkEnd w:id="6"/>
    <w:bookmarkEnd w:id="7"/>
    <w:p>
      <w:pPr>
        <w:tabs>
          <w:tab w:val="left" w:pos="5949"/>
        </w:tabs>
        <w:spacing w:line="600" w:lineRule="exact"/>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rPr>
        <w:t>（三）落实政府采购政策所需的资格条件</w:t>
      </w:r>
      <w:r>
        <w:rPr>
          <w:rFonts w:hint="eastAsia" w:ascii="仿宋" w:hAnsi="仿宋" w:eastAsia="仿宋" w:cs="仿宋"/>
          <w:b/>
          <w:bCs/>
          <w:color w:val="auto"/>
          <w:sz w:val="28"/>
          <w:szCs w:val="28"/>
          <w:lang w:eastAsia="zh-CN"/>
        </w:rPr>
        <w:t>：</w:t>
      </w:r>
    </w:p>
    <w:p>
      <w:pPr>
        <w:tabs>
          <w:tab w:val="left" w:pos="5949"/>
        </w:tabs>
        <w:spacing w:line="600" w:lineRule="exact"/>
        <w:ind w:left="557" w:leftChars="232"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本项目专门面向中小企业采购，供应商应为中小微企业、监狱企业、残疾人福利性单位。</w:t>
      </w:r>
    </w:p>
    <w:p>
      <w:pPr>
        <w:tabs>
          <w:tab w:val="left" w:pos="5949"/>
        </w:tabs>
        <w:spacing w:line="600" w:lineRule="exact"/>
        <w:ind w:left="557" w:leftChars="232" w:firstLine="562" w:firstLineChars="200"/>
        <w:rPr>
          <w:rFonts w:hint="eastAsia" w:ascii="仿宋" w:hAnsi="仿宋" w:eastAsia="仿宋" w:cs="仿宋"/>
          <w:b/>
          <w:color w:val="auto"/>
          <w:sz w:val="28"/>
        </w:rPr>
      </w:pPr>
      <w:r>
        <w:rPr>
          <w:rFonts w:hint="eastAsia" w:ascii="仿宋" w:hAnsi="仿宋" w:eastAsia="仿宋" w:cs="仿宋"/>
          <w:b/>
          <w:color w:val="auto"/>
          <w:sz w:val="28"/>
        </w:rPr>
        <w:t>（本项目已进行资格预审，供应商资格条件无变化的不须提供资格性响应文件，资格预审合格的供应商在评审阶段资格发生变化的，应当通知</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"http://www.caigou2003.com/cgr/" \t "_blank" </w:instrText>
      </w:r>
      <w:r>
        <w:rPr>
          <w:rFonts w:hint="eastAsia" w:ascii="仿宋" w:hAnsi="仿宋" w:eastAsia="仿宋" w:cs="仿宋"/>
          <w:color w:val="auto"/>
        </w:rPr>
        <w:fldChar w:fldCharType="separate"/>
      </w:r>
      <w:r>
        <w:rPr>
          <w:rFonts w:hint="eastAsia" w:ascii="仿宋" w:hAnsi="仿宋" w:eastAsia="仿宋" w:cs="仿宋"/>
          <w:b/>
          <w:color w:val="auto"/>
          <w:sz w:val="28"/>
        </w:rPr>
        <w:t>采购人</w:t>
      </w:r>
      <w:r>
        <w:rPr>
          <w:rFonts w:hint="eastAsia" w:ascii="仿宋" w:hAnsi="仿宋" w:eastAsia="仿宋" w:cs="仿宋"/>
          <w:b/>
          <w:color w:val="auto"/>
          <w:sz w:val="28"/>
        </w:rPr>
        <w:fldChar w:fldCharType="end"/>
      </w:r>
      <w:r>
        <w:rPr>
          <w:rFonts w:hint="eastAsia" w:ascii="仿宋" w:hAnsi="仿宋" w:eastAsia="仿宋" w:cs="仿宋"/>
          <w:b/>
          <w:color w:val="auto"/>
          <w:sz w:val="28"/>
        </w:rPr>
        <w:t>和采购代理机构）</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采购项目技术、服务、商务和报价要求</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采购内容</w:t>
      </w:r>
    </w:p>
    <w:p>
      <w:pPr>
        <w:tabs>
          <w:tab w:val="left" w:pos="851"/>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工程量清单所示范围及内容。具体采购内容见磋商文件 “第7章工程量清单”。</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技术、服务要求</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见磋商文件 “第4章项目技术、服务、商务及其他要求”。</w:t>
      </w:r>
    </w:p>
    <w:p>
      <w:pPr>
        <w:numPr>
          <w:ilvl w:val="0"/>
          <w:numId w:val="3"/>
        </w:numPr>
        <w:tabs>
          <w:tab w:val="left" w:pos="851"/>
        </w:tabs>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报价要求</w:t>
      </w:r>
    </w:p>
    <w:p>
      <w:pPr>
        <w:spacing w:line="600" w:lineRule="exact"/>
        <w:ind w:firstLine="562" w:firstLineChars="201"/>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供应商按磋商文件要求进行报</w:t>
      </w:r>
      <w:r>
        <w:rPr>
          <w:rFonts w:hint="eastAsia" w:ascii="仿宋" w:hAnsi="仿宋" w:eastAsia="仿宋" w:cs="仿宋"/>
          <w:color w:val="auto"/>
          <w:sz w:val="28"/>
          <w:szCs w:val="28"/>
        </w:rPr>
        <w:t>价</w:t>
      </w:r>
      <w:r>
        <w:rPr>
          <w:rFonts w:hint="eastAsia" w:ascii="仿宋" w:hAnsi="仿宋" w:eastAsia="仿宋" w:cs="仿宋"/>
          <w:color w:val="auto"/>
          <w:sz w:val="28"/>
          <w:szCs w:val="28"/>
          <w:lang w:eastAsia="zh-CN"/>
        </w:rPr>
        <w:t>。</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磋商文件获取时间</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（一）磋商文件获取时间：2021年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日至</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27</w:t>
      </w:r>
      <w:r>
        <w:rPr>
          <w:rFonts w:hint="eastAsia" w:ascii="仿宋" w:hAnsi="仿宋" w:eastAsia="仿宋" w:cs="仿宋"/>
          <w:color w:val="auto"/>
          <w:sz w:val="28"/>
          <w:szCs w:val="28"/>
        </w:rPr>
        <w:t>日。</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（二）公告期限：2021年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日至</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27</w:t>
      </w:r>
      <w:r>
        <w:rPr>
          <w:rFonts w:hint="eastAsia" w:ascii="仿宋" w:hAnsi="仿宋" w:eastAsia="仿宋" w:cs="仿宋"/>
          <w:color w:val="auto"/>
          <w:sz w:val="28"/>
          <w:szCs w:val="28"/>
        </w:rPr>
        <w:t>日。</w:t>
      </w:r>
    </w:p>
    <w:p>
      <w:pPr>
        <w:numPr>
          <w:ilvl w:val="0"/>
          <w:numId w:val="2"/>
        </w:numPr>
        <w:spacing w:line="600" w:lineRule="exact"/>
        <w:ind w:left="0" w:firstLine="567"/>
        <w:jc w:val="both"/>
        <w:rPr>
          <w:rFonts w:hint="eastAsia" w:ascii="仿宋" w:hAnsi="仿宋" w:eastAsia="仿宋" w:cs="仿宋"/>
          <w:b/>
          <w:color w:val="auto"/>
          <w:sz w:val="28"/>
        </w:rPr>
      </w:pPr>
      <w:r>
        <w:rPr>
          <w:rFonts w:hint="eastAsia" w:ascii="仿宋" w:hAnsi="仿宋" w:eastAsia="仿宋" w:cs="仿宋"/>
          <w:b/>
          <w:color w:val="auto"/>
          <w:sz w:val="28"/>
          <w:szCs w:val="28"/>
        </w:rPr>
        <w:t>磋商</w:t>
      </w:r>
      <w:r>
        <w:rPr>
          <w:rFonts w:hint="eastAsia" w:ascii="仿宋" w:hAnsi="仿宋" w:eastAsia="仿宋" w:cs="仿宋"/>
          <w:b/>
          <w:color w:val="auto"/>
          <w:sz w:val="28"/>
        </w:rPr>
        <w:t>文件获取方式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提示：</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（1）本项目采购文件免费获取。</w:t>
      </w:r>
    </w:p>
    <w:p>
      <w:pPr>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磋商文件获取地点</w:t>
      </w:r>
      <w:r>
        <w:rPr>
          <w:rFonts w:hint="eastAsia" w:ascii="仿宋" w:hAnsi="仿宋" w:eastAsia="仿宋" w:cs="仿宋"/>
          <w:color w:val="auto"/>
          <w:sz w:val="28"/>
          <w:szCs w:val="28"/>
        </w:rPr>
        <w:t>：</w:t>
      </w:r>
      <w:r>
        <w:rPr>
          <w:rFonts w:hint="eastAsia" w:ascii="仿宋" w:hAnsi="仿宋" w:eastAsia="仿宋" w:cs="仿宋"/>
          <w:color w:val="auto"/>
          <w:sz w:val="28"/>
        </w:rPr>
        <w:t>登录成都市公共资源交易服务中心门户网站（https://www.cdggzy.com/）—用户中心—政府采购云平台获取。</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施工响应文件递交截止时间及开启时间（北京时间）、地点、方式</w:t>
      </w:r>
    </w:p>
    <w:p>
      <w:pPr>
        <w:pStyle w:val="82"/>
        <w:numPr>
          <w:ilvl w:val="0"/>
          <w:numId w:val="4"/>
        </w:numPr>
        <w:tabs>
          <w:tab w:val="left" w:pos="1418"/>
        </w:tabs>
        <w:spacing w:line="600" w:lineRule="exact"/>
        <w:ind w:left="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施工响应文件递交截止时间及开启时间：2021年</w:t>
      </w:r>
      <w:r>
        <w:rPr>
          <w:rFonts w:hint="eastAsia" w:ascii="仿宋" w:hAnsi="仿宋" w:eastAsia="仿宋" w:cs="仿宋"/>
          <w:b/>
          <w:color w:val="auto"/>
          <w:sz w:val="28"/>
          <w:szCs w:val="28"/>
          <w:u w:val="single"/>
          <w:lang w:val="en-US" w:eastAsia="zh-CN"/>
        </w:rPr>
        <w:t>12</w:t>
      </w:r>
      <w:r>
        <w:rPr>
          <w:rFonts w:hint="eastAsia" w:ascii="仿宋" w:hAnsi="仿宋" w:eastAsia="仿宋" w:cs="仿宋"/>
          <w:b/>
          <w:color w:val="auto"/>
          <w:sz w:val="28"/>
          <w:szCs w:val="28"/>
        </w:rPr>
        <w:t>月</w:t>
      </w:r>
      <w:r>
        <w:rPr>
          <w:rFonts w:hint="eastAsia" w:ascii="仿宋" w:hAnsi="仿宋" w:eastAsia="仿宋" w:cs="仿宋"/>
          <w:b/>
          <w:color w:val="auto"/>
          <w:sz w:val="28"/>
          <w:szCs w:val="28"/>
          <w:u w:val="single"/>
          <w:lang w:val="en-US" w:eastAsia="zh-CN"/>
        </w:rPr>
        <w:t>31</w:t>
      </w:r>
      <w:r>
        <w:rPr>
          <w:rFonts w:hint="eastAsia" w:ascii="仿宋" w:hAnsi="仿宋" w:eastAsia="仿宋" w:cs="仿宋"/>
          <w:b/>
          <w:color w:val="auto"/>
          <w:sz w:val="28"/>
          <w:szCs w:val="28"/>
        </w:rPr>
        <w:t>日上午</w:t>
      </w:r>
      <w:r>
        <w:rPr>
          <w:rFonts w:hint="eastAsia" w:ascii="仿宋" w:hAnsi="仿宋" w:eastAsia="仿宋" w:cs="仿宋"/>
          <w:b/>
          <w:color w:val="auto"/>
          <w:sz w:val="28"/>
          <w:szCs w:val="28"/>
          <w:lang w:val="en-US" w:eastAsia="zh-CN"/>
        </w:rPr>
        <w:t>09</w:t>
      </w:r>
      <w:r>
        <w:rPr>
          <w:rFonts w:hint="eastAsia" w:ascii="仿宋" w:hAnsi="仿宋" w:eastAsia="仿宋" w:cs="仿宋"/>
          <w:b/>
          <w:color w:val="auto"/>
          <w:sz w:val="28"/>
          <w:szCs w:val="28"/>
        </w:rPr>
        <w:t>:</w:t>
      </w: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0。</w:t>
      </w:r>
    </w:p>
    <w:p>
      <w:pPr>
        <w:pStyle w:val="82"/>
        <w:numPr>
          <w:ilvl w:val="0"/>
          <w:numId w:val="4"/>
        </w:numPr>
        <w:tabs>
          <w:tab w:val="left" w:pos="1418"/>
        </w:tabs>
        <w:spacing w:line="600" w:lineRule="exact"/>
        <w:ind w:left="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hint="eastAsia" w:ascii="仿宋" w:hAnsi="仿宋" w:eastAsia="仿宋" w:cs="仿宋"/>
          <w:b/>
          <w:color w:val="auto"/>
          <w:sz w:val="28"/>
          <w:szCs w:val="28"/>
        </w:rPr>
      </w:pPr>
      <w:r>
        <w:rPr>
          <w:rFonts w:hint="eastAsia" w:ascii="仿宋" w:hAnsi="仿宋" w:eastAsia="仿宋" w:cs="仿宋"/>
          <w:color w:val="auto"/>
          <w:sz w:val="28"/>
          <w:szCs w:val="28"/>
        </w:rPr>
        <w:t>本项目只接受供应商加密并递交至“政府采购云平台”的响应文件。</w:t>
      </w:r>
    </w:p>
    <w:p>
      <w:pPr>
        <w:numPr>
          <w:ilvl w:val="0"/>
          <w:numId w:val="2"/>
        </w:numPr>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b/>
          <w:color w:val="auto"/>
          <w:sz w:val="28"/>
          <w:szCs w:val="28"/>
        </w:rPr>
        <w:t>磋商地点</w:t>
      </w:r>
    </w:p>
    <w:p>
      <w:pPr>
        <w:snapToGrid w:val="0"/>
        <w:spacing w:line="6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本项目磋商为不见面开标。</w:t>
      </w:r>
    </w:p>
    <w:p>
      <w:pPr>
        <w:spacing w:line="360" w:lineRule="auto"/>
        <w:ind w:firstLine="582" w:firstLineChars="200"/>
        <w:rPr>
          <w:rFonts w:hint="eastAsia" w:ascii="仿宋" w:hAnsi="仿宋" w:eastAsia="仿宋" w:cs="仿宋"/>
          <w:b/>
          <w:color w:val="auto"/>
          <w:sz w:val="29"/>
          <w:szCs w:val="29"/>
        </w:rPr>
      </w:pPr>
      <w:r>
        <w:rPr>
          <w:rFonts w:hint="eastAsia" w:ascii="仿宋" w:hAnsi="仿宋" w:eastAsia="仿宋" w:cs="仿宋"/>
          <w:b/>
          <w:color w:val="auto"/>
          <w:sz w:val="29"/>
          <w:szCs w:val="29"/>
        </w:rPr>
        <w:t>磋商地点：政府采购云平台开标大厅。</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中小企业政府采购信用融资</w:t>
      </w:r>
    </w:p>
    <w:p>
      <w:pPr>
        <w:snapToGrid w:val="0"/>
        <w:spacing w:line="6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hint="eastAsia" w:ascii="仿宋" w:hAnsi="仿宋" w:eastAsia="仿宋" w:cs="仿宋"/>
          <w:b/>
          <w:color w:val="auto"/>
          <w:sz w:val="28"/>
          <w:szCs w:val="28"/>
        </w:rPr>
      </w:pPr>
      <w:r>
        <w:rPr>
          <w:rFonts w:hint="eastAsia" w:ascii="仿宋" w:hAnsi="仿宋" w:eastAsia="仿宋" w:cs="仿宋"/>
          <w:b/>
          <w:color w:val="auto"/>
          <w:sz w:val="28"/>
          <w:szCs w:val="28"/>
        </w:rPr>
        <w:t>联系人及联系电话</w:t>
      </w:r>
    </w:p>
    <w:p>
      <w:pPr>
        <w:spacing w:line="600" w:lineRule="exact"/>
        <w:ind w:firstLine="708" w:firstLineChars="252"/>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采购人：</w:t>
      </w:r>
      <w:r>
        <w:rPr>
          <w:rFonts w:hint="eastAsia" w:ascii="仿宋" w:hAnsi="仿宋" w:eastAsia="仿宋" w:cs="仿宋"/>
          <w:b/>
          <w:color w:val="auto"/>
          <w:sz w:val="28"/>
          <w:szCs w:val="28"/>
          <w:lang w:eastAsia="zh-CN"/>
        </w:rPr>
        <w:t>成都东部新区石盘街道办事处</w:t>
      </w:r>
    </w:p>
    <w:p>
      <w:pPr>
        <w:spacing w:line="600" w:lineRule="exact"/>
        <w:ind w:firstLine="705" w:firstLineChars="252"/>
        <w:rPr>
          <w:rFonts w:hint="eastAsia" w:ascii="仿宋" w:hAnsi="仿宋" w:eastAsia="仿宋" w:cs="仿宋"/>
          <w:color w:val="auto"/>
          <w:sz w:val="28"/>
          <w:szCs w:val="28"/>
        </w:rPr>
      </w:pPr>
      <w:bookmarkStart w:id="8" w:name="_Toc72938426"/>
      <w:bookmarkStart w:id="9" w:name="_Toc391885334"/>
      <w:bookmarkStart w:id="10" w:name="_Toc287623638"/>
      <w:bookmarkStart w:id="11" w:name="_Toc381263230"/>
      <w:r>
        <w:rPr>
          <w:rFonts w:hint="eastAsia" w:ascii="仿宋" w:hAnsi="仿宋" w:eastAsia="仿宋" w:cs="仿宋"/>
          <w:color w:val="auto"/>
          <w:sz w:val="28"/>
          <w:szCs w:val="28"/>
        </w:rPr>
        <w:t>地  址：</w:t>
      </w:r>
      <w:r>
        <w:rPr>
          <w:rFonts w:hint="eastAsia" w:ascii="仿宋" w:hAnsi="仿宋" w:eastAsia="仿宋" w:cs="仿宋"/>
          <w:b w:val="0"/>
          <w:bCs/>
          <w:color w:val="auto"/>
          <w:sz w:val="28"/>
          <w:szCs w:val="28"/>
          <w:lang w:eastAsia="zh-CN"/>
        </w:rPr>
        <w:t>成都东部新区石盘街道办事处金龙山庄南路375号</w:t>
      </w:r>
    </w:p>
    <w:p>
      <w:pPr>
        <w:spacing w:line="600" w:lineRule="exact"/>
        <w:ind w:firstLine="705" w:firstLineChars="252"/>
        <w:rPr>
          <w:rFonts w:hint="eastAsia" w:ascii="仿宋" w:hAnsi="仿宋" w:eastAsia="仿宋" w:cs="仿宋"/>
          <w:color w:val="auto"/>
          <w:sz w:val="28"/>
          <w:szCs w:val="28"/>
        </w:rPr>
      </w:pPr>
      <w:r>
        <w:rPr>
          <w:rFonts w:hint="eastAsia" w:ascii="仿宋" w:hAnsi="仿宋" w:eastAsia="仿宋" w:cs="仿宋"/>
          <w:color w:val="auto"/>
          <w:sz w:val="28"/>
          <w:szCs w:val="28"/>
        </w:rPr>
        <w:t>邮编：641400</w:t>
      </w:r>
    </w:p>
    <w:p>
      <w:pPr>
        <w:spacing w:line="600" w:lineRule="exact"/>
        <w:ind w:firstLine="705" w:firstLineChars="252"/>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联系人：</w:t>
      </w:r>
      <w:r>
        <w:rPr>
          <w:rFonts w:hint="eastAsia" w:ascii="仿宋" w:hAnsi="仿宋" w:eastAsia="仿宋" w:cs="仿宋"/>
          <w:color w:val="auto"/>
          <w:sz w:val="28"/>
          <w:szCs w:val="28"/>
          <w:lang w:eastAsia="zh-CN"/>
        </w:rPr>
        <w:t>谢诗明</w:t>
      </w:r>
    </w:p>
    <w:p>
      <w:pPr>
        <w:spacing w:line="600" w:lineRule="exact"/>
        <w:ind w:firstLine="705" w:firstLineChars="252"/>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联系电话</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18228292987</w:t>
      </w:r>
    </w:p>
    <w:p>
      <w:pPr>
        <w:pStyle w:val="2"/>
        <w:autoSpaceDE w:val="0"/>
        <w:autoSpaceDN w:val="0"/>
        <w:spacing w:line="360" w:lineRule="auto"/>
        <w:ind w:left="17" w:right="363"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采购代理机构：成都东部新区党工委</w:t>
      </w:r>
      <w:r>
        <w:rPr>
          <w:rFonts w:hint="eastAsia" w:ascii="仿宋" w:hAnsi="仿宋" w:eastAsia="仿宋" w:cs="仿宋"/>
          <w:b/>
          <w:bCs/>
          <w:color w:val="auto"/>
          <w:sz w:val="28"/>
          <w:szCs w:val="28"/>
        </w:rPr>
        <w:t>管委会</w:t>
      </w:r>
      <w:r>
        <w:rPr>
          <w:rFonts w:hint="eastAsia" w:ascii="仿宋" w:hAnsi="仿宋" w:eastAsia="仿宋" w:cs="仿宋"/>
          <w:b/>
          <w:color w:val="auto"/>
          <w:sz w:val="28"/>
          <w:szCs w:val="28"/>
        </w:rPr>
        <w:t>（成都市东部新城办）综合部</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地  址：成都东部新区三岔街道板桥村2组166号</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邮</w:t>
      </w:r>
      <w:r>
        <w:rPr>
          <w:rFonts w:hint="eastAsia" w:ascii="仿宋" w:hAnsi="仿宋" w:eastAsia="仿宋" w:cs="仿宋"/>
          <w:color w:val="auto"/>
          <w:sz w:val="28"/>
          <w:szCs w:val="28"/>
        </w:rPr>
        <w:tab/>
      </w:r>
      <w:r>
        <w:rPr>
          <w:rFonts w:hint="eastAsia" w:ascii="仿宋" w:hAnsi="仿宋" w:eastAsia="仿宋" w:cs="仿宋"/>
          <w:color w:val="auto"/>
          <w:sz w:val="28"/>
          <w:szCs w:val="28"/>
        </w:rPr>
        <w:t>编：641400</w:t>
      </w:r>
    </w:p>
    <w:p>
      <w:pPr>
        <w:pStyle w:val="2"/>
        <w:autoSpaceDE w:val="0"/>
        <w:autoSpaceDN w:val="0"/>
        <w:spacing w:line="360" w:lineRule="auto"/>
        <w:ind w:left="17" w:right="363"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联系人：</w:t>
      </w:r>
      <w:r>
        <w:rPr>
          <w:rFonts w:hint="eastAsia" w:ascii="仿宋" w:hAnsi="仿宋" w:eastAsia="仿宋" w:cs="仿宋"/>
          <w:color w:val="auto"/>
          <w:kern w:val="0"/>
          <w:sz w:val="28"/>
          <w:szCs w:val="28"/>
          <w:lang w:eastAsia="zh-CN"/>
        </w:rPr>
        <w:t>张诗卉</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w:t>
      </w:r>
      <w:r>
        <w:rPr>
          <w:rFonts w:hint="eastAsia" w:ascii="仿宋" w:hAnsi="仿宋" w:eastAsia="仿宋" w:cs="仿宋"/>
          <w:color w:val="auto"/>
          <w:kern w:val="0"/>
          <w:sz w:val="28"/>
          <w:szCs w:val="28"/>
        </w:rPr>
        <w:t>028-86360238</w:t>
      </w:r>
    </w:p>
    <w:p>
      <w:pPr>
        <w:pStyle w:val="2"/>
        <w:autoSpaceDE w:val="0"/>
        <w:autoSpaceDN w:val="0"/>
        <w:spacing w:line="360" w:lineRule="auto"/>
        <w:ind w:left="17" w:right="363"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政府采购监督机构：成都东部新区党工委管委会</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成都市财政局东部新城办</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 xml:space="preserve">财政金融局 </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地 址：成都东部新区三岔街道板桥村2组166号东部新区市民中心</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联系人：温</w:t>
      </w:r>
      <w:r>
        <w:rPr>
          <w:rFonts w:hint="eastAsia" w:ascii="仿宋" w:hAnsi="仿宋" w:eastAsia="仿宋" w:cs="仿宋"/>
          <w:color w:val="auto"/>
          <w:sz w:val="28"/>
        </w:rPr>
        <w:t>全</w:t>
      </w:r>
    </w:p>
    <w:p>
      <w:pPr>
        <w:pStyle w:val="2"/>
        <w:autoSpaceDE w:val="0"/>
        <w:autoSpaceDN w:val="0"/>
        <w:spacing w:line="360" w:lineRule="auto"/>
        <w:ind w:left="17" w:right="363"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联系电话：028-86360129</w:t>
      </w:r>
    </w:p>
    <w:p>
      <w:pPr>
        <w:pStyle w:val="63"/>
        <w:ind w:firstLine="281" w:firstLineChars="100"/>
        <w:rPr>
          <w:rFonts w:hint="eastAsia" w:ascii="仿宋" w:hAnsi="仿宋" w:eastAsia="仿宋" w:cs="仿宋"/>
          <w:color w:val="auto"/>
          <w:lang w:val="en-US" w:eastAsia="zh-CN"/>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r>
        <w:rPr>
          <w:rFonts w:hint="eastAsia" w:ascii="仿宋" w:hAnsi="仿宋" w:eastAsia="仿宋" w:cs="仿宋"/>
          <w:b/>
          <w:bCs/>
          <w:color w:val="auto"/>
          <w:sz w:val="28"/>
          <w:szCs w:val="28"/>
          <w:lang w:eastAsia="zh-CN"/>
        </w:rPr>
        <w:t>政采云技术支持号码：</w:t>
      </w:r>
      <w:r>
        <w:rPr>
          <w:rFonts w:hint="eastAsia" w:ascii="仿宋" w:hAnsi="仿宋" w:eastAsia="仿宋" w:cs="仿宋"/>
          <w:b/>
          <w:bCs/>
          <w:color w:val="auto"/>
          <w:sz w:val="28"/>
          <w:szCs w:val="28"/>
          <w:lang w:val="en-US" w:eastAsia="zh-CN"/>
        </w:rPr>
        <w:t>400-881-7190</w:t>
      </w:r>
    </w:p>
    <w:p>
      <w:pPr>
        <w:pStyle w:val="3"/>
        <w:numPr>
          <w:ilvl w:val="0"/>
          <w:numId w:val="1"/>
        </w:numPr>
        <w:spacing w:before="0" w:after="0"/>
        <w:ind w:left="0" w:firstLine="0"/>
        <w:rPr>
          <w:rFonts w:hint="eastAsia" w:ascii="仿宋" w:hAnsi="仿宋" w:eastAsia="仿宋" w:cs="仿宋"/>
          <w:color w:val="auto"/>
        </w:rPr>
      </w:pPr>
      <w:bookmarkStart w:id="12" w:name="_Toc6328"/>
      <w:r>
        <w:rPr>
          <w:rFonts w:hint="eastAsia" w:ascii="仿宋" w:hAnsi="仿宋" w:eastAsia="仿宋" w:cs="仿宋"/>
          <w:color w:val="auto"/>
        </w:rPr>
        <w:t>供应商须知</w:t>
      </w:r>
      <w:bookmarkEnd w:id="8"/>
      <w:bookmarkEnd w:id="9"/>
      <w:bookmarkEnd w:id="12"/>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620"/>
        <w:gridCol w:w="656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pStyle w:val="149"/>
              <w:spacing w:line="360" w:lineRule="auto"/>
              <w:ind w:left="38" w:hanging="38"/>
              <w:jc w:val="center"/>
              <w:rPr>
                <w:rFonts w:hint="eastAsia" w:ascii="仿宋" w:hAnsi="仿宋" w:eastAsia="仿宋" w:cs="仿宋"/>
                <w:b/>
                <w:color w:val="auto"/>
                <w:sz w:val="24"/>
                <w:szCs w:val="24"/>
              </w:rPr>
            </w:pPr>
            <w:bookmarkStart w:id="13" w:name="_Toc22480"/>
            <w:bookmarkStart w:id="14" w:name="_Toc72938427"/>
            <w:r>
              <w:rPr>
                <w:rFonts w:hint="eastAsia" w:ascii="仿宋" w:hAnsi="仿宋" w:eastAsia="仿宋" w:cs="仿宋"/>
                <w:b/>
                <w:color w:val="auto"/>
                <w:sz w:val="24"/>
                <w:szCs w:val="24"/>
                <w:lang w:val="zh-CN"/>
              </w:rPr>
              <w:t>序号</w:t>
            </w:r>
          </w:p>
        </w:tc>
        <w:tc>
          <w:tcPr>
            <w:tcW w:w="2620" w:type="dxa"/>
            <w:vAlign w:val="center"/>
          </w:tcPr>
          <w:p>
            <w:pPr>
              <w:pStyle w:val="149"/>
              <w:spacing w:line="360" w:lineRule="auto"/>
              <w:ind w:left="38" w:hanging="38"/>
              <w:jc w:val="center"/>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应知事项</w:t>
            </w:r>
          </w:p>
        </w:tc>
        <w:tc>
          <w:tcPr>
            <w:tcW w:w="6569" w:type="dxa"/>
            <w:vAlign w:val="center"/>
          </w:tcPr>
          <w:p>
            <w:pPr>
              <w:pStyle w:val="149"/>
              <w:spacing w:line="360" w:lineRule="auto"/>
              <w:jc w:val="center"/>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ind w:right="-329" w:rightChars="-137"/>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采购预算</w:t>
            </w:r>
          </w:p>
          <w:p>
            <w:pPr>
              <w:pStyle w:val="149"/>
              <w:spacing w:line="360" w:lineRule="auto"/>
              <w:jc w:val="center"/>
              <w:rPr>
                <w:rFonts w:hint="eastAsia" w:ascii="仿宋" w:hAnsi="仿宋" w:eastAsia="仿宋" w:cs="仿宋"/>
                <w:color w:val="auto"/>
                <w:sz w:val="24"/>
                <w:szCs w:val="24"/>
              </w:rPr>
            </w:pPr>
          </w:p>
        </w:tc>
        <w:tc>
          <w:tcPr>
            <w:tcW w:w="6569" w:type="dxa"/>
            <w:vAlign w:val="center"/>
          </w:tcPr>
          <w:p>
            <w:pPr>
              <w:spacing w:line="360" w:lineRule="auto"/>
              <w:ind w:right="210" w:firstLine="12" w:firstLineChars="5"/>
              <w:rPr>
                <w:rFonts w:hint="eastAsia" w:ascii="仿宋" w:hAnsi="仿宋" w:eastAsia="仿宋" w:cs="仿宋"/>
                <w:b/>
                <w:color w:val="auto"/>
                <w:sz w:val="24"/>
                <w:szCs w:val="24"/>
                <w:lang w:val="zh-CN" w:eastAsia="zh-CN"/>
              </w:rPr>
            </w:pPr>
            <w:r>
              <w:rPr>
                <w:rFonts w:hint="eastAsia" w:ascii="仿宋" w:hAnsi="仿宋" w:eastAsia="仿宋" w:cs="仿宋"/>
                <w:b/>
                <w:color w:val="auto"/>
                <w:sz w:val="24"/>
                <w:szCs w:val="24"/>
              </w:rPr>
              <w:t>人民币</w:t>
            </w:r>
            <w:r>
              <w:rPr>
                <w:rFonts w:hint="eastAsia" w:ascii="仿宋" w:hAnsi="仿宋" w:eastAsia="仿宋" w:cs="仿宋"/>
                <w:b/>
                <w:color w:val="auto"/>
                <w:sz w:val="24"/>
                <w:szCs w:val="24"/>
                <w:lang w:val="zh-CN"/>
              </w:rPr>
              <w:t>1500000</w:t>
            </w:r>
            <w:r>
              <w:rPr>
                <w:rFonts w:hint="eastAsia" w:ascii="仿宋" w:hAnsi="仿宋" w:eastAsia="仿宋" w:cs="仿宋"/>
                <w:b/>
                <w:color w:val="auto"/>
                <w:sz w:val="24"/>
                <w:szCs w:val="24"/>
                <w:lang w:val="en-US" w:eastAsia="zh-CN"/>
              </w:rPr>
              <w:t>.00</w:t>
            </w:r>
            <w:r>
              <w:rPr>
                <w:rFonts w:hint="eastAsia" w:ascii="仿宋" w:hAnsi="仿宋" w:eastAsia="仿宋" w:cs="仿宋"/>
                <w:b/>
                <w:color w:val="auto"/>
                <w:sz w:val="24"/>
                <w:szCs w:val="24"/>
                <w:lang w:val="zh-CN"/>
              </w:rPr>
              <w:t>元（大写：</w:t>
            </w:r>
            <w:r>
              <w:rPr>
                <w:rFonts w:hint="eastAsia" w:ascii="仿宋" w:hAnsi="仿宋" w:eastAsia="仿宋" w:cs="仿宋"/>
                <w:b/>
                <w:color w:val="auto"/>
                <w:sz w:val="24"/>
                <w:szCs w:val="24"/>
                <w:lang w:val="zh-CN" w:eastAsia="zh-CN"/>
              </w:rPr>
              <w:t>壹佰伍拾万元整</w:t>
            </w:r>
            <w:r>
              <w:rPr>
                <w:rFonts w:hint="eastAsia" w:ascii="仿宋" w:hAnsi="仿宋" w:eastAsia="仿宋" w:cs="仿宋"/>
                <w:b/>
                <w:color w:val="auto"/>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最高限价</w:t>
            </w:r>
          </w:p>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（实质性要求）</w:t>
            </w:r>
          </w:p>
        </w:tc>
        <w:tc>
          <w:tcPr>
            <w:tcW w:w="6569" w:type="dxa"/>
            <w:vAlign w:val="center"/>
          </w:tcPr>
          <w:p>
            <w:pPr>
              <w:pStyle w:val="149"/>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b/>
                <w:color w:val="auto"/>
                <w:kern w:val="2"/>
                <w:sz w:val="24"/>
                <w:szCs w:val="24"/>
              </w:rPr>
              <w:t>本项目最高限价（控制价）</w:t>
            </w:r>
            <w:r>
              <w:rPr>
                <w:rFonts w:hint="eastAsia" w:ascii="仿宋" w:hAnsi="仿宋" w:eastAsia="仿宋" w:cs="仿宋"/>
                <w:b/>
                <w:color w:val="auto"/>
                <w:kern w:val="2"/>
                <w:sz w:val="24"/>
                <w:szCs w:val="24"/>
                <w:lang w:eastAsia="zh-CN"/>
              </w:rPr>
              <w:t>：</w:t>
            </w:r>
            <w:r>
              <w:rPr>
                <w:rFonts w:hint="eastAsia" w:ascii="仿宋" w:hAnsi="仿宋" w:eastAsia="仿宋" w:cs="仿宋"/>
                <w:b/>
                <w:color w:val="auto"/>
                <w:sz w:val="24"/>
                <w:szCs w:val="24"/>
                <w:lang w:val="en-US" w:eastAsia="zh-CN"/>
              </w:rPr>
              <w:t>1406658.58</w:t>
            </w:r>
            <w:r>
              <w:rPr>
                <w:rFonts w:hint="eastAsia" w:ascii="仿宋" w:hAnsi="仿宋" w:eastAsia="仿宋" w:cs="仿宋"/>
                <w:b/>
                <w:color w:val="auto"/>
                <w:sz w:val="24"/>
                <w:szCs w:val="24"/>
                <w:lang w:val="zh-CN"/>
              </w:rPr>
              <w:t>元（大写：</w:t>
            </w:r>
            <w:r>
              <w:rPr>
                <w:rFonts w:hint="eastAsia" w:ascii="仿宋" w:hAnsi="仿宋" w:eastAsia="仿宋" w:cs="仿宋"/>
                <w:b/>
                <w:color w:val="auto"/>
                <w:sz w:val="24"/>
                <w:szCs w:val="24"/>
                <w:lang w:val="zh-CN" w:eastAsia="zh-CN"/>
              </w:rPr>
              <w:t>壹佰肆拾万零陆仟陆佰伍拾捌元伍角捌分</w:t>
            </w:r>
            <w:r>
              <w:rPr>
                <w:rFonts w:hint="eastAsia" w:ascii="仿宋" w:hAnsi="仿宋" w:eastAsia="仿宋" w:cs="仿宋"/>
                <w:b/>
                <w:color w:val="auto"/>
                <w:sz w:val="24"/>
                <w:szCs w:val="24"/>
                <w:lang w:val="zh-CN"/>
              </w:rPr>
              <w:t>）（其中暂列金为</w:t>
            </w:r>
            <w:r>
              <w:rPr>
                <w:rFonts w:hint="eastAsia" w:ascii="仿宋" w:hAnsi="仿宋" w:eastAsia="仿宋" w:cs="仿宋"/>
                <w:b/>
                <w:color w:val="auto"/>
                <w:sz w:val="24"/>
                <w:szCs w:val="24"/>
                <w:lang w:val="en-US" w:eastAsia="zh-CN"/>
              </w:rPr>
              <w:t>71058.22</w:t>
            </w:r>
            <w:r>
              <w:rPr>
                <w:rFonts w:hint="eastAsia" w:ascii="仿宋" w:hAnsi="仿宋" w:eastAsia="仿宋" w:cs="仿宋"/>
                <w:b/>
                <w:color w:val="auto"/>
                <w:sz w:val="24"/>
                <w:szCs w:val="24"/>
                <w:lang w:val="zh-CN"/>
              </w:rPr>
              <w:t>）</w:t>
            </w:r>
            <w:r>
              <w:rPr>
                <w:rFonts w:hint="eastAsia" w:ascii="仿宋" w:hAnsi="仿宋" w:eastAsia="仿宋" w:cs="仿宋"/>
                <w:b/>
                <w:color w:val="auto"/>
                <w:kern w:val="2"/>
                <w:sz w:val="24"/>
                <w:szCs w:val="24"/>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采购方式</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ind w:left="38"/>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本国工程（实质性要求）</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rPr>
              <w:t>资格预审合格的申请人在评审阶段（磋商）资格发生变化</w:t>
            </w:r>
          </w:p>
        </w:tc>
        <w:tc>
          <w:tcPr>
            <w:tcW w:w="6569" w:type="dxa"/>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kern w:val="2"/>
                <w:sz w:val="24"/>
                <w:szCs w:val="24"/>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定向采购</w:t>
            </w:r>
          </w:p>
        </w:tc>
        <w:tc>
          <w:tcPr>
            <w:tcW w:w="6569" w:type="dxa"/>
            <w:vAlign w:val="center"/>
          </w:tcPr>
          <w:p>
            <w:pPr>
              <w:adjustRightInd w:val="0"/>
              <w:spacing w:line="360" w:lineRule="auto"/>
              <w:ind w:right="36" w:rightChars="15"/>
              <w:rPr>
                <w:rFonts w:hint="eastAsia" w:ascii="仿宋" w:hAnsi="仿宋" w:eastAsia="仿宋" w:cs="仿宋"/>
                <w:color w:val="auto"/>
                <w:sz w:val="24"/>
                <w:szCs w:val="24"/>
              </w:rPr>
            </w:pPr>
            <w:r>
              <w:rPr>
                <w:rFonts w:hint="eastAsia" w:ascii="仿宋" w:hAnsi="仿宋" w:eastAsia="仿宋" w:cs="仿宋"/>
                <w:color w:val="auto"/>
                <w:sz w:val="24"/>
                <w:szCs w:val="24"/>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低于成本价不正当竞争预防措施（实质性要求）</w:t>
            </w:r>
          </w:p>
        </w:tc>
        <w:tc>
          <w:tcPr>
            <w:tcW w:w="6569" w:type="dxa"/>
            <w:vAlign w:val="center"/>
          </w:tcPr>
          <w:p>
            <w:pPr>
              <w:adjustRightInd w:val="0"/>
              <w:snapToGrid w:val="0"/>
              <w:spacing w:before="152" w:after="160"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2．供应商书面说明每页均应加盖供应商（法定名称）电子签章，否则无效。</w:t>
            </w:r>
          </w:p>
          <w:p>
            <w:pPr>
              <w:adjustRightInd w:val="0"/>
              <w:snapToGrid w:val="0"/>
              <w:spacing w:line="360" w:lineRule="auto"/>
              <w:ind w:firstLine="0" w:firstLineChars="0"/>
              <w:rPr>
                <w:rFonts w:hint="eastAsia" w:ascii="仿宋" w:hAnsi="仿宋" w:eastAsia="仿宋" w:cs="仿宋"/>
                <w:b/>
                <w:color w:val="auto"/>
                <w:sz w:val="24"/>
                <w:szCs w:val="24"/>
                <w:lang w:eastAsia="zh-CN"/>
              </w:rPr>
            </w:pPr>
            <w:r>
              <w:rPr>
                <w:rFonts w:hint="eastAsia" w:ascii="仿宋" w:hAnsi="仿宋" w:eastAsia="仿宋" w:cs="仿宋"/>
                <w:color w:val="auto"/>
                <w:sz w:val="24"/>
                <w:szCs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r>
              <w:rPr>
                <w:rFonts w:hint="eastAsia" w:ascii="仿宋" w:hAnsi="仿宋" w:eastAsia="仿宋" w:cs="仿宋"/>
                <w:color w:val="auto"/>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小微企业（监狱企业、残疾人福利性单位视同小微企业）价格扣除</w:t>
            </w:r>
          </w:p>
        </w:tc>
        <w:tc>
          <w:tcPr>
            <w:tcW w:w="6569" w:type="dxa"/>
            <w:vAlign w:val="center"/>
          </w:tcPr>
          <w:p>
            <w:pPr>
              <w:adjustRightInd w:val="0"/>
              <w:snapToGrid w:val="0"/>
              <w:spacing w:line="360" w:lineRule="auto"/>
              <w:ind w:firstLine="241" w:firstLineChars="100"/>
              <w:rPr>
                <w:rFonts w:hint="eastAsia" w:ascii="仿宋" w:hAnsi="仿宋" w:eastAsia="仿宋" w:cs="仿宋"/>
                <w:color w:val="auto"/>
                <w:sz w:val="24"/>
                <w:szCs w:val="24"/>
              </w:rPr>
            </w:pPr>
            <w:r>
              <w:rPr>
                <w:rFonts w:hint="eastAsia" w:ascii="仿宋" w:hAnsi="仿宋" w:eastAsia="仿宋" w:cs="仿宋"/>
                <w:b/>
                <w:color w:val="auto"/>
                <w:sz w:val="24"/>
                <w:szCs w:val="24"/>
              </w:rPr>
              <w:t>本项目专门面向中小企业，不进行</w:t>
            </w:r>
            <w:r>
              <w:rPr>
                <w:rFonts w:hint="eastAsia" w:ascii="仿宋" w:hAnsi="仿宋" w:eastAsia="仿宋" w:cs="仿宋"/>
                <w:b/>
                <w:color w:val="auto"/>
                <w:sz w:val="24"/>
                <w:szCs w:val="24"/>
                <w:lang w:val="en-US" w:eastAsia="zh-CN"/>
              </w:rPr>
              <w:t xml:space="preserve"> </w:t>
            </w:r>
            <w:r>
              <w:rPr>
                <w:rFonts w:hint="eastAsia" w:ascii="仿宋" w:hAnsi="仿宋" w:eastAsia="仿宋" w:cs="仿宋"/>
                <w:b/>
                <w:color w:val="auto"/>
                <w:sz w:val="24"/>
                <w:szCs w:val="24"/>
              </w:rPr>
              <w:t>价格扣除</w:t>
            </w:r>
            <w:r>
              <w:rPr>
                <w:rFonts w:hint="eastAsia" w:ascii="仿宋" w:hAnsi="仿宋" w:eastAsia="仿宋" w:cs="仿宋"/>
                <w:color w:val="auto"/>
                <w:sz w:val="24"/>
                <w:szCs w:val="24"/>
              </w:rPr>
              <w:t>。</w:t>
            </w:r>
          </w:p>
          <w:p>
            <w:pPr>
              <w:adjustRightInd w:val="0"/>
              <w:snapToGrid w:val="0"/>
              <w:spacing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二、失信企业报价加成</w:t>
            </w:r>
            <w:r>
              <w:rPr>
                <w:rFonts w:hint="eastAsia" w:ascii="仿宋" w:hAnsi="仿宋" w:eastAsia="仿宋" w:cs="仿宋"/>
                <w:color w:val="auto"/>
                <w:sz w:val="24"/>
                <w:szCs w:val="24"/>
                <w:lang w:val="zh-CN"/>
              </w:rPr>
              <w:t>（实质性要求）</w:t>
            </w:r>
          </w:p>
          <w:p>
            <w:pPr>
              <w:adjustRightInd w:val="0"/>
              <w:snapToGrid w:val="0"/>
              <w:spacing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pStyle w:val="63"/>
              <w:spacing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rPr>
              <w:t>2.供应商参加政府采购活动时，应当就自己的诚信情况在施工响应文件中进行承诺。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磋商保证金</w:t>
            </w:r>
          </w:p>
        </w:tc>
        <w:tc>
          <w:tcPr>
            <w:tcW w:w="6569"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履约保证金（实质性要求）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pStyle w:val="63"/>
              <w:rPr>
                <w:rFonts w:hint="eastAsia" w:ascii="仿宋" w:hAnsi="仿宋" w:eastAsia="仿宋" w:cs="仿宋"/>
                <w:color w:val="auto"/>
                <w:lang w:eastAsia="zh-CN"/>
              </w:rPr>
            </w:pPr>
            <w:r>
              <w:rPr>
                <w:rFonts w:hint="eastAsia" w:ascii="仿宋" w:hAnsi="仿宋" w:eastAsia="仿宋" w:cs="仿宋"/>
                <w:color w:val="auto"/>
                <w:lang w:eastAsia="zh-CN"/>
              </w:rPr>
              <w:t xml:space="preserve">本项目收取履约保证金，收取标准为成交金额的3%  </w:t>
            </w:r>
          </w:p>
          <w:p>
            <w:pPr>
              <w:pStyle w:val="63"/>
              <w:rPr>
                <w:rFonts w:hint="eastAsia" w:ascii="仿宋" w:hAnsi="仿宋" w:eastAsia="仿宋" w:cs="仿宋"/>
                <w:color w:val="auto"/>
                <w:sz w:val="24"/>
                <w:szCs w:val="20"/>
              </w:rPr>
            </w:pPr>
            <w:r>
              <w:rPr>
                <w:rFonts w:hint="eastAsia" w:ascii="仿宋" w:hAnsi="仿宋" w:eastAsia="仿宋" w:cs="仿宋"/>
                <w:color w:val="auto"/>
                <w:sz w:val="24"/>
                <w:szCs w:val="20"/>
              </w:rPr>
              <w:t>交付时间：成交供应商收到</w:t>
            </w:r>
            <w:r>
              <w:rPr>
                <w:rFonts w:hint="eastAsia" w:ascii="仿宋" w:hAnsi="仿宋" w:eastAsia="仿宋" w:cs="仿宋"/>
                <w:color w:val="auto"/>
                <w:sz w:val="24"/>
                <w:szCs w:val="20"/>
                <w:lang w:eastAsia="zh-CN"/>
              </w:rPr>
              <w:t>成交</w:t>
            </w:r>
            <w:r>
              <w:rPr>
                <w:rFonts w:hint="eastAsia" w:ascii="仿宋" w:hAnsi="仿宋" w:eastAsia="仿宋" w:cs="仿宋"/>
                <w:color w:val="auto"/>
                <w:sz w:val="24"/>
                <w:szCs w:val="20"/>
              </w:rPr>
              <w:t>通知书后，签订合同前。</w:t>
            </w:r>
          </w:p>
          <w:p>
            <w:pPr>
              <w:pStyle w:val="63"/>
              <w:rPr>
                <w:rFonts w:hint="eastAsia" w:ascii="仿宋" w:hAnsi="仿宋" w:eastAsia="仿宋" w:cs="仿宋"/>
                <w:color w:val="auto"/>
                <w:sz w:val="24"/>
                <w:szCs w:val="20"/>
              </w:rPr>
            </w:pPr>
            <w:r>
              <w:rPr>
                <w:rFonts w:hint="eastAsia" w:ascii="仿宋" w:hAnsi="仿宋" w:eastAsia="仿宋" w:cs="仿宋"/>
                <w:color w:val="auto"/>
                <w:sz w:val="24"/>
                <w:szCs w:val="20"/>
              </w:rPr>
              <w:t>交付方式：现金或保函担保，现金担保必须通过中选人的基本账户以银行转账方式缴纳。</w:t>
            </w:r>
          </w:p>
          <w:p>
            <w:pPr>
              <w:pStyle w:val="63"/>
              <w:rPr>
                <w:rFonts w:hint="eastAsia" w:ascii="仿宋" w:hAnsi="仿宋" w:eastAsia="仿宋" w:cs="仿宋"/>
                <w:b/>
                <w:color w:val="auto"/>
                <w:sz w:val="24"/>
                <w:szCs w:val="24"/>
                <w:lang w:val="zh-CN" w:eastAsia="zh-CN"/>
              </w:rPr>
            </w:pPr>
            <w:r>
              <w:rPr>
                <w:rFonts w:hint="eastAsia" w:ascii="仿宋" w:hAnsi="仿宋" w:eastAsia="仿宋" w:cs="仿宋"/>
                <w:color w:val="auto"/>
                <w:sz w:val="24"/>
                <w:szCs w:val="20"/>
              </w:rPr>
              <w:t>退还时间：履约完毕后七个工作日内。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施工响应文件的制作和签章、加密</w:t>
            </w:r>
            <w:r>
              <w:rPr>
                <w:rFonts w:hint="eastAsia" w:ascii="仿宋" w:hAnsi="仿宋" w:eastAsia="仿宋" w:cs="仿宋"/>
                <w:color w:val="auto"/>
                <w:sz w:val="24"/>
                <w:szCs w:val="24"/>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施工响应文件的递交</w:t>
            </w:r>
            <w:r>
              <w:rPr>
                <w:rFonts w:hint="eastAsia" w:ascii="仿宋" w:hAnsi="仿宋" w:eastAsia="仿宋" w:cs="仿宋"/>
                <w:color w:val="auto"/>
                <w:sz w:val="24"/>
                <w:szCs w:val="24"/>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详见供应商须知2.4.12</w:t>
            </w:r>
          </w:p>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施工响应文件的补充、修改和撤回</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b/>
                <w:color w:val="auto"/>
                <w:sz w:val="24"/>
                <w:szCs w:val="24"/>
              </w:rPr>
              <w:t>开标及开标程序</w:t>
            </w:r>
          </w:p>
        </w:tc>
        <w:tc>
          <w:tcPr>
            <w:tcW w:w="656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详见供应商须知2.5.1。</w:t>
            </w:r>
          </w:p>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对磋商文件中供应商参加本次政府采购活动应当具备的条件、项目技术、服务、商务及其他要求，评分细则及标准的询问、质疑</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对磋商文件中的其他内容、采购过程及成交结果的询问、质疑</w:t>
            </w:r>
          </w:p>
        </w:tc>
        <w:tc>
          <w:tcPr>
            <w:tcW w:w="6569"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center"/>
              <w:rPr>
                <w:rFonts w:hint="eastAsia" w:ascii="仿宋" w:hAnsi="仿宋" w:eastAsia="仿宋" w:cs="仿宋"/>
                <w:color w:val="auto"/>
                <w:sz w:val="24"/>
                <w:szCs w:val="24"/>
              </w:rPr>
            </w:pPr>
            <w:r>
              <w:rPr>
                <w:rFonts w:hint="eastAsia" w:ascii="仿宋" w:hAnsi="仿宋" w:eastAsia="仿宋" w:cs="仿宋"/>
                <w:color w:val="auto"/>
                <w:sz w:val="24"/>
                <w:szCs w:val="24"/>
              </w:rPr>
              <w:t>供应商投诉</w:t>
            </w:r>
          </w:p>
        </w:tc>
        <w:tc>
          <w:tcPr>
            <w:tcW w:w="6569" w:type="dxa"/>
            <w:tcBorders>
              <w:top w:val="single" w:color="auto" w:sz="8" w:space="0"/>
              <w:left w:val="single" w:color="auto" w:sz="8" w:space="0"/>
              <w:bottom w:val="single" w:color="auto" w:sz="8" w:space="0"/>
              <w:right w:val="single" w:color="auto" w:sz="18" w:space="0"/>
            </w:tcBorders>
            <w:vAlign w:val="center"/>
          </w:tcPr>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投诉受理单位：本项目同级财政部门，即成都东部新区党工委管委会(成都市东部新城办)财政金融局。</w:t>
            </w:r>
          </w:p>
          <w:p>
            <w:pPr>
              <w:pStyle w:val="149"/>
              <w:spacing w:line="360" w:lineRule="auto"/>
              <w:jc w:val="both"/>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联系电话：028-86360129。</w:t>
            </w:r>
          </w:p>
          <w:p>
            <w:pPr>
              <w:pStyle w:val="149"/>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施工响应文件有效期</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递交施工响应文件的截止之日起</w:t>
            </w:r>
            <w:r>
              <w:rPr>
                <w:rFonts w:hint="eastAsia" w:ascii="仿宋" w:hAnsi="仿宋" w:eastAsia="仿宋" w:cs="仿宋"/>
                <w:color w:val="auto"/>
                <w:sz w:val="24"/>
                <w:szCs w:val="24"/>
                <w:u w:val="single"/>
              </w:rPr>
              <w:t xml:space="preserve"> 120</w:t>
            </w:r>
            <w:r>
              <w:rPr>
                <w:rFonts w:hint="eastAsia" w:ascii="仿宋" w:hAnsi="仿宋" w:eastAsia="仿宋" w:cs="仿宋"/>
                <w:color w:val="auto"/>
                <w:sz w:val="24"/>
                <w:szCs w:val="24"/>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评审情况公告</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所有</w:t>
            </w:r>
            <w:r>
              <w:rPr>
                <w:rFonts w:hint="eastAsia" w:ascii="仿宋" w:hAnsi="仿宋" w:eastAsia="仿宋" w:cs="仿宋"/>
                <w:color w:val="auto"/>
                <w:sz w:val="24"/>
                <w:szCs w:val="24"/>
              </w:rPr>
              <w:t>供应商</w:t>
            </w:r>
            <w:r>
              <w:rPr>
                <w:rFonts w:hint="eastAsia" w:ascii="仿宋" w:hAnsi="仿宋" w:eastAsia="仿宋" w:cs="仿宋"/>
                <w:color w:val="auto"/>
                <w:sz w:val="24"/>
                <w:szCs w:val="24"/>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zh-CN"/>
              </w:rPr>
              <w:t>成交通知书领取</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合同签订地点</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jc w:val="center"/>
              <w:rPr>
                <w:rFonts w:hint="eastAsia" w:ascii="仿宋" w:hAnsi="仿宋" w:eastAsia="仿宋" w:cs="仿宋"/>
                <w:color w:val="auto"/>
                <w:sz w:val="24"/>
                <w:szCs w:val="24"/>
              </w:rPr>
            </w:pPr>
            <w:r>
              <w:rPr>
                <w:rFonts w:hint="eastAsia" w:ascii="仿宋" w:hAnsi="仿宋" w:eastAsia="仿宋" w:cs="仿宋"/>
                <w:color w:val="auto"/>
                <w:sz w:val="24"/>
                <w:szCs w:val="24"/>
              </w:rPr>
              <w:t>政府采购合同公告、备案</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eastAsia" w:ascii="仿宋" w:hAnsi="仿宋" w:eastAsia="仿宋" w:cs="仿宋"/>
                <w:color w:val="auto"/>
                <w:sz w:val="24"/>
                <w:szCs w:val="24"/>
              </w:rPr>
            </w:pPr>
            <w:r>
              <w:rPr>
                <w:rFonts w:hint="eastAsia" w:ascii="仿宋" w:hAnsi="仿宋" w:eastAsia="仿宋" w:cs="仿宋"/>
                <w:color w:val="auto"/>
                <w:sz w:val="24"/>
                <w:szCs w:val="24"/>
              </w:rPr>
              <w:t>政府采购合同签订之日起2个工作日内，采购人将在四川政府采购网公告政府采购合同；疫情防控期间，采购人原则上在5个工作日内与供应商签订政府采购合同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jc w:val="center"/>
              <w:rPr>
                <w:rFonts w:hint="eastAsia" w:ascii="仿宋" w:hAnsi="仿宋" w:eastAsia="仿宋" w:cs="仿宋"/>
                <w:b/>
                <w:color w:val="auto"/>
                <w:sz w:val="24"/>
                <w:szCs w:val="24"/>
              </w:rPr>
            </w:pPr>
            <w:r>
              <w:rPr>
                <w:rFonts w:hint="eastAsia" w:ascii="仿宋" w:hAnsi="仿宋" w:eastAsia="仿宋" w:cs="仿宋"/>
                <w:color w:val="auto"/>
                <w:sz w:val="24"/>
                <w:szCs w:val="24"/>
              </w:rPr>
              <w:t>政采信用担保融资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进口产品（如采购内容中涉及货物采购的）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hint="eastAsia" w:ascii="仿宋" w:hAnsi="仿宋" w:eastAsia="仿宋" w:cs="仿宋"/>
                <w:color w:val="auto"/>
                <w:sz w:val="24"/>
                <w:szCs w:val="24"/>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p>
            <w:pPr>
              <w:tabs>
                <w:tab w:val="left" w:pos="7665"/>
              </w:tabs>
              <w:snapToGrid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按照《中华人民共和国政府采购法实施条例》落实对不发达地区和少数民族地区的扶持政策，供应商应提供相关证明材料。</w:t>
            </w:r>
          </w:p>
        </w:tc>
      </w:tr>
    </w:tbl>
    <w:p>
      <w:pPr>
        <w:pStyle w:val="4"/>
        <w:ind w:left="851" w:hanging="851"/>
        <w:rPr>
          <w:rFonts w:hint="eastAsia" w:ascii="仿宋" w:hAnsi="仿宋" w:eastAsia="仿宋" w:cs="仿宋"/>
          <w:color w:val="auto"/>
        </w:rPr>
      </w:pPr>
      <w:r>
        <w:rPr>
          <w:rFonts w:hint="eastAsia" w:ascii="仿宋" w:hAnsi="仿宋" w:eastAsia="仿宋" w:cs="仿宋"/>
          <w:color w:val="auto"/>
        </w:rPr>
        <w:t>供应商须知前附表</w:t>
      </w:r>
      <w:bookmarkEnd w:id="13"/>
      <w:bookmarkEnd w:id="14"/>
    </w:p>
    <w:p>
      <w:pPr>
        <w:pStyle w:val="4"/>
        <w:spacing w:line="600" w:lineRule="exact"/>
        <w:rPr>
          <w:rFonts w:hint="eastAsia" w:ascii="仿宋" w:hAnsi="仿宋" w:eastAsia="仿宋" w:cs="仿宋"/>
          <w:color w:val="auto"/>
        </w:rPr>
      </w:pPr>
      <w:bookmarkStart w:id="15" w:name="_Toc494095619"/>
      <w:bookmarkEnd w:id="15"/>
      <w:bookmarkStart w:id="16" w:name="_Toc494356973"/>
      <w:bookmarkEnd w:id="16"/>
      <w:bookmarkStart w:id="17" w:name="_Toc72938428"/>
      <w:bookmarkStart w:id="18" w:name="_Toc9117"/>
      <w:r>
        <w:rPr>
          <w:rFonts w:hint="eastAsia" w:ascii="仿宋" w:hAnsi="仿宋" w:eastAsia="仿宋" w:cs="仿宋"/>
          <w:color w:val="auto"/>
        </w:rPr>
        <w:t>总则</w:t>
      </w:r>
      <w:bookmarkEnd w:id="17"/>
      <w:bookmarkEnd w:id="18"/>
    </w:p>
    <w:p>
      <w:pPr>
        <w:pStyle w:val="5"/>
        <w:spacing w:line="600" w:lineRule="exact"/>
        <w:rPr>
          <w:rFonts w:hint="eastAsia" w:ascii="仿宋" w:hAnsi="仿宋" w:eastAsia="仿宋" w:cs="仿宋"/>
          <w:color w:val="auto"/>
        </w:rPr>
      </w:pPr>
      <w:r>
        <w:rPr>
          <w:rFonts w:hint="eastAsia" w:ascii="仿宋" w:hAnsi="仿宋" w:eastAsia="仿宋" w:cs="仿宋"/>
          <w:color w:val="auto"/>
        </w:rPr>
        <w:t>适用范围</w:t>
      </w:r>
      <w:bookmarkEnd w:id="10"/>
      <w:bookmarkEnd w:id="11"/>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本磋商文件仅适用于本竞争性磋商邀请中所叙述项目的采购。</w:t>
      </w:r>
    </w:p>
    <w:p>
      <w:pPr>
        <w:widowControl w:val="0"/>
        <w:numPr>
          <w:ilvl w:val="0"/>
          <w:numId w:val="6"/>
        </w:numPr>
        <w:tabs>
          <w:tab w:val="left" w:pos="1134"/>
          <w:tab w:val="clear" w:pos="420"/>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rFonts w:hint="eastAsia" w:ascii="仿宋" w:hAnsi="仿宋" w:eastAsia="仿宋" w:cs="仿宋"/>
          <w:color w:val="auto"/>
        </w:rPr>
      </w:pPr>
      <w:bookmarkStart w:id="19" w:name="_Toc287623639"/>
      <w:r>
        <w:rPr>
          <w:rFonts w:hint="eastAsia" w:ascii="仿宋" w:hAnsi="仿宋" w:eastAsia="仿宋" w:cs="仿宋"/>
          <w:color w:val="auto"/>
        </w:rPr>
        <w:t>有关定义</w:t>
      </w:r>
      <w:bookmarkEnd w:id="19"/>
    </w:p>
    <w:p>
      <w:pPr>
        <w:widowControl w:val="0"/>
        <w:numPr>
          <w:ilvl w:val="0"/>
          <w:numId w:val="7"/>
        </w:numPr>
        <w:tabs>
          <w:tab w:val="left" w:pos="1134"/>
          <w:tab w:val="clear" w:pos="420"/>
        </w:tabs>
        <w:spacing w:line="60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“采购人”、“甲方”系指依法进行政府采购的成都东部新区机关、事业单位、团体组织。本次竞争性磋商项目的采购人是</w:t>
      </w:r>
      <w:r>
        <w:rPr>
          <w:rFonts w:hint="eastAsia" w:ascii="仿宋" w:hAnsi="仿宋" w:eastAsia="仿宋" w:cs="仿宋"/>
          <w:b/>
          <w:color w:val="auto"/>
          <w:sz w:val="28"/>
          <w:szCs w:val="28"/>
          <w:u w:val="single"/>
          <w:lang w:eastAsia="zh-CN"/>
        </w:rPr>
        <w:t>成都东部新区石盘街道办事处</w:t>
      </w:r>
      <w:r>
        <w:rPr>
          <w:rFonts w:hint="eastAsia" w:ascii="仿宋" w:hAnsi="仿宋" w:eastAsia="仿宋" w:cs="仿宋"/>
          <w:color w:val="auto"/>
          <w:sz w:val="28"/>
          <w:szCs w:val="28"/>
        </w:rPr>
        <w:t>。</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“供应商”系指拟参加竞争性磋商和向采购人提供工程、货物及服务的供应商。“乙方”系指本项目的成交供应商。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本磋商文件各部分规定的期间以时、日、月、年计算。期间开始的时和日，不计算在期间内，而从次日开始计算。期间届满的最后一天是节假日的，以节假日后的第一日为期间届满的日期。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磋商文件中所称的“以上”、“以下”、“内”、“以内”，包括本数；所称的“不足”，不包括本数。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hint="eastAsia" w:ascii="仿宋" w:hAnsi="仿宋" w:eastAsia="仿宋" w:cs="仿宋"/>
          <w:color w:val="auto"/>
          <w:sz w:val="28"/>
          <w:szCs w:val="28"/>
        </w:rPr>
      </w:pPr>
      <w:r>
        <w:rPr>
          <w:rFonts w:hint="eastAsia" w:ascii="仿宋" w:hAnsi="仿宋" w:eastAsia="仿宋" w:cs="仿宋"/>
          <w:color w:val="auto"/>
          <w:sz w:val="28"/>
          <w:szCs w:val="28"/>
        </w:rPr>
        <w:t>不见面开标是指，东部新区综合部依托政府采购云平台组织磋商活动，供应商在线参与磋商的一种组织形式。</w:t>
      </w:r>
    </w:p>
    <w:p>
      <w:pPr>
        <w:pStyle w:val="5"/>
        <w:spacing w:line="600" w:lineRule="exact"/>
        <w:rPr>
          <w:rFonts w:hint="eastAsia" w:ascii="仿宋" w:hAnsi="仿宋" w:eastAsia="仿宋" w:cs="仿宋"/>
          <w:color w:val="auto"/>
        </w:rPr>
      </w:pPr>
      <w:r>
        <w:rPr>
          <w:rFonts w:hint="eastAsia" w:ascii="仿宋" w:hAnsi="仿宋" w:eastAsia="仿宋" w:cs="仿宋"/>
          <w:color w:val="auto"/>
        </w:rPr>
        <w:t>合格的供应商</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color w:val="auto"/>
          <w:spacing w:val="-4"/>
          <w:sz w:val="28"/>
          <w:szCs w:val="28"/>
        </w:rPr>
      </w:pPr>
      <w:r>
        <w:rPr>
          <w:rFonts w:hint="eastAsia" w:ascii="仿宋" w:hAnsi="仿宋" w:eastAsia="仿宋" w:cs="仿宋"/>
          <w:color w:val="auto"/>
          <w:sz w:val="28"/>
          <w:szCs w:val="28"/>
        </w:rPr>
        <w:t>合格的供应商应具备以下条件：邀请参加磋商的供应商</w:t>
      </w:r>
      <w:r>
        <w:rPr>
          <w:rFonts w:hint="eastAsia" w:ascii="仿宋" w:hAnsi="仿宋" w:eastAsia="仿宋" w:cs="仿宋"/>
          <w:color w:val="auto"/>
          <w:spacing w:val="-4"/>
          <w:sz w:val="28"/>
          <w:szCs w:val="28"/>
        </w:rPr>
        <w:t>。</w:t>
      </w:r>
    </w:p>
    <w:p>
      <w:pPr>
        <w:pStyle w:val="5"/>
        <w:spacing w:line="600" w:lineRule="exact"/>
        <w:rPr>
          <w:rFonts w:hint="eastAsia" w:ascii="仿宋" w:hAnsi="仿宋" w:eastAsia="仿宋" w:cs="仿宋"/>
          <w:color w:val="auto"/>
        </w:rPr>
      </w:pPr>
      <w:bookmarkStart w:id="20" w:name="_Toc287623640"/>
      <w:bookmarkStart w:id="21" w:name="_Toc320698717"/>
      <w:r>
        <w:rPr>
          <w:rFonts w:hint="eastAsia" w:ascii="仿宋" w:hAnsi="仿宋" w:eastAsia="仿宋" w:cs="仿宋"/>
          <w:color w:val="auto"/>
        </w:rPr>
        <w:t>参加竞争性磋商的费用</w:t>
      </w:r>
      <w:bookmarkEnd w:id="20"/>
      <w:r>
        <w:rPr>
          <w:rFonts w:hint="eastAsia" w:ascii="仿宋" w:hAnsi="仿宋" w:eastAsia="仿宋" w:cs="仿宋"/>
          <w:color w:val="auto"/>
          <w:szCs w:val="21"/>
          <w:lang w:val="zh-CN"/>
        </w:rPr>
        <w:t>（实质性要求）</w:t>
      </w:r>
    </w:p>
    <w:p>
      <w:pPr>
        <w:tabs>
          <w:tab w:val="left" w:pos="7665"/>
        </w:tabs>
        <w:spacing w:line="600" w:lineRule="exact"/>
        <w:ind w:firstLine="567"/>
        <w:rPr>
          <w:rFonts w:hint="eastAsia" w:ascii="仿宋" w:hAnsi="仿宋" w:eastAsia="仿宋" w:cs="仿宋"/>
          <w:color w:val="auto"/>
          <w:sz w:val="28"/>
          <w:szCs w:val="28"/>
        </w:rPr>
      </w:pPr>
      <w:r>
        <w:rPr>
          <w:rFonts w:hint="eastAsia" w:ascii="仿宋" w:hAnsi="仿宋" w:eastAsia="仿宋" w:cs="仿宋"/>
          <w:color w:val="auto"/>
          <w:sz w:val="28"/>
          <w:szCs w:val="28"/>
        </w:rPr>
        <w:t>供应商应自行承担参加竞争性磋商采购活动的全部费用。</w:t>
      </w:r>
    </w:p>
    <w:p>
      <w:pPr>
        <w:pStyle w:val="5"/>
        <w:spacing w:line="600" w:lineRule="exact"/>
        <w:rPr>
          <w:rFonts w:hint="eastAsia" w:ascii="仿宋" w:hAnsi="仿宋" w:eastAsia="仿宋" w:cs="仿宋"/>
          <w:color w:val="auto"/>
        </w:rPr>
      </w:pPr>
      <w:r>
        <w:rPr>
          <w:rFonts w:hint="eastAsia" w:ascii="仿宋" w:hAnsi="仿宋" w:eastAsia="仿宋" w:cs="仿宋"/>
          <w:color w:val="auto"/>
        </w:rPr>
        <w:t>充分、公平竞争保障措施</w:t>
      </w:r>
      <w:r>
        <w:rPr>
          <w:rFonts w:hint="eastAsia" w:ascii="仿宋" w:hAnsi="仿宋" w:eastAsia="仿宋" w:cs="仿宋"/>
          <w:color w:val="auto"/>
          <w:szCs w:val="21"/>
          <w:lang w:val="zh-CN"/>
        </w:rPr>
        <w:t>（实质性要求）</w:t>
      </w:r>
    </w:p>
    <w:p>
      <w:pPr>
        <w:widowControl w:val="0"/>
        <w:numPr>
          <w:ilvl w:val="1"/>
          <w:numId w:val="8"/>
        </w:numPr>
        <w:tabs>
          <w:tab w:val="left" w:pos="1134"/>
        </w:tabs>
        <w:snapToGrid w:val="0"/>
        <w:spacing w:line="64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8"/>
        </w:numPr>
        <w:tabs>
          <w:tab w:val="left" w:pos="1134"/>
        </w:tabs>
        <w:snapToGrid w:val="0"/>
        <w:spacing w:line="64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hint="eastAsia" w:ascii="仿宋" w:hAnsi="仿宋" w:eastAsia="仿宋" w:cs="仿宋"/>
          <w:color w:val="auto"/>
        </w:rPr>
      </w:pPr>
      <w:bookmarkStart w:id="22" w:name="_Toc72938429"/>
      <w:bookmarkStart w:id="23" w:name="_Toc1892"/>
      <w:r>
        <w:rPr>
          <w:rFonts w:hint="eastAsia" w:ascii="仿宋" w:hAnsi="仿宋" w:eastAsia="仿宋" w:cs="仿宋"/>
          <w:color w:val="auto"/>
        </w:rPr>
        <w:t>磋商文件</w:t>
      </w:r>
      <w:bookmarkEnd w:id="22"/>
      <w:bookmarkEnd w:id="23"/>
    </w:p>
    <w:p>
      <w:pPr>
        <w:pStyle w:val="5"/>
        <w:spacing w:line="600" w:lineRule="exact"/>
        <w:rPr>
          <w:rFonts w:hint="eastAsia" w:ascii="仿宋" w:hAnsi="仿宋" w:eastAsia="仿宋" w:cs="仿宋"/>
          <w:color w:val="auto"/>
        </w:rPr>
      </w:pPr>
      <w:r>
        <w:rPr>
          <w:rFonts w:hint="eastAsia" w:ascii="仿宋" w:hAnsi="仿宋" w:eastAsia="仿宋" w:cs="仿宋"/>
          <w:color w:val="auto"/>
        </w:rPr>
        <w:t>磋商文件的构成</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（一）竞争性磋商邀请；</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（二）供应商须知；</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（三）施工响应文件格式；</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（四）技术、服务、商务及其他要求；</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（五）磋商办法；</w:t>
      </w:r>
    </w:p>
    <w:p>
      <w:pPr>
        <w:tabs>
          <w:tab w:val="left" w:pos="1134"/>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（六）政府采购合同草案；</w:t>
      </w:r>
    </w:p>
    <w:p>
      <w:pPr>
        <w:pStyle w:val="2"/>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（七）工程量清单。</w:t>
      </w:r>
    </w:p>
    <w:p>
      <w:pPr>
        <w:tabs>
          <w:tab w:val="left" w:pos="1134"/>
        </w:tabs>
        <w:spacing w:line="600" w:lineRule="exact"/>
        <w:ind w:firstLine="560" w:firstLineChars="200"/>
        <w:rPr>
          <w:rFonts w:hint="eastAsia" w:ascii="仿宋" w:hAnsi="仿宋" w:eastAsia="仿宋" w:cs="仿宋"/>
          <w:color w:val="auto"/>
        </w:rPr>
      </w:pPr>
      <w:r>
        <w:rPr>
          <w:rFonts w:hint="eastAsia" w:ascii="仿宋" w:hAnsi="仿宋" w:eastAsia="仿宋" w:cs="仿宋"/>
          <w:color w:val="auto"/>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21"/>
    </w:p>
    <w:p>
      <w:pPr>
        <w:pStyle w:val="5"/>
        <w:spacing w:line="600" w:lineRule="exact"/>
        <w:rPr>
          <w:rFonts w:hint="eastAsia" w:ascii="仿宋" w:hAnsi="仿宋" w:eastAsia="仿宋" w:cs="仿宋"/>
          <w:color w:val="auto"/>
        </w:rPr>
      </w:pPr>
      <w:bookmarkStart w:id="24" w:name="_Toc183682348"/>
      <w:bookmarkStart w:id="25" w:name="_Toc183582211"/>
      <w:bookmarkStart w:id="26" w:name="_Toc217446040"/>
      <w:r>
        <w:rPr>
          <w:rFonts w:hint="eastAsia" w:ascii="仿宋" w:hAnsi="仿宋" w:eastAsia="仿宋" w:cs="仿宋"/>
          <w:color w:val="auto"/>
        </w:rPr>
        <w:t>磋商文件的澄清</w:t>
      </w:r>
      <w:bookmarkEnd w:id="24"/>
      <w:bookmarkEnd w:id="25"/>
      <w:r>
        <w:rPr>
          <w:rFonts w:hint="eastAsia" w:ascii="仿宋" w:hAnsi="仿宋" w:eastAsia="仿宋" w:cs="仿宋"/>
          <w:color w:val="auto"/>
        </w:rPr>
        <w:t>和修改</w:t>
      </w:r>
      <w:bookmarkEnd w:id="26"/>
    </w:p>
    <w:p>
      <w:pPr>
        <w:widowControl w:val="0"/>
        <w:numPr>
          <w:ilvl w:val="0"/>
          <w:numId w:val="9"/>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在递交施工响应文件截止时间前，采购人或者东部新区综合部可以对已发出的磋商文件进行必要的澄清或者修改。</w:t>
      </w:r>
    </w:p>
    <w:p>
      <w:pPr>
        <w:widowControl w:val="0"/>
        <w:numPr>
          <w:ilvl w:val="0"/>
          <w:numId w:val="9"/>
        </w:numPr>
        <w:tabs>
          <w:tab w:val="left" w:pos="1134"/>
        </w:tabs>
        <w:spacing w:line="600" w:lineRule="exact"/>
        <w:ind w:left="0" w:firstLine="560"/>
        <w:jc w:val="both"/>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东部新区综合部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pPr>
        <w:widowControl w:val="0"/>
        <w:numPr>
          <w:ilvl w:val="0"/>
          <w:numId w:val="9"/>
        </w:numPr>
        <w:tabs>
          <w:tab w:val="left" w:pos="1134"/>
        </w:tabs>
        <w:spacing w:line="600" w:lineRule="exact"/>
        <w:ind w:left="0" w:firstLine="560"/>
        <w:jc w:val="both"/>
        <w:rPr>
          <w:rFonts w:hint="eastAsia" w:ascii="仿宋" w:hAnsi="仿宋" w:eastAsia="仿宋" w:cs="仿宋"/>
          <w:color w:val="auto"/>
          <w:sz w:val="28"/>
          <w:szCs w:val="28"/>
        </w:rPr>
      </w:pPr>
      <w:r>
        <w:rPr>
          <w:rFonts w:hint="eastAsia" w:ascii="仿宋" w:hAnsi="仿宋" w:eastAsia="仿宋" w:cs="仿宋"/>
          <w:color w:val="auto"/>
          <w:sz w:val="28"/>
          <w:szCs w:val="28"/>
        </w:rPr>
        <w:t>澄清或者修改的内容可能影响施工响应文件编制的，东部新区综合部应当在提交首次施工响应文件截止时间至少5日前，通过政府采购云平台或</w:t>
      </w:r>
      <w:r>
        <w:rPr>
          <w:rFonts w:hint="eastAsia" w:ascii="仿宋" w:hAnsi="仿宋" w:eastAsia="仿宋" w:cs="仿宋"/>
          <w:bCs/>
          <w:color w:val="auto"/>
          <w:sz w:val="28"/>
          <w:szCs w:val="28"/>
        </w:rPr>
        <w:t>以电子邮件方式</w:t>
      </w:r>
      <w:r>
        <w:rPr>
          <w:rFonts w:hint="eastAsia" w:ascii="仿宋" w:hAnsi="仿宋" w:eastAsia="仿宋" w:cs="仿宋"/>
          <w:color w:val="auto"/>
          <w:sz w:val="28"/>
          <w:szCs w:val="28"/>
        </w:rPr>
        <w:t>通知所有获取采购文件的潜在供应商；不足5日的，采购人或东部新区综合部应当顺延提交首次施工响应文件截止时间。</w:t>
      </w:r>
    </w:p>
    <w:p>
      <w:pPr>
        <w:pStyle w:val="4"/>
        <w:spacing w:line="600" w:lineRule="exact"/>
        <w:rPr>
          <w:rFonts w:hint="eastAsia" w:ascii="仿宋" w:hAnsi="仿宋" w:eastAsia="仿宋" w:cs="仿宋"/>
          <w:color w:val="auto"/>
        </w:rPr>
      </w:pPr>
      <w:bookmarkStart w:id="27" w:name="_Toc7989"/>
      <w:bookmarkStart w:id="28" w:name="_Toc320698720"/>
      <w:bookmarkStart w:id="29" w:name="_Toc72938430"/>
      <w:r>
        <w:rPr>
          <w:rFonts w:hint="eastAsia" w:ascii="仿宋" w:hAnsi="仿宋" w:eastAsia="仿宋" w:cs="仿宋"/>
          <w:color w:val="auto"/>
        </w:rPr>
        <w:t>施工响应文件</w:t>
      </w:r>
      <w:bookmarkEnd w:id="27"/>
      <w:bookmarkEnd w:id="28"/>
      <w:bookmarkEnd w:id="29"/>
    </w:p>
    <w:p>
      <w:pPr>
        <w:pStyle w:val="5"/>
        <w:spacing w:line="600" w:lineRule="exact"/>
        <w:rPr>
          <w:rFonts w:hint="eastAsia" w:ascii="仿宋" w:hAnsi="仿宋" w:eastAsia="仿宋" w:cs="仿宋"/>
          <w:color w:val="auto"/>
        </w:rPr>
      </w:pPr>
      <w:bookmarkStart w:id="30" w:name="_Toc320698721"/>
      <w:r>
        <w:rPr>
          <w:rFonts w:hint="eastAsia" w:ascii="仿宋" w:hAnsi="仿宋" w:eastAsia="仿宋" w:cs="仿宋"/>
          <w:color w:val="auto"/>
        </w:rPr>
        <w:t>施工响应文件的语言</w:t>
      </w:r>
      <w:bookmarkEnd w:id="30"/>
      <w:r>
        <w:rPr>
          <w:rFonts w:hint="eastAsia" w:ascii="仿宋" w:hAnsi="仿宋" w:eastAsia="仿宋" w:cs="仿宋"/>
          <w:color w:val="auto"/>
          <w:szCs w:val="21"/>
          <w:lang w:val="zh-CN"/>
        </w:rPr>
        <w:t>（实质性要求）</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仿宋" w:hAnsi="仿宋" w:eastAsia="仿宋" w:cs="仿宋"/>
          <w:color w:val="auto"/>
          <w:sz w:val="28"/>
        </w:rPr>
        <w:t>法定代表人</w:t>
      </w:r>
      <w:r>
        <w:rPr>
          <w:rFonts w:hint="eastAsia" w:ascii="仿宋" w:hAnsi="仿宋" w:eastAsia="仿宋" w:cs="仿宋"/>
          <w:color w:val="auto"/>
          <w:sz w:val="28"/>
          <w:szCs w:val="28"/>
        </w:rPr>
        <w:t>为外籍人士的，则</w:t>
      </w:r>
      <w:r>
        <w:rPr>
          <w:rFonts w:hint="eastAsia" w:ascii="仿宋" w:hAnsi="仿宋" w:eastAsia="仿宋" w:cs="仿宋"/>
          <w:color w:val="auto"/>
          <w:sz w:val="28"/>
        </w:rPr>
        <w:t>法定代表人</w:t>
      </w:r>
      <w:r>
        <w:rPr>
          <w:rFonts w:hint="eastAsia" w:ascii="仿宋" w:hAnsi="仿宋" w:eastAsia="仿宋" w:cs="仿宋"/>
          <w:color w:val="auto"/>
          <w:sz w:val="28"/>
          <w:szCs w:val="28"/>
        </w:rPr>
        <w:t>的签字和护照除外）。</w:t>
      </w:r>
    </w:p>
    <w:p>
      <w:pPr>
        <w:widowControl w:val="0"/>
        <w:numPr>
          <w:ilvl w:val="0"/>
          <w:numId w:val="10"/>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rFonts w:hint="eastAsia" w:ascii="仿宋" w:hAnsi="仿宋" w:eastAsia="仿宋" w:cs="仿宋"/>
          <w:color w:val="auto"/>
        </w:rPr>
      </w:pPr>
      <w:r>
        <w:rPr>
          <w:rFonts w:hint="eastAsia" w:ascii="仿宋" w:hAnsi="仿宋" w:eastAsia="仿宋" w:cs="仿宋"/>
          <w:color w:val="auto"/>
        </w:rPr>
        <w:t>计量单位</w:t>
      </w:r>
      <w:r>
        <w:rPr>
          <w:rFonts w:hint="eastAsia" w:ascii="仿宋" w:hAnsi="仿宋" w:eastAsia="仿宋" w:cs="仿宋"/>
          <w:color w:val="auto"/>
          <w:szCs w:val="21"/>
          <w:lang w:val="zh-CN"/>
        </w:rPr>
        <w:t>（实质性要求）</w:t>
      </w:r>
    </w:p>
    <w:p>
      <w:pPr>
        <w:tabs>
          <w:tab w:val="left" w:pos="1200"/>
        </w:tabs>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除磋商文件中另有规定外，本次采购项目所有合同项下的响应均采用国家法定的计量单位。</w:t>
      </w:r>
    </w:p>
    <w:p>
      <w:pPr>
        <w:pStyle w:val="5"/>
        <w:spacing w:line="600" w:lineRule="exact"/>
        <w:rPr>
          <w:rFonts w:hint="eastAsia" w:ascii="仿宋" w:hAnsi="仿宋" w:eastAsia="仿宋" w:cs="仿宋"/>
          <w:color w:val="auto"/>
        </w:rPr>
      </w:pPr>
      <w:bookmarkStart w:id="31" w:name="_Toc320698722"/>
      <w:r>
        <w:rPr>
          <w:rFonts w:hint="eastAsia" w:ascii="仿宋" w:hAnsi="仿宋" w:eastAsia="仿宋" w:cs="仿宋"/>
          <w:color w:val="auto"/>
        </w:rPr>
        <w:t>报价货币及报价要求</w:t>
      </w:r>
      <w:bookmarkEnd w:id="31"/>
      <w:r>
        <w:rPr>
          <w:rFonts w:hint="eastAsia" w:ascii="仿宋" w:hAnsi="仿宋" w:eastAsia="仿宋" w:cs="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bookmarkStart w:id="32" w:name="_Toc320698723"/>
      <w:r>
        <w:rPr>
          <w:rFonts w:hint="eastAsia" w:ascii="仿宋" w:hAnsi="仿宋" w:eastAsia="仿宋" w:cs="仿宋"/>
          <w:color w:val="auto"/>
          <w:sz w:val="28"/>
          <w:szCs w:val="28"/>
        </w:rPr>
        <w:t>供应商应认真核实本项目的工程量清单。工程量清单以电子版为准。</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报价一律以人民币币种报价。采购人不接受任何非人民币币种的报价。</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供应商的报价是其响应本项目要求的全部工作内容的价格体现，包括供应商完成本项目所需的一切费用。</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本项目合同价格形式为固定单价合同。</w:t>
      </w:r>
    </w:p>
    <w:p>
      <w:pPr>
        <w:widowControl w:val="0"/>
        <w:numPr>
          <w:ilvl w:val="0"/>
          <w:numId w:val="11"/>
        </w:numPr>
        <w:tabs>
          <w:tab w:val="left" w:pos="1134"/>
        </w:tabs>
        <w:spacing w:line="600" w:lineRule="exact"/>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本项目采用工程量清单报价，为固定单价合同。</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
          <w:bCs/>
          <w:color w:val="auto"/>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仿宋" w:hAnsi="仿宋" w:eastAsia="仿宋" w:cs="仿宋"/>
          <w:bCs/>
          <w:color w:val="auto"/>
          <w:sz w:val="28"/>
          <w:szCs w:val="28"/>
        </w:rPr>
        <w:t>。除此之外，造价人员无需在施工响应文件其他任何地方签字或盖执业印章。</w:t>
      </w:r>
      <w:r>
        <w:rPr>
          <w:rFonts w:hint="eastAsia" w:ascii="仿宋" w:hAnsi="仿宋" w:eastAsia="仿宋" w:cs="仿宋"/>
          <w:b/>
          <w:bCs/>
          <w:color w:val="auto"/>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仿宋" w:hAnsi="仿宋" w:eastAsia="仿宋" w:cs="仿宋"/>
          <w:bCs/>
          <w:color w:val="auto"/>
          <w:sz w:val="28"/>
          <w:szCs w:val="28"/>
        </w:rPr>
        <w:t>。</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供应商最后报价超过政府采购预算或最高限价(控制价)（金额详见“供应商须知附表”）的, 其施工响应文件按无效处理。</w:t>
      </w:r>
    </w:p>
    <w:p>
      <w:pPr>
        <w:widowControl w:val="0"/>
        <w:numPr>
          <w:ilvl w:val="0"/>
          <w:numId w:val="12"/>
        </w:numPr>
        <w:tabs>
          <w:tab w:val="left" w:pos="1134"/>
        </w:tabs>
        <w:spacing w:line="360" w:lineRule="auto"/>
        <w:ind w:left="0" w:firstLine="567"/>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供应商未按采购文件工程量清单总说明规定或其持有的《四川省施工企业工程规费计取标准》证书中的规费标准(采购文件工程量清单总说明无规定时)计取规费的；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采购文件明确了安全文明施工费金额或费率并要求按此金额或费率填报而供应商填报错误或未填报的；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已标价工程量清单中暂列金额未按采购文件工程量清单中列明的金额填报的；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已标价工程量清单中材料、工程设备暂估价未按采购文件工程量清单中列出的单价计入综合单价的；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已标价工程量清单中专业工程暂估价未按采购文件工程量清单中列明的金额填写的；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已标价工程量清单中计日工未按采购文件工程量清单中列明的数量进行报价的；</w:t>
      </w:r>
    </w:p>
    <w:p>
      <w:pPr>
        <w:widowControl w:val="0"/>
        <w:numPr>
          <w:ilvl w:val="0"/>
          <w:numId w:val="13"/>
        </w:numPr>
        <w:tabs>
          <w:tab w:val="left" w:pos="1418"/>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当已标价工程量清单中的任何单价、合价或总价，出现两个及以上金额的。</w:t>
      </w:r>
    </w:p>
    <w:p>
      <w:pPr>
        <w:widowControl w:val="0"/>
        <w:numPr>
          <w:ilvl w:val="0"/>
          <w:numId w:val="12"/>
        </w:numPr>
        <w:tabs>
          <w:tab w:val="left" w:pos="1134"/>
        </w:tabs>
        <w:spacing w:line="360" w:lineRule="auto"/>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若供应商的最后报价只有一个总价，且相对首次报价有调整（上调取“+”，下调取“-”），则该调整金额将会以百分比（A）形式套用于首次报价中除暂列金额、专业暂估价以及包干费用以外的各项目单价，调整后的单价（B）作为工程变更及竣工结算的依据。百分比（A）计算如下（保留两位小数）：</w:t>
      </w:r>
    </w:p>
    <w:p>
      <w:pPr>
        <w:spacing w:line="240" w:lineRule="atLeast"/>
        <w:ind w:firstLine="546" w:firstLineChars="195"/>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             </w:t>
      </w:r>
      <w:r>
        <w:rPr>
          <w:rFonts w:hint="eastAsia" w:ascii="仿宋" w:hAnsi="仿宋" w:eastAsia="仿宋" w:cs="仿宋"/>
          <w:bCs/>
          <w:color w:val="auto"/>
          <w:sz w:val="28"/>
          <w:szCs w:val="28"/>
        </w:rPr>
        <w:tab/>
      </w:r>
      <w:r>
        <w:rPr>
          <w:rFonts w:hint="eastAsia" w:ascii="仿宋" w:hAnsi="仿宋" w:eastAsia="仿宋" w:cs="仿宋"/>
          <w:b/>
          <w:bCs/>
          <w:color w:val="auto"/>
          <w:kern w:val="2"/>
          <w:sz w:val="28"/>
          <w:szCs w:val="28"/>
          <w:lang w:val="zh-CN" w:eastAsia="zh-CN" w:bidi="ar-SA"/>
        </w:rPr>
        <w:t>（</w:t>
      </w:r>
      <w:r>
        <w:rPr>
          <w:rFonts w:hint="eastAsia" w:ascii="仿宋" w:hAnsi="仿宋" w:eastAsia="仿宋" w:cs="仿宋"/>
          <w:bCs/>
          <w:color w:val="auto"/>
          <w:sz w:val="28"/>
          <w:szCs w:val="28"/>
        </w:rPr>
        <w:t>±）调整金额</w:t>
      </w:r>
    </w:p>
    <w:p>
      <w:pPr>
        <w:spacing w:line="240" w:lineRule="atLeast"/>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百分比（A）= </w:t>
      </w:r>
      <w:r>
        <w:rPr>
          <w:rFonts w:hint="eastAsia" w:ascii="仿宋" w:hAnsi="仿宋" w:eastAsia="仿宋" w:cs="仿宋"/>
          <w:bCs/>
          <w:strike/>
          <w:color w:val="auto"/>
          <w:sz w:val="28"/>
          <w:szCs w:val="28"/>
        </w:rPr>
        <w:t xml:space="preserve">                              </w:t>
      </w:r>
      <w:r>
        <w:rPr>
          <w:rFonts w:hint="eastAsia" w:ascii="仿宋" w:hAnsi="仿宋" w:eastAsia="仿宋" w:cs="仿宋"/>
          <w:bCs/>
          <w:color w:val="auto"/>
          <w:sz w:val="28"/>
          <w:szCs w:val="28"/>
        </w:rPr>
        <w:t>×100%</w:t>
      </w:r>
    </w:p>
    <w:p>
      <w:pPr>
        <w:spacing w:line="360" w:lineRule="auto"/>
        <w:ind w:firstLine="840" w:firstLineChars="300"/>
        <w:rPr>
          <w:rFonts w:hint="eastAsia" w:ascii="仿宋" w:hAnsi="仿宋" w:eastAsia="仿宋" w:cs="仿宋"/>
          <w:bCs/>
          <w:color w:val="auto"/>
          <w:sz w:val="28"/>
          <w:szCs w:val="28"/>
        </w:rPr>
      </w:pPr>
      <w:r>
        <w:rPr>
          <w:rFonts w:hint="eastAsia" w:ascii="仿宋" w:hAnsi="仿宋" w:eastAsia="仿宋" w:cs="仿宋"/>
          <w:bCs/>
          <w:color w:val="auto"/>
          <w:sz w:val="28"/>
          <w:szCs w:val="28"/>
        </w:rPr>
        <w:t>修正后的首次报价-暂列金额-专业工程暂估价-包干费用</w:t>
      </w:r>
    </w:p>
    <w:p>
      <w:pPr>
        <w:spacing w:line="360" w:lineRule="auto"/>
        <w:rPr>
          <w:rFonts w:hint="eastAsia" w:ascii="仿宋" w:hAnsi="仿宋" w:eastAsia="仿宋" w:cs="仿宋"/>
          <w:bCs/>
          <w:color w:val="auto"/>
          <w:sz w:val="28"/>
          <w:szCs w:val="28"/>
        </w:rPr>
      </w:pPr>
      <w:r>
        <w:rPr>
          <w:rFonts w:hint="eastAsia" w:ascii="仿宋" w:hAnsi="仿宋" w:eastAsia="仿宋" w:cs="仿宋"/>
          <w:bCs/>
          <w:color w:val="auto"/>
          <w:sz w:val="28"/>
          <w:szCs w:val="28"/>
        </w:rPr>
        <w:t>调整后的单价B =修正后的首次报价中的单价×（1 + A）</w:t>
      </w:r>
    </w:p>
    <w:p>
      <w:pPr>
        <w:pStyle w:val="5"/>
        <w:spacing w:line="600" w:lineRule="exact"/>
        <w:rPr>
          <w:rFonts w:hint="eastAsia" w:ascii="仿宋" w:hAnsi="仿宋" w:eastAsia="仿宋" w:cs="仿宋"/>
          <w:color w:val="auto"/>
        </w:rPr>
      </w:pPr>
      <w:r>
        <w:rPr>
          <w:rFonts w:hint="eastAsia" w:ascii="仿宋" w:hAnsi="仿宋" w:eastAsia="仿宋" w:cs="仿宋"/>
          <w:color w:val="auto"/>
        </w:rPr>
        <w:t>联合体</w:t>
      </w:r>
      <w:bookmarkEnd w:id="32"/>
      <w:r>
        <w:rPr>
          <w:rFonts w:hint="eastAsia" w:ascii="仿宋" w:hAnsi="仿宋" w:eastAsia="仿宋" w:cs="仿宋"/>
          <w:color w:val="auto"/>
          <w:szCs w:val="21"/>
          <w:lang w:val="zh-CN"/>
        </w:rPr>
        <w:t>（实质性要求）</w:t>
      </w:r>
    </w:p>
    <w:p>
      <w:pPr>
        <w:tabs>
          <w:tab w:val="left" w:pos="1200"/>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本次政府采购活动</w:t>
      </w:r>
      <w:r>
        <w:rPr>
          <w:rFonts w:hint="eastAsia" w:ascii="仿宋" w:hAnsi="仿宋" w:eastAsia="仿宋" w:cs="仿宋"/>
          <w:b/>
          <w:color w:val="auto"/>
          <w:sz w:val="28"/>
          <w:szCs w:val="28"/>
        </w:rPr>
        <w:t>不接受</w:t>
      </w:r>
      <w:r>
        <w:rPr>
          <w:rFonts w:hint="eastAsia" w:ascii="仿宋" w:hAnsi="仿宋" w:eastAsia="仿宋" w:cs="仿宋"/>
          <w:color w:val="auto"/>
          <w:sz w:val="28"/>
          <w:szCs w:val="28"/>
        </w:rPr>
        <w:t>供应商以联合体的形式参加磋商。</w:t>
      </w:r>
    </w:p>
    <w:p>
      <w:pPr>
        <w:pStyle w:val="5"/>
        <w:spacing w:line="600" w:lineRule="exact"/>
        <w:ind w:left="0" w:firstLine="0"/>
        <w:rPr>
          <w:rFonts w:hint="eastAsia" w:ascii="仿宋" w:hAnsi="仿宋" w:eastAsia="仿宋" w:cs="仿宋"/>
          <w:color w:val="auto"/>
        </w:rPr>
      </w:pPr>
      <w:bookmarkStart w:id="33" w:name="_Toc217446047"/>
      <w:r>
        <w:rPr>
          <w:rFonts w:hint="eastAsia" w:ascii="仿宋" w:hAnsi="仿宋" w:eastAsia="仿宋" w:cs="仿宋"/>
          <w:color w:val="auto"/>
        </w:rPr>
        <w:t>知识产权</w:t>
      </w:r>
      <w:bookmarkEnd w:id="33"/>
      <w:r>
        <w:rPr>
          <w:rFonts w:hint="eastAsia" w:ascii="仿宋" w:hAnsi="仿宋" w:eastAsia="仿宋" w:cs="仿宋"/>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非磋商文件特别规定，采购人享有本项目实施过程中产生的知识成果及知识产权。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如采用供应商所不拥有的知识产权，则在</w:t>
      </w:r>
      <w:r>
        <w:rPr>
          <w:rFonts w:hint="eastAsia" w:ascii="仿宋" w:hAnsi="仿宋" w:eastAsia="仿宋" w:cs="仿宋"/>
          <w:color w:val="auto"/>
          <w:sz w:val="28"/>
          <w:szCs w:val="28"/>
          <w:lang w:eastAsia="zh-CN"/>
        </w:rPr>
        <w:t>合同总价</w:t>
      </w:r>
      <w:r>
        <w:rPr>
          <w:rFonts w:hint="eastAsia" w:ascii="仿宋" w:hAnsi="仿宋" w:eastAsia="仿宋" w:cs="仿宋"/>
          <w:color w:val="auto"/>
          <w:sz w:val="28"/>
          <w:szCs w:val="28"/>
        </w:rPr>
        <w:t>中必须包括合法获取该知识产权的相关费用。</w:t>
      </w:r>
    </w:p>
    <w:p>
      <w:pPr>
        <w:pStyle w:val="5"/>
        <w:spacing w:line="600" w:lineRule="exact"/>
        <w:rPr>
          <w:rFonts w:hint="eastAsia" w:ascii="仿宋" w:hAnsi="仿宋" w:eastAsia="仿宋" w:cs="仿宋"/>
          <w:color w:val="auto"/>
        </w:rPr>
      </w:pPr>
      <w:bookmarkStart w:id="34" w:name="_Toc320698724"/>
      <w:bookmarkStart w:id="35" w:name="_Toc320698725"/>
      <w:r>
        <w:rPr>
          <w:rFonts w:hint="eastAsia" w:ascii="仿宋" w:hAnsi="仿宋" w:eastAsia="仿宋" w:cs="仿宋"/>
          <w:color w:val="auto"/>
        </w:rPr>
        <w:t>施工响应文件的</w:t>
      </w:r>
      <w:bookmarkEnd w:id="34"/>
      <w:r>
        <w:rPr>
          <w:rFonts w:hint="eastAsia" w:ascii="仿宋" w:hAnsi="仿宋" w:eastAsia="仿宋" w:cs="仿宋"/>
          <w:color w:val="auto"/>
        </w:rPr>
        <w:t>组成</w:t>
      </w:r>
      <w:r>
        <w:rPr>
          <w:rFonts w:hint="eastAsia" w:ascii="仿宋" w:hAnsi="仿宋" w:eastAsia="仿宋" w:cs="仿宋"/>
          <w:color w:val="auto"/>
          <w:szCs w:val="21"/>
          <w:lang w:val="zh-CN"/>
        </w:rPr>
        <w:t>（实质性要求）</w:t>
      </w:r>
    </w:p>
    <w:p>
      <w:pPr>
        <w:pStyle w:val="155"/>
        <w:tabs>
          <w:tab w:val="left" w:pos="1200"/>
        </w:tabs>
        <w:spacing w:line="600" w:lineRule="exact"/>
        <w:ind w:firstLine="560"/>
        <w:rPr>
          <w:rFonts w:hint="eastAsia" w:ascii="仿宋" w:hAnsi="仿宋" w:eastAsia="仿宋" w:cs="仿宋"/>
          <w:color w:val="auto"/>
        </w:rPr>
      </w:pPr>
      <w:r>
        <w:rPr>
          <w:rFonts w:hint="eastAsia" w:ascii="仿宋" w:hAnsi="仿宋" w:eastAsia="仿宋" w:cs="仿宋"/>
          <w:color w:val="auto"/>
          <w:sz w:val="28"/>
          <w:szCs w:val="28"/>
        </w:rPr>
        <w:t>供应商应按照磋商文件的规定和要求编制施工响应文件。供应商编写的施工响应文件应包括下列部分：</w:t>
      </w:r>
    </w:p>
    <w:p>
      <w:pPr>
        <w:pStyle w:val="155"/>
        <w:widowControl w:val="0"/>
        <w:tabs>
          <w:tab w:val="left" w:pos="1134"/>
        </w:tabs>
        <w:spacing w:line="600" w:lineRule="exact"/>
        <w:ind w:left="567" w:firstLine="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施工响应文件：用于供应商与磋商小组磋商。</w:t>
      </w:r>
      <w:bookmarkEnd w:id="35"/>
    </w:p>
    <w:p>
      <w:pPr>
        <w:pStyle w:val="5"/>
        <w:numPr>
          <w:ilvl w:val="3"/>
          <w:numId w:val="1"/>
        </w:numPr>
        <w:spacing w:line="600" w:lineRule="exact"/>
        <w:ind w:left="1843" w:hanging="1843"/>
        <w:rPr>
          <w:rFonts w:hint="eastAsia" w:ascii="仿宋" w:hAnsi="仿宋" w:eastAsia="仿宋" w:cs="仿宋"/>
          <w:color w:val="auto"/>
        </w:rPr>
      </w:pPr>
      <w:bookmarkStart w:id="36" w:name="_Toc320698726"/>
      <w:r>
        <w:rPr>
          <w:rFonts w:hint="eastAsia" w:ascii="仿宋" w:hAnsi="仿宋" w:eastAsia="仿宋" w:cs="仿宋"/>
          <w:color w:val="auto"/>
        </w:rPr>
        <w:t>施工响应文件</w:t>
      </w:r>
      <w:bookmarkEnd w:id="36"/>
    </w:p>
    <w:p>
      <w:pPr>
        <w:pStyle w:val="5"/>
        <w:numPr>
          <w:ilvl w:val="4"/>
          <w:numId w:val="1"/>
        </w:numPr>
        <w:spacing w:line="600" w:lineRule="exact"/>
        <w:ind w:left="993" w:hanging="993"/>
        <w:rPr>
          <w:rFonts w:hint="eastAsia" w:ascii="仿宋" w:hAnsi="仿宋" w:eastAsia="仿宋" w:cs="仿宋"/>
          <w:color w:val="auto"/>
        </w:rPr>
      </w:pPr>
      <w:r>
        <w:rPr>
          <w:rFonts w:hint="eastAsia" w:ascii="仿宋" w:hAnsi="仿宋" w:eastAsia="仿宋" w:cs="仿宋"/>
          <w:color w:val="auto"/>
        </w:rPr>
        <w:t>商务技术响应文件</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参加采购项目的承诺函</w:t>
      </w:r>
      <w:r>
        <w:rPr>
          <w:rFonts w:hint="eastAsia" w:ascii="仿宋" w:hAnsi="仿宋" w:eastAsia="仿宋" w:cs="仿宋"/>
          <w:color w:val="auto"/>
          <w:sz w:val="28"/>
          <w:szCs w:val="28"/>
        </w:rPr>
        <w:t>；</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法定代表人身份证明书；</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承诺函（说明：供应商应按承诺函格式中要求的承诺内容进行承诺）；</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施工组织设计（说明：施工组织设计格式及内容自拟）；</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项目管理机构组成表（说明：供应商未提供项目管理机构组成表的，不影响供应商施工响应文件的有效性）；</w:t>
      </w:r>
    </w:p>
    <w:p>
      <w:pPr>
        <w:pStyle w:val="155"/>
        <w:widowControl w:val="0"/>
        <w:numPr>
          <w:ilvl w:val="0"/>
          <w:numId w:val="15"/>
        </w:numPr>
        <w:tabs>
          <w:tab w:val="left" w:pos="1134"/>
        </w:tabs>
        <w:spacing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rFonts w:hint="eastAsia" w:ascii="仿宋" w:hAnsi="仿宋" w:eastAsia="仿宋" w:cs="仿宋"/>
          <w:color w:val="auto"/>
        </w:rPr>
      </w:pPr>
      <w:r>
        <w:rPr>
          <w:rFonts w:hint="eastAsia" w:ascii="仿宋" w:hAnsi="仿宋" w:eastAsia="仿宋" w:cs="仿宋"/>
          <w:color w:val="auto"/>
        </w:rPr>
        <w:t>报价要求响应文件</w:t>
      </w:r>
    </w:p>
    <w:p>
      <w:pPr>
        <w:pStyle w:val="155"/>
        <w:widowControl w:val="0"/>
        <w:numPr>
          <w:ilvl w:val="0"/>
          <w:numId w:val="0"/>
        </w:numPr>
        <w:tabs>
          <w:tab w:val="left" w:pos="1276"/>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rFonts w:hint="eastAsia" w:ascii="仿宋" w:hAnsi="仿宋" w:eastAsia="仿宋" w:cs="仿宋"/>
          <w:color w:val="auto"/>
        </w:rPr>
      </w:pPr>
      <w:bookmarkStart w:id="37" w:name="_Toc320698727"/>
      <w:r>
        <w:rPr>
          <w:rFonts w:hint="eastAsia" w:ascii="仿宋" w:hAnsi="仿宋" w:eastAsia="仿宋" w:cs="仿宋"/>
          <w:color w:val="auto"/>
        </w:rPr>
        <w:t>最后报价</w:t>
      </w:r>
    </w:p>
    <w:p>
      <w:pPr>
        <w:pStyle w:val="84"/>
        <w:ind w:firstLine="551"/>
        <w:rPr>
          <w:rFonts w:hint="eastAsia" w:ascii="仿宋" w:hAnsi="仿宋" w:eastAsia="仿宋" w:cs="仿宋"/>
          <w:b/>
          <w:color w:val="auto"/>
        </w:rPr>
      </w:pPr>
      <w:r>
        <w:rPr>
          <w:rFonts w:hint="eastAsia" w:ascii="仿宋" w:hAnsi="仿宋" w:eastAsia="仿宋" w:cs="仿宋"/>
          <w:color w:val="auto"/>
          <w:sz w:val="28"/>
        </w:rPr>
        <w:t>参加最后报价的供应商按磋商小组的要求在政府采购云平台中提供最后报价，报价应是包括磋商文件规定的全部相应内容的报价。</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施工响应文件格式</w:t>
      </w:r>
    </w:p>
    <w:p>
      <w:pPr>
        <w:pStyle w:val="2"/>
        <w:tabs>
          <w:tab w:val="left" w:pos="1134"/>
        </w:tabs>
        <w:spacing w:after="0" w:line="600" w:lineRule="exact"/>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二、对于没有格式要求的施工响应文件由供应商自行编写。</w:t>
      </w:r>
    </w:p>
    <w:p>
      <w:pPr>
        <w:pStyle w:val="5"/>
        <w:spacing w:line="600" w:lineRule="exact"/>
        <w:rPr>
          <w:rFonts w:hint="eastAsia" w:ascii="仿宋" w:hAnsi="仿宋" w:eastAsia="仿宋" w:cs="仿宋"/>
          <w:color w:val="auto"/>
        </w:rPr>
      </w:pPr>
      <w:r>
        <w:rPr>
          <w:rFonts w:hint="eastAsia" w:ascii="仿宋" w:hAnsi="仿宋" w:eastAsia="仿宋" w:cs="仿宋"/>
          <w:color w:val="auto"/>
        </w:rPr>
        <w:t>最后报价</w:t>
      </w:r>
    </w:p>
    <w:p>
      <w:pPr>
        <w:widowControl w:val="0"/>
        <w:numPr>
          <w:ilvl w:val="0"/>
          <w:numId w:val="0"/>
        </w:numPr>
        <w:tabs>
          <w:tab w:val="left" w:pos="1134"/>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一、供应商的最后报价是供应商响应采购项目要求的价格体现，包括供应商完成本项目所需的一切费用。</w:t>
      </w:r>
    </w:p>
    <w:p>
      <w:pPr>
        <w:widowControl w:val="0"/>
        <w:numPr>
          <w:ilvl w:val="0"/>
          <w:numId w:val="0"/>
        </w:numPr>
        <w:tabs>
          <w:tab w:val="left" w:pos="1134"/>
        </w:tabs>
        <w:spacing w:line="600" w:lineRule="exact"/>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二、供应商的最后报价只允许有一个报价，任何有选择或可调整的报价将不予接受，并按无效响应处理。</w:t>
      </w:r>
    </w:p>
    <w:p>
      <w:pPr>
        <w:widowControl w:val="0"/>
        <w:numPr>
          <w:ilvl w:val="0"/>
          <w:numId w:val="0"/>
        </w:numPr>
        <w:tabs>
          <w:tab w:val="left" w:pos="1134"/>
        </w:tabs>
        <w:spacing w:line="600" w:lineRule="exact"/>
        <w:ind w:left="560" w:leftChars="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参加最后报价的供应商按磋商小组的要求提供最后报价。</w:t>
      </w:r>
    </w:p>
    <w:bookmarkEnd w:id="37"/>
    <w:p>
      <w:pPr>
        <w:pStyle w:val="5"/>
        <w:spacing w:line="600" w:lineRule="exact"/>
        <w:rPr>
          <w:rFonts w:hint="eastAsia" w:ascii="仿宋" w:hAnsi="仿宋" w:eastAsia="仿宋" w:cs="仿宋"/>
          <w:color w:val="auto"/>
        </w:rPr>
      </w:pPr>
      <w:bookmarkStart w:id="38" w:name="_Toc320698728"/>
      <w:r>
        <w:rPr>
          <w:rFonts w:hint="eastAsia" w:ascii="仿宋" w:hAnsi="仿宋" w:eastAsia="仿宋" w:cs="仿宋"/>
          <w:color w:val="auto"/>
        </w:rPr>
        <w:t>磋商保证金</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本项目不收取磋商保证金。</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施工响应文件有效期</w:t>
      </w:r>
      <w:bookmarkEnd w:id="38"/>
    </w:p>
    <w:p>
      <w:pPr>
        <w:pStyle w:val="82"/>
        <w:numPr>
          <w:ilvl w:val="0"/>
          <w:numId w:val="16"/>
        </w:numPr>
        <w:tabs>
          <w:tab w:val="left" w:pos="1134"/>
        </w:tabs>
        <w:spacing w:line="600" w:lineRule="exact"/>
        <w:ind w:left="0" w:firstLine="566" w:firstLineChars="0"/>
        <w:rPr>
          <w:rFonts w:hint="eastAsia" w:ascii="仿宋" w:hAnsi="仿宋" w:eastAsia="仿宋" w:cs="仿宋"/>
          <w:color w:val="auto"/>
          <w:sz w:val="28"/>
          <w:szCs w:val="28"/>
        </w:rPr>
      </w:pPr>
      <w:r>
        <w:rPr>
          <w:rFonts w:hint="eastAsia" w:ascii="仿宋" w:hAnsi="仿宋" w:eastAsia="仿宋" w:cs="仿宋"/>
          <w:color w:val="auto"/>
          <w:szCs w:val="21"/>
          <w:lang w:val="zh-CN"/>
        </w:rPr>
        <w:t>（实质性要求）</w:t>
      </w:r>
      <w:r>
        <w:rPr>
          <w:rFonts w:hint="eastAsia" w:ascii="仿宋" w:hAnsi="仿宋" w:eastAsia="仿宋" w:cs="仿宋"/>
          <w:color w:val="auto"/>
          <w:sz w:val="28"/>
          <w:szCs w:val="28"/>
        </w:rPr>
        <w:t>施工响应文件有效期为递交施工响应文件截止之日起</w:t>
      </w:r>
      <w:r>
        <w:rPr>
          <w:rFonts w:hint="eastAsia" w:ascii="仿宋" w:hAnsi="仿宋" w:eastAsia="仿宋" w:cs="仿宋"/>
          <w:color w:val="auto"/>
          <w:sz w:val="28"/>
          <w:szCs w:val="28"/>
          <w:u w:val="single"/>
        </w:rPr>
        <w:t>120</w:t>
      </w:r>
      <w:r>
        <w:rPr>
          <w:rFonts w:hint="eastAsia" w:ascii="仿宋" w:hAnsi="仿宋" w:eastAsia="仿宋" w:cs="仿宋"/>
          <w:color w:val="auto"/>
          <w:sz w:val="28"/>
          <w:szCs w:val="28"/>
        </w:rPr>
        <w:t>天。施工响应文件有效期短于此规定期限的或不作响应的，其施工响应文件将按无效施工响应文件处理。</w:t>
      </w:r>
    </w:p>
    <w:p>
      <w:pPr>
        <w:pStyle w:val="82"/>
        <w:numPr>
          <w:ilvl w:val="0"/>
          <w:numId w:val="16"/>
        </w:numPr>
        <w:tabs>
          <w:tab w:val="left" w:pos="1134"/>
        </w:tabs>
        <w:spacing w:line="600" w:lineRule="exact"/>
        <w:ind w:left="0" w:firstLine="566"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rFonts w:hint="eastAsia" w:ascii="仿宋" w:hAnsi="仿宋" w:eastAsia="仿宋" w:cs="仿宋"/>
          <w:color w:val="auto"/>
        </w:rPr>
      </w:pPr>
      <w:bookmarkStart w:id="39" w:name="_Toc320698729"/>
      <w:bookmarkStart w:id="40" w:name="_Toc320698730"/>
      <w:r>
        <w:rPr>
          <w:rFonts w:hint="eastAsia" w:ascii="仿宋" w:hAnsi="仿宋" w:eastAsia="仿宋" w:cs="仿宋"/>
          <w:color w:val="auto"/>
        </w:rPr>
        <w:t>施工响应文件的签章和加密</w:t>
      </w:r>
      <w:bookmarkEnd w:id="39"/>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color w:val="auto"/>
          <w:sz w:val="28"/>
          <w:szCs w:val="22"/>
          <w:lang w:val="zh-CN"/>
        </w:rPr>
        <w:t>（实质性要求）</w:t>
      </w:r>
      <w:r>
        <w:rPr>
          <w:rFonts w:hint="eastAsia" w:ascii="仿宋" w:hAnsi="仿宋" w:eastAsia="仿宋" w:cs="仿宋"/>
          <w:color w:val="auto"/>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二、施工响应文件制作详情：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2"/>
          <w:lang w:val="zh-CN"/>
        </w:rPr>
        <w:t>（实质性要求）</w:t>
      </w:r>
      <w:r>
        <w:rPr>
          <w:rFonts w:hint="eastAsia" w:ascii="仿宋" w:hAnsi="仿宋" w:eastAsia="仿宋" w:cs="仿宋"/>
          <w:b/>
          <w:color w:val="auto"/>
          <w:sz w:val="28"/>
          <w:szCs w:val="28"/>
        </w:rPr>
        <w:t>施工响应文件应加盖供应商（法定名称）电子签章，不得使用供应商专用章（如经济合同章、投标专用章等）或下属单位印章代替</w:t>
      </w:r>
      <w:r>
        <w:rPr>
          <w:rFonts w:hint="eastAsia" w:ascii="仿宋" w:hAnsi="仿宋" w:eastAsia="仿宋" w:cs="仿宋"/>
          <w:color w:val="auto"/>
          <w:sz w:val="28"/>
          <w:szCs w:val="28"/>
        </w:rPr>
        <w:t>。</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仿宋" w:hAnsi="仿宋" w:eastAsia="仿宋" w:cs="仿宋"/>
          <w:color w:val="auto"/>
        </w:rPr>
      </w:pPr>
      <w:r>
        <w:rPr>
          <w:rFonts w:hint="eastAsia" w:ascii="仿宋" w:hAnsi="仿宋" w:eastAsia="仿宋" w:cs="仿宋"/>
          <w:color w:val="auto"/>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40"/>
    <w:p>
      <w:pPr>
        <w:pStyle w:val="5"/>
        <w:spacing w:line="600" w:lineRule="exact"/>
        <w:rPr>
          <w:rFonts w:hint="eastAsia" w:ascii="仿宋" w:hAnsi="仿宋" w:eastAsia="仿宋" w:cs="仿宋"/>
          <w:color w:val="auto"/>
        </w:rPr>
      </w:pPr>
      <w:bookmarkStart w:id="41" w:name="_Toc320698731"/>
      <w:r>
        <w:rPr>
          <w:rFonts w:hint="eastAsia" w:ascii="仿宋" w:hAnsi="仿宋" w:eastAsia="仿宋" w:cs="仿宋"/>
          <w:color w:val="auto"/>
        </w:rPr>
        <w:t>施工响应文件的递交</w:t>
      </w:r>
      <w:bookmarkEnd w:id="41"/>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color w:val="auto"/>
          <w:szCs w:val="21"/>
          <w:lang w:val="zh-CN"/>
        </w:rPr>
        <w:t>（实质性要求）</w:t>
      </w:r>
      <w:r>
        <w:rPr>
          <w:rFonts w:hint="eastAsia" w:ascii="仿宋" w:hAnsi="仿宋" w:eastAsia="仿宋" w:cs="仿宋"/>
          <w:bCs/>
          <w:color w:val="auto"/>
          <w:sz w:val="28"/>
          <w:szCs w:val="28"/>
        </w:rPr>
        <w:t>供应商应当在施工响应文件递交截止时间前，将生成的已加密的施工响应文件成功递交至“政府采购云平台”。</w:t>
      </w:r>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7"/>
        </w:numPr>
        <w:tabs>
          <w:tab w:val="left" w:pos="1134"/>
        </w:tabs>
        <w:spacing w:line="600" w:lineRule="exact"/>
        <w:ind w:left="0" w:firstLine="567"/>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供应商应充分考虑递交施工响应文件的不可预见因素，未在递交施工响应文件截止时间前完成递交的，在递交施工响应文件截止时间后将无法递交。</w:t>
      </w:r>
    </w:p>
    <w:p>
      <w:pPr>
        <w:pStyle w:val="5"/>
        <w:spacing w:line="600" w:lineRule="exact"/>
        <w:rPr>
          <w:rFonts w:hint="eastAsia" w:ascii="仿宋" w:hAnsi="仿宋" w:eastAsia="仿宋" w:cs="仿宋"/>
          <w:color w:val="auto"/>
        </w:rPr>
      </w:pPr>
      <w:bookmarkStart w:id="42" w:name="_Toc446487098"/>
      <w:r>
        <w:rPr>
          <w:rFonts w:hint="eastAsia" w:ascii="仿宋" w:hAnsi="仿宋" w:eastAsia="仿宋" w:cs="仿宋"/>
          <w:color w:val="auto"/>
        </w:rPr>
        <w:t>施工响应文件的补充、修改和撤回</w:t>
      </w:r>
      <w:bookmarkEnd w:id="42"/>
      <w:r>
        <w:rPr>
          <w:rFonts w:hint="eastAsia" w:ascii="仿宋" w:hAnsi="仿宋" w:eastAsia="仿宋" w:cs="仿宋"/>
          <w:color w:val="auto"/>
          <w:szCs w:val="21"/>
          <w:lang w:val="zh-CN"/>
        </w:rPr>
        <w:t>（实质性要求）</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bookmarkStart w:id="43" w:name="_Toc494356977"/>
      <w:bookmarkEnd w:id="43"/>
      <w:bookmarkStart w:id="44" w:name="_Toc494095623"/>
      <w:bookmarkEnd w:id="44"/>
      <w:r>
        <w:rPr>
          <w:rFonts w:hint="eastAsia" w:ascii="仿宋" w:hAnsi="仿宋" w:eastAsia="仿宋" w:cs="仿宋"/>
          <w:color w:val="auto"/>
          <w:sz w:val="28"/>
          <w:szCs w:val="28"/>
        </w:rPr>
        <w:t>在递交施工响应文件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在递交施工响应文件截止时间之后，供应商不得对其递交的施工响应文件做任何补充、修改。</w:t>
      </w:r>
    </w:p>
    <w:p>
      <w:pPr>
        <w:widowControl w:val="0"/>
        <w:numPr>
          <w:ilvl w:val="0"/>
          <w:numId w:val="18"/>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rFonts w:hint="eastAsia" w:ascii="仿宋" w:hAnsi="仿宋" w:eastAsia="仿宋" w:cs="仿宋"/>
          <w:color w:val="auto"/>
        </w:rPr>
      </w:pPr>
      <w:r>
        <w:rPr>
          <w:rFonts w:hint="eastAsia" w:ascii="仿宋" w:hAnsi="仿宋" w:eastAsia="仿宋" w:cs="仿宋"/>
          <w:color w:val="auto"/>
        </w:rPr>
        <w:t>施工响应文件的解密</w:t>
      </w:r>
      <w:r>
        <w:rPr>
          <w:rFonts w:hint="eastAsia" w:ascii="仿宋" w:hAnsi="仿宋" w:eastAsia="仿宋" w:cs="仿宋"/>
          <w:color w:val="auto"/>
          <w:szCs w:val="21"/>
          <w:lang w:val="zh-CN"/>
        </w:rPr>
        <w:t>（实质性要求）</w:t>
      </w:r>
    </w:p>
    <w:p>
      <w:pPr>
        <w:tabs>
          <w:tab w:val="left" w:pos="1134"/>
        </w:tabs>
        <w:spacing w:before="120" w:line="360" w:lineRule="auto"/>
        <w:ind w:firstLine="565" w:firstLineChars="202"/>
        <w:rPr>
          <w:rFonts w:hint="eastAsia" w:ascii="仿宋" w:hAnsi="仿宋" w:eastAsia="仿宋" w:cs="仿宋"/>
          <w:bCs/>
          <w:color w:val="auto"/>
          <w:sz w:val="28"/>
          <w:szCs w:val="28"/>
        </w:rPr>
      </w:pPr>
      <w:r>
        <w:rPr>
          <w:rFonts w:hint="eastAsia" w:ascii="仿宋" w:hAnsi="仿宋" w:eastAsia="仿宋" w:cs="仿宋"/>
          <w:bCs/>
          <w:color w:val="auto"/>
          <w:sz w:val="28"/>
          <w:szCs w:val="28"/>
        </w:rPr>
        <w:t>供应商</w:t>
      </w:r>
      <w:r>
        <w:rPr>
          <w:rFonts w:hint="eastAsia" w:ascii="仿宋" w:hAnsi="仿宋" w:eastAsia="仿宋" w:cs="仿宋"/>
          <w:color w:val="auto"/>
          <w:sz w:val="28"/>
          <w:szCs w:val="28"/>
        </w:rPr>
        <w:t>登录政府采购云平台，点击“项目采购—开标评标”模块，找到对应项目，进入“开标大厅”，等待东部新区综合部开启解密后，供应商应在60分钟内，使用加密该施工响应文件的CA数字证书在线完成施工响应文件的解密。</w:t>
      </w:r>
      <w:r>
        <w:rPr>
          <w:rFonts w:hint="eastAsia" w:ascii="仿宋" w:hAnsi="仿宋" w:eastAsia="仿宋" w:cs="仿宋"/>
          <w:bCs/>
          <w:color w:val="auto"/>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rFonts w:hint="eastAsia" w:ascii="仿宋" w:hAnsi="仿宋" w:eastAsia="仿宋" w:cs="仿宋"/>
          <w:color w:val="auto"/>
        </w:rPr>
      </w:pPr>
      <w:bookmarkStart w:id="45" w:name="_Toc183682369"/>
      <w:bookmarkStart w:id="46" w:name="_Toc217446057"/>
      <w:bookmarkStart w:id="47" w:name="_Toc183582232"/>
      <w:bookmarkStart w:id="48" w:name="_Toc1092"/>
      <w:bookmarkStart w:id="49" w:name="_Toc72938431"/>
      <w:r>
        <w:rPr>
          <w:rFonts w:hint="eastAsia" w:ascii="仿宋" w:hAnsi="仿宋" w:eastAsia="仿宋" w:cs="仿宋"/>
          <w:color w:val="auto"/>
        </w:rPr>
        <w:t>开标</w:t>
      </w:r>
      <w:bookmarkEnd w:id="45"/>
      <w:bookmarkEnd w:id="46"/>
      <w:bookmarkEnd w:id="47"/>
      <w:r>
        <w:rPr>
          <w:rFonts w:hint="eastAsia" w:ascii="仿宋" w:hAnsi="仿宋" w:eastAsia="仿宋" w:cs="仿宋"/>
          <w:color w:val="auto"/>
        </w:rPr>
        <w:t>及开标程序</w:t>
      </w:r>
      <w:bookmarkEnd w:id="48"/>
      <w:bookmarkEnd w:id="49"/>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递交施工响应文件的供应商不足3家的，不予开标。</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因断电、断网、系统故障或其他不可抗力等因素导致不见面开标系统无法正常运行的，开标活动中止或延迟，待系统恢复正常后继续进行开标活动。</w:t>
      </w:r>
    </w:p>
    <w:p>
      <w:pPr>
        <w:pStyle w:val="82"/>
        <w:widowControl w:val="0"/>
        <w:numPr>
          <w:ilvl w:val="0"/>
          <w:numId w:val="19"/>
        </w:numPr>
        <w:tabs>
          <w:tab w:val="left" w:pos="1134"/>
        </w:tabs>
        <w:spacing w:before="120" w:after="200" w:line="360" w:lineRule="auto"/>
        <w:ind w:left="0" w:right="210" w:firstLine="567" w:firstLineChars="0"/>
        <w:jc w:val="both"/>
        <w:rPr>
          <w:rFonts w:hint="eastAsia" w:ascii="仿宋" w:hAnsi="仿宋" w:eastAsia="仿宋" w:cs="仿宋"/>
          <w:b/>
          <w:color w:val="auto"/>
          <w:sz w:val="28"/>
          <w:szCs w:val="28"/>
        </w:rPr>
      </w:pPr>
      <w:r>
        <w:rPr>
          <w:rFonts w:hint="eastAsia" w:ascii="仿宋" w:hAnsi="仿宋" w:eastAsia="仿宋" w:cs="仿宋"/>
          <w:b/>
          <w:color w:val="auto"/>
          <w:sz w:val="28"/>
          <w:szCs w:val="28"/>
        </w:rPr>
        <w:t>不见面开标过程中，各方主体均应遵守互联网有关规定，不得发表与交易活动无关的言论。</w:t>
      </w:r>
    </w:p>
    <w:p>
      <w:pPr>
        <w:pStyle w:val="4"/>
        <w:tabs>
          <w:tab w:val="clear" w:pos="567"/>
        </w:tabs>
        <w:spacing w:line="600" w:lineRule="exact"/>
        <w:ind w:left="0" w:firstLine="0"/>
        <w:rPr>
          <w:rFonts w:hint="eastAsia" w:ascii="仿宋" w:hAnsi="仿宋" w:eastAsia="仿宋" w:cs="仿宋"/>
          <w:color w:val="auto"/>
        </w:rPr>
      </w:pPr>
      <w:bookmarkStart w:id="50" w:name="_Toc11712"/>
      <w:bookmarkStart w:id="51" w:name="_Toc72938432"/>
      <w:r>
        <w:rPr>
          <w:rFonts w:hint="eastAsia" w:ascii="仿宋" w:hAnsi="仿宋" w:eastAsia="仿宋" w:cs="仿宋"/>
          <w:color w:val="auto"/>
        </w:rPr>
        <w:t>资格预审和评审</w:t>
      </w:r>
      <w:bookmarkEnd w:id="50"/>
      <w:bookmarkEnd w:id="51"/>
    </w:p>
    <w:p>
      <w:pPr>
        <w:widowControl w:val="0"/>
        <w:numPr>
          <w:ilvl w:val="0"/>
          <w:numId w:val="20"/>
        </w:numPr>
        <w:tabs>
          <w:tab w:val="left" w:pos="1134"/>
        </w:tabs>
        <w:spacing w:line="600" w:lineRule="exact"/>
        <w:ind w:left="0" w:firstLine="540"/>
        <w:jc w:val="both"/>
        <w:rPr>
          <w:rFonts w:hint="eastAsia" w:ascii="仿宋" w:hAnsi="仿宋" w:eastAsia="仿宋" w:cs="仿宋"/>
          <w:color w:val="auto"/>
          <w:sz w:val="28"/>
          <w:szCs w:val="28"/>
        </w:rPr>
      </w:pPr>
      <w:r>
        <w:rPr>
          <w:rFonts w:hint="eastAsia" w:ascii="仿宋" w:hAnsi="仿宋" w:eastAsia="仿宋" w:cs="仿宋"/>
          <w:color w:val="auto"/>
          <w:sz w:val="28"/>
          <w:szCs w:val="28"/>
        </w:rPr>
        <w:t>本项目资格预审已按资格预审文件完成。</w:t>
      </w:r>
    </w:p>
    <w:p>
      <w:pPr>
        <w:widowControl w:val="0"/>
        <w:numPr>
          <w:ilvl w:val="0"/>
          <w:numId w:val="20"/>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磋商小组的组建及其评审工作按照有关法律制度和本文件第五章的规定进行。</w:t>
      </w:r>
    </w:p>
    <w:p>
      <w:pPr>
        <w:pStyle w:val="4"/>
        <w:spacing w:line="600" w:lineRule="exact"/>
        <w:rPr>
          <w:rFonts w:hint="eastAsia" w:ascii="仿宋" w:hAnsi="仿宋" w:eastAsia="仿宋" w:cs="仿宋"/>
          <w:color w:val="auto"/>
        </w:rPr>
      </w:pPr>
      <w:bookmarkStart w:id="52" w:name="_Toc19645"/>
      <w:bookmarkStart w:id="53" w:name="_Toc72938433"/>
      <w:r>
        <w:rPr>
          <w:rFonts w:hint="eastAsia" w:ascii="仿宋" w:hAnsi="仿宋" w:eastAsia="仿宋" w:cs="仿宋"/>
          <w:color w:val="auto"/>
        </w:rPr>
        <w:t>成交通知书</w:t>
      </w:r>
      <w:bookmarkEnd w:id="52"/>
      <w:bookmarkEnd w:id="53"/>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21"/>
        </w:numPr>
        <w:tabs>
          <w:tab w:val="left" w:pos="1134"/>
        </w:tabs>
        <w:spacing w:after="200" w:line="600" w:lineRule="exact"/>
        <w:ind w:left="0" w:right="21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成交公告在四川政府采购网上公告后，成交供应商自行登录政府采购云平台下载成交通知书。</w:t>
      </w:r>
    </w:p>
    <w:p>
      <w:pPr>
        <w:pStyle w:val="4"/>
        <w:spacing w:line="600" w:lineRule="exact"/>
        <w:rPr>
          <w:rFonts w:hint="eastAsia" w:ascii="仿宋" w:hAnsi="仿宋" w:eastAsia="仿宋" w:cs="仿宋"/>
          <w:color w:val="auto"/>
        </w:rPr>
      </w:pPr>
      <w:bookmarkStart w:id="54" w:name="_Toc27943"/>
      <w:bookmarkStart w:id="55" w:name="_Toc72938434"/>
      <w:bookmarkStart w:id="56" w:name="_Toc287623650"/>
      <w:r>
        <w:rPr>
          <w:rFonts w:hint="eastAsia" w:ascii="仿宋" w:hAnsi="仿宋" w:eastAsia="仿宋" w:cs="仿宋"/>
          <w:color w:val="auto"/>
        </w:rPr>
        <w:t>签订及履行合同和验收</w:t>
      </w:r>
      <w:bookmarkEnd w:id="54"/>
      <w:bookmarkEnd w:id="55"/>
    </w:p>
    <w:p>
      <w:pPr>
        <w:pStyle w:val="5"/>
        <w:spacing w:line="600" w:lineRule="exact"/>
        <w:rPr>
          <w:rFonts w:hint="eastAsia" w:ascii="仿宋" w:hAnsi="仿宋" w:eastAsia="仿宋" w:cs="仿宋"/>
          <w:color w:val="auto"/>
        </w:rPr>
      </w:pPr>
      <w:r>
        <w:rPr>
          <w:rFonts w:hint="eastAsia" w:ascii="仿宋" w:hAnsi="仿宋" w:eastAsia="仿宋" w:cs="仿宋"/>
          <w:color w:val="auto"/>
        </w:rPr>
        <w:t>签订合同</w:t>
      </w:r>
      <w:bookmarkEnd w:id="56"/>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bookmarkStart w:id="57" w:name="_Toc217446069"/>
      <w:r>
        <w:rPr>
          <w:rFonts w:hint="eastAsia" w:ascii="仿宋" w:hAnsi="仿宋" w:eastAsia="仿宋" w:cs="仿宋"/>
          <w:color w:val="auto"/>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磋商文件、施工响应文件、成交通知书等一切与本项目评审结果有关且经责任主体确认的资料均为合同的有效组成部分。</w:t>
      </w:r>
    </w:p>
    <w:p>
      <w:pPr>
        <w:widowControl w:val="0"/>
        <w:numPr>
          <w:ilvl w:val="0"/>
          <w:numId w:val="22"/>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询问或者质疑事项可能影响成交结果的，采购人应当暂停签订合同，已经签订合同的，应当中止履行合同。</w:t>
      </w:r>
    </w:p>
    <w:p>
      <w:pPr>
        <w:pStyle w:val="5"/>
        <w:spacing w:line="600" w:lineRule="exact"/>
        <w:rPr>
          <w:rFonts w:hint="eastAsia" w:ascii="仿宋" w:hAnsi="仿宋" w:eastAsia="仿宋" w:cs="仿宋"/>
          <w:color w:val="auto"/>
        </w:rPr>
      </w:pPr>
      <w:bookmarkStart w:id="58" w:name="_Toc217446066"/>
      <w:r>
        <w:rPr>
          <w:rFonts w:hint="eastAsia" w:ascii="仿宋" w:hAnsi="仿宋" w:eastAsia="仿宋" w:cs="仿宋"/>
          <w:color w:val="auto"/>
        </w:rPr>
        <w:t>合同分包</w:t>
      </w:r>
      <w:bookmarkEnd w:id="58"/>
      <w:r>
        <w:rPr>
          <w:rFonts w:hint="eastAsia" w:ascii="仿宋" w:hAnsi="仿宋" w:eastAsia="仿宋" w:cs="仿宋"/>
          <w:color w:val="auto"/>
        </w:rPr>
        <w:t>和转包（实质性要求）</w:t>
      </w:r>
    </w:p>
    <w:p>
      <w:pPr>
        <w:widowControl w:val="0"/>
        <w:numPr>
          <w:ilvl w:val="0"/>
          <w:numId w:val="23"/>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合同分包</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本项目不允许分包。</w:t>
      </w:r>
    </w:p>
    <w:p>
      <w:pPr>
        <w:widowControl w:val="0"/>
        <w:numPr>
          <w:ilvl w:val="0"/>
          <w:numId w:val="23"/>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合同转包</w:t>
      </w:r>
    </w:p>
    <w:p>
      <w:pPr>
        <w:pStyle w:val="82"/>
        <w:widowControl w:val="0"/>
        <w:numPr>
          <w:ilvl w:val="0"/>
          <w:numId w:val="24"/>
        </w:numPr>
        <w:tabs>
          <w:tab w:val="left" w:pos="1134"/>
        </w:tabs>
        <w:spacing w:after="200" w:line="600" w:lineRule="exact"/>
        <w:ind w:left="0" w:firstLine="560" w:firstLineChars="0"/>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严禁成交供应商将本项目转包。本项目所称转包，是指将本项目转给他人或者将本项目全部肢解以后以分包的名义分别转给他人的行为。</w:t>
      </w:r>
    </w:p>
    <w:p>
      <w:pPr>
        <w:pStyle w:val="82"/>
        <w:widowControl w:val="0"/>
        <w:numPr>
          <w:ilvl w:val="0"/>
          <w:numId w:val="24"/>
        </w:numPr>
        <w:tabs>
          <w:tab w:val="left" w:pos="1134"/>
        </w:tabs>
        <w:spacing w:after="200" w:line="600" w:lineRule="exact"/>
        <w:ind w:left="0" w:firstLine="560" w:firstLineChars="0"/>
        <w:jc w:val="both"/>
        <w:rPr>
          <w:rFonts w:hint="eastAsia" w:ascii="仿宋" w:hAnsi="仿宋" w:eastAsia="仿宋" w:cs="仿宋"/>
          <w:bCs/>
          <w:color w:val="auto"/>
          <w:sz w:val="28"/>
          <w:szCs w:val="28"/>
        </w:rPr>
      </w:pPr>
      <w:r>
        <w:rPr>
          <w:rFonts w:hint="eastAsia" w:ascii="仿宋" w:hAnsi="仿宋" w:eastAsia="仿宋" w:cs="仿宋"/>
          <w:bCs/>
          <w:color w:val="auto"/>
          <w:sz w:val="28"/>
          <w:szCs w:val="28"/>
        </w:rPr>
        <w:t>成交供应商转包的，视同拒绝履行政府采购合同，将依法追究法律责任。</w:t>
      </w:r>
    </w:p>
    <w:p>
      <w:pPr>
        <w:pStyle w:val="5"/>
        <w:spacing w:line="600" w:lineRule="exact"/>
        <w:rPr>
          <w:rFonts w:hint="eastAsia" w:ascii="仿宋" w:hAnsi="仿宋" w:eastAsia="仿宋" w:cs="仿宋"/>
          <w:color w:val="auto"/>
        </w:rPr>
      </w:pPr>
      <w:bookmarkStart w:id="59" w:name="_Toc217446067"/>
      <w:r>
        <w:rPr>
          <w:rFonts w:hint="eastAsia" w:ascii="仿宋" w:hAnsi="仿宋" w:eastAsia="仿宋" w:cs="仿宋"/>
          <w:color w:val="auto"/>
        </w:rPr>
        <w:t>采购人增加合同标的的权</w:t>
      </w:r>
      <w:bookmarkEnd w:id="59"/>
      <w:r>
        <w:rPr>
          <w:rFonts w:hint="eastAsia" w:ascii="仿宋" w:hAnsi="仿宋" w:eastAsia="仿宋" w:cs="仿宋"/>
          <w:color w:val="auto"/>
        </w:rPr>
        <w:t>利</w:t>
      </w:r>
    </w:p>
    <w:p>
      <w:pPr>
        <w:spacing w:line="600" w:lineRule="exact"/>
        <w:ind w:firstLine="567"/>
        <w:rPr>
          <w:rFonts w:hint="eastAsia" w:ascii="仿宋" w:hAnsi="仿宋" w:eastAsia="仿宋" w:cs="仿宋"/>
          <w:color w:val="auto"/>
          <w:sz w:val="28"/>
          <w:szCs w:val="28"/>
        </w:rPr>
      </w:pPr>
      <w:r>
        <w:rPr>
          <w:rFonts w:hint="eastAsia" w:ascii="仿宋" w:hAnsi="仿宋" w:eastAsia="仿宋" w:cs="仿宋"/>
          <w:color w:val="auto"/>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hint="eastAsia" w:ascii="仿宋" w:hAnsi="仿宋" w:eastAsia="仿宋" w:cs="仿宋"/>
          <w:color w:val="auto"/>
        </w:rPr>
      </w:pPr>
      <w:bookmarkStart w:id="60" w:name="_Toc217446068"/>
      <w:r>
        <w:rPr>
          <w:rFonts w:hint="eastAsia" w:ascii="仿宋" w:hAnsi="仿宋" w:eastAsia="仿宋" w:cs="仿宋"/>
          <w:color w:val="auto"/>
        </w:rPr>
        <w:t>履约保证金</w:t>
      </w:r>
      <w:bookmarkEnd w:id="60"/>
      <w:r>
        <w:rPr>
          <w:rFonts w:hint="eastAsia" w:ascii="仿宋" w:hAnsi="仿宋" w:eastAsia="仿宋" w:cs="仿宋"/>
          <w:color w:val="auto"/>
        </w:rPr>
        <w:t>（实质性要求）</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本项目</w:t>
      </w:r>
      <w:r>
        <w:rPr>
          <w:rFonts w:hint="eastAsia" w:ascii="仿宋" w:hAnsi="仿宋" w:eastAsia="仿宋" w:cs="仿宋"/>
          <w:color w:val="auto"/>
          <w:sz w:val="28"/>
          <w:szCs w:val="28"/>
        </w:rPr>
        <w:t xml:space="preserve">收取履约保证金，收取标准为成交金额的3%  </w:t>
      </w:r>
    </w:p>
    <w:p>
      <w:pPr>
        <w:pStyle w:val="63"/>
        <w:ind w:firstLine="560" w:firstLineChars="200"/>
        <w:rPr>
          <w:rFonts w:hint="eastAsia" w:ascii="仿宋" w:hAnsi="仿宋" w:eastAsia="仿宋" w:cs="仿宋"/>
          <w:color w:val="auto"/>
          <w:sz w:val="28"/>
          <w:szCs w:val="21"/>
        </w:rPr>
      </w:pPr>
      <w:r>
        <w:rPr>
          <w:rFonts w:hint="eastAsia" w:ascii="仿宋" w:hAnsi="仿宋" w:eastAsia="仿宋" w:cs="仿宋"/>
          <w:color w:val="auto"/>
          <w:sz w:val="28"/>
          <w:szCs w:val="21"/>
        </w:rPr>
        <w:t>交付时间：成交供应商收到</w:t>
      </w:r>
      <w:r>
        <w:rPr>
          <w:rFonts w:hint="eastAsia" w:ascii="仿宋" w:hAnsi="仿宋" w:eastAsia="仿宋" w:cs="仿宋"/>
          <w:color w:val="auto"/>
          <w:sz w:val="28"/>
          <w:szCs w:val="21"/>
          <w:lang w:eastAsia="zh-CN"/>
        </w:rPr>
        <w:t>成交</w:t>
      </w:r>
      <w:r>
        <w:rPr>
          <w:rFonts w:hint="eastAsia" w:ascii="仿宋" w:hAnsi="仿宋" w:eastAsia="仿宋" w:cs="仿宋"/>
          <w:color w:val="auto"/>
          <w:sz w:val="28"/>
          <w:szCs w:val="21"/>
        </w:rPr>
        <w:t>通知书后，签订合同前。</w:t>
      </w:r>
    </w:p>
    <w:p>
      <w:pPr>
        <w:pStyle w:val="63"/>
        <w:ind w:firstLine="560" w:firstLineChars="200"/>
        <w:rPr>
          <w:rFonts w:hint="eastAsia" w:ascii="仿宋" w:hAnsi="仿宋" w:eastAsia="仿宋" w:cs="仿宋"/>
          <w:color w:val="auto"/>
          <w:sz w:val="28"/>
          <w:szCs w:val="21"/>
        </w:rPr>
      </w:pPr>
      <w:r>
        <w:rPr>
          <w:rFonts w:hint="eastAsia" w:ascii="仿宋" w:hAnsi="仿宋" w:eastAsia="仿宋" w:cs="仿宋"/>
          <w:color w:val="auto"/>
          <w:sz w:val="28"/>
          <w:szCs w:val="21"/>
        </w:rPr>
        <w:t>交付方式：现金或保函担保，现金担保必须通过中选人的基本账户以银行转账方式缴纳。</w:t>
      </w:r>
    </w:p>
    <w:p>
      <w:pPr>
        <w:pStyle w:val="63"/>
        <w:rPr>
          <w:rFonts w:hint="eastAsia" w:ascii="仿宋" w:hAnsi="仿宋" w:eastAsia="仿宋" w:cs="仿宋"/>
          <w:color w:val="auto"/>
          <w:sz w:val="28"/>
          <w:szCs w:val="21"/>
        </w:rPr>
      </w:pPr>
      <w:r>
        <w:rPr>
          <w:rFonts w:hint="eastAsia" w:ascii="仿宋" w:hAnsi="仿宋" w:eastAsia="仿宋" w:cs="仿宋"/>
          <w:color w:val="auto"/>
          <w:sz w:val="28"/>
          <w:szCs w:val="21"/>
        </w:rPr>
        <w:t>退还时间：履约完毕后七个工作日内。</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合同公告</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采购人应当自政府采购合同签订之日起2个工作日内，将政府采购合同在四川政府采购网公告，但政府采购合同中涉及国家秘密、商业秘密的内容除外。</w:t>
      </w:r>
    </w:p>
    <w:p>
      <w:pPr>
        <w:pStyle w:val="5"/>
        <w:spacing w:line="600" w:lineRule="exact"/>
        <w:rPr>
          <w:rFonts w:hint="eastAsia" w:ascii="仿宋" w:hAnsi="仿宋" w:eastAsia="仿宋" w:cs="仿宋"/>
          <w:color w:val="auto"/>
        </w:rPr>
      </w:pPr>
      <w:r>
        <w:rPr>
          <w:rFonts w:hint="eastAsia" w:ascii="仿宋" w:hAnsi="仿宋" w:eastAsia="仿宋" w:cs="仿宋"/>
          <w:color w:val="auto"/>
        </w:rPr>
        <w:t>合同备案</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疫情防控期间，采购人原则上在5个工作日内与供应商签订政府采购合同及按成都东部新区党工委管委会(成都市东部新城办)财政金融局的要求完成合同备案工作。</w:t>
      </w:r>
    </w:p>
    <w:bookmarkEnd w:id="57"/>
    <w:p>
      <w:pPr>
        <w:pStyle w:val="5"/>
        <w:spacing w:line="600" w:lineRule="exact"/>
        <w:rPr>
          <w:rFonts w:hint="eastAsia" w:ascii="仿宋" w:hAnsi="仿宋" w:eastAsia="仿宋" w:cs="仿宋"/>
          <w:color w:val="auto"/>
        </w:rPr>
      </w:pPr>
      <w:bookmarkStart w:id="61" w:name="_Toc217446070"/>
      <w:r>
        <w:rPr>
          <w:rFonts w:hint="eastAsia" w:ascii="仿宋" w:hAnsi="仿宋" w:eastAsia="仿宋" w:cs="仿宋"/>
          <w:color w:val="auto"/>
        </w:rPr>
        <w:t>履行合同</w:t>
      </w:r>
    </w:p>
    <w:p>
      <w:pPr>
        <w:widowControl w:val="0"/>
        <w:numPr>
          <w:ilvl w:val="0"/>
          <w:numId w:val="25"/>
        </w:numPr>
        <w:tabs>
          <w:tab w:val="left" w:pos="1134"/>
        </w:tabs>
        <w:spacing w:line="600" w:lineRule="exact"/>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合同一经签订，双方应严格履行合同规定的义务。</w:t>
      </w:r>
    </w:p>
    <w:p>
      <w:pPr>
        <w:widowControl w:val="0"/>
        <w:numPr>
          <w:ilvl w:val="0"/>
          <w:numId w:val="25"/>
        </w:numPr>
        <w:tabs>
          <w:tab w:val="left" w:pos="1134"/>
        </w:tabs>
        <w:spacing w:line="600" w:lineRule="exact"/>
        <w:ind w:left="0" w:firstLine="565" w:firstLineChars="202"/>
        <w:jc w:val="both"/>
        <w:rPr>
          <w:rFonts w:hint="eastAsia" w:ascii="仿宋" w:hAnsi="仿宋" w:eastAsia="仿宋" w:cs="仿宋"/>
          <w:color w:val="auto"/>
        </w:rPr>
      </w:pPr>
      <w:r>
        <w:rPr>
          <w:rFonts w:hint="eastAsia" w:ascii="仿宋" w:hAnsi="仿宋" w:eastAsia="仿宋" w:cs="仿宋"/>
          <w:color w:val="auto"/>
          <w:sz w:val="28"/>
          <w:szCs w:val="28"/>
        </w:rPr>
        <w:t>在合同履行过程中，如发生合同纠纷，合同双方应按照《中华人民共和国民法典》及合同条款的有关规定进行处理。</w:t>
      </w:r>
    </w:p>
    <w:p>
      <w:pPr>
        <w:pStyle w:val="5"/>
        <w:spacing w:line="600" w:lineRule="exact"/>
        <w:rPr>
          <w:rFonts w:hint="eastAsia" w:ascii="仿宋" w:hAnsi="仿宋" w:eastAsia="仿宋" w:cs="仿宋"/>
          <w:color w:val="auto"/>
        </w:rPr>
      </w:pPr>
      <w:r>
        <w:rPr>
          <w:rFonts w:hint="eastAsia" w:ascii="仿宋" w:hAnsi="仿宋" w:eastAsia="仿宋" w:cs="仿宋"/>
          <w:color w:val="auto"/>
        </w:rPr>
        <w:t>验收</w:t>
      </w:r>
      <w:bookmarkEnd w:id="61"/>
    </w:p>
    <w:p>
      <w:pPr>
        <w:pStyle w:val="13"/>
        <w:spacing w:line="60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rPr>
        <w:t>采购人严格按照国家相关法律法规的要求组织验收或考核。</w:t>
      </w:r>
    </w:p>
    <w:p>
      <w:pPr>
        <w:pStyle w:val="5"/>
        <w:spacing w:line="600" w:lineRule="exact"/>
        <w:rPr>
          <w:rFonts w:hint="eastAsia" w:ascii="仿宋" w:hAnsi="仿宋" w:eastAsia="仿宋" w:cs="仿宋"/>
          <w:color w:val="auto"/>
        </w:rPr>
      </w:pPr>
      <w:r>
        <w:rPr>
          <w:rFonts w:hint="eastAsia" w:ascii="仿宋" w:hAnsi="仿宋" w:eastAsia="仿宋" w:cs="仿宋"/>
          <w:color w:val="auto"/>
        </w:rPr>
        <w:t>资金支付</w:t>
      </w:r>
    </w:p>
    <w:p>
      <w:pPr>
        <w:pStyle w:val="27"/>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采购人按财政部门得有关规定及采购合同的约定进行支付。</w:t>
      </w:r>
    </w:p>
    <w:p>
      <w:pPr>
        <w:pStyle w:val="4"/>
        <w:spacing w:line="600" w:lineRule="exact"/>
        <w:rPr>
          <w:rFonts w:hint="eastAsia" w:ascii="仿宋" w:hAnsi="仿宋" w:eastAsia="仿宋" w:cs="仿宋"/>
          <w:color w:val="auto"/>
        </w:rPr>
      </w:pPr>
      <w:bookmarkStart w:id="62" w:name="_Toc25786"/>
      <w:bookmarkStart w:id="63" w:name="_Toc72938435"/>
      <w:r>
        <w:rPr>
          <w:rFonts w:hint="eastAsia" w:ascii="仿宋" w:hAnsi="仿宋" w:eastAsia="仿宋" w:cs="仿宋"/>
          <w:color w:val="auto"/>
        </w:rPr>
        <w:t>竞争性磋商工作纪律及要求</w:t>
      </w:r>
      <w:bookmarkEnd w:id="62"/>
      <w:bookmarkEnd w:id="63"/>
    </w:p>
    <w:p>
      <w:pPr>
        <w:pStyle w:val="5"/>
        <w:spacing w:line="600" w:lineRule="exact"/>
        <w:ind w:left="0" w:firstLine="0"/>
        <w:rPr>
          <w:rFonts w:hint="eastAsia" w:ascii="仿宋" w:hAnsi="仿宋" w:eastAsia="仿宋" w:cs="仿宋"/>
          <w:color w:val="auto"/>
        </w:rPr>
      </w:pPr>
      <w:bookmarkStart w:id="64" w:name="_Toc217446075"/>
      <w:r>
        <w:rPr>
          <w:rFonts w:hint="eastAsia" w:ascii="仿宋" w:hAnsi="仿宋" w:eastAsia="仿宋" w:cs="仿宋"/>
          <w:color w:val="auto"/>
        </w:rPr>
        <w:t>供应商不得具有的情形</w:t>
      </w:r>
      <w:bookmarkEnd w:id="64"/>
    </w:p>
    <w:p>
      <w:pPr>
        <w:pStyle w:val="13"/>
        <w:spacing w:line="60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rPr>
        <w:t>供应商参加磋商不得有下列情形：</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有下列情形之一的，视为供应商串通参加本次竞争性磋商采购活动：</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（一）不同供应商的施工响应文件由同一单位或者个人编制；</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（二）不同供应商委托同一单位或者个人办理磋商事宜；</w:t>
      </w:r>
    </w:p>
    <w:p>
      <w:pPr>
        <w:tabs>
          <w:tab w:val="left" w:pos="1134"/>
        </w:tabs>
        <w:spacing w:line="600" w:lineRule="exact"/>
        <w:ind w:firstLine="537" w:firstLineChars="192"/>
        <w:rPr>
          <w:rFonts w:hint="eastAsia" w:ascii="仿宋" w:hAnsi="仿宋" w:eastAsia="仿宋" w:cs="仿宋"/>
          <w:color w:val="auto"/>
          <w:sz w:val="28"/>
          <w:szCs w:val="28"/>
        </w:rPr>
      </w:pPr>
      <w:r>
        <w:rPr>
          <w:rFonts w:hint="eastAsia" w:ascii="仿宋" w:hAnsi="仿宋" w:eastAsia="仿宋" w:cs="仿宋"/>
          <w:color w:val="auto"/>
          <w:sz w:val="28"/>
          <w:szCs w:val="28"/>
        </w:rPr>
        <w:t>（三）不同供应商的施工响应文件载明的项目管理成员或者联系人员为同一人；</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（四）不同供应商的施工响应文件异常一致或者最后报价呈规律性差异；</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（五）不同供应商的施工响应文件相互混装；</w:t>
      </w:r>
    </w:p>
    <w:p>
      <w:pPr>
        <w:tabs>
          <w:tab w:val="left" w:pos="1134"/>
        </w:tabs>
        <w:spacing w:line="600" w:lineRule="exact"/>
        <w:ind w:left="538"/>
        <w:rPr>
          <w:rFonts w:hint="eastAsia" w:ascii="仿宋" w:hAnsi="仿宋" w:eastAsia="仿宋" w:cs="仿宋"/>
          <w:color w:val="auto"/>
          <w:sz w:val="28"/>
          <w:szCs w:val="28"/>
        </w:rPr>
      </w:pPr>
      <w:r>
        <w:rPr>
          <w:rFonts w:hint="eastAsia" w:ascii="仿宋" w:hAnsi="仿宋" w:eastAsia="仿宋" w:cs="仿宋"/>
          <w:color w:val="auto"/>
          <w:sz w:val="28"/>
          <w:szCs w:val="28"/>
        </w:rPr>
        <w:t xml:space="preserve">（六）不同供应商的磋商保证金从同一单位或者个人的账户转出； </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提供虚假材料谋取成交；</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采取不正当手段诋毁、排挤其他供应商；</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与采购人或东部新区综合部、其他供应商恶意串通；</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向采购人或东部新区综合部、磋商小组成员行贿或者提供其他不正当利益；</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成交后无正当理由拒不与采购人签订政府采购合同；</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未按照采购文件确定的事项签订政府采购合同；</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将政府采购合同转包或者违规分包；</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提供假冒伪劣产品；</w:t>
      </w:r>
    </w:p>
    <w:p>
      <w:pPr>
        <w:widowControl w:val="0"/>
        <w:numPr>
          <w:ilvl w:val="1"/>
          <w:numId w:val="26"/>
        </w:numPr>
        <w:tabs>
          <w:tab w:val="left" w:pos="1134"/>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擅自变更、中止或者终止政府采购合同；</w:t>
      </w:r>
    </w:p>
    <w:p>
      <w:pPr>
        <w:widowControl w:val="0"/>
        <w:numPr>
          <w:ilvl w:val="1"/>
          <w:numId w:val="26"/>
        </w:numPr>
        <w:tabs>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在行贿犯罪信息查询期限内，根据中国裁判文书网（http://wenshu.court.gov.cn）查询结果供应商及其现任法定代表人、主要负责人有行贿犯罪记录；</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处于被行政部门禁止参与政府采购活动的期限内；</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拒绝有关部门的监督检查或者向监督检查部门提供虚假情况；</w:t>
      </w:r>
    </w:p>
    <w:p>
      <w:pPr>
        <w:widowControl w:val="0"/>
        <w:numPr>
          <w:ilvl w:val="1"/>
          <w:numId w:val="26"/>
        </w:numPr>
        <w:tabs>
          <w:tab w:val="left" w:pos="1134"/>
          <w:tab w:val="left" w:pos="1418"/>
        </w:tabs>
        <w:spacing w:line="600" w:lineRule="exact"/>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法律法规规定的其他情形。</w:t>
      </w:r>
    </w:p>
    <w:p>
      <w:pPr>
        <w:pStyle w:val="13"/>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rFonts w:hint="eastAsia" w:ascii="仿宋" w:hAnsi="仿宋" w:eastAsia="仿宋" w:cs="仿宋"/>
          <w:color w:val="auto"/>
        </w:rPr>
      </w:pPr>
      <w:bookmarkStart w:id="65" w:name="_Toc314574786"/>
      <w:r>
        <w:rPr>
          <w:rFonts w:hint="eastAsia" w:ascii="仿宋" w:hAnsi="仿宋" w:eastAsia="仿宋" w:cs="仿宋"/>
          <w:color w:val="auto"/>
        </w:rPr>
        <w:t>保密</w:t>
      </w:r>
      <w:bookmarkEnd w:id="65"/>
    </w:p>
    <w:p>
      <w:pPr>
        <w:pStyle w:val="13"/>
        <w:numPr>
          <w:ilvl w:val="0"/>
          <w:numId w:val="27"/>
        </w:numPr>
        <w:tabs>
          <w:tab w:val="left" w:pos="1134"/>
        </w:tabs>
        <w:spacing w:line="60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不得透露有关潜在供应商的任何情况。</w:t>
      </w:r>
    </w:p>
    <w:p>
      <w:pPr>
        <w:pStyle w:val="13"/>
        <w:numPr>
          <w:ilvl w:val="0"/>
          <w:numId w:val="27"/>
        </w:numPr>
        <w:tabs>
          <w:tab w:val="left" w:pos="1134"/>
        </w:tabs>
        <w:spacing w:line="60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有关施工响应文件的审查、澄清、评估和比较以及合同授予意向等情况都不得对外透露。</w:t>
      </w:r>
    </w:p>
    <w:p>
      <w:pPr>
        <w:pStyle w:val="5"/>
        <w:spacing w:line="600" w:lineRule="exact"/>
        <w:ind w:left="0" w:firstLine="0"/>
        <w:rPr>
          <w:rFonts w:hint="eastAsia" w:ascii="仿宋" w:hAnsi="仿宋" w:eastAsia="仿宋" w:cs="仿宋"/>
          <w:color w:val="auto"/>
        </w:rPr>
      </w:pPr>
      <w:r>
        <w:rPr>
          <w:rFonts w:hint="eastAsia" w:ascii="仿宋" w:hAnsi="仿宋" w:eastAsia="仿宋" w:cs="仿宋"/>
          <w:color w:val="auto"/>
        </w:rPr>
        <w:t>回避</w:t>
      </w:r>
    </w:p>
    <w:p>
      <w:pPr>
        <w:pStyle w:val="41"/>
        <w:shd w:val="clear" w:color="auto" w:fill="FFFFFF"/>
        <w:spacing w:before="156" w:beforeAutospacing="0" w:after="156" w:afterAutospacing="0" w:line="600" w:lineRule="exact"/>
        <w:ind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（一）参加采购活动前3年内与供应商存在劳动关系；</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（二）参加采购活动前3年内担任供应商的董事、监事；</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　　（五）与供应商有其他可能影响政府采购活动公平、公正进行的关系。</w:t>
      </w:r>
    </w:p>
    <w:p>
      <w:pPr>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hint="eastAsia" w:ascii="仿宋" w:hAnsi="仿宋" w:eastAsia="仿宋" w:cs="仿宋"/>
          <w:color w:val="auto"/>
        </w:rPr>
      </w:pPr>
      <w:bookmarkStart w:id="66" w:name="_Toc405886181"/>
      <w:bookmarkStart w:id="67" w:name="_Toc16572"/>
      <w:bookmarkStart w:id="68" w:name="_Toc72938436"/>
      <w:r>
        <w:rPr>
          <w:rFonts w:hint="eastAsia" w:ascii="仿宋" w:hAnsi="仿宋" w:eastAsia="仿宋" w:cs="仿宋"/>
          <w:color w:val="auto"/>
        </w:rPr>
        <w:t>询问、质疑</w:t>
      </w:r>
      <w:bookmarkEnd w:id="66"/>
      <w:r>
        <w:rPr>
          <w:rFonts w:hint="eastAsia" w:ascii="仿宋" w:hAnsi="仿宋" w:eastAsia="仿宋" w:cs="仿宋"/>
          <w:color w:val="auto"/>
        </w:rPr>
        <w:t>和投诉</w:t>
      </w:r>
      <w:bookmarkEnd w:id="67"/>
      <w:bookmarkEnd w:id="68"/>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供应商认为磋商文件、磋商过程和成交结果使自己的合法权益受到损害的，可以依法进行质疑。</w:t>
      </w:r>
    </w:p>
    <w:p>
      <w:pPr>
        <w:pStyle w:val="82"/>
        <w:numPr>
          <w:ilvl w:val="0"/>
          <w:numId w:val="28"/>
        </w:numPr>
        <w:tabs>
          <w:tab w:val="left" w:pos="1134"/>
        </w:tabs>
        <w:ind w:left="0"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供应商询问、质疑的对象</w:t>
      </w:r>
    </w:p>
    <w:p>
      <w:pPr>
        <w:pStyle w:val="27"/>
        <w:numPr>
          <w:ilvl w:val="1"/>
          <w:numId w:val="29"/>
        </w:numPr>
        <w:tabs>
          <w:tab w:val="left" w:pos="1134"/>
        </w:tabs>
        <w:spacing w:after="120"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29"/>
        </w:numPr>
        <w:tabs>
          <w:tab w:val="left" w:pos="1134"/>
        </w:tabs>
        <w:spacing w:after="120"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供应商对除上述磋商文件中的其他内容、采购过程及成交结果提出询问、质疑的，应向东部新区综合部提出。</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供应商提出的询问，应当明确询问事项，如以书面形式提出的，应由供应商签字并加盖公章。</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供应商应在法定质疑期内一次性提出针对同一采购程序环节的质疑。</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供应商提出质疑时应当准备的资料</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质疑书1份（加盖公章）；</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委托代理人办理质疑事宜的需提供：法定代表人授权委托书1份（加盖公章）；</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营业执照或法人证书复印件1份；</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法定代表人身份证复印件1份；</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委托代理人身份证复印件1份（委托代理人办理质疑事宜的需提供）；</w:t>
      </w:r>
    </w:p>
    <w:p>
      <w:pPr>
        <w:pStyle w:val="82"/>
        <w:widowControl w:val="0"/>
        <w:numPr>
          <w:ilvl w:val="1"/>
          <w:numId w:val="30"/>
        </w:numPr>
        <w:tabs>
          <w:tab w:val="left" w:pos="1134"/>
        </w:tabs>
        <w:spacing w:after="200" w:line="600"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针对质疑事项必要的证明材料。</w:t>
      </w:r>
    </w:p>
    <w:p>
      <w:pPr>
        <w:pStyle w:val="27"/>
        <w:numPr>
          <w:ilvl w:val="0"/>
          <w:numId w:val="28"/>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hint="eastAsia" w:ascii="仿宋" w:hAnsi="仿宋" w:eastAsia="仿宋" w:cs="仿宋"/>
          <w:color w:val="auto"/>
        </w:rPr>
      </w:pPr>
      <w:bookmarkStart w:id="69" w:name="_Toc376425021"/>
      <w:bookmarkEnd w:id="69"/>
      <w:bookmarkStart w:id="70" w:name="_Toc72938437"/>
      <w:bookmarkStart w:id="71" w:name="_Toc3363724"/>
      <w:bookmarkStart w:id="72" w:name="_Toc15606"/>
      <w:r>
        <w:rPr>
          <w:rFonts w:hint="eastAsia" w:ascii="仿宋" w:hAnsi="仿宋" w:eastAsia="仿宋" w:cs="仿宋"/>
          <w:color w:val="auto"/>
        </w:rPr>
        <w:t>中小企业政府采购信用融资</w:t>
      </w:r>
      <w:bookmarkEnd w:id="70"/>
      <w:bookmarkEnd w:id="71"/>
      <w:bookmarkEnd w:id="72"/>
    </w:p>
    <w:p>
      <w:pPr>
        <w:pStyle w:val="27"/>
        <w:numPr>
          <w:ilvl w:val="0"/>
          <w:numId w:val="31"/>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参加本次采购活动成交的中小企业无需提供财产抵押或第三方担保，凭借政府采购合同可向融资机构申请融资。</w:t>
      </w:r>
    </w:p>
    <w:p>
      <w:pPr>
        <w:pStyle w:val="27"/>
        <w:numPr>
          <w:ilvl w:val="0"/>
          <w:numId w:val="31"/>
        </w:numPr>
        <w:tabs>
          <w:tab w:val="left" w:pos="1134"/>
        </w:tabs>
        <w:spacing w:line="60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rPr>
          <w:rFonts w:hint="eastAsia" w:ascii="仿宋" w:hAnsi="仿宋" w:eastAsia="仿宋" w:cs="仿宋"/>
          <w:color w:val="auto"/>
        </w:rPr>
      </w:pPr>
      <w:bookmarkStart w:id="73" w:name="_Toc72938438"/>
      <w:bookmarkStart w:id="74" w:name="_Toc20029"/>
      <w:r>
        <w:rPr>
          <w:rFonts w:hint="eastAsia" w:ascii="仿宋" w:hAnsi="仿宋" w:eastAsia="仿宋" w:cs="仿宋"/>
          <w:color w:val="auto"/>
        </w:rPr>
        <w:t>其他</w:t>
      </w:r>
      <w:bookmarkEnd w:id="73"/>
      <w:bookmarkEnd w:id="74"/>
    </w:p>
    <w:p>
      <w:pPr>
        <w:tabs>
          <w:tab w:val="left" w:pos="1134"/>
        </w:tabs>
        <w:spacing w:line="600" w:lineRule="exact"/>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1"/>
          <w:lang w:val="zh-CN"/>
        </w:rPr>
        <w:t>（实质性要求）</w:t>
      </w:r>
      <w:r>
        <w:rPr>
          <w:rFonts w:hint="eastAsia" w:ascii="仿宋" w:hAnsi="仿宋" w:eastAsia="仿宋" w:cs="仿宋"/>
          <w:color w:val="auto"/>
          <w:sz w:val="28"/>
          <w:szCs w:val="28"/>
        </w:rPr>
        <w:t>国家或行业主管部门对工程项目的技术标准、质量标准等有强制性规定的，必须符合其要求。</w:t>
      </w:r>
    </w:p>
    <w:p>
      <w:pPr>
        <w:pStyle w:val="2"/>
        <w:rPr>
          <w:rFonts w:hint="eastAsia" w:ascii="仿宋" w:hAnsi="仿宋" w:eastAsia="仿宋" w:cs="仿宋"/>
          <w:color w:val="auto"/>
        </w:rPr>
      </w:pPr>
    </w:p>
    <w:p>
      <w:pPr>
        <w:rPr>
          <w:rFonts w:hint="eastAsia" w:ascii="仿宋" w:hAnsi="仿宋" w:eastAsia="仿宋" w:cs="仿宋"/>
          <w:color w:val="auto"/>
        </w:rPr>
        <w:sectPr>
          <w:footerReference r:id="rId13" w:type="first"/>
          <w:headerReference r:id="rId11" w:type="default"/>
          <w:footerReference r:id="rId12" w:type="default"/>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hint="eastAsia" w:ascii="仿宋" w:hAnsi="仿宋" w:eastAsia="仿宋" w:cs="仿宋"/>
          <w:color w:val="auto"/>
        </w:rPr>
      </w:pPr>
      <w:bookmarkStart w:id="75" w:name="_Toc72938439"/>
      <w:bookmarkStart w:id="76" w:name="_Toc9332"/>
      <w:r>
        <w:rPr>
          <w:rFonts w:hint="eastAsia" w:ascii="仿宋" w:hAnsi="仿宋" w:eastAsia="仿宋" w:cs="仿宋"/>
          <w:color w:val="auto"/>
        </w:rPr>
        <w:t>施工响应文件格式</w:t>
      </w:r>
      <w:bookmarkEnd w:id="75"/>
      <w:bookmarkEnd w:id="76"/>
    </w:p>
    <w:p>
      <w:pPr>
        <w:pStyle w:val="4"/>
        <w:rPr>
          <w:rFonts w:hint="eastAsia" w:ascii="仿宋" w:hAnsi="仿宋" w:eastAsia="仿宋" w:cs="仿宋"/>
          <w:color w:val="auto"/>
        </w:rPr>
      </w:pPr>
      <w:bookmarkStart w:id="77" w:name="_Toc72938440"/>
      <w:bookmarkStart w:id="78" w:name="_Toc28633"/>
      <w:bookmarkStart w:id="79" w:name="_Toc448403805"/>
      <w:bookmarkStart w:id="80" w:name="_Toc320698765"/>
      <w:r>
        <w:rPr>
          <w:rFonts w:hint="eastAsia" w:ascii="仿宋" w:hAnsi="仿宋" w:eastAsia="仿宋" w:cs="仿宋"/>
          <w:color w:val="auto"/>
        </w:rPr>
        <w:t>施工响应文件格式</w:t>
      </w:r>
      <w:bookmarkEnd w:id="77"/>
      <w:bookmarkEnd w:id="78"/>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施工响应文件封面格式</w:t>
      </w:r>
      <w:bookmarkEnd w:id="79"/>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spacing w:line="360" w:lineRule="auto"/>
        <w:jc w:val="center"/>
        <w:rPr>
          <w:rFonts w:hint="eastAsia" w:ascii="仿宋" w:hAnsi="仿宋" w:eastAsia="仿宋" w:cs="仿宋"/>
          <w:color w:val="auto"/>
          <w:spacing w:val="78"/>
          <w:sz w:val="96"/>
          <w:szCs w:val="120"/>
        </w:rPr>
      </w:pPr>
      <w:r>
        <w:rPr>
          <w:rFonts w:hint="eastAsia" w:ascii="仿宋" w:hAnsi="仿宋" w:eastAsia="仿宋" w:cs="仿宋"/>
          <w:color w:val="auto"/>
          <w:spacing w:val="78"/>
          <w:sz w:val="96"/>
          <w:szCs w:val="120"/>
        </w:rPr>
        <w:t>施工响应文件</w:t>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spacing w:line="360" w:lineRule="auto"/>
        <w:jc w:val="center"/>
        <w:rPr>
          <w:rFonts w:hint="eastAsia" w:ascii="仿宋" w:hAnsi="仿宋" w:eastAsia="仿宋" w:cs="仿宋"/>
          <w:bCs/>
          <w:color w:val="auto"/>
          <w:sz w:val="36"/>
        </w:rPr>
      </w:pPr>
    </w:p>
    <w:p>
      <w:pPr>
        <w:spacing w:line="360" w:lineRule="auto"/>
        <w:jc w:val="center"/>
        <w:rPr>
          <w:rFonts w:hint="eastAsia" w:ascii="仿宋" w:hAnsi="仿宋" w:eastAsia="仿宋" w:cs="仿宋"/>
          <w:bCs/>
          <w:color w:val="auto"/>
          <w:sz w:val="36"/>
        </w:rPr>
      </w:pPr>
    </w:p>
    <w:p>
      <w:pPr>
        <w:spacing w:line="360" w:lineRule="auto"/>
        <w:jc w:val="center"/>
        <w:rPr>
          <w:rFonts w:hint="eastAsia" w:ascii="仿宋" w:hAnsi="仿宋" w:eastAsia="仿宋" w:cs="仿宋"/>
          <w:bCs/>
          <w:color w:val="auto"/>
          <w:sz w:val="36"/>
        </w:rPr>
      </w:pPr>
    </w:p>
    <w:p>
      <w:pPr>
        <w:spacing w:line="360" w:lineRule="auto"/>
        <w:ind w:left="1751" w:hanging="1751" w:hangingChars="545"/>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lang w:eastAsia="zh-CN"/>
        </w:rPr>
        <w:t>成都东部新区石盘街道石盘小学家属院落改造工程项目</w:t>
      </w:r>
    </w:p>
    <w:p>
      <w:pPr>
        <w:spacing w:line="360" w:lineRule="auto"/>
        <w:rPr>
          <w:rFonts w:hint="eastAsia" w:ascii="仿宋" w:hAnsi="仿宋" w:eastAsia="仿宋" w:cs="仿宋"/>
          <w:b/>
          <w:color w:val="auto"/>
          <w:sz w:val="32"/>
          <w:szCs w:val="32"/>
          <w:u w:val="single"/>
          <w:lang w:eastAsia="zh-CN"/>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lang w:eastAsia="zh-CN"/>
        </w:rPr>
        <w:t>东部新区政采（2021）A0051号</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ind w:firstLine="630" w:firstLineChars="196"/>
        <w:rPr>
          <w:rFonts w:hint="eastAsia" w:ascii="仿宋" w:hAnsi="仿宋" w:eastAsia="仿宋" w:cs="仿宋"/>
          <w:b/>
          <w:bCs/>
          <w:color w:val="auto"/>
          <w:sz w:val="32"/>
          <w:szCs w:val="32"/>
        </w:rPr>
      </w:pPr>
      <w:r>
        <w:rPr>
          <w:rFonts w:hint="eastAsia" w:ascii="仿宋" w:hAnsi="仿宋" w:eastAsia="仿宋" w:cs="仿宋"/>
          <w:b/>
          <w:bCs/>
          <w:color w:val="auto"/>
          <w:sz w:val="32"/>
          <w:szCs w:val="32"/>
        </w:rPr>
        <w:t>供应商名称：XXXX</w:t>
      </w:r>
    </w:p>
    <w:p>
      <w:pPr>
        <w:spacing w:line="360" w:lineRule="auto"/>
        <w:ind w:firstLine="565" w:firstLineChars="176"/>
        <w:rPr>
          <w:rFonts w:hint="eastAsia" w:ascii="仿宋" w:hAnsi="仿宋" w:eastAsia="仿宋" w:cs="仿宋"/>
          <w:b/>
          <w:bCs/>
          <w:color w:val="auto"/>
          <w:sz w:val="32"/>
          <w:szCs w:val="32"/>
        </w:rPr>
      </w:pPr>
      <w:r>
        <w:rPr>
          <w:rFonts w:hint="eastAsia" w:ascii="仿宋" w:hAnsi="仿宋" w:eastAsia="仿宋" w:cs="仿宋"/>
          <w:b/>
          <w:bCs/>
          <w:color w:val="auto"/>
          <w:sz w:val="32"/>
          <w:szCs w:val="32"/>
        </w:rPr>
        <w:t>日      期：202X年XX月XX日</w:t>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pStyle w:val="5"/>
        <w:tabs>
          <w:tab w:val="left" w:pos="709"/>
        </w:tabs>
        <w:ind w:left="1135" w:hanging="1135"/>
        <w:jc w:val="left"/>
        <w:rPr>
          <w:rFonts w:hint="eastAsia" w:ascii="仿宋" w:hAnsi="仿宋" w:eastAsia="仿宋" w:cs="仿宋"/>
          <w:color w:val="auto"/>
        </w:rPr>
      </w:pPr>
      <w:r>
        <w:rPr>
          <w:rFonts w:hint="eastAsia" w:ascii="仿宋" w:hAnsi="仿宋" w:eastAsia="仿宋" w:cs="仿宋"/>
          <w:color w:val="auto"/>
        </w:rPr>
        <w:t>商务技术响应文件</w:t>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lang w:eastAsia="zh-CN"/>
        </w:rPr>
        <w:t>参加采购项目的承诺函</w:t>
      </w:r>
    </w:p>
    <w:p>
      <w:pPr>
        <w:snapToGrid w:val="0"/>
        <w:spacing w:line="360" w:lineRule="auto"/>
        <w:rPr>
          <w:rFonts w:hint="eastAsia" w:ascii="仿宋" w:hAnsi="仿宋" w:eastAsia="仿宋" w:cs="仿宋"/>
          <w:b/>
          <w:color w:val="auto"/>
          <w:sz w:val="28"/>
          <w:szCs w:val="28"/>
          <w:u w:val="single"/>
          <w:lang w:eastAsia="zh-CN"/>
        </w:rPr>
      </w:pPr>
      <w:bookmarkStart w:id="81" w:name="_Hlk84928275"/>
      <w:r>
        <w:rPr>
          <w:rFonts w:hint="eastAsia" w:ascii="仿宋" w:hAnsi="仿宋" w:eastAsia="仿宋" w:cs="仿宋"/>
          <w:b/>
          <w:color w:val="auto"/>
          <w:sz w:val="28"/>
          <w:szCs w:val="28"/>
        </w:rPr>
        <w:t>项</w:t>
      </w:r>
      <w:r>
        <w:rPr>
          <w:rFonts w:hint="eastAsia" w:ascii="仿宋" w:hAnsi="仿宋" w:eastAsia="仿宋" w:cs="仿宋"/>
          <w:b/>
          <w:color w:val="auto"/>
          <w:spacing w:val="-20"/>
          <w:sz w:val="28"/>
          <w:szCs w:val="28"/>
        </w:rPr>
        <w:t>目名称：</w:t>
      </w:r>
      <w:r>
        <w:rPr>
          <w:rFonts w:hint="eastAsia" w:ascii="仿宋" w:hAnsi="仿宋" w:eastAsia="仿宋" w:cs="仿宋"/>
          <w:b/>
          <w:color w:val="auto"/>
          <w:sz w:val="28"/>
          <w:szCs w:val="28"/>
          <w:u w:val="single"/>
          <w:lang w:eastAsia="zh-CN"/>
        </w:rPr>
        <w:t>成都东部新区石盘街道石盘小学家属院落改造工程项目</w:t>
      </w:r>
    </w:p>
    <w:p>
      <w:pPr>
        <w:snapToGrid w:val="0"/>
        <w:spacing w:line="360" w:lineRule="auto"/>
        <w:rPr>
          <w:rFonts w:hint="eastAsia" w:ascii="仿宋" w:hAnsi="仿宋" w:eastAsia="仿宋" w:cs="仿宋"/>
          <w:b/>
          <w:color w:val="auto"/>
          <w:sz w:val="28"/>
          <w:szCs w:val="28"/>
          <w:u w:val="single"/>
          <w:lang w:eastAsia="zh-CN"/>
        </w:rPr>
      </w:pPr>
      <w:r>
        <w:rPr>
          <w:rFonts w:hint="eastAsia" w:ascii="仿宋" w:hAnsi="仿宋" w:eastAsia="仿宋" w:cs="仿宋"/>
          <w:b/>
          <w:color w:val="auto"/>
          <w:sz w:val="28"/>
          <w:szCs w:val="28"/>
        </w:rPr>
        <w:t>项目编号：</w:t>
      </w:r>
      <w:r>
        <w:rPr>
          <w:rFonts w:hint="eastAsia" w:ascii="仿宋" w:hAnsi="仿宋" w:eastAsia="仿宋" w:cs="仿宋"/>
          <w:b/>
          <w:color w:val="auto"/>
          <w:sz w:val="28"/>
          <w:szCs w:val="28"/>
          <w:u w:val="single"/>
          <w:lang w:eastAsia="zh-CN"/>
        </w:rPr>
        <w:t>东部新区政采（2021）A0051号</w:t>
      </w:r>
    </w:p>
    <w:bookmarkEnd w:id="81"/>
    <w:p>
      <w:pPr>
        <w:spacing w:line="588" w:lineRule="exact"/>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 xml:space="preserve">成都东部新区党工委管委会（成都市东部新城办）综合部: </w:t>
      </w:r>
    </w:p>
    <w:p>
      <w:pPr>
        <w:spacing w:line="588" w:lineRule="exact"/>
        <w:ind w:firstLine="560" w:firstLineChars="200"/>
        <w:jc w:val="both"/>
        <w:rPr>
          <w:rFonts w:hint="eastAsia" w:ascii="仿宋" w:hAnsi="仿宋" w:eastAsia="仿宋" w:cs="仿宋"/>
          <w:color w:val="auto"/>
          <w:spacing w:val="6"/>
          <w:sz w:val="28"/>
          <w:szCs w:val="28"/>
        </w:rPr>
      </w:pPr>
      <w:r>
        <w:rPr>
          <w:rFonts w:hint="eastAsia" w:ascii="仿宋" w:hAnsi="仿宋" w:eastAsia="仿宋" w:cs="仿宋"/>
          <w:bCs/>
          <w:color w:val="auto"/>
          <w:sz w:val="28"/>
          <w:szCs w:val="28"/>
        </w:rPr>
        <w:t>我方全面研究了</w:t>
      </w:r>
      <w:r>
        <w:rPr>
          <w:rFonts w:hint="eastAsia" w:ascii="仿宋" w:hAnsi="仿宋" w:eastAsia="仿宋" w:cs="仿宋"/>
          <w:bCs/>
          <w:color w:val="auto"/>
          <w:sz w:val="28"/>
          <w:szCs w:val="28"/>
          <w:u w:val="single"/>
        </w:rPr>
        <w:t>“</w:t>
      </w:r>
      <w:r>
        <w:rPr>
          <w:rFonts w:hint="eastAsia" w:ascii="仿宋" w:hAnsi="仿宋" w:eastAsia="仿宋" w:cs="仿宋"/>
          <w:b/>
          <w:color w:val="auto"/>
          <w:sz w:val="28"/>
          <w:szCs w:val="28"/>
          <w:u w:val="single"/>
          <w:lang w:eastAsia="zh-CN"/>
        </w:rPr>
        <w:t>成都东部新区石盘街道石盘小学家属院落改造工程项目</w:t>
      </w:r>
      <w:r>
        <w:rPr>
          <w:rFonts w:hint="eastAsia" w:ascii="仿宋" w:hAnsi="仿宋" w:eastAsia="仿宋" w:cs="仿宋"/>
          <w:b/>
          <w:bCs/>
          <w:color w:val="auto"/>
          <w:sz w:val="28"/>
          <w:szCs w:val="28"/>
          <w:u w:val="single"/>
        </w:rPr>
        <w:t>”（项目编号：</w:t>
      </w:r>
      <w:r>
        <w:rPr>
          <w:rFonts w:hint="eastAsia" w:ascii="仿宋" w:hAnsi="仿宋" w:eastAsia="仿宋" w:cs="仿宋"/>
          <w:b/>
          <w:color w:val="auto"/>
          <w:sz w:val="28"/>
          <w:szCs w:val="28"/>
          <w:highlight w:val="red"/>
          <w:u w:val="single"/>
          <w:lang w:eastAsia="zh-CN"/>
        </w:rPr>
        <w:t>东部新区政采（2021）A0051号</w:t>
      </w:r>
      <w:r>
        <w:rPr>
          <w:rFonts w:hint="eastAsia" w:ascii="仿宋" w:hAnsi="仿宋" w:eastAsia="仿宋" w:cs="仿宋"/>
          <w:b/>
          <w:color w:val="auto"/>
          <w:sz w:val="28"/>
          <w:szCs w:val="28"/>
          <w:u w:val="single"/>
          <w:lang w:eastAsia="zh-CN"/>
        </w:rPr>
        <w:t>）</w:t>
      </w:r>
      <w:r>
        <w:rPr>
          <w:rFonts w:hint="eastAsia" w:ascii="仿宋" w:hAnsi="仿宋" w:eastAsia="仿宋" w:cs="仿宋"/>
          <w:bCs/>
          <w:color w:val="auto"/>
          <w:sz w:val="28"/>
          <w:szCs w:val="28"/>
        </w:rPr>
        <w:t>的磋商文件，决定参加贵单位组织的本项目的磋商。我方授权</w:t>
      </w:r>
      <w:r>
        <w:rPr>
          <w:rFonts w:hint="eastAsia" w:ascii="仿宋" w:hAnsi="仿宋" w:eastAsia="仿宋" w:cs="仿宋"/>
          <w:bCs/>
          <w:color w:val="auto"/>
          <w:sz w:val="28"/>
          <w:szCs w:val="28"/>
          <w:u w:val="single"/>
        </w:rPr>
        <w:t>XXX（姓名、职务）</w:t>
      </w:r>
      <w:r>
        <w:rPr>
          <w:rFonts w:hint="eastAsia" w:ascii="仿宋" w:hAnsi="仿宋" w:eastAsia="仿宋" w:cs="仿宋"/>
          <w:bCs/>
          <w:color w:val="auto"/>
          <w:sz w:val="28"/>
          <w:szCs w:val="28"/>
        </w:rPr>
        <w:t>代表我方</w:t>
      </w:r>
      <w:r>
        <w:rPr>
          <w:rFonts w:hint="eastAsia" w:ascii="仿宋" w:hAnsi="仿宋" w:eastAsia="仿宋" w:cs="仿宋"/>
          <w:bCs/>
          <w:color w:val="auto"/>
          <w:sz w:val="28"/>
          <w:szCs w:val="28"/>
          <w:u w:val="single"/>
        </w:rPr>
        <w:t>XXXXXXX（供应商名称）</w:t>
      </w:r>
      <w:r>
        <w:rPr>
          <w:rFonts w:hint="eastAsia" w:ascii="仿宋" w:hAnsi="仿宋" w:eastAsia="仿宋" w:cs="仿宋"/>
          <w:bCs/>
          <w:color w:val="auto"/>
          <w:sz w:val="28"/>
          <w:szCs w:val="28"/>
        </w:rPr>
        <w:t>全权处理本项目</w:t>
      </w:r>
      <w:r>
        <w:rPr>
          <w:rFonts w:hint="eastAsia" w:ascii="仿宋" w:hAnsi="仿宋" w:eastAsia="仿宋" w:cs="仿宋"/>
          <w:color w:val="auto"/>
          <w:spacing w:val="6"/>
          <w:sz w:val="28"/>
          <w:szCs w:val="28"/>
        </w:rPr>
        <w:t>磋商</w:t>
      </w:r>
      <w:r>
        <w:rPr>
          <w:rFonts w:hint="eastAsia" w:ascii="仿宋" w:hAnsi="仿宋" w:eastAsia="仿宋" w:cs="仿宋"/>
          <w:bCs/>
          <w:color w:val="auto"/>
          <w:sz w:val="28"/>
          <w:szCs w:val="28"/>
        </w:rPr>
        <w:t>的有关事宜。</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我方已知晓全部磋商文件的内容，包括修改文件（如有）以及全部相关资料和有关附件，并对上述文件均无异议，愿意以</w:t>
      </w:r>
      <w:r>
        <w:rPr>
          <w:rFonts w:hint="eastAsia" w:ascii="仿宋" w:hAnsi="仿宋" w:eastAsia="仿宋" w:cs="仿宋"/>
          <w:b/>
          <w:color w:val="auto"/>
          <w:sz w:val="28"/>
          <w:szCs w:val="28"/>
        </w:rPr>
        <w:t>人民币（大写）</w:t>
      </w:r>
      <w:r>
        <w:rPr>
          <w:rFonts w:hint="eastAsia" w:ascii="仿宋" w:hAnsi="仿宋" w:eastAsia="仿宋" w:cs="仿宋"/>
          <w:b/>
          <w:color w:val="auto"/>
          <w:sz w:val="28"/>
          <w:szCs w:val="28"/>
          <w:u w:val="single"/>
        </w:rPr>
        <w:t>　XX　</w:t>
      </w:r>
      <w:r>
        <w:rPr>
          <w:rFonts w:hint="eastAsia" w:ascii="仿宋" w:hAnsi="仿宋" w:eastAsia="仿宋" w:cs="仿宋"/>
          <w:b/>
          <w:color w:val="auto"/>
          <w:sz w:val="28"/>
          <w:szCs w:val="28"/>
        </w:rPr>
        <w:t>（￥: ）的总报价（已标价工程量清单），</w:t>
      </w:r>
      <w:r>
        <w:rPr>
          <w:rFonts w:hint="eastAsia" w:ascii="仿宋" w:hAnsi="仿宋" w:eastAsia="仿宋" w:cs="仿宋"/>
          <w:color w:val="auto"/>
          <w:sz w:val="28"/>
          <w:szCs w:val="28"/>
        </w:rPr>
        <w:t>按合同约定实施和完成承包工程，修补工程中的任何缺陷，工程质量达到规定要求标准。</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施工响应文件有效期为从递交施工响应文件截止之日起120天。我方承诺在施工响应文件有效期天内不修改、撤销施工响应文件。</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如我方成交：</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我方承诺在收到成交通知书后，在规定的期限内与采购人签订合同。</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我方承诺按照磋商文件规定的金额和方式向采购人缴纳履约保证金。</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我方将严格履行政府采购合同规定的责任和义务。</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我方愿意提供贵单位可能另外要求的，与</w:t>
      </w:r>
      <w:r>
        <w:rPr>
          <w:rFonts w:hint="eastAsia" w:ascii="仿宋" w:hAnsi="仿宋" w:eastAsia="仿宋" w:cs="仿宋"/>
          <w:color w:val="auto"/>
          <w:sz w:val="28"/>
          <w:szCs w:val="28"/>
          <w:lang w:eastAsia="zh-CN"/>
        </w:rPr>
        <w:t>合同总价</w:t>
      </w:r>
      <w:r>
        <w:rPr>
          <w:rFonts w:hint="eastAsia" w:ascii="仿宋" w:hAnsi="仿宋" w:eastAsia="仿宋" w:cs="仿宋"/>
          <w:color w:val="auto"/>
          <w:spacing w:val="6"/>
          <w:sz w:val="28"/>
          <w:szCs w:val="28"/>
        </w:rPr>
        <w:t>有关的文件资料，并保证我方已提供和将要提供的文件资料是真实、准确的。</w:t>
      </w:r>
    </w:p>
    <w:p>
      <w:pPr>
        <w:pStyle w:val="82"/>
        <w:numPr>
          <w:ilvl w:val="0"/>
          <w:numId w:val="33"/>
        </w:numPr>
        <w:spacing w:line="588" w:lineRule="exact"/>
        <w:ind w:left="0" w:firstLine="584" w:firstLineChars="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我方自愿按照磋商文件规定的各项要求完成工程建设项目，最后报价以在政府采购云平台提交为准，接受采购人按照政府采购合同约定金额支付采购资金。</w:t>
      </w:r>
    </w:p>
    <w:p>
      <w:pPr>
        <w:pStyle w:val="82"/>
        <w:numPr>
          <w:ilvl w:val="3"/>
          <w:numId w:val="32"/>
        </w:numPr>
        <w:tabs>
          <w:tab w:val="left" w:pos="1134"/>
        </w:tabs>
        <w:spacing w:line="588" w:lineRule="exact"/>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我单位联系方式：</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地址：</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传真：</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rPr>
        <w:t>XXXX</w:t>
      </w:r>
    </w:p>
    <w:p>
      <w:pPr>
        <w:pStyle w:val="27"/>
        <w:snapToGrid w:val="0"/>
        <w:spacing w:line="620" w:lineRule="exact"/>
        <w:ind w:firstLine="145" w:firstLineChars="52"/>
        <w:rPr>
          <w:rFonts w:hint="eastAsia" w:ascii="仿宋" w:hAnsi="仿宋" w:eastAsia="仿宋" w:cs="仿宋"/>
          <w:bCs/>
          <w:color w:val="auto"/>
          <w:sz w:val="28"/>
          <w:szCs w:val="28"/>
        </w:rPr>
      </w:pPr>
      <w:r>
        <w:rPr>
          <w:rFonts w:hint="eastAsia" w:ascii="仿宋" w:hAnsi="仿宋" w:eastAsia="仿宋" w:cs="仿宋"/>
          <w:bCs/>
          <w:color w:val="auto"/>
          <w:sz w:val="28"/>
          <w:szCs w:val="28"/>
        </w:rPr>
        <w:t>供应商名称：</w:t>
      </w:r>
      <w:r>
        <w:rPr>
          <w:rFonts w:hint="eastAsia" w:ascii="仿宋" w:hAnsi="仿宋" w:eastAsia="仿宋" w:cs="仿宋"/>
          <w:bCs/>
          <w:color w:val="auto"/>
          <w:sz w:val="28"/>
          <w:szCs w:val="28"/>
          <w:u w:val="single"/>
        </w:rPr>
        <w:t>XXXXXXXXXX</w:t>
      </w:r>
    </w:p>
    <w:p>
      <w:pPr>
        <w:pStyle w:val="27"/>
        <w:snapToGrid w:val="0"/>
        <w:spacing w:line="620" w:lineRule="exact"/>
        <w:ind w:firstLine="145" w:firstLineChars="52"/>
        <w:rPr>
          <w:rFonts w:hint="eastAsia" w:ascii="仿宋" w:hAnsi="仿宋" w:eastAsia="仿宋" w:cs="仿宋"/>
          <w:color w:val="auto"/>
          <w:sz w:val="28"/>
          <w:szCs w:val="28"/>
          <w:u w:val="single"/>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XX</w:t>
      </w:r>
      <w:r>
        <w:rPr>
          <w:rFonts w:hint="eastAsia" w:ascii="仿宋" w:hAnsi="仿宋" w:eastAsia="仿宋" w:cs="仿宋"/>
          <w:color w:val="auto"/>
          <w:sz w:val="28"/>
          <w:szCs w:val="28"/>
        </w:rPr>
        <w:t>日</w:t>
      </w: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84"/>
        <w:snapToGrid w:val="0"/>
        <w:ind w:firstLineChars="176"/>
        <w:rPr>
          <w:rFonts w:hint="eastAsia" w:ascii="仿宋" w:hAnsi="仿宋" w:eastAsia="仿宋" w:cs="仿宋"/>
          <w:color w:val="auto"/>
          <w:sz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法定代表人身份证明书</w:t>
      </w:r>
    </w:p>
    <w:p>
      <w:pPr>
        <w:tabs>
          <w:tab w:val="left" w:pos="6300"/>
        </w:tabs>
        <w:spacing w:line="360" w:lineRule="auto"/>
        <w:ind w:firstLine="573"/>
        <w:rPr>
          <w:rFonts w:hint="eastAsia" w:ascii="仿宋" w:hAnsi="仿宋" w:eastAsia="仿宋" w:cs="仿宋"/>
          <w:color w:val="auto"/>
          <w:sz w:val="28"/>
          <w:szCs w:val="28"/>
          <w:lang w:val="zh-CN"/>
        </w:rPr>
      </w:pPr>
      <w:r>
        <w:rPr>
          <w:rFonts w:hint="eastAsia" w:ascii="仿宋" w:hAnsi="仿宋" w:eastAsia="仿宋" w:cs="仿宋"/>
          <w:color w:val="auto"/>
          <w:sz w:val="28"/>
          <w:szCs w:val="28"/>
          <w:u w:val="single"/>
          <w:lang w:val="zh-CN"/>
        </w:rPr>
        <w:t xml:space="preserve">       （法定代表人姓名）       </w:t>
      </w:r>
      <w:r>
        <w:rPr>
          <w:rFonts w:hint="eastAsia" w:ascii="仿宋" w:hAnsi="仿宋" w:eastAsia="仿宋" w:cs="仿宋"/>
          <w:color w:val="auto"/>
          <w:sz w:val="28"/>
          <w:szCs w:val="28"/>
          <w:lang w:val="zh-CN"/>
        </w:rPr>
        <w:t>在</w:t>
      </w:r>
      <w:r>
        <w:rPr>
          <w:rFonts w:hint="eastAsia" w:ascii="仿宋" w:hAnsi="仿宋" w:eastAsia="仿宋" w:cs="仿宋"/>
          <w:color w:val="auto"/>
          <w:sz w:val="28"/>
          <w:szCs w:val="28"/>
          <w:u w:val="single"/>
          <w:lang w:val="zh-CN"/>
        </w:rPr>
        <w:t xml:space="preserve">       （供应商名称）       </w:t>
      </w:r>
      <w:r>
        <w:rPr>
          <w:rFonts w:hint="eastAsia" w:ascii="仿宋" w:hAnsi="仿宋" w:eastAsia="仿宋" w:cs="仿宋"/>
          <w:color w:val="auto"/>
          <w:sz w:val="28"/>
          <w:szCs w:val="28"/>
          <w:lang w:val="zh-CN"/>
        </w:rPr>
        <w:t>处任</w:t>
      </w:r>
      <w:r>
        <w:rPr>
          <w:rFonts w:hint="eastAsia" w:ascii="仿宋" w:hAnsi="仿宋" w:eastAsia="仿宋" w:cs="仿宋"/>
          <w:color w:val="auto"/>
          <w:sz w:val="28"/>
          <w:szCs w:val="28"/>
          <w:u w:val="single"/>
          <w:lang w:val="zh-CN"/>
        </w:rPr>
        <w:t xml:space="preserve">       （职务名称）       </w:t>
      </w:r>
      <w:r>
        <w:rPr>
          <w:rFonts w:hint="eastAsia" w:ascii="仿宋" w:hAnsi="仿宋" w:eastAsia="仿宋" w:cs="仿宋"/>
          <w:color w:val="auto"/>
          <w:sz w:val="28"/>
          <w:szCs w:val="28"/>
          <w:lang w:val="zh-CN"/>
        </w:rPr>
        <w:t>职务，是</w:t>
      </w:r>
      <w:r>
        <w:rPr>
          <w:rFonts w:hint="eastAsia" w:ascii="仿宋" w:hAnsi="仿宋" w:eastAsia="仿宋" w:cs="仿宋"/>
          <w:color w:val="auto"/>
          <w:sz w:val="28"/>
          <w:szCs w:val="28"/>
          <w:u w:val="single"/>
          <w:lang w:val="zh-CN"/>
        </w:rPr>
        <w:t xml:space="preserve">       （供应商名称）       </w:t>
      </w:r>
      <w:r>
        <w:rPr>
          <w:rFonts w:hint="eastAsia" w:ascii="仿宋" w:hAnsi="仿宋" w:eastAsia="仿宋" w:cs="仿宋"/>
          <w:color w:val="auto"/>
          <w:sz w:val="28"/>
          <w:szCs w:val="28"/>
          <w:lang w:val="zh-CN"/>
        </w:rPr>
        <w:t>的法定代表人。</w:t>
      </w:r>
    </w:p>
    <w:p>
      <w:pPr>
        <w:tabs>
          <w:tab w:val="left" w:pos="6300"/>
        </w:tabs>
        <w:spacing w:line="360" w:lineRule="auto"/>
        <w:ind w:firstLine="573"/>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特此证明。</w:t>
      </w: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tabs>
          <w:tab w:val="left" w:pos="6300"/>
        </w:tabs>
        <w:spacing w:line="360" w:lineRule="auto"/>
        <w:ind w:firstLine="573"/>
        <w:rPr>
          <w:rFonts w:hint="eastAsia" w:ascii="仿宋" w:hAnsi="仿宋" w:eastAsia="仿宋" w:cs="仿宋"/>
          <w:color w:val="auto"/>
          <w:sz w:val="28"/>
          <w:szCs w:val="28"/>
          <w:lang w:val="zh-CN"/>
        </w:rPr>
      </w:pPr>
    </w:p>
    <w:p>
      <w:pPr>
        <w:spacing w:line="360" w:lineRule="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供应商名称：</w:t>
      </w:r>
      <w:r>
        <w:rPr>
          <w:rFonts w:hint="eastAsia" w:ascii="仿宋" w:hAnsi="仿宋" w:eastAsia="仿宋" w:cs="仿宋"/>
          <w:color w:val="auto"/>
          <w:sz w:val="28"/>
          <w:szCs w:val="28"/>
          <w:u w:val="single"/>
          <w:lang w:val="zh-CN"/>
        </w:rPr>
        <w:t>XXXX</w:t>
      </w:r>
    </w:p>
    <w:p>
      <w:pPr>
        <w:spacing w:line="500" w:lineRule="exact"/>
        <w:ind w:right="560"/>
        <w:rPr>
          <w:rFonts w:hint="eastAsia" w:ascii="仿宋" w:hAnsi="仿宋" w:eastAsia="仿宋" w:cs="仿宋"/>
          <w:color w:val="auto"/>
          <w:sz w:val="28"/>
          <w:szCs w:val="28"/>
        </w:rPr>
      </w:pPr>
      <w:r>
        <w:rPr>
          <w:rFonts w:hint="eastAsia" w:ascii="仿宋" w:hAnsi="仿宋" w:eastAsia="仿宋" w:cs="仿宋"/>
          <w:color w:val="auto"/>
          <w:sz w:val="28"/>
          <w:szCs w:val="28"/>
        </w:rPr>
        <w:t>日      期：</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zh-CN"/>
        </w:rPr>
        <w:t>XX</w:t>
      </w:r>
      <w:r>
        <w:rPr>
          <w:rFonts w:hint="eastAsia" w:ascii="仿宋" w:hAnsi="仿宋" w:eastAsia="仿宋" w:cs="仿宋"/>
          <w:color w:val="auto"/>
          <w:sz w:val="28"/>
          <w:szCs w:val="28"/>
        </w:rPr>
        <w:t>日</w:t>
      </w:r>
    </w:p>
    <w:p>
      <w:pPr>
        <w:spacing w:line="360" w:lineRule="auto"/>
        <w:rPr>
          <w:rFonts w:hint="eastAsia" w:ascii="仿宋" w:hAnsi="仿宋" w:eastAsia="仿宋" w:cs="仿宋"/>
          <w:color w:val="auto"/>
          <w:sz w:val="28"/>
          <w:szCs w:val="28"/>
          <w:lang w:val="zh-CN"/>
        </w:rPr>
      </w:pPr>
    </w:p>
    <w:p>
      <w:pPr>
        <w:spacing w:line="360" w:lineRule="auto"/>
        <w:ind w:firstLine="568" w:firstLineChars="202"/>
        <w:rPr>
          <w:rFonts w:hint="eastAsia" w:ascii="仿宋" w:hAnsi="仿宋" w:eastAsia="仿宋" w:cs="仿宋"/>
          <w:b/>
          <w:color w:val="auto"/>
          <w:sz w:val="28"/>
          <w:szCs w:val="28"/>
          <w:lang w:val="zh-CN"/>
        </w:rPr>
      </w:pPr>
      <w:r>
        <w:rPr>
          <w:rFonts w:hint="eastAsia" w:ascii="仿宋" w:hAnsi="仿宋" w:eastAsia="仿宋" w:cs="仿宋"/>
          <w:b/>
          <w:color w:val="auto"/>
          <w:sz w:val="28"/>
          <w:szCs w:val="28"/>
          <w:lang w:val="zh-CN"/>
        </w:rPr>
        <w:t>说明：上述证明文件在施工响应文件中附有法定代表人身份证复印件（</w:t>
      </w:r>
      <w:r>
        <w:rPr>
          <w:rFonts w:hint="eastAsia" w:ascii="仿宋" w:hAnsi="仿宋" w:eastAsia="仿宋" w:cs="仿宋"/>
          <w:b/>
          <w:color w:val="auto"/>
          <w:sz w:val="28"/>
          <w:lang w:val="zh-CN"/>
        </w:rPr>
        <w:t>身份证两面均应复印</w:t>
      </w:r>
      <w:r>
        <w:rPr>
          <w:rFonts w:hint="eastAsia" w:ascii="仿宋" w:hAnsi="仿宋" w:eastAsia="仿宋" w:cs="仿宋"/>
          <w:b/>
          <w:color w:val="auto"/>
          <w:sz w:val="28"/>
          <w:szCs w:val="28"/>
          <w:lang w:val="zh-CN"/>
        </w:rPr>
        <w:t>）或护照复印件（供应商的法定代表人为外籍人士的，则提供护照复印件）时才能生效。</w:t>
      </w:r>
    </w:p>
    <w:p>
      <w:pPr>
        <w:pStyle w:val="2"/>
        <w:rPr>
          <w:rFonts w:hint="eastAsia" w:ascii="仿宋" w:hAnsi="仿宋" w:eastAsia="仿宋" w:cs="仿宋"/>
          <w:color w:val="auto"/>
          <w:lang w:val="zh-CN"/>
        </w:rPr>
      </w:pPr>
    </w:p>
    <w:p>
      <w:pPr>
        <w:rPr>
          <w:rFonts w:hint="eastAsia" w:ascii="仿宋" w:hAnsi="仿宋" w:eastAsia="仿宋" w:cs="仿宋"/>
          <w:color w:val="auto"/>
          <w:lang w:val="zh-CN"/>
        </w:rPr>
      </w:pPr>
    </w:p>
    <w:p>
      <w:pPr>
        <w:pStyle w:val="2"/>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rPr>
          <w:rFonts w:hint="eastAsia" w:ascii="仿宋" w:hAnsi="仿宋" w:eastAsia="仿宋" w:cs="仿宋"/>
          <w:color w:val="auto"/>
          <w:lang w:val="zh-CN"/>
        </w:rPr>
      </w:pPr>
    </w:p>
    <w:p>
      <w:pPr>
        <w:snapToGrid w:val="0"/>
        <w:spacing w:line="360" w:lineRule="auto"/>
        <w:rPr>
          <w:rFonts w:hint="eastAsia" w:ascii="仿宋" w:hAnsi="仿宋" w:eastAsia="仿宋" w:cs="仿宋"/>
          <w:b/>
          <w:color w:val="auto"/>
          <w:sz w:val="28"/>
          <w:szCs w:val="28"/>
        </w:rPr>
      </w:pPr>
    </w:p>
    <w:p>
      <w:pPr>
        <w:rPr>
          <w:rFonts w:hint="eastAsia" w:ascii="仿宋" w:hAnsi="仿宋" w:eastAsia="仿宋" w:cs="仿宋"/>
          <w:color w:val="auto"/>
        </w:rPr>
      </w:pPr>
      <w:r>
        <w:rPr>
          <w:rFonts w:hint="eastAsia" w:ascii="仿宋" w:hAnsi="仿宋" w:eastAsia="仿宋" w:cs="仿宋"/>
          <w:color w:val="auto"/>
        </w:rPr>
        <w:br w:type="page"/>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承诺函</w:t>
      </w:r>
    </w:p>
    <w:p>
      <w:pPr>
        <w:snapToGrid w:val="0"/>
        <w:spacing w:line="360" w:lineRule="auto"/>
        <w:rPr>
          <w:rFonts w:hint="eastAsia" w:ascii="仿宋" w:hAnsi="仿宋" w:eastAsia="仿宋" w:cs="仿宋"/>
          <w:b/>
          <w:color w:val="auto"/>
          <w:spacing w:val="-20"/>
          <w:sz w:val="28"/>
          <w:szCs w:val="28"/>
          <w:lang w:eastAsia="zh-CN"/>
        </w:rPr>
      </w:pPr>
      <w:r>
        <w:rPr>
          <w:rFonts w:hint="eastAsia" w:ascii="仿宋" w:hAnsi="仿宋" w:eastAsia="仿宋" w:cs="仿宋"/>
          <w:b/>
          <w:color w:val="auto"/>
          <w:spacing w:val="-20"/>
          <w:sz w:val="28"/>
          <w:szCs w:val="28"/>
        </w:rPr>
        <w:t>项目名称：</w:t>
      </w:r>
      <w:r>
        <w:rPr>
          <w:rFonts w:hint="eastAsia" w:ascii="仿宋" w:hAnsi="仿宋" w:eastAsia="仿宋" w:cs="仿宋"/>
          <w:b/>
          <w:color w:val="auto"/>
          <w:sz w:val="28"/>
          <w:szCs w:val="28"/>
          <w:u w:val="single"/>
          <w:lang w:eastAsia="zh-CN"/>
        </w:rPr>
        <w:t>成都东部新区石盘街道石盘小学家属院落改造工程项目</w:t>
      </w:r>
    </w:p>
    <w:p>
      <w:pPr>
        <w:snapToGrid w:val="0"/>
        <w:spacing w:line="360" w:lineRule="auto"/>
        <w:rPr>
          <w:rFonts w:hint="eastAsia" w:ascii="仿宋" w:hAnsi="仿宋" w:eastAsia="仿宋" w:cs="仿宋"/>
          <w:b/>
          <w:color w:val="auto"/>
          <w:sz w:val="28"/>
          <w:szCs w:val="28"/>
          <w:u w:val="single"/>
          <w:lang w:eastAsia="zh-CN"/>
        </w:rPr>
      </w:pPr>
      <w:r>
        <w:rPr>
          <w:rFonts w:hint="eastAsia" w:ascii="仿宋" w:hAnsi="仿宋" w:eastAsia="仿宋" w:cs="仿宋"/>
          <w:b/>
          <w:color w:val="auto"/>
          <w:sz w:val="28"/>
          <w:szCs w:val="28"/>
        </w:rPr>
        <w:t>项目编号：</w:t>
      </w:r>
      <w:r>
        <w:rPr>
          <w:rFonts w:hint="eastAsia" w:ascii="仿宋" w:hAnsi="仿宋" w:eastAsia="仿宋" w:cs="仿宋"/>
          <w:b/>
          <w:color w:val="auto"/>
          <w:sz w:val="28"/>
          <w:szCs w:val="28"/>
          <w:u w:val="single"/>
          <w:lang w:eastAsia="zh-CN"/>
        </w:rPr>
        <w:t>东部新区政采（2021）A0051号</w:t>
      </w:r>
    </w:p>
    <w:p>
      <w:pPr>
        <w:snapToGrid w:val="0"/>
        <w:spacing w:line="560" w:lineRule="exact"/>
        <w:ind w:firstLine="560" w:firstLineChars="200"/>
        <w:rPr>
          <w:rFonts w:hint="eastAsia" w:ascii="仿宋" w:hAnsi="仿宋" w:eastAsia="仿宋" w:cs="仿宋"/>
          <w:color w:val="auto"/>
          <w:sz w:val="28"/>
        </w:rPr>
      </w:pPr>
      <w:r>
        <w:rPr>
          <w:rFonts w:hint="eastAsia" w:ascii="仿宋" w:hAnsi="仿宋" w:eastAsia="仿宋" w:cs="仿宋"/>
          <w:color w:val="auto"/>
          <w:sz w:val="28"/>
        </w:rPr>
        <w:t>我公司作为参加</w:t>
      </w:r>
      <w:r>
        <w:rPr>
          <w:rFonts w:hint="eastAsia" w:ascii="仿宋" w:hAnsi="仿宋" w:eastAsia="仿宋" w:cs="仿宋"/>
          <w:b/>
          <w:color w:val="auto"/>
          <w:sz w:val="28"/>
          <w:u w:val="single"/>
          <w:lang w:eastAsia="zh-CN"/>
        </w:rPr>
        <w:t>成都东部新区石盘街道石盘小学家属院落改造工程项目</w:t>
      </w:r>
      <w:r>
        <w:rPr>
          <w:rFonts w:hint="eastAsia" w:ascii="仿宋" w:hAnsi="仿宋" w:eastAsia="仿宋" w:cs="仿宋"/>
          <w:color w:val="auto"/>
          <w:sz w:val="28"/>
        </w:rPr>
        <w:t>的竞争性磋商的供应商，在此郑重承诺：</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为本项目提供的所有产品、辅材中属于《国家强制性产品认证目录》范围内产品的，均通过国家强制性产品认证并取得认证证书。</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为本项目提供的所有产品、辅材等符合现行的强制性国家相关标准、行业标准。</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为本项目提供的所有产品中属于节能产品政府采购品目清单中的政府强制采购产品的，均具有国家确定的认证机构出具的有效期内的节能产品认证证书。</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为本工程项目实施涉及的商品包装和快递包装，均符合财政部等三部门联合印发商品包装和快递包装政府采购需求标准（试行）（财办库[2020]123号）的要求。</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为本项目提供的工程、货物及服务均为本国工程、货物及服务。</w:t>
      </w:r>
    </w:p>
    <w:p>
      <w:pPr>
        <w:pStyle w:val="82"/>
        <w:numPr>
          <w:ilvl w:val="0"/>
          <w:numId w:val="34"/>
        </w:numPr>
        <w:tabs>
          <w:tab w:val="left" w:pos="1134"/>
        </w:tabs>
        <w:snapToGrid w:val="0"/>
        <w:spacing w:line="560" w:lineRule="exact"/>
        <w:ind w:left="0" w:firstLine="560"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在参加本次采购活动中，不存在与单位负责人为同一人或者存在直接控股、管理关系的其他供应商参与同一合同项下的政府采购活动的行为。</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为采购项目提供整体设计、规范编制或者项目管理、监理、检测等服务的供应商，不得再参加该采购项目的其他采购活动，我方承诺不属于此类禁止参加本项目的供应商。</w:t>
      </w:r>
    </w:p>
    <w:p>
      <w:pPr>
        <w:pStyle w:val="82"/>
        <w:numPr>
          <w:ilvl w:val="0"/>
          <w:numId w:val="34"/>
        </w:numPr>
        <w:tabs>
          <w:tab w:val="left" w:pos="1134"/>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在参加本次采购活动中，不存在和其他供应商在同一合同项下的采购项目中，同时委托同一个自然人、同一家庭的人员、同一单位的人员作为代理人的行为。</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施工响应文件中提供的任何资料和技术、服务、商务等响应承诺情况都是真实的、有效的、合法的。</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国家或行业主管部门对工程项目的技术标准、质量标准和资格资质条件等有强制性规定的，我方承诺符合其要求。</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参加本次采购活动，我方完全同意磋商文件第二章关于“磋商费用”、“合同分包”、“合同转包”、“履约保证金”等实质性要求，并承诺严格按照磋商文件要求履行。</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w:t>
      </w:r>
      <w:r>
        <w:rPr>
          <w:rFonts w:hint="eastAsia" w:ascii="仿宋" w:hAnsi="仿宋" w:eastAsia="仿宋" w:cs="仿宋"/>
          <w:color w:val="auto"/>
          <w:sz w:val="28"/>
          <w:szCs w:val="28"/>
          <w:lang w:eastAsia="zh-CN"/>
        </w:rPr>
        <w:t>合同总价</w:t>
      </w:r>
      <w:r>
        <w:rPr>
          <w:rFonts w:hint="eastAsia" w:ascii="仿宋" w:hAnsi="仿宋" w:eastAsia="仿宋" w:cs="仿宋"/>
          <w:color w:val="auto"/>
          <w:sz w:val="28"/>
          <w:szCs w:val="28"/>
        </w:rPr>
        <w:t>中已包括合法获取该知识产权的相关费用。</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z w:val="28"/>
          <w:szCs w:val="28"/>
        </w:rPr>
      </w:pPr>
      <w:r>
        <w:rPr>
          <w:rFonts w:hint="eastAsia" w:ascii="仿宋" w:hAnsi="仿宋" w:eastAsia="仿宋" w:cs="仿宋"/>
          <w:color w:val="auto"/>
          <w:sz w:val="28"/>
          <w:szCs w:val="28"/>
        </w:rPr>
        <w:t>与我方存在直接控股关系的单位为：</w:t>
      </w:r>
      <w:r>
        <w:rPr>
          <w:rFonts w:hint="eastAsia" w:ascii="仿宋" w:hAnsi="仿宋" w:eastAsia="仿宋" w:cs="仿宋"/>
          <w:b/>
          <w:color w:val="auto"/>
          <w:sz w:val="28"/>
          <w:szCs w:val="28"/>
          <w:u w:val="single"/>
        </w:rPr>
        <w:t>　　XXXX（说明：填写“无”或“（一）供应商名称１；（二）供应商名称２ ；（三）……”）　　</w:t>
      </w:r>
      <w:r>
        <w:rPr>
          <w:rFonts w:hint="eastAsia" w:ascii="仿宋" w:hAnsi="仿宋" w:eastAsia="仿宋" w:cs="仿宋"/>
          <w:color w:val="auto"/>
          <w:sz w:val="28"/>
          <w:szCs w:val="28"/>
        </w:rPr>
        <w:t>；存在管理关系单位为：</w:t>
      </w:r>
      <w:r>
        <w:rPr>
          <w:rFonts w:hint="eastAsia" w:ascii="仿宋" w:hAnsi="仿宋" w:eastAsia="仿宋" w:cs="仿宋"/>
          <w:b/>
          <w:color w:val="auto"/>
          <w:sz w:val="28"/>
          <w:szCs w:val="28"/>
          <w:u w:val="single"/>
        </w:rPr>
        <w:t>　　XXXX（说明：填写“无”或“（一）供应商名称１；（二）供应商名称２ ；（三）……”）　　</w:t>
      </w:r>
      <w:r>
        <w:rPr>
          <w:rFonts w:hint="eastAsia" w:ascii="仿宋" w:hAnsi="仿宋" w:eastAsia="仿宋" w:cs="仿宋"/>
          <w:color w:val="auto"/>
          <w:sz w:val="28"/>
          <w:szCs w:val="28"/>
        </w:rPr>
        <w:t>。</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我方承诺负责施工现场安全并承担施工期间一切安全责任。</w:t>
      </w:r>
    </w:p>
    <w:p>
      <w:pPr>
        <w:pStyle w:val="82"/>
        <w:numPr>
          <w:ilvl w:val="0"/>
          <w:numId w:val="34"/>
        </w:numPr>
        <w:tabs>
          <w:tab w:val="left" w:pos="1418"/>
        </w:tabs>
        <w:snapToGrid w:val="0"/>
        <w:spacing w:line="560" w:lineRule="exact"/>
        <w:ind w:left="0" w:firstLine="560" w:firstLineChars="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我方承诺完全响应磋商文件4.2漏项工程处理、4.3施工及验收要求中的所有要求。</w:t>
      </w:r>
    </w:p>
    <w:p>
      <w:pPr>
        <w:snapToGrid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hint="eastAsia" w:ascii="仿宋" w:hAnsi="仿宋" w:eastAsia="仿宋" w:cs="仿宋"/>
          <w:i/>
          <w:color w:val="auto"/>
        </w:rPr>
      </w:pPr>
      <w:r>
        <w:rPr>
          <w:rFonts w:hint="eastAsia" w:ascii="仿宋" w:hAnsi="仿宋" w:eastAsia="仿宋" w:cs="仿宋"/>
          <w:color w:val="auto"/>
          <w:sz w:val="28"/>
          <w:szCs w:val="28"/>
        </w:rPr>
        <w:t>特此承诺。</w:t>
      </w:r>
    </w:p>
    <w:p>
      <w:pPr>
        <w:snapToGrid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供应商名称：</w:t>
      </w:r>
      <w:r>
        <w:rPr>
          <w:rFonts w:hint="eastAsia" w:ascii="仿宋" w:hAnsi="仿宋" w:eastAsia="仿宋" w:cs="仿宋"/>
          <w:color w:val="auto"/>
          <w:sz w:val="28"/>
          <w:szCs w:val="28"/>
          <w:u w:val="single"/>
        </w:rPr>
        <w:t>XXXXXXXXX</w:t>
      </w:r>
    </w:p>
    <w:p>
      <w:pPr>
        <w:snapToGrid w:val="0"/>
        <w:spacing w:line="560" w:lineRule="exact"/>
        <w:ind w:firstLine="560" w:firstLineChars="200"/>
        <w:rPr>
          <w:rFonts w:hint="eastAsia" w:ascii="仿宋" w:hAnsi="仿宋" w:eastAsia="仿宋" w:cs="仿宋"/>
          <w:color w:val="auto"/>
          <w:sz w:val="28"/>
        </w:rPr>
      </w:pPr>
      <w:r>
        <w:rPr>
          <w:rFonts w:hint="eastAsia" w:ascii="仿宋" w:hAnsi="仿宋" w:eastAsia="仿宋" w:cs="仿宋"/>
          <w:color w:val="auto"/>
          <w:sz w:val="28"/>
        </w:rPr>
        <w:t>日期：</w:t>
      </w:r>
      <w:r>
        <w:rPr>
          <w:rFonts w:hint="eastAsia" w:ascii="仿宋" w:hAnsi="仿宋" w:eastAsia="仿宋" w:cs="仿宋"/>
          <w:color w:val="auto"/>
          <w:sz w:val="28"/>
          <w:u w:val="single"/>
        </w:rPr>
        <w:t>XX</w:t>
      </w:r>
      <w:r>
        <w:rPr>
          <w:rFonts w:hint="eastAsia" w:ascii="仿宋" w:hAnsi="仿宋" w:eastAsia="仿宋" w:cs="仿宋"/>
          <w:color w:val="auto"/>
          <w:sz w:val="28"/>
        </w:rPr>
        <w:t>年</w:t>
      </w:r>
      <w:r>
        <w:rPr>
          <w:rFonts w:hint="eastAsia" w:ascii="仿宋" w:hAnsi="仿宋" w:eastAsia="仿宋" w:cs="仿宋"/>
          <w:color w:val="auto"/>
          <w:sz w:val="28"/>
          <w:u w:val="single"/>
        </w:rPr>
        <w:t>XX</w:t>
      </w:r>
      <w:r>
        <w:rPr>
          <w:rFonts w:hint="eastAsia" w:ascii="仿宋" w:hAnsi="仿宋" w:eastAsia="仿宋" w:cs="仿宋"/>
          <w:color w:val="auto"/>
          <w:sz w:val="28"/>
        </w:rPr>
        <w:t>月</w:t>
      </w:r>
      <w:r>
        <w:rPr>
          <w:rFonts w:hint="eastAsia" w:ascii="仿宋" w:hAnsi="仿宋" w:eastAsia="仿宋" w:cs="仿宋"/>
          <w:color w:val="auto"/>
          <w:sz w:val="28"/>
          <w:u w:val="single"/>
        </w:rPr>
        <w:t>XX</w:t>
      </w:r>
      <w:r>
        <w:rPr>
          <w:rFonts w:hint="eastAsia" w:ascii="仿宋" w:hAnsi="仿宋" w:eastAsia="仿宋" w:cs="仿宋"/>
          <w:color w:val="auto"/>
          <w:sz w:val="28"/>
        </w:rPr>
        <w:t>日</w:t>
      </w: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snapToGrid w:val="0"/>
        <w:spacing w:line="360" w:lineRule="auto"/>
        <w:ind w:firstLine="560" w:firstLineChars="200"/>
        <w:rPr>
          <w:rFonts w:hint="eastAsia" w:ascii="仿宋" w:hAnsi="仿宋" w:eastAsia="仿宋" w:cs="仿宋"/>
          <w:color w:val="auto"/>
          <w:sz w:val="28"/>
        </w:rPr>
      </w:pPr>
    </w:p>
    <w:p>
      <w:pPr>
        <w:rPr>
          <w:rFonts w:hint="eastAsia" w:ascii="仿宋" w:hAnsi="仿宋" w:eastAsia="仿宋" w:cs="仿宋"/>
          <w:color w:val="auto"/>
        </w:rPr>
      </w:pPr>
      <w:r>
        <w:rPr>
          <w:rFonts w:hint="eastAsia" w:ascii="仿宋" w:hAnsi="仿宋" w:eastAsia="仿宋" w:cs="仿宋"/>
          <w:color w:val="auto"/>
        </w:rPr>
        <w:br w:type="page"/>
      </w: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施工组织设计</w:t>
      </w:r>
    </w:p>
    <w:p>
      <w:pPr>
        <w:snapToGrid w:val="0"/>
        <w:spacing w:line="360" w:lineRule="auto"/>
        <w:ind w:firstLine="563"/>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施工组织设计格式及内容自拟。</w:t>
      </w: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供应商名称：</w:t>
      </w:r>
      <w:r>
        <w:rPr>
          <w:rFonts w:hint="eastAsia" w:ascii="仿宋" w:hAnsi="仿宋" w:eastAsia="仿宋" w:cs="仿宋"/>
          <w:color w:val="auto"/>
          <w:sz w:val="28"/>
          <w:szCs w:val="28"/>
          <w:u w:val="single"/>
        </w:rPr>
        <w:t>XXXXXXXXX</w:t>
      </w:r>
    </w:p>
    <w:p>
      <w:pPr>
        <w:snapToGrid w:val="0"/>
        <w:spacing w:line="360" w:lineRule="auto"/>
        <w:ind w:firstLine="560" w:firstLineChars="200"/>
        <w:rPr>
          <w:rFonts w:hint="eastAsia" w:ascii="仿宋" w:hAnsi="仿宋" w:eastAsia="仿宋" w:cs="仿宋"/>
          <w:color w:val="auto"/>
          <w:sz w:val="28"/>
        </w:rPr>
      </w:pPr>
      <w:r>
        <w:rPr>
          <w:rFonts w:hint="eastAsia" w:ascii="仿宋" w:hAnsi="仿宋" w:eastAsia="仿宋" w:cs="仿宋"/>
          <w:color w:val="auto"/>
          <w:sz w:val="28"/>
        </w:rPr>
        <w:t>日期：</w:t>
      </w:r>
      <w:r>
        <w:rPr>
          <w:rFonts w:hint="eastAsia" w:ascii="仿宋" w:hAnsi="仿宋" w:eastAsia="仿宋" w:cs="仿宋"/>
          <w:color w:val="auto"/>
          <w:sz w:val="28"/>
          <w:u w:val="single"/>
        </w:rPr>
        <w:t>XX</w:t>
      </w:r>
      <w:r>
        <w:rPr>
          <w:rFonts w:hint="eastAsia" w:ascii="仿宋" w:hAnsi="仿宋" w:eastAsia="仿宋" w:cs="仿宋"/>
          <w:color w:val="auto"/>
          <w:sz w:val="28"/>
        </w:rPr>
        <w:t>年</w:t>
      </w:r>
      <w:r>
        <w:rPr>
          <w:rFonts w:hint="eastAsia" w:ascii="仿宋" w:hAnsi="仿宋" w:eastAsia="仿宋" w:cs="仿宋"/>
          <w:color w:val="auto"/>
          <w:sz w:val="28"/>
          <w:u w:val="single"/>
        </w:rPr>
        <w:t>XX</w:t>
      </w:r>
      <w:r>
        <w:rPr>
          <w:rFonts w:hint="eastAsia" w:ascii="仿宋" w:hAnsi="仿宋" w:eastAsia="仿宋" w:cs="仿宋"/>
          <w:color w:val="auto"/>
          <w:sz w:val="28"/>
        </w:rPr>
        <w:t>月</w:t>
      </w:r>
      <w:r>
        <w:rPr>
          <w:rFonts w:hint="eastAsia" w:ascii="仿宋" w:hAnsi="仿宋" w:eastAsia="仿宋" w:cs="仿宋"/>
          <w:color w:val="auto"/>
          <w:sz w:val="28"/>
          <w:u w:val="single"/>
        </w:rPr>
        <w:t>XX</w:t>
      </w:r>
      <w:r>
        <w:rPr>
          <w:rFonts w:hint="eastAsia" w:ascii="仿宋" w:hAnsi="仿宋" w:eastAsia="仿宋" w:cs="仿宋"/>
          <w:color w:val="auto"/>
          <w:sz w:val="28"/>
        </w:rPr>
        <w:t>日</w:t>
      </w:r>
    </w:p>
    <w:p>
      <w:pPr>
        <w:pStyle w:val="2"/>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仿宋" w:hAnsi="仿宋" w:eastAsia="仿宋" w:cs="仿宋"/>
                <w:color w:val="auto"/>
              </w:rPr>
            </w:pPr>
            <w:r>
              <w:rPr>
                <w:rFonts w:hint="eastAsia" w:ascii="仿宋" w:hAnsi="仿宋" w:eastAsia="仿宋"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仿宋" w:hAnsi="仿宋" w:eastAsia="仿宋" w:cs="仿宋"/>
                <w:color w:val="auto"/>
              </w:rPr>
            </w:pPr>
            <w:r>
              <w:rPr>
                <w:rFonts w:hint="eastAsia" w:ascii="仿宋" w:hAnsi="仿宋" w:eastAsia="仿宋" w:cs="仿宋"/>
                <w:color w:val="auto"/>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r>
              <w:rPr>
                <w:rFonts w:hint="eastAsia" w:ascii="仿宋" w:hAnsi="仿宋" w:eastAsia="仿宋" w:cs="仿宋"/>
                <w:color w:val="auto"/>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b/>
                <w:color w:val="auto"/>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仿宋" w:hAnsi="仿宋" w:eastAsia="仿宋" w:cs="仿宋"/>
                <w:color w:val="auto"/>
              </w:rPr>
            </w:pPr>
          </w:p>
        </w:tc>
      </w:tr>
    </w:tbl>
    <w:p>
      <w:pPr>
        <w:rPr>
          <w:rFonts w:hint="eastAsia" w:ascii="仿宋" w:hAnsi="仿宋" w:eastAsia="仿宋" w:cs="仿宋"/>
          <w:color w:val="auto"/>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hint="eastAsia" w:ascii="仿宋" w:hAnsi="仿宋" w:eastAsia="仿宋" w:cs="仿宋"/>
          <w:color w:val="auto"/>
          <w:spacing w:val="6"/>
          <w:sz w:val="28"/>
          <w:szCs w:val="28"/>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供应商名称：</w:t>
      </w:r>
      <w:r>
        <w:rPr>
          <w:rFonts w:hint="eastAsia" w:ascii="仿宋" w:hAnsi="仿宋" w:eastAsia="仿宋" w:cs="仿宋"/>
          <w:color w:val="auto"/>
          <w:spacing w:val="6"/>
          <w:sz w:val="28"/>
          <w:szCs w:val="28"/>
          <w:u w:val="single"/>
        </w:rPr>
        <w:t>　XXX　</w:t>
      </w: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日期：</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年</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月</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日</w:t>
      </w:r>
    </w:p>
    <w:p>
      <w:pPr>
        <w:snapToGrid w:val="0"/>
        <w:spacing w:line="360" w:lineRule="auto"/>
        <w:ind w:firstLine="584" w:firstLineChars="200"/>
        <w:rPr>
          <w:rFonts w:hint="eastAsia" w:ascii="仿宋" w:hAnsi="仿宋" w:eastAsia="仿宋" w:cs="仿宋"/>
          <w:color w:val="auto"/>
          <w:spacing w:val="6"/>
          <w:sz w:val="28"/>
          <w:szCs w:val="28"/>
        </w:rPr>
      </w:pPr>
    </w:p>
    <w:p>
      <w:pPr>
        <w:snapToGrid w:val="0"/>
        <w:spacing w:line="360" w:lineRule="auto"/>
        <w:ind w:firstLine="584" w:firstLineChars="200"/>
        <w:rPr>
          <w:rFonts w:hint="eastAsia" w:ascii="仿宋" w:hAnsi="仿宋" w:eastAsia="仿宋" w:cs="仿宋"/>
          <w:color w:val="auto"/>
          <w:spacing w:val="6"/>
          <w:sz w:val="28"/>
          <w:szCs w:val="28"/>
        </w:rPr>
      </w:pPr>
    </w:p>
    <w:p>
      <w:pPr>
        <w:snapToGrid w:val="0"/>
        <w:spacing w:line="360" w:lineRule="auto"/>
        <w:ind w:firstLine="584" w:firstLineChars="200"/>
        <w:rPr>
          <w:rFonts w:hint="eastAsia" w:ascii="仿宋" w:hAnsi="仿宋" w:eastAsia="仿宋" w:cs="仿宋"/>
          <w:color w:val="auto"/>
          <w:spacing w:val="6"/>
          <w:sz w:val="28"/>
          <w:szCs w:val="28"/>
        </w:rPr>
      </w:pPr>
    </w:p>
    <w:p>
      <w:pPr>
        <w:pStyle w:val="2"/>
        <w:rPr>
          <w:rFonts w:hint="eastAsia" w:ascii="仿宋" w:hAnsi="仿宋" w:eastAsia="仿宋" w:cs="仿宋"/>
          <w:color w:val="auto"/>
          <w:spacing w:val="6"/>
          <w:sz w:val="28"/>
          <w:szCs w:val="28"/>
        </w:rPr>
      </w:pPr>
    </w:p>
    <w:p>
      <w:pPr>
        <w:rPr>
          <w:rFonts w:hint="eastAsia" w:ascii="仿宋" w:hAnsi="仿宋" w:eastAsia="仿宋" w:cs="仿宋"/>
          <w:color w:val="auto"/>
        </w:rPr>
      </w:pPr>
    </w:p>
    <w:p>
      <w:pPr>
        <w:rPr>
          <w:rFonts w:hint="eastAsia" w:ascii="仿宋" w:hAnsi="仿宋" w:eastAsia="仿宋" w:cs="仿宋"/>
          <w:color w:val="auto"/>
        </w:rPr>
      </w:pPr>
    </w:p>
    <w:p>
      <w:pPr>
        <w:snapToGrid w:val="0"/>
        <w:spacing w:line="360" w:lineRule="auto"/>
        <w:ind w:firstLine="584" w:firstLineChars="200"/>
        <w:rPr>
          <w:rFonts w:hint="eastAsia" w:ascii="仿宋" w:hAnsi="仿宋" w:eastAsia="仿宋" w:cs="仿宋"/>
          <w:color w:val="auto"/>
          <w:spacing w:val="6"/>
          <w:sz w:val="28"/>
          <w:szCs w:val="28"/>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项目负责人</w:t>
            </w:r>
          </w:p>
          <w:p>
            <w:pPr>
              <w:spacing w:line="360" w:lineRule="auto"/>
              <w:jc w:val="center"/>
              <w:rPr>
                <w:rFonts w:hint="eastAsia" w:ascii="仿宋" w:hAnsi="仿宋" w:eastAsia="仿宋" w:cs="仿宋"/>
                <w:color w:val="auto"/>
              </w:rPr>
            </w:pPr>
            <w:r>
              <w:rPr>
                <w:rFonts w:hint="eastAsia" w:ascii="仿宋" w:hAnsi="仿宋" w:eastAsia="仿宋" w:cs="仿宋"/>
                <w:color w:val="auto"/>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cs="仿宋"/>
                <w:color w:val="auto"/>
              </w:rPr>
            </w:pPr>
            <w:r>
              <w:rPr>
                <w:rFonts w:hint="eastAsia" w:ascii="仿宋" w:hAnsi="仿宋" w:eastAsia="仿宋" w:cs="仿宋"/>
                <w:color w:val="auto"/>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bl>
    <w:p>
      <w:pPr>
        <w:rPr>
          <w:rFonts w:hint="eastAsia" w:ascii="仿宋" w:hAnsi="仿宋" w:eastAsia="仿宋" w:cs="仿宋"/>
          <w:color w:val="auto"/>
        </w:rPr>
      </w:pPr>
    </w:p>
    <w:p>
      <w:pPr>
        <w:rPr>
          <w:rFonts w:hint="eastAsia" w:ascii="仿宋" w:hAnsi="仿宋" w:eastAsia="仿宋" w:cs="仿宋"/>
          <w:color w:val="auto"/>
        </w:rPr>
      </w:pPr>
    </w:p>
    <w:p>
      <w:pPr>
        <w:spacing w:line="360" w:lineRule="auto"/>
        <w:ind w:left="410" w:leftChars="171"/>
        <w:rPr>
          <w:rFonts w:hint="eastAsia" w:ascii="仿宋" w:hAnsi="仿宋" w:eastAsia="仿宋" w:cs="仿宋"/>
          <w:color w:val="auto"/>
        </w:rPr>
      </w:pP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供应商名称：</w:t>
      </w:r>
      <w:r>
        <w:rPr>
          <w:rFonts w:hint="eastAsia" w:ascii="仿宋" w:hAnsi="仿宋" w:eastAsia="仿宋" w:cs="仿宋"/>
          <w:color w:val="auto"/>
          <w:spacing w:val="6"/>
          <w:sz w:val="28"/>
          <w:szCs w:val="28"/>
          <w:u w:val="single"/>
        </w:rPr>
        <w:t>　XXX　</w:t>
      </w:r>
    </w:p>
    <w:p>
      <w:pPr>
        <w:snapToGrid w:val="0"/>
        <w:spacing w:line="360" w:lineRule="auto"/>
        <w:ind w:firstLine="584" w:firstLineChars="200"/>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日期：</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年</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月</w:t>
      </w:r>
      <w:r>
        <w:rPr>
          <w:rFonts w:hint="eastAsia" w:ascii="仿宋" w:hAnsi="仿宋" w:eastAsia="仿宋" w:cs="仿宋"/>
          <w:color w:val="auto"/>
          <w:spacing w:val="6"/>
          <w:sz w:val="28"/>
          <w:szCs w:val="28"/>
          <w:u w:val="single"/>
        </w:rPr>
        <w:t>XXX</w:t>
      </w:r>
      <w:r>
        <w:rPr>
          <w:rFonts w:hint="eastAsia" w:ascii="仿宋" w:hAnsi="仿宋" w:eastAsia="仿宋" w:cs="仿宋"/>
          <w:color w:val="auto"/>
          <w:spacing w:val="6"/>
          <w:sz w:val="28"/>
          <w:szCs w:val="28"/>
        </w:rPr>
        <w:t>日</w:t>
      </w: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r>
        <w:rPr>
          <w:rFonts w:hint="eastAsia" w:ascii="仿宋" w:hAnsi="仿宋" w:eastAsia="仿宋" w:cs="仿宋"/>
          <w:b/>
          <w:color w:val="auto"/>
        </w:rPr>
        <w:t>注：</w:t>
      </w:r>
      <w:r>
        <w:rPr>
          <w:rFonts w:hint="eastAsia" w:ascii="仿宋" w:hAnsi="仿宋" w:eastAsia="仿宋" w:cs="仿宋"/>
          <w:color w:val="auto"/>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pStyle w:val="5"/>
        <w:numPr>
          <w:ilvl w:val="3"/>
          <w:numId w:val="1"/>
        </w:numPr>
        <w:tabs>
          <w:tab w:val="left" w:pos="709"/>
        </w:tabs>
        <w:jc w:val="left"/>
        <w:rPr>
          <w:rFonts w:hint="eastAsia" w:ascii="仿宋" w:hAnsi="仿宋" w:eastAsia="仿宋" w:cs="仿宋"/>
          <w:color w:val="auto"/>
        </w:rPr>
      </w:pPr>
      <w:r>
        <w:rPr>
          <w:rFonts w:hint="eastAsia" w:ascii="仿宋" w:hAnsi="仿宋" w:eastAsia="仿宋" w:cs="仿宋"/>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hint="eastAsia" w:ascii="仿宋" w:hAnsi="仿宋" w:eastAsia="仿宋" w:cs="仿宋"/>
                <w:color w:val="auto"/>
              </w:rPr>
            </w:pPr>
          </w:p>
        </w:tc>
      </w:tr>
      <w:tr>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hint="eastAsia" w:ascii="仿宋" w:hAnsi="仿宋" w:eastAsia="仿宋" w:cs="仿宋"/>
                <w:color w:val="auto"/>
              </w:rPr>
            </w:pPr>
            <w:r>
              <w:rPr>
                <w:rFonts w:hint="eastAsia" w:ascii="仿宋" w:hAnsi="仿宋" w:eastAsia="仿宋" w:cs="仿宋"/>
                <w:color w:val="auto"/>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r>
              <w:rPr>
                <w:rFonts w:hint="eastAsia" w:ascii="仿宋" w:hAnsi="仿宋" w:eastAsia="仿宋" w:cs="仿宋"/>
                <w:color w:val="auto"/>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仿宋" w:hAnsi="仿宋" w:eastAsia="仿宋" w:cs="仿宋"/>
                <w:color w:val="auto"/>
              </w:rPr>
            </w:pPr>
          </w:p>
        </w:tc>
      </w:tr>
    </w:tbl>
    <w:p>
      <w:pPr>
        <w:spacing w:line="360" w:lineRule="auto"/>
        <w:ind w:left="120" w:hanging="120" w:hangingChars="50"/>
        <w:rPr>
          <w:rFonts w:hint="eastAsia" w:ascii="仿宋" w:hAnsi="仿宋" w:eastAsia="仿宋" w:cs="仿宋"/>
          <w:b/>
          <w:color w:val="auto"/>
        </w:rPr>
      </w:pPr>
      <w:r>
        <w:rPr>
          <w:rFonts w:hint="eastAsia" w:ascii="仿宋" w:hAnsi="仿宋" w:eastAsia="仿宋" w:cs="仿宋"/>
          <w:b/>
          <w:color w:val="auto"/>
        </w:rPr>
        <w:t>注：</w:t>
      </w:r>
    </w:p>
    <w:p>
      <w:pPr>
        <w:spacing w:line="360" w:lineRule="auto"/>
        <w:ind w:left="120" w:hanging="120" w:hangingChars="50"/>
        <w:rPr>
          <w:rFonts w:hint="eastAsia" w:ascii="仿宋" w:hAnsi="仿宋" w:eastAsia="仿宋" w:cs="仿宋"/>
          <w:color w:val="auto"/>
        </w:rPr>
      </w:pPr>
      <w:r>
        <w:rPr>
          <w:rFonts w:hint="eastAsia" w:ascii="仿宋" w:hAnsi="仿宋" w:eastAsia="仿宋" w:cs="仿宋"/>
          <w:color w:val="auto"/>
        </w:rPr>
        <w:t>1、人员应附身份证复印件。</w:t>
      </w:r>
    </w:p>
    <w:p>
      <w:pPr>
        <w:spacing w:line="360" w:lineRule="auto"/>
        <w:ind w:left="120" w:hanging="120" w:hangingChars="50"/>
        <w:rPr>
          <w:rFonts w:hint="eastAsia" w:ascii="仿宋" w:hAnsi="仿宋" w:eastAsia="仿宋" w:cs="仿宋"/>
          <w:color w:val="auto"/>
        </w:rPr>
      </w:pPr>
      <w:r>
        <w:rPr>
          <w:rFonts w:hint="eastAsia" w:ascii="仿宋" w:hAnsi="仿宋" w:eastAsia="仿宋" w:cs="仿宋"/>
          <w:color w:val="auto"/>
        </w:rPr>
        <w:t>2、人员应附执业或职业资格证或上岗证或职称证复印件。</w:t>
      </w: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bookmarkEnd w:id="80"/>
    <w:p>
      <w:pPr>
        <w:pStyle w:val="3"/>
        <w:numPr>
          <w:ilvl w:val="0"/>
          <w:numId w:val="1"/>
        </w:numPr>
        <w:spacing w:before="0" w:after="0"/>
        <w:ind w:left="0" w:firstLine="0"/>
        <w:rPr>
          <w:rFonts w:hint="eastAsia" w:ascii="仿宋" w:hAnsi="仿宋" w:eastAsia="仿宋" w:cs="仿宋"/>
          <w:color w:val="auto"/>
        </w:rPr>
      </w:pPr>
      <w:bookmarkStart w:id="82" w:name="_Toc72938441"/>
      <w:bookmarkStart w:id="83" w:name="_Toc7937"/>
      <w:r>
        <w:rPr>
          <w:rFonts w:hint="eastAsia" w:ascii="仿宋" w:hAnsi="仿宋" w:eastAsia="仿宋" w:cs="仿宋"/>
          <w:color w:val="auto"/>
        </w:rPr>
        <w:t>技术、服务、商务及其他要求</w:t>
      </w:r>
      <w:bookmarkEnd w:id="82"/>
      <w:bookmarkEnd w:id="83"/>
    </w:p>
    <w:p>
      <w:pPr>
        <w:keepNext w:val="0"/>
        <w:keepLines w:val="0"/>
        <w:spacing w:before="0" w:after="0" w:line="360" w:lineRule="auto"/>
        <w:jc w:val="both"/>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注：标“</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”条款为本项目实质性要求，不满足作无效响应处理。</w:t>
      </w:r>
    </w:p>
    <w:p>
      <w:pPr>
        <w:keepNext w:val="0"/>
        <w:keepLines w:val="0"/>
        <w:spacing w:before="0" w:after="0" w:line="360" w:lineRule="auto"/>
        <w:ind w:firstLine="117" w:firstLineChars="49"/>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val="0"/>
          <w:bCs w:val="0"/>
          <w:color w:val="auto"/>
          <w:sz w:val="24"/>
          <w:szCs w:val="24"/>
          <w:highlight w:val="none"/>
        </w:rPr>
        <w:t>1.技术、服务、合同条款要求</w:t>
      </w:r>
    </w:p>
    <w:tbl>
      <w:tblPr>
        <w:tblStyle w:val="46"/>
        <w:tblW w:w="4994" w:type="pct"/>
        <w:jc w:val="center"/>
        <w:tblLayout w:type="autofit"/>
        <w:tblCellMar>
          <w:top w:w="0" w:type="dxa"/>
          <w:left w:w="108" w:type="dxa"/>
          <w:bottom w:w="0" w:type="dxa"/>
          <w:right w:w="108" w:type="dxa"/>
        </w:tblCellMar>
      </w:tblPr>
      <w:tblGrid>
        <w:gridCol w:w="1016"/>
        <w:gridCol w:w="2364"/>
        <w:gridCol w:w="5139"/>
      </w:tblGrid>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w:t>
            </w:r>
          </w:p>
        </w:tc>
        <w:tc>
          <w:tcPr>
            <w:tcW w:w="3015"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要求</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87" w:type="pct"/>
            <w:tcBorders>
              <w:top w:val="single" w:color="auto" w:sz="4" w:space="0"/>
              <w:left w:val="nil"/>
              <w:bottom w:val="single" w:color="auto" w:sz="4" w:space="0"/>
              <w:right w:val="single" w:color="auto" w:sz="4" w:space="0"/>
            </w:tcBorders>
            <w:vAlign w:val="center"/>
          </w:tcPr>
          <w:p>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项目负责人（项目经理）</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87" w:type="pct"/>
            <w:tcBorders>
              <w:top w:val="single" w:color="auto" w:sz="4" w:space="0"/>
              <w:left w:val="nil"/>
              <w:bottom w:val="single" w:color="auto" w:sz="4" w:space="0"/>
              <w:right w:val="single" w:color="auto" w:sz="4" w:space="0"/>
            </w:tcBorders>
            <w:vAlign w:val="center"/>
          </w:tcPr>
          <w:p>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技术负责人</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yellow"/>
              </w:rPr>
              <w:t>3</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yellow"/>
              </w:rPr>
              <w:t>工期</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yellow"/>
                <w:lang w:val="en-US"/>
              </w:rPr>
            </w:pPr>
            <w:r>
              <w:rPr>
                <w:rFonts w:hint="eastAsia" w:ascii="仿宋" w:hAnsi="仿宋" w:eastAsia="仿宋" w:cs="仿宋"/>
                <w:color w:val="auto"/>
                <w:sz w:val="24"/>
                <w:szCs w:val="24"/>
                <w:highlight w:val="yellow"/>
                <w:lang w:val="en-US" w:eastAsia="zh-CN"/>
              </w:rPr>
              <w:t>3个月</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缺陷责任期</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rPr>
              <w:t>个月</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价格调整</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价格不作调整。</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履约保证金</w:t>
            </w:r>
          </w:p>
        </w:tc>
        <w:tc>
          <w:tcPr>
            <w:tcW w:w="301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成交金额的3%  </w:t>
            </w:r>
          </w:p>
        </w:tc>
      </w:tr>
      <w:tr>
        <w:tblPrEx>
          <w:tblCellMar>
            <w:top w:w="0" w:type="dxa"/>
            <w:left w:w="108" w:type="dxa"/>
            <w:bottom w:w="0" w:type="dxa"/>
            <w:right w:w="108" w:type="dxa"/>
          </w:tblCellMar>
        </w:tblPrEx>
        <w:trPr>
          <w:trHeight w:val="510" w:hRule="atLeast"/>
          <w:jc w:val="center"/>
        </w:trPr>
        <w:tc>
          <w:tcPr>
            <w:tcW w:w="596" w:type="pct"/>
            <w:tcBorders>
              <w:top w:val="single" w:color="auto" w:sz="4" w:space="0"/>
              <w:left w:val="single" w:color="auto" w:sz="4" w:space="0"/>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387" w:type="pct"/>
            <w:tcBorders>
              <w:top w:val="single" w:color="auto" w:sz="4" w:space="0"/>
              <w:left w:val="nil"/>
              <w:bottom w:val="single" w:color="auto" w:sz="4" w:space="0"/>
              <w:right w:val="single" w:color="auto" w:sz="4" w:space="0"/>
            </w:tcBorders>
            <w:vAlign w:val="center"/>
          </w:tcPr>
          <w:p>
            <w:pPr>
              <w:spacing w:line="240" w:lineRule="auto"/>
              <w:ind w:right="24" w:rightChars="1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付款方式</w:t>
            </w:r>
          </w:p>
        </w:tc>
        <w:tc>
          <w:tcPr>
            <w:tcW w:w="3015" w:type="pct"/>
            <w:tcBorders>
              <w:top w:val="single" w:color="auto" w:sz="4" w:space="0"/>
              <w:left w:val="nil"/>
              <w:bottom w:val="single" w:color="auto" w:sz="4" w:space="0"/>
              <w:right w:val="single" w:color="auto" w:sz="4" w:space="0"/>
            </w:tcBorders>
            <w:vAlign w:val="center"/>
          </w:tcPr>
          <w:p>
            <w:pPr>
              <w:spacing w:line="240" w:lineRule="auto"/>
              <w:ind w:firstLine="480" w:firstLineChars="20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yellow"/>
                <w:lang w:val="en-US" w:eastAsia="zh-CN"/>
              </w:rPr>
              <w:t>成交通知书发放后，采购合同签订前，成交供应商缴纳合同金额的3%作为履约保证金。合同签订生效后采购人支付30%作为预付款，完工验收后支付40%，竣工结算后支付到结算金额的100%，履约保证金转为质保金，质保期满一个月内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.报价内容及要求：详见工程量清单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合同为固定单价合同。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供应商未填单价或合价的工程项目，在实施后，采购人将不予以支付，并视为该项费用已包括在其他有价款的单价或合价内。成交后在合同实施期间，承包人必须按照发包人代表或经发包人授权的监理工程师指令完成工程量清单中未填入单价或合价的工程项目，但不能得到另外的结算和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.工程质量要求：供应商应按采购人提供的有关设计说明、工程量清单和相关要求进行施工，工程质量达到设计要求及现行国家规范及质量验收标准。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供应商提供的施工组织设计方案应包含进度计划、质量保证措施、安全保证措施、资源配置计划、环保文明措施、应急预案、施工工艺。具体要求如下：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（1）进度计划：围绕本项展开详细的阐述，应包含①工程施工进度计划、②计划开、竣工日期和施工进度网络图、③进度计划管理、④工期保证措施、⑤主要设备进场计划。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（2）质量保证措施：围绕本项展开详细的阐述，应包含①质量目标、②质量承诺、③质量管理体系。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（3）安全保证措施：围绕本项展开详细的阐述，应包含①安全管理制度、②安全管理体系与措施、③安全应急救援预案、④针对道路施工的安全防护措施、⑤施工人员安全培训方案。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（4）资源配置计划：围绕本项展开详细的阐述，应包含①人员配备情况、②岗位职责分工、③拟投入主要施工机械设备计划、④机械退场计划、⑤资源保证措施。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（5）环保文明措施：围绕本项展开详细的阐述，应包含①针对道路施工的噪音控制措施、②针对现场施工人员的文明管理措施、③环境保护管理体系、④环境保护措施、⑤文明施工管理体系及措施。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（6）应急预案：围绕本项展开详细的阐述，应包含①从围绕本项展开详细的对可能存在重大事故（危险）进行分析、②响应机制进行分析。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工艺内容：需包含施工方法、施工技术工艺、施工安排。①施工方法：科学合理且有相对应的技术措施保证本项目实施、②施工技术工艺：有详细的符合项目实际且能展开详细阐述的工程实施措施及给道路施工工艺及、③施工安排：能结合分部施工顺序合理安排各步骤时间，达到按时完成本项目目标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注：供应商根据上述要求提供针对本项目的施工组织设计方案。有内容缺失的，在评审时根据综合评分明细表视为缺项处理。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.质保期：除防水工程外整体质保2年（防水工程的质量保修期为5年），质保期按竣工验收合格之日算起</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按国家有关规定以及本项目采购文件的质量要求和技术指标或者成交供应商的响应文件及承诺等进行验收。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.验收要求：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在采购人指定地点完成本项工程后，书面通知采购人验收，采购人接到项目验收书面通知后20日历天内组织验收；验收合格，签署《验收报告单》；验收不合格，供应商应在采购人限定的时间内整改后重新验收。再次验收不合格则视为供应商不能交货，供应商应承担相应的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（2）供应商提供竣工验收资料的内容：竣工验收后15日内将施工过程中形成的有关完整资料分类整理，供应商提交的竣工资料和竣工图必须达到《建设工程文件归档规范》（GB/T 50328-2019）要求。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约的处理：甲方不能及时给出必要指令、确认、批准，不按合同约定履行自己的各项义务，支付款项及发生其它使合同无法履行的行为，应承担违约责任，相应顺延工期。乙方施工质量达不到设计和规范及其他相关要求，或发生其它使合同无法履行的行为，按本合同的暂定总价款的15%支付违约金，并赔偿因其违约给甲方造成的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约金的计算方法：工期延误：乙方未按约定工期完工，每延迟1天完工按照工程款项总价的5‰的标准向甲方支付违约金，违约金最高为合同价的10%；项目经理或技术负责人缺勤按每人每天1000元（人民币大写壹仟元）扣款，甲方可选择在乙方缴纳的履约保证金或相应期次工程款或送审资料后应支付工程款中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甲方不按时支付合同款的利息率：按同期人民银行贷款利率执行。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未征得甲方同意，乙方变更项目经理处罚1000元/次、变更技术负责人处罚1000元/次。缺席会议处罚500元/次，会议迟到处罚200元/次。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.保修服务范围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（1）保修的内容按建设部《建设工程质量管理条例》及《工程施工总承包合同》、《工程质量保修书》中的规定执行。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（2）对于工程承包范围内的施工项目，自工程竣工验收合格之日起进入工程质量保修阶段。在保修阶段，凡因工程不符合规程、规范和工程合同规定所造成的工程实体损坏，供应商将无条件进行保修。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（3）由于工程设计、社会人为因素、或因主材质量问题等原因造成工程缺陷，或已超出工程质量保修期限的问题，供应商按照采购人认可的工程技术维修方案及费用进行修复处理。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（4）因不可抗力，包括地震、洪水、50年以上一遇大风等原因对工程造成的破坏，与采购人协商后确定修复办法，并按照相关规定确定施工单位与建设单位的承担范围。</w:t>
      </w:r>
    </w:p>
    <w:p>
      <w:pPr>
        <w:spacing w:line="560" w:lineRule="exact"/>
        <w:ind w:firstLine="568" w:firstLineChars="202"/>
        <w:rPr>
          <w:rFonts w:hint="eastAsia" w:ascii="仿宋" w:hAnsi="仿宋" w:eastAsia="仿宋" w:cs="仿宋"/>
          <w:b/>
          <w:color w:val="auto"/>
          <w:sz w:val="28"/>
          <w:szCs w:val="28"/>
        </w:rPr>
      </w:pPr>
    </w:p>
    <w:p>
      <w:pPr>
        <w:rPr>
          <w:rFonts w:hint="eastAsia" w:ascii="仿宋" w:hAnsi="仿宋" w:eastAsia="仿宋" w:cs="仿宋"/>
          <w:color w:val="auto"/>
        </w:rPr>
      </w:pPr>
      <w:bookmarkStart w:id="84" w:name="_Toc10644"/>
      <w:bookmarkStart w:id="85" w:name="_Toc72938448"/>
      <w:bookmarkStart w:id="86" w:name="_Toc238273564"/>
      <w:bookmarkStart w:id="87" w:name="_Toc360696963"/>
      <w:bookmarkStart w:id="88" w:name="_Toc205604899"/>
      <w:bookmarkStart w:id="89" w:name="_Toc236285891"/>
      <w:r>
        <w:rPr>
          <w:rFonts w:hint="eastAsia" w:ascii="仿宋" w:hAnsi="仿宋" w:eastAsia="仿宋" w:cs="仿宋"/>
          <w:color w:val="auto"/>
        </w:rPr>
        <w:br w:type="page"/>
      </w:r>
    </w:p>
    <w:p>
      <w:pPr>
        <w:pStyle w:val="3"/>
        <w:numPr>
          <w:ilvl w:val="0"/>
          <w:numId w:val="1"/>
        </w:numPr>
        <w:spacing w:before="0" w:after="0"/>
        <w:ind w:left="0" w:firstLine="0"/>
        <w:rPr>
          <w:rFonts w:hint="eastAsia" w:ascii="仿宋" w:hAnsi="仿宋" w:eastAsia="仿宋" w:cs="仿宋"/>
          <w:color w:val="auto"/>
        </w:rPr>
      </w:pPr>
      <w:r>
        <w:rPr>
          <w:rFonts w:hint="eastAsia" w:ascii="仿宋" w:hAnsi="仿宋" w:eastAsia="仿宋" w:cs="仿宋"/>
          <w:color w:val="auto"/>
        </w:rPr>
        <w:t>磋商办法</w:t>
      </w:r>
      <w:bookmarkEnd w:id="84"/>
      <w:bookmarkEnd w:id="85"/>
    </w:p>
    <w:p>
      <w:pPr>
        <w:pStyle w:val="4"/>
        <w:tabs>
          <w:tab w:val="left" w:pos="993"/>
          <w:tab w:val="clear" w:pos="426"/>
          <w:tab w:val="clear" w:pos="567"/>
        </w:tabs>
        <w:ind w:left="0" w:firstLine="0"/>
        <w:rPr>
          <w:rFonts w:hint="eastAsia" w:ascii="仿宋" w:hAnsi="仿宋" w:eastAsia="仿宋" w:cs="仿宋"/>
          <w:color w:val="auto"/>
        </w:rPr>
      </w:pPr>
      <w:bookmarkStart w:id="90" w:name="_Toc72938449"/>
      <w:bookmarkStart w:id="91" w:name="_Toc29826"/>
      <w:r>
        <w:rPr>
          <w:rFonts w:hint="eastAsia" w:ascii="仿宋" w:hAnsi="仿宋" w:eastAsia="仿宋" w:cs="仿宋"/>
          <w:color w:val="auto"/>
        </w:rPr>
        <w:t>总则</w:t>
      </w:r>
      <w:bookmarkEnd w:id="90"/>
      <w:bookmarkEnd w:id="91"/>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磋商小组按照磋商文件规定的磋商程序、评分方法和标准进行独立评审，并独立履行下列职责：</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熟悉和理解磋商文件，确定磋商文件内容是否违反国家有关强制性规定或者磋商文件存在歧义、重大缺陷，根据需要书面要求采购人、采购代理机构对磋商文件作出解释；</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审查供应商的施工响应文件并作出公正评价；</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依法、客观、公平、公正开展供应商资格性审查、磋商和推荐成交候选供应商；</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编写评审报告；</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保守供应商的商业秘密；</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配合处理供应商质疑；</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配合处理供应商投诉；</w:t>
      </w:r>
    </w:p>
    <w:p>
      <w:pPr>
        <w:widowControl w:val="0"/>
        <w:numPr>
          <w:ilvl w:val="1"/>
          <w:numId w:val="36"/>
        </w:numPr>
        <w:tabs>
          <w:tab w:val="left" w:pos="1134"/>
        </w:tabs>
        <w:spacing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评审过程独立、保密。供应商非法干预评审过程的行为将导致其施工响应文件作为无效处理。</w:t>
      </w:r>
    </w:p>
    <w:p>
      <w:pPr>
        <w:widowControl w:val="0"/>
        <w:numPr>
          <w:ilvl w:val="0"/>
          <w:numId w:val="35"/>
        </w:numPr>
        <w:tabs>
          <w:tab w:val="left" w:pos="1134"/>
        </w:tabs>
        <w:spacing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rPr>
          <w:rFonts w:hint="eastAsia" w:ascii="仿宋" w:hAnsi="仿宋" w:eastAsia="仿宋" w:cs="仿宋"/>
          <w:color w:val="auto"/>
        </w:rPr>
      </w:pPr>
      <w:bookmarkStart w:id="92" w:name="_Toc15270"/>
      <w:bookmarkStart w:id="93" w:name="_Toc72938450"/>
      <w:r>
        <w:rPr>
          <w:rFonts w:hint="eastAsia" w:ascii="仿宋" w:hAnsi="仿宋" w:eastAsia="仿宋" w:cs="仿宋"/>
          <w:color w:val="auto"/>
        </w:rPr>
        <w:t>磋商程序</w:t>
      </w:r>
      <w:bookmarkEnd w:id="92"/>
      <w:bookmarkEnd w:id="93"/>
    </w:p>
    <w:p>
      <w:pPr>
        <w:spacing w:line="360" w:lineRule="auto"/>
        <w:ind w:firstLine="570"/>
        <w:rPr>
          <w:rFonts w:hint="eastAsia" w:ascii="仿宋" w:hAnsi="仿宋" w:eastAsia="仿宋" w:cs="仿宋"/>
          <w:color w:val="auto"/>
          <w:sz w:val="28"/>
          <w:szCs w:val="28"/>
        </w:rPr>
      </w:pPr>
      <w:r>
        <w:rPr>
          <w:rFonts w:hint="eastAsia" w:ascii="仿宋" w:hAnsi="仿宋" w:eastAsia="仿宋" w:cs="仿宋"/>
          <w:color w:val="auto"/>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hint="eastAsia" w:ascii="仿宋" w:hAnsi="仿宋" w:eastAsia="仿宋" w:cs="仿宋"/>
          <w:color w:val="auto"/>
        </w:rPr>
      </w:pPr>
      <w:bookmarkStart w:id="94" w:name="_Toc8481"/>
      <w:bookmarkStart w:id="95" w:name="_Toc72938451"/>
      <w:bookmarkStart w:id="96" w:name="_Toc63437907"/>
      <w:bookmarkStart w:id="97" w:name="_Toc63084321"/>
      <w:bookmarkStart w:id="98" w:name="_Toc320698736"/>
      <w:r>
        <w:rPr>
          <w:rFonts w:hint="eastAsia" w:ascii="仿宋" w:hAnsi="仿宋" w:eastAsia="仿宋" w:cs="仿宋"/>
          <w:color w:val="auto"/>
        </w:rPr>
        <w:t>递交施工响应文件</w:t>
      </w:r>
      <w:bookmarkEnd w:id="94"/>
      <w:bookmarkEnd w:id="95"/>
      <w:bookmarkEnd w:id="96"/>
      <w:bookmarkEnd w:id="97"/>
      <w:bookmarkEnd w:id="98"/>
    </w:p>
    <w:p>
      <w:pPr>
        <w:tabs>
          <w:tab w:val="left" w:pos="1134"/>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供应商应按磋商文件要求在政府采购云平台递交施工响应文件。递交施工响应文件截止时间结束后，递交施工响应文件的供应商不足3家的，本次竞争性磋商采购活动终止，发布终止竞争性磋商公告。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rPr>
          <w:rFonts w:hint="eastAsia" w:ascii="仿宋" w:hAnsi="仿宋" w:eastAsia="仿宋" w:cs="仿宋"/>
          <w:color w:val="auto"/>
        </w:rPr>
      </w:pPr>
      <w:bookmarkStart w:id="99" w:name="_Toc72938452"/>
      <w:bookmarkStart w:id="100" w:name="_Toc26597"/>
      <w:bookmarkStart w:id="101" w:name="_Toc63084322"/>
      <w:bookmarkStart w:id="102" w:name="_Toc63437908"/>
      <w:r>
        <w:rPr>
          <w:rFonts w:hint="eastAsia" w:ascii="仿宋" w:hAnsi="仿宋" w:eastAsia="仿宋" w:cs="仿宋"/>
          <w:color w:val="auto"/>
        </w:rPr>
        <w:t>确定邀请参加磋商的供应商数量</w:t>
      </w:r>
      <w:bookmarkEnd w:id="99"/>
      <w:bookmarkEnd w:id="100"/>
      <w:bookmarkEnd w:id="101"/>
      <w:bookmarkEnd w:id="102"/>
    </w:p>
    <w:p>
      <w:pPr>
        <w:tabs>
          <w:tab w:val="left" w:pos="1134"/>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rPr>
          <w:rFonts w:hint="eastAsia" w:ascii="仿宋" w:hAnsi="仿宋" w:eastAsia="仿宋" w:cs="仿宋"/>
          <w:color w:val="auto"/>
        </w:rPr>
      </w:pPr>
      <w:bookmarkStart w:id="103" w:name="_Toc72938453"/>
      <w:bookmarkStart w:id="104" w:name="_Toc63437909"/>
      <w:bookmarkStart w:id="105" w:name="_Toc30252"/>
      <w:bookmarkStart w:id="106" w:name="_Toc63084323"/>
      <w:bookmarkStart w:id="107" w:name="_Toc287623646"/>
      <w:r>
        <w:rPr>
          <w:rFonts w:hint="eastAsia" w:ascii="仿宋" w:hAnsi="仿宋" w:eastAsia="仿宋" w:cs="仿宋"/>
          <w:color w:val="auto"/>
        </w:rPr>
        <w:t>成立磋商小组</w:t>
      </w:r>
      <w:bookmarkEnd w:id="103"/>
      <w:bookmarkEnd w:id="104"/>
      <w:bookmarkEnd w:id="105"/>
      <w:bookmarkEnd w:id="106"/>
      <w:bookmarkEnd w:id="107"/>
    </w:p>
    <w:p>
      <w:pPr>
        <w:pStyle w:val="24"/>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磋商小组由采购人代表和根据采购项目情况确定的技术或经济或法律等有关专家3人以上的单数组成。磋商小组负责本项目的磋商和评审工作。</w:t>
      </w:r>
    </w:p>
    <w:p>
      <w:pPr>
        <w:pStyle w:val="4"/>
        <w:numPr>
          <w:ilvl w:val="2"/>
          <w:numId w:val="1"/>
        </w:numPr>
        <w:tabs>
          <w:tab w:val="left" w:pos="993"/>
          <w:tab w:val="clear" w:pos="426"/>
          <w:tab w:val="clear" w:pos="567"/>
        </w:tabs>
        <w:rPr>
          <w:rFonts w:hint="eastAsia" w:ascii="仿宋" w:hAnsi="仿宋" w:eastAsia="仿宋" w:cs="仿宋"/>
          <w:color w:val="auto"/>
        </w:rPr>
      </w:pPr>
      <w:bookmarkStart w:id="108" w:name="_Toc2829"/>
      <w:bookmarkStart w:id="109" w:name="_Toc63437910"/>
      <w:bookmarkStart w:id="110" w:name="_Toc63084324"/>
      <w:bookmarkStart w:id="111" w:name="_Toc72938454"/>
      <w:r>
        <w:rPr>
          <w:rFonts w:hint="eastAsia" w:ascii="仿宋" w:hAnsi="仿宋" w:eastAsia="仿宋" w:cs="仿宋"/>
          <w:color w:val="auto"/>
        </w:rPr>
        <w:t>磋商</w:t>
      </w:r>
      <w:bookmarkEnd w:id="108"/>
      <w:bookmarkEnd w:id="109"/>
      <w:bookmarkEnd w:id="110"/>
      <w:bookmarkEnd w:id="111"/>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磋商内容为第4章中“技术、服务、商务及其他要求”、第6章“合同草案条款”。其中第4章中加★号的条款为采购项目的最低要求，为非磋商可以降低标准的内容。</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7"/>
        </w:numPr>
        <w:tabs>
          <w:tab w:val="left" w:pos="1134"/>
        </w:tabs>
        <w:spacing w:after="200" w:line="360" w:lineRule="auto"/>
        <w:ind w:lef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2"/>
          <w:numId w:val="1"/>
        </w:numPr>
        <w:tabs>
          <w:tab w:val="left" w:pos="993"/>
          <w:tab w:val="clear" w:pos="426"/>
          <w:tab w:val="clear" w:pos="567"/>
        </w:tabs>
        <w:rPr>
          <w:rFonts w:hint="eastAsia" w:ascii="仿宋" w:hAnsi="仿宋" w:eastAsia="仿宋" w:cs="仿宋"/>
          <w:color w:val="auto"/>
        </w:rPr>
      </w:pPr>
      <w:bookmarkStart w:id="112" w:name="_Toc72938455"/>
      <w:bookmarkStart w:id="113" w:name="_Toc5879"/>
      <w:bookmarkStart w:id="114" w:name="_Toc63084325"/>
      <w:bookmarkStart w:id="115" w:name="_Toc63437911"/>
      <w:r>
        <w:rPr>
          <w:rFonts w:hint="eastAsia" w:ascii="仿宋" w:hAnsi="仿宋" w:eastAsia="仿宋" w:cs="仿宋"/>
          <w:color w:val="auto"/>
        </w:rPr>
        <w:t>符合性审查</w:t>
      </w:r>
      <w:bookmarkEnd w:id="112"/>
      <w:bookmarkEnd w:id="113"/>
      <w:bookmarkEnd w:id="114"/>
      <w:bookmarkEnd w:id="115"/>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磋商过程中，磋商小组对供应商递交的首次施工响应文件进行审查，审查中发现供应商首次施工响应文件有下列情况之一的，应按照无效施工响应文件处理：</w:t>
      </w:r>
    </w:p>
    <w:p>
      <w:pPr>
        <w:pStyle w:val="24"/>
        <w:numPr>
          <w:ilvl w:val="0"/>
          <w:numId w:val="39"/>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施工响应文件的语言、报价货币、知识产权、施工响应文件有效期不符合采购文件的规定，影响磋商小组评判的；</w:t>
      </w:r>
    </w:p>
    <w:p>
      <w:pPr>
        <w:pStyle w:val="24"/>
        <w:numPr>
          <w:ilvl w:val="0"/>
          <w:numId w:val="39"/>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施工响应文件中未附已标价工程量清单（已明确要求不需要提供的除外）。</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经最终磋商后，施工响应文件仍有下列情况之一的，应按照无效施工响应文件处理：</w:t>
      </w:r>
    </w:p>
    <w:p>
      <w:pPr>
        <w:pStyle w:val="24"/>
        <w:numPr>
          <w:ilvl w:val="0"/>
          <w:numId w:val="40"/>
        </w:numPr>
        <w:tabs>
          <w:tab w:val="left" w:pos="1134"/>
        </w:tabs>
        <w:autoSpaceDE/>
        <w:autoSpaceDN/>
        <w:adjustRightInd/>
        <w:snapToGrid w:val="0"/>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施工响应文件仍不能实质性响应采购文件的实质性要求和仍不能完全满足采购需求的最低要求的；</w:t>
      </w:r>
    </w:p>
    <w:p>
      <w:pPr>
        <w:pStyle w:val="24"/>
        <w:numPr>
          <w:ilvl w:val="0"/>
          <w:numId w:val="40"/>
        </w:numPr>
        <w:tabs>
          <w:tab w:val="left" w:pos="1134"/>
        </w:tabs>
        <w:autoSpaceDE/>
        <w:autoSpaceDN/>
        <w:adjustRightInd/>
        <w:snapToGrid w:val="0"/>
        <w:spacing w:line="360" w:lineRule="auto"/>
        <w:ind w:left="0" w:firstLine="567"/>
        <w:rPr>
          <w:rFonts w:hint="eastAsia" w:ascii="仿宋" w:hAnsi="仿宋" w:eastAsia="仿宋" w:cs="仿宋"/>
          <w:color w:val="auto"/>
          <w:sz w:val="28"/>
          <w:szCs w:val="28"/>
        </w:rPr>
      </w:pPr>
      <w:r>
        <w:rPr>
          <w:rFonts w:hint="eastAsia" w:ascii="仿宋" w:hAnsi="仿宋" w:eastAsia="仿宋" w:cs="仿宋"/>
          <w:color w:val="auto"/>
          <w:sz w:val="28"/>
          <w:szCs w:val="28"/>
        </w:rPr>
        <w:t>施工响应文件仍中有规定的其他无效响应情形的。</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磋商小组要求供应商澄清、说明或者更正施工响应文件应当以书面形式作出。供应商的澄清、说明或者更正应加盖供应商（法定名称）电子签章。</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磋商小组应当积极履行澄清、说明或者更正的职责，不得滥用权力。</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38"/>
        </w:numPr>
        <w:tabs>
          <w:tab w:val="left" w:pos="1134"/>
        </w:tabs>
        <w:autoSpaceDE/>
        <w:autoSpaceDN/>
        <w:adjustRightInd/>
        <w:snapToGrid w:val="0"/>
        <w:spacing w:line="360" w:lineRule="auto"/>
        <w:ind w:left="0" w:firstLine="560"/>
        <w:rPr>
          <w:rFonts w:hint="eastAsia" w:ascii="仿宋" w:hAnsi="仿宋" w:eastAsia="仿宋" w:cs="仿宋"/>
          <w:color w:val="auto"/>
          <w:sz w:val="28"/>
          <w:szCs w:val="28"/>
        </w:rPr>
      </w:pPr>
      <w:r>
        <w:rPr>
          <w:rFonts w:hint="eastAsia" w:ascii="仿宋" w:hAnsi="仿宋" w:eastAsia="仿宋" w:cs="仿宋"/>
          <w:color w:val="auto"/>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b/>
                <w:color w:val="auto"/>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磋商保证金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除因断电、断网、系统故障或其他不可抗力等因素，导致系统无法使用外，施工响应文件已成功解密。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r>
              <w:rPr>
                <w:rFonts w:hint="eastAsia" w:ascii="仿宋" w:hAnsi="仿宋" w:eastAsia="仿宋" w:cs="仿宋"/>
                <w:color w:val="auto"/>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b/>
                <w:color w:val="auto"/>
              </w:rPr>
            </w:pPr>
            <w:r>
              <w:rPr>
                <w:rFonts w:hint="eastAsia" w:ascii="仿宋" w:hAnsi="仿宋" w:eastAsia="仿宋" w:cs="仿宋"/>
                <w:color w:val="auto"/>
              </w:rPr>
              <w:t>施工响应文件加盖有供应商（法定名称）电子签章。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szCs w:val="28"/>
              </w:rPr>
            </w:pPr>
            <w:r>
              <w:rPr>
                <w:rFonts w:hint="eastAsia" w:ascii="仿宋" w:hAnsi="仿宋" w:eastAsia="仿宋" w:cs="仿宋"/>
                <w:color w:val="auto"/>
                <w:szCs w:val="28"/>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r>
              <w:rPr>
                <w:rFonts w:hint="eastAsia" w:ascii="仿宋" w:hAnsi="仿宋" w:eastAsia="仿宋" w:cs="仿宋"/>
                <w:color w:val="auto"/>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仿宋" w:hAnsi="仿宋" w:eastAsia="仿宋" w:cs="仿宋"/>
                <w:color w:val="auto"/>
                <w:sz w:val="24"/>
                <w:szCs w:val="24"/>
                <w:lang w:val="en-US" w:eastAsia="zh-CN" w:bidi="ar-SA"/>
              </w:rPr>
            </w:pPr>
            <w:r>
              <w:rPr>
                <w:rFonts w:hint="eastAsia" w:ascii="仿宋" w:hAnsi="仿宋" w:eastAsia="仿宋" w:cs="仿宋"/>
                <w:color w:val="auto"/>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供应商提交的首次施工响应文件中已标价工程量清单未出现磋商文件“供应商须知附表”中第７项规定情形；</w:t>
            </w:r>
          </w:p>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供应商提交的首次施工响应文件中供应商已标价工程量清单符合磋商文件2.4.3报价货币及报价要求。</w:t>
            </w:r>
          </w:p>
          <w:p>
            <w:pPr>
              <w:pStyle w:val="82"/>
              <w:numPr>
                <w:ilvl w:val="0"/>
                <w:numId w:val="41"/>
              </w:numPr>
              <w:tabs>
                <w:tab w:val="left" w:pos="742"/>
              </w:tabs>
              <w:snapToGrid w:val="0"/>
              <w:spacing w:line="360" w:lineRule="auto"/>
              <w:ind w:left="33" w:hanging="33" w:firstLineChars="0"/>
              <w:rPr>
                <w:rFonts w:hint="eastAsia" w:ascii="仿宋" w:hAnsi="仿宋" w:eastAsia="仿宋" w:cs="仿宋"/>
                <w:color w:val="auto"/>
              </w:rPr>
            </w:pPr>
            <w:r>
              <w:rPr>
                <w:rFonts w:hint="eastAsia" w:ascii="仿宋" w:hAnsi="仿宋" w:eastAsia="仿宋" w:cs="仿宋"/>
                <w:color w:val="auto"/>
              </w:rPr>
              <w:t>磋商小组对供应商已标价工程量清单进行算术性复核时，如需进行修正的，供应商按磋商文件要求确认修正后的报价。</w:t>
            </w:r>
          </w:p>
          <w:p>
            <w:pPr>
              <w:pStyle w:val="82"/>
              <w:tabs>
                <w:tab w:val="left" w:pos="742"/>
              </w:tabs>
              <w:snapToGrid w:val="0"/>
              <w:spacing w:line="360" w:lineRule="auto"/>
              <w:ind w:left="33"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Cs w:val="28"/>
              </w:rPr>
              <w:t>【说明：上传已标价的工程量清单】</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rPr>
            </w:pPr>
          </w:p>
        </w:tc>
      </w:tr>
    </w:tbl>
    <w:p>
      <w:pPr>
        <w:pStyle w:val="82"/>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以上每一项结论均为“通过”的，则供应商的施工响应文件通过符合性审查，才能允许其参加最后报价；如有任意一项结论为“不通过”的，则供应商的施工响应文件按无效施工响应文件处理。如果磋商小组认为供应商有任意一项不通过的，应在评审报告中载明不通过的具体原因。</w:t>
      </w:r>
    </w:p>
    <w:p>
      <w:pPr>
        <w:pStyle w:val="82"/>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符合性审查结束后，应当出具符合性审查报告。东部新区综合部将通过和未通过符合性审查的供应商名单以及未通过符合性审查的原因（以短信、站内信、电话、“政府采购云平台”等任一方式）通知所有递交施工响应文件的供应商，并书面通知未通过符合性审查的供应商。</w:t>
      </w:r>
    </w:p>
    <w:p>
      <w:pPr>
        <w:pStyle w:val="82"/>
        <w:widowControl w:val="0"/>
        <w:numPr>
          <w:ilvl w:val="0"/>
          <w:numId w:val="42"/>
        </w:numPr>
        <w:tabs>
          <w:tab w:val="left" w:pos="851"/>
          <w:tab w:val="left" w:pos="993"/>
          <w:tab w:val="left" w:pos="1134"/>
          <w:tab w:val="left" w:pos="1276"/>
          <w:tab w:val="left" w:pos="1418"/>
        </w:tabs>
        <w:snapToGrid w:val="0"/>
        <w:spacing w:line="360" w:lineRule="auto"/>
        <w:ind w:left="0" w:firstLine="567" w:firstLineChars="0"/>
        <w:jc w:val="both"/>
        <w:rPr>
          <w:rFonts w:hint="eastAsia" w:ascii="仿宋" w:hAnsi="仿宋" w:eastAsia="仿宋" w:cs="仿宋"/>
          <w:color w:val="auto"/>
          <w:sz w:val="28"/>
          <w:szCs w:val="28"/>
        </w:rPr>
      </w:pPr>
      <w:r>
        <w:rPr>
          <w:rFonts w:hint="eastAsia" w:ascii="仿宋" w:hAnsi="仿宋" w:eastAsia="仿宋" w:cs="仿宋"/>
          <w:color w:val="auto"/>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int="eastAsia" w:ascii="仿宋" w:hAnsi="仿宋" w:eastAsia="仿宋" w:cs="仿宋"/>
          <w:b/>
          <w:color w:val="auto"/>
          <w:sz w:val="28"/>
          <w:szCs w:val="28"/>
        </w:rPr>
      </w:pPr>
      <w:r>
        <w:rPr>
          <w:rFonts w:hint="eastAsia" w:ascii="仿宋" w:hAnsi="仿宋" w:eastAsia="仿宋" w:cs="仿宋"/>
          <w:b/>
          <w:color w:val="auto"/>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rPr>
          <w:rFonts w:hint="eastAsia" w:ascii="仿宋" w:hAnsi="仿宋" w:eastAsia="仿宋" w:cs="仿宋"/>
          <w:color w:val="auto"/>
        </w:rPr>
      </w:pPr>
      <w:bookmarkStart w:id="116" w:name="_Toc63084326"/>
      <w:bookmarkStart w:id="117" w:name="_Toc72938456"/>
      <w:bookmarkStart w:id="118" w:name="_Toc63437912"/>
      <w:r>
        <w:rPr>
          <w:rFonts w:hint="eastAsia" w:ascii="仿宋" w:hAnsi="仿宋" w:eastAsia="仿宋" w:cs="仿宋"/>
          <w:color w:val="auto"/>
        </w:rPr>
        <w:t>最后报价审查</w:t>
      </w:r>
      <w:bookmarkEnd w:id="116"/>
      <w:bookmarkEnd w:id="117"/>
      <w:bookmarkEnd w:id="118"/>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已提交施工响应文件的供应商，在提交最后报价之前，可以根据磋商情况退出磋商，供应商的磋商保证金在成交结果公布后无息原路径退还。</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供应商未按磋商小组要求在规定时间内提交最后报价的，视为其退出磋商。</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最后报价一旦递交后，供应商不得以任何理由撤回。</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供应商的最后报价由磋商小组在“政府采购云平台”公布。</w:t>
      </w:r>
    </w:p>
    <w:p>
      <w:pPr>
        <w:numPr>
          <w:ilvl w:val="0"/>
          <w:numId w:val="43"/>
        </w:numPr>
        <w:tabs>
          <w:tab w:val="left" w:pos="1134"/>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最后报价为有效报价应符合下列条件：</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供应商所提供的最后报价是在规定的时间内提交。</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供应商的最后报价应加盖供应商（法定名称）电子签章。</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供应商的最后报价符合磋商文件的要求。</w:t>
      </w:r>
    </w:p>
    <w:p>
      <w:pPr>
        <w:numPr>
          <w:ilvl w:val="0"/>
          <w:numId w:val="44"/>
        </w:numPr>
        <w:tabs>
          <w:tab w:val="left" w:pos="-2127"/>
          <w:tab w:val="left" w:pos="1134"/>
        </w:tabs>
        <w:snapToGrid w:val="0"/>
        <w:spacing w:after="200" w:line="360" w:lineRule="auto"/>
        <w:ind w:left="0" w:firstLine="557"/>
        <w:jc w:val="both"/>
        <w:rPr>
          <w:rFonts w:hint="eastAsia" w:ascii="仿宋" w:hAnsi="仿宋" w:eastAsia="仿宋" w:cs="仿宋"/>
          <w:color w:val="auto"/>
          <w:sz w:val="28"/>
          <w:szCs w:val="28"/>
        </w:rPr>
      </w:pPr>
      <w:r>
        <w:rPr>
          <w:rFonts w:hint="eastAsia" w:ascii="仿宋" w:hAnsi="仿宋" w:eastAsia="仿宋" w:cs="仿宋"/>
          <w:color w:val="auto"/>
          <w:sz w:val="28"/>
          <w:szCs w:val="28"/>
        </w:rPr>
        <w:t>最后报价唯一，且不高于最高限价。</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在未提高施工响应文件中承诺的工程实质性要求的情况下，最后报价不得高于对该项目之前的报价，否则，磋商小组应当对其施工响应文件按无效处理。磋商小组根据磋商文件中规定认为供应商最后报价低于成本价，在磋商小组发出质询函后供应商未能提供合理的成本分析和价格构成的或对质函询的解释未被磋商小组采信的，应按照无效施工响应文件处理。</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最后报价出现下列情况的，不需要供应商澄清，按以下原则处理：</w:t>
      </w:r>
    </w:p>
    <w:p>
      <w:pPr>
        <w:pStyle w:val="208"/>
        <w:numPr>
          <w:ilvl w:val="0"/>
          <w:numId w:val="45"/>
        </w:numPr>
        <w:tabs>
          <w:tab w:val="left" w:pos="1134"/>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最后报价中的大写金额和小写金额不一致的，以大写金额为准，但大写金额出现文字错误，导致金额无法判断的除外；</w:t>
      </w:r>
    </w:p>
    <w:p>
      <w:pPr>
        <w:pStyle w:val="208"/>
        <w:numPr>
          <w:ilvl w:val="0"/>
          <w:numId w:val="45"/>
        </w:numPr>
        <w:tabs>
          <w:tab w:val="left" w:pos="1134"/>
          <w:tab w:val="clear" w:pos="846"/>
        </w:tabs>
        <w:snapToGrid w:val="0"/>
        <w:spacing w:line="620" w:lineRule="exact"/>
        <w:ind w:left="0" w:firstLine="525" w:firstLineChars="0"/>
        <w:rPr>
          <w:rFonts w:hint="eastAsia" w:ascii="仿宋" w:hAnsi="仿宋" w:eastAsia="仿宋" w:cs="仿宋"/>
          <w:color w:val="auto"/>
          <w:sz w:val="28"/>
          <w:szCs w:val="28"/>
        </w:rPr>
      </w:pPr>
      <w:r>
        <w:rPr>
          <w:rFonts w:hint="eastAsia" w:ascii="仿宋" w:hAnsi="仿宋" w:eastAsia="仿宋" w:cs="仿宋"/>
          <w:color w:val="auto"/>
          <w:sz w:val="28"/>
          <w:szCs w:val="28"/>
        </w:rPr>
        <w:t>单价金额小数点或者百分比有明显错位的，应以总价为准，并修改单价；</w:t>
      </w:r>
    </w:p>
    <w:p>
      <w:pPr>
        <w:pStyle w:val="208"/>
        <w:numPr>
          <w:ilvl w:val="0"/>
          <w:numId w:val="45"/>
        </w:numPr>
        <w:tabs>
          <w:tab w:val="left" w:pos="1134"/>
          <w:tab w:val="clear" w:pos="846"/>
        </w:tabs>
        <w:snapToGrid w:val="0"/>
        <w:spacing w:line="620" w:lineRule="exact"/>
        <w:ind w:left="0" w:firstLine="525" w:firstLineChars="0"/>
        <w:rPr>
          <w:rFonts w:hint="eastAsia" w:ascii="仿宋" w:hAnsi="仿宋" w:eastAsia="仿宋" w:cs="仿宋"/>
          <w:color w:val="auto"/>
          <w:sz w:val="28"/>
          <w:szCs w:val="28"/>
        </w:rPr>
      </w:pPr>
      <w:r>
        <w:rPr>
          <w:rFonts w:hint="eastAsia" w:ascii="仿宋" w:hAnsi="仿宋" w:eastAsia="仿宋" w:cs="仿宋"/>
          <w:color w:val="auto"/>
          <w:sz w:val="28"/>
          <w:szCs w:val="28"/>
        </w:rPr>
        <w:t>总价金额与按单价汇总金额不一致的，以单价汇总金额计算结果为准；</w:t>
      </w:r>
    </w:p>
    <w:p>
      <w:pPr>
        <w:snapToGrid w:val="0"/>
        <w:spacing w:line="620" w:lineRule="exact"/>
        <w:ind w:firstLine="560" w:firstLineChars="200"/>
        <w:rPr>
          <w:rFonts w:hint="eastAsia" w:ascii="仿宋" w:hAnsi="仿宋" w:eastAsia="仿宋" w:cs="仿宋"/>
          <w:color w:val="auto"/>
        </w:rPr>
      </w:pPr>
      <w:r>
        <w:rPr>
          <w:rFonts w:hint="eastAsia" w:ascii="仿宋" w:hAnsi="仿宋" w:eastAsia="仿宋" w:cs="仿宋"/>
          <w:color w:val="auto"/>
          <w:sz w:val="28"/>
          <w:szCs w:val="28"/>
        </w:rPr>
        <w:t>同时出现两种以上不一致的，按照前款规定的顺序修正。修正后的最后报价经加盖供应商（法定名称）电子签章后产生约束力，供应商不确认的，其最后报价无效。</w:t>
      </w:r>
    </w:p>
    <w:p>
      <w:pPr>
        <w:pStyle w:val="2"/>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对不同语言文本施工响应文件的解释发生异议的，以中文文本为准。</w:t>
      </w:r>
    </w:p>
    <w:p>
      <w:pPr>
        <w:numPr>
          <w:ilvl w:val="0"/>
          <w:numId w:val="43"/>
        </w:numPr>
        <w:tabs>
          <w:tab w:val="left" w:pos="1134"/>
        </w:tabs>
        <w:snapToGrid w:val="0"/>
        <w:spacing w:line="620" w:lineRule="exact"/>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价格扣除以及对失信供应商价格加成</w:t>
      </w:r>
    </w:p>
    <w:p>
      <w:pPr>
        <w:pStyle w:val="208"/>
        <w:numPr>
          <w:ilvl w:val="0"/>
          <w:numId w:val="46"/>
        </w:numPr>
        <w:tabs>
          <w:tab w:val="left" w:pos="1276"/>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本项目专门面向中小企业，不进行价格扣除。</w:t>
      </w:r>
    </w:p>
    <w:p>
      <w:pPr>
        <w:pStyle w:val="208"/>
        <w:numPr>
          <w:ilvl w:val="0"/>
          <w:numId w:val="46"/>
        </w:numPr>
        <w:tabs>
          <w:tab w:val="left" w:pos="1276"/>
          <w:tab w:val="clear" w:pos="846"/>
        </w:tabs>
        <w:snapToGrid w:val="0"/>
        <w:spacing w:line="620" w:lineRule="exact"/>
        <w:ind w:left="0" w:firstLine="567" w:firstLineChars="0"/>
        <w:rPr>
          <w:rFonts w:hint="eastAsia" w:ascii="仿宋" w:hAnsi="仿宋" w:eastAsia="仿宋" w:cs="仿宋"/>
          <w:color w:val="auto"/>
          <w:sz w:val="28"/>
          <w:szCs w:val="28"/>
        </w:rPr>
      </w:pPr>
      <w:r>
        <w:rPr>
          <w:rFonts w:hint="eastAsia" w:ascii="仿宋" w:hAnsi="仿宋" w:eastAsia="仿宋" w:cs="仿宋"/>
          <w:color w:val="auto"/>
          <w:sz w:val="28"/>
          <w:szCs w:val="28"/>
        </w:rPr>
        <w:t>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3"/>
        </w:numPr>
        <w:tabs>
          <w:tab w:val="left" w:pos="-2127"/>
          <w:tab w:val="left" w:pos="1134"/>
        </w:tabs>
        <w:snapToGrid w:val="0"/>
        <w:spacing w:line="620" w:lineRule="exact"/>
        <w:ind w:left="0" w:firstLine="560" w:firstLineChars="200"/>
        <w:rPr>
          <w:rFonts w:hint="eastAsia" w:ascii="仿宋" w:hAnsi="仿宋" w:eastAsia="仿宋" w:cs="仿宋"/>
          <w:b/>
          <w:color w:val="auto"/>
          <w:sz w:val="28"/>
          <w:szCs w:val="28"/>
          <w:lang w:val="en-US" w:eastAsia="zh-CN"/>
        </w:rPr>
      </w:pPr>
      <w:r>
        <w:rPr>
          <w:rFonts w:hint="eastAsia" w:ascii="仿宋" w:hAnsi="仿宋" w:eastAsia="仿宋" w:cs="仿宋"/>
          <w:color w:val="auto"/>
          <w:sz w:val="28"/>
          <w:szCs w:val="28"/>
        </w:rPr>
        <w:t>有效最后报价的供应商不足三家的，采购失败。</w:t>
      </w:r>
    </w:p>
    <w:p>
      <w:pPr>
        <w:pStyle w:val="4"/>
        <w:numPr>
          <w:ilvl w:val="2"/>
          <w:numId w:val="1"/>
        </w:numPr>
        <w:tabs>
          <w:tab w:val="left" w:pos="993"/>
          <w:tab w:val="clear" w:pos="426"/>
          <w:tab w:val="clear" w:pos="567"/>
        </w:tabs>
        <w:rPr>
          <w:rFonts w:hint="eastAsia" w:ascii="仿宋" w:hAnsi="仿宋" w:eastAsia="仿宋" w:cs="仿宋"/>
          <w:color w:val="auto"/>
        </w:rPr>
      </w:pPr>
      <w:bookmarkStart w:id="119" w:name="_Toc63437913"/>
      <w:bookmarkStart w:id="120" w:name="_Toc72938457"/>
      <w:bookmarkStart w:id="121" w:name="_Toc13959"/>
      <w:bookmarkStart w:id="122" w:name="_Toc63084327"/>
      <w:r>
        <w:rPr>
          <w:rFonts w:hint="eastAsia" w:ascii="仿宋" w:hAnsi="仿宋" w:eastAsia="仿宋" w:cs="仿宋"/>
          <w:color w:val="auto"/>
        </w:rPr>
        <w:t>解释、澄清、说明的有关问题</w:t>
      </w:r>
      <w:bookmarkEnd w:id="119"/>
      <w:bookmarkEnd w:id="120"/>
      <w:bookmarkEnd w:id="121"/>
      <w:bookmarkEnd w:id="122"/>
    </w:p>
    <w:p>
      <w:pPr>
        <w:widowControl w:val="0"/>
        <w:numPr>
          <w:ilvl w:val="0"/>
          <w:numId w:val="47"/>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47"/>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hint="eastAsia" w:ascii="仿宋" w:hAnsi="仿宋" w:eastAsia="仿宋" w:cs="仿宋"/>
          <w:b/>
          <w:color w:val="auto"/>
          <w:sz w:val="28"/>
          <w:szCs w:val="28"/>
        </w:rPr>
      </w:pPr>
      <w:r>
        <w:rPr>
          <w:rFonts w:hint="eastAsia" w:ascii="仿宋" w:hAnsi="仿宋" w:eastAsia="仿宋" w:cs="仿宋"/>
          <w:b/>
          <w:color w:val="auto"/>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hint="eastAsia" w:ascii="仿宋" w:hAnsi="仿宋" w:eastAsia="仿宋" w:cs="仿宋"/>
          <w:b/>
          <w:color w:val="auto"/>
          <w:sz w:val="28"/>
          <w:szCs w:val="28"/>
        </w:rPr>
      </w:pPr>
      <w:r>
        <w:rPr>
          <w:rFonts w:hint="eastAsia" w:ascii="仿宋" w:hAnsi="仿宋" w:eastAsia="仿宋" w:cs="仿宋"/>
          <w:b/>
          <w:color w:val="auto"/>
          <w:sz w:val="28"/>
          <w:szCs w:val="28"/>
        </w:rPr>
        <w:t>磋商小组应当积极履行澄清、说明或者更正的职责，不得滥用权力。</w:t>
      </w:r>
    </w:p>
    <w:p>
      <w:pPr>
        <w:pStyle w:val="4"/>
        <w:numPr>
          <w:ilvl w:val="2"/>
          <w:numId w:val="1"/>
        </w:numPr>
        <w:tabs>
          <w:tab w:val="left" w:pos="993"/>
          <w:tab w:val="clear" w:pos="426"/>
          <w:tab w:val="clear" w:pos="567"/>
        </w:tabs>
        <w:rPr>
          <w:rFonts w:hint="eastAsia" w:ascii="仿宋" w:hAnsi="仿宋" w:eastAsia="仿宋" w:cs="仿宋"/>
          <w:color w:val="auto"/>
        </w:rPr>
      </w:pPr>
      <w:bookmarkStart w:id="123" w:name="_Toc72938458"/>
      <w:bookmarkStart w:id="124" w:name="_Toc25891"/>
      <w:bookmarkStart w:id="125" w:name="_Toc63437914"/>
      <w:bookmarkStart w:id="126" w:name="_Toc63084328"/>
      <w:r>
        <w:rPr>
          <w:rFonts w:hint="eastAsia" w:ascii="仿宋" w:hAnsi="仿宋" w:eastAsia="仿宋" w:cs="仿宋"/>
          <w:color w:val="auto"/>
        </w:rPr>
        <w:t>比较与评价</w:t>
      </w:r>
      <w:bookmarkEnd w:id="123"/>
      <w:bookmarkEnd w:id="124"/>
      <w:bookmarkEnd w:id="125"/>
      <w:bookmarkEnd w:id="126"/>
    </w:p>
    <w:p>
      <w:p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由磋商小组采用综合评分法对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的供应商的施工响应文件进行综合评分，具体要求详见本章综合评分部分。</w:t>
      </w:r>
    </w:p>
    <w:p>
      <w:pPr>
        <w:pStyle w:val="2"/>
        <w:rPr>
          <w:rFonts w:hint="eastAsia" w:ascii="仿宋" w:hAnsi="仿宋" w:eastAsia="仿宋" w:cs="仿宋"/>
          <w:color w:val="auto"/>
        </w:rPr>
      </w:pPr>
    </w:p>
    <w:p>
      <w:pPr>
        <w:pStyle w:val="4"/>
        <w:numPr>
          <w:ilvl w:val="2"/>
          <w:numId w:val="1"/>
        </w:numPr>
        <w:tabs>
          <w:tab w:val="left" w:pos="993"/>
          <w:tab w:val="clear" w:pos="426"/>
          <w:tab w:val="clear" w:pos="567"/>
        </w:tabs>
        <w:rPr>
          <w:rFonts w:hint="eastAsia" w:ascii="仿宋" w:hAnsi="仿宋" w:eastAsia="仿宋" w:cs="仿宋"/>
          <w:color w:val="auto"/>
        </w:rPr>
      </w:pPr>
      <w:bookmarkStart w:id="127" w:name="_Toc72938459"/>
      <w:bookmarkStart w:id="128" w:name="_Toc63437915"/>
      <w:bookmarkStart w:id="129" w:name="_Toc63084329"/>
      <w:bookmarkStart w:id="130" w:name="_Toc27610"/>
      <w:r>
        <w:rPr>
          <w:rFonts w:hint="eastAsia" w:ascii="仿宋" w:hAnsi="仿宋" w:eastAsia="仿宋" w:cs="仿宋"/>
          <w:color w:val="auto"/>
        </w:rPr>
        <w:t>磋商小组复核</w:t>
      </w:r>
      <w:bookmarkEnd w:id="127"/>
      <w:bookmarkEnd w:id="128"/>
      <w:bookmarkEnd w:id="129"/>
      <w:bookmarkEnd w:id="130"/>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评审结束后，磋商小组应当进行复核，特别要对拟推荐为成交候选供应商的、施工响应文件被认定为无效的进行重点复核。</w:t>
      </w:r>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48"/>
        </w:numPr>
        <w:tabs>
          <w:tab w:val="left" w:pos="1134"/>
        </w:tabs>
        <w:spacing w:after="200" w:line="360" w:lineRule="auto"/>
        <w:ind w:left="0" w:firstLine="567"/>
        <w:jc w:val="both"/>
        <w:rPr>
          <w:rFonts w:hint="eastAsia" w:ascii="仿宋" w:hAnsi="仿宋" w:eastAsia="仿宋" w:cs="仿宋"/>
          <w:color w:val="auto"/>
          <w:sz w:val="28"/>
          <w:szCs w:val="28"/>
        </w:rPr>
      </w:pPr>
      <w:r>
        <w:rPr>
          <w:rFonts w:hint="eastAsia" w:ascii="仿宋" w:hAnsi="仿宋" w:eastAsia="仿宋" w:cs="仿宋"/>
          <w:color w:val="auto"/>
          <w:sz w:val="28"/>
          <w:szCs w:val="28"/>
        </w:rPr>
        <w:t>评审结果汇总完成后，除下列情形外，任何人不得修改评审结果：</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资格性认定错误；</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分值汇总计算错误的；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分项评分超出评分标准范围的；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磋商小组成员对客观评审因素评分不一致的；</w:t>
      </w:r>
    </w:p>
    <w:p>
      <w:pPr>
        <w:pStyle w:val="82"/>
        <w:numPr>
          <w:ilvl w:val="0"/>
          <w:numId w:val="49"/>
        </w:numPr>
        <w:tabs>
          <w:tab w:val="left" w:pos="1418"/>
        </w:tabs>
        <w:spacing w:after="200" w:line="360" w:lineRule="auto"/>
        <w:ind w:left="0" w:firstLine="480" w:firstLineChars="0"/>
        <w:rPr>
          <w:rFonts w:hint="eastAsia" w:ascii="仿宋" w:hAnsi="仿宋" w:eastAsia="仿宋" w:cs="仿宋"/>
          <w:color w:val="auto"/>
          <w:sz w:val="28"/>
          <w:szCs w:val="28"/>
        </w:rPr>
      </w:pPr>
      <w:r>
        <w:rPr>
          <w:rFonts w:hint="eastAsia" w:ascii="仿宋" w:hAnsi="仿宋" w:eastAsia="仿宋" w:cs="仿宋"/>
          <w:color w:val="auto"/>
          <w:sz w:val="28"/>
          <w:szCs w:val="28"/>
        </w:rPr>
        <w:t>经磋商小组认定评分畸高、畸低的。</w:t>
      </w:r>
    </w:p>
    <w:p>
      <w:pPr>
        <w:tabs>
          <w:tab w:val="left" w:pos="851"/>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hint="eastAsia" w:ascii="仿宋" w:hAnsi="仿宋" w:eastAsia="仿宋" w:cs="仿宋"/>
          <w:color w:val="auto"/>
        </w:rPr>
      </w:pPr>
      <w:r>
        <w:rPr>
          <w:rFonts w:hint="eastAsia" w:ascii="仿宋" w:hAnsi="仿宋" w:eastAsia="仿宋" w:cs="仿宋"/>
          <w:color w:val="auto"/>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rPr>
          <w:rFonts w:hint="eastAsia" w:ascii="仿宋" w:hAnsi="仿宋" w:eastAsia="仿宋" w:cs="仿宋"/>
          <w:color w:val="auto"/>
        </w:rPr>
      </w:pPr>
      <w:bookmarkStart w:id="131" w:name="_Toc63084330"/>
      <w:bookmarkStart w:id="132" w:name="_Toc12480"/>
      <w:bookmarkStart w:id="133" w:name="_Toc63437916"/>
      <w:bookmarkStart w:id="134" w:name="_Toc72938460"/>
      <w:r>
        <w:rPr>
          <w:rFonts w:hint="eastAsia" w:ascii="仿宋" w:hAnsi="仿宋" w:eastAsia="仿宋" w:cs="仿宋"/>
          <w:color w:val="auto"/>
        </w:rPr>
        <w:t>推荐成交候选供应商</w:t>
      </w:r>
      <w:bookmarkEnd w:id="131"/>
      <w:bookmarkEnd w:id="132"/>
      <w:bookmarkEnd w:id="133"/>
      <w:bookmarkEnd w:id="134"/>
    </w:p>
    <w:p>
      <w:pPr>
        <w:pStyle w:val="2"/>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优先选择不发达地区和少数民族地区的供应商；评审得分且最后报价且技术指标得分均相同的，无供应商均属于不发达地区和少数民族地区的或供应商均属于不发达地区和少数民族地区，由采购人随机抽签确定成交供应商。</w:t>
      </w:r>
    </w:p>
    <w:p>
      <w:pPr>
        <w:pStyle w:val="4"/>
        <w:numPr>
          <w:ilvl w:val="2"/>
          <w:numId w:val="1"/>
        </w:numPr>
        <w:tabs>
          <w:tab w:val="left" w:pos="993"/>
          <w:tab w:val="clear" w:pos="426"/>
          <w:tab w:val="clear" w:pos="567"/>
        </w:tabs>
        <w:rPr>
          <w:rFonts w:hint="eastAsia" w:ascii="仿宋" w:hAnsi="仿宋" w:eastAsia="仿宋" w:cs="仿宋"/>
          <w:color w:val="auto"/>
        </w:rPr>
      </w:pPr>
      <w:bookmarkStart w:id="135" w:name="_Toc63437917"/>
      <w:bookmarkStart w:id="136" w:name="_Toc72938461"/>
      <w:bookmarkStart w:id="137" w:name="_Toc63084331"/>
      <w:bookmarkStart w:id="138" w:name="_Toc25822"/>
      <w:r>
        <w:rPr>
          <w:rFonts w:hint="eastAsia" w:ascii="仿宋" w:hAnsi="仿宋" w:eastAsia="仿宋" w:cs="仿宋"/>
          <w:color w:val="auto"/>
        </w:rPr>
        <w:t>编写磋商报告</w:t>
      </w:r>
      <w:bookmarkEnd w:id="135"/>
      <w:bookmarkEnd w:id="136"/>
      <w:bookmarkEnd w:id="137"/>
      <w:bookmarkEnd w:id="138"/>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磋商小组推荐成交候选供应商后，应向采购代理机构出具磋商报告。磋商报告应当包括以下主要内容：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（1）邀请供应商参加采购活动的具体方式和相关情况；</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（2）施工响应文件开启日期和地点；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（3）获取磋商文件的供应商名单和磋商小组成员名单；</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（4）评审情况记录和说明，包括对供应商的资格审查情况、供应商施工响应文件审查情况、磋商情况等；</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（5）提出的成交候选供应商的排序名单及理由。</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rPr>
          <w:rFonts w:hint="eastAsia" w:ascii="仿宋" w:hAnsi="仿宋" w:eastAsia="仿宋" w:cs="仿宋"/>
          <w:color w:val="auto"/>
        </w:rPr>
      </w:pPr>
      <w:bookmarkStart w:id="139" w:name="_Toc63084332"/>
      <w:bookmarkStart w:id="140" w:name="_Toc63437918"/>
      <w:bookmarkStart w:id="141" w:name="_Toc54948232"/>
      <w:bookmarkStart w:id="142" w:name="_Toc72938462"/>
      <w:bookmarkStart w:id="143" w:name="_Toc22085"/>
      <w:r>
        <w:rPr>
          <w:rFonts w:hint="eastAsia" w:ascii="仿宋" w:hAnsi="仿宋" w:eastAsia="仿宋" w:cs="仿宋"/>
          <w:color w:val="auto"/>
        </w:rPr>
        <w:t>争议处理规则</w:t>
      </w:r>
      <w:bookmarkEnd w:id="139"/>
      <w:bookmarkEnd w:id="140"/>
      <w:bookmarkEnd w:id="141"/>
      <w:bookmarkEnd w:id="142"/>
      <w:bookmarkEnd w:id="143"/>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rPr>
          <w:rFonts w:hint="eastAsia" w:ascii="仿宋" w:hAnsi="仿宋" w:eastAsia="仿宋" w:cs="仿宋"/>
          <w:color w:val="auto"/>
        </w:rPr>
      </w:pPr>
      <w:bookmarkStart w:id="144" w:name="_Toc63437919"/>
      <w:bookmarkStart w:id="145" w:name="_Toc22078"/>
      <w:bookmarkStart w:id="146" w:name="_Toc72938463"/>
      <w:bookmarkStart w:id="147" w:name="_Toc63084333"/>
      <w:r>
        <w:rPr>
          <w:rFonts w:hint="eastAsia" w:ascii="仿宋" w:hAnsi="仿宋" w:eastAsia="仿宋" w:cs="仿宋"/>
          <w:color w:val="auto"/>
        </w:rPr>
        <w:t>供应商澄清、说明</w:t>
      </w:r>
      <w:bookmarkEnd w:id="144"/>
      <w:bookmarkEnd w:id="145"/>
      <w:bookmarkEnd w:id="146"/>
      <w:bookmarkEnd w:id="147"/>
    </w:p>
    <w:p>
      <w:pPr>
        <w:widowControl w:val="0"/>
        <w:numPr>
          <w:ilvl w:val="0"/>
          <w:numId w:val="50"/>
        </w:numPr>
        <w:tabs>
          <w:tab w:val="left" w:pos="1134"/>
        </w:tabs>
        <w:spacing w:after="200"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0"/>
        </w:numPr>
        <w:tabs>
          <w:tab w:val="left" w:pos="1134"/>
        </w:tabs>
        <w:spacing w:after="200" w:line="360" w:lineRule="auto"/>
        <w:ind w:left="0" w:firstLine="565" w:firstLineChars="202"/>
        <w:jc w:val="both"/>
        <w:rPr>
          <w:rFonts w:hint="eastAsia" w:ascii="仿宋" w:hAnsi="仿宋" w:eastAsia="仿宋" w:cs="仿宋"/>
          <w:color w:val="auto"/>
          <w:sz w:val="28"/>
          <w:szCs w:val="28"/>
        </w:rPr>
      </w:pPr>
      <w:r>
        <w:rPr>
          <w:rFonts w:hint="eastAsia" w:ascii="仿宋" w:hAnsi="仿宋" w:eastAsia="仿宋" w:cs="仿宋"/>
          <w:color w:val="auto"/>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ascii="仿宋" w:hAnsi="仿宋" w:eastAsia="仿宋" w:cs="仿宋"/>
          <w:color w:val="auto"/>
        </w:rPr>
      </w:pPr>
      <w:bookmarkStart w:id="148" w:name="_Toc8568"/>
      <w:bookmarkStart w:id="149" w:name="_Toc63437920"/>
      <w:bookmarkStart w:id="150" w:name="_Toc54948233"/>
      <w:bookmarkStart w:id="151" w:name="_Toc72938464"/>
      <w:r>
        <w:rPr>
          <w:rFonts w:hint="eastAsia" w:ascii="仿宋" w:hAnsi="仿宋" w:eastAsia="仿宋" w:cs="仿宋"/>
          <w:color w:val="auto"/>
        </w:rPr>
        <w:t>评审办法和标准</w:t>
      </w:r>
      <w:bookmarkEnd w:id="148"/>
      <w:bookmarkEnd w:id="149"/>
      <w:bookmarkEnd w:id="150"/>
      <w:bookmarkEnd w:id="151"/>
    </w:p>
    <w:p>
      <w:pPr>
        <w:pStyle w:val="24"/>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一、由磋商小组根据磋商文件的要求采用相同的评审程序、评分办法及标准对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w:t>
      </w:r>
    </w:p>
    <w:p>
      <w:pPr>
        <w:tabs>
          <w:tab w:val="left" w:pos="1155"/>
        </w:tabs>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二、本次综合评分的因素是：见评分标准；</w:t>
      </w:r>
    </w:p>
    <w:p>
      <w:pPr>
        <w:tabs>
          <w:tab w:val="left" w:pos="1155"/>
        </w:tabs>
        <w:spacing w:line="360" w:lineRule="auto"/>
        <w:ind w:firstLine="560" w:firstLineChars="200"/>
        <w:rPr>
          <w:rFonts w:hint="eastAsia" w:ascii="仿宋" w:hAnsi="仿宋" w:eastAsia="仿宋" w:cs="仿宋"/>
          <w:color w:val="auto"/>
        </w:rPr>
      </w:pPr>
      <w:r>
        <w:rPr>
          <w:rFonts w:hint="eastAsia" w:ascii="仿宋" w:hAnsi="仿宋" w:eastAsia="仿宋" w:cs="仿宋"/>
          <w:color w:val="auto"/>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1"/>
        </w:numPr>
        <w:spacing w:after="200"/>
        <w:ind w:left="1135" w:hanging="1135"/>
        <w:rPr>
          <w:rFonts w:hint="eastAsia" w:ascii="仿宋" w:hAnsi="仿宋" w:eastAsia="仿宋" w:cs="仿宋"/>
          <w:color w:val="auto"/>
        </w:rPr>
      </w:pPr>
      <w:r>
        <w:rPr>
          <w:rFonts w:hint="eastAsia" w:ascii="仿宋" w:hAnsi="仿宋" w:eastAsia="仿宋" w:cs="仿宋"/>
          <w:color w:val="auto"/>
        </w:rPr>
        <w:t>评分办法</w:t>
      </w:r>
    </w:p>
    <w:p>
      <w:pPr>
        <w:pStyle w:val="24"/>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本次评审采用综合评分法，由磋商小组采用综合评分法对</w:t>
      </w:r>
      <w:r>
        <w:rPr>
          <w:rFonts w:hint="eastAsia" w:ascii="仿宋" w:hAnsi="仿宋" w:eastAsia="仿宋" w:cs="仿宋"/>
          <w:color w:val="auto"/>
          <w:sz w:val="28"/>
          <w:szCs w:val="28"/>
          <w:lang w:eastAsia="zh-CN"/>
        </w:rPr>
        <w:t>通过符合性审查</w:t>
      </w:r>
      <w:r>
        <w:rPr>
          <w:rFonts w:hint="eastAsia" w:ascii="仿宋" w:hAnsi="仿宋" w:eastAsia="仿宋" w:cs="仿宋"/>
          <w:color w:val="auto"/>
          <w:sz w:val="28"/>
          <w:szCs w:val="28"/>
        </w:rPr>
        <w:t>的供应商的施工响应文件进行综合评分。综合评分法，是指施工响应文件满足磋商文件全部实质性要求且按评审因素的量化指标评审得分最高的供应商为成交候选供应商的评审方法。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hint="eastAsia" w:ascii="仿宋" w:hAnsi="仿宋" w:eastAsia="仿宋" w:cs="仿宋"/>
          <w:color w:val="auto"/>
          <w:sz w:val="28"/>
          <w:szCs w:val="28"/>
        </w:rPr>
      </w:pPr>
      <w:r>
        <w:rPr>
          <w:rFonts w:hint="eastAsia" w:ascii="仿宋" w:hAnsi="仿宋" w:eastAsia="仿宋" w:cs="仿宋"/>
          <w:color w:val="auto"/>
          <w:sz w:val="28"/>
          <w:szCs w:val="28"/>
        </w:rPr>
        <w:t>评审得分＝（A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）/n</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n</w:t>
      </w:r>
      <w:r>
        <w:rPr>
          <w:rFonts w:hint="eastAsia" w:ascii="仿宋" w:hAnsi="仿宋" w:eastAsia="仿宋" w:cs="仿宋"/>
          <w:color w:val="auto"/>
          <w:sz w:val="28"/>
          <w:szCs w:val="28"/>
          <w:vertAlign w:val="subscript"/>
        </w:rPr>
        <w:t>2</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……A</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分别为磋商小组每个成员的打分，n</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为磋商小组人数；B</w:t>
      </w:r>
      <w:r>
        <w:rPr>
          <w:rFonts w:hint="eastAsia" w:ascii="仿宋" w:hAnsi="仿宋" w:eastAsia="仿宋" w:cs="仿宋"/>
          <w:color w:val="auto"/>
          <w:sz w:val="28"/>
          <w:szCs w:val="28"/>
          <w:vertAlign w:val="subscript"/>
        </w:rPr>
        <w:t>1</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＋……B</w:t>
      </w:r>
      <w:r>
        <w:rPr>
          <w:rFonts w:hint="eastAsia" w:ascii="仿宋" w:hAnsi="仿宋" w:eastAsia="仿宋" w:cs="仿宋"/>
          <w:color w:val="auto"/>
          <w:sz w:val="28"/>
          <w:szCs w:val="28"/>
          <w:vertAlign w:val="subscript"/>
        </w:rPr>
        <w:t>n</w:t>
      </w:r>
      <w:r>
        <w:rPr>
          <w:rFonts w:hint="eastAsia" w:ascii="仿宋" w:hAnsi="仿宋" w:eastAsia="仿宋" w:cs="仿宋"/>
          <w:color w:val="auto"/>
          <w:sz w:val="28"/>
          <w:szCs w:val="28"/>
        </w:rPr>
        <w:t xml:space="preserve"> 分别为每个技术类评委（含采购人代表）的打分，n</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为技术类评委（含采购人代表）人数。</w:t>
      </w:r>
    </w:p>
    <w:p>
      <w:pPr>
        <w:pStyle w:val="5"/>
        <w:numPr>
          <w:ilvl w:val="2"/>
          <w:numId w:val="51"/>
        </w:numPr>
        <w:spacing w:after="200"/>
        <w:ind w:left="1135" w:hanging="1135"/>
        <w:rPr>
          <w:rFonts w:hint="eastAsia" w:ascii="仿宋" w:hAnsi="仿宋" w:eastAsia="仿宋" w:cs="仿宋"/>
          <w:color w:val="auto"/>
        </w:rPr>
      </w:pPr>
      <w:r>
        <w:rPr>
          <w:rFonts w:hint="eastAsia" w:ascii="仿宋" w:hAnsi="仿宋" w:eastAsia="仿宋" w:cs="仿宋"/>
          <w:color w:val="auto"/>
        </w:rPr>
        <w:t>评分标准</w:t>
      </w:r>
    </w:p>
    <w:tbl>
      <w:tblPr>
        <w:tblStyle w:val="46"/>
        <w:tblW w:w="4998" w:type="pct"/>
        <w:jc w:val="center"/>
        <w:tblLayout w:type="autofit"/>
        <w:tblCellMar>
          <w:top w:w="0" w:type="dxa"/>
          <w:left w:w="108" w:type="dxa"/>
          <w:bottom w:w="0" w:type="dxa"/>
          <w:right w:w="108" w:type="dxa"/>
        </w:tblCellMar>
      </w:tblPr>
      <w:tblGrid>
        <w:gridCol w:w="1240"/>
        <w:gridCol w:w="6585"/>
        <w:gridCol w:w="701"/>
      </w:tblGrid>
      <w:tr>
        <w:tblPrEx>
          <w:tblCellMar>
            <w:top w:w="0" w:type="dxa"/>
            <w:left w:w="108" w:type="dxa"/>
            <w:bottom w:w="0" w:type="dxa"/>
            <w:right w:w="108" w:type="dxa"/>
          </w:tblCellMar>
        </w:tblPrEx>
        <w:trPr>
          <w:trHeight w:val="280" w:hRule="atLeast"/>
          <w:tblHeader/>
          <w:jc w:val="center"/>
        </w:trPr>
        <w:tc>
          <w:tcPr>
            <w:tcW w:w="7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评分因素及分值</w:t>
            </w:r>
          </w:p>
        </w:tc>
        <w:tc>
          <w:tcPr>
            <w:tcW w:w="386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评分标准</w:t>
            </w:r>
          </w:p>
        </w:tc>
        <w:tc>
          <w:tcPr>
            <w:tcW w:w="40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说明</w:t>
            </w:r>
          </w:p>
        </w:tc>
      </w:tr>
      <w:tr>
        <w:tblPrEx>
          <w:tblCellMar>
            <w:top w:w="0" w:type="dxa"/>
            <w:left w:w="108" w:type="dxa"/>
            <w:bottom w:w="0" w:type="dxa"/>
            <w:right w:w="108" w:type="dxa"/>
          </w:tblCellMar>
        </w:tblPrEx>
        <w:trPr>
          <w:trHeight w:val="448" w:hRule="atLeast"/>
          <w:jc w:val="center"/>
        </w:trPr>
        <w:tc>
          <w:tcPr>
            <w:tcW w:w="727" w:type="pc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47</w:t>
            </w:r>
            <w:r>
              <w:rPr>
                <w:rFonts w:hint="eastAsia" w:ascii="仿宋" w:hAnsi="仿宋" w:eastAsia="仿宋" w:cs="仿宋"/>
                <w:color w:val="auto"/>
                <w:sz w:val="24"/>
                <w:szCs w:val="24"/>
                <w:highlight w:val="none"/>
              </w:rPr>
              <w:t>分）</w:t>
            </w:r>
          </w:p>
        </w:tc>
        <w:tc>
          <w:tcPr>
            <w:tcW w:w="386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磋商报价得分=（磋商基准价/最后磋商报价）×</w:t>
            </w:r>
            <w:r>
              <w:rPr>
                <w:rFonts w:hint="eastAsia" w:ascii="仿宋" w:hAnsi="仿宋" w:eastAsia="仿宋" w:cs="仿宋"/>
                <w:color w:val="auto"/>
                <w:sz w:val="24"/>
                <w:szCs w:val="24"/>
                <w:highlight w:val="none"/>
                <w:lang w:val="en-US" w:eastAsia="zh-CN"/>
              </w:rPr>
              <w:t>47。</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）本项目专门面向中小企业采购，对小微企业不再进行价格扣除。</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对失信行为供应商给予10%/次的报价累加加成，用加成后的价格参与评分，若加成后的报价超过采购预算/最高限价的，其响应文件按照无效处理。</w:t>
            </w:r>
          </w:p>
        </w:tc>
        <w:tc>
          <w:tcPr>
            <w:tcW w:w="40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共同评审因素</w:t>
            </w:r>
          </w:p>
        </w:tc>
      </w:tr>
      <w:tr>
        <w:tblPrEx>
          <w:tblCellMar>
            <w:top w:w="0" w:type="dxa"/>
            <w:left w:w="108" w:type="dxa"/>
            <w:bottom w:w="0" w:type="dxa"/>
            <w:right w:w="108" w:type="dxa"/>
          </w:tblCellMar>
        </w:tblPrEx>
        <w:trPr>
          <w:trHeight w:val="253" w:hRule="atLeast"/>
          <w:jc w:val="center"/>
        </w:trPr>
        <w:tc>
          <w:tcPr>
            <w:tcW w:w="727" w:type="pc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w:t>
            </w:r>
          </w:p>
        </w:tc>
        <w:tc>
          <w:tcPr>
            <w:tcW w:w="386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分，每有一处错误扣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分，扣完为止。</w:t>
            </w:r>
          </w:p>
        </w:tc>
        <w:tc>
          <w:tcPr>
            <w:tcW w:w="40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技术类评审因素</w:t>
            </w:r>
          </w:p>
        </w:tc>
      </w:tr>
      <w:tr>
        <w:tblPrEx>
          <w:tblCellMar>
            <w:top w:w="0" w:type="dxa"/>
            <w:left w:w="108" w:type="dxa"/>
            <w:bottom w:w="0" w:type="dxa"/>
            <w:right w:w="108" w:type="dxa"/>
          </w:tblCellMar>
        </w:tblPrEx>
        <w:trPr>
          <w:trHeight w:val="278" w:hRule="atLeast"/>
          <w:jc w:val="center"/>
        </w:trPr>
        <w:tc>
          <w:tcPr>
            <w:tcW w:w="727" w:type="pc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12分</w:t>
            </w:r>
            <w:r>
              <w:rPr>
                <w:rFonts w:hint="eastAsia" w:ascii="仿宋" w:hAnsi="仿宋" w:eastAsia="仿宋" w:cs="仿宋"/>
                <w:color w:val="auto"/>
                <w:sz w:val="24"/>
                <w:szCs w:val="24"/>
                <w:highlight w:val="none"/>
              </w:rPr>
              <w:t>)</w:t>
            </w:r>
          </w:p>
        </w:tc>
        <w:tc>
          <w:tcPr>
            <w:tcW w:w="3862" w:type="pct"/>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供应商20</w:t>
            </w: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年1月1日（含1日）以来具有一个已完成类似项目业绩的得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分，在此基础上每增加1个加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分。（提供施工合同复印件和竣工验收报告复印件）。</w:t>
            </w:r>
          </w:p>
        </w:tc>
        <w:tc>
          <w:tcPr>
            <w:tcW w:w="40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共同评审因素</w:t>
            </w:r>
          </w:p>
        </w:tc>
      </w:tr>
      <w:tr>
        <w:tblPrEx>
          <w:tblCellMar>
            <w:top w:w="0" w:type="dxa"/>
            <w:left w:w="108" w:type="dxa"/>
            <w:bottom w:w="0" w:type="dxa"/>
            <w:right w:w="108" w:type="dxa"/>
          </w:tblCellMar>
        </w:tblPrEx>
        <w:trPr>
          <w:trHeight w:val="1080" w:hRule="atLeast"/>
          <w:jc w:val="center"/>
        </w:trPr>
        <w:tc>
          <w:tcPr>
            <w:tcW w:w="7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tc>
        <w:tc>
          <w:tcPr>
            <w:tcW w:w="3862"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409"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共同评审因素</w:t>
            </w:r>
            <w:bookmarkStart w:id="766" w:name="_GoBack"/>
            <w:bookmarkEnd w:id="766"/>
          </w:p>
        </w:tc>
      </w:tr>
      <w:tr>
        <w:tblPrEx>
          <w:tblCellMar>
            <w:top w:w="0" w:type="dxa"/>
            <w:left w:w="108" w:type="dxa"/>
            <w:bottom w:w="0" w:type="dxa"/>
            <w:right w:w="108" w:type="dxa"/>
          </w:tblCellMar>
        </w:tblPrEx>
        <w:trPr>
          <w:trHeight w:val="7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0" w:firstLineChars="200"/>
        <w:rPr>
          <w:rFonts w:hint="eastAsia" w:ascii="仿宋" w:hAnsi="仿宋" w:eastAsia="仿宋" w:cs="仿宋"/>
          <w:color w:val="auto"/>
          <w:sz w:val="28"/>
        </w:rPr>
      </w:pPr>
      <w:r>
        <w:rPr>
          <w:rFonts w:hint="eastAsia" w:ascii="仿宋" w:hAnsi="仿宋" w:eastAsia="仿宋" w:cs="仿宋"/>
          <w:color w:val="auto"/>
          <w:sz w:val="28"/>
        </w:rPr>
        <w:t>说明：</w:t>
      </w:r>
    </w:p>
    <w:p>
      <w:pPr>
        <w:spacing w:line="360" w:lineRule="auto"/>
        <w:ind w:firstLine="565" w:firstLineChars="202"/>
        <w:rPr>
          <w:rFonts w:hint="eastAsia" w:ascii="仿宋" w:hAnsi="仿宋" w:eastAsia="仿宋" w:cs="仿宋"/>
          <w:color w:val="auto"/>
          <w:sz w:val="28"/>
        </w:rPr>
      </w:pPr>
      <w:r>
        <w:rPr>
          <w:rFonts w:hint="eastAsia" w:ascii="仿宋" w:hAnsi="仿宋" w:eastAsia="仿宋" w:cs="仿宋"/>
          <w:color w:val="auto"/>
          <w:sz w:val="28"/>
        </w:rPr>
        <w:t>1、评分的取值按四舍五入法，保留小数点后两位；</w:t>
      </w:r>
    </w:p>
    <w:p>
      <w:pPr>
        <w:spacing w:line="360" w:lineRule="auto"/>
        <w:ind w:firstLine="565" w:firstLineChars="202"/>
        <w:rPr>
          <w:rFonts w:hint="eastAsia" w:ascii="仿宋" w:hAnsi="仿宋" w:eastAsia="仿宋" w:cs="仿宋"/>
          <w:color w:val="auto"/>
          <w:sz w:val="28"/>
          <w:lang w:eastAsia="zh-CN"/>
        </w:rPr>
      </w:pPr>
      <w:r>
        <w:rPr>
          <w:rFonts w:hint="eastAsia" w:ascii="仿宋" w:hAnsi="仿宋" w:eastAsia="仿宋" w:cs="仿宋"/>
          <w:color w:val="auto"/>
          <w:sz w:val="28"/>
        </w:rPr>
        <w:t>2、评分标准中要求提供复印件的证明材料须清晰可辨</w:t>
      </w:r>
      <w:r>
        <w:rPr>
          <w:rFonts w:hint="eastAsia" w:ascii="仿宋" w:hAnsi="仿宋" w:eastAsia="仿宋" w:cs="仿宋"/>
          <w:color w:val="auto"/>
          <w:sz w:val="28"/>
          <w:lang w:eastAsia="zh-CN"/>
        </w:rPr>
        <w:t>；</w:t>
      </w:r>
    </w:p>
    <w:p>
      <w:pPr>
        <w:spacing w:line="360" w:lineRule="auto"/>
        <w:ind w:firstLine="565" w:firstLineChars="202"/>
        <w:rPr>
          <w:rFonts w:hint="eastAsia" w:ascii="仿宋" w:hAnsi="仿宋" w:eastAsia="仿宋" w:cs="仿宋"/>
          <w:color w:val="auto"/>
          <w:lang w:val="en-US" w:eastAsia="zh-CN"/>
        </w:rPr>
      </w:pPr>
      <w:r>
        <w:rPr>
          <w:rFonts w:hint="eastAsia" w:ascii="仿宋" w:hAnsi="仿宋" w:eastAsia="仿宋" w:cs="仿宋"/>
          <w:color w:val="auto"/>
          <w:sz w:val="28"/>
          <w:lang w:val="en-US" w:eastAsia="zh-CN"/>
        </w:rPr>
        <w:t>3、成交供应商在合同签订前需提供响应文件中的类似业绩证明材料原件备查。</w:t>
      </w:r>
    </w:p>
    <w:p>
      <w:pPr>
        <w:pStyle w:val="4"/>
        <w:numPr>
          <w:ilvl w:val="1"/>
          <w:numId w:val="51"/>
        </w:numPr>
        <w:spacing w:after="200"/>
        <w:ind w:left="1985" w:hanging="1985"/>
        <w:rPr>
          <w:rFonts w:hint="eastAsia" w:ascii="仿宋" w:hAnsi="仿宋" w:eastAsia="仿宋" w:cs="仿宋"/>
          <w:color w:val="auto"/>
        </w:rPr>
      </w:pPr>
      <w:bookmarkStart w:id="152" w:name="_Toc494357023"/>
      <w:bookmarkEnd w:id="152"/>
      <w:bookmarkStart w:id="153" w:name="_Toc494095669"/>
      <w:bookmarkEnd w:id="153"/>
      <w:bookmarkStart w:id="154" w:name="_Toc494357022"/>
      <w:bookmarkEnd w:id="154"/>
      <w:bookmarkStart w:id="155" w:name="_Toc494095671"/>
      <w:bookmarkEnd w:id="155"/>
      <w:bookmarkStart w:id="156" w:name="_Toc494357031"/>
      <w:bookmarkEnd w:id="156"/>
      <w:bookmarkStart w:id="157" w:name="_Toc494357028"/>
      <w:bookmarkEnd w:id="157"/>
      <w:bookmarkStart w:id="158" w:name="_Toc494357034"/>
      <w:bookmarkEnd w:id="158"/>
      <w:bookmarkStart w:id="159" w:name="_Toc494357021"/>
      <w:bookmarkEnd w:id="159"/>
      <w:bookmarkStart w:id="160" w:name="_Toc494357024"/>
      <w:bookmarkEnd w:id="160"/>
      <w:bookmarkStart w:id="161" w:name="_Toc494095676"/>
      <w:bookmarkEnd w:id="161"/>
      <w:bookmarkStart w:id="162" w:name="_Toc494357033"/>
      <w:bookmarkEnd w:id="162"/>
      <w:bookmarkStart w:id="163" w:name="_Toc494357025"/>
      <w:bookmarkEnd w:id="163"/>
      <w:bookmarkStart w:id="164" w:name="_Toc494357029"/>
      <w:bookmarkEnd w:id="164"/>
      <w:bookmarkStart w:id="165" w:name="_Toc494095673"/>
      <w:bookmarkEnd w:id="165"/>
      <w:bookmarkStart w:id="166" w:name="_Toc494095670"/>
      <w:bookmarkEnd w:id="166"/>
      <w:bookmarkStart w:id="167" w:name="_Toc494095681"/>
      <w:bookmarkEnd w:id="167"/>
      <w:bookmarkStart w:id="168" w:name="_Toc494095668"/>
      <w:bookmarkEnd w:id="168"/>
      <w:bookmarkStart w:id="169" w:name="_Toc494357026"/>
      <w:bookmarkEnd w:id="169"/>
      <w:bookmarkStart w:id="170" w:name="_Toc494095682"/>
      <w:bookmarkEnd w:id="170"/>
      <w:bookmarkStart w:id="171" w:name="_Toc494095678"/>
      <w:bookmarkEnd w:id="171"/>
      <w:bookmarkStart w:id="172" w:name="_Toc494095674"/>
      <w:bookmarkEnd w:id="172"/>
      <w:bookmarkStart w:id="173" w:name="_Toc494357035"/>
      <w:bookmarkEnd w:id="173"/>
      <w:bookmarkStart w:id="174" w:name="_Toc494095680"/>
      <w:bookmarkEnd w:id="174"/>
      <w:bookmarkStart w:id="175" w:name="_Toc494357032"/>
      <w:bookmarkEnd w:id="175"/>
      <w:bookmarkStart w:id="176" w:name="_Toc494357030"/>
      <w:bookmarkEnd w:id="176"/>
      <w:bookmarkStart w:id="177" w:name="_Toc494357027"/>
      <w:bookmarkEnd w:id="177"/>
      <w:bookmarkStart w:id="178" w:name="_Toc494095679"/>
      <w:bookmarkEnd w:id="178"/>
      <w:bookmarkStart w:id="179" w:name="_Toc494095672"/>
      <w:bookmarkEnd w:id="179"/>
      <w:bookmarkStart w:id="180" w:name="_Toc494095675"/>
      <w:bookmarkEnd w:id="180"/>
      <w:bookmarkStart w:id="181" w:name="_Toc494095677"/>
      <w:bookmarkEnd w:id="181"/>
      <w:bookmarkStart w:id="182" w:name="_Toc18250"/>
      <w:bookmarkStart w:id="183" w:name="_Toc72938465"/>
      <w:bookmarkStart w:id="184" w:name="_Toc54948234"/>
      <w:r>
        <w:rPr>
          <w:rFonts w:hint="eastAsia" w:ascii="仿宋" w:hAnsi="仿宋" w:eastAsia="仿宋" w:cs="仿宋"/>
          <w:color w:val="auto"/>
        </w:rPr>
        <w:t>采购失败情形</w:t>
      </w:r>
      <w:bookmarkEnd w:id="182"/>
      <w:bookmarkEnd w:id="183"/>
      <w:bookmarkEnd w:id="184"/>
    </w:p>
    <w:p>
      <w:pPr>
        <w:snapToGrid w:val="0"/>
        <w:spacing w:line="360" w:lineRule="auto"/>
        <w:ind w:firstLine="554" w:firstLineChars="198"/>
        <w:rPr>
          <w:rFonts w:hint="eastAsia" w:ascii="仿宋" w:hAnsi="仿宋" w:eastAsia="仿宋" w:cs="仿宋"/>
          <w:color w:val="auto"/>
          <w:sz w:val="28"/>
          <w:szCs w:val="28"/>
        </w:rPr>
      </w:pPr>
      <w:r>
        <w:rPr>
          <w:rFonts w:hint="eastAsia" w:ascii="仿宋" w:hAnsi="仿宋" w:eastAsia="仿宋" w:cs="仿宋"/>
          <w:color w:val="auto"/>
          <w:sz w:val="28"/>
          <w:szCs w:val="28"/>
        </w:rPr>
        <w:t>有下列情形之一的，本项目采购失败：</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一、因情况变化，不再符合规定的竞争性磋商采购方式适用情形的；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二、出现影响采购公正的违法、违规行为的；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三、递交施工响应文件的供应商不足三家的；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四、通过资格性审查的供应商不足三家的；</w:t>
      </w:r>
    </w:p>
    <w:p>
      <w:pPr>
        <w:tabs>
          <w:tab w:val="left" w:pos="851"/>
        </w:tabs>
        <w:snapToGrid w:val="0"/>
        <w:spacing w:line="360" w:lineRule="auto"/>
        <w:ind w:firstLine="565" w:firstLineChars="202"/>
        <w:rPr>
          <w:rFonts w:hint="eastAsia" w:ascii="仿宋" w:hAnsi="仿宋" w:eastAsia="仿宋" w:cs="仿宋"/>
          <w:color w:val="auto"/>
          <w:sz w:val="28"/>
          <w:szCs w:val="28"/>
        </w:rPr>
      </w:pPr>
      <w:r>
        <w:rPr>
          <w:rFonts w:hint="eastAsia" w:ascii="仿宋" w:hAnsi="仿宋" w:eastAsia="仿宋" w:cs="仿宋"/>
          <w:color w:val="auto"/>
          <w:sz w:val="28"/>
          <w:szCs w:val="28"/>
        </w:rPr>
        <w:t>五、通过符合性审查的供应商不足三家的</w:t>
      </w:r>
      <w:r>
        <w:rPr>
          <w:rFonts w:hint="eastAsia" w:ascii="仿宋" w:hAnsi="仿宋" w:eastAsia="仿宋" w:cs="仿宋"/>
          <w:color w:val="auto"/>
          <w:sz w:val="28"/>
          <w:szCs w:val="28"/>
          <w:lang w:eastAsia="zh-CN"/>
        </w:rPr>
        <w:t>。</w:t>
      </w:r>
    </w:p>
    <w:p>
      <w:pPr>
        <w:pStyle w:val="4"/>
        <w:numPr>
          <w:ilvl w:val="2"/>
          <w:numId w:val="1"/>
        </w:numPr>
        <w:tabs>
          <w:tab w:val="left" w:pos="993"/>
          <w:tab w:val="clear" w:pos="426"/>
          <w:tab w:val="clear" w:pos="567"/>
        </w:tabs>
        <w:rPr>
          <w:rFonts w:hint="eastAsia" w:ascii="仿宋" w:hAnsi="仿宋" w:eastAsia="仿宋" w:cs="仿宋"/>
          <w:color w:val="auto"/>
        </w:rPr>
      </w:pPr>
      <w:bookmarkStart w:id="185" w:name="_Toc63084336"/>
      <w:bookmarkStart w:id="186" w:name="_Toc63437922"/>
      <w:bookmarkStart w:id="187" w:name="_Toc17541"/>
      <w:bookmarkStart w:id="188" w:name="_Toc72938466"/>
      <w:r>
        <w:rPr>
          <w:rFonts w:hint="eastAsia" w:ascii="仿宋" w:hAnsi="仿宋" w:eastAsia="仿宋" w:cs="仿宋"/>
          <w:color w:val="auto"/>
        </w:rPr>
        <w:t>其他</w:t>
      </w:r>
      <w:bookmarkEnd w:id="185"/>
      <w:bookmarkEnd w:id="186"/>
      <w:bookmarkEnd w:id="187"/>
      <w:bookmarkEnd w:id="188"/>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1"/>
        </w:numPr>
        <w:spacing w:after="200"/>
        <w:ind w:left="1985" w:hanging="1985"/>
        <w:rPr>
          <w:rFonts w:hint="eastAsia" w:ascii="仿宋" w:hAnsi="仿宋" w:eastAsia="仿宋" w:cs="仿宋"/>
          <w:color w:val="auto"/>
        </w:rPr>
      </w:pPr>
      <w:bookmarkStart w:id="189" w:name="_Toc72938467"/>
      <w:bookmarkStart w:id="190" w:name="_Toc12590"/>
      <w:bookmarkStart w:id="191" w:name="_Toc54948235"/>
      <w:r>
        <w:rPr>
          <w:rFonts w:hint="eastAsia" w:ascii="仿宋" w:hAnsi="仿宋" w:eastAsia="仿宋" w:cs="仿宋"/>
          <w:color w:val="auto"/>
        </w:rPr>
        <w:t>确定成交供应商</w:t>
      </w:r>
      <w:bookmarkEnd w:id="189"/>
      <w:bookmarkEnd w:id="190"/>
      <w:bookmarkEnd w:id="191"/>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根据四川省人民检察院、四川省财政厅《关于在政府采购活动中全面开展行贿犯罪档案查询的通知》（川检会[2016]5号）以及成都市人民检察院《关于停止行贿犯罪档案查询的公告》，</w:t>
      </w:r>
      <w:r>
        <w:rPr>
          <w:rStyle w:val="326"/>
          <w:rFonts w:hint="eastAsia" w:ascii="仿宋" w:hAnsi="仿宋" w:eastAsia="仿宋" w:cs="仿宋"/>
          <w:color w:val="auto"/>
          <w:sz w:val="28"/>
          <w:szCs w:val="28"/>
          <w:shd w:val="clear" w:color="auto" w:fill="FFFFFF"/>
        </w:rPr>
        <w:t>采购人在确认成交供应商前，应到中国裁判文书网（https://wenshu.court.gov.cn）查询成交候选供应商及其现任法定代表人、主要负责人是否存在行贿犯罪记录。</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bookmarkStart w:id="192" w:name="_Toc287623649"/>
      <w:r>
        <w:rPr>
          <w:rFonts w:hint="eastAsia" w:ascii="仿宋" w:hAnsi="仿宋" w:eastAsia="仿宋" w:cs="仿宋"/>
          <w:color w:val="auto"/>
          <w:sz w:val="28"/>
          <w:szCs w:val="28"/>
        </w:rPr>
        <w:t>成交候选供应商存在违法、违纪行为的；</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成交候选供应商因不可抗力、社会经济形势发生重大变化、破产、重组等原因确定无法履行政府采购合同的；</w:t>
      </w:r>
    </w:p>
    <w:p>
      <w:pPr>
        <w:numPr>
          <w:ilvl w:val="1"/>
          <w:numId w:val="52"/>
        </w:numPr>
        <w:tabs>
          <w:tab w:val="left" w:pos="851"/>
          <w:tab w:val="left" w:pos="1134"/>
          <w:tab w:val="left" w:pos="1276"/>
        </w:tabs>
        <w:snapToGrid w:val="0"/>
        <w:spacing w:after="200" w:line="360" w:lineRule="auto"/>
        <w:ind w:left="0"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成交候选供应商未按竞争性磋商文件要求，按时足额缴纳履约保证金的。</w:t>
      </w:r>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六、采购人、东部新区综合部不解释成交或未成交原因，不退回施工响应文件和其他磋商资料。</w:t>
      </w:r>
      <w:bookmarkEnd w:id="192"/>
    </w:p>
    <w:p>
      <w:pPr>
        <w:pStyle w:val="4"/>
        <w:numPr>
          <w:ilvl w:val="1"/>
          <w:numId w:val="51"/>
        </w:numPr>
        <w:spacing w:after="200"/>
        <w:ind w:left="1985" w:hanging="1985"/>
        <w:jc w:val="left"/>
        <w:rPr>
          <w:rFonts w:hint="eastAsia" w:ascii="仿宋" w:hAnsi="仿宋" w:eastAsia="仿宋" w:cs="仿宋"/>
          <w:color w:val="auto"/>
        </w:rPr>
      </w:pPr>
      <w:bookmarkStart w:id="193" w:name="_Toc72938468"/>
      <w:bookmarkStart w:id="194" w:name="_Toc54948236"/>
      <w:bookmarkStart w:id="195" w:name="_Toc27856"/>
      <w:r>
        <w:rPr>
          <w:rFonts w:hint="eastAsia" w:ascii="仿宋" w:hAnsi="仿宋" w:eastAsia="仿宋" w:cs="仿宋"/>
          <w:color w:val="auto"/>
        </w:rPr>
        <w:t>磋商小组成员义务</w:t>
      </w:r>
      <w:bookmarkEnd w:id="193"/>
      <w:bookmarkEnd w:id="194"/>
      <w:bookmarkEnd w:id="195"/>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磋商小组成员在政府采购活动中承担以下义务：</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遵纪守法，客观、公正、廉洁地履行职责。</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保守秘密。不得泄漏供应商的磋商文件及知悉的商业秘密，不得向供应商透露评审情况。</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发现供应商在政府采购活动中有不正当竞争或恶意串通等违规行为，及时向政府采购评审工作的组织者或财政部门报告并加以制止。</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53"/>
        </w:numPr>
        <w:tabs>
          <w:tab w:val="left" w:pos="1155"/>
        </w:tabs>
        <w:spacing w:after="200" w:line="360" w:lineRule="auto"/>
        <w:ind w:left="0" w:firstLine="525"/>
        <w:jc w:val="both"/>
        <w:rPr>
          <w:rFonts w:hint="eastAsia" w:ascii="仿宋" w:hAnsi="仿宋" w:eastAsia="仿宋" w:cs="仿宋"/>
          <w:color w:val="auto"/>
          <w:sz w:val="28"/>
          <w:szCs w:val="28"/>
        </w:rPr>
      </w:pPr>
      <w:r>
        <w:rPr>
          <w:rFonts w:hint="eastAsia" w:ascii="仿宋" w:hAnsi="仿宋" w:eastAsia="仿宋" w:cs="仿宋"/>
          <w:color w:val="auto"/>
          <w:sz w:val="28"/>
          <w:szCs w:val="28"/>
        </w:rPr>
        <w:t>法律、法规和规章规定的其他义务。</w:t>
      </w:r>
    </w:p>
    <w:p>
      <w:pPr>
        <w:pStyle w:val="4"/>
        <w:numPr>
          <w:ilvl w:val="1"/>
          <w:numId w:val="51"/>
        </w:numPr>
        <w:spacing w:after="200"/>
        <w:ind w:left="1985" w:hanging="1985"/>
        <w:jc w:val="left"/>
        <w:rPr>
          <w:rFonts w:hint="eastAsia" w:ascii="仿宋" w:hAnsi="仿宋" w:eastAsia="仿宋" w:cs="仿宋"/>
          <w:color w:val="auto"/>
        </w:rPr>
      </w:pPr>
      <w:bookmarkStart w:id="196" w:name="_Toc54948237"/>
      <w:bookmarkStart w:id="197" w:name="_Toc72938469"/>
      <w:bookmarkStart w:id="198" w:name="_Toc26886"/>
      <w:r>
        <w:rPr>
          <w:rFonts w:hint="eastAsia" w:ascii="仿宋" w:hAnsi="仿宋" w:eastAsia="仿宋" w:cs="仿宋"/>
          <w:color w:val="auto"/>
        </w:rPr>
        <w:t>磋商小组及其成员不得有下列行为</w:t>
      </w:r>
      <w:bookmarkEnd w:id="196"/>
      <w:bookmarkEnd w:id="197"/>
      <w:bookmarkEnd w:id="198"/>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确定参与磋商后，至递交施工响应文件截止时间前私自接触供应商；</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违反评审纪律发表倾向性意见或者征询采购人的倾向性意见；</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对需要专业判断的主观评审因素协商评分；</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在评审过程中擅离职守，影响磋商程序正常进行的；</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记录、复制或者带走任何评审资料；</w:t>
      </w:r>
    </w:p>
    <w:p>
      <w:pPr>
        <w:widowControl w:val="0"/>
        <w:numPr>
          <w:ilvl w:val="0"/>
          <w:numId w:val="54"/>
        </w:numPr>
        <w:tabs>
          <w:tab w:val="left" w:pos="1155"/>
        </w:tabs>
        <w:spacing w:after="200" w:line="360" w:lineRule="auto"/>
        <w:ind w:left="0" w:firstLine="568"/>
        <w:jc w:val="both"/>
        <w:rPr>
          <w:rFonts w:hint="eastAsia" w:ascii="仿宋" w:hAnsi="仿宋" w:eastAsia="仿宋" w:cs="仿宋"/>
          <w:color w:val="auto"/>
          <w:sz w:val="28"/>
          <w:szCs w:val="28"/>
        </w:rPr>
      </w:pPr>
      <w:r>
        <w:rPr>
          <w:rFonts w:hint="eastAsia" w:ascii="仿宋" w:hAnsi="仿宋" w:eastAsia="仿宋" w:cs="仿宋"/>
          <w:color w:val="auto"/>
          <w:sz w:val="28"/>
          <w:szCs w:val="28"/>
        </w:rPr>
        <w:t>其他不遵守评审纪律的行为。</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磋商有前款第一至四项行为之一的，其评审意见无效，并不得获取评审劳务报酬和报销异地评审差旅费。</w:t>
      </w:r>
    </w:p>
    <w:p>
      <w:pPr>
        <w:pStyle w:val="4"/>
        <w:numPr>
          <w:ilvl w:val="1"/>
          <w:numId w:val="51"/>
        </w:numPr>
        <w:spacing w:after="200"/>
        <w:ind w:left="1985" w:hanging="1985"/>
        <w:jc w:val="left"/>
        <w:rPr>
          <w:rFonts w:hint="eastAsia" w:ascii="仿宋" w:hAnsi="仿宋" w:eastAsia="仿宋" w:cs="仿宋"/>
          <w:color w:val="auto"/>
        </w:rPr>
      </w:pPr>
      <w:bookmarkStart w:id="199" w:name="_Toc2881"/>
      <w:bookmarkStart w:id="200" w:name="_Toc72938470"/>
      <w:bookmarkStart w:id="201" w:name="_Toc54948238"/>
      <w:r>
        <w:rPr>
          <w:rFonts w:hint="eastAsia" w:ascii="仿宋" w:hAnsi="仿宋" w:eastAsia="仿宋" w:cs="仿宋"/>
          <w:color w:val="auto"/>
        </w:rPr>
        <w:t>磋商纪律</w:t>
      </w:r>
      <w:bookmarkEnd w:id="199"/>
      <w:bookmarkEnd w:id="200"/>
      <w:bookmarkEnd w:id="201"/>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磋商小组成员在政府采购活动中应当遵守以下工作纪律：</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遵行《政府采购法》第十二条和《政府采购法实施条例》第九条及政府采购相关法律法规关于回避的规定。</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应邀按时参加评审和咨询活动，遵守评标区管理规定。</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在磋商过程中和磋商结束后，不得记录、复制或带走任何评审资料，除因规定的义务外，不得向外界透露评审内容。</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服从评审现场东部新区综合部的现场秩序管理，接受评审现场监督人员的合法监督。</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遵守有关廉洁自律规定，不得私下接触供应商，不得收受供应商及有关业务单位和个人的财物或好处，不得接受采购组织单位的请托。</w:t>
      </w:r>
    </w:p>
    <w:p>
      <w:pPr>
        <w:widowControl w:val="0"/>
        <w:numPr>
          <w:ilvl w:val="0"/>
          <w:numId w:val="55"/>
        </w:numPr>
        <w:tabs>
          <w:tab w:val="left" w:pos="1155"/>
        </w:tabs>
        <w:spacing w:after="200" w:line="360" w:lineRule="auto"/>
        <w:ind w:left="0" w:firstLine="527"/>
        <w:jc w:val="both"/>
        <w:rPr>
          <w:rFonts w:hint="eastAsia" w:ascii="仿宋" w:hAnsi="仿宋" w:eastAsia="仿宋" w:cs="仿宋"/>
          <w:color w:val="auto"/>
          <w:sz w:val="28"/>
          <w:szCs w:val="28"/>
        </w:rPr>
      </w:pPr>
      <w:r>
        <w:rPr>
          <w:rFonts w:hint="eastAsia" w:ascii="仿宋" w:hAnsi="仿宋" w:eastAsia="仿宋" w:cs="仿宋"/>
          <w:color w:val="auto"/>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eastAsia" w:ascii="仿宋" w:hAnsi="仿宋" w:eastAsia="仿宋" w:cs="仿宋"/>
          <w:color w:val="auto"/>
          <w:sz w:val="28"/>
          <w:szCs w:val="28"/>
        </w:rPr>
      </w:pPr>
      <w:r>
        <w:rPr>
          <w:rFonts w:hint="eastAsia" w:ascii="仿宋" w:hAnsi="仿宋" w:eastAsia="仿宋" w:cs="仿宋"/>
          <w:color w:val="auto"/>
          <w:sz w:val="28"/>
          <w:szCs w:val="28"/>
        </w:rPr>
        <w:t>十一、有关部门（机构）制定的其他评审工作纪律。</w:t>
      </w: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sectPr>
          <w:footerReference r:id="rId14" w:type="default"/>
          <w:pgSz w:w="11907" w:h="16840"/>
          <w:pgMar w:top="1440" w:right="1797" w:bottom="1440" w:left="1797" w:header="720" w:footer="720" w:gutter="0"/>
          <w:cols w:space="720" w:num="1"/>
        </w:sectPr>
      </w:pPr>
    </w:p>
    <w:p>
      <w:pPr>
        <w:pStyle w:val="3"/>
        <w:numPr>
          <w:ilvl w:val="0"/>
          <w:numId w:val="1"/>
        </w:numPr>
        <w:spacing w:before="0" w:after="0"/>
        <w:ind w:left="0" w:firstLine="0"/>
        <w:rPr>
          <w:rFonts w:hint="eastAsia" w:ascii="仿宋" w:hAnsi="仿宋" w:eastAsia="仿宋" w:cs="仿宋"/>
          <w:color w:val="auto"/>
        </w:rPr>
      </w:pPr>
      <w:bookmarkStart w:id="202" w:name="_Toc72938471"/>
      <w:bookmarkStart w:id="203" w:name="_Toc13159"/>
      <w:r>
        <w:rPr>
          <w:rFonts w:hint="eastAsia" w:ascii="仿宋" w:hAnsi="仿宋" w:eastAsia="仿宋" w:cs="仿宋"/>
          <w:color w:val="auto"/>
        </w:rPr>
        <w:t>政府采购合同草案</w:t>
      </w:r>
      <w:bookmarkEnd w:id="202"/>
      <w:bookmarkEnd w:id="203"/>
    </w:p>
    <w:p>
      <w:pPr>
        <w:spacing w:line="360" w:lineRule="auto"/>
        <w:jc w:val="center"/>
        <w:rPr>
          <w:rFonts w:hint="eastAsia" w:ascii="仿宋" w:hAnsi="仿宋" w:eastAsia="仿宋" w:cs="仿宋"/>
          <w:color w:val="auto"/>
          <w:sz w:val="32"/>
          <w:szCs w:val="32"/>
        </w:rPr>
      </w:pPr>
      <w:bookmarkStart w:id="204" w:name="_Toc296346614"/>
      <w:bookmarkStart w:id="205" w:name="_Toc337558811"/>
      <w:bookmarkStart w:id="206" w:name="_Toc296503113"/>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本项目通用合同条款参照《建设工程施工合同(示范文本)》(GF-2017-0201)通用合同条款执行。如有最新版本，参照最新版本执行。</w:t>
      </w:r>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注：本采购合同中出现的措辞“发包人”与磋商文件中的“采购人”含义相同；</w:t>
      </w:r>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“投标人”与“供应商“含义相同；</w:t>
      </w:r>
    </w:p>
    <w:p>
      <w:pPr>
        <w:pStyle w:val="15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“招标文件”与“采购文件”及“磋商文件”含义相同。</w:t>
      </w:r>
    </w:p>
    <w:p>
      <w:pPr>
        <w:rPr>
          <w:rFonts w:hint="eastAsia" w:ascii="仿宋" w:hAnsi="仿宋" w:eastAsia="仿宋" w:cs="仿宋"/>
          <w:color w:val="auto"/>
          <w:sz w:val="24"/>
          <w:szCs w:val="24"/>
        </w:rPr>
        <w:sectPr>
          <w:footerReference r:id="rId15" w:type="default"/>
          <w:pgSz w:w="11907" w:h="16840"/>
          <w:pgMar w:top="1440" w:right="1797" w:bottom="1440" w:left="1797" w:header="720" w:footer="720" w:gutter="0"/>
          <w:cols w:space="720" w:num="1"/>
        </w:sectPr>
      </w:pPr>
    </w:p>
    <w:p>
      <w:pPr>
        <w:keepNext/>
        <w:keepLines/>
        <w:spacing w:before="260" w:after="260" w:line="360" w:lineRule="auto"/>
        <w:jc w:val="center"/>
        <w:outlineLvl w:val="1"/>
        <w:rPr>
          <w:rFonts w:hint="eastAsia" w:ascii="仿宋" w:hAnsi="仿宋" w:eastAsia="仿宋" w:cs="仿宋"/>
          <w:b/>
          <w:bCs/>
          <w:color w:val="auto"/>
          <w:sz w:val="24"/>
          <w:szCs w:val="24"/>
        </w:rPr>
      </w:pPr>
      <w:r>
        <w:rPr>
          <w:rFonts w:hint="eastAsia" w:ascii="仿宋" w:hAnsi="仿宋" w:eastAsia="仿宋" w:cs="仿宋"/>
          <w:b/>
          <w:bCs/>
          <w:color w:val="auto"/>
          <w:sz w:val="24"/>
          <w:szCs w:val="24"/>
        </w:rPr>
        <w:t>第一节 合同协议书</w:t>
      </w:r>
    </w:p>
    <w:p>
      <w:pPr>
        <w:spacing w:line="360" w:lineRule="auto"/>
        <w:rPr>
          <w:rFonts w:hint="eastAsia" w:ascii="仿宋" w:hAnsi="仿宋" w:eastAsia="仿宋" w:cs="仿宋"/>
          <w:b w:val="0"/>
          <w:bCs w:val="0"/>
          <w:color w:val="auto"/>
          <w:sz w:val="24"/>
          <w:szCs w:val="24"/>
          <w:highlight w:val="none"/>
          <w:u w:val="none"/>
          <w:lang w:eastAsia="zh-CN"/>
        </w:rPr>
      </w:pPr>
      <w:r>
        <w:rPr>
          <w:rFonts w:hint="eastAsia" w:ascii="仿宋" w:hAnsi="仿宋" w:eastAsia="仿宋" w:cs="仿宋"/>
          <w:b/>
          <w:bCs/>
          <w:color w:val="auto"/>
          <w:sz w:val="24"/>
          <w:szCs w:val="24"/>
          <w:u w:val="none"/>
        </w:rPr>
        <w:t>发包人（全称）：</w:t>
      </w:r>
      <w:r>
        <w:rPr>
          <w:rFonts w:hint="eastAsia" w:ascii="仿宋" w:hAnsi="仿宋" w:eastAsia="仿宋" w:cs="仿宋"/>
          <w:b w:val="0"/>
          <w:bCs w:val="0"/>
          <w:color w:val="auto"/>
          <w:sz w:val="24"/>
          <w:szCs w:val="24"/>
          <w:highlight w:val="none"/>
          <w:u w:val="none"/>
          <w:lang w:eastAsia="zh-CN"/>
        </w:rPr>
        <w:t>成都东部新区石盘街道办事处</w:t>
      </w:r>
    </w:p>
    <w:p>
      <w:pPr>
        <w:spacing w:line="360" w:lineRule="auto"/>
        <w:rPr>
          <w:rFonts w:hint="eastAsia" w:ascii="仿宋" w:hAnsi="仿宋" w:eastAsia="仿宋" w:cs="仿宋"/>
          <w:color w:val="auto"/>
          <w:sz w:val="24"/>
          <w:szCs w:val="24"/>
          <w:u w:val="none"/>
        </w:rPr>
      </w:pPr>
      <w:r>
        <w:rPr>
          <w:rFonts w:hint="eastAsia" w:ascii="仿宋" w:hAnsi="仿宋" w:eastAsia="仿宋" w:cs="仿宋"/>
          <w:b/>
          <w:bCs/>
          <w:color w:val="auto"/>
          <w:sz w:val="24"/>
          <w:szCs w:val="24"/>
          <w:u w:val="none"/>
        </w:rPr>
        <w:t>承包人（全称）：（乙方）</w:t>
      </w:r>
    </w:p>
    <w:p>
      <w:pPr>
        <w:keepNext/>
        <w:keepLines/>
        <w:spacing w:before="120" w:after="120" w:line="360" w:lineRule="auto"/>
        <w:rPr>
          <w:rFonts w:hint="eastAsia" w:ascii="仿宋" w:hAnsi="仿宋" w:eastAsia="仿宋" w:cs="仿宋"/>
          <w:b/>
          <w:bCs/>
          <w:color w:val="auto"/>
          <w:sz w:val="24"/>
          <w:szCs w:val="24"/>
          <w:u w:val="none"/>
        </w:rPr>
      </w:pPr>
      <w:bookmarkStart w:id="207" w:name="_Toc351203481"/>
      <w:r>
        <w:rPr>
          <w:rFonts w:hint="eastAsia" w:ascii="仿宋" w:hAnsi="仿宋" w:eastAsia="仿宋" w:cs="仿宋"/>
          <w:color w:val="auto"/>
          <w:sz w:val="24"/>
          <w:szCs w:val="24"/>
          <w:u w:val="none"/>
        </w:rPr>
        <w:t>一、工程概况</w:t>
      </w:r>
      <w:bookmarkEnd w:id="207"/>
    </w:p>
    <w:p>
      <w:pPr>
        <w:spacing w:line="360" w:lineRule="auto"/>
        <w:ind w:firstLine="470" w:firstLineChars="196"/>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1.工程名称：</w:t>
      </w:r>
      <w:r>
        <w:rPr>
          <w:rFonts w:hint="eastAsia" w:ascii="仿宋" w:hAnsi="仿宋" w:eastAsia="仿宋" w:cs="仿宋"/>
          <w:b w:val="0"/>
          <w:bCs w:val="0"/>
          <w:color w:val="auto"/>
          <w:sz w:val="24"/>
          <w:szCs w:val="24"/>
          <w:highlight w:val="none"/>
          <w:u w:val="none"/>
          <w:lang w:eastAsia="zh-CN"/>
        </w:rPr>
        <w:t>成都东部新区石盘街道石盘小学家属院落改造工程项目</w:t>
      </w:r>
      <w:r>
        <w:rPr>
          <w:rFonts w:hint="eastAsia" w:ascii="仿宋" w:hAnsi="仿宋" w:eastAsia="仿宋" w:cs="仿宋"/>
          <w:color w:val="auto"/>
          <w:sz w:val="24"/>
          <w:szCs w:val="24"/>
          <w:u w:val="none"/>
        </w:rPr>
        <w:t>。</w:t>
      </w:r>
    </w:p>
    <w:p>
      <w:pPr>
        <w:spacing w:line="360" w:lineRule="auto"/>
        <w:ind w:firstLine="470" w:firstLineChars="196"/>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2.工程地点：</w:t>
      </w:r>
      <w:r>
        <w:rPr>
          <w:rFonts w:hint="eastAsia" w:ascii="仿宋" w:hAnsi="仿宋" w:eastAsia="仿宋" w:cs="仿宋"/>
          <w:b w:val="0"/>
          <w:bCs w:val="0"/>
          <w:color w:val="auto"/>
          <w:sz w:val="24"/>
          <w:szCs w:val="24"/>
          <w:highlight w:val="none"/>
          <w:u w:val="none"/>
          <w:lang w:eastAsia="zh-CN"/>
        </w:rPr>
        <w:t>成都东部新区石盘街道石盘小学家属院</w:t>
      </w:r>
      <w:r>
        <w:rPr>
          <w:rFonts w:hint="eastAsia" w:ascii="仿宋" w:hAnsi="仿宋" w:eastAsia="仿宋" w:cs="仿宋"/>
          <w:color w:val="auto"/>
          <w:sz w:val="24"/>
          <w:szCs w:val="24"/>
          <w:u w:val="none"/>
        </w:rPr>
        <w:t>。</w:t>
      </w:r>
    </w:p>
    <w:p>
      <w:pPr>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rPr>
        <w:t>3.项目编号：。</w:t>
      </w:r>
    </w:p>
    <w:p>
      <w:pPr>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rPr>
        <w:t>4.工程内容：。</w:t>
      </w:r>
    </w:p>
    <w:p>
      <w:pPr>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rPr>
        <w:t>5.工程承包范围：。</w:t>
      </w:r>
    </w:p>
    <w:p>
      <w:pPr>
        <w:keepNext/>
        <w:keepLines/>
        <w:spacing w:before="120" w:after="120" w:line="360" w:lineRule="auto"/>
        <w:rPr>
          <w:rFonts w:hint="eastAsia" w:ascii="仿宋" w:hAnsi="仿宋" w:eastAsia="仿宋" w:cs="仿宋"/>
          <w:color w:val="auto"/>
          <w:sz w:val="24"/>
          <w:szCs w:val="24"/>
        </w:rPr>
      </w:pPr>
      <w:bookmarkStart w:id="208" w:name="_Toc351203482"/>
      <w:r>
        <w:rPr>
          <w:rFonts w:hint="eastAsia" w:ascii="仿宋" w:hAnsi="仿宋" w:eastAsia="仿宋" w:cs="仿宋"/>
          <w:color w:val="auto"/>
          <w:sz w:val="24"/>
          <w:szCs w:val="24"/>
        </w:rPr>
        <w:t>二、合同工期</w:t>
      </w:r>
      <w:bookmarkEnd w:id="208"/>
    </w:p>
    <w:p>
      <w:pPr>
        <w:spacing w:line="360" w:lineRule="auto"/>
        <w:ind w:firstLine="459"/>
        <w:rPr>
          <w:rFonts w:hint="eastAsia" w:ascii="仿宋" w:hAnsi="仿宋" w:eastAsia="仿宋" w:cs="仿宋"/>
          <w:color w:val="auto"/>
          <w:sz w:val="24"/>
          <w:szCs w:val="24"/>
        </w:rPr>
      </w:pPr>
      <w:r>
        <w:rPr>
          <w:rFonts w:hint="eastAsia" w:ascii="仿宋" w:hAnsi="仿宋" w:eastAsia="仿宋" w:cs="仿宋"/>
          <w:color w:val="auto"/>
          <w:sz w:val="24"/>
          <w:szCs w:val="24"/>
        </w:rPr>
        <w:t>计划开工日期：年月日。</w:t>
      </w:r>
    </w:p>
    <w:p>
      <w:pPr>
        <w:spacing w:line="360" w:lineRule="auto"/>
        <w:ind w:firstLine="459"/>
        <w:rPr>
          <w:rFonts w:hint="eastAsia" w:ascii="仿宋" w:hAnsi="仿宋" w:eastAsia="仿宋" w:cs="仿宋"/>
          <w:color w:val="auto"/>
          <w:sz w:val="24"/>
          <w:szCs w:val="24"/>
        </w:rPr>
      </w:pPr>
      <w:r>
        <w:rPr>
          <w:rFonts w:hint="eastAsia" w:ascii="仿宋" w:hAnsi="仿宋" w:eastAsia="仿宋" w:cs="仿宋"/>
          <w:color w:val="auto"/>
          <w:sz w:val="24"/>
          <w:szCs w:val="24"/>
        </w:rPr>
        <w:t>计划竣工日期：年月日。</w:t>
      </w:r>
    </w:p>
    <w:p>
      <w:pPr>
        <w:spacing w:line="360" w:lineRule="auto"/>
        <w:ind w:firstLine="459"/>
        <w:rPr>
          <w:rFonts w:hint="eastAsia" w:ascii="仿宋" w:hAnsi="仿宋" w:eastAsia="仿宋" w:cs="仿宋"/>
          <w:color w:val="auto"/>
          <w:sz w:val="24"/>
          <w:szCs w:val="24"/>
        </w:rPr>
      </w:pPr>
      <w:r>
        <w:rPr>
          <w:rFonts w:hint="eastAsia" w:ascii="仿宋" w:hAnsi="仿宋" w:eastAsia="仿宋" w:cs="仿宋"/>
          <w:color w:val="auto"/>
          <w:sz w:val="24"/>
          <w:szCs w:val="24"/>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color w:val="auto"/>
          <w:sz w:val="24"/>
          <w:szCs w:val="24"/>
        </w:rPr>
      </w:pPr>
      <w:bookmarkStart w:id="209" w:name="_Toc351203483"/>
      <w:r>
        <w:rPr>
          <w:rFonts w:hint="eastAsia" w:ascii="仿宋" w:hAnsi="仿宋" w:eastAsia="仿宋" w:cs="仿宋"/>
          <w:color w:val="auto"/>
          <w:sz w:val="24"/>
          <w:szCs w:val="24"/>
        </w:rPr>
        <w:t>三、质量标准</w:t>
      </w:r>
      <w:bookmarkEnd w:id="209"/>
    </w:p>
    <w:p>
      <w:pPr>
        <w:spacing w:line="360" w:lineRule="auto"/>
        <w:ind w:firstLine="459"/>
        <w:rPr>
          <w:rFonts w:hint="eastAsia" w:ascii="仿宋" w:hAnsi="仿宋" w:eastAsia="仿宋" w:cs="仿宋"/>
          <w:color w:val="auto"/>
          <w:sz w:val="24"/>
          <w:szCs w:val="24"/>
        </w:rPr>
      </w:pPr>
      <w:r>
        <w:rPr>
          <w:rFonts w:hint="eastAsia" w:ascii="仿宋" w:hAnsi="仿宋" w:eastAsia="仿宋" w:cs="仿宋"/>
          <w:color w:val="auto"/>
          <w:sz w:val="24"/>
          <w:szCs w:val="24"/>
        </w:rPr>
        <w:t>工程质量符合标准。</w:t>
      </w:r>
    </w:p>
    <w:p>
      <w:pPr>
        <w:keepNext/>
        <w:keepLines/>
        <w:spacing w:before="120" w:after="120" w:line="360" w:lineRule="auto"/>
        <w:rPr>
          <w:rFonts w:hint="eastAsia" w:ascii="仿宋" w:hAnsi="仿宋" w:eastAsia="仿宋" w:cs="仿宋"/>
          <w:b/>
          <w:bCs/>
          <w:color w:val="auto"/>
          <w:sz w:val="24"/>
          <w:szCs w:val="24"/>
        </w:rPr>
      </w:pPr>
      <w:bookmarkStart w:id="210" w:name="_Toc351203484"/>
      <w:r>
        <w:rPr>
          <w:rFonts w:hint="eastAsia" w:ascii="仿宋" w:hAnsi="仿宋" w:eastAsia="仿宋" w:cs="仿宋"/>
          <w:color w:val="auto"/>
          <w:sz w:val="24"/>
          <w:szCs w:val="24"/>
        </w:rPr>
        <w:t>四、签约合同价与合同价格形式</w:t>
      </w:r>
      <w:bookmarkEnd w:id="210"/>
      <w:r>
        <w:rPr>
          <w:rFonts w:hint="eastAsia" w:ascii="仿宋" w:hAnsi="仿宋" w:eastAsia="仿宋" w:cs="仿宋"/>
          <w:color w:val="auto"/>
          <w:sz w:val="24"/>
          <w:szCs w:val="24"/>
        </w:rPr>
        <w:tab/>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1.签约合同价为：</w:t>
      </w:r>
    </w:p>
    <w:p>
      <w:pPr>
        <w:spacing w:line="360" w:lineRule="auto"/>
        <w:ind w:firstLine="600" w:firstLineChars="250"/>
        <w:rPr>
          <w:rFonts w:hint="eastAsia" w:ascii="仿宋" w:hAnsi="仿宋" w:eastAsia="仿宋" w:cs="仿宋"/>
          <w:color w:val="auto"/>
          <w:sz w:val="24"/>
          <w:szCs w:val="24"/>
        </w:rPr>
      </w:pPr>
      <w:r>
        <w:rPr>
          <w:rFonts w:hint="eastAsia" w:ascii="仿宋" w:hAnsi="仿宋" w:eastAsia="仿宋" w:cs="仿宋"/>
          <w:color w:val="auto"/>
          <w:sz w:val="24"/>
          <w:szCs w:val="24"/>
        </w:rPr>
        <w:t>人民币（大写）(¥元)；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其中：</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（1）安全文明施工费：</w:t>
      </w:r>
    </w:p>
    <w:p>
      <w:pPr>
        <w:spacing w:line="360" w:lineRule="auto"/>
        <w:ind w:firstLine="1080" w:firstLineChars="450"/>
        <w:rPr>
          <w:rFonts w:hint="eastAsia" w:ascii="仿宋" w:hAnsi="仿宋" w:eastAsia="仿宋" w:cs="仿宋"/>
          <w:color w:val="auto"/>
          <w:sz w:val="24"/>
          <w:szCs w:val="24"/>
        </w:rPr>
      </w:pPr>
      <w:r>
        <w:rPr>
          <w:rFonts w:hint="eastAsia" w:ascii="仿宋" w:hAnsi="仿宋" w:eastAsia="仿宋" w:cs="仿宋"/>
          <w:color w:val="auto"/>
          <w:sz w:val="24"/>
          <w:szCs w:val="24"/>
        </w:rPr>
        <w:t>人民币（大写） (¥元)；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（2）材料和工程设备暂估价金额：</w:t>
      </w:r>
    </w:p>
    <w:p>
      <w:pPr>
        <w:spacing w:line="360" w:lineRule="auto"/>
        <w:ind w:firstLine="1080" w:firstLineChars="450"/>
        <w:rPr>
          <w:rFonts w:hint="eastAsia" w:ascii="仿宋" w:hAnsi="仿宋" w:eastAsia="仿宋" w:cs="仿宋"/>
          <w:color w:val="auto"/>
          <w:sz w:val="24"/>
          <w:szCs w:val="24"/>
        </w:rPr>
      </w:pPr>
      <w:r>
        <w:rPr>
          <w:rFonts w:hint="eastAsia" w:ascii="仿宋" w:hAnsi="仿宋" w:eastAsia="仿宋" w:cs="仿宋"/>
          <w:color w:val="auto"/>
          <w:sz w:val="24"/>
          <w:szCs w:val="24"/>
        </w:rPr>
        <w:t>人民币（大写） (¥元)；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（3）专业工程暂估价金额：</w:t>
      </w:r>
    </w:p>
    <w:p>
      <w:pPr>
        <w:spacing w:line="360" w:lineRule="auto"/>
        <w:ind w:firstLine="1080" w:firstLineChars="450"/>
        <w:rPr>
          <w:rFonts w:hint="eastAsia" w:ascii="仿宋" w:hAnsi="仿宋" w:eastAsia="仿宋" w:cs="仿宋"/>
          <w:color w:val="auto"/>
          <w:sz w:val="24"/>
          <w:szCs w:val="24"/>
        </w:rPr>
      </w:pPr>
      <w:r>
        <w:rPr>
          <w:rFonts w:hint="eastAsia" w:ascii="仿宋" w:hAnsi="仿宋" w:eastAsia="仿宋" w:cs="仿宋"/>
          <w:color w:val="auto"/>
          <w:sz w:val="24"/>
          <w:szCs w:val="24"/>
        </w:rPr>
        <w:t>人民币（大写） (¥元)；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（4）暂列金额：</w:t>
      </w:r>
    </w:p>
    <w:p>
      <w:pPr>
        <w:spacing w:line="360" w:lineRule="auto"/>
        <w:ind w:firstLine="1080" w:firstLineChars="450"/>
        <w:rPr>
          <w:rFonts w:hint="eastAsia" w:ascii="仿宋" w:hAnsi="仿宋" w:eastAsia="仿宋" w:cs="仿宋"/>
          <w:color w:val="auto"/>
          <w:sz w:val="24"/>
          <w:szCs w:val="24"/>
        </w:rPr>
      </w:pPr>
      <w:r>
        <w:rPr>
          <w:rFonts w:hint="eastAsia" w:ascii="仿宋" w:hAnsi="仿宋" w:eastAsia="仿宋" w:cs="仿宋"/>
          <w:color w:val="auto"/>
          <w:sz w:val="24"/>
          <w:szCs w:val="24"/>
        </w:rPr>
        <w:t>人民币（大写） (¥元)。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2.合同价格形式：。</w:t>
      </w:r>
    </w:p>
    <w:p>
      <w:pPr>
        <w:keepNext/>
        <w:keepLines/>
        <w:spacing w:before="120" w:after="120" w:line="360" w:lineRule="auto"/>
        <w:rPr>
          <w:rFonts w:hint="eastAsia" w:ascii="仿宋" w:hAnsi="仿宋" w:eastAsia="仿宋" w:cs="仿宋"/>
          <w:color w:val="auto"/>
          <w:sz w:val="24"/>
          <w:szCs w:val="24"/>
        </w:rPr>
      </w:pPr>
      <w:bookmarkStart w:id="211" w:name="_Toc351203485"/>
      <w:r>
        <w:rPr>
          <w:rFonts w:hint="eastAsia" w:ascii="仿宋" w:hAnsi="仿宋" w:eastAsia="仿宋" w:cs="仿宋"/>
          <w:color w:val="auto"/>
          <w:sz w:val="24"/>
          <w:szCs w:val="24"/>
        </w:rPr>
        <w:t>五、</w:t>
      </w:r>
      <w:bookmarkEnd w:id="211"/>
      <w:r>
        <w:rPr>
          <w:rFonts w:hint="eastAsia" w:ascii="仿宋" w:hAnsi="仿宋" w:eastAsia="仿宋" w:cs="仿宋"/>
          <w:color w:val="auto"/>
          <w:sz w:val="24"/>
          <w:szCs w:val="24"/>
        </w:rPr>
        <w:t>项目经理</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承包人项目经理：。</w:t>
      </w:r>
    </w:p>
    <w:p>
      <w:pPr>
        <w:keepNext/>
        <w:keepLines/>
        <w:spacing w:before="120" w:after="120" w:line="360" w:lineRule="auto"/>
        <w:rPr>
          <w:rFonts w:hint="eastAsia" w:ascii="仿宋" w:hAnsi="仿宋" w:eastAsia="仿宋" w:cs="仿宋"/>
          <w:b/>
          <w:bCs/>
          <w:color w:val="auto"/>
          <w:sz w:val="24"/>
          <w:szCs w:val="24"/>
        </w:rPr>
      </w:pPr>
      <w:bookmarkStart w:id="212" w:name="_Toc351203486"/>
      <w:r>
        <w:rPr>
          <w:rFonts w:hint="eastAsia" w:ascii="仿宋" w:hAnsi="仿宋" w:eastAsia="仿宋" w:cs="仿宋"/>
          <w:color w:val="auto"/>
          <w:sz w:val="24"/>
          <w:szCs w:val="24"/>
        </w:rPr>
        <w:t>六、合同文件构成</w:t>
      </w:r>
      <w:bookmarkEnd w:id="212"/>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（1）成交通知书；</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（2）专用合同条款及其附件；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（3）通用合同条款；</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（4）磋商文件；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（5）响应文件：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（6）评审报告；</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（7）技术标准和要求；</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（8）图纸；</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（9）已标价工程量清单或预算书；</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（10）其他合同文件。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color w:val="auto"/>
          <w:sz w:val="24"/>
          <w:szCs w:val="24"/>
        </w:rPr>
      </w:pPr>
      <w:bookmarkStart w:id="213" w:name="_Toc351203487"/>
      <w:r>
        <w:rPr>
          <w:rFonts w:hint="eastAsia" w:ascii="仿宋" w:hAnsi="仿宋" w:eastAsia="仿宋" w:cs="仿宋"/>
          <w:color w:val="auto"/>
          <w:sz w:val="24"/>
          <w:szCs w:val="24"/>
        </w:rPr>
        <w:t>七、承诺</w:t>
      </w:r>
      <w:bookmarkEnd w:id="213"/>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color w:val="auto"/>
          <w:sz w:val="24"/>
          <w:szCs w:val="24"/>
        </w:rPr>
      </w:pPr>
      <w:bookmarkStart w:id="214" w:name="_Toc351203488"/>
      <w:r>
        <w:rPr>
          <w:rFonts w:hint="eastAsia" w:ascii="仿宋" w:hAnsi="仿宋" w:eastAsia="仿宋" w:cs="仿宋"/>
          <w:b/>
          <w:bCs/>
          <w:color w:val="auto"/>
          <w:sz w:val="24"/>
          <w:szCs w:val="24"/>
        </w:rPr>
        <w:t>八、词语含义</w:t>
      </w:r>
      <w:bookmarkEnd w:id="214"/>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本协议书中词语含义与第二部分通用合同条款中赋予的含义相同。</w:t>
      </w:r>
    </w:p>
    <w:p>
      <w:pPr>
        <w:keepNext/>
        <w:keepLines/>
        <w:spacing w:before="120" w:after="120" w:line="360" w:lineRule="auto"/>
        <w:rPr>
          <w:rFonts w:hint="eastAsia" w:ascii="仿宋" w:hAnsi="仿宋" w:eastAsia="仿宋" w:cs="仿宋"/>
          <w:b/>
          <w:bCs/>
          <w:color w:val="auto"/>
          <w:sz w:val="24"/>
          <w:szCs w:val="24"/>
        </w:rPr>
      </w:pPr>
      <w:bookmarkStart w:id="215" w:name="_Toc351203489"/>
      <w:r>
        <w:rPr>
          <w:rFonts w:hint="eastAsia" w:ascii="仿宋" w:hAnsi="仿宋" w:eastAsia="仿宋" w:cs="仿宋"/>
          <w:color w:val="auto"/>
          <w:sz w:val="24"/>
          <w:szCs w:val="24"/>
        </w:rPr>
        <w:t>九、签订时间</w:t>
      </w:r>
      <w:bookmarkEnd w:id="215"/>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本合同于XX年XX月XX日签订。</w:t>
      </w:r>
    </w:p>
    <w:p>
      <w:pPr>
        <w:keepNext/>
        <w:keepLines/>
        <w:spacing w:before="120" w:after="120" w:line="360" w:lineRule="auto"/>
        <w:rPr>
          <w:rFonts w:hint="eastAsia" w:ascii="仿宋" w:hAnsi="仿宋" w:eastAsia="仿宋" w:cs="仿宋"/>
          <w:b/>
          <w:bCs/>
          <w:color w:val="auto"/>
          <w:sz w:val="24"/>
          <w:szCs w:val="24"/>
        </w:rPr>
      </w:pPr>
      <w:bookmarkStart w:id="216" w:name="_Toc351203490"/>
      <w:r>
        <w:rPr>
          <w:rFonts w:hint="eastAsia" w:ascii="仿宋" w:hAnsi="仿宋" w:eastAsia="仿宋" w:cs="仿宋"/>
          <w:color w:val="auto"/>
          <w:sz w:val="24"/>
          <w:szCs w:val="24"/>
        </w:rPr>
        <w:t>十、签订地点</w:t>
      </w:r>
      <w:bookmarkEnd w:id="216"/>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本合同在XXX签订。</w:t>
      </w:r>
    </w:p>
    <w:p>
      <w:pPr>
        <w:keepNext/>
        <w:keepLines/>
        <w:spacing w:before="120" w:after="120" w:line="360" w:lineRule="auto"/>
        <w:rPr>
          <w:rFonts w:hint="eastAsia" w:ascii="仿宋" w:hAnsi="仿宋" w:eastAsia="仿宋" w:cs="仿宋"/>
          <w:b/>
          <w:bCs/>
          <w:color w:val="auto"/>
          <w:sz w:val="24"/>
          <w:szCs w:val="24"/>
        </w:rPr>
      </w:pPr>
      <w:bookmarkStart w:id="217" w:name="_Toc351203491"/>
      <w:r>
        <w:rPr>
          <w:rFonts w:hint="eastAsia" w:ascii="仿宋" w:hAnsi="仿宋" w:eastAsia="仿宋" w:cs="仿宋"/>
          <w:color w:val="auto"/>
          <w:sz w:val="24"/>
          <w:szCs w:val="24"/>
        </w:rPr>
        <w:t>十一、补充协议</w:t>
      </w:r>
      <w:bookmarkEnd w:id="217"/>
    </w:p>
    <w:p>
      <w:pPr>
        <w:spacing w:line="360" w:lineRule="auto"/>
        <w:ind w:firstLine="480" w:firstLineChars="200"/>
        <w:rPr>
          <w:rFonts w:hint="eastAsia" w:ascii="仿宋" w:hAnsi="仿宋" w:eastAsia="仿宋" w:cs="仿宋"/>
          <w:b/>
          <w:bCs/>
          <w:color w:val="auto"/>
          <w:sz w:val="24"/>
          <w:szCs w:val="24"/>
        </w:rPr>
      </w:pPr>
      <w:r>
        <w:rPr>
          <w:rFonts w:hint="eastAsia" w:ascii="仿宋" w:hAnsi="仿宋" w:eastAsia="仿宋" w:cs="仿宋"/>
          <w:color w:val="auto"/>
          <w:sz w:val="24"/>
          <w:szCs w:val="24"/>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color w:val="auto"/>
          <w:sz w:val="24"/>
          <w:szCs w:val="24"/>
        </w:rPr>
      </w:pPr>
      <w:bookmarkStart w:id="218" w:name="_Toc351203492"/>
      <w:r>
        <w:rPr>
          <w:rFonts w:hint="eastAsia" w:ascii="仿宋" w:hAnsi="仿宋" w:eastAsia="仿宋" w:cs="仿宋"/>
          <w:color w:val="auto"/>
          <w:sz w:val="24"/>
          <w:szCs w:val="24"/>
        </w:rPr>
        <w:t>十二、合同生效</w:t>
      </w:r>
      <w:bookmarkEnd w:id="218"/>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本合同自生效。</w:t>
      </w:r>
    </w:p>
    <w:p>
      <w:pPr>
        <w:keepNext/>
        <w:keepLines/>
        <w:spacing w:before="120" w:after="120" w:line="360" w:lineRule="auto"/>
        <w:rPr>
          <w:rFonts w:hint="eastAsia" w:ascii="仿宋" w:hAnsi="仿宋" w:eastAsia="仿宋" w:cs="仿宋"/>
          <w:b/>
          <w:bCs/>
          <w:color w:val="auto"/>
          <w:sz w:val="24"/>
          <w:szCs w:val="24"/>
        </w:rPr>
      </w:pPr>
      <w:bookmarkStart w:id="219" w:name="_Toc351203493"/>
      <w:r>
        <w:rPr>
          <w:rFonts w:hint="eastAsia" w:ascii="仿宋" w:hAnsi="仿宋" w:eastAsia="仿宋" w:cs="仿宋"/>
          <w:color w:val="auto"/>
          <w:sz w:val="24"/>
          <w:szCs w:val="24"/>
        </w:rPr>
        <w:t>十三、合同份数</w:t>
      </w:r>
      <w:bookmarkEnd w:id="219"/>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本合同一式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份，均具有同等法律效力，发包人执份，承包人执份。</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发包人：  (公章)                    承包人：  (公章)</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                      法定代表人</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委托代理人：（签字）                或其委托代理人：（签字）</w:t>
      </w:r>
    </w:p>
    <w:p>
      <w:pPr>
        <w:tabs>
          <w:tab w:val="left" w:pos="4410"/>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组织机构代码：                      组织机构代码：</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地址：                              地址：</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邮政编码：                          邮政编码：</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                        法定代表人：</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委托代理人：                        委托代理人：</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电话：                              电话：</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电子信箱：                          电子信箱：</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                          开户银行：</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账号：                              账号：</w:t>
      </w:r>
    </w:p>
    <w:p>
      <w:pPr>
        <w:rPr>
          <w:rFonts w:hint="eastAsia" w:ascii="仿宋" w:hAnsi="仿宋" w:eastAsia="仿宋" w:cs="仿宋"/>
          <w:b/>
          <w:bCs/>
          <w:color w:val="auto"/>
          <w:sz w:val="24"/>
          <w:szCs w:val="24"/>
        </w:rPr>
      </w:pPr>
      <w:bookmarkStart w:id="220" w:name="_Toc351203494"/>
      <w:r>
        <w:rPr>
          <w:rFonts w:hint="eastAsia" w:ascii="仿宋" w:hAnsi="仿宋" w:eastAsia="仿宋" w:cs="仿宋"/>
          <w:b/>
          <w:bCs/>
          <w:color w:val="auto"/>
          <w:sz w:val="24"/>
          <w:szCs w:val="24"/>
        </w:rPr>
        <w:br w:type="page"/>
      </w:r>
    </w:p>
    <w:p>
      <w:pPr>
        <w:keepNext/>
        <w:keepLines/>
        <w:spacing w:before="260" w:after="260" w:line="360" w:lineRule="auto"/>
        <w:jc w:val="center"/>
        <w:outlineLvl w:val="1"/>
        <w:rPr>
          <w:rFonts w:hint="eastAsia" w:ascii="仿宋" w:hAnsi="仿宋" w:eastAsia="仿宋" w:cs="仿宋"/>
          <w:b/>
          <w:bCs/>
          <w:color w:val="auto"/>
          <w:sz w:val="24"/>
          <w:szCs w:val="24"/>
        </w:rPr>
      </w:pPr>
      <w:r>
        <w:rPr>
          <w:rFonts w:hint="eastAsia" w:ascii="仿宋" w:hAnsi="仿宋" w:eastAsia="仿宋" w:cs="仿宋"/>
          <w:b/>
          <w:bCs/>
          <w:color w:val="auto"/>
          <w:sz w:val="24"/>
          <w:szCs w:val="24"/>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color w:val="auto"/>
          <w:sz w:val="24"/>
          <w:szCs w:val="24"/>
        </w:rPr>
      </w:pPr>
      <w:bookmarkStart w:id="222" w:name="_Toc351203632"/>
      <w:r>
        <w:rPr>
          <w:rFonts w:hint="eastAsia" w:ascii="仿宋" w:hAnsi="仿宋" w:eastAsia="仿宋" w:cs="仿宋"/>
          <w:color w:val="auto"/>
          <w:sz w:val="24"/>
          <w:szCs w:val="24"/>
        </w:rPr>
        <w:t>备注：</w:t>
      </w:r>
    </w:p>
    <w:p>
      <w:pPr>
        <w:keepNext/>
        <w:keepLines/>
        <w:spacing w:before="260" w:after="260" w:line="360" w:lineRule="auto"/>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2、如有最新版本，参照最新版本执行。</w:t>
      </w:r>
    </w:p>
    <w:p>
      <w:pPr>
        <w:keepNext/>
        <w:keepLines/>
        <w:spacing w:before="260" w:after="260" w:line="360" w:lineRule="auto"/>
        <w:jc w:val="center"/>
        <w:outlineLvl w:val="1"/>
        <w:rPr>
          <w:rFonts w:hint="eastAsia" w:ascii="仿宋" w:hAnsi="仿宋" w:eastAsia="仿宋" w:cs="仿宋"/>
          <w:b/>
          <w:bCs/>
          <w:color w:val="auto"/>
          <w:sz w:val="24"/>
          <w:szCs w:val="24"/>
        </w:rPr>
      </w:pPr>
      <w:r>
        <w:rPr>
          <w:rFonts w:hint="eastAsia" w:ascii="仿宋" w:hAnsi="仿宋" w:eastAsia="仿宋" w:cs="仿宋"/>
          <w:b/>
          <w:bCs/>
          <w:color w:val="auto"/>
          <w:sz w:val="24"/>
          <w:szCs w:val="24"/>
        </w:rPr>
        <w:br w:type="page"/>
      </w:r>
      <w:r>
        <w:rPr>
          <w:rFonts w:hint="eastAsia" w:ascii="仿宋" w:hAnsi="仿宋" w:eastAsia="仿宋" w:cs="仿宋"/>
          <w:b/>
          <w:bCs/>
          <w:color w:val="auto"/>
          <w:sz w:val="24"/>
          <w:szCs w:val="24"/>
        </w:rPr>
        <w:t>第三节 专用合同条款</w:t>
      </w:r>
      <w:bookmarkEnd w:id="222"/>
    </w:p>
    <w:p>
      <w:pPr>
        <w:keepNext/>
        <w:keepLines/>
        <w:spacing w:before="120" w:after="120" w:line="360" w:lineRule="auto"/>
        <w:rPr>
          <w:rFonts w:hint="eastAsia" w:ascii="仿宋" w:hAnsi="仿宋" w:eastAsia="仿宋" w:cs="仿宋"/>
          <w:color w:val="auto"/>
          <w:sz w:val="24"/>
          <w:szCs w:val="24"/>
        </w:rPr>
      </w:pPr>
      <w:bookmarkStart w:id="223" w:name="_Toc351203633"/>
      <w:r>
        <w:rPr>
          <w:rFonts w:hint="eastAsia" w:ascii="仿宋" w:hAnsi="仿宋" w:eastAsia="仿宋" w:cs="仿宋"/>
          <w:color w:val="auto"/>
          <w:sz w:val="24"/>
          <w:szCs w:val="24"/>
        </w:rPr>
        <w:t>1</w:t>
      </w:r>
      <w:bookmarkStart w:id="224" w:name="_Toc297120456"/>
      <w:bookmarkStart w:id="225" w:name="_Toc292559361"/>
      <w:bookmarkStart w:id="226" w:name="_Toc296890984"/>
      <w:bookmarkStart w:id="227" w:name="_Toc292559866"/>
      <w:bookmarkStart w:id="228" w:name="_Toc296891196"/>
      <w:bookmarkStart w:id="229" w:name="_Toc296503156"/>
      <w:bookmarkStart w:id="230" w:name="_Toc296944495"/>
      <w:bookmarkStart w:id="231" w:name="_Toc296347155"/>
      <w:bookmarkStart w:id="232" w:name="_Toc296346657"/>
      <w:bookmarkStart w:id="233" w:name="_Toc297048342"/>
      <w:r>
        <w:rPr>
          <w:rFonts w:hint="eastAsia" w:ascii="仿宋" w:hAnsi="仿宋" w:eastAsia="仿宋" w:cs="仿宋"/>
          <w:color w:val="auto"/>
          <w:sz w:val="24"/>
          <w:szCs w:val="24"/>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 词语定义</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1.1.1合同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1.1.1.1其他合同文件包括：。</w:t>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 合同当事人及其他相关方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1.2.1 监理人：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名称：；</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资质类别和等级：；</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联系电话：；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电子信箱：；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1.2.2 设计人：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名称：；</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资质类别和等级：；</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联系电话：；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电子信箱：；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 工程和设备</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1.3.1 作为施工现场组成部分的其他场所包括：。</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1.3.2 永久占地包括：。</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1.3.3 临时占地包括：。</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1.4法律</w:t>
      </w:r>
    </w:p>
    <w:p>
      <w:pPr>
        <w:autoSpaceDE w:val="0"/>
        <w:autoSpaceDN w:val="0"/>
        <w:adjustRightInd w:val="0"/>
        <w:spacing w:line="360" w:lineRule="auto"/>
        <w:ind w:left="682" w:leftChars="284"/>
        <w:rPr>
          <w:rFonts w:hint="eastAsia" w:ascii="仿宋" w:hAnsi="仿宋" w:eastAsia="仿宋" w:cs="仿宋"/>
          <w:color w:val="auto"/>
          <w:sz w:val="24"/>
          <w:szCs w:val="24"/>
        </w:rPr>
      </w:pPr>
      <w:r>
        <w:rPr>
          <w:rFonts w:hint="eastAsia" w:ascii="仿宋" w:hAnsi="仿宋" w:eastAsia="仿宋" w:cs="仿宋"/>
          <w:color w:val="auto"/>
          <w:sz w:val="24"/>
          <w:szCs w:val="24"/>
        </w:rPr>
        <w:t>适用于合同的其他规范性文件：。</w:t>
      </w:r>
    </w:p>
    <w:p>
      <w:pPr>
        <w:autoSpaceDE w:val="0"/>
        <w:autoSpaceDN w:val="0"/>
        <w:adjustRightInd w:val="0"/>
        <w:spacing w:line="360" w:lineRule="auto"/>
        <w:ind w:left="682" w:leftChars="284"/>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 标准和规范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1.5.1适用于工程的标准规范包括：。</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1.5.2 发包人提供国外标准、规范的名称：；</w:t>
      </w:r>
    </w:p>
    <w:p>
      <w:pPr>
        <w:spacing w:line="360" w:lineRule="auto"/>
        <w:ind w:firstLine="1200" w:firstLineChars="500"/>
        <w:rPr>
          <w:rFonts w:hint="eastAsia" w:ascii="仿宋" w:hAnsi="仿宋" w:eastAsia="仿宋" w:cs="仿宋"/>
          <w:color w:val="auto"/>
          <w:sz w:val="24"/>
          <w:szCs w:val="24"/>
        </w:rPr>
      </w:pPr>
      <w:r>
        <w:rPr>
          <w:rFonts w:hint="eastAsia" w:ascii="仿宋" w:hAnsi="仿宋" w:eastAsia="仿宋" w:cs="仿宋"/>
          <w:color w:val="auto"/>
          <w:sz w:val="24"/>
          <w:szCs w:val="24"/>
        </w:rPr>
        <w:t>发包人提供国外标准、规范的份数：；</w:t>
      </w:r>
    </w:p>
    <w:p>
      <w:pPr>
        <w:spacing w:line="360" w:lineRule="auto"/>
        <w:ind w:firstLine="1200" w:firstLineChars="500"/>
        <w:rPr>
          <w:rFonts w:hint="eastAsia" w:ascii="仿宋" w:hAnsi="仿宋" w:eastAsia="仿宋" w:cs="仿宋"/>
          <w:color w:val="auto"/>
          <w:sz w:val="24"/>
          <w:szCs w:val="24"/>
        </w:rPr>
      </w:pPr>
      <w:r>
        <w:rPr>
          <w:rFonts w:hint="eastAsia" w:ascii="仿宋" w:hAnsi="仿宋" w:eastAsia="仿宋" w:cs="仿宋"/>
          <w:color w:val="auto"/>
          <w:sz w:val="24"/>
          <w:szCs w:val="24"/>
        </w:rPr>
        <w:t>发包人提供国外标准、规范的名称：。</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1.5.3发包人对工程的技术标准和功能要求的特殊要求：。</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 合同文件的优先顺序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合同文件组成及优先顺序为：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（1）合同协议书；</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（2）成交通知书；</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（3）专用合同条款及其附件；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（4）通用合同条款；</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（5）磋商文件；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（6）响应文件：</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（7）评审报告；</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（8）技术标准和要求；</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（9）图纸；</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（10）已标价工程量清单或预算书；</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（11）其他合同文件。</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 图纸和承包人文件</w:t>
      </w:r>
      <w:r>
        <w:rPr>
          <w:rFonts w:hint="eastAsia" w:ascii="仿宋" w:hAnsi="仿宋" w:eastAsia="仿宋" w:cs="仿宋"/>
          <w:color w:val="auto"/>
          <w:sz w:val="24"/>
          <w:szCs w:val="24"/>
        </w:rPr>
        <w:tab/>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1.7.1 图纸的提供</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发包人向承包人提供图纸的期限：；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发包人向承包人提供图纸的数量：；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发包人向承包人提供图纸的内容：。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1.7.2 承包人文件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需要由承包人提供的文件，包括：；</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承包人提供的文件的期限为：；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承包人提供的文件的数量为：；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承包人提供的文件的形式为：；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发包人审批承包人文件的期限：。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1.7.3 现场图纸准备</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关于现场图纸准备的约定：。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 联络</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1.8.2 发包人接收文件的地点：；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发包人指定的接收人为：。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承包人接收文件的地点：；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承包人指定的接收人为：。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监理人接收文件的地点：；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监理人指定的接收人为：。</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 交通运输</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Start w:id="234" w:name="_Toc304295521"/>
      <w:bookmarkStart w:id="235" w:name="_Toc300934943"/>
      <w:bookmarkStart w:id="236" w:name="_Toc303539100"/>
      <w:bookmarkStart w:id="237" w:name="_Toc312677986"/>
      <w:bookmarkStart w:id="238" w:name="_Toc318581155"/>
      <w:r>
        <w:rPr>
          <w:rFonts w:hint="eastAsia" w:ascii="仿宋" w:hAnsi="仿宋" w:eastAsia="仿宋" w:cs="仿宋"/>
          <w:color w:val="auto"/>
          <w:sz w:val="24"/>
          <w:szCs w:val="24"/>
        </w:rPr>
        <w:t>.9.1 出入现场的权利</w:t>
      </w:r>
    </w:p>
    <w:p>
      <w:pPr>
        <w:spacing w:line="360" w:lineRule="auto"/>
        <w:ind w:left="682" w:leftChars="284"/>
        <w:rPr>
          <w:rFonts w:hint="eastAsia" w:ascii="仿宋" w:hAnsi="仿宋" w:eastAsia="仿宋" w:cs="仿宋"/>
          <w:color w:val="auto"/>
          <w:sz w:val="24"/>
          <w:szCs w:val="24"/>
        </w:rPr>
      </w:pPr>
      <w:r>
        <w:rPr>
          <w:rFonts w:hint="eastAsia" w:ascii="仿宋" w:hAnsi="仿宋" w:eastAsia="仿宋" w:cs="仿宋"/>
          <w:color w:val="auto"/>
          <w:sz w:val="24"/>
          <w:szCs w:val="24"/>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Start w:id="239" w:name="_Toc318581156"/>
      <w:bookmarkStart w:id="240" w:name="_Toc300934944"/>
      <w:bookmarkStart w:id="241" w:name="_Toc312677987"/>
      <w:bookmarkStart w:id="242" w:name="_Toc304295522"/>
      <w:bookmarkStart w:id="243" w:name="_Toc303539101"/>
      <w:r>
        <w:rPr>
          <w:rFonts w:hint="eastAsia" w:ascii="仿宋" w:hAnsi="仿宋" w:eastAsia="仿宋" w:cs="仿宋"/>
          <w:color w:val="auto"/>
          <w:sz w:val="24"/>
          <w:szCs w:val="24"/>
        </w:rPr>
        <w:t>.9.2 场内交通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关于场外交通和场内交通的边界的约定：。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1.9.3 超大件和超重件的运输</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1.10 知识产权</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color w:val="auto"/>
          <w:sz w:val="24"/>
          <w:szCs w:val="24"/>
        </w:rPr>
      </w:pPr>
      <w:r>
        <w:rPr>
          <w:rFonts w:hint="eastAsia" w:ascii="仿宋" w:hAnsi="仿宋" w:eastAsia="仿宋" w:cs="仿宋"/>
          <w:color w:val="auto"/>
          <w:sz w:val="24"/>
          <w:szCs w:val="24"/>
        </w:rPr>
        <w:t>关于发包人提供的上述文件的使用限制的要求：。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1.10.2 关于承包人为实施工程所编制文件的著作权的归属：。</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关于承包人提供的上述文件的使用限制的要求：。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1.10.3 承包人在施工过程中所采用的专利、专有技术、技术秘密的使用费的承担方式：。</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1.11工程量清单错误的修正</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出现工程量清单错误时，是否调整合同价格：。</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允许调整合同价格的工程量偏差范围：。</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245" w:name="_Toc351203634"/>
      <w:r>
        <w:rPr>
          <w:rFonts w:hint="eastAsia" w:ascii="仿宋" w:hAnsi="仿宋" w:eastAsia="仿宋" w:cs="仿宋"/>
          <w:color w:val="auto"/>
          <w:sz w:val="24"/>
          <w:szCs w:val="24"/>
        </w:rPr>
        <w:t>2</w:t>
      </w:r>
      <w:bookmarkStart w:id="246" w:name="_Toc292559867"/>
      <w:bookmarkStart w:id="247" w:name="_Toc296347156"/>
      <w:bookmarkStart w:id="248" w:name="_Toc296891197"/>
      <w:bookmarkStart w:id="249" w:name="_Toc292559362"/>
      <w:bookmarkStart w:id="250" w:name="_Toc297048343"/>
      <w:bookmarkStart w:id="251" w:name="_Toc296503157"/>
      <w:bookmarkStart w:id="252" w:name="_Toc296346658"/>
      <w:bookmarkStart w:id="253" w:name="_Toc297120457"/>
      <w:bookmarkStart w:id="254" w:name="_Toc296944496"/>
      <w:bookmarkStart w:id="255" w:name="_Toc296890985"/>
      <w:r>
        <w:rPr>
          <w:rFonts w:hint="eastAsia" w:ascii="仿宋" w:hAnsi="仿宋" w:eastAsia="仿宋" w:cs="仿宋"/>
          <w:color w:val="auto"/>
          <w:sz w:val="24"/>
          <w:szCs w:val="24"/>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2.1 发包人代表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发包人代表：</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姓名：；</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身份证号：；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职务：；</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联系电话：；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电子信箱：；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发包人对发包人代表的授权范围如下：。</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2.2 施工现场、施工条件和基础资料的提供</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2.2.1 提供施工现场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关于发包人移交施工现场的期限要求：。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2.4.2 提供施工条件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关于发包人应负责提供施工所需要的条件，包括：</w:t>
      </w:r>
    </w:p>
    <w:p>
      <w:pPr>
        <w:spacing w:after="120"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（1）将施工所需的水、电、通讯线路接至施工场地的时间、地点和供应要求：。</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（2）施工场地与公共道路通道开通的时间和要求：。</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（3）工程地质和地下管线资料的提供时间：。</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（4）由发包人办理的施工所需所证、批件的名称和完成时间：。</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（5）水准点与座标控制制点交验要求：。</w:t>
      </w:r>
    </w:p>
    <w:p>
      <w:pPr>
        <w:spacing w:after="120"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（6）图纸会审和设计交底时间：</w:t>
      </w:r>
    </w:p>
    <w:p>
      <w:pPr>
        <w:spacing w:after="120"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（8）发包人应做的其他工作：。</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2.3 资金来源证明及支付担保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发包人提供资金来源证明的期限要求：。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发包人是否提供支付担保：。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发包人提供支付担保的形式：。</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256" w:name="_Toc351203635"/>
      <w:r>
        <w:rPr>
          <w:rFonts w:hint="eastAsia" w:ascii="仿宋" w:hAnsi="仿宋" w:eastAsia="仿宋" w:cs="仿宋"/>
          <w:color w:val="auto"/>
          <w:sz w:val="24"/>
          <w:szCs w:val="24"/>
        </w:rPr>
        <w:t>3</w:t>
      </w:r>
      <w:bookmarkStart w:id="257" w:name="_Toc296503158"/>
      <w:bookmarkStart w:id="258" w:name="_Toc292559363"/>
      <w:bookmarkStart w:id="259" w:name="_Toc296890986"/>
      <w:bookmarkStart w:id="260" w:name="_Toc297048344"/>
      <w:bookmarkStart w:id="261" w:name="_Toc292559868"/>
      <w:bookmarkStart w:id="262" w:name="_Toc296347157"/>
      <w:bookmarkStart w:id="263" w:name="_Toc296944497"/>
      <w:bookmarkStart w:id="264" w:name="_Toc296891198"/>
      <w:bookmarkStart w:id="265" w:name="_Toc296346659"/>
      <w:bookmarkStart w:id="266" w:name="_Toc297120458"/>
      <w:r>
        <w:rPr>
          <w:rFonts w:hint="eastAsia" w:ascii="仿宋" w:hAnsi="仿宋" w:eastAsia="仿宋" w:cs="仿宋"/>
          <w:color w:val="auto"/>
          <w:sz w:val="24"/>
          <w:szCs w:val="24"/>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3.1 承包人的一般义务</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（1）承包人提交的竣工资料的内容：。</w:t>
      </w:r>
    </w:p>
    <w:p>
      <w:pPr>
        <w:spacing w:line="360" w:lineRule="auto"/>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承包人需要提交的竣工资料套数：。</w:t>
      </w:r>
    </w:p>
    <w:p>
      <w:pPr>
        <w:spacing w:line="360" w:lineRule="auto"/>
        <w:ind w:left="730" w:leftChars="304"/>
        <w:rPr>
          <w:rFonts w:hint="eastAsia" w:ascii="仿宋" w:hAnsi="仿宋" w:eastAsia="仿宋" w:cs="仿宋"/>
          <w:color w:val="auto"/>
          <w:sz w:val="24"/>
          <w:szCs w:val="24"/>
        </w:rPr>
      </w:pPr>
      <w:r>
        <w:rPr>
          <w:rFonts w:hint="eastAsia" w:ascii="仿宋" w:hAnsi="仿宋" w:eastAsia="仿宋" w:cs="仿宋"/>
          <w:color w:val="auto"/>
          <w:sz w:val="24"/>
          <w:szCs w:val="24"/>
        </w:rPr>
        <w:t>承包人提交的竣工资料的费用承担：。</w:t>
      </w:r>
    </w:p>
    <w:p>
      <w:pPr>
        <w:spacing w:line="360" w:lineRule="auto"/>
        <w:ind w:left="730" w:leftChars="304"/>
        <w:rPr>
          <w:rFonts w:hint="eastAsia" w:ascii="仿宋" w:hAnsi="仿宋" w:eastAsia="仿宋" w:cs="仿宋"/>
          <w:color w:val="auto"/>
          <w:sz w:val="24"/>
          <w:szCs w:val="24"/>
        </w:rPr>
      </w:pPr>
      <w:r>
        <w:rPr>
          <w:rFonts w:hint="eastAsia" w:ascii="仿宋" w:hAnsi="仿宋" w:eastAsia="仿宋" w:cs="仿宋"/>
          <w:color w:val="auto"/>
          <w:sz w:val="24"/>
          <w:szCs w:val="24"/>
        </w:rPr>
        <w:t>承包人提交的竣工资料移交时间：。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承包人提交的竣工资料形式要求：。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（2）承包人应履行的其他义务：</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完成深化设计文件提交时间：。</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应提供计划、报表的名称及完成时间：。</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承担施工安全保卫工作及非夜间施工照明的责任和要求：。</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向发包人提供的办公和生活房屋及设施的要求：无。</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需承包人办理的有关施工场地交通、环卫和施工噪音管理手续：。</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已完工程成品保护的特殊要求及费用承担：。</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施工场地周围地下管线和邻近建筑物、构筑物（含文物保护建筑）、古树名木的保护要求及费用承担：。</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施工场地清洁卫生的要求：。</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消防相关工程、资料完善并确保通过消防验收。</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按合同约定支付竣工结算效益审计费用。</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承包人应按有关法律规定纳税，应缴纳的税金包括在合同价格内。</w:t>
      </w:r>
    </w:p>
    <w:p>
      <w:pPr>
        <w:pStyle w:val="82"/>
        <w:numPr>
          <w:ilvl w:val="2"/>
          <w:numId w:val="56"/>
        </w:numPr>
        <w:spacing w:line="360" w:lineRule="auto"/>
        <w:ind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双方约定承包人应做的其他工作：。</w:t>
      </w:r>
    </w:p>
    <w:p>
      <w:pPr>
        <w:pStyle w:val="82"/>
        <w:spacing w:line="360" w:lineRule="auto"/>
        <w:ind w:left="840" w:firstLine="0" w:firstLineChars="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 项目经理</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3.2.1 项目经理：</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姓名：；</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身份证号：；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建造师执业资格等级：；</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建造师注册证书号：；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建造师执业印章号：；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安全生产考核合格证书号：；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联系电话：；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电子信箱：；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承包人对项目经理的授权范围如下：。</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关于项目经理每月在施工现场的时间要求：。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承包人未提交劳动合同，以及没有为项目经理缴纳社会保险证明的违约责任：。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3.2.2 承包人擅自更换项目经理或技术负责人的违约责任：。</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3.2.3 承包人无正当理由拒绝更换项目经理的违约责任：。</w:t>
      </w:r>
    </w:p>
    <w:p>
      <w:pPr>
        <w:spacing w:line="360" w:lineRule="auto"/>
        <w:ind w:firstLine="48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 承包人人员</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3.3.1 承包人提交项目管理机构及施工现场管理人员安排报告的期限：。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3.3.2 承包人无正当理由拒绝撤换主要施工管理人员的违约责任：。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3.3.3 承包人主要施工管理人员离开施工现场的批准要求：。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3.3.4 承包人擅自更换主要施工管理人员的违约责任：。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3.3.5 承包人主要施工管理人员擅自离开施工现场的违约责任：。</w:t>
      </w: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bookmarkStart w:id="267" w:name="_Toc296890987"/>
      <w:bookmarkStart w:id="268" w:name="_Toc296346660"/>
      <w:bookmarkStart w:id="269" w:name="_Toc297216151"/>
      <w:bookmarkStart w:id="270" w:name="_Toc312677988"/>
      <w:bookmarkStart w:id="271" w:name="_Toc292559869"/>
      <w:bookmarkStart w:id="272" w:name="_Toc292559364"/>
      <w:bookmarkStart w:id="273" w:name="_Toc296347158"/>
      <w:bookmarkStart w:id="274" w:name="_Toc296503159"/>
      <w:bookmarkStart w:id="275" w:name="_Toc300934945"/>
      <w:bookmarkStart w:id="276" w:name="_Toc304295523"/>
      <w:bookmarkStart w:id="277" w:name="_Toc296944498"/>
      <w:bookmarkStart w:id="278" w:name="_Toc297120459"/>
      <w:bookmarkStart w:id="279" w:name="_Toc296891199"/>
      <w:bookmarkStart w:id="280" w:name="_Toc297123492"/>
      <w:bookmarkStart w:id="281" w:name="_Toc303539102"/>
      <w:bookmarkStart w:id="282" w:name="_Toc297048345"/>
      <w:r>
        <w:rPr>
          <w:rFonts w:hint="eastAsia" w:ascii="仿宋" w:hAnsi="仿宋" w:eastAsia="仿宋" w:cs="仿宋"/>
          <w:color w:val="auto"/>
          <w:sz w:val="24"/>
          <w:szCs w:val="24"/>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bookmarkStart w:id="283" w:name="_Toc292559870"/>
      <w:bookmarkStart w:id="284" w:name="_Toc296346661"/>
      <w:bookmarkStart w:id="285" w:name="_Toc304295524"/>
      <w:bookmarkStart w:id="286" w:name="_Toc303539103"/>
      <w:bookmarkStart w:id="287" w:name="_Toc297123493"/>
      <w:bookmarkStart w:id="288" w:name="_Toc296890988"/>
      <w:bookmarkStart w:id="289" w:name="_Toc296891200"/>
      <w:bookmarkStart w:id="290" w:name="_Toc296347159"/>
      <w:bookmarkStart w:id="291" w:name="_Toc292559365"/>
      <w:bookmarkStart w:id="292" w:name="_Toc296944499"/>
      <w:bookmarkStart w:id="293" w:name="_Toc297120460"/>
      <w:bookmarkStart w:id="294" w:name="_Toc300934946"/>
      <w:bookmarkStart w:id="295" w:name="_Toc296503160"/>
      <w:bookmarkStart w:id="296" w:name="_Toc297048346"/>
      <w:bookmarkStart w:id="297" w:name="_Toc297216152"/>
      <w:bookmarkStart w:id="298" w:name="_Toc312677989"/>
      <w:bookmarkStart w:id="299" w:name="_Toc318581158"/>
      <w:r>
        <w:rPr>
          <w:rFonts w:hint="eastAsia" w:ascii="仿宋" w:hAnsi="仿宋" w:eastAsia="仿宋" w:cs="仿宋"/>
          <w:color w:val="auto"/>
          <w:sz w:val="24"/>
          <w:szCs w:val="24"/>
        </w:rPr>
        <w:t>.4.1 分包的一般约定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禁止分包的工程包括：</w:t>
      </w:r>
      <w:r>
        <w:rPr>
          <w:rFonts w:hint="eastAsia" w:ascii="仿宋" w:hAnsi="仿宋" w:eastAsia="仿宋" w:cs="仿宋"/>
          <w:color w:val="auto"/>
          <w:sz w:val="24"/>
          <w:szCs w:val="24"/>
          <w:u w:val="single"/>
        </w:rPr>
        <w:t>本工程无分包</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6890989"/>
      <w:bookmarkStart w:id="301" w:name="_Toc304295525"/>
      <w:bookmarkStart w:id="302" w:name="_Toc297216153"/>
      <w:bookmarkStart w:id="303" w:name="_Toc297120461"/>
      <w:bookmarkStart w:id="304" w:name="_Toc296347160"/>
      <w:bookmarkStart w:id="305" w:name="_Toc297123494"/>
      <w:bookmarkStart w:id="306" w:name="_Toc296503161"/>
      <w:bookmarkStart w:id="307" w:name="_Toc296891201"/>
      <w:bookmarkStart w:id="308" w:name="_Toc296346662"/>
      <w:bookmarkStart w:id="309" w:name="_Toc297048347"/>
      <w:bookmarkStart w:id="310" w:name="_Toc300934947"/>
      <w:bookmarkStart w:id="311" w:name="_Toc296944500"/>
      <w:bookmarkStart w:id="312" w:name="_Toc303539104"/>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3</w:t>
      </w:r>
      <w:bookmarkStart w:id="313" w:name="_Toc312677990"/>
      <w:bookmarkStart w:id="314" w:name="_Toc318581159"/>
      <w:r>
        <w:rPr>
          <w:rFonts w:hint="eastAsia" w:ascii="仿宋" w:hAnsi="仿宋" w:eastAsia="仿宋" w:cs="仿宋"/>
          <w:color w:val="auto"/>
          <w:sz w:val="24"/>
          <w:szCs w:val="24"/>
        </w:rPr>
        <w:t>.4.2分包的确定</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允许分包的专业工程包括：</w:t>
      </w:r>
      <w:r>
        <w:rPr>
          <w:rFonts w:hint="eastAsia" w:ascii="仿宋" w:hAnsi="仿宋" w:eastAsia="仿宋" w:cs="仿宋"/>
          <w:color w:val="auto"/>
          <w:sz w:val="24"/>
          <w:szCs w:val="24"/>
          <w:u w:val="single"/>
        </w:rPr>
        <w:t>无</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其他关于分包的约定：。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3.4.3 分包合同价款</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关于分包合同价款支付的约定：。</w:t>
      </w:r>
    </w:p>
    <w:p>
      <w:pPr>
        <w:spacing w:line="360" w:lineRule="auto"/>
        <w:ind w:firstLine="480" w:firstLineChars="200"/>
        <w:rPr>
          <w:rFonts w:hint="eastAsia" w:ascii="仿宋" w:hAnsi="仿宋" w:eastAsia="仿宋" w:cs="仿宋"/>
          <w:color w:val="auto"/>
          <w:sz w:val="24"/>
          <w:szCs w:val="24"/>
        </w:rPr>
      </w:pPr>
    </w:p>
    <w:bookmarkEnd w:id="313"/>
    <w:bookmarkEnd w:id="314"/>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3.5 工程照管与成品、半成品保护</w:t>
      </w:r>
    </w:p>
    <w:p>
      <w:pPr>
        <w:spacing w:before="120"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承包人负责照管工程及工程相关的材料、工程设备的起始时间：。</w:t>
      </w:r>
    </w:p>
    <w:p>
      <w:pPr>
        <w:spacing w:before="120"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3.6 履约担保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承包人是否提供履约担保：。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承包人提供履约担保的形式、金额及期限：。</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315" w:name="_Toc351203636"/>
      <w:r>
        <w:rPr>
          <w:rFonts w:hint="eastAsia" w:ascii="仿宋" w:hAnsi="仿宋" w:eastAsia="仿宋" w:cs="仿宋"/>
          <w:color w:val="auto"/>
          <w:sz w:val="24"/>
          <w:szCs w:val="24"/>
        </w:rPr>
        <w:t>4</w:t>
      </w:r>
      <w:bookmarkStart w:id="316" w:name="_Toc296347161"/>
      <w:bookmarkStart w:id="317" w:name="_Toc267251413"/>
      <w:bookmarkStart w:id="318" w:name="_Toc296944501"/>
      <w:bookmarkStart w:id="319" w:name="_Toc296891202"/>
      <w:bookmarkStart w:id="320" w:name="_Toc297048348"/>
      <w:bookmarkStart w:id="321" w:name="_Toc296503162"/>
      <w:bookmarkStart w:id="322" w:name="_Toc296890990"/>
      <w:bookmarkStart w:id="323" w:name="_Toc292559366"/>
      <w:bookmarkStart w:id="324" w:name="_Toc297120462"/>
      <w:bookmarkStart w:id="325" w:name="_Toc292559871"/>
      <w:bookmarkStart w:id="326" w:name="_Toc296346663"/>
      <w:r>
        <w:rPr>
          <w:rFonts w:hint="eastAsia" w:ascii="仿宋" w:hAnsi="仿宋" w:eastAsia="仿宋" w:cs="仿宋"/>
          <w:color w:val="auto"/>
          <w:sz w:val="24"/>
          <w:szCs w:val="24"/>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color w:val="auto"/>
          <w:sz w:val="24"/>
          <w:szCs w:val="24"/>
        </w:rPr>
        <w:t>理人</w:t>
      </w:r>
      <w:bookmarkEnd w:id="315"/>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4.1监理人的一般规定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关于监理人的监理内容：。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关于监理人的监理权限：。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关于监理人在施工现场的办公场所、生活场所的提供和费用承担的约定：。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4.2 监理人员</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总监理工程师：</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姓名：；</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职务：；</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监理工程师执业资格证书号：；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联系电话：；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电子信箱：；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通信地址：；</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关于监理人的其他约定：。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4.3 商定或确定</w:t>
      </w:r>
    </w:p>
    <w:p>
      <w:pPr>
        <w:spacing w:line="360" w:lineRule="auto"/>
        <w:ind w:firstLine="480" w:firstLineChars="200"/>
        <w:rPr>
          <w:rFonts w:hint="eastAsia" w:ascii="仿宋" w:hAnsi="仿宋" w:eastAsia="仿宋" w:cs="仿宋"/>
          <w:color w:val="auto"/>
          <w:sz w:val="24"/>
          <w:szCs w:val="24"/>
        </w:rPr>
      </w:pPr>
      <w:bookmarkStart w:id="327" w:name="_Toc267251418"/>
      <w:r>
        <w:rPr>
          <w:rFonts w:hint="eastAsia" w:ascii="仿宋" w:hAnsi="仿宋" w:eastAsia="仿宋" w:cs="仿宋"/>
          <w:color w:val="auto"/>
          <w:sz w:val="24"/>
          <w:szCs w:val="24"/>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328" w:name="_Toc351203637"/>
      <w:r>
        <w:rPr>
          <w:rFonts w:hint="eastAsia" w:ascii="仿宋" w:hAnsi="仿宋" w:eastAsia="仿宋" w:cs="仿宋"/>
          <w:color w:val="auto"/>
          <w:sz w:val="24"/>
          <w:szCs w:val="24"/>
        </w:rPr>
        <w:t>5</w:t>
      </w:r>
      <w:bookmarkEnd w:id="327"/>
      <w:bookmarkStart w:id="329" w:name="_Toc297120463"/>
      <w:bookmarkStart w:id="330" w:name="_Toc296347162"/>
      <w:bookmarkStart w:id="331" w:name="_Toc296890991"/>
      <w:bookmarkStart w:id="332" w:name="_Toc297048349"/>
      <w:bookmarkStart w:id="333" w:name="_Toc296944502"/>
      <w:bookmarkStart w:id="334" w:name="_Toc292559872"/>
      <w:bookmarkStart w:id="335" w:name="_Toc296503163"/>
      <w:bookmarkStart w:id="336" w:name="_Toc296891203"/>
      <w:bookmarkStart w:id="337" w:name="_Toc292559367"/>
      <w:bookmarkStart w:id="338" w:name="_Toc296346664"/>
      <w:r>
        <w:rPr>
          <w:rFonts w:hint="eastAsia" w:ascii="仿宋" w:hAnsi="仿宋" w:eastAsia="仿宋" w:cs="仿宋"/>
          <w:color w:val="auto"/>
          <w:sz w:val="24"/>
          <w:szCs w:val="24"/>
        </w:rPr>
        <w:t>. 工程质量</w:t>
      </w:r>
      <w:bookmarkEnd w:id="328"/>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质量要求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w:t>
      </w:r>
      <w:bookmarkStart w:id="339" w:name="_Toc297216155"/>
      <w:bookmarkStart w:id="340" w:name="_Toc312677997"/>
      <w:bookmarkStart w:id="341" w:name="_Toc303539106"/>
      <w:bookmarkStart w:id="342" w:name="_Toc318581164"/>
      <w:bookmarkStart w:id="343" w:name="_Toc297123496"/>
      <w:bookmarkStart w:id="344" w:name="_Toc300934949"/>
      <w:bookmarkStart w:id="345" w:name="_Toc304295527"/>
      <w:r>
        <w:rPr>
          <w:rFonts w:hint="eastAsia" w:ascii="仿宋" w:hAnsi="仿宋" w:eastAsia="仿宋" w:cs="仿宋"/>
          <w:color w:val="auto"/>
          <w:sz w:val="24"/>
          <w:szCs w:val="24"/>
        </w:rPr>
        <w:t>.1.1 特殊质量标准和要求：。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关于工程奖项的约定：。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5.2 隐蔽工程检查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5.2.1承包人提前通知监理人隐蔽工程检查的期限的约定：。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监理人不能按时进行检查时，应提前X小时提交书面延期要求。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关于延期最长不得超过：X小时。</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346" w:name="_Toc351203638"/>
      <w:r>
        <w:rPr>
          <w:rFonts w:hint="eastAsia" w:ascii="仿宋" w:hAnsi="仿宋" w:eastAsia="仿宋" w:cs="仿宋"/>
          <w:color w:val="auto"/>
          <w:sz w:val="24"/>
          <w:szCs w:val="24"/>
        </w:rPr>
        <w:t>6. 安全文明施工与环境保护</w:t>
      </w:r>
      <w:bookmarkEnd w:id="346"/>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6.1安全文明施工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6.1.1 项目安全生产的达标目标及相应事项的约定：。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6.1.2 关于治安保卫的特别约定：。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关于编制施工场地治安管理计划的约定：。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6.1.3 文明施工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合同当事人对文明施工的要求：。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6.1.4 关于安全文明施工费支付比例和支付期限的约定：。</w:t>
      </w:r>
    </w:p>
    <w:p>
      <w:pPr>
        <w:spacing w:line="360" w:lineRule="auto"/>
        <w:ind w:firstLine="480" w:firstLineChars="200"/>
        <w:rPr>
          <w:rFonts w:hint="eastAsia" w:ascii="仿宋" w:hAnsi="仿宋" w:eastAsia="仿宋" w:cs="仿宋"/>
          <w:color w:val="auto"/>
          <w:sz w:val="24"/>
          <w:szCs w:val="24"/>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color w:val="auto"/>
          <w:sz w:val="24"/>
          <w:szCs w:val="24"/>
        </w:rPr>
      </w:pPr>
      <w:bookmarkStart w:id="347" w:name="_Toc351203639"/>
      <w:r>
        <w:rPr>
          <w:rFonts w:hint="eastAsia" w:ascii="仿宋" w:hAnsi="仿宋" w:eastAsia="仿宋" w:cs="仿宋"/>
          <w:color w:val="auto"/>
          <w:sz w:val="24"/>
          <w:szCs w:val="24"/>
        </w:rPr>
        <w:t>7. 工期和进度</w:t>
      </w:r>
      <w:bookmarkEnd w:id="347"/>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7.1 施工组织设计</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7.1.2 施工组织设计的提交和修改</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承包人提交详细施工组织设计的期限的约定：。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bookmarkStart w:id="348" w:name="_Toc304295541"/>
      <w:bookmarkStart w:id="349" w:name="_Toc300934966"/>
      <w:bookmarkStart w:id="350" w:name="_Toc297123514"/>
      <w:bookmarkStart w:id="351" w:name="_Toc297216173"/>
      <w:bookmarkStart w:id="352" w:name="_Toc312678005"/>
      <w:bookmarkStart w:id="353" w:name="_Toc312677479"/>
      <w:bookmarkStart w:id="354" w:name="_Toc303539123"/>
      <w:r>
        <w:rPr>
          <w:rFonts w:hint="eastAsia" w:ascii="仿宋" w:hAnsi="仿宋" w:eastAsia="仿宋" w:cs="仿宋"/>
          <w:color w:val="auto"/>
          <w:sz w:val="24"/>
          <w:szCs w:val="24"/>
        </w:rPr>
        <w:t>.2 施工进度计划</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7.2.1 施工进度计划的修订</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承包人提供施工组织设计（施工方案）和进度计划的时间：。</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7.3 开工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7.3.1 开工准备</w:t>
      </w:r>
    </w:p>
    <w:p>
      <w:pPr>
        <w:spacing w:line="360" w:lineRule="auto"/>
        <w:ind w:firstLine="645"/>
        <w:rPr>
          <w:rFonts w:hint="eastAsia" w:ascii="仿宋" w:hAnsi="仿宋" w:eastAsia="仿宋" w:cs="仿宋"/>
          <w:color w:val="auto"/>
          <w:sz w:val="24"/>
          <w:szCs w:val="24"/>
          <w:u w:val="single"/>
        </w:rPr>
      </w:pPr>
      <w:r>
        <w:rPr>
          <w:rFonts w:hint="eastAsia" w:ascii="仿宋" w:hAnsi="仿宋" w:eastAsia="仿宋" w:cs="仿宋"/>
          <w:color w:val="auto"/>
          <w:sz w:val="24"/>
          <w:szCs w:val="24"/>
        </w:rPr>
        <w:t>关于承包人提交工程开工报审表的期限：。</w:t>
      </w:r>
    </w:p>
    <w:p>
      <w:pPr>
        <w:spacing w:line="360" w:lineRule="auto"/>
        <w:ind w:firstLine="645"/>
        <w:rPr>
          <w:rFonts w:hint="eastAsia" w:ascii="仿宋" w:hAnsi="仿宋" w:eastAsia="仿宋" w:cs="仿宋"/>
          <w:color w:val="auto"/>
          <w:sz w:val="24"/>
          <w:szCs w:val="24"/>
        </w:rPr>
      </w:pPr>
      <w:r>
        <w:rPr>
          <w:rFonts w:hint="eastAsia" w:ascii="仿宋" w:hAnsi="仿宋" w:eastAsia="仿宋" w:cs="仿宋"/>
          <w:color w:val="auto"/>
          <w:sz w:val="24"/>
          <w:szCs w:val="24"/>
        </w:rPr>
        <w:t>关于发包人应完成的其他开工准备工作及期限：。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关于承包人应完成的其他开工准备工作及期限：。</w:t>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7.3.2开工通知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color w:val="auto"/>
          <w:sz w:val="24"/>
          <w:szCs w:val="24"/>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7.4 测量放线</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bookmarkStart w:id="355" w:name="_Toc304295546"/>
      <w:bookmarkStart w:id="356" w:name="_Toc297123516"/>
      <w:bookmarkStart w:id="357" w:name="_Toc312678010"/>
      <w:bookmarkStart w:id="358" w:name="_Toc303539125"/>
      <w:bookmarkStart w:id="359" w:name="_Toc312677484"/>
      <w:bookmarkStart w:id="360" w:name="_Toc300934968"/>
      <w:bookmarkStart w:id="361" w:name="_Toc297216175"/>
      <w:r>
        <w:rPr>
          <w:rFonts w:hint="eastAsia" w:ascii="仿宋" w:hAnsi="仿宋" w:eastAsia="仿宋" w:cs="仿宋"/>
          <w:color w:val="auto"/>
          <w:sz w:val="24"/>
          <w:szCs w:val="24"/>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7.5.1 因发包人原因导致工期延误</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因发包人原因导致工期延误的其他情形：</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bookmarkStart w:id="362" w:name="_Toc318581169"/>
      <w:bookmarkStart w:id="363" w:name="_Toc312678012"/>
      <w:bookmarkStart w:id="364" w:name="_Toc312677486"/>
      <w:bookmarkStart w:id="365" w:name="_Toc297216177"/>
      <w:bookmarkStart w:id="366" w:name="_Toc304295548"/>
      <w:bookmarkStart w:id="367" w:name="_Toc303539127"/>
      <w:bookmarkStart w:id="368" w:name="_Toc297123518"/>
      <w:bookmarkStart w:id="369" w:name="_Toc300934970"/>
      <w:r>
        <w:rPr>
          <w:rFonts w:hint="eastAsia" w:ascii="仿宋" w:hAnsi="仿宋" w:eastAsia="仿宋" w:cs="仿宋"/>
          <w:color w:val="auto"/>
          <w:sz w:val="24"/>
          <w:szCs w:val="24"/>
        </w:rPr>
        <w:t>.5.2 因承包人原因导致工期延误</w:t>
      </w:r>
    </w:p>
    <w:bookmarkEnd w:id="362"/>
    <w:bookmarkEnd w:id="363"/>
    <w:bookmarkEnd w:id="364"/>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因</w:t>
      </w:r>
      <w:bookmarkStart w:id="370" w:name="_Toc312678013"/>
      <w:bookmarkStart w:id="371" w:name="_Toc312677487"/>
      <w:bookmarkStart w:id="372" w:name="_Toc318581170"/>
      <w:r>
        <w:rPr>
          <w:rFonts w:hint="eastAsia" w:ascii="仿宋" w:hAnsi="仿宋" w:eastAsia="仿宋" w:cs="仿宋"/>
          <w:color w:val="auto"/>
          <w:sz w:val="24"/>
          <w:szCs w:val="24"/>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因承包人原因造成工期延误，逾</w:t>
      </w:r>
      <w:bookmarkStart w:id="373" w:name="_Toc318581171"/>
      <w:bookmarkStart w:id="374" w:name="_Toc312678014"/>
      <w:r>
        <w:rPr>
          <w:rFonts w:hint="eastAsia" w:ascii="仿宋" w:hAnsi="仿宋" w:eastAsia="仿宋" w:cs="仿宋"/>
          <w:color w:val="auto"/>
          <w:sz w:val="24"/>
          <w:szCs w:val="24"/>
        </w:rPr>
        <w:t>期竣工违约金的上限：</w:t>
      </w:r>
      <w:r>
        <w:rPr>
          <w:rFonts w:hint="eastAsia" w:ascii="仿宋" w:hAnsi="仿宋" w:eastAsia="仿宋" w:cs="仿宋"/>
          <w:color w:val="auto"/>
          <w:sz w:val="24"/>
          <w:szCs w:val="24"/>
          <w:u w:val="single"/>
        </w:rPr>
        <w:t>签约合同价款的10%</w:t>
      </w:r>
      <w:r>
        <w:rPr>
          <w:rFonts w:hint="eastAsia" w:ascii="仿宋" w:hAnsi="仿宋" w:eastAsia="仿宋" w:cs="仿宋"/>
          <w:color w:val="auto"/>
          <w:sz w:val="24"/>
          <w:szCs w:val="24"/>
        </w:rPr>
        <w:t>。</w:t>
      </w:r>
    </w:p>
    <w:bookmarkEnd w:id="373"/>
    <w:bookmarkEnd w:id="374"/>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bookmarkStart w:id="375" w:name="_Toc304295549"/>
      <w:bookmarkStart w:id="376" w:name="_Toc312678015"/>
      <w:bookmarkStart w:id="377" w:name="_Toc300934971"/>
      <w:bookmarkStart w:id="378" w:name="_Toc297123519"/>
      <w:bookmarkStart w:id="379" w:name="_Toc303539128"/>
      <w:bookmarkStart w:id="380" w:name="_Toc297216178"/>
      <w:r>
        <w:rPr>
          <w:rFonts w:hint="eastAsia" w:ascii="仿宋" w:hAnsi="仿宋" w:eastAsia="仿宋" w:cs="仿宋"/>
          <w:color w:val="auto"/>
          <w:sz w:val="24"/>
          <w:szCs w:val="24"/>
        </w:rPr>
        <w:t>.6 不</w:t>
      </w:r>
      <w:bookmarkEnd w:id="375"/>
      <w:bookmarkEnd w:id="376"/>
      <w:bookmarkEnd w:id="377"/>
      <w:bookmarkEnd w:id="378"/>
      <w:bookmarkEnd w:id="379"/>
      <w:bookmarkEnd w:id="380"/>
      <w:r>
        <w:rPr>
          <w:rFonts w:hint="eastAsia" w:ascii="仿宋" w:hAnsi="仿宋" w:eastAsia="仿宋" w:cs="仿宋"/>
          <w:color w:val="auto"/>
          <w:sz w:val="24"/>
          <w:szCs w:val="24"/>
        </w:rPr>
        <w:t>利物质条件</w:t>
      </w:r>
    </w:p>
    <w:p>
      <w:pPr>
        <w:spacing w:line="360" w:lineRule="auto"/>
        <w:ind w:firstLine="480" w:firstLineChars="200"/>
        <w:rPr>
          <w:rFonts w:hint="eastAsia" w:ascii="仿宋" w:hAnsi="仿宋" w:eastAsia="仿宋" w:cs="仿宋"/>
          <w:color w:val="auto"/>
          <w:sz w:val="24"/>
          <w:szCs w:val="24"/>
        </w:rPr>
      </w:pPr>
      <w:bookmarkStart w:id="381" w:name="_Toc304295550"/>
      <w:bookmarkStart w:id="382" w:name="_Toc297123520"/>
      <w:bookmarkStart w:id="383" w:name="_Toc312678016"/>
      <w:bookmarkStart w:id="384" w:name="_Toc297216179"/>
      <w:bookmarkStart w:id="385" w:name="_Toc318581172"/>
      <w:bookmarkStart w:id="386" w:name="_Toc300934972"/>
      <w:bookmarkStart w:id="387" w:name="_Toc303539129"/>
      <w:r>
        <w:rPr>
          <w:rFonts w:hint="eastAsia" w:ascii="仿宋" w:hAnsi="仿宋" w:eastAsia="仿宋" w:cs="仿宋"/>
          <w:color w:val="auto"/>
          <w:sz w:val="24"/>
          <w:szCs w:val="24"/>
        </w:rPr>
        <w:t>不利物质条件的其他情形和有关约定：。</w:t>
      </w:r>
    </w:p>
    <w:p>
      <w:pPr>
        <w:spacing w:line="360" w:lineRule="auto"/>
        <w:ind w:firstLine="480" w:firstLineChars="200"/>
        <w:rPr>
          <w:rFonts w:hint="eastAsia" w:ascii="仿宋" w:hAnsi="仿宋" w:eastAsia="仿宋" w:cs="仿宋"/>
          <w:color w:val="auto"/>
          <w:sz w:val="24"/>
          <w:szCs w:val="24"/>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bookmarkStart w:id="388" w:name="_Toc304295551"/>
      <w:bookmarkStart w:id="389" w:name="_Toc300934973"/>
      <w:bookmarkStart w:id="390" w:name="_Toc312678017"/>
      <w:bookmarkStart w:id="391" w:name="_Toc303539130"/>
      <w:bookmarkStart w:id="392" w:name="_Toc297123521"/>
      <w:bookmarkStart w:id="393" w:name="_Toc297216180"/>
      <w:r>
        <w:rPr>
          <w:rFonts w:hint="eastAsia" w:ascii="仿宋" w:hAnsi="仿宋" w:eastAsia="仿宋" w:cs="仿宋"/>
          <w:color w:val="auto"/>
          <w:sz w:val="24"/>
          <w:szCs w:val="24"/>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发包人和承包人同意以下情形视为异常恶劣的气候条件：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7.8 提前竣工的奖励</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7.8.1提前竣工的奖励：</w:t>
      </w:r>
      <w:r>
        <w:rPr>
          <w:rFonts w:hint="eastAsia" w:ascii="仿宋" w:hAnsi="仿宋" w:eastAsia="仿宋" w:cs="仿宋"/>
          <w:color w:val="auto"/>
          <w:sz w:val="24"/>
          <w:szCs w:val="24"/>
          <w:u w:val="single"/>
        </w:rPr>
        <w:t>无</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394" w:name="_Toc351203640"/>
      <w:r>
        <w:rPr>
          <w:rFonts w:hint="eastAsia" w:ascii="仿宋" w:hAnsi="仿宋" w:eastAsia="仿宋" w:cs="仿宋"/>
          <w:color w:val="auto"/>
          <w:sz w:val="24"/>
          <w:szCs w:val="24"/>
        </w:rPr>
        <w:t>8. 材料与设备</w:t>
      </w:r>
      <w:bookmarkEnd w:id="394"/>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8.1承包人采购材料与工程设备</w:t>
      </w:r>
    </w:p>
    <w:p>
      <w:pPr>
        <w:spacing w:after="120" w:line="360" w:lineRule="auto"/>
        <w:ind w:firstLine="480" w:firstLineChars="200"/>
        <w:rPr>
          <w:rFonts w:hint="eastAsia" w:ascii="仿宋" w:hAnsi="仿宋" w:eastAsia="仿宋" w:cs="仿宋"/>
          <w:color w:val="auto"/>
          <w:sz w:val="24"/>
          <w:szCs w:val="24"/>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w:t>
      </w:r>
      <w:bookmarkStart w:id="395" w:name="_Toc292559372"/>
      <w:bookmarkStart w:id="396" w:name="_Toc297120467"/>
      <w:bookmarkStart w:id="397" w:name="_Toc297216186"/>
      <w:bookmarkStart w:id="398" w:name="_Toc296503167"/>
      <w:bookmarkStart w:id="399" w:name="_Toc292559877"/>
      <w:bookmarkStart w:id="400" w:name="_Toc296891207"/>
      <w:bookmarkStart w:id="401" w:name="_Toc280868654"/>
      <w:bookmarkStart w:id="402" w:name="_Toc296347166"/>
      <w:bookmarkStart w:id="403" w:name="_Toc312678019"/>
      <w:bookmarkStart w:id="404" w:name="_Toc304295556"/>
      <w:bookmarkStart w:id="405" w:name="_Toc300934979"/>
      <w:bookmarkStart w:id="406" w:name="_Toc303539136"/>
      <w:bookmarkStart w:id="407" w:name="_Toc296346668"/>
      <w:bookmarkStart w:id="408" w:name="_Toc296890995"/>
      <w:bookmarkStart w:id="409" w:name="_Toc297123527"/>
      <w:bookmarkStart w:id="410" w:name="_Toc312677493"/>
      <w:bookmarkStart w:id="411" w:name="_Toc296944506"/>
      <w:bookmarkStart w:id="412" w:name="_Toc297048353"/>
      <w:bookmarkStart w:id="413" w:name="_Toc267251424"/>
      <w:bookmarkStart w:id="414" w:name="_Toc280868655"/>
      <w:bookmarkStart w:id="415" w:name="_Toc280868656"/>
      <w:r>
        <w:rPr>
          <w:rFonts w:hint="eastAsia" w:ascii="仿宋" w:hAnsi="仿宋" w:eastAsia="仿宋" w:cs="仿宋"/>
          <w:color w:val="auto"/>
          <w:sz w:val="24"/>
          <w:szCs w:val="24"/>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w:t>
      </w:r>
      <w:bookmarkStart w:id="416" w:name="_Toc292559373"/>
      <w:bookmarkStart w:id="417" w:name="_Toc292559878"/>
      <w:bookmarkStart w:id="418" w:name="_Toc296346669"/>
      <w:bookmarkStart w:id="419" w:name="_Toc297048354"/>
      <w:bookmarkStart w:id="420" w:name="_Toc296891208"/>
      <w:bookmarkStart w:id="421" w:name="_Toc297120468"/>
      <w:bookmarkStart w:id="422" w:name="_Toc312678020"/>
      <w:bookmarkStart w:id="423" w:name="_Toc297123528"/>
      <w:bookmarkStart w:id="424" w:name="_Toc304295557"/>
      <w:bookmarkStart w:id="425" w:name="_Toc300934980"/>
      <w:bookmarkStart w:id="426" w:name="_Toc296503168"/>
      <w:bookmarkStart w:id="427" w:name="_Toc296347167"/>
      <w:bookmarkStart w:id="428" w:name="_Toc296944507"/>
      <w:bookmarkStart w:id="429" w:name="_Toc318581173"/>
      <w:bookmarkStart w:id="430" w:name="_Toc296890996"/>
      <w:bookmarkStart w:id="431" w:name="_Toc297216187"/>
      <w:bookmarkStart w:id="432" w:name="_Toc312677494"/>
      <w:bookmarkStart w:id="433" w:name="_Toc303539137"/>
      <w:r>
        <w:rPr>
          <w:rFonts w:hint="eastAsia" w:ascii="仿宋" w:hAnsi="仿宋" w:eastAsia="仿宋" w:cs="仿宋"/>
          <w:color w:val="auto"/>
          <w:sz w:val="24"/>
          <w:szCs w:val="24"/>
        </w:rPr>
        <w:t>.2.1发包人供应的材料设备的保管费用的承担：。</w:t>
      </w:r>
      <w:bookmarkEnd w:id="416"/>
      <w:bookmarkEnd w:id="417"/>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8.3 样品</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8.3.1</w:t>
      </w:r>
      <w:r>
        <w:rPr>
          <w:rFonts w:hint="eastAsia" w:ascii="仿宋" w:hAnsi="仿宋" w:eastAsia="仿宋" w:cs="仿宋"/>
          <w:color w:val="auto"/>
          <w:sz w:val="24"/>
          <w:szCs w:val="24"/>
        </w:rPr>
        <w:tab/>
      </w:r>
      <w:r>
        <w:rPr>
          <w:rFonts w:hint="eastAsia" w:ascii="仿宋" w:hAnsi="仿宋" w:eastAsia="仿宋" w:cs="仿宋"/>
          <w:color w:val="auto"/>
          <w:sz w:val="24"/>
          <w:szCs w:val="24"/>
        </w:rPr>
        <w:t>样品的报送与封存</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需要承包人报送样品的材料或工程设备，样品的种类、名称、规格、数量要求：。</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8.4 施工设备和临时设施</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color w:val="auto"/>
          <w:sz w:val="24"/>
          <w:szCs w:val="24"/>
        </w:rPr>
      </w:pPr>
      <w:bookmarkStart w:id="434" w:name="_Toc351203641"/>
      <w:r>
        <w:rPr>
          <w:rFonts w:hint="eastAsia" w:ascii="仿宋" w:hAnsi="仿宋" w:eastAsia="仿宋" w:cs="仿宋"/>
          <w:color w:val="auto"/>
          <w:sz w:val="24"/>
          <w:szCs w:val="24"/>
        </w:rPr>
        <w:t>9</w:t>
      </w:r>
      <w:bookmarkEnd w:id="413"/>
      <w:bookmarkEnd w:id="414"/>
      <w:bookmarkEnd w:id="415"/>
      <w:bookmarkStart w:id="435" w:name="_Toc312677495"/>
      <w:bookmarkStart w:id="436" w:name="_Toc303539139"/>
      <w:bookmarkStart w:id="437" w:name="_Toc297216192"/>
      <w:bookmarkStart w:id="438" w:name="_Toc312678021"/>
      <w:bookmarkStart w:id="439" w:name="_Toc297123533"/>
      <w:bookmarkStart w:id="440" w:name="_Toc300934982"/>
      <w:bookmarkStart w:id="441" w:name="_Toc304295559"/>
      <w:bookmarkStart w:id="442" w:name="_Toc297048359"/>
      <w:bookmarkStart w:id="443" w:name="_Toc296944512"/>
      <w:bookmarkStart w:id="444" w:name="_Toc292559883"/>
      <w:bookmarkStart w:id="445" w:name="_Toc296347172"/>
      <w:bookmarkStart w:id="446" w:name="_Toc292559378"/>
      <w:bookmarkStart w:id="447" w:name="_Toc296891001"/>
      <w:bookmarkStart w:id="448" w:name="_Toc267251427"/>
      <w:bookmarkStart w:id="449" w:name="_Toc296891213"/>
      <w:bookmarkStart w:id="450" w:name="_Toc267251428"/>
      <w:bookmarkStart w:id="451" w:name="_Toc297120473"/>
      <w:bookmarkStart w:id="452" w:name="_Toc296346674"/>
      <w:bookmarkStart w:id="453" w:name="_Toc296503173"/>
      <w:r>
        <w:rPr>
          <w:rFonts w:hint="eastAsia" w:ascii="仿宋" w:hAnsi="仿宋" w:eastAsia="仿宋" w:cs="仿宋"/>
          <w:color w:val="auto"/>
          <w:sz w:val="24"/>
          <w:szCs w:val="24"/>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w:t>
      </w:r>
      <w:bookmarkStart w:id="454" w:name="_Toc303539140"/>
      <w:bookmarkStart w:id="455" w:name="_Toc312677496"/>
      <w:bookmarkStart w:id="456" w:name="_Toc297216193"/>
      <w:bookmarkStart w:id="457" w:name="_Toc304295560"/>
      <w:bookmarkStart w:id="458" w:name="_Toc312678022"/>
      <w:bookmarkStart w:id="459" w:name="_Toc300934983"/>
      <w:bookmarkStart w:id="460" w:name="_Toc297123534"/>
      <w:r>
        <w:rPr>
          <w:rFonts w:hint="eastAsia" w:ascii="仿宋" w:hAnsi="仿宋" w:eastAsia="仿宋" w:cs="仿宋"/>
          <w:color w:val="auto"/>
          <w:sz w:val="24"/>
          <w:szCs w:val="24"/>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w:t>
      </w:r>
      <w:bookmarkStart w:id="461" w:name="_Toc304295561"/>
      <w:bookmarkStart w:id="462" w:name="_Toc297123535"/>
      <w:bookmarkStart w:id="463" w:name="_Toc303539141"/>
      <w:bookmarkStart w:id="464" w:name="_Toc312678023"/>
      <w:bookmarkStart w:id="465" w:name="_Toc300934984"/>
      <w:bookmarkStart w:id="466" w:name="_Toc312677497"/>
      <w:bookmarkStart w:id="467" w:name="_Toc297216194"/>
      <w:bookmarkStart w:id="468" w:name="_Toc318581174"/>
      <w:r>
        <w:rPr>
          <w:rFonts w:hint="eastAsia" w:ascii="仿宋" w:hAnsi="仿宋" w:eastAsia="仿宋" w:cs="仿宋"/>
          <w:color w:val="auto"/>
          <w:sz w:val="24"/>
          <w:szCs w:val="24"/>
        </w:rPr>
        <w:t>.1.1 试验设备</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施工现场需要配置的试验场所：</w:t>
      </w:r>
      <w:bookmarkEnd w:id="461"/>
      <w:bookmarkEnd w:id="462"/>
      <w:bookmarkEnd w:id="463"/>
      <w:bookmarkEnd w:id="464"/>
      <w:bookmarkEnd w:id="465"/>
      <w:bookmarkEnd w:id="466"/>
      <w:bookmarkEnd w:id="467"/>
      <w:bookmarkStart w:id="469" w:name="_Toc303539142"/>
      <w:bookmarkStart w:id="470" w:name="_Toc304295562"/>
      <w:bookmarkStart w:id="471" w:name="_Toc312678024"/>
      <w:bookmarkStart w:id="472" w:name="_Toc297216195"/>
      <w:bookmarkStart w:id="473" w:name="_Toc312677498"/>
      <w:bookmarkStart w:id="474" w:name="_Toc297123536"/>
      <w:bookmarkStart w:id="475" w:name="_Toc300934985"/>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施工现场需要配备的试验设备：。</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施工现场需要具备的其他试验条件：。</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9.2 现场工艺试验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现场工艺试验的有关约定：。</w:t>
      </w:r>
    </w:p>
    <w:p>
      <w:pPr>
        <w:spacing w:line="360" w:lineRule="auto"/>
        <w:ind w:firstLine="480" w:firstLineChars="200"/>
        <w:rPr>
          <w:rFonts w:hint="eastAsia" w:ascii="仿宋" w:hAnsi="仿宋" w:eastAsia="仿宋" w:cs="仿宋"/>
          <w:color w:val="auto"/>
          <w:sz w:val="24"/>
          <w:szCs w:val="24"/>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color w:val="auto"/>
          <w:sz w:val="24"/>
          <w:szCs w:val="24"/>
        </w:rPr>
      </w:pPr>
      <w:bookmarkStart w:id="476" w:name="_Toc351203642"/>
      <w:r>
        <w:rPr>
          <w:rFonts w:hint="eastAsia" w:ascii="仿宋" w:hAnsi="仿宋" w:eastAsia="仿宋" w:cs="仿宋"/>
          <w:color w:val="auto"/>
          <w:sz w:val="24"/>
          <w:szCs w:val="24"/>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296503193"/>
      <w:bookmarkStart w:id="478" w:name="_Toc292559398"/>
      <w:bookmarkStart w:id="479" w:name="_Toc292559903"/>
      <w:bookmarkStart w:id="480" w:name="_Toc297123540"/>
      <w:bookmarkStart w:id="481" w:name="_Toc296944532"/>
      <w:bookmarkStart w:id="482" w:name="_Toc297216199"/>
      <w:bookmarkStart w:id="483" w:name="_Toc300934989"/>
      <w:bookmarkStart w:id="484" w:name="_Toc297120493"/>
      <w:bookmarkStart w:id="485" w:name="_Toc303539146"/>
      <w:bookmarkStart w:id="486" w:name="_Toc304295566"/>
      <w:bookmarkStart w:id="487" w:name="_Toc297048379"/>
      <w:bookmarkStart w:id="488" w:name="_Toc296347192"/>
      <w:bookmarkStart w:id="489" w:name="_Toc296891021"/>
      <w:bookmarkStart w:id="490" w:name="_Toc296891233"/>
      <w:bookmarkStart w:id="491" w:name="_Toc296346694"/>
      <w:bookmarkStart w:id="492" w:name="_Toc312677499"/>
      <w:bookmarkStart w:id="493" w:name="_Toc312678025"/>
      <w:bookmarkStart w:id="494" w:name="_Toc267251440"/>
      <w:bookmarkStart w:id="495" w:name="_Toc267251437"/>
      <w:bookmarkStart w:id="496" w:name="_Toc267251435"/>
      <w:bookmarkStart w:id="497" w:name="_Toc267251441"/>
      <w:bookmarkStart w:id="498" w:name="_Toc267251439"/>
      <w:bookmarkStart w:id="499" w:name="_Toc267251433"/>
      <w:bookmarkStart w:id="500" w:name="_Toc267251442"/>
      <w:r>
        <w:rPr>
          <w:rFonts w:hint="eastAsia" w:ascii="仿宋" w:hAnsi="仿宋" w:eastAsia="仿宋" w:cs="仿宋"/>
          <w:color w:val="auto"/>
          <w:sz w:val="24"/>
          <w:szCs w:val="24"/>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Start w:id="501" w:name="_Toc304295567"/>
      <w:bookmarkStart w:id="502" w:name="_Toc297048380"/>
      <w:bookmarkStart w:id="503" w:name="_Toc292559904"/>
      <w:bookmarkStart w:id="504" w:name="_Toc300934990"/>
      <w:bookmarkStart w:id="505" w:name="_Toc296944533"/>
      <w:bookmarkStart w:id="506" w:name="_Toc292559399"/>
      <w:bookmarkStart w:id="507" w:name="_Toc296891234"/>
      <w:bookmarkStart w:id="508" w:name="_Toc297216200"/>
      <w:bookmarkStart w:id="509" w:name="_Toc296347193"/>
      <w:bookmarkStart w:id="510" w:name="_Toc296346695"/>
      <w:bookmarkStart w:id="511" w:name="_Toc296503194"/>
      <w:bookmarkStart w:id="512" w:name="_Toc312678026"/>
      <w:bookmarkStart w:id="513" w:name="_Toc296891022"/>
      <w:bookmarkStart w:id="514" w:name="_Toc297123541"/>
      <w:bookmarkStart w:id="515" w:name="_Toc297120494"/>
      <w:bookmarkStart w:id="516" w:name="_Toc312677500"/>
      <w:bookmarkStart w:id="517" w:name="_Toc303539147"/>
      <w:r>
        <w:rPr>
          <w:rFonts w:hint="eastAsia" w:ascii="仿宋" w:hAnsi="仿宋" w:eastAsia="仿宋" w:cs="仿宋"/>
          <w:color w:val="auto"/>
          <w:sz w:val="24"/>
          <w:szCs w:val="24"/>
        </w:rPr>
        <w:t>0.1 变更的范围</w:t>
      </w:r>
    </w:p>
    <w:p>
      <w:pPr>
        <w:spacing w:line="360" w:lineRule="auto"/>
        <w:ind w:firstLine="600"/>
        <w:rPr>
          <w:rFonts w:hint="eastAsia" w:ascii="仿宋" w:hAnsi="仿宋" w:eastAsia="仿宋" w:cs="仿宋"/>
          <w:color w:val="auto"/>
          <w:sz w:val="24"/>
          <w:szCs w:val="24"/>
        </w:rPr>
      </w:pPr>
      <w:r>
        <w:rPr>
          <w:rFonts w:hint="eastAsia" w:ascii="仿宋" w:hAnsi="仿宋" w:eastAsia="仿宋" w:cs="仿宋"/>
          <w:color w:val="auto"/>
          <w:sz w:val="24"/>
          <w:szCs w:val="24"/>
        </w:rPr>
        <w:t>关于变更的范围的约定：。</w:t>
      </w:r>
    </w:p>
    <w:p>
      <w:pPr>
        <w:spacing w:line="360" w:lineRule="auto"/>
        <w:ind w:firstLine="6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10.2 变更估价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10.2.1 变更估价原则</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关于变更估价的约定: 。</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2559402"/>
      <w:bookmarkStart w:id="519" w:name="_Toc297120497"/>
      <w:bookmarkStart w:id="520" w:name="_Toc303539150"/>
      <w:bookmarkStart w:id="521" w:name="_Toc300934993"/>
      <w:bookmarkStart w:id="522" w:name="_Toc292559907"/>
      <w:bookmarkStart w:id="523" w:name="_Toc296944536"/>
      <w:bookmarkStart w:id="524" w:name="_Toc296347196"/>
      <w:bookmarkStart w:id="525" w:name="_Toc297216203"/>
      <w:bookmarkStart w:id="526" w:name="_Toc297048383"/>
      <w:bookmarkStart w:id="527" w:name="_Toc296503197"/>
      <w:bookmarkStart w:id="528" w:name="_Toc296891237"/>
      <w:bookmarkStart w:id="529" w:name="_Toc296346698"/>
      <w:bookmarkStart w:id="530" w:name="_Toc296891025"/>
      <w:bookmarkStart w:id="531" w:name="_Toc297123544"/>
      <w:bookmarkStart w:id="532" w:name="_Toc312677503"/>
      <w:bookmarkStart w:id="533" w:name="_Toc304295570"/>
      <w:bookmarkStart w:id="534" w:name="_Toc312678029"/>
      <w:r>
        <w:rPr>
          <w:rFonts w:hint="eastAsia" w:ascii="仿宋" w:hAnsi="仿宋" w:eastAsia="仿宋" w:cs="仿宋"/>
          <w:color w:val="auto"/>
          <w:sz w:val="24"/>
          <w:szCs w:val="24"/>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2559408"/>
      <w:bookmarkStart w:id="536" w:name="_Toc296503203"/>
      <w:bookmarkStart w:id="537" w:name="_Toc297120503"/>
      <w:bookmarkStart w:id="538" w:name="_Toc297216204"/>
      <w:bookmarkStart w:id="539" w:name="_Toc296891031"/>
      <w:bookmarkStart w:id="540" w:name="_Toc300934994"/>
      <w:bookmarkStart w:id="541" w:name="_Toc292559913"/>
      <w:bookmarkStart w:id="542" w:name="_Toc297048389"/>
      <w:bookmarkStart w:id="543" w:name="_Toc296346704"/>
      <w:bookmarkStart w:id="544" w:name="_Toc296347202"/>
      <w:bookmarkStart w:id="545" w:name="_Toc296944542"/>
      <w:bookmarkStart w:id="546" w:name="_Toc296891243"/>
      <w:bookmarkStart w:id="547" w:name="_Toc297123545"/>
      <w:bookmarkStart w:id="548" w:name="_Toc303539151"/>
      <w:r>
        <w:rPr>
          <w:rFonts w:hint="eastAsia" w:ascii="仿宋" w:hAnsi="仿宋" w:eastAsia="仿宋" w:cs="仿宋"/>
          <w:color w:val="auto"/>
          <w:sz w:val="24"/>
          <w:szCs w:val="24"/>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监理人审查承包人合理化建议的期限：。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发包人审批承包人合理化建议的期限：。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w:t>
      </w:r>
      <w:bookmarkStart w:id="549" w:name="_Toc297216205"/>
      <w:bookmarkStart w:id="550" w:name="_Toc304295571"/>
      <w:bookmarkStart w:id="551" w:name="_Toc296891244"/>
      <w:bookmarkStart w:id="552" w:name="_Toc296503204"/>
      <w:bookmarkStart w:id="553" w:name="_Toc297048390"/>
      <w:bookmarkStart w:id="554" w:name="_Toc312677504"/>
      <w:bookmarkStart w:id="555" w:name="_Toc292559409"/>
      <w:bookmarkStart w:id="556" w:name="_Toc296944543"/>
      <w:bookmarkStart w:id="557" w:name="_Toc296346705"/>
      <w:bookmarkStart w:id="558" w:name="_Toc296347203"/>
      <w:bookmarkStart w:id="559" w:name="_Toc296891032"/>
      <w:bookmarkStart w:id="560" w:name="_Toc292559914"/>
      <w:bookmarkStart w:id="561" w:name="_Toc297120504"/>
      <w:bookmarkStart w:id="562" w:name="_Toc318581175"/>
      <w:bookmarkStart w:id="563" w:name="_Toc312678030"/>
      <w:bookmarkStart w:id="564" w:name="_Toc303539152"/>
      <w:bookmarkStart w:id="565" w:name="_Toc297123546"/>
      <w:bookmarkStart w:id="566" w:name="_Toc300934995"/>
      <w:r>
        <w:rPr>
          <w:rFonts w:hint="eastAsia" w:ascii="仿宋" w:hAnsi="仿宋" w:eastAsia="仿宋" w:cs="仿宋"/>
          <w:color w:val="auto"/>
          <w:sz w:val="24"/>
          <w:szCs w:val="24"/>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color w:val="auto"/>
          <w:sz w:val="24"/>
          <w:szCs w:val="24"/>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Start w:id="567" w:name="_Toc296891239"/>
      <w:bookmarkStart w:id="568" w:name="_Toc312678033"/>
      <w:bookmarkStart w:id="569" w:name="_Toc292559404"/>
      <w:bookmarkStart w:id="570" w:name="_Toc296503199"/>
      <w:bookmarkStart w:id="571" w:name="_Toc296346700"/>
      <w:bookmarkStart w:id="572" w:name="_Toc296347198"/>
      <w:bookmarkStart w:id="573" w:name="_Toc297120499"/>
      <w:bookmarkStart w:id="574" w:name="_Toc297216207"/>
      <w:bookmarkStart w:id="575" w:name="_Toc312677507"/>
      <w:bookmarkStart w:id="576" w:name="_Toc300934997"/>
      <w:bookmarkStart w:id="577" w:name="_Toc297048385"/>
      <w:bookmarkStart w:id="578" w:name="_Toc303539154"/>
      <w:bookmarkStart w:id="579" w:name="_Toc304295574"/>
      <w:bookmarkStart w:id="580" w:name="_Toc296944538"/>
      <w:bookmarkStart w:id="581" w:name="_Toc292559909"/>
      <w:bookmarkStart w:id="582" w:name="_Toc297123548"/>
      <w:bookmarkStart w:id="583" w:name="_Toc296891027"/>
      <w:r>
        <w:rPr>
          <w:rFonts w:hint="eastAsia" w:ascii="仿宋" w:hAnsi="仿宋" w:eastAsia="仿宋" w:cs="仿宋"/>
          <w:color w:val="auto"/>
          <w:sz w:val="24"/>
          <w:szCs w:val="24"/>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Start w:id="584" w:name="_Toc312678035"/>
      <w:bookmarkStart w:id="585" w:name="_Toc312677509"/>
      <w:bookmarkStart w:id="586" w:name="_Toc318581177"/>
      <w:r>
        <w:rPr>
          <w:rFonts w:hint="eastAsia" w:ascii="仿宋" w:hAnsi="仿宋" w:eastAsia="仿宋" w:cs="仿宋"/>
          <w:color w:val="auto"/>
          <w:sz w:val="24"/>
          <w:szCs w:val="24"/>
        </w:rPr>
        <w:t>0.4.1 依法必须招标的暂估价项目</w:t>
      </w:r>
    </w:p>
    <w:bookmarkEnd w:id="584"/>
    <w:bookmarkEnd w:id="585"/>
    <w:bookmarkEnd w:id="586"/>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对于依法必须招标的暂估价项目的确认和批准采取第种方式确定。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10.4.2 不属于依法必须招标的暂估价项目</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对于不属于依法必须招标的暂估价项目的确认和批准采取第X种方式确定。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第3种方式：承包人直接实施的暂估价项目</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承包人直接实施的暂估价项目的约定：。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10.5 暂列金额</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587" w:name="_Toc351203643"/>
      <w:r>
        <w:rPr>
          <w:rFonts w:hint="eastAsia" w:ascii="仿宋" w:hAnsi="仿宋" w:eastAsia="仿宋" w:cs="仿宋"/>
          <w:color w:val="auto"/>
          <w:sz w:val="24"/>
          <w:szCs w:val="24"/>
        </w:rPr>
        <w:t>11. 价格调整</w:t>
      </w:r>
      <w:bookmarkEnd w:id="587"/>
    </w:p>
    <w:p>
      <w:pPr>
        <w:spacing w:after="120" w:line="360" w:lineRule="auto"/>
        <w:ind w:firstLine="480" w:firstLineChars="200"/>
        <w:rPr>
          <w:rFonts w:hint="eastAsia" w:ascii="仿宋" w:hAnsi="仿宋" w:eastAsia="仿宋" w:cs="仿宋"/>
          <w:color w:val="auto"/>
          <w:sz w:val="24"/>
          <w:szCs w:val="24"/>
        </w:rPr>
      </w:pPr>
      <w:bookmarkStart w:id="588" w:name="_Toc297216209"/>
      <w:bookmarkStart w:id="589" w:name="_Toc303539157"/>
      <w:bookmarkStart w:id="590" w:name="_Toc296347200"/>
      <w:bookmarkStart w:id="591" w:name="_Toc296891241"/>
      <w:bookmarkStart w:id="592" w:name="_Toc296503201"/>
      <w:bookmarkStart w:id="593" w:name="_Toc296944540"/>
      <w:bookmarkStart w:id="594" w:name="_Toc292559911"/>
      <w:bookmarkStart w:id="595" w:name="_Toc292559406"/>
      <w:bookmarkStart w:id="596" w:name="_Toc297123550"/>
      <w:bookmarkStart w:id="597" w:name="_Toc297120501"/>
      <w:bookmarkStart w:id="598" w:name="_Toc296891029"/>
      <w:bookmarkStart w:id="599" w:name="_Toc297048387"/>
      <w:bookmarkStart w:id="600" w:name="_Toc304295577"/>
      <w:bookmarkStart w:id="601" w:name="_Toc312678039"/>
      <w:bookmarkStart w:id="602" w:name="_Toc296346702"/>
      <w:bookmarkStart w:id="603" w:name="_Toc300935000"/>
      <w:r>
        <w:rPr>
          <w:rFonts w:hint="eastAsia" w:ascii="仿宋" w:hAnsi="仿宋" w:eastAsia="仿宋" w:cs="仿宋"/>
          <w:color w:val="auto"/>
          <w:sz w:val="24"/>
          <w:szCs w:val="24"/>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市场价格波动是否调整合同价格的约定：</w:t>
      </w:r>
      <w:r>
        <w:rPr>
          <w:rFonts w:hint="eastAsia" w:ascii="仿宋" w:hAnsi="仿宋" w:eastAsia="仿宋" w:cs="仿宋"/>
          <w:color w:val="auto"/>
          <w:sz w:val="24"/>
          <w:szCs w:val="24"/>
          <w:u w:val="single"/>
        </w:rPr>
        <w:t>不调整</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因市场价格波动调整合同价格，采用以下第X种方式对合同价格进行调整：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第1种方式：采用价格指数进行价格调整。</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关于各可调因子、定值和变值权重，以及基本价格指数及其来源的约定：；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第2种方式：采用造价信息进行价格调整。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（2）关于基准价格的约定：。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color w:val="auto"/>
          <w:sz w:val="24"/>
          <w:szCs w:val="24"/>
        </w:rPr>
      </w:pPr>
      <w:r>
        <w:rPr>
          <w:rFonts w:hint="eastAsia" w:ascii="仿宋" w:hAnsi="仿宋" w:eastAsia="仿宋" w:cs="仿宋"/>
          <w:color w:val="auto"/>
          <w:sz w:val="24"/>
          <w:szCs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color w:val="auto"/>
          <w:sz w:val="24"/>
          <w:szCs w:val="24"/>
        </w:rPr>
      </w:pPr>
      <w:r>
        <w:rPr>
          <w:rFonts w:hint="eastAsia" w:ascii="仿宋" w:hAnsi="仿宋" w:eastAsia="仿宋" w:cs="仿宋"/>
          <w:color w:val="auto"/>
          <w:sz w:val="24"/>
          <w:szCs w:val="24"/>
        </w:rPr>
        <w:t>第3种方式：其他价格调整方式：。</w:t>
      </w:r>
    </w:p>
    <w:p>
      <w:pPr>
        <w:spacing w:line="360" w:lineRule="auto"/>
        <w:ind w:firstLine="645"/>
        <w:rPr>
          <w:rFonts w:hint="eastAsia" w:ascii="仿宋" w:hAnsi="仿宋" w:eastAsia="仿宋" w:cs="仿宋"/>
          <w:color w:val="auto"/>
          <w:sz w:val="24"/>
          <w:szCs w:val="24"/>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color w:val="auto"/>
          <w:sz w:val="24"/>
          <w:szCs w:val="24"/>
        </w:rPr>
      </w:pPr>
      <w:bookmarkStart w:id="604" w:name="_Toc292559410"/>
      <w:bookmarkStart w:id="605" w:name="_Toc296891245"/>
      <w:bookmarkStart w:id="606" w:name="_Toc292559915"/>
      <w:bookmarkStart w:id="607" w:name="_Toc296346706"/>
      <w:bookmarkStart w:id="608" w:name="_Toc296944544"/>
      <w:bookmarkStart w:id="609" w:name="_Toc296891033"/>
      <w:bookmarkStart w:id="610" w:name="_Toc297120505"/>
      <w:bookmarkStart w:id="611" w:name="_Toc297048391"/>
      <w:bookmarkStart w:id="612" w:name="_Toc296503205"/>
      <w:bookmarkStart w:id="613" w:name="_Toc296347204"/>
      <w:bookmarkStart w:id="614" w:name="_Toc351203644"/>
      <w:bookmarkStart w:id="615" w:name="_Toc303539159"/>
      <w:bookmarkStart w:id="616" w:name="_Toc297216211"/>
      <w:bookmarkStart w:id="617" w:name="_Toc312678040"/>
      <w:bookmarkStart w:id="618" w:name="_Toc304295579"/>
      <w:bookmarkStart w:id="619" w:name="_Toc300935002"/>
      <w:bookmarkStart w:id="620" w:name="_Toc297123552"/>
      <w:r>
        <w:rPr>
          <w:rFonts w:hint="eastAsia" w:ascii="仿宋" w:hAnsi="仿宋" w:eastAsia="仿宋" w:cs="仿宋"/>
          <w:color w:val="auto"/>
          <w:sz w:val="24"/>
          <w:szCs w:val="24"/>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color w:val="auto"/>
          <w:sz w:val="24"/>
          <w:szCs w:val="24"/>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color w:val="auto"/>
          <w:sz w:val="24"/>
          <w:szCs w:val="24"/>
        </w:rPr>
      </w:pPr>
      <w:bookmarkStart w:id="621" w:name="_Toc292559916"/>
      <w:bookmarkStart w:id="622" w:name="_Toc292559411"/>
      <w:bookmarkStart w:id="623" w:name="_Toc267251461"/>
      <w:bookmarkStart w:id="624" w:name="_Toc296346707"/>
      <w:bookmarkStart w:id="625" w:name="_Toc297048392"/>
      <w:bookmarkStart w:id="626" w:name="_Toc297120506"/>
      <w:bookmarkStart w:id="627" w:name="_Toc296944545"/>
      <w:bookmarkStart w:id="628" w:name="_Toc296347205"/>
      <w:bookmarkStart w:id="629" w:name="_Toc296503206"/>
      <w:bookmarkStart w:id="630" w:name="_Toc296891246"/>
      <w:bookmarkStart w:id="631" w:name="_Toc296891034"/>
      <w:bookmarkStart w:id="632" w:name="_Toc300935003"/>
      <w:bookmarkStart w:id="633" w:name="_Toc312678041"/>
      <w:bookmarkStart w:id="634" w:name="_Toc297123553"/>
      <w:bookmarkStart w:id="635" w:name="_Toc303539160"/>
      <w:bookmarkStart w:id="636" w:name="_Toc297216212"/>
      <w:bookmarkStart w:id="637" w:name="_Toc304295580"/>
      <w:bookmarkStart w:id="638" w:name="_Toc297123554"/>
      <w:bookmarkStart w:id="639" w:name="_Toc300935004"/>
      <w:bookmarkStart w:id="640" w:name="_Toc312678042"/>
      <w:bookmarkStart w:id="641" w:name="_Toc304295581"/>
      <w:bookmarkStart w:id="642" w:name="_Toc297216213"/>
      <w:bookmarkStart w:id="643" w:name="_Toc303539161"/>
      <w:bookmarkStart w:id="644" w:name="_Toc296346708"/>
      <w:bookmarkStart w:id="645" w:name="_Toc292559412"/>
      <w:bookmarkStart w:id="646" w:name="_Toc296503207"/>
      <w:bookmarkStart w:id="647" w:name="_Toc297048393"/>
      <w:bookmarkStart w:id="648" w:name="_Toc292559917"/>
      <w:bookmarkStart w:id="649" w:name="_Toc296347206"/>
      <w:bookmarkStart w:id="650" w:name="_Toc296891035"/>
      <w:bookmarkStart w:id="651" w:name="_Toc296891247"/>
      <w:bookmarkStart w:id="652" w:name="_Toc297120507"/>
      <w:bookmarkStart w:id="653" w:name="_Toc296944546"/>
      <w:r>
        <w:rPr>
          <w:rFonts w:hint="eastAsia" w:ascii="仿宋" w:hAnsi="仿宋" w:eastAsia="仿宋" w:cs="仿宋"/>
          <w:color w:val="auto"/>
          <w:sz w:val="24"/>
          <w:szCs w:val="24"/>
        </w:rPr>
        <w:t>12.1 合</w:t>
      </w:r>
      <w:bookmarkEnd w:id="621"/>
      <w:bookmarkEnd w:id="622"/>
      <w:bookmarkEnd w:id="623"/>
      <w:r>
        <w:rPr>
          <w:rFonts w:hint="eastAsia" w:ascii="仿宋" w:hAnsi="仿宋" w:eastAsia="仿宋" w:cs="仿宋"/>
          <w:color w:val="auto"/>
          <w:sz w:val="24"/>
          <w:szCs w:val="24"/>
        </w:rPr>
        <w:t>同价</w:t>
      </w:r>
      <w:bookmarkEnd w:id="624"/>
      <w:bookmarkEnd w:id="625"/>
      <w:bookmarkEnd w:id="626"/>
      <w:bookmarkEnd w:id="627"/>
      <w:bookmarkEnd w:id="628"/>
      <w:bookmarkEnd w:id="629"/>
      <w:bookmarkEnd w:id="630"/>
      <w:bookmarkEnd w:id="631"/>
      <w:r>
        <w:rPr>
          <w:rFonts w:hint="eastAsia" w:ascii="仿宋" w:hAnsi="仿宋" w:eastAsia="仿宋" w:cs="仿宋"/>
          <w:color w:val="auto"/>
          <w:sz w:val="24"/>
          <w:szCs w:val="24"/>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12.1.1 单价合同。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综合单价包含的风险范围：。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风险费用的计算方法：</w:t>
      </w:r>
      <w:r>
        <w:rPr>
          <w:rFonts w:hint="eastAsia" w:ascii="仿宋" w:hAnsi="仿宋" w:eastAsia="仿宋" w:cs="仿宋"/>
          <w:color w:val="auto"/>
          <w:sz w:val="24"/>
          <w:szCs w:val="24"/>
          <w:u w:val="single"/>
        </w:rPr>
        <w:t xml:space="preserve">    /   </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风险范围以外合同价格的调整方法：。</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12.1.2 总价合同。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总价包含的风险范围：。</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风险费用的计算方法：。</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风险范围以外合同价格的调整方法：。</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12.1.3 其他价格方式：。</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12.2.1 预付款的支付</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预付款支付比例或金额（比例20%-40%）：。</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预付款支付期限：。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预付款扣回的方式：。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12.2.2 预付款担保</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承包人提交预付款担保的期限：。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预付款担保的形式为：。</w:t>
      </w:r>
    </w:p>
    <w:p>
      <w:pPr>
        <w:spacing w:line="360" w:lineRule="auto"/>
        <w:ind w:firstLine="480" w:firstLineChars="200"/>
        <w:rPr>
          <w:rFonts w:hint="eastAsia" w:ascii="仿宋" w:hAnsi="仿宋" w:eastAsia="仿宋" w:cs="仿宋"/>
          <w:color w:val="auto"/>
          <w:sz w:val="24"/>
          <w:szCs w:val="24"/>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 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12.3.1 计量原则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工程量计算规则：。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12.3.1.1总价措施项目的计量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安全文明施工费的计量、支付与结算按川建发〔2017〕5号执行。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12.3.1.2规费的计量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按建设行政主管部门核定的承包人规费费率计量和结算。</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12.3.1.3税金</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税金按国家或省级、行业建设主管部门的规定计取。</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12.3.2 计量周期</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关于计量周期的约定：。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12.3.3 单价合同的计量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关于单价合同计量的约定：。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12.3.4 总价合同的计量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关于总价合同计量的约定：。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12.3.6 其他价格形式合同的计量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其他价格形式的计量方式和程序：。</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12.4 工程进度款支付</w:t>
      </w:r>
    </w:p>
    <w:p>
      <w:pPr>
        <w:spacing w:line="360" w:lineRule="auto"/>
        <w:ind w:firstLine="480" w:firstLineChars="200"/>
        <w:rPr>
          <w:rFonts w:hint="eastAsia" w:ascii="仿宋" w:hAnsi="仿宋" w:eastAsia="仿宋" w:cs="仿宋"/>
          <w:color w:val="auto"/>
          <w:sz w:val="24"/>
          <w:szCs w:val="24"/>
        </w:rPr>
      </w:pPr>
      <w:bookmarkStart w:id="654" w:name="_Toc292559921"/>
      <w:bookmarkStart w:id="655" w:name="_Toc303539163"/>
      <w:bookmarkStart w:id="656" w:name="_Toc297120511"/>
      <w:bookmarkStart w:id="657" w:name="_Toc297048397"/>
      <w:bookmarkStart w:id="658" w:name="_Toc297216215"/>
      <w:bookmarkStart w:id="659" w:name="_Toc300935006"/>
      <w:bookmarkStart w:id="660" w:name="_Toc292559416"/>
      <w:bookmarkStart w:id="661" w:name="_Toc296346712"/>
      <w:bookmarkStart w:id="662" w:name="_Toc296347210"/>
      <w:bookmarkStart w:id="663" w:name="_Toc297123556"/>
      <w:bookmarkStart w:id="664" w:name="_Toc296891251"/>
      <w:bookmarkStart w:id="665" w:name="_Toc296944550"/>
      <w:bookmarkStart w:id="666" w:name="_Toc296503211"/>
      <w:bookmarkStart w:id="667" w:name="_Toc296891039"/>
      <w:r>
        <w:rPr>
          <w:rFonts w:hint="eastAsia" w:ascii="仿宋" w:hAnsi="仿宋" w:eastAsia="仿宋" w:cs="仿宋"/>
          <w:color w:val="auto"/>
          <w:sz w:val="24"/>
          <w:szCs w:val="24"/>
        </w:rPr>
        <w:t>12.4.1 付款周期</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关于付款周期的约定：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12.4.2 进度付款申请单的编制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关于进度付款申请单编制的约定：。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color w:val="auto"/>
          <w:sz w:val="24"/>
          <w:szCs w:val="24"/>
        </w:rPr>
        <w:t>2.4.3 进度付款申请单的提交</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（1）单价合同进度付款申请单提交的约定：。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（2）总价合同进度付款申请单提交的约定：。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（3）其他价格形式合同进度付款申请单提交的约定：。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12.4.4 进度款审核和支付</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（1）监理人审查并报送发包人的期限：。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发包人完成审批并签发进度款支付证书的期限：。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（2）发包人支付进度款的期限：。</w:t>
      </w:r>
    </w:p>
    <w:p>
      <w:pPr>
        <w:spacing w:line="360" w:lineRule="auto"/>
        <w:ind w:firstLine="600" w:firstLineChars="250"/>
        <w:rPr>
          <w:rFonts w:hint="eastAsia" w:ascii="仿宋" w:hAnsi="仿宋" w:eastAsia="仿宋" w:cs="仿宋"/>
          <w:color w:val="auto"/>
          <w:sz w:val="24"/>
          <w:szCs w:val="24"/>
        </w:rPr>
      </w:pPr>
      <w:r>
        <w:rPr>
          <w:rFonts w:hint="eastAsia" w:ascii="仿宋" w:hAnsi="仿宋" w:eastAsia="仿宋" w:cs="仿宋"/>
          <w:color w:val="auto"/>
          <w:sz w:val="24"/>
          <w:szCs w:val="24"/>
        </w:rPr>
        <w:t>发包人逾期支付进度款的违约金的计算方式：。</w:t>
      </w:r>
    </w:p>
    <w:p>
      <w:pPr>
        <w:spacing w:line="360" w:lineRule="auto"/>
        <w:ind w:firstLine="600" w:firstLineChars="250"/>
        <w:rPr>
          <w:rFonts w:hint="eastAsia" w:ascii="仿宋" w:hAnsi="仿宋" w:eastAsia="仿宋" w:cs="仿宋"/>
          <w:color w:val="auto"/>
          <w:sz w:val="24"/>
          <w:szCs w:val="24"/>
        </w:rPr>
      </w:pPr>
      <w:r>
        <w:rPr>
          <w:rFonts w:hint="eastAsia" w:ascii="仿宋" w:hAnsi="仿宋" w:eastAsia="仿宋" w:cs="仿宋"/>
          <w:color w:val="auto"/>
          <w:sz w:val="24"/>
          <w:szCs w:val="24"/>
        </w:rPr>
        <w:t>12.4.5 支付分解表的编制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（1）总价合同支付分解表的编制与审批：。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（2）单价合同的总价项目支付分解表的编制与审批：。</w:t>
      </w:r>
    </w:p>
    <w:p>
      <w:pPr>
        <w:spacing w:line="360" w:lineRule="auto"/>
        <w:ind w:firstLine="480" w:firstLineChars="200"/>
        <w:rPr>
          <w:rFonts w:hint="eastAsia" w:ascii="仿宋" w:hAnsi="仿宋" w:eastAsia="仿宋" w:cs="仿宋"/>
          <w:color w:val="auto"/>
          <w:sz w:val="24"/>
          <w:szCs w:val="24"/>
        </w:rPr>
      </w:pPr>
    </w:p>
    <w:bookmarkEnd w:id="500"/>
    <w:p>
      <w:pPr>
        <w:keepNext/>
        <w:keepLines/>
        <w:spacing w:before="120" w:after="120" w:line="360" w:lineRule="auto"/>
        <w:rPr>
          <w:rFonts w:hint="eastAsia" w:ascii="仿宋" w:hAnsi="仿宋" w:eastAsia="仿宋" w:cs="仿宋"/>
          <w:color w:val="auto"/>
          <w:sz w:val="24"/>
          <w:szCs w:val="24"/>
        </w:rPr>
      </w:pPr>
      <w:bookmarkStart w:id="668" w:name="_Toc351203645"/>
      <w:bookmarkStart w:id="669" w:name="_Toc296347218"/>
      <w:bookmarkStart w:id="670" w:name="_Toc297048405"/>
      <w:bookmarkStart w:id="671" w:name="_Toc292559929"/>
      <w:bookmarkStart w:id="672" w:name="_Toc300935015"/>
      <w:bookmarkStart w:id="673" w:name="_Toc296891259"/>
      <w:bookmarkStart w:id="674" w:name="_Toc297120519"/>
      <w:bookmarkStart w:id="675" w:name="_Toc297123564"/>
      <w:bookmarkStart w:id="676" w:name="_Toc304295593"/>
      <w:bookmarkStart w:id="677" w:name="_Toc312678053"/>
      <w:bookmarkStart w:id="678" w:name="_Toc292559424"/>
      <w:bookmarkStart w:id="679" w:name="_Toc296891047"/>
      <w:bookmarkStart w:id="680" w:name="_Toc296944558"/>
      <w:bookmarkStart w:id="681" w:name="_Toc296346720"/>
      <w:bookmarkStart w:id="682" w:name="_Toc296503219"/>
      <w:bookmarkStart w:id="683" w:name="_Toc297216223"/>
      <w:bookmarkStart w:id="684" w:name="_Toc303539172"/>
      <w:r>
        <w:rPr>
          <w:rFonts w:hint="eastAsia" w:ascii="仿宋" w:hAnsi="仿宋" w:eastAsia="仿宋" w:cs="仿宋"/>
          <w:color w:val="auto"/>
          <w:sz w:val="24"/>
          <w:szCs w:val="24"/>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13.1 分部分项工程验收</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13.1.1监理人不能按时进行验收时，应提前X小时提交书面延期要求。</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关于延期最长不得超过：X小时。</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bookmarkStart w:id="685" w:name="_Toc292559428"/>
      <w:bookmarkStart w:id="686" w:name="_Toc296346724"/>
      <w:bookmarkStart w:id="687" w:name="_Toc304295596"/>
      <w:bookmarkStart w:id="688" w:name="_Toc297216224"/>
      <w:bookmarkStart w:id="689" w:name="_Toc296891263"/>
      <w:bookmarkStart w:id="690" w:name="_Toc296347222"/>
      <w:bookmarkStart w:id="691" w:name="_Toc292559933"/>
      <w:bookmarkStart w:id="692" w:name="_Toc296944562"/>
      <w:bookmarkStart w:id="693" w:name="_Toc296503223"/>
      <w:bookmarkStart w:id="694" w:name="_Toc300935016"/>
      <w:bookmarkStart w:id="695" w:name="_Toc297048409"/>
      <w:bookmarkStart w:id="696" w:name="_Toc296891051"/>
      <w:bookmarkStart w:id="697" w:name="_Toc303539173"/>
      <w:bookmarkStart w:id="698" w:name="_Toc297123565"/>
      <w:bookmarkStart w:id="699" w:name="_Toc297120523"/>
      <w:bookmarkStart w:id="700" w:name="_Toc312678056"/>
      <w:bookmarkStart w:id="701" w:name="_Toc267251476"/>
      <w:bookmarkStart w:id="702" w:name="_Toc267251473"/>
      <w:bookmarkStart w:id="703" w:name="_Toc267251470"/>
      <w:bookmarkStart w:id="704" w:name="_Toc267251475"/>
      <w:bookmarkStart w:id="705" w:name="_Toc267251474"/>
      <w:bookmarkStart w:id="706" w:name="_Toc267251471"/>
      <w:bookmarkStart w:id="707" w:name="_Toc267251472"/>
      <w:r>
        <w:rPr>
          <w:rFonts w:hint="eastAsia" w:ascii="仿宋" w:hAnsi="仿宋" w:eastAsia="仿宋" w:cs="仿宋"/>
          <w:color w:val="auto"/>
          <w:sz w:val="24"/>
          <w:szCs w:val="24"/>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color w:val="auto"/>
          <w:sz w:val="24"/>
          <w:szCs w:val="24"/>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color w:val="auto"/>
          <w:sz w:val="24"/>
          <w:szCs w:val="24"/>
        </w:rPr>
        <w:t>13.2.1 竣工验收程序</w:t>
      </w:r>
    </w:p>
    <w:bookmarkEnd w:id="708"/>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关于竣工验收程序的约定：。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13.2.2 移交、接收全部与部分工程</w:t>
      </w:r>
    </w:p>
    <w:bookmarkEnd w:id="710"/>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承包人向发包人移交工程的期限：。</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承包人未按时移交工程的，违约金的计算方法为：。</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13.3 工程试车</w:t>
      </w:r>
    </w:p>
    <w:bookmarkEnd w:id="712"/>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13.3.1 试车程序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工程试车内容：。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（1）单机无负荷试车费用由承担；</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（2）无负荷联动试车费用由承担。</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13.3.2 投料试车</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关于投料试车相关事项的约定：。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13.4 竣工退场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13.4.1 竣工退场</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承包人完成竣工退场的期限：。</w:t>
      </w:r>
    </w:p>
    <w:p>
      <w:pPr>
        <w:spacing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714" w:name="_Toc351203646"/>
      <w:r>
        <w:rPr>
          <w:rFonts w:hint="eastAsia" w:ascii="仿宋" w:hAnsi="仿宋" w:eastAsia="仿宋" w:cs="仿宋"/>
          <w:color w:val="auto"/>
          <w:sz w:val="24"/>
          <w:szCs w:val="24"/>
        </w:rPr>
        <w:t>14. 竣工结算</w:t>
      </w:r>
      <w:bookmarkEnd w:id="714"/>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14.1 竣工结算申请</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承包人提交竣工结算申请单的期限：。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竣工结算申请单应包括的内容：。</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14.2 竣工结算审核</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发包人审批竣工付款申请单的期限：。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发包人完成竣工付款的期限：。</w:t>
      </w:r>
    </w:p>
    <w:p>
      <w:pPr>
        <w:tabs>
          <w:tab w:val="left" w:pos="7797"/>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关于竣工付款证书异议部分复核的方式和程序：。</w:t>
      </w:r>
    </w:p>
    <w:p>
      <w:pPr>
        <w:tabs>
          <w:tab w:val="left" w:pos="7797"/>
        </w:tabs>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14.3 最终结清</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14.3.1 最终结清申请单</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承包人提交最终结清申请单的份数：。</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承包人提交最终结算申请单的期限：。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14.3.2 最终结清证书和支付</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（1）发包人完成最终结清申请单的审批并颁发最终结清证书的期限：。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（2）发包人完成支付的期限：。</w:t>
      </w:r>
    </w:p>
    <w:p>
      <w:pPr>
        <w:spacing w:line="360" w:lineRule="auto"/>
        <w:ind w:firstLine="480" w:firstLineChars="200"/>
        <w:rPr>
          <w:rFonts w:hint="eastAsia" w:ascii="仿宋" w:hAnsi="仿宋" w:eastAsia="仿宋" w:cs="仿宋"/>
          <w:color w:val="auto"/>
          <w:sz w:val="24"/>
          <w:szCs w:val="24"/>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color w:val="auto"/>
          <w:sz w:val="24"/>
          <w:szCs w:val="24"/>
        </w:rPr>
      </w:pPr>
      <w:bookmarkStart w:id="715" w:name="_Toc351203647"/>
      <w:bookmarkStart w:id="716" w:name="_Toc267251483"/>
      <w:bookmarkStart w:id="717" w:name="_Toc267251482"/>
      <w:bookmarkStart w:id="718" w:name="_Toc267251484"/>
      <w:bookmarkStart w:id="719" w:name="_Toc267251485"/>
      <w:bookmarkStart w:id="720" w:name="_Toc267251490"/>
      <w:bookmarkStart w:id="721" w:name="_Toc267251488"/>
      <w:bookmarkStart w:id="722" w:name="_Toc267251489"/>
      <w:bookmarkStart w:id="723" w:name="_Toc267251486"/>
      <w:bookmarkStart w:id="724" w:name="_Toc267251503"/>
      <w:bookmarkStart w:id="725" w:name="_Toc267251491"/>
      <w:bookmarkStart w:id="726" w:name="_Toc267251502"/>
      <w:bookmarkStart w:id="727" w:name="_Toc267251496"/>
      <w:bookmarkStart w:id="728" w:name="_Toc267251492"/>
      <w:bookmarkStart w:id="729" w:name="_Toc267251495"/>
      <w:bookmarkStart w:id="730" w:name="_Toc267251493"/>
      <w:bookmarkStart w:id="731" w:name="_Toc267251494"/>
      <w:bookmarkStart w:id="732" w:name="_Toc267251498"/>
      <w:bookmarkStart w:id="733" w:name="_Toc267251501"/>
      <w:bookmarkStart w:id="734" w:name="_Toc267251497"/>
      <w:bookmarkStart w:id="735" w:name="_Toc267251499"/>
      <w:bookmarkStart w:id="736" w:name="_Toc267251504"/>
      <w:bookmarkStart w:id="737" w:name="_Toc267251506"/>
      <w:bookmarkStart w:id="738" w:name="_Toc267251507"/>
      <w:bookmarkStart w:id="739" w:name="_Toc267251508"/>
      <w:bookmarkStart w:id="740" w:name="_Toc267251514"/>
      <w:bookmarkStart w:id="741" w:name="_Toc267251511"/>
      <w:bookmarkStart w:id="742" w:name="_Toc267251513"/>
      <w:bookmarkStart w:id="743" w:name="_Toc267251510"/>
      <w:bookmarkStart w:id="744" w:name="_Toc267251509"/>
      <w:bookmarkStart w:id="745" w:name="_Toc267251515"/>
      <w:r>
        <w:rPr>
          <w:rFonts w:hint="eastAsia" w:ascii="仿宋" w:hAnsi="仿宋" w:eastAsia="仿宋" w:cs="仿宋"/>
          <w:color w:val="auto"/>
          <w:sz w:val="24"/>
          <w:szCs w:val="24"/>
        </w:rPr>
        <w:t>15. 缺陷责任期与保修</w:t>
      </w:r>
      <w:bookmarkEnd w:id="715"/>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15.1 缺陷责任期</w:t>
      </w:r>
      <w:bookmarkEnd w:id="716"/>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缺陷责任期的具体期限：。</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15.2 质量保证金</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15.2.1 承包人提供质量保证金的方式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质量保证金采用以下第种方式：</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（1）质量保证金保函，保证金额为：；</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（2）%的工程款；</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（3）其他方式:。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15.2.2 质量保证金的扣留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质量保证金的扣留采取以下第</w:t>
      </w:r>
      <w:r>
        <w:rPr>
          <w:rFonts w:hint="eastAsia" w:ascii="仿宋" w:hAnsi="仿宋" w:eastAsia="仿宋" w:cs="仿宋"/>
          <w:color w:val="auto"/>
          <w:sz w:val="24"/>
          <w:szCs w:val="24"/>
          <w:u w:val="single"/>
        </w:rPr>
        <w:t>（2）</w:t>
      </w:r>
      <w:r>
        <w:rPr>
          <w:rFonts w:hint="eastAsia" w:ascii="仿宋" w:hAnsi="仿宋" w:eastAsia="仿宋" w:cs="仿宋"/>
          <w:color w:val="auto"/>
          <w:sz w:val="24"/>
          <w:szCs w:val="24"/>
        </w:rPr>
        <w:t>种方式：</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（3）其他扣留方式:。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关于质量保证金的补充约定：。</w:t>
      </w:r>
    </w:p>
    <w:p>
      <w:pPr>
        <w:spacing w:line="360" w:lineRule="auto"/>
        <w:ind w:firstLine="480" w:firstLineChars="200"/>
        <w:rPr>
          <w:rFonts w:hint="eastAsia" w:ascii="仿宋" w:hAnsi="仿宋" w:eastAsia="仿宋" w:cs="仿宋"/>
          <w:color w:val="auto"/>
          <w:sz w:val="24"/>
          <w:szCs w:val="24"/>
        </w:rPr>
      </w:pPr>
    </w:p>
    <w:bookmarkEnd w:id="717"/>
    <w:bookmarkEnd w:id="718"/>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 保修</w:t>
      </w:r>
    </w:p>
    <w:bookmarkEnd w:id="719"/>
    <w:p>
      <w:pPr>
        <w:spacing w:line="360" w:lineRule="auto"/>
        <w:ind w:firstLine="468" w:firstLineChars="195"/>
        <w:rPr>
          <w:rFonts w:hint="eastAsia" w:ascii="仿宋" w:hAnsi="仿宋" w:eastAsia="仿宋" w:cs="仿宋"/>
          <w:color w:val="auto"/>
          <w:sz w:val="24"/>
          <w:szCs w:val="24"/>
        </w:rPr>
      </w:pPr>
      <w:r>
        <w:rPr>
          <w:rFonts w:hint="eastAsia" w:ascii="仿宋" w:hAnsi="仿宋" w:eastAsia="仿宋" w:cs="仿宋"/>
          <w:color w:val="auto"/>
          <w:sz w:val="24"/>
          <w:szCs w:val="24"/>
        </w:rPr>
        <w:t>15.3.1 保修责任</w:t>
      </w:r>
    </w:p>
    <w:p>
      <w:pPr>
        <w:spacing w:line="360" w:lineRule="auto"/>
        <w:ind w:firstLine="468" w:firstLineChars="195"/>
        <w:rPr>
          <w:rFonts w:hint="eastAsia" w:ascii="仿宋" w:hAnsi="仿宋" w:eastAsia="仿宋" w:cs="仿宋"/>
          <w:color w:val="auto"/>
          <w:sz w:val="24"/>
          <w:szCs w:val="24"/>
        </w:rPr>
      </w:pPr>
      <w:r>
        <w:rPr>
          <w:rFonts w:hint="eastAsia" w:ascii="仿宋" w:hAnsi="仿宋" w:eastAsia="仿宋" w:cs="仿宋"/>
          <w:color w:val="auto"/>
          <w:sz w:val="24"/>
          <w:szCs w:val="24"/>
        </w:rPr>
        <w:t>工程保修期为：。</w:t>
      </w:r>
    </w:p>
    <w:p>
      <w:pPr>
        <w:spacing w:line="360" w:lineRule="auto"/>
        <w:ind w:firstLine="468" w:firstLineChars="195"/>
        <w:rPr>
          <w:rFonts w:hint="eastAsia" w:ascii="仿宋" w:hAnsi="仿宋" w:eastAsia="仿宋" w:cs="仿宋"/>
          <w:color w:val="auto"/>
          <w:sz w:val="24"/>
          <w:szCs w:val="24"/>
        </w:rPr>
      </w:pPr>
      <w:r>
        <w:rPr>
          <w:rFonts w:hint="eastAsia" w:ascii="仿宋" w:hAnsi="仿宋" w:eastAsia="仿宋" w:cs="仿宋"/>
          <w:color w:val="auto"/>
          <w:sz w:val="24"/>
          <w:szCs w:val="24"/>
        </w:rPr>
        <w:t>15.3.2 修复通知</w:t>
      </w:r>
    </w:p>
    <w:p>
      <w:pPr>
        <w:spacing w:line="360" w:lineRule="auto"/>
        <w:ind w:firstLine="468" w:firstLineChars="195"/>
        <w:rPr>
          <w:rFonts w:hint="eastAsia" w:ascii="仿宋" w:hAnsi="仿宋" w:eastAsia="仿宋" w:cs="仿宋"/>
          <w:color w:val="auto"/>
          <w:sz w:val="24"/>
          <w:szCs w:val="24"/>
        </w:rPr>
      </w:pPr>
      <w:r>
        <w:rPr>
          <w:rFonts w:hint="eastAsia" w:ascii="仿宋" w:hAnsi="仿宋" w:eastAsia="仿宋" w:cs="仿宋"/>
          <w:color w:val="auto"/>
          <w:sz w:val="24"/>
          <w:szCs w:val="24"/>
        </w:rPr>
        <w:t>承包人收到保修通知并到达工程现场的合理时间：。</w:t>
      </w:r>
    </w:p>
    <w:p>
      <w:pPr>
        <w:spacing w:line="360" w:lineRule="auto"/>
        <w:ind w:firstLine="468" w:firstLineChars="195"/>
        <w:rPr>
          <w:rFonts w:hint="eastAsia" w:ascii="仿宋" w:hAnsi="仿宋" w:eastAsia="仿宋" w:cs="仿宋"/>
          <w:color w:val="auto"/>
          <w:sz w:val="24"/>
          <w:szCs w:val="24"/>
        </w:rPr>
      </w:pPr>
    </w:p>
    <w:bookmarkEnd w:id="720"/>
    <w:bookmarkEnd w:id="721"/>
    <w:bookmarkEnd w:id="722"/>
    <w:bookmarkEnd w:id="723"/>
    <w:p>
      <w:pPr>
        <w:keepNext/>
        <w:keepLines/>
        <w:spacing w:before="120" w:after="120" w:line="360" w:lineRule="auto"/>
        <w:rPr>
          <w:rFonts w:hint="eastAsia" w:ascii="仿宋" w:hAnsi="仿宋" w:eastAsia="仿宋" w:cs="仿宋"/>
          <w:color w:val="auto"/>
          <w:sz w:val="24"/>
          <w:szCs w:val="24"/>
        </w:rPr>
      </w:pPr>
      <w:bookmarkStart w:id="746" w:name="_Toc351203648"/>
      <w:bookmarkStart w:id="747" w:name="_Toc280868717"/>
      <w:bookmarkStart w:id="748" w:name="_Toc280868718"/>
      <w:r>
        <w:rPr>
          <w:rFonts w:hint="eastAsia" w:ascii="仿宋" w:hAnsi="仿宋" w:eastAsia="仿宋" w:cs="仿宋"/>
          <w:color w:val="auto"/>
          <w:sz w:val="24"/>
          <w:szCs w:val="24"/>
        </w:rPr>
        <w:t>16. 违约</w:t>
      </w:r>
      <w:bookmarkEnd w:id="746"/>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16.1 发包人违约</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16.1.1发包人违约的情形</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发包人违约的其他情形：。</w:t>
      </w:r>
    </w:p>
    <w:p>
      <w:pPr>
        <w:spacing w:line="360" w:lineRule="auto"/>
        <w:ind w:left="1200" w:hanging="1200" w:hangingChars="500"/>
        <w:rPr>
          <w:rFonts w:hint="eastAsia" w:ascii="仿宋" w:hAnsi="仿宋" w:eastAsia="仿宋" w:cs="仿宋"/>
          <w:color w:val="auto"/>
          <w:sz w:val="24"/>
          <w:szCs w:val="24"/>
        </w:rPr>
      </w:pPr>
      <w:r>
        <w:rPr>
          <w:rFonts w:hint="eastAsia" w:ascii="仿宋" w:hAnsi="仿宋" w:eastAsia="仿宋" w:cs="仿宋"/>
          <w:color w:val="auto"/>
          <w:sz w:val="24"/>
          <w:szCs w:val="24"/>
        </w:rPr>
        <w:t xml:space="preserve">    16.1.2 发包人违约的责任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发包人违约责任的承担方式和计算方法：</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（1）因发包人原因未能在计划开工日期前7天内下达开工通知的违约责任：。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（2）因发包人原因未能按合同约定支付合同价款的违约责任：。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（5）因发包人违反合同约定造成暂停施工的违约责任：。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（7）其他：。</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16.1.3 因发包人违约解除合同</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16.2 承包人违约</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16.2.1 承包人违约的情形</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承包人违约的其他情形：。</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16.2.2承包人违约的责任</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承包人违约责任的承担方式和计算方法：。</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16.2.3 因承包人违约解除合同</w:t>
      </w:r>
    </w:p>
    <w:p>
      <w:pPr>
        <w:spacing w:before="120"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关于承包人违约解除合同的特别约定：。</w:t>
      </w:r>
    </w:p>
    <w:p>
      <w:pPr>
        <w:spacing w:before="120"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color w:val="auto"/>
          <w:sz w:val="24"/>
          <w:szCs w:val="24"/>
        </w:rPr>
      </w:pPr>
    </w:p>
    <w:p>
      <w:pPr>
        <w:keepNext/>
        <w:keepLines/>
        <w:spacing w:before="120" w:after="120" w:line="360" w:lineRule="auto"/>
        <w:rPr>
          <w:rFonts w:hint="eastAsia" w:ascii="仿宋" w:hAnsi="仿宋" w:eastAsia="仿宋" w:cs="仿宋"/>
          <w:color w:val="auto"/>
          <w:sz w:val="24"/>
          <w:szCs w:val="24"/>
        </w:rPr>
      </w:pPr>
      <w:bookmarkStart w:id="749" w:name="_Toc351203649"/>
      <w:r>
        <w:rPr>
          <w:rFonts w:hint="eastAsia" w:ascii="仿宋" w:hAnsi="仿宋" w:eastAsia="仿宋" w:cs="仿宋"/>
          <w:color w:val="auto"/>
          <w:sz w:val="24"/>
          <w:szCs w:val="24"/>
        </w:rPr>
        <w:t>17. 不可抗力</w:t>
      </w:r>
      <w:bookmarkEnd w:id="747"/>
      <w:bookmarkEnd w:id="749"/>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17.1 不可抗力的确认</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除通用合同条款约定的不可抗力事件之外，视为不可抗力的其他情形：。</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17.2 因不可抗力解除合同</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合同解除后，发包人应在商定或确定发包人应支付款项后天内完成款项的支付。</w:t>
      </w:r>
    </w:p>
    <w:p>
      <w:pPr>
        <w:keepNext/>
        <w:keepLines/>
        <w:spacing w:before="120" w:after="120" w:line="360" w:lineRule="auto"/>
        <w:rPr>
          <w:rFonts w:hint="eastAsia" w:ascii="仿宋" w:hAnsi="仿宋" w:eastAsia="仿宋" w:cs="仿宋"/>
          <w:color w:val="auto"/>
          <w:sz w:val="24"/>
          <w:szCs w:val="24"/>
        </w:rPr>
      </w:pPr>
      <w:bookmarkStart w:id="750" w:name="_Toc351203650"/>
      <w:r>
        <w:rPr>
          <w:rFonts w:hint="eastAsia" w:ascii="仿宋" w:hAnsi="仿宋" w:eastAsia="仿宋" w:cs="仿宋"/>
          <w:color w:val="auto"/>
          <w:sz w:val="24"/>
          <w:szCs w:val="24"/>
        </w:rPr>
        <w:t>18. 保险</w:t>
      </w:r>
      <w:bookmarkEnd w:id="750"/>
    </w:p>
    <w:bookmarkEnd w:id="748"/>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18.1 工程保险</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关于工程保险的特别约定：。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18.2 其他保险</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关于其他保险的约定：。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承包人是否应为其施工设备等办理财产保险：</w:t>
      </w:r>
      <w:r>
        <w:rPr>
          <w:rFonts w:hint="eastAsia" w:ascii="仿宋" w:hAnsi="仿宋" w:eastAsia="仿宋" w:cs="仿宋"/>
          <w:color w:val="auto"/>
          <w:sz w:val="24"/>
          <w:szCs w:val="24"/>
          <w:u w:val="single"/>
        </w:rPr>
        <w:t>应当</w:t>
      </w:r>
      <w:r>
        <w:rPr>
          <w:rFonts w:hint="eastAsia" w:ascii="仿宋" w:hAnsi="仿宋" w:eastAsia="仿宋" w:cs="仿宋"/>
          <w:color w:val="auto"/>
          <w:sz w:val="24"/>
          <w:szCs w:val="24"/>
        </w:rPr>
        <w:t>。</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18.3 通知义务</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关于变更保险合同时的通知义务的约定：。</w:t>
      </w:r>
    </w:p>
    <w:p>
      <w:pPr>
        <w:spacing w:line="360" w:lineRule="auto"/>
        <w:ind w:firstLine="480" w:firstLineChars="200"/>
        <w:rPr>
          <w:rFonts w:hint="eastAsia" w:ascii="仿宋" w:hAnsi="仿宋" w:eastAsia="仿宋" w:cs="仿宋"/>
          <w:color w:val="auto"/>
          <w:sz w:val="24"/>
          <w:szCs w:val="24"/>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color w:val="auto"/>
          <w:sz w:val="24"/>
          <w:szCs w:val="24"/>
        </w:rPr>
      </w:pPr>
      <w:bookmarkStart w:id="751" w:name="_Toc351203651"/>
      <w:r>
        <w:rPr>
          <w:rFonts w:hint="eastAsia" w:ascii="仿宋" w:hAnsi="仿宋" w:eastAsia="仿宋" w:cs="仿宋"/>
          <w:color w:val="auto"/>
          <w:sz w:val="24"/>
          <w:szCs w:val="24"/>
        </w:rPr>
        <w:t>19. 争议解决</w:t>
      </w:r>
      <w:bookmarkEnd w:id="751"/>
    </w:p>
    <w:bookmarkEnd w:id="736"/>
    <w:bookmarkEnd w:id="737"/>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19.1 争</w:t>
      </w:r>
      <w:bookmarkEnd w:id="738"/>
      <w:r>
        <w:rPr>
          <w:rFonts w:hint="eastAsia" w:ascii="仿宋" w:hAnsi="仿宋" w:eastAsia="仿宋" w:cs="仿宋"/>
          <w:color w:val="auto"/>
          <w:sz w:val="24"/>
          <w:szCs w:val="24"/>
        </w:rPr>
        <w:t>议评审</w:t>
      </w:r>
    </w:p>
    <w:p>
      <w:pPr>
        <w:spacing w:line="360" w:lineRule="auto"/>
        <w:ind w:left="170" w:leftChars="71" w:firstLine="360" w:firstLineChars="150"/>
        <w:rPr>
          <w:rFonts w:hint="eastAsia" w:ascii="仿宋" w:hAnsi="仿宋" w:eastAsia="仿宋" w:cs="仿宋"/>
          <w:color w:val="auto"/>
          <w:sz w:val="24"/>
          <w:szCs w:val="24"/>
        </w:rPr>
      </w:pPr>
      <w:r>
        <w:rPr>
          <w:rFonts w:hint="eastAsia" w:ascii="仿宋" w:hAnsi="仿宋" w:eastAsia="仿宋" w:cs="仿宋"/>
          <w:color w:val="auto"/>
          <w:sz w:val="24"/>
          <w:szCs w:val="24"/>
        </w:rPr>
        <w:t>合同当事人是否同意将工程争议提交争议评审小组决定：。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19.1.1 争议评审小组的确定</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争议评审小组成员的确定：。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选定争议评审员的期限：。</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争议评审小组成员的报酬承担方式：。</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其他事项的约定：。</w:t>
      </w:r>
    </w:p>
    <w:p>
      <w:pPr>
        <w:autoSpaceDE w:val="0"/>
        <w:autoSpaceDN w:val="0"/>
        <w:adjustRightIn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19.1.2 争议评审小组的决定</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合同当事人关于本项的约定：。</w:t>
      </w:r>
    </w:p>
    <w:p>
      <w:pPr>
        <w:spacing w:line="360" w:lineRule="auto"/>
        <w:ind w:firstLine="480" w:firstLineChars="200"/>
        <w:rPr>
          <w:rFonts w:hint="eastAsia" w:ascii="仿宋" w:hAnsi="仿宋" w:eastAsia="仿宋" w:cs="仿宋"/>
          <w:color w:val="auto"/>
          <w:sz w:val="24"/>
          <w:szCs w:val="24"/>
        </w:rPr>
      </w:pPr>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19.2 仲裁或诉讼</w:t>
      </w:r>
      <w:bookmarkEnd w:id="739"/>
    </w:p>
    <w:p>
      <w:pPr>
        <w:spacing w:after="120"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因合同及合同有关事项发生的争议，按下列第种方式解决：</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（1）向仲裁委员会申请仲裁；</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（2）向人民法院起诉。</w:t>
      </w:r>
      <w:bookmarkEnd w:id="740"/>
      <w:bookmarkEnd w:id="741"/>
      <w:bookmarkEnd w:id="742"/>
      <w:bookmarkEnd w:id="743"/>
      <w:bookmarkEnd w:id="744"/>
      <w:bookmarkEnd w:id="745"/>
    </w:p>
    <w:p>
      <w:pPr>
        <w:rPr>
          <w:rFonts w:hint="eastAsia" w:ascii="仿宋" w:hAnsi="仿宋" w:eastAsia="仿宋" w:cs="仿宋"/>
          <w:color w:val="auto"/>
          <w:sz w:val="24"/>
          <w:szCs w:val="24"/>
        </w:rPr>
      </w:pPr>
    </w:p>
    <w:p>
      <w:pPr>
        <w:rPr>
          <w:rFonts w:hint="eastAsia" w:ascii="仿宋" w:hAnsi="仿宋" w:eastAsia="仿宋" w:cs="仿宋"/>
          <w:color w:val="auto"/>
          <w:sz w:val="24"/>
          <w:szCs w:val="24"/>
        </w:rPr>
      </w:pPr>
      <w:r>
        <w:rPr>
          <w:rFonts w:hint="eastAsia" w:ascii="仿宋" w:hAnsi="仿宋" w:eastAsia="仿宋" w:cs="仿宋"/>
          <w:color w:val="auto"/>
          <w:sz w:val="24"/>
          <w:szCs w:val="24"/>
        </w:rPr>
        <w:br w:type="page"/>
      </w:r>
    </w:p>
    <w:p>
      <w:pPr>
        <w:keepNext/>
        <w:keepLines/>
        <w:spacing w:before="260" w:after="260" w:line="360" w:lineRule="auto"/>
        <w:jc w:val="center"/>
        <w:outlineLvl w:val="1"/>
        <w:rPr>
          <w:rFonts w:hint="eastAsia" w:ascii="仿宋" w:hAnsi="仿宋" w:eastAsia="仿宋" w:cs="仿宋"/>
          <w:b/>
          <w:bCs/>
          <w:color w:val="auto"/>
          <w:sz w:val="24"/>
          <w:szCs w:val="24"/>
        </w:rPr>
      </w:pPr>
      <w:r>
        <w:rPr>
          <w:rFonts w:hint="eastAsia" w:ascii="仿宋" w:hAnsi="仿宋" w:eastAsia="仿宋" w:cs="仿宋"/>
          <w:b/>
          <w:bCs/>
          <w:color w:val="auto"/>
          <w:sz w:val="24"/>
          <w:szCs w:val="24"/>
        </w:rPr>
        <w:t>第四节 合同附件格式</w:t>
      </w:r>
    </w:p>
    <w:p>
      <w:pPr>
        <w:autoSpaceDE w:val="0"/>
        <w:autoSpaceDN w:val="0"/>
        <w:adjustRightInd w:val="0"/>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附件一：工程质量保修书</w:t>
      </w:r>
    </w:p>
    <w:p>
      <w:pPr>
        <w:spacing w:line="360" w:lineRule="auto"/>
        <w:jc w:val="both"/>
        <w:rPr>
          <w:rFonts w:hint="eastAsia" w:ascii="仿宋" w:hAnsi="仿宋" w:eastAsia="仿宋" w:cs="仿宋"/>
          <w:b/>
          <w:bCs/>
          <w:color w:val="auto"/>
          <w:sz w:val="24"/>
          <w:szCs w:val="24"/>
        </w:rPr>
      </w:pPr>
    </w:p>
    <w:p>
      <w:pPr>
        <w:spacing w:line="360" w:lineRule="auto"/>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工程质量保修书</w:t>
      </w:r>
    </w:p>
    <w:p>
      <w:pPr>
        <w:spacing w:line="360" w:lineRule="auto"/>
        <w:rPr>
          <w:rFonts w:hint="eastAsia" w:ascii="仿宋" w:hAnsi="仿宋" w:eastAsia="仿宋" w:cs="仿宋"/>
          <w:color w:val="auto"/>
          <w:sz w:val="24"/>
          <w:szCs w:val="24"/>
          <w:u w:val="single"/>
        </w:rPr>
      </w:pPr>
      <w:r>
        <w:rPr>
          <w:rFonts w:hint="eastAsia" w:ascii="仿宋" w:hAnsi="仿宋" w:eastAsia="仿宋" w:cs="仿宋"/>
          <w:color w:val="auto"/>
          <w:sz w:val="24"/>
          <w:szCs w:val="24"/>
        </w:rPr>
        <w:t>发包人（全称）：</w:t>
      </w:r>
    </w:p>
    <w:p>
      <w:pPr>
        <w:spacing w:line="360" w:lineRule="auto"/>
        <w:rPr>
          <w:rFonts w:hint="eastAsia" w:ascii="仿宋" w:hAnsi="仿宋" w:eastAsia="仿宋" w:cs="仿宋"/>
          <w:color w:val="auto"/>
          <w:sz w:val="24"/>
          <w:szCs w:val="24"/>
          <w:u w:val="single"/>
        </w:rPr>
      </w:pPr>
      <w:r>
        <w:rPr>
          <w:rFonts w:hint="eastAsia" w:ascii="仿宋" w:hAnsi="仿宋" w:eastAsia="仿宋" w:cs="仿宋"/>
          <w:color w:val="auto"/>
          <w:sz w:val="24"/>
          <w:szCs w:val="24"/>
        </w:rPr>
        <w:t>承包人（全称）：</w:t>
      </w:r>
    </w:p>
    <w:p>
      <w:pP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1、工程质量保修范围和内容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2、质量保修期</w:t>
      </w:r>
    </w:p>
    <w:p>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2.1双方根据《建设工程质量管理条例》及有关规定，约定本工程的质量保修期</w:t>
      </w:r>
      <w:r>
        <w:rPr>
          <w:rFonts w:hint="eastAsia" w:ascii="仿宋" w:hAnsi="仿宋" w:eastAsia="仿宋" w:cs="仿宋"/>
          <w:color w:val="auto"/>
          <w:sz w:val="24"/>
          <w:szCs w:val="24"/>
          <w:lang w:eastAsia="zh-CN"/>
        </w:rPr>
        <w:t>；</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2.2 质量保修期自工程竣工验收合格之日起计算。</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3、质量保修责任</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3.2 发生紧急抢修事故的，承包人在接到事故通知后，应当立即到达事故现场抢修。</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3.4 质量保修完成后，由发包人组织验收。</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4、保修费用</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4.1保修费用由造成质量缺陷的责任方承担。</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5、其他</w:t>
      </w:r>
    </w:p>
    <w:p>
      <w:pPr>
        <w:spacing w:line="360" w:lineRule="auto"/>
        <w:ind w:firstLine="480" w:firstLineChars="200"/>
        <w:rPr>
          <w:rFonts w:hint="eastAsia" w:ascii="仿宋" w:hAnsi="仿宋" w:eastAsia="仿宋" w:cs="仿宋"/>
          <w:color w:val="auto"/>
          <w:sz w:val="24"/>
          <w:szCs w:val="24"/>
          <w:lang w:val="en-US" w:eastAsia="zh-CN"/>
        </w:rPr>
      </w:pPr>
      <w:bookmarkStart w:id="752" w:name="_Toc199318336"/>
      <w:bookmarkStart w:id="753" w:name="_Toc435626179"/>
      <w:bookmarkStart w:id="754" w:name="_Toc211643904"/>
      <w:bookmarkStart w:id="755" w:name="_Toc247945911"/>
      <w:bookmarkStart w:id="756" w:name="_Toc207526821"/>
      <w:r>
        <w:rPr>
          <w:rFonts w:hint="eastAsia" w:ascii="仿宋" w:hAnsi="仿宋" w:eastAsia="仿宋" w:cs="仿宋"/>
          <w:color w:val="auto"/>
          <w:sz w:val="24"/>
          <w:szCs w:val="24"/>
        </w:rPr>
        <w:t>5.1 双方约定的其他工程质量保修事项:</w:t>
      </w:r>
      <w:bookmarkEnd w:id="752"/>
      <w:bookmarkEnd w:id="753"/>
      <w:bookmarkEnd w:id="754"/>
      <w:bookmarkEnd w:id="755"/>
      <w:bookmarkEnd w:id="756"/>
      <w:r>
        <w:rPr>
          <w:rFonts w:hint="eastAsia" w:ascii="仿宋" w:hAnsi="仿宋" w:eastAsia="仿宋" w:cs="仿宋"/>
          <w:color w:val="auto"/>
          <w:sz w:val="24"/>
          <w:szCs w:val="24"/>
          <w:lang w:val="en-US" w:eastAsia="zh-CN"/>
        </w:rPr>
        <w:t>/</w:t>
      </w:r>
    </w:p>
    <w:p>
      <w:pPr>
        <w:spacing w:line="360" w:lineRule="auto"/>
        <w:ind w:firstLine="480" w:firstLineChars="200"/>
        <w:rPr>
          <w:rFonts w:hint="eastAsia" w:ascii="仿宋" w:hAnsi="仿宋" w:eastAsia="仿宋" w:cs="仿宋"/>
          <w:color w:val="auto"/>
          <w:sz w:val="24"/>
          <w:szCs w:val="24"/>
        </w:rPr>
      </w:pPr>
      <w:bookmarkStart w:id="757" w:name="_Toc247945912"/>
      <w:bookmarkStart w:id="758" w:name="_Toc211643905"/>
      <w:bookmarkStart w:id="759" w:name="_Toc207526822"/>
      <w:bookmarkStart w:id="760" w:name="_Toc435626180"/>
      <w:bookmarkStart w:id="761" w:name="_Toc199318337"/>
      <w:r>
        <w:rPr>
          <w:rFonts w:hint="eastAsia" w:ascii="仿宋" w:hAnsi="仿宋" w:eastAsia="仿宋" w:cs="仿宋"/>
          <w:color w:val="auto"/>
          <w:sz w:val="24"/>
          <w:szCs w:val="24"/>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发包人（公章）：                  承包人（公章）：</w:t>
      </w:r>
    </w:p>
    <w:p>
      <w:pPr>
        <w:spacing w:line="360" w:lineRule="auto"/>
        <w:rPr>
          <w:rFonts w:hint="eastAsia" w:ascii="仿宋" w:hAnsi="仿宋" w:eastAsia="仿宋" w:cs="仿宋"/>
          <w:color w:val="auto"/>
          <w:sz w:val="24"/>
          <w:szCs w:val="24"/>
        </w:rPr>
      </w:pP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法定代表人（签字）：              法定代表人（签字）：</w:t>
      </w:r>
    </w:p>
    <w:p>
      <w:pPr>
        <w:spacing w:line="360" w:lineRule="auto"/>
        <w:rPr>
          <w:rFonts w:hint="eastAsia" w:ascii="仿宋" w:hAnsi="仿宋" w:eastAsia="仿宋" w:cs="仿宋"/>
          <w:color w:val="auto"/>
          <w:sz w:val="24"/>
          <w:szCs w:val="24"/>
        </w:rPr>
      </w:pPr>
    </w:p>
    <w:p>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年  月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rPr>
          <w:rFonts w:hint="eastAsia" w:ascii="仿宋" w:hAnsi="仿宋" w:eastAsia="仿宋" w:cs="仿宋"/>
          <w:color w:val="auto"/>
        </w:rPr>
      </w:pPr>
    </w:p>
    <w:bookmarkEnd w:id="204"/>
    <w:bookmarkEnd w:id="205"/>
    <w:bookmarkEnd w:id="206"/>
    <w:p>
      <w:pPr>
        <w:rPr>
          <w:rFonts w:hint="eastAsia" w:ascii="仿宋" w:hAnsi="仿宋" w:eastAsia="仿宋" w:cs="仿宋"/>
          <w:color w:val="auto"/>
        </w:rPr>
      </w:pPr>
      <w:bookmarkStart w:id="762" w:name="_Toc41037911"/>
      <w:bookmarkStart w:id="763" w:name="_Toc45897714"/>
      <w:bookmarkStart w:id="764" w:name="_Toc72938472"/>
      <w:bookmarkStart w:id="765" w:name="_Toc2936"/>
      <w:r>
        <w:rPr>
          <w:rFonts w:hint="eastAsia" w:ascii="仿宋" w:hAnsi="仿宋" w:eastAsia="仿宋" w:cs="仿宋"/>
          <w:color w:val="auto"/>
        </w:rPr>
        <w:br w:type="page"/>
      </w:r>
    </w:p>
    <w:p>
      <w:pPr>
        <w:pStyle w:val="3"/>
        <w:numPr>
          <w:ilvl w:val="0"/>
          <w:numId w:val="1"/>
        </w:numPr>
        <w:spacing w:before="0" w:after="0"/>
        <w:ind w:left="0" w:firstLine="0"/>
        <w:rPr>
          <w:rFonts w:hint="eastAsia" w:ascii="仿宋" w:hAnsi="仿宋" w:eastAsia="仿宋" w:cs="仿宋"/>
          <w:color w:val="auto"/>
        </w:rPr>
      </w:pPr>
      <w:r>
        <w:rPr>
          <w:rFonts w:hint="eastAsia" w:ascii="仿宋" w:hAnsi="仿宋" w:eastAsia="仿宋" w:cs="仿宋"/>
          <w:color w:val="auto"/>
        </w:rPr>
        <w:t>工程量清单</w:t>
      </w:r>
      <w:bookmarkEnd w:id="762"/>
      <w:bookmarkEnd w:id="763"/>
      <w:r>
        <w:rPr>
          <w:rFonts w:hint="eastAsia" w:ascii="仿宋" w:hAnsi="仿宋" w:eastAsia="仿宋" w:cs="仿宋"/>
          <w:color w:val="auto"/>
        </w:rPr>
        <w:t>和工程量清单编制说明</w:t>
      </w:r>
      <w:bookmarkEnd w:id="764"/>
      <w:bookmarkEnd w:id="765"/>
    </w:p>
    <w:p>
      <w:pPr>
        <w:rPr>
          <w:rFonts w:hint="eastAsia" w:ascii="仿宋" w:hAnsi="仿宋" w:eastAsia="仿宋" w:cs="仿宋"/>
          <w:color w:val="auto"/>
        </w:rPr>
      </w:pPr>
    </w:p>
    <w:p>
      <w:pPr>
        <w:jc w:val="center"/>
        <w:rPr>
          <w:rFonts w:hint="eastAsia" w:ascii="仿宋" w:hAnsi="仿宋" w:eastAsia="仿宋" w:cs="仿宋"/>
          <w:color w:val="auto"/>
          <w:sz w:val="28"/>
          <w:szCs w:val="28"/>
        </w:rPr>
      </w:pPr>
      <w:r>
        <w:rPr>
          <w:rFonts w:hint="eastAsia" w:ascii="仿宋" w:hAnsi="仿宋" w:eastAsia="仿宋" w:cs="仿宋"/>
          <w:color w:val="auto"/>
          <w:sz w:val="28"/>
          <w:szCs w:val="28"/>
        </w:rPr>
        <w:t>另册。</w:t>
      </w:r>
    </w:p>
    <w:p>
      <w:pPr>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r>
        <w:rPr>
          <w:rFonts w:hint="eastAsia" w:ascii="仿宋" w:hAnsi="仿宋" w:eastAsia="仿宋" w:cs="仿宋"/>
          <w:color w:val="auto"/>
        </w:rPr>
        <w:t>附件</w:t>
      </w:r>
    </w:p>
    <w:bookmarkEnd w:id="86"/>
    <w:bookmarkEnd w:id="87"/>
    <w:bookmarkEnd w:id="88"/>
    <w:bookmarkEnd w:id="89"/>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仿宋" w:hAnsi="仿宋" w:eastAsia="仿宋" w:cs="仿宋"/>
          <w:color w:val="auto"/>
        </w:rPr>
      </w:pPr>
    </w:p>
    <w:p>
      <w:pPr>
        <w:jc w:val="center"/>
        <w:rPr>
          <w:rFonts w:hint="eastAsia" w:ascii="仿宋" w:hAnsi="仿宋" w:eastAsia="仿宋" w:cs="仿宋"/>
          <w:color w:val="auto"/>
        </w:rPr>
      </w:pPr>
      <w:r>
        <w:rPr>
          <w:rFonts w:hint="eastAsia" w:ascii="仿宋" w:hAnsi="仿宋" w:eastAsia="仿宋" w:cs="仿宋"/>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仿宋" w:hAnsi="仿宋" w:eastAsia="仿宋" w:cs="仿宋"/>
          <w:color w:val="auto"/>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4907705" cy="6797629"/>
                    </a:xfrm>
                    <a:prstGeom prst="rect">
                      <a:avLst/>
                    </a:prstGeom>
                  </pic:spPr>
                </pic:pic>
              </a:graphicData>
            </a:graphic>
          </wp:inline>
        </w:drawing>
      </w:r>
    </w:p>
    <w:p>
      <w:pPr>
        <w:jc w:val="center"/>
        <w:rPr>
          <w:rFonts w:hint="eastAsia" w:ascii="仿宋" w:hAnsi="仿宋" w:eastAsia="仿宋" w:cs="仿宋"/>
          <w:color w:val="auto"/>
        </w:rPr>
      </w:pPr>
      <w:r>
        <w:rPr>
          <w:rFonts w:hint="eastAsia" w:ascii="仿宋" w:hAnsi="仿宋" w:eastAsia="仿宋" w:cs="仿宋"/>
          <w:color w:val="auto"/>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4991533" cy="6675698"/>
                    </a:xfrm>
                    <a:prstGeom prst="rect">
                      <a:avLst/>
                    </a:prstGeom>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p>
    <w:p>
      <w:pPr>
        <w:jc w:val="center"/>
        <w:rPr>
          <w:rFonts w:hint="eastAsia" w:ascii="仿宋" w:hAnsi="仿宋" w:eastAsia="仿宋" w:cs="仿宋"/>
          <w:color w:val="auto"/>
        </w:rPr>
        <w:sectPr>
          <w:footerReference r:id="rId16" w:type="default"/>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color w:val="auto"/>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color w:val="auto"/>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7559695" cy="4877223"/>
                    </a:xfrm>
                    <a:prstGeom prst="rect">
                      <a:avLst/>
                    </a:prstGeom>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rFonts w:hint="eastAsia" w:ascii="仿宋" w:hAnsi="仿宋" w:eastAsia="仿宋" w:cs="仿宋"/>
          <w:color w:val="auto"/>
        </w:rPr>
      </w:pPr>
      <w:r>
        <w:rPr>
          <w:rFonts w:hint="eastAsia" w:ascii="仿宋" w:hAnsi="仿宋" w:eastAsia="仿宋" w:cs="仿宋"/>
          <w:color w:val="auto"/>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r>
        <w:rPr>
          <w:rFonts w:hint="eastAsia" w:ascii="仿宋" w:hAnsi="仿宋" w:eastAsia="仿宋" w:cs="仿宋"/>
          <w:color w:val="auto"/>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20" w:type="first"/>
      <w:headerReference r:id="rId17" w:type="default"/>
      <w:footerReference r:id="rId18" w:type="default"/>
      <w:footerReference r:id="rId1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楷体à.ā">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Times New Roman"/>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74</w:t>
    </w:r>
    <w:r>
      <w:rPr>
        <w:lang w:val="zh-CN"/>
      </w:rPr>
      <w:fldChar w:fldCharType="end"/>
    </w:r>
  </w:p>
  <w:p>
    <w:pPr>
      <w:pStyle w:val="29"/>
      <w:ind w:firstLine="64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116</w:t>
    </w:r>
    <w:r>
      <w:fldChar w:fldCharType="end"/>
    </w:r>
  </w:p>
  <w:p>
    <w:pPr>
      <w:pStyle w:val="2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8</w: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9</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3</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23</w:t>
    </w:r>
    <w:r>
      <w:rPr>
        <w:lang w:val="zh-CN"/>
      </w:rP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3</w:t>
    </w:r>
    <w:r>
      <w:fldChar w:fldCharType="end"/>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23</w:t>
    </w:r>
    <w:r>
      <w:rPr>
        <w:lang w:val="zh-CN"/>
      </w:rPr>
      <w:fldChar w:fldCharType="end"/>
    </w:r>
  </w:p>
  <w:p>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2">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3">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4">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8">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8">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9">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1">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1">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5">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8">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4">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6"/>
  </w:num>
  <w:num w:numId="3">
    <w:abstractNumId w:val="42"/>
  </w:num>
  <w:num w:numId="4">
    <w:abstractNumId w:val="38"/>
  </w:num>
  <w:num w:numId="5">
    <w:abstractNumId w:val="6"/>
  </w:num>
  <w:num w:numId="6">
    <w:abstractNumId w:val="26"/>
  </w:num>
  <w:num w:numId="7">
    <w:abstractNumId w:val="52"/>
  </w:num>
  <w:num w:numId="8">
    <w:abstractNumId w:val="41"/>
  </w:num>
  <w:num w:numId="9">
    <w:abstractNumId w:val="3"/>
  </w:num>
  <w:num w:numId="10">
    <w:abstractNumId w:val="12"/>
  </w:num>
  <w:num w:numId="11">
    <w:abstractNumId w:val="13"/>
  </w:num>
  <w:num w:numId="12">
    <w:abstractNumId w:val="39"/>
  </w:num>
  <w:num w:numId="13">
    <w:abstractNumId w:val="18"/>
  </w:num>
  <w:num w:numId="14">
    <w:abstractNumId w:val="22"/>
  </w:num>
  <w:num w:numId="15">
    <w:abstractNumId w:val="23"/>
  </w:num>
  <w:num w:numId="16">
    <w:abstractNumId w:val="51"/>
  </w:num>
  <w:num w:numId="17">
    <w:abstractNumId w:val="5"/>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9"/>
  </w:num>
  <w:num w:numId="25">
    <w:abstractNumId w:val="1"/>
  </w:num>
  <w:num w:numId="26">
    <w:abstractNumId w:val="4"/>
  </w:num>
  <w:num w:numId="27">
    <w:abstractNumId w:val="0"/>
  </w:num>
  <w:num w:numId="28">
    <w:abstractNumId w:val="49"/>
  </w:num>
  <w:num w:numId="29">
    <w:abstractNumId w:val="33"/>
  </w:num>
  <w:num w:numId="30">
    <w:abstractNumId w:val="43"/>
  </w:num>
  <w:num w:numId="31">
    <w:abstractNumId w:val="20"/>
  </w:num>
  <w:num w:numId="32">
    <w:abstractNumId w:val="32"/>
  </w:num>
  <w:num w:numId="33">
    <w:abstractNumId w:val="44"/>
  </w:num>
  <w:num w:numId="34">
    <w:abstractNumId w:val="48"/>
  </w:num>
  <w:num w:numId="35">
    <w:abstractNumId w:val="8"/>
  </w:num>
  <w:num w:numId="36">
    <w:abstractNumId w:val="3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9"/>
  </w:num>
  <w:num w:numId="40">
    <w:abstractNumId w:val="45"/>
  </w:num>
  <w:num w:numId="41">
    <w:abstractNumId w:val="25"/>
  </w:num>
  <w:num w:numId="42">
    <w:abstractNumId w:val="47"/>
  </w:num>
  <w:num w:numId="43">
    <w:abstractNumId w:val="31"/>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54"/>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D3000"/>
    <w:rsid w:val="000E65EA"/>
    <w:rsid w:val="000F347B"/>
    <w:rsid w:val="000F47F1"/>
    <w:rsid w:val="000F4809"/>
    <w:rsid w:val="000F6B7C"/>
    <w:rsid w:val="00107C01"/>
    <w:rsid w:val="00114B69"/>
    <w:rsid w:val="0012450E"/>
    <w:rsid w:val="00134123"/>
    <w:rsid w:val="00134EA6"/>
    <w:rsid w:val="00134EB4"/>
    <w:rsid w:val="00136CDC"/>
    <w:rsid w:val="00136D53"/>
    <w:rsid w:val="00137AEC"/>
    <w:rsid w:val="001415FC"/>
    <w:rsid w:val="00154EA1"/>
    <w:rsid w:val="00157F25"/>
    <w:rsid w:val="001873E7"/>
    <w:rsid w:val="00197B45"/>
    <w:rsid w:val="001A07E3"/>
    <w:rsid w:val="001C217D"/>
    <w:rsid w:val="001C66BE"/>
    <w:rsid w:val="001D09EC"/>
    <w:rsid w:val="001D1EAF"/>
    <w:rsid w:val="001D6533"/>
    <w:rsid w:val="001F2DA3"/>
    <w:rsid w:val="002044BF"/>
    <w:rsid w:val="00205A63"/>
    <w:rsid w:val="00205B99"/>
    <w:rsid w:val="00211D04"/>
    <w:rsid w:val="00213210"/>
    <w:rsid w:val="0023687E"/>
    <w:rsid w:val="00253ED9"/>
    <w:rsid w:val="002578C9"/>
    <w:rsid w:val="002619C0"/>
    <w:rsid w:val="00262C45"/>
    <w:rsid w:val="0028699C"/>
    <w:rsid w:val="002876B6"/>
    <w:rsid w:val="00290F4B"/>
    <w:rsid w:val="002A5456"/>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07E27"/>
    <w:rsid w:val="0031657A"/>
    <w:rsid w:val="00323BDE"/>
    <w:rsid w:val="00357DAE"/>
    <w:rsid w:val="00365C5B"/>
    <w:rsid w:val="00366676"/>
    <w:rsid w:val="0037373C"/>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874D5"/>
    <w:rsid w:val="00495E22"/>
    <w:rsid w:val="00495E4F"/>
    <w:rsid w:val="00497260"/>
    <w:rsid w:val="004A3393"/>
    <w:rsid w:val="004B053A"/>
    <w:rsid w:val="004B4C27"/>
    <w:rsid w:val="004B77FE"/>
    <w:rsid w:val="004C5C1A"/>
    <w:rsid w:val="004D4FA8"/>
    <w:rsid w:val="004D56B9"/>
    <w:rsid w:val="004E057F"/>
    <w:rsid w:val="004F508C"/>
    <w:rsid w:val="005273C7"/>
    <w:rsid w:val="00534500"/>
    <w:rsid w:val="00534A7E"/>
    <w:rsid w:val="00536479"/>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43FA"/>
    <w:rsid w:val="006268CA"/>
    <w:rsid w:val="00635038"/>
    <w:rsid w:val="00641F64"/>
    <w:rsid w:val="00644C1C"/>
    <w:rsid w:val="006455C8"/>
    <w:rsid w:val="0064602A"/>
    <w:rsid w:val="00651C40"/>
    <w:rsid w:val="00655F7A"/>
    <w:rsid w:val="00661190"/>
    <w:rsid w:val="006616C4"/>
    <w:rsid w:val="0066449E"/>
    <w:rsid w:val="00667360"/>
    <w:rsid w:val="00670CDC"/>
    <w:rsid w:val="0067285E"/>
    <w:rsid w:val="00675A16"/>
    <w:rsid w:val="00676040"/>
    <w:rsid w:val="0068659F"/>
    <w:rsid w:val="00694460"/>
    <w:rsid w:val="0069744B"/>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1126"/>
    <w:rsid w:val="00792C77"/>
    <w:rsid w:val="007B16B7"/>
    <w:rsid w:val="007B2356"/>
    <w:rsid w:val="007B7306"/>
    <w:rsid w:val="007C09FD"/>
    <w:rsid w:val="007C386B"/>
    <w:rsid w:val="007C73FF"/>
    <w:rsid w:val="007D38CA"/>
    <w:rsid w:val="007D6A85"/>
    <w:rsid w:val="007E200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5715E"/>
    <w:rsid w:val="009623F1"/>
    <w:rsid w:val="00974B1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2BB3"/>
    <w:rsid w:val="00B05C68"/>
    <w:rsid w:val="00B06C14"/>
    <w:rsid w:val="00B2569B"/>
    <w:rsid w:val="00B35130"/>
    <w:rsid w:val="00B410CE"/>
    <w:rsid w:val="00B416E1"/>
    <w:rsid w:val="00B4323E"/>
    <w:rsid w:val="00B57B42"/>
    <w:rsid w:val="00B618F5"/>
    <w:rsid w:val="00B66373"/>
    <w:rsid w:val="00B67353"/>
    <w:rsid w:val="00B762C3"/>
    <w:rsid w:val="00B8493B"/>
    <w:rsid w:val="00B865A5"/>
    <w:rsid w:val="00B9216B"/>
    <w:rsid w:val="00B94AD3"/>
    <w:rsid w:val="00BA0A95"/>
    <w:rsid w:val="00BB28E3"/>
    <w:rsid w:val="00BB4AB3"/>
    <w:rsid w:val="00BC4D73"/>
    <w:rsid w:val="00BC6F31"/>
    <w:rsid w:val="00BE036F"/>
    <w:rsid w:val="00BF0BEE"/>
    <w:rsid w:val="00C03D13"/>
    <w:rsid w:val="00C042E9"/>
    <w:rsid w:val="00C149AD"/>
    <w:rsid w:val="00C166A8"/>
    <w:rsid w:val="00C16790"/>
    <w:rsid w:val="00C22BD9"/>
    <w:rsid w:val="00C22EF9"/>
    <w:rsid w:val="00C25001"/>
    <w:rsid w:val="00C263D0"/>
    <w:rsid w:val="00C352B9"/>
    <w:rsid w:val="00C45A89"/>
    <w:rsid w:val="00C50C23"/>
    <w:rsid w:val="00C52705"/>
    <w:rsid w:val="00C640CF"/>
    <w:rsid w:val="00C76D6E"/>
    <w:rsid w:val="00C82D84"/>
    <w:rsid w:val="00C86D71"/>
    <w:rsid w:val="00C9048A"/>
    <w:rsid w:val="00C91C5E"/>
    <w:rsid w:val="00C92F1D"/>
    <w:rsid w:val="00CA0302"/>
    <w:rsid w:val="00CA26A2"/>
    <w:rsid w:val="00CB7FC9"/>
    <w:rsid w:val="00CC07B5"/>
    <w:rsid w:val="00CD2A58"/>
    <w:rsid w:val="00CD7FC3"/>
    <w:rsid w:val="00CE6ED6"/>
    <w:rsid w:val="00CF1154"/>
    <w:rsid w:val="00CF5080"/>
    <w:rsid w:val="00D00193"/>
    <w:rsid w:val="00D01EC3"/>
    <w:rsid w:val="00D02130"/>
    <w:rsid w:val="00D21D44"/>
    <w:rsid w:val="00D367AB"/>
    <w:rsid w:val="00D37B77"/>
    <w:rsid w:val="00D47970"/>
    <w:rsid w:val="00D47C21"/>
    <w:rsid w:val="00D600AA"/>
    <w:rsid w:val="00D6323C"/>
    <w:rsid w:val="00D72C15"/>
    <w:rsid w:val="00D72DE0"/>
    <w:rsid w:val="00D755F2"/>
    <w:rsid w:val="00D81A05"/>
    <w:rsid w:val="00D8356A"/>
    <w:rsid w:val="00D91CCD"/>
    <w:rsid w:val="00D92948"/>
    <w:rsid w:val="00D97C82"/>
    <w:rsid w:val="00DA16DE"/>
    <w:rsid w:val="00DA3C93"/>
    <w:rsid w:val="00DB2AC4"/>
    <w:rsid w:val="00DB3BD1"/>
    <w:rsid w:val="00DB6B28"/>
    <w:rsid w:val="00DC0F33"/>
    <w:rsid w:val="00DC6B3E"/>
    <w:rsid w:val="00DD022E"/>
    <w:rsid w:val="00DD341F"/>
    <w:rsid w:val="00DE075B"/>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07E"/>
    <w:rsid w:val="00E8719A"/>
    <w:rsid w:val="00E93215"/>
    <w:rsid w:val="00E94E24"/>
    <w:rsid w:val="00E95001"/>
    <w:rsid w:val="00E952BF"/>
    <w:rsid w:val="00EA4C06"/>
    <w:rsid w:val="00EB1C8B"/>
    <w:rsid w:val="00EB2414"/>
    <w:rsid w:val="00EB7EF3"/>
    <w:rsid w:val="00EC287E"/>
    <w:rsid w:val="00EC51CF"/>
    <w:rsid w:val="00ED2134"/>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10CC"/>
    <w:rsid w:val="00FA6371"/>
    <w:rsid w:val="00FB3E63"/>
    <w:rsid w:val="00FB5009"/>
    <w:rsid w:val="00FB501F"/>
    <w:rsid w:val="00FB54A0"/>
    <w:rsid w:val="00FC0EE4"/>
    <w:rsid w:val="00FC524D"/>
    <w:rsid w:val="00FC6ADC"/>
    <w:rsid w:val="00FD3159"/>
    <w:rsid w:val="00FD4483"/>
    <w:rsid w:val="00FE64E1"/>
    <w:rsid w:val="00FF43F7"/>
    <w:rsid w:val="00FF5F08"/>
    <w:rsid w:val="012D7578"/>
    <w:rsid w:val="01C95207"/>
    <w:rsid w:val="01E94F8D"/>
    <w:rsid w:val="02C67204"/>
    <w:rsid w:val="02CF4F1D"/>
    <w:rsid w:val="02E64D83"/>
    <w:rsid w:val="03195A7E"/>
    <w:rsid w:val="033C14E0"/>
    <w:rsid w:val="03535D03"/>
    <w:rsid w:val="036C2302"/>
    <w:rsid w:val="03A5393D"/>
    <w:rsid w:val="03F51722"/>
    <w:rsid w:val="047201D0"/>
    <w:rsid w:val="04AC792F"/>
    <w:rsid w:val="04BD7727"/>
    <w:rsid w:val="05402B16"/>
    <w:rsid w:val="05B41BCB"/>
    <w:rsid w:val="065F4421"/>
    <w:rsid w:val="068428E9"/>
    <w:rsid w:val="0696388E"/>
    <w:rsid w:val="06EC4F8C"/>
    <w:rsid w:val="073558D0"/>
    <w:rsid w:val="080715F7"/>
    <w:rsid w:val="08787A18"/>
    <w:rsid w:val="088E7A4F"/>
    <w:rsid w:val="08C41EDB"/>
    <w:rsid w:val="0918093A"/>
    <w:rsid w:val="09246605"/>
    <w:rsid w:val="097F0F1D"/>
    <w:rsid w:val="09921243"/>
    <w:rsid w:val="09B235CF"/>
    <w:rsid w:val="09BB2E89"/>
    <w:rsid w:val="09CE47A9"/>
    <w:rsid w:val="0A1E12A6"/>
    <w:rsid w:val="0A3208AE"/>
    <w:rsid w:val="0A3B4216"/>
    <w:rsid w:val="0A432354"/>
    <w:rsid w:val="0A940D71"/>
    <w:rsid w:val="0B2D0EF7"/>
    <w:rsid w:val="0C265565"/>
    <w:rsid w:val="0C6A44A1"/>
    <w:rsid w:val="0C9A68A8"/>
    <w:rsid w:val="0CAE41AC"/>
    <w:rsid w:val="0CE64F4C"/>
    <w:rsid w:val="0D466B4A"/>
    <w:rsid w:val="0D5844DD"/>
    <w:rsid w:val="0D5A3B04"/>
    <w:rsid w:val="0E3D4A66"/>
    <w:rsid w:val="0E5A03D3"/>
    <w:rsid w:val="0E82492F"/>
    <w:rsid w:val="0E8969B8"/>
    <w:rsid w:val="0ECF0DC1"/>
    <w:rsid w:val="0F2D5755"/>
    <w:rsid w:val="0F35369B"/>
    <w:rsid w:val="0F4C3879"/>
    <w:rsid w:val="0F4E38EF"/>
    <w:rsid w:val="0F8C280E"/>
    <w:rsid w:val="0FD92952"/>
    <w:rsid w:val="10967DE9"/>
    <w:rsid w:val="10B2312B"/>
    <w:rsid w:val="10E16B8A"/>
    <w:rsid w:val="11571139"/>
    <w:rsid w:val="11A935B7"/>
    <w:rsid w:val="11BE5D2B"/>
    <w:rsid w:val="120C3AB1"/>
    <w:rsid w:val="12B01397"/>
    <w:rsid w:val="12BF15CB"/>
    <w:rsid w:val="1352339C"/>
    <w:rsid w:val="136B71B3"/>
    <w:rsid w:val="13B13B7F"/>
    <w:rsid w:val="141C6BEE"/>
    <w:rsid w:val="14300E80"/>
    <w:rsid w:val="1452749D"/>
    <w:rsid w:val="146313AE"/>
    <w:rsid w:val="148221B4"/>
    <w:rsid w:val="155F468B"/>
    <w:rsid w:val="15A22D8C"/>
    <w:rsid w:val="168E3310"/>
    <w:rsid w:val="16B52E8E"/>
    <w:rsid w:val="16BE59A3"/>
    <w:rsid w:val="16D843D9"/>
    <w:rsid w:val="17617F70"/>
    <w:rsid w:val="179F16B1"/>
    <w:rsid w:val="17E84D18"/>
    <w:rsid w:val="17F65611"/>
    <w:rsid w:val="18001C0F"/>
    <w:rsid w:val="183011D6"/>
    <w:rsid w:val="186E5B64"/>
    <w:rsid w:val="18A22A85"/>
    <w:rsid w:val="19621EC4"/>
    <w:rsid w:val="19BB55B1"/>
    <w:rsid w:val="1AAC1FB7"/>
    <w:rsid w:val="1B2B3823"/>
    <w:rsid w:val="1B8C2514"/>
    <w:rsid w:val="1C292A20"/>
    <w:rsid w:val="1C3F2656"/>
    <w:rsid w:val="1CE150AD"/>
    <w:rsid w:val="1D085BCA"/>
    <w:rsid w:val="1D431430"/>
    <w:rsid w:val="1D6B1404"/>
    <w:rsid w:val="1D6F3E9B"/>
    <w:rsid w:val="1E336C39"/>
    <w:rsid w:val="1E37428D"/>
    <w:rsid w:val="1E54477C"/>
    <w:rsid w:val="1EC3698D"/>
    <w:rsid w:val="1EC73863"/>
    <w:rsid w:val="1ED12D01"/>
    <w:rsid w:val="1EDA351B"/>
    <w:rsid w:val="1F126A2D"/>
    <w:rsid w:val="1F1C3BAF"/>
    <w:rsid w:val="1F2763BF"/>
    <w:rsid w:val="1F4A5F8A"/>
    <w:rsid w:val="1F5418B2"/>
    <w:rsid w:val="1F585B13"/>
    <w:rsid w:val="1F6C5682"/>
    <w:rsid w:val="1FDB0ECC"/>
    <w:rsid w:val="1FF86273"/>
    <w:rsid w:val="20505F1D"/>
    <w:rsid w:val="20601879"/>
    <w:rsid w:val="2084196E"/>
    <w:rsid w:val="20964C98"/>
    <w:rsid w:val="20E06E5E"/>
    <w:rsid w:val="212E3725"/>
    <w:rsid w:val="21622413"/>
    <w:rsid w:val="21834FDD"/>
    <w:rsid w:val="219154AA"/>
    <w:rsid w:val="22020B01"/>
    <w:rsid w:val="22963C78"/>
    <w:rsid w:val="22D147BD"/>
    <w:rsid w:val="22FC1356"/>
    <w:rsid w:val="23765481"/>
    <w:rsid w:val="23A10440"/>
    <w:rsid w:val="23A65EDD"/>
    <w:rsid w:val="23E76108"/>
    <w:rsid w:val="23F21453"/>
    <w:rsid w:val="242B4C10"/>
    <w:rsid w:val="246A42CA"/>
    <w:rsid w:val="24C40F03"/>
    <w:rsid w:val="251A293E"/>
    <w:rsid w:val="257858B7"/>
    <w:rsid w:val="258277C2"/>
    <w:rsid w:val="261A696E"/>
    <w:rsid w:val="26243349"/>
    <w:rsid w:val="26252A87"/>
    <w:rsid w:val="265E1EAA"/>
    <w:rsid w:val="26886323"/>
    <w:rsid w:val="26D14496"/>
    <w:rsid w:val="27291A5F"/>
    <w:rsid w:val="282A2478"/>
    <w:rsid w:val="287E4F92"/>
    <w:rsid w:val="28841139"/>
    <w:rsid w:val="288822B5"/>
    <w:rsid w:val="28BD180D"/>
    <w:rsid w:val="28D177B8"/>
    <w:rsid w:val="28FD1875"/>
    <w:rsid w:val="29383653"/>
    <w:rsid w:val="2993462F"/>
    <w:rsid w:val="29C52997"/>
    <w:rsid w:val="2A1F58FE"/>
    <w:rsid w:val="2A210AD6"/>
    <w:rsid w:val="2A212CDF"/>
    <w:rsid w:val="2A241B69"/>
    <w:rsid w:val="2AB732F4"/>
    <w:rsid w:val="2B155786"/>
    <w:rsid w:val="2B2561EC"/>
    <w:rsid w:val="2B41088E"/>
    <w:rsid w:val="2B5D6B37"/>
    <w:rsid w:val="2B5E2D03"/>
    <w:rsid w:val="2B6D57B0"/>
    <w:rsid w:val="2B7545BC"/>
    <w:rsid w:val="2C7C5C8D"/>
    <w:rsid w:val="2CC31B0E"/>
    <w:rsid w:val="2CDD7B71"/>
    <w:rsid w:val="2D1B54A6"/>
    <w:rsid w:val="2D430559"/>
    <w:rsid w:val="2D850422"/>
    <w:rsid w:val="2E666BF4"/>
    <w:rsid w:val="2E8F383F"/>
    <w:rsid w:val="2EE527DD"/>
    <w:rsid w:val="2F52338D"/>
    <w:rsid w:val="2F5B762F"/>
    <w:rsid w:val="2F7D40EF"/>
    <w:rsid w:val="2FA45854"/>
    <w:rsid w:val="2FC879D0"/>
    <w:rsid w:val="2FFC73E9"/>
    <w:rsid w:val="30445579"/>
    <w:rsid w:val="30451627"/>
    <w:rsid w:val="30724F38"/>
    <w:rsid w:val="316442A7"/>
    <w:rsid w:val="318D5B92"/>
    <w:rsid w:val="319C62A7"/>
    <w:rsid w:val="31EB07E1"/>
    <w:rsid w:val="323C7542"/>
    <w:rsid w:val="325546EB"/>
    <w:rsid w:val="32625925"/>
    <w:rsid w:val="327567D9"/>
    <w:rsid w:val="33177120"/>
    <w:rsid w:val="334D158B"/>
    <w:rsid w:val="337F6063"/>
    <w:rsid w:val="338B103C"/>
    <w:rsid w:val="3419195C"/>
    <w:rsid w:val="346410F7"/>
    <w:rsid w:val="348C6C89"/>
    <w:rsid w:val="34E03E25"/>
    <w:rsid w:val="34E6283D"/>
    <w:rsid w:val="351B1DBB"/>
    <w:rsid w:val="352041F6"/>
    <w:rsid w:val="35433FF4"/>
    <w:rsid w:val="35B22837"/>
    <w:rsid w:val="35EA2872"/>
    <w:rsid w:val="35EB5C31"/>
    <w:rsid w:val="35F94748"/>
    <w:rsid w:val="36BA5D2F"/>
    <w:rsid w:val="36CE3589"/>
    <w:rsid w:val="375647BE"/>
    <w:rsid w:val="37674F59"/>
    <w:rsid w:val="377D79F7"/>
    <w:rsid w:val="379F6CD3"/>
    <w:rsid w:val="38622C91"/>
    <w:rsid w:val="38697A27"/>
    <w:rsid w:val="38B93DC5"/>
    <w:rsid w:val="38DC0ADF"/>
    <w:rsid w:val="391A34DD"/>
    <w:rsid w:val="3949081A"/>
    <w:rsid w:val="3A267238"/>
    <w:rsid w:val="3A5D744B"/>
    <w:rsid w:val="3AF57967"/>
    <w:rsid w:val="3B077A13"/>
    <w:rsid w:val="3B525735"/>
    <w:rsid w:val="3B942EED"/>
    <w:rsid w:val="3BD63D67"/>
    <w:rsid w:val="3CB44C6F"/>
    <w:rsid w:val="3D136199"/>
    <w:rsid w:val="3E153786"/>
    <w:rsid w:val="3E304B29"/>
    <w:rsid w:val="3E7257C2"/>
    <w:rsid w:val="3E846C23"/>
    <w:rsid w:val="3F0C4533"/>
    <w:rsid w:val="3F391243"/>
    <w:rsid w:val="3F6B7DB8"/>
    <w:rsid w:val="3F8331B6"/>
    <w:rsid w:val="3F852C53"/>
    <w:rsid w:val="3F8B3C67"/>
    <w:rsid w:val="3FEB10CF"/>
    <w:rsid w:val="3FEE77B2"/>
    <w:rsid w:val="40547059"/>
    <w:rsid w:val="40D23050"/>
    <w:rsid w:val="416D1BF0"/>
    <w:rsid w:val="41AB219B"/>
    <w:rsid w:val="41C21505"/>
    <w:rsid w:val="41C21C8E"/>
    <w:rsid w:val="41DD6E31"/>
    <w:rsid w:val="422F0C65"/>
    <w:rsid w:val="42664BF0"/>
    <w:rsid w:val="42B705DC"/>
    <w:rsid w:val="42C46C13"/>
    <w:rsid w:val="42E61E09"/>
    <w:rsid w:val="432232ED"/>
    <w:rsid w:val="43F860E9"/>
    <w:rsid w:val="43FA3F91"/>
    <w:rsid w:val="44174DAA"/>
    <w:rsid w:val="441E64E1"/>
    <w:rsid w:val="44BC383C"/>
    <w:rsid w:val="44FD328B"/>
    <w:rsid w:val="45081179"/>
    <w:rsid w:val="452E76FC"/>
    <w:rsid w:val="45D0051A"/>
    <w:rsid w:val="45EB4A6B"/>
    <w:rsid w:val="460A3DE3"/>
    <w:rsid w:val="460F10FF"/>
    <w:rsid w:val="461B1C1B"/>
    <w:rsid w:val="465A6BE7"/>
    <w:rsid w:val="46674E60"/>
    <w:rsid w:val="466D21D2"/>
    <w:rsid w:val="46DD15C6"/>
    <w:rsid w:val="47613FA5"/>
    <w:rsid w:val="47BE3144"/>
    <w:rsid w:val="47E659CE"/>
    <w:rsid w:val="48382AE4"/>
    <w:rsid w:val="48816465"/>
    <w:rsid w:val="48840FF6"/>
    <w:rsid w:val="48AF20BB"/>
    <w:rsid w:val="48C3755E"/>
    <w:rsid w:val="48D15842"/>
    <w:rsid w:val="48DF6239"/>
    <w:rsid w:val="496B1B37"/>
    <w:rsid w:val="49823094"/>
    <w:rsid w:val="49C32C2B"/>
    <w:rsid w:val="49C5614D"/>
    <w:rsid w:val="4A635BBB"/>
    <w:rsid w:val="4A6F69D9"/>
    <w:rsid w:val="4AC91133"/>
    <w:rsid w:val="4AF313B8"/>
    <w:rsid w:val="4AF436B7"/>
    <w:rsid w:val="4BE178D7"/>
    <w:rsid w:val="4C5E0AB3"/>
    <w:rsid w:val="4C695A12"/>
    <w:rsid w:val="4CD93C2A"/>
    <w:rsid w:val="4CEF5757"/>
    <w:rsid w:val="4CFE515E"/>
    <w:rsid w:val="4D541619"/>
    <w:rsid w:val="4D5F5823"/>
    <w:rsid w:val="4D722A68"/>
    <w:rsid w:val="4D812EFE"/>
    <w:rsid w:val="4D9E2A9F"/>
    <w:rsid w:val="4DBD7BAD"/>
    <w:rsid w:val="4DDC4CDE"/>
    <w:rsid w:val="4DE35714"/>
    <w:rsid w:val="4E4667BA"/>
    <w:rsid w:val="4E470D22"/>
    <w:rsid w:val="4E665C6B"/>
    <w:rsid w:val="4E845B95"/>
    <w:rsid w:val="4E926072"/>
    <w:rsid w:val="4EA533B8"/>
    <w:rsid w:val="4F120703"/>
    <w:rsid w:val="4F594562"/>
    <w:rsid w:val="4FA17635"/>
    <w:rsid w:val="4FA63D9B"/>
    <w:rsid w:val="500F5095"/>
    <w:rsid w:val="501659C4"/>
    <w:rsid w:val="5050360E"/>
    <w:rsid w:val="507C5017"/>
    <w:rsid w:val="508A631B"/>
    <w:rsid w:val="50C7663B"/>
    <w:rsid w:val="50F47AA0"/>
    <w:rsid w:val="510A120A"/>
    <w:rsid w:val="512162A4"/>
    <w:rsid w:val="513933BD"/>
    <w:rsid w:val="51651AFA"/>
    <w:rsid w:val="51880D03"/>
    <w:rsid w:val="51FB5072"/>
    <w:rsid w:val="51FE0D6E"/>
    <w:rsid w:val="52005CB1"/>
    <w:rsid w:val="52392F23"/>
    <w:rsid w:val="52DE294E"/>
    <w:rsid w:val="531E117D"/>
    <w:rsid w:val="531E71EE"/>
    <w:rsid w:val="534702D4"/>
    <w:rsid w:val="534933B3"/>
    <w:rsid w:val="5363274E"/>
    <w:rsid w:val="53BA42F7"/>
    <w:rsid w:val="53C11E36"/>
    <w:rsid w:val="543A753C"/>
    <w:rsid w:val="54574766"/>
    <w:rsid w:val="546F4F30"/>
    <w:rsid w:val="54AD41BA"/>
    <w:rsid w:val="54D16685"/>
    <w:rsid w:val="54DC3E90"/>
    <w:rsid w:val="55654C60"/>
    <w:rsid w:val="55833339"/>
    <w:rsid w:val="558419F7"/>
    <w:rsid w:val="55ED165F"/>
    <w:rsid w:val="55FA2711"/>
    <w:rsid w:val="56336E29"/>
    <w:rsid w:val="56625664"/>
    <w:rsid w:val="56EE1CD3"/>
    <w:rsid w:val="573B508E"/>
    <w:rsid w:val="57C61E34"/>
    <w:rsid w:val="58954EE5"/>
    <w:rsid w:val="590205CA"/>
    <w:rsid w:val="5904189E"/>
    <w:rsid w:val="594E5382"/>
    <w:rsid w:val="599E6993"/>
    <w:rsid w:val="59A050B6"/>
    <w:rsid w:val="59EB1258"/>
    <w:rsid w:val="5A215550"/>
    <w:rsid w:val="5A3051B0"/>
    <w:rsid w:val="5AAB305B"/>
    <w:rsid w:val="5B22707F"/>
    <w:rsid w:val="5B321125"/>
    <w:rsid w:val="5B570A59"/>
    <w:rsid w:val="5C5D2B83"/>
    <w:rsid w:val="5CA2740F"/>
    <w:rsid w:val="5CD9007F"/>
    <w:rsid w:val="5D0D1AD8"/>
    <w:rsid w:val="5D40019E"/>
    <w:rsid w:val="5D46494E"/>
    <w:rsid w:val="5D547268"/>
    <w:rsid w:val="5D7E11B1"/>
    <w:rsid w:val="5E023994"/>
    <w:rsid w:val="5E086AD1"/>
    <w:rsid w:val="5E204864"/>
    <w:rsid w:val="5E2659E9"/>
    <w:rsid w:val="5F2B0CC9"/>
    <w:rsid w:val="5F603AC2"/>
    <w:rsid w:val="5FA713CA"/>
    <w:rsid w:val="5FD56C18"/>
    <w:rsid w:val="607C3F6E"/>
    <w:rsid w:val="60BC3EA8"/>
    <w:rsid w:val="612230C3"/>
    <w:rsid w:val="61371463"/>
    <w:rsid w:val="614C3A0E"/>
    <w:rsid w:val="617E3CED"/>
    <w:rsid w:val="618172C6"/>
    <w:rsid w:val="624106FA"/>
    <w:rsid w:val="62630CD8"/>
    <w:rsid w:val="62854AC2"/>
    <w:rsid w:val="62977B91"/>
    <w:rsid w:val="62D41F56"/>
    <w:rsid w:val="62DC6B16"/>
    <w:rsid w:val="632F68AE"/>
    <w:rsid w:val="633B4AD1"/>
    <w:rsid w:val="6354082F"/>
    <w:rsid w:val="6376769F"/>
    <w:rsid w:val="63A0423C"/>
    <w:rsid w:val="63A77F35"/>
    <w:rsid w:val="63D32D5C"/>
    <w:rsid w:val="63D4385D"/>
    <w:rsid w:val="643411C5"/>
    <w:rsid w:val="64395110"/>
    <w:rsid w:val="64B313E4"/>
    <w:rsid w:val="65660E25"/>
    <w:rsid w:val="656C22FF"/>
    <w:rsid w:val="65B504A3"/>
    <w:rsid w:val="660A3F5C"/>
    <w:rsid w:val="66104A11"/>
    <w:rsid w:val="662242C4"/>
    <w:rsid w:val="66476B75"/>
    <w:rsid w:val="66CD4D5B"/>
    <w:rsid w:val="67082963"/>
    <w:rsid w:val="672C734E"/>
    <w:rsid w:val="677347DE"/>
    <w:rsid w:val="679C4B3C"/>
    <w:rsid w:val="67E469E8"/>
    <w:rsid w:val="67EC1C1D"/>
    <w:rsid w:val="68231A52"/>
    <w:rsid w:val="682409AB"/>
    <w:rsid w:val="685272C6"/>
    <w:rsid w:val="68817306"/>
    <w:rsid w:val="68BC56D6"/>
    <w:rsid w:val="690D5A96"/>
    <w:rsid w:val="690F5A4B"/>
    <w:rsid w:val="69B55D5F"/>
    <w:rsid w:val="69C441F4"/>
    <w:rsid w:val="69DD0FAB"/>
    <w:rsid w:val="69F85C3D"/>
    <w:rsid w:val="69FD7706"/>
    <w:rsid w:val="6A0C16F7"/>
    <w:rsid w:val="6A84211C"/>
    <w:rsid w:val="6AEF556B"/>
    <w:rsid w:val="6AFB3C45"/>
    <w:rsid w:val="6B133AE7"/>
    <w:rsid w:val="6B140E20"/>
    <w:rsid w:val="6B19231D"/>
    <w:rsid w:val="6B216E94"/>
    <w:rsid w:val="6BC06917"/>
    <w:rsid w:val="6BC61AA1"/>
    <w:rsid w:val="6C162BB1"/>
    <w:rsid w:val="6C224F66"/>
    <w:rsid w:val="6C6E6C0B"/>
    <w:rsid w:val="6D196605"/>
    <w:rsid w:val="6D270D72"/>
    <w:rsid w:val="6D914D2B"/>
    <w:rsid w:val="6DB079D9"/>
    <w:rsid w:val="6E496B96"/>
    <w:rsid w:val="6E8126B3"/>
    <w:rsid w:val="6E8E4DD0"/>
    <w:rsid w:val="6EAD40D0"/>
    <w:rsid w:val="6F456399"/>
    <w:rsid w:val="6FE37547"/>
    <w:rsid w:val="703917D0"/>
    <w:rsid w:val="7080214B"/>
    <w:rsid w:val="70841122"/>
    <w:rsid w:val="70E346B3"/>
    <w:rsid w:val="71291E9C"/>
    <w:rsid w:val="718B1846"/>
    <w:rsid w:val="71B132B0"/>
    <w:rsid w:val="725B146D"/>
    <w:rsid w:val="728F6FF6"/>
    <w:rsid w:val="72C93622"/>
    <w:rsid w:val="72EB0A43"/>
    <w:rsid w:val="73E66D78"/>
    <w:rsid w:val="73E84726"/>
    <w:rsid w:val="746F2FAE"/>
    <w:rsid w:val="74942A15"/>
    <w:rsid w:val="74E84B1D"/>
    <w:rsid w:val="7507768A"/>
    <w:rsid w:val="75186859"/>
    <w:rsid w:val="757226DA"/>
    <w:rsid w:val="75E071B6"/>
    <w:rsid w:val="75F80AB3"/>
    <w:rsid w:val="761963DA"/>
    <w:rsid w:val="762D4ECF"/>
    <w:rsid w:val="76910B3B"/>
    <w:rsid w:val="76C74CC5"/>
    <w:rsid w:val="76E65F0F"/>
    <w:rsid w:val="77104B35"/>
    <w:rsid w:val="776B08D8"/>
    <w:rsid w:val="77C4221A"/>
    <w:rsid w:val="77CC6333"/>
    <w:rsid w:val="78BB4A14"/>
    <w:rsid w:val="798219D5"/>
    <w:rsid w:val="7A10202B"/>
    <w:rsid w:val="7A1C0995"/>
    <w:rsid w:val="7AB65A43"/>
    <w:rsid w:val="7AFC5AB2"/>
    <w:rsid w:val="7B0E42F1"/>
    <w:rsid w:val="7B6E0463"/>
    <w:rsid w:val="7BD51364"/>
    <w:rsid w:val="7C063938"/>
    <w:rsid w:val="7C103FCD"/>
    <w:rsid w:val="7C1846CC"/>
    <w:rsid w:val="7C277F58"/>
    <w:rsid w:val="7C2D5CFF"/>
    <w:rsid w:val="7CBB532E"/>
    <w:rsid w:val="7D4F1110"/>
    <w:rsid w:val="7D5668E0"/>
    <w:rsid w:val="7D746B93"/>
    <w:rsid w:val="7D944155"/>
    <w:rsid w:val="7DB06B11"/>
    <w:rsid w:val="7DE22FAC"/>
    <w:rsid w:val="7DE642E1"/>
    <w:rsid w:val="7DF82266"/>
    <w:rsid w:val="7DFF2757"/>
    <w:rsid w:val="7E427D52"/>
    <w:rsid w:val="7E57523F"/>
    <w:rsid w:val="7E61605D"/>
    <w:rsid w:val="7E631361"/>
    <w:rsid w:val="7E7F1C3B"/>
    <w:rsid w:val="7EB93327"/>
    <w:rsid w:val="7EF56040"/>
    <w:rsid w:val="7F4969E0"/>
    <w:rsid w:val="7F6A0F42"/>
    <w:rsid w:val="7F9C22DE"/>
    <w:rsid w:val="7FBC6F81"/>
    <w:rsid w:val="7FC65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4"/>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0"/>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8"/>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5"/>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2"/>
    <w:qFormat/>
    <w:uiPriority w:val="0"/>
    <w:rPr>
      <w:rFonts w:asciiTheme="minorHAnsi" w:hAnsiTheme="minorHAnsi" w:eastAsiaTheme="minorEastAsia" w:cstheme="minorBidi"/>
      <w:kern w:val="2"/>
      <w:sz w:val="18"/>
      <w:szCs w:val="18"/>
    </w:rPr>
  </w:style>
  <w:style w:type="paragraph" w:styleId="29">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index 1"/>
    <w:basedOn w:val="1"/>
    <w:next w:val="1"/>
    <w:qFormat/>
    <w:uiPriority w:val="0"/>
    <w:pPr>
      <w:tabs>
        <w:tab w:val="right" w:leader="dot" w:pos="8306"/>
      </w:tabs>
      <w:adjustRightInd w:val="0"/>
      <w:spacing w:before="80" w:after="80" w:line="320" w:lineRule="atLeast"/>
      <w:textAlignment w:val="baseline"/>
    </w:pPr>
    <w:rPr>
      <w:rFonts w:ascii="Times New Roman" w:hAnsi="Times New Roman"/>
      <w:kern w:val="0"/>
      <w:sz w:val="24"/>
      <w:szCs w:val="20"/>
    </w:rPr>
  </w:style>
  <w:style w:type="paragraph" w:styleId="43">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3"/>
    <w:qFormat/>
    <w:uiPriority w:val="0"/>
    <w:rPr>
      <w:b/>
    </w:rPr>
  </w:style>
  <w:style w:type="paragraph" w:styleId="45">
    <w:name w:val="Body Text First Indent"/>
    <w:basedOn w:val="2"/>
    <w:link w:val="97"/>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basedOn w:val="49"/>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0"/>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0"/>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paragraph" w:customStyle="1" w:styleId="6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64">
    <w:name w:val="标题 1 字符"/>
    <w:basedOn w:val="49"/>
    <w:link w:val="3"/>
    <w:qFormat/>
    <w:uiPriority w:val="0"/>
    <w:rPr>
      <w:rFonts w:ascii="宋体" w:hAnsi="宋体" w:eastAsia="宋体" w:cs="Times New Roman"/>
      <w:b/>
      <w:bCs/>
      <w:kern w:val="44"/>
      <w:sz w:val="32"/>
      <w:szCs w:val="32"/>
    </w:rPr>
  </w:style>
  <w:style w:type="character" w:customStyle="1" w:styleId="65">
    <w:name w:val="标题 2 字符"/>
    <w:basedOn w:val="49"/>
    <w:link w:val="4"/>
    <w:qFormat/>
    <w:uiPriority w:val="0"/>
    <w:rPr>
      <w:rFonts w:ascii="宋体" w:hAnsi="宋体" w:eastAsia="宋体" w:cs="Times New Roman"/>
      <w:b/>
      <w:bCs/>
      <w:iCs/>
      <w:kern w:val="0"/>
      <w:sz w:val="28"/>
      <w:szCs w:val="28"/>
    </w:rPr>
  </w:style>
  <w:style w:type="character" w:customStyle="1" w:styleId="66">
    <w:name w:val="标题 3 字符"/>
    <w:basedOn w:val="49"/>
    <w:link w:val="5"/>
    <w:qFormat/>
    <w:uiPriority w:val="0"/>
    <w:rPr>
      <w:rFonts w:ascii="宋体" w:hAnsi="宋体" w:eastAsia="宋体" w:cs="Times New Roman"/>
      <w:b/>
      <w:bCs/>
      <w:color w:val="000000"/>
      <w:sz w:val="28"/>
      <w:szCs w:val="28"/>
    </w:rPr>
  </w:style>
  <w:style w:type="character" w:customStyle="1" w:styleId="67">
    <w:name w:val="标题 4 字符"/>
    <w:basedOn w:val="49"/>
    <w:link w:val="6"/>
    <w:qFormat/>
    <w:uiPriority w:val="0"/>
    <w:rPr>
      <w:rFonts w:ascii="宋体" w:hAnsi="宋体" w:eastAsia="宋体" w:cs="Times New Roman"/>
      <w:b/>
      <w:bCs/>
      <w:kern w:val="0"/>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sz w:val="24"/>
      <w:szCs w:val="24"/>
    </w:rPr>
  </w:style>
  <w:style w:type="character" w:customStyle="1" w:styleId="70">
    <w:name w:val="标题 7 字符"/>
    <w:basedOn w:val="49"/>
    <w:link w:val="9"/>
    <w:qFormat/>
    <w:uiPriority w:val="0"/>
    <w:rPr>
      <w:rFonts w:ascii="Arial Narrow" w:hAnsi="Arial Narrow" w:eastAsia="宋体" w:cs="Times New Roman"/>
      <w:b/>
      <w:kern w:val="0"/>
      <w:sz w:val="20"/>
      <w:szCs w:val="20"/>
      <w:lang w:eastAsia="en-US"/>
    </w:rPr>
  </w:style>
  <w:style w:type="character" w:customStyle="1" w:styleId="71">
    <w:name w:val="标题 8 字符"/>
    <w:basedOn w:val="49"/>
    <w:link w:val="10"/>
    <w:qFormat/>
    <w:uiPriority w:val="0"/>
    <w:rPr>
      <w:rFonts w:ascii="Arial" w:hAnsi="Arial" w:eastAsia="黑体" w:cs="Times New Roman"/>
      <w:sz w:val="24"/>
      <w:szCs w:val="20"/>
    </w:rPr>
  </w:style>
  <w:style w:type="character" w:customStyle="1" w:styleId="72">
    <w:name w:val="标题 9 字符"/>
    <w:basedOn w:val="49"/>
    <w:link w:val="11"/>
    <w:qFormat/>
    <w:uiPriority w:val="0"/>
    <w:rPr>
      <w:rFonts w:ascii="Arial" w:hAnsi="Arial" w:eastAsia="黑体" w:cs="Times New Roman"/>
      <w:szCs w:val="20"/>
    </w:rPr>
  </w:style>
  <w:style w:type="character" w:customStyle="1" w:styleId="73">
    <w:name w:val="批注主题 字符"/>
    <w:link w:val="44"/>
    <w:qFormat/>
    <w:uiPriority w:val="0"/>
    <w:rPr>
      <w:b/>
      <w:sz w:val="18"/>
    </w:rPr>
  </w:style>
  <w:style w:type="character" w:customStyle="1" w:styleId="74">
    <w:name w:val="访问过的超链接1"/>
    <w:qFormat/>
    <w:uiPriority w:val="0"/>
    <w:rPr>
      <w:color w:val="800080"/>
      <w:u w:val="single"/>
    </w:rPr>
  </w:style>
  <w:style w:type="character" w:customStyle="1" w:styleId="75">
    <w:name w:val="批注文字 字符"/>
    <w:link w:val="16"/>
    <w:qFormat/>
    <w:uiPriority w:val="0"/>
    <w:rPr>
      <w:sz w:val="18"/>
    </w:rPr>
  </w:style>
  <w:style w:type="character" w:customStyle="1" w:styleId="76">
    <w:name w:val="fontblank12"/>
    <w:basedOn w:val="49"/>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49"/>
    <w:qFormat/>
    <w:uiPriority w:val="0"/>
  </w:style>
  <w:style w:type="character" w:customStyle="1" w:styleId="81">
    <w:name w:val="列出段落 字符"/>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字符"/>
    <w:link w:val="40"/>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字符"/>
    <w:link w:val="29"/>
    <w:qFormat/>
    <w:uiPriority w:val="99"/>
    <w:rPr>
      <w:sz w:val="18"/>
      <w:szCs w:val="18"/>
    </w:rPr>
  </w:style>
  <w:style w:type="character" w:customStyle="1" w:styleId="90">
    <w:name w:val="keyword"/>
    <w:basedOn w:val="49"/>
    <w:qFormat/>
    <w:uiPriority w:val="0"/>
  </w:style>
  <w:style w:type="character" w:customStyle="1" w:styleId="91">
    <w:name w:val="文档结构图 字符"/>
    <w:link w:val="15"/>
    <w:qFormat/>
    <w:uiPriority w:val="0"/>
    <w:rPr>
      <w:rFonts w:ascii="宋体"/>
      <w:sz w:val="18"/>
      <w:szCs w:val="18"/>
    </w:rPr>
  </w:style>
  <w:style w:type="character" w:customStyle="1" w:styleId="92">
    <w:name w:val="日期 字符"/>
    <w:link w:val="26"/>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字符"/>
    <w:link w:val="36"/>
    <w:qFormat/>
    <w:uiPriority w:val="0"/>
    <w:rPr>
      <w:sz w:val="16"/>
      <w:szCs w:val="16"/>
    </w:rPr>
  </w:style>
  <w:style w:type="character" w:customStyle="1" w:styleId="96">
    <w:name w:val="正文文本缩进 字符"/>
    <w:link w:val="19"/>
    <w:qFormat/>
    <w:uiPriority w:val="0"/>
    <w:rPr>
      <w:rFonts w:ascii="宋体"/>
      <w:sz w:val="30"/>
      <w:szCs w:val="24"/>
    </w:rPr>
  </w:style>
  <w:style w:type="character" w:customStyle="1" w:styleId="97">
    <w:name w:val="正文首行缩进 字符"/>
    <w:link w:val="45"/>
    <w:qFormat/>
    <w:uiPriority w:val="0"/>
    <w:rPr>
      <w:rFonts w:ascii="宋体" w:hAnsi="宋体"/>
      <w:szCs w:val="24"/>
    </w:rPr>
  </w:style>
  <w:style w:type="character" w:customStyle="1" w:styleId="98">
    <w:name w:val="正文缩进 字符"/>
    <w:link w:val="13"/>
    <w:qFormat/>
    <w:uiPriority w:val="0"/>
    <w:rPr>
      <w:szCs w:val="24"/>
    </w:rPr>
  </w:style>
  <w:style w:type="character" w:customStyle="1" w:styleId="99">
    <w:name w:val="称呼 字符"/>
    <w:link w:val="17"/>
    <w:qFormat/>
    <w:uiPriority w:val="0"/>
    <w:rPr>
      <w:rFonts w:eastAsia="黑体"/>
      <w:sz w:val="24"/>
    </w:rPr>
  </w:style>
  <w:style w:type="character" w:customStyle="1" w:styleId="100">
    <w:name w:val="正文文本 字符"/>
    <w:link w:val="2"/>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字符"/>
    <w:link w:val="28"/>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49"/>
    <w:qFormat/>
    <w:uiPriority w:val="0"/>
  </w:style>
  <w:style w:type="character" w:customStyle="1" w:styleId="106">
    <w:name w:val="页眉 字符"/>
    <w:link w:val="30"/>
    <w:qFormat/>
    <w:uiPriority w:val="0"/>
    <w:rPr>
      <w:sz w:val="18"/>
      <w:szCs w:val="18"/>
    </w:rPr>
  </w:style>
  <w:style w:type="character" w:customStyle="1" w:styleId="107">
    <w:name w:val="正文文本缩进 2 字符"/>
    <w:link w:val="27"/>
    <w:qFormat/>
    <w:uiPriority w:val="0"/>
    <w:rPr>
      <w:szCs w:val="24"/>
    </w:rPr>
  </w:style>
  <w:style w:type="character" w:customStyle="1" w:styleId="108">
    <w:name w:val="正文文本 3 字符"/>
    <w:link w:val="18"/>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字符"/>
    <w:link w:val="43"/>
    <w:qFormat/>
    <w:uiPriority w:val="0"/>
    <w:rPr>
      <w:rFonts w:ascii="Cambria" w:hAnsi="Cambria"/>
      <w:b/>
      <w:bCs/>
      <w:sz w:val="32"/>
      <w:szCs w:val="32"/>
    </w:rPr>
  </w:style>
  <w:style w:type="character" w:customStyle="1" w:styleId="111">
    <w:name w:val="纯文本 字符"/>
    <w:link w:val="24"/>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49"/>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49"/>
    <w:semiHidden/>
    <w:qFormat/>
    <w:uiPriority w:val="99"/>
    <w:rPr>
      <w:rFonts w:ascii="Times New Roman" w:hAnsi="Times New Roman" w:eastAsia="宋体" w:cs="Times New Roman"/>
      <w:kern w:val="0"/>
      <w:sz w:val="18"/>
      <w:szCs w:val="18"/>
    </w:rPr>
  </w:style>
  <w:style w:type="character" w:customStyle="1" w:styleId="125">
    <w:name w:val="正文文本 Char1"/>
    <w:basedOn w:val="49"/>
    <w:qFormat/>
    <w:uiPriority w:val="0"/>
    <w:rPr>
      <w:rFonts w:ascii="Times New Roman" w:hAnsi="Times New Roman" w:eastAsia="宋体" w:cs="Times New Roman"/>
      <w:kern w:val="0"/>
      <w:sz w:val="24"/>
      <w:szCs w:val="24"/>
    </w:rPr>
  </w:style>
  <w:style w:type="character" w:customStyle="1" w:styleId="126">
    <w:name w:val="批注框文本 Char1"/>
    <w:basedOn w:val="49"/>
    <w:qFormat/>
    <w:uiPriority w:val="0"/>
    <w:rPr>
      <w:rFonts w:ascii="Times New Roman" w:hAnsi="Times New Roman" w:eastAsia="宋体" w:cs="Times New Roman"/>
      <w:kern w:val="0"/>
      <w:sz w:val="18"/>
      <w:szCs w:val="18"/>
    </w:rPr>
  </w:style>
  <w:style w:type="character" w:customStyle="1" w:styleId="127">
    <w:name w:val="称呼 Char1"/>
    <w:basedOn w:val="49"/>
    <w:semiHidden/>
    <w:qFormat/>
    <w:uiPriority w:val="99"/>
    <w:rPr>
      <w:rFonts w:ascii="Times New Roman" w:hAnsi="Times New Roman" w:eastAsia="宋体" w:cs="Times New Roman"/>
      <w:kern w:val="0"/>
      <w:sz w:val="24"/>
      <w:szCs w:val="24"/>
    </w:rPr>
  </w:style>
  <w:style w:type="character" w:customStyle="1" w:styleId="128">
    <w:name w:val="批注文字 Char1"/>
    <w:basedOn w:val="49"/>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49"/>
    <w:qFormat/>
    <w:uiPriority w:val="99"/>
    <w:rPr>
      <w:rFonts w:ascii="Times New Roman" w:hAnsi="Times New Roman" w:eastAsia="宋体" w:cs="Times New Roman"/>
      <w:kern w:val="0"/>
      <w:sz w:val="24"/>
      <w:szCs w:val="24"/>
    </w:rPr>
  </w:style>
  <w:style w:type="character" w:customStyle="1" w:styleId="131">
    <w:name w:val="页脚 Char1"/>
    <w:basedOn w:val="49"/>
    <w:qFormat/>
    <w:uiPriority w:val="99"/>
    <w:rPr>
      <w:rFonts w:ascii="Times New Roman" w:hAnsi="Times New Roman" w:eastAsia="宋体" w:cs="Times New Roman"/>
      <w:kern w:val="0"/>
      <w:sz w:val="18"/>
      <w:szCs w:val="18"/>
    </w:rPr>
  </w:style>
  <w:style w:type="character" w:customStyle="1" w:styleId="132">
    <w:name w:val="正文文本 3 Char1"/>
    <w:basedOn w:val="49"/>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49"/>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49"/>
    <w:qFormat/>
    <w:uiPriority w:val="0"/>
    <w:rPr>
      <w:rFonts w:ascii="Times New Roman" w:hAnsi="Times New Roman" w:eastAsia="宋体" w:cs="Times New Roman"/>
      <w:kern w:val="0"/>
      <w:sz w:val="24"/>
      <w:szCs w:val="24"/>
    </w:rPr>
  </w:style>
  <w:style w:type="character" w:customStyle="1" w:styleId="140">
    <w:name w:val="正文文本缩进 2 Char1"/>
    <w:basedOn w:val="49"/>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49"/>
    <w:qFormat/>
    <w:uiPriority w:val="0"/>
    <w:rPr>
      <w:rFonts w:ascii="Times New Roman" w:hAnsi="Times New Roman" w:eastAsia="宋体" w:cs="Times New Roman"/>
      <w:kern w:val="0"/>
      <w:sz w:val="16"/>
      <w:szCs w:val="16"/>
    </w:rPr>
  </w:style>
  <w:style w:type="character" w:customStyle="1" w:styleId="143">
    <w:name w:val="正文文本 2 Char1"/>
    <w:basedOn w:val="49"/>
    <w:qFormat/>
    <w:uiPriority w:val="0"/>
    <w:rPr>
      <w:rFonts w:ascii="Times New Roman" w:hAnsi="Times New Roman" w:eastAsia="宋体" w:cs="Times New Roman"/>
      <w:kern w:val="0"/>
      <w:sz w:val="24"/>
      <w:szCs w:val="24"/>
    </w:rPr>
  </w:style>
  <w:style w:type="character" w:customStyle="1" w:styleId="144">
    <w:name w:val="标题 Char1"/>
    <w:basedOn w:val="49"/>
    <w:qFormat/>
    <w:uiPriority w:val="10"/>
    <w:rPr>
      <w:rFonts w:eastAsia="宋体" w:asciiTheme="majorHAnsi" w:hAnsiTheme="majorHAnsi" w:cstheme="majorBidi"/>
      <w:b/>
      <w:bCs/>
      <w:kern w:val="0"/>
      <w:sz w:val="32"/>
      <w:szCs w:val="32"/>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link w:val="37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字符"/>
    <w:link w:val="34"/>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0"/>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0"/>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字符"/>
    <w:link w:val="33"/>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2">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0"/>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0"/>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字符"/>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字符"/>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0">
    <w:name w:val="不明显强调11"/>
    <w:qFormat/>
    <w:uiPriority w:val="0"/>
    <w:rPr>
      <w:i/>
      <w:iCs/>
      <w:color w:val="808080"/>
    </w:rPr>
  </w:style>
  <w:style w:type="character" w:customStyle="1" w:styleId="371">
    <w:name w:val="明显参考11"/>
    <w:qFormat/>
    <w:uiPriority w:val="0"/>
    <w:rPr>
      <w:b/>
      <w:bCs/>
      <w:smallCaps/>
      <w:color w:val="C0504D"/>
      <w:spacing w:val="5"/>
      <w:u w:val="single"/>
    </w:rPr>
  </w:style>
  <w:style w:type="character" w:customStyle="1" w:styleId="372">
    <w:name w:val="书籍标题11"/>
    <w:qFormat/>
    <w:uiPriority w:val="0"/>
    <w:rPr>
      <w:b/>
      <w:bCs/>
      <w:smallCaps/>
      <w:spacing w:val="5"/>
    </w:rPr>
  </w:style>
  <w:style w:type="character" w:customStyle="1" w:styleId="373">
    <w:name w:val="明显强调11"/>
    <w:qFormat/>
    <w:uiPriority w:val="0"/>
    <w:rPr>
      <w:b/>
      <w:bCs/>
      <w:i/>
      <w:iCs/>
      <w:color w:val="4F81BD"/>
    </w:rPr>
  </w:style>
  <w:style w:type="character" w:customStyle="1" w:styleId="374">
    <w:name w:val="不明显参考11"/>
    <w:qFormat/>
    <w:uiPriority w:val="0"/>
    <w:rPr>
      <w:smallCaps/>
      <w:color w:val="C0504D"/>
      <w:u w:val="single"/>
    </w:rPr>
  </w:style>
  <w:style w:type="character" w:customStyle="1" w:styleId="375">
    <w:name w:val="样式 Char Char"/>
    <w:link w:val="149"/>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18E02E-1B1C-4504-A790-FA84F93EDDA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112</Pages>
  <Words>37684</Words>
  <Characters>39315</Characters>
  <Lines>55</Lines>
  <Paragraphs>95</Paragraphs>
  <TotalTime>1</TotalTime>
  <ScaleCrop>false</ScaleCrop>
  <LinksUpToDate>false</LinksUpToDate>
  <CharactersWithSpaces>39903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2021-12-20T08:04:09Z</cp:lastPrinted>
  <dcterms:modified xsi:type="dcterms:W3CDTF">2021-12-20T08:08:32Z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BF85489FB8CB4EA0AB3C8BB6BFC6889B</vt:lpwstr>
  </property>
</Properties>
</file>