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华文中宋" w:hAnsi="华文中宋" w:eastAsia="华文中宋"/>
          <w:sz w:val="28"/>
          <w:szCs w:val="18"/>
        </w:rPr>
      </w:pPr>
    </w:p>
    <w:p>
      <w:pPr>
        <w:spacing w:line="360" w:lineRule="auto"/>
        <w:jc w:val="center"/>
        <w:rPr>
          <w:rFonts w:hint="default" w:eastAsia="华文中宋"/>
          <w:lang w:val="en-US" w:eastAsia="zh-CN"/>
        </w:rPr>
      </w:pPr>
      <w:r>
        <w:rPr>
          <w:rFonts w:hint="eastAsia" w:ascii="华文中宋" w:hAnsi="华文中宋" w:eastAsia="华文中宋"/>
          <w:spacing w:val="42"/>
          <w:sz w:val="130"/>
          <w:szCs w:val="130"/>
        </w:rPr>
        <w:t>招 标 文 件</w:t>
      </w:r>
      <w:r>
        <w:rPr>
          <w:rFonts w:hint="eastAsia" w:ascii="华文中宋" w:hAnsi="华文中宋" w:eastAsia="华文中宋"/>
          <w:spacing w:val="42"/>
          <w:sz w:val="130"/>
          <w:szCs w:val="130"/>
          <w:lang w:val="en-US" w:eastAsia="zh-CN"/>
        </w:rPr>
        <w:t xml:space="preserve">    </w:t>
      </w:r>
    </w:p>
    <w:p>
      <w:pPr>
        <w:spacing w:line="360" w:lineRule="auto"/>
        <w:ind w:left="2318" w:leftChars="304" w:hanging="1680" w:hangingChars="523"/>
        <w:rPr>
          <w:rFonts w:hint="eastAsia" w:ascii="华文中宋" w:hAnsi="华文中宋" w:eastAsia="华文中宋"/>
          <w:b/>
          <w:bCs/>
          <w:sz w:val="32"/>
          <w:szCs w:val="32"/>
        </w:rPr>
      </w:pPr>
    </w:p>
    <w:p>
      <w:pPr>
        <w:spacing w:line="360" w:lineRule="auto"/>
        <w:ind w:left="2318" w:leftChars="304" w:hanging="1680" w:hangingChars="523"/>
        <w:rPr>
          <w:rFonts w:hint="eastAsia" w:ascii="华文中宋" w:hAnsi="华文中宋" w:eastAsia="华文中宋"/>
          <w:b/>
          <w:bCs/>
          <w:sz w:val="32"/>
          <w:szCs w:val="32"/>
        </w:rPr>
      </w:pPr>
    </w:p>
    <w:p>
      <w:pPr>
        <w:spacing w:line="360" w:lineRule="auto"/>
        <w:ind w:left="2318" w:leftChars="304" w:hanging="1680" w:hangingChars="523"/>
        <w:rPr>
          <w:rFonts w:hint="eastAsia" w:ascii="华文中宋" w:hAnsi="华文中宋" w:eastAsia="华文中宋"/>
          <w:b/>
          <w:bCs/>
          <w:sz w:val="32"/>
          <w:szCs w:val="32"/>
        </w:rPr>
      </w:pPr>
    </w:p>
    <w:p>
      <w:pPr>
        <w:spacing w:line="360" w:lineRule="auto"/>
        <w:ind w:left="2318" w:leftChars="304" w:hanging="1680" w:hangingChars="523"/>
        <w:rPr>
          <w:rFonts w:hint="eastAsia" w:ascii="华文中宋" w:hAnsi="华文中宋" w:eastAsia="华文中宋"/>
          <w:b/>
          <w:bCs/>
          <w:sz w:val="32"/>
          <w:szCs w:val="32"/>
        </w:rPr>
      </w:pPr>
    </w:p>
    <w:p>
      <w:pPr>
        <w:spacing w:line="360" w:lineRule="auto"/>
        <w:ind w:left="2311" w:leftChars="304" w:hanging="1673" w:hangingChars="523"/>
        <w:rPr>
          <w:rFonts w:hint="eastAsia" w:ascii="华文中宋" w:hAnsi="华文中宋" w:eastAsia="华文中宋"/>
          <w:b w:val="0"/>
          <w:bCs w:val="0"/>
          <w:sz w:val="32"/>
          <w:szCs w:val="32"/>
          <w:lang w:eastAsia="zh-CN"/>
        </w:rPr>
      </w:pPr>
      <w:r>
        <w:rPr>
          <w:rFonts w:hint="eastAsia" w:ascii="华文中宋" w:hAnsi="华文中宋" w:eastAsia="华文中宋"/>
          <w:b w:val="0"/>
          <w:bCs w:val="0"/>
          <w:sz w:val="32"/>
          <w:szCs w:val="32"/>
        </w:rPr>
        <w:t>项目名称：</w:t>
      </w:r>
      <w:r>
        <w:rPr>
          <w:rFonts w:hint="eastAsia" w:ascii="华文中宋" w:hAnsi="华文中宋" w:eastAsia="华文中宋"/>
          <w:b w:val="0"/>
          <w:bCs w:val="0"/>
          <w:sz w:val="32"/>
          <w:szCs w:val="32"/>
          <w:lang w:eastAsia="zh-CN"/>
        </w:rPr>
        <w:t>成都市双流区人民政府九江街道办事处环卫作业及绿化管护服务采购项目</w:t>
      </w:r>
    </w:p>
    <w:p>
      <w:pPr>
        <w:spacing w:line="360" w:lineRule="auto"/>
        <w:ind w:firstLine="566" w:firstLineChars="177"/>
        <w:rPr>
          <w:rFonts w:hint="eastAsia" w:ascii="华文中宋" w:hAnsi="华文中宋" w:eastAsia="华文中宋"/>
          <w:b w:val="0"/>
          <w:bCs w:val="0"/>
          <w:sz w:val="32"/>
          <w:szCs w:val="32"/>
          <w:lang w:eastAsia="zh-CN"/>
        </w:rPr>
      </w:pPr>
      <w:r>
        <w:rPr>
          <w:rFonts w:hint="eastAsia" w:ascii="华文中宋" w:hAnsi="华文中宋" w:eastAsia="华文中宋"/>
          <w:b w:val="0"/>
          <w:bCs w:val="0"/>
          <w:sz w:val="32"/>
          <w:szCs w:val="32"/>
        </w:rPr>
        <w:t>项目编号：</w:t>
      </w:r>
      <w:r>
        <w:rPr>
          <w:rFonts w:hint="eastAsia" w:ascii="华文中宋" w:hAnsi="华文中宋" w:eastAsia="华文中宋"/>
          <w:b w:val="0"/>
          <w:bCs w:val="0"/>
          <w:sz w:val="32"/>
          <w:szCs w:val="32"/>
          <w:lang w:eastAsia="zh-CN"/>
        </w:rPr>
        <w:t xml:space="preserve">双流政采（2021）A0005号    </w:t>
      </w:r>
    </w:p>
    <w:p>
      <w:pPr>
        <w:spacing w:line="360" w:lineRule="auto"/>
        <w:ind w:firstLine="1256" w:firstLineChars="349"/>
        <w:rPr>
          <w:rFonts w:hint="eastAsia" w:ascii="华文中宋" w:hAnsi="华文中宋" w:eastAsia="华文中宋"/>
          <w:spacing w:val="20"/>
          <w:sz w:val="32"/>
          <w:szCs w:val="32"/>
        </w:rPr>
      </w:pPr>
    </w:p>
    <w:p>
      <w:pPr>
        <w:spacing w:line="360" w:lineRule="auto"/>
        <w:jc w:val="both"/>
        <w:rPr>
          <w:rFonts w:hint="eastAsia" w:ascii="华文中宋" w:hAnsi="华文中宋" w:eastAsia="华文中宋"/>
          <w:kern w:val="24"/>
          <w:sz w:val="32"/>
          <w:szCs w:val="32"/>
        </w:rPr>
      </w:pP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成都市双流区人民政府九江街道办事处</w:t>
      </w: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成都市双流区公共资源交易服务中心</w:t>
      </w: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rPr>
        <w:t>共同编制</w:t>
      </w:r>
    </w:p>
    <w:p>
      <w:pPr>
        <w:spacing w:line="360" w:lineRule="auto"/>
        <w:jc w:val="center"/>
        <w:rPr>
          <w:rFonts w:ascii="宋体" w:hAnsi="宋体"/>
          <w:b/>
          <w:sz w:val="36"/>
        </w:rPr>
      </w:pPr>
      <w:r>
        <w:rPr>
          <w:rFonts w:hint="eastAsia" w:ascii="华文中宋" w:hAnsi="华文中宋" w:eastAsia="华文中宋"/>
          <w:sz w:val="32"/>
          <w:szCs w:val="32"/>
        </w:rPr>
        <w:t>二〇二</w:t>
      </w:r>
      <w:r>
        <w:rPr>
          <w:rFonts w:hint="eastAsia" w:ascii="华文中宋" w:hAnsi="华文中宋" w:eastAsia="华文中宋"/>
          <w:sz w:val="32"/>
          <w:szCs w:val="32"/>
          <w:lang w:eastAsia="zh-CN"/>
        </w:rPr>
        <w:t>一</w:t>
      </w:r>
      <w:r>
        <w:rPr>
          <w:rFonts w:hint="eastAsia" w:ascii="华文中宋" w:hAnsi="华文中宋" w:eastAsia="华文中宋"/>
          <w:sz w:val="32"/>
          <w:szCs w:val="32"/>
        </w:rPr>
        <w:t>年</w:t>
      </w:r>
      <w:r>
        <w:rPr>
          <w:rFonts w:hint="eastAsia" w:ascii="华文中宋" w:hAnsi="华文中宋" w:eastAsia="华文中宋"/>
          <w:sz w:val="32"/>
          <w:szCs w:val="32"/>
          <w:lang w:eastAsia="zh-CN"/>
        </w:rPr>
        <w:t>七</w:t>
      </w:r>
      <w:r>
        <w:rPr>
          <w:rFonts w:hint="eastAsia" w:ascii="华文中宋" w:hAnsi="华文中宋" w:eastAsia="华文中宋"/>
          <w:sz w:val="32"/>
          <w:szCs w:val="32"/>
        </w:rPr>
        <w:t>月</w:t>
      </w:r>
      <w:r>
        <w:rPr>
          <w:rFonts w:hint="eastAsia" w:ascii="宋体" w:hAnsi="宋体"/>
        </w:rPr>
        <w:br w:type="page"/>
      </w:r>
      <w:bookmarkStart w:id="0" w:name="_Toc101328520"/>
      <w:bookmarkStart w:id="1" w:name="_Toc101234248"/>
      <w:bookmarkStart w:id="2" w:name="_Toc148505181"/>
      <w:bookmarkStart w:id="3" w:name="_Toc101247312"/>
      <w:r>
        <w:rPr>
          <w:rFonts w:hint="eastAsia" w:ascii="宋体" w:hAnsi="宋体"/>
          <w:b/>
          <w:sz w:val="32"/>
          <w:szCs w:val="32"/>
        </w:rPr>
        <w:t>目 录</w:t>
      </w:r>
    </w:p>
    <w:p>
      <w:pPr>
        <w:pStyle w:val="31"/>
        <w:tabs>
          <w:tab w:val="right" w:leader="dot" w:pos="8306"/>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_Toc21765 </w:instrText>
      </w:r>
      <w:r>
        <w:rPr>
          <w:rFonts w:hint="eastAsia"/>
        </w:rPr>
        <w:fldChar w:fldCharType="separate"/>
      </w:r>
      <w:r>
        <w:rPr>
          <w:rFonts w:hint="default" w:ascii="Times New Roman" w:hAnsi="Times New Roman" w:eastAsia="宋体" w:cs="Times New Roman"/>
          <w:i w:val="0"/>
          <w:szCs w:val="32"/>
        </w:rPr>
        <w:t xml:space="preserve">第1章 </w:t>
      </w:r>
      <w:r>
        <w:rPr>
          <w:rFonts w:hint="eastAsia"/>
        </w:rPr>
        <w:t>投标邀请</w:t>
      </w:r>
      <w:r>
        <w:tab/>
      </w:r>
      <w:r>
        <w:fldChar w:fldCharType="begin"/>
      </w:r>
      <w:r>
        <w:instrText xml:space="preserve"> PAGEREF _Toc21765 \h </w:instrText>
      </w:r>
      <w:r>
        <w:fldChar w:fldCharType="separate"/>
      </w:r>
      <w:r>
        <w:t>4</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_Toc5411 </w:instrText>
      </w:r>
      <w:r>
        <w:rPr>
          <w:rFonts w:hint="eastAsia"/>
        </w:rPr>
        <w:fldChar w:fldCharType="separate"/>
      </w:r>
      <w:r>
        <w:rPr>
          <w:rFonts w:hint="default" w:ascii="Times New Roman" w:hAnsi="Times New Roman" w:eastAsia="宋体" w:cs="Times New Roman"/>
          <w:i w:val="0"/>
          <w:szCs w:val="32"/>
        </w:rPr>
        <w:t xml:space="preserve">第2章 </w:t>
      </w:r>
      <w:r>
        <w:rPr>
          <w:rFonts w:hint="eastAsia"/>
        </w:rPr>
        <w:t>投标人须知</w:t>
      </w:r>
      <w:r>
        <w:tab/>
      </w:r>
      <w:r>
        <w:fldChar w:fldCharType="begin"/>
      </w:r>
      <w:r>
        <w:instrText xml:space="preserve"> PAGEREF _Toc5411 \h </w:instrText>
      </w:r>
      <w:r>
        <w:fldChar w:fldCharType="separate"/>
      </w:r>
      <w:r>
        <w:t>9</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_Toc15942 </w:instrText>
      </w:r>
      <w:r>
        <w:rPr>
          <w:rFonts w:hint="eastAsia"/>
        </w:rPr>
        <w:fldChar w:fldCharType="separate"/>
      </w:r>
      <w:r>
        <w:rPr>
          <w:rFonts w:hint="default" w:ascii="Times New Roman" w:hAnsi="Times New Roman" w:eastAsia="宋体" w:cs="Times New Roman"/>
          <w:i w:val="0"/>
          <w:szCs w:val="28"/>
        </w:rPr>
        <w:t xml:space="preserve">2.1 </w:t>
      </w:r>
      <w:r>
        <w:rPr>
          <w:rFonts w:hint="eastAsia"/>
        </w:rPr>
        <w:t>投标人须知前附表</w:t>
      </w:r>
      <w:r>
        <w:tab/>
      </w:r>
      <w:r>
        <w:fldChar w:fldCharType="begin"/>
      </w:r>
      <w:r>
        <w:instrText xml:space="preserve"> PAGEREF _Toc15942 \h </w:instrText>
      </w:r>
      <w:r>
        <w:fldChar w:fldCharType="separate"/>
      </w:r>
      <w:r>
        <w:t>9</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_Toc917 </w:instrText>
      </w:r>
      <w:r>
        <w:rPr>
          <w:rFonts w:hint="eastAsia"/>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_Toc917 \h </w:instrText>
      </w:r>
      <w:r>
        <w:fldChar w:fldCharType="separate"/>
      </w:r>
      <w:r>
        <w:t>13</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_Toc14833 </w:instrText>
      </w:r>
      <w:r>
        <w:rPr>
          <w:rFonts w:hint="eastAsia"/>
        </w:rPr>
        <w:fldChar w:fldCharType="separate"/>
      </w:r>
      <w:r>
        <w:rPr>
          <w:rFonts w:hint="default" w:ascii="Times New Roman" w:hAnsi="Times New Roman" w:eastAsia="宋体" w:cs="Times New Roman"/>
          <w:i w:val="0"/>
          <w:szCs w:val="28"/>
        </w:rPr>
        <w:t xml:space="preserve">2.3 </w:t>
      </w:r>
      <w:r>
        <w:rPr>
          <w:rFonts w:hint="eastAsia"/>
        </w:rPr>
        <w:t>招标文件</w:t>
      </w:r>
      <w:r>
        <w:tab/>
      </w:r>
      <w:r>
        <w:fldChar w:fldCharType="begin"/>
      </w:r>
      <w:r>
        <w:instrText xml:space="preserve"> PAGEREF _Toc14833 \h </w:instrText>
      </w:r>
      <w:r>
        <w:fldChar w:fldCharType="separate"/>
      </w:r>
      <w:r>
        <w:t>15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_Toc27312 </w:instrText>
      </w:r>
      <w:r>
        <w:rPr>
          <w:rFonts w:hint="eastAsia"/>
        </w:rPr>
        <w:fldChar w:fldCharType="separate"/>
      </w:r>
      <w:r>
        <w:rPr>
          <w:rFonts w:hint="default" w:ascii="Times New Roman" w:hAnsi="Times New Roman" w:eastAsia="宋体" w:cs="Times New Roman"/>
          <w:i w:val="0"/>
          <w:szCs w:val="28"/>
        </w:rPr>
        <w:t xml:space="preserve">2.4 </w:t>
      </w:r>
      <w:r>
        <w:rPr>
          <w:rFonts w:hint="eastAsia"/>
        </w:rPr>
        <w:t>投标文件</w:t>
      </w:r>
      <w:r>
        <w:tab/>
      </w:r>
      <w:r>
        <w:fldChar w:fldCharType="begin"/>
      </w:r>
      <w:r>
        <w:instrText xml:space="preserve"> PAGEREF _Toc27312 \h </w:instrText>
      </w:r>
      <w:r>
        <w:fldChar w:fldCharType="separate"/>
      </w:r>
      <w:r>
        <w:t>17</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_Toc26862 </w:instrText>
      </w:r>
      <w:r>
        <w:rPr>
          <w:rFonts w:hint="eastAsia"/>
        </w:rPr>
        <w:fldChar w:fldCharType="separate"/>
      </w:r>
      <w:r>
        <w:rPr>
          <w:rFonts w:hint="default" w:ascii="Times New Roman" w:hAnsi="Times New Roman" w:eastAsia="宋体" w:cs="Times New Roman"/>
          <w:i w:val="0"/>
          <w:szCs w:val="28"/>
        </w:rPr>
        <w:t xml:space="preserve">2.5 </w:t>
      </w:r>
      <w:r>
        <w:rPr>
          <w:rFonts w:hint="eastAsia"/>
        </w:rPr>
        <w:t>开</w:t>
      </w:r>
      <w:r>
        <w:rPr>
          <w:rFonts w:hint="eastAsia" w:ascii="宋体" w:hAnsi="宋体"/>
          <w:bCs/>
          <w:szCs w:val="28"/>
        </w:rPr>
        <w:t>标、资格审查、评标和中标</w:t>
      </w:r>
      <w:r>
        <w:tab/>
      </w:r>
      <w:r>
        <w:fldChar w:fldCharType="begin"/>
      </w:r>
      <w:r>
        <w:instrText xml:space="preserve"> PAGEREF _Toc26862 \h </w:instrText>
      </w:r>
      <w:r>
        <w:fldChar w:fldCharType="separate"/>
      </w:r>
      <w:r>
        <w:t>25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_Toc22775 </w:instrText>
      </w:r>
      <w:r>
        <w:rPr>
          <w:rFonts w:hint="eastAsia"/>
        </w:rPr>
        <w:fldChar w:fldCharType="separate"/>
      </w:r>
      <w:r>
        <w:rPr>
          <w:rFonts w:hint="default" w:ascii="Times New Roman" w:hAnsi="Times New Roman" w:eastAsia="宋体" w:cs="Times New Roman"/>
          <w:i w:val="0"/>
          <w:szCs w:val="28"/>
        </w:rPr>
        <w:t xml:space="preserve">2.6 </w:t>
      </w:r>
      <w:r>
        <w:rPr>
          <w:rFonts w:hint="eastAsia"/>
        </w:rPr>
        <w:t>签订及履行合同和验收</w:t>
      </w:r>
      <w:r>
        <w:tab/>
      </w:r>
      <w:r>
        <w:fldChar w:fldCharType="begin"/>
      </w:r>
      <w:r>
        <w:instrText xml:space="preserve"> PAGEREF _Toc22775 \h </w:instrText>
      </w:r>
      <w:r>
        <w:fldChar w:fldCharType="separate"/>
      </w:r>
      <w:r>
        <w:t>27</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_Toc13311 </w:instrText>
      </w:r>
      <w:r>
        <w:rPr>
          <w:rFonts w:hint="eastAsia"/>
        </w:rPr>
        <w:fldChar w:fldCharType="separate"/>
      </w:r>
      <w:r>
        <w:rPr>
          <w:rFonts w:hint="default" w:ascii="Times New Roman" w:hAnsi="Times New Roman" w:eastAsia="宋体" w:cs="Times New Roman"/>
          <w:i w:val="0"/>
          <w:szCs w:val="28"/>
        </w:rPr>
        <w:t xml:space="preserve">2.7 </w:t>
      </w:r>
      <w:r>
        <w:rPr>
          <w:rFonts w:hint="eastAsia"/>
        </w:rPr>
        <w:t>投标纪律要求</w:t>
      </w:r>
      <w:r>
        <w:tab/>
      </w:r>
      <w:r>
        <w:fldChar w:fldCharType="begin"/>
      </w:r>
      <w:r>
        <w:instrText xml:space="preserve"> PAGEREF _Toc13311 \h </w:instrText>
      </w:r>
      <w:r>
        <w:fldChar w:fldCharType="separate"/>
      </w:r>
      <w:r>
        <w:t>29</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_Toc7980 </w:instrText>
      </w:r>
      <w:r>
        <w:rPr>
          <w:rFonts w:hint="eastAsia"/>
        </w:rPr>
        <w:fldChar w:fldCharType="separate"/>
      </w:r>
      <w:r>
        <w:rPr>
          <w:rFonts w:hint="default" w:ascii="Times New Roman" w:hAnsi="Times New Roman" w:eastAsia="宋体" w:cs="Times New Roman"/>
          <w:i w:val="0"/>
          <w:szCs w:val="28"/>
        </w:rPr>
        <w:t xml:space="preserve">2.8 </w:t>
      </w:r>
      <w:r>
        <w:rPr>
          <w:rFonts w:hint="eastAsia"/>
        </w:rPr>
        <w:t>询问、质疑和投诉</w:t>
      </w:r>
      <w:r>
        <w:tab/>
      </w:r>
      <w:r>
        <w:fldChar w:fldCharType="begin"/>
      </w:r>
      <w:r>
        <w:instrText xml:space="preserve"> PAGEREF _Toc7980 \h </w:instrText>
      </w:r>
      <w:r>
        <w:fldChar w:fldCharType="separate"/>
      </w:r>
      <w:r>
        <w:t>32</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_Toc12230 </w:instrText>
      </w:r>
      <w:r>
        <w:rPr>
          <w:rFonts w:hint="eastAsia"/>
        </w:rPr>
        <w:fldChar w:fldCharType="separate"/>
      </w:r>
      <w:r>
        <w:rPr>
          <w:rFonts w:hint="default" w:ascii="Times New Roman" w:hAnsi="Times New Roman" w:eastAsia="宋体" w:cs="Times New Roman"/>
          <w:i w:val="0"/>
          <w:szCs w:val="28"/>
        </w:rPr>
        <w:t xml:space="preserve">2.9 </w:t>
      </w:r>
      <w:r>
        <w:rPr>
          <w:rFonts w:hint="eastAsia"/>
        </w:rPr>
        <w:t>信用融资</w:t>
      </w:r>
      <w:r>
        <w:tab/>
      </w:r>
      <w:r>
        <w:fldChar w:fldCharType="begin"/>
      </w:r>
      <w:r>
        <w:instrText xml:space="preserve"> PAGEREF _Toc12230 \h </w:instrText>
      </w:r>
      <w:r>
        <w:fldChar w:fldCharType="separate"/>
      </w:r>
      <w:r>
        <w:t>34</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_Toc18896 </w:instrText>
      </w:r>
      <w:r>
        <w:rPr>
          <w:rFonts w:hint="eastAsia"/>
        </w:rPr>
        <w:fldChar w:fldCharType="separate"/>
      </w:r>
      <w:r>
        <w:rPr>
          <w:rFonts w:hint="default" w:ascii="Times New Roman" w:hAnsi="Times New Roman" w:eastAsia="宋体" w:cs="Times New Roman"/>
          <w:i w:val="0"/>
          <w:szCs w:val="32"/>
        </w:rPr>
        <w:t xml:space="preserve">第3章 </w:t>
      </w:r>
      <w:r>
        <w:rPr>
          <w:rFonts w:hint="eastAsia"/>
        </w:rPr>
        <w:t>投标文件格式</w:t>
      </w:r>
      <w:r>
        <w:tab/>
      </w:r>
      <w:r>
        <w:fldChar w:fldCharType="begin"/>
      </w:r>
      <w:r>
        <w:instrText xml:space="preserve"> PAGEREF _Toc18896 \h </w:instrText>
      </w:r>
      <w:r>
        <w:fldChar w:fldCharType="separate"/>
      </w:r>
      <w:r>
        <w:t>35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_Toc10565 </w:instrText>
      </w:r>
      <w:r>
        <w:rPr>
          <w:rFonts w:hint="eastAsia"/>
        </w:rPr>
        <w:fldChar w:fldCharType="separate"/>
      </w:r>
      <w:r>
        <w:rPr>
          <w:rFonts w:hint="default" w:ascii="Times New Roman" w:hAnsi="Times New Roman" w:eastAsia="宋体" w:cs="Times New Roman"/>
          <w:i w:val="0"/>
          <w:szCs w:val="28"/>
        </w:rPr>
        <w:t xml:space="preserve">3.1 </w:t>
      </w:r>
      <w:r>
        <w:rPr>
          <w:rFonts w:hint="eastAsia"/>
        </w:rPr>
        <w:t>投标文件封面格式</w:t>
      </w:r>
      <w:r>
        <w:tab/>
      </w:r>
      <w:r>
        <w:fldChar w:fldCharType="begin"/>
      </w:r>
      <w:r>
        <w:instrText xml:space="preserve"> PAGEREF _Toc10565 \h </w:instrText>
      </w:r>
      <w:r>
        <w:fldChar w:fldCharType="separate"/>
      </w:r>
      <w:r>
        <w:t>35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_Toc20251 </w:instrText>
      </w:r>
      <w:r>
        <w:rPr>
          <w:rFonts w:hint="eastAsia"/>
        </w:rPr>
        <w:fldChar w:fldCharType="separate"/>
      </w:r>
      <w:r>
        <w:rPr>
          <w:rFonts w:hint="default" w:ascii="Times New Roman" w:hAnsi="Times New Roman" w:eastAsia="宋体" w:cs="Times New Roman"/>
          <w:i w:val="0"/>
          <w:szCs w:val="28"/>
        </w:rPr>
        <w:t xml:space="preserve">3.2 </w:t>
      </w:r>
      <w:r>
        <w:rPr>
          <w:rFonts w:hint="eastAsia"/>
        </w:rPr>
        <w:t>资格性审查部分</w:t>
      </w:r>
      <w:r>
        <w:tab/>
      </w:r>
      <w:r>
        <w:fldChar w:fldCharType="begin"/>
      </w:r>
      <w:r>
        <w:instrText xml:space="preserve"> PAGEREF _Toc20251 \h </w:instrText>
      </w:r>
      <w:r>
        <w:fldChar w:fldCharType="separate"/>
      </w:r>
      <w:r>
        <w:t>36</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_Toc31531 </w:instrText>
      </w:r>
      <w:r>
        <w:rPr>
          <w:rFonts w:hint="eastAsia"/>
        </w:rPr>
        <w:fldChar w:fldCharType="separate"/>
      </w:r>
      <w:r>
        <w:rPr>
          <w:rFonts w:hint="default" w:ascii="Times New Roman" w:hAnsi="Times New Roman" w:eastAsia="宋体" w:cs="Times New Roman"/>
          <w:i w:val="0"/>
          <w:szCs w:val="28"/>
        </w:rPr>
        <w:t xml:space="preserve">3.3 </w:t>
      </w:r>
      <w:r>
        <w:rPr>
          <w:rFonts w:hint="eastAsia"/>
        </w:rPr>
        <w:t>技术、服务、商务及其他要求响应部分</w:t>
      </w:r>
      <w:r>
        <w:tab/>
      </w:r>
      <w:r>
        <w:fldChar w:fldCharType="begin"/>
      </w:r>
      <w:r>
        <w:instrText xml:space="preserve"> PAGEREF _Toc31531 \h </w:instrText>
      </w:r>
      <w:r>
        <w:fldChar w:fldCharType="separate"/>
      </w:r>
      <w:r>
        <w:t>40</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_Toc8116 </w:instrText>
      </w:r>
      <w:r>
        <w:rPr>
          <w:rFonts w:hint="eastAsia"/>
        </w:rPr>
        <w:fldChar w:fldCharType="separate"/>
      </w:r>
      <w:r>
        <w:rPr>
          <w:rFonts w:hint="default" w:ascii="Times New Roman" w:hAnsi="Times New Roman" w:eastAsia="宋体" w:cs="Times New Roman"/>
          <w:i w:val="0"/>
          <w:szCs w:val="32"/>
        </w:rPr>
        <w:t xml:space="preserve">第4章 </w:t>
      </w:r>
      <w:r>
        <w:rPr>
          <w:rFonts w:hint="eastAsia"/>
        </w:rPr>
        <w:t>招标项目技术、服务、商务及其他要求</w:t>
      </w:r>
      <w:r>
        <w:tab/>
      </w:r>
      <w:r>
        <w:fldChar w:fldCharType="begin"/>
      </w:r>
      <w:r>
        <w:instrText xml:space="preserve"> PAGEREF _Toc8116 \h </w:instrText>
      </w:r>
      <w:r>
        <w:fldChar w:fldCharType="separate"/>
      </w:r>
      <w:r>
        <w:t>57</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_Toc29592 </w:instrText>
      </w:r>
      <w:r>
        <w:rPr>
          <w:rFonts w:hint="eastAsia"/>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_Toc29592 \h </w:instrText>
      </w:r>
      <w:r>
        <w:fldChar w:fldCharType="separate"/>
      </w:r>
      <w:r>
        <w:t>57</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_Toc16482 </w:instrText>
      </w:r>
      <w:r>
        <w:rPr>
          <w:rFonts w:hint="eastAsia"/>
        </w:rPr>
        <w:fldChar w:fldCharType="separate"/>
      </w:r>
      <w:r>
        <w:rPr>
          <w:rFonts w:hint="default" w:ascii="Times New Roman" w:hAnsi="Times New Roman" w:eastAsia="宋体" w:cs="Times New Roman"/>
          <w:i w:val="0"/>
          <w:szCs w:val="28"/>
        </w:rPr>
        <w:t xml:space="preserve">4.2 </w:t>
      </w:r>
      <w:r>
        <w:rPr>
          <w:rFonts w:hint="eastAsia"/>
          <w:lang w:eastAsia="zh-CN"/>
        </w:rPr>
        <w:t>项目基本情况表</w:t>
      </w:r>
      <w:r>
        <w:tab/>
      </w:r>
      <w:r>
        <w:fldChar w:fldCharType="begin"/>
      </w:r>
      <w:r>
        <w:instrText xml:space="preserve"> PAGEREF _Toc16482 \h </w:instrText>
      </w:r>
      <w:r>
        <w:fldChar w:fldCharType="separate"/>
      </w:r>
      <w:r>
        <w:t>57</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_Toc31518 </w:instrText>
      </w:r>
      <w:r>
        <w:rPr>
          <w:rFonts w:hint="eastAsia"/>
        </w:rPr>
        <w:fldChar w:fldCharType="separate"/>
      </w:r>
      <w:r>
        <w:rPr>
          <w:rFonts w:hint="default" w:ascii="Times New Roman" w:hAnsi="Times New Roman" w:eastAsia="宋体" w:cs="Times New Roman"/>
          <w:i w:val="0"/>
          <w:szCs w:val="28"/>
        </w:rPr>
        <w:t xml:space="preserve">4.3 </w:t>
      </w:r>
      <w:r>
        <w:rPr>
          <w:rFonts w:hint="eastAsia"/>
        </w:rPr>
        <w:t>商务要求</w:t>
      </w:r>
      <w:r>
        <w:tab/>
      </w:r>
      <w:r>
        <w:fldChar w:fldCharType="begin"/>
      </w:r>
      <w:r>
        <w:instrText xml:space="preserve"> PAGEREF _Toc31518 \h </w:instrText>
      </w:r>
      <w:r>
        <w:fldChar w:fldCharType="separate"/>
      </w:r>
      <w:r>
        <w:t>86</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_Toc15620 </w:instrText>
      </w:r>
      <w:r>
        <w:rPr>
          <w:rFonts w:hint="eastAsia"/>
        </w:rPr>
        <w:fldChar w:fldCharType="separate"/>
      </w:r>
      <w:r>
        <w:rPr>
          <w:rFonts w:hint="default" w:ascii="Times New Roman" w:hAnsi="Times New Roman" w:eastAsia="宋体" w:cs="Times New Roman"/>
          <w:i w:val="0"/>
          <w:szCs w:val="32"/>
        </w:rPr>
        <w:t xml:space="preserve">第5章 </w:t>
      </w:r>
      <w:r>
        <w:rPr>
          <w:rFonts w:hint="eastAsia"/>
        </w:rPr>
        <w:t>资格性审查</w:t>
      </w:r>
      <w:r>
        <w:tab/>
      </w:r>
      <w:r>
        <w:fldChar w:fldCharType="begin"/>
      </w:r>
      <w:r>
        <w:instrText xml:space="preserve"> PAGEREF _Toc15620 \h </w:instrText>
      </w:r>
      <w:r>
        <w:fldChar w:fldCharType="separate"/>
      </w:r>
      <w:r>
        <w:t>110</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_Toc26247 </w:instrText>
      </w:r>
      <w:r>
        <w:rPr>
          <w:rFonts w:hint="eastAsia"/>
        </w:rPr>
        <w:fldChar w:fldCharType="separate"/>
      </w:r>
      <w:r>
        <w:rPr>
          <w:rFonts w:hint="default" w:ascii="Times New Roman" w:hAnsi="Times New Roman" w:eastAsia="宋体" w:cs="Times New Roman"/>
          <w:i w:val="0"/>
          <w:szCs w:val="32"/>
        </w:rPr>
        <w:t xml:space="preserve">第6章 </w:t>
      </w:r>
      <w:r>
        <w:rPr>
          <w:rFonts w:hint="eastAsia"/>
        </w:rPr>
        <w:t>评标办法</w:t>
      </w:r>
      <w:r>
        <w:tab/>
      </w:r>
      <w:r>
        <w:fldChar w:fldCharType="begin"/>
      </w:r>
      <w:r>
        <w:instrText xml:space="preserve"> PAGEREF _Toc26247 \h </w:instrText>
      </w:r>
      <w:r>
        <w:fldChar w:fldCharType="separate"/>
      </w:r>
      <w:r>
        <w:t>115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_Toc23830 </w:instrText>
      </w:r>
      <w:r>
        <w:rPr>
          <w:rFonts w:hint="eastAsia"/>
        </w:rPr>
        <w:fldChar w:fldCharType="separate"/>
      </w:r>
      <w:r>
        <w:rPr>
          <w:rFonts w:hint="default" w:ascii="Times New Roman" w:hAnsi="Times New Roman" w:eastAsia="宋体" w:cs="Times New Roman"/>
          <w:i w:val="0"/>
          <w:szCs w:val="28"/>
        </w:rPr>
        <w:t xml:space="preserve">6.1 </w:t>
      </w:r>
      <w:r>
        <w:rPr>
          <w:rFonts w:hint="eastAsia"/>
        </w:rPr>
        <w:t>总则</w:t>
      </w:r>
      <w:r>
        <w:tab/>
      </w:r>
      <w:r>
        <w:fldChar w:fldCharType="begin"/>
      </w:r>
      <w:r>
        <w:instrText xml:space="preserve"> PAGEREF _Toc23830 \h </w:instrText>
      </w:r>
      <w:r>
        <w:fldChar w:fldCharType="separate"/>
      </w:r>
      <w:r>
        <w:t>115</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_Toc24784 </w:instrText>
      </w:r>
      <w:r>
        <w:rPr>
          <w:rFonts w:hint="eastAsia"/>
        </w:rPr>
        <w:fldChar w:fldCharType="separate"/>
      </w:r>
      <w:r>
        <w:rPr>
          <w:rFonts w:hint="default" w:ascii="Times New Roman" w:hAnsi="Times New Roman" w:eastAsia="宋体" w:cs="Times New Roman"/>
          <w:i w:val="0"/>
          <w:szCs w:val="28"/>
        </w:rPr>
        <w:t xml:space="preserve">6.2 </w:t>
      </w:r>
      <w:r>
        <w:rPr>
          <w:rFonts w:hint="eastAsia"/>
        </w:rPr>
        <w:t>评标方法</w:t>
      </w:r>
      <w:r>
        <w:tab/>
      </w:r>
      <w:r>
        <w:fldChar w:fldCharType="begin"/>
      </w:r>
      <w:r>
        <w:instrText xml:space="preserve"> PAGEREF _Toc24784 \h </w:instrText>
      </w:r>
      <w:r>
        <w:fldChar w:fldCharType="separate"/>
      </w:r>
      <w:r>
        <w:t>116</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_Toc7517 </w:instrText>
      </w:r>
      <w:r>
        <w:rPr>
          <w:rFonts w:hint="eastAsia"/>
        </w:rPr>
        <w:fldChar w:fldCharType="separate"/>
      </w:r>
      <w:r>
        <w:rPr>
          <w:rFonts w:hint="default" w:ascii="Times New Roman" w:hAnsi="Times New Roman" w:eastAsia="宋体" w:cs="Times New Roman"/>
          <w:i w:val="0"/>
          <w:szCs w:val="28"/>
        </w:rPr>
        <w:t xml:space="preserve">6.3 </w:t>
      </w:r>
      <w:r>
        <w:rPr>
          <w:rFonts w:hint="eastAsia"/>
        </w:rPr>
        <w:t>评标程序</w:t>
      </w:r>
      <w:r>
        <w:tab/>
      </w:r>
      <w:r>
        <w:fldChar w:fldCharType="begin"/>
      </w:r>
      <w:r>
        <w:instrText xml:space="preserve"> PAGEREF _Toc7517 \h </w:instrText>
      </w:r>
      <w:r>
        <w:fldChar w:fldCharType="separate"/>
      </w:r>
      <w:r>
        <w:t>116</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_Toc22195 </w:instrText>
      </w:r>
      <w:r>
        <w:rPr>
          <w:rFonts w:hint="eastAsia"/>
        </w:rPr>
        <w:fldChar w:fldCharType="separate"/>
      </w:r>
      <w:r>
        <w:rPr>
          <w:rFonts w:hint="default" w:ascii="Times New Roman" w:hAnsi="Times New Roman" w:eastAsia="宋体" w:cs="Times New Roman"/>
          <w:bCs/>
          <w:i w:val="0"/>
          <w:szCs w:val="28"/>
        </w:rPr>
        <w:t xml:space="preserve">6.4 </w:t>
      </w:r>
      <w:r>
        <w:rPr>
          <w:rFonts w:hint="eastAsia" w:ascii="宋体" w:hAnsi="宋体"/>
          <w:bCs/>
          <w:szCs w:val="28"/>
        </w:rPr>
        <w:t>评标争议处理规则</w:t>
      </w:r>
      <w:r>
        <w:tab/>
      </w:r>
      <w:r>
        <w:fldChar w:fldCharType="begin"/>
      </w:r>
      <w:r>
        <w:instrText xml:space="preserve"> PAGEREF _Toc22195 \h </w:instrText>
      </w:r>
      <w:r>
        <w:fldChar w:fldCharType="separate"/>
      </w:r>
      <w:r>
        <w:t>123</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_Toc19244 </w:instrText>
      </w:r>
      <w:r>
        <w:rPr>
          <w:rFonts w:hint="eastAsia"/>
        </w:rPr>
        <w:fldChar w:fldCharType="separate"/>
      </w:r>
      <w:r>
        <w:rPr>
          <w:rFonts w:hint="default" w:ascii="Times New Roman" w:hAnsi="Times New Roman" w:eastAsia="宋体" w:cs="Times New Roman"/>
          <w:bCs/>
          <w:i w:val="0"/>
          <w:szCs w:val="28"/>
        </w:rPr>
        <w:t xml:space="preserve">6.5 </w:t>
      </w:r>
      <w:r>
        <w:rPr>
          <w:rFonts w:hint="eastAsia" w:ascii="宋体" w:hAnsi="宋体"/>
          <w:bCs/>
          <w:szCs w:val="28"/>
        </w:rPr>
        <w:t>评标细则及标准</w:t>
      </w:r>
      <w:r>
        <w:tab/>
      </w:r>
      <w:r>
        <w:fldChar w:fldCharType="begin"/>
      </w:r>
      <w:r>
        <w:instrText xml:space="preserve"> PAGEREF _Toc19244 \h </w:instrText>
      </w:r>
      <w:r>
        <w:fldChar w:fldCharType="separate"/>
      </w:r>
      <w:r>
        <w:t>124</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_Toc1026 </w:instrText>
      </w:r>
      <w:r>
        <w:rPr>
          <w:rFonts w:hint="eastAsia"/>
        </w:rPr>
        <w:fldChar w:fldCharType="separate"/>
      </w:r>
      <w:r>
        <w:rPr>
          <w:rFonts w:hint="default" w:ascii="Times New Roman" w:hAnsi="Times New Roman" w:eastAsia="宋体" w:cs="Times New Roman"/>
          <w:bCs/>
          <w:i w:val="0"/>
          <w:szCs w:val="28"/>
        </w:rPr>
        <w:t xml:space="preserve">6.6 </w:t>
      </w:r>
      <w:r>
        <w:rPr>
          <w:rFonts w:hint="eastAsia" w:ascii="宋体" w:hAnsi="宋体"/>
          <w:bCs/>
          <w:szCs w:val="28"/>
        </w:rPr>
        <w:t>废标</w:t>
      </w:r>
      <w:r>
        <w:tab/>
      </w:r>
      <w:r>
        <w:fldChar w:fldCharType="begin"/>
      </w:r>
      <w:r>
        <w:instrText xml:space="preserve"> PAGEREF _Toc1026 \h </w:instrText>
      </w:r>
      <w:r>
        <w:fldChar w:fldCharType="separate"/>
      </w:r>
      <w:r>
        <w:t>128</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_Toc28589 </w:instrText>
      </w:r>
      <w:r>
        <w:rPr>
          <w:rFonts w:hint="eastAsia"/>
        </w:rPr>
        <w:fldChar w:fldCharType="separate"/>
      </w:r>
      <w:r>
        <w:rPr>
          <w:rFonts w:hint="default" w:ascii="Times New Roman" w:hAnsi="Times New Roman" w:eastAsia="宋体" w:cs="Times New Roman"/>
          <w:bCs/>
          <w:i w:val="0"/>
          <w:szCs w:val="28"/>
        </w:rPr>
        <w:t xml:space="preserve">6.7 </w:t>
      </w:r>
      <w:r>
        <w:rPr>
          <w:rFonts w:hint="eastAsia" w:ascii="宋体" w:hAnsi="宋体"/>
          <w:bCs/>
          <w:szCs w:val="28"/>
        </w:rPr>
        <w:t>定标</w:t>
      </w:r>
      <w:r>
        <w:tab/>
      </w:r>
      <w:r>
        <w:fldChar w:fldCharType="begin"/>
      </w:r>
      <w:r>
        <w:instrText xml:space="preserve"> PAGEREF _Toc28589 \h </w:instrText>
      </w:r>
      <w:r>
        <w:fldChar w:fldCharType="separate"/>
      </w:r>
      <w:r>
        <w:t>129</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_Toc8026 </w:instrText>
      </w:r>
      <w:r>
        <w:rPr>
          <w:rFonts w:hint="eastAsia"/>
        </w:rPr>
        <w:fldChar w:fldCharType="separate"/>
      </w:r>
      <w:r>
        <w:rPr>
          <w:rFonts w:hint="default" w:ascii="Times New Roman" w:hAnsi="Times New Roman" w:eastAsia="宋体" w:cs="Times New Roman"/>
          <w:bCs/>
          <w:i w:val="0"/>
          <w:szCs w:val="28"/>
        </w:rPr>
        <w:t xml:space="preserve">6.8 </w:t>
      </w:r>
      <w:r>
        <w:rPr>
          <w:rFonts w:hint="eastAsia" w:ascii="宋体" w:hAnsi="宋体"/>
          <w:bCs/>
          <w:szCs w:val="28"/>
        </w:rPr>
        <w:t>评标专家在政府采购活动中承担以下义务</w:t>
      </w:r>
      <w:r>
        <w:tab/>
      </w:r>
      <w:r>
        <w:fldChar w:fldCharType="begin"/>
      </w:r>
      <w:r>
        <w:instrText xml:space="preserve"> PAGEREF _Toc8026 \h </w:instrText>
      </w:r>
      <w:r>
        <w:fldChar w:fldCharType="separate"/>
      </w:r>
      <w:r>
        <w:t>130</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_Toc22714 </w:instrText>
      </w:r>
      <w:r>
        <w:rPr>
          <w:rFonts w:hint="eastAsia"/>
        </w:rPr>
        <w:fldChar w:fldCharType="separate"/>
      </w:r>
      <w:r>
        <w:rPr>
          <w:rFonts w:hint="default" w:ascii="Times New Roman" w:hAnsi="Times New Roman" w:eastAsia="宋体" w:cs="Times New Roman"/>
          <w:bCs/>
          <w:i w:val="0"/>
          <w:szCs w:val="28"/>
        </w:rPr>
        <w:t xml:space="preserve">6.9 </w:t>
      </w:r>
      <w:r>
        <w:rPr>
          <w:rFonts w:hint="eastAsia" w:ascii="宋体" w:hAnsi="宋体"/>
          <w:bCs/>
          <w:szCs w:val="28"/>
        </w:rPr>
        <w:t>评标委员会及其成员不得有下列行为</w:t>
      </w:r>
      <w:r>
        <w:tab/>
      </w:r>
      <w:r>
        <w:fldChar w:fldCharType="begin"/>
      </w:r>
      <w:r>
        <w:instrText xml:space="preserve"> PAGEREF _Toc22714 \h </w:instrText>
      </w:r>
      <w:r>
        <w:fldChar w:fldCharType="separate"/>
      </w:r>
      <w:r>
        <w:t>131</w:t>
      </w:r>
      <w:r>
        <w:fldChar w:fldCharType="end"/>
      </w:r>
      <w:r>
        <w:rPr>
          <w:rFonts w:hint="eastAsia"/>
        </w:rPr>
        <w:fldChar w:fldCharType="end"/>
      </w:r>
    </w:p>
    <w:p>
      <w:pPr>
        <w:pStyle w:val="37"/>
        <w:tabs>
          <w:tab w:val="right" w:leader="dot" w:pos="8306"/>
          <w:tab w:val="clear" w:pos="620"/>
          <w:tab w:val="clear" w:pos="8364"/>
        </w:tabs>
      </w:pPr>
      <w:r>
        <w:rPr>
          <w:rFonts w:hint="eastAsia"/>
        </w:rPr>
        <w:fldChar w:fldCharType="begin"/>
      </w:r>
      <w:r>
        <w:rPr>
          <w:rFonts w:hint="eastAsia"/>
        </w:rPr>
        <w:instrText xml:space="preserve"> HYPERLINK \l _Toc12818 </w:instrText>
      </w:r>
      <w:r>
        <w:rPr>
          <w:rFonts w:hint="eastAsia"/>
        </w:rPr>
        <w:fldChar w:fldCharType="separate"/>
      </w:r>
      <w:r>
        <w:rPr>
          <w:rFonts w:hint="default" w:ascii="Times New Roman" w:hAnsi="Times New Roman" w:eastAsia="宋体" w:cs="Times New Roman"/>
          <w:bCs/>
          <w:i w:val="0"/>
          <w:szCs w:val="28"/>
        </w:rPr>
        <w:t xml:space="preserve">6.10 </w:t>
      </w:r>
      <w:r>
        <w:rPr>
          <w:rFonts w:hint="eastAsia" w:ascii="宋体" w:hAnsi="宋体"/>
          <w:bCs/>
          <w:szCs w:val="28"/>
        </w:rPr>
        <w:t>评审专家在政府采购活动中应当遵守以下工作纪律</w:t>
      </w:r>
      <w:r>
        <w:tab/>
      </w:r>
      <w:r>
        <w:fldChar w:fldCharType="begin"/>
      </w:r>
      <w:r>
        <w:instrText xml:space="preserve"> PAGEREF _Toc12818 \h </w:instrText>
      </w:r>
      <w:r>
        <w:fldChar w:fldCharType="separate"/>
      </w:r>
      <w:r>
        <w:t>131</w:t>
      </w:r>
      <w:r>
        <w:fldChar w:fldCharType="end"/>
      </w:r>
      <w:r>
        <w:rPr>
          <w:rFonts w:hint="eastAsia"/>
        </w:rPr>
        <w:fldChar w:fldCharType="end"/>
      </w:r>
    </w:p>
    <w:p>
      <w:pPr>
        <w:pStyle w:val="31"/>
        <w:tabs>
          <w:tab w:val="right" w:leader="dot" w:pos="8306"/>
          <w:tab w:val="clear" w:pos="709"/>
          <w:tab w:val="clear" w:pos="8364"/>
        </w:tabs>
      </w:pPr>
      <w:r>
        <w:rPr>
          <w:rFonts w:hint="eastAsia"/>
        </w:rPr>
        <w:fldChar w:fldCharType="begin"/>
      </w:r>
      <w:r>
        <w:rPr>
          <w:rFonts w:hint="eastAsia"/>
        </w:rPr>
        <w:instrText xml:space="preserve"> HYPERLINK \l _Toc14738 </w:instrText>
      </w:r>
      <w:r>
        <w:rPr>
          <w:rFonts w:hint="eastAsia"/>
        </w:rPr>
        <w:fldChar w:fldCharType="separate"/>
      </w:r>
      <w:r>
        <w:rPr>
          <w:rFonts w:hint="default" w:ascii="Times New Roman" w:hAnsi="Times New Roman" w:eastAsia="宋体" w:cs="Times New Roman"/>
          <w:i w:val="0"/>
          <w:szCs w:val="32"/>
        </w:rPr>
        <w:t xml:space="preserve">第7章 </w:t>
      </w:r>
      <w:r>
        <w:rPr>
          <w:rFonts w:hint="eastAsia"/>
        </w:rPr>
        <w:t>拟签订合同文本</w:t>
      </w:r>
      <w:r>
        <w:tab/>
      </w:r>
      <w:r>
        <w:fldChar w:fldCharType="begin"/>
      </w:r>
      <w:r>
        <w:instrText xml:space="preserve"> PAGEREF _Toc14738 \h </w:instrText>
      </w:r>
      <w:r>
        <w:fldChar w:fldCharType="separate"/>
      </w:r>
      <w:r>
        <w:t>134</w:t>
      </w:r>
      <w:r>
        <w:fldChar w:fldCharType="end"/>
      </w:r>
      <w:r>
        <w:rPr>
          <w:rFonts w:hint="eastAsia"/>
        </w:rPr>
        <w:fldChar w:fldCharType="end"/>
      </w:r>
    </w:p>
    <w:p>
      <w:pPr>
        <w:pStyle w:val="37"/>
        <w:tabs>
          <w:tab w:val="right" w:leader="dot" w:pos="8647"/>
          <w:tab w:val="clear" w:pos="8364"/>
        </w:tabs>
        <w:ind w:left="0"/>
        <w:rPr>
          <w:rFonts w:hint="eastAsia"/>
          <w:sz w:val="18"/>
        </w:rPr>
      </w:pPr>
      <w:r>
        <w:rPr>
          <w:rFonts w:hint="eastAsia"/>
        </w:rPr>
        <w:fldChar w:fldCharType="end"/>
      </w:r>
    </w:p>
    <w:p>
      <w:pPr>
        <w:rPr>
          <w:rFonts w:hint="eastAsia"/>
        </w:rPr>
      </w:pPr>
    </w:p>
    <w:p/>
    <w:p>
      <w:pPr>
        <w:pStyle w:val="41"/>
      </w:pPr>
    </w:p>
    <w:p>
      <w:pPr>
        <w:pStyle w:val="41"/>
      </w:pPr>
    </w:p>
    <w:p/>
    <w:p>
      <w:pPr>
        <w:pStyle w:val="2"/>
      </w:pPr>
    </w:p>
    <w:p/>
    <w:p>
      <w:pPr>
        <w:pStyle w:val="2"/>
      </w:pPr>
    </w:p>
    <w:p>
      <w:pPr>
        <w:rPr>
          <w:rFonts w:hint="default" w:eastAsia="宋体"/>
          <w:lang w:val="en-US" w:eastAsia="zh-CN"/>
        </w:rPr>
      </w:pPr>
    </w:p>
    <w:p>
      <w:pPr>
        <w:pStyle w:val="2"/>
        <w:rPr>
          <w:rFonts w:hint="default" w:eastAsia="宋体"/>
          <w:lang w:val="en-US" w:eastAsia="zh-CN"/>
        </w:rPr>
      </w:pPr>
    </w:p>
    <w:p>
      <w:pPr>
        <w:pStyle w:val="3"/>
        <w:rPr>
          <w:rFonts w:hint="default" w:eastAsia="宋体"/>
          <w:lang w:val="en-US" w:eastAsia="zh-CN"/>
        </w:rPr>
      </w:pPr>
    </w:p>
    <w:p>
      <w:pPr>
        <w:pStyle w:val="3"/>
        <w:rPr>
          <w:rFonts w:hint="default" w:eastAsia="宋体"/>
          <w:lang w:val="en-US" w:eastAsia="zh-CN"/>
        </w:rPr>
      </w:pPr>
    </w:p>
    <w:p>
      <w:pPr>
        <w:pStyle w:val="3"/>
        <w:rPr>
          <w:rFonts w:hint="default" w:eastAsia="宋体"/>
          <w:lang w:val="en-US" w:eastAsia="zh-CN"/>
        </w:rPr>
      </w:pPr>
    </w:p>
    <w:p>
      <w:pPr>
        <w:pStyle w:val="2"/>
      </w:pPr>
    </w:p>
    <w:p>
      <w:pPr>
        <w:pStyle w:val="3"/>
      </w:pPr>
    </w:p>
    <w:p>
      <w:pPr>
        <w:pStyle w:val="3"/>
      </w:pPr>
    </w:p>
    <w:p>
      <w:pPr>
        <w:pStyle w:val="2"/>
      </w:pPr>
    </w:p>
    <w:p>
      <w:pPr>
        <w:pStyle w:val="4"/>
        <w:numPr>
          <w:ilvl w:val="0"/>
          <w:numId w:val="1"/>
        </w:numPr>
        <w:spacing w:before="0" w:after="0" w:line="360" w:lineRule="auto"/>
        <w:ind w:left="283"/>
      </w:pPr>
      <w:bookmarkStart w:id="4" w:name="_Toc181610856"/>
      <w:bookmarkStart w:id="5" w:name="_Toc181591102"/>
      <w:bookmarkStart w:id="6" w:name="_Toc25986"/>
      <w:bookmarkStart w:id="7" w:name="_Toc204575871"/>
      <w:bookmarkStart w:id="8" w:name="_Toc21765"/>
      <w:r>
        <w:rPr>
          <w:rFonts w:hint="eastAsia"/>
        </w:rPr>
        <w:t>投标邀请</w:t>
      </w:r>
      <w:bookmarkEnd w:id="4"/>
      <w:bookmarkEnd w:id="5"/>
      <w:bookmarkEnd w:id="6"/>
      <w:bookmarkEnd w:id="7"/>
      <w:bookmarkEnd w:id="8"/>
    </w:p>
    <w:p>
      <w:pPr>
        <w:ind w:left="-143" w:leftChars="-68" w:firstLine="560" w:firstLineChars="200"/>
        <w:jc w:val="left"/>
        <w:rPr>
          <w:rFonts w:hint="eastAsia" w:ascii="宋体" w:hAnsi="宋体"/>
          <w:sz w:val="28"/>
          <w:szCs w:val="28"/>
        </w:rPr>
      </w:pPr>
      <w:r>
        <w:rPr>
          <w:rFonts w:hint="eastAsia" w:ascii="宋体" w:hAnsi="宋体"/>
          <w:sz w:val="28"/>
          <w:szCs w:val="28"/>
          <w:lang w:eastAsia="zh-CN"/>
        </w:rPr>
        <w:t>成都市双流区公共资源交易服务中心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lang w:eastAsia="zh-CN"/>
        </w:rPr>
        <w:t>成都市双流区人民政府九江街道办事处</w:t>
      </w:r>
      <w:r>
        <w:rPr>
          <w:rFonts w:hint="eastAsia" w:ascii="宋体" w:hAnsi="宋体"/>
          <w:sz w:val="28"/>
          <w:szCs w:val="28"/>
        </w:rPr>
        <w:t>委托，拟对</w:t>
      </w:r>
      <w:r>
        <w:rPr>
          <w:rFonts w:hint="eastAsia" w:ascii="宋体" w:hAnsi="宋体"/>
          <w:b/>
          <w:sz w:val="28"/>
          <w:szCs w:val="28"/>
          <w:lang w:eastAsia="zh-CN"/>
        </w:rPr>
        <w:t>成都市双流区人民政府九江街道办事处环卫作业及绿化管护服务采购项目</w:t>
      </w:r>
      <w:r>
        <w:rPr>
          <w:rFonts w:hint="eastAsia" w:ascii="宋体" w:hAnsi="宋体"/>
          <w:sz w:val="28"/>
          <w:szCs w:val="28"/>
        </w:rPr>
        <w:t>进行国内公开招标，兹邀请符合本次招标要求的供应商参加投标。</w:t>
      </w:r>
    </w:p>
    <w:p>
      <w:pPr>
        <w:numPr>
          <w:ilvl w:val="0"/>
          <w:numId w:val="2"/>
        </w:numPr>
        <w:spacing w:after="0" w:line="360" w:lineRule="auto"/>
        <w:ind w:left="0" w:firstLine="567"/>
        <w:rPr>
          <w:rFonts w:hint="eastAsia"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双流政采（2021）A0005号</w:t>
      </w:r>
      <w:r>
        <w:rPr>
          <w:rFonts w:hint="eastAsia" w:ascii="华文中宋" w:hAnsi="华文中宋" w:eastAsia="华文中宋"/>
          <w:sz w:val="32"/>
          <w:szCs w:val="32"/>
          <w:lang w:eastAsia="zh-CN"/>
        </w:rPr>
        <w:t xml:space="preserve">  </w:t>
      </w:r>
    </w:p>
    <w:p>
      <w:pPr>
        <w:spacing w:line="360" w:lineRule="auto"/>
        <w:ind w:firstLine="548" w:firstLineChars="196"/>
        <w:rPr>
          <w:rFonts w:hint="eastAsia" w:ascii="宋体" w:hAnsi="宋体"/>
          <w:b/>
          <w:sz w:val="28"/>
          <w:szCs w:val="28"/>
        </w:rPr>
      </w:pPr>
      <w:r>
        <w:rPr>
          <w:rFonts w:hint="eastAsia" w:ascii="宋体" w:hAnsi="宋体"/>
          <w:b w:val="0"/>
          <w:bCs/>
          <w:sz w:val="28"/>
          <w:szCs w:val="28"/>
        </w:rPr>
        <w:t>（</w:t>
      </w:r>
      <w:r>
        <w:rPr>
          <w:rFonts w:hint="eastAsia" w:ascii="宋体" w:hAnsi="宋体"/>
          <w:b/>
          <w:sz w:val="28"/>
          <w:szCs w:val="28"/>
          <w:lang w:eastAsia="zh-CN"/>
        </w:rPr>
        <w:t>采购项目编号：510122202100087</w:t>
      </w:r>
      <w:r>
        <w:rPr>
          <w:rFonts w:hint="eastAsia" w:ascii="宋体" w:hAnsi="宋体"/>
          <w:b w:val="0"/>
          <w:bCs/>
          <w:sz w:val="28"/>
          <w:szCs w:val="28"/>
        </w:rPr>
        <w:t>）</w:t>
      </w:r>
    </w:p>
    <w:p>
      <w:pPr>
        <w:numPr>
          <w:ilvl w:val="0"/>
          <w:numId w:val="2"/>
        </w:numPr>
        <w:spacing w:after="0" w:line="360" w:lineRule="auto"/>
        <w:ind w:left="0" w:firstLine="567"/>
        <w:rPr>
          <w:rFonts w:hint="eastAsia" w:ascii="宋体" w:hAnsi="宋体"/>
          <w:b w:val="0"/>
          <w:bCs/>
          <w:sz w:val="28"/>
          <w:szCs w:val="28"/>
        </w:rPr>
      </w:pPr>
      <w:r>
        <w:rPr>
          <w:rFonts w:hint="eastAsia" w:ascii="宋体" w:hAnsi="宋体"/>
          <w:b/>
          <w:sz w:val="28"/>
          <w:szCs w:val="28"/>
        </w:rPr>
        <w:t>项目名称：</w:t>
      </w:r>
      <w:r>
        <w:rPr>
          <w:rFonts w:hint="eastAsia" w:ascii="宋体" w:hAnsi="宋体"/>
          <w:b w:val="0"/>
          <w:bCs/>
          <w:sz w:val="28"/>
          <w:szCs w:val="28"/>
          <w:lang w:eastAsia="zh-CN"/>
        </w:rPr>
        <w:t>成都市双流区人民政府九江街道办事处环卫作业及绿化管护服务采购项目</w:t>
      </w:r>
    </w:p>
    <w:p>
      <w:pPr>
        <w:numPr>
          <w:ilvl w:val="0"/>
          <w:numId w:val="2"/>
        </w:numPr>
        <w:spacing w:after="0" w:line="360" w:lineRule="auto"/>
        <w:ind w:left="0" w:firstLine="567"/>
        <w:rPr>
          <w:rFonts w:hint="eastAsia" w:ascii="宋体" w:hAnsi="宋体"/>
          <w:b w:val="0"/>
          <w:bCs/>
          <w:sz w:val="28"/>
          <w:szCs w:val="28"/>
          <w:lang w:eastAsia="zh-CN"/>
        </w:rPr>
      </w:pPr>
      <w:r>
        <w:rPr>
          <w:rFonts w:hint="eastAsia" w:ascii="宋体" w:hAnsi="宋体"/>
          <w:b/>
          <w:bCs w:val="0"/>
          <w:sz w:val="28"/>
          <w:szCs w:val="28"/>
          <w:lang w:eastAsia="zh-CN"/>
        </w:rPr>
        <w:t>资金来源、预算金额及最高限价</w:t>
      </w:r>
      <w:r>
        <w:rPr>
          <w:rFonts w:hint="eastAsia" w:ascii="宋体" w:hAnsi="宋体"/>
          <w:b w:val="0"/>
          <w:bCs/>
          <w:sz w:val="28"/>
          <w:szCs w:val="28"/>
          <w:lang w:eastAsia="zh-CN"/>
        </w:rPr>
        <w:t>：财政性资金，政府采购实施计划备案表号：</w:t>
      </w:r>
      <w:bookmarkStart w:id="9" w:name="采购计划号_1619062314246"/>
      <w:r>
        <w:rPr>
          <w:rFonts w:hint="eastAsia" w:ascii="宋体" w:hAnsi="宋体"/>
          <w:b w:val="0"/>
          <w:bCs/>
          <w:sz w:val="28"/>
          <w:szCs w:val="28"/>
          <w:lang w:eastAsia="zh-CN"/>
        </w:rPr>
        <w:t>(2021)0308号</w:t>
      </w:r>
      <w:bookmarkEnd w:id="9"/>
      <w:r>
        <w:rPr>
          <w:rFonts w:hint="eastAsia" w:ascii="宋体" w:hAnsi="宋体"/>
          <w:b w:val="0"/>
          <w:bCs/>
          <w:sz w:val="28"/>
          <w:szCs w:val="28"/>
          <w:lang w:eastAsia="zh-CN"/>
        </w:rPr>
        <w:t>；行业类别：环境卫生管理；预算品目：</w:t>
      </w:r>
      <w:bookmarkStart w:id="10" w:name="采购品目_1621229202528"/>
      <w:r>
        <w:rPr>
          <w:rFonts w:hint="eastAsia" w:ascii="宋体" w:hAnsi="宋体"/>
          <w:b w:val="0"/>
          <w:bCs/>
          <w:sz w:val="28"/>
          <w:szCs w:val="28"/>
          <w:lang w:eastAsia="zh-CN"/>
        </w:rPr>
        <w:t>清扫服务</w:t>
      </w:r>
      <w:bookmarkEnd w:id="10"/>
      <w:r>
        <w:rPr>
          <w:rFonts w:hint="eastAsia" w:ascii="宋体" w:hAnsi="宋体"/>
          <w:b w:val="0"/>
          <w:bCs/>
          <w:sz w:val="28"/>
          <w:szCs w:val="28"/>
          <w:lang w:eastAsia="zh-CN"/>
        </w:rPr>
        <w:t>；预算金额：</w:t>
      </w:r>
      <w:bookmarkStart w:id="11" w:name="预算金额_1620716206414"/>
      <w:r>
        <w:rPr>
          <w:rFonts w:hint="eastAsia" w:ascii="宋体" w:hAnsi="宋体"/>
          <w:b w:val="0"/>
          <w:bCs/>
          <w:sz w:val="28"/>
          <w:szCs w:val="28"/>
          <w:lang w:eastAsia="zh-CN"/>
        </w:rPr>
        <w:t>19338016.99</w:t>
      </w:r>
      <w:bookmarkEnd w:id="11"/>
      <w:r>
        <w:rPr>
          <w:rFonts w:hint="eastAsia" w:ascii="宋体" w:hAnsi="宋体"/>
          <w:b w:val="0"/>
          <w:bCs/>
          <w:sz w:val="28"/>
          <w:szCs w:val="28"/>
          <w:lang w:eastAsia="zh-CN"/>
        </w:rPr>
        <w:t>元/年；本项目总最高限价：</w:t>
      </w:r>
      <w:bookmarkStart w:id="12" w:name="预算金额_1620716215611"/>
      <w:r>
        <w:rPr>
          <w:rFonts w:hint="eastAsia" w:ascii="宋体" w:hAnsi="宋体"/>
          <w:b w:val="0"/>
          <w:bCs/>
          <w:sz w:val="28"/>
          <w:szCs w:val="28"/>
          <w:lang w:eastAsia="zh-CN"/>
        </w:rPr>
        <w:t>19338016.99</w:t>
      </w:r>
      <w:bookmarkEnd w:id="12"/>
      <w:r>
        <w:rPr>
          <w:rFonts w:hint="eastAsia" w:ascii="宋体" w:hAnsi="宋体"/>
          <w:b w:val="0"/>
          <w:bCs/>
          <w:sz w:val="28"/>
          <w:szCs w:val="28"/>
          <w:lang w:eastAsia="zh-CN"/>
        </w:rPr>
        <w:t>元/年。包件1最高限价：10564445.73元/年，其中分项最高限价为：环境卫生作业7396412.49元/年；河道保洁660300.60元/年；绿化管护334165.44元/年；公厕管理722130.84元/年；垃圾清运1451436.36元/年。包件2最高限价：8773571.26元/年，其中分项最高限价为：环境卫生作业6543426.70元/年；河道保洁838201.20元/年；绿化管护18466.08元/年；垃圾清运1373477.28元/年。</w:t>
      </w:r>
    </w:p>
    <w:p>
      <w:pPr>
        <w:numPr>
          <w:ilvl w:val="0"/>
          <w:numId w:val="0"/>
        </w:numPr>
        <w:spacing w:after="0" w:line="360" w:lineRule="auto"/>
        <w:ind w:left="567" w:leftChars="0"/>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招标项目简介</w:t>
      </w:r>
    </w:p>
    <w:p>
      <w:pPr>
        <w:spacing w:line="360" w:lineRule="auto"/>
        <w:ind w:firstLine="565" w:firstLineChars="202"/>
        <w:rPr>
          <w:rFonts w:hint="eastAsia" w:ascii="宋体" w:hAnsi="宋体" w:eastAsia="宋体"/>
          <w:sz w:val="28"/>
          <w:szCs w:val="28"/>
          <w:lang w:val="en-US" w:eastAsia="zh-CN"/>
        </w:rPr>
      </w:pPr>
      <w:r>
        <w:rPr>
          <w:rFonts w:hint="eastAsia" w:ascii="宋体" w:hAnsi="宋体"/>
          <w:sz w:val="28"/>
          <w:szCs w:val="28"/>
        </w:rPr>
        <w:t>本项目共分为2个包件，各包件分别拟确定一名中标供应商，为</w:t>
      </w:r>
      <w:bookmarkStart w:id="13" w:name="采购单位名称_1619330941726"/>
      <w:r>
        <w:rPr>
          <w:rFonts w:hint="eastAsia" w:ascii="宋体" w:hAnsi="宋体"/>
          <w:sz w:val="28"/>
          <w:szCs w:val="28"/>
        </w:rPr>
        <w:t>成都市双流区人民政府九江街道办事处</w:t>
      </w:r>
      <w:bookmarkEnd w:id="13"/>
      <w:r>
        <w:rPr>
          <w:rFonts w:hint="eastAsia" w:ascii="宋体" w:hAnsi="宋体"/>
          <w:sz w:val="28"/>
          <w:szCs w:val="28"/>
        </w:rPr>
        <w:t>提供环卫作业相关服务</w:t>
      </w:r>
      <w:r>
        <w:rPr>
          <w:rFonts w:hint="eastAsia" w:ascii="宋体" w:hAnsi="宋体"/>
          <w:sz w:val="28"/>
          <w:szCs w:val="28"/>
          <w:lang w:eastAsia="zh-CN"/>
        </w:rPr>
        <w:t>。</w:t>
      </w:r>
    </w:p>
    <w:p>
      <w:pPr>
        <w:spacing w:line="360" w:lineRule="auto"/>
        <w:ind w:firstLine="565" w:firstLineChars="202"/>
        <w:rPr>
          <w:rFonts w:hint="eastAsia" w:ascii="宋体" w:hAnsi="宋体"/>
          <w:sz w:val="28"/>
          <w:szCs w:val="28"/>
        </w:rPr>
      </w:pPr>
      <w:r>
        <w:rPr>
          <w:rFonts w:hint="eastAsia" w:ascii="宋体" w:hAnsi="宋体"/>
          <w:sz w:val="28"/>
          <w:szCs w:val="28"/>
        </w:rPr>
        <w:t>详细的技术、服务、商务及其他要求见第4章。</w:t>
      </w:r>
    </w:p>
    <w:p>
      <w:pPr>
        <w:numPr>
          <w:ilvl w:val="0"/>
          <w:numId w:val="0"/>
        </w:numPr>
        <w:spacing w:after="0" w:line="360" w:lineRule="auto"/>
        <w:ind w:left="567" w:leftChars="0"/>
        <w:rPr>
          <w:rFonts w:hint="eastAsia" w:ascii="宋体" w:hAnsi="宋体"/>
          <w:b/>
          <w:sz w:val="28"/>
          <w:szCs w:val="28"/>
        </w:rPr>
      </w:pPr>
      <w:r>
        <w:rPr>
          <w:rFonts w:hint="eastAsia" w:ascii="宋体" w:hAnsi="宋体"/>
          <w:b/>
          <w:sz w:val="28"/>
          <w:szCs w:val="28"/>
          <w:lang w:eastAsia="zh-CN"/>
        </w:rPr>
        <w:t>五、</w:t>
      </w:r>
      <w:r>
        <w:rPr>
          <w:rFonts w:hint="eastAsia" w:ascii="宋体" w:hAnsi="宋体" w:eastAsia="宋体"/>
          <w:b/>
          <w:sz w:val="28"/>
          <w:szCs w:val="28"/>
        </w:rPr>
        <w:t>各包件</w:t>
      </w:r>
      <w:r>
        <w:rPr>
          <w:rFonts w:hint="eastAsia" w:ascii="宋体" w:hAnsi="宋体"/>
          <w:b/>
          <w:sz w:val="28"/>
          <w:szCs w:val="28"/>
        </w:rPr>
        <w:t>供应商参加本次政府采购活动应具备的条件</w:t>
      </w:r>
    </w:p>
    <w:p>
      <w:pPr>
        <w:numPr>
          <w:ilvl w:val="1"/>
          <w:numId w:val="3"/>
        </w:numPr>
        <w:spacing w:line="360" w:lineRule="auto"/>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1"/>
          <w:numId w:val="3"/>
        </w:numPr>
        <w:spacing w:line="360" w:lineRule="auto"/>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3"/>
        </w:numPr>
        <w:spacing w:line="360" w:lineRule="auto"/>
        <w:ind w:left="0" w:firstLine="567"/>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3"/>
        </w:numPr>
        <w:spacing w:line="360" w:lineRule="auto"/>
        <w:ind w:left="0" w:firstLine="567"/>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3"/>
        </w:numPr>
        <w:spacing w:line="360" w:lineRule="auto"/>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1"/>
          <w:numId w:val="3"/>
        </w:numPr>
        <w:spacing w:line="360" w:lineRule="auto"/>
        <w:ind w:left="0" w:firstLine="567"/>
        <w:rPr>
          <w:rFonts w:ascii="宋体" w:hAnsi="宋体"/>
          <w:sz w:val="28"/>
          <w:szCs w:val="28"/>
        </w:rPr>
      </w:pPr>
      <w:r>
        <w:rPr>
          <w:rFonts w:hint="eastAsia" w:ascii="宋体" w:hAnsi="宋体"/>
          <w:b w:val="0"/>
          <w:bCs/>
          <w:sz w:val="28"/>
          <w:szCs w:val="28"/>
        </w:rPr>
        <w:t>在</w:t>
      </w:r>
      <w:r>
        <w:rPr>
          <w:rFonts w:hint="eastAsia" w:ascii="宋体" w:hAnsi="宋体"/>
          <w:sz w:val="28"/>
          <w:szCs w:val="28"/>
        </w:rPr>
        <w:t>中华人民共和国境内依法登记注册，并有效存续具有独立法人资格的供应商；</w:t>
      </w:r>
    </w:p>
    <w:p>
      <w:pPr>
        <w:numPr>
          <w:ilvl w:val="1"/>
          <w:numId w:val="3"/>
        </w:numPr>
        <w:spacing w:line="360" w:lineRule="auto"/>
        <w:ind w:left="0" w:firstLine="567"/>
        <w:rPr>
          <w:rFonts w:hint="eastAsia" w:ascii="宋体" w:hAnsi="宋体"/>
          <w:b w:val="0"/>
          <w:bCs/>
          <w:sz w:val="28"/>
          <w:szCs w:val="28"/>
        </w:rPr>
      </w:pPr>
      <w:r>
        <w:rPr>
          <w:rFonts w:hint="eastAsia" w:ascii="宋体" w:hAnsi="宋体"/>
          <w:sz w:val="28"/>
          <w:szCs w:val="28"/>
        </w:rPr>
        <w:t>本项目不接受联合体投标</w:t>
      </w:r>
      <w:r>
        <w:rPr>
          <w:rFonts w:hint="eastAsia" w:ascii="宋体" w:hAnsi="宋体"/>
          <w:b w:val="0"/>
          <w:bCs/>
          <w:sz w:val="28"/>
          <w:szCs w:val="28"/>
        </w:rPr>
        <w:t>。</w:t>
      </w:r>
    </w:p>
    <w:p>
      <w:pPr>
        <w:numPr>
          <w:ilvl w:val="0"/>
          <w:numId w:val="0"/>
        </w:numPr>
        <w:spacing w:line="360" w:lineRule="auto"/>
        <w:ind w:left="567" w:leftChars="0"/>
        <w:rPr>
          <w:rFonts w:ascii="宋体" w:hAnsi="宋体"/>
          <w:b/>
          <w:i/>
          <w:sz w:val="28"/>
        </w:rPr>
      </w:pPr>
      <w:r>
        <w:rPr>
          <w:rFonts w:hint="eastAsia" w:ascii="宋体" w:hAnsi="宋体"/>
          <w:b/>
          <w:sz w:val="28"/>
          <w:szCs w:val="28"/>
          <w:lang w:eastAsia="zh-CN"/>
        </w:rPr>
        <w:t>六、</w:t>
      </w:r>
      <w:r>
        <w:rPr>
          <w:rFonts w:hint="eastAsia" w:ascii="宋体" w:hAnsi="宋体"/>
          <w:b/>
          <w:sz w:val="28"/>
          <w:szCs w:val="28"/>
        </w:rPr>
        <w:t>招标文件获取时间</w:t>
      </w:r>
    </w:p>
    <w:p>
      <w:pPr>
        <w:numPr>
          <w:ilvl w:val="0"/>
          <w:numId w:val="4"/>
        </w:numPr>
        <w:spacing w:line="360" w:lineRule="auto"/>
        <w:ind w:left="0" w:firstLine="567"/>
        <w:rPr>
          <w:rFonts w:ascii="宋体" w:hAnsi="宋体"/>
          <w:b/>
          <w:sz w:val="28"/>
        </w:rPr>
      </w:pPr>
      <w:r>
        <w:rPr>
          <w:rFonts w:hint="eastAsia" w:ascii="宋体" w:hAnsi="宋体"/>
          <w:b/>
          <w:sz w:val="28"/>
          <w:szCs w:val="28"/>
        </w:rPr>
        <w:t>招标文件获取时间：2021年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日至</w:t>
      </w:r>
      <w:r>
        <w:rPr>
          <w:rFonts w:hint="eastAsia" w:ascii="宋体" w:hAnsi="宋体"/>
          <w:b/>
          <w:sz w:val="28"/>
          <w:szCs w:val="28"/>
          <w:lang w:val="en-US" w:eastAsia="zh-CN"/>
        </w:rPr>
        <w:t>8</w:t>
      </w:r>
      <w:r>
        <w:rPr>
          <w:rFonts w:hint="eastAsia" w:ascii="宋体" w:hAnsi="宋体"/>
          <w:b/>
          <w:sz w:val="28"/>
          <w:szCs w:val="28"/>
        </w:rPr>
        <w:t>月</w:t>
      </w:r>
      <w:r>
        <w:rPr>
          <w:rFonts w:hint="eastAsia" w:ascii="宋体" w:hAnsi="宋体"/>
          <w:b/>
          <w:sz w:val="28"/>
          <w:szCs w:val="28"/>
          <w:lang w:val="en-US" w:eastAsia="zh-CN"/>
        </w:rPr>
        <w:t>2</w:t>
      </w:r>
      <w:r>
        <w:rPr>
          <w:rFonts w:hint="eastAsia" w:ascii="宋体" w:hAnsi="宋体"/>
          <w:b/>
          <w:sz w:val="28"/>
          <w:szCs w:val="28"/>
        </w:rPr>
        <w:t>日。</w:t>
      </w:r>
    </w:p>
    <w:p>
      <w:pPr>
        <w:numPr>
          <w:ilvl w:val="0"/>
          <w:numId w:val="4"/>
        </w:numPr>
        <w:spacing w:line="360" w:lineRule="auto"/>
        <w:ind w:left="0" w:firstLine="567"/>
        <w:rPr>
          <w:rFonts w:ascii="宋体" w:hAnsi="宋体"/>
          <w:b/>
          <w:sz w:val="28"/>
        </w:rPr>
      </w:pPr>
      <w:r>
        <w:rPr>
          <w:rFonts w:hint="eastAsia" w:ascii="宋体" w:hAnsi="宋体"/>
          <w:b/>
          <w:sz w:val="28"/>
          <w:szCs w:val="28"/>
        </w:rPr>
        <w:t>公告期限：2021年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日至</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numPr>
          <w:ilvl w:val="0"/>
          <w:numId w:val="4"/>
        </w:numPr>
        <w:spacing w:line="360" w:lineRule="auto"/>
        <w:ind w:left="0" w:firstLine="567"/>
        <w:rPr>
          <w:rFonts w:ascii="宋体" w:hAnsi="宋体"/>
          <w:sz w:val="28"/>
          <w:szCs w:val="28"/>
        </w:rPr>
      </w:pPr>
      <w:r>
        <w:rPr>
          <w:rFonts w:hint="eastAsia" w:ascii="宋体" w:hAnsi="宋体"/>
          <w:sz w:val="28"/>
          <w:szCs w:val="28"/>
        </w:rPr>
        <w:t>供应商如对招标文件有质疑的，应于自招标文件公告期限届满之日起七个工作日内以书面形式提出。</w:t>
      </w:r>
    </w:p>
    <w:p>
      <w:pPr>
        <w:numPr>
          <w:ilvl w:val="0"/>
          <w:numId w:val="0"/>
        </w:numPr>
        <w:spacing w:line="360" w:lineRule="auto"/>
        <w:ind w:left="567" w:leftChars="0"/>
        <w:rPr>
          <w:rFonts w:ascii="宋体" w:hAnsi="宋体"/>
          <w:b/>
          <w:sz w:val="28"/>
          <w:szCs w:val="28"/>
        </w:rPr>
      </w:pPr>
      <w:r>
        <w:rPr>
          <w:rFonts w:hint="eastAsia" w:ascii="宋体" w:hAnsi="宋体"/>
          <w:b/>
          <w:sz w:val="28"/>
          <w:szCs w:val="28"/>
          <w:lang w:eastAsia="zh-CN"/>
        </w:rPr>
        <w:t>七、</w:t>
      </w:r>
      <w:r>
        <w:rPr>
          <w:rFonts w:hint="eastAsia" w:ascii="宋体" w:hAnsi="宋体"/>
          <w:b/>
          <w:sz w:val="28"/>
          <w:szCs w:val="28"/>
        </w:rPr>
        <w:t>招标文件获取方式</w:t>
      </w:r>
    </w:p>
    <w:p>
      <w:pPr>
        <w:spacing w:line="360" w:lineRule="auto"/>
        <w:ind w:firstLine="565" w:firstLineChars="202"/>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5"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0"/>
        </w:numPr>
        <w:spacing w:line="360" w:lineRule="auto"/>
        <w:ind w:left="567" w:leftChars="0"/>
        <w:rPr>
          <w:rFonts w:hint="eastAsia" w:ascii="宋体" w:hAnsi="宋体"/>
          <w:b/>
          <w:sz w:val="28"/>
          <w:szCs w:val="28"/>
          <w:lang w:eastAsia="zh-CN"/>
        </w:rPr>
      </w:pPr>
    </w:p>
    <w:p>
      <w:pPr>
        <w:numPr>
          <w:ilvl w:val="0"/>
          <w:numId w:val="0"/>
        </w:numPr>
        <w:spacing w:line="360" w:lineRule="auto"/>
        <w:ind w:left="567" w:leftChars="0"/>
        <w:rPr>
          <w:rFonts w:ascii="宋体" w:hAnsi="宋体"/>
          <w:b/>
          <w:sz w:val="28"/>
          <w:szCs w:val="28"/>
        </w:rPr>
      </w:pPr>
      <w:r>
        <w:rPr>
          <w:rFonts w:hint="eastAsia" w:ascii="宋体" w:hAnsi="宋体"/>
          <w:b/>
          <w:sz w:val="28"/>
          <w:szCs w:val="28"/>
          <w:lang w:eastAsia="zh-CN"/>
        </w:rPr>
        <w:t>八、</w:t>
      </w:r>
      <w:r>
        <w:rPr>
          <w:rFonts w:hint="eastAsia" w:ascii="宋体" w:hAnsi="宋体"/>
          <w:b/>
          <w:sz w:val="28"/>
          <w:szCs w:val="28"/>
        </w:rPr>
        <w:t>招标文件获取地点</w:t>
      </w:r>
    </w:p>
    <w:p>
      <w:pPr>
        <w:spacing w:line="360" w:lineRule="auto"/>
        <w:ind w:firstLine="565" w:firstLineChars="202"/>
        <w:rPr>
          <w:rFonts w:ascii="宋体" w:hAnsi="宋体"/>
          <w:sz w:val="28"/>
          <w:szCs w:val="28"/>
        </w:rPr>
      </w:pPr>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0"/>
        </w:numPr>
        <w:spacing w:line="360" w:lineRule="auto"/>
        <w:ind w:left="567" w:leftChars="0"/>
        <w:rPr>
          <w:rFonts w:ascii="宋体" w:hAnsi="宋体"/>
          <w:b/>
          <w:sz w:val="28"/>
          <w:szCs w:val="28"/>
        </w:rPr>
      </w:pPr>
      <w:bookmarkStart w:id="14" w:name="_Toc186274101"/>
      <w:bookmarkStart w:id="15" w:name="_Toc174185149"/>
      <w:bookmarkStart w:id="16" w:name="_Toc184023104"/>
      <w:bookmarkStart w:id="17" w:name="_Toc180051012"/>
      <w:bookmarkStart w:id="18" w:name="_Toc184013605"/>
      <w:r>
        <w:rPr>
          <w:rFonts w:hint="eastAsia" w:ascii="宋体" w:hAnsi="宋体"/>
          <w:b/>
          <w:sz w:val="28"/>
          <w:szCs w:val="28"/>
          <w:lang w:eastAsia="zh-CN"/>
        </w:rPr>
        <w:t>九、</w:t>
      </w:r>
      <w:r>
        <w:rPr>
          <w:rFonts w:hint="eastAsia" w:ascii="宋体" w:hAnsi="宋体"/>
          <w:b/>
          <w:sz w:val="28"/>
          <w:szCs w:val="28"/>
        </w:rPr>
        <w:t>投标文件递交截止时间及开标时间</w:t>
      </w:r>
      <w:bookmarkEnd w:id="14"/>
      <w:bookmarkEnd w:id="15"/>
      <w:bookmarkEnd w:id="16"/>
      <w:bookmarkEnd w:id="17"/>
      <w:bookmarkEnd w:id="18"/>
      <w:r>
        <w:rPr>
          <w:rFonts w:hint="eastAsia" w:ascii="宋体" w:hAnsi="宋体"/>
          <w:b/>
          <w:sz w:val="28"/>
          <w:szCs w:val="28"/>
        </w:rPr>
        <w:t>(北京时间)、地点、方式</w:t>
      </w:r>
    </w:p>
    <w:p>
      <w:pPr>
        <w:spacing w:line="560" w:lineRule="exact"/>
        <w:ind w:firstLine="568" w:firstLineChars="202"/>
        <w:rPr>
          <w:rFonts w:ascii="宋体" w:hAnsi="宋体"/>
          <w:b/>
          <w:sz w:val="28"/>
          <w:szCs w:val="28"/>
        </w:rPr>
      </w:pPr>
      <w:r>
        <w:rPr>
          <w:rFonts w:hint="eastAsia" w:ascii="宋体" w:hAnsi="宋体"/>
          <w:b/>
          <w:sz w:val="28"/>
          <w:szCs w:val="28"/>
        </w:rPr>
        <w:t>（一）投标文件递交截止时间及开标时间：2021年</w:t>
      </w:r>
      <w:r>
        <w:rPr>
          <w:rFonts w:hint="eastAsia" w:ascii="宋体" w:hAnsi="宋体"/>
          <w:b/>
          <w:sz w:val="28"/>
          <w:szCs w:val="28"/>
          <w:lang w:val="en-US" w:eastAsia="zh-CN"/>
        </w:rPr>
        <w:t>8</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日上午</w:t>
      </w:r>
      <w:r>
        <w:rPr>
          <w:rFonts w:hint="eastAsia" w:ascii="宋体" w:hAnsi="宋体"/>
          <w:b/>
          <w:sz w:val="28"/>
          <w:szCs w:val="28"/>
          <w:lang w:val="en-US" w:eastAsia="zh-CN"/>
        </w:rPr>
        <w:t>09</w:t>
      </w:r>
      <w:r>
        <w:rPr>
          <w:rFonts w:hint="eastAsia" w:ascii="宋体" w:hAnsi="宋体"/>
          <w:b/>
          <w:sz w:val="28"/>
          <w:szCs w:val="28"/>
        </w:rPr>
        <w:t>:</w:t>
      </w:r>
      <w:r>
        <w:rPr>
          <w:rFonts w:hint="eastAsia" w:ascii="宋体" w:hAnsi="宋体"/>
          <w:b/>
          <w:sz w:val="28"/>
          <w:szCs w:val="28"/>
          <w:lang w:val="en-US" w:eastAsia="zh-CN"/>
        </w:rPr>
        <w:t>3</w:t>
      </w:r>
      <w:r>
        <w:rPr>
          <w:rFonts w:hint="eastAsia" w:ascii="宋体" w:hAnsi="宋体"/>
          <w:b/>
          <w:sz w:val="28"/>
          <w:szCs w:val="28"/>
        </w:rPr>
        <w:t>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0"/>
        </w:numPr>
        <w:spacing w:line="360" w:lineRule="auto"/>
        <w:ind w:left="567" w:leftChars="0"/>
        <w:rPr>
          <w:rFonts w:ascii="宋体" w:hAnsi="宋体"/>
          <w:b/>
          <w:sz w:val="28"/>
          <w:szCs w:val="28"/>
        </w:rPr>
      </w:pPr>
      <w:r>
        <w:rPr>
          <w:rFonts w:hint="eastAsia" w:ascii="宋体" w:hAnsi="宋体"/>
          <w:b/>
          <w:sz w:val="28"/>
          <w:szCs w:val="28"/>
          <w:lang w:eastAsia="zh-CN"/>
        </w:rPr>
        <w:t>十、</w:t>
      </w:r>
      <w:r>
        <w:rPr>
          <w:rFonts w:hint="eastAsia" w:ascii="宋体" w:hAnsi="宋体"/>
          <w:b/>
          <w:sz w:val="28"/>
          <w:szCs w:val="28"/>
        </w:rPr>
        <w:t>开标地点</w:t>
      </w:r>
    </w:p>
    <w:p>
      <w:pPr>
        <w:spacing w:line="360" w:lineRule="auto"/>
        <w:ind w:firstLine="420" w:firstLineChars="150"/>
        <w:jc w:val="left"/>
        <w:rPr>
          <w:rFonts w:ascii="宋体" w:hAnsi="宋体"/>
          <w:sz w:val="28"/>
          <w:szCs w:val="28"/>
        </w:rPr>
      </w:pPr>
      <w:r>
        <w:rPr>
          <w:rFonts w:hint="eastAsia" w:ascii="宋体" w:hAnsi="宋体"/>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0"/>
        </w:numPr>
        <w:spacing w:line="360" w:lineRule="auto"/>
        <w:ind w:left="567" w:leftChars="0"/>
        <w:rPr>
          <w:rFonts w:ascii="宋体" w:hAnsi="宋体"/>
          <w:b/>
          <w:sz w:val="28"/>
          <w:szCs w:val="28"/>
        </w:rPr>
      </w:pPr>
      <w:r>
        <w:rPr>
          <w:rFonts w:hint="eastAsia" w:ascii="宋体" w:hAnsi="宋体"/>
          <w:b/>
          <w:sz w:val="28"/>
          <w:szCs w:val="28"/>
          <w:lang w:eastAsia="zh-CN"/>
        </w:rPr>
        <w:t>十一、</w:t>
      </w:r>
      <w:r>
        <w:rPr>
          <w:rFonts w:hint="eastAsia" w:ascii="宋体" w:hAnsi="宋体"/>
          <w:b/>
          <w:sz w:val="28"/>
          <w:szCs w:val="28"/>
        </w:rPr>
        <w:t>政采中小企业政府采购信用担保融资</w:t>
      </w:r>
    </w:p>
    <w:p>
      <w:pPr>
        <w:spacing w:line="360" w:lineRule="auto"/>
        <w:ind w:firstLine="420" w:firstLineChars="150"/>
        <w:jc w:val="left"/>
        <w:rPr>
          <w:rFonts w:hint="default" w:ascii="宋体" w:hAnsi="宋体" w:eastAsia="宋体"/>
          <w:sz w:val="28"/>
          <w:szCs w:val="28"/>
          <w:lang w:val="en-US" w:eastAsia="zh-CN"/>
        </w:rPr>
      </w:pPr>
      <w:r>
        <w:rPr>
          <w:rFonts w:hint="eastAsia" w:ascii="宋体" w:hAnsi="宋体"/>
          <w:sz w:val="28"/>
          <w:szCs w:val="28"/>
        </w:rPr>
        <w:t>本项目属于政府采购信用融资业务项目，融资利率上浮比例不超过人民银行同期贷款基准利率30%，银行机构名单</w:t>
      </w:r>
      <w:r>
        <w:rPr>
          <w:rFonts w:hint="eastAsia" w:ascii="宋体" w:hAnsi="宋体"/>
          <w:sz w:val="28"/>
          <w:szCs w:val="28"/>
          <w:lang w:eastAsia="zh-CN"/>
        </w:rPr>
        <w:t>、</w:t>
      </w:r>
      <w:r>
        <w:rPr>
          <w:rFonts w:hint="eastAsia" w:ascii="宋体" w:hAnsi="宋体"/>
          <w:sz w:val="28"/>
          <w:szCs w:val="28"/>
        </w:rPr>
        <w:t>联系方式见附件1。</w:t>
      </w:r>
      <w:r>
        <w:rPr>
          <w:rFonts w:hint="eastAsia" w:ascii="宋体" w:hAnsi="宋体"/>
          <w:sz w:val="28"/>
          <w:szCs w:val="28"/>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left="567" w:leftChars="0" w:right="0" w:rightChars="0"/>
        <w:textAlignment w:val="auto"/>
        <w:outlineLvl w:val="9"/>
        <w:rPr>
          <w:rFonts w:hint="eastAsia" w:ascii="宋体" w:hAnsi="宋体"/>
          <w:b/>
          <w:sz w:val="28"/>
          <w:szCs w:val="28"/>
        </w:rPr>
      </w:pPr>
      <w:r>
        <w:rPr>
          <w:rFonts w:hint="eastAsia" w:ascii="宋体" w:hAnsi="宋体"/>
          <w:b/>
          <w:sz w:val="28"/>
          <w:szCs w:val="28"/>
          <w:lang w:eastAsia="zh-CN"/>
        </w:rPr>
        <w:t>十二、</w:t>
      </w:r>
      <w:r>
        <w:rPr>
          <w:rFonts w:hint="eastAsia" w:ascii="宋体" w:hAnsi="宋体"/>
          <w:b/>
          <w:sz w:val="28"/>
          <w:szCs w:val="28"/>
        </w:rPr>
        <w:t>本投标邀请在“四川政府采购网”和</w:t>
      </w:r>
      <w:r>
        <w:rPr>
          <w:rFonts w:hint="eastAsia" w:ascii="宋体" w:hAnsi="宋体"/>
          <w:b/>
          <w:sz w:val="28"/>
          <w:szCs w:val="28"/>
          <w:lang w:eastAsia="zh-CN"/>
        </w:rPr>
        <w:t>“成都市公共资源交易服务中心”网站</w:t>
      </w:r>
      <w:r>
        <w:rPr>
          <w:rFonts w:hint="eastAsia" w:ascii="宋体" w:hAnsi="宋体"/>
          <w:b/>
          <w:sz w:val="28"/>
          <w:szCs w:val="28"/>
        </w:rPr>
        <w:t>上以公告形式发布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left="567" w:leftChars="0" w:right="0" w:rightChars="0"/>
        <w:textAlignment w:val="auto"/>
        <w:outlineLvl w:val="9"/>
        <w:rPr>
          <w:rFonts w:hint="eastAsia" w:ascii="宋体" w:hAnsi="宋体"/>
          <w:b/>
          <w:sz w:val="28"/>
          <w:szCs w:val="28"/>
        </w:rPr>
      </w:pPr>
      <w:r>
        <w:rPr>
          <w:rFonts w:hint="eastAsia" w:ascii="宋体" w:hAnsi="宋体"/>
          <w:b/>
          <w:sz w:val="28"/>
          <w:szCs w:val="28"/>
          <w:lang w:eastAsia="zh-CN"/>
        </w:rPr>
        <w:t>十三、</w:t>
      </w:r>
      <w:r>
        <w:rPr>
          <w:rFonts w:hint="eastAsia" w:ascii="宋体" w:hAnsi="宋体"/>
          <w:b/>
          <w:sz w:val="28"/>
          <w:szCs w:val="28"/>
        </w:rPr>
        <w:t>联系方式</w:t>
      </w:r>
    </w:p>
    <w:p>
      <w:pPr>
        <w:keepNext w:val="0"/>
        <w:keepLines w:val="0"/>
        <w:pageBreakBefore w:val="0"/>
        <w:widowControl w:val="0"/>
        <w:kinsoku/>
        <w:wordWrap/>
        <w:overflowPunct/>
        <w:topLinePunct w:val="0"/>
        <w:autoSpaceDE/>
        <w:autoSpaceDN/>
        <w:bidi w:val="0"/>
        <w:adjustRightInd/>
        <w:snapToGrid/>
        <w:spacing w:after="0" w:line="640" w:lineRule="exact"/>
        <w:ind w:left="567" w:right="0" w:rightChars="0"/>
        <w:textAlignment w:val="auto"/>
        <w:outlineLvl w:val="9"/>
        <w:rPr>
          <w:rFonts w:hint="eastAsia" w:ascii="宋体" w:hAnsi="宋体" w:eastAsia="宋体"/>
          <w:b/>
          <w:kern w:val="0"/>
          <w:sz w:val="28"/>
          <w:lang w:eastAsia="zh-CN"/>
        </w:rPr>
      </w:pPr>
      <w:r>
        <w:rPr>
          <w:rFonts w:hint="eastAsia" w:ascii="宋体" w:hAnsi="宋体"/>
          <w:b/>
          <w:sz w:val="28"/>
          <w:szCs w:val="28"/>
        </w:rPr>
        <w:t>采购人：</w:t>
      </w:r>
      <w:r>
        <w:rPr>
          <w:rFonts w:hint="eastAsia" w:ascii="宋体" w:hAnsi="宋体"/>
          <w:b/>
          <w:kern w:val="0"/>
          <w:sz w:val="28"/>
          <w:lang w:eastAsia="zh-CN"/>
        </w:rPr>
        <w:t>成都市双流区人民政府九江街道办事处</w:t>
      </w:r>
    </w:p>
    <w:p>
      <w:pPr>
        <w:pStyle w:val="206"/>
        <w:ind w:firstLine="560"/>
        <w:rPr>
          <w:rFonts w:ascii="宋体" w:hAnsi="宋体"/>
          <w:kern w:val="0"/>
          <w:sz w:val="28"/>
          <w:szCs w:val="22"/>
        </w:rPr>
      </w:pPr>
      <w:r>
        <w:rPr>
          <w:rFonts w:hint="eastAsia" w:ascii="宋体" w:hAnsi="宋体"/>
          <w:kern w:val="0"/>
          <w:sz w:val="28"/>
          <w:szCs w:val="22"/>
        </w:rPr>
        <w:t>地  址：</w:t>
      </w:r>
      <w:bookmarkStart w:id="19" w:name="单位地址_1619331013103"/>
      <w:r>
        <w:rPr>
          <w:rFonts w:hint="eastAsia" w:ascii="宋体" w:hAnsi="宋体"/>
          <w:sz w:val="28"/>
          <w:szCs w:val="28"/>
        </w:rPr>
        <w:t>成都市双流区鸿雁路319号</w:t>
      </w:r>
      <w:bookmarkEnd w:id="19"/>
    </w:p>
    <w:p>
      <w:pPr>
        <w:pStyle w:val="206"/>
        <w:ind w:firstLine="560"/>
        <w:rPr>
          <w:rFonts w:ascii="宋体" w:hAnsi="宋体"/>
          <w:kern w:val="0"/>
          <w:sz w:val="28"/>
          <w:szCs w:val="28"/>
        </w:rPr>
      </w:pPr>
      <w:r>
        <w:rPr>
          <w:rFonts w:hint="eastAsia" w:ascii="宋体" w:hAnsi="宋体"/>
          <w:kern w:val="0"/>
          <w:sz w:val="28"/>
          <w:szCs w:val="28"/>
        </w:rPr>
        <w:t>联系人：</w:t>
      </w:r>
      <w:bookmarkStart w:id="20" w:name="采购人联系人_1619331018531"/>
      <w:r>
        <w:rPr>
          <w:rFonts w:hint="eastAsia" w:ascii="宋体" w:hAnsi="宋体"/>
          <w:sz w:val="28"/>
        </w:rPr>
        <w:t>鞠思洋</w:t>
      </w:r>
      <w:bookmarkEnd w:id="20"/>
    </w:p>
    <w:p>
      <w:pPr>
        <w:spacing w:line="360" w:lineRule="auto"/>
        <w:ind w:firstLine="567"/>
        <w:rPr>
          <w:rFonts w:ascii="宋体" w:hAnsi="宋体"/>
          <w:b/>
          <w:bCs/>
          <w:sz w:val="28"/>
          <w:szCs w:val="28"/>
        </w:rPr>
      </w:pPr>
      <w:r>
        <w:rPr>
          <w:rFonts w:hint="eastAsia" w:ascii="宋体" w:hAnsi="宋体"/>
          <w:sz w:val="28"/>
        </w:rPr>
        <w:t>联系电话：</w:t>
      </w:r>
      <w:r>
        <w:rPr>
          <w:rFonts w:hint="eastAsia" w:ascii="宋体" w:hAnsi="宋体"/>
          <w:sz w:val="28"/>
          <w:szCs w:val="28"/>
        </w:rPr>
        <w:t>15982832084</w:t>
      </w:r>
    </w:p>
    <w:p>
      <w:pPr>
        <w:pStyle w:val="206"/>
        <w:keepNext w:val="0"/>
        <w:keepLines w:val="0"/>
        <w:pageBreakBefore w:val="0"/>
        <w:widowControl w:val="0"/>
        <w:kinsoku/>
        <w:wordWrap/>
        <w:overflowPunct/>
        <w:topLinePunct w:val="0"/>
        <w:autoSpaceDE/>
        <w:autoSpaceDN/>
        <w:bidi w:val="0"/>
        <w:adjustRightInd/>
        <w:snapToGrid/>
        <w:spacing w:after="0" w:line="640" w:lineRule="exact"/>
        <w:ind w:right="0" w:rightChars="0" w:firstLine="568" w:firstLineChars="202"/>
        <w:textAlignment w:val="auto"/>
        <w:outlineLvl w:val="9"/>
        <w:rPr>
          <w:rFonts w:hint="eastAsia" w:ascii="宋体" w:hAnsi="宋体" w:eastAsia="宋体"/>
          <w:b/>
          <w:kern w:val="0"/>
          <w:sz w:val="28"/>
          <w:szCs w:val="22"/>
          <w:lang w:eastAsia="zh-CN"/>
        </w:rPr>
      </w:pPr>
      <w:r>
        <w:rPr>
          <w:rFonts w:hint="eastAsia" w:ascii="宋体" w:hAnsi="宋体"/>
          <w:b/>
          <w:kern w:val="0"/>
          <w:sz w:val="28"/>
          <w:szCs w:val="22"/>
          <w:lang w:eastAsia="zh-CN"/>
        </w:rPr>
        <w:t>成都市双流区公共资源交易服务中心</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地  址：</w:t>
      </w:r>
      <w:bookmarkStart w:id="21" w:name="开标地址_1589527088540"/>
      <w:r>
        <w:rPr>
          <w:rFonts w:hint="eastAsia" w:ascii="宋体" w:hAnsi="宋体" w:eastAsia="宋体" w:cs="宋体"/>
          <w:kern w:val="0"/>
          <w:sz w:val="28"/>
        </w:rPr>
        <w:t>成都市双流区西航港街道机场路土桥段八十号</w:t>
      </w:r>
      <w:bookmarkEnd w:id="21"/>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邮  编：610200</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rPr>
        <w:t>联系人：</w:t>
      </w:r>
      <w:r>
        <w:rPr>
          <w:rFonts w:hint="eastAsia" w:ascii="宋体" w:hAnsi="宋体" w:eastAsia="宋体" w:cs="宋体"/>
          <w:kern w:val="0"/>
          <w:sz w:val="28"/>
          <w:lang w:val="en-US" w:eastAsia="zh-CN"/>
        </w:rPr>
        <w:t>肖迪、</w:t>
      </w:r>
      <w:r>
        <w:rPr>
          <w:rFonts w:hint="eastAsia" w:ascii="宋体" w:hAnsi="宋体" w:eastAsia="宋体" w:cs="宋体"/>
          <w:kern w:val="0"/>
          <w:sz w:val="28"/>
          <w:lang w:eastAsia="zh-CN"/>
        </w:rPr>
        <w:t>刘刚</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kern w:val="0"/>
          <w:sz w:val="28"/>
          <w:lang w:val="en-US" w:eastAsia="zh-CN"/>
        </w:rPr>
      </w:pPr>
      <w:r>
        <w:rPr>
          <w:rFonts w:hint="eastAsia" w:ascii="宋体" w:hAnsi="宋体" w:eastAsia="宋体" w:cs="宋体"/>
          <w:kern w:val="0"/>
          <w:sz w:val="28"/>
        </w:rPr>
        <w:t>联系电话：</w:t>
      </w:r>
      <w:r>
        <w:rPr>
          <w:rFonts w:hint="eastAsia" w:ascii="宋体" w:hAnsi="宋体" w:eastAsia="宋体" w:cs="宋体"/>
          <w:kern w:val="0"/>
          <w:sz w:val="28"/>
          <w:lang w:val="en-US" w:eastAsia="zh-CN"/>
        </w:rPr>
        <w:t>028-85825029；</w:t>
      </w:r>
      <w:r>
        <w:rPr>
          <w:rFonts w:hint="eastAsia" w:ascii="宋体" w:hAnsi="宋体" w:eastAsia="宋体" w:cs="宋体"/>
          <w:kern w:val="0"/>
          <w:sz w:val="28"/>
        </w:rPr>
        <w:t>028-858250</w:t>
      </w:r>
      <w:r>
        <w:rPr>
          <w:rFonts w:hint="eastAsia" w:ascii="宋体" w:hAnsi="宋体" w:eastAsia="宋体" w:cs="宋体"/>
          <w:kern w:val="0"/>
          <w:sz w:val="28"/>
          <w:lang w:val="en-US" w:eastAsia="zh-CN"/>
        </w:rPr>
        <w:t>12</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6"/>
        <w:jc w:val="left"/>
        <w:textAlignment w:val="auto"/>
        <w:outlineLvl w:val="9"/>
        <w:rPr>
          <w:rFonts w:hint="eastAsia" w:ascii="宋体" w:hAnsi="宋体" w:eastAsia="宋体" w:cs="宋体"/>
          <w:b/>
          <w:kern w:val="0"/>
          <w:sz w:val="28"/>
        </w:rPr>
      </w:pPr>
      <w:r>
        <w:rPr>
          <w:rFonts w:hint="eastAsia" w:ascii="宋体" w:hAnsi="宋体" w:eastAsia="宋体" w:cs="宋体"/>
          <w:b/>
          <w:kern w:val="0"/>
          <w:sz w:val="28"/>
        </w:rPr>
        <w:t>集中采购监督机构：成都市双流区财政局</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地 址：成都市双流区电视塔路2段36号</w:t>
      </w:r>
    </w:p>
    <w:p>
      <w:pPr>
        <w:pStyle w:val="146"/>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r>
        <w:rPr>
          <w:rFonts w:hint="eastAsia" w:ascii="宋体" w:hAnsi="宋体" w:eastAsia="宋体" w:cs="宋体"/>
          <w:kern w:val="0"/>
          <w:sz w:val="28"/>
        </w:rPr>
        <w:t>联系电话：028-85804726</w:t>
      </w:r>
    </w:p>
    <w:p>
      <w:pPr>
        <w:pStyle w:val="146"/>
        <w:tabs>
          <w:tab w:val="left" w:pos="900"/>
        </w:tabs>
        <w:spacing w:line="360" w:lineRule="auto"/>
        <w:ind w:firstLine="564"/>
        <w:jc w:val="left"/>
        <w:rPr>
          <w:rFonts w:hint="eastAsia" w:ascii="宋体" w:hAnsi="宋体" w:eastAsia="宋体" w:cs="宋体"/>
          <w:kern w:val="0"/>
          <w:sz w:val="28"/>
        </w:rPr>
      </w:pPr>
    </w:p>
    <w:p>
      <w:pPr>
        <w:pStyle w:val="146"/>
        <w:tabs>
          <w:tab w:val="left" w:pos="900"/>
        </w:tabs>
        <w:spacing w:line="360" w:lineRule="auto"/>
        <w:ind w:firstLine="564"/>
        <w:jc w:val="left"/>
        <w:rPr>
          <w:rFonts w:hint="eastAsia" w:ascii="宋体" w:hAnsi="宋体" w:eastAsia="宋体" w:cs="宋体"/>
          <w:kern w:val="0"/>
          <w:sz w:val="28"/>
        </w:rPr>
      </w:pPr>
    </w:p>
    <w:p>
      <w:pPr>
        <w:pStyle w:val="146"/>
        <w:tabs>
          <w:tab w:val="left" w:pos="900"/>
        </w:tabs>
        <w:spacing w:line="360" w:lineRule="auto"/>
        <w:ind w:firstLine="564"/>
        <w:jc w:val="left"/>
        <w:rPr>
          <w:rFonts w:hint="eastAsia" w:ascii="宋体" w:hAnsi="宋体" w:eastAsia="宋体" w:cs="宋体"/>
          <w:kern w:val="0"/>
          <w:sz w:val="28"/>
        </w:rPr>
      </w:pPr>
    </w:p>
    <w:p>
      <w:pPr>
        <w:pStyle w:val="4"/>
        <w:numPr>
          <w:ilvl w:val="0"/>
          <w:numId w:val="1"/>
        </w:numPr>
        <w:spacing w:before="0" w:after="0" w:line="360" w:lineRule="auto"/>
        <w:ind w:left="283"/>
        <w:rPr>
          <w:rFonts w:hint="eastAsia"/>
        </w:rPr>
      </w:pPr>
      <w:bookmarkStart w:id="22" w:name="_Toc29383"/>
      <w:bookmarkStart w:id="23" w:name="_Toc5411"/>
      <w:r>
        <w:rPr>
          <w:rFonts w:hint="eastAsia"/>
        </w:rPr>
        <w:t>投标人须知</w:t>
      </w:r>
      <w:bookmarkEnd w:id="22"/>
      <w:bookmarkEnd w:id="23"/>
    </w:p>
    <w:p>
      <w:pPr>
        <w:pStyle w:val="5"/>
        <w:numPr>
          <w:ilvl w:val="1"/>
          <w:numId w:val="1"/>
        </w:numPr>
        <w:spacing w:before="0" w:after="0"/>
        <w:ind w:hanging="709"/>
        <w:rPr>
          <w:rFonts w:hint="eastAsia"/>
        </w:rPr>
      </w:pPr>
      <w:bookmarkStart w:id="24" w:name="_Toc29289"/>
      <w:bookmarkStart w:id="25" w:name="_Toc213397010"/>
      <w:bookmarkStart w:id="26" w:name="_Toc217446032"/>
      <w:bookmarkStart w:id="27" w:name="_Toc213396946"/>
      <w:bookmarkStart w:id="28" w:name="_Toc15942"/>
      <w:bookmarkStart w:id="29" w:name="_Toc213496268"/>
      <w:bookmarkStart w:id="30" w:name="_Toc316462344"/>
      <w:bookmarkStart w:id="31" w:name="_Toc189727030"/>
      <w:bookmarkStart w:id="32" w:name="_Toc213396760"/>
      <w:r>
        <w:rPr>
          <w:rFonts w:hint="eastAsia"/>
        </w:rPr>
        <w:t>投标人须知前附表</w:t>
      </w:r>
      <w:bookmarkEnd w:id="24"/>
      <w:bookmarkEnd w:id="25"/>
      <w:bookmarkEnd w:id="26"/>
      <w:bookmarkEnd w:id="27"/>
      <w:bookmarkEnd w:id="28"/>
      <w:bookmarkEnd w:id="29"/>
      <w:bookmarkEnd w:id="30"/>
      <w:bookmarkEnd w:id="31"/>
      <w:bookmarkEnd w:id="32"/>
    </w:p>
    <w:tbl>
      <w:tblPr>
        <w:tblStyle w:val="45"/>
        <w:tblW w:w="931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3"/>
        <w:gridCol w:w="66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sz w:val="24"/>
              </w:rPr>
            </w:pPr>
            <w:r>
              <w:rPr>
                <w:rFonts w:hint="eastAsia" w:ascii="宋体" w:hAnsi="宋体"/>
                <w:b/>
                <w:sz w:val="28"/>
                <w:szCs w:val="28"/>
                <w:lang w:val="zh-CN"/>
              </w:rPr>
              <w:t>序号</w:t>
            </w:r>
          </w:p>
        </w:tc>
        <w:tc>
          <w:tcPr>
            <w:tcW w:w="1943" w:type="dxa"/>
            <w:tcBorders>
              <w:top w:val="single" w:color="auto" w:sz="18" w:space="0"/>
              <w:left w:val="single" w:color="auto" w:sz="8" w:space="0"/>
              <w:bottom w:val="single" w:color="auto" w:sz="8" w:space="0"/>
              <w:right w:val="single" w:color="auto" w:sz="8" w:space="0"/>
            </w:tcBorders>
            <w:vAlign w:val="center"/>
          </w:tcPr>
          <w:p>
            <w:pPr>
              <w:pStyle w:val="242"/>
              <w:spacing w:line="360" w:lineRule="auto"/>
              <w:ind w:left="38"/>
              <w:jc w:val="center"/>
              <w:rPr>
                <w:b/>
                <w:kern w:val="2"/>
                <w:lang w:val="zh-CN"/>
              </w:rPr>
            </w:pPr>
            <w:r>
              <w:rPr>
                <w:rFonts w:hint="eastAsia"/>
                <w:b/>
                <w:kern w:val="2"/>
                <w:sz w:val="28"/>
                <w:szCs w:val="28"/>
                <w:lang w:val="zh-CN"/>
              </w:rPr>
              <w:t>应知事项</w:t>
            </w:r>
          </w:p>
        </w:tc>
        <w:tc>
          <w:tcPr>
            <w:tcW w:w="6683" w:type="dxa"/>
            <w:tcBorders>
              <w:top w:val="single" w:color="auto" w:sz="18" w:space="0"/>
              <w:left w:val="single" w:color="auto" w:sz="8" w:space="0"/>
              <w:bottom w:val="single" w:color="auto" w:sz="8" w:space="0"/>
              <w:right w:val="single" w:color="auto" w:sz="18" w:space="0"/>
            </w:tcBorders>
            <w:vAlign w:val="center"/>
          </w:tcPr>
          <w:p>
            <w:pPr>
              <w:pStyle w:val="242"/>
              <w:spacing w:line="360" w:lineRule="auto"/>
              <w:jc w:val="center"/>
              <w:rPr>
                <w:b/>
                <w:kern w:val="2"/>
                <w:lang w:val="zh-CN"/>
              </w:rPr>
            </w:pPr>
            <w:r>
              <w:rPr>
                <w:rFonts w:hint="eastAsia"/>
                <w:b/>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采购预算</w:t>
            </w:r>
          </w:p>
        </w:tc>
        <w:tc>
          <w:tcPr>
            <w:tcW w:w="6683"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ightChars="0"/>
              <w:rPr>
                <w:rFonts w:hint="eastAsia" w:ascii="宋体" w:hAnsi="宋体" w:eastAsia="宋体" w:cs="宋体"/>
                <w:kern w:val="2"/>
                <w:sz w:val="24"/>
                <w:szCs w:val="24"/>
                <w:lang w:val="zh-CN" w:eastAsia="zh-CN" w:bidi="ar-SA"/>
              </w:rPr>
            </w:pPr>
            <w:r>
              <w:rPr>
                <w:rFonts w:hint="eastAsia"/>
                <w:b/>
                <w:bCs/>
              </w:rPr>
              <w:t>人民币19338016.99元/年。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cs="宋体"/>
                <w:kern w:val="2"/>
                <w:sz w:val="24"/>
                <w:szCs w:val="24"/>
                <w:lang w:val="zh-CN" w:eastAsia="zh-CN" w:bidi="ar-SA"/>
              </w:rPr>
              <w:t>最高限价</w:t>
            </w:r>
          </w:p>
        </w:tc>
        <w:tc>
          <w:tcPr>
            <w:tcW w:w="66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default" w:ascii="宋体" w:hAnsi="宋体" w:eastAsia="宋体" w:cs="宋体"/>
                <w:kern w:val="2"/>
                <w:sz w:val="24"/>
                <w:szCs w:val="24"/>
                <w:lang w:val="en-US" w:eastAsia="zh-CN" w:bidi="ar-SA"/>
              </w:rPr>
            </w:pPr>
            <w:r>
              <w:rPr>
                <w:rFonts w:hint="eastAsia"/>
                <w:b/>
                <w:bCs/>
              </w:rPr>
              <w:t>本项目总最高限价：19338016.99元/年。包件1最高限价：10564445.73元/年，其中分项最高限价为：环境卫生作业7396412.49元/年；河道保洁660300.60元/年；绿化管护334165.44元/年；公厕管理722130.84元/年；垃圾清运1451436.36元/年。包件2最高限价：8773571.26元/年，其中分项最高限价为：环境卫生作业6543426.70元/年；河道保洁838201.20元/年；绿化管护18466.08元/年；垃圾清运1373477.28元/年。</w:t>
            </w:r>
            <w:r>
              <w:rPr>
                <w:rFonts w:hint="eastAsia" w:ascii="宋体" w:hAnsi="宋体" w:cs="宋体"/>
                <w:b/>
                <w:lang w:val="zh-CN"/>
              </w:rPr>
              <w:t>投标人投标报价高于所投包件最高限价的或分项报价高于其对应分项最高限价的，则其所投包件投标文件将按无效投标文件处理。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96"/>
              <w:rPr>
                <w:kern w:val="2"/>
                <w:lang w:val="zh-CN"/>
              </w:rPr>
            </w:pPr>
            <w:r>
              <w:rPr>
                <w:rFonts w:hint="eastAsia"/>
                <w:kern w:val="2"/>
                <w:lang w:val="zh-CN"/>
              </w:rPr>
              <w:t>小微企业价格扣除</w:t>
            </w:r>
          </w:p>
        </w:tc>
        <w:tc>
          <w:tcPr>
            <w:tcW w:w="6683" w:type="dxa"/>
            <w:tcBorders>
              <w:top w:val="single" w:color="auto" w:sz="8" w:space="0"/>
              <w:left w:val="single" w:color="auto" w:sz="8" w:space="0"/>
              <w:bottom w:val="single" w:color="auto" w:sz="8" w:space="0"/>
              <w:right w:val="single" w:color="auto" w:sz="18" w:space="0"/>
            </w:tcBorders>
            <w:vAlign w:val="center"/>
          </w:tcPr>
          <w:p>
            <w:pPr>
              <w:widowControl/>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规定的中小企业扶持政策。</w:t>
            </w:r>
          </w:p>
          <w:p>
            <w:pPr>
              <w:widowControl/>
              <w:spacing w:line="360" w:lineRule="auto"/>
              <w:jc w:val="left"/>
              <w:rPr>
                <w:rFonts w:ascii="宋体" w:hAnsi="宋体"/>
                <w:b/>
                <w:sz w:val="24"/>
              </w:rPr>
            </w:pPr>
            <w:r>
              <w:rPr>
                <w:rFonts w:hint="eastAsia" w:ascii="宋体" w:hAnsi="宋体" w:cs="宋体"/>
                <w:kern w:val="0"/>
                <w:sz w:val="24"/>
                <w:szCs w:val="24"/>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96"/>
              <w:rPr>
                <w:kern w:val="2"/>
                <w:lang w:val="zh-CN"/>
              </w:rPr>
            </w:pPr>
            <w:r>
              <w:rPr>
                <w:rFonts w:hint="eastAsia"/>
                <w:kern w:val="2"/>
                <w:lang w:val="zh-CN"/>
              </w:rPr>
              <w:t>监狱企业价格扣除</w:t>
            </w:r>
          </w:p>
        </w:tc>
        <w:tc>
          <w:tcPr>
            <w:tcW w:w="6683" w:type="dxa"/>
            <w:tcBorders>
              <w:top w:val="single" w:color="auto" w:sz="8" w:space="0"/>
              <w:left w:val="single" w:color="auto" w:sz="8" w:space="0"/>
              <w:bottom w:val="single" w:color="auto" w:sz="8" w:space="0"/>
              <w:right w:val="single" w:color="auto" w:sz="18" w:space="0"/>
            </w:tcBorders>
            <w:vAlign w:val="center"/>
          </w:tcPr>
          <w:p>
            <w:pPr>
              <w:widowControl/>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zh-CN"/>
              </w:rPr>
              <w:t>1.根据《关于政府采购支持监狱企业发展有关问题的通知》（财库[2014]68号）的规定，监狱企业视同小型、微型企业，对监狱企业制造的货物的价格给予10%的价格扣除，用扣除后的价格参与评审。</w:t>
            </w:r>
          </w:p>
          <w:p>
            <w:pPr>
              <w:widowControl/>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96"/>
              <w:rPr>
                <w:kern w:val="2"/>
                <w:lang w:val="zh-CN"/>
              </w:rPr>
            </w:pPr>
            <w:r>
              <w:rPr>
                <w:rFonts w:hint="eastAsia"/>
                <w:kern w:val="2"/>
              </w:rPr>
              <w:t>残疾人福利性单位</w:t>
            </w:r>
            <w:r>
              <w:rPr>
                <w:rFonts w:hint="eastAsia"/>
                <w:kern w:val="2"/>
                <w:lang w:val="zh-CN"/>
              </w:rPr>
              <w:t>价格扣除</w:t>
            </w:r>
          </w:p>
        </w:tc>
        <w:tc>
          <w:tcPr>
            <w:tcW w:w="6683" w:type="dxa"/>
            <w:tcBorders>
              <w:top w:val="single" w:color="auto" w:sz="8" w:space="0"/>
              <w:left w:val="single" w:color="auto" w:sz="8" w:space="0"/>
              <w:bottom w:val="single" w:color="auto" w:sz="8" w:space="0"/>
              <w:right w:val="single" w:color="auto" w:sz="18" w:space="0"/>
            </w:tcBorders>
            <w:vAlign w:val="center"/>
          </w:tcPr>
          <w:p>
            <w:pPr>
              <w:widowControl/>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zh-CN"/>
              </w:rPr>
              <w:t>1.根据《三部门联合发布关于促进残疾人就业政府采购政策的通知》（财库[2017]141号）的规定，残疾人福利性单位视同小型、微型企业，对残疾人福利性单位制造的货物的价格给予10%的价格扣除，用扣除后的价格参与评审。</w:t>
            </w:r>
          </w:p>
          <w:p>
            <w:pPr>
              <w:widowControl/>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38" w:leftChars="0"/>
              <w:rPr>
                <w:rFonts w:hint="eastAsia" w:ascii="宋体" w:hAnsi="宋体" w:eastAsia="宋体" w:cs="宋体"/>
                <w:kern w:val="2"/>
                <w:sz w:val="24"/>
                <w:szCs w:val="24"/>
                <w:lang w:val="zh-CN" w:eastAsia="zh-CN" w:bidi="ar-SA"/>
              </w:rPr>
            </w:pPr>
            <w:r>
              <w:rPr>
                <w:rFonts w:hint="eastAsia"/>
                <w:kern w:val="2"/>
                <w:lang w:val="zh-CN"/>
              </w:rPr>
              <w:t>采购方式</w:t>
            </w:r>
          </w:p>
        </w:tc>
        <w:tc>
          <w:tcPr>
            <w:tcW w:w="6683" w:type="dxa"/>
            <w:tcBorders>
              <w:top w:val="single" w:color="auto" w:sz="8" w:space="0"/>
              <w:left w:val="single" w:color="auto" w:sz="8" w:space="0"/>
              <w:bottom w:val="single" w:color="auto" w:sz="8" w:space="0"/>
              <w:right w:val="single" w:color="auto" w:sz="18" w:space="0"/>
            </w:tcBorders>
            <w:vAlign w:val="center"/>
          </w:tcPr>
          <w:p>
            <w:pPr>
              <w:pStyle w:val="242"/>
              <w:spacing w:line="360" w:lineRule="auto"/>
              <w:jc w:val="both"/>
              <w:rPr>
                <w:rFonts w:hint="eastAsia" w:ascii="宋体" w:hAnsi="宋体" w:eastAsia="宋体" w:cs="宋体"/>
                <w:kern w:val="2"/>
                <w:sz w:val="24"/>
                <w:szCs w:val="24"/>
                <w:lang w:val="zh-CN" w:eastAsia="zh-CN" w:bidi="ar-SA"/>
              </w:rPr>
            </w:pPr>
            <w:r>
              <w:rPr>
                <w:rFonts w:hint="eastAsia"/>
                <w:kern w:val="2"/>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96" w:leftChars="0"/>
              <w:rPr>
                <w:rFonts w:hint="eastAsia" w:ascii="宋体" w:hAnsi="宋体" w:eastAsia="宋体" w:cs="宋体"/>
                <w:kern w:val="2"/>
                <w:sz w:val="24"/>
                <w:szCs w:val="24"/>
                <w:lang w:val="zh-CN" w:eastAsia="zh-CN" w:bidi="ar-SA"/>
              </w:rPr>
            </w:pPr>
            <w:r>
              <w:rPr>
                <w:rFonts w:hint="eastAsia"/>
                <w:kern w:val="2"/>
                <w:lang w:val="zh-CN"/>
              </w:rPr>
              <w:t>评标方法</w:t>
            </w:r>
          </w:p>
        </w:tc>
        <w:tc>
          <w:tcPr>
            <w:tcW w:w="6683" w:type="dxa"/>
            <w:tcBorders>
              <w:top w:val="single" w:color="auto" w:sz="8" w:space="0"/>
              <w:left w:val="single" w:color="auto" w:sz="8" w:space="0"/>
              <w:bottom w:val="single" w:color="auto" w:sz="8" w:space="0"/>
              <w:right w:val="single" w:color="auto" w:sz="18" w:space="0"/>
            </w:tcBorders>
            <w:vAlign w:val="center"/>
          </w:tcPr>
          <w:p>
            <w:pPr>
              <w:pStyle w:val="242"/>
              <w:spacing w:line="360" w:lineRule="auto"/>
              <w:rPr>
                <w:rFonts w:hint="eastAsia" w:ascii="宋体" w:hAnsi="宋体" w:eastAsia="宋体" w:cs="宋体"/>
                <w:kern w:val="2"/>
                <w:sz w:val="24"/>
                <w:szCs w:val="24"/>
                <w:lang w:val="zh-CN" w:eastAsia="zh-CN" w:bidi="ar-SA"/>
              </w:rPr>
            </w:pPr>
            <w:r>
              <w:rPr>
                <w:rFonts w:hint="eastAsia" w:ascii="宋体" w:hAnsi="宋体" w:cs="宋体"/>
                <w:lang w:val="zh-CN"/>
              </w:rPr>
              <w:t>综合评分法</w:t>
            </w:r>
            <w:r>
              <w:rPr>
                <w:rFonts w:hint="eastAsia"/>
                <w:kern w:val="2"/>
                <w:lang w:val="zh-CN"/>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低于成本价不正当竞争预防措施</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pStyle w:val="242"/>
              <w:spacing w:line="360" w:lineRule="auto"/>
              <w:ind w:left="96"/>
              <w:rPr>
                <w:kern w:val="2"/>
                <w:lang w:val="zh-CN"/>
              </w:rPr>
            </w:pPr>
            <w:r>
              <w:rPr>
                <w:rFonts w:hint="eastAsia"/>
                <w:kern w:val="2"/>
                <w:lang w:val="zh-CN"/>
              </w:rPr>
              <w:t>投标保证金</w:t>
            </w:r>
          </w:p>
        </w:tc>
        <w:tc>
          <w:tcPr>
            <w:tcW w:w="66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b/>
                <w:sz w:val="24"/>
                <w:lang w:val="zh-CN"/>
              </w:rPr>
            </w:pPr>
            <w:r>
              <w:rPr>
                <w:rFonts w:hint="eastAsia" w:ascii="宋体" w:hAnsi="宋体" w:cs="宋体"/>
                <w:b/>
                <w:kern w:val="0"/>
                <w:sz w:val="24"/>
                <w:szCs w:val="24"/>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jc w:val="left"/>
              <w:rPr>
                <w:rFonts w:ascii="宋体" w:hAnsi="宋体"/>
                <w:sz w:val="24"/>
              </w:rPr>
            </w:pPr>
            <w:r>
              <w:rPr>
                <w:rFonts w:hint="eastAsia" w:ascii="宋体" w:hAnsi="宋体" w:cs="宋体"/>
                <w:kern w:val="0"/>
                <w:sz w:val="24"/>
                <w:szCs w:val="24"/>
                <w:lang w:val="zh-CN"/>
              </w:rPr>
              <w:t>履约保证金</w:t>
            </w:r>
          </w:p>
        </w:tc>
        <w:tc>
          <w:tcPr>
            <w:tcW w:w="6683" w:type="dxa"/>
            <w:tcBorders>
              <w:top w:val="single" w:color="auto" w:sz="8" w:space="0"/>
              <w:left w:val="single" w:color="auto" w:sz="8" w:space="0"/>
              <w:bottom w:val="single" w:color="auto" w:sz="8" w:space="0"/>
              <w:right w:val="single" w:color="auto" w:sz="18" w:space="0"/>
            </w:tcBorders>
            <w:vAlign w:val="center"/>
          </w:tcPr>
          <w:p>
            <w:pPr>
              <w:spacing w:line="360" w:lineRule="auto"/>
              <w:jc w:val="left"/>
              <w:rPr>
                <w:rFonts w:ascii="宋体" w:hAnsi="宋体"/>
                <w:kern w:val="0"/>
                <w:sz w:val="24"/>
              </w:rPr>
            </w:pPr>
            <w:r>
              <w:rPr>
                <w:rFonts w:hint="eastAsia" w:ascii="宋体" w:hAnsi="宋体" w:cs="宋体"/>
                <w:b/>
                <w:kern w:val="0"/>
                <w:sz w:val="24"/>
                <w:szCs w:val="24"/>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投标有效期</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提交投标文件的截止之日起 120天。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投标文件的制作和签章、加密</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投标文件的递交</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详见投标人须知2.4.12</w:t>
            </w:r>
          </w:p>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注：投标人使用CA证书在投标截止时间前，将投标文件上传至政府采购云平台，上传前须对投标文件是否有电子签章等进行核对。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投标文件的补充、修改</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投标文件的撤回</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开标及开标程序</w:t>
            </w:r>
          </w:p>
        </w:tc>
        <w:tc>
          <w:tcPr>
            <w:tcW w:w="6683"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详见投标人须知2.5.1。</w:t>
            </w:r>
          </w:p>
          <w:p>
            <w:pPr>
              <w:autoSpaceDE w:val="0"/>
              <w:autoSpaceDN w:val="0"/>
              <w:adjustRightInd w:val="0"/>
              <w:spacing w:line="360" w:lineRule="auto"/>
              <w:ind w:right="210" w:rightChars="1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投标文件解密：开启解密后，投标人应在系统提示的解密开始时间后60分钟内，使用对投标文件进行加密的CA证书在线完成对投标人递交至政府采购云平台的投标文件的解密。</w:t>
            </w:r>
          </w:p>
          <w:p>
            <w:pPr>
              <w:autoSpaceDE w:val="0"/>
              <w:autoSpaceDN w:val="0"/>
              <w:adjustRightInd w:val="0"/>
              <w:spacing w:line="360" w:lineRule="auto"/>
              <w:ind w:right="210" w:rightChars="1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投标人电脑终端等硬件设备和软件系统配置：投标人电脑终端等硬件设备和软件系统配置应符合开标大厅投标人电脑终端配置要求并运行正常，投标人承担因未尽职责产生的不利后果。</w:t>
            </w:r>
          </w:p>
          <w:p>
            <w:pPr>
              <w:autoSpaceDE w:val="0"/>
              <w:autoSpaceDN w:val="0"/>
              <w:adjustRightInd w:val="0"/>
              <w:spacing w:line="360" w:lineRule="auto"/>
              <w:ind w:right="210" w:rightChars="1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1"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jc w:val="left"/>
              <w:rPr>
                <w:rFonts w:hint="eastAsia" w:ascii="宋体" w:hAnsi="宋体" w:eastAsia="宋体"/>
                <w:sz w:val="24"/>
                <w:szCs w:val="24"/>
              </w:rPr>
            </w:pPr>
            <w:r>
              <w:rPr>
                <w:rFonts w:hint="eastAsia" w:ascii="宋体" w:hAnsi="宋体" w:eastAsia="宋体"/>
                <w:sz w:val="24"/>
                <w:szCs w:val="24"/>
              </w:rPr>
              <w:t>对招标文件中供应商参加本次政府采购活动应当具备的条件，招标项目技术、服务、商务及其他要求，</w:t>
            </w:r>
            <w:r>
              <w:rPr>
                <w:rFonts w:ascii="宋体" w:hAnsi="宋体" w:eastAsia="宋体" w:cs="宋体"/>
                <w:sz w:val="24"/>
                <w:szCs w:val="24"/>
              </w:rPr>
              <w:t>评标细则及标准，以及关于资格审查、中标结果提出询问或质疑</w:t>
            </w:r>
          </w:p>
        </w:tc>
        <w:tc>
          <w:tcPr>
            <w:tcW w:w="66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jc w:val="left"/>
              <w:rPr>
                <w:rFonts w:hint="eastAsia" w:ascii="宋体" w:hAnsi="宋体" w:eastAsia="宋体"/>
                <w:sz w:val="24"/>
                <w:szCs w:val="24"/>
              </w:rPr>
            </w:pPr>
            <w:r>
              <w:rPr>
                <w:rFonts w:hint="eastAsia" w:ascii="宋体" w:hAnsi="宋体" w:eastAsia="宋体"/>
                <w:sz w:val="24"/>
                <w:szCs w:val="24"/>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1"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5"/>
              </w:numPr>
              <w:snapToGrid w:val="0"/>
              <w:spacing w:after="0" w:line="360" w:lineRule="auto"/>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jc w:val="left"/>
              <w:rPr>
                <w:rFonts w:hint="eastAsia" w:ascii="宋体" w:hAnsi="宋体" w:eastAsia="宋体"/>
                <w:sz w:val="24"/>
                <w:szCs w:val="24"/>
              </w:rPr>
            </w:pPr>
            <w:r>
              <w:rPr>
                <w:rFonts w:hint="eastAsia" w:ascii="宋体" w:hAnsi="宋体" w:eastAsia="宋体"/>
                <w:sz w:val="24"/>
                <w:szCs w:val="24"/>
                <w:lang w:eastAsia="zh-CN"/>
              </w:rPr>
              <w:t>对除上述招标文件中的其他内容，招标文件中采购程序、采购文件中投标人须知、采购合同格式、投标文件格式、以及开标过程程序提出询问或质疑</w:t>
            </w:r>
          </w:p>
        </w:tc>
        <w:tc>
          <w:tcPr>
            <w:tcW w:w="66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jc w:val="left"/>
              <w:rPr>
                <w:rFonts w:hint="eastAsia" w:ascii="宋体" w:hAnsi="宋体" w:eastAsia="宋体"/>
                <w:sz w:val="24"/>
                <w:szCs w:val="24"/>
              </w:rPr>
            </w:pPr>
            <w:r>
              <w:rPr>
                <w:rFonts w:hint="eastAsia" w:ascii="宋体" w:hAnsi="宋体" w:eastAsia="宋体"/>
                <w:sz w:val="24"/>
                <w:szCs w:val="24"/>
              </w:rPr>
              <w:t>向</w:t>
            </w:r>
            <w:r>
              <w:rPr>
                <w:rFonts w:hint="eastAsia" w:ascii="宋体" w:hAnsi="宋体" w:eastAsia="宋体"/>
                <w:sz w:val="24"/>
                <w:szCs w:val="24"/>
                <w:lang w:eastAsia="zh-CN"/>
              </w:rPr>
              <w:t>区公资交易中心</w:t>
            </w:r>
            <w:r>
              <w:rPr>
                <w:rFonts w:hint="eastAsia" w:ascii="宋体" w:hAnsi="宋体" w:eastAsia="宋体"/>
                <w:sz w:val="24"/>
                <w:szCs w:val="24"/>
              </w:rPr>
              <w:t>提出，并由</w:t>
            </w:r>
            <w:r>
              <w:rPr>
                <w:rFonts w:hint="eastAsia" w:ascii="宋体" w:hAnsi="宋体" w:eastAsia="宋体"/>
                <w:sz w:val="24"/>
                <w:szCs w:val="24"/>
                <w:lang w:eastAsia="zh-CN"/>
              </w:rPr>
              <w:t>区公资交易中心</w:t>
            </w:r>
            <w:r>
              <w:rPr>
                <w:rFonts w:hint="eastAsia" w:ascii="宋体" w:hAnsi="宋体" w:eastAsia="宋体"/>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562" w:leftChars="0" w:hanging="420" w:firstLineChars="0"/>
              <w:jc w:val="center"/>
              <w:rPr>
                <w:rFonts w:ascii="宋体" w:hAnsi="宋体"/>
                <w:sz w:val="24"/>
              </w:rPr>
            </w:pPr>
          </w:p>
        </w:tc>
        <w:tc>
          <w:tcPr>
            <w:tcW w:w="1943"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jc w:val="left"/>
              <w:rPr>
                <w:rFonts w:ascii="宋体" w:hAnsi="宋体"/>
                <w:sz w:val="24"/>
              </w:rPr>
            </w:pPr>
            <w:r>
              <w:rPr>
                <w:rFonts w:hint="eastAsia" w:ascii="宋体" w:hAnsi="宋体"/>
                <w:sz w:val="24"/>
                <w:szCs w:val="24"/>
              </w:rPr>
              <w:t>投标人投诉</w:t>
            </w:r>
          </w:p>
        </w:tc>
        <w:tc>
          <w:tcPr>
            <w:tcW w:w="66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210" w:right="210" w:rightChars="100" w:hanging="208" w:hangingChars="87"/>
              <w:rPr>
                <w:rFonts w:ascii="宋体" w:hAnsi="宋体" w:cs="宋体"/>
                <w:sz w:val="24"/>
                <w:szCs w:val="24"/>
              </w:rPr>
            </w:pPr>
            <w:r>
              <w:rPr>
                <w:rFonts w:hint="eastAsia" w:ascii="宋体" w:hAnsi="宋体"/>
                <w:sz w:val="24"/>
                <w:szCs w:val="24"/>
              </w:rPr>
              <w:t>投诉受理单位：本项目同级财政部门，即成都市双流区财政局。</w:t>
            </w:r>
          </w:p>
          <w:p>
            <w:pPr>
              <w:tabs>
                <w:tab w:val="left" w:pos="7665"/>
              </w:tabs>
              <w:snapToGrid w:val="0"/>
              <w:spacing w:line="360" w:lineRule="auto"/>
              <w:rPr>
                <w:rFonts w:ascii="宋体" w:hAnsi="宋体"/>
                <w:sz w:val="24"/>
                <w:szCs w:val="24"/>
              </w:rPr>
            </w:pPr>
            <w:r>
              <w:rPr>
                <w:rFonts w:hint="eastAsia" w:ascii="宋体" w:hAnsi="宋体"/>
                <w:sz w:val="24"/>
                <w:szCs w:val="24"/>
              </w:rPr>
              <w:t>联系电话：028-85804726。</w:t>
            </w:r>
          </w:p>
          <w:p>
            <w:pPr>
              <w:tabs>
                <w:tab w:val="left" w:pos="7665"/>
              </w:tabs>
              <w:snapToGrid w:val="0"/>
              <w:spacing w:line="360" w:lineRule="auto"/>
              <w:rPr>
                <w:rFonts w:ascii="宋体" w:hAnsi="宋体"/>
                <w:sz w:val="24"/>
                <w:szCs w:val="24"/>
              </w:rPr>
            </w:pPr>
            <w:r>
              <w:rPr>
                <w:rFonts w:hint="eastAsia" w:ascii="宋体" w:hAnsi="宋体"/>
                <w:sz w:val="24"/>
                <w:szCs w:val="24"/>
              </w:rPr>
              <w:t>地址：成都市双流区电视塔路2段36号。</w:t>
            </w:r>
          </w:p>
          <w:p>
            <w:pPr>
              <w:tabs>
                <w:tab w:val="left" w:pos="7665"/>
              </w:tabs>
              <w:snapToGrid w:val="0"/>
              <w:spacing w:line="360" w:lineRule="auto"/>
              <w:jc w:val="left"/>
              <w:rPr>
                <w:rFonts w:ascii="宋体" w:hAnsi="宋体"/>
                <w:sz w:val="24"/>
              </w:rPr>
            </w:pPr>
            <w:r>
              <w:rPr>
                <w:rFonts w:hint="eastAsia" w:ascii="宋体" w:hAnsi="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评标情况公告</w:t>
            </w:r>
          </w:p>
        </w:tc>
        <w:tc>
          <w:tcPr>
            <w:tcW w:w="6683"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所有</w:t>
            </w:r>
            <w:r>
              <w:rPr>
                <w:rFonts w:hint="eastAsia" w:ascii="宋体" w:hAnsi="宋体"/>
                <w:sz w:val="24"/>
                <w:szCs w:val="24"/>
              </w:rPr>
              <w:t>投标人</w:t>
            </w:r>
            <w:r>
              <w:rPr>
                <w:rFonts w:hint="eastAsia" w:ascii="宋体" w:hAnsi="宋体" w:cs="宋体"/>
                <w:kern w:val="0"/>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jc w:val="left"/>
              <w:rPr>
                <w:rFonts w:ascii="宋体" w:hAnsi="宋体"/>
                <w:sz w:val="24"/>
                <w:szCs w:val="24"/>
              </w:rPr>
            </w:pPr>
            <w:r>
              <w:rPr>
                <w:rFonts w:hint="eastAsia" w:ascii="宋体" w:hAnsi="宋体" w:cs="宋体"/>
                <w:kern w:val="0"/>
                <w:sz w:val="24"/>
                <w:szCs w:val="24"/>
                <w:lang w:val="zh-CN"/>
              </w:rPr>
              <w:t>中标通知书领取</w:t>
            </w:r>
          </w:p>
        </w:tc>
        <w:tc>
          <w:tcPr>
            <w:tcW w:w="66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sz w:val="24"/>
                <w:szCs w:val="24"/>
              </w:rPr>
            </w:pPr>
            <w:r>
              <w:rPr>
                <w:rFonts w:hint="eastAsia" w:ascii="宋体" w:hAnsi="宋体" w:cs="宋体"/>
                <w:kern w:val="0"/>
                <w:sz w:val="24"/>
                <w:szCs w:val="24"/>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jc w:val="left"/>
              <w:rPr>
                <w:rFonts w:ascii="宋体" w:hAnsi="宋体"/>
                <w:sz w:val="24"/>
              </w:rPr>
            </w:pPr>
            <w:r>
              <w:rPr>
                <w:rFonts w:hint="eastAsia" w:ascii="宋体" w:hAnsi="宋体"/>
                <w:sz w:val="24"/>
              </w:rPr>
              <w:t>合同签订地点</w:t>
            </w:r>
          </w:p>
        </w:tc>
        <w:tc>
          <w:tcPr>
            <w:tcW w:w="66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kern w:val="0"/>
                <w:sz w:val="24"/>
                <w:lang w:eastAsia="zh-CN"/>
              </w:rPr>
            </w:pPr>
            <w:r>
              <w:rPr>
                <w:rFonts w:hint="eastAsia" w:ascii="宋体" w:hAnsi="宋体"/>
                <w:kern w:val="0"/>
                <w:sz w:val="24"/>
              </w:rPr>
              <w:t>四川省成都市</w:t>
            </w:r>
            <w:r>
              <w:rPr>
                <w:rFonts w:hint="eastAsia" w:ascii="宋体" w:hAnsi="宋体"/>
                <w:kern w:val="0"/>
                <w:sz w:val="24"/>
                <w:lang w:eastAsia="zh-CN"/>
              </w:rPr>
              <w:t>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jc w:val="left"/>
              <w:rPr>
                <w:rFonts w:ascii="宋体" w:hAnsi="宋体"/>
                <w:sz w:val="24"/>
              </w:rPr>
            </w:pPr>
            <w:r>
              <w:rPr>
                <w:rFonts w:hint="eastAsia" w:ascii="宋体" w:hAnsi="宋体"/>
                <w:sz w:val="24"/>
              </w:rPr>
              <w:t>政府采购合同公告、备案</w:t>
            </w:r>
          </w:p>
        </w:tc>
        <w:tc>
          <w:tcPr>
            <w:tcW w:w="66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rightChars="0" w:firstLine="14" w:firstLineChars="6"/>
              <w:rPr>
                <w:rFonts w:ascii="宋体" w:hAnsi="宋体"/>
                <w:sz w:val="24"/>
              </w:rPr>
            </w:pPr>
            <w:r>
              <w:rPr>
                <w:rFonts w:hint="eastAsia" w:ascii="宋体" w:hAnsi="宋体"/>
                <w:kern w:val="0"/>
                <w:sz w:val="24"/>
                <w:lang w:eastAsia="zh-CN"/>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jc w:val="left"/>
              <w:rPr>
                <w:rFonts w:ascii="宋体" w:hAnsi="宋体"/>
                <w:b/>
                <w:sz w:val="24"/>
              </w:rPr>
            </w:pPr>
            <w:r>
              <w:rPr>
                <w:rFonts w:hint="eastAsia" w:ascii="宋体" w:hAnsi="宋体"/>
                <w:sz w:val="24"/>
              </w:rPr>
              <w:t>信用融资</w:t>
            </w:r>
          </w:p>
        </w:tc>
        <w:tc>
          <w:tcPr>
            <w:tcW w:w="66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kern w:val="0"/>
                <w:sz w:val="24"/>
              </w:rPr>
            </w:pPr>
            <w:r>
              <w:rPr>
                <w:rFonts w:hint="eastAsia" w:ascii="宋体" w:cs="Times New Roman"/>
                <w:sz w:val="24"/>
              </w:rPr>
              <w:t>本项目属于政府采购信用融资业务项目，融资利率上浮比例不超过人民银行同期贷款基准利率30%，银行机构名单</w:t>
            </w:r>
            <w:r>
              <w:rPr>
                <w:rFonts w:hint="eastAsia" w:ascii="宋体" w:cs="Times New Roman"/>
                <w:sz w:val="24"/>
                <w:lang w:eastAsia="zh-CN"/>
              </w:rPr>
              <w:t>、</w:t>
            </w:r>
            <w:r>
              <w:rPr>
                <w:rFonts w:hint="eastAsia" w:ascii="宋体" w:cs="Times New Roman"/>
                <w:sz w:val="24"/>
              </w:rPr>
              <w:t>联系方式见附</w:t>
            </w:r>
            <w:r>
              <w:rPr>
                <w:rFonts w:hint="eastAsia" w:ascii="宋体" w:cs="Times New Roman"/>
                <w:sz w:val="24"/>
                <w:lang w:eastAsia="zh-CN"/>
              </w:rPr>
              <w:t>件</w:t>
            </w:r>
            <w:r>
              <w:rPr>
                <w:rFonts w:hint="eastAsia" w:ascii="宋体" w:cs="Times New Roman"/>
                <w:sz w:val="24"/>
                <w:lang w:val="en-US" w:eastAsia="zh-CN"/>
              </w:rPr>
              <w:t>1</w:t>
            </w:r>
            <w:r>
              <w:rPr>
                <w:rFonts w:hint="eastAsia" w:ascii="宋体" w:cs="Times New Roman"/>
                <w:sz w:val="24"/>
                <w:lang w:eastAsia="zh-CN"/>
              </w:rPr>
              <w:t>《成都市双流区首批开展政府采购信用融资业务银行联系方式》</w:t>
            </w:r>
            <w:r>
              <w:rPr>
                <w:rFonts w:hint="eastAsia" w:ascii="宋体" w:cs="Times New Roman"/>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1943"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jc w:val="left"/>
              <w:rPr>
                <w:rFonts w:ascii="宋体" w:hAnsi="宋体"/>
                <w:sz w:val="24"/>
              </w:rPr>
            </w:pPr>
            <w:r>
              <w:rPr>
                <w:rFonts w:hint="eastAsia" w:ascii="宋体" w:hAnsi="宋体"/>
                <w:sz w:val="24"/>
              </w:rPr>
              <w:t>进口产品（如采购内容中涉及货物采购的）</w:t>
            </w:r>
          </w:p>
        </w:tc>
        <w:tc>
          <w:tcPr>
            <w:tcW w:w="66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sz w:val="24"/>
              </w:rPr>
            </w:pPr>
            <w:r>
              <w:rPr>
                <w:rFonts w:hint="eastAsia" w:ascii="宋体" w:hAnsi="宋体"/>
                <w:sz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sz w:val="24"/>
              </w:rPr>
            </w:pPr>
            <w:r>
              <w:rPr>
                <w:rFonts w:hint="eastAsia" w:ascii="宋体" w:hAnsi="宋体"/>
                <w:sz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Times New Roman"/>
                <w:kern w:val="2"/>
                <w:sz w:val="24"/>
                <w:szCs w:val="22"/>
                <w:lang w:val="en-US" w:eastAsia="zh-CN" w:bidi="ar-SA"/>
              </w:rPr>
            </w:pPr>
            <w:r>
              <w:rPr>
                <w:rFonts w:hint="eastAsia" w:ascii="宋体" w:hAnsi="宋体"/>
                <w:sz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Times New Roman"/>
                <w:kern w:val="2"/>
                <w:sz w:val="24"/>
                <w:szCs w:val="22"/>
                <w:lang w:val="en-US" w:eastAsia="zh-CN" w:bidi="ar-SA"/>
              </w:rPr>
            </w:pPr>
            <w:r>
              <w:rPr>
                <w:rFonts w:hint="eastAsia" w:ascii="宋体" w:hAnsi="宋体"/>
                <w:sz w:val="24"/>
              </w:rPr>
              <w:t>采购人须对第4章</w:t>
            </w:r>
            <w:r>
              <w:rPr>
                <w:rFonts w:hint="eastAsia" w:ascii="宋体" w:hAnsi="宋体"/>
                <w:sz w:val="24"/>
                <w:lang w:eastAsia="zh-CN"/>
              </w:rPr>
              <w:t>、第</w:t>
            </w:r>
            <w:r>
              <w:rPr>
                <w:rFonts w:hint="eastAsia" w:ascii="宋体" w:hAnsi="宋体"/>
                <w:sz w:val="24"/>
                <w:lang w:val="en-US" w:eastAsia="zh-CN"/>
              </w:rPr>
              <w:t>5章和第6章</w:t>
            </w:r>
            <w:r>
              <w:rPr>
                <w:rFonts w:hint="eastAsia" w:ascii="宋体" w:hAnsi="宋体"/>
                <w:sz w:val="24"/>
              </w:rPr>
              <w:t>中要求供应商提供的承诺函、相关材料及证明文件进行查验并做好查验记录。查验时间截止时点：采购人在收到评标报告后，确认中标供应商前完成查验</w:t>
            </w:r>
            <w:r>
              <w:rPr>
                <w:rFonts w:hint="eastAsia" w:ascii="宋体" w:hAnsi="宋体"/>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Times New Roman"/>
                <w:kern w:val="2"/>
                <w:sz w:val="24"/>
                <w:szCs w:val="22"/>
                <w:lang w:val="en-US" w:eastAsia="zh-CN" w:bidi="ar-SA"/>
              </w:rPr>
            </w:pPr>
            <w:r>
              <w:rPr>
                <w:rFonts w:hint="eastAsia" w:ascii="宋体" w:hAnsi="宋体"/>
                <w:sz w:val="24"/>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18" w:space="0"/>
              <w:right w:val="single" w:color="auto" w:sz="8" w:space="0"/>
            </w:tcBorders>
            <w:vAlign w:val="center"/>
          </w:tcPr>
          <w:p>
            <w:pPr>
              <w:numPr>
                <w:ilvl w:val="0"/>
                <w:numId w:val="5"/>
              </w:numPr>
              <w:snapToGrid w:val="0"/>
              <w:spacing w:after="0" w:line="360" w:lineRule="auto"/>
              <w:ind w:left="0" w:firstLine="0"/>
              <w:jc w:val="center"/>
              <w:rPr>
                <w:rFonts w:ascii="宋体" w:hAnsi="宋体"/>
                <w:sz w:val="24"/>
              </w:rPr>
            </w:pPr>
          </w:p>
        </w:tc>
        <w:tc>
          <w:tcPr>
            <w:tcW w:w="8626" w:type="dxa"/>
            <w:gridSpan w:val="2"/>
            <w:tcBorders>
              <w:top w:val="single" w:color="auto" w:sz="4" w:space="0"/>
              <w:left w:val="single" w:color="auto" w:sz="8" w:space="0"/>
              <w:bottom w:val="single" w:color="auto" w:sz="18" w:space="0"/>
              <w:right w:val="single" w:color="auto" w:sz="18" w:space="0"/>
            </w:tcBorders>
            <w:vAlign w:val="center"/>
          </w:tcPr>
          <w:p>
            <w:pPr>
              <w:tabs>
                <w:tab w:val="left" w:pos="7665"/>
              </w:tabs>
              <w:snapToGrid w:val="0"/>
              <w:spacing w:line="360" w:lineRule="auto"/>
              <w:rPr>
                <w:rFonts w:hint="eastAsia" w:ascii="宋体" w:hAnsi="宋体" w:eastAsia="宋体" w:cs="Times New Roman"/>
                <w:kern w:val="2"/>
                <w:sz w:val="24"/>
                <w:szCs w:val="22"/>
                <w:lang w:val="en-US" w:eastAsia="zh-CN" w:bidi="ar-SA"/>
              </w:rPr>
            </w:pPr>
            <w:r>
              <w:rPr>
                <w:rFonts w:hint="eastAsia" w:ascii="宋体" w:hAnsi="宋体"/>
                <w:sz w:val="24"/>
              </w:rPr>
              <w:t>本项目为</w:t>
            </w:r>
            <w:r>
              <w:rPr>
                <w:rFonts w:hint="eastAsia" w:ascii="宋体" w:hAnsi="宋体"/>
                <w:sz w:val="24"/>
                <w:lang w:eastAsia="zh-CN"/>
              </w:rPr>
              <w:t>非</w:t>
            </w:r>
            <w:r>
              <w:rPr>
                <w:rFonts w:hint="eastAsia" w:ascii="宋体" w:hAnsi="宋体"/>
                <w:sz w:val="24"/>
              </w:rPr>
              <w:t>专门面向中小企业采购项目</w:t>
            </w:r>
            <w:r>
              <w:rPr>
                <w:rFonts w:hint="eastAsia" w:ascii="宋体" w:hAnsi="宋体"/>
                <w:sz w:val="24"/>
                <w:lang w:eastAsia="zh-CN"/>
              </w:rPr>
              <w:t>。</w:t>
            </w:r>
            <w:r>
              <w:rPr>
                <w:rFonts w:hint="eastAsia" w:ascii="宋体" w:hAnsi="宋体"/>
                <w:sz w:val="24"/>
                <w:lang w:val="en-US" w:eastAsia="zh-CN"/>
              </w:rPr>
              <w:t xml:space="preserve"> </w:t>
            </w:r>
          </w:p>
        </w:tc>
      </w:tr>
    </w:tbl>
    <w:p>
      <w:pPr>
        <w:pStyle w:val="5"/>
        <w:numPr>
          <w:ilvl w:val="1"/>
          <w:numId w:val="1"/>
        </w:numPr>
        <w:spacing w:before="0" w:after="0"/>
        <w:ind w:hanging="709"/>
        <w:rPr>
          <w:rFonts w:hint="eastAsia" w:cs="宋体"/>
        </w:rPr>
      </w:pPr>
      <w:bookmarkStart w:id="33" w:name="_Toc917"/>
      <w:bookmarkStart w:id="34" w:name="_Toc4319"/>
      <w:r>
        <w:rPr>
          <w:rFonts w:hint="eastAsia"/>
        </w:rPr>
        <w:t>总则</w:t>
      </w:r>
      <w:bookmarkEnd w:id="33"/>
      <w:bookmarkEnd w:id="34"/>
    </w:p>
    <w:p>
      <w:pPr>
        <w:pStyle w:val="6"/>
        <w:numPr>
          <w:ilvl w:val="2"/>
          <w:numId w:val="1"/>
        </w:numPr>
        <w:spacing w:after="0"/>
        <w:ind w:left="-141" w:leftChars="-67" w:firstLine="0"/>
        <w:rPr>
          <w:rFonts w:hint="eastAsia"/>
          <w:color w:val="auto"/>
        </w:rPr>
      </w:pPr>
      <w:r>
        <w:rPr>
          <w:rFonts w:hint="eastAsia"/>
          <w:color w:val="auto"/>
        </w:rPr>
        <w:t>适用范围</w:t>
      </w:r>
    </w:p>
    <w:p>
      <w:pPr>
        <w:numPr>
          <w:ilvl w:val="0"/>
          <w:numId w:val="7"/>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本招标文件仅适用于本次公开招标采购项目。</w:t>
      </w:r>
    </w:p>
    <w:p>
      <w:pPr>
        <w:numPr>
          <w:ilvl w:val="0"/>
          <w:numId w:val="7"/>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区公资交易中心</w:t>
      </w:r>
      <w:r>
        <w:rPr>
          <w:rFonts w:hint="eastAsia" w:ascii="宋体" w:hAnsi="宋体"/>
          <w:sz w:val="28"/>
          <w:szCs w:val="28"/>
        </w:rPr>
        <w:t>享有。招标文件中供应商参加本次政府采购活动应当具备的条件、招标项目技术、服务、商务及其他要求以及评标细则及标准由采购人负责解释。除上述招标文件内容，其他内容由</w:t>
      </w:r>
      <w:r>
        <w:rPr>
          <w:rFonts w:hint="eastAsia" w:ascii="宋体" w:hAnsi="宋体"/>
          <w:sz w:val="28"/>
          <w:szCs w:val="28"/>
          <w:lang w:eastAsia="zh-CN"/>
        </w:rPr>
        <w:t>区公资交易中心</w:t>
      </w:r>
      <w:r>
        <w:rPr>
          <w:rFonts w:hint="eastAsia" w:ascii="宋体" w:hAnsi="宋体"/>
          <w:sz w:val="28"/>
          <w:szCs w:val="28"/>
        </w:rPr>
        <w:t>负责解释。</w:t>
      </w:r>
    </w:p>
    <w:p>
      <w:pPr>
        <w:pStyle w:val="6"/>
        <w:numPr>
          <w:ilvl w:val="2"/>
          <w:numId w:val="1"/>
        </w:numPr>
        <w:spacing w:after="0"/>
        <w:ind w:left="0" w:firstLine="0"/>
        <w:rPr>
          <w:rFonts w:hint="eastAsia"/>
          <w:color w:val="auto"/>
        </w:rPr>
      </w:pPr>
      <w:r>
        <w:rPr>
          <w:rFonts w:hint="eastAsia"/>
          <w:color w:val="auto"/>
        </w:rPr>
        <w:t>有关定义</w:t>
      </w:r>
    </w:p>
    <w:p>
      <w:pPr>
        <w:numPr>
          <w:ilvl w:val="0"/>
          <w:numId w:val="8"/>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级机关、事业单位、团体组织。本次招标的采购人是</w:t>
      </w:r>
      <w:r>
        <w:rPr>
          <w:rFonts w:hint="eastAsia" w:ascii="宋体" w:hAnsi="宋体"/>
          <w:b/>
          <w:kern w:val="0"/>
          <w:sz w:val="28"/>
          <w:lang w:eastAsia="zh-CN"/>
        </w:rPr>
        <w:t>成都市双流区人民政府九江街道办事处</w:t>
      </w:r>
      <w:r>
        <w:rPr>
          <w:rFonts w:hint="eastAsia" w:ascii="宋体" w:hAnsi="宋体"/>
          <w:sz w:val="28"/>
          <w:szCs w:val="28"/>
        </w:rPr>
        <w:t>。</w:t>
      </w:r>
    </w:p>
    <w:p>
      <w:pPr>
        <w:numPr>
          <w:ilvl w:val="0"/>
          <w:numId w:val="8"/>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8"/>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8"/>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8"/>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0"/>
        </w:numPr>
        <w:tabs>
          <w:tab w:val="left" w:pos="1134"/>
        </w:tabs>
        <w:spacing w:after="0" w:line="360" w:lineRule="auto"/>
        <w:ind w:left="567" w:leftChars="0"/>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依托政府采购云平台组织开标活动，供应商在线参与开标的一种组织形式。</w:t>
      </w:r>
    </w:p>
    <w:p>
      <w:pPr>
        <w:pStyle w:val="6"/>
        <w:numPr>
          <w:ilvl w:val="2"/>
          <w:numId w:val="1"/>
        </w:numPr>
        <w:spacing w:after="0"/>
        <w:ind w:left="567"/>
        <w:rPr>
          <w:rFonts w:hint="eastAsia"/>
          <w:color w:val="auto"/>
        </w:rPr>
      </w:pPr>
      <w:bookmarkStart w:id="35" w:name="_Toc217446036"/>
      <w:bookmarkStart w:id="36" w:name="_Toc217390843"/>
      <w:bookmarkStart w:id="37" w:name="_Toc183582207"/>
      <w:bookmarkStart w:id="38" w:name="_Toc183682344"/>
      <w:r>
        <w:rPr>
          <w:rFonts w:hint="eastAsia"/>
          <w:color w:val="auto"/>
        </w:rPr>
        <w:t>合格的投标人</w:t>
      </w:r>
      <w:bookmarkEnd w:id="35"/>
      <w:bookmarkEnd w:id="36"/>
      <w:bookmarkEnd w:id="37"/>
      <w:bookmarkEnd w:id="38"/>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9"/>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9"/>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pStyle w:val="6"/>
        <w:numPr>
          <w:ilvl w:val="2"/>
          <w:numId w:val="1"/>
        </w:numPr>
        <w:spacing w:after="0"/>
        <w:ind w:left="0" w:firstLine="0"/>
        <w:rPr>
          <w:rFonts w:hint="eastAsia"/>
          <w:color w:val="auto"/>
        </w:rPr>
      </w:pPr>
      <w:r>
        <w:rPr>
          <w:rFonts w:hint="eastAsia"/>
          <w:color w:val="auto"/>
        </w:rPr>
        <w:t>投标费用</w:t>
      </w:r>
    </w:p>
    <w:p>
      <w:pPr>
        <w:spacing w:line="360" w:lineRule="auto"/>
        <w:ind w:firstLine="660" w:firstLineChars="236"/>
        <w:rPr>
          <w:rFonts w:hint="eastAsia" w:ascii="宋体" w:hAnsi="宋体"/>
          <w:sz w:val="28"/>
          <w:szCs w:val="28"/>
        </w:rPr>
      </w:pPr>
      <w:r>
        <w:rPr>
          <w:rFonts w:hint="eastAsia" w:ascii="宋体" w:hAnsi="宋体"/>
          <w:sz w:val="28"/>
          <w:szCs w:val="28"/>
        </w:rPr>
        <w:t>投标人应自行承担参加投标的全部费用。</w:t>
      </w:r>
    </w:p>
    <w:p>
      <w:pPr>
        <w:pStyle w:val="6"/>
        <w:numPr>
          <w:ilvl w:val="2"/>
          <w:numId w:val="1"/>
        </w:numPr>
        <w:spacing w:after="0"/>
        <w:ind w:left="0" w:firstLine="0"/>
        <w:rPr>
          <w:rFonts w:hint="eastAsia"/>
          <w:color w:val="auto"/>
        </w:rPr>
      </w:pPr>
      <w:r>
        <w:rPr>
          <w:rFonts w:hint="eastAsia"/>
          <w:color w:val="auto"/>
        </w:rPr>
        <w:t>充分、公平竞争保障措施</w:t>
      </w:r>
    </w:p>
    <w:p>
      <w:pPr>
        <w:pStyle w:val="155"/>
        <w:tabs>
          <w:tab w:val="left" w:pos="851"/>
        </w:tabs>
        <w:spacing w:line="360" w:lineRule="auto"/>
        <w:ind w:firstLine="560" w:firstLineChars="200"/>
        <w:rPr>
          <w:rFonts w:hint="eastAsia" w:hAnsi="宋体"/>
          <w:sz w:val="28"/>
          <w:szCs w:val="28"/>
        </w:rPr>
      </w:pPr>
      <w:r>
        <w:rPr>
          <w:rFonts w:hint="eastAsia" w:hAnsi="宋体"/>
          <w:sz w:val="28"/>
          <w:szCs w:val="28"/>
        </w:rPr>
        <w:t>一、单位负责人为同一人或者存在直接控股、管理关系的不同供应商，不得参加同一项目的投标。</w:t>
      </w:r>
    </w:p>
    <w:p>
      <w:pPr>
        <w:pStyle w:val="155"/>
        <w:tabs>
          <w:tab w:val="left" w:pos="851"/>
        </w:tabs>
        <w:spacing w:line="360" w:lineRule="auto"/>
        <w:ind w:left="-143" w:leftChars="-68" w:firstLine="700" w:firstLineChars="250"/>
        <w:rPr>
          <w:rFonts w:hint="eastAsia" w:hAnsi="宋体"/>
          <w:sz w:val="28"/>
          <w:szCs w:val="28"/>
        </w:rPr>
      </w:pPr>
      <w:r>
        <w:rPr>
          <w:rFonts w:hint="eastAsia" w:hAnsi="宋体"/>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155"/>
        <w:tabs>
          <w:tab w:val="left" w:pos="851"/>
        </w:tabs>
        <w:spacing w:line="360" w:lineRule="auto"/>
        <w:ind w:left="-143" w:leftChars="-68" w:firstLine="703" w:firstLineChars="250"/>
        <w:rPr>
          <w:rFonts w:hint="eastAsia"/>
        </w:rPr>
      </w:pPr>
      <w:r>
        <w:rPr>
          <w:rFonts w:hint="eastAsia" w:hAnsi="宋体"/>
          <w:b/>
          <w:sz w:val="28"/>
          <w:szCs w:val="28"/>
        </w:rPr>
        <w:t>（说明：</w:t>
      </w:r>
      <w:r>
        <w:rPr>
          <w:rFonts w:hint="eastAsia" w:hAnsi="宋体"/>
          <w:b w:val="0"/>
          <w:bCs/>
          <w:sz w:val="28"/>
          <w:szCs w:val="28"/>
        </w:rPr>
        <w:t>无供应商为本项目提供整体设计、规范编制或者项目管理、监理、检测等服务</w:t>
      </w:r>
      <w:r>
        <w:rPr>
          <w:rFonts w:hint="eastAsia" w:hAnsi="宋体"/>
          <w:b w:val="0"/>
          <w:bCs/>
          <w:sz w:val="28"/>
          <w:szCs w:val="28"/>
          <w:lang w:eastAsia="zh-CN"/>
        </w:rPr>
        <w:t>。</w:t>
      </w:r>
      <w:r>
        <w:rPr>
          <w:rFonts w:hint="eastAsia" w:hAnsi="宋体"/>
          <w:b/>
          <w:sz w:val="28"/>
          <w:szCs w:val="28"/>
        </w:rPr>
        <w:t>）</w:t>
      </w:r>
    </w:p>
    <w:p>
      <w:pPr>
        <w:pStyle w:val="5"/>
        <w:numPr>
          <w:ilvl w:val="1"/>
          <w:numId w:val="1"/>
        </w:numPr>
        <w:spacing w:before="0" w:after="0"/>
        <w:rPr>
          <w:rFonts w:hint="eastAsia"/>
        </w:rPr>
      </w:pPr>
      <w:bookmarkStart w:id="39" w:name="_Toc25177"/>
      <w:bookmarkStart w:id="40" w:name="_Toc14833"/>
      <w:r>
        <w:rPr>
          <w:rFonts w:hint="eastAsia"/>
        </w:rPr>
        <w:t>招标文件</w:t>
      </w:r>
      <w:bookmarkEnd w:id="39"/>
      <w:bookmarkEnd w:id="40"/>
    </w:p>
    <w:p>
      <w:pPr>
        <w:pStyle w:val="6"/>
        <w:numPr>
          <w:ilvl w:val="2"/>
          <w:numId w:val="1"/>
        </w:numPr>
        <w:spacing w:after="0"/>
        <w:ind w:left="0" w:firstLine="0"/>
        <w:rPr>
          <w:rFonts w:hint="eastAsia"/>
          <w:color w:val="auto"/>
        </w:rPr>
      </w:pPr>
      <w:bookmarkStart w:id="41" w:name="_Toc183582210"/>
      <w:bookmarkStart w:id="42" w:name="_Toc183682347"/>
      <w:bookmarkStart w:id="43" w:name="_Toc217446039"/>
      <w:r>
        <w:rPr>
          <w:rFonts w:hint="eastAsia"/>
          <w:color w:val="auto"/>
        </w:rPr>
        <w:t>招标文件的构成</w:t>
      </w:r>
      <w:bookmarkEnd w:id="41"/>
      <w:bookmarkEnd w:id="42"/>
      <w:bookmarkEnd w:id="43"/>
    </w:p>
    <w:p>
      <w:pPr>
        <w:numPr>
          <w:ilvl w:val="0"/>
          <w:numId w:val="10"/>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投标邀请；</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投标人须知；</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投标文件格式；</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招标项目技术、服务、商务及其他要求；</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资格性审查；</w:t>
      </w:r>
    </w:p>
    <w:p>
      <w:pPr>
        <w:numPr>
          <w:ilvl w:val="1"/>
          <w:numId w:val="11"/>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评标办法；</w:t>
      </w:r>
    </w:p>
    <w:p>
      <w:pPr>
        <w:numPr>
          <w:ilvl w:val="1"/>
          <w:numId w:val="11"/>
        </w:numPr>
        <w:tabs>
          <w:tab w:val="left" w:pos="1134"/>
        </w:tabs>
        <w:spacing w:after="0" w:line="360" w:lineRule="auto"/>
        <w:ind w:left="567" w:firstLine="0"/>
        <w:rPr>
          <w:rFonts w:hint="eastAsia" w:ascii="宋体" w:hAnsi="宋体"/>
          <w:sz w:val="28"/>
          <w:szCs w:val="28"/>
        </w:rPr>
      </w:pPr>
      <w:r>
        <w:rPr>
          <w:rFonts w:hint="eastAsia" w:ascii="宋体" w:hAnsi="宋体"/>
          <w:sz w:val="28"/>
          <w:szCs w:val="28"/>
        </w:rPr>
        <w:t>拟签订的合同文本。</w:t>
      </w:r>
    </w:p>
    <w:p>
      <w:pPr>
        <w:numPr>
          <w:ilvl w:val="0"/>
          <w:numId w:val="10"/>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投标人应</w:t>
      </w:r>
      <w:r>
        <w:rPr>
          <w:rFonts w:hint="eastAsia" w:ascii="宋体" w:hAnsi="宋体"/>
          <w:b/>
          <w:bCs/>
          <w:sz w:val="28"/>
          <w:szCs w:val="28"/>
        </w:rPr>
        <w:t>认真阅读和充分理解</w:t>
      </w:r>
      <w:r>
        <w:rPr>
          <w:rFonts w:hint="eastAsia" w:ascii="宋体" w:hAnsi="宋体"/>
          <w:sz w:val="28"/>
          <w:szCs w:val="28"/>
        </w:rPr>
        <w:t>招标文件中所有的事项、格式条款和规范要求。投标人没有对招标文件全面做出实质性响应所产生的风险由投标人承担。</w:t>
      </w:r>
    </w:p>
    <w:p>
      <w:pPr>
        <w:pStyle w:val="6"/>
        <w:numPr>
          <w:ilvl w:val="2"/>
          <w:numId w:val="1"/>
        </w:numPr>
        <w:spacing w:after="0"/>
        <w:ind w:left="0" w:firstLine="0"/>
        <w:rPr>
          <w:rFonts w:hint="eastAsia"/>
          <w:color w:val="auto"/>
        </w:rPr>
      </w:pPr>
      <w:bookmarkStart w:id="44" w:name="_Toc183582211"/>
      <w:bookmarkStart w:id="45" w:name="_Toc183682348"/>
      <w:bookmarkStart w:id="46" w:name="_Toc217446040"/>
      <w:r>
        <w:rPr>
          <w:rFonts w:hint="eastAsia"/>
          <w:color w:val="auto"/>
        </w:rPr>
        <w:t>招标文件的澄清</w:t>
      </w:r>
      <w:bookmarkEnd w:id="44"/>
      <w:bookmarkEnd w:id="45"/>
      <w:r>
        <w:rPr>
          <w:rFonts w:hint="eastAsia"/>
          <w:color w:val="auto"/>
        </w:rPr>
        <w:t>和修改</w:t>
      </w:r>
      <w:bookmarkEnd w:id="46"/>
    </w:p>
    <w:p>
      <w:pPr>
        <w:numPr>
          <w:ilvl w:val="0"/>
          <w:numId w:val="12"/>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区公资交易中心</w:t>
      </w:r>
      <w:r>
        <w:rPr>
          <w:rFonts w:hint="eastAsia" w:ascii="宋体" w:hAnsi="宋体"/>
          <w:sz w:val="28"/>
          <w:szCs w:val="28"/>
        </w:rPr>
        <w:t>可以对已发出的招标文件进行必要的澄清或者修改。</w:t>
      </w:r>
    </w:p>
    <w:p>
      <w:pPr>
        <w:numPr>
          <w:ilvl w:val="0"/>
          <w:numId w:val="12"/>
        </w:numPr>
        <w:spacing w:after="200" w:line="360" w:lineRule="auto"/>
        <w:ind w:left="0" w:firstLine="567"/>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numPr>
          <w:ilvl w:val="0"/>
          <w:numId w:val="12"/>
        </w:numPr>
        <w:spacing w:after="200" w:line="360" w:lineRule="auto"/>
        <w:ind w:left="0" w:firstLine="567"/>
        <w:rPr>
          <w:rFonts w:hint="eastAsia" w:ascii="宋体" w:hAnsi="宋体" w:eastAsia="宋体"/>
          <w:sz w:val="28"/>
          <w:szCs w:val="28"/>
        </w:rPr>
      </w:pPr>
      <w:r>
        <w:rPr>
          <w:rFonts w:hint="eastAsia" w:ascii="宋体" w:hAnsi="宋体" w:eastAsia="宋体"/>
          <w:sz w:val="28"/>
          <w:szCs w:val="28"/>
        </w:rPr>
        <w:t>澄清或者修改的内容可能影响投标文件编制的，</w:t>
      </w:r>
      <w:r>
        <w:rPr>
          <w:rFonts w:hint="eastAsia" w:ascii="宋体" w:hAnsi="宋体" w:eastAsia="宋体"/>
          <w:sz w:val="28"/>
          <w:szCs w:val="28"/>
          <w:lang w:eastAsia="zh-CN"/>
        </w:rPr>
        <w:t>区公资交易中心</w:t>
      </w:r>
      <w:r>
        <w:rPr>
          <w:rFonts w:hint="eastAsia" w:ascii="宋体" w:hAnsi="宋体" w:eastAsia="宋体"/>
          <w:sz w:val="28"/>
          <w:szCs w:val="28"/>
        </w:rPr>
        <w:t>应当在投标截止时间至少15日前，通过政府采购云平台通知所有获取招标文件的潜在投标人；不足15日的，采购人或</w:t>
      </w:r>
      <w:r>
        <w:rPr>
          <w:rFonts w:hint="eastAsia" w:ascii="宋体" w:hAnsi="宋体" w:eastAsia="宋体"/>
          <w:sz w:val="28"/>
          <w:szCs w:val="28"/>
          <w:lang w:eastAsia="zh-CN"/>
        </w:rPr>
        <w:t>区公资交易中心</w:t>
      </w:r>
      <w:r>
        <w:rPr>
          <w:rFonts w:hint="eastAsia" w:ascii="宋体" w:hAnsi="宋体" w:eastAsia="宋体"/>
          <w:sz w:val="28"/>
          <w:szCs w:val="28"/>
        </w:rPr>
        <w:t>应当顺延提交投标文件的截止时间。澄清或者修改的内容，</w:t>
      </w:r>
      <w:r>
        <w:rPr>
          <w:rFonts w:hint="eastAsia" w:ascii="宋体" w:hAnsi="宋体" w:eastAsia="宋体"/>
          <w:sz w:val="28"/>
          <w:szCs w:val="28"/>
          <w:lang w:eastAsia="zh-CN"/>
        </w:rPr>
        <w:t>区公资交易中心</w:t>
      </w:r>
      <w:r>
        <w:rPr>
          <w:rFonts w:hint="eastAsia" w:ascii="宋体" w:hAnsi="宋体" w:eastAsia="宋体"/>
          <w:sz w:val="28"/>
          <w:szCs w:val="28"/>
        </w:rPr>
        <w:t>将在“四川政府采购网”和“</w:t>
      </w:r>
      <w:r>
        <w:rPr>
          <w:rFonts w:hint="eastAsia" w:ascii="宋体" w:hAnsi="宋体" w:eastAsia="宋体"/>
          <w:sz w:val="28"/>
          <w:szCs w:val="28"/>
          <w:lang w:eastAsia="zh-CN"/>
        </w:rPr>
        <w:t>成都市公共资源交易服务中心</w:t>
      </w:r>
      <w:r>
        <w:rPr>
          <w:rFonts w:hint="eastAsia" w:ascii="宋体" w:hAnsi="宋体" w:eastAsia="宋体"/>
          <w:sz w:val="28"/>
          <w:szCs w:val="28"/>
        </w:rPr>
        <w:t>”网站上发布公告，同时通过云平台将澄清或者修改的内容告知所有在系统中成功提交《采购文件获取登记表》的潜在投标人（投标人通过账号或CA证书登录云平台查看）。该澄清或者修改的内容为招标文件的组成部分。</w:t>
      </w:r>
    </w:p>
    <w:p>
      <w:pPr>
        <w:pStyle w:val="5"/>
        <w:numPr>
          <w:ilvl w:val="1"/>
          <w:numId w:val="1"/>
        </w:numPr>
        <w:spacing w:before="0" w:after="0"/>
        <w:rPr>
          <w:rFonts w:hint="eastAsia"/>
        </w:rPr>
      </w:pPr>
      <w:bookmarkStart w:id="47" w:name="_Toc183682351"/>
      <w:bookmarkStart w:id="48" w:name="_Toc217446042"/>
      <w:bookmarkStart w:id="49" w:name="_Toc6283"/>
      <w:bookmarkStart w:id="50" w:name="_Toc77400780"/>
      <w:bookmarkStart w:id="51" w:name="_Toc183582214"/>
      <w:bookmarkStart w:id="52" w:name="_Toc89075876"/>
      <w:bookmarkStart w:id="53" w:name="_Toc27312"/>
      <w:r>
        <w:rPr>
          <w:rFonts w:hint="eastAsia"/>
        </w:rPr>
        <w:t>投标文件</w:t>
      </w:r>
      <w:bookmarkEnd w:id="47"/>
      <w:bookmarkEnd w:id="48"/>
      <w:bookmarkEnd w:id="49"/>
      <w:bookmarkEnd w:id="50"/>
      <w:bookmarkEnd w:id="51"/>
      <w:bookmarkEnd w:id="52"/>
      <w:bookmarkEnd w:id="53"/>
    </w:p>
    <w:p>
      <w:pPr>
        <w:pStyle w:val="6"/>
        <w:numPr>
          <w:ilvl w:val="2"/>
          <w:numId w:val="1"/>
        </w:numPr>
        <w:spacing w:after="0"/>
        <w:ind w:left="0" w:firstLine="0"/>
        <w:rPr>
          <w:rFonts w:hint="eastAsia"/>
          <w:color w:val="auto"/>
        </w:rPr>
      </w:pPr>
      <w:bookmarkStart w:id="54" w:name="_Toc217446043"/>
      <w:bookmarkStart w:id="55" w:name="_Toc183582215"/>
      <w:bookmarkStart w:id="56" w:name="_Toc183682352"/>
      <w:r>
        <w:rPr>
          <w:rFonts w:hint="eastAsia"/>
          <w:color w:val="auto"/>
        </w:rPr>
        <w:t>投标文件的语言</w:t>
      </w:r>
      <w:bookmarkEnd w:id="54"/>
      <w:bookmarkEnd w:id="55"/>
      <w:bookmarkEnd w:id="56"/>
    </w:p>
    <w:p>
      <w:pPr>
        <w:numPr>
          <w:ilvl w:val="0"/>
          <w:numId w:val="13"/>
        </w:numPr>
        <w:tabs>
          <w:tab w:val="left" w:pos="1134"/>
        </w:tabs>
        <w:spacing w:after="0" w:line="360" w:lineRule="auto"/>
        <w:ind w:left="0" w:firstLine="560"/>
        <w:rPr>
          <w:rFonts w:hint="eastAsia" w:ascii="宋体" w:hAnsi="宋体"/>
          <w:sz w:val="28"/>
          <w:szCs w:val="28"/>
        </w:rPr>
      </w:pPr>
      <w:r>
        <w:rPr>
          <w:rFonts w:hint="eastAsia" w:ascii="宋体" w:hAnsi="宋体"/>
          <w:sz w:val="28"/>
          <w:szCs w:val="28"/>
        </w:rPr>
        <w:t>投标人提交的投标文件以及投标人与采购人或</w:t>
      </w:r>
      <w:r>
        <w:rPr>
          <w:rFonts w:hint="eastAsia" w:ascii="宋体" w:hAnsi="宋体"/>
          <w:sz w:val="28"/>
          <w:szCs w:val="28"/>
          <w:lang w:eastAsia="zh-CN"/>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w:t>
      </w:r>
      <w:r>
        <w:rPr>
          <w:rFonts w:hint="eastAsia" w:ascii="宋体" w:hAnsi="宋体"/>
          <w:sz w:val="28"/>
          <w:szCs w:val="28"/>
          <w:lang w:eastAsia="zh-CN"/>
        </w:rPr>
        <w:t>（负责人）</w:t>
      </w:r>
      <w:r>
        <w:rPr>
          <w:rFonts w:hint="eastAsia" w:ascii="宋体" w:hAnsi="宋体"/>
          <w:sz w:val="28"/>
          <w:szCs w:val="28"/>
        </w:rPr>
        <w:t>为外籍人士的，则法定代表人</w:t>
      </w:r>
      <w:r>
        <w:rPr>
          <w:rFonts w:hint="eastAsia" w:ascii="宋体" w:hAnsi="宋体"/>
          <w:sz w:val="28"/>
          <w:szCs w:val="28"/>
          <w:lang w:eastAsia="zh-CN"/>
        </w:rPr>
        <w:t>（负责人）</w:t>
      </w:r>
      <w:r>
        <w:rPr>
          <w:rFonts w:hint="eastAsia" w:ascii="宋体" w:hAnsi="宋体"/>
          <w:sz w:val="28"/>
          <w:szCs w:val="28"/>
        </w:rPr>
        <w:t>的签字和护照除外）。</w:t>
      </w:r>
    </w:p>
    <w:p>
      <w:pPr>
        <w:numPr>
          <w:ilvl w:val="0"/>
          <w:numId w:val="13"/>
        </w:numPr>
        <w:tabs>
          <w:tab w:val="left" w:pos="1134"/>
        </w:tabs>
        <w:spacing w:after="0" w:line="360" w:lineRule="auto"/>
        <w:ind w:left="0" w:firstLine="560"/>
        <w:rPr>
          <w:rFonts w:hint="eastAsia"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pStyle w:val="6"/>
        <w:numPr>
          <w:ilvl w:val="2"/>
          <w:numId w:val="1"/>
        </w:numPr>
        <w:spacing w:after="0"/>
        <w:ind w:left="0" w:firstLine="0"/>
        <w:rPr>
          <w:rFonts w:hint="eastAsia"/>
          <w:color w:val="auto"/>
        </w:rPr>
      </w:pPr>
      <w:bookmarkStart w:id="57" w:name="_Toc217446044"/>
      <w:bookmarkStart w:id="58" w:name="_Toc183582216"/>
      <w:bookmarkStart w:id="59" w:name="_Toc183682353"/>
      <w:r>
        <w:rPr>
          <w:rFonts w:hint="eastAsia"/>
          <w:color w:val="auto"/>
        </w:rPr>
        <w:t>计量单位</w:t>
      </w:r>
      <w:bookmarkEnd w:id="57"/>
      <w:bookmarkEnd w:id="58"/>
      <w:bookmarkEnd w:id="59"/>
    </w:p>
    <w:p>
      <w:pPr>
        <w:tabs>
          <w:tab w:val="left" w:pos="7665"/>
        </w:tabs>
        <w:spacing w:line="360" w:lineRule="auto"/>
        <w:ind w:left="13" w:firstLine="554"/>
        <w:rPr>
          <w:rFonts w:hint="eastAsia" w:ascii="宋体" w:hAnsi="宋体"/>
          <w:sz w:val="28"/>
          <w:szCs w:val="28"/>
        </w:rPr>
      </w:pPr>
      <w:bookmarkStart w:id="60" w:name="_Toc217446045"/>
      <w:r>
        <w:rPr>
          <w:rFonts w:hint="eastAsia" w:ascii="宋体" w:hAnsi="宋体"/>
          <w:sz w:val="28"/>
          <w:szCs w:val="28"/>
        </w:rPr>
        <w:t>除招标文件中另有规定外，本次采购项目所有合同项下的投标均采用国家法定的计量单位。</w:t>
      </w:r>
    </w:p>
    <w:p>
      <w:pPr>
        <w:pStyle w:val="6"/>
        <w:numPr>
          <w:ilvl w:val="2"/>
          <w:numId w:val="1"/>
        </w:numPr>
        <w:spacing w:after="0"/>
        <w:ind w:left="0" w:firstLine="0"/>
        <w:rPr>
          <w:rFonts w:hint="eastAsia"/>
          <w:color w:val="auto"/>
        </w:rPr>
      </w:pPr>
      <w:r>
        <w:rPr>
          <w:rFonts w:hint="eastAsia"/>
          <w:color w:val="auto"/>
        </w:rPr>
        <w:t>投标货币</w:t>
      </w:r>
      <w:bookmarkEnd w:id="60"/>
    </w:p>
    <w:p>
      <w:pPr>
        <w:tabs>
          <w:tab w:val="left" w:pos="7665"/>
        </w:tabs>
        <w:spacing w:line="360" w:lineRule="auto"/>
        <w:ind w:left="13" w:firstLine="554"/>
        <w:rPr>
          <w:rFonts w:hint="eastAsia" w:ascii="宋体" w:hAnsi="宋体"/>
          <w:sz w:val="28"/>
          <w:szCs w:val="28"/>
        </w:rPr>
      </w:pPr>
      <w:r>
        <w:rPr>
          <w:rFonts w:hint="eastAsia" w:ascii="宋体" w:hAnsi="宋体"/>
          <w:sz w:val="28"/>
          <w:szCs w:val="28"/>
        </w:rPr>
        <w:t>本次招标项目的投标均以人民币报价。</w:t>
      </w:r>
    </w:p>
    <w:p>
      <w:pPr>
        <w:pStyle w:val="6"/>
        <w:numPr>
          <w:ilvl w:val="2"/>
          <w:numId w:val="1"/>
        </w:numPr>
        <w:spacing w:after="0"/>
        <w:ind w:left="0" w:firstLine="0"/>
        <w:rPr>
          <w:rFonts w:hint="eastAsia"/>
          <w:color w:val="auto"/>
        </w:rPr>
      </w:pPr>
      <w:bookmarkStart w:id="61" w:name="_Toc217446046"/>
      <w:r>
        <w:rPr>
          <w:rFonts w:hint="eastAsia"/>
          <w:color w:val="auto"/>
        </w:rPr>
        <w:t>联合体投标</w:t>
      </w:r>
      <w:bookmarkEnd w:id="61"/>
    </w:p>
    <w:p>
      <w:pPr>
        <w:tabs>
          <w:tab w:val="left" w:pos="1134"/>
        </w:tabs>
        <w:spacing w:line="360" w:lineRule="auto"/>
        <w:ind w:left="546"/>
        <w:rPr>
          <w:rFonts w:hint="eastAsia" w:ascii="宋体" w:hAnsi="宋体"/>
          <w:b/>
          <w:sz w:val="28"/>
          <w:szCs w:val="28"/>
        </w:rPr>
      </w:pPr>
      <w:bookmarkStart w:id="62" w:name="_Toc217446047"/>
      <w:r>
        <w:rPr>
          <w:rFonts w:hint="eastAsia" w:ascii="宋体" w:hAnsi="宋体"/>
          <w:b/>
          <w:sz w:val="28"/>
          <w:szCs w:val="28"/>
        </w:rPr>
        <w:t>本次政府采购活动不接受联合体投标。</w:t>
      </w:r>
    </w:p>
    <w:p>
      <w:pPr>
        <w:pStyle w:val="6"/>
        <w:numPr>
          <w:ilvl w:val="2"/>
          <w:numId w:val="1"/>
        </w:numPr>
        <w:spacing w:after="0"/>
        <w:ind w:left="0" w:firstLine="0"/>
        <w:rPr>
          <w:rFonts w:hint="eastAsia"/>
          <w:color w:val="auto"/>
        </w:rPr>
      </w:pPr>
      <w:r>
        <w:rPr>
          <w:rFonts w:hint="eastAsia"/>
          <w:color w:val="auto"/>
        </w:rPr>
        <w:t>知识产权</w:t>
      </w:r>
      <w:bookmarkEnd w:id="62"/>
    </w:p>
    <w:p>
      <w:pPr>
        <w:pStyle w:val="190"/>
        <w:numPr>
          <w:ilvl w:val="0"/>
          <w:numId w:val="14"/>
        </w:numPr>
        <w:tabs>
          <w:tab w:val="left" w:pos="1134"/>
        </w:tabs>
        <w:spacing w:after="0" w:line="360" w:lineRule="auto"/>
        <w:ind w:left="420" w:firstLine="549" w:firstLineChars="0"/>
        <w:rPr>
          <w:rFonts w:hint="eastAsia" w:ascii="宋体" w:hAnsi="宋体"/>
          <w:sz w:val="28"/>
          <w:szCs w:val="28"/>
        </w:rPr>
      </w:pPr>
      <w:bookmarkStart w:id="63" w:name="_Toc183582217"/>
      <w:bookmarkStart w:id="64" w:name="_Toc183682354"/>
      <w:bookmarkStart w:id="65" w:name="_Toc217446048"/>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90"/>
        <w:numPr>
          <w:ilvl w:val="0"/>
          <w:numId w:val="14"/>
        </w:numPr>
        <w:tabs>
          <w:tab w:val="left" w:pos="1134"/>
        </w:tabs>
        <w:spacing w:after="0" w:line="360" w:lineRule="auto"/>
        <w:ind w:left="420" w:firstLine="549" w:firstLineChars="0"/>
        <w:rPr>
          <w:rFonts w:hint="eastAsia" w:ascii="宋体" w:hAnsi="宋体"/>
          <w:sz w:val="28"/>
          <w:szCs w:val="28"/>
        </w:rPr>
      </w:pPr>
      <w:r>
        <w:rPr>
          <w:rFonts w:hint="eastAsia" w:ascii="宋体" w:hAnsi="宋体"/>
          <w:sz w:val="28"/>
          <w:szCs w:val="28"/>
        </w:rPr>
        <w:t>采购人享有本项目实施过程中产生的知识成果及知识产权。</w:t>
      </w:r>
    </w:p>
    <w:p>
      <w:pPr>
        <w:pStyle w:val="190"/>
        <w:numPr>
          <w:ilvl w:val="0"/>
          <w:numId w:val="14"/>
        </w:numPr>
        <w:tabs>
          <w:tab w:val="left" w:pos="1134"/>
        </w:tabs>
        <w:spacing w:after="0" w:line="360" w:lineRule="auto"/>
        <w:ind w:left="420" w:firstLine="549" w:firstLineChars="0"/>
        <w:rPr>
          <w:rFonts w:hint="eastAsia" w:ascii="宋体" w:hAnsi="宋体"/>
          <w:sz w:val="28"/>
          <w:szCs w:val="28"/>
        </w:rPr>
      </w:pPr>
      <w:r>
        <w:rPr>
          <w:rFonts w:hint="eastAsia" w:ascii="宋体" w:hAnsi="宋体"/>
          <w:sz w:val="28"/>
          <w:szCs w:val="28"/>
        </w:rPr>
        <w:t>投标人如拟在项目实施过程中采用自有知识成果，需在投标文件中</w:t>
      </w:r>
      <w:r>
        <w:rPr>
          <w:rFonts w:hint="eastAsia" w:ascii="宋体" w:hAnsi="宋体"/>
          <w:sz w:val="28"/>
          <w:szCs w:val="28"/>
          <w:lang w:eastAsia="zh-CN"/>
        </w:rPr>
        <w:t>声明</w:t>
      </w:r>
      <w:r>
        <w:rPr>
          <w:rFonts w:hint="eastAsia" w:ascii="宋体" w:hAnsi="宋体"/>
          <w:sz w:val="28"/>
          <w:szCs w:val="28"/>
        </w:rPr>
        <w:t>，并提供相关知识产权证明文件。使用该知识成果后，投标人需提供开发接口和开发手册等技术文档，并承诺提供无限期技术支持，采购人享有永久使用权（含采购人委托第三方在该项目后续开发的使用权）。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190"/>
        <w:numPr>
          <w:ilvl w:val="0"/>
          <w:numId w:val="14"/>
        </w:numPr>
        <w:tabs>
          <w:tab w:val="left" w:pos="1134"/>
        </w:tabs>
        <w:spacing w:after="0" w:line="360" w:lineRule="auto"/>
        <w:ind w:left="420" w:firstLine="549" w:firstLineChars="0"/>
        <w:rPr>
          <w:rFonts w:hint="eastAsia"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pStyle w:val="6"/>
        <w:numPr>
          <w:ilvl w:val="2"/>
          <w:numId w:val="1"/>
        </w:numPr>
        <w:spacing w:after="0"/>
        <w:ind w:left="0" w:firstLine="0"/>
        <w:rPr>
          <w:rFonts w:hint="eastAsia"/>
          <w:color w:val="auto"/>
        </w:rPr>
      </w:pPr>
      <w:r>
        <w:rPr>
          <w:rFonts w:hint="eastAsia"/>
          <w:color w:val="auto"/>
        </w:rPr>
        <w:t>投标文件的组成</w:t>
      </w:r>
      <w:bookmarkEnd w:id="63"/>
      <w:bookmarkEnd w:id="64"/>
      <w:bookmarkEnd w:id="65"/>
    </w:p>
    <w:p>
      <w:pPr>
        <w:spacing w:line="360" w:lineRule="auto"/>
        <w:ind w:firstLine="548" w:firstLineChars="196"/>
        <w:rPr>
          <w:rFonts w:hint="eastAsia"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ind w:left="546"/>
        <w:rPr>
          <w:rFonts w:hint="eastAsia" w:ascii="宋体" w:hAnsi="宋体"/>
          <w:b/>
          <w:kern w:val="0"/>
          <w:sz w:val="28"/>
          <w:szCs w:val="28"/>
        </w:rPr>
      </w:pPr>
      <w:r>
        <w:rPr>
          <w:rFonts w:hint="eastAsia" w:ascii="宋体" w:hAnsi="宋体"/>
          <w:b/>
          <w:kern w:val="0"/>
          <w:sz w:val="28"/>
          <w:szCs w:val="28"/>
        </w:rPr>
        <w:t>投标文件封面；</w:t>
      </w:r>
    </w:p>
    <w:p>
      <w:pPr>
        <w:spacing w:line="360" w:lineRule="auto"/>
        <w:ind w:left="546"/>
        <w:rPr>
          <w:rFonts w:hint="eastAsia" w:ascii="宋体" w:hAnsi="宋体"/>
          <w:b/>
          <w:kern w:val="0"/>
          <w:sz w:val="28"/>
          <w:szCs w:val="28"/>
        </w:rPr>
      </w:pPr>
      <w:r>
        <w:rPr>
          <w:rFonts w:hint="eastAsia" w:ascii="宋体" w:hAnsi="宋体"/>
          <w:b/>
          <w:kern w:val="0"/>
          <w:sz w:val="28"/>
          <w:szCs w:val="28"/>
        </w:rPr>
        <w:t>资格性审查部分：</w:t>
      </w:r>
    </w:p>
    <w:p>
      <w:pPr>
        <w:pStyle w:val="197"/>
        <w:numPr>
          <w:ilvl w:val="0"/>
          <w:numId w:val="15"/>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关于投标人资格</w:t>
      </w:r>
      <w:r>
        <w:rPr>
          <w:rFonts w:hint="eastAsia" w:ascii="宋体" w:hAnsi="宋体"/>
          <w:b/>
          <w:bCs/>
          <w:kern w:val="0"/>
          <w:sz w:val="28"/>
          <w:szCs w:val="28"/>
          <w:lang w:eastAsia="zh-CN"/>
        </w:rPr>
        <w:t>声明</w:t>
      </w:r>
      <w:r>
        <w:rPr>
          <w:rFonts w:hint="eastAsia" w:ascii="宋体" w:hAnsi="宋体"/>
          <w:b/>
          <w:bCs/>
          <w:kern w:val="0"/>
          <w:sz w:val="28"/>
          <w:szCs w:val="28"/>
        </w:rPr>
        <w:t>的函；</w:t>
      </w:r>
    </w:p>
    <w:p>
      <w:pPr>
        <w:pStyle w:val="197"/>
        <w:numPr>
          <w:ilvl w:val="0"/>
          <w:numId w:val="15"/>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lang w:eastAsia="zh-CN"/>
        </w:rPr>
        <w:t>声明</w:t>
      </w:r>
      <w:r>
        <w:rPr>
          <w:rFonts w:hint="eastAsia" w:ascii="宋体" w:hAnsi="宋体"/>
          <w:b/>
          <w:bCs/>
          <w:kern w:val="0"/>
          <w:sz w:val="28"/>
          <w:szCs w:val="28"/>
        </w:rPr>
        <w:t>；</w:t>
      </w:r>
    </w:p>
    <w:p>
      <w:pPr>
        <w:pStyle w:val="197"/>
        <w:numPr>
          <w:ilvl w:val="0"/>
          <w:numId w:val="15"/>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2020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ascii="宋体" w:hAnsi="宋体"/>
          <w:b/>
          <w:kern w:val="0"/>
          <w:sz w:val="28"/>
          <w:szCs w:val="28"/>
          <w:lang w:eastAsia="zh-CN"/>
        </w:rPr>
        <w:t>（格式自拟）</w:t>
      </w:r>
      <w:r>
        <w:rPr>
          <w:rFonts w:hint="eastAsia" w:ascii="宋体" w:hAnsi="宋体"/>
          <w:b/>
          <w:bCs/>
          <w:kern w:val="0"/>
          <w:sz w:val="28"/>
          <w:szCs w:val="28"/>
        </w:rPr>
        <w:t>复印件。）；</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投标人缴纳2021年任意时段的税收的银行电子回单或者行政部门出具的纳税证明或完税证明复印件</w:t>
      </w:r>
      <w:r>
        <w:rPr>
          <w:rFonts w:hint="eastAsia" w:ascii="宋体" w:hAnsi="宋体"/>
          <w:b/>
          <w:kern w:val="0"/>
          <w:sz w:val="28"/>
          <w:szCs w:val="28"/>
          <w:lang w:eastAsia="zh-CN"/>
        </w:rPr>
        <w:t>或承诺函（格式自拟）复印件</w:t>
      </w:r>
      <w:r>
        <w:rPr>
          <w:rFonts w:hint="eastAsia" w:ascii="宋体" w:hAnsi="宋体"/>
          <w:b/>
          <w:kern w:val="0"/>
          <w:sz w:val="28"/>
          <w:szCs w:val="28"/>
        </w:rPr>
        <w:t>（依法免税的供应商，应提供相应文件证明其依法免税）</w:t>
      </w:r>
      <w:r>
        <w:rPr>
          <w:rFonts w:hint="eastAsia" w:ascii="宋体" w:hAnsi="宋体"/>
          <w:b/>
          <w:kern w:val="0"/>
          <w:sz w:val="28"/>
          <w:szCs w:val="28"/>
          <w:lang w:eastAsia="zh-CN"/>
        </w:rPr>
        <w:t>；</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采购人对投标人履行合同所必须的设备和专业技术能力无其他特殊要求，投标人具有有效的营业执照或法人证书即可，可不提供其他证明材料；</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投标人缴纳2021年任意时段的社保的银行电子回单或行政部门出具的社保缴纳证明材料复印件</w:t>
      </w:r>
      <w:r>
        <w:rPr>
          <w:rFonts w:hint="eastAsia" w:ascii="宋体" w:hAnsi="宋体"/>
          <w:b/>
          <w:kern w:val="0"/>
          <w:sz w:val="28"/>
          <w:szCs w:val="28"/>
          <w:lang w:eastAsia="zh-CN"/>
        </w:rPr>
        <w:t>或承诺函（格式自拟）复印件</w:t>
      </w:r>
      <w:r>
        <w:rPr>
          <w:rFonts w:hint="eastAsia" w:ascii="宋体" w:hAnsi="宋体" w:eastAsia="宋体"/>
          <w:b/>
          <w:kern w:val="0"/>
          <w:sz w:val="28"/>
          <w:szCs w:val="28"/>
          <w:lang w:val="en-US" w:eastAsia="zh-CN"/>
        </w:rPr>
        <w:t>（依法不需要缴纳社会保障资金的供应商，应提供相应文件证明其依法不需要缴纳社会保障资金）</w:t>
      </w:r>
      <w:r>
        <w:rPr>
          <w:rFonts w:hint="eastAsia" w:ascii="宋体" w:hAnsi="宋体"/>
          <w:b/>
          <w:kern w:val="0"/>
          <w:sz w:val="28"/>
          <w:szCs w:val="28"/>
        </w:rPr>
        <w:t>；</w:t>
      </w:r>
    </w:p>
    <w:p>
      <w:pPr>
        <w:pStyle w:val="197"/>
        <w:numPr>
          <w:ilvl w:val="0"/>
          <w:numId w:val="16"/>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采购人对法律、行政法规规定的其他条件无其他特殊要求，投标人具有有效的营业执照或法人证书即可，可不提供其他证明材料。</w:t>
      </w:r>
    </w:p>
    <w:p>
      <w:pPr>
        <w:pStyle w:val="84"/>
        <w:spacing w:line="360" w:lineRule="auto"/>
        <w:rPr>
          <w:rFonts w:hint="eastAsia" w:ascii="宋体" w:hAnsi="宋体" w:eastAsia="宋体" w:cs="Times New Roman"/>
          <w:b/>
          <w:kern w:val="0"/>
          <w:sz w:val="28"/>
          <w:szCs w:val="28"/>
          <w:lang w:val="en-US" w:eastAsia="zh-CN" w:bidi="ar-SA"/>
        </w:rPr>
      </w:pPr>
      <w:r>
        <w:rPr>
          <w:rFonts w:hint="eastAsia" w:ascii="宋体" w:hAnsi="宋体" w:eastAsia="宋体" w:cs="Times New Roman"/>
          <w:b/>
          <w:kern w:val="0"/>
          <w:sz w:val="28"/>
          <w:szCs w:val="28"/>
          <w:lang w:val="en-US" w:eastAsia="zh-CN" w:bidi="ar-SA"/>
        </w:rPr>
        <w:t>技术、服务、商务及其他要求响应部分：</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投标函；</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lang w:eastAsia="zh-CN"/>
        </w:rPr>
        <w:t>开标一览表</w:t>
      </w:r>
      <w:r>
        <w:rPr>
          <w:rFonts w:hint="eastAsia" w:ascii="宋体" w:hAnsi="宋体"/>
          <w:b/>
          <w:bCs w:val="0"/>
          <w:kern w:val="0"/>
          <w:sz w:val="28"/>
          <w:szCs w:val="28"/>
        </w:rPr>
        <w:t>；</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lang w:eastAsia="zh-CN"/>
        </w:rPr>
        <w:t>分项报价表；</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法定代表人（负责人）身份证明书；</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中小企业</w:t>
      </w:r>
      <w:r>
        <w:rPr>
          <w:rFonts w:hint="eastAsia" w:ascii="宋体" w:hAnsi="宋体"/>
          <w:b/>
          <w:bCs w:val="0"/>
          <w:kern w:val="0"/>
          <w:sz w:val="28"/>
          <w:szCs w:val="28"/>
          <w:lang w:eastAsia="zh-CN"/>
        </w:rPr>
        <w:t>声明</w:t>
      </w:r>
      <w:r>
        <w:rPr>
          <w:rFonts w:hint="eastAsia" w:ascii="宋体" w:hAnsi="宋体"/>
          <w:b/>
          <w:bCs w:val="0"/>
          <w:kern w:val="0"/>
          <w:sz w:val="28"/>
          <w:szCs w:val="28"/>
        </w:rPr>
        <w:t>函（如未提供中小企业</w:t>
      </w:r>
      <w:r>
        <w:rPr>
          <w:rFonts w:hint="eastAsia" w:ascii="宋体" w:hAnsi="宋体"/>
          <w:b/>
          <w:bCs w:val="0"/>
          <w:kern w:val="0"/>
          <w:sz w:val="28"/>
          <w:szCs w:val="28"/>
          <w:lang w:eastAsia="zh-CN"/>
        </w:rPr>
        <w:t>声明</w:t>
      </w:r>
      <w:r>
        <w:rPr>
          <w:rFonts w:hint="eastAsia" w:ascii="宋体" w:hAnsi="宋体"/>
          <w:b/>
          <w:bCs w:val="0"/>
          <w:kern w:val="0"/>
          <w:sz w:val="28"/>
          <w:szCs w:val="28"/>
        </w:rPr>
        <w:t>函或</w:t>
      </w:r>
      <w:r>
        <w:rPr>
          <w:rFonts w:hint="eastAsia" w:ascii="宋体" w:hAnsi="宋体"/>
          <w:b/>
          <w:bCs w:val="0"/>
          <w:kern w:val="0"/>
          <w:sz w:val="28"/>
          <w:szCs w:val="28"/>
          <w:lang w:eastAsia="zh-CN"/>
        </w:rPr>
        <w:t>声明</w:t>
      </w:r>
      <w:r>
        <w:rPr>
          <w:rFonts w:hint="eastAsia" w:ascii="宋体" w:hAnsi="宋体"/>
          <w:b/>
          <w:bCs w:val="0"/>
          <w:kern w:val="0"/>
          <w:sz w:val="28"/>
          <w:szCs w:val="28"/>
        </w:rPr>
        <w:t>函签字盖章等不符合招标文件要求的，则不能享受招标文件规定的价格扣除，但不影响投标人投标文件的有效性）；</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残疾人福利性单位</w:t>
      </w:r>
      <w:r>
        <w:rPr>
          <w:rFonts w:hint="eastAsia" w:ascii="宋体" w:hAnsi="宋体"/>
          <w:b/>
          <w:bCs w:val="0"/>
          <w:kern w:val="0"/>
          <w:sz w:val="28"/>
          <w:szCs w:val="28"/>
          <w:lang w:eastAsia="zh-CN"/>
        </w:rPr>
        <w:t>声明</w:t>
      </w:r>
      <w:r>
        <w:rPr>
          <w:rFonts w:hint="eastAsia" w:ascii="宋体" w:hAnsi="宋体"/>
          <w:b/>
          <w:bCs w:val="0"/>
          <w:kern w:val="0"/>
          <w:sz w:val="28"/>
          <w:szCs w:val="28"/>
        </w:rPr>
        <w:t>函（如未提供残疾人福利性单位</w:t>
      </w:r>
      <w:r>
        <w:rPr>
          <w:rFonts w:hint="eastAsia" w:ascii="宋体" w:hAnsi="宋体"/>
          <w:b/>
          <w:bCs w:val="0"/>
          <w:kern w:val="0"/>
          <w:sz w:val="28"/>
          <w:szCs w:val="28"/>
          <w:lang w:eastAsia="zh-CN"/>
        </w:rPr>
        <w:t>声明</w:t>
      </w:r>
      <w:r>
        <w:rPr>
          <w:rFonts w:hint="eastAsia" w:ascii="宋体" w:hAnsi="宋体"/>
          <w:b/>
          <w:bCs w:val="0"/>
          <w:kern w:val="0"/>
          <w:sz w:val="28"/>
          <w:szCs w:val="28"/>
        </w:rPr>
        <w:t>函或</w:t>
      </w:r>
      <w:r>
        <w:rPr>
          <w:rFonts w:hint="eastAsia" w:ascii="宋体" w:hAnsi="宋体"/>
          <w:b/>
          <w:bCs w:val="0"/>
          <w:kern w:val="0"/>
          <w:sz w:val="28"/>
          <w:szCs w:val="28"/>
          <w:lang w:eastAsia="zh-CN"/>
        </w:rPr>
        <w:t>声明</w:t>
      </w:r>
      <w:r>
        <w:rPr>
          <w:rFonts w:hint="eastAsia" w:ascii="宋体" w:hAnsi="宋体"/>
          <w:b/>
          <w:bCs w:val="0"/>
          <w:kern w:val="0"/>
          <w:sz w:val="28"/>
          <w:szCs w:val="28"/>
        </w:rPr>
        <w:t>函签字盖章等不符合招标文件要求的，不能享受招标文件规定的价格扣除，但不影响投标人投标文件的有效性</w:t>
      </w:r>
      <w:r>
        <w:rPr>
          <w:rFonts w:hint="eastAsia" w:ascii="宋体" w:hAnsi="宋体"/>
          <w:b/>
          <w:bCs w:val="0"/>
          <w:kern w:val="0"/>
          <w:sz w:val="28"/>
          <w:szCs w:val="28"/>
          <w:lang w:eastAsia="zh-CN"/>
        </w:rPr>
        <w:t>）</w:t>
      </w:r>
      <w:r>
        <w:rPr>
          <w:rFonts w:hint="eastAsia" w:ascii="宋体" w:hAnsi="宋体"/>
          <w:b/>
          <w:bCs w:val="0"/>
          <w:kern w:val="0"/>
          <w:sz w:val="28"/>
          <w:szCs w:val="28"/>
        </w:rPr>
        <w:t>；</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lang w:eastAsia="zh-CN"/>
        </w:rPr>
        <w:t>商务应答表；</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lang w:eastAsia="zh-CN"/>
        </w:rPr>
        <w:t>服务应答表；</w:t>
      </w:r>
    </w:p>
    <w:p>
      <w:pPr>
        <w:numPr>
          <w:ilvl w:val="0"/>
          <w:numId w:val="17"/>
        </w:numPr>
        <w:tabs>
          <w:tab w:val="left" w:pos="1134"/>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投标人基本情况表；</w:t>
      </w:r>
    </w:p>
    <w:p>
      <w:pPr>
        <w:numPr>
          <w:ilvl w:val="0"/>
          <w:numId w:val="17"/>
        </w:numPr>
        <w:tabs>
          <w:tab w:val="left" w:pos="1134"/>
          <w:tab w:val="left" w:pos="1418"/>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服务方案及服务承诺；</w:t>
      </w:r>
    </w:p>
    <w:p>
      <w:pPr>
        <w:numPr>
          <w:ilvl w:val="0"/>
          <w:numId w:val="17"/>
        </w:numPr>
        <w:tabs>
          <w:tab w:val="left" w:pos="1134"/>
          <w:tab w:val="left" w:pos="1418"/>
        </w:tabs>
        <w:spacing w:after="0" w:line="360" w:lineRule="auto"/>
        <w:ind w:left="0" w:firstLine="546"/>
        <w:rPr>
          <w:rFonts w:hint="eastAsia" w:ascii="宋体" w:hAnsi="宋体"/>
          <w:b/>
          <w:bCs w:val="0"/>
          <w:kern w:val="0"/>
          <w:sz w:val="28"/>
          <w:szCs w:val="28"/>
        </w:rPr>
      </w:pPr>
      <w:r>
        <w:rPr>
          <w:rFonts w:hint="eastAsia" w:ascii="宋体" w:hAnsi="宋体"/>
          <w:b/>
          <w:bCs w:val="0"/>
          <w:kern w:val="0"/>
          <w:sz w:val="28"/>
          <w:szCs w:val="28"/>
        </w:rPr>
        <w:t>承诺函。</w:t>
      </w:r>
    </w:p>
    <w:p>
      <w:pPr>
        <w:pStyle w:val="6"/>
        <w:numPr>
          <w:ilvl w:val="2"/>
          <w:numId w:val="1"/>
        </w:numPr>
        <w:spacing w:after="0"/>
        <w:ind w:left="0" w:firstLine="0"/>
        <w:rPr>
          <w:rFonts w:hint="eastAsia"/>
          <w:color w:val="auto"/>
        </w:rPr>
      </w:pPr>
      <w:bookmarkStart w:id="66" w:name="_Toc316291395"/>
      <w:bookmarkEnd w:id="66"/>
      <w:bookmarkStart w:id="67" w:name="_Toc316292020"/>
      <w:bookmarkEnd w:id="67"/>
      <w:bookmarkStart w:id="68" w:name="_Toc316291396"/>
      <w:bookmarkEnd w:id="68"/>
      <w:bookmarkStart w:id="69" w:name="_Toc316292019"/>
      <w:bookmarkEnd w:id="69"/>
      <w:bookmarkStart w:id="70" w:name="_Toc217446049"/>
      <w:bookmarkStart w:id="71" w:name="_Toc183682355"/>
      <w:bookmarkStart w:id="72" w:name="_Toc183582218"/>
      <w:r>
        <w:rPr>
          <w:rFonts w:hint="eastAsia"/>
          <w:color w:val="auto"/>
        </w:rPr>
        <w:t>投标文件格式</w:t>
      </w:r>
      <w:bookmarkEnd w:id="70"/>
      <w:bookmarkEnd w:id="71"/>
      <w:bookmarkEnd w:id="72"/>
      <w:r>
        <w:rPr>
          <w:rFonts w:hint="eastAsia"/>
          <w:color w:val="auto"/>
        </w:rPr>
        <w:tab/>
      </w:r>
    </w:p>
    <w:p>
      <w:pPr>
        <w:numPr>
          <w:ilvl w:val="0"/>
          <w:numId w:val="18"/>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18"/>
        </w:numPr>
        <w:tabs>
          <w:tab w:val="left" w:pos="1134"/>
        </w:tabs>
        <w:spacing w:after="0" w:line="360" w:lineRule="auto"/>
        <w:ind w:left="0" w:firstLine="567"/>
        <w:rPr>
          <w:rFonts w:hint="eastAsia" w:ascii="宋体" w:hAnsi="宋体"/>
          <w:sz w:val="28"/>
          <w:szCs w:val="28"/>
        </w:rPr>
      </w:pPr>
      <w:r>
        <w:rPr>
          <w:rFonts w:hint="eastAsia" w:ascii="宋体" w:hAnsi="宋体"/>
          <w:sz w:val="28"/>
          <w:szCs w:val="28"/>
        </w:rPr>
        <w:t>对于没有格式要求的投标文件由投标人自行编写。</w:t>
      </w:r>
    </w:p>
    <w:p>
      <w:pPr>
        <w:pStyle w:val="6"/>
        <w:numPr>
          <w:ilvl w:val="2"/>
          <w:numId w:val="1"/>
        </w:numPr>
        <w:spacing w:after="0"/>
        <w:ind w:left="0" w:firstLine="0"/>
        <w:rPr>
          <w:rFonts w:hint="eastAsia"/>
          <w:color w:val="auto"/>
        </w:rPr>
      </w:pPr>
      <w:bookmarkStart w:id="73" w:name="_Toc183682360"/>
      <w:bookmarkStart w:id="74" w:name="_Toc217446050"/>
      <w:bookmarkStart w:id="75" w:name="_Toc183582223"/>
      <w:r>
        <w:rPr>
          <w:rFonts w:hint="eastAsia"/>
          <w:color w:val="auto"/>
        </w:rPr>
        <w:t>投标报价</w:t>
      </w:r>
    </w:p>
    <w:p>
      <w:pPr>
        <w:numPr>
          <w:ilvl w:val="0"/>
          <w:numId w:val="19"/>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19"/>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hint="eastAsia"/>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pStyle w:val="6"/>
        <w:numPr>
          <w:ilvl w:val="2"/>
          <w:numId w:val="1"/>
        </w:numPr>
        <w:spacing w:after="0"/>
        <w:ind w:left="0" w:firstLine="0"/>
        <w:rPr>
          <w:rFonts w:hint="eastAsia"/>
          <w:color w:val="auto"/>
        </w:rPr>
      </w:pPr>
      <w:r>
        <w:rPr>
          <w:rFonts w:hint="eastAsia"/>
          <w:color w:val="auto"/>
        </w:rPr>
        <w:t>投标保证金</w:t>
      </w:r>
      <w:bookmarkEnd w:id="73"/>
      <w:bookmarkEnd w:id="74"/>
      <w:bookmarkEnd w:id="75"/>
    </w:p>
    <w:p>
      <w:pPr>
        <w:tabs>
          <w:tab w:val="left" w:pos="1134"/>
        </w:tabs>
        <w:spacing w:line="360" w:lineRule="auto"/>
        <w:ind w:firstLine="568" w:firstLineChars="202"/>
        <w:rPr>
          <w:rFonts w:hint="eastAsia" w:ascii="宋体" w:hAnsi="宋体" w:cs="宋体"/>
          <w:kern w:val="0"/>
          <w:sz w:val="28"/>
          <w:szCs w:val="28"/>
        </w:rPr>
      </w:pPr>
      <w:r>
        <w:rPr>
          <w:rFonts w:hint="eastAsia" w:cs="Arial"/>
          <w:b/>
          <w:sz w:val="28"/>
          <w:szCs w:val="28"/>
        </w:rPr>
        <w:t>本项目不收取投标保证金。</w:t>
      </w:r>
    </w:p>
    <w:p>
      <w:pPr>
        <w:pStyle w:val="6"/>
        <w:numPr>
          <w:ilvl w:val="2"/>
          <w:numId w:val="1"/>
        </w:numPr>
        <w:tabs>
          <w:tab w:val="left" w:pos="851"/>
        </w:tabs>
        <w:spacing w:after="0"/>
        <w:ind w:left="0" w:firstLine="0"/>
        <w:rPr>
          <w:rFonts w:hint="eastAsia" w:cs="宋体"/>
          <w:color w:val="auto"/>
        </w:rPr>
      </w:pPr>
      <w:bookmarkStart w:id="76" w:name="_Toc316291400"/>
      <w:bookmarkEnd w:id="76"/>
      <w:bookmarkStart w:id="77" w:name="_Toc316292024"/>
      <w:bookmarkEnd w:id="77"/>
      <w:bookmarkStart w:id="78" w:name="_Toc217446051"/>
      <w:bookmarkStart w:id="79" w:name="_Toc183682361"/>
      <w:bookmarkStart w:id="80" w:name="_Toc183582224"/>
      <w:r>
        <w:rPr>
          <w:rFonts w:hint="eastAsia"/>
          <w:color w:val="auto"/>
        </w:rPr>
        <w:t>投标有效期</w:t>
      </w:r>
      <w:bookmarkEnd w:id="78"/>
      <w:bookmarkEnd w:id="79"/>
      <w:bookmarkEnd w:id="80"/>
    </w:p>
    <w:p>
      <w:pPr>
        <w:numPr>
          <w:ilvl w:val="0"/>
          <w:numId w:val="20"/>
        </w:numPr>
        <w:tabs>
          <w:tab w:val="left" w:pos="1134"/>
        </w:tabs>
        <w:spacing w:line="360" w:lineRule="auto"/>
        <w:ind w:left="0" w:firstLine="567"/>
        <w:rPr>
          <w:rFonts w:ascii="宋体" w:hAnsi="宋体"/>
          <w:sz w:val="28"/>
          <w:szCs w:val="28"/>
        </w:rPr>
      </w:pPr>
      <w:bookmarkStart w:id="81" w:name="_Toc183582225"/>
      <w:bookmarkStart w:id="82" w:name="_Toc183682362"/>
      <w:bookmarkStart w:id="83" w:name="_Toc217446052"/>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1"/>
        </w:numPr>
        <w:tabs>
          <w:tab w:val="left" w:pos="851"/>
        </w:tabs>
        <w:spacing w:after="0"/>
        <w:ind w:left="0" w:firstLine="0"/>
        <w:rPr>
          <w:rFonts w:hint="eastAsia"/>
          <w:color w:val="auto"/>
        </w:rPr>
      </w:pPr>
      <w:r>
        <w:rPr>
          <w:rFonts w:hint="eastAsia"/>
          <w:color w:val="auto"/>
        </w:rPr>
        <w:t>投标文件的</w:t>
      </w:r>
      <w:r>
        <w:rPr>
          <w:rFonts w:hint="eastAsia"/>
          <w:color w:val="auto"/>
          <w:lang w:eastAsia="zh-CN"/>
        </w:rPr>
        <w:t>制作</w:t>
      </w:r>
      <w:r>
        <w:rPr>
          <w:rFonts w:hint="eastAsia"/>
          <w:color w:val="auto"/>
        </w:rPr>
        <w:t>和签</w:t>
      </w:r>
      <w:bookmarkEnd w:id="81"/>
      <w:bookmarkEnd w:id="82"/>
      <w:bookmarkEnd w:id="83"/>
      <w:r>
        <w:rPr>
          <w:rFonts w:hint="eastAsia"/>
          <w:color w:val="auto"/>
          <w:lang w:eastAsia="zh-CN"/>
        </w:rPr>
        <w:t>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1"/>
        </w:numPr>
        <w:spacing w:after="0"/>
        <w:ind w:left="0" w:firstLine="0"/>
        <w:rPr>
          <w:rFonts w:hint="eastAsia"/>
          <w:color w:val="auto"/>
        </w:rPr>
      </w:pPr>
      <w:bookmarkStart w:id="84" w:name="_Toc316475580"/>
      <w:bookmarkEnd w:id="84"/>
      <w:bookmarkStart w:id="85" w:name="_Toc316475579"/>
      <w:bookmarkEnd w:id="85"/>
      <w:bookmarkStart w:id="86" w:name="_Toc316475582"/>
      <w:bookmarkEnd w:id="86"/>
      <w:bookmarkStart w:id="87" w:name="_Toc316475578"/>
      <w:bookmarkEnd w:id="87"/>
      <w:bookmarkStart w:id="88" w:name="_Toc316475581"/>
      <w:bookmarkEnd w:id="88"/>
      <w:bookmarkStart w:id="89" w:name="_Toc316475583"/>
      <w:bookmarkEnd w:id="89"/>
      <w:bookmarkStart w:id="90" w:name="_Toc316475577"/>
      <w:bookmarkEnd w:id="90"/>
      <w:bookmarkStart w:id="91" w:name="_Toc183682364"/>
      <w:bookmarkStart w:id="92" w:name="_Toc183582227"/>
      <w:bookmarkStart w:id="93" w:name="_Toc217446054"/>
      <w:r>
        <w:rPr>
          <w:rFonts w:hint="eastAsia"/>
          <w:color w:val="auto"/>
        </w:rPr>
        <w:t>投标文件的</w:t>
      </w:r>
      <w:bookmarkEnd w:id="91"/>
      <w:bookmarkEnd w:id="92"/>
      <w:r>
        <w:rPr>
          <w:rFonts w:hint="eastAsia"/>
          <w:color w:val="auto"/>
        </w:rPr>
        <w:t>递交</w:t>
      </w:r>
      <w:bookmarkEnd w:id="93"/>
    </w:p>
    <w:p>
      <w:pPr>
        <w:spacing w:line="360" w:lineRule="auto"/>
        <w:ind w:firstLine="560" w:firstLineChars="200"/>
        <w:rPr>
          <w:rFonts w:hint="eastAsia" w:ascii="宋体" w:hAnsi="宋体"/>
          <w:sz w:val="28"/>
          <w:szCs w:val="28"/>
        </w:rPr>
      </w:pPr>
      <w:r>
        <w:rPr>
          <w:rFonts w:hint="eastAsia" w:ascii="宋体" w:hAnsi="宋体"/>
          <w:sz w:val="28"/>
          <w:szCs w:val="28"/>
        </w:rPr>
        <w:t>一、投标人应当在投标文件递交截止时间前，将生成的已加密的投标文件成功递交至“政府采购云平台”。</w:t>
      </w:r>
    </w:p>
    <w:p>
      <w:pPr>
        <w:spacing w:line="360" w:lineRule="auto"/>
        <w:ind w:firstLine="560" w:firstLineChars="200"/>
        <w:rPr>
          <w:rFonts w:hint="eastAsia" w:ascii="宋体" w:hAnsi="宋体"/>
          <w:sz w:val="28"/>
          <w:szCs w:val="28"/>
        </w:rPr>
      </w:pPr>
      <w:r>
        <w:rPr>
          <w:rFonts w:hint="eastAsia" w:ascii="宋体" w:hAnsi="宋体"/>
          <w:sz w:val="28"/>
          <w:szCs w:val="28"/>
        </w:rPr>
        <w:t>二、因招标文件的修改推迟投标截止日期的，投标人按</w:t>
      </w:r>
      <w:r>
        <w:rPr>
          <w:rFonts w:hint="eastAsia" w:ascii="宋体" w:hAnsi="宋体"/>
          <w:sz w:val="28"/>
          <w:szCs w:val="28"/>
          <w:lang w:eastAsia="zh-CN"/>
        </w:rPr>
        <w:t>区公资交易中心</w:t>
      </w:r>
      <w:r>
        <w:rPr>
          <w:rFonts w:hint="eastAsia" w:ascii="宋体" w:hAnsi="宋体"/>
          <w:sz w:val="28"/>
          <w:szCs w:val="28"/>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spacing w:line="360" w:lineRule="auto"/>
        <w:ind w:firstLine="560" w:firstLineChars="200"/>
        <w:rPr>
          <w:rFonts w:hint="eastAsia" w:ascii="宋体" w:hAnsi="宋体"/>
          <w:sz w:val="28"/>
          <w:szCs w:val="28"/>
        </w:rPr>
      </w:pPr>
      <w:r>
        <w:rPr>
          <w:rFonts w:hint="eastAsia" w:ascii="宋体" w:hAnsi="宋体"/>
          <w:sz w:val="28"/>
          <w:szCs w:val="28"/>
        </w:rPr>
        <w:t>三、投标人应充分考虑递交文件的不可预见因素，未在投标截止时间前完成递交的，在投标截止时间后将无法递交。</w:t>
      </w:r>
    </w:p>
    <w:p>
      <w:pPr>
        <w:pStyle w:val="6"/>
        <w:numPr>
          <w:ilvl w:val="2"/>
          <w:numId w:val="1"/>
        </w:numPr>
        <w:spacing w:after="0"/>
        <w:ind w:left="0" w:firstLine="0"/>
        <w:rPr>
          <w:rFonts w:hint="eastAsia"/>
          <w:color w:val="auto"/>
        </w:rPr>
      </w:pPr>
      <w:bookmarkStart w:id="94" w:name="_Toc316475587"/>
      <w:bookmarkEnd w:id="94"/>
      <w:bookmarkStart w:id="95" w:name="_Toc316475586"/>
      <w:bookmarkEnd w:id="95"/>
      <w:bookmarkStart w:id="96" w:name="_Toc183582228"/>
      <w:bookmarkStart w:id="97" w:name="_Toc217446055"/>
      <w:bookmarkStart w:id="98" w:name="_Toc183682365"/>
      <w:r>
        <w:rPr>
          <w:rFonts w:hint="eastAsia"/>
          <w:color w:val="auto"/>
        </w:rPr>
        <w:t>投标文件的补充、修改</w:t>
      </w:r>
    </w:p>
    <w:p>
      <w:pPr>
        <w:numPr>
          <w:ilvl w:val="0"/>
          <w:numId w:val="21"/>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1"/>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6"/>
        <w:numPr>
          <w:ilvl w:val="2"/>
          <w:numId w:val="1"/>
        </w:numPr>
        <w:spacing w:after="0"/>
        <w:ind w:left="0" w:firstLine="0"/>
        <w:rPr>
          <w:rFonts w:hint="eastAsia"/>
          <w:color w:val="auto"/>
        </w:rPr>
      </w:pPr>
      <w:r>
        <w:rPr>
          <w:rFonts w:hint="eastAsia"/>
          <w:color w:val="auto"/>
          <w:lang w:eastAsia="zh-CN"/>
        </w:rPr>
        <w:t>投标文件的撤回</w:t>
      </w:r>
    </w:p>
    <w:p>
      <w:pPr>
        <w:spacing w:before="120" w:after="200" w:line="360" w:lineRule="auto"/>
        <w:ind w:firstLine="565" w:firstLineChars="202"/>
        <w:rPr>
          <w:rFonts w:hint="eastAsia"/>
        </w:rPr>
      </w:pPr>
      <w:r>
        <w:rPr>
          <w:rFonts w:hint="eastAsia" w:ascii="宋体" w:hAnsi="宋体"/>
          <w:bCs/>
          <w:sz w:val="28"/>
          <w:szCs w:val="28"/>
        </w:rPr>
        <w:t>在投标截止时间之前，投标人可对已递交的投标文件进行撤回。在投标截止时间之后，投标人不得撤回投标文件。</w:t>
      </w:r>
    </w:p>
    <w:p>
      <w:pPr>
        <w:pStyle w:val="6"/>
        <w:numPr>
          <w:ilvl w:val="2"/>
          <w:numId w:val="1"/>
        </w:numPr>
        <w:spacing w:after="0"/>
        <w:ind w:left="0" w:firstLine="0"/>
        <w:rPr>
          <w:rFonts w:hint="eastAsia"/>
          <w:color w:val="auto"/>
        </w:rPr>
      </w:pPr>
      <w:r>
        <w:rPr>
          <w:rFonts w:hint="eastAsia"/>
          <w:color w:val="auto"/>
          <w:lang w:eastAsia="zh-CN"/>
        </w:rPr>
        <w:t>投标文件的解密</w:t>
      </w:r>
    </w:p>
    <w:p>
      <w:pPr>
        <w:tabs>
          <w:tab w:val="left" w:pos="1134"/>
        </w:tabs>
        <w:spacing w:before="120" w:line="360" w:lineRule="auto"/>
        <w:ind w:firstLine="565" w:firstLineChars="202"/>
        <w:rPr>
          <w:rFonts w:hint="eastAsia"/>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区公资交易中心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bookmarkEnd w:id="96"/>
    <w:bookmarkEnd w:id="97"/>
    <w:bookmarkEnd w:id="98"/>
    <w:p>
      <w:pPr>
        <w:pStyle w:val="5"/>
        <w:numPr>
          <w:ilvl w:val="1"/>
          <w:numId w:val="1"/>
        </w:numPr>
        <w:spacing w:before="0" w:after="0"/>
        <w:rPr>
          <w:rFonts w:hint="eastAsia"/>
        </w:rPr>
      </w:pPr>
      <w:bookmarkStart w:id="99" w:name="_Toc8836"/>
      <w:bookmarkStart w:id="100" w:name="_Toc217446056"/>
      <w:bookmarkStart w:id="101" w:name="_Toc183682368"/>
      <w:bookmarkStart w:id="102" w:name="_Toc77400782"/>
      <w:bookmarkStart w:id="103" w:name="_Toc183582231"/>
      <w:bookmarkStart w:id="104" w:name="_Toc89075878"/>
      <w:bookmarkStart w:id="105" w:name="_Toc26862"/>
      <w:r>
        <w:rPr>
          <w:rFonts w:hint="eastAsia"/>
        </w:rPr>
        <w:t>开</w:t>
      </w:r>
      <w:bookmarkEnd w:id="99"/>
      <w:bookmarkEnd w:id="100"/>
      <w:bookmarkEnd w:id="101"/>
      <w:bookmarkEnd w:id="102"/>
      <w:bookmarkEnd w:id="103"/>
      <w:bookmarkEnd w:id="104"/>
      <w:r>
        <w:rPr>
          <w:rFonts w:hint="eastAsia" w:ascii="宋体" w:hAnsi="宋体"/>
          <w:b/>
          <w:bCs/>
          <w:sz w:val="28"/>
          <w:szCs w:val="28"/>
        </w:rPr>
        <w:t>标、资格审查、评标和中标</w:t>
      </w:r>
      <w:bookmarkEnd w:id="105"/>
    </w:p>
    <w:p>
      <w:pPr>
        <w:pStyle w:val="6"/>
        <w:numPr>
          <w:ilvl w:val="2"/>
          <w:numId w:val="1"/>
        </w:numPr>
        <w:spacing w:after="0"/>
        <w:ind w:left="0" w:firstLine="0"/>
        <w:rPr>
          <w:rFonts w:hint="eastAsia"/>
          <w:color w:val="auto"/>
        </w:rPr>
      </w:pPr>
      <w:bookmarkStart w:id="106" w:name="_Toc183682369"/>
      <w:bookmarkStart w:id="107" w:name="_Toc217446057"/>
      <w:bookmarkStart w:id="108" w:name="_Toc183582232"/>
      <w:r>
        <w:rPr>
          <w:rFonts w:hint="eastAsia"/>
          <w:color w:val="auto"/>
        </w:rPr>
        <w:t>开标</w:t>
      </w:r>
      <w:bookmarkEnd w:id="106"/>
      <w:bookmarkEnd w:id="107"/>
      <w:bookmarkEnd w:id="108"/>
      <w:r>
        <w:rPr>
          <w:rFonts w:hint="eastAsia" w:ascii="宋体" w:hAnsi="宋体"/>
          <w:b/>
          <w:bCs/>
          <w:sz w:val="28"/>
          <w:szCs w:val="28"/>
        </w:rPr>
        <w:t>及开标程序</w:t>
      </w:r>
    </w:p>
    <w:p>
      <w:pPr>
        <w:pStyle w:val="84"/>
        <w:numPr>
          <w:ilvl w:val="0"/>
          <w:numId w:val="22"/>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解密投标文件投标文件。等待</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开启解密后，投标人进行线上解密。开启解密后，投标人应在60分钟内，使用加密该投标文件的CA数字证书在线完成投标文件的解密。除因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84"/>
        <w:numPr>
          <w:ilvl w:val="0"/>
          <w:numId w:val="22"/>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6"/>
        <w:numPr>
          <w:ilvl w:val="2"/>
          <w:numId w:val="1"/>
        </w:numPr>
        <w:spacing w:after="0"/>
        <w:ind w:left="0" w:firstLine="0"/>
        <w:rPr>
          <w:rFonts w:hint="eastAsia"/>
          <w:color w:val="auto"/>
        </w:rPr>
      </w:pPr>
      <w:r>
        <w:rPr>
          <w:rFonts w:hint="eastAsia"/>
          <w:color w:val="auto"/>
          <w:lang w:eastAsia="zh-CN"/>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pStyle w:val="6"/>
        <w:numPr>
          <w:ilvl w:val="2"/>
          <w:numId w:val="1"/>
        </w:numPr>
        <w:spacing w:after="0"/>
        <w:ind w:left="0" w:firstLine="0"/>
        <w:rPr>
          <w:rFonts w:hint="eastAsia"/>
          <w:color w:val="auto"/>
        </w:rPr>
      </w:pPr>
      <w:r>
        <w:rPr>
          <w:rFonts w:hint="eastAsia"/>
          <w:color w:val="auto"/>
        </w:rPr>
        <w:t>评标</w:t>
      </w:r>
    </w:p>
    <w:p>
      <w:pPr>
        <w:spacing w:line="360" w:lineRule="auto"/>
        <w:ind w:firstLine="560" w:firstLineChars="200"/>
        <w:rPr>
          <w:rFonts w:hint="eastAsia" w:ascii="宋体" w:hAnsi="宋体"/>
          <w:sz w:val="28"/>
          <w:szCs w:val="28"/>
        </w:rPr>
      </w:pPr>
      <w:r>
        <w:rPr>
          <w:rFonts w:hint="eastAsia" w:ascii="宋体" w:hAnsi="宋体"/>
          <w:sz w:val="28"/>
          <w:szCs w:val="28"/>
        </w:rPr>
        <w:t>详见招标文件第6章。</w:t>
      </w:r>
    </w:p>
    <w:p>
      <w:pPr>
        <w:pStyle w:val="6"/>
        <w:numPr>
          <w:ilvl w:val="2"/>
          <w:numId w:val="1"/>
        </w:numPr>
        <w:spacing w:after="0"/>
        <w:ind w:left="0" w:firstLine="0"/>
        <w:rPr>
          <w:rFonts w:hint="eastAsia"/>
          <w:color w:val="auto"/>
        </w:rPr>
      </w:pPr>
      <w:bookmarkStart w:id="109" w:name="_Toc183682375"/>
      <w:bookmarkStart w:id="110" w:name="_Toc183582238"/>
      <w:bookmarkStart w:id="111" w:name="_Toc217446063"/>
      <w:r>
        <w:rPr>
          <w:rFonts w:hint="eastAsia"/>
          <w:color w:val="auto"/>
        </w:rPr>
        <w:t>中标通知</w:t>
      </w:r>
      <w:bookmarkEnd w:id="109"/>
      <w:bookmarkEnd w:id="110"/>
      <w:r>
        <w:rPr>
          <w:rFonts w:hint="eastAsia"/>
          <w:color w:val="auto"/>
        </w:rPr>
        <w:t>书</w:t>
      </w:r>
      <w:bookmarkEnd w:id="111"/>
    </w:p>
    <w:p>
      <w:pPr>
        <w:spacing w:line="580" w:lineRule="exact"/>
        <w:ind w:right="210" w:firstLine="560" w:firstLineChars="200"/>
        <w:rPr>
          <w:rFonts w:ascii="宋体" w:hAnsi="宋体"/>
          <w:sz w:val="28"/>
          <w:szCs w:val="28"/>
        </w:rPr>
      </w:pPr>
      <w:bookmarkStart w:id="112" w:name="_Toc217446064"/>
      <w:bookmarkStart w:id="113" w:name="_Toc183682377"/>
      <w:bookmarkStart w:id="114"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580" w:lineRule="exact"/>
        <w:ind w:firstLine="560" w:firstLineChars="200"/>
        <w:rPr>
          <w:rFonts w:hint="eastAsia"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pStyle w:val="5"/>
        <w:numPr>
          <w:ilvl w:val="1"/>
          <w:numId w:val="1"/>
        </w:numPr>
        <w:spacing w:before="0" w:after="0"/>
        <w:rPr>
          <w:rFonts w:hint="eastAsia"/>
        </w:rPr>
      </w:pPr>
      <w:bookmarkStart w:id="115" w:name="_Toc14749"/>
      <w:bookmarkStart w:id="116" w:name="_Toc22775"/>
      <w:r>
        <w:rPr>
          <w:rFonts w:hint="eastAsia"/>
        </w:rPr>
        <w:t>签订及履行合同</w:t>
      </w:r>
      <w:bookmarkEnd w:id="112"/>
      <w:r>
        <w:rPr>
          <w:rFonts w:hint="eastAsia"/>
        </w:rPr>
        <w:t>和验收</w:t>
      </w:r>
      <w:bookmarkEnd w:id="115"/>
      <w:bookmarkEnd w:id="116"/>
    </w:p>
    <w:p>
      <w:pPr>
        <w:pStyle w:val="6"/>
        <w:numPr>
          <w:ilvl w:val="2"/>
          <w:numId w:val="1"/>
        </w:numPr>
        <w:spacing w:after="0"/>
        <w:ind w:left="0" w:firstLine="0"/>
        <w:rPr>
          <w:rFonts w:hint="eastAsia"/>
          <w:color w:val="auto"/>
        </w:rPr>
      </w:pPr>
      <w:bookmarkStart w:id="117" w:name="_Toc217446065"/>
      <w:r>
        <w:rPr>
          <w:rFonts w:hint="eastAsia"/>
          <w:color w:val="auto"/>
        </w:rPr>
        <w:t>签订合同</w:t>
      </w:r>
      <w:bookmarkEnd w:id="117"/>
    </w:p>
    <w:p>
      <w:pPr>
        <w:tabs>
          <w:tab w:val="left" w:pos="1134"/>
        </w:tabs>
        <w:spacing w:line="360" w:lineRule="auto"/>
        <w:ind w:firstLine="560" w:firstLineChars="200"/>
        <w:rPr>
          <w:rFonts w:ascii="宋体" w:hAnsi="宋体"/>
          <w:sz w:val="28"/>
          <w:szCs w:val="28"/>
        </w:rPr>
      </w:pPr>
      <w:bookmarkStart w:id="118" w:name="_Toc315871033"/>
      <w:bookmarkEnd w:id="118"/>
      <w:bookmarkStart w:id="119" w:name="_Toc217446066"/>
      <w:bookmarkStart w:id="120" w:name="_Toc217446069"/>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pStyle w:val="6"/>
        <w:numPr>
          <w:ilvl w:val="2"/>
          <w:numId w:val="1"/>
        </w:numPr>
        <w:spacing w:after="0"/>
        <w:ind w:left="0" w:firstLine="0"/>
        <w:rPr>
          <w:rFonts w:hint="eastAsia"/>
          <w:color w:val="auto"/>
        </w:rPr>
      </w:pPr>
      <w:r>
        <w:rPr>
          <w:rFonts w:hint="eastAsia"/>
          <w:color w:val="auto"/>
        </w:rPr>
        <w:t>合同分包</w:t>
      </w:r>
      <w:bookmarkEnd w:id="119"/>
      <w:r>
        <w:rPr>
          <w:rFonts w:hint="eastAsia"/>
          <w:color w:val="auto"/>
        </w:rPr>
        <w:t>和转包</w:t>
      </w:r>
    </w:p>
    <w:p>
      <w:pPr>
        <w:pStyle w:val="6"/>
        <w:numPr>
          <w:ilvl w:val="3"/>
          <w:numId w:val="1"/>
        </w:numPr>
        <w:spacing w:after="0"/>
        <w:rPr>
          <w:rFonts w:hint="eastAsia"/>
          <w:color w:val="auto"/>
        </w:rPr>
      </w:pPr>
      <w:bookmarkStart w:id="121" w:name="_Toc217446067"/>
      <w:r>
        <w:rPr>
          <w:rFonts w:hint="eastAsia"/>
          <w:color w:val="auto"/>
        </w:rPr>
        <w:t>合同分包</w:t>
      </w:r>
    </w:p>
    <w:p>
      <w:pPr>
        <w:spacing w:line="360" w:lineRule="auto"/>
        <w:ind w:firstLine="560" w:firstLineChars="200"/>
        <w:rPr>
          <w:rFonts w:hint="eastAsia"/>
        </w:rPr>
      </w:pPr>
      <w:r>
        <w:rPr>
          <w:rFonts w:hint="eastAsia"/>
          <w:sz w:val="28"/>
          <w:szCs w:val="28"/>
        </w:rPr>
        <w:t>本项目</w:t>
      </w:r>
      <w:r>
        <w:rPr>
          <w:rFonts w:hint="eastAsia"/>
          <w:b/>
          <w:bCs/>
          <w:sz w:val="28"/>
          <w:szCs w:val="28"/>
        </w:rPr>
        <w:t>不允许</w:t>
      </w:r>
      <w:r>
        <w:rPr>
          <w:rFonts w:hint="eastAsia"/>
          <w:sz w:val="28"/>
          <w:szCs w:val="28"/>
        </w:rPr>
        <w:t>分包。</w:t>
      </w:r>
    </w:p>
    <w:p>
      <w:pPr>
        <w:pStyle w:val="6"/>
        <w:numPr>
          <w:ilvl w:val="3"/>
          <w:numId w:val="1"/>
        </w:numPr>
        <w:spacing w:after="0"/>
        <w:rPr>
          <w:color w:val="auto"/>
        </w:rPr>
      </w:pPr>
      <w:r>
        <w:rPr>
          <w:rFonts w:hint="eastAsia"/>
          <w:color w:val="auto"/>
        </w:rPr>
        <w:t>合同转包</w:t>
      </w:r>
    </w:p>
    <w:p>
      <w:pPr>
        <w:ind w:firstLine="560" w:firstLineChars="200"/>
        <w:rPr>
          <w:rFonts w:hint="eastAsia" w:ascii="宋体" w:hAnsi="宋体" w:cs="宋体"/>
          <w:kern w:val="0"/>
          <w:sz w:val="28"/>
          <w:szCs w:val="28"/>
        </w:rPr>
      </w:pPr>
      <w:r>
        <w:rPr>
          <w:rFonts w:hint="eastAsia" w:ascii="宋体" w:hAnsi="宋体"/>
          <w:sz w:val="28"/>
          <w:szCs w:val="28"/>
        </w:rPr>
        <w:t>一、严禁中标供应商将本项目转包。本项目所称转包，是指</w:t>
      </w:r>
      <w:r>
        <w:rPr>
          <w:rFonts w:hint="eastAsia" w:ascii="宋体" w:hAnsi="宋体" w:cs="宋体"/>
          <w:kern w:val="0"/>
          <w:sz w:val="28"/>
          <w:szCs w:val="28"/>
        </w:rPr>
        <w:t xml:space="preserve">将本项目转给他人或者将本项目全部肢解以后以分包的名义分别转给他人的行为。 </w:t>
      </w:r>
    </w:p>
    <w:p>
      <w:pPr>
        <w:spacing w:line="360" w:lineRule="auto"/>
        <w:ind w:firstLine="495"/>
        <w:rPr>
          <w:rFonts w:hint="eastAsia" w:ascii="宋体" w:hAnsi="宋体"/>
          <w:sz w:val="28"/>
          <w:szCs w:val="28"/>
        </w:rPr>
      </w:pPr>
      <w:r>
        <w:rPr>
          <w:rFonts w:hint="eastAsia" w:ascii="宋体" w:hAnsi="宋体"/>
          <w:sz w:val="28"/>
          <w:szCs w:val="28"/>
        </w:rPr>
        <w:t>二、中标供应商转包的，视同拒绝履行政府采购合同，将依法追究法律责任。</w:t>
      </w:r>
    </w:p>
    <w:p>
      <w:pPr>
        <w:pStyle w:val="6"/>
        <w:numPr>
          <w:ilvl w:val="2"/>
          <w:numId w:val="1"/>
        </w:numPr>
        <w:spacing w:after="0"/>
        <w:ind w:left="0" w:firstLine="0"/>
        <w:rPr>
          <w:rFonts w:hint="eastAsia"/>
          <w:color w:val="auto"/>
        </w:rPr>
      </w:pPr>
      <w:r>
        <w:rPr>
          <w:rFonts w:hint="eastAsia"/>
          <w:color w:val="auto"/>
        </w:rPr>
        <w:t>采购人增加合同标的的权</w:t>
      </w:r>
      <w:bookmarkEnd w:id="121"/>
      <w:r>
        <w:rPr>
          <w:rFonts w:hint="eastAsia"/>
          <w:color w:val="auto"/>
        </w:rPr>
        <w:t>利</w:t>
      </w:r>
    </w:p>
    <w:p>
      <w:pPr>
        <w:spacing w:after="180" w:line="360" w:lineRule="auto"/>
        <w:ind w:firstLine="560" w:firstLineChars="200"/>
        <w:rPr>
          <w:rFonts w:ascii="宋体" w:hAnsi="宋体"/>
          <w:sz w:val="28"/>
          <w:szCs w:val="28"/>
        </w:rPr>
      </w:pPr>
      <w:bookmarkStart w:id="122" w:name="_Toc217446068"/>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6"/>
        <w:numPr>
          <w:ilvl w:val="2"/>
          <w:numId w:val="1"/>
        </w:numPr>
        <w:spacing w:after="0"/>
        <w:ind w:left="0" w:firstLine="0"/>
        <w:rPr>
          <w:rFonts w:hint="eastAsia"/>
          <w:color w:val="auto"/>
        </w:rPr>
      </w:pPr>
      <w:r>
        <w:rPr>
          <w:rFonts w:hint="eastAsia"/>
          <w:color w:val="auto"/>
        </w:rPr>
        <w:t>履约保证金</w:t>
      </w:r>
      <w:bookmarkEnd w:id="122"/>
    </w:p>
    <w:p>
      <w:pPr>
        <w:tabs>
          <w:tab w:val="left" w:pos="1134"/>
        </w:tabs>
        <w:spacing w:line="360" w:lineRule="auto"/>
        <w:ind w:firstLine="560" w:firstLineChars="200"/>
        <w:rPr>
          <w:rFonts w:hint="eastAsia" w:ascii="宋体" w:hAnsi="宋体"/>
          <w:b/>
          <w:sz w:val="28"/>
          <w:u w:val="single"/>
        </w:rPr>
      </w:pPr>
      <w:r>
        <w:rPr>
          <w:rFonts w:hint="eastAsia" w:ascii="宋体" w:hAnsi="宋体"/>
          <w:b w:val="0"/>
          <w:bCs/>
          <w:sz w:val="28"/>
          <w:szCs w:val="28"/>
        </w:rPr>
        <w:t>本项目</w:t>
      </w:r>
      <w:r>
        <w:rPr>
          <w:rFonts w:hint="eastAsia" w:ascii="宋体" w:hAnsi="宋体"/>
          <w:b/>
          <w:bCs w:val="0"/>
          <w:sz w:val="28"/>
          <w:szCs w:val="28"/>
        </w:rPr>
        <w:t>不收取</w:t>
      </w:r>
      <w:r>
        <w:rPr>
          <w:rFonts w:hint="eastAsia" w:ascii="宋体" w:hAnsi="宋体"/>
          <w:b w:val="0"/>
          <w:bCs/>
          <w:sz w:val="28"/>
          <w:szCs w:val="28"/>
        </w:rPr>
        <w:t>履约保证金。</w:t>
      </w:r>
    </w:p>
    <w:p>
      <w:pPr>
        <w:pStyle w:val="6"/>
        <w:numPr>
          <w:ilvl w:val="2"/>
          <w:numId w:val="1"/>
        </w:numPr>
        <w:spacing w:after="0"/>
        <w:ind w:left="0" w:firstLine="0"/>
        <w:rPr>
          <w:rFonts w:hint="eastAsia"/>
          <w:color w:val="auto"/>
        </w:rPr>
      </w:pPr>
      <w:r>
        <w:rPr>
          <w:rFonts w:hint="eastAsia"/>
          <w:color w:val="auto"/>
        </w:rPr>
        <w:t>合同公告</w:t>
      </w:r>
    </w:p>
    <w:p>
      <w:pPr>
        <w:pStyle w:val="14"/>
        <w:spacing w:line="360" w:lineRule="auto"/>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采购人应当自政府采购合同签订之日起2个工作日内，在四川政府采购网公告政府采购合同，但政府采购合同中涉及国家秘密、商业秘密的内容除外。</w:t>
      </w:r>
    </w:p>
    <w:p>
      <w:pPr>
        <w:pStyle w:val="6"/>
        <w:numPr>
          <w:ilvl w:val="2"/>
          <w:numId w:val="1"/>
        </w:numPr>
        <w:spacing w:after="0"/>
        <w:ind w:left="0" w:firstLine="0"/>
        <w:rPr>
          <w:rFonts w:hint="eastAsia"/>
          <w:color w:val="auto"/>
        </w:rPr>
      </w:pPr>
      <w:r>
        <w:rPr>
          <w:rFonts w:hint="eastAsia"/>
          <w:color w:val="auto"/>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w:t>
      </w:r>
      <w:r>
        <w:rPr>
          <w:rFonts w:hint="eastAsia" w:ascii="宋体" w:hAnsi="宋体"/>
          <w:sz w:val="28"/>
          <w:szCs w:val="28"/>
          <w:lang w:eastAsia="zh-CN"/>
        </w:rPr>
        <w:t>双流区</w:t>
      </w:r>
      <w:r>
        <w:rPr>
          <w:rFonts w:hint="eastAsia" w:ascii="宋体" w:hAnsi="宋体"/>
          <w:sz w:val="28"/>
          <w:szCs w:val="28"/>
        </w:rPr>
        <w:t>财政局的要求完成合同备案工作。</w:t>
      </w:r>
    </w:p>
    <w:p>
      <w:pPr>
        <w:pStyle w:val="6"/>
        <w:numPr>
          <w:ilvl w:val="2"/>
          <w:numId w:val="1"/>
        </w:numPr>
        <w:spacing w:after="0"/>
        <w:ind w:left="0" w:firstLine="0"/>
        <w:rPr>
          <w:rFonts w:hint="eastAsia"/>
          <w:color w:val="auto"/>
        </w:rPr>
      </w:pPr>
      <w:r>
        <w:rPr>
          <w:rFonts w:hint="eastAsia"/>
          <w:color w:val="auto"/>
        </w:rPr>
        <w:t>履行合同</w:t>
      </w:r>
      <w:bookmarkEnd w:id="120"/>
    </w:p>
    <w:p>
      <w:pPr>
        <w:numPr>
          <w:ilvl w:val="0"/>
          <w:numId w:val="23"/>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合同一经签订，双方应严格履行合同规定的义务。</w:t>
      </w:r>
    </w:p>
    <w:p>
      <w:pPr>
        <w:numPr>
          <w:ilvl w:val="0"/>
          <w:numId w:val="23"/>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在合同履行过程中，如发生合同纠纷，合同双方应按照《</w:t>
      </w:r>
      <w:r>
        <w:rPr>
          <w:rFonts w:hint="eastAsia" w:ascii="宋体" w:hAnsi="宋体"/>
          <w:sz w:val="28"/>
          <w:szCs w:val="28"/>
          <w:lang w:eastAsia="zh-CN"/>
        </w:rPr>
        <w:t>中华人民共和国民法典</w:t>
      </w:r>
      <w:r>
        <w:rPr>
          <w:rFonts w:hint="eastAsia" w:ascii="宋体" w:hAnsi="宋体"/>
          <w:sz w:val="28"/>
          <w:szCs w:val="28"/>
        </w:rPr>
        <w:t>》及合同条款的有关规定进行处理。</w:t>
      </w:r>
    </w:p>
    <w:p>
      <w:pPr>
        <w:pStyle w:val="6"/>
        <w:numPr>
          <w:ilvl w:val="2"/>
          <w:numId w:val="1"/>
        </w:numPr>
        <w:spacing w:after="0"/>
        <w:ind w:left="0" w:firstLine="0"/>
        <w:rPr>
          <w:rFonts w:hint="eastAsia"/>
          <w:color w:val="auto"/>
        </w:rPr>
      </w:pPr>
      <w:bookmarkStart w:id="123" w:name="_Toc217446070"/>
      <w:r>
        <w:rPr>
          <w:rFonts w:hint="eastAsia"/>
          <w:color w:val="auto"/>
        </w:rPr>
        <w:t>验收</w:t>
      </w:r>
    </w:p>
    <w:p>
      <w:pPr>
        <w:spacing w:line="360" w:lineRule="auto"/>
        <w:ind w:firstLine="560" w:firstLineChars="200"/>
        <w:rPr>
          <w:rFonts w:ascii="宋体" w:hAnsi="宋体"/>
          <w:sz w:val="28"/>
          <w:szCs w:val="28"/>
        </w:rPr>
      </w:pPr>
      <w:r>
        <w:rPr>
          <w:rFonts w:hint="eastAsia" w:ascii="宋体" w:hAnsi="宋体"/>
          <w:sz w:val="28"/>
          <w:szCs w:val="28"/>
        </w:rPr>
        <w:t>采购人严格按照国家相关法律法规的要求组织验收或考核。</w:t>
      </w:r>
    </w:p>
    <w:p>
      <w:pPr>
        <w:pStyle w:val="6"/>
        <w:numPr>
          <w:ilvl w:val="2"/>
          <w:numId w:val="1"/>
        </w:numPr>
        <w:spacing w:after="0"/>
        <w:ind w:left="0" w:firstLine="0"/>
        <w:rPr>
          <w:rFonts w:hint="eastAsia"/>
          <w:color w:val="auto"/>
        </w:rPr>
      </w:pPr>
      <w:r>
        <w:rPr>
          <w:rFonts w:hint="eastAsia"/>
          <w:color w:val="auto"/>
        </w:rPr>
        <w:t>资金支付</w:t>
      </w:r>
    </w:p>
    <w:p>
      <w:pPr>
        <w:pStyle w:val="42"/>
        <w:shd w:val="clear" w:color="auto" w:fill="FFFFFF"/>
        <w:spacing w:before="0" w:beforeAutospacing="0" w:after="0" w:afterAutospacing="0" w:line="360" w:lineRule="atLeast"/>
        <w:ind w:firstLine="570"/>
        <w:rPr>
          <w:rFonts w:hint="eastAsia" w:cs="Helvetica"/>
          <w:color w:val="auto"/>
          <w:sz w:val="28"/>
          <w:szCs w:val="28"/>
        </w:rPr>
      </w:pPr>
      <w:r>
        <w:rPr>
          <w:rFonts w:hint="eastAsia" w:cs="Helvetica"/>
          <w:color w:val="auto"/>
          <w:sz w:val="28"/>
          <w:szCs w:val="28"/>
        </w:rPr>
        <w:t>采购人按财政部门的相关规定及采购合同的约定进行支付。</w:t>
      </w:r>
    </w:p>
    <w:bookmarkEnd w:id="113"/>
    <w:bookmarkEnd w:id="114"/>
    <w:bookmarkEnd w:id="123"/>
    <w:p>
      <w:pPr>
        <w:pStyle w:val="5"/>
        <w:numPr>
          <w:ilvl w:val="1"/>
          <w:numId w:val="1"/>
        </w:numPr>
        <w:spacing w:before="0" w:after="0"/>
        <w:rPr>
          <w:rFonts w:hint="eastAsia" w:cs="宋体"/>
        </w:rPr>
      </w:pPr>
      <w:bookmarkStart w:id="124" w:name="_Toc217446074"/>
      <w:bookmarkStart w:id="125" w:name="_Toc13311"/>
      <w:bookmarkStart w:id="126" w:name="_Toc25911"/>
      <w:bookmarkStart w:id="127" w:name="_Toc183582243"/>
      <w:bookmarkStart w:id="128" w:name="_Toc183682380"/>
      <w:r>
        <w:rPr>
          <w:rFonts w:hint="eastAsia"/>
        </w:rPr>
        <w:t>投标纪律要求</w:t>
      </w:r>
      <w:bookmarkEnd w:id="124"/>
      <w:bookmarkEnd w:id="125"/>
      <w:bookmarkEnd w:id="126"/>
    </w:p>
    <w:p>
      <w:pPr>
        <w:pStyle w:val="6"/>
        <w:numPr>
          <w:ilvl w:val="2"/>
          <w:numId w:val="1"/>
        </w:numPr>
        <w:spacing w:after="0"/>
        <w:ind w:left="0" w:firstLine="0"/>
        <w:rPr>
          <w:rFonts w:hint="eastAsia"/>
          <w:color w:val="auto"/>
        </w:rPr>
      </w:pPr>
      <w:bookmarkStart w:id="129" w:name="_Toc217446075"/>
      <w:r>
        <w:rPr>
          <w:rFonts w:hint="eastAsia"/>
          <w:color w:val="auto"/>
        </w:rPr>
        <w:t>投标人不得具有的情形</w:t>
      </w:r>
      <w:bookmarkEnd w:id="129"/>
    </w:p>
    <w:p>
      <w:pPr>
        <w:pStyle w:val="14"/>
        <w:spacing w:line="360" w:lineRule="auto"/>
        <w:ind w:firstLine="567"/>
        <w:rPr>
          <w:rFonts w:hint="eastAsia" w:ascii="宋体" w:hAnsi="宋体"/>
          <w:sz w:val="28"/>
          <w:szCs w:val="28"/>
        </w:rPr>
      </w:pPr>
      <w:bookmarkStart w:id="130" w:name="_Toc314574786"/>
      <w:r>
        <w:rPr>
          <w:rFonts w:hint="eastAsia" w:ascii="宋体" w:hAnsi="宋体" w:eastAsia="宋体" w:cs="Times New Roman"/>
          <w:kern w:val="2"/>
          <w:sz w:val="28"/>
          <w:szCs w:val="28"/>
          <w:lang w:val="en-US" w:eastAsia="zh-CN" w:bidi="ar-SA"/>
        </w:rPr>
        <w:t>投标人参加投标不得有下列情形：</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区公资交易中心</w:t>
      </w:r>
      <w:r>
        <w:rPr>
          <w:rFonts w:hint="eastAsia" w:ascii="宋体" w:hAnsi="宋体"/>
          <w:sz w:val="28"/>
          <w:szCs w:val="28"/>
        </w:rPr>
        <w:t>、其他投标人恶意串通；</w:t>
      </w:r>
    </w:p>
    <w:p>
      <w:pPr>
        <w:numPr>
          <w:ilvl w:val="1"/>
          <w:numId w:val="24"/>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区公资交易中心</w:t>
      </w:r>
      <w:r>
        <w:rPr>
          <w:rFonts w:hint="eastAsia" w:ascii="宋体" w:hAnsi="宋体"/>
          <w:sz w:val="28"/>
          <w:szCs w:val="28"/>
        </w:rPr>
        <w:t>、评标委员会成员行贿或者提供其他不正当利益；</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区公资交易中心</w:t>
      </w:r>
      <w:r>
        <w:rPr>
          <w:rFonts w:hint="eastAsia" w:ascii="宋体" w:hAnsi="宋体"/>
          <w:sz w:val="28"/>
          <w:szCs w:val="28"/>
        </w:rPr>
        <w:t>进行协商谈判；</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4"/>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hint="eastAsia" w:ascii="宋体" w:hAnsi="宋体"/>
          <w:sz w:val="28"/>
          <w:szCs w:val="28"/>
        </w:rPr>
      </w:pPr>
      <w:r>
        <w:rPr>
          <w:rFonts w:hint="eastAsia" w:ascii="宋体" w:hAnsi="宋体"/>
          <w:sz w:val="28"/>
          <w:szCs w:val="28"/>
        </w:rPr>
        <w:t>十六、法律法规规定的其他情形。</w:t>
      </w:r>
    </w:p>
    <w:p>
      <w:pPr>
        <w:tabs>
          <w:tab w:val="left" w:pos="1134"/>
        </w:tabs>
        <w:spacing w:line="360" w:lineRule="auto"/>
        <w:ind w:firstLine="568" w:firstLineChars="202"/>
        <w:rPr>
          <w:rFonts w:hint="eastAsia" w:ascii="宋体" w:hAnsi="宋体"/>
          <w:b/>
          <w:sz w:val="28"/>
          <w:szCs w:val="28"/>
        </w:rPr>
      </w:pPr>
      <w:r>
        <w:rPr>
          <w:rFonts w:hint="eastAsia" w:ascii="宋体" w:hAnsi="宋体"/>
          <w:b/>
          <w:sz w:val="28"/>
          <w:szCs w:val="28"/>
        </w:rPr>
        <w:t>投标人有上述情形的，按照规定追究法律责任，具备第一至十四条情形之一的，同时将认定投标人投标无效或不确定其为中标人，或者取消中标资格或认定中标无效。</w:t>
      </w:r>
    </w:p>
    <w:p>
      <w:pPr>
        <w:pStyle w:val="2"/>
        <w:ind w:firstLine="562" w:firstLineChars="200"/>
        <w:rPr>
          <w:rFonts w:hint="eastAsia"/>
        </w:rPr>
      </w:pPr>
      <w:r>
        <w:rPr>
          <w:rFonts w:hint="eastAsia" w:ascii="宋体" w:hAnsi="宋体"/>
          <w:b/>
          <w:sz w:val="28"/>
          <w:szCs w:val="28"/>
        </w:rPr>
        <w:t>投标人信用信息查询截止时点：信用信息查询在资格审查阶段完成。</w:t>
      </w:r>
    </w:p>
    <w:p>
      <w:pPr>
        <w:pStyle w:val="6"/>
        <w:numPr>
          <w:ilvl w:val="2"/>
          <w:numId w:val="1"/>
        </w:numPr>
        <w:spacing w:after="0"/>
        <w:ind w:left="0" w:firstLine="0"/>
        <w:rPr>
          <w:rFonts w:hint="eastAsia"/>
          <w:color w:val="auto"/>
        </w:rPr>
      </w:pPr>
      <w:r>
        <w:rPr>
          <w:rFonts w:hint="eastAsia"/>
          <w:color w:val="auto"/>
        </w:rPr>
        <w:t>保密</w:t>
      </w:r>
      <w:bookmarkEnd w:id="130"/>
    </w:p>
    <w:p>
      <w:pPr>
        <w:pStyle w:val="14"/>
        <w:numPr>
          <w:ilvl w:val="0"/>
          <w:numId w:val="25"/>
        </w:numPr>
        <w:tabs>
          <w:tab w:val="left" w:pos="1134"/>
        </w:tabs>
        <w:spacing w:after="0" w:line="360" w:lineRule="auto"/>
        <w:ind w:left="0" w:firstLine="567"/>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不得透露有关在系统中成功提交《采购文件获取登记表》的潜在投标人的任何情况。</w:t>
      </w:r>
    </w:p>
    <w:p>
      <w:pPr>
        <w:pStyle w:val="14"/>
        <w:numPr>
          <w:ilvl w:val="0"/>
          <w:numId w:val="25"/>
        </w:numPr>
        <w:tabs>
          <w:tab w:val="left" w:pos="1134"/>
        </w:tabs>
        <w:spacing w:after="0" w:line="360" w:lineRule="auto"/>
        <w:ind w:left="0" w:firstLine="567"/>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有关投标文件的审查、澄清、评估和比较以及合同授予意向等情况都不得对外透露。</w:t>
      </w:r>
    </w:p>
    <w:p>
      <w:pPr>
        <w:pStyle w:val="6"/>
        <w:numPr>
          <w:ilvl w:val="2"/>
          <w:numId w:val="1"/>
        </w:numPr>
        <w:spacing w:after="0"/>
        <w:ind w:left="0" w:firstLine="0"/>
        <w:rPr>
          <w:rFonts w:hint="eastAsia"/>
          <w:color w:val="auto"/>
        </w:rPr>
      </w:pPr>
      <w:r>
        <w:rPr>
          <w:rFonts w:hint="eastAsia"/>
          <w:color w:val="auto"/>
        </w:rPr>
        <w:t>回避</w:t>
      </w:r>
    </w:p>
    <w:p>
      <w:pPr>
        <w:pStyle w:val="42"/>
        <w:shd w:val="clear" w:color="auto" w:fill="FFFFFF"/>
        <w:spacing w:before="0" w:beforeAutospacing="0" w:after="0" w:afterAutospacing="0"/>
        <w:ind w:firstLine="560" w:firstLineChars="200"/>
        <w:jc w:val="both"/>
        <w:rPr>
          <w:rFonts w:hint="eastAsia" w:cs="Helvetica"/>
          <w:color w:val="auto"/>
          <w:sz w:val="28"/>
          <w:szCs w:val="28"/>
        </w:rPr>
      </w:pPr>
      <w:r>
        <w:rPr>
          <w:rFonts w:hint="eastAsia" w:cs="Helvetica"/>
          <w:color w:val="auto"/>
          <w:sz w:val="28"/>
          <w:szCs w:val="28"/>
        </w:rPr>
        <w:t>在政府采购活动中，采购人员（</w:t>
      </w:r>
      <w:r>
        <w:rPr>
          <w:rFonts w:hint="eastAsia"/>
          <w:color w:val="auto"/>
          <w:sz w:val="28"/>
          <w:szCs w:val="28"/>
        </w:rPr>
        <w:t>在政府采购活动中需要依法回避的采购人员包括采购人内部负责采购项目的具体经办工作人员和直接分管采购项目的负责人，以及</w:t>
      </w:r>
      <w:r>
        <w:rPr>
          <w:rFonts w:hint="eastAsia" w:cs="Arial"/>
          <w:color w:val="auto"/>
          <w:sz w:val="28"/>
          <w:szCs w:val="28"/>
          <w:lang w:eastAsia="zh-CN"/>
        </w:rPr>
        <w:t>区公资交易中心</w:t>
      </w:r>
      <w:r>
        <w:rPr>
          <w:rFonts w:hint="eastAsia"/>
          <w:color w:val="auto"/>
          <w:sz w:val="28"/>
          <w:szCs w:val="28"/>
        </w:rPr>
        <w:t>负责采购项目的具体经办工作人员和直接分管采购活动的负责人</w:t>
      </w:r>
      <w:r>
        <w:rPr>
          <w:rFonts w:hint="eastAsia" w:cs="Helvetica"/>
          <w:color w:val="auto"/>
          <w:sz w:val="28"/>
          <w:szCs w:val="28"/>
        </w:rPr>
        <w:t>）及相关人员与供应商有下列利害关系之一的，应当回避：</w:t>
      </w:r>
    </w:p>
    <w:p>
      <w:pPr>
        <w:pStyle w:val="42"/>
        <w:shd w:val="clear" w:color="auto" w:fill="FFFFFF"/>
        <w:spacing w:before="0" w:beforeAutospacing="0" w:after="0" w:afterAutospacing="0"/>
        <w:ind w:firstLine="560" w:firstLineChars="200"/>
        <w:rPr>
          <w:rFonts w:hint="eastAsia" w:cs="Helvetica"/>
          <w:color w:val="auto"/>
          <w:sz w:val="28"/>
          <w:szCs w:val="28"/>
        </w:rPr>
      </w:pPr>
      <w:r>
        <w:rPr>
          <w:rFonts w:hint="eastAsia" w:cs="Helvetica"/>
          <w:color w:val="auto"/>
          <w:sz w:val="28"/>
          <w:szCs w:val="28"/>
        </w:rPr>
        <w:t>（一）参加采购活动前3年内与供应商存在劳动关系；</w:t>
      </w:r>
    </w:p>
    <w:p>
      <w:pPr>
        <w:pStyle w:val="42"/>
        <w:shd w:val="clear" w:color="auto" w:fill="FFFFFF"/>
        <w:spacing w:before="0" w:beforeAutospacing="0" w:after="0" w:afterAutospacing="0"/>
        <w:ind w:firstLine="560" w:firstLineChars="200"/>
        <w:rPr>
          <w:rFonts w:hint="eastAsia" w:cs="Helvetica"/>
          <w:color w:val="auto"/>
          <w:sz w:val="28"/>
          <w:szCs w:val="28"/>
        </w:rPr>
      </w:pPr>
      <w:r>
        <w:rPr>
          <w:rFonts w:hint="eastAsia" w:cs="Helvetica"/>
          <w:color w:val="auto"/>
          <w:sz w:val="28"/>
          <w:szCs w:val="28"/>
        </w:rPr>
        <w:t>（二）参加采购活动前3年内担任供应商的董事、监事；</w:t>
      </w:r>
    </w:p>
    <w:p>
      <w:pPr>
        <w:pStyle w:val="42"/>
        <w:shd w:val="clear" w:color="auto" w:fill="FFFFFF"/>
        <w:spacing w:before="0" w:beforeAutospacing="0" w:after="0" w:afterAutospacing="0"/>
        <w:ind w:firstLine="562" w:firstLineChars="201"/>
        <w:rPr>
          <w:rFonts w:hint="eastAsia" w:cs="Helvetica"/>
          <w:color w:val="auto"/>
          <w:sz w:val="28"/>
          <w:szCs w:val="28"/>
        </w:rPr>
      </w:pPr>
      <w:r>
        <w:rPr>
          <w:rFonts w:hint="eastAsia" w:cs="Helvetica"/>
          <w:color w:val="auto"/>
          <w:sz w:val="28"/>
          <w:szCs w:val="28"/>
        </w:rPr>
        <w:t>（三）参加采购活动前3年内是供应商的控股股东或者实际控制人；</w:t>
      </w:r>
    </w:p>
    <w:p>
      <w:pPr>
        <w:pStyle w:val="42"/>
        <w:shd w:val="clear" w:color="auto" w:fill="FFFFFF"/>
        <w:spacing w:before="0" w:beforeAutospacing="0" w:after="0" w:afterAutospacing="0"/>
        <w:ind w:firstLine="560" w:firstLineChars="200"/>
        <w:rPr>
          <w:rFonts w:hint="eastAsia" w:cs="Helvetica"/>
          <w:color w:val="auto"/>
          <w:sz w:val="28"/>
          <w:szCs w:val="28"/>
        </w:rPr>
      </w:pPr>
      <w:r>
        <w:rPr>
          <w:rFonts w:hint="eastAsia" w:cs="Helvetica"/>
          <w:color w:val="auto"/>
          <w:sz w:val="28"/>
          <w:szCs w:val="28"/>
        </w:rPr>
        <w:t>（四）与供应商的法定代表人或者负责人有夫妻、直系血亲、三代以内旁系血亲或者近姻亲关系；</w:t>
      </w:r>
    </w:p>
    <w:p>
      <w:pPr>
        <w:pStyle w:val="42"/>
        <w:shd w:val="clear" w:color="auto" w:fill="FFFFFF"/>
        <w:spacing w:before="0" w:beforeAutospacing="0" w:after="0" w:afterAutospacing="0"/>
        <w:ind w:firstLine="560" w:firstLineChars="200"/>
        <w:rPr>
          <w:rFonts w:hint="eastAsia" w:cs="Helvetica"/>
          <w:color w:val="auto"/>
          <w:sz w:val="28"/>
          <w:szCs w:val="28"/>
        </w:rPr>
      </w:pPr>
      <w:r>
        <w:rPr>
          <w:rFonts w:hint="eastAsia" w:cs="Helvetica"/>
          <w:color w:val="auto"/>
          <w:sz w:val="28"/>
          <w:szCs w:val="28"/>
        </w:rPr>
        <w:t>（五）与供应商有其他可能影响政府采购活动公平、公正进行的关系。</w:t>
      </w:r>
    </w:p>
    <w:p>
      <w:pPr>
        <w:pStyle w:val="42"/>
        <w:shd w:val="clear" w:color="auto" w:fill="FFFFFF"/>
        <w:spacing w:before="0" w:beforeAutospacing="0" w:after="0" w:afterAutospacing="0"/>
        <w:ind w:firstLine="560" w:firstLineChars="200"/>
        <w:rPr>
          <w:rFonts w:hint="eastAsia"/>
          <w:color w:val="auto"/>
          <w:sz w:val="28"/>
          <w:szCs w:val="28"/>
        </w:rPr>
      </w:pPr>
      <w:r>
        <w:rPr>
          <w:rFonts w:hint="eastAsia" w:cs="Helvetic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127"/>
    <w:bookmarkEnd w:id="128"/>
    <w:p>
      <w:pPr>
        <w:pStyle w:val="5"/>
        <w:numPr>
          <w:ilvl w:val="1"/>
          <w:numId w:val="1"/>
        </w:numPr>
        <w:spacing w:before="0" w:after="0"/>
        <w:ind w:left="993" w:hanging="993"/>
        <w:rPr>
          <w:rFonts w:hint="eastAsia"/>
        </w:rPr>
      </w:pPr>
      <w:bookmarkStart w:id="131" w:name="_Toc8167"/>
      <w:bookmarkStart w:id="132" w:name="_Toc217446078"/>
      <w:bookmarkStart w:id="133" w:name="_Toc446402234"/>
      <w:bookmarkStart w:id="134" w:name="_Toc7980"/>
      <w:bookmarkStart w:id="135" w:name="_Toc379536619"/>
      <w:bookmarkStart w:id="136" w:name="_Toc374971122"/>
      <w:r>
        <w:rPr>
          <w:rFonts w:hint="eastAsia"/>
        </w:rPr>
        <w:t>询问、质疑和投诉</w:t>
      </w:r>
      <w:bookmarkEnd w:id="131"/>
      <w:bookmarkEnd w:id="132"/>
      <w:bookmarkEnd w:id="133"/>
      <w:bookmarkEnd w:id="134"/>
      <w:bookmarkStart w:id="137" w:name="_Toc217446079"/>
    </w:p>
    <w:bookmarkEnd w:id="137"/>
    <w:p>
      <w:pPr>
        <w:numPr>
          <w:ilvl w:val="0"/>
          <w:numId w:val="26"/>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pStyle w:val="27"/>
        <w:numPr>
          <w:ilvl w:val="0"/>
          <w:numId w:val="0"/>
        </w:numPr>
        <w:tabs>
          <w:tab w:val="left" w:pos="1134"/>
        </w:tabs>
        <w:spacing w:after="0" w:line="360" w:lineRule="auto"/>
        <w:ind w:left="567" w:leftChars="0"/>
        <w:rPr>
          <w:rFonts w:ascii="宋体" w:hAnsi="宋体"/>
          <w:sz w:val="28"/>
          <w:szCs w:val="28"/>
        </w:rPr>
      </w:pPr>
      <w:r>
        <w:rPr>
          <w:rFonts w:hint="eastAsia" w:ascii="宋体" w:hAnsi="宋体"/>
          <w:sz w:val="28"/>
          <w:szCs w:val="28"/>
          <w:lang w:eastAsia="zh-CN"/>
        </w:rPr>
        <w:t>二、</w:t>
      </w:r>
      <w:r>
        <w:rPr>
          <w:rFonts w:hint="eastAsia" w:ascii="宋体" w:hAnsi="宋体"/>
          <w:sz w:val="28"/>
          <w:szCs w:val="28"/>
        </w:rPr>
        <w:t>供应商询问、质疑的对象</w:t>
      </w:r>
    </w:p>
    <w:p>
      <w:pPr>
        <w:pStyle w:val="42"/>
        <w:shd w:val="clear" w:color="auto" w:fill="FFFFFF"/>
        <w:spacing w:before="0" w:beforeAutospacing="0" w:after="0" w:afterAutospacing="0"/>
        <w:ind w:firstLine="560" w:firstLineChars="200"/>
        <w:rPr>
          <w:rFonts w:hint="eastAsia" w:cs="Helvetica"/>
          <w:color w:val="auto"/>
          <w:sz w:val="28"/>
          <w:szCs w:val="28"/>
        </w:rPr>
      </w:pPr>
      <w:r>
        <w:rPr>
          <w:rFonts w:hint="eastAsia" w:cs="Helvetica"/>
          <w:color w:val="auto"/>
          <w:sz w:val="28"/>
          <w:szCs w:val="28"/>
        </w:rPr>
        <w:t>（一）供应商对招标文件中供应商参加本次政府采购活动应当具备的条件，招标项目技术、服务、商务及其他要求，评标细则及标准，以及关于资格审查、中标结果提出询问或质疑的，应通过“政府采购云平台”向采购人提出；</w:t>
      </w:r>
    </w:p>
    <w:p>
      <w:pPr>
        <w:pStyle w:val="42"/>
        <w:shd w:val="clear" w:color="auto" w:fill="FFFFFF"/>
        <w:spacing w:before="0" w:beforeAutospacing="0" w:after="0" w:afterAutospacing="0"/>
        <w:ind w:firstLine="560" w:firstLineChars="200"/>
        <w:rPr>
          <w:rFonts w:cs="Helvetica"/>
          <w:color w:val="auto"/>
          <w:sz w:val="28"/>
          <w:szCs w:val="28"/>
        </w:rPr>
      </w:pPr>
      <w:r>
        <w:rPr>
          <w:rFonts w:hint="eastAsia" w:cs="Helvetica"/>
          <w:color w:val="auto"/>
          <w:sz w:val="28"/>
          <w:szCs w:val="28"/>
        </w:rPr>
        <w:t>(二)供应商对除上述招标文件中的其他内容，招标文件中采购程序、采购文件中投标人须知、采购合同格式、投标文件格式、以及开标过程程序提出询问或质疑的，应通过“政府采购云平台”向区公资交易中心提出。</w:t>
      </w:r>
    </w:p>
    <w:p>
      <w:pPr>
        <w:pStyle w:val="27"/>
        <w:numPr>
          <w:ilvl w:val="0"/>
          <w:numId w:val="0"/>
        </w:numPr>
        <w:tabs>
          <w:tab w:val="left" w:pos="1134"/>
        </w:tabs>
        <w:spacing w:after="0" w:line="360" w:lineRule="auto"/>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三、供应商提出的询问，应当明确询问事项，如以书面形式提出的，应由供应商签字并加盖公章。</w:t>
      </w:r>
    </w:p>
    <w:p>
      <w:pPr>
        <w:pStyle w:val="27"/>
        <w:numPr>
          <w:ilvl w:val="0"/>
          <w:numId w:val="0"/>
        </w:numPr>
        <w:tabs>
          <w:tab w:val="left" w:pos="1134"/>
        </w:tabs>
        <w:spacing w:after="0" w:line="360" w:lineRule="auto"/>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四、供应商应在法定质疑期内一次性提出针对同一采购程序环节的质疑。</w:t>
      </w:r>
    </w:p>
    <w:p>
      <w:pPr>
        <w:pStyle w:val="27"/>
        <w:numPr>
          <w:ilvl w:val="0"/>
          <w:numId w:val="0"/>
        </w:numPr>
        <w:tabs>
          <w:tab w:val="left" w:pos="1134"/>
        </w:tabs>
        <w:spacing w:after="0" w:line="360" w:lineRule="auto"/>
        <w:ind w:left="567" w:leftChars="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五、供应商提出质疑时应当准备的资料。</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（一）质疑书正本1份，副本2份（加盖公章，如果涉及更多的供应商须提供相应数量的副本）；</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（二）法定代表人授权委托书1份（加盖公章，委托代理人办理质疑事宜的需提供）；</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（三）营业执照或法人证书复印件1份（加盖公章）；</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（四）法定代表人身份证复印件1份（加盖公章）；</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（五）委托代理人身份证复印件1份（加盖公章，委托代理人办理质疑事宜的需提供）；</w:t>
      </w:r>
    </w:p>
    <w:p>
      <w:pPr>
        <w:pStyle w:val="42"/>
        <w:shd w:val="clear" w:color="auto" w:fill="FFFFFF"/>
        <w:spacing w:before="0" w:beforeAutospacing="0" w:after="0" w:afterAutospacing="0"/>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（六）针对质疑事项必要的证明材料（加盖公章）。</w:t>
      </w:r>
    </w:p>
    <w:p>
      <w:pPr>
        <w:pStyle w:val="27"/>
        <w:numPr>
          <w:ilvl w:val="0"/>
          <w:numId w:val="0"/>
        </w:numPr>
        <w:tabs>
          <w:tab w:val="left" w:pos="1134"/>
        </w:tabs>
        <w:spacing w:after="0" w:line="360" w:lineRule="auto"/>
        <w:ind w:firstLine="560" w:firstLineChars="200"/>
        <w:rPr>
          <w:rFonts w:hint="eastAsia" w:ascii="宋体" w:hAnsi="宋体" w:eastAsia="宋体" w:cs="Helvetica"/>
          <w:color w:val="auto"/>
          <w:kern w:val="0"/>
          <w:sz w:val="28"/>
          <w:szCs w:val="28"/>
          <w:lang w:val="en-US" w:eastAsia="zh-CN" w:bidi="ar-SA"/>
        </w:rPr>
      </w:pPr>
      <w:r>
        <w:rPr>
          <w:rFonts w:hint="eastAsia" w:ascii="宋体" w:hAnsi="宋体" w:eastAsia="宋体" w:cs="Helvetica"/>
          <w:color w:val="auto"/>
          <w:kern w:val="0"/>
          <w:sz w:val="28"/>
          <w:szCs w:val="28"/>
          <w:lang w:val="en-US" w:eastAsia="zh-CN" w:bidi="ar-SA"/>
        </w:rPr>
        <w:t>六、供应商对采购人、区公资交易中心的质疑答复不满意，或者采购人、区公资交易中心未在规定期限内作出答复的，供应商可以在答复期满后15个工作日内向同级财政部门提起投诉。</w:t>
      </w:r>
    </w:p>
    <w:p>
      <w:pPr>
        <w:pStyle w:val="5"/>
        <w:numPr>
          <w:ilvl w:val="1"/>
          <w:numId w:val="1"/>
        </w:numPr>
        <w:spacing w:before="0" w:after="0"/>
        <w:rPr>
          <w:rFonts w:hint="eastAsia"/>
          <w:sz w:val="36"/>
          <w:szCs w:val="36"/>
        </w:rPr>
      </w:pPr>
      <w:bookmarkStart w:id="138" w:name="_Toc18127"/>
      <w:bookmarkStart w:id="139" w:name="_Toc12230"/>
      <w:r>
        <w:rPr>
          <w:rFonts w:hint="eastAsia"/>
        </w:rPr>
        <w:t>信用融资</w:t>
      </w:r>
      <w:bookmarkEnd w:id="135"/>
      <w:bookmarkEnd w:id="136"/>
      <w:bookmarkEnd w:id="138"/>
      <w:bookmarkEnd w:id="139"/>
    </w:p>
    <w:p>
      <w:pPr>
        <w:pStyle w:val="5"/>
        <w:numPr>
          <w:ilvl w:val="1"/>
          <w:numId w:val="0"/>
        </w:numPr>
        <w:spacing w:before="0" w:after="0"/>
        <w:ind w:right="-337" w:firstLine="560" w:firstLineChars="200"/>
        <w:rPr>
          <w:rFonts w:hint="eastAsia" w:ascii="宋体" w:hAnsi="宋体" w:eastAsia="宋体" w:cs="Times New Roman"/>
          <w:b w:val="0"/>
          <w:bCs w:val="0"/>
          <w:kern w:val="2"/>
          <w:sz w:val="28"/>
          <w:szCs w:val="28"/>
          <w:lang w:val="en-US" w:eastAsia="zh-CN" w:bidi="ar-SA"/>
        </w:rPr>
      </w:pPr>
      <w:bookmarkStart w:id="140" w:name="_Toc21629"/>
      <w:bookmarkStart w:id="141" w:name="_Toc31839"/>
      <w:bookmarkStart w:id="142" w:name="_Toc21524"/>
      <w:bookmarkStart w:id="143" w:name="_Toc13269"/>
      <w:bookmarkStart w:id="144" w:name="_Toc24285"/>
      <w:bookmarkStart w:id="145" w:name="_Toc26253"/>
      <w:bookmarkStart w:id="146" w:name="_Toc8041"/>
      <w:bookmarkStart w:id="147" w:name="_Toc29382"/>
      <w:bookmarkStart w:id="148" w:name="_Toc11169"/>
      <w:bookmarkStart w:id="149" w:name="_Toc19206"/>
      <w:r>
        <w:rPr>
          <w:rFonts w:hint="eastAsia" w:ascii="宋体" w:hAnsi="宋体" w:eastAsia="宋体" w:cs="Times New Roman"/>
          <w:b w:val="0"/>
          <w:bCs w:val="0"/>
          <w:kern w:val="2"/>
          <w:sz w:val="28"/>
          <w:szCs w:val="28"/>
          <w:lang w:val="en-US" w:eastAsia="zh-CN" w:bidi="ar-SA"/>
        </w:rPr>
        <w:t>本项目属于政府采购信用融资业务项目，融资利率上浮比例不超过人民银行同期贷款基准利率30%，银行机构名单、联系方式见附件</w:t>
      </w:r>
      <w:r>
        <w:rPr>
          <w:rFonts w:hint="eastAsia"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en-US" w:eastAsia="zh-CN" w:bidi="ar-SA"/>
        </w:rPr>
        <w:t>。</w:t>
      </w:r>
      <w:bookmarkEnd w:id="140"/>
      <w:bookmarkEnd w:id="141"/>
      <w:bookmarkEnd w:id="142"/>
      <w:bookmarkEnd w:id="143"/>
      <w:bookmarkEnd w:id="144"/>
      <w:bookmarkEnd w:id="145"/>
      <w:bookmarkEnd w:id="146"/>
      <w:bookmarkEnd w:id="147"/>
      <w:bookmarkEnd w:id="148"/>
      <w:bookmarkEnd w:id="149"/>
    </w:p>
    <w:p>
      <w:pPr>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1"/>
        <w:rPr>
          <w:rFonts w:hint="eastAsia" w:ascii="宋体" w:hAnsi="宋体" w:eastAsia="宋体" w:cs="Times New Roman"/>
          <w:b w:val="0"/>
          <w:bCs w:val="0"/>
          <w:kern w:val="2"/>
          <w:sz w:val="28"/>
          <w:szCs w:val="28"/>
          <w:lang w:val="en-US" w:eastAsia="zh-CN" w:bidi="ar-SA"/>
        </w:rPr>
      </w:pPr>
    </w:p>
    <w:p>
      <w:pPr>
        <w:pStyle w:val="4"/>
        <w:numPr>
          <w:ilvl w:val="0"/>
          <w:numId w:val="1"/>
        </w:numPr>
        <w:ind w:left="283"/>
        <w:rPr>
          <w:rFonts w:hint="eastAsia"/>
        </w:rPr>
      </w:pPr>
      <w:bookmarkStart w:id="150" w:name="_Toc316292051"/>
      <w:bookmarkEnd w:id="150"/>
      <w:bookmarkStart w:id="151" w:name="_Toc315871049"/>
      <w:bookmarkEnd w:id="151"/>
      <w:bookmarkStart w:id="152" w:name="_Toc316292049"/>
      <w:bookmarkEnd w:id="152"/>
      <w:bookmarkStart w:id="153" w:name="_Toc315871047"/>
      <w:bookmarkEnd w:id="153"/>
      <w:bookmarkStart w:id="154" w:name="_Toc316292052"/>
      <w:bookmarkEnd w:id="154"/>
      <w:bookmarkStart w:id="155" w:name="_Toc315871048"/>
      <w:bookmarkEnd w:id="155"/>
      <w:bookmarkStart w:id="156" w:name="_Toc316292050"/>
      <w:bookmarkEnd w:id="156"/>
      <w:bookmarkStart w:id="157" w:name="_Toc315871046"/>
      <w:bookmarkEnd w:id="157"/>
      <w:bookmarkStart w:id="158" w:name="_Toc315871045"/>
      <w:bookmarkEnd w:id="158"/>
      <w:bookmarkStart w:id="159" w:name="_Toc315871050"/>
      <w:bookmarkEnd w:id="159"/>
      <w:bookmarkStart w:id="160" w:name="_Toc316292048"/>
      <w:bookmarkEnd w:id="160"/>
      <w:bookmarkStart w:id="161" w:name="_Toc18896"/>
      <w:bookmarkStart w:id="162" w:name="_Toc31570"/>
      <w:r>
        <w:rPr>
          <w:rFonts w:hint="eastAsia"/>
        </w:rPr>
        <w:t>投标文件格式</w:t>
      </w:r>
      <w:bookmarkEnd w:id="161"/>
      <w:bookmarkEnd w:id="162"/>
    </w:p>
    <w:p>
      <w:pPr>
        <w:pStyle w:val="5"/>
        <w:numPr>
          <w:ilvl w:val="1"/>
          <w:numId w:val="1"/>
        </w:numPr>
        <w:rPr>
          <w:rFonts w:hint="eastAsia"/>
        </w:rPr>
      </w:pPr>
      <w:bookmarkStart w:id="163" w:name="_Toc182629023"/>
      <w:bookmarkStart w:id="164" w:name="_Toc211218954"/>
      <w:bookmarkStart w:id="165" w:name="_Toc10565"/>
      <w:bookmarkStart w:id="166" w:name="_Toc294688711"/>
      <w:bookmarkStart w:id="167" w:name="_Toc5960"/>
      <w:bookmarkStart w:id="168" w:name="_Toc182759327"/>
      <w:bookmarkStart w:id="169" w:name="_Toc316462354"/>
      <w:bookmarkStart w:id="170" w:name="_Toc287367101"/>
      <w:bookmarkStart w:id="171" w:name="_Toc295978802"/>
      <w:bookmarkStart w:id="172" w:name="_Toc294701519"/>
      <w:r>
        <w:rPr>
          <w:rFonts w:hint="eastAsia"/>
        </w:rPr>
        <w:t>投标文件封面格式</w:t>
      </w:r>
      <w:bookmarkEnd w:id="163"/>
      <w:bookmarkEnd w:id="164"/>
      <w:bookmarkEnd w:id="165"/>
      <w:bookmarkEnd w:id="166"/>
      <w:bookmarkEnd w:id="167"/>
      <w:bookmarkEnd w:id="168"/>
      <w:bookmarkEnd w:id="169"/>
      <w:bookmarkEnd w:id="170"/>
      <w:bookmarkEnd w:id="171"/>
      <w:bookmarkEnd w:id="172"/>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jc w:val="right"/>
        <w:rPr>
          <w:rFonts w:hint="eastAsia" w:ascii="宋体" w:hAnsi="宋体"/>
          <w:sz w:val="24"/>
        </w:rPr>
      </w:pPr>
    </w:p>
    <w:p>
      <w:pPr>
        <w:spacing w:line="360" w:lineRule="auto"/>
        <w:jc w:val="center"/>
        <w:rPr>
          <w:rFonts w:hint="eastAsia" w:ascii="宋体" w:hAnsi="宋体"/>
          <w:spacing w:val="78"/>
          <w:sz w:val="120"/>
          <w:szCs w:val="120"/>
        </w:rPr>
      </w:pPr>
      <w:r>
        <w:rPr>
          <w:rFonts w:hint="eastAsia" w:ascii="宋体" w:hAnsi="宋体"/>
          <w:spacing w:val="78"/>
          <w:sz w:val="120"/>
          <w:szCs w:val="120"/>
        </w:rPr>
        <w:t>投标文件</w:t>
      </w:r>
    </w:p>
    <w:p>
      <w:pPr>
        <w:spacing w:line="360" w:lineRule="auto"/>
        <w:jc w:val="center"/>
        <w:rPr>
          <w:rFonts w:hint="eastAsia" w:ascii="宋体" w:hAnsi="宋体"/>
          <w:bCs/>
          <w:sz w:val="36"/>
        </w:rPr>
      </w:pPr>
    </w:p>
    <w:p>
      <w:pPr>
        <w:spacing w:line="360" w:lineRule="auto"/>
        <w:jc w:val="center"/>
        <w:rPr>
          <w:rFonts w:hint="eastAsia" w:ascii="宋体" w:hAnsi="宋体"/>
          <w:bCs/>
          <w:sz w:val="36"/>
        </w:rPr>
      </w:pPr>
    </w:p>
    <w:p>
      <w:pPr>
        <w:spacing w:line="360" w:lineRule="auto"/>
        <w:ind w:left="2318" w:leftChars="304" w:hanging="1680" w:hangingChars="523"/>
        <w:rPr>
          <w:rFonts w:hint="eastAsia" w:ascii="华文中宋" w:hAnsi="华文中宋" w:eastAsia="华文中宋"/>
          <w:b/>
          <w:bCs/>
          <w:sz w:val="32"/>
          <w:szCs w:val="32"/>
          <w:lang w:eastAsia="zh-CN"/>
        </w:rPr>
      </w:pPr>
      <w:r>
        <w:rPr>
          <w:rFonts w:hint="eastAsia" w:ascii="华文中宋" w:hAnsi="华文中宋" w:eastAsia="华文中宋"/>
          <w:b/>
          <w:bCs/>
          <w:sz w:val="32"/>
          <w:szCs w:val="32"/>
        </w:rPr>
        <w:t>项目名称：</w:t>
      </w:r>
      <w:r>
        <w:rPr>
          <w:rFonts w:hint="eastAsia" w:ascii="华文中宋" w:hAnsi="华文中宋" w:eastAsia="华文中宋"/>
          <w:b/>
          <w:bCs/>
          <w:sz w:val="32"/>
          <w:szCs w:val="32"/>
          <w:lang w:eastAsia="zh-CN"/>
        </w:rPr>
        <w:t>成都市双流区人民政府九江街道办事处环卫作业及绿化管护服务采购项目</w:t>
      </w:r>
    </w:p>
    <w:p>
      <w:pPr>
        <w:pStyle w:val="2"/>
        <w:ind w:firstLine="643" w:firstLineChars="200"/>
        <w:rPr>
          <w:rFonts w:hint="eastAsia"/>
        </w:rPr>
      </w:pPr>
      <w:r>
        <w:rPr>
          <w:rFonts w:hint="eastAsia" w:ascii="华文中宋" w:hAnsi="华文中宋" w:eastAsia="华文中宋"/>
          <w:b/>
          <w:bCs/>
          <w:sz w:val="32"/>
          <w:szCs w:val="32"/>
        </w:rPr>
        <w:t>项目编号：</w:t>
      </w:r>
      <w:r>
        <w:rPr>
          <w:rFonts w:hint="eastAsia" w:ascii="华文中宋" w:hAnsi="华文中宋" w:eastAsia="华文中宋"/>
          <w:b/>
          <w:bCs/>
          <w:sz w:val="32"/>
          <w:szCs w:val="32"/>
          <w:lang w:eastAsia="zh-CN"/>
        </w:rPr>
        <w:t xml:space="preserve">双流政采（2021）A0005号   </w:t>
      </w:r>
    </w:p>
    <w:p>
      <w:pPr>
        <w:pStyle w:val="3"/>
        <w:rPr>
          <w:rFonts w:hint="eastAsia"/>
        </w:rPr>
      </w:pPr>
    </w:p>
    <w:p>
      <w:pPr>
        <w:spacing w:line="360" w:lineRule="auto"/>
        <w:ind w:firstLine="643" w:firstLineChars="200"/>
        <w:rPr>
          <w:rFonts w:ascii="宋体" w:hAnsi="宋体"/>
          <w:b/>
          <w:bCs/>
          <w:sz w:val="32"/>
          <w:szCs w:val="32"/>
        </w:rPr>
      </w:pPr>
      <w:r>
        <w:rPr>
          <w:rFonts w:hint="eastAsia" w:ascii="宋体" w:hAnsi="宋体"/>
          <w:b/>
          <w:bCs/>
          <w:sz w:val="32"/>
          <w:szCs w:val="32"/>
        </w:rPr>
        <w:t>包件号：XXX</w:t>
      </w:r>
    </w:p>
    <w:p>
      <w:pPr>
        <w:pStyle w:val="3"/>
        <w:rPr>
          <w:rFonts w:hint="eastAsia"/>
        </w:rPr>
      </w:pPr>
    </w:p>
    <w:p>
      <w:pPr>
        <w:pStyle w:val="3"/>
        <w:rPr>
          <w:rFonts w:hint="eastAsia"/>
        </w:rPr>
      </w:pPr>
    </w:p>
    <w:p>
      <w:pPr>
        <w:pStyle w:val="3"/>
        <w:rPr>
          <w:rFonts w:hint="eastAsia"/>
        </w:rPr>
      </w:pPr>
    </w:p>
    <w:p>
      <w:pPr>
        <w:spacing w:line="360" w:lineRule="auto"/>
        <w:ind w:firstLine="630" w:firstLineChars="196"/>
        <w:jc w:val="left"/>
        <w:rPr>
          <w:rFonts w:ascii="宋体" w:hAnsi="宋体"/>
          <w:b/>
          <w:bCs/>
          <w:sz w:val="32"/>
          <w:szCs w:val="32"/>
          <w:u w:val="single"/>
        </w:rPr>
      </w:pPr>
      <w:r>
        <w:rPr>
          <w:rFonts w:hint="eastAsia" w:ascii="宋体" w:hAnsi="宋体"/>
          <w:b/>
          <w:bCs/>
          <w:sz w:val="32"/>
          <w:szCs w:val="32"/>
        </w:rPr>
        <w:t>投标人名称：</w:t>
      </w:r>
      <w:r>
        <w:rPr>
          <w:rFonts w:hint="eastAsia" w:ascii="宋体" w:hAnsi="宋体"/>
          <w:b/>
          <w:sz w:val="28"/>
          <w:szCs w:val="28"/>
          <w:u w:val="single"/>
        </w:rPr>
        <w:t>XXXXXXXXXX</w:t>
      </w:r>
    </w:p>
    <w:p>
      <w:pPr>
        <w:spacing w:line="360" w:lineRule="auto"/>
        <w:ind w:firstLine="569" w:firstLineChars="177"/>
        <w:rPr>
          <w:rFonts w:hint="eastAsia" w:ascii="宋体" w:hAnsi="宋体"/>
          <w:b/>
          <w:bCs/>
          <w:sz w:val="32"/>
          <w:szCs w:val="32"/>
        </w:rPr>
      </w:pPr>
      <w:r>
        <w:rPr>
          <w:rFonts w:hint="eastAsia" w:ascii="宋体" w:hAnsi="宋体"/>
          <w:b/>
          <w:bCs/>
          <w:sz w:val="32"/>
          <w:szCs w:val="32"/>
        </w:rPr>
        <w:t>日  期：XXXX年XX月XX日</w:t>
      </w:r>
    </w:p>
    <w:p>
      <w:pPr>
        <w:pStyle w:val="5"/>
        <w:numPr>
          <w:ilvl w:val="1"/>
          <w:numId w:val="1"/>
        </w:numPr>
        <w:spacing w:before="0" w:after="0"/>
        <w:rPr>
          <w:rFonts w:hint="eastAsia"/>
        </w:rPr>
      </w:pPr>
      <w:bookmarkStart w:id="173" w:name="_Toc20948"/>
      <w:bookmarkStart w:id="174" w:name="_Toc20251"/>
      <w:bookmarkStart w:id="175" w:name="_Toc217446082"/>
      <w:r>
        <w:rPr>
          <w:rFonts w:hint="eastAsia"/>
        </w:rPr>
        <w:t>资格性审查部分</w:t>
      </w:r>
      <w:bookmarkEnd w:id="173"/>
      <w:bookmarkEnd w:id="174"/>
    </w:p>
    <w:p>
      <w:pPr>
        <w:pStyle w:val="6"/>
        <w:numPr>
          <w:ilvl w:val="2"/>
          <w:numId w:val="1"/>
        </w:numPr>
        <w:spacing w:after="0"/>
        <w:ind w:left="567"/>
        <w:rPr>
          <w:rFonts w:hint="eastAsia"/>
          <w:color w:val="auto"/>
        </w:rPr>
      </w:pPr>
      <w:r>
        <w:rPr>
          <w:rFonts w:hint="eastAsia"/>
          <w:color w:val="auto"/>
        </w:rPr>
        <w:t>关于投标人资格</w:t>
      </w:r>
      <w:r>
        <w:rPr>
          <w:rFonts w:hint="eastAsia"/>
          <w:color w:val="auto"/>
          <w:lang w:eastAsia="zh-CN"/>
        </w:rPr>
        <w:t>声明</w:t>
      </w:r>
      <w:r>
        <w:rPr>
          <w:rFonts w:hint="eastAsia"/>
          <w:color w:val="auto"/>
        </w:rPr>
        <w:t>的函</w:t>
      </w:r>
    </w:p>
    <w:p>
      <w:pPr>
        <w:spacing w:line="360" w:lineRule="auto"/>
        <w:rPr>
          <w:rFonts w:hint="eastAsia" w:ascii="宋体" w:hAnsi="宋体" w:eastAsia="宋体"/>
          <w:sz w:val="28"/>
          <w:szCs w:val="28"/>
          <w:lang w:eastAsia="zh-CN"/>
        </w:rPr>
      </w:pPr>
      <w:bookmarkStart w:id="176" w:name="_Toc238581782"/>
      <w:bookmarkStart w:id="177" w:name="_Toc119295087"/>
      <w:bookmarkStart w:id="178" w:name="_Toc119203988"/>
      <w:bookmarkStart w:id="179" w:name="_Toc146903609"/>
      <w:bookmarkStart w:id="180" w:name="_Toc119296788"/>
      <w:bookmarkStart w:id="181" w:name="_Toc52184753"/>
      <w:r>
        <w:rPr>
          <w:rFonts w:hint="eastAsia" w:ascii="宋体" w:hAnsi="宋体"/>
          <w:sz w:val="28"/>
          <w:szCs w:val="28"/>
        </w:rPr>
        <w:t>致：</w:t>
      </w:r>
      <w:bookmarkEnd w:id="176"/>
      <w:r>
        <w:rPr>
          <w:rFonts w:hint="eastAsia" w:ascii="宋体" w:hAnsi="宋体"/>
          <w:sz w:val="28"/>
          <w:szCs w:val="28"/>
          <w:lang w:eastAsia="zh-CN"/>
        </w:rPr>
        <w:t>成都市双流区公共资源交易服务中心</w:t>
      </w:r>
    </w:p>
    <w:p>
      <w:pPr>
        <w:spacing w:line="360" w:lineRule="auto"/>
        <w:rPr>
          <w:rFonts w:hint="eastAsia" w:ascii="宋体" w:hAnsi="宋体"/>
          <w:sz w:val="28"/>
          <w:szCs w:val="28"/>
        </w:rPr>
      </w:pPr>
      <w:bookmarkStart w:id="182" w:name="_Toc238581783"/>
      <w:r>
        <w:rPr>
          <w:rFonts w:hint="eastAsia" w:ascii="宋体" w:hAnsi="宋体"/>
          <w:sz w:val="28"/>
          <w:szCs w:val="28"/>
        </w:rPr>
        <w:t>关于我方对</w:t>
      </w:r>
      <w:r>
        <w:rPr>
          <w:rFonts w:hint="eastAsia" w:ascii="宋体" w:hAnsi="宋体"/>
          <w:b/>
          <w:sz w:val="28"/>
          <w:szCs w:val="28"/>
          <w:u w:val="single"/>
          <w:lang w:eastAsia="zh-CN"/>
        </w:rPr>
        <w:t>成都市双流区人民政府九江街道办事处环卫作业及绿化管护服务采购项目</w:t>
      </w:r>
      <w:r>
        <w:rPr>
          <w:rFonts w:hint="eastAsia" w:ascii="宋体" w:hAnsi="宋体"/>
          <w:b/>
          <w:sz w:val="28"/>
          <w:szCs w:val="28"/>
          <w:u w:val="single"/>
        </w:rPr>
        <w:t>（项目编号：</w:t>
      </w:r>
      <w:r>
        <w:rPr>
          <w:rFonts w:hint="eastAsia" w:ascii="宋体" w:hAnsi="宋体"/>
          <w:b/>
          <w:sz w:val="28"/>
          <w:szCs w:val="28"/>
          <w:u w:val="single"/>
          <w:lang w:eastAsia="zh-CN"/>
        </w:rPr>
        <w:t xml:space="preserve">双流政采（2021）A0005号 </w:t>
      </w:r>
      <w:r>
        <w:rPr>
          <w:rFonts w:hint="eastAsia" w:ascii="宋体" w:hAnsi="宋体"/>
          <w:b/>
          <w:sz w:val="28"/>
          <w:szCs w:val="28"/>
          <w:u w:val="single"/>
        </w:rPr>
        <w:t>）</w:t>
      </w:r>
      <w:r>
        <w:rPr>
          <w:rFonts w:hint="eastAsia" w:ascii="宋体" w:hAnsi="宋体"/>
          <w:b/>
          <w:sz w:val="28"/>
          <w:szCs w:val="28"/>
          <w:u w:val="single"/>
          <w:lang w:eastAsia="zh-CN"/>
        </w:rPr>
        <w:t>包件号：XXX</w:t>
      </w:r>
      <w:r>
        <w:rPr>
          <w:rFonts w:hint="eastAsia" w:ascii="宋体" w:hAnsi="宋体"/>
          <w:sz w:val="28"/>
          <w:szCs w:val="28"/>
        </w:rPr>
        <w:t>的公开招标，提交的下列文件和说明是准确的和真实的。</w:t>
      </w:r>
      <w:bookmarkEnd w:id="182"/>
    </w:p>
    <w:p>
      <w:pPr>
        <w:widowControl/>
        <w:numPr>
          <w:ilvl w:val="2"/>
          <w:numId w:val="27"/>
        </w:numPr>
        <w:spacing w:after="0" w:line="360" w:lineRule="auto"/>
        <w:ind w:left="0" w:firstLine="560" w:firstLineChars="200"/>
        <w:rPr>
          <w:rFonts w:hint="eastAsia" w:ascii="宋体" w:hAnsi="宋体"/>
          <w:sz w:val="28"/>
          <w:szCs w:val="28"/>
        </w:rPr>
      </w:pPr>
      <w:bookmarkStart w:id="183" w:name="_Toc238581784"/>
      <w:r>
        <w:rPr>
          <w:rFonts w:hint="eastAsia" w:ascii="宋体" w:hAnsi="宋体"/>
          <w:sz w:val="28"/>
          <w:szCs w:val="28"/>
        </w:rPr>
        <w:t>投标人名称及概况：</w:t>
      </w:r>
      <w:bookmarkEnd w:id="177"/>
      <w:bookmarkEnd w:id="178"/>
      <w:bookmarkEnd w:id="179"/>
      <w:bookmarkEnd w:id="180"/>
      <w:bookmarkEnd w:id="181"/>
      <w:bookmarkEnd w:id="183"/>
    </w:p>
    <w:p>
      <w:pPr>
        <w:widowControl/>
        <w:numPr>
          <w:ilvl w:val="0"/>
          <w:numId w:val="28"/>
        </w:numPr>
        <w:spacing w:after="0" w:line="360" w:lineRule="auto"/>
        <w:ind w:left="0" w:firstLine="560" w:firstLineChars="200"/>
        <w:jc w:val="left"/>
        <w:rPr>
          <w:rFonts w:hint="eastAsia" w:ascii="宋体" w:hAnsi="宋体"/>
          <w:sz w:val="28"/>
          <w:szCs w:val="28"/>
        </w:rPr>
      </w:pPr>
      <w:r>
        <w:rPr>
          <w:rFonts w:hint="eastAsia" w:ascii="宋体" w:hAnsi="宋体"/>
          <w:sz w:val="28"/>
          <w:szCs w:val="28"/>
        </w:rPr>
        <w:t>投标人名称：XX</w:t>
      </w:r>
    </w:p>
    <w:p>
      <w:pPr>
        <w:widowControl/>
        <w:numPr>
          <w:ilvl w:val="0"/>
          <w:numId w:val="28"/>
        </w:numPr>
        <w:spacing w:after="0" w:line="360" w:lineRule="auto"/>
        <w:ind w:left="0" w:firstLine="560" w:firstLineChars="200"/>
        <w:jc w:val="left"/>
        <w:rPr>
          <w:rFonts w:hint="eastAsia" w:ascii="宋体" w:hAnsi="宋体"/>
          <w:sz w:val="28"/>
          <w:szCs w:val="28"/>
        </w:rPr>
      </w:pPr>
      <w:r>
        <w:rPr>
          <w:rFonts w:hint="eastAsia" w:ascii="宋体" w:hAnsi="宋体"/>
          <w:sz w:val="28"/>
          <w:szCs w:val="28"/>
        </w:rPr>
        <w:t>地址：XX       邮编：XX</w:t>
      </w:r>
    </w:p>
    <w:p>
      <w:pPr>
        <w:widowControl/>
        <w:spacing w:line="360" w:lineRule="auto"/>
        <w:ind w:left="1261"/>
        <w:jc w:val="left"/>
        <w:rPr>
          <w:rFonts w:hint="eastAsia" w:ascii="宋体" w:hAnsi="宋体"/>
          <w:sz w:val="28"/>
          <w:szCs w:val="28"/>
          <w:u w:val="single"/>
        </w:rPr>
      </w:pPr>
      <w:r>
        <w:rPr>
          <w:rFonts w:hint="eastAsia" w:ascii="宋体" w:hAnsi="宋体"/>
          <w:sz w:val="28"/>
          <w:szCs w:val="28"/>
        </w:rPr>
        <w:t>传真/电话： XX</w:t>
      </w:r>
    </w:p>
    <w:p>
      <w:pPr>
        <w:widowControl/>
        <w:numPr>
          <w:ilvl w:val="0"/>
          <w:numId w:val="28"/>
        </w:numPr>
        <w:spacing w:after="0" w:line="360" w:lineRule="auto"/>
        <w:ind w:left="0" w:firstLine="560" w:firstLineChars="200"/>
        <w:jc w:val="left"/>
        <w:rPr>
          <w:rFonts w:hint="eastAsia" w:ascii="宋体" w:hAnsi="宋体"/>
          <w:sz w:val="28"/>
          <w:szCs w:val="28"/>
        </w:rPr>
      </w:pPr>
      <w:r>
        <w:rPr>
          <w:rFonts w:hint="eastAsia" w:ascii="宋体" w:hAnsi="宋体"/>
          <w:sz w:val="28"/>
          <w:szCs w:val="28"/>
        </w:rPr>
        <w:t>成立日期或注册日期：XX</w:t>
      </w:r>
    </w:p>
    <w:p>
      <w:pPr>
        <w:widowControl/>
        <w:numPr>
          <w:ilvl w:val="0"/>
          <w:numId w:val="28"/>
        </w:numPr>
        <w:spacing w:after="0" w:line="360" w:lineRule="auto"/>
        <w:ind w:left="0" w:firstLine="560" w:firstLineChars="200"/>
        <w:jc w:val="left"/>
        <w:rPr>
          <w:rFonts w:hint="eastAsia" w:ascii="宋体" w:hAnsi="宋体"/>
          <w:kern w:val="0"/>
          <w:sz w:val="28"/>
          <w:szCs w:val="28"/>
          <w:u w:val="single"/>
        </w:rPr>
      </w:pPr>
      <w:r>
        <w:rPr>
          <w:rFonts w:hint="eastAsia" w:ascii="宋体" w:hAnsi="宋体"/>
          <w:sz w:val="28"/>
          <w:szCs w:val="28"/>
        </w:rPr>
        <w:t>法定代表人</w:t>
      </w:r>
      <w:r>
        <w:rPr>
          <w:rFonts w:hint="eastAsia" w:ascii="宋体" w:hAnsi="宋体"/>
          <w:kern w:val="0"/>
          <w:sz w:val="28"/>
          <w:szCs w:val="28"/>
        </w:rPr>
        <w:t>（负责人）姓名：XX</w:t>
      </w:r>
    </w:p>
    <w:p>
      <w:pPr>
        <w:widowControl/>
        <w:numPr>
          <w:ilvl w:val="2"/>
          <w:numId w:val="27"/>
        </w:numPr>
        <w:tabs>
          <w:tab w:val="left" w:pos="1276"/>
        </w:tabs>
        <w:spacing w:after="0" w:line="360" w:lineRule="auto"/>
        <w:ind w:left="0" w:firstLine="567"/>
        <w:rPr>
          <w:rFonts w:hint="eastAsia" w:ascii="宋体" w:hAnsi="宋体"/>
          <w:sz w:val="28"/>
          <w:szCs w:val="28"/>
        </w:rPr>
      </w:pPr>
      <w:r>
        <w:rPr>
          <w:rFonts w:hint="eastAsia" w:ascii="宋体" w:hAnsi="宋体"/>
          <w:sz w:val="28"/>
          <w:szCs w:val="28"/>
        </w:rPr>
        <w:t>开户银行名称：XX</w:t>
      </w:r>
    </w:p>
    <w:p>
      <w:pPr>
        <w:spacing w:line="360" w:lineRule="auto"/>
        <w:ind w:firstLine="1260" w:firstLineChars="450"/>
        <w:rPr>
          <w:rFonts w:hint="eastAsia" w:ascii="宋体" w:hAnsi="宋体"/>
          <w:sz w:val="28"/>
          <w:szCs w:val="28"/>
          <w:u w:val="single"/>
        </w:rPr>
      </w:pPr>
      <w:r>
        <w:rPr>
          <w:rFonts w:hint="eastAsia" w:ascii="宋体" w:hAnsi="宋体"/>
          <w:sz w:val="28"/>
          <w:szCs w:val="28"/>
        </w:rPr>
        <w:t>地址：XX</w:t>
      </w:r>
    </w:p>
    <w:p>
      <w:pPr>
        <w:spacing w:line="360" w:lineRule="auto"/>
        <w:ind w:firstLine="1260" w:firstLineChars="450"/>
        <w:rPr>
          <w:rFonts w:hint="eastAsia" w:ascii="宋体" w:hAnsi="宋体"/>
          <w:sz w:val="28"/>
          <w:szCs w:val="28"/>
        </w:rPr>
      </w:pPr>
      <w:r>
        <w:rPr>
          <w:rFonts w:hint="eastAsia" w:ascii="宋体" w:hAnsi="宋体"/>
          <w:sz w:val="28"/>
          <w:szCs w:val="28"/>
        </w:rPr>
        <w:t>账号：XX</w:t>
      </w:r>
    </w:p>
    <w:p>
      <w:pPr>
        <w:widowControl/>
        <w:tabs>
          <w:tab w:val="left" w:pos="2310"/>
        </w:tabs>
        <w:spacing w:line="360" w:lineRule="auto"/>
        <w:ind w:left="560"/>
        <w:rPr>
          <w:rFonts w:hint="eastAsia" w:ascii="宋体" w:hAnsi="宋体"/>
          <w:sz w:val="28"/>
          <w:szCs w:val="28"/>
        </w:rPr>
      </w:pPr>
      <w:r>
        <w:rPr>
          <w:rFonts w:hint="eastAsia" w:ascii="宋体" w:hAnsi="宋体"/>
          <w:sz w:val="28"/>
          <w:szCs w:val="28"/>
        </w:rPr>
        <w:tab/>
      </w:r>
    </w:p>
    <w:p>
      <w:pPr>
        <w:widowControl/>
        <w:spacing w:line="360" w:lineRule="auto"/>
        <w:rPr>
          <w:rFonts w:hint="eastAsia" w:ascii="宋体" w:hAnsi="宋体"/>
          <w:sz w:val="28"/>
          <w:szCs w:val="28"/>
        </w:rPr>
      </w:pPr>
    </w:p>
    <w:p>
      <w:pPr>
        <w:spacing w:line="360" w:lineRule="auto"/>
        <w:ind w:firstLine="560" w:firstLineChars="200"/>
        <w:jc w:val="cente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投标人名称：</w:t>
      </w:r>
      <w:r>
        <w:rPr>
          <w:rFonts w:hint="eastAsia" w:ascii="宋体" w:hAnsi="宋体"/>
          <w:sz w:val="28"/>
          <w:szCs w:val="28"/>
          <w:u w:val="single"/>
        </w:rPr>
        <w:t>XXXXXX</w:t>
      </w:r>
    </w:p>
    <w:p>
      <w:pPr>
        <w:spacing w:line="360" w:lineRule="auto"/>
        <w:ind w:left="283" w:leftChars="135" w:firstLine="280" w:firstLineChars="100"/>
        <w:jc w:val="right"/>
        <w:rPr>
          <w:rFonts w:hint="eastAsia" w:ascii="宋体" w:hAnsi="宋体"/>
          <w:sz w:val="28"/>
          <w:szCs w:val="28"/>
        </w:rPr>
      </w:pPr>
      <w:r>
        <w:rPr>
          <w:rFonts w:hint="eastAsia" w:ascii="宋体" w:hAnsi="宋体"/>
          <w:bCs/>
          <w:sz w:val="28"/>
          <w:szCs w:val="28"/>
        </w:rPr>
        <w:t>日    期：</w:t>
      </w:r>
      <w:r>
        <w:rPr>
          <w:rFonts w:hint="eastAsia" w:ascii="宋体" w:hAnsi="宋体"/>
          <w:bCs/>
          <w:sz w:val="28"/>
        </w:rPr>
        <w:t>XXXX年XX月XX日</w:t>
      </w:r>
    </w:p>
    <w:p>
      <w:pPr>
        <w:pStyle w:val="6"/>
        <w:numPr>
          <w:ilvl w:val="2"/>
          <w:numId w:val="1"/>
        </w:numPr>
        <w:spacing w:after="0"/>
        <w:ind w:left="567"/>
        <w:rPr>
          <w:rFonts w:hint="eastAsia"/>
          <w:color w:val="auto"/>
        </w:rPr>
      </w:pPr>
      <w:r>
        <w:rPr>
          <w:rFonts w:hint="eastAsia"/>
          <w:color w:val="auto"/>
          <w:lang w:eastAsia="zh-CN"/>
        </w:rPr>
        <w:t>声明</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成都市双流区公共资源交易服务中心</w:t>
      </w:r>
    </w:p>
    <w:p>
      <w:pPr>
        <w:spacing w:line="360" w:lineRule="auto"/>
        <w:ind w:firstLine="560" w:firstLineChars="200"/>
        <w:rPr>
          <w:rFonts w:hint="eastAsia"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成都市双流区人民政府九江街道办事处环卫作业及绿化管护服务采购项目</w:t>
      </w:r>
      <w:r>
        <w:rPr>
          <w:rFonts w:hint="eastAsia" w:ascii="宋体" w:hAnsi="宋体"/>
          <w:b/>
          <w:sz w:val="28"/>
          <w:szCs w:val="28"/>
          <w:u w:val="single"/>
        </w:rPr>
        <w:t>（项目编号：</w:t>
      </w:r>
      <w:r>
        <w:rPr>
          <w:rFonts w:hint="eastAsia" w:ascii="宋体" w:hAnsi="宋体"/>
          <w:b/>
          <w:sz w:val="28"/>
          <w:szCs w:val="28"/>
          <w:u w:val="single"/>
          <w:lang w:eastAsia="zh-CN"/>
        </w:rPr>
        <w:t xml:space="preserve">双流政采（2021）A0005号 </w:t>
      </w:r>
      <w:r>
        <w:rPr>
          <w:rFonts w:hint="eastAsia" w:ascii="宋体" w:hAnsi="宋体"/>
          <w:b/>
          <w:sz w:val="28"/>
          <w:szCs w:val="28"/>
          <w:u w:val="single"/>
        </w:rPr>
        <w:t>）</w:t>
      </w:r>
      <w:r>
        <w:rPr>
          <w:rFonts w:hint="eastAsia" w:ascii="宋体" w:hAnsi="宋体"/>
          <w:b/>
          <w:sz w:val="28"/>
          <w:szCs w:val="28"/>
          <w:u w:val="single"/>
          <w:lang w:eastAsia="zh-CN"/>
        </w:rPr>
        <w:t>包件号：XXX</w:t>
      </w:r>
      <w:r>
        <w:rPr>
          <w:rFonts w:hint="eastAsia" w:ascii="宋体" w:hAnsi="宋体"/>
          <w:sz w:val="28"/>
          <w:szCs w:val="28"/>
        </w:rPr>
        <w:t>的投标人，在此郑重</w:t>
      </w:r>
      <w:r>
        <w:rPr>
          <w:rFonts w:hint="eastAsia" w:ascii="宋体" w:hAnsi="宋体"/>
          <w:sz w:val="28"/>
          <w:szCs w:val="28"/>
          <w:lang w:eastAsia="zh-CN"/>
        </w:rPr>
        <w:t>声明</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keepNext w:val="0"/>
        <w:keepLines w:val="0"/>
        <w:pageBreakBefore w:val="0"/>
        <w:widowControl w:val="0"/>
        <w:tabs>
          <w:tab w:val="left" w:pos="1260"/>
        </w:tabs>
        <w:kinsoku/>
        <w:wordWrap/>
        <w:overflowPunct/>
        <w:topLinePunct w:val="0"/>
        <w:autoSpaceDE/>
        <w:autoSpaceDN/>
        <w:bidi w:val="0"/>
        <w:adjustRightInd/>
        <w:snapToGrid/>
        <w:spacing w:line="240" w:lineRule="atLeast"/>
        <w:ind w:firstLine="560" w:firstLineChars="200"/>
        <w:textAlignment w:val="auto"/>
        <w:rPr>
          <w:rFonts w:ascii="宋体" w:hAnsi="宋体"/>
          <w:sz w:val="28"/>
          <w:szCs w:val="28"/>
        </w:rPr>
      </w:pPr>
      <w:r>
        <w:rPr>
          <w:rFonts w:hint="eastAsia" w:ascii="宋体" w:hAnsi="宋体"/>
          <w:sz w:val="28"/>
          <w:szCs w:val="28"/>
        </w:rPr>
        <w:t>特此</w:t>
      </w:r>
      <w:r>
        <w:rPr>
          <w:rFonts w:hint="eastAsia" w:ascii="宋体" w:hAnsi="宋体"/>
          <w:sz w:val="28"/>
          <w:szCs w:val="28"/>
          <w:lang w:eastAsia="zh-CN"/>
        </w:rPr>
        <w:t>声明</w:t>
      </w:r>
      <w:r>
        <w:rPr>
          <w:rFonts w:hint="eastAsia" w:ascii="宋体" w:hAnsi="宋体"/>
          <w:sz w:val="28"/>
          <w:szCs w:val="28"/>
        </w:rPr>
        <w:t>。</w:t>
      </w:r>
    </w:p>
    <w:p>
      <w:pPr>
        <w:keepNext w:val="0"/>
        <w:keepLines w:val="0"/>
        <w:pageBreakBefore w:val="0"/>
        <w:widowControl w:val="0"/>
        <w:tabs>
          <w:tab w:val="left" w:pos="1260"/>
        </w:tabs>
        <w:kinsoku/>
        <w:wordWrap/>
        <w:overflowPunct/>
        <w:topLinePunct w:val="0"/>
        <w:autoSpaceDE/>
        <w:autoSpaceDN/>
        <w:bidi w:val="0"/>
        <w:adjustRightInd/>
        <w:snapToGrid/>
        <w:spacing w:line="240" w:lineRule="atLeast"/>
        <w:ind w:firstLine="560" w:firstLineChars="200"/>
        <w:textAlignment w:val="auto"/>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keepNext w:val="0"/>
        <w:keepLines w:val="0"/>
        <w:pageBreakBefore w:val="0"/>
        <w:widowControl w:val="0"/>
        <w:tabs>
          <w:tab w:val="left" w:pos="1260"/>
        </w:tabs>
        <w:kinsoku/>
        <w:wordWrap/>
        <w:overflowPunct/>
        <w:topLinePunct w:val="0"/>
        <w:autoSpaceDE/>
        <w:autoSpaceDN/>
        <w:bidi w:val="0"/>
        <w:adjustRightInd/>
        <w:snapToGrid/>
        <w:spacing w:line="240" w:lineRule="atLeast"/>
        <w:ind w:firstLine="560" w:firstLineChars="200"/>
        <w:textAlignment w:val="auto"/>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说明：</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1.对</w:t>
      </w:r>
      <w:r>
        <w:rPr>
          <w:rFonts w:hint="eastAsia" w:ascii="宋体" w:hAnsi="宋体"/>
          <w:sz w:val="28"/>
          <w:szCs w:val="28"/>
          <w:lang w:eastAsia="zh-CN"/>
        </w:rPr>
        <w:t>声明</w:t>
      </w:r>
      <w:r>
        <w:rPr>
          <w:rFonts w:hint="eastAsia" w:ascii="宋体" w:hAnsi="宋体"/>
          <w:sz w:val="28"/>
          <w:szCs w:val="28"/>
        </w:rPr>
        <w:t>中第一条的说明：如投标人在参加政府采购活动前三年内，在经营活动中有重大违法记录的，应填写“有”，投标人将被认定投标无效或被取消中标资格；</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2. 对</w:t>
      </w:r>
      <w:r>
        <w:rPr>
          <w:rFonts w:hint="eastAsia" w:ascii="宋体" w:hAnsi="宋体"/>
          <w:sz w:val="28"/>
          <w:szCs w:val="28"/>
          <w:lang w:eastAsia="zh-CN"/>
        </w:rPr>
        <w:t>声明</w:t>
      </w:r>
      <w:r>
        <w:rPr>
          <w:rFonts w:hint="eastAsia" w:ascii="宋体" w:hAnsi="宋体"/>
          <w:sz w:val="28"/>
          <w:szCs w:val="28"/>
        </w:rPr>
        <w:t>中第三条的说明：单位负责人为同一人或者存在直接控股、管理关系的不同供应商，不得参加同一</w:t>
      </w:r>
      <w:r>
        <w:rPr>
          <w:rFonts w:hint="eastAsia" w:ascii="宋体" w:hAnsi="宋体"/>
          <w:sz w:val="28"/>
          <w:szCs w:val="28"/>
          <w:lang w:eastAsia="zh-CN"/>
        </w:rPr>
        <w:t>包件</w:t>
      </w:r>
      <w:r>
        <w:rPr>
          <w:rFonts w:hint="eastAsia" w:ascii="宋体" w:hAnsi="宋体"/>
          <w:sz w:val="28"/>
          <w:szCs w:val="28"/>
        </w:rPr>
        <w:t>合同项下的政府采购活动；</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3.对</w:t>
      </w:r>
      <w:r>
        <w:rPr>
          <w:rFonts w:hint="eastAsia" w:ascii="宋体" w:hAnsi="宋体"/>
          <w:sz w:val="28"/>
          <w:szCs w:val="28"/>
          <w:lang w:eastAsia="zh-CN"/>
        </w:rPr>
        <w:t>声明</w:t>
      </w:r>
      <w:r>
        <w:rPr>
          <w:rFonts w:hint="eastAsia" w:ascii="宋体" w:hAnsi="宋体"/>
          <w:sz w:val="28"/>
          <w:szCs w:val="28"/>
        </w:rPr>
        <w:t>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4.对</w:t>
      </w:r>
      <w:r>
        <w:rPr>
          <w:rFonts w:hint="eastAsia" w:ascii="宋体" w:hAnsi="宋体"/>
          <w:sz w:val="28"/>
          <w:szCs w:val="28"/>
          <w:lang w:eastAsia="zh-CN"/>
        </w:rPr>
        <w:t>声明</w:t>
      </w:r>
      <w:r>
        <w:rPr>
          <w:rFonts w:hint="eastAsia" w:ascii="宋体" w:hAnsi="宋体"/>
          <w:sz w:val="28"/>
          <w:szCs w:val="28"/>
        </w:rPr>
        <w:t>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5.对</w:t>
      </w:r>
      <w:r>
        <w:rPr>
          <w:rFonts w:hint="eastAsia" w:ascii="宋体" w:hAnsi="宋体"/>
          <w:sz w:val="28"/>
          <w:szCs w:val="28"/>
          <w:lang w:eastAsia="zh-CN"/>
        </w:rPr>
        <w:t>声明</w:t>
      </w:r>
      <w:r>
        <w:rPr>
          <w:rFonts w:hint="eastAsia" w:ascii="宋体" w:hAnsi="宋体"/>
          <w:sz w:val="28"/>
          <w:szCs w:val="28"/>
        </w:rPr>
        <w:t>中第六条的说明：如投标人处于被行政部门禁止参加政府采购活动期限内的，该</w:t>
      </w:r>
      <w:r>
        <w:rPr>
          <w:rFonts w:hint="eastAsia" w:ascii="宋体" w:hAnsi="宋体"/>
          <w:sz w:val="28"/>
          <w:szCs w:val="28"/>
          <w:lang w:eastAsia="zh-CN"/>
        </w:rPr>
        <w:t>声明</w:t>
      </w:r>
      <w:r>
        <w:rPr>
          <w:rFonts w:hint="eastAsia" w:ascii="宋体" w:hAnsi="宋体"/>
          <w:sz w:val="28"/>
          <w:szCs w:val="28"/>
        </w:rPr>
        <w:t>填“处于”，投标人将被认定投标无效或被取消中标资格。</w:t>
      </w:r>
    </w:p>
    <w:p>
      <w:pPr>
        <w:pStyle w:val="41"/>
        <w:ind w:left="0" w:leftChars="0" w:firstLine="0" w:firstLineChars="0"/>
      </w:pPr>
    </w:p>
    <w:p>
      <w:pPr>
        <w:pStyle w:val="6"/>
        <w:numPr>
          <w:ilvl w:val="2"/>
          <w:numId w:val="1"/>
        </w:numPr>
        <w:spacing w:after="0"/>
        <w:ind w:left="0" w:firstLine="0"/>
        <w:rPr>
          <w:rFonts w:hint="eastAsia"/>
          <w:sz w:val="28"/>
          <w:szCs w:val="28"/>
        </w:rPr>
      </w:pPr>
      <w:r>
        <w:rPr>
          <w:rFonts w:hint="eastAsia"/>
          <w:color w:val="auto"/>
        </w:rPr>
        <w:t>投标人应提交的相关资格证明材料</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sz w:val="28"/>
          <w:szCs w:val="28"/>
        </w:rPr>
      </w:pPr>
      <w:r>
        <w:rPr>
          <w:rFonts w:hint="eastAsia"/>
          <w:sz w:val="28"/>
          <w:szCs w:val="28"/>
        </w:rPr>
        <w:t>投标人按招标文件要求，应提供以下相关资格证明材料：</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400" w:lineRule="atLeast"/>
        <w:ind w:firstLine="560" w:firstLineChars="200"/>
        <w:textAlignment w:val="auto"/>
        <w:rPr>
          <w:rFonts w:ascii="宋体" w:hAnsi="宋体"/>
          <w:kern w:val="0"/>
          <w:sz w:val="28"/>
          <w:szCs w:val="28"/>
        </w:rPr>
      </w:pPr>
      <w:r>
        <w:rPr>
          <w:rFonts w:hint="eastAsia" w:ascii="宋体" w:hAnsi="宋体"/>
          <w:kern w:val="0"/>
          <w:sz w:val="28"/>
          <w:szCs w:val="28"/>
          <w:lang w:eastAsia="zh-CN"/>
        </w:rPr>
        <w:t>一、</w:t>
      </w:r>
      <w:r>
        <w:rPr>
          <w:rFonts w:hint="eastAsia" w:ascii="宋体" w:hAnsi="宋体"/>
          <w:kern w:val="0"/>
          <w:sz w:val="28"/>
          <w:szCs w:val="28"/>
        </w:rPr>
        <w:t>营业执照复印件（正本或副本）或法人证书复印件（正本或副本）；</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400" w:lineRule="atLeast"/>
        <w:ind w:firstLine="560" w:firstLineChars="200"/>
        <w:textAlignment w:val="auto"/>
        <w:rPr>
          <w:rFonts w:hint="eastAsia" w:ascii="宋体" w:hAnsi="宋体" w:eastAsia="宋体" w:cs="Times New Roman"/>
          <w:kern w:val="0"/>
          <w:sz w:val="28"/>
          <w:szCs w:val="28"/>
          <w:lang w:val="en-US" w:eastAsia="zh-CN" w:bidi="ar-SA"/>
        </w:rPr>
      </w:pPr>
      <w:r>
        <w:rPr>
          <w:rFonts w:hint="eastAsia" w:ascii="宋体" w:hAnsi="宋体"/>
          <w:kern w:val="0"/>
          <w:sz w:val="28"/>
          <w:szCs w:val="28"/>
          <w:lang w:eastAsia="zh-CN"/>
        </w:rPr>
        <w:t>二</w:t>
      </w:r>
      <w:r>
        <w:rPr>
          <w:rFonts w:hint="eastAsia" w:ascii="宋体" w:hAnsi="宋体" w:eastAsia="宋体" w:cs="Times New Roman"/>
          <w:kern w:val="0"/>
          <w:sz w:val="28"/>
          <w:szCs w:val="28"/>
          <w:lang w:val="en-US" w:eastAsia="zh-CN" w:bidi="ar-SA"/>
        </w:rPr>
        <w:t>、2020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p>
      <w:pPr>
        <w:pStyle w:val="197"/>
        <w:keepNext w:val="0"/>
        <w:keepLines w:val="0"/>
        <w:pageBreakBefore w:val="0"/>
        <w:widowControl w:val="0"/>
        <w:numPr>
          <w:ilvl w:val="0"/>
          <w:numId w:val="0"/>
        </w:numPr>
        <w:kinsoku/>
        <w:wordWrap/>
        <w:overflowPunct/>
        <w:topLinePunct w:val="0"/>
        <w:autoSpaceDE/>
        <w:autoSpaceDN/>
        <w:bidi w:val="0"/>
        <w:adjustRightInd/>
        <w:snapToGrid/>
        <w:spacing w:after="200" w:line="400" w:lineRule="atLeast"/>
        <w:ind w:firstLine="560" w:firstLineChars="200"/>
        <w:textAlignment w:val="auto"/>
        <w:rPr>
          <w:rFonts w:hint="eastAsia" w:ascii="宋体" w:hAnsi="宋体" w:eastAsia="宋体" w:cs="Times New Roman"/>
          <w:kern w:val="0"/>
          <w:sz w:val="28"/>
          <w:szCs w:val="28"/>
          <w:lang w:val="en-US" w:eastAsia="zh-CN" w:bidi="ar-SA"/>
        </w:rPr>
      </w:pPr>
      <w:r>
        <w:rPr>
          <w:rFonts w:hint="eastAsia" w:ascii="宋体" w:hAnsi="宋体" w:eastAsia="宋体" w:cs="Times New Roman"/>
          <w:kern w:val="0"/>
          <w:sz w:val="28"/>
          <w:szCs w:val="28"/>
          <w:lang w:val="en-US" w:eastAsia="zh-CN" w:bidi="ar-SA"/>
        </w:rPr>
        <w:t>三、投标人缴纳2021年任意时段的税收的银行电子回单或者行政部门出具的纳税证明或完税证明复印件或承诺函（格式自拟）复印件（依法免税的供应商，应提供相应文件证明其依法免税）；</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400" w:lineRule="atLeast"/>
        <w:ind w:firstLine="560" w:firstLineChars="200"/>
        <w:textAlignment w:val="auto"/>
        <w:rPr>
          <w:rFonts w:hint="eastAsia" w:ascii="宋体" w:hAnsi="宋体"/>
          <w:kern w:val="0"/>
          <w:sz w:val="28"/>
          <w:szCs w:val="28"/>
        </w:rPr>
      </w:pPr>
      <w:r>
        <w:rPr>
          <w:rFonts w:hint="eastAsia" w:ascii="宋体" w:hAnsi="宋体"/>
          <w:kern w:val="0"/>
          <w:sz w:val="28"/>
          <w:szCs w:val="28"/>
          <w:lang w:eastAsia="zh-CN"/>
        </w:rPr>
        <w:t>四、</w:t>
      </w:r>
      <w:r>
        <w:rPr>
          <w:rFonts w:hint="eastAsia" w:ascii="宋体" w:hAnsi="宋体"/>
          <w:kern w:val="0"/>
          <w:sz w:val="28"/>
          <w:szCs w:val="28"/>
        </w:rPr>
        <w:t>采购人对投标人履行合同所必须的设备和专业技术能力无其他特殊要求，投标人具有有效的营业执照或法人证书即可，可不提供其他证明材料；</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400" w:lineRule="atLeast"/>
        <w:ind w:firstLine="560" w:firstLineChars="200"/>
        <w:textAlignment w:val="auto"/>
        <w:rPr>
          <w:rFonts w:hint="eastAsia" w:ascii="宋体" w:hAnsi="宋体"/>
          <w:kern w:val="0"/>
          <w:sz w:val="28"/>
          <w:szCs w:val="28"/>
        </w:rPr>
      </w:pPr>
      <w:r>
        <w:rPr>
          <w:rFonts w:hint="eastAsia" w:ascii="宋体" w:hAnsi="宋体"/>
          <w:kern w:val="0"/>
          <w:sz w:val="28"/>
          <w:szCs w:val="28"/>
          <w:lang w:eastAsia="zh-CN"/>
        </w:rPr>
        <w:t>五、</w:t>
      </w:r>
      <w:r>
        <w:rPr>
          <w:rFonts w:hint="eastAsia" w:ascii="宋体" w:hAnsi="宋体"/>
          <w:kern w:val="0"/>
          <w:sz w:val="28"/>
          <w:szCs w:val="28"/>
        </w:rPr>
        <w:t>投标</w:t>
      </w:r>
      <w:r>
        <w:rPr>
          <w:rFonts w:hint="eastAsia" w:ascii="宋体" w:hAnsi="宋体"/>
          <w:b w:val="0"/>
          <w:bCs w:val="0"/>
          <w:kern w:val="0"/>
          <w:sz w:val="28"/>
          <w:szCs w:val="28"/>
        </w:rPr>
        <w:t>人缴纳2021年任意时段的社保的银行电子回单或行政部门出具的社保缴纳证明材料复印件</w:t>
      </w:r>
      <w:r>
        <w:rPr>
          <w:rFonts w:hint="eastAsia" w:ascii="宋体" w:hAnsi="宋体"/>
          <w:b w:val="0"/>
          <w:bCs w:val="0"/>
          <w:kern w:val="0"/>
          <w:sz w:val="28"/>
          <w:szCs w:val="28"/>
          <w:lang w:eastAsia="zh-CN"/>
        </w:rPr>
        <w:t>或承诺函（格式自拟）复印件</w:t>
      </w:r>
      <w:r>
        <w:rPr>
          <w:rFonts w:hint="eastAsia" w:ascii="宋体" w:hAnsi="宋体" w:eastAsia="宋体"/>
          <w:b w:val="0"/>
          <w:bCs w:val="0"/>
          <w:kern w:val="0"/>
          <w:sz w:val="28"/>
          <w:szCs w:val="28"/>
          <w:lang w:val="en-US" w:eastAsia="zh-CN"/>
        </w:rPr>
        <w:t>（依法不需要缴纳社会保障资金的供应商，应提供相应文件证明其依法不需要缴纳社会保障资金）</w:t>
      </w:r>
      <w:r>
        <w:rPr>
          <w:rFonts w:hint="eastAsia" w:ascii="宋体" w:hAnsi="宋体"/>
          <w:b w:val="0"/>
          <w:bCs w:val="0"/>
          <w:kern w:val="0"/>
          <w:sz w:val="28"/>
          <w:szCs w:val="28"/>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400" w:lineRule="atLeast"/>
        <w:ind w:firstLine="560" w:firstLineChars="200"/>
        <w:textAlignment w:val="auto"/>
        <w:rPr>
          <w:rFonts w:hint="eastAsia" w:eastAsia="宋体"/>
          <w:lang w:val="en-US" w:eastAsia="zh-CN"/>
        </w:rPr>
      </w:pPr>
      <w:r>
        <w:rPr>
          <w:rFonts w:hint="eastAsia" w:ascii="宋体" w:hAnsi="宋体"/>
          <w:kern w:val="0"/>
          <w:sz w:val="28"/>
          <w:szCs w:val="28"/>
          <w:lang w:eastAsia="zh-CN"/>
        </w:rPr>
        <w:t>六、</w:t>
      </w:r>
      <w:r>
        <w:rPr>
          <w:rFonts w:hint="eastAsia" w:ascii="宋体" w:hAnsi="宋体"/>
          <w:kern w:val="0"/>
          <w:sz w:val="28"/>
          <w:szCs w:val="28"/>
        </w:rPr>
        <w:t>采购人对法律、行政法规规定的其他条件无其他特殊要求，投标人具有有效的营业执照或法人证书即可，可不提供其他证明材料</w:t>
      </w:r>
      <w:r>
        <w:rPr>
          <w:rFonts w:hint="eastAsia" w:ascii="宋体" w:hAnsi="宋体"/>
          <w:kern w:val="0"/>
          <w:sz w:val="28"/>
          <w:szCs w:val="28"/>
          <w:lang w:eastAsia="zh-CN"/>
        </w:rPr>
        <w:t>。</w:t>
      </w:r>
    </w:p>
    <w:p>
      <w:pPr>
        <w:tabs>
          <w:tab w:val="left" w:pos="1134"/>
        </w:tabs>
        <w:spacing w:line="360" w:lineRule="auto"/>
        <w:rPr>
          <w:rFonts w:hint="eastAsia" w:ascii="宋体" w:hAnsi="宋体"/>
          <w:kern w:val="0"/>
          <w:sz w:val="28"/>
          <w:szCs w:val="28"/>
        </w:rPr>
      </w:pPr>
    </w:p>
    <w:p>
      <w:pPr>
        <w:pStyle w:val="5"/>
        <w:numPr>
          <w:ilvl w:val="1"/>
          <w:numId w:val="1"/>
        </w:numPr>
        <w:spacing w:before="0" w:after="0"/>
        <w:rPr>
          <w:rFonts w:hint="eastAsia"/>
        </w:rPr>
      </w:pPr>
      <w:bookmarkStart w:id="184" w:name="_Toc494464914"/>
      <w:bookmarkStart w:id="185" w:name="_Toc31531"/>
      <w:bookmarkStart w:id="186" w:name="_Toc3988"/>
      <w:r>
        <w:rPr>
          <w:rFonts w:hint="eastAsia"/>
        </w:rPr>
        <w:t>技术、服务、商务及其他要求响应部分</w:t>
      </w:r>
      <w:bookmarkEnd w:id="184"/>
      <w:bookmarkEnd w:id="185"/>
      <w:bookmarkEnd w:id="186"/>
    </w:p>
    <w:p>
      <w:pPr>
        <w:pStyle w:val="6"/>
        <w:numPr>
          <w:ilvl w:val="2"/>
          <w:numId w:val="1"/>
        </w:numPr>
        <w:spacing w:after="0"/>
        <w:ind w:left="567"/>
        <w:rPr>
          <w:rFonts w:hint="eastAsia"/>
          <w:color w:val="auto"/>
        </w:rPr>
      </w:pPr>
      <w:r>
        <w:rPr>
          <w:rFonts w:hint="eastAsia"/>
          <w:color w:val="auto"/>
        </w:rPr>
        <w:t>投标函</w:t>
      </w:r>
      <w:bookmarkEnd w:id="175"/>
    </w:p>
    <w:p>
      <w:pPr>
        <w:pStyle w:val="27"/>
        <w:spacing w:after="0" w:line="360" w:lineRule="auto"/>
        <w:ind w:left="0" w:leftChars="0"/>
        <w:rPr>
          <w:rFonts w:hint="eastAsia" w:ascii="宋体" w:hAnsi="宋体"/>
          <w:bCs/>
          <w:sz w:val="28"/>
          <w:szCs w:val="28"/>
        </w:rPr>
      </w:pPr>
      <w:r>
        <w:rPr>
          <w:rFonts w:hint="eastAsia" w:ascii="宋体" w:hAnsi="宋体"/>
          <w:bCs/>
          <w:sz w:val="28"/>
          <w:szCs w:val="28"/>
          <w:lang w:eastAsia="zh-CN"/>
        </w:rPr>
        <w:t>成都市双流区公共资源交易服务中心</w:t>
      </w:r>
      <w:r>
        <w:rPr>
          <w:rFonts w:hint="eastAsia" w:ascii="宋体" w:hAnsi="宋体"/>
          <w:bCs/>
          <w:sz w:val="28"/>
          <w:szCs w:val="28"/>
        </w:rPr>
        <w:t>：</w:t>
      </w:r>
    </w:p>
    <w:p>
      <w:pPr>
        <w:pStyle w:val="27"/>
        <w:spacing w:after="0" w:line="360" w:lineRule="auto"/>
        <w:ind w:left="0" w:leftChars="0" w:firstLine="560" w:firstLineChars="200"/>
        <w:rPr>
          <w:rFonts w:hint="eastAsia" w:ascii="宋体" w:hAnsi="宋体"/>
          <w:bCs/>
          <w:sz w:val="28"/>
          <w:szCs w:val="28"/>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sz w:val="28"/>
          <w:szCs w:val="28"/>
          <w:u w:val="single"/>
          <w:lang w:eastAsia="zh-CN"/>
        </w:rPr>
        <w:t>成都市双流区人民政府九江街道办事处环卫作业及绿化管护服务采购项目</w:t>
      </w:r>
      <w:r>
        <w:rPr>
          <w:rFonts w:hint="eastAsia" w:ascii="宋体" w:hAnsi="宋体"/>
          <w:b/>
          <w:sz w:val="28"/>
          <w:szCs w:val="28"/>
          <w:u w:val="single"/>
        </w:rPr>
        <w:t>（项目编号：</w:t>
      </w:r>
      <w:r>
        <w:rPr>
          <w:rFonts w:hint="eastAsia" w:ascii="宋体" w:hAnsi="宋体"/>
          <w:b/>
          <w:sz w:val="28"/>
          <w:szCs w:val="28"/>
          <w:u w:val="single"/>
          <w:lang w:eastAsia="zh-CN"/>
        </w:rPr>
        <w:t xml:space="preserve">双流政采（2021）A0005号 </w:t>
      </w:r>
      <w:r>
        <w:rPr>
          <w:rFonts w:hint="eastAsia" w:ascii="宋体" w:hAnsi="宋体"/>
          <w:b/>
          <w:sz w:val="28"/>
          <w:szCs w:val="28"/>
          <w:u w:val="single"/>
        </w:rPr>
        <w:t>）</w:t>
      </w:r>
      <w:r>
        <w:rPr>
          <w:rFonts w:hint="eastAsia" w:ascii="宋体" w:hAnsi="宋体"/>
          <w:b/>
          <w:sz w:val="28"/>
          <w:szCs w:val="28"/>
          <w:u w:val="single"/>
          <w:lang w:eastAsia="zh-CN"/>
        </w:rPr>
        <w:t>包件号：XXX</w:t>
      </w:r>
      <w:r>
        <w:rPr>
          <w:rFonts w:hint="eastAsia" w:ascii="宋体" w:hAnsi="宋体"/>
          <w:bCs/>
          <w:sz w:val="28"/>
          <w:szCs w:val="28"/>
        </w:rPr>
        <w:t>招标文件，决定参加贵单位组织的本项目的投标。我方授权</w:t>
      </w:r>
      <w:r>
        <w:rPr>
          <w:rFonts w:hint="eastAsia" w:ascii="宋体" w:hAnsi="宋体"/>
          <w:bCs/>
          <w:sz w:val="28"/>
          <w:szCs w:val="28"/>
          <w:u w:val="single"/>
        </w:rPr>
        <w:t xml:space="preserve">XXX（姓名、职务）   </w:t>
      </w:r>
      <w:r>
        <w:rPr>
          <w:rFonts w:hint="eastAsia" w:ascii="宋体" w:hAnsi="宋体"/>
          <w:bCs/>
          <w:sz w:val="28"/>
          <w:szCs w:val="28"/>
        </w:rPr>
        <w:t>代表我方</w:t>
      </w:r>
      <w:r>
        <w:rPr>
          <w:rFonts w:hint="eastAsia" w:ascii="宋体" w:hAnsi="宋体"/>
          <w:bCs/>
          <w:sz w:val="28"/>
          <w:szCs w:val="28"/>
          <w:u w:val="single"/>
        </w:rPr>
        <w:t xml:space="preserve">XXX（投标人名称）   </w:t>
      </w:r>
      <w:r>
        <w:rPr>
          <w:rFonts w:hint="eastAsia" w:ascii="宋体" w:hAnsi="宋体"/>
          <w:bCs/>
          <w:sz w:val="28"/>
          <w:szCs w:val="28"/>
        </w:rPr>
        <w:t>全权处理本项目投标的有关事宜。</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我方自愿按照招标文件规定的各项要求向采购人提供所需服务，</w:t>
      </w:r>
      <w:r>
        <w:rPr>
          <w:rFonts w:hint="eastAsia" w:ascii="宋体" w:hAnsi="宋体"/>
          <w:b/>
          <w:sz w:val="28"/>
          <w:szCs w:val="28"/>
        </w:rPr>
        <w:t>投标报价以《</w:t>
      </w:r>
      <w:r>
        <w:rPr>
          <w:rFonts w:hint="eastAsia" w:ascii="宋体" w:hAnsi="宋体"/>
          <w:b/>
          <w:sz w:val="28"/>
          <w:szCs w:val="28"/>
          <w:lang w:eastAsia="zh-CN"/>
        </w:rPr>
        <w:t>开标一览</w:t>
      </w:r>
      <w:r>
        <w:rPr>
          <w:rFonts w:hint="eastAsia" w:ascii="宋体" w:hAnsi="宋体"/>
          <w:b/>
          <w:sz w:val="28"/>
          <w:szCs w:val="28"/>
        </w:rPr>
        <w:t>表》为准</w:t>
      </w:r>
      <w:r>
        <w:rPr>
          <w:rFonts w:hint="eastAsia" w:ascii="宋体" w:hAnsi="宋体"/>
          <w:sz w:val="28"/>
          <w:szCs w:val="28"/>
        </w:rPr>
        <w:t>。</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方同意采购人为实施政府采购工作的需要在有关政府采购业务网站和文件上公布我方联系人电话、地址、优惠率等相关信息，所公布的信息无需事先经过我方审查同意，完全被视为符合法律程序，均不属于采购人对有关保密义务的违反。</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我方已在签署本投标函之前详细阅读并接受</w:t>
      </w:r>
      <w:r>
        <w:rPr>
          <w:rFonts w:hint="eastAsia" w:ascii="宋体" w:hAnsi="宋体"/>
          <w:sz w:val="28"/>
          <w:szCs w:val="28"/>
          <w:lang w:eastAsia="zh-CN"/>
        </w:rPr>
        <w:t>第</w:t>
      </w:r>
      <w:r>
        <w:rPr>
          <w:rFonts w:hint="eastAsia" w:ascii="宋体" w:hAnsi="宋体"/>
          <w:sz w:val="28"/>
          <w:szCs w:val="28"/>
          <w:lang w:val="en-US" w:eastAsia="zh-CN"/>
        </w:rPr>
        <w:t>7</w:t>
      </w:r>
      <w:r>
        <w:rPr>
          <w:rFonts w:hint="eastAsia" w:ascii="宋体" w:hAnsi="宋体"/>
          <w:sz w:val="28"/>
          <w:szCs w:val="28"/>
          <w:lang w:eastAsia="zh-CN"/>
        </w:rPr>
        <w:t>章拟签订合同文本</w:t>
      </w:r>
      <w:r>
        <w:rPr>
          <w:rFonts w:hint="eastAsia" w:ascii="宋体" w:hAnsi="宋体"/>
          <w:sz w:val="28"/>
          <w:szCs w:val="28"/>
        </w:rPr>
        <w:t>的</w:t>
      </w:r>
      <w:r>
        <w:rPr>
          <w:rFonts w:hint="eastAsia" w:ascii="宋体" w:hAnsi="宋体"/>
          <w:color w:val="000000" w:themeColor="text1"/>
          <w:sz w:val="28"/>
          <w:szCs w:val="28"/>
          <w:u w:val="none"/>
          <w14:textFill>
            <w14:solidFill>
              <w14:schemeClr w14:val="tx1"/>
            </w14:solidFill>
          </w14:textFill>
        </w:rPr>
        <w:t>《合同主要条款》</w:t>
      </w:r>
      <w:r>
        <w:rPr>
          <w:rFonts w:hint="eastAsia" w:ascii="宋体" w:hAnsi="宋体"/>
          <w:sz w:val="28"/>
          <w:szCs w:val="28"/>
        </w:rPr>
        <w:t>全部内容且无任何异议，将认真履行。</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投标有效期为从投标截止之日起120天。</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29"/>
        </w:numPr>
        <w:tabs>
          <w:tab w:val="left" w:pos="1134"/>
        </w:tabs>
        <w:spacing w:after="0" w:line="560" w:lineRule="exact"/>
        <w:ind w:left="0" w:firstLine="567"/>
        <w:rPr>
          <w:rFonts w:hint="eastAsia"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7"/>
        <w:spacing w:line="560" w:lineRule="exact"/>
        <w:ind w:firstLine="560" w:firstLineChars="200"/>
        <w:rPr>
          <w:rFonts w:hint="eastAsia" w:ascii="宋体" w:hAnsi="宋体"/>
          <w:bCs/>
          <w:sz w:val="28"/>
          <w:szCs w:val="28"/>
        </w:rPr>
      </w:pPr>
    </w:p>
    <w:p>
      <w:pPr>
        <w:pStyle w:val="27"/>
        <w:spacing w:line="560" w:lineRule="exact"/>
        <w:ind w:firstLine="560" w:firstLineChars="200"/>
        <w:rPr>
          <w:rFonts w:hint="eastAsia" w:ascii="宋体" w:hAnsi="宋体"/>
          <w:bCs/>
          <w:sz w:val="28"/>
          <w:szCs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27"/>
        <w:spacing w:line="560" w:lineRule="exact"/>
        <w:ind w:firstLine="560" w:firstLineChars="200"/>
        <w:rPr>
          <w:rFonts w:hint="eastAsia" w:ascii="宋体" w:hAnsi="宋体"/>
          <w:sz w:val="28"/>
        </w:rPr>
      </w:pPr>
    </w:p>
    <w:p>
      <w:pPr>
        <w:pStyle w:val="6"/>
        <w:numPr>
          <w:ilvl w:val="2"/>
          <w:numId w:val="1"/>
        </w:numPr>
        <w:spacing w:after="0"/>
        <w:ind w:left="567"/>
        <w:rPr>
          <w:rFonts w:hint="eastAsia"/>
          <w:color w:val="auto"/>
        </w:rPr>
      </w:pPr>
      <w:r>
        <w:rPr>
          <w:rFonts w:hint="eastAsia"/>
          <w:color w:val="auto"/>
          <w:lang w:eastAsia="zh-CN"/>
        </w:rPr>
        <w:t>开标一览表</w:t>
      </w:r>
    </w:p>
    <w:p>
      <w:pPr>
        <w:pStyle w:val="18"/>
        <w:rPr>
          <w:rFonts w:hint="eastAsia" w:ascii="宋体" w:hAnsi="宋体" w:eastAsia="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3.3.2.1包件号：1</w:t>
      </w:r>
    </w:p>
    <w:p>
      <w:pPr>
        <w:snapToGrid w:val="0"/>
        <w:spacing w:line="500" w:lineRule="exact"/>
        <w:ind w:left="1445" w:right="-57" w:rightChars="-27" w:hanging="1445" w:hangingChars="514"/>
        <w:rPr>
          <w:rFonts w:ascii="宋体" w:hAnsi="宋体"/>
          <w:b/>
          <w:sz w:val="28"/>
          <w:szCs w:val="28"/>
          <w:u w:val="single"/>
        </w:rPr>
      </w:pPr>
      <w:r>
        <w:rPr>
          <w:rFonts w:hint="eastAsia" w:ascii="宋体" w:hAnsi="宋体"/>
          <w:b/>
          <w:sz w:val="28"/>
        </w:rPr>
        <w:t>项目名称：</w:t>
      </w:r>
      <w:bookmarkStart w:id="187" w:name="项目名称_1619331604566"/>
      <w:r>
        <w:rPr>
          <w:rFonts w:hint="eastAsia" w:ascii="宋体" w:hAnsi="宋体"/>
          <w:b/>
          <w:sz w:val="28"/>
          <w:szCs w:val="28"/>
        </w:rPr>
        <w:t>成都市双流区人民政府九江街道办事处环卫作业及绿化管护服务采购项目</w:t>
      </w:r>
      <w:bookmarkEnd w:id="187"/>
    </w:p>
    <w:p>
      <w:pPr>
        <w:snapToGrid w:val="0"/>
        <w:spacing w:line="500" w:lineRule="exact"/>
        <w:ind w:left="1445" w:right="-57" w:rightChars="-27" w:hanging="1445" w:hangingChars="514"/>
        <w:rPr>
          <w:rFonts w:ascii="宋体" w:hAnsi="宋体"/>
          <w:b/>
          <w:bCs/>
          <w:sz w:val="28"/>
        </w:rPr>
      </w:pPr>
      <w:r>
        <w:rPr>
          <w:rFonts w:hint="eastAsia" w:ascii="宋体" w:hAnsi="宋体"/>
          <w:b/>
          <w:bCs/>
          <w:sz w:val="28"/>
        </w:rPr>
        <w:t>项目编号：</w:t>
      </w:r>
      <w:r>
        <w:rPr>
          <w:rFonts w:hint="eastAsia" w:ascii="宋体" w:hAnsi="宋体"/>
          <w:b/>
          <w:sz w:val="28"/>
          <w:szCs w:val="28"/>
          <w:u w:val="single"/>
          <w:lang w:eastAsia="zh-CN"/>
        </w:rPr>
        <w:t xml:space="preserve">双流政采（2021）A0005号 </w:t>
      </w:r>
    </w:p>
    <w:tbl>
      <w:tblPr>
        <w:tblStyle w:val="45"/>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4"/>
              </w:rPr>
            </w:pPr>
            <w:r>
              <w:rPr>
                <w:rFonts w:hint="eastAsia" w:ascii="宋体" w:hAnsi="宋体"/>
                <w:b/>
                <w:sz w:val="28"/>
                <w:szCs w:val="28"/>
              </w:rPr>
              <w:t>成新蒲以南环卫作业及绿化管护服务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cs="宋体"/>
          <w:b/>
          <w:sz w:val="28"/>
          <w:szCs w:val="28"/>
          <w:u w:val="single"/>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7"/>
        <w:ind w:right="210" w:firstLine="285" w:firstLineChars="102"/>
        <w:rPr>
          <w:rFonts w:ascii="宋体" w:hAnsi="宋体"/>
          <w:bCs/>
          <w:sz w:val="28"/>
          <w:szCs w:val="28"/>
        </w:rPr>
      </w:pPr>
    </w:p>
    <w:p>
      <w:pPr>
        <w:pStyle w:val="27"/>
        <w:ind w:right="210" w:firstLine="285" w:firstLineChars="102"/>
        <w:rPr>
          <w:rFonts w:ascii="宋体" w:hAnsi="宋体"/>
          <w:bCs/>
          <w:sz w:val="28"/>
          <w:szCs w:val="28"/>
        </w:rPr>
      </w:pPr>
    </w:p>
    <w:p>
      <w:pPr>
        <w:pStyle w:val="27"/>
        <w:ind w:right="210" w:firstLine="285" w:firstLineChars="102"/>
        <w:rPr>
          <w:rFonts w:ascii="宋体" w:hAnsi="宋体"/>
          <w:bCs/>
          <w:sz w:val="28"/>
          <w:szCs w:val="28"/>
        </w:rPr>
      </w:pPr>
    </w:p>
    <w:p>
      <w:pPr>
        <w:pStyle w:val="27"/>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7"/>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pStyle w:val="18"/>
        <w:rPr>
          <w:rFonts w:hint="eastAsia" w:ascii="宋体" w:hAnsi="宋体" w:eastAsia="宋体"/>
          <w:bCs/>
          <w:sz w:val="28"/>
          <w:szCs w:val="28"/>
        </w:rPr>
      </w:pPr>
      <w:r>
        <w:rPr>
          <w:rFonts w:hint="eastAsia" w:ascii="宋体" w:hAnsi="宋体" w:eastAsia="宋体"/>
          <w:bCs/>
          <w:sz w:val="28"/>
          <w:szCs w:val="28"/>
        </w:rPr>
        <w:t>说明：投标报价应为包括招标文件对应包件规定的全部投标内容的报价。</w:t>
      </w:r>
    </w:p>
    <w:p>
      <w:pPr>
        <w:rPr>
          <w:rFonts w:hint="eastAsia" w:ascii="宋体" w:hAnsi="宋体" w:eastAsia="宋体"/>
          <w:bCs/>
          <w:sz w:val="28"/>
          <w:szCs w:val="28"/>
        </w:rPr>
      </w:pPr>
    </w:p>
    <w:p>
      <w:pPr>
        <w:pStyle w:val="2"/>
        <w:rPr>
          <w:rFonts w:hint="eastAsia" w:ascii="宋体" w:hAnsi="宋体" w:eastAsia="宋体"/>
          <w:bCs/>
          <w:sz w:val="28"/>
          <w:szCs w:val="28"/>
        </w:rPr>
      </w:pPr>
    </w:p>
    <w:p>
      <w:pPr>
        <w:rPr>
          <w:rFonts w:hint="eastAsia"/>
          <w:lang w:val="en-US" w:eastAsia="zh-CN"/>
        </w:rPr>
      </w:pPr>
    </w:p>
    <w:p>
      <w:pPr>
        <w:pStyle w:val="18"/>
        <w:rPr>
          <w:rFonts w:ascii="宋体" w:hAnsi="宋体" w:eastAsia="宋体" w:cs="宋体"/>
          <w:b/>
          <w:sz w:val="28"/>
          <w:szCs w:val="28"/>
        </w:rPr>
      </w:pPr>
      <w:r>
        <w:rPr>
          <w:rFonts w:hint="eastAsia" w:ascii="宋体" w:hAnsi="宋体" w:eastAsia="宋体" w:cs="宋体"/>
          <w:b/>
          <w:sz w:val="28"/>
          <w:szCs w:val="28"/>
          <w:lang w:val="en-US" w:eastAsia="zh-CN"/>
        </w:rPr>
        <w:t>3.3.2.2</w:t>
      </w:r>
      <w:r>
        <w:rPr>
          <w:rFonts w:hint="eastAsia" w:ascii="宋体" w:hAnsi="宋体" w:eastAsia="宋体" w:cs="宋体"/>
          <w:b/>
          <w:sz w:val="28"/>
          <w:szCs w:val="28"/>
        </w:rPr>
        <w:t>包件号：2</w:t>
      </w:r>
    </w:p>
    <w:p>
      <w:pPr>
        <w:snapToGrid w:val="0"/>
        <w:spacing w:line="500" w:lineRule="exact"/>
        <w:ind w:left="1445" w:right="-57" w:rightChars="-27" w:hanging="1445" w:hangingChars="514"/>
        <w:rPr>
          <w:rFonts w:ascii="宋体" w:hAnsi="宋体"/>
          <w:b/>
          <w:sz w:val="28"/>
          <w:szCs w:val="28"/>
          <w:u w:val="single"/>
        </w:rPr>
      </w:pPr>
      <w:r>
        <w:rPr>
          <w:rFonts w:hint="eastAsia" w:ascii="宋体" w:hAnsi="宋体"/>
          <w:b/>
          <w:sz w:val="28"/>
        </w:rPr>
        <w:t>项目名称：</w:t>
      </w:r>
      <w:r>
        <w:rPr>
          <w:rFonts w:hint="eastAsia" w:ascii="宋体" w:hAnsi="宋体"/>
          <w:b/>
          <w:sz w:val="28"/>
          <w:szCs w:val="28"/>
        </w:rPr>
        <w:t>成都市双流区人民政府九江街道办事处环卫作业及绿化管护服务采购项目</w:t>
      </w:r>
    </w:p>
    <w:p>
      <w:pPr>
        <w:snapToGrid w:val="0"/>
        <w:spacing w:line="500" w:lineRule="exact"/>
        <w:ind w:left="1445" w:right="-57" w:rightChars="-27" w:hanging="1445" w:hangingChars="514"/>
        <w:rPr>
          <w:rFonts w:ascii="宋体" w:hAnsi="宋体"/>
          <w:b/>
          <w:bCs/>
          <w:sz w:val="28"/>
        </w:rPr>
      </w:pPr>
      <w:r>
        <w:rPr>
          <w:rFonts w:hint="eastAsia" w:ascii="宋体" w:hAnsi="宋体"/>
          <w:b/>
          <w:bCs/>
          <w:sz w:val="28"/>
        </w:rPr>
        <w:t>项目编号：</w:t>
      </w:r>
      <w:r>
        <w:rPr>
          <w:rFonts w:hint="eastAsia" w:ascii="宋体" w:hAnsi="宋体"/>
          <w:b/>
          <w:sz w:val="28"/>
          <w:szCs w:val="28"/>
          <w:u w:val="single"/>
          <w:lang w:eastAsia="zh-CN"/>
        </w:rPr>
        <w:t xml:space="preserve">双流政采（2021）A0005号 </w:t>
      </w:r>
    </w:p>
    <w:tbl>
      <w:tblPr>
        <w:tblStyle w:val="45"/>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4"/>
              </w:rPr>
            </w:pPr>
            <w:r>
              <w:rPr>
                <w:rFonts w:hint="eastAsia" w:ascii="宋体" w:hAnsi="宋体"/>
                <w:b/>
                <w:sz w:val="28"/>
                <w:szCs w:val="28"/>
              </w:rPr>
              <w:t>成新蒲以北环卫作业及绿化管护服务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hint="eastAsia" w:ascii="宋体" w:hAnsi="宋体" w:cs="宋体"/>
          <w:b/>
          <w:sz w:val="28"/>
          <w:szCs w:val="28"/>
          <w:u w:val="single"/>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
        <w:rPr>
          <w:rFonts w:hint="eastAsia" w:ascii="宋体" w:hAnsi="宋体" w:cs="宋体"/>
          <w:b/>
          <w:sz w:val="28"/>
          <w:szCs w:val="28"/>
          <w:u w:val="single"/>
        </w:rPr>
      </w:pPr>
    </w:p>
    <w:p>
      <w:pPr>
        <w:pStyle w:val="3"/>
        <w:rPr>
          <w:rFonts w:hint="eastAsia" w:ascii="宋体" w:hAnsi="宋体" w:cs="宋体"/>
          <w:b/>
          <w:sz w:val="28"/>
          <w:szCs w:val="28"/>
          <w:u w:val="single"/>
        </w:rPr>
      </w:pPr>
    </w:p>
    <w:p>
      <w:pPr>
        <w:pStyle w:val="3"/>
        <w:rPr>
          <w:rFonts w:hint="eastAsia" w:ascii="宋体" w:hAnsi="宋体" w:cs="宋体"/>
          <w:b/>
          <w:sz w:val="28"/>
          <w:szCs w:val="28"/>
          <w:u w:val="single"/>
        </w:rPr>
      </w:pPr>
    </w:p>
    <w:p>
      <w:pPr>
        <w:pStyle w:val="3"/>
        <w:rPr>
          <w:rFonts w:hint="eastAsia" w:ascii="宋体" w:hAnsi="宋体" w:cs="宋体"/>
          <w:b/>
          <w:sz w:val="28"/>
          <w:szCs w:val="28"/>
          <w:u w:val="single"/>
        </w:rPr>
      </w:pPr>
    </w:p>
    <w:p>
      <w:pPr>
        <w:pStyle w:val="27"/>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7"/>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spacing w:line="360" w:lineRule="auto"/>
        <w:ind w:firstLine="686" w:firstLineChars="245"/>
        <w:rPr>
          <w:rFonts w:ascii="宋体" w:hAnsi="宋体"/>
          <w:b/>
          <w:sz w:val="28"/>
          <w:szCs w:val="28"/>
          <w:u w:val="single"/>
        </w:rPr>
      </w:pPr>
      <w:r>
        <w:rPr>
          <w:rFonts w:hint="eastAsia" w:ascii="宋体" w:hAnsi="宋体"/>
          <w:bCs/>
          <w:sz w:val="28"/>
          <w:szCs w:val="28"/>
        </w:rPr>
        <w:t>说明：投标报价应为包括招标文件对应包件规定的全部投标内容的报价。</w:t>
      </w:r>
    </w:p>
    <w:p>
      <w:pPr>
        <w:pStyle w:val="27"/>
        <w:spacing w:line="360" w:lineRule="auto"/>
        <w:ind w:firstLine="288" w:firstLineChars="103"/>
        <w:rPr>
          <w:rFonts w:hint="eastAsia" w:ascii="宋体" w:hAnsi="宋体"/>
          <w:bCs/>
          <w:sz w:val="28"/>
          <w:szCs w:val="28"/>
        </w:rPr>
      </w:pPr>
    </w:p>
    <w:p>
      <w:pPr>
        <w:pStyle w:val="27"/>
        <w:spacing w:line="360" w:lineRule="auto"/>
        <w:ind w:firstLine="288" w:firstLineChars="103"/>
        <w:rPr>
          <w:rFonts w:hint="eastAsia" w:ascii="宋体" w:hAnsi="宋体"/>
          <w:bCs/>
          <w:sz w:val="28"/>
          <w:szCs w:val="28"/>
        </w:rPr>
      </w:pPr>
    </w:p>
    <w:p>
      <w:pPr>
        <w:pStyle w:val="41"/>
        <w:rPr>
          <w:rFonts w:hint="eastAsia" w:ascii="宋体" w:hAnsi="宋体" w:eastAsia="宋体" w:cs="宋体"/>
          <w:b/>
          <w:sz w:val="24"/>
          <w:szCs w:val="24"/>
        </w:rPr>
      </w:pPr>
    </w:p>
    <w:p>
      <w:pPr>
        <w:pStyle w:val="6"/>
        <w:numPr>
          <w:ilvl w:val="2"/>
          <w:numId w:val="1"/>
        </w:numPr>
        <w:spacing w:after="0"/>
        <w:ind w:left="567"/>
        <w:rPr>
          <w:rFonts w:hint="eastAsia"/>
          <w:color w:val="auto"/>
        </w:rPr>
      </w:pPr>
      <w:bookmarkStart w:id="188" w:name="_Toc231030275"/>
      <w:bookmarkStart w:id="189" w:name="_Toc239849853"/>
      <w:bookmarkStart w:id="190" w:name="_Toc240865266"/>
      <w:bookmarkStart w:id="191" w:name="_Toc240367172"/>
      <w:bookmarkStart w:id="192" w:name="_Toc229802674"/>
      <w:bookmarkStart w:id="193" w:name="_Toc239846734"/>
      <w:bookmarkStart w:id="194" w:name="_Toc237145395"/>
      <w:bookmarkStart w:id="195" w:name="_Toc265494342"/>
      <w:bookmarkStart w:id="196" w:name="_Toc314574804"/>
      <w:r>
        <w:rPr>
          <w:rFonts w:hint="eastAsia"/>
          <w:color w:val="auto"/>
        </w:rPr>
        <w:t>分项报价表</w:t>
      </w:r>
    </w:p>
    <w:p>
      <w:pPr>
        <w:tabs>
          <w:tab w:val="left" w:pos="7560"/>
        </w:tabs>
        <w:spacing w:after="180" w:line="440" w:lineRule="exact"/>
        <w:rPr>
          <w:rFonts w:ascii="宋体" w:hAnsi="宋体"/>
          <w:b/>
          <w:sz w:val="28"/>
          <w:szCs w:val="20"/>
        </w:rPr>
      </w:pPr>
      <w:r>
        <w:rPr>
          <w:rFonts w:hint="eastAsia" w:ascii="宋体" w:hAnsi="宋体"/>
          <w:b/>
          <w:sz w:val="28"/>
          <w:szCs w:val="20"/>
          <w:lang w:val="en-US" w:eastAsia="zh-CN"/>
        </w:rPr>
        <w:t>3.3.3.1</w:t>
      </w:r>
      <w:r>
        <w:rPr>
          <w:rFonts w:hint="eastAsia" w:ascii="宋体" w:hAnsi="宋体"/>
          <w:b/>
          <w:sz w:val="28"/>
          <w:szCs w:val="20"/>
        </w:rPr>
        <w:t>包件号：1</w:t>
      </w:r>
    </w:p>
    <w:p>
      <w:pPr>
        <w:snapToGrid w:val="0"/>
        <w:spacing w:line="440" w:lineRule="exact"/>
        <w:ind w:right="-624" w:rightChars="-297"/>
        <w:rPr>
          <w:rFonts w:ascii="宋体" w:hAnsi="宋体"/>
          <w:b/>
          <w:sz w:val="28"/>
        </w:rPr>
      </w:pPr>
      <w:r>
        <w:rPr>
          <w:rFonts w:hint="eastAsia" w:ascii="宋体" w:hAnsi="宋体"/>
          <w:b/>
          <w:sz w:val="28"/>
        </w:rPr>
        <w:t>项目名称：</w:t>
      </w:r>
      <w:bookmarkStart w:id="197" w:name="项目名称_1619331621474"/>
      <w:r>
        <w:rPr>
          <w:rFonts w:hint="eastAsia" w:ascii="宋体" w:hAnsi="宋体"/>
          <w:b/>
          <w:sz w:val="28"/>
          <w:szCs w:val="28"/>
          <w:u w:val="single"/>
        </w:rPr>
        <w:t>成都市双流区人民政府九江街道办事处环卫作业及绿化管护服务采购项目</w:t>
      </w:r>
      <w:bookmarkEnd w:id="197"/>
    </w:p>
    <w:p>
      <w:pPr>
        <w:tabs>
          <w:tab w:val="left" w:pos="7560"/>
        </w:tabs>
        <w:spacing w:after="180" w:line="440" w:lineRule="exact"/>
        <w:rPr>
          <w:rFonts w:hint="eastAsia" w:ascii="宋体" w:hAnsi="宋体" w:eastAsia="宋体"/>
          <w:b/>
          <w:sz w:val="28"/>
          <w:szCs w:val="20"/>
          <w:lang w:eastAsia="zh-CN"/>
        </w:rPr>
      </w:pPr>
      <w:r>
        <w:rPr>
          <w:rFonts w:hint="eastAsia" w:ascii="宋体" w:hAnsi="宋体"/>
          <w:b/>
          <w:sz w:val="28"/>
          <w:szCs w:val="20"/>
        </w:rPr>
        <w:t>项目编号：</w:t>
      </w:r>
      <w:r>
        <w:rPr>
          <w:rFonts w:hint="eastAsia" w:ascii="宋体" w:hAnsi="宋体"/>
          <w:b/>
          <w:sz w:val="28"/>
          <w:szCs w:val="20"/>
          <w:u w:val="single"/>
          <w:lang w:eastAsia="zh-CN"/>
        </w:rPr>
        <w:t xml:space="preserve">双流政采（2021）A0005号 </w:t>
      </w:r>
    </w:p>
    <w:tbl>
      <w:tblPr>
        <w:tblStyle w:val="45"/>
        <w:tblpPr w:leftFromText="180" w:rightFromText="180" w:vertAnchor="text" w:tblpX="-35" w:tblpY="363"/>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3195"/>
        <w:gridCol w:w="2247"/>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96" w:type="dxa"/>
          </w:tcPr>
          <w:p>
            <w:pPr>
              <w:pStyle w:val="2"/>
              <w:spacing w:line="500" w:lineRule="exact"/>
              <w:rPr>
                <w:rFonts w:ascii="宋体" w:hAnsi="宋体"/>
                <w:b/>
                <w:sz w:val="28"/>
              </w:rPr>
            </w:pPr>
            <w:r>
              <w:rPr>
                <w:rFonts w:hint="eastAsia" w:ascii="宋体" w:hAnsi="宋体"/>
                <w:b/>
                <w:sz w:val="28"/>
              </w:rPr>
              <w:t>序号</w:t>
            </w:r>
          </w:p>
        </w:tc>
        <w:tc>
          <w:tcPr>
            <w:tcW w:w="3195" w:type="dxa"/>
          </w:tcPr>
          <w:p>
            <w:pPr>
              <w:pStyle w:val="2"/>
              <w:spacing w:line="500" w:lineRule="exact"/>
              <w:rPr>
                <w:rFonts w:ascii="宋体" w:hAnsi="宋体"/>
                <w:b/>
                <w:sz w:val="28"/>
              </w:rPr>
            </w:pPr>
            <w:r>
              <w:rPr>
                <w:rFonts w:hint="eastAsia" w:ascii="宋体" w:hAnsi="宋体"/>
                <w:b/>
                <w:sz w:val="28"/>
              </w:rPr>
              <w:t>服务内容</w:t>
            </w:r>
          </w:p>
        </w:tc>
        <w:tc>
          <w:tcPr>
            <w:tcW w:w="2247" w:type="dxa"/>
          </w:tcPr>
          <w:p>
            <w:pPr>
              <w:pStyle w:val="2"/>
              <w:spacing w:line="500" w:lineRule="exact"/>
              <w:rPr>
                <w:rFonts w:ascii="宋体" w:hAnsi="宋体"/>
                <w:b/>
                <w:sz w:val="28"/>
              </w:rPr>
            </w:pPr>
            <w:r>
              <w:rPr>
                <w:rFonts w:hint="eastAsia" w:ascii="宋体" w:hAnsi="宋体"/>
                <w:b/>
                <w:sz w:val="28"/>
              </w:rPr>
              <w:t>分项最高限价（元/年）</w:t>
            </w:r>
          </w:p>
        </w:tc>
        <w:tc>
          <w:tcPr>
            <w:tcW w:w="2482" w:type="dxa"/>
          </w:tcPr>
          <w:p>
            <w:pPr>
              <w:pStyle w:val="2"/>
              <w:spacing w:line="500" w:lineRule="exact"/>
              <w:rPr>
                <w:rFonts w:ascii="宋体" w:hAnsi="宋体"/>
                <w:b/>
                <w:sz w:val="28"/>
              </w:rPr>
            </w:pPr>
            <w:r>
              <w:rPr>
                <w:rFonts w:hint="eastAsia" w:ascii="宋体" w:hAnsi="宋体"/>
                <w:b/>
                <w:sz w:val="28"/>
              </w:rPr>
              <w:t>分项报价（元/年）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1</w:t>
            </w:r>
          </w:p>
        </w:tc>
        <w:tc>
          <w:tcPr>
            <w:tcW w:w="3195" w:type="dxa"/>
          </w:tcPr>
          <w:p>
            <w:pPr>
              <w:adjustRightInd w:val="0"/>
              <w:snapToGrid w:val="0"/>
              <w:spacing w:line="500" w:lineRule="exact"/>
              <w:rPr>
                <w:rFonts w:ascii="宋体" w:hAnsi="宋体"/>
                <w:b/>
                <w:sz w:val="28"/>
              </w:rPr>
            </w:pPr>
            <w:r>
              <w:rPr>
                <w:rFonts w:hint="eastAsia" w:ascii="宋体" w:hAnsi="宋体"/>
                <w:b/>
                <w:sz w:val="28"/>
              </w:rPr>
              <w:t>环境卫生作业</w:t>
            </w:r>
          </w:p>
        </w:tc>
        <w:tc>
          <w:tcPr>
            <w:tcW w:w="2247" w:type="dxa"/>
            <w:vAlign w:val="center"/>
          </w:tcPr>
          <w:p>
            <w:pPr>
              <w:adjustRightInd w:val="0"/>
              <w:snapToGrid w:val="0"/>
              <w:spacing w:line="500" w:lineRule="exact"/>
              <w:rPr>
                <w:rFonts w:ascii="宋体" w:hAnsi="宋体"/>
                <w:b/>
                <w:sz w:val="28"/>
              </w:rPr>
            </w:pPr>
            <w:r>
              <w:rPr>
                <w:rFonts w:hint="eastAsia" w:ascii="宋体" w:hAnsi="宋体"/>
                <w:b/>
                <w:sz w:val="28"/>
              </w:rPr>
              <w:t>7396412.49</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2</w:t>
            </w:r>
          </w:p>
        </w:tc>
        <w:tc>
          <w:tcPr>
            <w:tcW w:w="3195" w:type="dxa"/>
          </w:tcPr>
          <w:p>
            <w:pPr>
              <w:pStyle w:val="2"/>
              <w:spacing w:line="500" w:lineRule="exact"/>
              <w:rPr>
                <w:rFonts w:ascii="宋体" w:hAnsi="宋体"/>
                <w:b/>
                <w:sz w:val="28"/>
              </w:rPr>
            </w:pPr>
            <w:r>
              <w:rPr>
                <w:rFonts w:hint="eastAsia" w:ascii="宋体" w:hAnsi="宋体"/>
                <w:b/>
                <w:sz w:val="28"/>
              </w:rPr>
              <w:t>河道保洁</w:t>
            </w:r>
          </w:p>
        </w:tc>
        <w:tc>
          <w:tcPr>
            <w:tcW w:w="2247" w:type="dxa"/>
            <w:vAlign w:val="center"/>
          </w:tcPr>
          <w:p>
            <w:pPr>
              <w:adjustRightInd w:val="0"/>
              <w:snapToGrid w:val="0"/>
              <w:spacing w:line="500" w:lineRule="exact"/>
              <w:rPr>
                <w:rFonts w:ascii="宋体" w:hAnsi="宋体"/>
                <w:b/>
                <w:sz w:val="28"/>
              </w:rPr>
            </w:pPr>
            <w:r>
              <w:rPr>
                <w:rFonts w:hint="eastAsia" w:ascii="宋体" w:hAnsi="宋体"/>
                <w:b/>
                <w:sz w:val="28"/>
              </w:rPr>
              <w:t>660300.60</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3</w:t>
            </w:r>
          </w:p>
        </w:tc>
        <w:tc>
          <w:tcPr>
            <w:tcW w:w="3195" w:type="dxa"/>
          </w:tcPr>
          <w:p>
            <w:pPr>
              <w:pStyle w:val="2"/>
              <w:spacing w:line="500" w:lineRule="exact"/>
              <w:rPr>
                <w:rFonts w:ascii="宋体" w:hAnsi="宋体"/>
                <w:b/>
                <w:sz w:val="28"/>
              </w:rPr>
            </w:pPr>
            <w:r>
              <w:rPr>
                <w:rFonts w:hint="eastAsia" w:ascii="宋体" w:hAnsi="宋体"/>
                <w:b/>
                <w:sz w:val="28"/>
              </w:rPr>
              <w:t>绿化管护</w:t>
            </w:r>
          </w:p>
        </w:tc>
        <w:tc>
          <w:tcPr>
            <w:tcW w:w="2247" w:type="dxa"/>
            <w:vAlign w:val="center"/>
          </w:tcPr>
          <w:p>
            <w:pPr>
              <w:adjustRightInd w:val="0"/>
              <w:snapToGrid w:val="0"/>
              <w:spacing w:line="500" w:lineRule="exact"/>
              <w:rPr>
                <w:rFonts w:ascii="宋体" w:hAnsi="宋体"/>
                <w:b/>
                <w:sz w:val="28"/>
              </w:rPr>
            </w:pPr>
            <w:r>
              <w:rPr>
                <w:rFonts w:hint="eastAsia" w:ascii="宋体" w:hAnsi="宋体"/>
                <w:b/>
                <w:sz w:val="28"/>
              </w:rPr>
              <w:t>334165.44</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4</w:t>
            </w:r>
          </w:p>
        </w:tc>
        <w:tc>
          <w:tcPr>
            <w:tcW w:w="3195" w:type="dxa"/>
          </w:tcPr>
          <w:p>
            <w:pPr>
              <w:pStyle w:val="2"/>
              <w:spacing w:line="500" w:lineRule="exact"/>
              <w:rPr>
                <w:rFonts w:ascii="宋体" w:hAnsi="宋体"/>
                <w:b/>
                <w:sz w:val="28"/>
              </w:rPr>
            </w:pPr>
            <w:r>
              <w:rPr>
                <w:rFonts w:hint="eastAsia" w:ascii="宋体" w:hAnsi="宋体"/>
                <w:b/>
                <w:sz w:val="28"/>
              </w:rPr>
              <w:t>公厕管理</w:t>
            </w:r>
          </w:p>
        </w:tc>
        <w:tc>
          <w:tcPr>
            <w:tcW w:w="2247" w:type="dxa"/>
            <w:vAlign w:val="center"/>
          </w:tcPr>
          <w:p>
            <w:pPr>
              <w:adjustRightInd w:val="0"/>
              <w:snapToGrid w:val="0"/>
              <w:spacing w:line="500" w:lineRule="exact"/>
              <w:rPr>
                <w:rFonts w:ascii="宋体" w:hAnsi="宋体"/>
                <w:b/>
                <w:sz w:val="28"/>
              </w:rPr>
            </w:pPr>
            <w:r>
              <w:rPr>
                <w:rFonts w:hint="eastAsia" w:ascii="宋体" w:hAnsi="宋体"/>
                <w:b/>
                <w:sz w:val="28"/>
              </w:rPr>
              <w:t>722130.84</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5</w:t>
            </w:r>
          </w:p>
        </w:tc>
        <w:tc>
          <w:tcPr>
            <w:tcW w:w="3195" w:type="dxa"/>
          </w:tcPr>
          <w:p>
            <w:pPr>
              <w:pStyle w:val="2"/>
              <w:spacing w:line="500" w:lineRule="exact"/>
              <w:rPr>
                <w:rFonts w:ascii="宋体" w:hAnsi="宋体"/>
                <w:b/>
                <w:sz w:val="28"/>
              </w:rPr>
            </w:pPr>
            <w:r>
              <w:rPr>
                <w:rFonts w:hint="eastAsia" w:ascii="宋体" w:hAnsi="宋体"/>
                <w:b/>
                <w:sz w:val="28"/>
              </w:rPr>
              <w:t>垃圾清运</w:t>
            </w:r>
          </w:p>
        </w:tc>
        <w:tc>
          <w:tcPr>
            <w:tcW w:w="2247" w:type="dxa"/>
            <w:vAlign w:val="center"/>
          </w:tcPr>
          <w:p>
            <w:pPr>
              <w:adjustRightInd w:val="0"/>
              <w:snapToGrid w:val="0"/>
              <w:spacing w:line="500" w:lineRule="exact"/>
              <w:rPr>
                <w:rFonts w:ascii="宋体" w:hAnsi="宋体"/>
                <w:b/>
                <w:sz w:val="28"/>
              </w:rPr>
            </w:pPr>
            <w:r>
              <w:rPr>
                <w:rFonts w:hint="eastAsia" w:ascii="宋体" w:hAnsi="宋体"/>
                <w:b/>
                <w:sz w:val="28"/>
              </w:rPr>
              <w:t>1451436.36</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520" w:type="dxa"/>
            <w:gridSpan w:val="4"/>
          </w:tcPr>
          <w:p>
            <w:pPr>
              <w:adjustRightInd w:val="0"/>
              <w:snapToGrid w:val="0"/>
              <w:spacing w:line="500" w:lineRule="exact"/>
              <w:rPr>
                <w:rFonts w:ascii="宋体" w:hAnsi="宋体"/>
                <w:b/>
                <w:bCs/>
                <w:sz w:val="28"/>
              </w:rPr>
            </w:pPr>
            <w:r>
              <w:rPr>
                <w:rFonts w:hint="eastAsia" w:ascii="宋体" w:hAnsi="宋体"/>
                <w:b/>
                <w:sz w:val="28"/>
              </w:rPr>
              <w:t>最终报价（分项报价合计）：</w:t>
            </w:r>
            <w:r>
              <w:rPr>
                <w:rFonts w:hint="eastAsia" w:ascii="宋体" w:hAnsi="宋体"/>
                <w:b/>
                <w:sz w:val="28"/>
                <w:u w:val="single"/>
              </w:rPr>
              <w:t xml:space="preserve">                 </w:t>
            </w:r>
            <w:r>
              <w:rPr>
                <w:rFonts w:hint="eastAsia" w:ascii="宋体" w:hAnsi="宋体"/>
                <w:b/>
                <w:bCs/>
                <w:sz w:val="28"/>
              </w:rPr>
              <w:t>元/年</w:t>
            </w:r>
          </w:p>
          <w:p>
            <w:pPr>
              <w:adjustRightInd w:val="0"/>
              <w:snapToGrid w:val="0"/>
              <w:spacing w:line="500" w:lineRule="exact"/>
              <w:rPr>
                <w:rFonts w:ascii="宋体" w:hAnsi="宋体"/>
                <w:b/>
                <w:sz w:val="28"/>
              </w:rPr>
            </w:pPr>
            <w:r>
              <w:rPr>
                <w:rFonts w:hint="eastAsia" w:ascii="宋体" w:hAnsi="宋体"/>
                <w:b/>
                <w:sz w:val="28"/>
              </w:rPr>
              <w:t>（大写：</w:t>
            </w:r>
            <w:r>
              <w:rPr>
                <w:rFonts w:hint="eastAsia" w:ascii="宋体" w:hAnsi="宋体"/>
                <w:b/>
                <w:sz w:val="28"/>
                <w:u w:val="single"/>
              </w:rPr>
              <w:t xml:space="preserve">    </w:t>
            </w:r>
            <w:r>
              <w:rPr>
                <w:rFonts w:hint="eastAsia" w:ascii="宋体" w:hAnsi="宋体"/>
                <w:b/>
                <w:sz w:val="28"/>
              </w:rPr>
              <w:t>仟</w:t>
            </w:r>
            <w:r>
              <w:rPr>
                <w:rFonts w:hint="eastAsia" w:ascii="宋体" w:hAnsi="宋体"/>
                <w:b/>
                <w:sz w:val="28"/>
                <w:u w:val="single"/>
              </w:rPr>
              <w:t xml:space="preserve">    </w:t>
            </w:r>
            <w:r>
              <w:rPr>
                <w:rFonts w:hint="eastAsia" w:ascii="宋体" w:hAnsi="宋体"/>
                <w:b/>
                <w:sz w:val="28"/>
              </w:rPr>
              <w:t>佰</w:t>
            </w:r>
            <w:r>
              <w:rPr>
                <w:rFonts w:hint="eastAsia" w:ascii="宋体" w:hAnsi="宋体"/>
                <w:b/>
                <w:sz w:val="28"/>
                <w:u w:val="single"/>
              </w:rPr>
              <w:t xml:space="preserve">    </w:t>
            </w:r>
            <w:r>
              <w:rPr>
                <w:rFonts w:hint="eastAsia" w:ascii="宋体" w:hAnsi="宋体"/>
                <w:b/>
                <w:sz w:val="28"/>
              </w:rPr>
              <w:t xml:space="preserve"> 拾 </w:t>
            </w:r>
            <w:r>
              <w:rPr>
                <w:rFonts w:hint="eastAsia" w:ascii="宋体" w:hAnsi="宋体"/>
                <w:b/>
                <w:sz w:val="28"/>
                <w:u w:val="single"/>
              </w:rPr>
              <w:t xml:space="preserve">    </w:t>
            </w:r>
            <w:r>
              <w:rPr>
                <w:rFonts w:hint="eastAsia" w:ascii="宋体" w:hAnsi="宋体"/>
                <w:b/>
                <w:sz w:val="28"/>
              </w:rPr>
              <w:t>万</w:t>
            </w:r>
            <w:r>
              <w:rPr>
                <w:rFonts w:hint="eastAsia" w:ascii="宋体" w:hAnsi="宋体"/>
                <w:b/>
                <w:sz w:val="28"/>
                <w:u w:val="single"/>
              </w:rPr>
              <w:t xml:space="preserve">    </w:t>
            </w:r>
            <w:r>
              <w:rPr>
                <w:rFonts w:hint="eastAsia" w:ascii="宋体" w:hAnsi="宋体"/>
                <w:b/>
                <w:sz w:val="28"/>
              </w:rPr>
              <w:t>仟</w:t>
            </w:r>
            <w:r>
              <w:rPr>
                <w:rFonts w:hint="eastAsia" w:ascii="宋体" w:hAnsi="宋体"/>
                <w:b/>
                <w:sz w:val="28"/>
                <w:u w:val="single"/>
              </w:rPr>
              <w:t xml:space="preserve">    </w:t>
            </w:r>
            <w:r>
              <w:rPr>
                <w:rFonts w:hint="eastAsia" w:ascii="宋体" w:hAnsi="宋体"/>
                <w:b/>
                <w:sz w:val="28"/>
              </w:rPr>
              <w:t>佰</w:t>
            </w:r>
            <w:r>
              <w:rPr>
                <w:rFonts w:hint="eastAsia" w:ascii="宋体" w:hAnsi="宋体"/>
                <w:b/>
                <w:sz w:val="28"/>
                <w:u w:val="single"/>
              </w:rPr>
              <w:t xml:space="preserve">    </w:t>
            </w:r>
            <w:r>
              <w:rPr>
                <w:rFonts w:hint="eastAsia" w:ascii="宋体" w:hAnsi="宋体"/>
                <w:b/>
                <w:sz w:val="28"/>
              </w:rPr>
              <w:t>拾</w:t>
            </w:r>
            <w:r>
              <w:rPr>
                <w:rFonts w:hint="eastAsia" w:ascii="宋体" w:hAnsi="宋体"/>
                <w:b/>
                <w:sz w:val="28"/>
                <w:u w:val="single"/>
              </w:rPr>
              <w:t xml:space="preserve">    </w:t>
            </w:r>
            <w:r>
              <w:rPr>
                <w:rFonts w:hint="eastAsia" w:ascii="宋体" w:hAnsi="宋体"/>
                <w:b/>
                <w:sz w:val="28"/>
              </w:rPr>
              <w:t>元</w:t>
            </w:r>
            <w:r>
              <w:rPr>
                <w:rFonts w:hint="eastAsia" w:ascii="宋体" w:hAnsi="宋体"/>
                <w:b/>
                <w:sz w:val="28"/>
                <w:u w:val="single"/>
              </w:rPr>
              <w:t xml:space="preserve">    </w:t>
            </w:r>
            <w:r>
              <w:rPr>
                <w:rFonts w:hint="eastAsia" w:ascii="宋体" w:hAnsi="宋体"/>
                <w:b/>
                <w:sz w:val="28"/>
              </w:rPr>
              <w:t xml:space="preserve">角 </w:t>
            </w:r>
            <w:r>
              <w:rPr>
                <w:rFonts w:hint="eastAsia" w:ascii="宋体" w:hAnsi="宋体"/>
                <w:b/>
                <w:sz w:val="28"/>
                <w:u w:val="single"/>
              </w:rPr>
              <w:t xml:space="preserve">    </w:t>
            </w:r>
            <w:r>
              <w:rPr>
                <w:rFonts w:hint="eastAsia" w:ascii="宋体" w:hAnsi="宋体"/>
                <w:b/>
                <w:sz w:val="28"/>
              </w:rPr>
              <w:t xml:space="preserve">   分 元/年）</w:t>
            </w:r>
          </w:p>
        </w:tc>
      </w:tr>
    </w:tbl>
    <w:p>
      <w:pPr>
        <w:adjustRightInd w:val="0"/>
        <w:snapToGrid w:val="0"/>
        <w:spacing w:line="500" w:lineRule="exact"/>
        <w:rPr>
          <w:rFonts w:ascii="宋体" w:hAnsi="宋体"/>
          <w:b/>
          <w:sz w:val="28"/>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4"/>
        <w:spacing w:after="0" w:line="360" w:lineRule="auto"/>
        <w:ind w:firstLine="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说明：1.投标人的每一项报价内容中应包含人工作业成本、机械化作业成本、管理成本、合理利润、税费等所有费用；</w:t>
      </w:r>
    </w:p>
    <w:p>
      <w:pPr>
        <w:pStyle w:val="14"/>
        <w:spacing w:after="0" w:line="360" w:lineRule="auto"/>
        <w:ind w:firstLine="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2.此表最终报价（分项报价合计）须与3.3.2所投包件开标一览表一致；</w:t>
      </w:r>
    </w:p>
    <w:p>
      <w:pPr>
        <w:pStyle w:val="3"/>
        <w:ind w:firstLine="0" w:firstLineChars="0"/>
      </w:pPr>
    </w:p>
    <w:p>
      <w:pPr>
        <w:adjustRightInd w:val="0"/>
        <w:snapToGrid w:val="0"/>
        <w:spacing w:line="500" w:lineRule="exact"/>
        <w:rPr>
          <w:rFonts w:ascii="宋体" w:hAnsi="宋体"/>
          <w:b/>
          <w:sz w:val="28"/>
        </w:rPr>
      </w:pPr>
      <w:r>
        <w:rPr>
          <w:rFonts w:hint="eastAsia" w:ascii="宋体" w:hAnsi="宋体"/>
          <w:b/>
          <w:sz w:val="28"/>
          <w:lang w:val="en-US" w:eastAsia="zh-CN"/>
        </w:rPr>
        <w:t>3.3.3.2</w:t>
      </w:r>
      <w:r>
        <w:rPr>
          <w:rFonts w:hint="eastAsia" w:ascii="宋体" w:hAnsi="宋体"/>
          <w:b/>
          <w:sz w:val="28"/>
        </w:rPr>
        <w:t>包件号：2</w:t>
      </w:r>
    </w:p>
    <w:p>
      <w:pPr>
        <w:snapToGrid w:val="0"/>
        <w:spacing w:line="440" w:lineRule="exact"/>
        <w:ind w:right="-624" w:rightChars="-297"/>
        <w:rPr>
          <w:rFonts w:ascii="宋体" w:hAnsi="宋体"/>
          <w:b/>
          <w:sz w:val="28"/>
        </w:rPr>
      </w:pPr>
      <w:r>
        <w:rPr>
          <w:rFonts w:hint="eastAsia" w:ascii="宋体" w:hAnsi="宋体"/>
          <w:b/>
          <w:sz w:val="28"/>
        </w:rPr>
        <w:t>项目名称：</w:t>
      </w:r>
      <w:r>
        <w:rPr>
          <w:rFonts w:hint="eastAsia" w:ascii="宋体" w:hAnsi="宋体"/>
          <w:b/>
          <w:sz w:val="28"/>
          <w:szCs w:val="28"/>
          <w:u w:val="single"/>
        </w:rPr>
        <w:t>成都市双流区人民政府九江街道办事处环卫作业及绿化管护服务采购项目</w:t>
      </w:r>
    </w:p>
    <w:p>
      <w:pPr>
        <w:tabs>
          <w:tab w:val="left" w:pos="7560"/>
        </w:tabs>
        <w:spacing w:after="180" w:line="440" w:lineRule="exact"/>
        <w:rPr>
          <w:rFonts w:hint="eastAsia" w:ascii="宋体" w:hAnsi="宋体" w:eastAsia="宋体"/>
          <w:b/>
          <w:sz w:val="28"/>
          <w:szCs w:val="20"/>
          <w:lang w:eastAsia="zh-CN"/>
        </w:rPr>
      </w:pPr>
      <w:r>
        <w:rPr>
          <w:rFonts w:hint="eastAsia" w:ascii="宋体" w:hAnsi="宋体"/>
          <w:b/>
          <w:sz w:val="28"/>
          <w:szCs w:val="20"/>
        </w:rPr>
        <w:t>项目编号：</w:t>
      </w:r>
      <w:r>
        <w:rPr>
          <w:rFonts w:hint="eastAsia" w:ascii="宋体" w:hAnsi="宋体"/>
          <w:b/>
          <w:sz w:val="28"/>
          <w:szCs w:val="20"/>
          <w:u w:val="single"/>
          <w:lang w:eastAsia="zh-CN"/>
        </w:rPr>
        <w:t xml:space="preserve">双流政采（2021）A0005号 </w:t>
      </w:r>
    </w:p>
    <w:tbl>
      <w:tblPr>
        <w:tblStyle w:val="45"/>
        <w:tblpPr w:leftFromText="180" w:rightFromText="180" w:vertAnchor="text" w:tblpX="-35" w:tblpY="363"/>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3195"/>
        <w:gridCol w:w="2247"/>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序号</w:t>
            </w:r>
          </w:p>
        </w:tc>
        <w:tc>
          <w:tcPr>
            <w:tcW w:w="3195" w:type="dxa"/>
          </w:tcPr>
          <w:p>
            <w:pPr>
              <w:pStyle w:val="2"/>
              <w:spacing w:line="500" w:lineRule="exact"/>
              <w:rPr>
                <w:rFonts w:ascii="宋体" w:hAnsi="宋体"/>
                <w:b/>
                <w:sz w:val="28"/>
              </w:rPr>
            </w:pPr>
            <w:r>
              <w:rPr>
                <w:rFonts w:hint="eastAsia" w:ascii="宋体" w:hAnsi="宋体"/>
                <w:b/>
                <w:sz w:val="28"/>
              </w:rPr>
              <w:t>服务内容</w:t>
            </w:r>
          </w:p>
        </w:tc>
        <w:tc>
          <w:tcPr>
            <w:tcW w:w="2247" w:type="dxa"/>
          </w:tcPr>
          <w:p>
            <w:pPr>
              <w:pStyle w:val="2"/>
              <w:spacing w:line="500" w:lineRule="exact"/>
              <w:rPr>
                <w:rFonts w:ascii="宋体" w:hAnsi="宋体"/>
                <w:b/>
                <w:sz w:val="28"/>
              </w:rPr>
            </w:pPr>
            <w:r>
              <w:rPr>
                <w:rFonts w:hint="eastAsia" w:ascii="宋体" w:hAnsi="宋体"/>
                <w:b/>
                <w:sz w:val="28"/>
              </w:rPr>
              <w:t>分项最高限价（元/年）</w:t>
            </w:r>
          </w:p>
        </w:tc>
        <w:tc>
          <w:tcPr>
            <w:tcW w:w="2482" w:type="dxa"/>
          </w:tcPr>
          <w:p>
            <w:pPr>
              <w:pStyle w:val="2"/>
              <w:spacing w:line="500" w:lineRule="exact"/>
              <w:rPr>
                <w:rFonts w:ascii="宋体" w:hAnsi="宋体"/>
                <w:b/>
                <w:sz w:val="28"/>
              </w:rPr>
            </w:pPr>
            <w:r>
              <w:rPr>
                <w:rFonts w:hint="eastAsia" w:ascii="宋体" w:hAnsi="宋体"/>
                <w:b/>
                <w:sz w:val="28"/>
              </w:rPr>
              <w:t>分项报价（元/年）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1</w:t>
            </w:r>
          </w:p>
        </w:tc>
        <w:tc>
          <w:tcPr>
            <w:tcW w:w="3195" w:type="dxa"/>
          </w:tcPr>
          <w:p>
            <w:pPr>
              <w:adjustRightInd w:val="0"/>
              <w:snapToGrid w:val="0"/>
              <w:spacing w:line="500" w:lineRule="exact"/>
              <w:rPr>
                <w:rFonts w:ascii="宋体" w:hAnsi="宋体"/>
                <w:b/>
                <w:sz w:val="28"/>
              </w:rPr>
            </w:pPr>
            <w:r>
              <w:rPr>
                <w:rFonts w:hint="eastAsia" w:ascii="宋体" w:hAnsi="宋体"/>
                <w:b/>
                <w:sz w:val="28"/>
              </w:rPr>
              <w:t>环境卫生作业</w:t>
            </w:r>
          </w:p>
        </w:tc>
        <w:tc>
          <w:tcPr>
            <w:tcW w:w="2247" w:type="dxa"/>
            <w:vAlign w:val="center"/>
          </w:tcPr>
          <w:p>
            <w:pPr>
              <w:widowControl/>
              <w:spacing w:line="500" w:lineRule="exact"/>
              <w:jc w:val="left"/>
              <w:textAlignment w:val="center"/>
              <w:rPr>
                <w:rFonts w:ascii="宋体" w:hAnsi="宋体"/>
                <w:b/>
                <w:sz w:val="28"/>
              </w:rPr>
            </w:pPr>
            <w:r>
              <w:rPr>
                <w:rFonts w:hint="eastAsia" w:ascii="宋体" w:hAnsi="宋体"/>
                <w:b/>
                <w:sz w:val="28"/>
              </w:rPr>
              <w:t>6543426.70</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2</w:t>
            </w:r>
          </w:p>
        </w:tc>
        <w:tc>
          <w:tcPr>
            <w:tcW w:w="3195" w:type="dxa"/>
          </w:tcPr>
          <w:p>
            <w:pPr>
              <w:pStyle w:val="2"/>
              <w:spacing w:line="500" w:lineRule="exact"/>
              <w:rPr>
                <w:rFonts w:ascii="宋体" w:hAnsi="宋体"/>
                <w:b/>
                <w:sz w:val="28"/>
              </w:rPr>
            </w:pPr>
            <w:r>
              <w:rPr>
                <w:rFonts w:hint="eastAsia" w:ascii="宋体" w:hAnsi="宋体"/>
                <w:b/>
                <w:sz w:val="28"/>
              </w:rPr>
              <w:t>河道保洁</w:t>
            </w:r>
          </w:p>
        </w:tc>
        <w:tc>
          <w:tcPr>
            <w:tcW w:w="2247" w:type="dxa"/>
            <w:vAlign w:val="center"/>
          </w:tcPr>
          <w:p>
            <w:pPr>
              <w:widowControl/>
              <w:spacing w:line="500" w:lineRule="exact"/>
              <w:jc w:val="left"/>
              <w:textAlignment w:val="center"/>
              <w:rPr>
                <w:rFonts w:ascii="宋体" w:hAnsi="宋体"/>
                <w:b/>
                <w:sz w:val="28"/>
              </w:rPr>
            </w:pPr>
            <w:r>
              <w:rPr>
                <w:rFonts w:hint="eastAsia" w:ascii="宋体" w:hAnsi="宋体"/>
                <w:b/>
                <w:sz w:val="28"/>
              </w:rPr>
              <w:t>838201.20</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3</w:t>
            </w:r>
          </w:p>
        </w:tc>
        <w:tc>
          <w:tcPr>
            <w:tcW w:w="3195" w:type="dxa"/>
          </w:tcPr>
          <w:p>
            <w:pPr>
              <w:pStyle w:val="2"/>
              <w:spacing w:line="500" w:lineRule="exact"/>
              <w:rPr>
                <w:rFonts w:ascii="宋体" w:hAnsi="宋体"/>
                <w:b/>
                <w:sz w:val="28"/>
              </w:rPr>
            </w:pPr>
            <w:r>
              <w:rPr>
                <w:rFonts w:hint="eastAsia" w:ascii="宋体" w:hAnsi="宋体"/>
                <w:b/>
                <w:sz w:val="28"/>
              </w:rPr>
              <w:t>绿化管护</w:t>
            </w:r>
          </w:p>
        </w:tc>
        <w:tc>
          <w:tcPr>
            <w:tcW w:w="2247" w:type="dxa"/>
            <w:vAlign w:val="center"/>
          </w:tcPr>
          <w:p>
            <w:pPr>
              <w:widowControl/>
              <w:spacing w:line="500" w:lineRule="exact"/>
              <w:jc w:val="left"/>
              <w:textAlignment w:val="center"/>
              <w:rPr>
                <w:rFonts w:ascii="宋体" w:hAnsi="宋体"/>
                <w:b/>
                <w:sz w:val="28"/>
              </w:rPr>
            </w:pPr>
            <w:r>
              <w:rPr>
                <w:rFonts w:hint="eastAsia" w:ascii="宋体" w:hAnsi="宋体"/>
                <w:b/>
                <w:sz w:val="28"/>
              </w:rPr>
              <w:t>18466.08</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6" w:type="dxa"/>
          </w:tcPr>
          <w:p>
            <w:pPr>
              <w:pStyle w:val="2"/>
              <w:spacing w:line="500" w:lineRule="exact"/>
              <w:rPr>
                <w:rFonts w:ascii="宋体" w:hAnsi="宋体"/>
                <w:b/>
                <w:sz w:val="28"/>
              </w:rPr>
            </w:pPr>
            <w:r>
              <w:rPr>
                <w:rFonts w:hint="eastAsia" w:ascii="宋体" w:hAnsi="宋体"/>
                <w:b/>
                <w:sz w:val="28"/>
              </w:rPr>
              <w:t>4</w:t>
            </w:r>
          </w:p>
        </w:tc>
        <w:tc>
          <w:tcPr>
            <w:tcW w:w="3195" w:type="dxa"/>
          </w:tcPr>
          <w:p>
            <w:pPr>
              <w:pStyle w:val="2"/>
              <w:spacing w:line="500" w:lineRule="exact"/>
              <w:rPr>
                <w:rFonts w:ascii="宋体" w:hAnsi="宋体" w:cs="宋体"/>
                <w:bCs/>
                <w:szCs w:val="24"/>
              </w:rPr>
            </w:pPr>
            <w:r>
              <w:rPr>
                <w:rFonts w:hint="eastAsia" w:ascii="宋体" w:hAnsi="宋体"/>
                <w:b/>
                <w:sz w:val="28"/>
              </w:rPr>
              <w:t>垃圾清运</w:t>
            </w:r>
          </w:p>
        </w:tc>
        <w:tc>
          <w:tcPr>
            <w:tcW w:w="2247" w:type="dxa"/>
          </w:tcPr>
          <w:p>
            <w:pPr>
              <w:pStyle w:val="2"/>
              <w:spacing w:line="500" w:lineRule="exact"/>
              <w:rPr>
                <w:rFonts w:ascii="宋体" w:hAnsi="宋体"/>
                <w:b/>
                <w:sz w:val="28"/>
              </w:rPr>
            </w:pPr>
            <w:r>
              <w:rPr>
                <w:rFonts w:hint="eastAsia" w:ascii="宋体" w:hAnsi="宋体"/>
                <w:b/>
                <w:sz w:val="28"/>
              </w:rPr>
              <w:t>1373477.28</w:t>
            </w:r>
          </w:p>
        </w:tc>
        <w:tc>
          <w:tcPr>
            <w:tcW w:w="2482" w:type="dxa"/>
            <w:vAlign w:val="center"/>
          </w:tcPr>
          <w:p>
            <w:pPr>
              <w:adjustRightInd w:val="0"/>
              <w:snapToGrid w:val="0"/>
              <w:spacing w:line="500" w:lineRule="exac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520" w:type="dxa"/>
            <w:gridSpan w:val="4"/>
          </w:tcPr>
          <w:p>
            <w:pPr>
              <w:adjustRightInd w:val="0"/>
              <w:snapToGrid w:val="0"/>
              <w:spacing w:line="500" w:lineRule="exact"/>
              <w:rPr>
                <w:rFonts w:ascii="宋体" w:hAnsi="宋体"/>
                <w:b/>
                <w:bCs/>
                <w:sz w:val="28"/>
              </w:rPr>
            </w:pPr>
            <w:r>
              <w:rPr>
                <w:rFonts w:hint="eastAsia" w:ascii="宋体" w:hAnsi="宋体"/>
                <w:b/>
                <w:sz w:val="28"/>
              </w:rPr>
              <w:t>最终报价（分项报价合计）：</w:t>
            </w:r>
            <w:r>
              <w:rPr>
                <w:rFonts w:hint="eastAsia" w:ascii="宋体" w:hAnsi="宋体"/>
                <w:b/>
                <w:sz w:val="28"/>
                <w:u w:val="single"/>
              </w:rPr>
              <w:t xml:space="preserve">                 </w:t>
            </w:r>
            <w:r>
              <w:rPr>
                <w:rFonts w:hint="eastAsia" w:ascii="宋体" w:hAnsi="宋体"/>
                <w:b/>
                <w:bCs/>
                <w:sz w:val="28"/>
              </w:rPr>
              <w:t>元/年</w:t>
            </w:r>
          </w:p>
          <w:p>
            <w:pPr>
              <w:adjustRightInd w:val="0"/>
              <w:snapToGrid w:val="0"/>
              <w:spacing w:line="500" w:lineRule="exact"/>
              <w:rPr>
                <w:rFonts w:ascii="宋体" w:hAnsi="宋体"/>
                <w:b/>
                <w:sz w:val="28"/>
              </w:rPr>
            </w:pPr>
            <w:r>
              <w:rPr>
                <w:rFonts w:hint="eastAsia" w:ascii="宋体" w:hAnsi="宋体"/>
                <w:b/>
                <w:sz w:val="28"/>
              </w:rPr>
              <w:t>（大写：</w:t>
            </w:r>
            <w:r>
              <w:rPr>
                <w:rFonts w:hint="eastAsia" w:ascii="宋体" w:hAnsi="宋体"/>
                <w:b/>
                <w:sz w:val="28"/>
                <w:u w:val="single"/>
              </w:rPr>
              <w:t xml:space="preserve">    </w:t>
            </w:r>
            <w:r>
              <w:rPr>
                <w:rFonts w:hint="eastAsia" w:ascii="宋体" w:hAnsi="宋体"/>
                <w:b/>
                <w:sz w:val="28"/>
              </w:rPr>
              <w:t>仟</w:t>
            </w:r>
            <w:r>
              <w:rPr>
                <w:rFonts w:hint="eastAsia" w:ascii="宋体" w:hAnsi="宋体"/>
                <w:b/>
                <w:sz w:val="28"/>
                <w:u w:val="single"/>
              </w:rPr>
              <w:t xml:space="preserve">    </w:t>
            </w:r>
            <w:r>
              <w:rPr>
                <w:rFonts w:hint="eastAsia" w:ascii="宋体" w:hAnsi="宋体"/>
                <w:b/>
                <w:sz w:val="28"/>
              </w:rPr>
              <w:t>佰</w:t>
            </w:r>
            <w:r>
              <w:rPr>
                <w:rFonts w:hint="eastAsia" w:ascii="宋体" w:hAnsi="宋体"/>
                <w:b/>
                <w:sz w:val="28"/>
                <w:u w:val="single"/>
              </w:rPr>
              <w:t xml:space="preserve">    </w:t>
            </w:r>
            <w:r>
              <w:rPr>
                <w:rFonts w:hint="eastAsia" w:ascii="宋体" w:hAnsi="宋体"/>
                <w:b/>
                <w:sz w:val="28"/>
              </w:rPr>
              <w:t xml:space="preserve"> 拾 </w:t>
            </w:r>
            <w:r>
              <w:rPr>
                <w:rFonts w:hint="eastAsia" w:ascii="宋体" w:hAnsi="宋体"/>
                <w:b/>
                <w:sz w:val="28"/>
                <w:u w:val="single"/>
              </w:rPr>
              <w:t xml:space="preserve">    </w:t>
            </w:r>
            <w:r>
              <w:rPr>
                <w:rFonts w:hint="eastAsia" w:ascii="宋体" w:hAnsi="宋体"/>
                <w:b/>
                <w:sz w:val="28"/>
              </w:rPr>
              <w:t>万</w:t>
            </w:r>
            <w:r>
              <w:rPr>
                <w:rFonts w:hint="eastAsia" w:ascii="宋体" w:hAnsi="宋体"/>
                <w:b/>
                <w:sz w:val="28"/>
                <w:u w:val="single"/>
              </w:rPr>
              <w:t xml:space="preserve">    </w:t>
            </w:r>
            <w:r>
              <w:rPr>
                <w:rFonts w:hint="eastAsia" w:ascii="宋体" w:hAnsi="宋体"/>
                <w:b/>
                <w:sz w:val="28"/>
              </w:rPr>
              <w:t>仟</w:t>
            </w:r>
            <w:r>
              <w:rPr>
                <w:rFonts w:hint="eastAsia" w:ascii="宋体" w:hAnsi="宋体"/>
                <w:b/>
                <w:sz w:val="28"/>
                <w:u w:val="single"/>
              </w:rPr>
              <w:t xml:space="preserve">    </w:t>
            </w:r>
            <w:r>
              <w:rPr>
                <w:rFonts w:hint="eastAsia" w:ascii="宋体" w:hAnsi="宋体"/>
                <w:b/>
                <w:sz w:val="28"/>
              </w:rPr>
              <w:t>佰</w:t>
            </w:r>
            <w:r>
              <w:rPr>
                <w:rFonts w:hint="eastAsia" w:ascii="宋体" w:hAnsi="宋体"/>
                <w:b/>
                <w:sz w:val="28"/>
                <w:u w:val="single"/>
              </w:rPr>
              <w:t xml:space="preserve">    </w:t>
            </w:r>
            <w:r>
              <w:rPr>
                <w:rFonts w:hint="eastAsia" w:ascii="宋体" w:hAnsi="宋体"/>
                <w:b/>
                <w:sz w:val="28"/>
              </w:rPr>
              <w:t>拾</w:t>
            </w:r>
            <w:r>
              <w:rPr>
                <w:rFonts w:hint="eastAsia" w:ascii="宋体" w:hAnsi="宋体"/>
                <w:b/>
                <w:sz w:val="28"/>
                <w:u w:val="single"/>
              </w:rPr>
              <w:t xml:space="preserve">    </w:t>
            </w:r>
            <w:r>
              <w:rPr>
                <w:rFonts w:hint="eastAsia" w:ascii="宋体" w:hAnsi="宋体"/>
                <w:b/>
                <w:sz w:val="28"/>
              </w:rPr>
              <w:t>元</w:t>
            </w:r>
            <w:r>
              <w:rPr>
                <w:rFonts w:hint="eastAsia" w:ascii="宋体" w:hAnsi="宋体"/>
                <w:b/>
                <w:sz w:val="28"/>
                <w:u w:val="single"/>
              </w:rPr>
              <w:t xml:space="preserve">    </w:t>
            </w:r>
            <w:r>
              <w:rPr>
                <w:rFonts w:hint="eastAsia" w:ascii="宋体" w:hAnsi="宋体"/>
                <w:b/>
                <w:sz w:val="28"/>
              </w:rPr>
              <w:t xml:space="preserve">角 </w:t>
            </w:r>
            <w:r>
              <w:rPr>
                <w:rFonts w:hint="eastAsia" w:ascii="宋体" w:hAnsi="宋体"/>
                <w:b/>
                <w:sz w:val="28"/>
                <w:u w:val="single"/>
              </w:rPr>
              <w:t xml:space="preserve">    </w:t>
            </w:r>
            <w:r>
              <w:rPr>
                <w:rFonts w:hint="eastAsia" w:ascii="宋体" w:hAnsi="宋体"/>
                <w:b/>
                <w:sz w:val="28"/>
              </w:rPr>
              <w:t xml:space="preserve">   分 元/年）</w:t>
            </w:r>
          </w:p>
        </w:tc>
      </w:tr>
    </w:tbl>
    <w:p>
      <w:pPr>
        <w:tabs>
          <w:tab w:val="left" w:pos="630"/>
          <w:tab w:val="left" w:pos="7560"/>
        </w:tabs>
        <w:spacing w:line="360" w:lineRule="auto"/>
        <w:rPr>
          <w:rFonts w:ascii="宋体" w:hAnsi="宋体"/>
          <w:sz w:val="28"/>
          <w:szCs w:val="28"/>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4"/>
        <w:spacing w:after="0" w:line="360" w:lineRule="auto"/>
        <w:ind w:firstLine="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说明：1.投标人的每一项报价内容中应包含人工作业成本、机械化作业成本、管理成本、合理利润、税费等所有费用；</w:t>
      </w:r>
    </w:p>
    <w:p>
      <w:pPr>
        <w:spacing w:line="360" w:lineRule="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2.此表最终报价（分项报价合计）须与3.3.2所投包件</w:t>
      </w:r>
      <w:r>
        <w:rPr>
          <w:rFonts w:hint="eastAsia" w:ascii="宋体" w:hAnsi="宋体" w:cs="Times New Roman"/>
          <w:b/>
          <w:kern w:val="2"/>
          <w:sz w:val="24"/>
          <w:szCs w:val="24"/>
          <w:lang w:val="en-US" w:eastAsia="zh-CN" w:bidi="ar-SA"/>
        </w:rPr>
        <w:t>开标一览表</w:t>
      </w:r>
      <w:r>
        <w:rPr>
          <w:rFonts w:hint="eastAsia" w:ascii="宋体" w:hAnsi="宋体" w:eastAsia="宋体" w:cs="Times New Roman"/>
          <w:b/>
          <w:kern w:val="2"/>
          <w:sz w:val="24"/>
          <w:szCs w:val="24"/>
          <w:lang w:val="en-US" w:eastAsia="zh-CN" w:bidi="ar-SA"/>
        </w:rPr>
        <w:t>一致；</w:t>
      </w:r>
    </w:p>
    <w:p>
      <w:pPr>
        <w:pStyle w:val="6"/>
        <w:numPr>
          <w:ilvl w:val="2"/>
          <w:numId w:val="1"/>
        </w:numPr>
        <w:spacing w:after="0"/>
        <w:ind w:left="567"/>
        <w:rPr>
          <w:rFonts w:hint="eastAsia"/>
          <w:color w:val="auto"/>
        </w:rPr>
      </w:pPr>
      <w:r>
        <w:rPr>
          <w:rFonts w:hint="eastAsia"/>
          <w:color w:val="auto"/>
        </w:rPr>
        <w:t>法定代表人身份证明书</w:t>
      </w:r>
    </w:p>
    <w:p>
      <w:pPr>
        <w:tabs>
          <w:tab w:val="left" w:pos="6300"/>
        </w:tabs>
        <w:spacing w:line="360" w:lineRule="auto"/>
        <w:ind w:firstLine="573"/>
        <w:rPr>
          <w:rFonts w:hint="eastAsia" w:ascii="宋体" w:hAnsi="宋体"/>
          <w:sz w:val="28"/>
          <w:u w:val="single"/>
          <w:lang w:val="zh-CN"/>
        </w:rPr>
      </w:pPr>
    </w:p>
    <w:p>
      <w:pPr>
        <w:tabs>
          <w:tab w:val="left" w:pos="6300"/>
        </w:tabs>
        <w:spacing w:line="360" w:lineRule="auto"/>
        <w:ind w:firstLine="573"/>
        <w:rPr>
          <w:rFonts w:hint="eastAsia" w:ascii="宋体" w:hAnsi="宋体" w:eastAsia="宋体" w:cs="宋体"/>
          <w:sz w:val="28"/>
          <w:szCs w:val="28"/>
        </w:rPr>
      </w:pPr>
      <w:bookmarkStart w:id="198" w:name="_Toc256175396"/>
      <w:bookmarkStart w:id="199" w:name="_Toc263753602"/>
      <w:bookmarkStart w:id="200" w:name="_Toc181520573"/>
      <w:bookmarkStart w:id="201" w:name="_Toc233512320"/>
      <w:bookmarkStart w:id="202" w:name="_Toc302997919"/>
      <w:bookmarkStart w:id="203" w:name="_Toc263768867"/>
      <w:bookmarkStart w:id="204" w:name="_Toc214858829"/>
      <w:r>
        <w:rPr>
          <w:rFonts w:hint="eastAsia" w:ascii="宋体" w:hAnsi="宋体"/>
          <w:sz w:val="28"/>
          <w:u w:val="single"/>
          <w:lang w:val="zh-CN"/>
        </w:rPr>
        <w:t xml:space="preserve">   </w:t>
      </w:r>
      <w:r>
        <w:rPr>
          <w:rFonts w:hint="eastAsia" w:ascii="宋体" w:hAnsi="宋体"/>
          <w:sz w:val="28"/>
          <w:szCs w:val="28"/>
          <w:u w:val="single"/>
        </w:rPr>
        <w:t>XXXX</w:t>
      </w:r>
      <w:r>
        <w:rPr>
          <w:rFonts w:hint="eastAsia" w:ascii="宋体" w:hAnsi="宋体"/>
          <w:sz w:val="28"/>
          <w:u w:val="single"/>
          <w:lang w:val="zh-CN"/>
        </w:rPr>
        <w:t xml:space="preserve">（法定代表人姓名）   </w:t>
      </w:r>
      <w:r>
        <w:rPr>
          <w:rFonts w:hint="eastAsia" w:ascii="宋体" w:hAnsi="宋体"/>
          <w:sz w:val="28"/>
          <w:lang w:val="zh-CN"/>
        </w:rPr>
        <w:t>在</w:t>
      </w:r>
      <w:r>
        <w:rPr>
          <w:rFonts w:hint="eastAsia" w:ascii="宋体" w:hAnsi="宋体"/>
          <w:sz w:val="28"/>
          <w:u w:val="single"/>
          <w:lang w:val="zh-CN"/>
        </w:rPr>
        <w:t xml:space="preserve">   </w:t>
      </w:r>
      <w:r>
        <w:rPr>
          <w:rFonts w:hint="eastAsia" w:ascii="宋体" w:hAnsi="宋体"/>
          <w:sz w:val="28"/>
          <w:szCs w:val="28"/>
          <w:u w:val="single"/>
        </w:rPr>
        <w:t>XXXX</w:t>
      </w:r>
      <w:r>
        <w:rPr>
          <w:rFonts w:hint="eastAsia" w:ascii="宋体" w:hAnsi="宋体"/>
          <w:sz w:val="28"/>
          <w:u w:val="single"/>
          <w:lang w:val="zh-CN"/>
        </w:rPr>
        <w:t xml:space="preserve"> （投标人名称）  </w:t>
      </w:r>
      <w:r>
        <w:rPr>
          <w:rFonts w:hint="eastAsia" w:ascii="宋体" w:hAnsi="宋体"/>
          <w:sz w:val="28"/>
          <w:lang w:val="zh-CN"/>
        </w:rPr>
        <w:t>处任</w:t>
      </w:r>
      <w:r>
        <w:rPr>
          <w:rFonts w:hint="eastAsia" w:ascii="宋体" w:hAnsi="宋体"/>
          <w:sz w:val="28"/>
          <w:u w:val="single"/>
          <w:lang w:val="zh-CN"/>
        </w:rPr>
        <w:t xml:space="preserve">         （职务名称）        </w:t>
      </w:r>
      <w:r>
        <w:rPr>
          <w:rFonts w:hint="eastAsia" w:ascii="宋体" w:hAnsi="宋体"/>
          <w:sz w:val="28"/>
          <w:lang w:val="zh-CN"/>
        </w:rPr>
        <w:t>职务，是</w:t>
      </w:r>
      <w:r>
        <w:rPr>
          <w:rFonts w:hint="eastAsia" w:ascii="宋体" w:hAnsi="宋体"/>
          <w:sz w:val="28"/>
          <w:u w:val="single"/>
          <w:lang w:val="zh-CN"/>
        </w:rPr>
        <w:t xml:space="preserve">  </w:t>
      </w:r>
      <w:r>
        <w:rPr>
          <w:rFonts w:hint="eastAsia" w:ascii="宋体" w:hAnsi="宋体"/>
          <w:sz w:val="28"/>
          <w:szCs w:val="28"/>
          <w:u w:val="single"/>
        </w:rPr>
        <w:t>XXXX</w:t>
      </w:r>
      <w:r>
        <w:rPr>
          <w:rFonts w:hint="eastAsia" w:ascii="宋体" w:hAnsi="宋体"/>
          <w:sz w:val="28"/>
          <w:u w:val="single"/>
          <w:lang w:val="zh-CN"/>
        </w:rPr>
        <w:t xml:space="preserve">（投标人名称）    </w:t>
      </w:r>
      <w:r>
        <w:rPr>
          <w:rFonts w:hint="eastAsia" w:ascii="宋体" w:hAnsi="宋体"/>
          <w:sz w:val="28"/>
          <w:lang w:val="zh-CN"/>
        </w:rPr>
        <w:t>的法定代表人。</w:t>
      </w:r>
    </w:p>
    <w:p>
      <w:pPr>
        <w:pStyle w:val="14"/>
        <w:ind w:left="0" w:leftChars="0" w:firstLine="0" w:firstLineChars="0"/>
        <w:rPr>
          <w:rFonts w:hint="eastAsia" w:ascii="宋体" w:hAnsi="宋体" w:eastAsia="宋体" w:cs="宋体"/>
          <w:color w:val="000000"/>
        </w:rPr>
      </w:pPr>
      <w:r>
        <w:rPr>
          <w:rFonts w:hint="eastAsia" w:ascii="宋体" w:hAnsi="宋体" w:eastAsia="宋体" w:cs="宋体"/>
          <w:color w:val="000000"/>
        </w:rPr>
        <w:t>法定代表人/单位负责人身份证复印件（正反两面均需提供）：</w:t>
      </w:r>
    </w:p>
    <w:p>
      <w:pPr>
        <w:pStyle w:val="14"/>
        <w:ind w:firstLine="0"/>
        <w:rPr>
          <w:rFonts w:hint="eastAsia" w:ascii="宋体" w:hAnsi="宋体" w:eastAsia="宋体" w:cs="宋体"/>
        </w:rPr>
      </w:pPr>
    </w:p>
    <w:tbl>
      <w:tblPr>
        <w:tblStyle w:val="45"/>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031" w:type="dxa"/>
          </w:tcPr>
          <w:p>
            <w:pPr>
              <w:pStyle w:val="14"/>
              <w:ind w:firstLine="480"/>
              <w:rPr>
                <w:rFonts w:hint="eastAsia" w:ascii="宋体" w:hAnsi="宋体" w:eastAsia="宋体" w:cs="宋体"/>
              </w:rPr>
            </w:pPr>
          </w:p>
          <w:p>
            <w:pPr>
              <w:pStyle w:val="14"/>
              <w:ind w:firstLine="480"/>
              <w:rPr>
                <w:rFonts w:hint="eastAsia" w:ascii="宋体" w:hAnsi="宋体" w:eastAsia="宋体" w:cs="宋体"/>
              </w:rPr>
            </w:pPr>
          </w:p>
          <w:p>
            <w:pPr>
              <w:pStyle w:val="14"/>
              <w:ind w:firstLine="480"/>
              <w:rPr>
                <w:rFonts w:hint="eastAsia" w:ascii="宋体" w:hAnsi="宋体" w:eastAsia="宋体" w:cs="宋体"/>
              </w:rPr>
            </w:pPr>
          </w:p>
          <w:p>
            <w:pPr>
              <w:pStyle w:val="14"/>
              <w:ind w:left="0" w:leftChars="0" w:firstLine="0" w:firstLineChars="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（负责人）</w:t>
            </w:r>
            <w:r>
              <w:rPr>
                <w:rFonts w:hint="eastAsia" w:ascii="宋体" w:hAnsi="宋体" w:eastAsia="宋体" w:cs="宋体"/>
              </w:rPr>
              <w:t>身份证正面</w:t>
            </w:r>
            <w:r>
              <w:rPr>
                <w:rFonts w:hint="eastAsia" w:ascii="宋体" w:hAnsi="宋体" w:eastAsia="宋体" w:cs="宋体"/>
                <w:color w:val="000000"/>
              </w:rPr>
              <w:t>复印件</w:t>
            </w:r>
          </w:p>
          <w:p>
            <w:pPr>
              <w:pStyle w:val="14"/>
              <w:ind w:firstLine="480"/>
              <w:rPr>
                <w:rFonts w:hint="eastAsia" w:ascii="宋体" w:hAnsi="宋体" w:eastAsia="宋体" w:cs="宋体"/>
              </w:rPr>
            </w:pPr>
          </w:p>
        </w:tc>
        <w:tc>
          <w:tcPr>
            <w:tcW w:w="469" w:type="dxa"/>
            <w:tcBorders>
              <w:top w:val="nil"/>
              <w:bottom w:val="nil"/>
            </w:tcBorders>
          </w:tcPr>
          <w:p>
            <w:pPr>
              <w:pStyle w:val="14"/>
              <w:ind w:left="621" w:firstLine="480"/>
              <w:rPr>
                <w:rFonts w:hint="eastAsia" w:ascii="宋体" w:hAnsi="宋体" w:eastAsia="宋体" w:cs="宋体"/>
              </w:rPr>
            </w:pPr>
          </w:p>
          <w:p>
            <w:pPr>
              <w:widowControl/>
              <w:jc w:val="left"/>
              <w:rPr>
                <w:rFonts w:hint="eastAsia" w:ascii="宋体" w:hAnsi="宋体" w:eastAsia="宋体" w:cs="宋体"/>
                <w:sz w:val="24"/>
              </w:rPr>
            </w:pPr>
          </w:p>
          <w:p>
            <w:pPr>
              <w:widowControl/>
              <w:jc w:val="left"/>
              <w:rPr>
                <w:rFonts w:hint="eastAsia" w:ascii="宋体" w:hAnsi="宋体" w:eastAsia="宋体" w:cs="宋体"/>
                <w:sz w:val="24"/>
              </w:rPr>
            </w:pPr>
          </w:p>
          <w:p>
            <w:pPr>
              <w:widowControl/>
              <w:jc w:val="left"/>
              <w:rPr>
                <w:rFonts w:hint="eastAsia" w:ascii="宋体" w:hAnsi="宋体" w:eastAsia="宋体" w:cs="宋体"/>
                <w:sz w:val="24"/>
              </w:rPr>
            </w:pPr>
          </w:p>
          <w:p>
            <w:pPr>
              <w:widowControl/>
              <w:jc w:val="left"/>
              <w:rPr>
                <w:rFonts w:hint="eastAsia" w:ascii="宋体" w:hAnsi="宋体" w:eastAsia="宋体" w:cs="宋体"/>
                <w:sz w:val="24"/>
              </w:rPr>
            </w:pPr>
          </w:p>
          <w:p>
            <w:pPr>
              <w:pStyle w:val="14"/>
              <w:ind w:firstLine="480"/>
              <w:rPr>
                <w:rFonts w:hint="eastAsia" w:ascii="宋体" w:hAnsi="宋体" w:eastAsia="宋体" w:cs="宋体"/>
              </w:rPr>
            </w:pPr>
          </w:p>
        </w:tc>
        <w:tc>
          <w:tcPr>
            <w:tcW w:w="4207" w:type="dxa"/>
          </w:tcPr>
          <w:p>
            <w:pPr>
              <w:pStyle w:val="14"/>
              <w:ind w:firstLine="480"/>
              <w:rPr>
                <w:rFonts w:hint="eastAsia" w:ascii="宋体" w:hAnsi="宋体" w:eastAsia="宋体" w:cs="宋体"/>
              </w:rPr>
            </w:pPr>
          </w:p>
          <w:p>
            <w:pPr>
              <w:pStyle w:val="14"/>
              <w:ind w:firstLine="480"/>
              <w:rPr>
                <w:rFonts w:hint="eastAsia" w:ascii="宋体" w:hAnsi="宋体" w:eastAsia="宋体" w:cs="宋体"/>
              </w:rPr>
            </w:pPr>
          </w:p>
          <w:p>
            <w:pPr>
              <w:pStyle w:val="14"/>
              <w:ind w:firstLine="480"/>
              <w:rPr>
                <w:rFonts w:hint="eastAsia" w:ascii="宋体" w:hAnsi="宋体" w:eastAsia="宋体" w:cs="宋体"/>
              </w:rPr>
            </w:pPr>
          </w:p>
          <w:p>
            <w:pPr>
              <w:pStyle w:val="14"/>
              <w:ind w:left="0" w:leftChars="0" w:firstLine="0" w:firstLineChars="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（负责人）</w:t>
            </w:r>
            <w:r>
              <w:rPr>
                <w:rFonts w:hint="eastAsia" w:ascii="宋体" w:hAnsi="宋体" w:eastAsia="宋体" w:cs="宋体"/>
              </w:rPr>
              <w:t>身份证反面</w:t>
            </w:r>
            <w:r>
              <w:rPr>
                <w:rFonts w:hint="eastAsia" w:ascii="宋体" w:hAnsi="宋体" w:eastAsia="宋体" w:cs="宋体"/>
                <w:color w:val="000000"/>
              </w:rPr>
              <w:t>复印件</w:t>
            </w:r>
          </w:p>
          <w:p>
            <w:pPr>
              <w:pStyle w:val="14"/>
              <w:ind w:firstLine="1417" w:firstLineChars="675"/>
              <w:rPr>
                <w:rFonts w:hint="eastAsia" w:ascii="宋体" w:hAnsi="宋体" w:eastAsia="宋体" w:cs="宋体"/>
              </w:rPr>
            </w:pPr>
          </w:p>
        </w:tc>
      </w:tr>
    </w:tbl>
    <w:p>
      <w:pPr>
        <w:tabs>
          <w:tab w:val="left" w:pos="6300"/>
        </w:tabs>
        <w:spacing w:line="360" w:lineRule="auto"/>
        <w:ind w:firstLine="573"/>
        <w:rPr>
          <w:rFonts w:ascii="宋体" w:hAnsi="宋体"/>
          <w:sz w:val="28"/>
          <w:lang w:val="zh-CN"/>
        </w:rPr>
      </w:pPr>
      <w:bookmarkStart w:id="205" w:name="_Toc263768866"/>
      <w:r>
        <w:rPr>
          <w:rFonts w:hint="eastAsia" w:ascii="宋体" w:hAnsi="宋体"/>
          <w:sz w:val="28"/>
          <w:lang w:val="zh-CN"/>
        </w:rPr>
        <w:t>特此证明。</w:t>
      </w:r>
      <w:bookmarkEnd w:id="205"/>
    </w:p>
    <w:p>
      <w:pPr>
        <w:spacing w:after="180" w:line="360" w:lineRule="auto"/>
        <w:ind w:firstLine="568" w:firstLineChars="202"/>
        <w:rPr>
          <w:rFonts w:hint="eastAsia" w:ascii="宋体" w:hAnsi="宋体"/>
          <w:b/>
          <w:sz w:val="28"/>
          <w:szCs w:val="28"/>
        </w:rPr>
      </w:pPr>
    </w:p>
    <w:p>
      <w:pPr>
        <w:spacing w:after="180" w:line="360" w:lineRule="auto"/>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pStyle w:val="14"/>
      </w:pPr>
    </w:p>
    <w:p>
      <w:pPr>
        <w:spacing w:line="360" w:lineRule="auto"/>
        <w:jc w:val="center"/>
        <w:rPr>
          <w:rFonts w:ascii="宋体" w:hAnsi="宋体"/>
          <w:sz w:val="28"/>
          <w:lang w:val="zh-CN"/>
        </w:rPr>
      </w:pPr>
      <w:r>
        <w:rPr>
          <w:rFonts w:hint="eastAsia" w:ascii="宋体" w:hAnsi="宋体"/>
          <w:sz w:val="28"/>
          <w:lang w:val="en-US" w:eastAsia="zh-CN"/>
        </w:rPr>
        <w:t xml:space="preserve">                             </w:t>
      </w:r>
      <w:r>
        <w:rPr>
          <w:rFonts w:hint="eastAsia" w:ascii="宋体" w:hAnsi="宋体"/>
          <w:sz w:val="28"/>
          <w:lang w:val="zh-CN"/>
        </w:rPr>
        <w:t>投标人名称：</w:t>
      </w:r>
      <w:r>
        <w:rPr>
          <w:rFonts w:hint="eastAsia" w:ascii="宋体" w:hAnsi="宋体"/>
          <w:sz w:val="28"/>
          <w:szCs w:val="28"/>
          <w:u w:val="single"/>
        </w:rPr>
        <w:t>XXXX</w:t>
      </w:r>
    </w:p>
    <w:p>
      <w:pPr>
        <w:spacing w:line="360" w:lineRule="auto"/>
        <w:jc w:val="right"/>
        <w:rPr>
          <w:rFonts w:ascii="宋体" w:hAnsi="宋体"/>
          <w:sz w:val="28"/>
          <w:szCs w:val="28"/>
        </w:rPr>
      </w:pPr>
      <w:r>
        <w:rPr>
          <w:rFonts w:hint="eastAsia" w:ascii="宋体" w:hAnsi="宋体"/>
          <w:sz w:val="28"/>
        </w:rPr>
        <w:t>日期：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u w:val="single"/>
        </w:rPr>
        <w:t xml:space="preserve"> </w:t>
      </w:r>
      <w:r>
        <w:rPr>
          <w:rFonts w:hint="eastAsia" w:ascii="宋体" w:hAnsi="宋体"/>
          <w:sz w:val="28"/>
        </w:rPr>
        <w:t>年</w:t>
      </w:r>
      <w:r>
        <w:rPr>
          <w:rFonts w:hint="eastAsia" w:ascii="宋体" w:hAnsi="宋体"/>
          <w:sz w:val="28"/>
          <w:szCs w:val="28"/>
          <w:u w:val="single"/>
        </w:rPr>
        <w:t>XX</w:t>
      </w:r>
      <w:r>
        <w:rPr>
          <w:rFonts w:hint="eastAsia" w:ascii="宋体" w:hAnsi="宋体"/>
          <w:sz w:val="28"/>
        </w:rPr>
        <w:t>月</w:t>
      </w:r>
      <w:r>
        <w:rPr>
          <w:rFonts w:hint="eastAsia" w:ascii="宋体" w:hAnsi="宋体"/>
          <w:sz w:val="28"/>
          <w:szCs w:val="28"/>
          <w:u w:val="single"/>
        </w:rPr>
        <w:t>XX</w:t>
      </w:r>
      <w:r>
        <w:rPr>
          <w:rFonts w:hint="eastAsia" w:ascii="宋体" w:hAnsi="宋体"/>
          <w:sz w:val="28"/>
        </w:rPr>
        <w:t>日</w:t>
      </w:r>
    </w:p>
    <w:p>
      <w:pPr>
        <w:pStyle w:val="6"/>
        <w:numPr>
          <w:ilvl w:val="2"/>
          <w:numId w:val="1"/>
        </w:numPr>
        <w:spacing w:after="0"/>
        <w:ind w:left="567"/>
        <w:rPr>
          <w:rFonts w:hint="eastAsia"/>
          <w:color w:val="auto"/>
        </w:rPr>
      </w:pPr>
      <w:r>
        <w:rPr>
          <w:rFonts w:hint="eastAsia"/>
          <w:color w:val="auto"/>
          <w:lang w:val="en-US" w:eastAsia="zh-CN"/>
        </w:rPr>
        <w:t xml:space="preserve"> </w:t>
      </w:r>
      <w:bookmarkEnd w:id="198"/>
      <w:bookmarkEnd w:id="199"/>
      <w:bookmarkEnd w:id="200"/>
      <w:bookmarkEnd w:id="201"/>
      <w:bookmarkEnd w:id="202"/>
      <w:bookmarkEnd w:id="203"/>
      <w:bookmarkEnd w:id="204"/>
      <w:bookmarkStart w:id="206" w:name="_Toc448132270"/>
      <w:bookmarkStart w:id="207" w:name="_Toc430250269"/>
      <w:r>
        <w:rPr>
          <w:rFonts w:hint="eastAsia"/>
          <w:color w:val="auto"/>
        </w:rPr>
        <w:t>中小企业</w:t>
      </w:r>
      <w:r>
        <w:rPr>
          <w:rFonts w:hint="eastAsia"/>
          <w:color w:val="auto"/>
          <w:lang w:eastAsia="zh-CN"/>
        </w:rPr>
        <w:t>声明</w:t>
      </w:r>
      <w:r>
        <w:rPr>
          <w:rFonts w:hint="eastAsia"/>
          <w:color w:val="auto"/>
        </w:rPr>
        <w:t>函</w:t>
      </w:r>
      <w:bookmarkEnd w:id="206"/>
    </w:p>
    <w:bookmarkEnd w:id="188"/>
    <w:bookmarkEnd w:id="189"/>
    <w:bookmarkEnd w:id="190"/>
    <w:bookmarkEnd w:id="191"/>
    <w:bookmarkEnd w:id="192"/>
    <w:bookmarkEnd w:id="193"/>
    <w:bookmarkEnd w:id="194"/>
    <w:bookmarkEnd w:id="195"/>
    <w:bookmarkEnd w:id="196"/>
    <w:bookmarkEnd w:id="207"/>
    <w:p>
      <w:pPr>
        <w:spacing w:line="500" w:lineRule="exact"/>
        <w:jc w:val="center"/>
        <w:rPr>
          <w:rFonts w:ascii="宋体" w:hAnsi="宋体"/>
          <w:b/>
          <w:spacing w:val="6"/>
          <w:sz w:val="28"/>
          <w:szCs w:val="28"/>
        </w:rPr>
      </w:pPr>
      <w:bookmarkStart w:id="208" w:name="_Toc302997926"/>
      <w:bookmarkStart w:id="209" w:name="_Toc263753605"/>
      <w:bookmarkStart w:id="210" w:name="_Toc220299393"/>
      <w:bookmarkStart w:id="211" w:name="_Toc263768870"/>
      <w:bookmarkStart w:id="212" w:name="_Toc217446083"/>
      <w:r>
        <w:rPr>
          <w:rFonts w:hint="eastAsia" w:ascii="宋体" w:hAnsi="宋体"/>
          <w:b/>
          <w:spacing w:val="6"/>
          <w:sz w:val="28"/>
          <w:szCs w:val="28"/>
        </w:rPr>
        <w:t>中小企业</w:t>
      </w:r>
      <w:r>
        <w:rPr>
          <w:rFonts w:hint="eastAsia" w:ascii="宋体" w:hAnsi="宋体"/>
          <w:b/>
          <w:spacing w:val="6"/>
          <w:sz w:val="28"/>
          <w:szCs w:val="28"/>
          <w:lang w:eastAsia="zh-CN"/>
        </w:rPr>
        <w:t>声明</w:t>
      </w:r>
      <w:r>
        <w:rPr>
          <w:rFonts w:hint="eastAsia" w:ascii="宋体" w:hAnsi="宋体"/>
          <w:b/>
          <w:spacing w:val="6"/>
          <w:sz w:val="28"/>
          <w:szCs w:val="28"/>
        </w:rPr>
        <w:t>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w:t>
      </w:r>
      <w:r>
        <w:rPr>
          <w:rFonts w:hint="eastAsia" w:ascii="宋体" w:hAnsi="宋体"/>
          <w:spacing w:val="6"/>
          <w:sz w:val="28"/>
          <w:szCs w:val="28"/>
          <w:lang w:eastAsia="zh-CN"/>
        </w:rPr>
        <w:t>声明</w:t>
      </w:r>
      <w:r>
        <w:rPr>
          <w:rFonts w:hint="eastAsia" w:ascii="宋体" w:hAnsi="宋体"/>
          <w:spacing w:val="6"/>
          <w:sz w:val="28"/>
          <w:szCs w:val="28"/>
        </w:rPr>
        <w:t>，根据《政府采购促进中小企业发展管理办法》（财库〔2020〕46号）的规定，本公司参加</w:t>
      </w:r>
      <w:r>
        <w:rPr>
          <w:rFonts w:hint="eastAsia" w:ascii="宋体" w:hAnsi="宋体"/>
          <w:b/>
          <w:sz w:val="28"/>
          <w:szCs w:val="28"/>
          <w:u w:val="single"/>
          <w:lang w:eastAsia="zh-CN"/>
        </w:rPr>
        <w:t>成都市双流区人民政府九江街道办事处环卫作业及绿化管护服务采购项目</w:t>
      </w:r>
      <w:r>
        <w:rPr>
          <w:rFonts w:hint="eastAsia" w:ascii="宋体" w:hAnsi="宋体"/>
          <w:b/>
          <w:sz w:val="28"/>
          <w:szCs w:val="28"/>
          <w:u w:val="single"/>
        </w:rPr>
        <w:t>（项目编号：</w:t>
      </w:r>
      <w:r>
        <w:rPr>
          <w:rFonts w:hint="eastAsia" w:ascii="宋体" w:hAnsi="宋体"/>
          <w:b/>
          <w:sz w:val="28"/>
          <w:szCs w:val="28"/>
          <w:u w:val="single"/>
          <w:lang w:eastAsia="zh-CN"/>
        </w:rPr>
        <w:t xml:space="preserve">双流政采（2021）A0005号 </w:t>
      </w:r>
      <w:r>
        <w:rPr>
          <w:rFonts w:hint="eastAsia" w:ascii="宋体" w:hAnsi="宋体"/>
          <w:b/>
          <w:sz w:val="28"/>
          <w:szCs w:val="28"/>
          <w:u w:val="single"/>
        </w:rPr>
        <w:t>）</w:t>
      </w:r>
      <w:r>
        <w:rPr>
          <w:rFonts w:hint="eastAsia" w:ascii="宋体" w:hAnsi="宋体"/>
          <w:b/>
          <w:sz w:val="28"/>
          <w:szCs w:val="28"/>
          <w:u w:val="single"/>
          <w:lang w:eastAsia="zh-CN"/>
        </w:rPr>
        <w:t xml:space="preserve">包件号：XXX </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u w:val="single"/>
        </w:rPr>
        <w:t>XXXX（标的名称）</w:t>
      </w:r>
      <w:r>
        <w:rPr>
          <w:rFonts w:hint="eastAsia" w:ascii="宋体" w:hAnsi="宋体"/>
          <w:spacing w:val="6"/>
          <w:sz w:val="28"/>
          <w:szCs w:val="28"/>
        </w:rPr>
        <w:t>，属于</w:t>
      </w:r>
      <w:r>
        <w:rPr>
          <w:rFonts w:hint="eastAsia" w:ascii="宋体" w:hAnsi="宋体"/>
          <w:b w:val="0"/>
          <w:bCs/>
          <w:sz w:val="28"/>
          <w:szCs w:val="28"/>
          <w:lang w:eastAsia="zh-CN"/>
        </w:rPr>
        <w:t>环境卫生管理</w:t>
      </w:r>
      <w:r>
        <w:rPr>
          <w:rFonts w:hint="eastAsia" w:ascii="宋体" w:hAnsi="宋体"/>
          <w:spacing w:val="6"/>
          <w:sz w:val="28"/>
          <w:szCs w:val="28"/>
        </w:rPr>
        <w:t>；承接企业为</w:t>
      </w:r>
      <w:r>
        <w:rPr>
          <w:rFonts w:hint="eastAsia" w:ascii="宋体" w:hAnsi="宋体"/>
          <w:spacing w:val="6"/>
          <w:sz w:val="28"/>
          <w:szCs w:val="28"/>
          <w:u w:val="single"/>
        </w:rPr>
        <w:t>XXXX（企业名称）</w:t>
      </w:r>
      <w:r>
        <w:rPr>
          <w:rFonts w:hint="eastAsia" w:ascii="宋体" w:hAnsi="宋体"/>
          <w:spacing w:val="6"/>
          <w:sz w:val="28"/>
          <w:szCs w:val="28"/>
        </w:rPr>
        <w:t>，从业人员</w:t>
      </w:r>
      <w:r>
        <w:rPr>
          <w:rFonts w:hint="eastAsia" w:ascii="宋体" w:hAnsi="宋体"/>
          <w:spacing w:val="6"/>
          <w:sz w:val="28"/>
          <w:szCs w:val="28"/>
          <w:u w:val="single"/>
        </w:rPr>
        <w:t>XX</w:t>
      </w:r>
      <w:r>
        <w:rPr>
          <w:rFonts w:hint="eastAsia" w:ascii="宋体" w:hAnsi="宋体"/>
          <w:spacing w:val="6"/>
          <w:sz w:val="28"/>
          <w:szCs w:val="28"/>
        </w:rPr>
        <w:t>人，营业收入为</w:t>
      </w:r>
      <w:r>
        <w:rPr>
          <w:rFonts w:hint="eastAsia" w:ascii="宋体" w:hAnsi="宋体"/>
          <w:spacing w:val="6"/>
          <w:sz w:val="28"/>
          <w:szCs w:val="28"/>
          <w:u w:val="single"/>
        </w:rPr>
        <w:t>XX</w:t>
      </w:r>
      <w:r>
        <w:rPr>
          <w:rFonts w:hint="eastAsia" w:ascii="宋体" w:hAnsi="宋体"/>
          <w:spacing w:val="6"/>
          <w:sz w:val="28"/>
          <w:szCs w:val="28"/>
        </w:rPr>
        <w:t>万元，资产总额为</w:t>
      </w:r>
      <w:r>
        <w:rPr>
          <w:rFonts w:hint="eastAsia" w:ascii="宋体" w:hAnsi="宋体"/>
          <w:spacing w:val="6"/>
          <w:sz w:val="28"/>
          <w:szCs w:val="28"/>
          <w:u w:val="single"/>
        </w:rPr>
        <w:t>XX</w:t>
      </w:r>
      <w:r>
        <w:rPr>
          <w:rFonts w:hint="eastAsia" w:ascii="宋体" w:hAnsi="宋体"/>
          <w:spacing w:val="6"/>
          <w:sz w:val="28"/>
          <w:szCs w:val="28"/>
        </w:rPr>
        <w:t>万元，属于</w:t>
      </w:r>
      <w:r>
        <w:rPr>
          <w:rFonts w:hint="eastAsia"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w:t>
      </w:r>
      <w:r>
        <w:rPr>
          <w:rFonts w:hint="eastAsia" w:ascii="宋体" w:hAnsi="宋体"/>
          <w:spacing w:val="6"/>
          <w:sz w:val="28"/>
          <w:szCs w:val="28"/>
          <w:lang w:eastAsia="zh-CN"/>
        </w:rPr>
        <w:t>声明</w:t>
      </w:r>
      <w:r>
        <w:rPr>
          <w:rFonts w:hint="eastAsia" w:ascii="宋体" w:hAnsi="宋体"/>
          <w:spacing w:val="6"/>
          <w:sz w:val="28"/>
          <w:szCs w:val="28"/>
        </w:rPr>
        <w:t>内容的真实性负责。如有虚假，将依法承担相应责任。</w:t>
      </w:r>
    </w:p>
    <w:p>
      <w:pPr>
        <w:spacing w:line="500" w:lineRule="exact"/>
        <w:ind w:firstLine="586" w:firstLineChars="200"/>
        <w:rPr>
          <w:rFonts w:ascii="宋体" w:hAnsi="宋体"/>
          <w:b/>
          <w:spacing w:val="6"/>
          <w:sz w:val="28"/>
          <w:szCs w:val="28"/>
        </w:rPr>
      </w:pPr>
    </w:p>
    <w:p>
      <w:pPr>
        <w:pStyle w:val="2"/>
        <w:rPr>
          <w:rFonts w:hint="eastAsia" w:ascii="宋体" w:hAnsi="宋体" w:eastAsia="宋体" w:cs="Times New Roman"/>
          <w:spacing w:val="6"/>
          <w:kern w:val="2"/>
          <w:sz w:val="28"/>
          <w:szCs w:val="28"/>
          <w:lang w:val="en-US" w:eastAsia="zh-CN" w:bidi="ar-SA"/>
        </w:rPr>
      </w:pPr>
    </w:p>
    <w:p>
      <w:pPr>
        <w:tabs>
          <w:tab w:val="left" w:pos="1134"/>
        </w:tabs>
        <w:spacing w:line="500" w:lineRule="exact"/>
        <w:ind w:firstLine="586" w:firstLineChars="200"/>
        <w:rPr>
          <w:rFonts w:hint="eastAsia" w:ascii="宋体" w:hAnsi="宋体" w:eastAsia="宋体" w:cs="Times New Roman"/>
          <w:spacing w:val="6"/>
          <w:kern w:val="2"/>
          <w:sz w:val="28"/>
          <w:szCs w:val="28"/>
          <w:lang w:val="en-US" w:eastAsia="zh-CN" w:bidi="ar-SA"/>
        </w:rPr>
      </w:pPr>
      <w:r>
        <w:rPr>
          <w:rFonts w:hint="eastAsia" w:ascii="宋体" w:hAnsi="宋体" w:eastAsia="宋体" w:cs="Times New Roman"/>
          <w:b/>
          <w:bCs/>
          <w:spacing w:val="6"/>
          <w:kern w:val="2"/>
          <w:sz w:val="28"/>
          <w:szCs w:val="28"/>
          <w:lang w:val="en-US" w:eastAsia="zh-CN" w:bidi="ar-SA"/>
        </w:rPr>
        <w:t>说明</w:t>
      </w:r>
      <w:r>
        <w:rPr>
          <w:rFonts w:hint="eastAsia" w:ascii="宋体" w:hAnsi="宋体" w:eastAsia="宋体" w:cs="Times New Roman"/>
          <w:spacing w:val="6"/>
          <w:kern w:val="2"/>
          <w:sz w:val="28"/>
          <w:szCs w:val="28"/>
          <w:lang w:val="en-US" w:eastAsia="zh-CN" w:bidi="ar-SA"/>
        </w:rPr>
        <w:t>:①如本项目为非专门面向中小企业，若未提供中小企业声明函的，则其评审中的小型、微型企业不能享受招标文件规定的价格扣除，但不影响供应商投标文件的有效性。</w:t>
      </w:r>
      <w:r>
        <w:rPr>
          <w:rFonts w:hint="eastAsia" w:ascii="宋体" w:hAnsi="宋体" w:eastAsia="宋体" w:cs="Times New Roman"/>
          <w:spacing w:val="6"/>
          <w:kern w:val="2"/>
          <w:sz w:val="28"/>
          <w:szCs w:val="28"/>
          <w:lang w:val="en-US" w:eastAsia="zh-CN" w:bidi="ar-SA"/>
        </w:rPr>
        <w:br w:type="textWrapping"/>
      </w:r>
      <w:r>
        <w:rPr>
          <w:rFonts w:hint="eastAsia" w:ascii="宋体" w:hAnsi="宋体" w:eastAsia="宋体" w:cs="Times New Roman"/>
          <w:spacing w:val="6"/>
          <w:kern w:val="2"/>
          <w:sz w:val="28"/>
          <w:szCs w:val="28"/>
          <w:lang w:val="en-US" w:eastAsia="zh-CN" w:bidi="ar-SA"/>
        </w:rPr>
        <w:t>②投标人参加政府采购活动时，提供虚假中小企业声明函的，以提供虚假材料谋取中标处理。</w:t>
      </w:r>
      <w:r>
        <w:rPr>
          <w:rFonts w:hint="eastAsia" w:ascii="宋体" w:hAnsi="宋体" w:eastAsia="宋体" w:cs="Times New Roman"/>
          <w:spacing w:val="6"/>
          <w:kern w:val="2"/>
          <w:sz w:val="28"/>
          <w:szCs w:val="28"/>
          <w:lang w:val="en-US" w:eastAsia="zh-CN" w:bidi="ar-SA"/>
        </w:rPr>
        <w:br w:type="textWrapping"/>
      </w:r>
      <w:r>
        <w:rPr>
          <w:rFonts w:hint="eastAsia" w:ascii="宋体" w:hAnsi="宋体" w:eastAsia="宋体" w:cs="Times New Roman"/>
          <w:spacing w:val="6"/>
          <w:kern w:val="2"/>
          <w:sz w:val="28"/>
          <w:szCs w:val="28"/>
          <w:lang w:val="en-US" w:eastAsia="zh-CN" w:bidi="ar-SA"/>
        </w:rPr>
        <w:t>③投标人为非企业单位的，如民办非企业、基金会、协会、服务中心、农村承包经营户、学会等非工商(市场监管)登记注册的组织均不适用此声明函，不得提供中小企业声明函，提供此声明的，声明无效。</w:t>
      </w:r>
    </w:p>
    <w:p>
      <w:pPr>
        <w:tabs>
          <w:tab w:val="left" w:pos="1134"/>
        </w:tabs>
        <w:spacing w:line="500" w:lineRule="exact"/>
        <w:rPr>
          <w:rFonts w:hint="eastAsia" w:ascii="宋体" w:hAnsi="宋体" w:eastAsia="宋体" w:cs="Times New Roman"/>
          <w:spacing w:val="6"/>
          <w:kern w:val="2"/>
          <w:sz w:val="28"/>
          <w:szCs w:val="28"/>
          <w:lang w:val="en-US" w:eastAsia="zh-CN" w:bidi="ar-SA"/>
        </w:rPr>
      </w:pPr>
      <w:r>
        <w:rPr>
          <w:rFonts w:hint="eastAsia" w:ascii="宋体" w:hAnsi="宋体" w:eastAsia="宋体" w:cs="Times New Roman"/>
          <w:spacing w:val="6"/>
          <w:kern w:val="2"/>
          <w:sz w:val="28"/>
          <w:szCs w:val="28"/>
          <w:lang w:val="en-US" w:eastAsia="zh-CN" w:bidi="ar-SA"/>
        </w:rPr>
        <w:t>④投标人如为分支机构的，则需提供由总公司出具的中小企业声明函原件。</w:t>
      </w:r>
    </w:p>
    <w:p>
      <w:pPr>
        <w:tabs>
          <w:tab w:val="left" w:pos="1134"/>
        </w:tabs>
        <w:spacing w:line="500" w:lineRule="exact"/>
        <w:rPr>
          <w:rFonts w:hint="eastAsia" w:ascii="宋体" w:hAnsi="宋体" w:eastAsia="宋体" w:cs="Times New Roman"/>
          <w:spacing w:val="6"/>
          <w:kern w:val="2"/>
          <w:sz w:val="28"/>
          <w:szCs w:val="28"/>
          <w:lang w:val="en-US" w:eastAsia="zh-CN" w:bidi="ar-SA"/>
        </w:rPr>
      </w:pPr>
      <w:r>
        <w:rPr>
          <w:rFonts w:hint="eastAsia" w:ascii="宋体" w:hAnsi="宋体" w:eastAsia="宋体" w:cs="Times New Roman"/>
          <w:spacing w:val="6"/>
          <w:kern w:val="2"/>
          <w:sz w:val="28"/>
          <w:szCs w:val="28"/>
          <w:lang w:val="en-US" w:eastAsia="zh-CN" w:bidi="ar-SA"/>
        </w:rPr>
        <w:t>⑤从业人员、营业收入、资产总额填报上一年度数据，无上一年度数据的新成立的企业可不填报。</w:t>
      </w:r>
    </w:p>
    <w:p>
      <w:pPr>
        <w:tabs>
          <w:tab w:val="left" w:pos="1134"/>
        </w:tabs>
        <w:spacing w:line="500" w:lineRule="exact"/>
        <w:rPr>
          <w:rFonts w:hint="eastAsia" w:ascii="宋体" w:hAnsi="宋体"/>
          <w:spacing w:val="6"/>
          <w:sz w:val="28"/>
          <w:szCs w:val="28"/>
        </w:rPr>
      </w:pPr>
      <w:r>
        <w:rPr>
          <w:rFonts w:hint="eastAsia" w:ascii="宋体" w:hAnsi="宋体" w:eastAsia="宋体" w:cs="Times New Roman"/>
          <w:spacing w:val="6"/>
          <w:kern w:val="2"/>
          <w:sz w:val="28"/>
          <w:szCs w:val="28"/>
          <w:lang w:val="en-US" w:eastAsia="zh-CN" w:bidi="ar-SA"/>
        </w:rPr>
        <w:t>⑥投标人根据《工业和信息化部、国家统计局、国家发展和改革委员会、财政部关于印发中小企业划型标准规定的通知》（工信部联企业[2011]300号）规定的划分标准填写中小企业声明函。</w:t>
      </w:r>
    </w:p>
    <w:p>
      <w:pPr>
        <w:tabs>
          <w:tab w:val="left" w:pos="1134"/>
        </w:tabs>
        <w:spacing w:line="500" w:lineRule="exact"/>
        <w:ind w:firstLine="584" w:firstLineChars="200"/>
        <w:rPr>
          <w:rFonts w:hint="eastAsia" w:ascii="宋体" w:hAnsi="宋体"/>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lang w:eastAsia="zh-CN"/>
        </w:rPr>
        <w:t>投标人</w:t>
      </w:r>
      <w:r>
        <w:rPr>
          <w:rFonts w:hint="eastAsia" w:ascii="宋体" w:hAnsi="宋体"/>
          <w:spacing w:val="6"/>
          <w:sz w:val="28"/>
          <w:szCs w:val="28"/>
        </w:rPr>
        <w:t>名称：</w:t>
      </w:r>
      <w:r>
        <w:rPr>
          <w:rFonts w:hint="eastAsia" w:ascii="宋体" w:hAnsi="宋体"/>
          <w:sz w:val="28"/>
          <w:szCs w:val="28"/>
          <w:u w:val="single"/>
        </w:rPr>
        <w:t>XXXX</w:t>
      </w:r>
      <w:r>
        <w:rPr>
          <w:rFonts w:hint="eastAsia" w:ascii="宋体" w:hAnsi="宋体"/>
          <w:spacing w:val="6"/>
          <w:sz w:val="28"/>
          <w:szCs w:val="28"/>
        </w:rPr>
        <w:t xml:space="preserve"> </w:t>
      </w:r>
    </w:p>
    <w:p>
      <w:pPr>
        <w:tabs>
          <w:tab w:val="left" w:pos="3969"/>
        </w:tabs>
        <w:spacing w:line="500" w:lineRule="exact"/>
        <w:ind w:right="-58" w:firstLine="584" w:firstLineChars="200"/>
        <w:jc w:val="left"/>
        <w:rPr>
          <w:rFonts w:hint="eastAsia" w:ascii="宋体" w:hAnsi="宋体"/>
          <w:sz w:val="28"/>
          <w:szCs w:val="28"/>
        </w:rPr>
      </w:pPr>
      <w:r>
        <w:rPr>
          <w:rFonts w:hint="eastAsia" w:ascii="宋体" w:hAnsi="宋体"/>
          <w:spacing w:val="6"/>
          <w:sz w:val="28"/>
          <w:szCs w:val="28"/>
        </w:rPr>
        <w:t>日  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Style w:val="2"/>
      </w:pPr>
    </w:p>
    <w:p/>
    <w:p>
      <w:pPr>
        <w:pStyle w:val="2"/>
      </w:pPr>
    </w:p>
    <w:p/>
    <w:p>
      <w:pPr>
        <w:pStyle w:val="2"/>
      </w:pPr>
    </w:p>
    <w:p/>
    <w:p>
      <w:pPr>
        <w:pStyle w:val="2"/>
      </w:pPr>
    </w:p>
    <w:p/>
    <w:p>
      <w:pPr>
        <w:pStyle w:val="2"/>
      </w:pPr>
    </w:p>
    <w:p/>
    <w:p>
      <w:pPr>
        <w:pStyle w:val="6"/>
        <w:numPr>
          <w:ilvl w:val="2"/>
          <w:numId w:val="1"/>
        </w:numPr>
        <w:spacing w:after="0"/>
        <w:ind w:left="567"/>
        <w:rPr>
          <w:color w:val="auto"/>
        </w:rPr>
      </w:pPr>
      <w:r>
        <w:rPr>
          <w:rFonts w:hint="eastAsia"/>
          <w:color w:val="auto"/>
        </w:rPr>
        <w:t>残疾人福利性单位</w:t>
      </w:r>
      <w:r>
        <w:rPr>
          <w:rFonts w:hint="eastAsia"/>
          <w:color w:val="auto"/>
          <w:lang w:eastAsia="zh-CN"/>
        </w:rPr>
        <w:t>声明</w:t>
      </w:r>
      <w:r>
        <w:rPr>
          <w:rFonts w:hint="eastAsia"/>
          <w:color w:val="auto"/>
        </w:rPr>
        <w:t>函</w:t>
      </w:r>
    </w:p>
    <w:p>
      <w:pPr>
        <w:rPr>
          <w:rFonts w:hint="eastAsia"/>
        </w:rPr>
      </w:pP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w:t>
      </w:r>
      <w:r>
        <w:rPr>
          <w:rFonts w:hint="eastAsia" w:ascii="宋体" w:hAnsi="宋体"/>
          <w:b/>
          <w:spacing w:val="6"/>
          <w:sz w:val="28"/>
          <w:szCs w:val="28"/>
          <w:lang w:eastAsia="zh-CN"/>
        </w:rPr>
        <w:t>声明</w:t>
      </w:r>
      <w:r>
        <w:rPr>
          <w:rFonts w:hint="eastAsia" w:ascii="宋体" w:hAnsi="宋体"/>
          <w:b/>
          <w:spacing w:val="6"/>
          <w:sz w:val="28"/>
          <w:szCs w:val="28"/>
        </w:rPr>
        <w:t>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w:t>
      </w:r>
      <w:r>
        <w:rPr>
          <w:rFonts w:hint="eastAsia" w:ascii="宋体" w:hAnsi="宋体"/>
          <w:spacing w:val="6"/>
          <w:sz w:val="28"/>
          <w:szCs w:val="28"/>
          <w:lang w:eastAsia="zh-CN"/>
        </w:rPr>
        <w:t>声明</w:t>
      </w:r>
      <w:r>
        <w:rPr>
          <w:rFonts w:hint="eastAsia" w:ascii="宋体" w:hAnsi="宋体"/>
          <w:spacing w:val="6"/>
          <w:sz w:val="28"/>
          <w:szCs w:val="28"/>
        </w:rPr>
        <w:t>，根据《财政部 民政部 中国残疾人联合会关于促进残疾人就业政府采购政策的通知》（财库〔2017〕141号）的规定，本单位为符合条件的残疾人福利性单位，且本单位参加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w:t>
      </w:r>
      <w:r>
        <w:rPr>
          <w:rFonts w:hint="eastAsia" w:ascii="宋体" w:hAnsi="宋体"/>
          <w:spacing w:val="6"/>
          <w:sz w:val="28"/>
          <w:szCs w:val="28"/>
          <w:lang w:eastAsia="zh-CN"/>
        </w:rPr>
        <w:t>声明</w:t>
      </w:r>
      <w:r>
        <w:rPr>
          <w:rFonts w:hint="eastAsia" w:ascii="宋体" w:hAnsi="宋体"/>
          <w:spacing w:val="6"/>
          <w:sz w:val="28"/>
          <w:szCs w:val="28"/>
        </w:rPr>
        <w:t>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lang w:eastAsia="zh-CN"/>
        </w:rPr>
        <w:t>投标人</w:t>
      </w:r>
      <w:r>
        <w:rPr>
          <w:rFonts w:hint="eastAsia" w:ascii="宋体" w:hAnsi="宋体"/>
          <w:spacing w:val="6"/>
          <w:sz w:val="28"/>
          <w:szCs w:val="28"/>
        </w:rPr>
        <w:t>名称：</w:t>
      </w:r>
      <w:r>
        <w:rPr>
          <w:rFonts w:hint="eastAsia" w:ascii="宋体" w:hAnsi="宋体"/>
          <w:sz w:val="28"/>
          <w:szCs w:val="28"/>
          <w:u w:val="single"/>
        </w:rPr>
        <w:t>XXXX</w:t>
      </w:r>
      <w:r>
        <w:rPr>
          <w:rFonts w:hint="eastAsia" w:ascii="宋体" w:hAnsi="宋体"/>
          <w:spacing w:val="6"/>
          <w:sz w:val="28"/>
          <w:szCs w:val="28"/>
        </w:rPr>
        <w:t xml:space="preserve"> </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  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3969"/>
        </w:tabs>
        <w:spacing w:line="588" w:lineRule="exact"/>
        <w:ind w:right="-58"/>
        <w:jc w:val="left"/>
        <w:rPr>
          <w:rFonts w:hint="eastAsia"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如未提供残疾人福利性单位</w:t>
      </w:r>
      <w:r>
        <w:rPr>
          <w:rFonts w:hint="eastAsia" w:ascii="宋体" w:hAnsi="宋体"/>
          <w:b/>
          <w:sz w:val="28"/>
          <w:szCs w:val="28"/>
          <w:lang w:eastAsia="zh-CN"/>
        </w:rPr>
        <w:t>声明</w:t>
      </w:r>
      <w:r>
        <w:rPr>
          <w:rFonts w:hint="eastAsia" w:ascii="宋体" w:hAnsi="宋体"/>
          <w:b/>
          <w:sz w:val="28"/>
          <w:szCs w:val="28"/>
        </w:rPr>
        <w:t>函的，不能享受招标文件规定的价格扣除，但不影响投标人投标文件的有效性。</w:t>
      </w:r>
    </w:p>
    <w:p>
      <w:pPr>
        <w:spacing w:line="588" w:lineRule="exact"/>
        <w:ind w:firstLine="563"/>
        <w:rPr>
          <w:rFonts w:hint="eastAsia" w:ascii="宋体" w:hAnsi="宋体"/>
          <w:b/>
          <w:spacing w:val="6"/>
          <w:sz w:val="28"/>
          <w:szCs w:val="28"/>
        </w:rPr>
      </w:pPr>
    </w:p>
    <w:p>
      <w:pPr>
        <w:pStyle w:val="6"/>
        <w:numPr>
          <w:ilvl w:val="2"/>
          <w:numId w:val="1"/>
        </w:numPr>
        <w:spacing w:after="0"/>
        <w:ind w:left="567"/>
        <w:rPr>
          <w:rFonts w:hint="eastAsia"/>
          <w:color w:val="auto"/>
        </w:rPr>
      </w:pPr>
      <w:r>
        <w:rPr>
          <w:rFonts w:hint="eastAsia"/>
          <w:color w:val="auto"/>
          <w:lang w:val="en-US" w:eastAsia="zh-CN"/>
        </w:rPr>
        <w:t>商务应答表</w:t>
      </w:r>
    </w:p>
    <w:p>
      <w:pPr>
        <w:tabs>
          <w:tab w:val="left" w:pos="3969"/>
        </w:tabs>
        <w:spacing w:line="588" w:lineRule="exact"/>
        <w:ind w:right="-58" w:firstLine="3224" w:firstLineChars="1100"/>
        <w:jc w:val="left"/>
        <w:rPr>
          <w:rFonts w:ascii="宋体" w:hAnsi="宋体"/>
          <w:b/>
          <w:bCs/>
          <w:spacing w:val="6"/>
          <w:sz w:val="28"/>
          <w:szCs w:val="28"/>
        </w:rPr>
      </w:pPr>
      <w:r>
        <w:rPr>
          <w:rFonts w:hint="eastAsia" w:ascii="宋体" w:hAnsi="宋体"/>
          <w:b/>
          <w:bCs/>
          <w:spacing w:val="6"/>
          <w:sz w:val="28"/>
          <w:szCs w:val="28"/>
        </w:rPr>
        <w:t>商务应答表</w:t>
      </w:r>
    </w:p>
    <w:p>
      <w:pPr>
        <w:snapToGrid w:val="0"/>
        <w:spacing w:line="360" w:lineRule="auto"/>
        <w:rPr>
          <w:rFonts w:ascii="宋体" w:hAnsi="宋体"/>
          <w:spacing w:val="6"/>
          <w:sz w:val="28"/>
          <w:szCs w:val="28"/>
        </w:rPr>
      </w:pPr>
      <w:r>
        <w:rPr>
          <w:rFonts w:hint="eastAsia" w:ascii="宋体" w:hAnsi="宋体"/>
          <w:spacing w:val="6"/>
          <w:sz w:val="28"/>
          <w:szCs w:val="28"/>
          <w:lang w:eastAsia="zh-CN"/>
        </w:rPr>
        <w:t>项目名称</w:t>
      </w:r>
      <w:r>
        <w:rPr>
          <w:rFonts w:hint="eastAsia" w:ascii="宋体" w:hAnsi="宋体"/>
          <w:spacing w:val="6"/>
          <w:sz w:val="28"/>
          <w:szCs w:val="28"/>
        </w:rPr>
        <w:t xml:space="preserve">：                          </w:t>
      </w:r>
      <w:r>
        <w:rPr>
          <w:rFonts w:hint="eastAsia" w:ascii="宋体" w:hAnsi="宋体"/>
          <w:spacing w:val="6"/>
          <w:sz w:val="28"/>
          <w:szCs w:val="28"/>
          <w:lang w:eastAsia="zh-CN"/>
        </w:rPr>
        <w:t>项目编号：</w:t>
      </w:r>
      <w:r>
        <w:rPr>
          <w:rFonts w:hint="eastAsia" w:ascii="宋体" w:hAnsi="宋体"/>
          <w:spacing w:val="6"/>
          <w:sz w:val="28"/>
          <w:szCs w:val="28"/>
        </w:rPr>
        <w:t xml:space="preserve">         </w:t>
      </w:r>
    </w:p>
    <w:tbl>
      <w:tblPr>
        <w:tblStyle w:val="45"/>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10"/>
        <w:gridCol w:w="319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89" w:type="dxa"/>
            <w:vAlign w:val="center"/>
          </w:tcPr>
          <w:p>
            <w:pPr>
              <w:tabs>
                <w:tab w:val="left" w:pos="3969"/>
              </w:tabs>
              <w:spacing w:line="588" w:lineRule="exact"/>
              <w:ind w:right="-58"/>
              <w:jc w:val="left"/>
              <w:rPr>
                <w:rFonts w:ascii="宋体" w:hAnsi="宋体"/>
                <w:spacing w:val="6"/>
                <w:sz w:val="28"/>
                <w:szCs w:val="28"/>
              </w:rPr>
            </w:pPr>
            <w:r>
              <w:rPr>
                <w:rFonts w:hint="eastAsia" w:ascii="宋体" w:hAnsi="宋体"/>
                <w:spacing w:val="6"/>
                <w:sz w:val="28"/>
                <w:szCs w:val="28"/>
              </w:rPr>
              <w:t>序号</w:t>
            </w:r>
          </w:p>
        </w:tc>
        <w:tc>
          <w:tcPr>
            <w:tcW w:w="1110" w:type="dxa"/>
            <w:vAlign w:val="center"/>
          </w:tcPr>
          <w:p>
            <w:pPr>
              <w:tabs>
                <w:tab w:val="left" w:pos="3969"/>
              </w:tabs>
              <w:spacing w:line="588" w:lineRule="exact"/>
              <w:ind w:right="-58"/>
              <w:jc w:val="left"/>
              <w:rPr>
                <w:rFonts w:hint="eastAsia" w:ascii="宋体" w:hAnsi="宋体" w:eastAsia="宋体"/>
                <w:spacing w:val="6"/>
                <w:sz w:val="28"/>
                <w:szCs w:val="28"/>
                <w:lang w:eastAsia="zh-CN"/>
              </w:rPr>
            </w:pPr>
            <w:r>
              <w:rPr>
                <w:rFonts w:hint="eastAsia" w:ascii="宋体" w:hAnsi="宋体"/>
                <w:spacing w:val="6"/>
                <w:sz w:val="28"/>
                <w:szCs w:val="28"/>
                <w:lang w:eastAsia="zh-CN"/>
              </w:rPr>
              <w:t>包件号</w:t>
            </w:r>
          </w:p>
        </w:tc>
        <w:tc>
          <w:tcPr>
            <w:tcW w:w="3193" w:type="dxa"/>
            <w:vAlign w:val="center"/>
          </w:tcPr>
          <w:p>
            <w:pPr>
              <w:tabs>
                <w:tab w:val="left" w:pos="3969"/>
              </w:tabs>
              <w:spacing w:line="588" w:lineRule="exact"/>
              <w:ind w:right="-58"/>
              <w:jc w:val="left"/>
              <w:rPr>
                <w:rFonts w:ascii="宋体" w:hAnsi="宋体"/>
                <w:spacing w:val="6"/>
                <w:sz w:val="28"/>
                <w:szCs w:val="28"/>
              </w:rPr>
            </w:pPr>
            <w:r>
              <w:rPr>
                <w:rFonts w:hint="eastAsia" w:ascii="宋体" w:hAnsi="宋体"/>
                <w:spacing w:val="6"/>
                <w:sz w:val="28"/>
                <w:szCs w:val="28"/>
              </w:rPr>
              <w:t>招标要求</w:t>
            </w:r>
          </w:p>
        </w:tc>
        <w:tc>
          <w:tcPr>
            <w:tcW w:w="4467" w:type="dxa"/>
            <w:vAlign w:val="center"/>
          </w:tcPr>
          <w:p>
            <w:pPr>
              <w:tabs>
                <w:tab w:val="left" w:pos="3969"/>
              </w:tabs>
              <w:spacing w:line="588" w:lineRule="exact"/>
              <w:ind w:right="-58"/>
              <w:jc w:val="left"/>
              <w:rPr>
                <w:rFonts w:ascii="宋体" w:hAnsi="宋体"/>
                <w:spacing w:val="6"/>
                <w:sz w:val="28"/>
                <w:szCs w:val="28"/>
              </w:rPr>
            </w:pPr>
            <w:r>
              <w:rPr>
                <w:rFonts w:hint="eastAsia" w:ascii="宋体" w:hAnsi="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tabs>
                <w:tab w:val="left" w:pos="3969"/>
              </w:tabs>
              <w:spacing w:line="588" w:lineRule="exact"/>
              <w:ind w:right="-58"/>
              <w:jc w:val="left"/>
              <w:rPr>
                <w:rFonts w:ascii="宋体" w:hAnsi="宋体"/>
                <w:spacing w:val="6"/>
                <w:sz w:val="28"/>
                <w:szCs w:val="28"/>
              </w:rPr>
            </w:pPr>
          </w:p>
        </w:tc>
        <w:tc>
          <w:tcPr>
            <w:tcW w:w="1110" w:type="dxa"/>
          </w:tcPr>
          <w:p>
            <w:pPr>
              <w:tabs>
                <w:tab w:val="left" w:pos="3969"/>
              </w:tabs>
              <w:spacing w:line="588" w:lineRule="exact"/>
              <w:ind w:right="-58"/>
              <w:jc w:val="left"/>
              <w:rPr>
                <w:rFonts w:ascii="宋体" w:hAnsi="宋体"/>
                <w:spacing w:val="6"/>
                <w:sz w:val="28"/>
                <w:szCs w:val="28"/>
              </w:rPr>
            </w:pPr>
          </w:p>
        </w:tc>
        <w:tc>
          <w:tcPr>
            <w:tcW w:w="3193" w:type="dxa"/>
          </w:tcPr>
          <w:p>
            <w:pPr>
              <w:tabs>
                <w:tab w:val="left" w:pos="3969"/>
              </w:tabs>
              <w:spacing w:line="588" w:lineRule="exact"/>
              <w:ind w:right="-58"/>
              <w:jc w:val="left"/>
              <w:rPr>
                <w:rFonts w:ascii="宋体" w:hAnsi="宋体"/>
                <w:spacing w:val="6"/>
                <w:sz w:val="28"/>
                <w:szCs w:val="28"/>
              </w:rPr>
            </w:pPr>
          </w:p>
        </w:tc>
        <w:tc>
          <w:tcPr>
            <w:tcW w:w="4467" w:type="dxa"/>
          </w:tcPr>
          <w:p>
            <w:pPr>
              <w:tabs>
                <w:tab w:val="left" w:pos="3969"/>
              </w:tabs>
              <w:spacing w:line="588" w:lineRule="exact"/>
              <w:ind w:right="-58"/>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tabs>
                <w:tab w:val="left" w:pos="3969"/>
              </w:tabs>
              <w:spacing w:line="588" w:lineRule="exact"/>
              <w:ind w:right="-58"/>
              <w:jc w:val="left"/>
              <w:rPr>
                <w:rFonts w:ascii="宋体" w:hAnsi="宋体"/>
                <w:spacing w:val="6"/>
                <w:sz w:val="28"/>
                <w:szCs w:val="28"/>
              </w:rPr>
            </w:pPr>
          </w:p>
        </w:tc>
        <w:tc>
          <w:tcPr>
            <w:tcW w:w="1110" w:type="dxa"/>
          </w:tcPr>
          <w:p>
            <w:pPr>
              <w:tabs>
                <w:tab w:val="left" w:pos="3969"/>
              </w:tabs>
              <w:spacing w:line="588" w:lineRule="exact"/>
              <w:ind w:right="-58"/>
              <w:jc w:val="left"/>
              <w:rPr>
                <w:rFonts w:ascii="宋体" w:hAnsi="宋体"/>
                <w:spacing w:val="6"/>
                <w:sz w:val="28"/>
                <w:szCs w:val="28"/>
              </w:rPr>
            </w:pPr>
          </w:p>
        </w:tc>
        <w:tc>
          <w:tcPr>
            <w:tcW w:w="3193" w:type="dxa"/>
          </w:tcPr>
          <w:p>
            <w:pPr>
              <w:tabs>
                <w:tab w:val="left" w:pos="3969"/>
              </w:tabs>
              <w:spacing w:line="588" w:lineRule="exact"/>
              <w:ind w:right="-58"/>
              <w:jc w:val="left"/>
              <w:rPr>
                <w:rFonts w:ascii="宋体" w:hAnsi="宋体"/>
                <w:spacing w:val="6"/>
                <w:sz w:val="28"/>
                <w:szCs w:val="28"/>
              </w:rPr>
            </w:pPr>
          </w:p>
        </w:tc>
        <w:tc>
          <w:tcPr>
            <w:tcW w:w="4467" w:type="dxa"/>
          </w:tcPr>
          <w:p>
            <w:pPr>
              <w:tabs>
                <w:tab w:val="left" w:pos="3969"/>
              </w:tabs>
              <w:spacing w:line="588" w:lineRule="exact"/>
              <w:ind w:right="-58"/>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tabs>
                <w:tab w:val="left" w:pos="3969"/>
              </w:tabs>
              <w:spacing w:line="588" w:lineRule="exact"/>
              <w:ind w:right="-58"/>
              <w:jc w:val="left"/>
              <w:rPr>
                <w:rFonts w:ascii="宋体" w:hAnsi="宋体"/>
                <w:spacing w:val="6"/>
                <w:sz w:val="28"/>
                <w:szCs w:val="28"/>
              </w:rPr>
            </w:pPr>
          </w:p>
        </w:tc>
        <w:tc>
          <w:tcPr>
            <w:tcW w:w="1110" w:type="dxa"/>
          </w:tcPr>
          <w:p>
            <w:pPr>
              <w:tabs>
                <w:tab w:val="left" w:pos="3969"/>
              </w:tabs>
              <w:spacing w:line="588" w:lineRule="exact"/>
              <w:ind w:right="-58"/>
              <w:jc w:val="left"/>
              <w:rPr>
                <w:rFonts w:ascii="宋体" w:hAnsi="宋体"/>
                <w:spacing w:val="6"/>
                <w:sz w:val="28"/>
                <w:szCs w:val="28"/>
              </w:rPr>
            </w:pPr>
          </w:p>
        </w:tc>
        <w:tc>
          <w:tcPr>
            <w:tcW w:w="3193" w:type="dxa"/>
          </w:tcPr>
          <w:p>
            <w:pPr>
              <w:tabs>
                <w:tab w:val="left" w:pos="3969"/>
              </w:tabs>
              <w:spacing w:line="588" w:lineRule="exact"/>
              <w:ind w:right="-58"/>
              <w:jc w:val="left"/>
              <w:rPr>
                <w:rFonts w:ascii="宋体" w:hAnsi="宋体"/>
                <w:spacing w:val="6"/>
                <w:sz w:val="28"/>
                <w:szCs w:val="28"/>
              </w:rPr>
            </w:pPr>
          </w:p>
        </w:tc>
        <w:tc>
          <w:tcPr>
            <w:tcW w:w="4467" w:type="dxa"/>
          </w:tcPr>
          <w:p>
            <w:pPr>
              <w:tabs>
                <w:tab w:val="left" w:pos="3969"/>
              </w:tabs>
              <w:spacing w:line="588" w:lineRule="exact"/>
              <w:ind w:right="-58"/>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9" w:type="dxa"/>
          </w:tcPr>
          <w:p>
            <w:pPr>
              <w:tabs>
                <w:tab w:val="left" w:pos="3969"/>
              </w:tabs>
              <w:spacing w:line="588" w:lineRule="exact"/>
              <w:ind w:right="-58"/>
              <w:jc w:val="left"/>
              <w:rPr>
                <w:rFonts w:ascii="宋体" w:hAnsi="宋体"/>
                <w:spacing w:val="6"/>
                <w:sz w:val="28"/>
                <w:szCs w:val="28"/>
              </w:rPr>
            </w:pPr>
          </w:p>
        </w:tc>
        <w:tc>
          <w:tcPr>
            <w:tcW w:w="1110" w:type="dxa"/>
          </w:tcPr>
          <w:p>
            <w:pPr>
              <w:tabs>
                <w:tab w:val="left" w:pos="3969"/>
              </w:tabs>
              <w:spacing w:line="588" w:lineRule="exact"/>
              <w:ind w:right="-58"/>
              <w:jc w:val="left"/>
              <w:rPr>
                <w:rFonts w:ascii="宋体" w:hAnsi="宋体"/>
                <w:spacing w:val="6"/>
                <w:sz w:val="28"/>
                <w:szCs w:val="28"/>
              </w:rPr>
            </w:pPr>
          </w:p>
        </w:tc>
        <w:tc>
          <w:tcPr>
            <w:tcW w:w="3193" w:type="dxa"/>
          </w:tcPr>
          <w:p>
            <w:pPr>
              <w:tabs>
                <w:tab w:val="left" w:pos="3969"/>
              </w:tabs>
              <w:spacing w:line="588" w:lineRule="exact"/>
              <w:ind w:right="-58"/>
              <w:jc w:val="left"/>
              <w:rPr>
                <w:rFonts w:ascii="宋体" w:hAnsi="宋体"/>
                <w:spacing w:val="6"/>
                <w:sz w:val="28"/>
                <w:szCs w:val="28"/>
              </w:rPr>
            </w:pPr>
          </w:p>
        </w:tc>
        <w:tc>
          <w:tcPr>
            <w:tcW w:w="4467" w:type="dxa"/>
          </w:tcPr>
          <w:p>
            <w:pPr>
              <w:tabs>
                <w:tab w:val="left" w:pos="3969"/>
              </w:tabs>
              <w:spacing w:line="588" w:lineRule="exact"/>
              <w:ind w:right="-58"/>
              <w:jc w:val="left"/>
              <w:rPr>
                <w:rFonts w:ascii="宋体" w:hAnsi="宋体"/>
                <w:spacing w:val="6"/>
                <w:sz w:val="28"/>
                <w:szCs w:val="28"/>
              </w:rPr>
            </w:pPr>
          </w:p>
        </w:tc>
      </w:tr>
    </w:tbl>
    <w:p>
      <w:pPr>
        <w:tabs>
          <w:tab w:val="left" w:pos="3969"/>
        </w:tabs>
        <w:spacing w:line="588" w:lineRule="exact"/>
        <w:ind w:right="-58"/>
        <w:jc w:val="left"/>
        <w:rPr>
          <w:rFonts w:hint="eastAsia" w:ascii="宋体" w:hAnsi="宋体"/>
          <w:b/>
          <w:bCs/>
          <w:spacing w:val="6"/>
          <w:sz w:val="28"/>
          <w:szCs w:val="28"/>
        </w:rPr>
      </w:pPr>
    </w:p>
    <w:p>
      <w:pPr>
        <w:tabs>
          <w:tab w:val="left" w:pos="3969"/>
        </w:tabs>
        <w:spacing w:line="588" w:lineRule="exact"/>
        <w:ind w:right="-58"/>
        <w:jc w:val="left"/>
        <w:rPr>
          <w:rFonts w:ascii="宋体" w:hAnsi="宋体"/>
          <w:b/>
          <w:bCs/>
          <w:spacing w:val="6"/>
          <w:sz w:val="28"/>
          <w:szCs w:val="28"/>
        </w:rPr>
      </w:pPr>
      <w:r>
        <w:rPr>
          <w:rFonts w:hint="eastAsia" w:ascii="宋体" w:hAnsi="宋体"/>
          <w:b/>
          <w:bCs/>
          <w:spacing w:val="6"/>
          <w:sz w:val="28"/>
          <w:szCs w:val="28"/>
        </w:rPr>
        <w:t>注：</w:t>
      </w:r>
      <w:r>
        <w:rPr>
          <w:rFonts w:hint="eastAsia" w:ascii="宋体" w:hAnsi="宋体"/>
          <w:spacing w:val="6"/>
          <w:sz w:val="28"/>
          <w:szCs w:val="28"/>
        </w:rPr>
        <w:t>供应商必须据实填写，不得虚假应答，否则将取消其投标或中标资格。</w:t>
      </w:r>
    </w:p>
    <w:p>
      <w:pPr>
        <w:adjustRightInd w:val="0"/>
        <w:spacing w:line="400" w:lineRule="exact"/>
        <w:ind w:firstLine="490" w:firstLineChars="175"/>
        <w:jc w:val="left"/>
        <w:rPr>
          <w:rFonts w:ascii="宋体" w:hAnsi="宋体"/>
          <w:bCs/>
          <w:sz w:val="28"/>
          <w:szCs w:val="28"/>
        </w:rPr>
      </w:pPr>
    </w:p>
    <w:p>
      <w:pPr>
        <w:tabs>
          <w:tab w:val="left" w:pos="3969"/>
        </w:tabs>
        <w:spacing w:line="588" w:lineRule="exact"/>
        <w:ind w:right="-58"/>
        <w:jc w:val="center"/>
        <w:rPr>
          <w:rFonts w:hint="eastAsia" w:ascii="宋体" w:hAnsi="宋体"/>
          <w:bCs/>
          <w:sz w:val="28"/>
          <w:szCs w:val="28"/>
        </w:rPr>
      </w:pPr>
      <w:r>
        <w:rPr>
          <w:rFonts w:hint="eastAsia" w:ascii="宋体" w:hAnsi="宋体"/>
          <w:spacing w:val="6"/>
          <w:sz w:val="28"/>
          <w:szCs w:val="28"/>
          <w:lang w:val="en-US" w:eastAsia="zh-CN"/>
        </w:rPr>
        <w:t xml:space="preserve">                         </w:t>
      </w:r>
      <w:r>
        <w:rPr>
          <w:rFonts w:hint="eastAsia" w:ascii="宋体" w:hAnsi="宋体"/>
          <w:spacing w:val="6"/>
          <w:sz w:val="28"/>
          <w:szCs w:val="28"/>
        </w:rPr>
        <w:t>投标人名称：</w:t>
      </w:r>
      <w:r>
        <w:rPr>
          <w:rFonts w:hint="eastAsia" w:ascii="宋体" w:hAnsi="宋体"/>
          <w:bCs/>
          <w:sz w:val="28"/>
          <w:szCs w:val="28"/>
          <w:u w:val="single"/>
        </w:rPr>
        <w:t>XXXX</w:t>
      </w:r>
    </w:p>
    <w:p>
      <w:pPr>
        <w:tabs>
          <w:tab w:val="left" w:pos="3969"/>
        </w:tabs>
        <w:spacing w:line="588" w:lineRule="exact"/>
        <w:ind w:right="-58"/>
        <w:jc w:val="right"/>
        <w:rPr>
          <w:rFonts w:hint="eastAsia" w:ascii="宋体" w:hAnsi="宋体"/>
          <w:bCs/>
          <w:sz w:val="28"/>
        </w:rPr>
      </w:pPr>
      <w:r>
        <w:rPr>
          <w:rFonts w:hint="eastAsia" w:ascii="宋体" w:hAnsi="宋体"/>
          <w:spacing w:val="6"/>
          <w:sz w:val="28"/>
          <w:szCs w:val="28"/>
        </w:rPr>
        <w:t>日  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6"/>
        <w:numPr>
          <w:ilvl w:val="0"/>
          <w:numId w:val="0"/>
        </w:numPr>
        <w:spacing w:after="0"/>
        <w:ind w:leftChars="0"/>
        <w:rPr>
          <w:rFonts w:hint="eastAsia"/>
          <w:color w:val="auto"/>
          <w:lang w:val="en-US" w:eastAsia="zh-CN"/>
        </w:rPr>
      </w:pPr>
    </w:p>
    <w:p>
      <w:pPr>
        <w:pStyle w:val="6"/>
        <w:numPr>
          <w:ilvl w:val="0"/>
          <w:numId w:val="0"/>
        </w:numPr>
        <w:spacing w:after="0"/>
        <w:ind w:leftChars="0"/>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pStyle w:val="2"/>
        <w:rPr>
          <w:rFonts w:hint="eastAsia"/>
        </w:rPr>
      </w:pPr>
    </w:p>
    <w:p>
      <w:pPr>
        <w:pStyle w:val="6"/>
        <w:numPr>
          <w:ilvl w:val="2"/>
          <w:numId w:val="1"/>
        </w:numPr>
        <w:spacing w:after="0"/>
        <w:ind w:left="567"/>
        <w:rPr>
          <w:rFonts w:hint="eastAsia"/>
          <w:color w:val="auto"/>
        </w:rPr>
      </w:pPr>
      <w:r>
        <w:rPr>
          <w:rFonts w:hint="eastAsia"/>
          <w:color w:val="auto"/>
          <w:lang w:eastAsia="zh-CN"/>
        </w:rPr>
        <w:t>服务应答表</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服务应答表</w:t>
      </w:r>
    </w:p>
    <w:p>
      <w:pPr>
        <w:spacing w:line="400" w:lineRule="exact"/>
        <w:jc w:val="left"/>
        <w:rPr>
          <w:rFonts w:hint="eastAsia" w:ascii="宋体" w:hAnsi="宋体" w:eastAsia="宋体" w:cs="宋体"/>
          <w:sz w:val="28"/>
          <w:szCs w:val="28"/>
        </w:rPr>
      </w:pPr>
      <w:r>
        <w:rPr>
          <w:rFonts w:hint="eastAsia" w:ascii="宋体" w:hAnsi="宋体" w:cs="宋体"/>
          <w:sz w:val="28"/>
          <w:szCs w:val="28"/>
          <w:lang w:eastAsia="zh-CN"/>
        </w:rPr>
        <w:t>项目名称</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spacing w:val="6"/>
          <w:sz w:val="28"/>
          <w:szCs w:val="28"/>
        </w:rPr>
        <w:t xml:space="preserve"> </w:t>
      </w:r>
      <w:r>
        <w:rPr>
          <w:rFonts w:hint="eastAsia" w:ascii="宋体" w:hAnsi="宋体"/>
          <w:spacing w:val="6"/>
          <w:sz w:val="28"/>
          <w:szCs w:val="28"/>
          <w:lang w:eastAsia="zh-CN"/>
        </w:rPr>
        <w:t>项目编号：</w:t>
      </w:r>
      <w:r>
        <w:rPr>
          <w:rFonts w:hint="eastAsia" w:ascii="宋体" w:hAnsi="宋体"/>
          <w:spacing w:val="6"/>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6"/>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54"/>
              <w:jc w:val="center"/>
              <w:rPr>
                <w:rFonts w:hint="eastAsia" w:ascii="宋体" w:hAnsi="宋体" w:eastAsia="宋体" w:cs="宋体"/>
                <w:sz w:val="28"/>
                <w:szCs w:val="28"/>
              </w:rPr>
            </w:pPr>
            <w:r>
              <w:rPr>
                <w:rFonts w:hint="eastAsia" w:ascii="宋体" w:hAnsi="宋体" w:eastAsia="宋体" w:cs="宋体"/>
                <w:sz w:val="28"/>
                <w:szCs w:val="28"/>
              </w:rPr>
              <w:t>序号</w:t>
            </w:r>
          </w:p>
        </w:tc>
        <w:tc>
          <w:tcPr>
            <w:tcW w:w="696" w:type="dxa"/>
            <w:vAlign w:val="center"/>
          </w:tcPr>
          <w:p>
            <w:pPr>
              <w:pStyle w:val="254"/>
              <w:jc w:val="center"/>
              <w:rPr>
                <w:rFonts w:hint="eastAsia" w:ascii="宋体" w:hAnsi="宋体" w:eastAsia="宋体" w:cs="宋体"/>
                <w:sz w:val="28"/>
                <w:szCs w:val="28"/>
              </w:rPr>
            </w:pPr>
            <w:r>
              <w:rPr>
                <w:rFonts w:hint="eastAsia" w:ascii="宋体" w:hAnsi="宋体" w:eastAsia="宋体" w:cs="宋体"/>
                <w:sz w:val="28"/>
                <w:szCs w:val="28"/>
              </w:rPr>
              <w:t>包</w:t>
            </w:r>
            <w:r>
              <w:rPr>
                <w:rFonts w:hint="eastAsia" w:ascii="宋体" w:hAnsi="宋体" w:cs="宋体"/>
                <w:sz w:val="28"/>
                <w:szCs w:val="28"/>
                <w:lang w:eastAsia="zh-CN"/>
              </w:rPr>
              <w:t>件</w:t>
            </w:r>
            <w:r>
              <w:rPr>
                <w:rFonts w:hint="eastAsia" w:ascii="宋体" w:hAnsi="宋体" w:eastAsia="宋体" w:cs="宋体"/>
                <w:sz w:val="28"/>
                <w:szCs w:val="28"/>
              </w:rPr>
              <w:t>号</w:t>
            </w:r>
          </w:p>
        </w:tc>
        <w:tc>
          <w:tcPr>
            <w:tcW w:w="1714" w:type="dxa"/>
            <w:vAlign w:val="center"/>
          </w:tcPr>
          <w:p>
            <w:pPr>
              <w:pStyle w:val="254"/>
              <w:jc w:val="center"/>
              <w:rPr>
                <w:rFonts w:hint="eastAsia" w:ascii="宋体" w:hAnsi="宋体" w:eastAsia="宋体" w:cs="宋体"/>
                <w:sz w:val="28"/>
                <w:szCs w:val="28"/>
              </w:rPr>
            </w:pPr>
            <w:r>
              <w:rPr>
                <w:rFonts w:hint="eastAsia" w:ascii="宋体" w:hAnsi="宋体" w:eastAsia="宋体" w:cs="宋体"/>
                <w:sz w:val="28"/>
                <w:szCs w:val="28"/>
              </w:rPr>
              <w:t>招标文件条目号</w:t>
            </w:r>
          </w:p>
        </w:tc>
        <w:tc>
          <w:tcPr>
            <w:tcW w:w="3119" w:type="dxa"/>
            <w:vAlign w:val="center"/>
          </w:tcPr>
          <w:p>
            <w:pPr>
              <w:pStyle w:val="254"/>
              <w:jc w:val="center"/>
              <w:rPr>
                <w:rFonts w:hint="eastAsia" w:ascii="宋体" w:hAnsi="宋体" w:eastAsia="宋体" w:cs="宋体"/>
                <w:sz w:val="28"/>
                <w:szCs w:val="28"/>
              </w:rPr>
            </w:pPr>
            <w:r>
              <w:rPr>
                <w:rFonts w:hint="eastAsia" w:ascii="宋体" w:hAnsi="宋体" w:eastAsia="宋体" w:cs="宋体"/>
                <w:sz w:val="28"/>
                <w:szCs w:val="28"/>
              </w:rPr>
              <w:t>招标文件要求</w:t>
            </w:r>
          </w:p>
        </w:tc>
        <w:tc>
          <w:tcPr>
            <w:tcW w:w="2835" w:type="dxa"/>
            <w:vAlign w:val="center"/>
          </w:tcPr>
          <w:p>
            <w:pPr>
              <w:pStyle w:val="254"/>
              <w:jc w:val="center"/>
              <w:rPr>
                <w:rFonts w:hint="eastAsia" w:ascii="宋体" w:hAnsi="宋体" w:eastAsia="宋体" w:cs="宋体"/>
                <w:sz w:val="28"/>
                <w:szCs w:val="28"/>
              </w:rPr>
            </w:pPr>
            <w:r>
              <w:rPr>
                <w:rFonts w:hint="eastAsia" w:ascii="宋体" w:hAnsi="宋体" w:eastAsia="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254"/>
              <w:rPr>
                <w:rFonts w:hint="eastAsia" w:ascii="宋体" w:hAnsi="宋体" w:eastAsia="宋体" w:cs="宋体"/>
                <w:sz w:val="28"/>
                <w:szCs w:val="28"/>
              </w:rPr>
            </w:pPr>
          </w:p>
        </w:tc>
        <w:tc>
          <w:tcPr>
            <w:tcW w:w="696" w:type="dxa"/>
            <w:tcBorders>
              <w:top w:val="nil"/>
            </w:tcBorders>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54"/>
              <w:rPr>
                <w:rFonts w:hint="eastAsia" w:ascii="宋体" w:hAnsi="宋体" w:eastAsia="宋体" w:cs="宋体"/>
                <w:sz w:val="28"/>
                <w:szCs w:val="28"/>
              </w:rPr>
            </w:pPr>
          </w:p>
        </w:tc>
        <w:tc>
          <w:tcPr>
            <w:tcW w:w="696" w:type="dxa"/>
          </w:tcPr>
          <w:p>
            <w:pPr>
              <w:pStyle w:val="254"/>
              <w:rPr>
                <w:rFonts w:hint="eastAsia" w:ascii="宋体" w:hAnsi="宋体" w:eastAsia="宋体" w:cs="宋体"/>
                <w:sz w:val="28"/>
                <w:szCs w:val="28"/>
              </w:rPr>
            </w:pPr>
          </w:p>
        </w:tc>
        <w:tc>
          <w:tcPr>
            <w:tcW w:w="1714" w:type="dxa"/>
          </w:tcPr>
          <w:p>
            <w:pPr>
              <w:pStyle w:val="254"/>
              <w:rPr>
                <w:rFonts w:hint="eastAsia" w:ascii="宋体" w:hAnsi="宋体" w:eastAsia="宋体" w:cs="宋体"/>
                <w:sz w:val="28"/>
                <w:szCs w:val="28"/>
              </w:rPr>
            </w:pPr>
          </w:p>
        </w:tc>
        <w:tc>
          <w:tcPr>
            <w:tcW w:w="3119" w:type="dxa"/>
          </w:tcPr>
          <w:p>
            <w:pPr>
              <w:pStyle w:val="254"/>
              <w:rPr>
                <w:rFonts w:hint="eastAsia" w:ascii="宋体" w:hAnsi="宋体" w:eastAsia="宋体" w:cs="宋体"/>
                <w:sz w:val="28"/>
                <w:szCs w:val="28"/>
              </w:rPr>
            </w:pPr>
          </w:p>
        </w:tc>
        <w:tc>
          <w:tcPr>
            <w:tcW w:w="2835" w:type="dxa"/>
          </w:tcPr>
          <w:p>
            <w:pPr>
              <w:pStyle w:val="254"/>
              <w:rPr>
                <w:rFonts w:hint="eastAsia" w:ascii="宋体" w:hAnsi="宋体" w:eastAsia="宋体" w:cs="宋体"/>
                <w:sz w:val="28"/>
                <w:szCs w:val="28"/>
              </w:rPr>
            </w:pPr>
          </w:p>
        </w:tc>
      </w:tr>
    </w:tbl>
    <w:p>
      <w:pPr>
        <w:spacing w:line="400" w:lineRule="exact"/>
        <w:ind w:left="680" w:leftChars="57" w:hanging="560" w:hangingChars="200"/>
        <w:rPr>
          <w:rFonts w:hint="eastAsia" w:ascii="宋体" w:hAnsi="宋体" w:eastAsia="宋体" w:cs="宋体"/>
          <w:sz w:val="28"/>
          <w:szCs w:val="28"/>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注：</w:t>
      </w:r>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 供应商必须把招标项目对应包件的全部服务内容事项列入此表。</w:t>
      </w:r>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2．按照招标项目对应包件服务要求的顺序对应填写。</w:t>
      </w:r>
    </w:p>
    <w:p>
      <w:pPr>
        <w:spacing w:line="360" w:lineRule="auto"/>
        <w:ind w:firstLine="560" w:firstLineChars="200"/>
        <w:rPr>
          <w:rFonts w:hint="eastAsia" w:ascii="宋体" w:hAnsi="宋体" w:eastAsia="宋体" w:cs="宋体"/>
          <w:b w:val="0"/>
          <w:bCs w:val="0"/>
          <w:sz w:val="24"/>
          <w:szCs w:val="24"/>
        </w:rPr>
      </w:pPr>
      <w:r>
        <w:rPr>
          <w:rFonts w:hint="eastAsia" w:ascii="宋体" w:hAnsi="宋体" w:eastAsia="宋体" w:cs="宋体"/>
          <w:kern w:val="2"/>
          <w:sz w:val="28"/>
          <w:szCs w:val="28"/>
          <w:lang w:val="en-US" w:eastAsia="zh-CN" w:bidi="ar-SA"/>
        </w:rPr>
        <w:t>3．供应商必须据实填写，不得虚假填写，否则将取消其投标或中标资格</w:t>
      </w:r>
      <w:r>
        <w:rPr>
          <w:rFonts w:hint="eastAsia" w:ascii="宋体" w:hAnsi="宋体" w:eastAsia="宋体" w:cs="宋体"/>
          <w:b w:val="0"/>
          <w:bCs w:val="0"/>
          <w:sz w:val="24"/>
          <w:szCs w:val="24"/>
        </w:rPr>
        <w:t>。</w:t>
      </w:r>
    </w:p>
    <w:p>
      <w:pPr>
        <w:spacing w:line="360" w:lineRule="auto"/>
        <w:rPr>
          <w:rFonts w:hint="eastAsia" w:ascii="宋体" w:hAnsi="宋体" w:eastAsia="宋体" w:cs="宋体"/>
          <w:sz w:val="24"/>
        </w:rPr>
      </w:pPr>
    </w:p>
    <w:p>
      <w:pPr>
        <w:tabs>
          <w:tab w:val="left" w:pos="3969"/>
        </w:tabs>
        <w:spacing w:line="588" w:lineRule="exact"/>
        <w:ind w:right="-58"/>
        <w:jc w:val="right"/>
        <w:rPr>
          <w:rFonts w:hint="eastAsia" w:ascii="宋体" w:hAnsi="宋体" w:eastAsia="宋体" w:cs="宋体"/>
          <w:spacing w:val="6"/>
          <w:sz w:val="28"/>
          <w:szCs w:val="28"/>
        </w:rPr>
      </w:pPr>
    </w:p>
    <w:p>
      <w:pPr>
        <w:tabs>
          <w:tab w:val="left" w:pos="3969"/>
        </w:tabs>
        <w:spacing w:line="588" w:lineRule="exact"/>
        <w:ind w:right="-58" w:firstLine="292" w:firstLineChars="100"/>
        <w:jc w:val="center"/>
        <w:rPr>
          <w:rFonts w:hint="eastAsia" w:ascii="宋体" w:hAnsi="宋体"/>
          <w:bCs/>
          <w:sz w:val="28"/>
          <w:szCs w:val="28"/>
        </w:rPr>
      </w:pPr>
      <w:r>
        <w:rPr>
          <w:rFonts w:hint="eastAsia" w:ascii="宋体" w:hAnsi="宋体" w:cs="宋体"/>
          <w:spacing w:val="6"/>
          <w:sz w:val="28"/>
          <w:szCs w:val="28"/>
          <w:lang w:val="en-US" w:eastAsia="zh-CN"/>
        </w:rPr>
        <w:t xml:space="preserve">                       </w:t>
      </w:r>
      <w:r>
        <w:rPr>
          <w:rFonts w:hint="eastAsia" w:ascii="宋体" w:hAnsi="宋体" w:eastAsia="宋体" w:cs="宋体"/>
          <w:spacing w:val="6"/>
          <w:sz w:val="28"/>
          <w:szCs w:val="28"/>
        </w:rPr>
        <w:t>投标人名称：</w:t>
      </w:r>
      <w:r>
        <w:rPr>
          <w:rFonts w:hint="eastAsia" w:ascii="宋体" w:hAnsi="宋体" w:eastAsia="宋体" w:cs="宋体"/>
          <w:bCs/>
          <w:sz w:val="28"/>
          <w:szCs w:val="28"/>
          <w:u w:val="single"/>
        </w:rPr>
        <w:t>XXXX</w:t>
      </w:r>
    </w:p>
    <w:p>
      <w:pPr>
        <w:tabs>
          <w:tab w:val="left" w:pos="3969"/>
        </w:tabs>
        <w:spacing w:line="588" w:lineRule="exact"/>
        <w:ind w:right="-58"/>
        <w:jc w:val="right"/>
        <w:rPr>
          <w:rFonts w:hint="eastAsia"/>
        </w:rPr>
      </w:pPr>
      <w:r>
        <w:rPr>
          <w:rFonts w:hint="eastAsia" w:ascii="宋体" w:hAnsi="宋体" w:eastAsia="宋体" w:cs="宋体"/>
          <w:spacing w:val="6"/>
          <w:sz w:val="28"/>
          <w:szCs w:val="28"/>
        </w:rPr>
        <w:t>日  期：</w:t>
      </w:r>
      <w:r>
        <w:rPr>
          <w:rFonts w:hint="eastAsia" w:ascii="宋体" w:hAnsi="宋体" w:eastAsia="宋体" w:cs="宋体"/>
          <w:bCs/>
          <w:sz w:val="28"/>
        </w:rPr>
        <w:t>20</w:t>
      </w:r>
      <w:r>
        <w:rPr>
          <w:rFonts w:hint="eastAsia" w:ascii="宋体" w:hAnsi="宋体" w:eastAsia="宋体" w:cs="宋体"/>
          <w:sz w:val="28"/>
          <w:szCs w:val="28"/>
          <w:u w:val="single"/>
        </w:rPr>
        <w:t>X</w:t>
      </w:r>
      <w:r>
        <w:rPr>
          <w:rFonts w:hint="eastAsia" w:ascii="宋体" w:hAnsi="宋体" w:eastAsia="宋体" w:cs="宋体"/>
          <w:bCs/>
          <w:sz w:val="28"/>
          <w:u w:val="single"/>
        </w:rPr>
        <w:t>X</w:t>
      </w:r>
      <w:r>
        <w:rPr>
          <w:rFonts w:hint="eastAsia" w:ascii="宋体" w:hAnsi="宋体" w:eastAsia="宋体" w:cs="宋体"/>
          <w:bCs/>
          <w:sz w:val="28"/>
        </w:rPr>
        <w:t>年</w:t>
      </w:r>
      <w:r>
        <w:rPr>
          <w:rFonts w:hint="eastAsia" w:ascii="宋体" w:hAnsi="宋体" w:eastAsia="宋体" w:cs="宋体"/>
          <w:bCs/>
          <w:sz w:val="28"/>
          <w:u w:val="single"/>
        </w:rPr>
        <w:t>XX</w:t>
      </w:r>
      <w:r>
        <w:rPr>
          <w:rFonts w:hint="eastAsia" w:ascii="宋体" w:hAnsi="宋体" w:eastAsia="宋体" w:cs="宋体"/>
          <w:bCs/>
          <w:sz w:val="28"/>
        </w:rPr>
        <w:t>月</w:t>
      </w:r>
      <w:r>
        <w:rPr>
          <w:rFonts w:hint="eastAsia" w:ascii="宋体" w:hAnsi="宋体" w:eastAsia="宋体" w:cs="宋体"/>
          <w:bCs/>
          <w:sz w:val="28"/>
          <w:u w:val="single"/>
        </w:rPr>
        <w:t>XX</w:t>
      </w:r>
      <w:r>
        <w:rPr>
          <w:rFonts w:hint="eastAsia" w:ascii="宋体" w:hAnsi="宋体" w:eastAsia="宋体" w:cs="宋体"/>
          <w:bCs/>
          <w:sz w:val="28"/>
        </w:rPr>
        <w:t>日</w:t>
      </w:r>
    </w:p>
    <w:p>
      <w:pPr>
        <w:pStyle w:val="6"/>
        <w:numPr>
          <w:ilvl w:val="2"/>
          <w:numId w:val="1"/>
        </w:numPr>
        <w:spacing w:after="0"/>
        <w:ind w:left="567"/>
        <w:rPr>
          <w:rFonts w:hint="eastAsia"/>
          <w:color w:val="auto"/>
        </w:rPr>
      </w:pPr>
      <w:r>
        <w:rPr>
          <w:rFonts w:hint="eastAsia"/>
          <w:color w:val="auto"/>
        </w:rPr>
        <w:t>投标人基本情况表</w:t>
      </w:r>
      <w:bookmarkEnd w:id="208"/>
    </w:p>
    <w:tbl>
      <w:tblPr>
        <w:tblStyle w:val="45"/>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tabs>
                <w:tab w:val="left" w:pos="1132"/>
              </w:tabs>
              <w:autoSpaceDE w:val="0"/>
              <w:autoSpaceDN w:val="0"/>
              <w:adjustRightInd w:val="0"/>
              <w:spacing w:line="400" w:lineRule="exact"/>
              <w:jc w:val="left"/>
              <w:rPr>
                <w:rFonts w:hint="eastAsia" w:ascii="宋体" w:hAnsi="宋体" w:eastAsia="宋体"/>
                <w:kern w:val="0"/>
                <w:szCs w:val="21"/>
                <w:lang w:eastAsia="zh-CN"/>
              </w:rPr>
            </w:pPr>
            <w:r>
              <w:rPr>
                <w:rFonts w:hint="eastAsia" w:ascii="宋体" w:hAnsi="宋体"/>
                <w:kern w:val="0"/>
                <w:szCs w:val="21"/>
                <w:lang w:eastAsia="zh-CN"/>
              </w:rPr>
              <w:tab/>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spacing w:after="0" w:line="240" w:lineRule="auto"/>
              <w:jc w:val="left"/>
              <w:rPr>
                <w:rFonts w:ascii="宋体" w:hAnsi="宋体"/>
                <w:kern w:val="0"/>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2"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法定代表人（负责人）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line="240" w:lineRule="auto"/>
              <w:jc w:val="left"/>
              <w:rPr>
                <w:rFonts w:ascii="宋体" w:hAnsi="宋体"/>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line="240" w:lineRule="auto"/>
              <w:jc w:val="left"/>
              <w:rPr>
                <w:rFonts w:ascii="宋体" w:hAnsi="宋体"/>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line="240" w:lineRule="auto"/>
              <w:jc w:val="left"/>
              <w:rPr>
                <w:rFonts w:ascii="宋体" w:hAnsi="宋体"/>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spacing w:after="0" w:line="240" w:lineRule="auto"/>
              <w:jc w:val="left"/>
              <w:rPr>
                <w:rFonts w:ascii="宋体" w:hAnsi="宋体"/>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jc w:val="left"/>
              <w:rPr>
                <w:rFonts w:ascii="宋体" w:hAnsi="宋体"/>
                <w:kern w:val="0"/>
                <w:szCs w:val="21"/>
              </w:rPr>
            </w:pPr>
          </w:p>
        </w:tc>
      </w:tr>
    </w:tbl>
    <w:p>
      <w:pPr>
        <w:pStyle w:val="27"/>
        <w:spacing w:line="360" w:lineRule="auto"/>
        <w:ind w:firstLine="288" w:firstLineChars="103"/>
        <w:rPr>
          <w:rFonts w:hint="eastAsia" w:ascii="宋体" w:hAnsi="宋体"/>
          <w:bCs/>
          <w:sz w:val="28"/>
          <w:szCs w:val="28"/>
        </w:rPr>
      </w:pPr>
    </w:p>
    <w:p>
      <w:pPr>
        <w:pStyle w:val="27"/>
        <w:spacing w:line="360" w:lineRule="auto"/>
        <w:ind w:firstLine="288" w:firstLineChars="103"/>
        <w:jc w:val="center"/>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投标人名称：</w:t>
      </w:r>
      <w:r>
        <w:rPr>
          <w:rFonts w:hint="eastAsia" w:ascii="宋体" w:hAnsi="宋体"/>
          <w:bCs/>
          <w:sz w:val="28"/>
          <w:szCs w:val="28"/>
          <w:u w:val="single"/>
        </w:rPr>
        <w:t>XXXXXXXX</w:t>
      </w:r>
    </w:p>
    <w:p>
      <w:pPr>
        <w:adjustRightInd w:val="0"/>
        <w:spacing w:line="400" w:lineRule="exact"/>
        <w:ind w:firstLine="700" w:firstLineChars="250"/>
        <w:jc w:val="right"/>
        <w:rPr>
          <w:rFonts w:hint="eastAsia" w:ascii="宋体" w:hAnsi="宋体"/>
          <w:bCs/>
          <w:sz w:val="28"/>
        </w:rPr>
      </w:pPr>
      <w:r>
        <w:rPr>
          <w:rFonts w:hint="eastAsia" w:ascii="宋体" w:hAnsi="宋体"/>
          <w:sz w:val="28"/>
        </w:rPr>
        <w:t>日期：</w:t>
      </w:r>
      <w:r>
        <w:rPr>
          <w:rFonts w:hint="eastAsia" w:ascii="宋体" w:hAnsi="宋体"/>
          <w:bCs/>
          <w:sz w:val="28"/>
        </w:rPr>
        <w:t>XXXX年XX月XX日</w:t>
      </w:r>
    </w:p>
    <w:p>
      <w:pPr>
        <w:pStyle w:val="2"/>
        <w:rPr>
          <w:rFonts w:hint="eastAsia"/>
        </w:rPr>
      </w:pPr>
    </w:p>
    <w:p>
      <w:pPr>
        <w:adjustRightInd w:val="0"/>
        <w:spacing w:line="400" w:lineRule="exact"/>
        <w:jc w:val="left"/>
        <w:rPr>
          <w:rFonts w:hint="eastAsia" w:ascii="宋体" w:hAnsi="宋体"/>
          <w:b/>
          <w:sz w:val="28"/>
          <w:szCs w:val="28"/>
        </w:rPr>
      </w:pPr>
    </w:p>
    <w:bookmarkEnd w:id="209"/>
    <w:bookmarkEnd w:id="210"/>
    <w:bookmarkEnd w:id="211"/>
    <w:p>
      <w:pPr>
        <w:pStyle w:val="6"/>
        <w:numPr>
          <w:ilvl w:val="2"/>
          <w:numId w:val="1"/>
        </w:numPr>
        <w:spacing w:after="0"/>
        <w:ind w:left="567"/>
        <w:rPr>
          <w:color w:val="auto"/>
        </w:rPr>
      </w:pPr>
      <w:bookmarkStart w:id="213" w:name="_Toc263768873"/>
      <w:bookmarkStart w:id="214" w:name="_Toc263753615"/>
      <w:bookmarkStart w:id="215" w:name="_Toc220299404"/>
      <w:r>
        <w:rPr>
          <w:rFonts w:hint="eastAsia"/>
          <w:color w:val="auto"/>
        </w:rPr>
        <w:t>服务方案及服务承诺</w:t>
      </w:r>
    </w:p>
    <w:p>
      <w:pPr>
        <w:spacing w:line="360" w:lineRule="auto"/>
        <w:ind w:left="1383" w:hanging="1383" w:hangingChars="492"/>
        <w:rPr>
          <w:rFonts w:hint="eastAsia" w:ascii="宋体" w:hAnsi="宋体" w:eastAsia="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成都市双流区人民政府九江街道办事处环卫作业及绿化管护服务采购项目</w:t>
      </w:r>
    </w:p>
    <w:p>
      <w:pPr>
        <w:spacing w:line="360" w:lineRule="auto"/>
        <w:rPr>
          <w:rFonts w:hint="eastAsia" w:ascii="宋体" w:hAnsi="宋体" w:cs="宋体"/>
          <w:b/>
          <w:kern w:val="0"/>
          <w:sz w:val="28"/>
          <w:szCs w:val="28"/>
          <w:u w:val="single"/>
          <w:lang w:eastAsia="zh-CN"/>
        </w:rPr>
      </w:pPr>
      <w:r>
        <w:rPr>
          <w:rFonts w:hint="eastAsia" w:ascii="宋体" w:hAnsi="宋体"/>
          <w:b/>
          <w:sz w:val="28"/>
        </w:rPr>
        <w:t>项目编号：</w:t>
      </w:r>
      <w:r>
        <w:rPr>
          <w:rFonts w:hint="eastAsia" w:ascii="宋体" w:hAnsi="宋体"/>
          <w:b/>
          <w:sz w:val="28"/>
          <w:szCs w:val="28"/>
          <w:u w:val="single"/>
          <w:lang w:eastAsia="zh-CN"/>
        </w:rPr>
        <w:t xml:space="preserve">双流政采（2021）A0005号 </w:t>
      </w:r>
    </w:p>
    <w:p>
      <w:pPr>
        <w:adjustRightInd w:val="0"/>
        <w:spacing w:line="360" w:lineRule="auto"/>
        <w:jc w:val="left"/>
        <w:rPr>
          <w:rFonts w:hint="eastAsia" w:ascii="宋体" w:hAnsi="宋体"/>
          <w:bCs/>
          <w:sz w:val="28"/>
          <w:szCs w:val="28"/>
        </w:rPr>
      </w:pPr>
      <w:r>
        <w:rPr>
          <w:rFonts w:hint="eastAsia" w:ascii="宋体" w:hAnsi="宋体"/>
          <w:b/>
          <w:bCs/>
          <w:spacing w:val="6"/>
          <w:sz w:val="28"/>
          <w:szCs w:val="28"/>
        </w:rPr>
        <w:t>包件</w:t>
      </w:r>
      <w:r>
        <w:rPr>
          <w:rFonts w:hint="eastAsia" w:ascii="宋体" w:hAnsi="宋体"/>
          <w:b/>
          <w:bCs/>
          <w:spacing w:val="6"/>
          <w:sz w:val="28"/>
          <w:szCs w:val="28"/>
          <w:lang w:eastAsia="zh-CN"/>
        </w:rPr>
        <w:t>号</w:t>
      </w:r>
      <w:r>
        <w:rPr>
          <w:rFonts w:hint="eastAsia" w:ascii="宋体" w:hAnsi="宋体"/>
          <w:b/>
          <w:bCs/>
          <w:spacing w:val="6"/>
          <w:sz w:val="28"/>
          <w:szCs w:val="28"/>
        </w:rPr>
        <w:t>：XXX</w:t>
      </w:r>
    </w:p>
    <w:p>
      <w:pPr>
        <w:adjustRightInd w:val="0"/>
        <w:spacing w:line="400" w:lineRule="exact"/>
        <w:ind w:firstLine="490" w:firstLineChars="175"/>
        <w:jc w:val="left"/>
        <w:rPr>
          <w:rFonts w:hint="eastAsia" w:ascii="宋体" w:hAnsi="宋体"/>
          <w:bCs/>
          <w:sz w:val="28"/>
          <w:szCs w:val="28"/>
        </w:rPr>
      </w:pPr>
    </w:p>
    <w:p>
      <w:pPr>
        <w:adjustRightInd w:val="0"/>
        <w:spacing w:line="400" w:lineRule="exact"/>
        <w:ind w:firstLine="490" w:firstLineChars="175"/>
        <w:jc w:val="left"/>
        <w:rPr>
          <w:rFonts w:hint="eastAsia" w:ascii="宋体" w:hAnsi="宋体"/>
          <w:bCs/>
          <w:sz w:val="28"/>
          <w:szCs w:val="28"/>
        </w:rPr>
      </w:pPr>
    </w:p>
    <w:p>
      <w:pPr>
        <w:ind w:firstLine="1928" w:firstLineChars="600"/>
        <w:jc w:val="both"/>
        <w:rPr>
          <w:rFonts w:ascii="宋体" w:hAnsi="宋体" w:cs="宋体"/>
          <w:b/>
          <w:kern w:val="0"/>
          <w:sz w:val="32"/>
          <w:szCs w:val="28"/>
        </w:rPr>
      </w:pPr>
      <w:r>
        <w:rPr>
          <w:rFonts w:hint="eastAsia" w:ascii="宋体" w:hAnsi="宋体" w:cs="宋体"/>
          <w:b/>
          <w:kern w:val="0"/>
          <w:sz w:val="32"/>
          <w:szCs w:val="28"/>
        </w:rPr>
        <w:t>（具体内容由各投标人自拟）</w:t>
      </w: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adjustRightInd w:val="0"/>
        <w:spacing w:line="400" w:lineRule="exact"/>
        <w:jc w:val="left"/>
        <w:rPr>
          <w:rFonts w:hint="eastAsia" w:ascii="宋体" w:hAnsi="宋体"/>
          <w:sz w:val="28"/>
          <w:szCs w:val="20"/>
        </w:rPr>
      </w:pPr>
    </w:p>
    <w:p>
      <w:pPr>
        <w:adjustRightInd w:val="0"/>
        <w:spacing w:line="400" w:lineRule="exact"/>
        <w:ind w:firstLine="490" w:firstLineChars="175"/>
        <w:jc w:val="left"/>
        <w:rPr>
          <w:rFonts w:hint="eastAsia" w:ascii="宋体" w:hAnsi="宋体"/>
          <w:sz w:val="28"/>
          <w:szCs w:val="20"/>
        </w:rPr>
      </w:pPr>
    </w:p>
    <w:p>
      <w:pPr>
        <w:pStyle w:val="27"/>
        <w:spacing w:line="360" w:lineRule="auto"/>
        <w:jc w:val="center"/>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jc w:val="right"/>
        <w:rPr>
          <w:rFonts w:hint="eastAsia" w:ascii="宋体" w:hAnsi="宋体"/>
          <w:sz w:val="28"/>
        </w:rPr>
      </w:pPr>
      <w:r>
        <w:rPr>
          <w:rFonts w:hint="eastAsia" w:ascii="宋体" w:hAnsi="宋体"/>
          <w:sz w:val="28"/>
        </w:rPr>
        <w:t>日期：</w:t>
      </w:r>
      <w:r>
        <w:rPr>
          <w:rFonts w:hint="eastAsia" w:ascii="宋体" w:hAnsi="宋体"/>
          <w:sz w:val="28"/>
          <w:u w:val="single"/>
        </w:rPr>
        <w:t>XXXX</w:t>
      </w:r>
      <w:r>
        <w:rPr>
          <w:rFonts w:hint="eastAsia" w:ascii="宋体" w:hAnsi="宋体"/>
          <w:sz w:val="28"/>
        </w:rPr>
        <w:t>年</w:t>
      </w:r>
      <w:r>
        <w:rPr>
          <w:rFonts w:hint="eastAsia" w:ascii="宋体" w:hAnsi="宋体"/>
          <w:sz w:val="28"/>
          <w:u w:val="single"/>
        </w:rPr>
        <w:t>XX</w:t>
      </w:r>
      <w:r>
        <w:rPr>
          <w:rFonts w:hint="eastAsia" w:ascii="宋体" w:hAnsi="宋体"/>
          <w:sz w:val="28"/>
        </w:rPr>
        <w:t>月</w:t>
      </w:r>
      <w:r>
        <w:rPr>
          <w:rFonts w:hint="eastAsia" w:ascii="宋体" w:hAnsi="宋体"/>
          <w:sz w:val="28"/>
          <w:u w:val="single"/>
        </w:rPr>
        <w:t>XX</w:t>
      </w:r>
      <w:r>
        <w:rPr>
          <w:rFonts w:hint="eastAsia" w:ascii="宋体" w:hAnsi="宋体"/>
          <w:sz w:val="28"/>
        </w:rPr>
        <w:t>日</w:t>
      </w:r>
    </w:p>
    <w:p>
      <w:pPr>
        <w:pStyle w:val="2"/>
        <w:rPr>
          <w:rFonts w:hint="eastAsia"/>
        </w:rPr>
      </w:pPr>
    </w:p>
    <w:p>
      <w:pPr>
        <w:pStyle w:val="6"/>
        <w:numPr>
          <w:ilvl w:val="2"/>
          <w:numId w:val="1"/>
        </w:numPr>
        <w:spacing w:after="0"/>
        <w:ind w:left="567"/>
        <w:rPr>
          <w:color w:val="auto"/>
        </w:rPr>
      </w:pPr>
      <w:r>
        <w:rPr>
          <w:rFonts w:hint="eastAsia"/>
          <w:color w:val="auto"/>
          <w:lang w:eastAsia="zh-CN"/>
        </w:rPr>
        <w:t>投标人本项目管理、技术、服务人员情况表</w:t>
      </w:r>
    </w:p>
    <w:p>
      <w:pPr>
        <w:pStyle w:val="27"/>
        <w:spacing w:line="360" w:lineRule="auto"/>
        <w:ind w:firstLine="1122" w:firstLineChars="401"/>
        <w:rPr>
          <w:rFonts w:ascii="宋体" w:hAnsi="宋体"/>
          <w:bCs/>
          <w:sz w:val="28"/>
          <w:szCs w:val="28"/>
        </w:rPr>
      </w:pPr>
      <w:r>
        <w:rPr>
          <w:rFonts w:hint="eastAsia" w:ascii="宋体" w:hAnsi="宋体"/>
          <w:bCs/>
          <w:sz w:val="28"/>
          <w:szCs w:val="28"/>
        </w:rPr>
        <w:t>投标人本项目管理、技术、服务人员情况表</w:t>
      </w:r>
    </w:p>
    <w:p>
      <w:pPr>
        <w:spacing w:line="400" w:lineRule="exact"/>
        <w:rPr>
          <w:rFonts w:ascii="宋体" w:hAnsi="宋体" w:cs="Arial"/>
          <w:b w:val="0"/>
          <w:bCs/>
          <w:color w:val="000000"/>
          <w:sz w:val="28"/>
        </w:rPr>
      </w:pPr>
      <w:r>
        <w:rPr>
          <w:rFonts w:hint="eastAsia" w:ascii="宋体" w:hAnsi="宋体"/>
          <w:bCs/>
          <w:sz w:val="28"/>
          <w:szCs w:val="28"/>
        </w:rPr>
        <w:t>项目名称：</w:t>
      </w:r>
      <w:bookmarkStart w:id="216" w:name="项目名称_1619331666240"/>
      <w:r>
        <w:rPr>
          <w:rFonts w:hint="eastAsia" w:ascii="宋体" w:hAnsi="宋体"/>
          <w:bCs/>
          <w:sz w:val="28"/>
          <w:szCs w:val="28"/>
          <w:u w:val="single"/>
        </w:rPr>
        <w:t>成都市双流区人民政府九江街道办事处环卫作业及绿化管护</w:t>
      </w:r>
      <w:r>
        <w:rPr>
          <w:rFonts w:hint="eastAsia" w:ascii="宋体" w:hAnsi="宋体"/>
          <w:b w:val="0"/>
          <w:bCs/>
          <w:sz w:val="28"/>
          <w:szCs w:val="28"/>
          <w:u w:val="single"/>
        </w:rPr>
        <w:t>服务采购项目</w:t>
      </w:r>
      <w:bookmarkEnd w:id="216"/>
      <w:r>
        <w:rPr>
          <w:rFonts w:hint="eastAsia" w:ascii="宋体" w:hAnsi="宋体"/>
          <w:b w:val="0"/>
          <w:bCs/>
          <w:sz w:val="28"/>
          <w:szCs w:val="28"/>
          <w:u w:val="single"/>
        </w:rPr>
        <w:t xml:space="preserve">  </w:t>
      </w:r>
      <w:r>
        <w:rPr>
          <w:rFonts w:hint="eastAsia" w:ascii="宋体" w:hAnsi="宋体"/>
          <w:b w:val="0"/>
          <w:bCs/>
          <w:sz w:val="28"/>
          <w:szCs w:val="28"/>
        </w:rPr>
        <w:t xml:space="preserve">              </w:t>
      </w:r>
      <w:r>
        <w:rPr>
          <w:rFonts w:hint="eastAsia" w:ascii="宋体" w:hAnsi="宋体" w:cs="Arial"/>
          <w:b w:val="0"/>
          <w:bCs/>
          <w:color w:val="000000"/>
          <w:sz w:val="28"/>
        </w:rPr>
        <w:t xml:space="preserve"> </w:t>
      </w:r>
    </w:p>
    <w:p>
      <w:pPr>
        <w:spacing w:line="400" w:lineRule="exact"/>
        <w:rPr>
          <w:rFonts w:ascii="宋体" w:hAnsi="宋体" w:cs="Arial"/>
          <w:bCs/>
          <w:color w:val="000000"/>
          <w:sz w:val="24"/>
        </w:rPr>
      </w:pPr>
      <w:r>
        <w:rPr>
          <w:rFonts w:hint="eastAsia" w:ascii="宋体" w:hAnsi="宋体"/>
          <w:b w:val="0"/>
          <w:bCs/>
          <w:sz w:val="28"/>
          <w:szCs w:val="28"/>
        </w:rPr>
        <w:t>项目编号：</w:t>
      </w:r>
      <w:r>
        <w:rPr>
          <w:rFonts w:hint="eastAsia" w:ascii="宋体" w:hAnsi="宋体"/>
          <w:b w:val="0"/>
          <w:bCs/>
          <w:sz w:val="28"/>
          <w:szCs w:val="28"/>
          <w:u w:val="single"/>
          <w:lang w:eastAsia="zh-CN"/>
        </w:rPr>
        <w:t xml:space="preserve">双流政采（2021）A0005号 </w:t>
      </w:r>
      <w:r>
        <w:rPr>
          <w:rFonts w:hint="eastAsia" w:ascii="宋体" w:hAnsi="宋体"/>
          <w:bCs/>
          <w:sz w:val="28"/>
          <w:szCs w:val="28"/>
        </w:rPr>
        <w:t xml:space="preserve">      </w:t>
      </w:r>
      <w:r>
        <w:rPr>
          <w:rFonts w:hint="eastAsia" w:ascii="宋体" w:hAnsi="宋体"/>
          <w:bCs/>
          <w:sz w:val="28"/>
          <w:szCs w:val="28"/>
          <w:lang w:eastAsia="zh-CN"/>
        </w:rPr>
        <w:t xml:space="preserve">包件号：XXX </w:t>
      </w:r>
      <w:r>
        <w:rPr>
          <w:rFonts w:hint="eastAsia" w:ascii="宋体" w:hAnsi="宋体"/>
          <w:bCs/>
          <w:sz w:val="28"/>
          <w:szCs w:val="28"/>
        </w:rPr>
        <w:t xml:space="preserve">           </w:t>
      </w:r>
    </w:p>
    <w:tbl>
      <w:tblPr>
        <w:tblStyle w:val="45"/>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901"/>
        <w:gridCol w:w="901"/>
        <w:gridCol w:w="901"/>
        <w:gridCol w:w="901"/>
        <w:gridCol w:w="1205"/>
        <w:gridCol w:w="817"/>
        <w:gridCol w:w="94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4"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90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90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90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901" w:type="dxa"/>
            <w:vMerge w:val="restart"/>
            <w:vAlign w:val="center"/>
          </w:tcPr>
          <w:p>
            <w:pPr>
              <w:spacing w:line="400" w:lineRule="exact"/>
              <w:jc w:val="center"/>
              <w:rPr>
                <w:rFonts w:ascii="宋体" w:hAnsi="宋体" w:cs="Arial"/>
                <w:color w:val="000000"/>
              </w:rPr>
            </w:pPr>
            <w:r>
              <w:rPr>
                <w:rFonts w:hint="eastAsia" w:ascii="宋体" w:hAnsi="宋体" w:cs="Arial"/>
                <w:color w:val="000000"/>
              </w:rPr>
              <w:t>常住地</w:t>
            </w:r>
          </w:p>
        </w:tc>
        <w:tc>
          <w:tcPr>
            <w:tcW w:w="378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64" w:type="dxa"/>
            <w:vMerge w:val="continue"/>
            <w:vAlign w:val="center"/>
          </w:tcPr>
          <w:p>
            <w:pPr>
              <w:spacing w:line="400" w:lineRule="exact"/>
              <w:jc w:val="center"/>
              <w:rPr>
                <w:rFonts w:ascii="宋体" w:hAnsi="宋体" w:cs="Arial"/>
                <w:color w:val="000000"/>
              </w:rPr>
            </w:pPr>
          </w:p>
        </w:tc>
        <w:tc>
          <w:tcPr>
            <w:tcW w:w="901" w:type="dxa"/>
            <w:vMerge w:val="continue"/>
            <w:vAlign w:val="center"/>
          </w:tcPr>
          <w:p>
            <w:pPr>
              <w:spacing w:line="400" w:lineRule="exact"/>
              <w:jc w:val="center"/>
              <w:rPr>
                <w:rFonts w:ascii="宋体" w:hAnsi="宋体" w:cs="Arial"/>
                <w:color w:val="000000"/>
              </w:rPr>
            </w:pPr>
          </w:p>
        </w:tc>
        <w:tc>
          <w:tcPr>
            <w:tcW w:w="901" w:type="dxa"/>
            <w:vMerge w:val="continue"/>
            <w:vAlign w:val="center"/>
          </w:tcPr>
          <w:p>
            <w:pPr>
              <w:spacing w:line="400" w:lineRule="exact"/>
              <w:jc w:val="center"/>
              <w:rPr>
                <w:rFonts w:ascii="宋体" w:hAnsi="宋体" w:cs="Arial"/>
                <w:color w:val="000000"/>
              </w:rPr>
            </w:pPr>
          </w:p>
        </w:tc>
        <w:tc>
          <w:tcPr>
            <w:tcW w:w="901" w:type="dxa"/>
            <w:vMerge w:val="continue"/>
            <w:vAlign w:val="center"/>
          </w:tcPr>
          <w:p>
            <w:pPr>
              <w:spacing w:line="400" w:lineRule="exact"/>
              <w:jc w:val="center"/>
              <w:rPr>
                <w:rFonts w:ascii="宋体" w:hAnsi="宋体" w:cs="Arial"/>
                <w:color w:val="000000"/>
              </w:rPr>
            </w:pPr>
          </w:p>
        </w:tc>
        <w:tc>
          <w:tcPr>
            <w:tcW w:w="901" w:type="dxa"/>
            <w:vMerge w:val="continue"/>
            <w:vAlign w:val="center"/>
          </w:tcPr>
          <w:p>
            <w:pPr>
              <w:spacing w:line="400" w:lineRule="exact"/>
              <w:jc w:val="center"/>
              <w:rPr>
                <w:rFonts w:ascii="宋体" w:hAnsi="宋体" w:cs="Arial"/>
                <w:color w:val="000000"/>
              </w:rPr>
            </w:pPr>
          </w:p>
        </w:tc>
        <w:tc>
          <w:tcPr>
            <w:tcW w:w="1205"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817"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945"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817"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4" w:type="dxa"/>
            <w:vMerge w:val="restart"/>
          </w:tcPr>
          <w:p>
            <w:pPr>
              <w:spacing w:line="400" w:lineRule="exact"/>
              <w:jc w:val="center"/>
              <w:rPr>
                <w:rFonts w:ascii="宋体" w:hAnsi="宋体" w:cs="Arial"/>
              </w:rPr>
            </w:pPr>
            <w:r>
              <w:rPr>
                <w:rFonts w:hint="eastAsia" w:ascii="宋体" w:hAnsi="宋体" w:cs="Arial"/>
              </w:rPr>
              <w:t>项</w:t>
            </w:r>
          </w:p>
          <w:p>
            <w:pPr>
              <w:spacing w:line="400" w:lineRule="exact"/>
              <w:jc w:val="center"/>
              <w:rPr>
                <w:rFonts w:ascii="宋体" w:hAnsi="宋体" w:cs="Arial"/>
              </w:rPr>
            </w:pPr>
            <w:r>
              <w:rPr>
                <w:rFonts w:hint="eastAsia" w:ascii="宋体" w:hAnsi="宋体" w:cs="Arial"/>
              </w:rPr>
              <w:t>目</w:t>
            </w:r>
          </w:p>
          <w:p>
            <w:pPr>
              <w:spacing w:line="400" w:lineRule="exact"/>
              <w:jc w:val="center"/>
              <w:rPr>
                <w:rFonts w:ascii="宋体" w:hAnsi="宋体" w:cs="Arial"/>
              </w:rPr>
            </w:pPr>
            <w:r>
              <w:rPr>
                <w:rFonts w:hint="eastAsia" w:ascii="宋体" w:hAnsi="宋体" w:cs="Arial"/>
              </w:rPr>
              <w:t>经</w:t>
            </w:r>
          </w:p>
          <w:p>
            <w:pPr>
              <w:spacing w:line="400" w:lineRule="exact"/>
              <w:jc w:val="center"/>
              <w:rPr>
                <w:rFonts w:ascii="宋体" w:hAnsi="宋体" w:cs="Arial"/>
                <w:sz w:val="28"/>
              </w:rPr>
            </w:pPr>
            <w:r>
              <w:rPr>
                <w:rFonts w:hint="eastAsia" w:ascii="宋体" w:hAnsi="宋体" w:cs="Arial"/>
              </w:rPr>
              <w:t>理</w:t>
            </w: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4" w:type="dxa"/>
            <w:vMerge w:val="continue"/>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1064" w:type="dxa"/>
            <w:vMerge w:val="continue"/>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4" w:type="dxa"/>
            <w:vMerge w:val="restart"/>
          </w:tcPr>
          <w:p>
            <w:pPr>
              <w:spacing w:line="400" w:lineRule="exact"/>
              <w:jc w:val="center"/>
              <w:rPr>
                <w:rFonts w:ascii="宋体" w:hAnsi="宋体" w:cs="Arial"/>
              </w:rPr>
            </w:pPr>
            <w:r>
              <w:rPr>
                <w:rFonts w:hint="eastAsia" w:ascii="宋体" w:hAnsi="宋体" w:cs="Arial"/>
              </w:rPr>
              <w:t>其他</w:t>
            </w:r>
          </w:p>
          <w:p>
            <w:pPr>
              <w:spacing w:line="400" w:lineRule="exact"/>
              <w:jc w:val="center"/>
              <w:rPr>
                <w:rFonts w:ascii="宋体" w:hAnsi="宋体" w:cs="Arial"/>
              </w:rPr>
            </w:pPr>
            <w:r>
              <w:rPr>
                <w:rFonts w:hint="eastAsia" w:ascii="宋体" w:hAnsi="宋体" w:cs="Arial"/>
              </w:rPr>
              <w:t>管理</w:t>
            </w:r>
          </w:p>
          <w:p>
            <w:pPr>
              <w:spacing w:line="400" w:lineRule="exact"/>
              <w:jc w:val="center"/>
              <w:rPr>
                <w:rFonts w:ascii="宋体" w:hAnsi="宋体" w:cs="Arial"/>
              </w:rPr>
            </w:pPr>
            <w:r>
              <w:rPr>
                <w:rFonts w:hint="eastAsia" w:ascii="宋体" w:hAnsi="宋体" w:cs="Arial"/>
              </w:rPr>
              <w:t>人员</w:t>
            </w: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4" w:type="dxa"/>
            <w:vMerge w:val="continue"/>
          </w:tcPr>
          <w:p>
            <w:pPr>
              <w:spacing w:line="400" w:lineRule="exact"/>
              <w:jc w:val="center"/>
              <w:rPr>
                <w:rFonts w:ascii="宋体" w:hAnsi="宋体" w:cs="Arial"/>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4" w:type="dxa"/>
            <w:vMerge w:val="continue"/>
          </w:tcPr>
          <w:p>
            <w:pPr>
              <w:spacing w:line="400" w:lineRule="exact"/>
              <w:jc w:val="center"/>
              <w:rPr>
                <w:rFonts w:ascii="宋体" w:hAnsi="宋体" w:cs="Arial"/>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4" w:type="dxa"/>
            <w:vMerge w:val="restart"/>
            <w:vAlign w:val="center"/>
          </w:tcPr>
          <w:p>
            <w:pPr>
              <w:spacing w:line="400" w:lineRule="exact"/>
              <w:jc w:val="center"/>
              <w:rPr>
                <w:rFonts w:ascii="宋体" w:hAnsi="宋体" w:cs="Arial"/>
              </w:rPr>
            </w:pPr>
            <w:r>
              <w:rPr>
                <w:rFonts w:hint="eastAsia" w:ascii="宋体" w:hAnsi="宋体" w:cs="Arial"/>
              </w:rPr>
              <w:t>作业人员（含驾驶员）</w:t>
            </w: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120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c>
          <w:tcPr>
            <w:tcW w:w="945" w:type="dxa"/>
          </w:tcPr>
          <w:p>
            <w:pPr>
              <w:spacing w:line="400" w:lineRule="exact"/>
              <w:jc w:val="center"/>
              <w:rPr>
                <w:rFonts w:ascii="宋体" w:hAnsi="宋体" w:cs="Arial"/>
                <w:sz w:val="28"/>
              </w:rPr>
            </w:pPr>
          </w:p>
        </w:tc>
        <w:tc>
          <w:tcPr>
            <w:tcW w:w="817"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4" w:type="dxa"/>
            <w:vMerge w:val="continue"/>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b/>
                <w:bCs/>
                <w:sz w:val="28"/>
              </w:rPr>
            </w:pPr>
          </w:p>
        </w:tc>
        <w:tc>
          <w:tcPr>
            <w:tcW w:w="901" w:type="dxa"/>
          </w:tcPr>
          <w:p>
            <w:pPr>
              <w:spacing w:line="400" w:lineRule="exact"/>
              <w:jc w:val="center"/>
              <w:rPr>
                <w:rFonts w:ascii="宋体" w:hAnsi="宋体" w:cs="Arial"/>
                <w:b/>
                <w:bCs/>
                <w:sz w:val="28"/>
              </w:rPr>
            </w:pPr>
          </w:p>
        </w:tc>
        <w:tc>
          <w:tcPr>
            <w:tcW w:w="901" w:type="dxa"/>
          </w:tcPr>
          <w:p>
            <w:pPr>
              <w:spacing w:line="400" w:lineRule="exact"/>
              <w:jc w:val="center"/>
              <w:rPr>
                <w:rFonts w:ascii="宋体" w:hAnsi="宋体" w:cs="Arial"/>
                <w:b/>
                <w:bCs/>
                <w:sz w:val="28"/>
              </w:rPr>
            </w:pPr>
          </w:p>
        </w:tc>
        <w:tc>
          <w:tcPr>
            <w:tcW w:w="1205" w:type="dxa"/>
          </w:tcPr>
          <w:p>
            <w:pPr>
              <w:spacing w:line="400" w:lineRule="exact"/>
              <w:jc w:val="center"/>
              <w:rPr>
                <w:rFonts w:ascii="宋体" w:hAnsi="宋体" w:cs="Arial"/>
                <w:b/>
                <w:bCs/>
                <w:sz w:val="28"/>
              </w:rPr>
            </w:pPr>
          </w:p>
        </w:tc>
        <w:tc>
          <w:tcPr>
            <w:tcW w:w="817" w:type="dxa"/>
          </w:tcPr>
          <w:p>
            <w:pPr>
              <w:spacing w:line="400" w:lineRule="exact"/>
              <w:jc w:val="center"/>
              <w:rPr>
                <w:rFonts w:ascii="宋体" w:hAnsi="宋体" w:cs="Arial"/>
                <w:b/>
                <w:bCs/>
                <w:sz w:val="28"/>
              </w:rPr>
            </w:pPr>
          </w:p>
        </w:tc>
        <w:tc>
          <w:tcPr>
            <w:tcW w:w="945" w:type="dxa"/>
          </w:tcPr>
          <w:p>
            <w:pPr>
              <w:spacing w:line="400" w:lineRule="exact"/>
              <w:jc w:val="center"/>
              <w:rPr>
                <w:rFonts w:ascii="宋体" w:hAnsi="宋体" w:cs="Arial"/>
                <w:b/>
                <w:bCs/>
                <w:sz w:val="28"/>
              </w:rPr>
            </w:pPr>
          </w:p>
        </w:tc>
        <w:tc>
          <w:tcPr>
            <w:tcW w:w="817" w:type="dxa"/>
          </w:tcPr>
          <w:p>
            <w:pPr>
              <w:spacing w:line="400" w:lineRule="exact"/>
              <w:jc w:val="center"/>
              <w:rPr>
                <w:rFonts w:ascii="宋体" w:hAnsi="宋体"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64" w:type="dxa"/>
            <w:vMerge w:val="continue"/>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sz w:val="28"/>
              </w:rPr>
            </w:pPr>
          </w:p>
        </w:tc>
        <w:tc>
          <w:tcPr>
            <w:tcW w:w="901" w:type="dxa"/>
          </w:tcPr>
          <w:p>
            <w:pPr>
              <w:spacing w:line="400" w:lineRule="exact"/>
              <w:jc w:val="center"/>
              <w:rPr>
                <w:rFonts w:ascii="宋体" w:hAnsi="宋体" w:cs="Arial"/>
                <w:b/>
                <w:bCs/>
                <w:sz w:val="28"/>
              </w:rPr>
            </w:pPr>
          </w:p>
        </w:tc>
        <w:tc>
          <w:tcPr>
            <w:tcW w:w="901" w:type="dxa"/>
          </w:tcPr>
          <w:p>
            <w:pPr>
              <w:spacing w:line="400" w:lineRule="exact"/>
              <w:jc w:val="center"/>
              <w:rPr>
                <w:rFonts w:ascii="宋体" w:hAnsi="宋体" w:cs="Arial"/>
                <w:b/>
                <w:bCs/>
                <w:sz w:val="28"/>
              </w:rPr>
            </w:pPr>
          </w:p>
        </w:tc>
        <w:tc>
          <w:tcPr>
            <w:tcW w:w="901" w:type="dxa"/>
          </w:tcPr>
          <w:p>
            <w:pPr>
              <w:spacing w:line="400" w:lineRule="exact"/>
              <w:jc w:val="center"/>
              <w:rPr>
                <w:rFonts w:ascii="宋体" w:hAnsi="宋体" w:cs="Arial"/>
                <w:b/>
                <w:bCs/>
                <w:sz w:val="28"/>
              </w:rPr>
            </w:pPr>
          </w:p>
        </w:tc>
        <w:tc>
          <w:tcPr>
            <w:tcW w:w="1205" w:type="dxa"/>
          </w:tcPr>
          <w:p>
            <w:pPr>
              <w:spacing w:line="400" w:lineRule="exact"/>
              <w:jc w:val="center"/>
              <w:rPr>
                <w:rFonts w:ascii="宋体" w:hAnsi="宋体" w:cs="Arial"/>
                <w:b/>
                <w:bCs/>
                <w:sz w:val="28"/>
              </w:rPr>
            </w:pPr>
          </w:p>
        </w:tc>
        <w:tc>
          <w:tcPr>
            <w:tcW w:w="817" w:type="dxa"/>
          </w:tcPr>
          <w:p>
            <w:pPr>
              <w:spacing w:line="400" w:lineRule="exact"/>
              <w:jc w:val="center"/>
              <w:rPr>
                <w:rFonts w:ascii="宋体" w:hAnsi="宋体" w:cs="Arial"/>
                <w:b/>
                <w:bCs/>
                <w:sz w:val="28"/>
              </w:rPr>
            </w:pPr>
          </w:p>
        </w:tc>
        <w:tc>
          <w:tcPr>
            <w:tcW w:w="945" w:type="dxa"/>
          </w:tcPr>
          <w:p>
            <w:pPr>
              <w:spacing w:line="400" w:lineRule="exact"/>
              <w:jc w:val="center"/>
              <w:rPr>
                <w:rFonts w:ascii="宋体" w:hAnsi="宋体" w:cs="Arial"/>
                <w:b/>
                <w:bCs/>
                <w:sz w:val="28"/>
              </w:rPr>
            </w:pPr>
          </w:p>
        </w:tc>
        <w:tc>
          <w:tcPr>
            <w:tcW w:w="817" w:type="dxa"/>
          </w:tcPr>
          <w:p>
            <w:pPr>
              <w:spacing w:line="400" w:lineRule="exact"/>
              <w:jc w:val="center"/>
              <w:rPr>
                <w:rFonts w:ascii="宋体" w:hAnsi="宋体" w:cs="Arial"/>
                <w:b/>
                <w:bCs/>
                <w:sz w:val="28"/>
              </w:rPr>
            </w:pPr>
          </w:p>
        </w:tc>
      </w:tr>
    </w:tbl>
    <w:p>
      <w:pPr>
        <w:pStyle w:val="14"/>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注：作业人员（含驾驶员）根据参与包件实际情况可采取承诺函方式。</w:t>
      </w:r>
    </w:p>
    <w:p>
      <w:pPr>
        <w:pStyle w:val="27"/>
        <w:spacing w:line="360" w:lineRule="auto"/>
        <w:ind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700" w:firstLineChars="250"/>
        <w:jc w:val="left"/>
        <w:rPr>
          <w:rFonts w:ascii="宋体" w:hAnsi="宋体"/>
          <w:bCs/>
          <w:sz w:val="28"/>
          <w:u w:val="single"/>
        </w:rPr>
      </w:pPr>
      <w:r>
        <w:rPr>
          <w:rFonts w:hint="eastAsia" w:ascii="宋体" w:hAnsi="宋体"/>
          <w:sz w:val="28"/>
        </w:rPr>
        <w:t>日期：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szCs w:val="28"/>
        </w:rPr>
        <w:t>月</w:t>
      </w:r>
      <w:r>
        <w:rPr>
          <w:rFonts w:hint="eastAsia" w:ascii="宋体" w:hAnsi="宋体"/>
          <w:bCs/>
          <w:sz w:val="28"/>
          <w:u w:val="single"/>
        </w:rPr>
        <w:t>XX</w:t>
      </w:r>
      <w:r>
        <w:rPr>
          <w:rFonts w:hint="eastAsia" w:ascii="宋体" w:hAnsi="宋体"/>
          <w:bCs/>
          <w:sz w:val="28"/>
          <w:szCs w:val="28"/>
        </w:rPr>
        <w:t>日</w:t>
      </w:r>
    </w:p>
    <w:p>
      <w:pPr>
        <w:pStyle w:val="41"/>
        <w:rPr>
          <w:rFonts w:hint="eastAsia"/>
        </w:rPr>
      </w:pPr>
    </w:p>
    <w:p>
      <w:pPr>
        <w:pStyle w:val="6"/>
        <w:numPr>
          <w:ilvl w:val="2"/>
          <w:numId w:val="1"/>
        </w:numPr>
        <w:spacing w:after="0"/>
        <w:ind w:left="567"/>
        <w:rPr>
          <w:rFonts w:hint="eastAsia"/>
          <w:bCs w:val="0"/>
          <w:color w:val="auto"/>
        </w:rPr>
      </w:pPr>
      <w:r>
        <w:rPr>
          <w:rFonts w:hint="eastAsia"/>
          <w:bCs w:val="0"/>
          <w:color w:val="auto"/>
        </w:rPr>
        <w:t>承诺函</w:t>
      </w:r>
    </w:p>
    <w:p>
      <w:pPr>
        <w:spacing w:line="360" w:lineRule="auto"/>
        <w:ind w:left="1383" w:hanging="1383" w:hangingChars="492"/>
        <w:rPr>
          <w:rFonts w:hint="eastAsia" w:ascii="宋体" w:hAnsi="宋体" w:eastAsia="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成都市双流区人民政府九江街道办事处环卫作业及绿化管护服务采购项目</w:t>
      </w:r>
    </w:p>
    <w:p>
      <w:pPr>
        <w:spacing w:line="360" w:lineRule="auto"/>
        <w:rPr>
          <w:rFonts w:hint="eastAsia" w:ascii="宋体" w:hAnsi="宋体" w:cs="宋体"/>
          <w:b/>
          <w:kern w:val="0"/>
          <w:sz w:val="28"/>
          <w:szCs w:val="28"/>
          <w:u w:val="single"/>
          <w:lang w:eastAsia="zh-CN"/>
        </w:rPr>
      </w:pPr>
      <w:r>
        <w:rPr>
          <w:rFonts w:hint="eastAsia" w:ascii="宋体" w:hAnsi="宋体"/>
          <w:b/>
          <w:sz w:val="28"/>
        </w:rPr>
        <w:t>项目编号：</w:t>
      </w:r>
      <w:r>
        <w:rPr>
          <w:rFonts w:hint="eastAsia" w:ascii="宋体" w:hAnsi="宋体"/>
          <w:b/>
          <w:sz w:val="28"/>
          <w:szCs w:val="28"/>
          <w:u w:val="single"/>
          <w:lang w:eastAsia="zh-CN"/>
        </w:rPr>
        <w:t xml:space="preserve">双流政采（2021）A0005号 </w:t>
      </w:r>
    </w:p>
    <w:p>
      <w:pPr>
        <w:snapToGrid w:val="0"/>
        <w:spacing w:line="360" w:lineRule="auto"/>
        <w:rPr>
          <w:rFonts w:hint="eastAsia" w:ascii="宋体" w:hAnsi="宋体"/>
          <w:b/>
          <w:sz w:val="28"/>
          <w:szCs w:val="28"/>
        </w:rPr>
      </w:pPr>
      <w:r>
        <w:rPr>
          <w:rFonts w:hint="eastAsia" w:ascii="宋体" w:hAnsi="宋体"/>
          <w:b/>
          <w:bCs/>
          <w:spacing w:val="6"/>
          <w:sz w:val="28"/>
          <w:szCs w:val="28"/>
        </w:rPr>
        <w:t>包件</w:t>
      </w:r>
      <w:r>
        <w:rPr>
          <w:rFonts w:hint="eastAsia" w:ascii="宋体" w:hAnsi="宋体"/>
          <w:b/>
          <w:bCs/>
          <w:spacing w:val="6"/>
          <w:sz w:val="28"/>
          <w:szCs w:val="28"/>
          <w:lang w:eastAsia="zh-CN"/>
        </w:rPr>
        <w:t>号</w:t>
      </w:r>
      <w:r>
        <w:rPr>
          <w:rFonts w:hint="eastAsia" w:ascii="宋体" w:hAnsi="宋体"/>
          <w:b/>
          <w:bCs/>
          <w:spacing w:val="6"/>
          <w:sz w:val="28"/>
          <w:szCs w:val="28"/>
        </w:rPr>
        <w:t>：XXX</w:t>
      </w:r>
    </w:p>
    <w:p>
      <w:pPr>
        <w:jc w:val="center"/>
        <w:rPr>
          <w:rFonts w:ascii="宋体" w:hAnsi="宋体" w:cs="宋体"/>
          <w:b/>
          <w:kern w:val="0"/>
          <w:sz w:val="32"/>
          <w:szCs w:val="28"/>
        </w:rPr>
      </w:pPr>
      <w:r>
        <w:rPr>
          <w:rFonts w:hint="eastAsia" w:ascii="宋体" w:hAnsi="宋体" w:cs="宋体"/>
          <w:b/>
          <w:kern w:val="0"/>
          <w:sz w:val="32"/>
          <w:szCs w:val="28"/>
        </w:rPr>
        <w:t>（</w:t>
      </w:r>
      <w:r>
        <w:rPr>
          <w:rFonts w:hint="eastAsia" w:ascii="宋体" w:hAnsi="宋体" w:cs="宋体"/>
          <w:b/>
          <w:kern w:val="0"/>
          <w:sz w:val="32"/>
          <w:szCs w:val="28"/>
          <w:lang w:eastAsia="zh-CN"/>
        </w:rPr>
        <w:t>格式和</w:t>
      </w:r>
      <w:r>
        <w:rPr>
          <w:rFonts w:hint="eastAsia" w:ascii="宋体" w:hAnsi="宋体" w:cs="宋体"/>
          <w:b/>
          <w:kern w:val="0"/>
          <w:sz w:val="32"/>
          <w:szCs w:val="28"/>
        </w:rPr>
        <w:t>内容自拟）</w:t>
      </w: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27"/>
        <w:spacing w:line="360" w:lineRule="auto"/>
        <w:jc w:val="center"/>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jc w:val="right"/>
        <w:rPr>
          <w:rFonts w:hint="eastAsia" w:ascii="宋体" w:hAnsi="宋体"/>
          <w:sz w:val="28"/>
        </w:rPr>
      </w:pPr>
      <w:r>
        <w:rPr>
          <w:rFonts w:hint="eastAsia" w:ascii="宋体" w:hAnsi="宋体"/>
          <w:sz w:val="28"/>
        </w:rPr>
        <w:t>日期：</w:t>
      </w:r>
      <w:r>
        <w:rPr>
          <w:rFonts w:hint="eastAsia" w:ascii="宋体" w:hAnsi="宋体"/>
          <w:sz w:val="28"/>
          <w:u w:val="single"/>
        </w:rPr>
        <w:t>XXXX</w:t>
      </w:r>
      <w:r>
        <w:rPr>
          <w:rFonts w:hint="eastAsia" w:ascii="宋体" w:hAnsi="宋体"/>
          <w:sz w:val="28"/>
        </w:rPr>
        <w:t>年</w:t>
      </w:r>
      <w:r>
        <w:rPr>
          <w:rFonts w:hint="eastAsia" w:ascii="宋体" w:hAnsi="宋体"/>
          <w:sz w:val="28"/>
          <w:u w:val="single"/>
        </w:rPr>
        <w:t>XX</w:t>
      </w:r>
      <w:r>
        <w:rPr>
          <w:rFonts w:hint="eastAsia" w:ascii="宋体" w:hAnsi="宋体"/>
          <w:sz w:val="28"/>
        </w:rPr>
        <w:t>月</w:t>
      </w:r>
      <w:r>
        <w:rPr>
          <w:rFonts w:hint="eastAsia" w:ascii="宋体" w:hAnsi="宋体"/>
          <w:sz w:val="28"/>
          <w:u w:val="single"/>
        </w:rPr>
        <w:t>XX</w:t>
      </w:r>
      <w:r>
        <w:rPr>
          <w:rFonts w:hint="eastAsia" w:ascii="宋体" w:hAnsi="宋体"/>
          <w:sz w:val="28"/>
        </w:rPr>
        <w:t>日</w:t>
      </w: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rPr>
          <w:rFonts w:hint="eastAsia"/>
        </w:rPr>
      </w:pPr>
    </w:p>
    <w:p>
      <w:pPr>
        <w:pStyle w:val="6"/>
        <w:numPr>
          <w:ilvl w:val="2"/>
          <w:numId w:val="1"/>
        </w:numPr>
        <w:spacing w:after="0"/>
        <w:ind w:left="567"/>
        <w:rPr>
          <w:color w:val="auto"/>
        </w:rPr>
      </w:pPr>
      <w:bookmarkStart w:id="217" w:name="_Toc22568"/>
      <w:bookmarkStart w:id="218" w:name="_Toc514319662"/>
      <w:r>
        <w:rPr>
          <w:rFonts w:hint="eastAsia"/>
          <w:color w:val="auto"/>
        </w:rPr>
        <w:t>投标人认为需要提供的其他文件和资料</w:t>
      </w:r>
      <w:bookmarkEnd w:id="217"/>
      <w:bookmarkEnd w:id="218"/>
    </w:p>
    <w:p>
      <w:pPr>
        <w:pStyle w:val="6"/>
        <w:spacing w:after="0"/>
        <w:ind w:left="0" w:leftChars="0" w:firstLine="0" w:firstLineChars="0"/>
        <w:rPr>
          <w:color w:val="auto"/>
        </w:rPr>
      </w:pPr>
      <w:r>
        <w:rPr>
          <w:rFonts w:hint="eastAsia" w:ascii="宋体" w:hAnsi="宋体"/>
          <w:b/>
          <w:bCs/>
          <w:spacing w:val="6"/>
          <w:sz w:val="28"/>
          <w:szCs w:val="28"/>
        </w:rPr>
        <w:t>包件：XXX</w:t>
      </w:r>
    </w:p>
    <w:p/>
    <w:p>
      <w:pPr>
        <w:pStyle w:val="2"/>
        <w:ind w:firstLine="1606" w:firstLineChars="500"/>
        <w:rPr>
          <w:rFonts w:ascii="宋体" w:hAnsi="宋体" w:cs="宋体"/>
          <w:b/>
          <w:kern w:val="0"/>
          <w:sz w:val="32"/>
          <w:szCs w:val="28"/>
        </w:rPr>
      </w:pPr>
    </w:p>
    <w:p>
      <w:pPr>
        <w:pStyle w:val="2"/>
        <w:ind w:firstLine="1606" w:firstLineChars="500"/>
        <w:rPr>
          <w:rFonts w:ascii="宋体" w:hAnsi="宋体" w:cs="宋体"/>
          <w:b/>
          <w:kern w:val="0"/>
          <w:sz w:val="32"/>
          <w:szCs w:val="28"/>
        </w:rPr>
      </w:pPr>
    </w:p>
    <w:p>
      <w:pPr>
        <w:pStyle w:val="2"/>
        <w:ind w:firstLine="1606" w:firstLineChars="500"/>
        <w:rPr>
          <w:rFonts w:ascii="宋体" w:hAnsi="宋体" w:cs="宋体"/>
          <w:b/>
          <w:kern w:val="0"/>
          <w:sz w:val="32"/>
          <w:szCs w:val="28"/>
        </w:rPr>
      </w:pPr>
    </w:p>
    <w:p>
      <w:pPr>
        <w:jc w:val="center"/>
        <w:rPr>
          <w:rFonts w:ascii="宋体" w:hAnsi="宋体" w:cs="宋体"/>
          <w:b/>
          <w:kern w:val="0"/>
          <w:sz w:val="32"/>
          <w:szCs w:val="28"/>
        </w:rPr>
      </w:pPr>
      <w:r>
        <w:rPr>
          <w:rFonts w:hint="eastAsia" w:ascii="宋体" w:hAnsi="宋体" w:cs="宋体"/>
          <w:b/>
          <w:kern w:val="0"/>
          <w:sz w:val="32"/>
          <w:szCs w:val="28"/>
        </w:rPr>
        <w:t>（</w:t>
      </w:r>
      <w:r>
        <w:rPr>
          <w:rFonts w:hint="eastAsia" w:ascii="宋体" w:hAnsi="宋体" w:cs="宋体"/>
          <w:b/>
          <w:kern w:val="0"/>
          <w:sz w:val="32"/>
          <w:szCs w:val="28"/>
          <w:lang w:eastAsia="zh-CN"/>
        </w:rPr>
        <w:t>格式和</w:t>
      </w:r>
      <w:r>
        <w:rPr>
          <w:rFonts w:hint="eastAsia" w:ascii="宋体" w:hAnsi="宋体" w:cs="宋体"/>
          <w:b/>
          <w:kern w:val="0"/>
          <w:sz w:val="32"/>
          <w:szCs w:val="28"/>
        </w:rPr>
        <w:t>内容自拟）</w:t>
      </w:r>
    </w:p>
    <w:p>
      <w:pPr>
        <w:snapToGrid w:val="0"/>
        <w:spacing w:line="360" w:lineRule="auto"/>
      </w:pPr>
    </w:p>
    <w:p>
      <w:pPr>
        <w:snapToGrid w:val="0"/>
        <w:spacing w:line="360" w:lineRule="auto"/>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7"/>
        <w:spacing w:line="360" w:lineRule="auto"/>
        <w:jc w:val="center"/>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jc w:val="right"/>
        <w:rPr>
          <w:rFonts w:hint="eastAsia" w:ascii="宋体" w:hAnsi="宋体"/>
          <w:sz w:val="28"/>
        </w:rPr>
      </w:pPr>
      <w:r>
        <w:rPr>
          <w:rFonts w:hint="eastAsia" w:ascii="宋体" w:hAnsi="宋体"/>
          <w:sz w:val="28"/>
        </w:rPr>
        <w:t>日期：</w:t>
      </w:r>
      <w:r>
        <w:rPr>
          <w:rFonts w:hint="eastAsia" w:ascii="宋体" w:hAnsi="宋体"/>
          <w:sz w:val="28"/>
          <w:u w:val="single"/>
        </w:rPr>
        <w:t>XXXX</w:t>
      </w:r>
      <w:r>
        <w:rPr>
          <w:rFonts w:hint="eastAsia" w:ascii="宋体" w:hAnsi="宋体"/>
          <w:sz w:val="28"/>
        </w:rPr>
        <w:t>年</w:t>
      </w:r>
      <w:r>
        <w:rPr>
          <w:rFonts w:hint="eastAsia" w:ascii="宋体" w:hAnsi="宋体"/>
          <w:sz w:val="28"/>
          <w:u w:val="single"/>
        </w:rPr>
        <w:t>XX</w:t>
      </w:r>
      <w:r>
        <w:rPr>
          <w:rFonts w:hint="eastAsia" w:ascii="宋体" w:hAnsi="宋体"/>
          <w:sz w:val="28"/>
        </w:rPr>
        <w:t>月</w:t>
      </w:r>
      <w:r>
        <w:rPr>
          <w:rFonts w:hint="eastAsia" w:ascii="宋体" w:hAnsi="宋体"/>
          <w:sz w:val="28"/>
          <w:u w:val="single"/>
        </w:rPr>
        <w:t>XX</w:t>
      </w:r>
      <w:r>
        <w:rPr>
          <w:rFonts w:hint="eastAsia" w:ascii="宋体" w:hAnsi="宋体"/>
          <w:sz w:val="28"/>
        </w:rPr>
        <w:t>日</w:t>
      </w:r>
    </w:p>
    <w:p>
      <w:pPr>
        <w:pStyle w:val="3"/>
      </w:pPr>
    </w:p>
    <w:bookmarkEnd w:id="212"/>
    <w:bookmarkEnd w:id="213"/>
    <w:bookmarkEnd w:id="214"/>
    <w:bookmarkEnd w:id="215"/>
    <w:p>
      <w:pPr>
        <w:pStyle w:val="4"/>
        <w:numPr>
          <w:ilvl w:val="0"/>
          <w:numId w:val="1"/>
        </w:numPr>
        <w:spacing w:before="0" w:after="0" w:line="360" w:lineRule="auto"/>
        <w:ind w:left="283"/>
        <w:rPr>
          <w:rFonts w:hint="eastAsia"/>
        </w:rPr>
      </w:pPr>
      <w:bookmarkStart w:id="219" w:name="_Toc8116"/>
      <w:bookmarkStart w:id="220" w:name="_Toc217446093"/>
      <w:bookmarkStart w:id="221" w:name="_Toc1046"/>
      <w:bookmarkStart w:id="222" w:name="_Toc316292231"/>
      <w:bookmarkStart w:id="223" w:name="_Toc321382057"/>
      <w:r>
        <w:rPr>
          <w:rFonts w:hint="eastAsia"/>
        </w:rPr>
        <w:t>招标项目技术、服务、商务及其他要求</w:t>
      </w:r>
      <w:bookmarkEnd w:id="219"/>
      <w:bookmarkEnd w:id="220"/>
      <w:bookmarkEnd w:id="221"/>
    </w:p>
    <w:p>
      <w:pPr>
        <w:pStyle w:val="5"/>
        <w:numPr>
          <w:ilvl w:val="1"/>
          <w:numId w:val="1"/>
        </w:numPr>
        <w:tabs>
          <w:tab w:val="left" w:pos="0"/>
          <w:tab w:val="left" w:pos="426"/>
          <w:tab w:val="left" w:pos="576"/>
          <w:tab w:val="left" w:pos="786"/>
        </w:tabs>
        <w:spacing w:before="0" w:after="0"/>
        <w:ind w:left="0" w:firstLine="0"/>
        <w:jc w:val="both"/>
        <w:rPr>
          <w:rFonts w:hint="eastAsia"/>
        </w:rPr>
      </w:pPr>
      <w:bookmarkStart w:id="224" w:name="_Toc31612"/>
      <w:bookmarkStart w:id="225" w:name="_Toc29592"/>
      <w:r>
        <w:rPr>
          <w:rFonts w:hint="eastAsia"/>
        </w:rPr>
        <w:t>项目概况</w:t>
      </w:r>
      <w:bookmarkEnd w:id="224"/>
      <w:bookmarkEnd w:id="225"/>
    </w:p>
    <w:p>
      <w:pPr>
        <w:pStyle w:val="190"/>
        <w:spacing w:line="500" w:lineRule="exact"/>
        <w:ind w:firstLine="480"/>
        <w:rPr>
          <w:rFonts w:hint="eastAsia" w:ascii="宋体" w:hAnsi="宋体" w:eastAsia="宋体"/>
          <w:sz w:val="28"/>
          <w:szCs w:val="28"/>
          <w:lang w:eastAsia="zh-CN"/>
        </w:rPr>
      </w:pPr>
      <w:bookmarkStart w:id="226" w:name="_Toc15355"/>
      <w:r>
        <w:rPr>
          <w:rFonts w:hint="eastAsia" w:ascii="宋体" w:hAnsi="宋体" w:cs="Times New Roman"/>
          <w:kern w:val="2"/>
          <w:sz w:val="28"/>
          <w:szCs w:val="28"/>
          <w:lang w:val="en-US" w:eastAsia="zh-CN" w:bidi="ar-SA"/>
        </w:rPr>
        <w:t>为助力中国航空经济之都建设和城市环境品质提升，推进环卫作业精细化和常态化，进一步优化人居环境，提升城市形象，充分发挥市场化服务优势，实现干管分离，拟对九江区域道路清扫保洁作业进行新一轮服务采购。为优化服务内容，提高服务效率，此轮采购将环境卫生作业、河道保洁、绿化管护、公厕管理、垃圾清运一并服务外包。本项目共分为2个包件，各包件分别拟确定一名中标供应商，为</w:t>
      </w:r>
      <w:r>
        <w:rPr>
          <w:rFonts w:hint="eastAsia" w:ascii="宋体" w:hAnsi="宋体" w:cs="Times New Roman"/>
          <w:kern w:val="2"/>
          <w:sz w:val="28"/>
          <w:szCs w:val="28"/>
          <w:lang w:val="zh-CN" w:eastAsia="zh-CN" w:bidi="ar-SA"/>
        </w:rPr>
        <w:t>成都市双流区人民政府九江街道办事处</w:t>
      </w:r>
      <w:r>
        <w:rPr>
          <w:rFonts w:hint="eastAsia" w:ascii="宋体" w:hAnsi="宋体" w:cs="Times New Roman"/>
          <w:kern w:val="2"/>
          <w:sz w:val="28"/>
          <w:szCs w:val="28"/>
          <w:lang w:val="en-US" w:eastAsia="zh-CN" w:bidi="ar-SA"/>
        </w:rPr>
        <w:t xml:space="preserve">提供环卫作业及绿化管护相关服务。 </w:t>
      </w:r>
    </w:p>
    <w:bookmarkEnd w:id="226"/>
    <w:p>
      <w:pPr>
        <w:pStyle w:val="5"/>
        <w:numPr>
          <w:ilvl w:val="1"/>
          <w:numId w:val="1"/>
        </w:numPr>
        <w:tabs>
          <w:tab w:val="left" w:pos="0"/>
          <w:tab w:val="left" w:pos="426"/>
          <w:tab w:val="left" w:pos="576"/>
          <w:tab w:val="left" w:pos="786"/>
        </w:tabs>
        <w:spacing w:before="0" w:after="0"/>
        <w:ind w:left="0" w:firstLine="0"/>
        <w:jc w:val="both"/>
        <w:rPr>
          <w:rFonts w:hint="eastAsia"/>
        </w:rPr>
      </w:pPr>
      <w:bookmarkStart w:id="227" w:name="_Toc16482"/>
      <w:r>
        <w:rPr>
          <w:rFonts w:hint="eastAsia"/>
          <w:lang w:eastAsia="zh-CN"/>
        </w:rPr>
        <w:t>项目基本情况表</w:t>
      </w:r>
      <w:bookmarkEnd w:id="227"/>
    </w:p>
    <w:p>
      <w:pPr>
        <w:pStyle w:val="6"/>
        <w:numPr>
          <w:ilvl w:val="2"/>
          <w:numId w:val="1"/>
        </w:numPr>
        <w:spacing w:after="0"/>
        <w:ind w:left="567"/>
        <w:rPr>
          <w:rFonts w:hint="eastAsia"/>
          <w:color w:val="auto"/>
        </w:rPr>
      </w:pPr>
      <w:r>
        <w:rPr>
          <w:rFonts w:hint="eastAsia"/>
          <w:color w:val="auto"/>
          <w:lang w:val="en-US" w:eastAsia="zh-CN"/>
        </w:rPr>
        <w:t>*</w:t>
      </w:r>
      <w:r>
        <w:rPr>
          <w:rFonts w:hint="eastAsia"/>
          <w:color w:val="auto"/>
          <w:lang w:eastAsia="zh-CN"/>
        </w:rPr>
        <w:t>机具人员配置表</w:t>
      </w:r>
    </w:p>
    <w:p>
      <w:pPr>
        <w:pStyle w:val="84"/>
        <w:spacing w:line="360" w:lineRule="auto"/>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包件</w:t>
      </w:r>
      <w:r>
        <w:rPr>
          <w:rFonts w:hint="eastAsia" w:ascii="宋体" w:hAnsi="宋体" w:eastAsia="宋体" w:cs="宋体"/>
          <w:b/>
          <w:bCs/>
          <w:color w:val="000000"/>
          <w:kern w:val="0"/>
          <w:sz w:val="28"/>
          <w:szCs w:val="28"/>
          <w:lang w:eastAsia="zh-CN"/>
        </w:rPr>
        <w:t>号：</w:t>
      </w:r>
      <w:r>
        <w:rPr>
          <w:rFonts w:hint="eastAsia" w:ascii="宋体" w:hAnsi="宋体" w:eastAsia="宋体" w:cs="宋体"/>
          <w:b/>
          <w:bCs/>
          <w:color w:val="000000"/>
          <w:kern w:val="0"/>
          <w:sz w:val="28"/>
          <w:szCs w:val="28"/>
        </w:rPr>
        <w:t>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62"/>
        <w:gridCol w:w="3350"/>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序号</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项目</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最低数量</w:t>
            </w:r>
          </w:p>
        </w:tc>
        <w:tc>
          <w:tcPr>
            <w:tcW w:w="3280" w:type="dxa"/>
            <w:vAlign w:val="center"/>
          </w:tcPr>
          <w:p>
            <w:pPr>
              <w:spacing w:line="500" w:lineRule="exact"/>
              <w:jc w:val="center"/>
              <w:rPr>
                <w:rFonts w:ascii="宋体" w:hAnsi="宋体" w:cs="宋体"/>
                <w:sz w:val="24"/>
                <w:szCs w:val="24"/>
              </w:rPr>
            </w:pPr>
            <w:r>
              <w:rPr>
                <w:rFonts w:hint="eastAsia" w:ascii="宋体" w:hAnsi="宋体" w:cs="宋体"/>
                <w:sz w:val="24"/>
                <w:szCs w:val="24"/>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1</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管理人员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8人（保洁）+1人（河道）+1人（公厕）+2人（清运）</w:t>
            </w:r>
          </w:p>
        </w:tc>
        <w:tc>
          <w:tcPr>
            <w:tcW w:w="3280" w:type="dxa"/>
            <w:vAlign w:val="center"/>
          </w:tcPr>
          <w:p>
            <w:pPr>
              <w:spacing w:line="500" w:lineRule="exact"/>
              <w:rPr>
                <w:rFonts w:ascii="宋体" w:hAnsi="宋体" w:cs="宋体"/>
                <w:sz w:val="24"/>
                <w:szCs w:val="24"/>
              </w:rPr>
            </w:pPr>
            <w:r>
              <w:rPr>
                <w:rFonts w:hint="eastAsia" w:ascii="宋体" w:hAnsi="宋体" w:cs="宋体"/>
                <w:sz w:val="24"/>
                <w:szCs w:val="24"/>
              </w:rPr>
              <w:t>环卫作业按10万平米配置一人。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2</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作业人员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130人（保洁）+13人（河道）+10人（公厕）+12人（清运辅助工）</w:t>
            </w:r>
          </w:p>
        </w:tc>
        <w:tc>
          <w:tcPr>
            <w:tcW w:w="3280" w:type="dxa"/>
            <w:vAlign w:val="center"/>
          </w:tcPr>
          <w:p>
            <w:pPr>
              <w:spacing w:line="500" w:lineRule="exact"/>
              <w:jc w:val="center"/>
              <w:rPr>
                <w:rFonts w:hint="eastAsia" w:ascii="宋体" w:hAnsi="宋体" w:cs="宋体"/>
                <w:sz w:val="24"/>
                <w:szCs w:val="24"/>
              </w:rPr>
            </w:pPr>
            <w:r>
              <w:rPr>
                <w:rFonts w:hint="eastAsia" w:ascii="宋体" w:hAnsi="宋体" w:cs="宋体"/>
                <w:sz w:val="24"/>
                <w:szCs w:val="24"/>
              </w:rPr>
              <w:t>一级道路6600平方米/</w:t>
            </w:r>
            <w:r>
              <w:rPr>
                <w:rFonts w:hint="eastAsia" w:ascii="宋体" w:hAnsi="宋体" w:cs="宋体"/>
                <w:sz w:val="24"/>
                <w:szCs w:val="24"/>
                <w:lang w:val="en-US" w:eastAsia="zh-CN"/>
              </w:rPr>
              <w:t>人</w:t>
            </w:r>
            <w:r>
              <w:rPr>
                <w:rFonts w:hint="eastAsia" w:ascii="宋体" w:hAnsi="宋体" w:cs="宋体"/>
                <w:sz w:val="24"/>
                <w:szCs w:val="24"/>
              </w:rPr>
              <w:t>，二级道路7000平方米/人，三级道路7400平方米/人</w:t>
            </w:r>
            <w:r>
              <w:rPr>
                <w:rFonts w:hint="eastAsia" w:ascii="宋体" w:hAnsi="宋体" w:cs="宋体"/>
                <w:sz w:val="24"/>
                <w:szCs w:val="24"/>
                <w:lang w:eastAsia="zh-CN"/>
              </w:rPr>
              <w:t>，</w:t>
            </w:r>
            <w:r>
              <w:rPr>
                <w:rFonts w:hint="eastAsia" w:ascii="宋体" w:hAnsi="宋体" w:cs="宋体"/>
                <w:sz w:val="24"/>
                <w:szCs w:val="24"/>
                <w:lang w:val="en-US" w:eastAsia="zh-CN"/>
              </w:rPr>
              <w:t>每天一班。在此基础上按配置人员增加13%。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3</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驾驶员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7人（保洁）+6人（清运）</w:t>
            </w:r>
          </w:p>
        </w:tc>
        <w:tc>
          <w:tcPr>
            <w:tcW w:w="3280" w:type="dxa"/>
            <w:vAlign w:val="center"/>
          </w:tcPr>
          <w:p>
            <w:pPr>
              <w:spacing w:line="50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4</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洒水车（核定载质量≥10吨）</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2辆</w:t>
            </w:r>
          </w:p>
        </w:tc>
        <w:tc>
          <w:tcPr>
            <w:tcW w:w="3280" w:type="dxa"/>
            <w:vAlign w:val="center"/>
          </w:tcPr>
          <w:p>
            <w:pPr>
              <w:spacing w:line="500" w:lineRule="exact"/>
              <w:jc w:val="center"/>
              <w:rPr>
                <w:rFonts w:hint="eastAsia" w:ascii="宋体" w:hAnsi="宋体" w:cs="宋体"/>
                <w:sz w:val="24"/>
                <w:szCs w:val="24"/>
              </w:rPr>
            </w:pPr>
            <w:r>
              <w:rPr>
                <w:rFonts w:hint="eastAsia" w:ascii="宋体" w:hAnsi="宋体" w:cs="宋体"/>
                <w:sz w:val="24"/>
                <w:szCs w:val="24"/>
                <w:lang w:val="en-US" w:eastAsia="zh-CN"/>
              </w:rPr>
              <w:t>按每30万平方米配置1台。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5</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多功能洗扫车（核定载质量≥4吨）</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6</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雾炮车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7</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垃圾压缩清运车（</w:t>
            </w:r>
            <w:r>
              <w:rPr>
                <w:rFonts w:hint="eastAsia" w:ascii="宋体" w:hAnsi="宋体" w:cs="宋体"/>
                <w:sz w:val="24"/>
                <w:szCs w:val="24"/>
                <w:lang w:val="en-US" w:eastAsia="zh-CN"/>
              </w:rPr>
              <w:t>核定载质量≥8吨</w:t>
            </w:r>
            <w:r>
              <w:rPr>
                <w:rFonts w:hint="eastAsia" w:ascii="宋体" w:hAnsi="宋体" w:cs="宋体"/>
                <w:sz w:val="24"/>
                <w:szCs w:val="24"/>
              </w:rPr>
              <w:t>）</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3辆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8</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垃圾压缩清运车（</w:t>
            </w:r>
            <w:r>
              <w:rPr>
                <w:rFonts w:hint="eastAsia" w:ascii="宋体" w:hAnsi="宋体" w:cs="宋体"/>
                <w:sz w:val="24"/>
                <w:szCs w:val="24"/>
                <w:lang w:val="en-US" w:eastAsia="zh-CN"/>
              </w:rPr>
              <w:t>核定载质量≥3吨</w:t>
            </w:r>
            <w:r>
              <w:rPr>
                <w:rFonts w:hint="eastAsia" w:ascii="宋体" w:hAnsi="宋体" w:cs="宋体"/>
                <w:sz w:val="24"/>
                <w:szCs w:val="24"/>
              </w:rPr>
              <w:t>）</w:t>
            </w:r>
          </w:p>
        </w:tc>
        <w:tc>
          <w:tcPr>
            <w:tcW w:w="3350" w:type="dxa"/>
            <w:vAlign w:val="center"/>
          </w:tcPr>
          <w:p>
            <w:pPr>
              <w:spacing w:line="500" w:lineRule="exact"/>
              <w:jc w:val="center"/>
            </w:pPr>
            <w:r>
              <w:rPr>
                <w:rFonts w:hint="eastAsia" w:ascii="宋体" w:hAnsi="宋体" w:cs="宋体"/>
                <w:sz w:val="24"/>
                <w:szCs w:val="24"/>
              </w:rPr>
              <w:t>2辆</w:t>
            </w:r>
          </w:p>
        </w:tc>
        <w:tc>
          <w:tcPr>
            <w:tcW w:w="3280" w:type="dxa"/>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9</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快速保洁车（电动快保车）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20辆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10</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电动高压冲洗车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10辆</w:t>
            </w:r>
          </w:p>
        </w:tc>
        <w:tc>
          <w:tcPr>
            <w:tcW w:w="3280" w:type="dxa"/>
            <w:vAlign w:val="center"/>
          </w:tcPr>
          <w:p>
            <w:pPr>
              <w:spacing w:line="500" w:lineRule="exact"/>
              <w:jc w:val="center"/>
              <w:rPr>
                <w:rFonts w:ascii="宋体" w:hAnsi="宋体" w:cs="宋体"/>
                <w:sz w:val="24"/>
                <w:szCs w:val="24"/>
              </w:rPr>
            </w:pPr>
          </w:p>
        </w:tc>
      </w:tr>
    </w:tbl>
    <w:p>
      <w:pPr>
        <w:pStyle w:val="84"/>
        <w:spacing w:line="360" w:lineRule="auto"/>
        <w:ind w:firstLine="0" w:firstLineChars="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包件</w:t>
      </w:r>
      <w:r>
        <w:rPr>
          <w:rFonts w:hint="eastAsia" w:ascii="宋体" w:hAnsi="宋体" w:eastAsia="宋体" w:cs="宋体"/>
          <w:b/>
          <w:bCs/>
          <w:color w:val="000000"/>
          <w:kern w:val="0"/>
          <w:sz w:val="28"/>
          <w:szCs w:val="28"/>
          <w:lang w:eastAsia="zh-CN"/>
        </w:rPr>
        <w:t>号：</w:t>
      </w:r>
      <w:r>
        <w:rPr>
          <w:rFonts w:hint="eastAsia" w:ascii="宋体" w:hAnsi="宋体" w:eastAsia="宋体" w:cs="宋体"/>
          <w:b/>
          <w:bCs/>
          <w:color w:val="000000"/>
          <w:kern w:val="0"/>
          <w:sz w:val="28"/>
          <w:szCs w:val="28"/>
          <w:lang w:val="en-US" w:eastAsia="zh-CN"/>
        </w:rPr>
        <w:t>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62"/>
        <w:gridCol w:w="3350"/>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序号</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项目</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最低数量</w:t>
            </w:r>
          </w:p>
        </w:tc>
        <w:tc>
          <w:tcPr>
            <w:tcW w:w="3280" w:type="dxa"/>
            <w:vAlign w:val="center"/>
          </w:tcPr>
          <w:p>
            <w:pPr>
              <w:spacing w:line="500" w:lineRule="exact"/>
              <w:jc w:val="center"/>
              <w:rPr>
                <w:rFonts w:ascii="宋体" w:hAnsi="宋体" w:cs="宋体"/>
                <w:sz w:val="24"/>
                <w:szCs w:val="24"/>
              </w:rPr>
            </w:pPr>
            <w:r>
              <w:rPr>
                <w:rFonts w:hint="eastAsia" w:ascii="宋体" w:hAnsi="宋体" w:cs="宋体"/>
                <w:sz w:val="24"/>
                <w:szCs w:val="24"/>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1</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管理人员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7人（保洁）+1人（河道）+2人（清运）</w:t>
            </w:r>
          </w:p>
        </w:tc>
        <w:tc>
          <w:tcPr>
            <w:tcW w:w="3280" w:type="dxa"/>
            <w:vAlign w:val="center"/>
          </w:tcPr>
          <w:p>
            <w:pPr>
              <w:spacing w:line="500" w:lineRule="exact"/>
              <w:rPr>
                <w:rFonts w:ascii="宋体" w:hAnsi="宋体" w:cs="宋体"/>
                <w:sz w:val="24"/>
                <w:szCs w:val="24"/>
              </w:rPr>
            </w:pPr>
            <w:r>
              <w:rPr>
                <w:rFonts w:hint="eastAsia" w:ascii="宋体" w:hAnsi="宋体" w:cs="宋体"/>
                <w:sz w:val="24"/>
                <w:szCs w:val="24"/>
              </w:rPr>
              <w:t>环卫作业按10万平米配置一人。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2</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作业人员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115人（保洁）+17人（河道）+12人（辅助工）</w:t>
            </w:r>
          </w:p>
        </w:tc>
        <w:tc>
          <w:tcPr>
            <w:tcW w:w="3280" w:type="dxa"/>
            <w:vAlign w:val="center"/>
          </w:tcPr>
          <w:p>
            <w:pPr>
              <w:spacing w:line="500" w:lineRule="exact"/>
              <w:jc w:val="left"/>
              <w:rPr>
                <w:rFonts w:ascii="宋体" w:hAnsi="宋体" w:cs="宋体"/>
                <w:color w:val="auto"/>
                <w:sz w:val="24"/>
                <w:szCs w:val="24"/>
              </w:rPr>
            </w:pPr>
            <w:r>
              <w:rPr>
                <w:rFonts w:hint="eastAsia" w:ascii="宋体" w:hAnsi="宋体" w:cs="宋体"/>
                <w:color w:val="auto"/>
                <w:sz w:val="24"/>
                <w:szCs w:val="24"/>
              </w:rPr>
              <w:t>一级道路6600平方米/</w:t>
            </w:r>
            <w:r>
              <w:rPr>
                <w:rFonts w:hint="eastAsia" w:ascii="宋体" w:hAnsi="宋体" w:cs="宋体"/>
                <w:color w:val="auto"/>
                <w:sz w:val="24"/>
                <w:szCs w:val="24"/>
                <w:lang w:val="en-US" w:eastAsia="zh-CN"/>
              </w:rPr>
              <w:t>人</w:t>
            </w:r>
            <w:r>
              <w:rPr>
                <w:rFonts w:hint="eastAsia" w:ascii="宋体" w:hAnsi="宋体" w:cs="宋体"/>
                <w:color w:val="auto"/>
                <w:sz w:val="24"/>
                <w:szCs w:val="24"/>
              </w:rPr>
              <w:t>，二级道路7000平方米/人，三级道路7400平方米/人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每天一班。在此基础上按配置人员增加13%。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3</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驾驶员</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6人（保洁）+6人（清运）</w:t>
            </w:r>
          </w:p>
        </w:tc>
        <w:tc>
          <w:tcPr>
            <w:tcW w:w="3280" w:type="dxa"/>
            <w:vAlign w:val="center"/>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4</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洒水车（核定载质量≥10吨）</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2辆</w:t>
            </w:r>
          </w:p>
        </w:tc>
        <w:tc>
          <w:tcPr>
            <w:tcW w:w="328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lang w:val="en-US" w:eastAsia="zh-CN"/>
              </w:rPr>
              <w:t>按每30万平方米配置1台。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5</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多功能洗扫车（核定载质量≥4吨）</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6</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雾炮车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1辆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7</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垃圾压缩清运车（</w:t>
            </w:r>
            <w:r>
              <w:rPr>
                <w:rFonts w:hint="eastAsia" w:ascii="宋体" w:hAnsi="宋体" w:cs="宋体"/>
                <w:sz w:val="24"/>
                <w:szCs w:val="24"/>
                <w:lang w:val="en-US" w:eastAsia="zh-CN"/>
              </w:rPr>
              <w:t>核定载质量≥8吨</w:t>
            </w:r>
            <w:r>
              <w:rPr>
                <w:rFonts w:hint="eastAsia" w:ascii="宋体" w:hAnsi="宋体" w:cs="宋体"/>
                <w:sz w:val="24"/>
                <w:szCs w:val="24"/>
              </w:rPr>
              <w:t>）</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3辆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8</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垃圾压缩清运车（</w:t>
            </w:r>
            <w:r>
              <w:rPr>
                <w:rFonts w:hint="eastAsia" w:ascii="宋体" w:hAnsi="宋体" w:cs="宋体"/>
                <w:sz w:val="24"/>
                <w:szCs w:val="24"/>
                <w:lang w:val="en-US" w:eastAsia="zh-CN"/>
              </w:rPr>
              <w:t>核定载质量≥3吨</w:t>
            </w:r>
            <w:r>
              <w:rPr>
                <w:rFonts w:hint="eastAsia" w:ascii="宋体" w:hAnsi="宋体" w:cs="宋体"/>
                <w:sz w:val="24"/>
                <w:szCs w:val="24"/>
              </w:rPr>
              <w:t>）</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2辆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9</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快速保洁车（电动快保车）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25辆</w:t>
            </w:r>
          </w:p>
        </w:tc>
        <w:tc>
          <w:tcPr>
            <w:tcW w:w="3280" w:type="dxa"/>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500" w:lineRule="exact"/>
              <w:jc w:val="center"/>
              <w:rPr>
                <w:rFonts w:ascii="宋体" w:hAnsi="宋体" w:cs="宋体"/>
                <w:sz w:val="24"/>
                <w:szCs w:val="24"/>
              </w:rPr>
            </w:pPr>
            <w:r>
              <w:rPr>
                <w:rFonts w:hint="eastAsia" w:ascii="宋体" w:hAnsi="宋体" w:cs="宋体"/>
                <w:sz w:val="24"/>
                <w:szCs w:val="24"/>
              </w:rPr>
              <w:t>10</w:t>
            </w:r>
          </w:p>
        </w:tc>
        <w:tc>
          <w:tcPr>
            <w:tcW w:w="1162" w:type="dxa"/>
            <w:vAlign w:val="center"/>
          </w:tcPr>
          <w:p>
            <w:pPr>
              <w:spacing w:line="500" w:lineRule="exact"/>
              <w:jc w:val="center"/>
              <w:rPr>
                <w:rFonts w:ascii="宋体" w:hAnsi="宋体" w:cs="宋体"/>
                <w:sz w:val="24"/>
                <w:szCs w:val="24"/>
              </w:rPr>
            </w:pPr>
            <w:r>
              <w:rPr>
                <w:rFonts w:hint="eastAsia" w:ascii="宋体" w:hAnsi="宋体" w:cs="宋体"/>
                <w:sz w:val="24"/>
                <w:szCs w:val="24"/>
              </w:rPr>
              <w:t>电动高压冲洗车</w:t>
            </w:r>
          </w:p>
        </w:tc>
        <w:tc>
          <w:tcPr>
            <w:tcW w:w="3350" w:type="dxa"/>
            <w:vAlign w:val="center"/>
          </w:tcPr>
          <w:p>
            <w:pPr>
              <w:spacing w:line="500" w:lineRule="exact"/>
              <w:jc w:val="center"/>
              <w:rPr>
                <w:rFonts w:ascii="宋体" w:hAnsi="宋体" w:cs="宋体"/>
                <w:sz w:val="24"/>
                <w:szCs w:val="24"/>
              </w:rPr>
            </w:pPr>
            <w:r>
              <w:rPr>
                <w:rFonts w:hint="eastAsia" w:ascii="宋体" w:hAnsi="宋体" w:cs="宋体"/>
                <w:sz w:val="24"/>
                <w:szCs w:val="24"/>
              </w:rPr>
              <w:t>3辆</w:t>
            </w:r>
          </w:p>
        </w:tc>
        <w:tc>
          <w:tcPr>
            <w:tcW w:w="3280" w:type="dxa"/>
            <w:vAlign w:val="center"/>
          </w:tcPr>
          <w:p>
            <w:pPr>
              <w:spacing w:line="500" w:lineRule="exact"/>
              <w:jc w:val="center"/>
              <w:rPr>
                <w:rFonts w:ascii="宋体" w:hAnsi="宋体" w:cs="宋体"/>
                <w:sz w:val="24"/>
                <w:szCs w:val="24"/>
              </w:rPr>
            </w:pPr>
          </w:p>
        </w:tc>
      </w:tr>
    </w:tbl>
    <w:p>
      <w:pPr>
        <w:adjustRightInd w:val="0"/>
        <w:snapToGrid w:val="0"/>
        <w:spacing w:line="500" w:lineRule="exact"/>
        <w:ind w:left="-420" w:leftChars="-200" w:firstLine="720" w:firstLineChars="300"/>
        <w:rPr>
          <w:rFonts w:ascii="宋体" w:hAnsi="宋体" w:cs="宋体"/>
          <w:sz w:val="24"/>
          <w:szCs w:val="24"/>
        </w:rPr>
      </w:pPr>
      <w:r>
        <w:rPr>
          <w:rFonts w:hint="eastAsia" w:ascii="宋体" w:hAnsi="宋体" w:cs="宋体"/>
          <w:sz w:val="24"/>
          <w:szCs w:val="24"/>
        </w:rPr>
        <w:t>机械设备配置根据国家相关要求适时更换。</w:t>
      </w:r>
    </w:p>
    <w:p>
      <w:pPr>
        <w:keepNext w:val="0"/>
        <w:keepLines w:val="0"/>
        <w:pageBreakBefore w:val="0"/>
        <w:widowControl w:val="0"/>
        <w:kinsoku/>
        <w:wordWrap/>
        <w:overflowPunct/>
        <w:topLinePunct w:val="0"/>
        <w:autoSpaceDE w:val="0"/>
        <w:autoSpaceDN/>
        <w:bidi w:val="0"/>
        <w:adjustRightInd/>
        <w:snapToGrid/>
        <w:spacing w:line="300" w:lineRule="exact"/>
        <w:ind w:firstLine="562" w:firstLineChars="200"/>
        <w:textAlignment w:val="auto"/>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*注：1.人员年龄结构组成中，年龄30岁（含）-45岁（岁）不高于20%，45岁-60岁（含）的占比不应低于80%，购买社保按总人数2/3比例购买。并提供承诺函，格式自拟。两个年龄段的人员比例相加应为100%。</w:t>
      </w:r>
    </w:p>
    <w:p>
      <w:pPr>
        <w:keepNext w:val="0"/>
        <w:keepLines w:val="0"/>
        <w:pageBreakBefore w:val="0"/>
        <w:widowControl w:val="0"/>
        <w:kinsoku/>
        <w:wordWrap/>
        <w:overflowPunct/>
        <w:topLinePunct w:val="0"/>
        <w:autoSpaceDE w:val="0"/>
        <w:autoSpaceDN/>
        <w:bidi w:val="0"/>
        <w:adjustRightInd/>
        <w:snapToGrid/>
        <w:spacing w:line="300" w:lineRule="exact"/>
        <w:ind w:firstLine="562" w:firstLineChars="200"/>
        <w:textAlignment w:val="auto"/>
        <w:rPr>
          <w:rFonts w:hint="eastAsia"/>
          <w:lang w:val="en-US" w:eastAsia="zh-CN"/>
        </w:rPr>
      </w:pPr>
      <w:r>
        <w:rPr>
          <w:rFonts w:hint="eastAsia" w:ascii="宋体" w:hAnsi="宋体" w:eastAsia="宋体" w:cs="Times New Roman"/>
          <w:b/>
          <w:bCs/>
          <w:kern w:val="2"/>
          <w:sz w:val="28"/>
          <w:szCs w:val="28"/>
          <w:lang w:val="en-US" w:eastAsia="zh-CN" w:bidi="ar-SA"/>
        </w:rPr>
        <w:t>2.洒水车、扫地车提供购置发票复印件或租赁合同、行驶证（检验有效期内的）、车辆登记证书复印件；其他车辆和设备需提供购置发票或租赁合同复印件。</w:t>
      </w:r>
    </w:p>
    <w:p>
      <w:pPr>
        <w:pStyle w:val="6"/>
        <w:numPr>
          <w:ilvl w:val="2"/>
          <w:numId w:val="1"/>
        </w:numPr>
        <w:spacing w:after="0"/>
        <w:ind w:left="567"/>
        <w:rPr>
          <w:rFonts w:hint="eastAsia"/>
          <w:color w:val="auto"/>
        </w:rPr>
      </w:pPr>
      <w:r>
        <w:rPr>
          <w:rFonts w:hint="eastAsia"/>
          <w:color w:val="auto"/>
          <w:lang w:eastAsia="zh-CN"/>
        </w:rPr>
        <w:t>服务范围</w:t>
      </w:r>
    </w:p>
    <w:p>
      <w:pPr>
        <w:pStyle w:val="3"/>
        <w:ind w:firstLine="0" w:firstLineChars="0"/>
        <w:rPr>
          <w:rFonts w:hint="eastAsia" w:ascii="宋体" w:hAnsi="宋体" w:eastAsia="宋体" w:cs="Times New Roman"/>
          <w:b/>
          <w:bCs w:val="0"/>
          <w:kern w:val="2"/>
          <w:sz w:val="28"/>
          <w:szCs w:val="28"/>
          <w:lang w:val="en-US" w:eastAsia="zh-CN" w:bidi="ar-SA"/>
        </w:rPr>
      </w:pPr>
      <w:r>
        <w:rPr>
          <w:rFonts w:hint="eastAsia" w:ascii="宋体" w:hAnsi="宋体" w:eastAsia="宋体" w:cs="Times New Roman"/>
          <w:b/>
          <w:bCs w:val="0"/>
          <w:kern w:val="2"/>
          <w:sz w:val="28"/>
          <w:szCs w:val="28"/>
          <w:lang w:val="en-US" w:eastAsia="zh-CN" w:bidi="ar-SA"/>
        </w:rPr>
        <w:t>包件号：1</w:t>
      </w:r>
    </w:p>
    <w:p>
      <w:pPr>
        <w:spacing w:line="480" w:lineRule="exact"/>
        <w:jc w:val="left"/>
        <w:rPr>
          <w:rFonts w:ascii="宋体" w:hAnsi="宋体" w:cs="宋体"/>
          <w:bCs/>
          <w:kern w:val="0"/>
          <w:sz w:val="28"/>
          <w:szCs w:val="28"/>
        </w:rPr>
      </w:pPr>
      <w:r>
        <w:rPr>
          <w:rFonts w:hint="default" w:ascii="Calibri" w:hAnsi="Calibri" w:cs="Calibri"/>
          <w:bCs/>
          <w:kern w:val="0"/>
          <w:sz w:val="28"/>
          <w:szCs w:val="28"/>
        </w:rPr>
        <w:t>①</w:t>
      </w:r>
      <w:r>
        <w:rPr>
          <w:rFonts w:hint="eastAsia" w:ascii="宋体" w:hAnsi="宋体" w:cs="宋体"/>
          <w:bCs/>
          <w:kern w:val="0"/>
          <w:sz w:val="28"/>
          <w:szCs w:val="28"/>
        </w:rPr>
        <w:t>环境卫生作业</w:t>
      </w:r>
    </w:p>
    <w:p>
      <w:pPr>
        <w:widowControl/>
        <w:jc w:val="left"/>
        <w:rPr>
          <w:rFonts w:ascii="宋体" w:hAnsi="宋体" w:cs="宋体"/>
          <w:color w:val="000000"/>
          <w:kern w:val="0"/>
          <w:sz w:val="24"/>
          <w:szCs w:val="24"/>
          <w:lang w:bidi="ar"/>
        </w:rPr>
      </w:pPr>
      <w:r>
        <w:drawing>
          <wp:inline distT="0" distB="0" distL="114300" distR="114300">
            <wp:extent cx="5788025" cy="3341370"/>
            <wp:effectExtent l="0" t="0" r="317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788025" cy="3341370"/>
                    </a:xfrm>
                    <a:prstGeom prst="rect">
                      <a:avLst/>
                    </a:prstGeom>
                    <a:noFill/>
                    <a:ln>
                      <a:noFill/>
                    </a:ln>
                  </pic:spPr>
                </pic:pic>
              </a:graphicData>
            </a:graphic>
          </wp:inline>
        </w:drawing>
      </w:r>
      <w:r>
        <w:drawing>
          <wp:inline distT="0" distB="0" distL="114300" distR="114300">
            <wp:extent cx="5791835" cy="3277870"/>
            <wp:effectExtent l="0" t="0" r="18415"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791835" cy="3277870"/>
                    </a:xfrm>
                    <a:prstGeom prst="rect">
                      <a:avLst/>
                    </a:prstGeom>
                    <a:noFill/>
                    <a:ln>
                      <a:noFill/>
                    </a:ln>
                  </pic:spPr>
                </pic:pic>
              </a:graphicData>
            </a:graphic>
          </wp:inline>
        </w:drawing>
      </w:r>
    </w:p>
    <w:p>
      <w:pPr>
        <w:widowControl/>
        <w:jc w:val="left"/>
        <w:rPr>
          <w:rFonts w:hint="default" w:ascii="Calibri" w:hAnsi="Calibri" w:cs="Calibri"/>
          <w:bCs/>
          <w:kern w:val="0"/>
          <w:sz w:val="28"/>
          <w:szCs w:val="28"/>
        </w:rPr>
      </w:pPr>
      <w:r>
        <w:drawing>
          <wp:inline distT="0" distB="0" distL="114300" distR="114300">
            <wp:extent cx="5725795" cy="3211830"/>
            <wp:effectExtent l="0" t="0" r="825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725795" cy="3211830"/>
                    </a:xfrm>
                    <a:prstGeom prst="rect">
                      <a:avLst/>
                    </a:prstGeom>
                    <a:noFill/>
                    <a:ln>
                      <a:noFill/>
                    </a:ln>
                  </pic:spPr>
                </pic:pic>
              </a:graphicData>
            </a:graphic>
          </wp:inline>
        </w:drawing>
      </w:r>
      <w:r>
        <w:drawing>
          <wp:inline distT="0" distB="0" distL="114300" distR="114300">
            <wp:extent cx="5692775" cy="3238500"/>
            <wp:effectExtent l="0" t="0" r="317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692775" cy="3238500"/>
                    </a:xfrm>
                    <a:prstGeom prst="rect">
                      <a:avLst/>
                    </a:prstGeom>
                    <a:noFill/>
                    <a:ln>
                      <a:noFill/>
                    </a:ln>
                  </pic:spPr>
                </pic:pic>
              </a:graphicData>
            </a:graphic>
          </wp:inline>
        </w:drawing>
      </w:r>
      <w:r>
        <w:drawing>
          <wp:inline distT="0" distB="0" distL="114300" distR="114300">
            <wp:extent cx="5862320" cy="3195955"/>
            <wp:effectExtent l="0" t="0" r="5080"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862320" cy="3195955"/>
                    </a:xfrm>
                    <a:prstGeom prst="rect">
                      <a:avLst/>
                    </a:prstGeom>
                    <a:noFill/>
                    <a:ln>
                      <a:noFill/>
                    </a:ln>
                  </pic:spPr>
                </pic:pic>
              </a:graphicData>
            </a:graphic>
          </wp:inline>
        </w:drawing>
      </w:r>
      <w:r>
        <w:drawing>
          <wp:inline distT="0" distB="0" distL="114300" distR="114300">
            <wp:extent cx="5879465" cy="975360"/>
            <wp:effectExtent l="0" t="0" r="6985" b="152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879465" cy="975360"/>
                    </a:xfrm>
                    <a:prstGeom prst="rect">
                      <a:avLst/>
                    </a:prstGeom>
                    <a:noFill/>
                    <a:ln>
                      <a:noFill/>
                    </a:ln>
                  </pic:spPr>
                </pic:pic>
              </a:graphicData>
            </a:graphic>
          </wp:inline>
        </w:drawing>
      </w:r>
    </w:p>
    <w:p>
      <w:pPr>
        <w:spacing w:line="480" w:lineRule="exact"/>
        <w:jc w:val="left"/>
        <w:rPr>
          <w:rFonts w:hint="default" w:ascii="Calibri" w:hAnsi="Calibri" w:cs="Calibri"/>
          <w:bCs/>
          <w:kern w:val="0"/>
          <w:sz w:val="28"/>
          <w:szCs w:val="28"/>
        </w:rPr>
      </w:pPr>
      <w:r>
        <w:rPr>
          <w:rFonts w:hint="default" w:ascii="Calibri" w:hAnsi="Calibri" w:cs="Calibri"/>
          <w:bCs/>
          <w:kern w:val="0"/>
          <w:sz w:val="28"/>
          <w:szCs w:val="28"/>
        </w:rPr>
        <w:t>②</w:t>
      </w:r>
      <w:r>
        <w:rPr>
          <w:rFonts w:hint="eastAsia" w:ascii="Calibri" w:hAnsi="Calibri" w:cs="Calibri"/>
          <w:bCs/>
          <w:kern w:val="0"/>
          <w:sz w:val="28"/>
          <w:szCs w:val="28"/>
        </w:rPr>
        <w:t>河道保洁</w:t>
      </w:r>
    </w:p>
    <w:p>
      <w:pPr>
        <w:pStyle w:val="18"/>
        <w:rPr>
          <w:rFonts w:ascii="宋体" w:hAnsi="宋体" w:cs="宋体"/>
          <w:sz w:val="24"/>
          <w:szCs w:val="24"/>
        </w:rPr>
      </w:pPr>
      <w:r>
        <w:drawing>
          <wp:inline distT="0" distB="0" distL="114300" distR="114300">
            <wp:extent cx="5337175" cy="3881755"/>
            <wp:effectExtent l="0" t="0" r="15875"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337175" cy="3881755"/>
                    </a:xfrm>
                    <a:prstGeom prst="rect">
                      <a:avLst/>
                    </a:prstGeom>
                    <a:noFill/>
                    <a:ln>
                      <a:noFill/>
                    </a:ln>
                  </pic:spPr>
                </pic:pic>
              </a:graphicData>
            </a:graphic>
          </wp:inline>
        </w:drawing>
      </w:r>
    </w:p>
    <w:p>
      <w:pPr>
        <w:widowControl/>
        <w:jc w:val="left"/>
        <w:rPr>
          <w:rFonts w:ascii="宋体" w:hAnsi="宋体" w:cs="宋体"/>
          <w:sz w:val="24"/>
          <w:szCs w:val="24"/>
        </w:rPr>
      </w:pPr>
      <w:r>
        <w:rPr>
          <w:rFonts w:hint="default" w:ascii="Calibri" w:hAnsi="Calibri" w:cs="Calibri"/>
          <w:bCs/>
          <w:kern w:val="0"/>
          <w:sz w:val="28"/>
          <w:szCs w:val="28"/>
        </w:rPr>
        <w:t>③</w:t>
      </w:r>
      <w:r>
        <w:rPr>
          <w:rFonts w:hint="eastAsia" w:ascii="Calibri" w:hAnsi="Calibri" w:cs="Calibri"/>
          <w:bCs/>
          <w:kern w:val="0"/>
          <w:sz w:val="28"/>
          <w:szCs w:val="28"/>
        </w:rPr>
        <w:t>绿化管护</w:t>
      </w:r>
      <w:r>
        <w:drawing>
          <wp:inline distT="0" distB="0" distL="114300" distR="114300">
            <wp:extent cx="5869940" cy="3296285"/>
            <wp:effectExtent l="0" t="0" r="16510"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869940" cy="3296285"/>
                    </a:xfrm>
                    <a:prstGeom prst="rect">
                      <a:avLst/>
                    </a:prstGeom>
                    <a:noFill/>
                    <a:ln>
                      <a:noFill/>
                    </a:ln>
                  </pic:spPr>
                </pic:pic>
              </a:graphicData>
            </a:graphic>
          </wp:inline>
        </w:drawing>
      </w:r>
      <w:r>
        <w:drawing>
          <wp:inline distT="0" distB="0" distL="114300" distR="114300">
            <wp:extent cx="5874385" cy="2971800"/>
            <wp:effectExtent l="0" t="0" r="1206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5874385" cy="2971800"/>
                    </a:xfrm>
                    <a:prstGeom prst="rect">
                      <a:avLst/>
                    </a:prstGeom>
                    <a:noFill/>
                    <a:ln>
                      <a:noFill/>
                    </a:ln>
                  </pic:spPr>
                </pic:pic>
              </a:graphicData>
            </a:graphic>
          </wp:inline>
        </w:drawing>
      </w:r>
    </w:p>
    <w:p>
      <w:pPr>
        <w:widowControl/>
        <w:jc w:val="left"/>
        <w:rPr>
          <w:rFonts w:hint="eastAsia" w:ascii="Calibri" w:hAnsi="Calibri" w:cs="Calibri"/>
          <w:bCs/>
          <w:kern w:val="0"/>
          <w:sz w:val="28"/>
          <w:szCs w:val="28"/>
        </w:rPr>
      </w:pPr>
      <w:r>
        <w:rPr>
          <w:rFonts w:hint="eastAsia" w:ascii="Calibri" w:hAnsi="Calibri" w:cs="Calibri"/>
          <w:bCs/>
          <w:kern w:val="0"/>
          <w:sz w:val="28"/>
          <w:szCs w:val="28"/>
        </w:rPr>
        <w:t>④公厕管理</w:t>
      </w:r>
    </w:p>
    <w:p>
      <w:pPr>
        <w:widowControl/>
        <w:jc w:val="left"/>
        <w:rPr>
          <w:rFonts w:hint="eastAsia" w:ascii="Calibri" w:hAnsi="Calibri" w:cs="Calibri"/>
          <w:bCs/>
          <w:kern w:val="0"/>
          <w:sz w:val="28"/>
          <w:szCs w:val="28"/>
        </w:rPr>
      </w:pPr>
      <w:r>
        <w:rPr>
          <w:rFonts w:hint="eastAsia" w:ascii="Calibri" w:hAnsi="Calibri" w:cs="Calibri"/>
          <w:bCs/>
          <w:kern w:val="0"/>
          <w:sz w:val="28"/>
          <w:szCs w:val="28"/>
        </w:rPr>
        <w:t>万科四期公厕、 万科三期公厕、万科幼儿园公厕、万白路老公厕、鸿雁路公厕、泉水凼广场公厕、万白路新公厕。</w:t>
      </w:r>
    </w:p>
    <w:p>
      <w:pPr>
        <w:widowControl/>
        <w:jc w:val="left"/>
        <w:rPr>
          <w:rFonts w:hint="eastAsia" w:ascii="Calibri" w:hAnsi="Calibri" w:cs="Calibri"/>
          <w:bCs/>
          <w:kern w:val="0"/>
          <w:sz w:val="28"/>
          <w:szCs w:val="28"/>
        </w:rPr>
      </w:pPr>
      <w:r>
        <w:rPr>
          <w:rFonts w:hint="eastAsia" w:ascii="宋体" w:hAnsi="宋体" w:eastAsia="宋体" w:cs="宋体"/>
          <w:bCs/>
          <w:kern w:val="0"/>
          <w:sz w:val="28"/>
          <w:szCs w:val="28"/>
        </w:rPr>
        <w:t>⑤</w:t>
      </w:r>
      <w:r>
        <w:rPr>
          <w:rFonts w:hint="eastAsia" w:ascii="Calibri" w:hAnsi="Calibri" w:cs="Calibri"/>
          <w:bCs/>
          <w:kern w:val="0"/>
          <w:sz w:val="28"/>
          <w:szCs w:val="28"/>
        </w:rPr>
        <w:t>垃圾清运</w:t>
      </w:r>
    </w:p>
    <w:p>
      <w:pPr>
        <w:widowControl/>
        <w:jc w:val="left"/>
        <w:rPr>
          <w:rFonts w:hint="eastAsia" w:ascii="Calibri" w:hAnsi="Calibri" w:cs="Calibri"/>
          <w:bCs/>
          <w:kern w:val="0"/>
          <w:sz w:val="28"/>
          <w:szCs w:val="28"/>
        </w:rPr>
      </w:pPr>
      <w:r>
        <w:rPr>
          <w:rFonts w:hint="eastAsia" w:ascii="Calibri" w:hAnsi="Calibri" w:cs="Calibri"/>
          <w:bCs/>
          <w:kern w:val="0"/>
          <w:sz w:val="28"/>
          <w:szCs w:val="28"/>
        </w:rPr>
        <w:t>暂定84吨/日，一年总暂估量30660吨。</w:t>
      </w:r>
    </w:p>
    <w:p>
      <w:pPr>
        <w:pStyle w:val="3"/>
        <w:ind w:firstLine="0" w:firstLineChars="0"/>
        <w:rPr>
          <w:rFonts w:hint="eastAsia" w:ascii="宋体" w:hAnsi="宋体" w:eastAsia="宋体" w:cs="Times New Roman"/>
          <w:b/>
          <w:bCs w:val="0"/>
          <w:kern w:val="2"/>
          <w:sz w:val="28"/>
          <w:szCs w:val="28"/>
          <w:lang w:val="en-US" w:eastAsia="zh-CN" w:bidi="ar-SA"/>
        </w:rPr>
      </w:pPr>
      <w:r>
        <w:rPr>
          <w:rFonts w:hint="eastAsia" w:ascii="宋体" w:hAnsi="宋体" w:eastAsia="宋体" w:cs="Times New Roman"/>
          <w:b/>
          <w:bCs w:val="0"/>
          <w:kern w:val="2"/>
          <w:sz w:val="28"/>
          <w:szCs w:val="28"/>
          <w:lang w:val="en-US" w:eastAsia="zh-CN" w:bidi="ar-SA"/>
        </w:rPr>
        <w:t>包件号：2</w:t>
      </w:r>
    </w:p>
    <w:p>
      <w:pPr>
        <w:widowControl/>
        <w:jc w:val="left"/>
        <w:rPr>
          <w:rFonts w:hint="eastAsia" w:ascii="Calibri" w:hAnsi="Calibri" w:cs="Calibri"/>
          <w:bCs/>
          <w:kern w:val="0"/>
          <w:sz w:val="28"/>
          <w:szCs w:val="28"/>
        </w:rPr>
      </w:pPr>
      <w:r>
        <w:rPr>
          <w:rFonts w:hint="default" w:ascii="Calibri" w:hAnsi="Calibri" w:cs="Calibri"/>
          <w:bCs/>
          <w:kern w:val="0"/>
          <w:sz w:val="28"/>
          <w:szCs w:val="28"/>
        </w:rPr>
        <w:t>①</w:t>
      </w:r>
      <w:r>
        <w:rPr>
          <w:rFonts w:hint="eastAsia" w:ascii="Calibri" w:hAnsi="Calibri" w:cs="Calibri"/>
          <w:bCs/>
          <w:kern w:val="0"/>
          <w:sz w:val="28"/>
          <w:szCs w:val="28"/>
        </w:rPr>
        <w:t>环境卫生作业</w:t>
      </w:r>
    </w:p>
    <w:p>
      <w:r>
        <w:drawing>
          <wp:inline distT="0" distB="0" distL="114300" distR="114300">
            <wp:extent cx="5852795" cy="3306445"/>
            <wp:effectExtent l="0" t="0" r="1460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852795" cy="3306445"/>
                    </a:xfrm>
                    <a:prstGeom prst="rect">
                      <a:avLst/>
                    </a:prstGeom>
                    <a:noFill/>
                    <a:ln>
                      <a:noFill/>
                    </a:ln>
                  </pic:spPr>
                </pic:pic>
              </a:graphicData>
            </a:graphic>
          </wp:inline>
        </w:drawing>
      </w:r>
      <w:r>
        <w:drawing>
          <wp:inline distT="0" distB="0" distL="114300" distR="114300">
            <wp:extent cx="5852160" cy="3509010"/>
            <wp:effectExtent l="0" t="0" r="15240" b="152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5852160" cy="3509010"/>
                    </a:xfrm>
                    <a:prstGeom prst="rect">
                      <a:avLst/>
                    </a:prstGeom>
                    <a:noFill/>
                    <a:ln>
                      <a:noFill/>
                    </a:ln>
                  </pic:spPr>
                </pic:pic>
              </a:graphicData>
            </a:graphic>
          </wp:inline>
        </w:drawing>
      </w:r>
      <w:r>
        <w:drawing>
          <wp:inline distT="0" distB="0" distL="114300" distR="114300">
            <wp:extent cx="5905500" cy="3393440"/>
            <wp:effectExtent l="0" t="0" r="0"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6"/>
                    <a:stretch>
                      <a:fillRect/>
                    </a:stretch>
                  </pic:blipFill>
                  <pic:spPr>
                    <a:xfrm>
                      <a:off x="0" y="0"/>
                      <a:ext cx="5905500" cy="3393440"/>
                    </a:xfrm>
                    <a:prstGeom prst="rect">
                      <a:avLst/>
                    </a:prstGeom>
                    <a:noFill/>
                    <a:ln>
                      <a:noFill/>
                    </a:ln>
                  </pic:spPr>
                </pic:pic>
              </a:graphicData>
            </a:graphic>
          </wp:inline>
        </w:drawing>
      </w:r>
      <w:r>
        <w:drawing>
          <wp:inline distT="0" distB="0" distL="114300" distR="114300">
            <wp:extent cx="5915660" cy="3587115"/>
            <wp:effectExtent l="0" t="0" r="8890" b="1333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7"/>
                    <a:stretch>
                      <a:fillRect/>
                    </a:stretch>
                  </pic:blipFill>
                  <pic:spPr>
                    <a:xfrm>
                      <a:off x="0" y="0"/>
                      <a:ext cx="5915660" cy="3587115"/>
                    </a:xfrm>
                    <a:prstGeom prst="rect">
                      <a:avLst/>
                    </a:prstGeom>
                    <a:noFill/>
                    <a:ln>
                      <a:noFill/>
                    </a:ln>
                  </pic:spPr>
                </pic:pic>
              </a:graphicData>
            </a:graphic>
          </wp:inline>
        </w:drawing>
      </w:r>
      <w:r>
        <w:drawing>
          <wp:inline distT="0" distB="0" distL="114300" distR="114300">
            <wp:extent cx="5814060" cy="3365500"/>
            <wp:effectExtent l="0" t="0" r="15240" b="635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8"/>
                    <a:stretch>
                      <a:fillRect/>
                    </a:stretch>
                  </pic:blipFill>
                  <pic:spPr>
                    <a:xfrm>
                      <a:off x="0" y="0"/>
                      <a:ext cx="5814060" cy="3365500"/>
                    </a:xfrm>
                    <a:prstGeom prst="rect">
                      <a:avLst/>
                    </a:prstGeom>
                    <a:noFill/>
                    <a:ln>
                      <a:noFill/>
                    </a:ln>
                  </pic:spPr>
                </pic:pic>
              </a:graphicData>
            </a:graphic>
          </wp:inline>
        </w:drawing>
      </w:r>
      <w:r>
        <w:drawing>
          <wp:inline distT="0" distB="0" distL="114300" distR="114300">
            <wp:extent cx="5810250" cy="1708785"/>
            <wp:effectExtent l="0" t="0" r="0" b="571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9"/>
                    <a:stretch>
                      <a:fillRect/>
                    </a:stretch>
                  </pic:blipFill>
                  <pic:spPr>
                    <a:xfrm>
                      <a:off x="0" y="0"/>
                      <a:ext cx="5810250" cy="1708785"/>
                    </a:xfrm>
                    <a:prstGeom prst="rect">
                      <a:avLst/>
                    </a:prstGeom>
                    <a:noFill/>
                    <a:ln>
                      <a:noFill/>
                    </a:ln>
                  </pic:spPr>
                </pic:pic>
              </a:graphicData>
            </a:graphic>
          </wp:inline>
        </w:drawing>
      </w:r>
    </w:p>
    <w:p/>
    <w:p/>
    <w:p/>
    <w:p/>
    <w:p/>
    <w:p/>
    <w:p/>
    <w:p/>
    <w:p/>
    <w:p>
      <w:pPr>
        <w:pStyle w:val="18"/>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②</w:t>
      </w:r>
      <w:r>
        <w:rPr>
          <w:rFonts w:hint="eastAsia" w:ascii="宋体" w:hAnsi="宋体" w:eastAsia="宋体" w:cs="Times New Roman"/>
          <w:kern w:val="2"/>
          <w:sz w:val="28"/>
          <w:szCs w:val="28"/>
          <w:lang w:val="en-US" w:eastAsia="zh-CN" w:bidi="ar-SA"/>
        </w:rPr>
        <w:t>河道保洁</w:t>
      </w:r>
    </w:p>
    <w:p>
      <w:r>
        <w:drawing>
          <wp:inline distT="0" distB="0" distL="114300" distR="114300">
            <wp:extent cx="4643755" cy="3303905"/>
            <wp:effectExtent l="0" t="0" r="4445" b="1079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0"/>
                    <a:stretch>
                      <a:fillRect/>
                    </a:stretch>
                  </pic:blipFill>
                  <pic:spPr>
                    <a:xfrm>
                      <a:off x="0" y="0"/>
                      <a:ext cx="4643755" cy="3303905"/>
                    </a:xfrm>
                    <a:prstGeom prst="rect">
                      <a:avLst/>
                    </a:prstGeom>
                    <a:noFill/>
                    <a:ln>
                      <a:noFill/>
                    </a:ln>
                  </pic:spPr>
                </pic:pic>
              </a:graphicData>
            </a:graphic>
          </wp:inline>
        </w:drawing>
      </w:r>
    </w:p>
    <w:p>
      <w:pPr>
        <w:pStyle w:val="18"/>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③</w:t>
      </w:r>
      <w:r>
        <w:rPr>
          <w:rFonts w:hint="eastAsia" w:ascii="宋体" w:hAnsi="宋体" w:eastAsia="宋体" w:cs="Times New Roman"/>
          <w:kern w:val="2"/>
          <w:sz w:val="28"/>
          <w:szCs w:val="28"/>
          <w:lang w:val="en-US" w:eastAsia="zh-CN" w:bidi="ar-SA"/>
        </w:rPr>
        <w:t>绿化管护</w:t>
      </w:r>
    </w:p>
    <w:p>
      <w:r>
        <w:drawing>
          <wp:inline distT="0" distB="0" distL="114300" distR="114300">
            <wp:extent cx="4897120" cy="1480820"/>
            <wp:effectExtent l="0" t="0" r="17780" b="508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1"/>
                    <a:stretch>
                      <a:fillRect/>
                    </a:stretch>
                  </pic:blipFill>
                  <pic:spPr>
                    <a:xfrm>
                      <a:off x="0" y="0"/>
                      <a:ext cx="4897120" cy="1480820"/>
                    </a:xfrm>
                    <a:prstGeom prst="rect">
                      <a:avLst/>
                    </a:prstGeom>
                    <a:noFill/>
                    <a:ln>
                      <a:noFill/>
                    </a:ln>
                  </pic:spPr>
                </pic:pic>
              </a:graphicData>
            </a:graphic>
          </wp:inline>
        </w:drawing>
      </w:r>
    </w:p>
    <w:p>
      <w:pPr>
        <w:pStyle w:val="18"/>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④垃圾清运</w:t>
      </w:r>
    </w:p>
    <w:p>
      <w:pPr>
        <w:pStyle w:val="18"/>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暂定56吨/日，一年总暂估量20440吨。</w:t>
      </w:r>
    </w:p>
    <w:p>
      <w:pPr>
        <w:pStyle w:val="6"/>
        <w:numPr>
          <w:ilvl w:val="2"/>
          <w:numId w:val="1"/>
        </w:numPr>
        <w:spacing w:after="0"/>
        <w:ind w:left="567"/>
        <w:rPr>
          <w:rFonts w:hint="eastAsia"/>
          <w:color w:val="auto"/>
          <w:lang w:eastAsia="zh-CN"/>
        </w:rPr>
      </w:pPr>
      <w:r>
        <w:rPr>
          <w:rFonts w:hint="eastAsia"/>
          <w:color w:val="auto"/>
          <w:lang w:eastAsia="zh-CN"/>
        </w:rPr>
        <w:t>服务内容及要求</w:t>
      </w:r>
    </w:p>
    <w:p>
      <w:pPr>
        <w:pStyle w:val="6"/>
        <w:numPr>
          <w:ilvl w:val="0"/>
          <w:numId w:val="0"/>
        </w:numPr>
        <w:spacing w:after="0"/>
        <w:ind w:leftChars="0"/>
        <w:rPr>
          <w:rFonts w:hint="eastAsia"/>
          <w:color w:val="auto"/>
          <w:sz w:val="28"/>
          <w:szCs w:val="28"/>
        </w:rPr>
      </w:pPr>
      <w:r>
        <w:rPr>
          <w:rFonts w:hint="eastAsia" w:ascii="宋体" w:hAnsi="宋体" w:cs="宋体"/>
          <w:sz w:val="28"/>
          <w:szCs w:val="28"/>
          <w:lang w:val="en-US" w:eastAsia="zh-CN"/>
        </w:rPr>
        <w:t>一、</w:t>
      </w:r>
      <w:r>
        <w:rPr>
          <w:rFonts w:hint="eastAsia" w:ascii="宋体" w:hAnsi="宋体" w:cs="宋体"/>
          <w:sz w:val="28"/>
          <w:szCs w:val="28"/>
        </w:rPr>
        <w:t>环境卫生服务内容及服务要求</w:t>
      </w:r>
    </w:p>
    <w:p>
      <w:pPr>
        <w:pStyle w:val="14"/>
        <w:snapToGrid w:val="0"/>
        <w:spacing w:line="500" w:lineRule="exact"/>
        <w:ind w:left="0" w:leftChars="0" w:firstLine="0" w:firstLineChars="0"/>
        <w:rPr>
          <w:rFonts w:ascii="宋体" w:hAnsi="宋体" w:eastAsia="宋体" w:cs="宋体"/>
          <w:b w:val="0"/>
          <w:bCs/>
          <w:sz w:val="28"/>
          <w:szCs w:val="28"/>
        </w:rPr>
      </w:pPr>
      <w:bookmarkStart w:id="228" w:name="_Toc22045"/>
      <w:r>
        <w:rPr>
          <w:rFonts w:hint="eastAsia" w:ascii="宋体" w:hAnsi="宋体" w:eastAsia="宋体" w:cs="宋体"/>
          <w:b/>
          <w:bCs w:val="0"/>
          <w:sz w:val="28"/>
          <w:szCs w:val="28"/>
          <w:lang w:val="en-US" w:eastAsia="zh-CN"/>
        </w:rPr>
        <w:t>(一）</w:t>
      </w:r>
      <w:r>
        <w:rPr>
          <w:rFonts w:hint="eastAsia" w:ascii="宋体" w:hAnsi="宋体" w:eastAsia="宋体" w:cs="宋体"/>
          <w:b/>
          <w:bCs w:val="0"/>
          <w:sz w:val="28"/>
          <w:szCs w:val="28"/>
        </w:rPr>
        <w:t>服务范围:</w:t>
      </w:r>
      <w:r>
        <w:rPr>
          <w:rFonts w:hint="eastAsia" w:ascii="宋体" w:hAnsi="宋体" w:eastAsia="宋体" w:cs="宋体"/>
          <w:b w:val="0"/>
          <w:bCs/>
          <w:sz w:val="28"/>
          <w:szCs w:val="28"/>
        </w:rPr>
        <w:t>包括道路（车行道、人行道、辅道、过街天桥）、绿化带、广场、游园、桥梁、环卫设施、市政设施等。</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做好责任区域内广场、游园等清扫保洁、冲洗降尘，及时处置责任区域内各种污染现象。</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做好快车道、辅道的冲洗、洗扫。</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做好绿化带垃圾捡拾和冲洗。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做好人行道的保洁和人行道、路沿石的冲洗降尘。</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做好果屑箱的定期清洗和清掏。</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做好垃圾中转房（点）及周边的保洁和垃圾桶的清洗。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做好市政、环卫设施等城市部件的清洗保洁（含雨水篦子的清洗和垃圾的清掏）。</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做好桥梁立面、桥墩和护栏的保洁和冲洗。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做好责任区域内交叉路口50米范围内的延伸保洁和道路两侧可视范围内的延伸保洁工作。</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做好路面及两米以下非法张贴广告的清除工作 (包括路灯灯柱、电线杆、电信供电等箱体、环卫设施及市政设施等处)。</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做好责任区域范围内市民投放垃圾及清扫保洁产生垃圾的袋装整理、收集和转运。</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在作业过程中，负责责任区域内基础设施破损情况的发现和上报。</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负责大件垃圾处理。</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在重大活动和重大迎检接待中中标人应无条件服从采购人临时安排的各项工作，并不再增加相关费用。</w:t>
      </w:r>
    </w:p>
    <w:p>
      <w:pPr>
        <w:spacing w:line="500" w:lineRule="exact"/>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服务要求</w:t>
      </w:r>
    </w:p>
    <w:p>
      <w:pPr>
        <w:spacing w:line="500" w:lineRule="exact"/>
        <w:ind w:firstLine="560" w:firstLineChars="200"/>
        <w:rPr>
          <w:rFonts w:ascii="宋体" w:hAnsi="宋体" w:cs="宋体"/>
          <w:b w:val="0"/>
          <w:bCs w:val="0"/>
          <w:sz w:val="28"/>
          <w:szCs w:val="28"/>
        </w:rPr>
      </w:pPr>
      <w:r>
        <w:rPr>
          <w:rFonts w:hint="eastAsia" w:ascii="宋体" w:hAnsi="宋体" w:cs="宋体"/>
          <w:b w:val="0"/>
          <w:bCs w:val="0"/>
          <w:sz w:val="28"/>
          <w:szCs w:val="28"/>
        </w:rPr>
        <w:t>总体要求：环境卫生作业时，应严格按照采购人要求，对垃圾桶、垃圾池冲洗废水进行收集，并转运至集中处理点进行循坏处理。冲洗水应当严格按采购人要求首先使用中水。</w:t>
      </w:r>
    </w:p>
    <w:p>
      <w:pPr>
        <w:numPr>
          <w:ilvl w:val="0"/>
          <w:numId w:val="31"/>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道路冲洗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作业范围：机动车快车道、辅道。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作业内容：冲洗除尘。</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作业频次：不低于2次/日。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作业时间：01:00至05:00（特殊情况除尘）,12:30至16:30。</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作业时速：不高于20公里/小时。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作业车型：车辆行驶证核定载质量≥10吨的洒水车  。</w:t>
      </w:r>
    </w:p>
    <w:p>
      <w:pPr>
        <w:spacing w:line="500" w:lineRule="exact"/>
        <w:ind w:firstLine="560" w:firstLineChars="200"/>
        <w:rPr>
          <w:rFonts w:ascii="宋体" w:hAnsi="宋体" w:cs="宋体"/>
          <w:kern w:val="0"/>
          <w:sz w:val="28"/>
          <w:szCs w:val="28"/>
        </w:rPr>
      </w:pPr>
      <w:r>
        <w:rPr>
          <w:rFonts w:hint="eastAsia" w:ascii="宋体" w:hAnsi="宋体" w:cs="宋体"/>
          <w:sz w:val="28"/>
          <w:szCs w:val="28"/>
        </w:rPr>
        <w:t>作业标准：</w:t>
      </w:r>
      <w:r>
        <w:rPr>
          <w:rFonts w:hint="eastAsia" w:ascii="宋体" w:hAnsi="宋体" w:cs="宋体"/>
          <w:kern w:val="0"/>
          <w:sz w:val="28"/>
          <w:szCs w:val="28"/>
        </w:rPr>
        <w:t xml:space="preserve">路面、路沿石无积泥、积尘、积水，无残留垃圾，雨水箅表面洁净，交通标志线无污渍，现本色。 </w:t>
      </w:r>
    </w:p>
    <w:p>
      <w:pPr>
        <w:spacing w:line="500" w:lineRule="exact"/>
        <w:ind w:firstLine="560" w:firstLineChars="200"/>
        <w:rPr>
          <w:rFonts w:ascii="宋体" w:hAnsi="宋体" w:cs="宋体"/>
          <w:sz w:val="28"/>
          <w:szCs w:val="28"/>
        </w:rPr>
      </w:pPr>
      <w:r>
        <w:rPr>
          <w:rFonts w:hint="eastAsia" w:ascii="宋体" w:hAnsi="宋体" w:cs="宋体"/>
          <w:sz w:val="28"/>
          <w:szCs w:val="28"/>
        </w:rPr>
        <w:t>特殊要求：此项作业安排在洗扫作业前，配合洗扫作业。</w:t>
      </w:r>
    </w:p>
    <w:p>
      <w:pPr>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道路机械洗扫</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作业范围：机动车快车道、辅道。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作业内容：机械洗扫，洗扫车加喷头冲洗路沿石。</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作业时间：02:00至6:00，</w:t>
      </w:r>
      <w:r>
        <w:rPr>
          <w:rFonts w:hint="eastAsia" w:ascii="宋体" w:hAnsi="宋体" w:cs="宋体"/>
          <w:bCs/>
          <w:sz w:val="28"/>
          <w:szCs w:val="28"/>
        </w:rPr>
        <w:t>特殊天气根据主管部门指令进行适当调整。</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作业时速：不高于15公里/小时。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作业车型：车辆行驶证核定载质量≥4吨的多功能洗扫车。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作业标准：路面无堆积物、无砖瓦土石、无果皮纸屑塑料袋、无烟蒂痰迹、无积泥积尘、无污水、无灰带。</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人工快速保洁</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作业范围：人行道、辅道、</w:t>
      </w:r>
      <w:r>
        <w:rPr>
          <w:rFonts w:hint="eastAsia" w:ascii="宋体" w:hAnsi="宋体" w:cs="宋体"/>
          <w:bCs/>
          <w:sz w:val="28"/>
          <w:szCs w:val="28"/>
        </w:rPr>
        <w:t>机非隔离绿化带、</w:t>
      </w:r>
      <w:r>
        <w:rPr>
          <w:rFonts w:hint="eastAsia" w:ascii="宋体" w:hAnsi="宋体" w:cs="宋体"/>
          <w:sz w:val="28"/>
          <w:szCs w:val="28"/>
        </w:rPr>
        <w:t>道路边沟、</w:t>
      </w:r>
      <w:r>
        <w:rPr>
          <w:rFonts w:hint="eastAsia" w:ascii="宋体" w:hAnsi="宋体" w:cs="宋体"/>
          <w:bCs/>
          <w:sz w:val="28"/>
          <w:szCs w:val="28"/>
        </w:rPr>
        <w:t>护坡</w:t>
      </w:r>
      <w:r>
        <w:rPr>
          <w:rFonts w:hint="eastAsia" w:ascii="宋体" w:hAnsi="宋体" w:cs="宋体"/>
          <w:sz w:val="28"/>
          <w:szCs w:val="28"/>
        </w:rPr>
        <w:t>及可视范围内。</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作业内容：白色垃圾和废弃物捡拾。</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作业频次：不低于1次/2小时。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作业时间：8:00至20:00。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作业方式：作业人员骑快速保洁车，使用长柄夹子捡拾</w:t>
      </w:r>
      <w:r>
        <w:rPr>
          <w:rFonts w:hint="eastAsia" w:ascii="宋体" w:hAnsi="宋体" w:cs="宋体"/>
          <w:bCs/>
          <w:sz w:val="28"/>
          <w:szCs w:val="28"/>
        </w:rPr>
        <w:t>机非隔离绿化带、</w:t>
      </w:r>
      <w:r>
        <w:rPr>
          <w:rFonts w:hint="eastAsia" w:ascii="宋体" w:hAnsi="宋体" w:cs="宋体"/>
          <w:sz w:val="28"/>
          <w:szCs w:val="28"/>
        </w:rPr>
        <w:t>道路边沟、</w:t>
      </w:r>
      <w:r>
        <w:rPr>
          <w:rFonts w:hint="eastAsia" w:ascii="宋体" w:hAnsi="宋体" w:cs="宋体"/>
          <w:bCs/>
          <w:sz w:val="28"/>
          <w:szCs w:val="28"/>
        </w:rPr>
        <w:t>护坡</w:t>
      </w:r>
      <w:r>
        <w:rPr>
          <w:rFonts w:hint="eastAsia" w:ascii="宋体" w:hAnsi="宋体" w:cs="宋体"/>
          <w:sz w:val="28"/>
          <w:szCs w:val="28"/>
        </w:rPr>
        <w:t>及可视范围内废弃物。</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安全要求：禁止作业人员进入机动车道。</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作业定额：2.5万平米/班次，不低于2班次/日。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作业标准：无堆积物、无砖瓦土石、无果皮纸屑塑料袋、无烟蒂、无白色垃圾等。</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人行道路面清扫</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作业范围：人行道路面清扫，2米以下牛皮癣清理、果屑箱清掏，协助共享单车规范。</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作业方式：人工作业（鼓励根据实际采取小型机械作业）。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作业频次：每日早上、下午集中清扫作业各1次；其余时间巡回保洁， “牛皮癣”及时清除，果屑箱及时清掏。 </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 06:00至22:00，其中，第一次普扫需在08:00前完成，第二次普扫需在14:00前完成。</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作业机具：软扫帚、竹扫把、塑料扫把、密闭式撮箕、长柄夹子、灰刀、劳保手套、垃圾袋。</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作业定额：一级道路6600</w:t>
      </w:r>
      <w:r>
        <w:rPr>
          <w:rFonts w:hint="eastAsia" w:ascii="宋体" w:hAnsi="宋体" w:cs="宋体"/>
          <w:bCs/>
          <w:sz w:val="28"/>
          <w:szCs w:val="28"/>
        </w:rPr>
        <w:t>平方米/人</w:t>
      </w:r>
      <w:r>
        <w:rPr>
          <w:rFonts w:hint="eastAsia" w:ascii="宋体" w:hAnsi="宋体" w:cs="宋体"/>
          <w:sz w:val="28"/>
          <w:szCs w:val="28"/>
        </w:rPr>
        <w:t>，</w:t>
      </w:r>
      <w:r>
        <w:rPr>
          <w:rFonts w:hint="eastAsia" w:ascii="宋体" w:hAnsi="宋体" w:cs="宋体"/>
          <w:bCs/>
          <w:sz w:val="28"/>
          <w:szCs w:val="28"/>
        </w:rPr>
        <w:t>二级道路7000平方米/人，三级道路7400平方米/人，不低于2班次/日。（含绿化带）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作业标准：路面无堆积物、无砖瓦土石、无果皮纸屑塑料袋、无烟蒂痰迹、无积泥积尘、无污水、无灰带，无“牛皮癣”。</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果屑箱清洗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作业范围：环卫作业服务区域沿线设置的果屑箱、灯杆、休闲座椅等环卫市政设施清洗。</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作业内容：果屑箱地面冲洗除尘除污除臭，果屑箱、灯杆、休闲座椅等环卫市政设施清洁。</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作业频次：不低于2次/日。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作业时间：06:00至21:00。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w:t>
      </w:r>
    </w:p>
    <w:p>
      <w:pPr>
        <w:spacing w:line="500" w:lineRule="exact"/>
        <w:ind w:firstLine="560" w:firstLineChars="200"/>
        <w:rPr>
          <w:rFonts w:ascii="宋体" w:hAnsi="宋体" w:cs="宋体"/>
          <w:sz w:val="28"/>
          <w:szCs w:val="28"/>
        </w:rPr>
      </w:pPr>
      <w:r>
        <w:rPr>
          <w:rFonts w:hint="eastAsia" w:ascii="宋体" w:hAnsi="宋体" w:cs="宋体"/>
          <w:sz w:val="28"/>
          <w:szCs w:val="28"/>
        </w:rPr>
        <w:t>作业机具：</w:t>
      </w:r>
      <w:r>
        <w:rPr>
          <w:rFonts w:hint="eastAsia" w:ascii="宋体" w:hAnsi="宋体" w:cs="宋体"/>
          <w:bCs/>
          <w:sz w:val="28"/>
          <w:szCs w:val="28"/>
        </w:rPr>
        <w:t>小型电动密闭垃圾车</w:t>
      </w:r>
      <w:r>
        <w:rPr>
          <w:rFonts w:hint="eastAsia" w:ascii="宋体" w:hAnsi="宋体" w:cs="宋体"/>
          <w:sz w:val="28"/>
          <w:szCs w:val="28"/>
        </w:rPr>
        <w:t>，毛巾、塑料刷、橡胶手套、消洒剂、洗涤剂等。</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w:t>
      </w:r>
      <w:r>
        <w:rPr>
          <w:rFonts w:hint="eastAsia" w:ascii="宋体" w:hAnsi="宋体" w:cs="宋体"/>
          <w:bCs/>
          <w:sz w:val="28"/>
          <w:szCs w:val="28"/>
        </w:rPr>
        <w:t>60只/班次•人，</w:t>
      </w:r>
      <w:r>
        <w:rPr>
          <w:rFonts w:hint="eastAsia" w:ascii="宋体" w:hAnsi="宋体" w:cs="宋体"/>
          <w:sz w:val="28"/>
          <w:szCs w:val="28"/>
        </w:rPr>
        <w:t>不低于</w:t>
      </w:r>
      <w:r>
        <w:rPr>
          <w:rFonts w:hint="eastAsia" w:ascii="宋体" w:hAnsi="宋体" w:cs="宋体"/>
          <w:bCs/>
          <w:sz w:val="28"/>
          <w:szCs w:val="28"/>
        </w:rPr>
        <w:t>1班次/日</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人员着装：作业时必须穿带安全反光标志的工作服、带胶皮手套。</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安全要求：作业时，作业人员站在非机动车道或人行道上作业，注意避让非机动车及行人。</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作业标准：果屑箱箱体外观整洁，无积泥积污，现本色，灯杆、休闲座椅等市政设施无积泥积污，现本色。</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绿化带及两侧边沟</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作业范围：中央隔离绿化带、机非隔离绿化带、机非隔离绿化带两侧边沟、景观绿化带。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作业内容：捡拾中央隔离绿化带、机非隔离绿化带、机非隔离绿化带两侧边沟、景观绿化带生活垃圾。</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作业时间：8:00至16:00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w:t>
      </w:r>
    </w:p>
    <w:p>
      <w:pPr>
        <w:spacing w:line="500" w:lineRule="exact"/>
        <w:ind w:firstLine="560" w:firstLineChars="200"/>
        <w:rPr>
          <w:rFonts w:ascii="宋体" w:hAnsi="宋体" w:cs="宋体"/>
          <w:sz w:val="28"/>
          <w:szCs w:val="28"/>
        </w:rPr>
      </w:pPr>
      <w:r>
        <w:rPr>
          <w:rFonts w:hint="eastAsia" w:ascii="宋体" w:hAnsi="宋体" w:cs="宋体"/>
          <w:sz w:val="28"/>
          <w:szCs w:val="28"/>
        </w:rPr>
        <w:t>作业工具：长柄夹子、垃圾袋等。</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安全要求：作业人员必须从过街人行道进入中央隔离绿带作业，禁止进入机动车快车道。</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作业标准：绿化带及两侧边沟无白色垃圾、其它生活垃圾及杂物。</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作业定额：20000平方米/班次﹒人，不低于1班次/日。人员可与保洁人员并用。</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人行道冲洗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作业内容：冲洗除尘。</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作业频次：不低于1次/周，</w:t>
      </w:r>
      <w:r>
        <w:rPr>
          <w:rFonts w:hint="eastAsia" w:ascii="宋体" w:hAnsi="宋体" w:cs="宋体"/>
          <w:color w:val="auto"/>
          <w:sz w:val="28"/>
          <w:szCs w:val="28"/>
          <w:lang w:val="en-US" w:eastAsia="zh-CN"/>
        </w:rPr>
        <w:t>随时清除污垢、污渍</w:t>
      </w:r>
      <w:r>
        <w:rPr>
          <w:rFonts w:hint="eastAsia" w:ascii="宋体" w:hAnsi="宋体" w:cs="宋体"/>
          <w:color w:val="auto"/>
          <w:sz w:val="28"/>
          <w:szCs w:val="28"/>
        </w:rPr>
        <w:t>。</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作业方式：采取人工和机械相结合方式。</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作业车型：车辆行驶证核定载质量≥10吨的洒水车或小型洒水车。</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作业标准：无积泥积尘、油污。</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绿化带冲洗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作业范围：行道树、中央隔离绿带、机非隔离绿化带、景观绿化带。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作业内容：行道树、中央隔离绿带、机非隔离绿化带、景观绿化带冲洗除尘。</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作业时间：9:30至16:30。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作业方式：洒水车冲洗行道树、中央隔离绿带、机非隔离绿化带、景观绿化带。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作业时速：不高于20公里/小时。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作业车型：车辆行驶证核定载质量≥10吨的洒水车。</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作业定额：辅工1人/车。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作业标准：绿化带无积泥积尘、油污。</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应急突发事故处理</w:t>
      </w:r>
    </w:p>
    <w:p>
      <w:pPr>
        <w:spacing w:line="500" w:lineRule="exact"/>
        <w:ind w:firstLine="280" w:firstLineChars="100"/>
        <w:rPr>
          <w:rFonts w:ascii="宋体" w:hAnsi="宋体" w:cs="宋体"/>
          <w:bCs/>
          <w:sz w:val="28"/>
          <w:szCs w:val="28"/>
        </w:rPr>
      </w:pPr>
      <w:r>
        <w:rPr>
          <w:rFonts w:hint="eastAsia" w:ascii="宋体" w:hAnsi="宋体" w:cs="宋体"/>
          <w:bCs/>
          <w:sz w:val="28"/>
          <w:szCs w:val="28"/>
        </w:rPr>
        <w:t>交通事故现场处理，建筑渣土撒漏处理，无主垃圾清理，轻质漂浮物处理，各类保障任务。</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安全作业要求</w:t>
      </w:r>
    </w:p>
    <w:p>
      <w:pPr>
        <w:spacing w:line="500" w:lineRule="exact"/>
        <w:ind w:firstLine="560" w:firstLineChars="200"/>
        <w:rPr>
          <w:rFonts w:ascii="宋体" w:hAnsi="宋体" w:cs="宋体"/>
          <w:bCs/>
          <w:sz w:val="28"/>
          <w:szCs w:val="28"/>
        </w:rPr>
      </w:pPr>
      <w:r>
        <w:rPr>
          <w:rFonts w:hint="eastAsia" w:ascii="宋体" w:hAnsi="宋体" w:cs="宋体"/>
          <w:bCs/>
          <w:sz w:val="28"/>
          <w:szCs w:val="28"/>
        </w:rPr>
        <w:t>严禁作业人员在无安全保护情况下进入机动车道作业；严禁作业人员穿行机动车道；在处理应急突发事故时，应按要求配置警示桩、锥形桶等安全警示设施。</w:t>
      </w:r>
    </w:p>
    <w:p>
      <w:pPr>
        <w:pStyle w:val="5"/>
        <w:numPr>
          <w:ilvl w:val="1"/>
          <w:numId w:val="0"/>
        </w:numPr>
        <w:spacing w:before="0" w:after="0" w:line="500" w:lineRule="exact"/>
        <w:ind w:left="-142"/>
        <w:rPr>
          <w:bCs w:val="0"/>
          <w:sz w:val="28"/>
          <w:szCs w:val="28"/>
        </w:rPr>
      </w:pPr>
      <w:bookmarkStart w:id="229" w:name="_Toc6615"/>
      <w:bookmarkStart w:id="230" w:name="_Toc21405"/>
      <w:r>
        <w:rPr>
          <w:rFonts w:hint="eastAsia"/>
          <w:sz w:val="28"/>
          <w:szCs w:val="28"/>
          <w:lang w:eastAsia="zh-CN"/>
        </w:rPr>
        <w:t>（三）</w:t>
      </w:r>
      <w:r>
        <w:rPr>
          <w:rFonts w:hint="eastAsia"/>
          <w:sz w:val="28"/>
          <w:szCs w:val="28"/>
        </w:rPr>
        <w:t>河道保</w:t>
      </w:r>
      <w:r>
        <w:rPr>
          <w:rFonts w:hint="eastAsia"/>
          <w:bCs w:val="0"/>
          <w:sz w:val="28"/>
          <w:szCs w:val="28"/>
        </w:rPr>
        <w:t>河道保洁服务内容及服务要求</w:t>
      </w:r>
      <w:bookmarkEnd w:id="229"/>
      <w:bookmarkEnd w:id="230"/>
    </w:p>
    <w:p>
      <w:pPr>
        <w:spacing w:line="500" w:lineRule="exact"/>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numPr>
          <w:ilvl w:val="0"/>
          <w:numId w:val="32"/>
        </w:numPr>
        <w:spacing w:line="500" w:lineRule="exact"/>
        <w:ind w:left="5" w:firstLine="435"/>
        <w:rPr>
          <w:rFonts w:ascii="宋体" w:hAnsi="宋体" w:cs="宋体"/>
          <w:sz w:val="28"/>
          <w:szCs w:val="28"/>
        </w:rPr>
      </w:pPr>
      <w:r>
        <w:rPr>
          <w:rFonts w:hint="eastAsia" w:ascii="宋体" w:hAnsi="宋体" w:cs="宋体"/>
          <w:sz w:val="28"/>
          <w:szCs w:val="28"/>
        </w:rPr>
        <w:t>中标人需安排专业人员对河渠、陆域保洁、垃圾转运、入河拦污栅漂浮物打捞等。所产生的垃圾由中标人自行合理处置，不得堆积在河道沿岸。</w:t>
      </w:r>
    </w:p>
    <w:p>
      <w:pPr>
        <w:numPr>
          <w:ilvl w:val="0"/>
          <w:numId w:val="32"/>
        </w:numPr>
        <w:spacing w:line="500" w:lineRule="exact"/>
        <w:ind w:left="5" w:firstLine="435"/>
        <w:rPr>
          <w:rFonts w:ascii="宋体" w:hAnsi="宋体" w:cs="宋体"/>
          <w:sz w:val="28"/>
          <w:szCs w:val="28"/>
        </w:rPr>
      </w:pPr>
      <w:r>
        <w:rPr>
          <w:rFonts w:hint="eastAsia" w:ascii="宋体" w:hAnsi="宋体" w:cs="宋体"/>
          <w:sz w:val="28"/>
          <w:szCs w:val="28"/>
        </w:rPr>
        <w:t>做好对全街道辖区内河渠的日常巡查和常规维护维修。对发现的常规性问题有责任和义务进行及时的处置，对不能处置的需上报街道相关部门。</w:t>
      </w:r>
    </w:p>
    <w:p>
      <w:pPr>
        <w:numPr>
          <w:ilvl w:val="0"/>
          <w:numId w:val="32"/>
        </w:numPr>
        <w:spacing w:line="500" w:lineRule="exact"/>
        <w:ind w:left="5" w:firstLine="435"/>
        <w:rPr>
          <w:rFonts w:ascii="宋体" w:hAnsi="宋体" w:cs="宋体"/>
          <w:sz w:val="28"/>
          <w:szCs w:val="28"/>
        </w:rPr>
      </w:pPr>
      <w:r>
        <w:rPr>
          <w:rFonts w:hint="eastAsia" w:ascii="宋体" w:hAnsi="宋体" w:cs="宋体"/>
          <w:sz w:val="28"/>
          <w:szCs w:val="28"/>
        </w:rPr>
        <w:t xml:space="preserve">对下河排口进行巡查，对直排现象进行及时处置，不能处置的需上报社区街道相关部门。 </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33"/>
        </w:numPr>
        <w:spacing w:line="500" w:lineRule="exact"/>
        <w:ind w:left="5" w:firstLine="635"/>
        <w:rPr>
          <w:rFonts w:ascii="宋体" w:hAnsi="宋体" w:cs="宋体"/>
          <w:sz w:val="28"/>
          <w:szCs w:val="28"/>
        </w:rPr>
      </w:pPr>
      <w:r>
        <w:rPr>
          <w:rFonts w:hint="eastAsia" w:ascii="宋体" w:hAnsi="宋体" w:cs="宋体"/>
          <w:sz w:val="28"/>
          <w:szCs w:val="28"/>
        </w:rPr>
        <w:t>时间要求</w:t>
      </w:r>
    </w:p>
    <w:p>
      <w:pPr>
        <w:spacing w:line="500" w:lineRule="exact"/>
        <w:ind w:firstLine="492"/>
        <w:rPr>
          <w:rFonts w:ascii="宋体" w:hAnsi="宋体" w:cs="宋体"/>
          <w:sz w:val="28"/>
          <w:szCs w:val="28"/>
        </w:rPr>
      </w:pPr>
      <w:r>
        <w:rPr>
          <w:rFonts w:hint="eastAsia" w:ascii="宋体" w:hAnsi="宋体" w:cs="宋体"/>
          <w:sz w:val="28"/>
          <w:szCs w:val="28"/>
        </w:rPr>
        <w:t>清扫打漂：河道每天9:00时前完成第一次清扫打漂，15:00时前完成第二次清扫打漂。保洁时间：夏秋季（5-10月）每天7:30至19:00，冬春季（11月至次年4月）每天8:00至18:30时进行。</w:t>
      </w:r>
    </w:p>
    <w:p>
      <w:pPr>
        <w:numPr>
          <w:ilvl w:val="0"/>
          <w:numId w:val="33"/>
        </w:numPr>
        <w:spacing w:line="500" w:lineRule="exact"/>
        <w:ind w:left="5" w:firstLine="635"/>
        <w:rPr>
          <w:rFonts w:ascii="宋体" w:hAnsi="宋体" w:cs="宋体"/>
          <w:sz w:val="28"/>
          <w:szCs w:val="28"/>
        </w:rPr>
      </w:pPr>
      <w:r>
        <w:rPr>
          <w:rFonts w:hint="eastAsia" w:ascii="宋体" w:hAnsi="宋体" w:cs="宋体"/>
          <w:sz w:val="28"/>
          <w:szCs w:val="28"/>
        </w:rPr>
        <w:t>保洁作业质量</w:t>
      </w:r>
    </w:p>
    <w:p>
      <w:pPr>
        <w:spacing w:line="500" w:lineRule="exact"/>
        <w:ind w:firstLine="492"/>
        <w:rPr>
          <w:rFonts w:ascii="宋体" w:hAnsi="宋体" w:cs="宋体"/>
          <w:sz w:val="28"/>
          <w:szCs w:val="28"/>
        </w:rPr>
      </w:pPr>
      <w:r>
        <w:rPr>
          <w:rFonts w:hint="eastAsia" w:ascii="宋体" w:hAnsi="宋体" w:cs="宋体"/>
          <w:sz w:val="28"/>
          <w:szCs w:val="28"/>
        </w:rPr>
        <w:t>通道保洁：保持通道清洁，零星垃圾河道100米内不超过2处且停留时间不得超过0.5小时；桥头、梯步、河堤护岸坡面、公共设施、下河马道干净整洁，无卫生死角。栏杆无明显积尘、污斑、蜘蛛网或其它缠绕垃圾；桥角、桥墩边、水闸前无垃圾及漂浮物，严禁采取开闸放漂，将漂浮物流入下游河段。水面保洁：水面感观良好，视觉范围内无明显漂浮物、阻水物、明显积存垃圾，拦漂设施拦截漂浮物每日进行集中打捞，保证水流通畅，当日垃圾当日清除，及时运至中转站或垃圾场。</w:t>
      </w:r>
    </w:p>
    <w:p>
      <w:pPr>
        <w:spacing w:line="500" w:lineRule="exact"/>
        <w:ind w:firstLine="492"/>
        <w:rPr>
          <w:rFonts w:hint="eastAsia" w:ascii="宋体" w:hAnsi="宋体" w:eastAsia="宋体" w:cs="宋体"/>
          <w:sz w:val="28"/>
          <w:szCs w:val="28"/>
        </w:rPr>
      </w:pPr>
      <w:r>
        <w:rPr>
          <w:rFonts w:hint="eastAsia" w:ascii="宋体" w:hAnsi="宋体" w:cs="宋体"/>
          <w:sz w:val="28"/>
          <w:szCs w:val="28"/>
        </w:rPr>
        <w:t>护坡、河滩地保洁：河堤立面清洁，硬化的护坡无杂草、垃圾；河滩地无大量</w:t>
      </w:r>
      <w:r>
        <w:rPr>
          <w:rFonts w:hint="eastAsia" w:ascii="宋体" w:hAnsi="宋体" w:eastAsia="宋体" w:cs="宋体"/>
          <w:sz w:val="28"/>
          <w:szCs w:val="28"/>
        </w:rPr>
        <w:t>阻水杂草、垃圾及人工种植植物。</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常水位以上无明显突出水面淤积物及障碍物，存留时间不超过2日。</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垃圾清运作业</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打漂、保洁的垃圾清运日产日清，严禁垃圾过夜。打漂、保洁收集的垃圾存放到街道或城管部门指定的存放点，定时派装卸人员装运。</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中标人工作人员和设备配备要求</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每条河道及闸门管理用房配备相应工作量的清扫保洁、绿化管护、设施设备维护、日常巡查管理及从业人员。</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每个清扫保洁人员要配备必要的口袋、撮箕、舀子、钉耙等清扫保洁工具，实行袋装化的河道区域配备足够的垃圾袋。</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安全文明作业</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中标人需对上岗人员进行岗前培训，不断提高河道管理作业人员的工作技能工作热情和安全文明作业水平。</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中标人应配备河道保洁作业必须的工具以及安全保障设施设备，并定期组织安全作业技能培训。</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作业人员上岗期间须着河道管理工作装并佩戴工作证。</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作业人员无脱岗和上岗期间聚集聊天现象，不做与工作无关的事。</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规范安全操作，下水作业必须穿救生衣。</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制止恶意破坏河道环境卫生、河道设施设备等行为时，作业人员做到耐心文明劝阻、不打人骂人。</w:t>
      </w:r>
    </w:p>
    <w:p>
      <w:pPr>
        <w:pStyle w:val="5"/>
        <w:numPr>
          <w:ilvl w:val="1"/>
          <w:numId w:val="0"/>
        </w:numPr>
        <w:spacing w:before="0" w:after="0" w:line="500" w:lineRule="exact"/>
        <w:ind w:left="-142"/>
        <w:rPr>
          <w:rFonts w:hint="eastAsia" w:ascii="宋体" w:hAnsi="宋体" w:eastAsia="宋体" w:cs="宋体"/>
          <w:sz w:val="28"/>
          <w:szCs w:val="28"/>
        </w:rPr>
      </w:pPr>
      <w:bookmarkStart w:id="231" w:name="_Toc17008"/>
      <w:bookmarkStart w:id="232" w:name="_Toc11517"/>
      <w:r>
        <w:rPr>
          <w:rFonts w:hint="eastAsia" w:ascii="宋体" w:hAnsi="宋体" w:eastAsia="宋体" w:cs="宋体"/>
          <w:sz w:val="28"/>
          <w:szCs w:val="28"/>
          <w:lang w:eastAsia="zh-CN"/>
        </w:rPr>
        <w:t>（四）</w:t>
      </w:r>
      <w:r>
        <w:rPr>
          <w:rFonts w:hint="eastAsia" w:ascii="宋体" w:hAnsi="宋体" w:eastAsia="宋体" w:cs="宋体"/>
          <w:sz w:val="28"/>
          <w:szCs w:val="28"/>
        </w:rPr>
        <w:t>绿化管护服务内容及服务要求</w:t>
      </w:r>
      <w:bookmarkEnd w:id="231"/>
      <w:bookmarkEnd w:id="232"/>
    </w:p>
    <w:p>
      <w:pPr>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服务内容</w:t>
      </w:r>
      <w:r>
        <w:rPr>
          <w:rFonts w:hint="eastAsia" w:ascii="宋体" w:hAnsi="宋体" w:eastAsia="宋体" w:cs="宋体"/>
          <w:b/>
          <w:bCs/>
          <w:sz w:val="28"/>
          <w:szCs w:val="28"/>
          <w:lang w:eastAsia="zh-CN"/>
        </w:rPr>
        <w:t>：</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对所属区域绿化及行道树进行日常管护工作。</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对管护期间所属区域死亡、破坏、缺漏植物进行补栽和换栽工作。</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造型植物、地被植物、草坪的日常修剪及管护，乔木支撑、扶正及修枝整形。</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施肥、浇水、病虫害防治、除杂草。</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街道花台、行道树、街心花园、道路节点及绿化带的管护。</w:t>
      </w:r>
    </w:p>
    <w:p>
      <w:pPr>
        <w:numPr>
          <w:ilvl w:val="0"/>
          <w:numId w:val="34"/>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管护单位负责管护植物的成活率达95%，管护期间因管护不善而造成的植物死亡的补栽费用由管护单位负责。</w:t>
      </w:r>
    </w:p>
    <w:p>
      <w:pPr>
        <w:numPr>
          <w:ilvl w:val="0"/>
          <w:numId w:val="34"/>
        </w:numPr>
        <w:spacing w:line="500" w:lineRule="exact"/>
        <w:ind w:left="5" w:right="31" w:firstLine="435"/>
        <w:rPr>
          <w:rFonts w:hint="eastAsia" w:ascii="宋体" w:hAnsi="宋体" w:eastAsia="宋体" w:cs="宋体"/>
          <w:sz w:val="28"/>
          <w:szCs w:val="28"/>
        </w:rPr>
      </w:pPr>
      <w:r>
        <w:rPr>
          <w:rFonts w:hint="eastAsia" w:ascii="宋体" w:hAnsi="宋体" w:eastAsia="宋体" w:cs="宋体"/>
          <w:sz w:val="28"/>
          <w:szCs w:val="28"/>
          <w:lang w:val="zh-CN"/>
        </w:rPr>
        <w:t>及时清理枯枝残叶。</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35"/>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质量要求</w:t>
      </w:r>
    </w:p>
    <w:p>
      <w:pPr>
        <w:pStyle w:val="24"/>
        <w:numPr>
          <w:ilvl w:val="0"/>
          <w:numId w:val="0"/>
        </w:numPr>
        <w:spacing w:line="5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 xml:space="preserve">管护管理具体操作按照《四川省城市园林绿化技术操作规程》DB51／500l6—l998标准执行。 </w:t>
      </w:r>
      <w:r>
        <w:rPr>
          <w:rFonts w:hint="eastAsia" w:ascii="宋体" w:hAnsi="宋体" w:eastAsia="宋体" w:cs="宋体"/>
          <w:sz w:val="28"/>
          <w:szCs w:val="28"/>
        </w:rPr>
        <w:t>有新规定按最新规定执行。</w:t>
      </w:r>
    </w:p>
    <w:p>
      <w:pPr>
        <w:numPr>
          <w:ilvl w:val="0"/>
          <w:numId w:val="35"/>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具体如下</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绿地容貌</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随时保持绿地清洁、美观。及时清除死树、枯枝。及时清运剪下的植物残体。清理出来的废弃物实行袋装化清运，在现场堆放时不得超过24小时。</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浇水与除尘</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新栽树木（包括补栽树木）的浇水，每月不少于2次，三年内定植树，每年浇水不少于4-6次。补植草皮，每周浇水2—3次。渗入深度10-15厘米。在春季发叶前及晚秋枯黄后，要浇水一次发叶水及过冬水，渗入深度达15-20厘米。灌木6-8次/年。</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浇水时间主要集中在2-6月，夏季高温季节，浇水应在早晨或傍晚，冬季应在午后进行。雨季要注意防涝排水，行道树树穴积水，可填沙排水。</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施肥（基肥与追肥）</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每年12月至翌年2月休眠期内，应施基肥。每年3月至8月生长期内，施追肥，花灌木在开花后，要施一次以磷钾为主的追肥。追肥次数每年不少于2次。草坪在4-10月生长期内，每月薄施一次追肥。同时施肥要和松土、浇水结合进行。</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松土、除草</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松土每年4-10月进行。除草要掌握“除早、除小、除了”的原则，绿地中应随时保持无杂草。草坪（含麦冬地面）的纯净度应达到95%以上。</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修剪</w:t>
      </w:r>
    </w:p>
    <w:p>
      <w:pPr>
        <w:pStyle w:val="24"/>
        <w:spacing w:line="500" w:lineRule="exact"/>
        <w:ind w:firstLine="420" w:firstLineChars="150"/>
        <w:rPr>
          <w:rFonts w:hint="eastAsia" w:ascii="宋体" w:hAnsi="宋体" w:eastAsia="宋体" w:cs="宋体"/>
          <w:sz w:val="28"/>
          <w:szCs w:val="28"/>
          <w:lang w:val="zh-CN"/>
        </w:rPr>
      </w:pPr>
      <w:r>
        <w:rPr>
          <w:rFonts w:hint="eastAsia" w:ascii="宋体" w:hAnsi="宋体" w:eastAsia="宋体" w:cs="宋体"/>
          <w:sz w:val="28"/>
          <w:szCs w:val="28"/>
          <w:lang w:val="zh-CN"/>
        </w:rPr>
        <w:t>修剪包括剥芽、去蘖、摘心摘芽、疏枝、短截、截除粗枝、疏花疏果、整形、更冠等技术。</w:t>
      </w:r>
    </w:p>
    <w:p>
      <w:pPr>
        <w:pStyle w:val="24"/>
        <w:spacing w:line="500" w:lineRule="exact"/>
        <w:ind w:firstLine="420" w:firstLineChars="150"/>
        <w:rPr>
          <w:rFonts w:hint="eastAsia" w:ascii="宋体" w:hAnsi="宋体" w:eastAsia="宋体" w:cs="宋体"/>
          <w:sz w:val="28"/>
          <w:szCs w:val="28"/>
          <w:lang w:val="zh-CN"/>
        </w:rPr>
      </w:pPr>
      <w:r>
        <w:rPr>
          <w:rFonts w:hint="eastAsia" w:ascii="宋体" w:hAnsi="宋体" w:eastAsia="宋体" w:cs="宋体"/>
          <w:sz w:val="28"/>
          <w:szCs w:val="28"/>
          <w:lang w:val="zh-CN"/>
        </w:rPr>
        <w:t>修剪次数：乔木一年不能少于1次，造形植物、绿篱植物一年不能少于6次，色块灌木一年不少于4次。</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草坪修剪，一般情况下，混播草坪不能少于24次/年，当草坪高度超过10cm时应即时修剪，草坪高度应保持5-6cm,绿地覆盖率达95%以上。</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修剪应遵循“1/3”原则。各类植物的修剪须遵循《城市园林绿化技术操作规程》（DB51/50016—1998）</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扶正、支柱</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乔木倾斜度超过10度时，须进行扶正。落叶树在休眠期进行，常绿树在3—5月进行。扶正工作应每周进行一次例行检查，每一个月进行一次专项检查。尤其大风、大雨后必须进行一次，防止树木倒伏带来交通隐患。支撑工作在24小时内完成。</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病虫害防治</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全面贯彻“预防为主，综合防治”的植物保护方针，病虫害的发生率应控制在5％以下。采用无污染、低毒性农药，把农药污染控制在最低限度。预防性打药为乔木3—5次／年，灌木5—8次／年，草坪8—12次／年。</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补栽</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补植要做到即时，随时损伤随时补栽，确保景观效果。</w:t>
      </w:r>
    </w:p>
    <w:p>
      <w:pPr>
        <w:pStyle w:val="5"/>
        <w:numPr>
          <w:ilvl w:val="1"/>
          <w:numId w:val="0"/>
        </w:numPr>
        <w:spacing w:before="0" w:after="0" w:line="500" w:lineRule="exact"/>
        <w:ind w:left="-142"/>
        <w:rPr>
          <w:sz w:val="28"/>
          <w:szCs w:val="28"/>
        </w:rPr>
      </w:pPr>
      <w:bookmarkStart w:id="233" w:name="_Toc3177"/>
      <w:bookmarkStart w:id="234" w:name="_Toc24707"/>
      <w:r>
        <w:rPr>
          <w:rFonts w:hint="eastAsia"/>
          <w:sz w:val="28"/>
          <w:szCs w:val="28"/>
          <w:lang w:eastAsia="zh-CN"/>
        </w:rPr>
        <w:t>（五）</w:t>
      </w:r>
      <w:r>
        <w:rPr>
          <w:rFonts w:hint="eastAsia"/>
          <w:sz w:val="28"/>
          <w:szCs w:val="28"/>
        </w:rPr>
        <w:t>公厕管理服务内容及服务要求</w:t>
      </w:r>
      <w:bookmarkEnd w:id="233"/>
      <w:bookmarkEnd w:id="234"/>
    </w:p>
    <w:p>
      <w:pPr>
        <w:spacing w:line="500" w:lineRule="exact"/>
        <w:ind w:firstLine="500" w:firstLineChars="178"/>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numPr>
          <w:ilvl w:val="0"/>
          <w:numId w:val="37"/>
        </w:numPr>
        <w:spacing w:line="500" w:lineRule="exact"/>
        <w:ind w:left="5" w:firstLine="435"/>
        <w:rPr>
          <w:rFonts w:ascii="宋体" w:hAnsi="宋体" w:cs="宋体"/>
          <w:sz w:val="28"/>
          <w:szCs w:val="28"/>
        </w:rPr>
      </w:pPr>
      <w:r>
        <w:rPr>
          <w:rFonts w:hint="eastAsia" w:ascii="宋体" w:hAnsi="宋体" w:cs="宋体"/>
          <w:sz w:val="28"/>
          <w:szCs w:val="28"/>
        </w:rPr>
        <w:t>作业范围</w:t>
      </w:r>
    </w:p>
    <w:p>
      <w:pPr>
        <w:spacing w:line="500" w:lineRule="exact"/>
        <w:ind w:firstLine="560" w:firstLineChars="200"/>
        <w:rPr>
          <w:rFonts w:ascii="宋体" w:hAnsi="宋体" w:cs="宋体"/>
          <w:sz w:val="28"/>
          <w:szCs w:val="28"/>
        </w:rPr>
      </w:pPr>
      <w:r>
        <w:rPr>
          <w:rFonts w:hint="eastAsia" w:ascii="宋体" w:hAnsi="宋体" w:cs="宋体"/>
          <w:sz w:val="28"/>
          <w:szCs w:val="28"/>
        </w:rPr>
        <w:t>万科四期公厕、 万科三期公厕、万科幼儿园公厕、万白路老公厕、鸿雁路公厕、泉水凼广场公厕、万白路新公厕。（开放式公厕）。</w:t>
      </w:r>
    </w:p>
    <w:p>
      <w:pPr>
        <w:numPr>
          <w:ilvl w:val="0"/>
          <w:numId w:val="37"/>
        </w:numPr>
        <w:spacing w:line="500" w:lineRule="exact"/>
        <w:ind w:left="5" w:firstLine="435"/>
        <w:rPr>
          <w:rFonts w:ascii="宋体" w:hAnsi="宋体" w:cs="宋体"/>
          <w:sz w:val="28"/>
          <w:szCs w:val="28"/>
        </w:rPr>
      </w:pPr>
      <w:r>
        <w:rPr>
          <w:rFonts w:hint="eastAsia" w:ascii="宋体" w:hAnsi="宋体" w:cs="宋体"/>
          <w:sz w:val="28"/>
          <w:szCs w:val="28"/>
        </w:rPr>
        <w:t>作业内容</w:t>
      </w:r>
    </w:p>
    <w:p>
      <w:pPr>
        <w:spacing w:line="500" w:lineRule="exact"/>
        <w:ind w:firstLine="560" w:firstLineChars="200"/>
        <w:rPr>
          <w:rFonts w:ascii="宋体" w:hAnsi="宋体" w:cs="宋体"/>
          <w:sz w:val="28"/>
          <w:szCs w:val="28"/>
        </w:rPr>
      </w:pPr>
      <w:r>
        <w:rPr>
          <w:rFonts w:hint="eastAsia" w:ascii="宋体" w:hAnsi="宋体" w:cs="宋体"/>
          <w:sz w:val="28"/>
          <w:szCs w:val="28"/>
        </w:rPr>
        <w:t>公共厕所环境卫生、消毒消杀、设施设备维修更换、两纸一液配置、水电费用支付、化粪池清掏、管理范围内的乱张贴、乱涂写、乱拉挂等。接受采购人的监督管理，负责项目日常管理和上级部门安排的任务，接受采购人的检查监督，遵守公厕管理的规章制度，维护采购人的声誉，配合做好临时性任务。</w:t>
      </w:r>
    </w:p>
    <w:p>
      <w:pPr>
        <w:pStyle w:val="18"/>
        <w:spacing w:line="500" w:lineRule="exact"/>
        <w:ind w:firstLine="500" w:firstLineChars="178"/>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作业时间</w:t>
      </w:r>
    </w:p>
    <w:p>
      <w:pPr>
        <w:spacing w:line="500" w:lineRule="exact"/>
        <w:ind w:firstLine="560" w:firstLineChars="200"/>
        <w:rPr>
          <w:rFonts w:ascii="宋体" w:hAnsi="宋体" w:cs="宋体"/>
          <w:sz w:val="28"/>
          <w:szCs w:val="28"/>
        </w:rPr>
      </w:pPr>
      <w:r>
        <w:rPr>
          <w:rFonts w:hint="eastAsia" w:ascii="宋体" w:hAnsi="宋体" w:cs="宋体"/>
          <w:sz w:val="28"/>
          <w:szCs w:val="28"/>
        </w:rPr>
        <w:t>专人值守时间：春冬6:30至22:00，夏秋6:00至23:00。</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作业频次</w:t>
      </w:r>
    </w:p>
    <w:p>
      <w:pPr>
        <w:spacing w:line="500" w:lineRule="exact"/>
        <w:ind w:firstLine="560" w:firstLineChars="200"/>
        <w:rPr>
          <w:rFonts w:ascii="宋体" w:hAnsi="宋体" w:cs="宋体"/>
          <w:sz w:val="28"/>
          <w:szCs w:val="28"/>
        </w:rPr>
      </w:pPr>
      <w:r>
        <w:rPr>
          <w:rFonts w:hint="eastAsia" w:ascii="宋体" w:hAnsi="宋体" w:cs="宋体"/>
          <w:sz w:val="28"/>
          <w:szCs w:val="28"/>
        </w:rPr>
        <w:t>环境卫生不间断巡回保洁，消毒消杀至少3次/日，设施设备维修更换和两纸一液配置及时，化粪池清掏不低于1次/半年（特殊应急除外），水电费按时支付。</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作业工具</w:t>
      </w:r>
    </w:p>
    <w:p>
      <w:pPr>
        <w:spacing w:line="500" w:lineRule="exact"/>
        <w:ind w:firstLine="560" w:firstLineChars="200"/>
        <w:rPr>
          <w:rFonts w:ascii="宋体" w:hAnsi="宋体" w:cs="宋体"/>
          <w:sz w:val="28"/>
          <w:szCs w:val="28"/>
        </w:rPr>
      </w:pPr>
      <w:r>
        <w:rPr>
          <w:rFonts w:hint="eastAsia" w:ascii="宋体" w:hAnsi="宋体" w:cs="宋体"/>
          <w:sz w:val="28"/>
          <w:szCs w:val="28"/>
        </w:rPr>
        <w:t>塑料扫帚、拖把、撮箕、毛巾、硬质塑料刷、橡胶手套，水刮器、消毒剂、清洁剂、垃圾袋、卫生球、檀香等。</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人员着装</w:t>
      </w:r>
    </w:p>
    <w:p>
      <w:pPr>
        <w:spacing w:line="500" w:lineRule="exact"/>
        <w:ind w:left="420"/>
        <w:rPr>
          <w:rFonts w:ascii="宋体" w:hAnsi="宋体" w:cs="宋体"/>
          <w:sz w:val="28"/>
          <w:szCs w:val="28"/>
        </w:rPr>
      </w:pPr>
      <w:r>
        <w:rPr>
          <w:rFonts w:hint="eastAsia" w:ascii="宋体" w:hAnsi="宋体" w:cs="宋体"/>
          <w:sz w:val="28"/>
          <w:szCs w:val="28"/>
        </w:rPr>
        <w:t>着环卫工人服，佩戴工作牌。</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公厕保洁作业方式</w:t>
      </w:r>
    </w:p>
    <w:p>
      <w:pPr>
        <w:spacing w:line="500" w:lineRule="exact"/>
        <w:ind w:firstLine="492"/>
        <w:rPr>
          <w:rFonts w:ascii="宋体" w:hAnsi="宋体" w:cs="宋体"/>
          <w:sz w:val="28"/>
          <w:szCs w:val="28"/>
        </w:rPr>
      </w:pPr>
      <w:r>
        <w:rPr>
          <w:rFonts w:hint="eastAsia" w:ascii="宋体" w:hAnsi="宋体" w:cs="宋体"/>
          <w:sz w:val="28"/>
          <w:szCs w:val="28"/>
        </w:rPr>
        <w:t>公共厕所保洁应当使用清洁工具随时清除蜘蛛网及墙面积尘、污迹；使用干净毛巾擦洗门窗、洗手器具、小便站位隔板、大便蹲位门及隔断板、瓷砖墙面；使用塑料扫帚清除地面及蹲台废弃物；使用干净湿拖把（不滴水）清洁地面、卫生洁具，使用厕所清洁剂清洗大、小便器，废纸容器内的废弃物即满即清。清扫保洁工具使用完毕后应当存放在管理间（工具间）。</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公厕保洁作业质量标准</w:t>
      </w:r>
    </w:p>
    <w:p>
      <w:pPr>
        <w:spacing w:line="500" w:lineRule="exact"/>
        <w:ind w:firstLine="492"/>
        <w:rPr>
          <w:rFonts w:ascii="宋体" w:hAnsi="宋体" w:cs="宋体"/>
          <w:sz w:val="28"/>
          <w:szCs w:val="28"/>
        </w:rPr>
      </w:pPr>
      <w:r>
        <w:rPr>
          <w:rFonts w:hint="eastAsia" w:ascii="宋体" w:hAnsi="宋体" w:cs="宋体"/>
          <w:sz w:val="28"/>
          <w:szCs w:val="28"/>
        </w:rPr>
        <w:t>环卫公厕管理应达到“四净三无二通一明”要求。即：地面净、墙壁净、厕位净、周边净，无溢流、无蚊蝇、无臭味，水通、电通，灯明。</w:t>
      </w:r>
    </w:p>
    <w:p>
      <w:pPr>
        <w:spacing w:line="500" w:lineRule="exact"/>
        <w:ind w:firstLine="492"/>
        <w:rPr>
          <w:rFonts w:ascii="宋体" w:hAnsi="宋体" w:cs="宋体"/>
          <w:sz w:val="28"/>
          <w:szCs w:val="28"/>
        </w:rPr>
      </w:pPr>
      <w:r>
        <w:rPr>
          <w:rFonts w:hint="eastAsia" w:ascii="宋体" w:hAnsi="宋体" w:cs="宋体"/>
          <w:sz w:val="28"/>
          <w:szCs w:val="28"/>
        </w:rPr>
        <w:t>环卫公共厕所内采光、照明和通风良好，无异味。厕所内地面洁净，无积水，无烟头，无纸屑，无痰迹和其他杂物。墙面、天花板、门窗和隔断板洁净，无积灰，无污迹，无蛛网，无乱涂乱画。卫生洁具整洁，无积存物，无粪便痕迹，无积尿积水，管道畅通无堵塞。管理间（工具间）清洁工具、物品摆放整洁有序，无杂物，无闲杂人员，不得挪作它用。</w:t>
      </w:r>
    </w:p>
    <w:p>
      <w:pPr>
        <w:spacing w:line="500" w:lineRule="exact"/>
        <w:ind w:firstLine="492"/>
        <w:rPr>
          <w:rFonts w:ascii="宋体" w:hAnsi="宋体" w:cs="宋体"/>
          <w:sz w:val="28"/>
          <w:szCs w:val="28"/>
        </w:rPr>
      </w:pPr>
      <w:r>
        <w:rPr>
          <w:rFonts w:hint="eastAsia" w:ascii="宋体" w:hAnsi="宋体" w:cs="宋体"/>
          <w:sz w:val="28"/>
          <w:szCs w:val="28"/>
        </w:rPr>
        <w:t>环卫公共厕所外墙、屋顶及责任区域内整洁，无杂物堆积，墙面光洁完好，无污蚀，无渗漏，窗栅、门窗玻璃无破损。贮粪池盖密闭，无污物满溢，周围无粪便，无积水，无蚊蝇，无杂草。外部环境整洁，无卫生死角、建设红线或实际管理范围内无垃圾、粪便、污水、杂草、废土以及乱堆杂物现象。</w:t>
      </w:r>
    </w:p>
    <w:p>
      <w:pPr>
        <w:spacing w:line="500" w:lineRule="exact"/>
        <w:ind w:firstLine="492"/>
        <w:rPr>
          <w:rFonts w:ascii="宋体" w:hAnsi="宋体" w:cs="宋体"/>
          <w:sz w:val="28"/>
          <w:szCs w:val="28"/>
        </w:rPr>
      </w:pPr>
      <w:r>
        <w:rPr>
          <w:rFonts w:hint="eastAsia" w:ascii="宋体" w:hAnsi="宋体" w:cs="宋体"/>
          <w:sz w:val="28"/>
          <w:szCs w:val="28"/>
        </w:rPr>
        <w:t>环卫公共厕所导向标识完好规范；厕所保洁标准、开放时间、责任单位、监督电话等设置在厕所墙面醒目位置，便于社会监督。</w:t>
      </w:r>
    </w:p>
    <w:p>
      <w:pPr>
        <w:spacing w:line="500" w:lineRule="exact"/>
        <w:ind w:firstLine="492"/>
        <w:rPr>
          <w:rFonts w:ascii="宋体" w:hAnsi="宋体" w:cs="宋体"/>
          <w:sz w:val="28"/>
          <w:szCs w:val="28"/>
        </w:rPr>
      </w:pPr>
      <w:r>
        <w:rPr>
          <w:rFonts w:hint="eastAsia" w:ascii="宋体" w:hAnsi="宋体" w:cs="宋体"/>
          <w:sz w:val="28"/>
          <w:szCs w:val="28"/>
        </w:rPr>
        <w:t>环卫公共厕所照明灯具、标志、洗手器具、镜子、挂衣钩、烘手器、窨井盖、给排水管道、照明线路等设施应定时检修，无缺损渗漏、无积灰、污物；无障碍通道畅通。</w:t>
      </w:r>
    </w:p>
    <w:p>
      <w:pPr>
        <w:numPr>
          <w:ilvl w:val="0"/>
          <w:numId w:val="38"/>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检查方式</w:t>
      </w:r>
    </w:p>
    <w:p>
      <w:pPr>
        <w:spacing w:line="500" w:lineRule="exact"/>
        <w:ind w:left="420"/>
        <w:rPr>
          <w:rFonts w:ascii="宋体" w:hAnsi="宋体" w:cs="宋体"/>
          <w:sz w:val="28"/>
          <w:szCs w:val="28"/>
        </w:rPr>
      </w:pPr>
      <w:r>
        <w:rPr>
          <w:rFonts w:hint="eastAsia" w:ascii="宋体" w:hAnsi="宋体" w:cs="宋体"/>
          <w:sz w:val="28"/>
          <w:szCs w:val="28"/>
        </w:rPr>
        <w:t>人工随机抽取检查。</w:t>
      </w:r>
    </w:p>
    <w:p>
      <w:pPr>
        <w:spacing w:line="500" w:lineRule="exact"/>
        <w:rPr>
          <w:rFonts w:ascii="宋体" w:hAnsi="宋体" w:cs="宋体"/>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垃圾清运服务内容及要求</w:t>
      </w:r>
    </w:p>
    <w:p>
      <w:pPr>
        <w:spacing w:line="500" w:lineRule="exact"/>
        <w:ind w:firstLine="281" w:firstLineChars="100"/>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widowControl/>
        <w:numPr>
          <w:ilvl w:val="0"/>
          <w:numId w:val="39"/>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生活垃圾清运范围为成都市双流区九江街道公共区域及安置房小区生活垃圾。从垃圾中转点进行垃圾收集，分类清运至成都九江环保发电有限公司处置，清运垃圾量根据实际产生量及逐年递增因素，暂定为140吨/日计算。</w:t>
      </w:r>
    </w:p>
    <w:p>
      <w:pPr>
        <w:widowControl/>
        <w:numPr>
          <w:ilvl w:val="0"/>
          <w:numId w:val="39"/>
        </w:numPr>
        <w:spacing w:line="500" w:lineRule="exact"/>
        <w:ind w:left="5" w:firstLine="435"/>
        <w:jc w:val="left"/>
        <w:rPr>
          <w:rFonts w:ascii="宋体" w:hAnsi="宋体" w:cs="宋体"/>
          <w:kern w:val="0"/>
          <w:sz w:val="28"/>
          <w:szCs w:val="28"/>
          <w:lang w:bidi="ar"/>
        </w:rPr>
      </w:pPr>
      <w:r>
        <w:rPr>
          <w:rFonts w:hint="eastAsia" w:ascii="宋体" w:hAnsi="宋体" w:cs="宋体"/>
          <w:kern w:val="0"/>
          <w:sz w:val="28"/>
          <w:szCs w:val="28"/>
          <w:lang w:bidi="ar"/>
        </w:rPr>
        <w:t>中标人应当对公共区域部分生活垃圾进行分类分拣，分类清运，安置房部分生活垃圾由小区物业进行分类分拣，中标人分类清运。</w:t>
      </w:r>
    </w:p>
    <w:p>
      <w:pPr>
        <w:widowControl/>
        <w:numPr>
          <w:ilvl w:val="0"/>
          <w:numId w:val="39"/>
        </w:numPr>
        <w:spacing w:line="500" w:lineRule="exact"/>
        <w:ind w:left="5" w:firstLine="435"/>
        <w:jc w:val="left"/>
        <w:rPr>
          <w:rFonts w:ascii="宋体" w:hAnsi="宋体" w:cs="宋体"/>
          <w:kern w:val="0"/>
          <w:sz w:val="28"/>
          <w:szCs w:val="28"/>
          <w:lang w:bidi="ar"/>
        </w:rPr>
      </w:pPr>
      <w:r>
        <w:rPr>
          <w:rFonts w:hint="eastAsia" w:ascii="宋体" w:hAnsi="宋体" w:cs="宋体"/>
          <w:kern w:val="0"/>
          <w:sz w:val="28"/>
          <w:szCs w:val="28"/>
          <w:lang w:bidi="ar"/>
        </w:rPr>
        <w:t>以中标单价和垃圾实际清运量为依据，负责管辖范围内生活垃圾的日常巡查和清运等相关工作。</w:t>
      </w:r>
    </w:p>
    <w:p>
      <w:pPr>
        <w:widowControl/>
        <w:numPr>
          <w:ilvl w:val="0"/>
          <w:numId w:val="39"/>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因成都九江环保发电有限公司检修、停产等限量措施或市城管委垃圾处置总量调配等原因造成垃圾不能进入成都九江环保发电有限公司进行处置的，经采购人通知后，中标人应按照采购入要求调运至龙泉驿洛带填埋场处置。中标人应服从统一安排，结合实际配备足量人员及车辆，确保垃圾转运工作正常开展。</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依据《成都市生活垃圾管理条例》相关内容标准执行，根据服务区域内投放生活垃圾的类别、数量、作业时间等要求，配备相应的作业车辆、设备和作业人员，按规定安装在线监管装置，并向社会公开服务电话、收集时间等。（注：若颁布新的条例，则按照新规定执行）。</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全天24 小时循环不落地收运，达到生活垃圾日产日清。</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中标人应按招标文件要求配足管理、作业人员及设施设备，设立项目部，明确岗位职责，制定相关管理、人员设备操作及应急预案等制度并上墙。</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作业人员须按标准统一工作装，衣着整洁，备有反光服式，遵守各项安全规章制度，不得违规操作。</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服务公司或服务公司聘请人员不得以任何形式、任何方式在合同服务范围内收取单位或个人的任何费用。</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合理压缩装载生活垃圾，车辆出场前作业人员须认真检查车辆和箱体，确定车辆和箱体各部件完好、车容车貌整洁完好、专用标志清晰完整、警示标志齐全有效及防遗撒、渗漏装置完好后方可出车作业。</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因车辆、道路等客观原因不能继续保障生活垃圾运输作业时，应调配应急车辆、人员处置，确保生活垃圾及时清运。</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作业车辆，应统一印制所在单位（公司）、服务区域和自编号、按照成都市相关要求标示明显的分类收集、运输标识标志。作业车辆应当安装GPS系统和行车记录仪，接入管理方监控平台。车辆证件、保险齐全，各项指标正常，安全警示标识正常，定期做好车辆日常保养维护工作，确保车辆性能良好，车身整洁，外观统一。驾驶人员出车前须做好车辆外观、安全检查，检查无问题后方可上路，杜绝问题车辆上路。收车后应按规定在指定位置有序停放。驾驶人员须経培训合格后方可上岗参与作业运输。驾驶人员严禁酒后驾车，严格按照《中华人民共和国交通道路安全法》行车，确保交通运输安全。</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每天对生活垃圾清运车辆进行清洗、消杀、除臭，确保车辆干净整洁、无异味。</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生活垃圾清运车须严格按规定将生活垃圾拉至九江环保发电厂处理， 严格遵守处置场相关规章制度，不得蛮横行车。</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密闭化运输垃圾，并保持车况良好、车容整洁。</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禁止将垃圾随意倾倒、堆放，或直接排放到公共排水设施、河道、公厕、生活垃圾收集设施等。</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禁止收运途中撒落垃圾。</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禁止未经许可擅自收运、处理垃圾。</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禁止将垃圾交由未经许可的单位或个人收运、处理。</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严格遵守法律、法规、规章规定的其他禁止行为。</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未经批准，不得停业、歇业或停产检修；确需停业、歇业或停产检修的，应当提前十五日向管理部门报告并征得其同意。因不可抗力无法继续运营的情况除外。</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应当制定垃圾收运、处理应急预案，并按规定报管理部门备案。</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中标人在履约过程中应自觉服从、配合采购人工作，服从接受采购人监督，并依采购人要求随时纠正或改进工作。</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中标人严禁私自将垃圾清运工作全部或部分转包给其他第三方，否则（违反相关规定或国家相关法规将追究法律责任，所产生的后果一律由中标人承担）采购人有权终止合同。</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中标人切实履行好社会责任、自觉接受公众监督、群众投诉，妥善处理公众质疑。</w:t>
      </w:r>
    </w:p>
    <w:p>
      <w:pPr>
        <w:numPr>
          <w:ilvl w:val="0"/>
          <w:numId w:val="40"/>
        </w:numPr>
        <w:spacing w:line="500" w:lineRule="exact"/>
        <w:ind w:left="5" w:firstLine="435"/>
        <w:jc w:val="left"/>
        <w:rPr>
          <w:rFonts w:ascii="宋体" w:hAnsi="宋体" w:cs="宋体"/>
          <w:sz w:val="28"/>
          <w:szCs w:val="28"/>
        </w:rPr>
      </w:pPr>
      <w:r>
        <w:rPr>
          <w:rFonts w:hint="eastAsia" w:ascii="宋体" w:hAnsi="宋体" w:cs="宋体"/>
          <w:sz w:val="28"/>
          <w:szCs w:val="28"/>
        </w:rPr>
        <w:t>清运及巡查记录，数据图片台账建立要求：</w:t>
      </w:r>
    </w:p>
    <w:p>
      <w:pPr>
        <w:pStyle w:val="291"/>
        <w:numPr>
          <w:ilvl w:val="0"/>
          <w:numId w:val="40"/>
        </w:numPr>
        <w:tabs>
          <w:tab w:val="left" w:pos="679"/>
        </w:tabs>
        <w:spacing w:line="500" w:lineRule="exact"/>
        <w:ind w:left="5" w:firstLine="435"/>
        <w:jc w:val="left"/>
        <w:rPr>
          <w:sz w:val="28"/>
          <w:szCs w:val="28"/>
        </w:rPr>
      </w:pPr>
      <w:r>
        <w:rPr>
          <w:rFonts w:hint="eastAsia"/>
          <w:sz w:val="28"/>
          <w:szCs w:val="28"/>
        </w:rPr>
        <w:t>建立工作台账，做好压缩处置数据及清运数据台账。</w:t>
      </w:r>
    </w:p>
    <w:p>
      <w:pPr>
        <w:pStyle w:val="291"/>
        <w:numPr>
          <w:ilvl w:val="0"/>
          <w:numId w:val="40"/>
        </w:numPr>
        <w:tabs>
          <w:tab w:val="left" w:pos="679"/>
        </w:tabs>
        <w:spacing w:line="500" w:lineRule="exact"/>
        <w:ind w:left="5" w:firstLine="435"/>
        <w:jc w:val="left"/>
        <w:rPr>
          <w:sz w:val="28"/>
          <w:szCs w:val="28"/>
        </w:rPr>
      </w:pPr>
      <w:r>
        <w:rPr>
          <w:rFonts w:hint="eastAsia"/>
          <w:sz w:val="28"/>
          <w:szCs w:val="28"/>
        </w:rPr>
        <w:t>建立环境治理台账，包括：环保设施运行台账、环保设施检修维护台账、药剂耗材使用台账、自行监测台账、自动监测设备运行维护台账等。</w:t>
      </w:r>
    </w:p>
    <w:p>
      <w:pPr>
        <w:pStyle w:val="291"/>
        <w:numPr>
          <w:ilvl w:val="0"/>
          <w:numId w:val="40"/>
        </w:numPr>
        <w:tabs>
          <w:tab w:val="left" w:pos="679"/>
        </w:tabs>
        <w:spacing w:line="500" w:lineRule="exact"/>
        <w:ind w:left="5" w:firstLine="435"/>
        <w:jc w:val="left"/>
        <w:rPr>
          <w:sz w:val="28"/>
          <w:szCs w:val="28"/>
        </w:rPr>
      </w:pPr>
      <w:r>
        <w:rPr>
          <w:rFonts w:hint="eastAsia"/>
          <w:sz w:val="28"/>
          <w:szCs w:val="28"/>
        </w:rPr>
        <w:t>建立维修维护保养台账，做好各项记录。</w:t>
      </w:r>
    </w:p>
    <w:p>
      <w:pPr>
        <w:pStyle w:val="291"/>
        <w:numPr>
          <w:ilvl w:val="0"/>
          <w:numId w:val="40"/>
        </w:numPr>
        <w:tabs>
          <w:tab w:val="left" w:pos="679"/>
        </w:tabs>
        <w:spacing w:line="500" w:lineRule="exact"/>
        <w:ind w:left="5" w:firstLine="435"/>
        <w:jc w:val="left"/>
        <w:rPr>
          <w:sz w:val="28"/>
          <w:szCs w:val="28"/>
        </w:rPr>
      </w:pPr>
      <w:r>
        <w:rPr>
          <w:rFonts w:hint="eastAsia"/>
          <w:sz w:val="28"/>
          <w:szCs w:val="28"/>
        </w:rPr>
        <w:t>依据《中华人民共和国安全生产法》、《四川省安全生产条例》，服务公司须抓好安全生产管理，建立健全各项安全台账记录。</w:t>
      </w:r>
      <w:r>
        <w:rPr>
          <w:rFonts w:hint="eastAsia"/>
          <w:sz w:val="28"/>
          <w:szCs w:val="28"/>
        </w:rPr>
        <w:tab/>
      </w:r>
    </w:p>
    <w:p>
      <w:pPr>
        <w:numPr>
          <w:ilvl w:val="0"/>
          <w:numId w:val="40"/>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垃圾运输数量以进入成都九江环保发电有限公司处置回单作为垃圾处置吨位结算依据，运输车辆以采购人确认的垃圾运输车辆为准。</w:t>
      </w:r>
    </w:p>
    <w:p>
      <w:pPr>
        <w:numPr>
          <w:ilvl w:val="0"/>
          <w:numId w:val="40"/>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临时调运至龙泉驿洛带填埋场处置增加的调运费及运输量，以双流区城市管理局确定的标准为准。</w:t>
      </w:r>
    </w:p>
    <w:p>
      <w:pPr>
        <w:pStyle w:val="5"/>
        <w:keepLines w:val="0"/>
        <w:numPr>
          <w:ilvl w:val="1"/>
          <w:numId w:val="1"/>
        </w:numPr>
        <w:tabs>
          <w:tab w:val="left" w:pos="0"/>
        </w:tabs>
        <w:spacing w:before="0" w:after="0"/>
        <w:rPr>
          <w:rFonts w:hint="eastAsia"/>
        </w:rPr>
      </w:pPr>
      <w:bookmarkStart w:id="235" w:name="_Toc31518"/>
      <w:r>
        <w:rPr>
          <w:rFonts w:hint="eastAsia"/>
        </w:rPr>
        <w:t>商务要求</w:t>
      </w:r>
      <w:bookmarkEnd w:id="228"/>
      <w:bookmarkEnd w:id="235"/>
    </w:p>
    <w:p>
      <w:pPr>
        <w:pStyle w:val="6"/>
        <w:numPr>
          <w:ilvl w:val="2"/>
          <w:numId w:val="1"/>
        </w:numPr>
        <w:spacing w:after="0"/>
        <w:ind w:left="567"/>
        <w:rPr>
          <w:color w:val="auto"/>
        </w:rPr>
      </w:pPr>
      <w:r>
        <w:rPr>
          <w:rFonts w:hint="eastAsia"/>
          <w:color w:val="auto"/>
        </w:rPr>
        <w:t>服务期限</w:t>
      </w:r>
    </w:p>
    <w:p>
      <w:pPr>
        <w:adjustRightInd w:val="0"/>
        <w:snapToGrid w:val="0"/>
        <w:spacing w:line="440" w:lineRule="exact"/>
        <w:ind w:firstLine="618" w:firstLineChars="221"/>
        <w:rPr>
          <w:rFonts w:hint="eastAsia" w:ascii="宋体" w:hAnsi="宋体"/>
          <w:sz w:val="28"/>
          <w:szCs w:val="28"/>
        </w:rPr>
      </w:pPr>
      <w:r>
        <w:rPr>
          <w:rFonts w:hint="eastAsia" w:ascii="宋体" w:hAnsi="宋体"/>
          <w:sz w:val="28"/>
          <w:szCs w:val="28"/>
        </w:rPr>
        <w:t>合同服务期限为三年，合同一年一签，当年合同期满后，经采购人考核合格续签下一年度合同</w:t>
      </w:r>
    </w:p>
    <w:p>
      <w:pPr>
        <w:pStyle w:val="6"/>
        <w:numPr>
          <w:ilvl w:val="2"/>
          <w:numId w:val="1"/>
        </w:numPr>
        <w:spacing w:after="0"/>
        <w:ind w:left="567"/>
        <w:rPr>
          <w:rFonts w:hint="eastAsia"/>
          <w:color w:val="auto"/>
        </w:rPr>
      </w:pPr>
      <w:r>
        <w:rPr>
          <w:rFonts w:hint="eastAsia"/>
          <w:color w:val="auto"/>
        </w:rPr>
        <w:t>合同价款支付方式和条件</w:t>
      </w:r>
    </w:p>
    <w:p>
      <w:pPr>
        <w:spacing w:line="360" w:lineRule="auto"/>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合同价款支付方式和条件：首次签订合同后7个工作日内预付合同金额的30%，在首付金额抵扣作业经费完毕后，按照当月考核次月支付的方式付款。中标供应商须向采购人出具合法有效完整的发票及凭证资料后进行支付结算，付款方式均采用公对公的银行转账，供应商接受转账的开户信息以采购合同载明的为准。</w:t>
      </w:r>
    </w:p>
    <w:p>
      <w:pPr>
        <w:pStyle w:val="6"/>
        <w:numPr>
          <w:ilvl w:val="2"/>
          <w:numId w:val="1"/>
        </w:numPr>
        <w:spacing w:after="0"/>
        <w:ind w:left="567"/>
        <w:rPr>
          <w:rFonts w:hint="eastAsia"/>
          <w:color w:val="auto"/>
        </w:rPr>
      </w:pPr>
      <w:r>
        <w:rPr>
          <w:rFonts w:hint="eastAsia"/>
          <w:color w:val="auto"/>
          <w:lang w:eastAsia="zh-CN"/>
        </w:rPr>
        <w:t>违约责任</w:t>
      </w:r>
    </w:p>
    <w:p>
      <w:pPr>
        <w:pStyle w:val="185"/>
        <w:keepNext w:val="0"/>
        <w:keepLines w:val="0"/>
        <w:pageBreakBefore w:val="0"/>
        <w:widowControl w:val="0"/>
        <w:kinsoku/>
        <w:overflowPunct/>
        <w:autoSpaceDE w:val="0"/>
        <w:autoSpaceDN w:val="0"/>
        <w:bidi w:val="0"/>
        <w:adjustRightInd/>
        <w:snapToGrid/>
        <w:spacing w:before="0" w:after="0" w:line="360" w:lineRule="auto"/>
        <w:ind w:firstLine="560" w:firstLineChars="20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一、双方必须遵守本合同并执行合同中的各项规定，保证本合同的正常履行。</w:t>
      </w:r>
    </w:p>
    <w:p>
      <w:pPr>
        <w:pStyle w:val="185"/>
        <w:keepNext w:val="0"/>
        <w:keepLines w:val="0"/>
        <w:pageBreakBefore w:val="0"/>
        <w:widowControl w:val="0"/>
        <w:kinsoku/>
        <w:overflowPunct/>
        <w:autoSpaceDE w:val="0"/>
        <w:autoSpaceDN w:val="0"/>
        <w:bidi w:val="0"/>
        <w:adjustRightInd/>
        <w:snapToGrid/>
        <w:spacing w:before="0" w:after="0" w:line="360" w:lineRule="auto"/>
        <w:ind w:firstLine="700" w:firstLineChars="25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85"/>
        <w:keepNext w:val="0"/>
        <w:keepLines w:val="0"/>
        <w:pageBreakBefore w:val="0"/>
        <w:widowControl w:val="0"/>
        <w:kinsoku/>
        <w:overflowPunct/>
        <w:autoSpaceDE w:val="0"/>
        <w:autoSpaceDN w:val="0"/>
        <w:bidi w:val="0"/>
        <w:adjustRightInd/>
        <w:snapToGrid/>
        <w:spacing w:before="0" w:after="0" w:line="360" w:lineRule="auto"/>
        <w:ind w:firstLine="700" w:firstLineChars="25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三、乙方在服务期内无质量问题和违约行为的，甲方应准时支付乙方服务费，如逾期，则按应付金额每日1‰标准向乙方赔付违约金。</w:t>
      </w:r>
    </w:p>
    <w:p>
      <w:pPr>
        <w:pStyle w:val="185"/>
        <w:keepNext w:val="0"/>
        <w:keepLines w:val="0"/>
        <w:pageBreakBefore w:val="0"/>
        <w:widowControl w:val="0"/>
        <w:kinsoku/>
        <w:overflowPunct/>
        <w:autoSpaceDE w:val="0"/>
        <w:autoSpaceDN w:val="0"/>
        <w:bidi w:val="0"/>
        <w:adjustRightInd/>
        <w:snapToGrid/>
        <w:spacing w:before="0" w:after="0" w:line="360" w:lineRule="auto"/>
        <w:ind w:firstLine="700" w:firstLineChars="25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四、因甲方原因导致变更、中止或者终止政府采购合同的，甲方依照合同约定对乙方受到的损失予以赔偿或者补偿。</w:t>
      </w:r>
    </w:p>
    <w:p>
      <w:pPr>
        <w:pStyle w:val="185"/>
        <w:keepNext w:val="0"/>
        <w:keepLines w:val="0"/>
        <w:pageBreakBefore w:val="0"/>
        <w:widowControl w:val="0"/>
        <w:kinsoku/>
        <w:overflowPunct/>
        <w:autoSpaceDE w:val="0"/>
        <w:autoSpaceDN w:val="0"/>
        <w:bidi w:val="0"/>
        <w:adjustRightInd/>
        <w:snapToGrid/>
        <w:spacing w:before="0" w:after="0" w:line="360" w:lineRule="auto"/>
        <w:ind w:firstLine="700" w:firstLineChars="250"/>
        <w:jc w:val="left"/>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五、如乙方发生违约事项，甲方可以从甲方应付或将付给乙方的任何一笔款项中扣除。</w:t>
      </w:r>
    </w:p>
    <w:p>
      <w:pPr>
        <w:pStyle w:val="6"/>
        <w:numPr>
          <w:ilvl w:val="2"/>
          <w:numId w:val="1"/>
        </w:numPr>
        <w:spacing w:after="0"/>
        <w:ind w:left="567"/>
        <w:rPr>
          <w:color w:val="auto"/>
        </w:rPr>
      </w:pPr>
      <w:r>
        <w:rPr>
          <w:rFonts w:hint="eastAsia"/>
          <w:color w:val="auto"/>
          <w:lang w:eastAsia="zh-CN"/>
        </w:rPr>
        <w:t>其他未尽事宜</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一、投标人在投标文件中的所有承诺将作为项目验收的依据，若未严格按照投标响应的要求提供货物或者服务的，采购人有权单方面拒签合同。</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二、*投标人须承诺因采取应急措施导致临时性增加人员、设备，采购人不另行支付费用。（提供承诺函）</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三、*投标人须承诺中标后对原作业路段环卫工人自愿留下的人员，三个月内不得无故辞退，环卫工人基础工资不得低于当年最新公布的成都市最低工资标准的130%（如遇基础工资调整，以调整后为准），须为符合购买社保条件（含续保）的环卫工人购买社保。（提供承诺函）</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四、*投标人须承诺中标后为环卫工人购买不低于60万（含）保额的雇主责任险。（提供承诺函）</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五、*投标人须承诺中标后，按采购人的要求，安装智慧监督相关设施设备，相关设施设备使用过程中如果损坏由中标人自行按要求更换。（提供承诺函）</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六、*投标人须承诺中标后在合同履约期间所有安全责任均由中标人自行承担。（提供承诺函）</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七、*投标人同时参与两个包件的情况下，提供的作业机具及人员配置每个包件不得重复，否则包件1、包件2做无效投标处理。</w:t>
      </w:r>
    </w:p>
    <w:p>
      <w:pPr>
        <w:pStyle w:val="3"/>
        <w:spacing w:after="0" w:line="50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八、*投标人须承诺中标后在服务过程中所使用车辆与投标文件中响应配备的车辆一致。（提供承诺函）</w:t>
      </w:r>
    </w:p>
    <w:p>
      <w:pPr>
        <w:pStyle w:val="190"/>
        <w:spacing w:line="500" w:lineRule="exact"/>
        <w:ind w:firstLine="480"/>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说明：</w:t>
      </w:r>
      <w:r>
        <w:rPr>
          <w:rFonts w:hint="eastAsia" w:ascii="宋体" w:hAnsi="宋体" w:eastAsia="宋体" w:cs="Times New Roman"/>
          <w:kern w:val="2"/>
          <w:sz w:val="28"/>
          <w:szCs w:val="28"/>
          <w:lang w:val="en-US" w:eastAsia="zh-CN" w:bidi="ar-SA"/>
        </w:rPr>
        <w:t>作业机具：提供所投包件内所有基本配置要求的作业机具清单（清单包含：自购车辆提供车辆行驶证（检验有效期内的）复印件、登记证复印件、购车发票复印件；租赁车辆提供车辆行驶证（检验有效期内的）复印件、登记证复印件、租赁合同复印件；自购非机动车辆提供购车发票复印件，租赁非机动车辆提供租赁合同复印件。</w:t>
      </w:r>
    </w:p>
    <w:p>
      <w:pPr>
        <w:pStyle w:val="18"/>
        <w:spacing w:line="500" w:lineRule="exact"/>
        <w:rPr>
          <w:sz w:val="28"/>
          <w:szCs w:val="28"/>
        </w:rPr>
      </w:pPr>
      <w:r>
        <w:rPr>
          <w:rFonts w:hint="eastAsia" w:ascii="宋体" w:hAnsi="宋体" w:eastAsia="宋体" w:cs="宋体"/>
          <w:b/>
          <w:bCs/>
          <w:sz w:val="28"/>
          <w:szCs w:val="28"/>
        </w:rPr>
        <w:t>注：以上内容涉及承诺的，须提供承诺函，格式自拟。</w:t>
      </w:r>
    </w:p>
    <w:p>
      <w:pPr>
        <w:pStyle w:val="6"/>
        <w:numPr>
          <w:ilvl w:val="2"/>
          <w:numId w:val="1"/>
        </w:numPr>
        <w:spacing w:after="0"/>
        <w:ind w:left="567"/>
        <w:rPr>
          <w:color w:val="auto"/>
        </w:rPr>
      </w:pPr>
      <w:r>
        <w:rPr>
          <w:rFonts w:hint="eastAsia"/>
          <w:color w:val="auto"/>
          <w:lang w:eastAsia="zh-CN"/>
        </w:rPr>
        <w:t>验收标准与方法</w:t>
      </w:r>
    </w:p>
    <w:p>
      <w:pPr>
        <w:pStyle w:val="5"/>
        <w:numPr>
          <w:ilvl w:val="0"/>
          <w:numId w:val="0"/>
        </w:numPr>
        <w:spacing w:before="0" w:after="0" w:line="500" w:lineRule="exact"/>
        <w:jc w:val="both"/>
        <w:rPr>
          <w:rFonts w:hint="eastAsia" w:ascii="宋体" w:hAnsi="宋体" w:eastAsia="宋体" w:cs="宋体"/>
          <w:sz w:val="28"/>
          <w:szCs w:val="28"/>
        </w:rPr>
      </w:pPr>
      <w:bookmarkStart w:id="236" w:name="_Toc15612"/>
      <w:bookmarkStart w:id="237" w:name="_Toc16719"/>
      <w:r>
        <w:rPr>
          <w:rFonts w:hint="eastAsia" w:ascii="宋体" w:hAnsi="宋体" w:eastAsia="宋体" w:cs="宋体"/>
          <w:sz w:val="28"/>
          <w:szCs w:val="28"/>
          <w:lang w:eastAsia="zh-CN"/>
        </w:rPr>
        <w:t>一、</w:t>
      </w:r>
      <w:r>
        <w:rPr>
          <w:rFonts w:hint="eastAsia" w:ascii="宋体" w:hAnsi="宋体" w:eastAsia="宋体" w:cs="宋体"/>
          <w:sz w:val="28"/>
          <w:szCs w:val="28"/>
        </w:rPr>
        <w:t>成都市双流区人民政府九江街道办事处环境卫生作业管理考核评分细则</w:t>
      </w:r>
      <w:bookmarkEnd w:id="236"/>
      <w:bookmarkEnd w:id="237"/>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环卫作业公司管理评分细则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（1）设立项目部，配备项目经理2名(正副经理各1名)，办公场地面积不低于80平方米，每有一项未达要求扣5分。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（2）按要求配备管理人员及环卫作业人员，缺1名管理人员每人每天扣3分，缺1名环卫作业人员每人每天扣3分。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作业示意图上墙，未达要求扣5分；各项管理制度健全并上墙，未达要求扣5分。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管理人员和值班人员到位，通讯畅通，巡查记录和值班记录完整，未达要求扣每次2分。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按照适时标准制作环卫工作人员（含管理人员）服装，环卫管理人员佩证上岗，未达要求每人每次扣1分。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按要求购买从业人员社会保险，从业人员工资不低于当年最新公布的成都市最低工资标准的130%（如遇基础工资调整，以调整后为准），未达要求除按标准补齐外，每人每次扣5分。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建立健全财务管理体系，未按要求出具审计报告的扣5分。 </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作业质量受到群众举报，经查属实的每次扣2分。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清扫保洁作业评分细则</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（1）作业人员管理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①环卫作业人员按要求着装，未达要求每人每次扣1分。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②3人（含）以上集体闲聊的每次扣1分。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③未执行交接班制度，脱岗、离岗、断档的每人每次扣1分。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④工作人员作业时与市民发生争吵、斗殴、造成不良影响的，每人每次扣5分；作业时与行政管理部门管理人员或考核人员发生争执、不服从管理的每人每次扣5分。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⑤环卫人员焚烧垃圾，每人每次扣5分。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⑥未按规定对冲洗废水进行收集处理，并再利用的，每次扣5分。</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（2）作业工具管理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①洗扫车、雾炮车、洒水车、快保车、垃圾转运车、高压冲洗车等未按要求配置每天每台扣2分。上述车辆车身不洁、脏污，外观标识不规范、警示标识缺失，每台扣2分。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②洗扫车、雾炮车、洒水车等智慧监督系统人为损坏，运行不正常，每天每台扣5分。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③其他环卫作业工具配备不齐，每缺少1项每人扣1分。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④环卫作业工具随意摆放，影响市容观瞻，每次每处扣1分。</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（3）作业质量管理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①</w:t>
      </w:r>
      <w:r>
        <w:rPr>
          <w:rFonts w:hint="eastAsia" w:ascii="宋体" w:hAnsi="宋体" w:eastAsia="宋体" w:cs="宋体"/>
          <w:bCs/>
          <w:sz w:val="24"/>
          <w:szCs w:val="24"/>
        </w:rPr>
        <w:t>机械化作业管理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a.未在规定的作业时间内完成作业（特殊情况除外），每次扣2分。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b.未按规定的作业频次完成作业（特殊情况除外），每次扣2分。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c.作业中虚假作业，洒水车不洒水，洗扫车空作业，每车每次扣2分。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d.未按规定的作业里程完成作业里程，每少5%扣5分。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②人工普扫管理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a.未在规定时间内完成普扫，每条道路每次扣2分。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b.普扫不彻底，存在花扫、漏扫现象的，每条道路每次扣1人。</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③日常保洁管理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a.在规定作业时间内，未按要求做到全时段保洁，每次扣3分。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b.标段内临时性无主垃圾和杂物未及时处理，每处扣1分。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c.往绿化带、水篦子、污雨水管井、道路边沟及河道清扫和倾倒垃圾的，每人每次扣5分。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d.不间断巡回保洁和快速捡拾白色垃圾，如发现白色点状垃圾，每发现1处扣1分。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④雨天作业</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实施雨天作业，及时扫水洗污，未达要求每次扣2分。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⑤人行道和路沿石清洗</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人行道的清洗每周不低于1次，未达要求每次每条街扣2分；检查时发现人行道有积尘积泥、细沙、油渍、污垢，一处扣1分。路沿石的清洗每天不低于2次，未达要求每次扣2分；检查时发现路沿石有积灰、积泥、污迹和灰带，发现一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⑥道路（车行道、人行道、绿化带）发现有积存垃圾、口痰、纸屑、烟头、果皮、牛皮癣等垃圾的，每处扣3分。垃圾（含袋装垃圾）未及时清运的，发现一处扣1分。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⑦桥梁所有立面每周清洗1次；桥梁两侧护栏每日清洗1次，未达要求的每座桥梁扣2分。</w:t>
      </w:r>
    </w:p>
    <w:p>
      <w:pPr>
        <w:pStyle w:val="3"/>
        <w:spacing w:after="0" w:line="500" w:lineRule="exact"/>
        <w:ind w:left="0" w:leftChars="0" w:firstLine="0" w:firstLineChars="0"/>
        <w:outlineLvl w:val="3"/>
        <w:rPr>
          <w:rFonts w:hint="eastAsia" w:ascii="宋体" w:hAnsi="宋体" w:eastAsia="宋体" w:cs="宋体"/>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果屑箱垃圾桶管理评分细则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果屑箱每日清掏至少2次，按要求对桶点进行冲洗，对果屑箱进行擦拭。如果屑箱地面脏污或箱体不整洁或箱门未关，每处扣1分。果屑箱垃圾即满即清，如有暴桶每处扣1分。果屑箱内未套垃圾分类袋，每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（2）果屑箱倒伏、损坏，影响使用和观瞻，未及时处理每处扣1分。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环卫、市政设施保洁评分细则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环卫市政设施（非机动车停放栏、道路指示牌、休闲座椅）等城市部件，每日至少清洁一次，如有积灰、污渍、油渍的，发现一处扣1分。路面及两米以下的牛皮癣未及时清除的，每处扣1分。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垃圾前端清运评分细则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（1）垃圾运输车辆未按要求分类配置，每台每天扣2分。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（2）垃圾运输车辆车身不洁，标识不规范、警示标识残缺、超载冒载、跑冒滴漏，每车每次扣2分。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（3）未按相关要求分类清运每次扣10分。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（4）垃圾清运不及时，出现垃圾暴桶，每处每次扣2分。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（5）垃圾清运被群众投诉，查证属实，每次扣2分。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（6）垃圾清运人员（含辅工）着装不规范，每人每次扣1分。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（7）跨区域收运生活垃圾，每发现1次扣5分，违规收取生活垃圾清运处置费，除清退所收费用外，每次扣10分。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安全管理评分细则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（1）洒水车未避让行人，发现1次扣5分，出现群众有效投诉的，一次扣10分。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（2）建立健全安全生产管理制度，落实专人负责安全生产管理。制度不健全每次扣5人，无专人管理，每次扣5分。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（3）按要求配置安全锥型桶、安全警示栏、安全警示灯等安全防护设施，未达要求，每次扣2人。随时保持环卫作业车辆安全警示标志和警示设施完好，未达要求每车每次扣2分。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（4）每月召开1次安全生产工作会，对驾驶员、垃圾清运辅工、快保人员、环卫工人等进行安全知识培训，每缺1次扣5分。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（5）定期对环卫作业车辆进行安全检查，建立问题台账，及时处置安全隐患，未达要求每次扣5分。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（6）驾驶人员（含快保人员）遵守交通规则，严禁撞红灯，发现1次扣5分。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非应急处置等特殊情况，环卫作业人员（含快保人员）进入快车道作业，每人每次扣1分。应急处置等特殊情况，环卫作业人员（含快保人员）进入快车道作业，但安全警示等防护措施不完善，存在安全隐患的，每次扣2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执行指令和实施报告制度评分细则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（1）环卫作业公司未按会议要求（包括人员要求）无故缺席各种会议每次扣5分，参会迟到每次扣2分。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（2）环卫作业公司项目经理无故不在岗，不服从主管部门的指令和安排，每次扣5分。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（3）环卫作业公司不按要求报送材料和延迟报送材料的，每次扣2分。</w:t>
      </w:r>
    </w:p>
    <w:p>
      <w:pPr>
        <w:pStyle w:val="6"/>
        <w:numPr>
          <w:ilvl w:val="2"/>
          <w:numId w:val="0"/>
        </w:numPr>
        <w:spacing w:line="500" w:lineRule="exact"/>
        <w:rPr>
          <w:rFonts w:hint="eastAsia" w:ascii="宋体" w:hAnsi="宋体" w:eastAsia="宋体" w:cs="宋体"/>
          <w:color w:val="auto"/>
          <w:sz w:val="28"/>
          <w:szCs w:val="28"/>
        </w:rPr>
      </w:pPr>
      <w:bookmarkStart w:id="238" w:name="_Toc83"/>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、成都市双流区人民政府九江街道办事处环境卫生作业考核办法</w:t>
      </w:r>
      <w:bookmarkEnd w:id="238"/>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考核实施</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由成都市双流区九江街道办事处负责组织。</w:t>
      </w:r>
    </w:p>
    <w:p>
      <w:pPr>
        <w:pStyle w:val="3"/>
        <w:spacing w:after="0" w:line="500" w:lineRule="exact"/>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考核对象</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各环卫作业公司。</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考核内容及标准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按照招标文件要求和《成都市双流区人民政府九江街道办事处环境卫生作业和管理考核评分细则和考核办法》执行。</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考核办法</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检查考核分为“日巡查、月考核”两种形式。日巡查由采购人组织实施，采取每日巡查方式进行；月考核由采购人组织社区和各环卫作业公司联合实施，以交叉考核的方式进行，每月一次。</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评分办法</w:t>
      </w:r>
    </w:p>
    <w:p>
      <w:pPr>
        <w:widowControl/>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考核实行百分制，其中日巡查占80%，月考核占20%。</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曝光处理责任</w:t>
      </w:r>
    </w:p>
    <w:p>
      <w:pPr>
        <w:pStyle w:val="291"/>
        <w:numPr>
          <w:ilvl w:val="0"/>
          <w:numId w:val="41"/>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41"/>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41"/>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结果运用</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pStyle w:val="3"/>
        <w:spacing w:after="0" w:line="500" w:lineRule="exact"/>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申请复核</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5"/>
        <w:spacing w:before="0" w:after="0" w:line="500" w:lineRule="exact"/>
        <w:ind w:left="695" w:leftChars="331" w:firstLine="2322" w:firstLineChars="826"/>
        <w:rPr>
          <w:rFonts w:hint="eastAsia" w:ascii="宋体" w:hAnsi="宋体" w:eastAsia="宋体" w:cs="宋体"/>
          <w:bCs w:val="0"/>
          <w:sz w:val="28"/>
          <w:szCs w:val="28"/>
        </w:rPr>
      </w:pPr>
      <w:bookmarkStart w:id="239" w:name="_Toc7523"/>
      <w:bookmarkStart w:id="240" w:name="_Toc3903"/>
      <w:r>
        <w:rPr>
          <w:rFonts w:hint="eastAsia" w:ascii="宋体" w:hAnsi="宋体" w:eastAsia="宋体" w:cs="宋体"/>
          <w:bCs w:val="0"/>
          <w:sz w:val="28"/>
          <w:szCs w:val="28"/>
        </w:rPr>
        <w:t>河道保洁考核办法</w:t>
      </w:r>
      <w:bookmarkEnd w:id="239"/>
      <w:bookmarkEnd w:id="240"/>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作业小组管理</w:t>
      </w:r>
      <w:r>
        <w:rPr>
          <w:rFonts w:hint="eastAsia" w:ascii="宋体" w:hAnsi="宋体" w:eastAsia="宋体" w:cs="宋体"/>
          <w:b/>
          <w:bCs/>
          <w:sz w:val="24"/>
          <w:szCs w:val="24"/>
          <w:lang w:eastAsia="zh-CN"/>
        </w:rPr>
        <w:t>：</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每个作业小组有一个固定负责人，集中对河道保洁员进行管理。未达要求扣1分。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各项管理制度健全。未达要求扣1分。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河道管理人员对河道保洁员到岗情况进行不定期抽查。河道保洁员脱岗每次扣1分。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通道、护坡、绿地、水面、保洁作业时间。清扫打漂：河道每天9:00前完成第一次清扫打漂，15：00时前完成第二次清扫打漂。未达要求每次扣1分。保洁：五月--十月，每天7:30到19:00时,11月至次年4月，每天8:00至18:30时未达要求。每次扣1分。</w:t>
      </w:r>
    </w:p>
    <w:p>
      <w:pPr>
        <w:spacing w:line="500" w:lineRule="exact"/>
        <w:rPr>
          <w:rFonts w:hint="eastAsia" w:ascii="宋体" w:hAnsi="宋体" w:eastAsia="宋体" w:cs="宋体"/>
          <w:sz w:val="24"/>
          <w:szCs w:val="24"/>
          <w:lang w:eastAsia="zh-CN"/>
        </w:rPr>
      </w:pPr>
      <w:r>
        <w:rPr>
          <w:rFonts w:hint="eastAsia" w:ascii="宋体" w:hAnsi="宋体" w:eastAsia="宋体" w:cs="宋体"/>
          <w:b/>
          <w:bCs/>
          <w:sz w:val="24"/>
          <w:szCs w:val="24"/>
        </w:rPr>
        <w:t>作业质量</w:t>
      </w:r>
      <w:r>
        <w:rPr>
          <w:rFonts w:hint="eastAsia" w:ascii="宋体" w:hAnsi="宋体" w:eastAsia="宋体" w:cs="宋体"/>
          <w:b/>
          <w:bCs/>
          <w:sz w:val="24"/>
          <w:szCs w:val="24"/>
          <w:lang w:eastAsia="zh-CN"/>
        </w:rPr>
        <w:t>：</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通道保洁：①保洁通道清洁,星零垃圾河道100米内不超过2处.未达要求每增加1次扣0.5分；②桥头、梯步、下河马道干净整洁，无卫生死角。无屎臭尿臭味，栏杆无明显积尘、污斑、蜘蛛网或其他缠绕垃圾；③桥脚、桥墩边、水闸前无垃圾及漂浮物。未达要求每次扣0.5分</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护坡、管养河滩地保洁：河堤立面清洁。硬化的护坡无杂草，垃圾；河滩地无大量阻水杂草、垃圾及人工种植植物。未达要求每处扣0.5分。</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水面保洁：水面感观良好，视觉范围内无明显漂浮物、阻水物，明显积存垃圾，拦漂设施拦截漂浮物每日进行集中打捞，保证水流通畅，当日垃圾当日清除，及时运至中转站或垃圾场。未达要求扣0.5分,同样内存垃圾存在超过24小时再扣1分并一直累计。</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管理工作</w:t>
      </w:r>
      <w:r>
        <w:rPr>
          <w:rFonts w:hint="eastAsia" w:ascii="宋体" w:hAnsi="宋体" w:eastAsia="宋体" w:cs="宋体"/>
          <w:b/>
          <w:bCs/>
          <w:sz w:val="24"/>
          <w:szCs w:val="24"/>
          <w:lang w:eastAsia="zh-CN"/>
        </w:rPr>
        <w:t>：</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如采购人发现河道垃圾或管理维护不善之处，中标人应在接到采购人通知后1小时内到达并清除垃圾。如未完成扣1分。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如有上级突击检查，中标人应积极配合采购人，接采购人通知后0.5小时内，中标人该河道管理负责人赶到现场。如未完成扣1分。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未经采购人书面同意，中标人随意更换项目负责人，如有违反扣5分。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中标人未按采购人要求做好管理维护记录 ，经采购人检查，工作日志不齐全的，每发现一次扣0.5分。</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安全工作</w:t>
      </w:r>
      <w:r>
        <w:rPr>
          <w:rFonts w:hint="eastAsia" w:ascii="宋体" w:hAnsi="宋体" w:eastAsia="宋体" w:cs="宋体"/>
          <w:b/>
          <w:bCs/>
          <w:sz w:val="24"/>
          <w:szCs w:val="24"/>
          <w:lang w:eastAsia="zh-CN"/>
        </w:rPr>
        <w:t>：</w:t>
      </w:r>
    </w:p>
    <w:p>
      <w:pPr>
        <w:numPr>
          <w:ilvl w:val="0"/>
          <w:numId w:val="45"/>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中标人在作业过程未严格按照相关规定和操作规程做好作业人员安全防护的，采购人发现第一次扣0.5分，第二次扣1分，发现第三次及以上则扣2分。</w:t>
      </w:r>
    </w:p>
    <w:p>
      <w:pPr>
        <w:numPr>
          <w:ilvl w:val="0"/>
          <w:numId w:val="45"/>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由于中标人原因发生安全事故，一人受伤扣2分，两人及两人以上扣,4分，如死亡一人或一人以上则扣10分。</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曝光处理细则</w:t>
      </w:r>
      <w:r>
        <w:rPr>
          <w:rFonts w:hint="eastAsia" w:ascii="宋体" w:hAnsi="宋体" w:eastAsia="宋体" w:cs="宋体"/>
          <w:b/>
          <w:bCs/>
          <w:sz w:val="24"/>
          <w:szCs w:val="24"/>
          <w:lang w:val="en-US" w:eastAsia="zh-CN"/>
        </w:rPr>
        <w:t>:</w:t>
      </w:r>
    </w:p>
    <w:p>
      <w:pPr>
        <w:pStyle w:val="291"/>
        <w:numPr>
          <w:ilvl w:val="0"/>
          <w:numId w:val="46"/>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46"/>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w:t>
      </w:r>
      <w:r>
        <w:rPr>
          <w:rFonts w:hint="eastAsia" w:ascii="宋体" w:hAnsi="宋体" w:eastAsia="宋体" w:cs="宋体"/>
          <w:sz w:val="24"/>
          <w:szCs w:val="24"/>
          <w:lang w:eastAsia="zh-CN"/>
        </w:rPr>
        <w:t>区河长办、区级行业主管部门</w:t>
      </w:r>
      <w:r>
        <w:rPr>
          <w:rFonts w:hint="eastAsia" w:ascii="宋体" w:hAnsi="宋体" w:eastAsia="宋体" w:cs="宋体"/>
          <w:sz w:val="24"/>
          <w:szCs w:val="24"/>
          <w:lang w:val="en-US" w:eastAsia="zh-CN"/>
        </w:rPr>
        <w:t>点名通报一次，扣除5000元当月服务费</w:t>
      </w:r>
      <w:r>
        <w:rPr>
          <w:rFonts w:hint="eastAsia" w:ascii="宋体" w:hAnsi="宋体" w:eastAsia="宋体" w:cs="宋体"/>
          <w:sz w:val="24"/>
          <w:szCs w:val="24"/>
          <w:lang w:eastAsia="zh-CN"/>
        </w:rPr>
        <w:t>。</w:t>
      </w:r>
    </w:p>
    <w:p>
      <w:pPr>
        <w:pStyle w:val="291"/>
        <w:numPr>
          <w:ilvl w:val="0"/>
          <w:numId w:val="46"/>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结果运用</w:t>
      </w:r>
      <w:r>
        <w:rPr>
          <w:rFonts w:hint="eastAsia" w:ascii="宋体" w:hAnsi="宋体" w:eastAsia="宋体" w:cs="宋体"/>
          <w:b/>
          <w:bCs/>
          <w:sz w:val="24"/>
          <w:szCs w:val="24"/>
          <w:lang w:val="en-US" w:eastAsia="zh-CN"/>
        </w:rPr>
        <w:t>:</w:t>
      </w:r>
    </w:p>
    <w:p>
      <w:pPr>
        <w:pStyle w:val="3"/>
        <w:numPr>
          <w:ilvl w:val="0"/>
          <w:numId w:val="47"/>
        </w:numPr>
        <w:spacing w:after="0" w:line="500" w:lineRule="exact"/>
        <w:ind w:left="5" w:firstLine="43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numPr>
          <w:ilvl w:val="0"/>
          <w:numId w:val="47"/>
        </w:numPr>
        <w:spacing w:after="0" w:line="500" w:lineRule="exact"/>
        <w:ind w:left="5" w:firstLine="43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val="en-US"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5"/>
        <w:numPr>
          <w:ilvl w:val="1"/>
          <w:numId w:val="0"/>
        </w:numPr>
        <w:spacing w:before="0" w:after="0" w:line="500" w:lineRule="exact"/>
        <w:jc w:val="center"/>
        <w:rPr>
          <w:rFonts w:hint="eastAsia" w:ascii="宋体" w:hAnsi="宋体" w:eastAsia="宋体" w:cs="宋体"/>
          <w:bCs w:val="0"/>
          <w:sz w:val="28"/>
          <w:szCs w:val="28"/>
        </w:rPr>
      </w:pPr>
      <w:bookmarkStart w:id="241" w:name="_Toc14603"/>
      <w:bookmarkStart w:id="242" w:name="_Toc32152"/>
      <w:r>
        <w:rPr>
          <w:rFonts w:hint="eastAsia" w:ascii="宋体" w:hAnsi="宋体" w:eastAsia="宋体" w:cs="宋体"/>
          <w:bCs w:val="0"/>
          <w:sz w:val="28"/>
          <w:szCs w:val="28"/>
        </w:rPr>
        <w:t>绿化管护考核办法</w:t>
      </w:r>
      <w:bookmarkEnd w:id="241"/>
      <w:bookmarkEnd w:id="242"/>
    </w:p>
    <w:p>
      <w:pPr>
        <w:autoSpaceDE w:val="0"/>
        <w:autoSpaceDN w:val="0"/>
        <w:adjustRightInd w:val="0"/>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考核实施细则</w:t>
      </w:r>
      <w:r>
        <w:rPr>
          <w:rFonts w:hint="eastAsia" w:ascii="宋体" w:hAnsi="宋体" w:eastAsia="宋体" w:cs="宋体"/>
          <w:b/>
          <w:bCs/>
          <w:kern w:val="0"/>
          <w:sz w:val="24"/>
          <w:szCs w:val="24"/>
          <w:lang w:val="en-US" w:eastAsia="zh-CN"/>
        </w:rPr>
        <w:t>:</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考核采取定期和不定期相结合的办法综合评定。</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定期检查每月25日起进行，采购人和管护单位一起进行现场检查评分。</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不定期检查(巡查)由采购人单独进行，每天巡查，不定时间、不打招呼对各</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管护单位进行抽查，确实做到大节大检查、小节小检查，对存在的问题及时提出整改意见，检查结果将作为季度评分的依据。</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切实做到“组织、制度、责任、措施”四落实，未认真填写日志的单位，扣2分。</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检查考核分直观考核和措施考核两部分。</w:t>
      </w:r>
    </w:p>
    <w:p>
      <w:pPr>
        <w:numPr>
          <w:ilvl w:val="0"/>
          <w:numId w:val="0"/>
        </w:numPr>
        <w:autoSpaceDE w:val="0"/>
        <w:autoSpaceDN w:val="0"/>
        <w:adjustRightInd w:val="0"/>
        <w:spacing w:line="500" w:lineRule="exact"/>
        <w:ind w:left="44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A.</w:t>
      </w:r>
      <w:r>
        <w:rPr>
          <w:rFonts w:hint="eastAsia" w:ascii="宋体" w:hAnsi="宋体" w:eastAsia="宋体" w:cs="宋体"/>
          <w:kern w:val="0"/>
          <w:sz w:val="24"/>
          <w:szCs w:val="24"/>
        </w:rPr>
        <w:t>直观考核以现场检查为主。</w:t>
      </w:r>
    </w:p>
    <w:p>
      <w:pPr>
        <w:numPr>
          <w:ilvl w:val="0"/>
          <w:numId w:val="0"/>
        </w:numPr>
        <w:autoSpaceDE w:val="0"/>
        <w:autoSpaceDN w:val="0"/>
        <w:adjustRightInd w:val="0"/>
        <w:spacing w:line="500" w:lineRule="exact"/>
        <w:ind w:left="44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B.</w:t>
      </w:r>
      <w:r>
        <w:rPr>
          <w:rFonts w:hint="eastAsia" w:ascii="宋体" w:hAnsi="宋体" w:eastAsia="宋体" w:cs="宋体"/>
          <w:kern w:val="0"/>
          <w:sz w:val="24"/>
          <w:szCs w:val="24"/>
        </w:rPr>
        <w:t>措施考核主要指管护单位必须提交书面管护技术措施：树木与草坪施肥、浇水、冲洗、草坪打孔覆土、绿化设施的维护和及时修复等易被忽略或难以对此直观考核的工作。在进行工作时管护单位应告知采购人，事后由采购人验收签证作为考核依据。</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按时并保质保量完成采购人交办的临时性突击任务。</w:t>
      </w:r>
    </w:p>
    <w:p>
      <w:pPr>
        <w:autoSpaceDE w:val="0"/>
        <w:autoSpaceDN w:val="0"/>
        <w:adjustRightInd w:val="0"/>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考评及奖惩实施细则</w:t>
      </w:r>
      <w:r>
        <w:rPr>
          <w:rFonts w:hint="eastAsia" w:ascii="宋体" w:hAnsi="宋体" w:eastAsia="宋体" w:cs="宋体"/>
          <w:b/>
          <w:bCs/>
          <w:kern w:val="0"/>
          <w:sz w:val="24"/>
          <w:szCs w:val="24"/>
          <w:lang w:val="en-US" w:eastAsia="zh-CN"/>
        </w:rPr>
        <w:t>:</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考评工作采取定期和不定期相结合，由采购人逐家进行考评，充分听取群众意见和建议，考评结果由采购人以文件的形式对各管护公司的考评情况进行通报。</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 xml:space="preserve"> 加大管护工作的执法力度。</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针对区交办的临时性任务，各管护单位要无条件地、高质量、高标准完成任务，采购人将跟踪检查。</w:t>
      </w:r>
    </w:p>
    <w:p>
      <w:pPr>
        <w:pStyle w:val="2"/>
        <w:numPr>
          <w:ilvl w:val="0"/>
          <w:numId w:val="49"/>
        </w:numPr>
        <w:spacing w:line="500" w:lineRule="exact"/>
        <w:ind w:left="0" w:firstLine="4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存在扬尘冲洗不到位，晾晒衣物等情况，1次扣1分。</w:t>
      </w:r>
    </w:p>
    <w:p>
      <w:pPr>
        <w:autoSpaceDE w:val="0"/>
        <w:autoSpaceDN w:val="0"/>
        <w:adjustRightInd w:val="0"/>
        <w:spacing w:line="500" w:lineRule="exac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曝光处理细则</w:t>
      </w:r>
      <w:r>
        <w:rPr>
          <w:rFonts w:hint="eastAsia" w:ascii="宋体" w:hAnsi="宋体" w:eastAsia="宋体" w:cs="宋体"/>
          <w:b/>
          <w:bCs/>
          <w:kern w:val="0"/>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50"/>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autoSpaceDE w:val="0"/>
        <w:autoSpaceDN w:val="0"/>
        <w:adjustRightInd w:val="0"/>
        <w:spacing w:line="500" w:lineRule="exac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结果运用</w:t>
      </w:r>
      <w:r>
        <w:rPr>
          <w:rFonts w:hint="eastAsia" w:ascii="宋体" w:hAnsi="宋体" w:eastAsia="宋体" w:cs="宋体"/>
          <w:b/>
          <w:bCs/>
          <w:kern w:val="0"/>
          <w:sz w:val="24"/>
          <w:szCs w:val="24"/>
          <w:lang w:eastAsia="zh-CN"/>
        </w:rPr>
        <w:t>：</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pStyle w:val="3"/>
        <w:spacing w:after="0" w:line="500" w:lineRule="exact"/>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3"/>
        <w:spacing w:line="500" w:lineRule="exact"/>
        <w:ind w:firstLine="240"/>
        <w:rPr>
          <w:rFonts w:hint="eastAsia" w:ascii="宋体" w:hAnsi="宋体" w:eastAsia="宋体" w:cs="宋体"/>
          <w:sz w:val="24"/>
          <w:szCs w:val="24"/>
        </w:rPr>
      </w:pPr>
    </w:p>
    <w:p>
      <w:pPr>
        <w:pStyle w:val="2"/>
        <w:spacing w:line="500" w:lineRule="exact"/>
        <w:ind w:firstLine="492"/>
        <w:jc w:val="center"/>
        <w:rPr>
          <w:rFonts w:hint="eastAsia" w:ascii="宋体" w:hAnsi="宋体" w:eastAsia="宋体" w:cs="宋体"/>
          <w:b/>
          <w:bCs/>
          <w:sz w:val="24"/>
          <w:szCs w:val="24"/>
        </w:rPr>
      </w:pPr>
      <w:r>
        <w:rPr>
          <w:rFonts w:hint="eastAsia" w:ascii="宋体" w:hAnsi="宋体" w:eastAsia="宋体" w:cs="宋体"/>
          <w:b/>
          <w:bCs/>
          <w:sz w:val="24"/>
          <w:szCs w:val="24"/>
        </w:rPr>
        <w:t>园林绿化管护内容及扣分标准</w:t>
      </w:r>
    </w:p>
    <w:tbl>
      <w:tblPr>
        <w:tblStyle w:val="45"/>
        <w:tblpPr w:leftFromText="180" w:rightFromText="180" w:vertAnchor="text" w:tblpX="-34" w:tblpY="1"/>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71" w:type="dxa"/>
          </w:tcPr>
          <w:p>
            <w:pPr>
              <w:spacing w:line="500" w:lineRule="exact"/>
              <w:ind w:firstLine="492"/>
              <w:rPr>
                <w:rFonts w:hint="eastAsia" w:ascii="宋体" w:hAnsi="宋体" w:eastAsia="宋体" w:cs="宋体"/>
                <w:sz w:val="24"/>
                <w:szCs w:val="24"/>
              </w:rPr>
            </w:pPr>
            <w:r>
              <w:rPr>
                <w:rFonts w:hint="eastAsia" w:ascii="宋体" w:hAnsi="宋体" w:eastAsia="宋体" w:cs="宋体"/>
                <w:kern w:val="0"/>
                <w:sz w:val="24"/>
                <w:szCs w:val="24"/>
              </w:rPr>
              <w:t>管护内容</w:t>
            </w:r>
          </w:p>
        </w:tc>
        <w:tc>
          <w:tcPr>
            <w:tcW w:w="7485" w:type="dxa"/>
          </w:tcPr>
          <w:p>
            <w:pPr>
              <w:spacing w:line="500" w:lineRule="exact"/>
              <w:ind w:firstLine="492"/>
              <w:rPr>
                <w:rFonts w:hint="eastAsia" w:ascii="宋体" w:hAnsi="宋体" w:eastAsia="宋体" w:cs="宋体"/>
                <w:sz w:val="24"/>
                <w:szCs w:val="24"/>
              </w:rPr>
            </w:pPr>
            <w:r>
              <w:rPr>
                <w:rFonts w:hint="eastAsia" w:ascii="宋体" w:hAnsi="宋体" w:eastAsia="宋体" w:cs="宋体"/>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一、绿地养护</w:t>
            </w:r>
          </w:p>
        </w:tc>
        <w:tc>
          <w:tcPr>
            <w:tcW w:w="7485" w:type="dxa"/>
          </w:tcPr>
          <w:p>
            <w:pPr>
              <w:spacing w:line="500" w:lineRule="exact"/>
              <w:ind w:firstLine="492"/>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971"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1、总体要求</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1、管护段面内未及时发现有未经审批设置、摆放广告牌的一个点位扣1分，未在规定时间内及时处置的一个点位扣1分。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2、管护段面内有白色垃圾、生活垃圾的一个点位扣1分。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3、管护段面内有建渣堆放的一个点位扣1分，未及时处置的扣1分。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4、管护段面内绿地未及时冲洗，叶面有明显积尘的一个点位扣2分。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2、乔木</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1、因明显缺水或积水造成树叶萎蔫的，一株扣1分。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2、因未施肥或施肥不当造成植物生长状况不良的，一株扣1分。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3、病虫害发生率超过10 株(含10 株)，并未得到控制的每10 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4、有明显枯枝败叶、死桩而未修剪、清除的一株扣1分。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5、树木死亡在24 小时内未报告且在指定时间内未换植合格的一株扣1分，因管护原因造成死亡的一株加扣1分。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6、树木倾斜24 小时内不扶正的，一株扣1分。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7、树木倒入车道内，在1 小时内不及时清理的，一次扣1分。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8、树上出现藤本植物及其他杂物未的清除一株扣1分。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3、灌木</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1、因明显缺水或其他原因造成灌木死亡，面积超过100平方米(含100平方米)的，每100平方米扣3分。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2、因未施肥或施肥不当造成灌木生长状况不良的，每100平方米扣1分。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3、病虫害发生率超过5000平方米(含5000平方米)的，并未得到控制的每5000平方米扣5分。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4、灌木萌发的新梢超过6cm未修剪的，每500平方米扣2分。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5、灌木丛死亡、缺失未在指定时间内换植合格的，每100 平方米扣2分，因管护原因造成死亡的每100 平方米加扣3分。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6、灌木内杂草超过500平方米的(含500平方米)，每500 平方米扣2分。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4、草坪</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1、因明显缺水或其他原因造成草坪死亡，面积超过200平方米(含200平方米)的，每200平方米扣2分。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2、因未施肥或施肥不当造成草坪生长状况不良的，每500 平方米扣3分。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3、病虫害发生率超过500 平方米(含500 平方米)的，并未得到控制的每500平方米扣2分。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4、草坪草高超过6cm 未及时修剪的每500平方米扣2分。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5、草坪秃斑超过200平方米(含200平方米)的，每200平方米扣1分。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6、杂草超过500平方米的(含500 平方米)，每500平方米扣1 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7、草坪内出现其它杂物未及时清除每处扣1分。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二、管护档案管</w:t>
            </w:r>
          </w:p>
          <w:p>
            <w:pPr>
              <w:spacing w:line="500" w:lineRule="exact"/>
              <w:ind w:firstLine="492"/>
              <w:rPr>
                <w:rFonts w:hint="eastAsia" w:ascii="宋体" w:hAnsi="宋体" w:eastAsia="宋体" w:cs="宋体"/>
                <w:kern w:val="0"/>
                <w:sz w:val="24"/>
                <w:szCs w:val="24"/>
              </w:rPr>
            </w:pPr>
            <w:r>
              <w:rPr>
                <w:rFonts w:hint="eastAsia" w:ascii="宋体" w:hAnsi="宋体" w:eastAsia="宋体" w:cs="宋体"/>
                <w:kern w:val="0"/>
                <w:sz w:val="24"/>
                <w:szCs w:val="24"/>
              </w:rPr>
              <w:t>理</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对树木、灌木、草坪施肥、冲洗、排涝，草坪打孔覆土，树木支撑等技术措施未按原计划或行政主管部门要求完成的，未按时交填相关计划、总结、管护工作记录台账的每单项扣1分。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三、其他方面</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1、加强对绿化的监管，及时发现并制止破坏行为，未履职到位，造成损失，扣1分。恢复的费用由管护单位承担。</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2、其他违规行为和管护遗漏(如缺席主管部门通知的会议或谎报、隐瞒实际情况等，每次每项扣1分)。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3、绿化管护企业擅自同意占用、破坏绿化的加扣10分。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4、未保质保量完成安排的临时性突击任务，每次扣2分。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5、管护人员工作期间未着统一工作服的每次扣1分。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456" w:type="dxa"/>
            <w:gridSpan w:val="2"/>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备注：考核月内无上述情况的为满分，单项分值扣完后，在总分值内扣除。</w:t>
            </w:r>
          </w:p>
        </w:tc>
      </w:tr>
    </w:tbl>
    <w:p>
      <w:pPr>
        <w:numPr>
          <w:ilvl w:val="0"/>
          <w:numId w:val="0"/>
        </w:numPr>
        <w:spacing w:line="500" w:lineRule="exact"/>
        <w:jc w:val="center"/>
        <w:rPr>
          <w:rFonts w:hint="eastAsia" w:ascii="宋体" w:hAnsi="宋体" w:eastAsia="宋体" w:cs="宋体"/>
          <w:b/>
          <w:bCs/>
          <w:sz w:val="24"/>
          <w:szCs w:val="24"/>
        </w:rPr>
      </w:pPr>
    </w:p>
    <w:p>
      <w:pPr>
        <w:numPr>
          <w:ilvl w:val="0"/>
          <w:numId w:val="0"/>
        </w:num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公厕管理考核办法</w:t>
      </w:r>
    </w:p>
    <w:p>
      <w:pPr>
        <w:pStyle w:val="18"/>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考核实施细则</w:t>
      </w:r>
      <w:r>
        <w:rPr>
          <w:rFonts w:hint="eastAsia" w:ascii="宋体" w:hAnsi="宋体" w:eastAsia="宋体" w:cs="宋体"/>
          <w:b/>
          <w:bCs/>
          <w:sz w:val="24"/>
          <w:szCs w:val="24"/>
          <w:lang w:eastAsia="zh-CN"/>
        </w:rPr>
        <w:t>：</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卫生保洁及时，公厕内干净整洁，无异味、无蚊蝇，无积水、无垃圾，无积灰，无乱涂乱画。公厕外墙、屋顶及责任区域内整洁，无杂物堆积。管理间（含环卫工人休息室）整洁有序，卫生干净，专人值守。未达要求，每处扣1分。该情况不得连续3次出现。</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 xml:space="preserve">公厕标识规范、配置齐全，指示醒目，公示牌内容完整，设置规范。未达要求每处扣2分。     </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公厕的水箱、灯具、洁具、龙头、冲洗阀、洗手池破损、不整洁，标志牌脏、不歪斜，每次扣0.5分。公厕设施损坏未及时维修，造成使用功能障碍，每处扣2分。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牛皮癣未及时清除，每处扣1分。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作业工具（塑料扫帚、拖把、撮箕、垃圾袋、毛巾、硬质塑料刷、橡胶手套、水刮器、消毒剂、清洁剂、卫生球、檀香等）及公厕用品（两纸一液）配备齐全、摆放整齐。未达要求，每次每项扣2分。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公厕配备专职保洁人员，保洁人员着装整洁并佩证上岗。工作期间，不得擅自离岗，不得从事与公厕管理无关的工作。未达要求，每人扣2分。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私自搭接电源、搭建房屋，扣3分。公厕管理用房出租，挪作它用，每次扣5分，需立即恢复。</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定期对公厕安全隐患进行排查，并建立问题台账，及时整改。未达要求，每处每次扣2分。公厕清洁和公厕维修设置安全提醒，未达要求每次扣2分。公厕清洁高处作业，安全管理人员必须到场，未达要求，每处每次扣2分。</w:t>
      </w:r>
    </w:p>
    <w:p>
      <w:pPr>
        <w:numPr>
          <w:ilvl w:val="0"/>
          <w:numId w:val="51"/>
        </w:numPr>
        <w:spacing w:line="500" w:lineRule="exact"/>
        <w:ind w:left="5" w:firstLine="435"/>
        <w:rPr>
          <w:rFonts w:hint="eastAsia" w:ascii="宋体" w:hAnsi="宋体" w:eastAsia="宋体" w:cs="宋体"/>
          <w:kern w:val="0"/>
          <w:sz w:val="24"/>
          <w:szCs w:val="24"/>
        </w:rPr>
      </w:pPr>
      <w:r>
        <w:rPr>
          <w:rFonts w:hint="eastAsia" w:ascii="宋体" w:hAnsi="宋体" w:eastAsia="宋体" w:cs="宋体"/>
          <w:kern w:val="0"/>
          <w:sz w:val="24"/>
          <w:szCs w:val="24"/>
        </w:rPr>
        <w:t>曝光处理细则</w:t>
      </w:r>
    </w:p>
    <w:p>
      <w:pPr>
        <w:pStyle w:val="291"/>
        <w:numPr>
          <w:ilvl w:val="0"/>
          <w:numId w:val="0"/>
        </w:numPr>
        <w:spacing w:line="500" w:lineRule="exact"/>
        <w:ind w:firstLine="480" w:firstLineChars="200"/>
        <w:rPr>
          <w:rFonts w:hint="eastAsia" w:ascii="宋体" w:hAnsi="宋体" w:eastAsia="宋体" w:cs="宋体"/>
          <w:sz w:val="24"/>
          <w:szCs w:val="24"/>
          <w:lang w:val="en-US" w:eastAsia="zh-CN"/>
        </w:rPr>
      </w:pPr>
      <w:r>
        <w:rPr>
          <w:rFonts w:hint="eastAsia" w:eastAsia="宋体" w:cs="宋体"/>
          <w:sz w:val="24"/>
          <w:szCs w:val="24"/>
          <w:lang w:val="en-US" w:eastAsia="zh-CN"/>
        </w:rPr>
        <w:t>A.</w:t>
      </w: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0"/>
        </w:numPr>
        <w:spacing w:line="500" w:lineRule="exact"/>
        <w:ind w:firstLine="480" w:firstLineChars="200"/>
        <w:rPr>
          <w:rFonts w:hint="eastAsia" w:ascii="宋体" w:hAnsi="宋体" w:eastAsia="宋体" w:cs="宋体"/>
          <w:sz w:val="24"/>
          <w:szCs w:val="24"/>
          <w:lang w:eastAsia="zh-CN"/>
        </w:rPr>
      </w:pPr>
      <w:r>
        <w:rPr>
          <w:rFonts w:hint="eastAsia" w:eastAsia="宋体" w:cs="宋体"/>
          <w:sz w:val="24"/>
          <w:szCs w:val="24"/>
          <w:lang w:val="en-US" w:eastAsia="zh-CN"/>
        </w:rPr>
        <w:t>B.</w:t>
      </w: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0"/>
        </w:numPr>
        <w:spacing w:line="500" w:lineRule="exact"/>
        <w:ind w:firstLine="480" w:firstLineChars="200"/>
        <w:rPr>
          <w:rFonts w:hint="eastAsia" w:ascii="宋体" w:hAnsi="宋体" w:eastAsia="宋体" w:cs="宋体"/>
          <w:sz w:val="24"/>
          <w:szCs w:val="24"/>
          <w:lang w:eastAsia="zh-CN"/>
        </w:rPr>
      </w:pPr>
      <w:r>
        <w:rPr>
          <w:rFonts w:hint="eastAsia" w:eastAsia="宋体" w:cs="宋体"/>
          <w:sz w:val="24"/>
          <w:szCs w:val="24"/>
          <w:lang w:val="en-US" w:eastAsia="zh-CN"/>
        </w:rPr>
        <w:t>C.</w:t>
      </w: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D.</w:t>
      </w: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E.</w:t>
      </w: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F.</w:t>
      </w: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结果运用</w:t>
      </w:r>
      <w:r>
        <w:rPr>
          <w:rFonts w:hint="eastAsia" w:ascii="宋体" w:hAnsi="宋体" w:eastAsia="宋体" w:cs="宋体"/>
          <w:b/>
          <w:bCs/>
          <w:kern w:val="0"/>
          <w:sz w:val="24"/>
          <w:szCs w:val="24"/>
          <w:lang w:val="en-US" w:eastAsia="zh-CN"/>
        </w:rPr>
        <w:t>:</w:t>
      </w:r>
    </w:p>
    <w:p>
      <w:pPr>
        <w:pStyle w:val="3"/>
        <w:numPr>
          <w:ilvl w:val="0"/>
          <w:numId w:val="52"/>
        </w:numPr>
        <w:spacing w:after="0" w:line="500" w:lineRule="exact"/>
        <w:ind w:firstLine="1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numPr>
          <w:ilvl w:val="0"/>
          <w:numId w:val="52"/>
        </w:numPr>
        <w:spacing w:after="0" w:line="500" w:lineRule="exact"/>
        <w:ind w:firstLine="1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（1）85分至90分（不含90分），每减少1分扣除1000元；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（2）80分至85分（不含85分），每减少1分扣除2000元；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（3）75分至80分（不含80分），每减少1分扣除3000元；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（4）70分至75分（不含75分），每减少1分扣除4000元；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（5）70分（不含70分），每减少1分扣除5000元。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val="en-US"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spacing w:line="5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垃圾清运</w:t>
      </w:r>
      <w:r>
        <w:rPr>
          <w:rFonts w:hint="eastAsia" w:ascii="宋体" w:hAnsi="宋体" w:eastAsia="宋体" w:cs="宋体"/>
          <w:b/>
          <w:bCs/>
          <w:sz w:val="24"/>
          <w:szCs w:val="24"/>
          <w:lang w:eastAsia="zh-CN"/>
        </w:rPr>
        <w:t>评分细则</w:t>
      </w:r>
    </w:p>
    <w:p>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生活垃圾收运情况评分细则</w:t>
      </w:r>
      <w:r>
        <w:rPr>
          <w:rFonts w:hint="eastAsia" w:ascii="宋体" w:hAnsi="宋体" w:eastAsia="宋体" w:cs="宋体"/>
          <w:b/>
          <w:bCs/>
          <w:sz w:val="24"/>
          <w:szCs w:val="24"/>
          <w:lang w:val="en-US" w:eastAsia="zh-CN"/>
        </w:rPr>
        <w:t>:</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公司管理评分细则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设立项目部,按要求配备管理人员及作业人员,未按要求的每日每人次扣3 分；各项管理制度健全并上墙,未达要求扣5 分。</w:t>
      </w:r>
    </w:p>
    <w:p>
      <w:pPr>
        <w:numPr>
          <w:ilvl w:val="0"/>
          <w:numId w:val="0"/>
        </w:num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管理人员和作业人员到位，及时处置交办事项，未达要求扣2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按要求购买从业人员社会保险，从业人员工资不低于最新公布的成都市最低工资标准的130%，未达要求每人扣5 分。如因此造成从业人员投诉、举报和上访的每人每次扣3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车辆驾驶员、装车工管理评分细则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车辆驾驶员、装车工按要求着装，未达要求每人每次扣2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车辆驾驶员、装车工不得酒后作业，违反者每人每次扣10 分，并给予公司警告处理。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车辆驾驶员严格按照《中华人民共和国交通道路安全法》行车，未达要求扣5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车辆驾驶员要定期清洗、检修、保养垃圾车及箱体，保持车容车貌及箱体整洁有序，车况良好，未达要求扣2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按时按质清运管理评分细则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垃圾清运车作业运输过程中存在车箱垃圾乱挂现象的，每台车每次扣5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违规收取区域外的垃圾，发现一次扣4 分。</w:t>
      </w:r>
    </w:p>
    <w:p>
      <w:pPr>
        <w:pStyle w:val="2"/>
        <w:numPr>
          <w:ilvl w:val="0"/>
          <w:numId w:val="0"/>
        </w:numPr>
        <w:spacing w:line="500" w:lineRule="exact"/>
        <w:ind w:firstLine="420" w:firstLineChars="200"/>
        <w:rPr>
          <w:rFonts w:hint="eastAsia" w:ascii="宋体" w:hAnsi="宋体" w:eastAsia="宋体" w:cs="宋体"/>
          <w:szCs w:val="24"/>
        </w:rPr>
      </w:pPr>
      <w:r>
        <w:rPr>
          <w:rFonts w:hint="eastAsia" w:ascii="宋体" w:hAnsi="宋体" w:eastAsia="宋体" w:cs="宋体"/>
          <w:szCs w:val="24"/>
          <w:lang w:val="en-US" w:eastAsia="zh-CN"/>
        </w:rPr>
        <w:t>C.</w:t>
      </w:r>
      <w:r>
        <w:rPr>
          <w:rFonts w:hint="eastAsia" w:ascii="宋体" w:hAnsi="宋体" w:eastAsia="宋体" w:cs="宋体"/>
          <w:szCs w:val="24"/>
        </w:rPr>
        <w:t>严格按照《成都市生活垃圾管理条例》分类收集、清运生活垃圾，未达要求，一次扣5分。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压缩站管理评分细则（如果涉及）</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垃圾不随到随压，站内有散露积存垃圾，每一处扣2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站内防噪、降尘、除臭、排污设施设备没有运行，不符合环境保护技术规范的，每一项扣10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每次压缩流程和转运作业完成后，没对操作场地、压缩箱体、站内墙面及地面进行清洗、消杀、除臭，发现一处一次扣5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站内外场地有撒落垃圾和堆积杂物，有积留污水，墙面有明显污迹、积尘，有明显异味，发现一次扣2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站内的车辆冲洗设施管理不到位，冲洗区域污水横流，发现一次扣2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F.</w:t>
      </w:r>
      <w:r>
        <w:rPr>
          <w:rFonts w:hint="eastAsia" w:ascii="宋体" w:hAnsi="宋体" w:eastAsia="宋体" w:cs="宋体"/>
          <w:sz w:val="24"/>
          <w:szCs w:val="24"/>
        </w:rPr>
        <w:t>站内设施设备未及时进行检查、保养、维护，造成垃圾压缩不及时一次扣5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结算凭证管理评分细则</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中标人应提供真实有效的凭证，禁止弄虚作假，否则发现一次，扣10分。全年发现3次采购人有权终止合同。</w:t>
      </w:r>
    </w:p>
    <w:p>
      <w:pPr>
        <w:numPr>
          <w:ilvl w:val="0"/>
          <w:numId w:val="0"/>
        </w:numPr>
        <w:spacing w:line="500" w:lineRule="exact"/>
        <w:ind w:left="44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曝光处理细则</w:t>
      </w:r>
    </w:p>
    <w:p>
      <w:pPr>
        <w:pStyle w:val="291"/>
        <w:numPr>
          <w:ilvl w:val="0"/>
          <w:numId w:val="54"/>
        </w:num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54"/>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54"/>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numPr>
          <w:ilvl w:val="0"/>
          <w:numId w:val="0"/>
        </w:numPr>
        <w:spacing w:line="500" w:lineRule="exact"/>
        <w:ind w:left="44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执行指令和实施报告制度评分细则</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作业公司法人代表、项目经理无故缺席各种会议每次扣5 分，参会迟到每次扣2分。</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作业公司项目经理无故不在岗，不服从主管部门的指令和安排，每次扣5 分。</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作业公司不按要求报送材料和延迟报送材料的，每次扣5 分。</w:t>
      </w:r>
    </w:p>
    <w:p>
      <w:pPr>
        <w:spacing w:line="500" w:lineRule="exact"/>
        <w:jc w:val="center"/>
        <w:rPr>
          <w:rFonts w:hint="eastAsia" w:ascii="宋体" w:hAnsi="宋体" w:eastAsia="宋体" w:cs="宋体"/>
          <w:sz w:val="24"/>
          <w:szCs w:val="24"/>
        </w:rPr>
      </w:pPr>
      <w:r>
        <w:rPr>
          <w:rFonts w:hint="eastAsia" w:ascii="宋体" w:hAnsi="宋体" w:eastAsia="宋体" w:cs="宋体"/>
          <w:b/>
          <w:bCs/>
          <w:sz w:val="24"/>
          <w:szCs w:val="24"/>
        </w:rPr>
        <w:t>垃圾清运作业考核办法</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考核实施</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由成都市双流区人民政府九江街道办事处负责组织。</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考核对象</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作业服务公司。</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考核办法</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检查考核为“日常巡查、月考核”两种形式。日巡查由采购人组织实施，采取每日巡查方式进行；月考核由采购人分管领导组织，按照市区相关要求开展专项检查对清运公司进行评分，每月一次。</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结果运算</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现金处罚</w:t>
      </w:r>
      <w:r>
        <w:rPr>
          <w:rFonts w:hint="eastAsia" w:ascii="宋体" w:hAnsi="宋体" w:eastAsia="宋体" w:cs="宋体"/>
          <w:b/>
          <w:bCs/>
          <w:sz w:val="24"/>
          <w:szCs w:val="24"/>
          <w:lang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日巡查按照每分100元标准处罚；</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群众监督举报的，按照每分200元标准处罚；</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被街道下发整改通知书的，按照每分300元标准处罚。</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综合处罚</w:t>
      </w:r>
      <w:r>
        <w:rPr>
          <w:rFonts w:hint="eastAsia" w:ascii="宋体" w:hAnsi="宋体" w:eastAsia="宋体" w:cs="宋体"/>
          <w:b/>
          <w:bCs/>
          <w:sz w:val="24"/>
          <w:szCs w:val="24"/>
          <w:lang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85分至90分（不含90分），每减少1分扣除1000元；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80分至85分（不含85分），每减少1分扣除2000元；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75分至80分（不含80分），每减少1分扣除3000元；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70分至75分（不含75分），每减少1分扣除4000元；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
      <w:pPr>
        <w:pStyle w:val="6"/>
        <w:numPr>
          <w:ilvl w:val="2"/>
          <w:numId w:val="1"/>
        </w:numPr>
        <w:spacing w:after="0"/>
        <w:ind w:left="567"/>
        <w:rPr>
          <w:color w:val="auto"/>
        </w:rPr>
      </w:pPr>
      <w:r>
        <w:rPr>
          <w:rFonts w:hint="eastAsia"/>
          <w:color w:val="auto"/>
          <w:lang w:val="en-US" w:eastAsia="zh-CN"/>
        </w:rPr>
        <w:t>*</w:t>
      </w:r>
      <w:r>
        <w:rPr>
          <w:rFonts w:hint="eastAsia"/>
          <w:color w:val="auto"/>
          <w:lang w:eastAsia="zh-CN"/>
        </w:rPr>
        <w:t>最高限价</w:t>
      </w:r>
    </w:p>
    <w:p>
      <w:pPr>
        <w:tabs>
          <w:tab w:val="left" w:pos="1134"/>
        </w:tabs>
        <w:snapToGrid w:val="0"/>
        <w:spacing w:line="360" w:lineRule="auto"/>
        <w:ind w:firstLine="565" w:firstLineChars="201"/>
        <w:rPr>
          <w:rFonts w:ascii="宋体" w:hAnsi="宋体"/>
          <w:b/>
          <w:sz w:val="28"/>
          <w:szCs w:val="28"/>
          <w:lang w:val="zh-CN"/>
        </w:rPr>
      </w:pPr>
      <w:r>
        <w:rPr>
          <w:rFonts w:hint="eastAsia"/>
          <w:b/>
          <w:bCs/>
          <w:sz w:val="28"/>
          <w:szCs w:val="28"/>
        </w:rPr>
        <w:t>本项目总最高限价：19338016.99元/年。包件1最高限价：10564445.73元/年，其中分项最高限价为：环境卫生作业7396412.49元/年；河道保洁660300.60元/年；绿化管护334165.44元/年；公厕管理722130.84元/年；垃圾清运1451436.36元/年。包件2最高限价：8773571.26元/年，其中分项最高限价为：环境卫生作业6543426.70元/年；河道保洁838201.20元/年；绿化管护18466.08元/年；垃圾清运1373477.28元/年。</w:t>
      </w:r>
      <w:r>
        <w:rPr>
          <w:rFonts w:hint="eastAsia" w:ascii="宋体" w:hAnsi="宋体" w:cs="宋体"/>
          <w:b/>
          <w:sz w:val="28"/>
          <w:szCs w:val="28"/>
          <w:lang w:val="zh-CN"/>
        </w:rPr>
        <w:t>投标人投标报价高于所投包件最高限价的或分项报价高于其对应分项最高限价的，则其所投包件投标文件将按无效投标文件处理。</w:t>
      </w:r>
    </w:p>
    <w:p>
      <w:pPr>
        <w:pStyle w:val="6"/>
        <w:numPr>
          <w:ilvl w:val="2"/>
          <w:numId w:val="1"/>
        </w:numPr>
        <w:spacing w:after="0"/>
        <w:ind w:left="567"/>
        <w:rPr>
          <w:color w:val="auto"/>
        </w:rPr>
      </w:pPr>
      <w:r>
        <w:rPr>
          <w:rFonts w:hint="eastAsia"/>
          <w:color w:val="auto"/>
          <w:lang w:eastAsia="zh-CN"/>
        </w:rPr>
        <w:t>其他要求</w:t>
      </w:r>
    </w:p>
    <w:p>
      <w:pPr>
        <w:tabs>
          <w:tab w:val="left" w:pos="1134"/>
        </w:tabs>
        <w:snapToGrid w:val="0"/>
        <w:spacing w:line="360" w:lineRule="auto"/>
        <w:ind w:firstLine="565" w:firstLineChars="201"/>
        <w:rPr>
          <w:rFonts w:ascii="宋体" w:hAnsi="宋体"/>
          <w:b/>
          <w:sz w:val="28"/>
          <w:szCs w:val="28"/>
          <w:lang w:val="zh-CN"/>
        </w:rPr>
      </w:pPr>
      <w:r>
        <w:rPr>
          <w:rFonts w:hint="eastAsia" w:ascii="宋体" w:hAnsi="宋体" w:eastAsia="宋体" w:cs="宋体"/>
          <w:b/>
          <w:sz w:val="28"/>
          <w:szCs w:val="28"/>
          <w:lang w:val="en-US" w:eastAsia="zh-CN"/>
        </w:rPr>
        <w:t>*</w:t>
      </w:r>
      <w:r>
        <w:rPr>
          <w:rFonts w:hint="eastAsia" w:ascii="宋体" w:hAnsi="宋体"/>
          <w:b/>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bookmarkEnd w:id="222"/>
    <w:bookmarkEnd w:id="223"/>
    <w:p>
      <w:pPr>
        <w:pStyle w:val="190"/>
        <w:tabs>
          <w:tab w:val="left" w:pos="993"/>
          <w:tab w:val="left" w:pos="1134"/>
        </w:tabs>
        <w:ind w:firstLine="420" w:firstLineChars="150"/>
        <w:rPr>
          <w:rFonts w:hint="default" w:eastAsia="宋体"/>
          <w:sz w:val="28"/>
          <w:szCs w:val="28"/>
          <w:lang w:val="en-US" w:eastAsia="zh-CN"/>
        </w:rPr>
      </w:pPr>
    </w:p>
    <w:p>
      <w:pPr>
        <w:keepNext w:val="0"/>
        <w:keepLines w:val="0"/>
        <w:widowControl/>
        <w:suppressLineNumbers w:val="0"/>
        <w:jc w:val="left"/>
      </w:pPr>
      <w:r>
        <w:rPr>
          <w:rFonts w:ascii="宋体" w:hAnsi="宋体" w:eastAsia="宋体" w:cs="宋体"/>
          <w:b/>
          <w:color w:val="000000"/>
          <w:kern w:val="0"/>
          <w:sz w:val="28"/>
          <w:szCs w:val="28"/>
          <w:lang w:val="en-US" w:eastAsia="zh-CN" w:bidi="ar"/>
        </w:rPr>
        <w:t xml:space="preserve">说明：以上打*号的为本次项目的实质性要求，不允许有负偏离。 </w:t>
      </w:r>
    </w:p>
    <w:p>
      <w:pPr>
        <w:pStyle w:val="190"/>
        <w:tabs>
          <w:tab w:val="left" w:pos="993"/>
          <w:tab w:val="left" w:pos="1134"/>
        </w:tabs>
        <w:ind w:left="0" w:leftChars="0" w:firstLine="0" w:firstLineChars="0"/>
        <w:rPr>
          <w:sz w:val="28"/>
          <w:szCs w:val="28"/>
          <w:lang w:val="zh-CN"/>
        </w:rPr>
      </w:pPr>
    </w:p>
    <w:p>
      <w:pPr>
        <w:pStyle w:val="4"/>
        <w:numPr>
          <w:ilvl w:val="0"/>
          <w:numId w:val="1"/>
        </w:numPr>
        <w:spacing w:before="0" w:after="0" w:line="360" w:lineRule="auto"/>
        <w:ind w:left="283"/>
      </w:pPr>
      <w:bookmarkStart w:id="243" w:name="_Toc17864"/>
      <w:bookmarkStart w:id="244" w:name="_Toc15620"/>
      <w:r>
        <w:rPr>
          <w:rFonts w:hint="eastAsia"/>
        </w:rPr>
        <w:t>资格性审查</w:t>
      </w:r>
      <w:bookmarkEnd w:id="243"/>
      <w:bookmarkEnd w:id="244"/>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资格性审查由采购人组成的资格审查小组依据法律法规和招标文件的规定，对投标保证金(</w:t>
      </w:r>
      <w:r>
        <w:rPr>
          <w:rFonts w:hint="eastAsia" w:ascii="宋体" w:hAnsi="宋体"/>
          <w:sz w:val="28"/>
          <w:szCs w:val="28"/>
          <w:lang w:eastAsia="zh-CN"/>
        </w:rPr>
        <w:t>区公资交易中心</w:t>
      </w:r>
      <w:r>
        <w:rPr>
          <w:rFonts w:hint="eastAsia" w:ascii="宋体" w:hAnsi="宋体"/>
          <w:sz w:val="28"/>
          <w:szCs w:val="28"/>
        </w:rPr>
        <w:t>出具的</w:t>
      </w:r>
      <w:r>
        <w:rPr>
          <w:rFonts w:hint="eastAsia" w:ascii="宋体" w:hAnsi="宋体"/>
          <w:b/>
          <w:sz w:val="28"/>
          <w:szCs w:val="28"/>
        </w:rPr>
        <w:t>《</w:t>
      </w:r>
      <w:r>
        <w:rPr>
          <w:rFonts w:hint="eastAsia" w:ascii="宋体" w:hAnsi="宋体" w:cs="宋体"/>
          <w:b/>
          <w:sz w:val="28"/>
          <w:szCs w:val="28"/>
          <w:lang w:eastAsia="zh-CN"/>
        </w:rPr>
        <w:t>双流区政府</w:t>
      </w:r>
      <w:r>
        <w:rPr>
          <w:rFonts w:hint="eastAsia" w:ascii="宋体" w:hAnsi="宋体" w:cs="宋体"/>
          <w:b/>
          <w:sz w:val="28"/>
          <w:szCs w:val="28"/>
        </w:rPr>
        <w:t>采购项目供应商</w:t>
      </w:r>
      <w:r>
        <w:rPr>
          <w:rFonts w:hint="eastAsia" w:ascii="宋体" w:hAnsi="宋体" w:cs="宋体"/>
          <w:b/>
          <w:sz w:val="28"/>
          <w:szCs w:val="28"/>
          <w:lang w:eastAsia="zh-CN"/>
        </w:rPr>
        <w:t>参与</w:t>
      </w:r>
      <w:r>
        <w:rPr>
          <w:rFonts w:hint="eastAsia" w:ascii="宋体" w:hAnsi="宋体" w:cs="宋体"/>
          <w:b/>
          <w:sz w:val="28"/>
          <w:szCs w:val="28"/>
        </w:rPr>
        <w:t>及保证金交纳情况表》</w:t>
      </w:r>
      <w:r>
        <w:rPr>
          <w:rFonts w:hint="eastAsia" w:ascii="宋体" w:hAnsi="宋体"/>
          <w:b/>
          <w:sz w:val="28"/>
          <w:szCs w:val="28"/>
        </w:rPr>
        <w:t>或投标人递交的投标保函</w:t>
      </w:r>
      <w:r>
        <w:rPr>
          <w:rFonts w:hint="eastAsia" w:ascii="宋体" w:hAnsi="宋体"/>
          <w:sz w:val="28"/>
          <w:szCs w:val="28"/>
        </w:rPr>
        <w:t>)、投标文件中</w:t>
      </w:r>
      <w:r>
        <w:rPr>
          <w:rFonts w:hint="eastAsia" w:ascii="宋体" w:hAnsi="宋体"/>
          <w:sz w:val="28"/>
          <w:szCs w:val="28"/>
          <w:lang w:eastAsia="zh-CN"/>
        </w:rPr>
        <w:t>要求提供</w:t>
      </w:r>
      <w:r>
        <w:rPr>
          <w:rFonts w:hint="eastAsia" w:ascii="宋体" w:hAnsi="宋体"/>
          <w:sz w:val="28"/>
          <w:szCs w:val="28"/>
        </w:rPr>
        <w:t>的资格证明等进行审查，以确定投标人是否具备投标资格，并出具资格性审查报告。</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lang w:eastAsia="zh-CN"/>
        </w:rPr>
        <w:t>包件</w:t>
      </w:r>
      <w:r>
        <w:rPr>
          <w:rFonts w:hint="eastAsia" w:ascii="宋体" w:hAnsi="宋体"/>
          <w:sz w:val="28"/>
          <w:szCs w:val="28"/>
          <w:lang w:val="en-US" w:eastAsia="zh-CN"/>
        </w:rPr>
        <w:t>1、2</w:t>
      </w:r>
      <w:r>
        <w:rPr>
          <w:rFonts w:hint="eastAsia" w:ascii="宋体" w:hAnsi="宋体"/>
          <w:sz w:val="28"/>
          <w:szCs w:val="28"/>
        </w:rPr>
        <w:t>资格性审查标准见下表：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在中华人民共和国境内依法登记注册，并有效存续具有独立法人资格的供应商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营业执照复印件（正本或副本）或法人证书复印件（正本或副本）。【说明：</w:t>
            </w:r>
            <w:r>
              <w:rPr>
                <w:rFonts w:hint="eastAsia" w:ascii="宋体" w:hAnsi="宋体"/>
                <w:sz w:val="20"/>
                <w:szCs w:val="28"/>
              </w:rPr>
              <w:t>①</w:t>
            </w:r>
            <w:r>
              <w:rPr>
                <w:rFonts w:hint="eastAsia"/>
                <w:sz w:val="20"/>
              </w:rPr>
              <w:t>营业执照或法人证书载明有期限的，应在有效期限内；</w:t>
            </w:r>
            <w:r>
              <w:rPr>
                <w:rFonts w:hint="eastAsia" w:ascii="宋体" w:hAnsi="宋体"/>
                <w:sz w:val="20"/>
                <w:szCs w:val="28"/>
              </w:rPr>
              <w:t>②</w:t>
            </w:r>
            <w:r>
              <w:rPr>
                <w:rFonts w:hint="eastAsia"/>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27"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w:t>
            </w:r>
            <w:r>
              <w:rPr>
                <w:rFonts w:hint="eastAsia"/>
                <w:sz w:val="20"/>
                <w:lang w:eastAsia="zh-CN"/>
              </w:rPr>
              <w:t>声明</w:t>
            </w:r>
            <w:r>
              <w:rPr>
                <w:rFonts w:hint="eastAsia"/>
                <w:sz w:val="20"/>
              </w:rPr>
              <w:t>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投标人具有良好的商业信誉的书面</w:t>
            </w:r>
            <w:r>
              <w:rPr>
                <w:rFonts w:hint="eastAsia"/>
                <w:sz w:val="20"/>
                <w:lang w:eastAsia="zh-CN"/>
              </w:rPr>
              <w:t>声明</w:t>
            </w:r>
            <w:r>
              <w:rPr>
                <w:rFonts w:hint="eastAsia"/>
                <w:sz w:val="20"/>
              </w:rPr>
              <w:t>材料。【说明：</w:t>
            </w:r>
            <w:r>
              <w:rPr>
                <w:rFonts w:hint="eastAsia" w:ascii="宋体" w:hAnsi="宋体"/>
                <w:sz w:val="20"/>
                <w:szCs w:val="28"/>
              </w:rPr>
              <w:t>①</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的内容提供书面</w:t>
            </w:r>
            <w:r>
              <w:rPr>
                <w:rFonts w:hint="eastAsia"/>
                <w:sz w:val="20"/>
                <w:lang w:eastAsia="zh-CN"/>
              </w:rPr>
              <w:t>声明</w:t>
            </w:r>
            <w:r>
              <w:rPr>
                <w:rFonts w:hint="eastAsia"/>
                <w:sz w:val="20"/>
              </w:rPr>
              <w:t>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w:t>
            </w:r>
            <w:r>
              <w:rPr>
                <w:rFonts w:hint="eastAsia"/>
                <w:sz w:val="20"/>
                <w:lang w:eastAsia="zh-CN"/>
              </w:rPr>
              <w:t>声明</w:t>
            </w:r>
            <w:r>
              <w:rPr>
                <w:rFonts w:hint="eastAsia"/>
                <w:sz w:val="20"/>
              </w:rPr>
              <w:t>材料。【说明：</w:t>
            </w:r>
            <w:r>
              <w:rPr>
                <w:rFonts w:hint="eastAsia" w:ascii="宋体" w:hAnsi="宋体"/>
                <w:sz w:val="20"/>
                <w:szCs w:val="28"/>
              </w:rPr>
              <w:t>①</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的内容提供书面</w:t>
            </w:r>
            <w:r>
              <w:rPr>
                <w:rFonts w:hint="eastAsia"/>
                <w:sz w:val="20"/>
                <w:lang w:eastAsia="zh-CN"/>
              </w:rPr>
              <w:t>声明</w:t>
            </w:r>
            <w:r>
              <w:rPr>
                <w:rFonts w:hint="eastAsia"/>
                <w:sz w:val="20"/>
              </w:rPr>
              <w:t>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w:t>
            </w:r>
            <w:r>
              <w:rPr>
                <w:rFonts w:hint="eastAsia"/>
                <w:sz w:val="20"/>
                <w:lang w:eastAsia="zh-CN"/>
              </w:rPr>
              <w:t>声明</w:t>
            </w:r>
            <w:r>
              <w:rPr>
                <w:rFonts w:hint="eastAsia"/>
                <w:sz w:val="20"/>
              </w:rPr>
              <w:t>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内容提供书面</w:t>
            </w:r>
            <w:r>
              <w:rPr>
                <w:rFonts w:hint="eastAsia"/>
                <w:sz w:val="20"/>
                <w:lang w:eastAsia="zh-CN"/>
              </w:rPr>
              <w:t>声明</w:t>
            </w:r>
            <w:r>
              <w:rPr>
                <w:rFonts w:hint="eastAsia"/>
                <w:sz w:val="20"/>
              </w:rPr>
              <w:t>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投标人未处于被行政部门禁止参与政府采购活动的期限内。【说明：</w:t>
            </w:r>
            <w:r>
              <w:rPr>
                <w:rFonts w:hint="eastAsia" w:ascii="宋体" w:hAnsi="宋体"/>
                <w:sz w:val="20"/>
                <w:szCs w:val="28"/>
              </w:rPr>
              <w:t>①</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内容提供书面</w:t>
            </w:r>
            <w:r>
              <w:rPr>
                <w:rFonts w:hint="eastAsia"/>
                <w:sz w:val="20"/>
                <w:lang w:eastAsia="zh-CN"/>
              </w:rPr>
              <w:t>声明</w:t>
            </w:r>
            <w:r>
              <w:rPr>
                <w:rFonts w:hint="eastAsia"/>
                <w:sz w:val="20"/>
              </w:rPr>
              <w:t>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在行贿犯罪信息查询期限内，投标人及其现任法定代表人、主要负责人没有行贿犯罪记录的书面</w:t>
            </w:r>
            <w:r>
              <w:rPr>
                <w:rFonts w:hint="eastAsia"/>
                <w:sz w:val="20"/>
                <w:lang w:eastAsia="zh-CN"/>
              </w:rPr>
              <w:t>声明</w:t>
            </w:r>
            <w:r>
              <w:rPr>
                <w:rFonts w:hint="eastAsia"/>
                <w:sz w:val="20"/>
              </w:rPr>
              <w:t>材料。【说明：</w:t>
            </w:r>
            <w:r>
              <w:rPr>
                <w:rFonts w:hint="eastAsia" w:ascii="宋体" w:hAnsi="宋体"/>
                <w:sz w:val="20"/>
                <w:szCs w:val="28"/>
              </w:rPr>
              <w:t>①</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内容提供书面</w:t>
            </w:r>
            <w:r>
              <w:rPr>
                <w:rFonts w:hint="eastAsia"/>
                <w:sz w:val="20"/>
                <w:lang w:eastAsia="zh-CN"/>
              </w:rPr>
              <w:t>声明</w:t>
            </w:r>
            <w:r>
              <w:rPr>
                <w:rFonts w:hint="eastAsia"/>
                <w:sz w:val="20"/>
              </w:rPr>
              <w:t>材料，投标文件中不需提供中国裁判文书网（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与投标人负责人为同一人或者存在直接控股、管理关系的相关供应商的书面</w:t>
            </w:r>
            <w:r>
              <w:rPr>
                <w:rFonts w:hint="eastAsia"/>
                <w:sz w:val="20"/>
                <w:lang w:eastAsia="zh-CN"/>
              </w:rPr>
              <w:t>声明</w:t>
            </w:r>
            <w:r>
              <w:rPr>
                <w:rFonts w:hint="eastAsia"/>
                <w:sz w:val="20"/>
              </w:rPr>
              <w:t>材料。【说明：</w:t>
            </w:r>
            <w:r>
              <w:rPr>
                <w:rFonts w:hint="eastAsia" w:ascii="宋体" w:hAnsi="宋体"/>
                <w:sz w:val="20"/>
                <w:szCs w:val="28"/>
              </w:rPr>
              <w:t>①</w:t>
            </w:r>
            <w:r>
              <w:rPr>
                <w:rFonts w:hint="eastAsia"/>
                <w:sz w:val="20"/>
              </w:rPr>
              <w:t>按招标文件</w:t>
            </w:r>
            <w:r>
              <w:rPr>
                <w:sz w:val="20"/>
              </w:rPr>
              <w:t>3</w:t>
            </w:r>
            <w:r>
              <w:rPr>
                <w:rFonts w:hint="eastAsia"/>
                <w:sz w:val="20"/>
              </w:rPr>
              <w:t>.2.2</w:t>
            </w:r>
            <w:r>
              <w:rPr>
                <w:rFonts w:hint="eastAsia"/>
                <w:sz w:val="20"/>
                <w:lang w:eastAsia="zh-CN"/>
              </w:rPr>
              <w:t>声明</w:t>
            </w:r>
            <w:r>
              <w:rPr>
                <w:rFonts w:hint="eastAsia"/>
                <w:sz w:val="20"/>
              </w:rPr>
              <w:t>内容提供书面</w:t>
            </w:r>
            <w:r>
              <w:rPr>
                <w:rFonts w:hint="eastAsia"/>
                <w:sz w:val="20"/>
                <w:lang w:eastAsia="zh-CN"/>
              </w:rPr>
              <w:t>声明</w:t>
            </w:r>
            <w:r>
              <w:rPr>
                <w:rFonts w:hint="eastAsia"/>
                <w:sz w:val="20"/>
              </w:rPr>
              <w:t>材料</w:t>
            </w:r>
            <w:r>
              <w:rPr>
                <w:rFonts w:hint="eastAsia" w:ascii="宋体" w:hAnsi="宋体"/>
                <w:sz w:val="20"/>
                <w:szCs w:val="28"/>
              </w:rPr>
              <w:t>；②参加投标的供应商中无与投标人的负责人为同一人或者存在直接控股、管理关系的供应商。</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rFonts w:hint="eastAsia"/>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采购人对投标人履行合同所必须的设备和专业技术能力无其他特殊要求，投标人具有有效的营业执照或法人证书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采购人对法律、行政法规规定的其他条件无其他特殊要求，投标人具有有效的营业执照或法人证书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不属于其他国家相关法律法规规定的禁止参加投标的供应商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、根据招标文件的要求不属于禁止参加投标或投标无效的供应商；</w:t>
            </w:r>
          </w:p>
          <w:p>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联合体投标</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投标文件解密情况</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投标文件资格性审查部分的语言</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w:t>
            </w:r>
            <w:r>
              <w:rPr>
                <w:rFonts w:hint="eastAsia" w:ascii="宋体" w:hAnsi="宋体"/>
                <w:sz w:val="20"/>
                <w:szCs w:val="28"/>
                <w:lang w:eastAsia="zh-CN"/>
              </w:rPr>
              <w:t>声明</w:t>
            </w:r>
            <w:r>
              <w:rPr>
                <w:rFonts w:hint="eastAsia" w:ascii="宋体" w:hAnsi="宋体"/>
                <w:sz w:val="20"/>
                <w:szCs w:val="28"/>
              </w:rPr>
              <w:t>的</w:t>
            </w:r>
            <w:r>
              <w:rPr>
                <w:rFonts w:hint="eastAsia"/>
                <w:sz w:val="20"/>
              </w:rPr>
              <w:t>内容</w:t>
            </w:r>
            <w:r>
              <w:rPr>
                <w:rFonts w:hint="eastAsia" w:ascii="宋体" w:hAnsi="宋体"/>
                <w:sz w:val="20"/>
                <w:szCs w:val="28"/>
              </w:rPr>
              <w:t>提供关于投标人资格资格</w:t>
            </w:r>
            <w:r>
              <w:rPr>
                <w:rFonts w:hint="eastAsia" w:ascii="宋体" w:hAnsi="宋体"/>
                <w:sz w:val="20"/>
                <w:szCs w:val="28"/>
                <w:lang w:eastAsia="zh-CN"/>
              </w:rPr>
              <w:t>声明</w:t>
            </w:r>
            <w:r>
              <w:rPr>
                <w:rFonts w:hint="eastAsia" w:ascii="宋体" w:hAnsi="宋体"/>
                <w:sz w:val="20"/>
                <w:szCs w:val="28"/>
              </w:rPr>
              <w:t>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2020</w:t>
            </w:r>
            <w:r>
              <w:rPr>
                <w:rFonts w:hint="eastAsia"/>
                <w:sz w:val="20"/>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sz w:val="20"/>
                <w:lang w:val="en-US" w:eastAsia="zh-CN"/>
              </w:rPr>
              <w:t>（格式自拟）</w:t>
            </w:r>
            <w:r>
              <w:rPr>
                <w:rFonts w:hint="eastAsia"/>
                <w:sz w:val="2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lang w:val="en-US" w:eastAsia="zh-CN"/>
              </w:rPr>
              <w:t>投标人缴纳2021年任意时段的社保的银行电子回单或行政部门出具的社保缴纳证明材料复印件或承诺函（格式自拟）复印件（依法不需要缴纳社会保障资金的供应商，应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lang w:val="en-US" w:eastAsia="zh-CN"/>
              </w:rPr>
              <w:t>投标人缴纳2021年任意时段的税收的银行电子回单或者行政部门出具的纳税证明或完税证明复印件或承诺函（格式自拟）复印件（依法免税的供应商，应提供相应文件证明其依法免税）。</w:t>
            </w:r>
          </w:p>
        </w:tc>
      </w:tr>
    </w:tbl>
    <w:p>
      <w:pPr>
        <w:spacing w:line="560" w:lineRule="exact"/>
        <w:ind w:firstLine="562" w:firstLineChars="200"/>
        <w:rPr>
          <w:rFonts w:hint="eastAsia" w:ascii="宋体" w:hAnsi="宋体"/>
          <w:b/>
          <w:bCs/>
          <w:sz w:val="28"/>
          <w:szCs w:val="28"/>
        </w:rPr>
      </w:pPr>
      <w:r>
        <w:rPr>
          <w:rFonts w:hint="eastAsia" w:ascii="宋体" w:hAnsi="宋体"/>
          <w:b/>
          <w:bCs/>
          <w:sz w:val="28"/>
          <w:szCs w:val="28"/>
          <w:lang w:eastAsia="zh-CN"/>
        </w:rPr>
        <w:t>备</w:t>
      </w:r>
      <w:r>
        <w:rPr>
          <w:rFonts w:hint="eastAsia" w:ascii="宋体" w:hAnsi="宋体"/>
          <w:b/>
          <w:bCs/>
          <w:sz w:val="28"/>
          <w:szCs w:val="28"/>
        </w:rPr>
        <w:t>注：</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区公资交易中心</w:t>
      </w:r>
      <w:r>
        <w:rPr>
          <w:rFonts w:hint="eastAsia" w:ascii="宋体" w:hAnsi="宋体"/>
          <w:sz w:val="28"/>
          <w:szCs w:val="28"/>
        </w:rPr>
        <w:t>将通知投标人（以短信、现场公示、电话、“政府采购云平台”等任一方式）。投标人如对资格审查结论有异议的，应及时向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w:t>
      </w:r>
      <w:r>
        <w:rPr>
          <w:rFonts w:hint="eastAsia" w:ascii="宋体" w:hAnsi="宋体"/>
          <w:sz w:val="28"/>
          <w:szCs w:val="28"/>
        </w:rPr>
        <w:t>公资交易中心将及时告知资格审查小组。（说明：无论投标人是否收到通知或提供反馈意见，均不影响资格审查和评标工作，且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w:t>
      </w:r>
      <w:r>
        <w:rPr>
          <w:rFonts w:hint="eastAsia" w:ascii="宋体" w:hAnsi="宋体" w:eastAsia="宋体"/>
          <w:sz w:val="28"/>
          <w:szCs w:val="28"/>
        </w:rPr>
        <w:t>各包件通过</w:t>
      </w:r>
      <w:r>
        <w:rPr>
          <w:rFonts w:hint="eastAsia" w:ascii="宋体" w:hAnsi="宋体"/>
          <w:sz w:val="28"/>
          <w:szCs w:val="28"/>
        </w:rPr>
        <w:t>资格性审查的供应商＜3名，</w:t>
      </w:r>
      <w:r>
        <w:rPr>
          <w:rFonts w:hint="eastAsia" w:ascii="宋体" w:hAnsi="宋体"/>
          <w:sz w:val="28"/>
          <w:szCs w:val="28"/>
          <w:lang w:eastAsia="zh-CN"/>
        </w:rPr>
        <w:t>对应包件</w:t>
      </w:r>
      <w:r>
        <w:rPr>
          <w:rFonts w:hint="eastAsia" w:ascii="宋体" w:hAnsi="宋体"/>
          <w:sz w:val="28"/>
          <w:szCs w:val="28"/>
        </w:rPr>
        <w:t>采购失败。</w:t>
      </w:r>
    </w:p>
    <w:p>
      <w:pPr>
        <w:widowControl/>
        <w:jc w:val="left"/>
        <w:rPr>
          <w:rFonts w:hint="eastAsia" w:ascii="宋体" w:hAnsi="宋体"/>
          <w:sz w:val="28"/>
          <w:szCs w:val="28"/>
        </w:rPr>
      </w:pPr>
      <w:r>
        <w:rPr>
          <w:rFonts w:hint="eastAsia" w:ascii="宋体" w:hAnsi="宋体"/>
          <w:kern w:val="0"/>
          <w:sz w:val="28"/>
          <w:szCs w:val="28"/>
        </w:rPr>
        <w:br w:type="page"/>
      </w:r>
    </w:p>
    <w:p>
      <w:pPr>
        <w:pStyle w:val="4"/>
        <w:numPr>
          <w:ilvl w:val="0"/>
          <w:numId w:val="1"/>
        </w:numPr>
        <w:spacing w:before="0" w:after="0" w:line="360" w:lineRule="auto"/>
        <w:ind w:left="283"/>
        <w:rPr>
          <w:rFonts w:hint="eastAsia"/>
        </w:rPr>
      </w:pPr>
      <w:bookmarkStart w:id="245" w:name="_Toc26247"/>
      <w:bookmarkStart w:id="246" w:name="_Toc2500"/>
      <w:r>
        <w:rPr>
          <w:rFonts w:hint="eastAsia"/>
        </w:rPr>
        <w:t>评标办法</w:t>
      </w:r>
      <w:bookmarkEnd w:id="245"/>
      <w:bookmarkEnd w:id="246"/>
      <w:bookmarkStart w:id="247" w:name="_Toc183582280"/>
      <w:bookmarkStart w:id="248" w:name="_Toc183682415"/>
      <w:bookmarkStart w:id="249" w:name="_Toc208849007"/>
      <w:bookmarkStart w:id="250" w:name="_Toc217446097"/>
    </w:p>
    <w:p>
      <w:pPr>
        <w:pStyle w:val="5"/>
        <w:numPr>
          <w:ilvl w:val="1"/>
          <w:numId w:val="1"/>
        </w:numPr>
        <w:spacing w:before="0" w:after="0"/>
        <w:rPr>
          <w:rFonts w:hint="eastAsia"/>
        </w:rPr>
      </w:pPr>
      <w:bookmarkStart w:id="251" w:name="_Toc315871642"/>
      <w:bookmarkStart w:id="252" w:name="_Toc23830"/>
      <w:bookmarkStart w:id="253" w:name="_Toc316292248"/>
      <w:bookmarkStart w:id="254" w:name="_Toc23885"/>
      <w:r>
        <w:rPr>
          <w:rFonts w:hint="eastAsia"/>
        </w:rPr>
        <w:t>总则</w:t>
      </w:r>
      <w:bookmarkEnd w:id="247"/>
      <w:bookmarkEnd w:id="248"/>
      <w:bookmarkEnd w:id="249"/>
      <w:bookmarkEnd w:id="250"/>
      <w:bookmarkEnd w:id="251"/>
      <w:bookmarkEnd w:id="252"/>
      <w:bookmarkEnd w:id="253"/>
      <w:bookmarkEnd w:id="254"/>
    </w:p>
    <w:p>
      <w:pPr>
        <w:numPr>
          <w:ilvl w:val="0"/>
          <w:numId w:val="59"/>
        </w:numPr>
        <w:tabs>
          <w:tab w:val="left" w:pos="1134"/>
        </w:tabs>
        <w:spacing w:after="0" w:line="360" w:lineRule="auto"/>
        <w:ind w:left="0" w:firstLine="565" w:firstLineChars="202"/>
        <w:jc w:val="left"/>
        <w:rPr>
          <w:rFonts w:hint="eastAsia"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59"/>
        </w:numPr>
        <w:tabs>
          <w:tab w:val="left" w:pos="1134"/>
        </w:tabs>
        <w:spacing w:after="0" w:line="360" w:lineRule="auto"/>
        <w:ind w:left="0" w:firstLine="565" w:firstLineChars="202"/>
        <w:jc w:val="left"/>
        <w:rPr>
          <w:rFonts w:hint="eastAsia" w:ascii="宋体" w:hAnsi="宋体"/>
          <w:sz w:val="28"/>
          <w:szCs w:val="28"/>
        </w:rPr>
      </w:pPr>
      <w:r>
        <w:rPr>
          <w:rFonts w:hint="eastAsia" w:ascii="宋体" w:hAnsi="宋体"/>
          <w:sz w:val="28"/>
          <w:szCs w:val="28"/>
        </w:rPr>
        <w:t>评标工作由</w:t>
      </w:r>
      <w:r>
        <w:rPr>
          <w:rFonts w:hint="eastAsia" w:ascii="宋体" w:hAnsi="宋体"/>
          <w:sz w:val="28"/>
          <w:szCs w:val="28"/>
          <w:lang w:eastAsia="zh-CN"/>
        </w:rPr>
        <w:t>区公资交易中心</w:t>
      </w:r>
      <w:r>
        <w:rPr>
          <w:rFonts w:hint="eastAsia" w:ascii="宋体" w:hAnsi="宋体"/>
          <w:sz w:val="28"/>
          <w:szCs w:val="28"/>
        </w:rPr>
        <w:t>负责组织，具体评标事务由采购人或</w:t>
      </w:r>
      <w:r>
        <w:rPr>
          <w:rFonts w:hint="eastAsia" w:ascii="宋体" w:hAnsi="宋体"/>
          <w:sz w:val="28"/>
          <w:szCs w:val="28"/>
          <w:lang w:eastAsia="zh-CN"/>
        </w:rPr>
        <w:t>区公资交易中心</w:t>
      </w:r>
      <w:r>
        <w:rPr>
          <w:rFonts w:hint="eastAsia" w:ascii="宋体" w:hAnsi="宋体"/>
          <w:sz w:val="28"/>
          <w:szCs w:val="28"/>
        </w:rPr>
        <w:t>依法组建的评标委员会负责。评标委员会由采购人代表和评审专家组成。</w:t>
      </w:r>
    </w:p>
    <w:p>
      <w:pPr>
        <w:numPr>
          <w:ilvl w:val="0"/>
          <w:numId w:val="59"/>
        </w:numPr>
        <w:tabs>
          <w:tab w:val="left" w:pos="1134"/>
        </w:tabs>
        <w:spacing w:after="0" w:line="360" w:lineRule="auto"/>
        <w:ind w:left="0" w:firstLine="565" w:firstLineChars="202"/>
        <w:jc w:val="left"/>
        <w:rPr>
          <w:rFonts w:hint="eastAsia"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59"/>
        </w:numPr>
        <w:tabs>
          <w:tab w:val="left" w:pos="1134"/>
        </w:tabs>
        <w:spacing w:after="0" w:line="360" w:lineRule="auto"/>
        <w:ind w:left="0" w:firstLine="565" w:firstLineChars="202"/>
        <w:jc w:val="left"/>
        <w:rPr>
          <w:rFonts w:hint="eastAsia"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熟悉和理解招标文件；</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审查、评价投标文件是否符合招标文件的商务、技术等实质性要求；</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对投标文件进行比较和评价；</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lang w:eastAsia="zh-CN"/>
        </w:rPr>
        <w:t>推荐</w:t>
      </w:r>
      <w:r>
        <w:rPr>
          <w:rFonts w:hint="eastAsia" w:ascii="宋体" w:hAnsi="宋体"/>
          <w:sz w:val="28"/>
          <w:szCs w:val="28"/>
        </w:rPr>
        <w:t>中标候选人名单，以及根据采购人委托直接确定中标人；</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起草评标报告并进行签署；</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向采购人、</w:t>
      </w:r>
      <w:r>
        <w:rPr>
          <w:rFonts w:hint="eastAsia" w:ascii="宋体" w:hAnsi="宋体"/>
          <w:sz w:val="28"/>
          <w:szCs w:val="28"/>
          <w:lang w:eastAsia="zh-CN"/>
        </w:rPr>
        <w:t>区公资交易中心</w:t>
      </w:r>
      <w:r>
        <w:rPr>
          <w:rFonts w:hint="eastAsia" w:ascii="宋体" w:hAnsi="宋体"/>
          <w:sz w:val="28"/>
          <w:szCs w:val="28"/>
        </w:rPr>
        <w:t>或者财政、监察等有关部门报告或举报非法干预评标工作的行为；</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向采购人、</w:t>
      </w:r>
      <w:r>
        <w:rPr>
          <w:rFonts w:hint="eastAsia" w:cs="Arial"/>
          <w:sz w:val="28"/>
          <w:szCs w:val="28"/>
          <w:lang w:eastAsia="zh-CN"/>
        </w:rPr>
        <w:t>区公资交易中心</w:t>
      </w:r>
      <w:r>
        <w:rPr>
          <w:rFonts w:hint="eastAsia" w:ascii="宋体" w:hAnsi="宋体"/>
          <w:sz w:val="28"/>
          <w:szCs w:val="28"/>
        </w:rPr>
        <w:t>或者有关部门报告评标中发现的违法行为。</w:t>
      </w:r>
    </w:p>
    <w:p>
      <w:pPr>
        <w:numPr>
          <w:ilvl w:val="1"/>
          <w:numId w:val="60"/>
        </w:numPr>
        <w:spacing w:after="0" w:line="360" w:lineRule="auto"/>
        <w:ind w:left="0" w:firstLine="567"/>
        <w:rPr>
          <w:rFonts w:hint="eastAsia" w:ascii="宋体" w:hAnsi="宋体"/>
          <w:sz w:val="28"/>
          <w:szCs w:val="28"/>
        </w:rPr>
      </w:pPr>
      <w:r>
        <w:rPr>
          <w:rFonts w:hint="eastAsia" w:ascii="宋体" w:hAnsi="宋体"/>
          <w:sz w:val="28"/>
          <w:szCs w:val="28"/>
        </w:rPr>
        <w:t>法律、法规和规章规定的其他职责。</w:t>
      </w:r>
    </w:p>
    <w:p>
      <w:pPr>
        <w:numPr>
          <w:ilvl w:val="0"/>
          <w:numId w:val="59"/>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59"/>
        </w:numPr>
        <w:tabs>
          <w:tab w:val="left" w:pos="1134"/>
        </w:tabs>
        <w:spacing w:after="0" w:line="360" w:lineRule="auto"/>
        <w:ind w:left="0" w:firstLine="565" w:firstLineChars="202"/>
        <w:rPr>
          <w:rFonts w:hint="eastAsia"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tabs>
          <w:tab w:val="left" w:pos="1134"/>
        </w:tabs>
        <w:spacing w:line="360" w:lineRule="auto"/>
        <w:ind w:firstLine="560" w:firstLineChars="200"/>
        <w:rPr>
          <w:rFonts w:hint="eastAsia" w:ascii="宋体" w:hAnsi="宋体"/>
          <w:sz w:val="28"/>
          <w:szCs w:val="28"/>
        </w:rPr>
      </w:pPr>
      <w:r>
        <w:rPr>
          <w:rFonts w:hint="eastAsia" w:ascii="宋体" w:hAnsi="宋体"/>
          <w:sz w:val="28"/>
          <w:szCs w:val="28"/>
        </w:rPr>
        <w:t>七、评标委员会发现招标文件表述不明确或需要说明的事项，可提请采购人和</w:t>
      </w:r>
      <w:r>
        <w:rPr>
          <w:rFonts w:hint="eastAsia" w:ascii="宋体" w:hAnsi="宋体"/>
          <w:sz w:val="28"/>
          <w:szCs w:val="28"/>
          <w:lang w:eastAsia="zh-CN"/>
        </w:rPr>
        <w:t>区公资交易中心</w:t>
      </w:r>
      <w:r>
        <w:rPr>
          <w:rFonts w:hint="eastAsia" w:ascii="宋体" w:hAnsi="宋体"/>
          <w:sz w:val="28"/>
          <w:szCs w:val="28"/>
        </w:rPr>
        <w:t>书面解释说明。</w:t>
      </w:r>
    </w:p>
    <w:p>
      <w:pPr>
        <w:pStyle w:val="5"/>
        <w:numPr>
          <w:ilvl w:val="1"/>
          <w:numId w:val="1"/>
        </w:numPr>
        <w:spacing w:before="0" w:after="0"/>
        <w:rPr>
          <w:rFonts w:hint="eastAsia"/>
        </w:rPr>
      </w:pPr>
      <w:bookmarkStart w:id="255" w:name="_Toc15078"/>
      <w:bookmarkStart w:id="256" w:name="_Toc24784"/>
      <w:bookmarkStart w:id="257" w:name="_Toc217446098"/>
      <w:bookmarkStart w:id="258" w:name="_Toc315871644"/>
      <w:bookmarkStart w:id="259" w:name="_Toc316292250"/>
      <w:r>
        <w:rPr>
          <w:rFonts w:hint="eastAsia"/>
        </w:rPr>
        <w:t>评标方法</w:t>
      </w:r>
      <w:bookmarkEnd w:id="255"/>
      <w:bookmarkEnd w:id="256"/>
    </w:p>
    <w:p>
      <w:pPr>
        <w:spacing w:line="360" w:lineRule="auto"/>
        <w:ind w:firstLine="560" w:firstLineChars="200"/>
        <w:rPr>
          <w:rFonts w:hint="eastAsia"/>
        </w:rPr>
      </w:pPr>
      <w:r>
        <w:rPr>
          <w:rFonts w:hint="eastAsia" w:ascii="宋体" w:hAnsi="宋体"/>
          <w:sz w:val="28"/>
          <w:szCs w:val="28"/>
          <w:lang w:eastAsia="zh-CN"/>
        </w:rPr>
        <w:t>综合评分</w:t>
      </w:r>
      <w:r>
        <w:rPr>
          <w:rFonts w:hint="eastAsia" w:ascii="宋体" w:hAnsi="宋体"/>
          <w:sz w:val="28"/>
          <w:szCs w:val="28"/>
        </w:rPr>
        <w:t>法。</w:t>
      </w:r>
    </w:p>
    <w:p>
      <w:pPr>
        <w:pStyle w:val="5"/>
        <w:numPr>
          <w:ilvl w:val="1"/>
          <w:numId w:val="1"/>
        </w:numPr>
        <w:spacing w:before="0" w:after="0"/>
      </w:pPr>
      <w:bookmarkStart w:id="260" w:name="_Toc13673"/>
      <w:bookmarkStart w:id="261" w:name="_Toc7517"/>
      <w:r>
        <w:rPr>
          <w:rFonts w:hint="eastAsia"/>
        </w:rPr>
        <w:t>评标程序</w:t>
      </w:r>
      <w:bookmarkEnd w:id="257"/>
      <w:bookmarkEnd w:id="258"/>
      <w:bookmarkEnd w:id="259"/>
      <w:bookmarkEnd w:id="260"/>
      <w:bookmarkEnd w:id="261"/>
    </w:p>
    <w:p>
      <w:pPr>
        <w:pStyle w:val="6"/>
        <w:numPr>
          <w:ilvl w:val="2"/>
          <w:numId w:val="1"/>
        </w:numPr>
        <w:spacing w:after="0"/>
        <w:ind w:left="0" w:firstLine="0"/>
        <w:rPr>
          <w:rFonts w:hint="eastAsia"/>
          <w:color w:val="auto"/>
        </w:rPr>
      </w:pPr>
      <w:bookmarkStart w:id="262" w:name="_Toc316475650"/>
      <w:bookmarkEnd w:id="262"/>
      <w:bookmarkStart w:id="263" w:name="_Toc217446099"/>
      <w:r>
        <w:rPr>
          <w:rFonts w:hint="eastAsia"/>
          <w:color w:val="auto"/>
        </w:rPr>
        <w:t>符合性审查</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lang w:eastAsia="zh-CN"/>
        </w:rPr>
        <w:t>包件</w:t>
      </w:r>
      <w:r>
        <w:rPr>
          <w:rFonts w:hint="eastAsia" w:ascii="宋体" w:hAnsi="宋体"/>
          <w:sz w:val="28"/>
          <w:szCs w:val="28"/>
          <w:lang w:val="en-US" w:eastAsia="zh-CN"/>
        </w:rPr>
        <w:t>1、2</w:t>
      </w:r>
      <w:r>
        <w:rPr>
          <w:rFonts w:hint="eastAsia" w:ascii="宋体" w:hAnsi="宋体"/>
          <w:sz w:val="28"/>
          <w:szCs w:val="28"/>
        </w:rPr>
        <w:t>符合性审查标准（按以下顺序审查）：</w:t>
      </w:r>
    </w:p>
    <w:tbl>
      <w:tblPr>
        <w:tblStyle w:val="45"/>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70"/>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投标文件商务技术响应文件、报价要求响应文件组成</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2</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投标文件商务技术响应文件、报价要求响应文件的计量单位、语言、报价货币、投标有效期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sz w:val="24"/>
                <w:szCs w:val="28"/>
              </w:rPr>
            </w:pPr>
            <w:r>
              <w:rPr>
                <w:rFonts w:hint="eastAsia" w:ascii="宋体" w:hAnsi="宋体"/>
                <w:sz w:val="24"/>
                <w:szCs w:val="28"/>
              </w:rPr>
              <w:t>投标文件签章</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sz w:val="24"/>
                <w:szCs w:val="28"/>
              </w:rPr>
            </w:pPr>
            <w:r>
              <w:rPr>
                <w:rFonts w:hint="eastAsia" w:ascii="宋体" w:hAnsi="宋体"/>
                <w:sz w:val="24"/>
                <w:szCs w:val="28"/>
              </w:rPr>
              <w:t>投标文件加盖有投标人（法定名称）电子签章。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sz w:val="24"/>
                <w:szCs w:val="28"/>
                <w:lang w:eastAsia="zh-CN"/>
              </w:rPr>
              <w:t>*</w:t>
            </w:r>
            <w:r>
              <w:rPr>
                <w:rFonts w:hint="eastAsia" w:ascii="宋体" w:hAnsi="宋体"/>
                <w:sz w:val="24"/>
                <w:szCs w:val="28"/>
              </w:rPr>
              <w:t>号的技术、服务、商务及其他要求</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sz w:val="24"/>
                <w:szCs w:val="28"/>
                <w:lang w:eastAsia="zh-CN"/>
              </w:rPr>
              <w:t>*</w:t>
            </w:r>
            <w:r>
              <w:rPr>
                <w:rFonts w:hint="eastAsia" w:ascii="宋体" w:hAnsi="宋体"/>
                <w:sz w:val="24"/>
                <w:szCs w:val="28"/>
              </w:rPr>
              <w:t>号的技术、服务、商务及其他要求。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sz w:val="24"/>
                <w:szCs w:val="28"/>
                <w:lang w:eastAsia="zh-CN"/>
              </w:rPr>
            </w:pPr>
            <w:r>
              <w:rPr>
                <w:rFonts w:hint="eastAsia" w:ascii="宋体" w:hAnsi="宋体"/>
                <w:sz w:val="24"/>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sz w:val="24"/>
                <w:szCs w:val="24"/>
              </w:rPr>
            </w:pPr>
            <w:r>
              <w:rPr>
                <w:rFonts w:hint="eastAsia" w:ascii="宋体" w:hAnsi="宋体"/>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。（6）无须提供证明材料，上传空白页即可，不对本项上传的材料作符合性审查。】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9</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sz w:val="24"/>
                <w:szCs w:val="24"/>
              </w:rPr>
            </w:pPr>
            <w:r>
              <w:rPr>
                <w:rFonts w:hint="eastAsia" w:ascii="宋体" w:hAnsi="宋体"/>
                <w:sz w:val="24"/>
                <w:szCs w:val="28"/>
              </w:rPr>
              <w:t>招标文件中未载明“允许采购进口产品”的产品，投标产品为国产产品。</w:t>
            </w:r>
          </w:p>
        </w:tc>
      </w:tr>
    </w:tbl>
    <w:p>
      <w:pPr>
        <w:tabs>
          <w:tab w:val="left" w:pos="851"/>
        </w:tabs>
        <w:spacing w:line="360" w:lineRule="auto"/>
        <w:ind w:firstLine="568" w:firstLineChars="202"/>
        <w:rPr>
          <w:rFonts w:hint="eastAsia" w:ascii="宋体" w:hAnsi="宋体"/>
          <w:b/>
          <w:bCs/>
          <w:sz w:val="28"/>
          <w:szCs w:val="28"/>
          <w:lang w:eastAsia="zh-CN"/>
        </w:rPr>
      </w:pPr>
      <w:r>
        <w:rPr>
          <w:rFonts w:hint="eastAsia" w:ascii="宋体" w:hAnsi="宋体"/>
          <w:b/>
          <w:bCs/>
          <w:sz w:val="28"/>
          <w:szCs w:val="28"/>
          <w:lang w:eastAsia="zh-CN"/>
        </w:rPr>
        <w:t>备注：</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区公资交易中心</w:t>
      </w:r>
      <w:r>
        <w:rPr>
          <w:rFonts w:hint="eastAsia" w:ascii="宋体" w:hAnsi="宋体"/>
          <w:sz w:val="28"/>
          <w:szCs w:val="28"/>
        </w:rPr>
        <w:t>将通知投标人（以短信、现场公示、电话、“政府采购云平台”等任一方式）。投标人如对评审结论有异议的，应及时向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三、</w:t>
      </w:r>
      <w:r>
        <w:rPr>
          <w:rFonts w:hint="eastAsia" w:ascii="宋体" w:hAnsi="宋体" w:eastAsia="宋体"/>
          <w:sz w:val="28"/>
          <w:szCs w:val="28"/>
        </w:rPr>
        <w:t>各包件通过</w:t>
      </w:r>
      <w:r>
        <w:rPr>
          <w:rFonts w:hint="eastAsia" w:ascii="宋体" w:hAnsi="宋体"/>
          <w:sz w:val="28"/>
          <w:szCs w:val="28"/>
        </w:rPr>
        <w:t>符合性审查的供应商＜3名，</w:t>
      </w:r>
      <w:r>
        <w:rPr>
          <w:rFonts w:hint="eastAsia" w:ascii="宋体" w:hAnsi="宋体"/>
          <w:sz w:val="28"/>
          <w:szCs w:val="28"/>
          <w:lang w:eastAsia="zh-CN"/>
        </w:rPr>
        <w:t>对应包件</w:t>
      </w:r>
      <w:r>
        <w:rPr>
          <w:rFonts w:hint="eastAsia" w:ascii="宋体" w:hAnsi="宋体"/>
          <w:sz w:val="28"/>
          <w:szCs w:val="28"/>
        </w:rPr>
        <w:t>采购失败。</w:t>
      </w:r>
    </w:p>
    <w:p>
      <w:pPr>
        <w:pStyle w:val="6"/>
        <w:numPr>
          <w:ilvl w:val="2"/>
          <w:numId w:val="1"/>
        </w:numPr>
        <w:spacing w:after="0"/>
        <w:ind w:left="0" w:firstLine="0"/>
        <w:rPr>
          <w:rFonts w:hint="eastAsia"/>
          <w:color w:val="auto"/>
        </w:rPr>
      </w:pPr>
      <w:r>
        <w:rPr>
          <w:rFonts w:hint="eastAsia"/>
          <w:color w:val="auto"/>
        </w:rPr>
        <w:t>解释、澄清有关问题</w:t>
      </w:r>
    </w:p>
    <w:p>
      <w:pPr>
        <w:numPr>
          <w:ilvl w:val="0"/>
          <w:numId w:val="61"/>
        </w:numPr>
        <w:tabs>
          <w:tab w:val="left" w:pos="1134"/>
        </w:tabs>
        <w:spacing w:line="560" w:lineRule="exact"/>
        <w:ind w:left="0" w:firstLine="525"/>
        <w:rPr>
          <w:rFonts w:ascii="宋体" w:hAnsi="宋体"/>
          <w:sz w:val="28"/>
          <w:szCs w:val="28"/>
        </w:rPr>
      </w:pPr>
      <w:bookmarkStart w:id="264" w:name="_Toc315871650"/>
      <w:bookmarkEnd w:id="264"/>
      <w:bookmarkStart w:id="265" w:name="_Toc315871652"/>
      <w:bookmarkEnd w:id="265"/>
      <w:bookmarkStart w:id="266" w:name="_Toc315871649"/>
      <w:bookmarkEnd w:id="266"/>
      <w:bookmarkStart w:id="267" w:name="_Toc315871651"/>
      <w:bookmarkEnd w:id="267"/>
      <w:bookmarkStart w:id="268" w:name="_Toc316292253"/>
      <w:bookmarkStart w:id="269" w:name="_Toc315871647"/>
      <w:bookmarkStart w:id="270" w:name="_Toc315871653"/>
      <w:bookmarkStart w:id="271" w:name="_Toc316292255"/>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区公资交易中心</w:t>
      </w:r>
      <w:r>
        <w:rPr>
          <w:rFonts w:hint="eastAsia" w:ascii="宋体" w:hAnsi="宋体"/>
          <w:sz w:val="28"/>
          <w:szCs w:val="28"/>
        </w:rPr>
        <w:t>书面解释。</w:t>
      </w:r>
      <w:r>
        <w:rPr>
          <w:rFonts w:hint="eastAsia" w:ascii="宋体" w:hAnsi="宋体"/>
          <w:sz w:val="28"/>
          <w:szCs w:val="28"/>
          <w:lang w:eastAsia="zh-CN"/>
        </w:rPr>
        <w:t>区公资交易中心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61"/>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61"/>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62"/>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62"/>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62"/>
        </w:numPr>
        <w:tabs>
          <w:tab w:val="left" w:pos="993"/>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61"/>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pStyle w:val="6"/>
        <w:numPr>
          <w:ilvl w:val="2"/>
          <w:numId w:val="1"/>
        </w:numPr>
        <w:spacing w:after="0"/>
        <w:ind w:left="567"/>
        <w:rPr>
          <w:rFonts w:hint="eastAsia"/>
          <w:color w:val="auto"/>
        </w:rPr>
      </w:pPr>
      <w:r>
        <w:rPr>
          <w:rFonts w:hint="eastAsia"/>
          <w:color w:val="auto"/>
        </w:rPr>
        <w:t>比较与评价</w:t>
      </w:r>
      <w:bookmarkEnd w:id="268"/>
      <w:bookmarkEnd w:id="269"/>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按招标文件中规定的评标细则及标准，对符合性检查合格的投标文件进行商务和服务评估，综合比较与评价。</w:t>
      </w:r>
    </w:p>
    <w:p>
      <w:pPr>
        <w:pStyle w:val="6"/>
        <w:numPr>
          <w:ilvl w:val="2"/>
          <w:numId w:val="1"/>
        </w:numPr>
        <w:spacing w:after="0"/>
        <w:ind w:left="0" w:firstLine="0"/>
        <w:rPr>
          <w:rFonts w:hint="eastAsia"/>
          <w:color w:val="auto"/>
        </w:rPr>
      </w:pPr>
      <w:r>
        <w:rPr>
          <w:rFonts w:hint="eastAsia"/>
          <w:color w:val="auto"/>
        </w:rPr>
        <w:t>复核</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63"/>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63"/>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63"/>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63"/>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6"/>
        <w:numPr>
          <w:ilvl w:val="2"/>
          <w:numId w:val="1"/>
        </w:numPr>
        <w:spacing w:after="0"/>
        <w:ind w:left="0" w:firstLine="0"/>
        <w:rPr>
          <w:rFonts w:ascii="宋体" w:hAnsi="宋体"/>
          <w:b/>
          <w:bCs/>
          <w:sz w:val="28"/>
          <w:szCs w:val="28"/>
        </w:rPr>
      </w:pPr>
      <w:r>
        <w:rPr>
          <w:rFonts w:hint="eastAsia" w:ascii="宋体" w:hAnsi="宋体"/>
          <w:b/>
          <w:bCs/>
          <w:sz w:val="28"/>
          <w:szCs w:val="28"/>
        </w:rPr>
        <w:t>确定中标候选人名单</w:t>
      </w:r>
    </w:p>
    <w:p>
      <w:pPr>
        <w:spacing w:line="360" w:lineRule="auto"/>
        <w:ind w:firstLine="560" w:firstLineChars="200"/>
        <w:rPr>
          <w:rFonts w:ascii="宋体" w:hAnsi="宋体"/>
          <w:sz w:val="28"/>
          <w:szCs w:val="28"/>
        </w:rPr>
      </w:pPr>
      <w:r>
        <w:rPr>
          <w:rFonts w:hint="eastAsia" w:ascii="宋体" w:hAnsi="宋体"/>
          <w:sz w:val="28"/>
          <w:szCs w:val="28"/>
        </w:rPr>
        <w:t>各包件按投标人综合得分从高到低进行排序，各包件确定1至3名中标候选人。综合得分相同的，按投标报价由低到高顺序排列；得分且投标报价相同的并列，</w:t>
      </w:r>
      <w:r>
        <w:rPr>
          <w:rFonts w:hint="eastAsia" w:ascii="宋体" w:hAnsi="宋体" w:cs="Helvetica"/>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pStyle w:val="6"/>
        <w:numPr>
          <w:ilvl w:val="2"/>
          <w:numId w:val="1"/>
        </w:numPr>
        <w:spacing w:after="0"/>
        <w:ind w:left="0" w:firstLine="0"/>
        <w:rPr>
          <w:rFonts w:ascii="宋体" w:hAnsi="宋体"/>
          <w:b/>
          <w:bCs/>
          <w:sz w:val="28"/>
          <w:szCs w:val="28"/>
        </w:rPr>
      </w:pPr>
      <w:r>
        <w:rPr>
          <w:rFonts w:hint="eastAsia"/>
          <w:sz w:val="28"/>
          <w:szCs w:val="28"/>
          <w:lang w:eastAsia="zh-CN"/>
        </w:rPr>
        <w:t>编写评标报告</w:t>
      </w:r>
    </w:p>
    <w:bookmarkEnd w:id="0"/>
    <w:bookmarkEnd w:id="1"/>
    <w:bookmarkEnd w:id="2"/>
    <w:bookmarkEnd w:id="3"/>
    <w:bookmarkEnd w:id="263"/>
    <w:bookmarkEnd w:id="270"/>
    <w:bookmarkEnd w:id="271"/>
    <w:p>
      <w:pPr>
        <w:spacing w:line="560" w:lineRule="exact"/>
        <w:ind w:firstLine="560" w:firstLineChars="200"/>
        <w:rPr>
          <w:rFonts w:ascii="宋体" w:hAnsi="宋体"/>
          <w:sz w:val="28"/>
          <w:szCs w:val="28"/>
        </w:rPr>
      </w:pPr>
      <w:bookmarkStart w:id="272" w:name="_Toc30762"/>
      <w:bookmarkStart w:id="273" w:name="_Toc65169734"/>
      <w:r>
        <w:rPr>
          <w:rFonts w:hint="eastAsia" w:ascii="宋体" w:hAnsi="宋体"/>
          <w:sz w:val="28"/>
          <w:szCs w:val="28"/>
        </w:rPr>
        <w:t>评标报告是评标委员会根据全体评标成员签字的原始评标记录和评标结果编写的报告，其主要内容包括：</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64"/>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65"/>
        </w:numPr>
        <w:spacing w:line="360" w:lineRule="auto"/>
        <w:jc w:val="left"/>
        <w:outlineLvl w:val="1"/>
        <w:rPr>
          <w:rFonts w:ascii="宋体" w:hAnsi="宋体"/>
          <w:b/>
          <w:bCs/>
          <w:sz w:val="28"/>
          <w:szCs w:val="28"/>
        </w:rPr>
      </w:pPr>
      <w:bookmarkStart w:id="274" w:name="_Toc22195"/>
      <w:r>
        <w:rPr>
          <w:rFonts w:hint="eastAsia" w:ascii="宋体" w:hAnsi="宋体"/>
          <w:b/>
          <w:bCs/>
          <w:sz w:val="28"/>
          <w:szCs w:val="28"/>
        </w:rPr>
        <w:t>评标争议处理规则</w:t>
      </w:r>
      <w:bookmarkEnd w:id="272"/>
      <w:bookmarkEnd w:id="274"/>
    </w:p>
    <w:bookmarkEnd w:id="273"/>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区</w:t>
      </w:r>
      <w:r>
        <w:rPr>
          <w:rFonts w:hint="eastAsia" w:cs="Arial"/>
          <w:sz w:val="28"/>
          <w:szCs w:val="28"/>
        </w:rPr>
        <w:t>公资交易中心</w:t>
      </w:r>
      <w:r>
        <w:rPr>
          <w:rFonts w:hint="eastAsia" w:ascii="宋体" w:hAnsi="宋体"/>
          <w:sz w:val="28"/>
          <w:szCs w:val="28"/>
        </w:rPr>
        <w:t>书面反映。采购人或</w:t>
      </w:r>
      <w:r>
        <w:rPr>
          <w:rFonts w:hint="eastAsia" w:cs="Arial"/>
          <w:sz w:val="28"/>
          <w:szCs w:val="28"/>
          <w:lang w:eastAsia="zh-CN"/>
        </w:rPr>
        <w:t>区</w:t>
      </w:r>
      <w:r>
        <w:rPr>
          <w:rFonts w:hint="eastAsia" w:cs="Arial"/>
          <w:sz w:val="28"/>
          <w:szCs w:val="28"/>
        </w:rPr>
        <w:t>公资交易中心</w:t>
      </w:r>
      <w:r>
        <w:rPr>
          <w:rFonts w:hint="eastAsia" w:ascii="宋体" w:hAnsi="宋体"/>
          <w:sz w:val="28"/>
          <w:szCs w:val="28"/>
        </w:rPr>
        <w:t>收到书面反映后，应当书面报告采购项目同级财政部门依法处理。</w:t>
      </w:r>
    </w:p>
    <w:p>
      <w:pPr>
        <w:keepNext/>
        <w:keepLines/>
        <w:numPr>
          <w:ilvl w:val="1"/>
          <w:numId w:val="65"/>
        </w:numPr>
        <w:spacing w:line="360" w:lineRule="auto"/>
        <w:jc w:val="left"/>
        <w:outlineLvl w:val="1"/>
        <w:rPr>
          <w:rFonts w:ascii="宋体" w:hAnsi="宋体"/>
          <w:b/>
          <w:bCs/>
          <w:sz w:val="28"/>
          <w:szCs w:val="28"/>
        </w:rPr>
      </w:pPr>
      <w:bookmarkStart w:id="275" w:name="_Toc65169735"/>
      <w:bookmarkStart w:id="276" w:name="_Toc19244"/>
      <w:bookmarkStart w:id="277" w:name="_Toc5246"/>
      <w:r>
        <w:rPr>
          <w:rFonts w:hint="eastAsia" w:ascii="宋体" w:hAnsi="宋体"/>
          <w:b/>
          <w:bCs/>
          <w:sz w:val="28"/>
          <w:szCs w:val="28"/>
        </w:rPr>
        <w:t>评标细则及标准</w:t>
      </w:r>
      <w:bookmarkEnd w:id="275"/>
      <w:bookmarkEnd w:id="276"/>
      <w:bookmarkEnd w:id="277"/>
    </w:p>
    <w:p>
      <w:pPr>
        <w:numPr>
          <w:ilvl w:val="0"/>
          <w:numId w:val="66"/>
        </w:numPr>
        <w:tabs>
          <w:tab w:val="left" w:pos="1155"/>
        </w:tabs>
        <w:spacing w:line="360" w:lineRule="auto"/>
        <w:ind w:left="0" w:firstLine="525"/>
        <w:rPr>
          <w:rFonts w:ascii="宋体" w:hAnsi="宋体"/>
          <w:sz w:val="28"/>
          <w:szCs w:val="28"/>
        </w:rPr>
      </w:pPr>
      <w:r>
        <w:rPr>
          <w:rFonts w:hint="eastAsia" w:ascii="宋体" w:hAnsi="宋体"/>
          <w:sz w:val="28"/>
          <w:szCs w:val="28"/>
        </w:rPr>
        <w:t>评标委员会只对通过资格和符合性审查的投标文件，根据招标文件的要求采用相同的评标程序、评标办法及标准进行评价和比较。</w:t>
      </w:r>
    </w:p>
    <w:p>
      <w:pPr>
        <w:numPr>
          <w:ilvl w:val="0"/>
          <w:numId w:val="66"/>
        </w:numPr>
        <w:tabs>
          <w:tab w:val="left" w:pos="1155"/>
        </w:tabs>
        <w:spacing w:line="360" w:lineRule="auto"/>
        <w:ind w:left="0" w:firstLine="525"/>
        <w:rPr>
          <w:rFonts w:ascii="宋体" w:hAnsi="宋体"/>
          <w:sz w:val="28"/>
          <w:szCs w:val="28"/>
        </w:rPr>
      </w:pPr>
      <w:r>
        <w:rPr>
          <w:rFonts w:hint="eastAsia" w:ascii="宋体" w:hAnsi="宋体"/>
          <w:sz w:val="28"/>
          <w:szCs w:val="28"/>
        </w:rPr>
        <w:t>招标文件第4章技术、服务、商务要求及其他要求中加“</w:t>
      </w:r>
      <w:r>
        <w:rPr>
          <w:rFonts w:hint="eastAsia" w:ascii="宋体" w:hAnsi="宋体"/>
          <w:sz w:val="28"/>
          <w:szCs w:val="28"/>
          <w:lang w:eastAsia="zh-CN"/>
        </w:rPr>
        <w:t>*</w:t>
      </w:r>
      <w:r>
        <w:rPr>
          <w:rFonts w:hint="eastAsia" w:ascii="宋体" w:hAnsi="宋体"/>
          <w:sz w:val="28"/>
          <w:szCs w:val="28"/>
        </w:rPr>
        <w:t>”号的条款为招标文件的实质性要求。</w:t>
      </w:r>
    </w:p>
    <w:p>
      <w:pPr>
        <w:numPr>
          <w:ilvl w:val="0"/>
          <w:numId w:val="66"/>
        </w:numPr>
        <w:tabs>
          <w:tab w:val="left" w:pos="1155"/>
        </w:tabs>
        <w:spacing w:line="360" w:lineRule="auto"/>
        <w:ind w:left="0" w:firstLine="525"/>
        <w:rPr>
          <w:rFonts w:ascii="宋体" w:hAnsi="宋体"/>
          <w:sz w:val="28"/>
          <w:szCs w:val="28"/>
        </w:rPr>
      </w:pPr>
      <w:r>
        <w:rPr>
          <w:rFonts w:hint="eastAsia" w:ascii="宋体" w:hAnsi="宋体"/>
          <w:sz w:val="28"/>
          <w:szCs w:val="28"/>
        </w:rPr>
        <w:t>价格扣除</w:t>
      </w:r>
    </w:p>
    <w:p>
      <w:pPr>
        <w:spacing w:line="360" w:lineRule="auto"/>
        <w:ind w:firstLine="560" w:firstLineChars="200"/>
        <w:rPr>
          <w:rFonts w:ascii="宋体" w:hAnsi="宋体"/>
          <w:sz w:val="28"/>
          <w:szCs w:val="28"/>
        </w:rPr>
      </w:pPr>
      <w:r>
        <w:rPr>
          <w:rFonts w:hint="eastAsia" w:ascii="宋体" w:hAnsi="宋体"/>
          <w:sz w:val="28"/>
          <w:szCs w:val="28"/>
        </w:rPr>
        <w:t>投标人为小型企业或微型企业或监狱企业或残疾人福利性单位的，则给予投标报价10%的价格扣除，按扣除后的价格参与评审排序。</w:t>
      </w:r>
    </w:p>
    <w:p>
      <w:pPr>
        <w:keepNext/>
        <w:keepLines/>
        <w:numPr>
          <w:ilvl w:val="2"/>
          <w:numId w:val="6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560" w:lineRule="exact"/>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560" w:lineRule="exact"/>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65"/>
        </w:numPr>
        <w:spacing w:line="360" w:lineRule="auto"/>
        <w:ind w:left="0" w:firstLine="0"/>
        <w:outlineLvl w:val="2"/>
        <w:rPr>
          <w:rFonts w:ascii="宋体" w:hAnsi="宋体"/>
          <w:b/>
          <w:bCs/>
          <w:sz w:val="28"/>
          <w:szCs w:val="28"/>
        </w:rPr>
      </w:pPr>
      <w:r>
        <w:rPr>
          <w:rFonts w:hint="eastAsia" w:ascii="宋体" w:hAnsi="宋体"/>
          <w:b/>
          <w:bCs/>
          <w:sz w:val="28"/>
          <w:szCs w:val="28"/>
          <w:lang w:eastAsia="zh-CN"/>
        </w:rPr>
        <w:t>评分标准</w:t>
      </w:r>
    </w:p>
    <w:p>
      <w:pPr>
        <w:pStyle w:val="18"/>
        <w:rPr>
          <w:rFonts w:hint="eastAsia" w:ascii="宋体" w:hAnsi="宋体" w:eastAsia="宋体"/>
          <w:sz w:val="28"/>
          <w:szCs w:val="28"/>
          <w:lang w:eastAsia="zh-CN"/>
        </w:rPr>
      </w:pPr>
      <w:r>
        <w:rPr>
          <w:rFonts w:hint="eastAsia" w:ascii="宋体" w:hAnsi="宋体" w:eastAsia="宋体"/>
          <w:sz w:val="28"/>
          <w:szCs w:val="28"/>
        </w:rPr>
        <w:t>包件1</w:t>
      </w:r>
      <w:r>
        <w:rPr>
          <w:rFonts w:hint="eastAsia" w:ascii="宋体" w:hAnsi="宋体" w:eastAsia="宋体"/>
          <w:sz w:val="28"/>
          <w:szCs w:val="28"/>
          <w:lang w:val="en-US" w:eastAsia="zh-CN"/>
        </w:rPr>
        <w:t>:</w:t>
      </w:r>
    </w:p>
    <w:tbl>
      <w:tblPr>
        <w:tblStyle w:val="45"/>
        <w:tblpPr w:leftFromText="180" w:rightFromText="180" w:vertAnchor="text" w:horzAnchor="page" w:tblpX="1087" w:tblpY="468"/>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820"/>
        <w:gridCol w:w="821"/>
        <w:gridCol w:w="549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5" w:type="dxa"/>
            <w:vAlign w:val="center"/>
          </w:tcPr>
          <w:p>
            <w:pPr>
              <w:widowControl/>
              <w:spacing w:line="500" w:lineRule="exact"/>
              <w:jc w:val="center"/>
              <w:rPr>
                <w:rFonts w:ascii="宋体" w:hAnsi="宋体" w:cs="宋体"/>
                <w:b/>
                <w:bCs/>
                <w:szCs w:val="21"/>
              </w:rPr>
            </w:pPr>
            <w:r>
              <w:rPr>
                <w:rFonts w:hint="eastAsia" w:ascii="宋体" w:hAnsi="宋体" w:cs="宋体"/>
                <w:b/>
                <w:bCs/>
                <w:szCs w:val="21"/>
              </w:rPr>
              <w:t>专家类型</w:t>
            </w:r>
          </w:p>
        </w:tc>
        <w:tc>
          <w:tcPr>
            <w:tcW w:w="1641" w:type="dxa"/>
            <w:gridSpan w:val="2"/>
            <w:vAlign w:val="center"/>
          </w:tcPr>
          <w:p>
            <w:pPr>
              <w:widowControl/>
              <w:spacing w:line="500" w:lineRule="exact"/>
              <w:jc w:val="center"/>
              <w:rPr>
                <w:rFonts w:ascii="宋体" w:hAnsi="宋体" w:cs="宋体"/>
                <w:b/>
                <w:bCs/>
                <w:szCs w:val="21"/>
              </w:rPr>
            </w:pPr>
            <w:r>
              <w:rPr>
                <w:rFonts w:hint="eastAsia" w:ascii="宋体" w:hAnsi="宋体" w:cs="宋体"/>
                <w:b/>
                <w:bCs/>
                <w:szCs w:val="21"/>
              </w:rPr>
              <w:t>评审项目</w:t>
            </w:r>
          </w:p>
        </w:tc>
        <w:tc>
          <w:tcPr>
            <w:tcW w:w="5497" w:type="dxa"/>
            <w:vAlign w:val="center"/>
          </w:tcPr>
          <w:p>
            <w:pPr>
              <w:widowControl/>
              <w:spacing w:line="500" w:lineRule="exact"/>
              <w:jc w:val="center"/>
              <w:rPr>
                <w:rFonts w:ascii="宋体" w:hAnsi="宋体" w:cs="宋体"/>
                <w:b/>
                <w:bCs/>
                <w:szCs w:val="21"/>
              </w:rPr>
            </w:pPr>
            <w:r>
              <w:rPr>
                <w:rFonts w:hint="eastAsia" w:ascii="宋体" w:hAnsi="宋体" w:cs="宋体"/>
                <w:b/>
                <w:bCs/>
                <w:szCs w:val="21"/>
              </w:rPr>
              <w:t>评分标准</w:t>
            </w:r>
          </w:p>
        </w:tc>
        <w:tc>
          <w:tcPr>
            <w:tcW w:w="882" w:type="dxa"/>
            <w:vAlign w:val="center"/>
          </w:tcPr>
          <w:p>
            <w:pPr>
              <w:widowControl/>
              <w:spacing w:line="500" w:lineRule="exact"/>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5"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评审委员会成员</w:t>
            </w:r>
          </w:p>
        </w:tc>
        <w:tc>
          <w:tcPr>
            <w:tcW w:w="1641" w:type="dxa"/>
            <w:gridSpan w:val="2"/>
            <w:vAlign w:val="center"/>
          </w:tcPr>
          <w:p>
            <w:pPr>
              <w:adjustRightInd w:val="0"/>
              <w:snapToGrid w:val="0"/>
              <w:spacing w:line="500" w:lineRule="exact"/>
              <w:rPr>
                <w:rFonts w:hint="eastAsia" w:ascii="宋体" w:hAnsi="宋体" w:cs="宋体"/>
                <w:szCs w:val="21"/>
              </w:rPr>
            </w:pPr>
            <w:r>
              <w:rPr>
                <w:rFonts w:hint="eastAsia" w:ascii="宋体" w:hAnsi="宋体" w:cs="宋体"/>
                <w:szCs w:val="21"/>
              </w:rPr>
              <w:t>报价评审</w:t>
            </w:r>
          </w:p>
        </w:tc>
        <w:tc>
          <w:tcPr>
            <w:tcW w:w="5497" w:type="dxa"/>
            <w:vAlign w:val="center"/>
          </w:tcPr>
          <w:p>
            <w:pPr>
              <w:spacing w:line="600" w:lineRule="exact"/>
              <w:ind w:firstLine="440" w:firstLineChars="200"/>
              <w:rPr>
                <w:rFonts w:asciiTheme="minorEastAsia" w:hAnsiTheme="minorEastAsia" w:eastAsiaTheme="minorEastAsia" w:cstheme="minorEastAsia"/>
                <w:b/>
                <w:color w:val="000000" w:themeColor="text1"/>
                <w:sz w:val="22"/>
                <w:szCs w:val="21"/>
                <w14:textFill>
                  <w14:solidFill>
                    <w14:schemeClr w14:val="tx1"/>
                  </w14:solidFill>
                </w14:textFill>
              </w:rPr>
            </w:pPr>
            <w:r>
              <w:rPr>
                <w:rFonts w:ascii="宋体" w:hAnsi="宋体"/>
                <w:sz w:val="22"/>
              </w:rPr>
              <w:t>对小型企业、微型企业、监狱企业、残疾人福利性单位制造的货物的价格（如涉及）给予10%的价格扣除，用扣除后的价格参与评审；</w:t>
            </w:r>
            <w:r>
              <w:rPr>
                <w:rFonts w:hint="eastAsia" w:ascii="宋体" w:hAnsi="宋体"/>
                <w:sz w:val="22"/>
              </w:rPr>
              <w:t>[说明：投标人为监狱企业的，提供由省级以上监狱管理局、戒毒管理局（含新疆生产建设兵团）出具的投标人属于监狱企业的证明文件复印件。]</w:t>
            </w:r>
          </w:p>
          <w:p>
            <w:pPr>
              <w:numPr>
                <w:ilvl w:val="0"/>
                <w:numId w:val="67"/>
              </w:numPr>
              <w:rPr>
                <w:rFonts w:hint="eastAsia" w:ascii="宋体" w:hAnsi="宋体" w:cs="宋体"/>
                <w:szCs w:val="21"/>
              </w:rPr>
            </w:pPr>
            <w:r>
              <w:rPr>
                <w:rFonts w:hint="eastAsia" w:ascii="宋体" w:hAnsi="宋体" w:cs="宋体"/>
                <w:szCs w:val="21"/>
              </w:rPr>
              <w:t>经评标委员会评审，通过资格性和符合性审查，且投标报价最低的投标人的投标报价作为评标基准价；</w:t>
            </w:r>
          </w:p>
          <w:p>
            <w:pPr>
              <w:adjustRightInd w:val="0"/>
              <w:snapToGrid w:val="0"/>
              <w:spacing w:line="500" w:lineRule="exact"/>
              <w:rPr>
                <w:rFonts w:hint="eastAsia" w:ascii="宋体" w:hAnsi="宋体" w:cs="宋体"/>
                <w:szCs w:val="21"/>
              </w:rPr>
            </w:pPr>
            <w:r>
              <w:rPr>
                <w:rFonts w:hint="eastAsia" w:ascii="宋体" w:hAnsi="宋体" w:cs="宋体"/>
                <w:szCs w:val="21"/>
              </w:rPr>
              <w:t>3、投标报价得分=(评标基准价／投标报价)×</w:t>
            </w:r>
            <w:r>
              <w:rPr>
                <w:rFonts w:hint="eastAsia" w:ascii="宋体" w:hAnsi="宋体" w:cs="宋体"/>
                <w:szCs w:val="21"/>
                <w:lang w:val="en-US" w:eastAsia="zh-CN"/>
              </w:rPr>
              <w:t>1</w:t>
            </w:r>
            <w:r>
              <w:rPr>
                <w:rFonts w:hint="eastAsia" w:ascii="宋体" w:hAnsi="宋体" w:cs="宋体"/>
                <w:szCs w:val="21"/>
              </w:rPr>
              <w:t>0。</w:t>
            </w:r>
          </w:p>
        </w:tc>
        <w:tc>
          <w:tcPr>
            <w:tcW w:w="882"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475" w:type="dxa"/>
            <w:vMerge w:val="restart"/>
            <w:vAlign w:val="center"/>
          </w:tcPr>
          <w:p>
            <w:pPr>
              <w:adjustRightInd w:val="0"/>
              <w:snapToGrid w:val="0"/>
              <w:spacing w:line="500" w:lineRule="exact"/>
              <w:rPr>
                <w:rFonts w:hint="eastAsia" w:ascii="宋体" w:hAnsi="宋体" w:cs="宋体"/>
                <w:szCs w:val="21"/>
              </w:rPr>
            </w:pPr>
          </w:p>
          <w:p>
            <w:pPr>
              <w:adjustRightInd w:val="0"/>
              <w:snapToGrid w:val="0"/>
              <w:spacing w:line="500" w:lineRule="exact"/>
              <w:rPr>
                <w:rFonts w:hint="eastAsia" w:ascii="宋体" w:hAnsi="宋体" w:cs="宋体"/>
                <w:szCs w:val="21"/>
              </w:rPr>
            </w:pPr>
            <w:r>
              <w:rPr>
                <w:rFonts w:hint="eastAsia" w:ascii="宋体" w:hAnsi="宋体" w:cs="宋体"/>
                <w:szCs w:val="21"/>
              </w:rPr>
              <w:t>技术类评委</w:t>
            </w:r>
          </w:p>
        </w:tc>
        <w:tc>
          <w:tcPr>
            <w:tcW w:w="820" w:type="dxa"/>
            <w:vMerge w:val="restart"/>
            <w:vAlign w:val="center"/>
          </w:tcPr>
          <w:p>
            <w:pPr>
              <w:adjustRightInd w:val="0"/>
              <w:snapToGrid w:val="0"/>
              <w:spacing w:line="500" w:lineRule="exact"/>
              <w:rPr>
                <w:rFonts w:hint="eastAsia" w:ascii="宋体" w:hAnsi="宋体" w:cs="宋体"/>
                <w:szCs w:val="21"/>
              </w:rPr>
            </w:pPr>
            <w:r>
              <w:rPr>
                <w:rFonts w:hint="eastAsia" w:ascii="宋体" w:hAnsi="宋体" w:cs="宋体"/>
                <w:szCs w:val="21"/>
              </w:rPr>
              <w:t>服务方案</w:t>
            </w:r>
          </w:p>
        </w:tc>
        <w:tc>
          <w:tcPr>
            <w:tcW w:w="821"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作业方案</w:t>
            </w:r>
          </w:p>
        </w:tc>
        <w:tc>
          <w:tcPr>
            <w:tcW w:w="5497"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投标人根据本项目服务内容和服务要求制定环卫作业方案，作业方案包含有：①道路洗扫、②道路冲洗、③人行道保洁、④快速保洁、⑤果屑箱清洗、⑥绿化带保洁、⑦绿化带冲洗、⑧垃圾分类收集转运（含垃圾前端清运）</w:t>
            </w:r>
            <w:bookmarkStart w:id="336" w:name="_GoBack"/>
            <w:bookmarkEnd w:id="336"/>
            <w:r>
              <w:rPr>
                <w:rFonts w:hint="eastAsia" w:ascii="宋体" w:hAnsi="宋体" w:cs="宋体"/>
                <w:szCs w:val="21"/>
              </w:rPr>
              <w:t>⑨公厕管理、⑩河道保洁、⑪绿化管护11个方面，完整提供且符合实际需求的，得</w:t>
            </w:r>
            <w:r>
              <w:rPr>
                <w:rFonts w:hint="eastAsia" w:ascii="宋体" w:hAnsi="宋体" w:cs="宋体"/>
                <w:szCs w:val="21"/>
                <w:lang w:val="en-US" w:eastAsia="zh-CN"/>
              </w:rPr>
              <w:t>22</w:t>
            </w:r>
            <w:r>
              <w:rPr>
                <w:rFonts w:hint="eastAsia" w:ascii="宋体" w:hAnsi="宋体" w:cs="宋体"/>
                <w:szCs w:val="21"/>
              </w:rPr>
              <w:t>分；每缺一项扣</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eastAsia="宋体" w:cs="宋体"/>
                <w:sz w:val="21"/>
                <w:szCs w:val="21"/>
                <w:highlight w:val="none"/>
              </w:rPr>
              <w:t>每有一项不够详尽、不够清晰、不够完善，</w:t>
            </w:r>
            <w:r>
              <w:rPr>
                <w:rFonts w:hint="eastAsia" w:ascii="宋体" w:hAnsi="宋体" w:cs="宋体"/>
                <w:sz w:val="21"/>
                <w:szCs w:val="21"/>
                <w:highlight w:val="none"/>
                <w:lang w:eastAsia="zh-CN"/>
              </w:rPr>
              <w:t>扣</w:t>
            </w:r>
            <w:r>
              <w:rPr>
                <w:rFonts w:hint="eastAsia" w:ascii="宋体" w:hAnsi="宋体" w:cs="宋体"/>
                <w:sz w:val="21"/>
                <w:szCs w:val="21"/>
                <w:highlight w:val="none"/>
                <w:lang w:val="en-US" w:eastAsia="zh-CN"/>
              </w:rPr>
              <w:t>1分，</w:t>
            </w:r>
            <w:r>
              <w:rPr>
                <w:rFonts w:hint="eastAsia" w:ascii="宋体" w:hAnsi="宋体" w:cs="宋体"/>
                <w:szCs w:val="21"/>
              </w:rPr>
              <w:t>扣完为止。</w:t>
            </w:r>
          </w:p>
          <w:p>
            <w:pPr>
              <w:adjustRightInd w:val="0"/>
              <w:snapToGrid w:val="0"/>
              <w:spacing w:line="500" w:lineRule="exact"/>
              <w:rPr>
                <w:rFonts w:hint="eastAsia" w:ascii="宋体" w:hAnsi="宋体" w:cs="宋体"/>
                <w:szCs w:val="21"/>
              </w:rPr>
            </w:pPr>
            <w:r>
              <w:rPr>
                <w:rFonts w:hint="eastAsia" w:ascii="宋体" w:hAnsi="宋体" w:cs="宋体"/>
                <w:szCs w:val="21"/>
              </w:rPr>
              <w:t>在作业方案提供齐全的基础上，①作业时间和作业频次明确，作业人员安排合理，重点和难点区域有针对性作业措施的加2分；②道路洗扫冲洗和垃圾清运作业时间安排合理，有降低噪声影响措施，洒水冲洗有避让行人和避开人流高峰期等措施的加2分；③公厕管理如厕人员安全防护措施可行，消杀除菌时间和频次明确，用电用水安全检查时间具体，公厕内屋顶清洗或更换灯具等作业监管人员明确、安排合理的加2分；④作业工具和作业人员防护用品配备齐全，针对不同季节、不同天气、不同作业内容具有专用作业工具和防护用品，能保障不同季节、不同天气、不同作业内容的工作效率和作业人员自身防护的加2分；⑤河道保洁方案科学，作业时间和频次明确，能保障作业效果的加2分；⑥绿化管护措施和方法科学得当的加2分；⑦垃圾分类收集转运措施详细，明确垃圾分类分拣主体的加2分。最多加14分。</w:t>
            </w:r>
          </w:p>
        </w:tc>
        <w:tc>
          <w:tcPr>
            <w:tcW w:w="882"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lang w:val="en-US" w:eastAsia="zh-CN"/>
              </w:rPr>
              <w:t>36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adjustRightInd w:val="0"/>
              <w:snapToGrid w:val="0"/>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1、投标人依据项目质量要求制定质量保障方案。质量保障方案内容包含：①巡查监督方案；②质量考核方案；③问题整改方案，3个方面得6分；每缺一项扣2分；</w:t>
            </w:r>
            <w:r>
              <w:rPr>
                <w:rFonts w:hint="eastAsia" w:ascii="宋体" w:hAnsi="宋体" w:eastAsia="宋体" w:cs="宋体"/>
                <w:sz w:val="21"/>
                <w:szCs w:val="21"/>
                <w:highlight w:val="none"/>
              </w:rPr>
              <w:t>每有一项不够详尽、不够清晰、不够完善，</w:t>
            </w:r>
            <w:r>
              <w:rPr>
                <w:rFonts w:hint="eastAsia" w:ascii="宋体" w:hAnsi="宋体" w:eastAsia="宋体" w:cs="宋体"/>
                <w:sz w:val="21"/>
                <w:szCs w:val="21"/>
                <w:highlight w:val="none"/>
                <w:lang w:eastAsia="zh-CN"/>
              </w:rPr>
              <w:t>扣</w:t>
            </w:r>
            <w:r>
              <w:rPr>
                <w:rFonts w:hint="eastAsia" w:ascii="宋体" w:hAnsi="宋体" w:eastAsia="宋体" w:cs="宋体"/>
                <w:sz w:val="21"/>
                <w:szCs w:val="21"/>
                <w:highlight w:val="none"/>
                <w:lang w:val="en-US" w:eastAsia="zh-CN"/>
              </w:rPr>
              <w:t>1分；</w:t>
            </w:r>
            <w:r>
              <w:rPr>
                <w:rFonts w:hint="eastAsia" w:ascii="宋体" w:hAnsi="宋体" w:eastAsia="宋体" w:cs="宋体"/>
                <w:kern w:val="2"/>
                <w:sz w:val="21"/>
                <w:szCs w:val="21"/>
                <w:lang w:val="en-US" w:eastAsia="zh-CN" w:bidi="ar-SA"/>
              </w:rPr>
              <w:t>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2、在质量保障方案提供齐全的基础上，①巡查监督人员配置合理，巡查监督区域明确，考核奖惩分明的加2分；②巡查监督、质量考核、问题整改环节清晰，流程清楚，措施具体加2分。最多加4分。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adjustRightInd w:val="0"/>
              <w:snapToGrid w:val="0"/>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1、投标人根据项目作业内容进行制定安全保障方案，内容包含：①车辆安全保障方案；②作业人员安全保障方案；③安全事故处理保障方案，3个方面得6分；每缺一项扣2分；</w:t>
            </w:r>
            <w:r>
              <w:rPr>
                <w:rFonts w:hint="eastAsia" w:ascii="宋体" w:hAnsi="宋体" w:eastAsia="宋体" w:cs="宋体"/>
                <w:sz w:val="21"/>
                <w:szCs w:val="21"/>
                <w:highlight w:val="none"/>
              </w:rPr>
              <w:t>每有一项不够详尽、不够清晰、不够完善，</w:t>
            </w:r>
            <w:r>
              <w:rPr>
                <w:rFonts w:hint="eastAsia" w:ascii="宋体" w:hAnsi="宋体" w:eastAsia="宋体" w:cs="宋体"/>
                <w:sz w:val="21"/>
                <w:szCs w:val="21"/>
                <w:highlight w:val="none"/>
                <w:lang w:eastAsia="zh-CN"/>
              </w:rPr>
              <w:t>扣</w:t>
            </w:r>
            <w:r>
              <w:rPr>
                <w:rFonts w:hint="eastAsia" w:ascii="宋体" w:hAnsi="宋体" w:eastAsia="宋体" w:cs="宋体"/>
                <w:sz w:val="21"/>
                <w:szCs w:val="21"/>
                <w:highlight w:val="none"/>
                <w:lang w:val="en-US" w:eastAsia="zh-CN"/>
              </w:rPr>
              <w:t>1分</w:t>
            </w:r>
            <w:r>
              <w:rPr>
                <w:rFonts w:hint="eastAsia" w:ascii="宋体" w:hAnsi="宋体" w:eastAsia="宋体" w:cs="宋体"/>
                <w:kern w:val="2"/>
                <w:sz w:val="21"/>
                <w:szCs w:val="21"/>
                <w:lang w:val="en-US" w:eastAsia="zh-CN" w:bidi="ar-SA"/>
              </w:rPr>
              <w:t>，扣完为止。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安全保障方案提供齐全的基础上：①车辆安全保障措施具有车辆维护制度，定期检查和保养维修制度，保证车辆处于安全、可用状态的加2分；②作业人员安全保障措施符合作业特点，安全知识培训时间具体、符合要求，培训内容针对性强的加2分。最多加4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应急方案</w:t>
            </w:r>
          </w:p>
        </w:tc>
        <w:tc>
          <w:tcPr>
            <w:tcW w:w="5497"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针对本项目制定的应急事件处理方案包括：①突发性公共卫生事件和突发事故处理；②节假日、迎接检查；③突击整治；④极端天气（如大雾、雨雪冰冻、重污染天气）等内容能结合项目实际情况有具体、详尽、针对性的描述，有相应的保障措施且能最大限度保障项目顺利实施的得</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每缺一项扣</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内容描述与项目不符或内容针对性不强扣</w:t>
            </w:r>
            <w:r>
              <w:rPr>
                <w:rFonts w:hint="eastAsia" w:ascii="宋体" w:hAnsi="宋体" w:cs="宋体"/>
                <w:kern w:val="2"/>
                <w:sz w:val="21"/>
                <w:szCs w:val="21"/>
                <w:lang w:val="en-US" w:eastAsia="zh-CN" w:bidi="ar-SA"/>
              </w:rPr>
              <w:t>0.5</w:t>
            </w:r>
            <w:r>
              <w:rPr>
                <w:rFonts w:hint="eastAsia" w:ascii="宋体" w:hAnsi="宋体" w:eastAsia="宋体" w:cs="宋体"/>
                <w:kern w:val="2"/>
                <w:sz w:val="21"/>
                <w:szCs w:val="21"/>
                <w:lang w:val="en-US" w:eastAsia="zh-CN" w:bidi="ar-SA"/>
              </w:rPr>
              <w:t xml:space="preserve"> 分，扣完为止。</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工人权益保障方案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1、投标人根据本项目制定工人权益保障方案，内容包含：①工资保障；②职业健康体检；③节日关怀；④困难职工帮助，4个方面得8分；每缺一项扣2分；</w:t>
            </w:r>
            <w:r>
              <w:rPr>
                <w:rFonts w:hint="eastAsia" w:ascii="宋体" w:hAnsi="宋体" w:eastAsia="宋体" w:cs="宋体"/>
                <w:sz w:val="21"/>
                <w:szCs w:val="21"/>
                <w:highlight w:val="none"/>
              </w:rPr>
              <w:t>每有一项不够详尽、不够清晰、不够完善，</w:t>
            </w:r>
            <w:r>
              <w:rPr>
                <w:rFonts w:hint="eastAsia" w:ascii="宋体" w:hAnsi="宋体" w:eastAsia="宋体" w:cs="宋体"/>
                <w:kern w:val="2"/>
                <w:sz w:val="21"/>
                <w:szCs w:val="21"/>
                <w:lang w:val="en-US" w:eastAsia="zh-CN" w:bidi="ar-SA"/>
              </w:rPr>
              <w:t>扣1分，扣完为止。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2、在工人权益保障方案提供齐全的基础上，工人工资发放时间明确、方式具体的加1分；重大节日关怀时间具体、方式明确的加1分；对困难职工有具体的支持帮助措施的加1分。最多加3分。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安全文明措施</w:t>
            </w:r>
          </w:p>
        </w:tc>
        <w:tc>
          <w:tcPr>
            <w:tcW w:w="5497"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投标人针对本项目制定的安全文明措施包括：①安全管理体系健全；②安全措施周全；③文明管理制度完善可靠；④安全目标具体详细；⑤安全防范重点明确清晰的得</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 xml:space="preserve"> 分，每缺一项扣</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分，内容描述与项目不符或内容针对性不强扣</w:t>
            </w:r>
            <w:r>
              <w:rPr>
                <w:rFonts w:hint="eastAsia" w:ascii="宋体" w:hAnsi="宋体" w:cs="宋体"/>
                <w:kern w:val="2"/>
                <w:sz w:val="21"/>
                <w:szCs w:val="21"/>
                <w:lang w:val="en-US" w:eastAsia="zh-CN" w:bidi="ar-SA"/>
              </w:rPr>
              <w:t>0.5</w:t>
            </w:r>
            <w:r>
              <w:rPr>
                <w:rFonts w:hint="eastAsia" w:ascii="宋体" w:hAnsi="宋体" w:eastAsia="宋体" w:cs="宋体"/>
                <w:kern w:val="2"/>
                <w:sz w:val="21"/>
                <w:szCs w:val="21"/>
                <w:lang w:val="en-US" w:eastAsia="zh-CN" w:bidi="ar-SA"/>
              </w:rPr>
              <w:t xml:space="preserve"> 分，扣完为止。</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75" w:type="dxa"/>
            <w:vMerge w:val="restart"/>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评审委员会成员</w:t>
            </w: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履约能力</w:t>
            </w:r>
          </w:p>
        </w:tc>
        <w:tc>
          <w:tcPr>
            <w:tcW w:w="5497"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ascii="宋体" w:hAnsi="宋体" w:eastAsia="宋体" w:cs="宋体"/>
                <w:sz w:val="21"/>
                <w:szCs w:val="21"/>
              </w:rPr>
              <w:t>根据投标人提供2018年1月1日至今（以合同签订时间为准），环卫清扫保洁项目的履约经验进行评分：每提供一个履约经验得2分，最多得12分。</w:t>
            </w:r>
            <w:r>
              <w:rPr>
                <w:rFonts w:ascii="宋体" w:hAnsi="宋体" w:eastAsia="宋体" w:cs="宋体"/>
                <w:sz w:val="21"/>
                <w:szCs w:val="21"/>
              </w:rPr>
              <w:br w:type="textWrapping"/>
            </w:r>
            <w:r>
              <w:rPr>
                <w:rFonts w:ascii="宋体" w:hAnsi="宋体" w:eastAsia="宋体" w:cs="宋体"/>
                <w:sz w:val="21"/>
                <w:szCs w:val="21"/>
              </w:rPr>
              <w:t>证明材料：供应商提供中标/成交通知书、合同及一次收款凭证，同一项目不重复计分。</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75" w:type="dxa"/>
            <w:vMerge w:val="continue"/>
            <w:vAlign w:val="center"/>
          </w:tcPr>
          <w:p>
            <w:pPr>
              <w:adjustRightInd w:val="0"/>
              <w:snapToGrid w:val="0"/>
              <w:spacing w:line="500" w:lineRule="exact"/>
              <w:rPr>
                <w:rFonts w:hint="eastAsia" w:ascii="宋体" w:hAnsi="宋体" w:eastAsia="宋体" w:cs="宋体"/>
                <w:kern w:val="2"/>
                <w:sz w:val="21"/>
                <w:szCs w:val="21"/>
                <w:lang w:val="en-US" w:eastAsia="zh-CN" w:bidi="ar-SA"/>
              </w:rPr>
            </w:pP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投标文件的规范性</w:t>
            </w:r>
          </w:p>
        </w:tc>
        <w:tc>
          <w:tcPr>
            <w:tcW w:w="5497"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投标文件制作规范，没有细微偏差情形的得1分；有一项细微偏差扣0.5分，直至该项分值扣完为止。</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75" w:type="dxa"/>
            <w:vMerge w:val="continue"/>
            <w:vAlign w:val="center"/>
          </w:tcPr>
          <w:p>
            <w:pPr>
              <w:adjustRightInd w:val="0"/>
              <w:snapToGrid w:val="0"/>
              <w:spacing w:line="500" w:lineRule="exact"/>
              <w:rPr>
                <w:rFonts w:hint="eastAsia" w:ascii="宋体" w:hAnsi="宋体" w:eastAsia="宋体" w:cs="宋体"/>
                <w:kern w:val="2"/>
                <w:sz w:val="21"/>
                <w:szCs w:val="21"/>
                <w:lang w:val="en-US" w:eastAsia="zh-CN" w:bidi="ar-SA"/>
              </w:rPr>
            </w:pP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不发达地区和少数民族地区</w:t>
            </w:r>
          </w:p>
        </w:tc>
        <w:tc>
          <w:tcPr>
            <w:tcW w:w="5497" w:type="dxa"/>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供应商如为不发达地区或少数民族地区的，得1分。</w:t>
            </w:r>
          </w:p>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（说明：以投标人营业执照注册地址为准）</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1分</w:t>
            </w:r>
          </w:p>
        </w:tc>
      </w:tr>
    </w:tbl>
    <w:p>
      <w:pPr>
        <w:ind w:firstLine="560" w:firstLineChars="200"/>
        <w:rPr>
          <w:rFonts w:hint="eastAsia" w:ascii="宋体" w:hAnsi="宋体"/>
          <w:sz w:val="28"/>
          <w:lang w:val="en-US" w:eastAsia="zh-CN"/>
        </w:rPr>
      </w:pPr>
      <w:r>
        <w:rPr>
          <w:rFonts w:hint="eastAsia" w:ascii="宋体" w:hAnsi="宋体"/>
          <w:sz w:val="28"/>
          <w:lang w:eastAsia="zh-CN"/>
        </w:rPr>
        <w:t>包件</w:t>
      </w:r>
      <w:r>
        <w:rPr>
          <w:rFonts w:hint="eastAsia" w:ascii="宋体" w:hAnsi="宋体"/>
          <w:sz w:val="28"/>
          <w:lang w:val="en-US" w:eastAsia="zh-CN"/>
        </w:rPr>
        <w:t>2：</w:t>
      </w:r>
    </w:p>
    <w:tbl>
      <w:tblPr>
        <w:tblStyle w:val="45"/>
        <w:tblpPr w:leftFromText="180" w:rightFromText="180" w:vertAnchor="text" w:horzAnchor="page" w:tblpX="1087" w:tblpY="468"/>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820"/>
        <w:gridCol w:w="821"/>
        <w:gridCol w:w="549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5" w:type="dxa"/>
            <w:vAlign w:val="center"/>
          </w:tcPr>
          <w:p>
            <w:pPr>
              <w:widowControl/>
              <w:spacing w:line="500" w:lineRule="exact"/>
              <w:jc w:val="center"/>
              <w:rPr>
                <w:rFonts w:ascii="宋体" w:hAnsi="宋体" w:cs="宋体"/>
                <w:b/>
                <w:bCs/>
                <w:szCs w:val="21"/>
              </w:rPr>
            </w:pPr>
            <w:r>
              <w:rPr>
                <w:rFonts w:hint="eastAsia" w:ascii="宋体" w:hAnsi="宋体" w:cs="宋体"/>
                <w:b/>
                <w:bCs/>
                <w:szCs w:val="21"/>
              </w:rPr>
              <w:t>专家类型</w:t>
            </w:r>
          </w:p>
        </w:tc>
        <w:tc>
          <w:tcPr>
            <w:tcW w:w="1641" w:type="dxa"/>
            <w:gridSpan w:val="2"/>
            <w:vAlign w:val="center"/>
          </w:tcPr>
          <w:p>
            <w:pPr>
              <w:widowControl/>
              <w:spacing w:line="500" w:lineRule="exact"/>
              <w:jc w:val="center"/>
              <w:rPr>
                <w:rFonts w:ascii="宋体" w:hAnsi="宋体" w:cs="宋体"/>
                <w:b/>
                <w:bCs/>
                <w:szCs w:val="21"/>
              </w:rPr>
            </w:pPr>
            <w:r>
              <w:rPr>
                <w:rFonts w:hint="eastAsia" w:ascii="宋体" w:hAnsi="宋体" w:cs="宋体"/>
                <w:b/>
                <w:bCs/>
                <w:szCs w:val="21"/>
              </w:rPr>
              <w:t>评审项目</w:t>
            </w:r>
          </w:p>
        </w:tc>
        <w:tc>
          <w:tcPr>
            <w:tcW w:w="5497" w:type="dxa"/>
            <w:vAlign w:val="center"/>
          </w:tcPr>
          <w:p>
            <w:pPr>
              <w:widowControl/>
              <w:spacing w:line="500" w:lineRule="exact"/>
              <w:jc w:val="center"/>
              <w:rPr>
                <w:rFonts w:ascii="宋体" w:hAnsi="宋体" w:cs="宋体"/>
                <w:b/>
                <w:bCs/>
                <w:szCs w:val="21"/>
              </w:rPr>
            </w:pPr>
            <w:r>
              <w:rPr>
                <w:rFonts w:hint="eastAsia" w:ascii="宋体" w:hAnsi="宋体" w:cs="宋体"/>
                <w:b/>
                <w:bCs/>
                <w:szCs w:val="21"/>
              </w:rPr>
              <w:t>评分标准</w:t>
            </w:r>
          </w:p>
        </w:tc>
        <w:tc>
          <w:tcPr>
            <w:tcW w:w="882" w:type="dxa"/>
            <w:vAlign w:val="center"/>
          </w:tcPr>
          <w:p>
            <w:pPr>
              <w:widowControl/>
              <w:spacing w:line="500" w:lineRule="exact"/>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5"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评审委员会成员</w:t>
            </w:r>
          </w:p>
        </w:tc>
        <w:tc>
          <w:tcPr>
            <w:tcW w:w="1641" w:type="dxa"/>
            <w:gridSpan w:val="2"/>
            <w:vAlign w:val="center"/>
          </w:tcPr>
          <w:p>
            <w:pPr>
              <w:adjustRightInd w:val="0"/>
              <w:snapToGrid w:val="0"/>
              <w:spacing w:line="500" w:lineRule="exact"/>
              <w:rPr>
                <w:rFonts w:hint="eastAsia" w:ascii="宋体" w:hAnsi="宋体" w:cs="宋体"/>
                <w:szCs w:val="21"/>
              </w:rPr>
            </w:pPr>
            <w:r>
              <w:rPr>
                <w:rFonts w:hint="eastAsia" w:ascii="宋体" w:hAnsi="宋体" w:cs="宋体"/>
                <w:szCs w:val="21"/>
              </w:rPr>
              <w:t>报价评审</w:t>
            </w:r>
          </w:p>
        </w:tc>
        <w:tc>
          <w:tcPr>
            <w:tcW w:w="5497" w:type="dxa"/>
            <w:vAlign w:val="center"/>
          </w:tcPr>
          <w:p>
            <w:pPr>
              <w:spacing w:line="600" w:lineRule="exact"/>
              <w:ind w:firstLine="440" w:firstLineChars="200"/>
              <w:rPr>
                <w:rFonts w:asciiTheme="minorEastAsia" w:hAnsiTheme="minorEastAsia" w:eastAsiaTheme="minorEastAsia" w:cstheme="minorEastAsia"/>
                <w:b/>
                <w:color w:val="000000" w:themeColor="text1"/>
                <w:sz w:val="22"/>
                <w:szCs w:val="21"/>
                <w14:textFill>
                  <w14:solidFill>
                    <w14:schemeClr w14:val="tx1"/>
                  </w14:solidFill>
                </w14:textFill>
              </w:rPr>
            </w:pPr>
            <w:r>
              <w:rPr>
                <w:rFonts w:ascii="宋体" w:hAnsi="宋体"/>
                <w:sz w:val="22"/>
              </w:rPr>
              <w:t>对小型企业、微型企业、监狱企业、残疾人福利性单位制造的货物的价格（如涉及）给予10%的价格扣除，用扣除后的价格参与评审；</w:t>
            </w:r>
            <w:r>
              <w:rPr>
                <w:rFonts w:hint="eastAsia" w:ascii="宋体" w:hAnsi="宋体"/>
                <w:sz w:val="22"/>
              </w:rPr>
              <w:t>[说明：投标人为监狱企业的，提供由省级以上监狱管理局、戒毒管理局（含新疆生产建设兵团）出具的投标人属于监狱企业的证明文件复印件。]</w:t>
            </w:r>
          </w:p>
          <w:p>
            <w:pPr>
              <w:numPr>
                <w:ilvl w:val="0"/>
                <w:numId w:val="67"/>
              </w:numPr>
              <w:rPr>
                <w:rFonts w:hint="eastAsia" w:ascii="宋体" w:hAnsi="宋体" w:cs="宋体"/>
                <w:szCs w:val="21"/>
              </w:rPr>
            </w:pPr>
            <w:r>
              <w:rPr>
                <w:rFonts w:hint="eastAsia" w:ascii="宋体" w:hAnsi="宋体" w:cs="宋体"/>
                <w:szCs w:val="21"/>
              </w:rPr>
              <w:t>经评标委员会评审，通过资格性和符合性审查，且投标报价最低的投标人的投标报价作为评标基准价；</w:t>
            </w:r>
          </w:p>
          <w:p>
            <w:pPr>
              <w:adjustRightInd w:val="0"/>
              <w:snapToGrid w:val="0"/>
              <w:spacing w:line="500" w:lineRule="exact"/>
              <w:rPr>
                <w:rFonts w:hint="eastAsia" w:ascii="宋体" w:hAnsi="宋体" w:cs="宋体"/>
                <w:szCs w:val="21"/>
              </w:rPr>
            </w:pPr>
            <w:r>
              <w:rPr>
                <w:rFonts w:hint="eastAsia" w:ascii="宋体" w:hAnsi="宋体" w:cs="宋体"/>
                <w:szCs w:val="21"/>
              </w:rPr>
              <w:t>3、投标报价得分=(评标基准价／投标报价)×</w:t>
            </w:r>
            <w:r>
              <w:rPr>
                <w:rFonts w:hint="eastAsia" w:ascii="宋体" w:hAnsi="宋体" w:cs="宋体"/>
                <w:szCs w:val="21"/>
                <w:lang w:val="en-US" w:eastAsia="zh-CN"/>
              </w:rPr>
              <w:t>1</w:t>
            </w:r>
            <w:r>
              <w:rPr>
                <w:rFonts w:hint="eastAsia" w:ascii="宋体" w:hAnsi="宋体" w:cs="宋体"/>
                <w:szCs w:val="21"/>
              </w:rPr>
              <w:t>0。</w:t>
            </w:r>
          </w:p>
        </w:tc>
        <w:tc>
          <w:tcPr>
            <w:tcW w:w="882"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475" w:type="dxa"/>
            <w:vMerge w:val="restart"/>
            <w:vAlign w:val="center"/>
          </w:tcPr>
          <w:p>
            <w:pPr>
              <w:adjustRightInd w:val="0"/>
              <w:snapToGrid w:val="0"/>
              <w:spacing w:line="500" w:lineRule="exact"/>
              <w:rPr>
                <w:rFonts w:hint="eastAsia" w:ascii="宋体" w:hAnsi="宋体" w:cs="宋体"/>
                <w:szCs w:val="21"/>
              </w:rPr>
            </w:pPr>
          </w:p>
          <w:p>
            <w:pPr>
              <w:adjustRightInd w:val="0"/>
              <w:snapToGrid w:val="0"/>
              <w:spacing w:line="500" w:lineRule="exact"/>
              <w:rPr>
                <w:rFonts w:hint="eastAsia" w:ascii="宋体" w:hAnsi="宋体" w:cs="宋体"/>
                <w:szCs w:val="21"/>
              </w:rPr>
            </w:pPr>
            <w:r>
              <w:rPr>
                <w:rFonts w:hint="eastAsia" w:ascii="宋体" w:hAnsi="宋体" w:cs="宋体"/>
                <w:szCs w:val="21"/>
              </w:rPr>
              <w:t>技术类评委</w:t>
            </w:r>
          </w:p>
        </w:tc>
        <w:tc>
          <w:tcPr>
            <w:tcW w:w="820" w:type="dxa"/>
            <w:vMerge w:val="restart"/>
            <w:vAlign w:val="center"/>
          </w:tcPr>
          <w:p>
            <w:pPr>
              <w:adjustRightInd w:val="0"/>
              <w:snapToGrid w:val="0"/>
              <w:spacing w:line="500" w:lineRule="exact"/>
              <w:rPr>
                <w:rFonts w:hint="eastAsia" w:ascii="宋体" w:hAnsi="宋体" w:cs="宋体"/>
                <w:szCs w:val="21"/>
              </w:rPr>
            </w:pPr>
            <w:r>
              <w:rPr>
                <w:rFonts w:hint="eastAsia" w:ascii="宋体" w:hAnsi="宋体" w:cs="宋体"/>
                <w:szCs w:val="21"/>
              </w:rPr>
              <w:t>服务方案</w:t>
            </w:r>
          </w:p>
        </w:tc>
        <w:tc>
          <w:tcPr>
            <w:tcW w:w="821" w:type="dxa"/>
            <w:vAlign w:val="center"/>
          </w:tcPr>
          <w:p>
            <w:pPr>
              <w:adjustRightInd w:val="0"/>
              <w:snapToGrid w:val="0"/>
              <w:spacing w:line="500" w:lineRule="exact"/>
              <w:rPr>
                <w:rFonts w:hint="eastAsia" w:ascii="宋体" w:hAnsi="宋体" w:cs="宋体"/>
                <w:szCs w:val="21"/>
              </w:rPr>
            </w:pPr>
            <w:r>
              <w:rPr>
                <w:rFonts w:hint="eastAsia" w:ascii="宋体" w:hAnsi="宋体" w:cs="宋体"/>
                <w:szCs w:val="21"/>
              </w:rPr>
              <w:t>作业方案</w:t>
            </w:r>
          </w:p>
        </w:tc>
        <w:tc>
          <w:tcPr>
            <w:tcW w:w="5497" w:type="dxa"/>
            <w:vAlign w:val="center"/>
          </w:tcPr>
          <w:p>
            <w:pPr>
              <w:adjustRightInd w:val="0"/>
              <w:snapToGrid w:val="0"/>
              <w:spacing w:line="500" w:lineRule="exact"/>
              <w:rPr>
                <w:rFonts w:hint="eastAsia" w:ascii="宋体" w:hAnsi="宋体" w:cs="宋体"/>
                <w:szCs w:val="21"/>
                <w:highlight w:val="none"/>
              </w:rPr>
            </w:pPr>
            <w:r>
              <w:rPr>
                <w:rFonts w:hint="eastAsia" w:ascii="宋体" w:hAnsi="宋体" w:cs="宋体"/>
                <w:szCs w:val="21"/>
                <w:highlight w:val="none"/>
              </w:rPr>
              <w:t>投标人根据本项目服务内容和服务要求制定环卫作业方案，作业方案包含有：①道路洗扫、②道路冲洗、③人行道保洁、④快速保洁、⑤果屑箱清洗、⑥绿化带保洁、⑦绿化带冲洗、⑧垃圾分类收集转运（含垃圾前端清运）、⑨河道保洁、⑩绿化管护1</w:t>
            </w:r>
            <w:r>
              <w:rPr>
                <w:rFonts w:hint="eastAsia" w:ascii="宋体" w:hAnsi="宋体" w:cs="宋体"/>
                <w:szCs w:val="21"/>
                <w:highlight w:val="none"/>
                <w:lang w:val="en-US" w:eastAsia="zh-CN"/>
              </w:rPr>
              <w:t>0</w:t>
            </w:r>
            <w:r>
              <w:rPr>
                <w:rFonts w:hint="eastAsia" w:ascii="宋体" w:hAnsi="宋体" w:cs="宋体"/>
                <w:szCs w:val="21"/>
                <w:highlight w:val="none"/>
              </w:rPr>
              <w:t>个方面，完整提供且符合实际需求的，得</w:t>
            </w:r>
            <w:r>
              <w:rPr>
                <w:rFonts w:hint="eastAsia" w:ascii="宋体" w:hAnsi="宋体" w:cs="宋体"/>
                <w:szCs w:val="21"/>
                <w:highlight w:val="none"/>
                <w:lang w:val="en-US" w:eastAsia="zh-CN"/>
              </w:rPr>
              <w:t>20</w:t>
            </w:r>
            <w:r>
              <w:rPr>
                <w:rFonts w:hint="eastAsia" w:ascii="宋体" w:hAnsi="宋体" w:cs="宋体"/>
                <w:szCs w:val="21"/>
                <w:highlight w:val="none"/>
              </w:rPr>
              <w:t>分；每缺一项扣</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eastAsia="宋体" w:cs="宋体"/>
                <w:sz w:val="21"/>
                <w:szCs w:val="21"/>
                <w:highlight w:val="none"/>
              </w:rPr>
              <w:t>每有一项不够详尽、不够清晰、不够完善，</w:t>
            </w:r>
            <w:r>
              <w:rPr>
                <w:rFonts w:hint="eastAsia" w:ascii="宋体" w:hAnsi="宋体" w:cs="宋体"/>
                <w:sz w:val="21"/>
                <w:szCs w:val="21"/>
                <w:highlight w:val="none"/>
                <w:lang w:eastAsia="zh-CN"/>
              </w:rPr>
              <w:t>扣</w:t>
            </w:r>
            <w:r>
              <w:rPr>
                <w:rFonts w:hint="eastAsia" w:ascii="宋体" w:hAnsi="宋体" w:cs="宋体"/>
                <w:sz w:val="21"/>
                <w:szCs w:val="21"/>
                <w:highlight w:val="none"/>
                <w:lang w:val="en-US" w:eastAsia="zh-CN"/>
              </w:rPr>
              <w:t>1分，</w:t>
            </w:r>
            <w:r>
              <w:rPr>
                <w:rFonts w:hint="eastAsia" w:ascii="宋体" w:hAnsi="宋体" w:cs="宋体"/>
                <w:szCs w:val="21"/>
                <w:highlight w:val="none"/>
              </w:rPr>
              <w:t>扣完为止。</w:t>
            </w:r>
          </w:p>
          <w:p>
            <w:pPr>
              <w:adjustRightInd w:val="0"/>
              <w:snapToGrid w:val="0"/>
              <w:spacing w:line="500" w:lineRule="exact"/>
              <w:rPr>
                <w:rFonts w:hint="eastAsia" w:ascii="宋体" w:hAnsi="宋体" w:cs="宋体"/>
                <w:szCs w:val="21"/>
                <w:highlight w:val="none"/>
              </w:rPr>
            </w:pPr>
            <w:r>
              <w:rPr>
                <w:rFonts w:hint="eastAsia" w:ascii="宋体" w:hAnsi="宋体" w:cs="宋体"/>
                <w:szCs w:val="21"/>
                <w:highlight w:val="none"/>
              </w:rPr>
              <w:t>在作业方案提供齐全的基础上，①作业时间和作业频次明确，作业人员安排合理，重点和难点区域有针对性作业措施的加2分；②道路洗扫冲洗和垃圾清运作业时间安排合理，有降低噪声影响措施，洒水冲洗有避让行人和避开人流高峰期等措施的加2分；③作业工具和作业人员防护用品配备齐全，针对不同季节、不同天气、不同作业内容具有专用作业工具和防护用品，能保障不同季节、不同天气、不同作业内容的工作效率和作业人员自身防护的加2分；④河道保洁方案科学，作业时间和频次明确，能保障作业效果的加2分；⑤绿化管护措施和方法科学得当的加2分；⑥垃圾分类收集转运措施详细，明确垃圾分类分拣主体的加2分。最多加1</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882" w:type="dxa"/>
            <w:vAlign w:val="center"/>
          </w:tcPr>
          <w:p>
            <w:pPr>
              <w:adjustRightInd w:val="0"/>
              <w:snapToGrid w:val="0"/>
              <w:spacing w:line="500" w:lineRule="exact"/>
              <w:rPr>
                <w:rFonts w:hint="eastAsia" w:ascii="宋体" w:hAnsi="宋体" w:cs="宋体"/>
                <w:szCs w:val="21"/>
                <w:highlight w:val="none"/>
              </w:rPr>
            </w:pPr>
            <w:r>
              <w:rPr>
                <w:rFonts w:hint="eastAsia" w:ascii="宋体" w:hAnsi="宋体" w:cs="宋体"/>
                <w:szCs w:val="21"/>
                <w:highlight w:val="none"/>
                <w:lang w:val="en-US" w:eastAsia="zh-CN"/>
              </w:rPr>
              <w:t>32</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adjustRightInd w:val="0"/>
              <w:snapToGrid w:val="0"/>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1、投标人依据项目质量要求制定质量保障方案。质量保障方案内容包含：①巡查监督方案；②质量考核方案；③问题整改方案，3个方面得6分；每缺一项扣2分；</w:t>
            </w:r>
            <w:r>
              <w:rPr>
                <w:rFonts w:hint="eastAsia" w:ascii="宋体" w:hAnsi="宋体" w:eastAsia="宋体" w:cs="宋体"/>
                <w:sz w:val="21"/>
                <w:szCs w:val="21"/>
                <w:highlight w:val="none"/>
              </w:rPr>
              <w:t>每有一项不够详尽、不够清晰、不够完善，</w:t>
            </w:r>
            <w:r>
              <w:rPr>
                <w:rFonts w:hint="eastAsia" w:ascii="宋体" w:hAnsi="宋体" w:eastAsia="宋体" w:cs="宋体"/>
                <w:sz w:val="21"/>
                <w:szCs w:val="21"/>
                <w:highlight w:val="none"/>
                <w:lang w:eastAsia="zh-CN"/>
              </w:rPr>
              <w:t>扣</w:t>
            </w:r>
            <w:r>
              <w:rPr>
                <w:rFonts w:hint="eastAsia" w:ascii="宋体" w:hAnsi="宋体" w:eastAsia="宋体" w:cs="宋体"/>
                <w:sz w:val="21"/>
                <w:szCs w:val="21"/>
                <w:highlight w:val="none"/>
                <w:lang w:val="en-US" w:eastAsia="zh-CN"/>
              </w:rPr>
              <w:t>1分；</w:t>
            </w:r>
            <w:r>
              <w:rPr>
                <w:rFonts w:hint="eastAsia" w:ascii="宋体" w:hAnsi="宋体" w:eastAsia="宋体" w:cs="宋体"/>
                <w:kern w:val="2"/>
                <w:sz w:val="21"/>
                <w:szCs w:val="21"/>
                <w:highlight w:val="none"/>
                <w:lang w:val="en-US" w:eastAsia="zh-CN" w:bidi="ar-SA"/>
              </w:rPr>
              <w:t>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2、在质量保障方案提供齐全的基础上，①巡查监督人员配置合理，巡查监督区域明确，考核奖惩分明的加2分；②巡查监督、质量考核、问题整改环节清晰，流程清楚，措施具体加2分。最多加4分。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adjustRightInd w:val="0"/>
              <w:snapToGrid w:val="0"/>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1、投标人根据项目作业内容进行制定安全保障方案，内容包含：①车辆安全保障方案；②作业人员安全保障方案；③安全事故处理保障方案，3个方面得9分；每缺一项扣3分；</w:t>
            </w:r>
            <w:r>
              <w:rPr>
                <w:rFonts w:hint="eastAsia" w:ascii="宋体" w:hAnsi="宋体" w:eastAsia="宋体" w:cs="宋体"/>
                <w:sz w:val="21"/>
                <w:szCs w:val="21"/>
                <w:highlight w:val="none"/>
              </w:rPr>
              <w:t>每有一项不够详尽、不够清晰、不够完善，</w:t>
            </w:r>
            <w:r>
              <w:rPr>
                <w:rFonts w:hint="eastAsia" w:ascii="宋体" w:hAnsi="宋体" w:eastAsia="宋体" w:cs="宋体"/>
                <w:sz w:val="21"/>
                <w:szCs w:val="21"/>
                <w:highlight w:val="none"/>
                <w:lang w:eastAsia="zh-CN"/>
              </w:rPr>
              <w:t>扣</w:t>
            </w:r>
            <w:r>
              <w:rPr>
                <w:rFonts w:hint="eastAsia" w:ascii="宋体" w:hAnsi="宋体" w:eastAsia="宋体" w:cs="宋体"/>
                <w:sz w:val="21"/>
                <w:szCs w:val="21"/>
                <w:highlight w:val="none"/>
                <w:lang w:val="en-US" w:eastAsia="zh-CN"/>
              </w:rPr>
              <w:t>1分</w:t>
            </w:r>
            <w:r>
              <w:rPr>
                <w:rFonts w:hint="eastAsia" w:ascii="宋体" w:hAnsi="宋体" w:eastAsia="宋体" w:cs="宋体"/>
                <w:kern w:val="2"/>
                <w:sz w:val="21"/>
                <w:szCs w:val="21"/>
                <w:highlight w:val="none"/>
                <w:lang w:val="en-US" w:eastAsia="zh-CN" w:bidi="ar-SA"/>
              </w:rPr>
              <w:t>，扣完为止。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安全保障方案提供齐全的基础上：①车辆安全保障措施具有车辆维护制度，定期检查和保养维修制度，保证车辆处于安全、可用状态的加2.5分；②作业人员安全保障措施符合作业特点，安全知识培训时间具体、符合要求，培训内容针对性强的加2.5分。最多加5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14</w:t>
            </w:r>
            <w:r>
              <w:rPr>
                <w:rFonts w:hint="eastAsia" w:ascii="宋体" w:hAnsi="宋体" w:eastAsia="宋体" w:cs="宋体"/>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应急方案</w:t>
            </w:r>
          </w:p>
        </w:tc>
        <w:tc>
          <w:tcPr>
            <w:tcW w:w="5497" w:type="dxa"/>
            <w:vAlign w:val="center"/>
          </w:tcPr>
          <w:p>
            <w:pPr>
              <w:adjustRightInd w:val="0"/>
              <w:snapToGrid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针对本项目制定的应急事件处理方案包括：①突发性公共卫生事件和突发事故处理；②节假日、迎接检查；③突击整治；④极端天气（如大雾、雨雪冰冻、重污染天气）等内容能结合项目实际情况有具体、详尽、针对性的描述，有相应的保障措施且能最大限度保障项目顺利实施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每缺一项扣</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内容描述与项目不符或内容针对性不强扣</w:t>
            </w:r>
            <w:r>
              <w:rPr>
                <w:rFonts w:hint="eastAsia" w:ascii="宋体" w:hAnsi="宋体" w:cs="宋体"/>
                <w:kern w:val="2"/>
                <w:sz w:val="21"/>
                <w:szCs w:val="21"/>
                <w:highlight w:val="none"/>
                <w:lang w:val="en-US" w:eastAsia="zh-CN" w:bidi="ar-SA"/>
              </w:rPr>
              <w:t>0.5</w:t>
            </w:r>
            <w:r>
              <w:rPr>
                <w:rFonts w:hint="eastAsia" w:ascii="宋体" w:hAnsi="宋体" w:eastAsia="宋体" w:cs="宋体"/>
                <w:kern w:val="2"/>
                <w:sz w:val="21"/>
                <w:szCs w:val="21"/>
                <w:highlight w:val="none"/>
                <w:lang w:val="en-US" w:eastAsia="zh-CN" w:bidi="ar-SA"/>
              </w:rPr>
              <w:t>分，扣完为止。</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工人权益保障方案</w:t>
            </w:r>
          </w:p>
        </w:tc>
        <w:tc>
          <w:tcPr>
            <w:tcW w:w="5497" w:type="dxa"/>
            <w:vAlign w:val="center"/>
          </w:tcPr>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1、投标人根据本项目制定工人权益保障方案，内容包含：①工资保障；②职业健康体检；③节日关怀；④困难职工帮助，4个方面得8分；每缺一项扣2分；</w:t>
            </w:r>
            <w:r>
              <w:rPr>
                <w:rFonts w:hint="eastAsia" w:ascii="宋体" w:hAnsi="宋体" w:eastAsia="宋体" w:cs="宋体"/>
                <w:sz w:val="21"/>
                <w:szCs w:val="21"/>
                <w:highlight w:val="none"/>
              </w:rPr>
              <w:t>每有一项不够详尽、不够清晰、不够完善，</w:t>
            </w:r>
            <w:r>
              <w:rPr>
                <w:rFonts w:hint="eastAsia" w:ascii="宋体" w:hAnsi="宋体" w:eastAsia="宋体" w:cs="宋体"/>
                <w:kern w:val="2"/>
                <w:sz w:val="21"/>
                <w:szCs w:val="21"/>
                <w:lang w:val="en-US" w:eastAsia="zh-CN" w:bidi="ar-SA"/>
              </w:rPr>
              <w:t>扣1分，扣完为止。</w:t>
            </w:r>
          </w:p>
          <w:p>
            <w:pPr>
              <w:pStyle w:val="44"/>
              <w:snapToGrid w:val="0"/>
              <w:spacing w:after="0" w:line="5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2、在工人权益保障方案提供齐全的基础上，工人工资发放时间明确、方式具体的加1分；重大节日关怀时间具体、方式明确的加1分；对困难职工有具体的支持帮助措施的加1分。最多加3分。</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Merge w:val="continue"/>
            <w:vAlign w:val="center"/>
          </w:tcPr>
          <w:p>
            <w:pPr>
              <w:pStyle w:val="2"/>
              <w:spacing w:line="500" w:lineRule="exact"/>
              <w:rPr>
                <w:rFonts w:hint="eastAsia" w:ascii="宋体" w:hAnsi="宋体" w:eastAsia="宋体" w:cs="宋体"/>
                <w:kern w:val="2"/>
                <w:sz w:val="21"/>
                <w:szCs w:val="21"/>
                <w:lang w:val="en-US" w:eastAsia="zh-CN" w:bidi="ar-SA"/>
              </w:rPr>
            </w:pPr>
          </w:p>
        </w:tc>
        <w:tc>
          <w:tcPr>
            <w:tcW w:w="820" w:type="dxa"/>
            <w:vMerge w:val="continue"/>
            <w:vAlign w:val="center"/>
          </w:tcPr>
          <w:p>
            <w:pPr>
              <w:widowControl/>
              <w:spacing w:line="500" w:lineRule="exact"/>
              <w:rPr>
                <w:rFonts w:hint="eastAsia" w:ascii="宋体" w:hAnsi="宋体" w:eastAsia="宋体" w:cs="宋体"/>
                <w:kern w:val="2"/>
                <w:sz w:val="21"/>
                <w:szCs w:val="21"/>
                <w:lang w:val="en-US" w:eastAsia="zh-CN" w:bidi="ar-SA"/>
              </w:rPr>
            </w:pPr>
          </w:p>
        </w:tc>
        <w:tc>
          <w:tcPr>
            <w:tcW w:w="821"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安全文明措施</w:t>
            </w:r>
          </w:p>
        </w:tc>
        <w:tc>
          <w:tcPr>
            <w:tcW w:w="5497"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投标人针对本项目制定的安全文明措施包括：①安全管理体系健全；②安全措施周全；③文明管理制度完善可靠；④安全目标具体详细；⑤安全防范重点明确清晰的得</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 xml:space="preserve"> 分，每缺一项扣</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分，内容描述与项目不符或内容针对性不强扣</w:t>
            </w:r>
            <w:r>
              <w:rPr>
                <w:rFonts w:hint="eastAsia" w:ascii="宋体" w:hAnsi="宋体" w:cs="宋体"/>
                <w:kern w:val="2"/>
                <w:sz w:val="21"/>
                <w:szCs w:val="21"/>
                <w:lang w:val="en-US" w:eastAsia="zh-CN" w:bidi="ar-SA"/>
              </w:rPr>
              <w:t>0.5</w:t>
            </w:r>
            <w:r>
              <w:rPr>
                <w:rFonts w:hint="eastAsia" w:ascii="宋体" w:hAnsi="宋体" w:eastAsia="宋体" w:cs="宋体"/>
                <w:kern w:val="2"/>
                <w:sz w:val="21"/>
                <w:szCs w:val="21"/>
                <w:lang w:val="en-US" w:eastAsia="zh-CN" w:bidi="ar-SA"/>
              </w:rPr>
              <w:t xml:space="preserve"> 分，扣完为止。</w:t>
            </w:r>
          </w:p>
        </w:tc>
        <w:tc>
          <w:tcPr>
            <w:tcW w:w="882" w:type="dxa"/>
            <w:vAlign w:val="center"/>
          </w:tcPr>
          <w:p>
            <w:pPr>
              <w:widowControl/>
              <w:spacing w:line="50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75" w:type="dxa"/>
            <w:vMerge w:val="restart"/>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评审委员会成员</w:t>
            </w: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履约能力</w:t>
            </w:r>
          </w:p>
        </w:tc>
        <w:tc>
          <w:tcPr>
            <w:tcW w:w="5497"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ascii="宋体" w:hAnsi="宋体" w:eastAsia="宋体" w:cs="宋体"/>
                <w:sz w:val="21"/>
                <w:szCs w:val="21"/>
              </w:rPr>
              <w:t>根据投标人提供2018年1月1日至今（以合同签订时间为准），环卫清扫保洁项目的履约经验进行评分：每提供一个履约经验得2分，最多得12分。</w:t>
            </w:r>
            <w:r>
              <w:rPr>
                <w:rFonts w:ascii="宋体" w:hAnsi="宋体" w:eastAsia="宋体" w:cs="宋体"/>
                <w:sz w:val="21"/>
                <w:szCs w:val="21"/>
              </w:rPr>
              <w:br w:type="textWrapping"/>
            </w:r>
            <w:r>
              <w:rPr>
                <w:rFonts w:ascii="宋体" w:hAnsi="宋体" w:eastAsia="宋体" w:cs="宋体"/>
                <w:sz w:val="21"/>
                <w:szCs w:val="21"/>
              </w:rPr>
              <w:t>证明材料：供应商提供中标/成交通知书、合同及一次收款凭证，同一项目不重复计分。</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75" w:type="dxa"/>
            <w:vMerge w:val="continue"/>
            <w:vAlign w:val="center"/>
          </w:tcPr>
          <w:p>
            <w:pPr>
              <w:adjustRightInd w:val="0"/>
              <w:snapToGrid w:val="0"/>
              <w:spacing w:line="500" w:lineRule="exact"/>
              <w:rPr>
                <w:rFonts w:hint="eastAsia" w:ascii="宋体" w:hAnsi="宋体" w:eastAsia="宋体" w:cs="宋体"/>
                <w:kern w:val="2"/>
                <w:sz w:val="21"/>
                <w:szCs w:val="21"/>
                <w:lang w:val="en-US" w:eastAsia="zh-CN" w:bidi="ar-SA"/>
              </w:rPr>
            </w:pP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投标文件的规范性</w:t>
            </w:r>
          </w:p>
        </w:tc>
        <w:tc>
          <w:tcPr>
            <w:tcW w:w="5497"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投标文件制作规范，没有细微偏差情形的得1分；有一项细微偏差扣0.5分，直至该项分值扣完为止。</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75" w:type="dxa"/>
            <w:vMerge w:val="continue"/>
            <w:vAlign w:val="center"/>
          </w:tcPr>
          <w:p>
            <w:pPr>
              <w:adjustRightInd w:val="0"/>
              <w:snapToGrid w:val="0"/>
              <w:spacing w:line="500" w:lineRule="exact"/>
              <w:rPr>
                <w:rFonts w:hint="eastAsia" w:ascii="宋体" w:hAnsi="宋体" w:eastAsia="宋体" w:cs="宋体"/>
                <w:kern w:val="2"/>
                <w:sz w:val="21"/>
                <w:szCs w:val="21"/>
                <w:lang w:val="en-US" w:eastAsia="zh-CN" w:bidi="ar-SA"/>
              </w:rPr>
            </w:pPr>
          </w:p>
        </w:tc>
        <w:tc>
          <w:tcPr>
            <w:tcW w:w="1641" w:type="dxa"/>
            <w:gridSpan w:val="2"/>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不发达地区和少数民族地区</w:t>
            </w:r>
          </w:p>
        </w:tc>
        <w:tc>
          <w:tcPr>
            <w:tcW w:w="5497" w:type="dxa"/>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供应商如为不发达地区或少数民族地区的，得1分。</w:t>
            </w:r>
          </w:p>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（说明：以投标人营业执照注册地址为准）</w:t>
            </w:r>
          </w:p>
        </w:tc>
        <w:tc>
          <w:tcPr>
            <w:tcW w:w="882" w:type="dxa"/>
            <w:vAlign w:val="center"/>
          </w:tcPr>
          <w:p>
            <w:pPr>
              <w:adjustRightInd w:val="0"/>
              <w:snapToGrid w:val="0"/>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1分</w:t>
            </w:r>
          </w:p>
        </w:tc>
      </w:tr>
    </w:tbl>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pStyle w:val="2"/>
      </w:pPr>
    </w:p>
    <w:p>
      <w:pPr>
        <w:keepNext/>
        <w:keepLines/>
        <w:numPr>
          <w:ilvl w:val="1"/>
          <w:numId w:val="65"/>
        </w:numPr>
        <w:spacing w:before="260" w:after="260" w:line="360" w:lineRule="auto"/>
        <w:jc w:val="left"/>
        <w:outlineLvl w:val="1"/>
        <w:rPr>
          <w:rFonts w:ascii="宋体" w:hAnsi="宋体"/>
          <w:b/>
          <w:bCs/>
          <w:sz w:val="28"/>
          <w:szCs w:val="28"/>
        </w:rPr>
      </w:pPr>
      <w:bookmarkStart w:id="278" w:name="_Toc65169736"/>
      <w:bookmarkStart w:id="279" w:name="_Toc1026"/>
      <w:bookmarkStart w:id="280" w:name="_Toc24426"/>
      <w:r>
        <w:rPr>
          <w:rFonts w:hint="eastAsia" w:ascii="宋体" w:hAnsi="宋体"/>
          <w:b/>
          <w:bCs/>
          <w:sz w:val="28"/>
          <w:szCs w:val="28"/>
        </w:rPr>
        <w:t>废标</w:t>
      </w:r>
      <w:bookmarkEnd w:id="278"/>
      <w:bookmarkEnd w:id="279"/>
      <w:bookmarkEnd w:id="280"/>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w:t>
      </w:r>
      <w:r>
        <w:rPr>
          <w:rFonts w:hint="eastAsia" w:ascii="宋体" w:hAnsi="宋体" w:eastAsia="宋体"/>
          <w:sz w:val="28"/>
          <w:szCs w:val="28"/>
        </w:rPr>
        <w:t>对应包件</w:t>
      </w:r>
      <w:r>
        <w:rPr>
          <w:rFonts w:hint="eastAsia" w:ascii="宋体" w:hAnsi="宋体"/>
          <w:sz w:val="28"/>
          <w:szCs w:val="28"/>
        </w:rPr>
        <w:t>予以废标：</w:t>
      </w:r>
    </w:p>
    <w:p>
      <w:pPr>
        <w:numPr>
          <w:ilvl w:val="0"/>
          <w:numId w:val="68"/>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68"/>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68"/>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68"/>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68"/>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区</w:t>
      </w:r>
      <w:r>
        <w:rPr>
          <w:rFonts w:hint="eastAsia" w:ascii="宋体" w:hAnsi="宋体"/>
          <w:sz w:val="28"/>
          <w:szCs w:val="28"/>
        </w:rPr>
        <w:t>公资交易中心将在“四川政府采购网”和“成都市公共资源交易服务中心”网站上公告。</w:t>
      </w:r>
    </w:p>
    <w:p>
      <w:pPr>
        <w:keepNext/>
        <w:keepLines/>
        <w:numPr>
          <w:ilvl w:val="1"/>
          <w:numId w:val="65"/>
        </w:numPr>
        <w:spacing w:before="260" w:after="260" w:line="360" w:lineRule="auto"/>
        <w:jc w:val="left"/>
        <w:outlineLvl w:val="1"/>
        <w:rPr>
          <w:rFonts w:ascii="宋体" w:hAnsi="宋体"/>
          <w:b/>
          <w:bCs/>
          <w:sz w:val="28"/>
          <w:szCs w:val="28"/>
        </w:rPr>
      </w:pPr>
      <w:bookmarkStart w:id="281" w:name="_Toc65169737"/>
      <w:bookmarkStart w:id="282" w:name="_Toc28589"/>
      <w:bookmarkStart w:id="283" w:name="_Toc30173"/>
      <w:r>
        <w:rPr>
          <w:rFonts w:hint="eastAsia" w:ascii="宋体" w:hAnsi="宋体"/>
          <w:b/>
          <w:bCs/>
          <w:sz w:val="28"/>
          <w:szCs w:val="28"/>
        </w:rPr>
        <w:t>定标</w:t>
      </w:r>
      <w:bookmarkEnd w:id="281"/>
      <w:bookmarkEnd w:id="282"/>
      <w:bookmarkEnd w:id="283"/>
    </w:p>
    <w:p>
      <w:pPr>
        <w:keepNext/>
        <w:keepLines/>
        <w:numPr>
          <w:ilvl w:val="2"/>
          <w:numId w:val="6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各包件根据评标委员会确定的中标候选人名单，采购人按顺序确定各包件1名中标人。中标候选供应商并列的，由采购人采取随机抽取的方式确定中标人。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6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区</w:t>
      </w:r>
      <w:r>
        <w:rPr>
          <w:rFonts w:hint="eastAsia" w:ascii="宋体" w:hAnsi="宋体" w:cs="Helvetica"/>
          <w:sz w:val="28"/>
          <w:szCs w:val="28"/>
        </w:rPr>
        <w:t>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区</w:t>
      </w:r>
      <w:r>
        <w:rPr>
          <w:rFonts w:hint="eastAsia" w:ascii="宋体" w:hAnsi="宋体" w:cs="Helvetica"/>
          <w:sz w:val="28"/>
          <w:szCs w:val="28"/>
        </w:rPr>
        <w:t>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区</w:t>
      </w:r>
      <w:r>
        <w:rPr>
          <w:rFonts w:hint="eastAsia" w:ascii="宋体" w:hAnsi="宋体" w:cs="Helvetica"/>
          <w:sz w:val="28"/>
          <w:szCs w:val="28"/>
        </w:rPr>
        <w:t>公资交易中心不解释中标（成交）或未中标（成交）原因，不退回投标文件和其他投标资料。</w:t>
      </w:r>
    </w:p>
    <w:p>
      <w:pPr>
        <w:keepNext/>
        <w:keepLines/>
        <w:numPr>
          <w:ilvl w:val="1"/>
          <w:numId w:val="65"/>
        </w:numPr>
        <w:spacing w:line="360" w:lineRule="auto"/>
        <w:jc w:val="left"/>
        <w:outlineLvl w:val="1"/>
        <w:rPr>
          <w:rFonts w:ascii="宋体" w:hAnsi="宋体"/>
          <w:b/>
          <w:bCs/>
          <w:sz w:val="28"/>
          <w:szCs w:val="28"/>
        </w:rPr>
      </w:pPr>
      <w:bookmarkStart w:id="284" w:name="_Toc2068"/>
      <w:bookmarkStart w:id="285" w:name="_Toc65169738"/>
      <w:bookmarkStart w:id="286" w:name="_Toc8026"/>
      <w:r>
        <w:rPr>
          <w:rFonts w:hint="eastAsia" w:ascii="宋体" w:hAnsi="宋体"/>
          <w:b/>
          <w:bCs/>
          <w:sz w:val="28"/>
          <w:szCs w:val="28"/>
        </w:rPr>
        <w:t>评标专家在政府采购活动中承担以下义务</w:t>
      </w:r>
      <w:bookmarkEnd w:id="284"/>
      <w:bookmarkEnd w:id="285"/>
      <w:bookmarkEnd w:id="286"/>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w:t>
      </w:r>
      <w:r>
        <w:rPr>
          <w:rFonts w:hint="eastAsia" w:ascii="宋体" w:hAnsi="宋体"/>
          <w:sz w:val="28"/>
          <w:szCs w:val="28"/>
        </w:rPr>
        <w:t>公资交易中心及其工作人员在政府采购活动中有干预评审、发表倾向性和歧视性言论、受贿或者接受投标人的其他好处及其他违法违规行为，及时向财政部门报告。</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w:t>
      </w:r>
      <w:r>
        <w:rPr>
          <w:rFonts w:hint="eastAsia" w:ascii="宋体" w:hAnsi="宋体"/>
          <w:sz w:val="28"/>
          <w:szCs w:val="28"/>
        </w:rPr>
        <w:t>公资交易中心答复投标人的询问、质疑，配合财政部门的投诉处理工作等事宜。</w:t>
      </w:r>
    </w:p>
    <w:p>
      <w:pPr>
        <w:numPr>
          <w:ilvl w:val="0"/>
          <w:numId w:val="69"/>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65"/>
        </w:numPr>
        <w:spacing w:line="360" w:lineRule="auto"/>
        <w:jc w:val="left"/>
        <w:outlineLvl w:val="1"/>
        <w:rPr>
          <w:rFonts w:ascii="宋体" w:hAnsi="宋体"/>
          <w:b/>
          <w:bCs/>
          <w:sz w:val="28"/>
          <w:szCs w:val="28"/>
        </w:rPr>
      </w:pPr>
      <w:bookmarkStart w:id="287" w:name="_Toc24363"/>
      <w:bookmarkStart w:id="288" w:name="_Toc65169739"/>
      <w:bookmarkStart w:id="289" w:name="_Toc22714"/>
      <w:r>
        <w:rPr>
          <w:rFonts w:hint="eastAsia" w:ascii="宋体" w:hAnsi="宋体"/>
          <w:b/>
          <w:bCs/>
          <w:sz w:val="28"/>
          <w:szCs w:val="28"/>
        </w:rPr>
        <w:t>评标委员会及其成员不得有下列行为</w:t>
      </w:r>
      <w:bookmarkEnd w:id="287"/>
      <w:bookmarkEnd w:id="288"/>
      <w:bookmarkEnd w:id="289"/>
    </w:p>
    <w:p>
      <w:pPr>
        <w:numPr>
          <w:ilvl w:val="0"/>
          <w:numId w:val="70"/>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70"/>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70"/>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70"/>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70"/>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70"/>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70"/>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65"/>
        </w:numPr>
        <w:spacing w:before="240" w:line="360" w:lineRule="auto"/>
        <w:jc w:val="left"/>
        <w:outlineLvl w:val="1"/>
        <w:rPr>
          <w:rFonts w:ascii="宋体" w:hAnsi="宋体"/>
          <w:b/>
          <w:bCs/>
          <w:sz w:val="28"/>
          <w:szCs w:val="28"/>
        </w:rPr>
      </w:pPr>
      <w:bookmarkStart w:id="290" w:name="_Toc17759"/>
      <w:bookmarkStart w:id="291" w:name="_Toc12818"/>
      <w:bookmarkStart w:id="292" w:name="_Toc65169740"/>
      <w:r>
        <w:rPr>
          <w:rFonts w:hint="eastAsia" w:ascii="宋体" w:hAnsi="宋体"/>
          <w:b/>
          <w:bCs/>
          <w:sz w:val="28"/>
          <w:szCs w:val="28"/>
        </w:rPr>
        <w:t>评审专家在政府采购活动中应当遵守以下工作纪律</w:t>
      </w:r>
      <w:bookmarkEnd w:id="290"/>
      <w:bookmarkEnd w:id="291"/>
      <w:bookmarkEnd w:id="292"/>
    </w:p>
    <w:p>
      <w:pPr>
        <w:numPr>
          <w:ilvl w:val="0"/>
          <w:numId w:val="71"/>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ascii="宋体" w:hAnsi="宋体"/>
          <w:sz w:val="28"/>
          <w:szCs w:val="28"/>
          <w:lang w:eastAsia="zh-CN"/>
        </w:rPr>
        <w:t>区</w:t>
      </w:r>
      <w:r>
        <w:rPr>
          <w:rFonts w:hint="eastAsia" w:cs="Arial"/>
          <w:sz w:val="28"/>
          <w:szCs w:val="28"/>
        </w:rPr>
        <w:t>公资交易中心</w:t>
      </w:r>
      <w:r>
        <w:rPr>
          <w:rFonts w:hint="eastAsia" w:ascii="宋体" w:hAnsi="宋体"/>
          <w:sz w:val="28"/>
          <w:szCs w:val="28"/>
        </w:rPr>
        <w:t>，不得私自转托他人。</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ascii="宋体" w:hAnsi="宋体"/>
          <w:sz w:val="28"/>
          <w:szCs w:val="28"/>
          <w:lang w:eastAsia="zh-CN"/>
        </w:rPr>
        <w:t>区</w:t>
      </w:r>
      <w:r>
        <w:rPr>
          <w:rFonts w:hint="eastAsia" w:cs="Arial"/>
          <w:sz w:val="28"/>
          <w:szCs w:val="28"/>
        </w:rPr>
        <w:t>公资交易中心</w:t>
      </w:r>
      <w:r>
        <w:rPr>
          <w:rFonts w:hint="eastAsia" w:ascii="宋体" w:hAnsi="宋体"/>
          <w:sz w:val="28"/>
          <w:szCs w:val="28"/>
        </w:rPr>
        <w:t>也可要求该评审专家回避。</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ascii="宋体" w:hAnsi="宋体"/>
          <w:sz w:val="28"/>
          <w:szCs w:val="28"/>
          <w:lang w:eastAsia="zh-CN"/>
        </w:rPr>
        <w:t>区</w:t>
      </w:r>
      <w:r>
        <w:rPr>
          <w:rFonts w:hint="eastAsia" w:cs="Arial"/>
          <w:sz w:val="28"/>
          <w:szCs w:val="28"/>
        </w:rPr>
        <w:t>公资交易中心</w:t>
      </w:r>
      <w:r>
        <w:rPr>
          <w:rFonts w:hint="eastAsia" w:ascii="宋体" w:hAnsi="宋体"/>
          <w:sz w:val="28"/>
          <w:szCs w:val="28"/>
        </w:rPr>
        <w:t>的现场秩序管理，接受评标现场监督人员的合法监督。</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71"/>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71"/>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numPr>
          <w:ilvl w:val="0"/>
          <w:numId w:val="1"/>
        </w:numPr>
        <w:spacing w:before="0" w:after="0" w:line="360" w:lineRule="auto"/>
        <w:ind w:left="283"/>
        <w:rPr>
          <w:rFonts w:hint="eastAsia"/>
          <w:sz w:val="24"/>
        </w:rPr>
      </w:pPr>
      <w:bookmarkStart w:id="293" w:name="_Toc21068"/>
      <w:bookmarkStart w:id="294" w:name="_Toc14738"/>
      <w:r>
        <w:rPr>
          <w:rFonts w:hint="eastAsia"/>
        </w:rPr>
        <w:t>拟签订合同文本</w:t>
      </w:r>
      <w:bookmarkEnd w:id="293"/>
      <w:bookmarkEnd w:id="294"/>
    </w:p>
    <w:p>
      <w:pPr>
        <w:jc w:val="center"/>
        <w:rPr>
          <w:b/>
          <w:sz w:val="32"/>
          <w:szCs w:val="32"/>
        </w:rPr>
      </w:pPr>
      <w:bookmarkStart w:id="295" w:name="_Toc316475671"/>
      <w:bookmarkEnd w:id="295"/>
      <w:bookmarkStart w:id="296" w:name="_Toc316475755"/>
      <w:bookmarkEnd w:id="296"/>
      <w:bookmarkStart w:id="297" w:name="_Toc316475664"/>
      <w:bookmarkEnd w:id="297"/>
      <w:bookmarkStart w:id="298" w:name="_Toc316475757"/>
      <w:bookmarkEnd w:id="298"/>
      <w:bookmarkStart w:id="299" w:name="_Toc316475668"/>
      <w:bookmarkEnd w:id="299"/>
      <w:bookmarkStart w:id="300" w:name="_Toc316475759"/>
      <w:bookmarkEnd w:id="300"/>
      <w:bookmarkStart w:id="301" w:name="_Toc316475754"/>
      <w:bookmarkEnd w:id="301"/>
      <w:bookmarkStart w:id="302" w:name="_Toc316475762"/>
      <w:bookmarkEnd w:id="302"/>
      <w:bookmarkStart w:id="303" w:name="_Toc316475751"/>
      <w:bookmarkEnd w:id="303"/>
      <w:bookmarkStart w:id="304" w:name="_Toc316475667"/>
      <w:bookmarkEnd w:id="304"/>
      <w:bookmarkStart w:id="305" w:name="_Toc316475674"/>
      <w:bookmarkEnd w:id="305"/>
      <w:bookmarkStart w:id="306" w:name="_Toc316475666"/>
      <w:bookmarkEnd w:id="306"/>
      <w:bookmarkStart w:id="307" w:name="_Toc316475673"/>
      <w:bookmarkEnd w:id="307"/>
      <w:bookmarkStart w:id="308" w:name="_Toc316475753"/>
      <w:bookmarkEnd w:id="308"/>
      <w:bookmarkStart w:id="309" w:name="_Toc316475761"/>
      <w:bookmarkEnd w:id="309"/>
      <w:bookmarkStart w:id="310" w:name="_Toc316475758"/>
      <w:bookmarkEnd w:id="310"/>
      <w:bookmarkStart w:id="311" w:name="_Toc316475752"/>
      <w:bookmarkEnd w:id="311"/>
      <w:bookmarkStart w:id="312" w:name="_Toc316475676"/>
      <w:bookmarkEnd w:id="312"/>
      <w:bookmarkStart w:id="313" w:name="_Toc316475672"/>
      <w:bookmarkEnd w:id="313"/>
      <w:bookmarkStart w:id="314" w:name="_Toc316475670"/>
      <w:bookmarkEnd w:id="314"/>
      <w:bookmarkStart w:id="315" w:name="_Toc316475760"/>
      <w:bookmarkEnd w:id="315"/>
      <w:bookmarkStart w:id="316" w:name="_Toc316475756"/>
      <w:bookmarkEnd w:id="316"/>
      <w:bookmarkStart w:id="317" w:name="_Toc316475764"/>
      <w:bookmarkEnd w:id="317"/>
      <w:bookmarkStart w:id="318" w:name="_Toc316475675"/>
      <w:bookmarkEnd w:id="318"/>
      <w:bookmarkStart w:id="319" w:name="_Toc316475763"/>
      <w:bookmarkEnd w:id="319"/>
      <w:bookmarkStart w:id="320" w:name="_Toc316475665"/>
      <w:bookmarkEnd w:id="320"/>
      <w:bookmarkStart w:id="321" w:name="_Toc316475669"/>
      <w:bookmarkEnd w:id="321"/>
      <w:bookmarkStart w:id="322" w:name="_Toc316475677"/>
      <w:bookmarkEnd w:id="322"/>
      <w:r>
        <w:rPr>
          <w:rFonts w:hint="eastAsia"/>
          <w:b/>
          <w:sz w:val="32"/>
          <w:szCs w:val="32"/>
        </w:rPr>
        <w:t>合同主要条款</w:t>
      </w:r>
    </w:p>
    <w:p>
      <w:pPr>
        <w:pStyle w:val="264"/>
        <w:ind w:firstLine="480"/>
      </w:pPr>
      <w:r>
        <w:rPr>
          <w:rFonts w:hint="eastAsia"/>
        </w:rPr>
        <w:t>合同编号：</w:t>
      </w:r>
      <w:r>
        <w:rPr>
          <w:rFonts w:hint="eastAsia"/>
          <w:u w:val="single"/>
        </w:rPr>
        <w:t xml:space="preserve"> </w:t>
      </w:r>
      <w:r>
        <w:rPr>
          <w:rFonts w:hint="eastAsia"/>
          <w:u w:val="single"/>
          <w:lang w:eastAsia="zh-CN"/>
        </w:rPr>
        <w:t xml:space="preserve">双流政采（2021）A0005号 </w:t>
      </w:r>
      <w:r>
        <w:rPr>
          <w:rFonts w:hint="eastAsia"/>
          <w:u w:val="single"/>
        </w:rPr>
        <w:t xml:space="preserve">  </w:t>
      </w:r>
      <w:r>
        <w:rPr>
          <w:rFonts w:hint="eastAsia"/>
        </w:rPr>
        <w:t>(与项目编号一致)</w:t>
      </w:r>
    </w:p>
    <w:p>
      <w:pPr>
        <w:pStyle w:val="264"/>
        <w:ind w:firstLine="480"/>
        <w:rPr>
          <w:u w:val="single"/>
        </w:rPr>
      </w:pPr>
      <w:r>
        <w:rPr>
          <w:rFonts w:hint="eastAsia"/>
        </w:rPr>
        <w:t>计划号/备案号：</w:t>
      </w:r>
      <w:r>
        <w:rPr>
          <w:rFonts w:hint="eastAsia"/>
          <w:u w:val="single"/>
          <w:lang w:eastAsia="zh-CN"/>
        </w:rPr>
        <w:t xml:space="preserve"> (2021)0308号 </w:t>
      </w:r>
      <w:r>
        <w:rPr>
          <w:rFonts w:hint="eastAsia"/>
          <w:u w:val="single"/>
        </w:rPr>
        <w:t xml:space="preserve">   </w:t>
      </w:r>
    </w:p>
    <w:p>
      <w:pPr>
        <w:pStyle w:val="264"/>
        <w:ind w:firstLine="480"/>
        <w:rPr>
          <w:u w:val="single"/>
        </w:rPr>
      </w:pPr>
      <w:r>
        <w:rPr>
          <w:rFonts w:hint="eastAsia"/>
        </w:rPr>
        <w:t>签订地点：</w:t>
      </w:r>
      <w:r>
        <w:rPr>
          <w:rFonts w:hint="eastAsia"/>
          <w:u w:val="single"/>
        </w:rPr>
        <w:t xml:space="preserve">                     </w:t>
      </w:r>
    </w:p>
    <w:p>
      <w:pPr>
        <w:pStyle w:val="264"/>
        <w:ind w:firstLine="480"/>
        <w:rPr>
          <w:u w:val="single"/>
        </w:rPr>
      </w:pPr>
      <w:r>
        <w:rPr>
          <w:rFonts w:hint="eastAsia"/>
        </w:rPr>
        <w:t>签订时间：</w:t>
      </w:r>
      <w:r>
        <w:rPr>
          <w:rFonts w:hint="eastAsia"/>
          <w:u w:val="single"/>
        </w:rPr>
        <w:t xml:space="preserve">                     </w:t>
      </w:r>
    </w:p>
    <w:p>
      <w:pPr>
        <w:pStyle w:val="264"/>
        <w:ind w:firstLine="480"/>
        <w:rPr>
          <w:u w:val="single"/>
        </w:rPr>
      </w:pPr>
      <w:r>
        <w:rPr>
          <w:rFonts w:hint="eastAsia"/>
        </w:rPr>
        <w:t>采购人名称(甲方)：</w:t>
      </w:r>
      <w:r>
        <w:rPr>
          <w:rFonts w:hint="eastAsia"/>
          <w:u w:val="single"/>
          <w:lang w:eastAsia="zh-CN"/>
        </w:rPr>
        <w:t>成都市双流区人民政府九江街道办事处</w:t>
      </w:r>
      <w:r>
        <w:rPr>
          <w:rFonts w:hint="eastAsia"/>
          <w:u w:val="single"/>
        </w:rPr>
        <w:t xml:space="preserve">  </w:t>
      </w:r>
    </w:p>
    <w:p>
      <w:pPr>
        <w:pStyle w:val="264"/>
        <w:ind w:firstLine="480"/>
        <w:rPr>
          <w:rFonts w:hint="eastAsia"/>
          <w:u w:val="single"/>
        </w:rPr>
      </w:pPr>
      <w:r>
        <w:rPr>
          <w:rFonts w:hint="eastAsia"/>
        </w:rPr>
        <w:t>中标人名称(乙方)：</w:t>
      </w:r>
      <w:r>
        <w:rPr>
          <w:rFonts w:hint="eastAsia"/>
          <w:u w:val="single"/>
        </w:rPr>
        <w:t xml:space="preserve">                          </w:t>
      </w:r>
    </w:p>
    <w:p>
      <w:pPr>
        <w:pStyle w:val="264"/>
        <w:ind w:firstLine="480"/>
        <w:rPr>
          <w:rFonts w:hint="default" w:eastAsia="宋体"/>
          <w:u w:val="none"/>
          <w:lang w:val="en-US" w:eastAsia="zh-CN"/>
        </w:rPr>
      </w:pPr>
      <w:r>
        <w:rPr>
          <w:rFonts w:hint="eastAsia"/>
          <w:u w:val="none"/>
          <w:lang w:val="en-US" w:eastAsia="zh-CN"/>
        </w:rPr>
        <w:t>包件号：1/2</w:t>
      </w:r>
    </w:p>
    <w:p>
      <w:pPr>
        <w:pStyle w:val="264"/>
        <w:ind w:firstLine="480"/>
      </w:pPr>
    </w:p>
    <w:p>
      <w:pPr>
        <w:pStyle w:val="264"/>
        <w:adjustRightInd w:val="0"/>
        <w:snapToGrid w:val="0"/>
        <w:ind w:firstLine="480"/>
      </w:pPr>
      <w:r>
        <w:rPr>
          <w:rFonts w:hint="eastAsia"/>
        </w:rPr>
        <w:t>根据《中华人民共和国民法典》、《中华人民共和国政府采购法》、《政府采购货物和服务招标投标管理办法》(财政部令第87号)及</w:t>
      </w:r>
      <w:bookmarkStart w:id="323" w:name="项目名称_1619146914398"/>
      <w:r>
        <w:rPr>
          <w:rFonts w:hint="eastAsia"/>
        </w:rPr>
        <w:t>成都市双流区人民政府九江街道办事处环卫作业及绿化管护服务采购项目</w:t>
      </w:r>
      <w:bookmarkEnd w:id="323"/>
      <w:r>
        <w:rPr>
          <w:rFonts w:hint="eastAsia"/>
        </w:rPr>
        <w:t>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numPr>
          <w:ilvl w:val="0"/>
          <w:numId w:val="72"/>
        </w:numPr>
        <w:ind w:firstLine="487" w:firstLineChars="202"/>
        <w:rPr>
          <w:rFonts w:hint="eastAsia"/>
          <w:b/>
          <w:sz w:val="24"/>
        </w:rPr>
      </w:pPr>
      <w:r>
        <w:rPr>
          <w:rFonts w:hint="eastAsia"/>
          <w:b/>
          <w:sz w:val="24"/>
        </w:rPr>
        <w:t>项目基本情况</w:t>
      </w:r>
    </w:p>
    <w:p>
      <w:pPr>
        <w:pStyle w:val="2"/>
        <w:numPr>
          <w:ilvl w:val="0"/>
          <w:numId w:val="0"/>
        </w:numPr>
        <w:ind w:firstLine="480" w:firstLineChars="200"/>
        <w:rPr>
          <w:rFonts w:hint="eastAsia"/>
          <w:sz w:val="24"/>
          <w:szCs w:val="28"/>
          <w:lang w:val="en-US" w:eastAsia="zh-CN"/>
        </w:rPr>
      </w:pPr>
      <w:r>
        <w:rPr>
          <w:rFonts w:hint="eastAsia"/>
          <w:sz w:val="24"/>
          <w:szCs w:val="28"/>
          <w:lang w:val="en-US" w:eastAsia="zh-CN"/>
        </w:rPr>
        <w:t>服务范围：</w:t>
      </w:r>
    </w:p>
    <w:p>
      <w:pPr>
        <w:spacing w:line="480" w:lineRule="exact"/>
        <w:jc w:val="left"/>
        <w:rPr>
          <w:rFonts w:ascii="宋体" w:hAnsi="宋体" w:cs="宋体"/>
          <w:bCs/>
          <w:kern w:val="0"/>
          <w:sz w:val="28"/>
          <w:szCs w:val="28"/>
        </w:rPr>
      </w:pPr>
      <w:r>
        <w:rPr>
          <w:rFonts w:hint="default" w:ascii="Calibri" w:hAnsi="Calibri" w:cs="Calibri"/>
          <w:bCs/>
          <w:kern w:val="0"/>
          <w:sz w:val="28"/>
          <w:szCs w:val="28"/>
        </w:rPr>
        <w:t>①</w:t>
      </w:r>
      <w:r>
        <w:rPr>
          <w:rFonts w:hint="eastAsia" w:ascii="宋体" w:hAnsi="宋体" w:cs="宋体"/>
          <w:bCs/>
          <w:kern w:val="0"/>
          <w:sz w:val="28"/>
          <w:szCs w:val="28"/>
        </w:rPr>
        <w:t>环境卫生作业</w:t>
      </w:r>
    </w:p>
    <w:p>
      <w:pPr>
        <w:pStyle w:val="3"/>
        <w:rPr>
          <w:rFonts w:hint="default"/>
          <w:lang w:val="en-US" w:eastAsia="zh-CN"/>
        </w:rPr>
      </w:pPr>
    </w:p>
    <w:p>
      <w:pPr>
        <w:widowControl/>
        <w:jc w:val="left"/>
        <w:rPr>
          <w:rFonts w:ascii="宋体" w:hAnsi="宋体" w:cs="宋体"/>
          <w:color w:val="000000"/>
          <w:kern w:val="0"/>
          <w:sz w:val="24"/>
          <w:szCs w:val="24"/>
          <w:lang w:bidi="ar"/>
        </w:rPr>
      </w:pPr>
      <w:r>
        <w:drawing>
          <wp:inline distT="0" distB="0" distL="114300" distR="114300">
            <wp:extent cx="5788025" cy="3341370"/>
            <wp:effectExtent l="0" t="0" r="317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88025" cy="3341370"/>
                    </a:xfrm>
                    <a:prstGeom prst="rect">
                      <a:avLst/>
                    </a:prstGeom>
                    <a:noFill/>
                    <a:ln>
                      <a:noFill/>
                    </a:ln>
                  </pic:spPr>
                </pic:pic>
              </a:graphicData>
            </a:graphic>
          </wp:inline>
        </w:drawing>
      </w:r>
      <w:r>
        <w:drawing>
          <wp:inline distT="0" distB="0" distL="114300" distR="114300">
            <wp:extent cx="5791835" cy="3277870"/>
            <wp:effectExtent l="0" t="0" r="18415" b="1778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5791835" cy="3277870"/>
                    </a:xfrm>
                    <a:prstGeom prst="rect">
                      <a:avLst/>
                    </a:prstGeom>
                    <a:noFill/>
                    <a:ln>
                      <a:noFill/>
                    </a:ln>
                  </pic:spPr>
                </pic:pic>
              </a:graphicData>
            </a:graphic>
          </wp:inline>
        </w:drawing>
      </w:r>
    </w:p>
    <w:p>
      <w:pPr>
        <w:widowControl/>
        <w:jc w:val="left"/>
        <w:rPr>
          <w:rFonts w:hint="default" w:ascii="Calibri" w:hAnsi="Calibri" w:cs="Calibri"/>
          <w:bCs/>
          <w:kern w:val="0"/>
          <w:sz w:val="28"/>
          <w:szCs w:val="28"/>
        </w:rPr>
      </w:pPr>
      <w:r>
        <w:drawing>
          <wp:inline distT="0" distB="0" distL="114300" distR="114300">
            <wp:extent cx="5725795" cy="3211830"/>
            <wp:effectExtent l="0" t="0" r="8255" b="762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7"/>
                    <a:stretch>
                      <a:fillRect/>
                    </a:stretch>
                  </pic:blipFill>
                  <pic:spPr>
                    <a:xfrm>
                      <a:off x="0" y="0"/>
                      <a:ext cx="5725795" cy="3211830"/>
                    </a:xfrm>
                    <a:prstGeom prst="rect">
                      <a:avLst/>
                    </a:prstGeom>
                    <a:noFill/>
                    <a:ln>
                      <a:noFill/>
                    </a:ln>
                  </pic:spPr>
                </pic:pic>
              </a:graphicData>
            </a:graphic>
          </wp:inline>
        </w:drawing>
      </w:r>
      <w:r>
        <w:drawing>
          <wp:inline distT="0" distB="0" distL="114300" distR="114300">
            <wp:extent cx="5692775" cy="3238500"/>
            <wp:effectExtent l="0" t="0" r="3175" b="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8"/>
                    <a:stretch>
                      <a:fillRect/>
                    </a:stretch>
                  </pic:blipFill>
                  <pic:spPr>
                    <a:xfrm>
                      <a:off x="0" y="0"/>
                      <a:ext cx="5692775" cy="3238500"/>
                    </a:xfrm>
                    <a:prstGeom prst="rect">
                      <a:avLst/>
                    </a:prstGeom>
                    <a:noFill/>
                    <a:ln>
                      <a:noFill/>
                    </a:ln>
                  </pic:spPr>
                </pic:pic>
              </a:graphicData>
            </a:graphic>
          </wp:inline>
        </w:drawing>
      </w:r>
      <w:r>
        <w:drawing>
          <wp:inline distT="0" distB="0" distL="114300" distR="114300">
            <wp:extent cx="5862320" cy="3195955"/>
            <wp:effectExtent l="0" t="0" r="5080" b="4445"/>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9"/>
                    <a:stretch>
                      <a:fillRect/>
                    </a:stretch>
                  </pic:blipFill>
                  <pic:spPr>
                    <a:xfrm>
                      <a:off x="0" y="0"/>
                      <a:ext cx="5862320" cy="3195955"/>
                    </a:xfrm>
                    <a:prstGeom prst="rect">
                      <a:avLst/>
                    </a:prstGeom>
                    <a:noFill/>
                    <a:ln>
                      <a:noFill/>
                    </a:ln>
                  </pic:spPr>
                </pic:pic>
              </a:graphicData>
            </a:graphic>
          </wp:inline>
        </w:drawing>
      </w:r>
      <w:r>
        <w:drawing>
          <wp:inline distT="0" distB="0" distL="114300" distR="114300">
            <wp:extent cx="5879465" cy="975360"/>
            <wp:effectExtent l="0" t="0" r="6985" b="1524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0"/>
                    <a:stretch>
                      <a:fillRect/>
                    </a:stretch>
                  </pic:blipFill>
                  <pic:spPr>
                    <a:xfrm>
                      <a:off x="0" y="0"/>
                      <a:ext cx="5879465" cy="975360"/>
                    </a:xfrm>
                    <a:prstGeom prst="rect">
                      <a:avLst/>
                    </a:prstGeom>
                    <a:noFill/>
                    <a:ln>
                      <a:noFill/>
                    </a:ln>
                  </pic:spPr>
                </pic:pic>
              </a:graphicData>
            </a:graphic>
          </wp:inline>
        </w:drawing>
      </w:r>
    </w:p>
    <w:p>
      <w:pPr>
        <w:spacing w:line="480" w:lineRule="exact"/>
        <w:jc w:val="left"/>
        <w:rPr>
          <w:rFonts w:hint="default" w:ascii="Calibri" w:hAnsi="Calibri" w:cs="Calibri"/>
          <w:bCs/>
          <w:kern w:val="0"/>
          <w:sz w:val="28"/>
          <w:szCs w:val="28"/>
        </w:rPr>
      </w:pPr>
      <w:r>
        <w:rPr>
          <w:rFonts w:hint="default" w:ascii="Calibri" w:hAnsi="Calibri" w:cs="Calibri"/>
          <w:bCs/>
          <w:kern w:val="0"/>
          <w:sz w:val="28"/>
          <w:szCs w:val="28"/>
        </w:rPr>
        <w:t>②</w:t>
      </w:r>
      <w:r>
        <w:rPr>
          <w:rFonts w:hint="eastAsia" w:ascii="Calibri" w:hAnsi="Calibri" w:cs="Calibri"/>
          <w:bCs/>
          <w:kern w:val="0"/>
          <w:sz w:val="28"/>
          <w:szCs w:val="28"/>
        </w:rPr>
        <w:t>河道保洁</w:t>
      </w:r>
    </w:p>
    <w:p>
      <w:pPr>
        <w:pStyle w:val="18"/>
        <w:rPr>
          <w:rFonts w:ascii="宋体" w:hAnsi="宋体" w:cs="宋体"/>
          <w:sz w:val="24"/>
          <w:szCs w:val="24"/>
        </w:rPr>
      </w:pPr>
      <w:r>
        <w:drawing>
          <wp:inline distT="0" distB="0" distL="114300" distR="114300">
            <wp:extent cx="5337175" cy="3881755"/>
            <wp:effectExtent l="0" t="0" r="15875" b="4445"/>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1"/>
                    <a:stretch>
                      <a:fillRect/>
                    </a:stretch>
                  </pic:blipFill>
                  <pic:spPr>
                    <a:xfrm>
                      <a:off x="0" y="0"/>
                      <a:ext cx="5337175" cy="3881755"/>
                    </a:xfrm>
                    <a:prstGeom prst="rect">
                      <a:avLst/>
                    </a:prstGeom>
                    <a:noFill/>
                    <a:ln>
                      <a:noFill/>
                    </a:ln>
                  </pic:spPr>
                </pic:pic>
              </a:graphicData>
            </a:graphic>
          </wp:inline>
        </w:drawing>
      </w:r>
    </w:p>
    <w:p>
      <w:pPr>
        <w:widowControl/>
        <w:jc w:val="left"/>
        <w:rPr>
          <w:rFonts w:ascii="宋体" w:hAnsi="宋体" w:cs="宋体"/>
          <w:sz w:val="24"/>
          <w:szCs w:val="24"/>
        </w:rPr>
      </w:pPr>
      <w:r>
        <w:rPr>
          <w:rFonts w:hint="default" w:ascii="Calibri" w:hAnsi="Calibri" w:cs="Calibri"/>
          <w:bCs/>
          <w:kern w:val="0"/>
          <w:sz w:val="28"/>
          <w:szCs w:val="28"/>
        </w:rPr>
        <w:t>③</w:t>
      </w:r>
      <w:r>
        <w:rPr>
          <w:rFonts w:hint="eastAsia" w:ascii="Calibri" w:hAnsi="Calibri" w:cs="Calibri"/>
          <w:bCs/>
          <w:kern w:val="0"/>
          <w:sz w:val="28"/>
          <w:szCs w:val="28"/>
        </w:rPr>
        <w:t>绿化管护</w:t>
      </w:r>
      <w:r>
        <w:drawing>
          <wp:inline distT="0" distB="0" distL="114300" distR="114300">
            <wp:extent cx="5869940" cy="3296285"/>
            <wp:effectExtent l="0" t="0" r="16510" b="18415"/>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2"/>
                    <a:stretch>
                      <a:fillRect/>
                    </a:stretch>
                  </pic:blipFill>
                  <pic:spPr>
                    <a:xfrm>
                      <a:off x="0" y="0"/>
                      <a:ext cx="5869940" cy="3296285"/>
                    </a:xfrm>
                    <a:prstGeom prst="rect">
                      <a:avLst/>
                    </a:prstGeom>
                    <a:noFill/>
                    <a:ln>
                      <a:noFill/>
                    </a:ln>
                  </pic:spPr>
                </pic:pic>
              </a:graphicData>
            </a:graphic>
          </wp:inline>
        </w:drawing>
      </w:r>
      <w:r>
        <w:drawing>
          <wp:inline distT="0" distB="0" distL="114300" distR="114300">
            <wp:extent cx="5874385" cy="2971800"/>
            <wp:effectExtent l="0" t="0" r="12065" b="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13"/>
                    <a:stretch>
                      <a:fillRect/>
                    </a:stretch>
                  </pic:blipFill>
                  <pic:spPr>
                    <a:xfrm>
                      <a:off x="0" y="0"/>
                      <a:ext cx="5874385" cy="2971800"/>
                    </a:xfrm>
                    <a:prstGeom prst="rect">
                      <a:avLst/>
                    </a:prstGeom>
                    <a:noFill/>
                    <a:ln>
                      <a:noFill/>
                    </a:ln>
                  </pic:spPr>
                </pic:pic>
              </a:graphicData>
            </a:graphic>
          </wp:inline>
        </w:drawing>
      </w:r>
    </w:p>
    <w:p>
      <w:pPr>
        <w:widowControl/>
        <w:jc w:val="left"/>
        <w:rPr>
          <w:rFonts w:hint="eastAsia" w:ascii="Calibri" w:hAnsi="Calibri" w:cs="Calibri"/>
          <w:bCs/>
          <w:kern w:val="0"/>
          <w:sz w:val="28"/>
          <w:szCs w:val="28"/>
        </w:rPr>
      </w:pPr>
      <w:r>
        <w:rPr>
          <w:rFonts w:hint="eastAsia" w:ascii="Calibri" w:hAnsi="Calibri" w:cs="Calibri"/>
          <w:bCs/>
          <w:kern w:val="0"/>
          <w:sz w:val="28"/>
          <w:szCs w:val="28"/>
        </w:rPr>
        <w:t>④公厕管理</w:t>
      </w:r>
    </w:p>
    <w:p>
      <w:pPr>
        <w:widowControl/>
        <w:jc w:val="left"/>
        <w:rPr>
          <w:rFonts w:hint="eastAsia" w:ascii="Calibri" w:hAnsi="Calibri" w:cs="Calibri"/>
          <w:bCs/>
          <w:kern w:val="0"/>
          <w:sz w:val="28"/>
          <w:szCs w:val="28"/>
        </w:rPr>
      </w:pPr>
      <w:r>
        <w:rPr>
          <w:rFonts w:hint="eastAsia" w:ascii="Calibri" w:hAnsi="Calibri" w:cs="Calibri"/>
          <w:bCs/>
          <w:kern w:val="0"/>
          <w:sz w:val="28"/>
          <w:szCs w:val="28"/>
        </w:rPr>
        <w:t>万科四期公厕、 万科三期公厕、万科幼儿园公厕、万白路老公厕、鸿雁路公厕、泉水凼广场公厕、万白路新公厕。</w:t>
      </w:r>
    </w:p>
    <w:p>
      <w:pPr>
        <w:widowControl/>
        <w:jc w:val="left"/>
        <w:rPr>
          <w:rFonts w:hint="eastAsia" w:ascii="Calibri" w:hAnsi="Calibri" w:cs="Calibri"/>
          <w:bCs/>
          <w:kern w:val="0"/>
          <w:sz w:val="28"/>
          <w:szCs w:val="28"/>
        </w:rPr>
      </w:pPr>
      <w:r>
        <w:rPr>
          <w:rFonts w:hint="eastAsia" w:ascii="宋体" w:hAnsi="宋体" w:eastAsia="宋体" w:cs="宋体"/>
          <w:bCs/>
          <w:kern w:val="0"/>
          <w:sz w:val="28"/>
          <w:szCs w:val="28"/>
        </w:rPr>
        <w:t>⑤</w:t>
      </w:r>
      <w:r>
        <w:rPr>
          <w:rFonts w:hint="eastAsia" w:ascii="Calibri" w:hAnsi="Calibri" w:cs="Calibri"/>
          <w:bCs/>
          <w:kern w:val="0"/>
          <w:sz w:val="28"/>
          <w:szCs w:val="28"/>
        </w:rPr>
        <w:t>垃圾清运</w:t>
      </w:r>
    </w:p>
    <w:p>
      <w:pPr>
        <w:widowControl/>
        <w:jc w:val="left"/>
        <w:rPr>
          <w:rFonts w:hint="eastAsia" w:ascii="Calibri" w:hAnsi="Calibri" w:cs="Calibri"/>
          <w:bCs/>
          <w:kern w:val="0"/>
          <w:sz w:val="28"/>
          <w:szCs w:val="28"/>
        </w:rPr>
      </w:pPr>
      <w:r>
        <w:rPr>
          <w:rFonts w:hint="eastAsia" w:ascii="Calibri" w:hAnsi="Calibri" w:cs="Calibri"/>
          <w:bCs/>
          <w:kern w:val="0"/>
          <w:sz w:val="28"/>
          <w:szCs w:val="28"/>
        </w:rPr>
        <w:t>暂定84吨/日，一年总暂估量30660吨。</w:t>
      </w:r>
    </w:p>
    <w:p>
      <w:pPr>
        <w:numPr>
          <w:ilvl w:val="0"/>
          <w:numId w:val="72"/>
        </w:numPr>
        <w:ind w:left="0" w:leftChars="0" w:firstLine="487" w:firstLineChars="202"/>
        <w:rPr>
          <w:rFonts w:hint="eastAsia"/>
          <w:b/>
          <w:sz w:val="24"/>
          <w:lang w:val="en-US" w:eastAsia="zh-CN"/>
        </w:rPr>
      </w:pPr>
      <w:r>
        <w:rPr>
          <w:rFonts w:hint="eastAsia"/>
          <w:b/>
          <w:sz w:val="24"/>
          <w:lang w:val="en-US" w:eastAsia="zh-CN"/>
        </w:rPr>
        <w:t>服务内容及服务要求</w:t>
      </w:r>
    </w:p>
    <w:p>
      <w:pPr>
        <w:pStyle w:val="6"/>
        <w:numPr>
          <w:ilvl w:val="0"/>
          <w:numId w:val="73"/>
        </w:numPr>
        <w:spacing w:after="0"/>
        <w:ind w:left="0" w:leftChars="0" w:firstLine="420" w:firstLineChars="0"/>
        <w:rPr>
          <w:rFonts w:hint="eastAsia"/>
          <w:color w:val="auto"/>
          <w:sz w:val="28"/>
          <w:szCs w:val="28"/>
        </w:rPr>
      </w:pPr>
      <w:r>
        <w:rPr>
          <w:rFonts w:hint="eastAsia" w:ascii="宋体" w:hAnsi="宋体" w:cs="宋体"/>
          <w:sz w:val="28"/>
          <w:szCs w:val="28"/>
        </w:rPr>
        <w:t>环境卫生服务内容及服务要求</w:t>
      </w:r>
    </w:p>
    <w:p>
      <w:pPr>
        <w:pStyle w:val="14"/>
        <w:numPr>
          <w:ilvl w:val="0"/>
          <w:numId w:val="74"/>
        </w:numPr>
        <w:snapToGrid w:val="0"/>
        <w:spacing w:line="500" w:lineRule="exact"/>
        <w:ind w:left="425" w:leftChars="0" w:hanging="425" w:firstLineChars="0"/>
        <w:rPr>
          <w:rFonts w:ascii="宋体" w:hAnsi="宋体" w:eastAsia="宋体" w:cs="宋体"/>
          <w:b w:val="0"/>
          <w:bCs/>
          <w:sz w:val="28"/>
          <w:szCs w:val="28"/>
        </w:rPr>
      </w:pPr>
      <w:r>
        <w:rPr>
          <w:rFonts w:hint="eastAsia" w:ascii="宋体" w:hAnsi="宋体" w:eastAsia="宋体" w:cs="宋体"/>
          <w:b/>
          <w:bCs w:val="0"/>
          <w:sz w:val="28"/>
          <w:szCs w:val="28"/>
        </w:rPr>
        <w:t>服务范围:</w:t>
      </w:r>
      <w:r>
        <w:rPr>
          <w:rFonts w:hint="eastAsia" w:ascii="宋体" w:hAnsi="宋体" w:eastAsia="宋体" w:cs="宋体"/>
          <w:b w:val="0"/>
          <w:bCs/>
          <w:sz w:val="28"/>
          <w:szCs w:val="28"/>
        </w:rPr>
        <w:t>包括道路（车行道、人行道、辅道、过街天桥）、绿化带、广场、游园、桥梁、环卫设施、市政设施等。</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做好责任区域内广场、游园等清扫保洁、冲洗降尘，及时处置责任区域内各种污染现象。</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做好快车道、辅道的冲洗、洗扫。</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做好绿化带垃圾捡拾和冲洗。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做好人行道的保洁和人行道、路沿石的冲洗降尘。</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做好果屑箱的定期清洗和清掏。</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做好垃圾中转房（点）及周边的保洁和垃圾桶的清洗。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做好市政、环卫设施等城市部件的清洗保洁（含雨水篦子的清洗和垃圾的清掏）。</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做好桥梁立面、桥墩和护栏的保洁和冲洗。</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做好责任区域内交叉路口50米范围内的延伸保洁和道路两侧可视范围内的延伸保洁工作。</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做好路面及两米以下非法张贴广告的清除工作 (包括路灯灯柱、电线杆、电信供电等箱体、环卫设施及市政设施等处)。</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做好责任区域范围内市民投放垃圾及清扫保洁产生垃圾的袋装整理、收集和转运。</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在作业过程中，负责责任区域内基础设施破损情况的发现和上报。</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负责大件垃圾处理。</w:t>
      </w:r>
    </w:p>
    <w:p>
      <w:pPr>
        <w:pStyle w:val="14"/>
        <w:numPr>
          <w:ilvl w:val="0"/>
          <w:numId w:val="30"/>
        </w:numPr>
        <w:snapToGrid w:val="0"/>
        <w:spacing w:line="500" w:lineRule="exact"/>
        <w:ind w:left="5" w:firstLine="635"/>
        <w:rPr>
          <w:rFonts w:ascii="宋体" w:hAnsi="宋体" w:eastAsia="宋体" w:cs="宋体"/>
          <w:sz w:val="28"/>
          <w:szCs w:val="28"/>
        </w:rPr>
      </w:pPr>
      <w:r>
        <w:rPr>
          <w:rFonts w:hint="eastAsia" w:ascii="宋体" w:hAnsi="宋体" w:eastAsia="宋体" w:cs="宋体"/>
          <w:sz w:val="28"/>
          <w:szCs w:val="28"/>
        </w:rPr>
        <w:t>在重大活动和重大迎检接待中中标人应无条件服从采购人临时安排的各项工作，并不再增加相关费用。</w:t>
      </w:r>
    </w:p>
    <w:p>
      <w:pPr>
        <w:spacing w:line="500" w:lineRule="exact"/>
        <w:rPr>
          <w:rFonts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服务要求</w:t>
      </w:r>
    </w:p>
    <w:p>
      <w:pPr>
        <w:spacing w:line="500" w:lineRule="exact"/>
        <w:ind w:firstLine="560" w:firstLineChars="200"/>
        <w:rPr>
          <w:rFonts w:ascii="宋体" w:hAnsi="宋体" w:cs="宋体"/>
          <w:b w:val="0"/>
          <w:bCs w:val="0"/>
          <w:sz w:val="28"/>
          <w:szCs w:val="28"/>
        </w:rPr>
      </w:pPr>
      <w:r>
        <w:rPr>
          <w:rFonts w:hint="eastAsia" w:ascii="宋体" w:hAnsi="宋体" w:cs="宋体"/>
          <w:b w:val="0"/>
          <w:bCs w:val="0"/>
          <w:sz w:val="28"/>
          <w:szCs w:val="28"/>
        </w:rPr>
        <w:t>总体要求：环境卫生作业时，应严格按照采购人要求，对垃圾桶、垃圾池冲洗废水进行收集，并转运至集中处理点进行循坏处理。冲洗水应当严格按采购人要求首先使用中水。</w:t>
      </w:r>
    </w:p>
    <w:p>
      <w:pPr>
        <w:numPr>
          <w:ilvl w:val="0"/>
          <w:numId w:val="31"/>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道路冲洗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作业范围：机动车快车道、辅道。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作业内容：冲洗除尘。</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作业频次：不低于2次/日。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作业时间：01:00至05:00（特殊情况除尘）,12:30至16:30。</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作业时速：不高于20公里/小时。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作业车型：车辆行驶证核定载质量≥10吨的洒水车  。</w:t>
      </w:r>
    </w:p>
    <w:p>
      <w:pPr>
        <w:spacing w:line="500" w:lineRule="exact"/>
        <w:ind w:firstLine="560" w:firstLineChars="200"/>
        <w:rPr>
          <w:rFonts w:ascii="宋体" w:hAnsi="宋体" w:cs="宋体"/>
          <w:kern w:val="0"/>
          <w:sz w:val="28"/>
          <w:szCs w:val="28"/>
        </w:rPr>
      </w:pPr>
      <w:r>
        <w:rPr>
          <w:rFonts w:hint="eastAsia" w:ascii="宋体" w:hAnsi="宋体" w:cs="宋体"/>
          <w:sz w:val="28"/>
          <w:szCs w:val="28"/>
        </w:rPr>
        <w:t>作业标准：</w:t>
      </w:r>
      <w:r>
        <w:rPr>
          <w:rFonts w:hint="eastAsia" w:ascii="宋体" w:hAnsi="宋体" w:cs="宋体"/>
          <w:kern w:val="0"/>
          <w:sz w:val="28"/>
          <w:szCs w:val="28"/>
        </w:rPr>
        <w:t xml:space="preserve">路面、路沿石无积泥、积尘、积水，无残留垃圾，雨水箅表面洁净，交通标志线无污渍，现本色。 </w:t>
      </w:r>
    </w:p>
    <w:p>
      <w:pPr>
        <w:spacing w:line="500" w:lineRule="exact"/>
        <w:ind w:firstLine="560" w:firstLineChars="200"/>
        <w:rPr>
          <w:rFonts w:ascii="宋体" w:hAnsi="宋体" w:cs="宋体"/>
          <w:sz w:val="28"/>
          <w:szCs w:val="28"/>
        </w:rPr>
      </w:pPr>
      <w:r>
        <w:rPr>
          <w:rFonts w:hint="eastAsia" w:ascii="宋体" w:hAnsi="宋体" w:cs="宋体"/>
          <w:sz w:val="28"/>
          <w:szCs w:val="28"/>
        </w:rPr>
        <w:t>特殊要求：此项作业安排在洗扫作业前，配合洗扫作业。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道路机械洗扫</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作业范围：机动车快车道、辅道。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作业内容：机械洗扫，洗扫车加喷头冲洗路沿石。</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作业时间：02:00至6:00，</w:t>
      </w:r>
      <w:r>
        <w:rPr>
          <w:rFonts w:hint="eastAsia" w:ascii="宋体" w:hAnsi="宋体" w:cs="宋体"/>
          <w:bCs/>
          <w:sz w:val="28"/>
          <w:szCs w:val="28"/>
        </w:rPr>
        <w:t>特殊天气根据主管部门指令进行适当调整。</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作业时速：不高于15公里/小时。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作业车型：车辆行驶证核定载质量≥4吨的多功能洗扫车。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作业标准：路面无堆积物、无砖瓦土石、无果皮纸屑塑料袋、无烟蒂痰迹、无积泥积尘、无污水、无灰带。</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人工快速保洁</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作业范围：人行道、辅道、</w:t>
      </w:r>
      <w:r>
        <w:rPr>
          <w:rFonts w:hint="eastAsia" w:ascii="宋体" w:hAnsi="宋体" w:cs="宋体"/>
          <w:bCs/>
          <w:sz w:val="28"/>
          <w:szCs w:val="28"/>
        </w:rPr>
        <w:t>机非隔离绿化带、</w:t>
      </w:r>
      <w:r>
        <w:rPr>
          <w:rFonts w:hint="eastAsia" w:ascii="宋体" w:hAnsi="宋体" w:cs="宋体"/>
          <w:sz w:val="28"/>
          <w:szCs w:val="28"/>
        </w:rPr>
        <w:t>道路边沟、</w:t>
      </w:r>
      <w:r>
        <w:rPr>
          <w:rFonts w:hint="eastAsia" w:ascii="宋体" w:hAnsi="宋体" w:cs="宋体"/>
          <w:bCs/>
          <w:sz w:val="28"/>
          <w:szCs w:val="28"/>
        </w:rPr>
        <w:t>护坡</w:t>
      </w:r>
      <w:r>
        <w:rPr>
          <w:rFonts w:hint="eastAsia" w:ascii="宋体" w:hAnsi="宋体" w:cs="宋体"/>
          <w:sz w:val="28"/>
          <w:szCs w:val="28"/>
        </w:rPr>
        <w:t>及可视范围内。</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作业内容：白色垃圾和废弃物捡拾。</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作业频次：不低于1次/2小时。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作业时间：8:00至20:00。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作业方式：作业人员骑快速保洁车，使用长柄夹子捡拾</w:t>
      </w:r>
      <w:r>
        <w:rPr>
          <w:rFonts w:hint="eastAsia" w:ascii="宋体" w:hAnsi="宋体" w:cs="宋体"/>
          <w:bCs/>
          <w:sz w:val="28"/>
          <w:szCs w:val="28"/>
        </w:rPr>
        <w:t>机非隔离绿化带、</w:t>
      </w:r>
      <w:r>
        <w:rPr>
          <w:rFonts w:hint="eastAsia" w:ascii="宋体" w:hAnsi="宋体" w:cs="宋体"/>
          <w:sz w:val="28"/>
          <w:szCs w:val="28"/>
        </w:rPr>
        <w:t>道路边沟、</w:t>
      </w:r>
      <w:r>
        <w:rPr>
          <w:rFonts w:hint="eastAsia" w:ascii="宋体" w:hAnsi="宋体" w:cs="宋体"/>
          <w:bCs/>
          <w:sz w:val="28"/>
          <w:szCs w:val="28"/>
        </w:rPr>
        <w:t>护坡</w:t>
      </w:r>
      <w:r>
        <w:rPr>
          <w:rFonts w:hint="eastAsia" w:ascii="宋体" w:hAnsi="宋体" w:cs="宋体"/>
          <w:sz w:val="28"/>
          <w:szCs w:val="28"/>
        </w:rPr>
        <w:t>及可视范围内废弃物。</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安全要求：禁止作业人员进入机动车道。</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作业定额：2.5万平米/班次，不低于2班次/日。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作业标准：无堆积物、无砖瓦土石、无果皮纸屑塑料袋、无烟蒂、无白色垃圾等。</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人行道路面清扫</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作业范围：人行道路面清扫，2米以下牛皮癣清理、果屑箱清掏，协助共享单车规范。</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作业方式：人工作业（鼓励根据实际采取小型机械作业）。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作业频次：每日早上、下午集中清扫作业各1次；其余时间巡回保洁， “牛皮癣”及时清除，果屑箱及时清掏。 </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 06:00至22:00，其中，第一次普扫需在08:00前完成，第二次普扫需在14:00前完成。</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作业机具：软扫帚、竹扫把、塑料扫把、密闭式撮箕、长柄夹子、灰刀、劳保手套、垃圾袋。</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作业定额：一级道路6600</w:t>
      </w:r>
      <w:r>
        <w:rPr>
          <w:rFonts w:hint="eastAsia" w:ascii="宋体" w:hAnsi="宋体" w:cs="宋体"/>
          <w:bCs/>
          <w:sz w:val="28"/>
          <w:szCs w:val="28"/>
        </w:rPr>
        <w:t>平方米/人</w:t>
      </w:r>
      <w:r>
        <w:rPr>
          <w:rFonts w:hint="eastAsia" w:ascii="宋体" w:hAnsi="宋体" w:cs="宋体"/>
          <w:sz w:val="28"/>
          <w:szCs w:val="28"/>
        </w:rPr>
        <w:t>，</w:t>
      </w:r>
      <w:r>
        <w:rPr>
          <w:rFonts w:hint="eastAsia" w:ascii="宋体" w:hAnsi="宋体" w:cs="宋体"/>
          <w:bCs/>
          <w:sz w:val="28"/>
          <w:szCs w:val="28"/>
        </w:rPr>
        <w:t>二级道路7000平方米/人，三级道路7400平方米/人，不低于2班次/日。（含绿化带）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作业标准：路面无堆积物、无砖瓦土石、无果皮纸屑塑料袋、无烟蒂痰迹、无积泥积尘、无污水、无灰带，无“牛皮癣”。</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果屑箱清洗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作业范围：环卫作业服务区域沿线设置的果屑箱、灯杆、休闲座椅等环卫市政设施清洗。</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作业内容：果屑箱地面冲洗除尘除污除臭，果屑箱、灯杆、休闲座椅等环卫市政设施清洁。</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作业频次：不低于2次/日。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作业时间：06:00至21:00。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w:t>
      </w:r>
    </w:p>
    <w:p>
      <w:pPr>
        <w:spacing w:line="500" w:lineRule="exact"/>
        <w:ind w:firstLine="560" w:firstLineChars="200"/>
        <w:rPr>
          <w:rFonts w:ascii="宋体" w:hAnsi="宋体" w:cs="宋体"/>
          <w:sz w:val="28"/>
          <w:szCs w:val="28"/>
        </w:rPr>
      </w:pPr>
      <w:r>
        <w:rPr>
          <w:rFonts w:hint="eastAsia" w:ascii="宋体" w:hAnsi="宋体" w:cs="宋体"/>
          <w:sz w:val="28"/>
          <w:szCs w:val="28"/>
        </w:rPr>
        <w:t>作业机具：</w:t>
      </w:r>
      <w:r>
        <w:rPr>
          <w:rFonts w:hint="eastAsia" w:ascii="宋体" w:hAnsi="宋体" w:cs="宋体"/>
          <w:bCs/>
          <w:sz w:val="28"/>
          <w:szCs w:val="28"/>
        </w:rPr>
        <w:t>小型电动密闭垃圾车</w:t>
      </w:r>
      <w:r>
        <w:rPr>
          <w:rFonts w:hint="eastAsia" w:ascii="宋体" w:hAnsi="宋体" w:cs="宋体"/>
          <w:sz w:val="28"/>
          <w:szCs w:val="28"/>
        </w:rPr>
        <w:t>，毛巾、塑料刷、橡胶手套、消洒剂、洗涤剂等。</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w:t>
      </w:r>
      <w:r>
        <w:rPr>
          <w:rFonts w:hint="eastAsia" w:ascii="宋体" w:hAnsi="宋体" w:cs="宋体"/>
          <w:bCs/>
          <w:sz w:val="28"/>
          <w:szCs w:val="28"/>
        </w:rPr>
        <w:t>60只/班次•人，</w:t>
      </w:r>
      <w:r>
        <w:rPr>
          <w:rFonts w:hint="eastAsia" w:ascii="宋体" w:hAnsi="宋体" w:cs="宋体"/>
          <w:sz w:val="28"/>
          <w:szCs w:val="28"/>
        </w:rPr>
        <w:t>不低于</w:t>
      </w:r>
      <w:r>
        <w:rPr>
          <w:rFonts w:hint="eastAsia" w:ascii="宋体" w:hAnsi="宋体" w:cs="宋体"/>
          <w:bCs/>
          <w:sz w:val="28"/>
          <w:szCs w:val="28"/>
        </w:rPr>
        <w:t>1班次/日</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人员着装：作业时必须穿带安全反光标志的工作服、带胶皮手套。</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安全要求：作业时，作业人员站在非机动车道或人行道上作业，注意避让非机动车及行人。</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作业标准：果屑箱箱体外观整洁，无积泥积污，现本色，灯杆、休闲座椅等市政设施无积泥积污，现本色。</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绿化带及两侧边沟</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作业范围：中央隔离绿化带、机非隔离绿化带、机非隔离绿化带两侧边沟、景观绿化带。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作业内容：捡拾中央隔离绿化带、机非隔离绿化带、机非隔离绿化带两侧边沟、景观绿化带生活垃圾。</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作业时间：8:00至16:00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作业方式：人工作业。</w:t>
      </w:r>
    </w:p>
    <w:p>
      <w:pPr>
        <w:spacing w:line="500" w:lineRule="exact"/>
        <w:ind w:firstLine="560" w:firstLineChars="200"/>
        <w:rPr>
          <w:rFonts w:ascii="宋体" w:hAnsi="宋体" w:cs="宋体"/>
          <w:sz w:val="28"/>
          <w:szCs w:val="28"/>
        </w:rPr>
      </w:pPr>
      <w:r>
        <w:rPr>
          <w:rFonts w:hint="eastAsia" w:ascii="宋体" w:hAnsi="宋体" w:cs="宋体"/>
          <w:sz w:val="28"/>
          <w:szCs w:val="28"/>
        </w:rPr>
        <w:t>作业工具：长柄夹子、垃圾袋等。</w:t>
      </w:r>
    </w:p>
    <w:p>
      <w:pPr>
        <w:spacing w:line="500" w:lineRule="exact"/>
        <w:ind w:firstLine="560" w:firstLineChars="200"/>
        <w:rPr>
          <w:rFonts w:ascii="宋体" w:hAnsi="宋体" w:cs="宋体"/>
          <w:sz w:val="28"/>
          <w:szCs w:val="28"/>
        </w:rPr>
      </w:pPr>
      <w:r>
        <w:rPr>
          <w:rFonts w:hint="eastAsia" w:ascii="宋体" w:hAnsi="宋体" w:cs="宋体"/>
          <w:sz w:val="28"/>
          <w:szCs w:val="28"/>
        </w:rPr>
        <w:t>人员着装：作业时必须穿戴有安全反光标志的工作服。</w:t>
      </w:r>
    </w:p>
    <w:p>
      <w:pPr>
        <w:spacing w:line="500" w:lineRule="exact"/>
        <w:ind w:firstLine="560" w:firstLineChars="200"/>
        <w:rPr>
          <w:rFonts w:ascii="宋体" w:hAnsi="宋体" w:cs="宋体"/>
          <w:sz w:val="28"/>
          <w:szCs w:val="28"/>
        </w:rPr>
      </w:pPr>
      <w:r>
        <w:rPr>
          <w:rFonts w:hint="eastAsia" w:ascii="宋体" w:hAnsi="宋体" w:cs="宋体"/>
          <w:sz w:val="28"/>
          <w:szCs w:val="28"/>
        </w:rPr>
        <w:t>安全要求：作业人员必须从过街人行道进入中央隔离绿带作业，禁止进入机动车快车道。</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作业标准：绿化带及两侧边沟无白色垃圾、其它生活垃圾及杂物。</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作业定额：20000平方米/班次﹒人，不低于1班次/日。人员可与保洁人员并用。</w:t>
      </w:r>
    </w:p>
    <w:p>
      <w:pPr>
        <w:spacing w:line="500" w:lineRule="exact"/>
        <w:ind w:firstLine="560" w:firstLineChars="200"/>
        <w:rPr>
          <w:rFonts w:ascii="宋体" w:hAnsi="宋体" w:cs="宋体"/>
          <w:sz w:val="28"/>
          <w:szCs w:val="28"/>
        </w:rPr>
      </w:pPr>
      <w:r>
        <w:rPr>
          <w:rFonts w:hint="eastAsia" w:ascii="宋体" w:hAnsi="宋体" w:cs="宋体"/>
          <w:sz w:val="28"/>
          <w:szCs w:val="28"/>
        </w:rPr>
        <w:t>检查方式：采取人工检查的方式，随机收取作业路段，依据考核标准进行检查。</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人行道冲洗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作业范围：人行道。</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作业内容：冲洗除尘。</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作业频次：不低于1次/周，</w:t>
      </w:r>
      <w:r>
        <w:rPr>
          <w:rFonts w:hint="eastAsia" w:ascii="宋体" w:hAnsi="宋体" w:cs="宋体"/>
          <w:sz w:val="28"/>
          <w:szCs w:val="28"/>
          <w:lang w:eastAsia="zh-CN"/>
        </w:rPr>
        <w:t>随时清除污垢、污渍</w:t>
      </w:r>
      <w:r>
        <w:rPr>
          <w:rFonts w:hint="eastAsia" w:ascii="宋体" w:hAnsi="宋体" w:cs="宋体"/>
          <w:sz w:val="28"/>
          <w:szCs w:val="28"/>
        </w:rPr>
        <w:t>。</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作业方式：采取人工和机械相结合方式。</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作业车型：车辆行驶证核定载质量≥10吨的洒水车或小型洒水车。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作业标准：无积泥积尘、油污。</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绿化带冲洗</w:t>
      </w:r>
    </w:p>
    <w:p>
      <w:pPr>
        <w:spacing w:line="500" w:lineRule="exact"/>
        <w:ind w:firstLine="560" w:firstLineChars="200"/>
        <w:rPr>
          <w:rFonts w:ascii="宋体" w:hAnsi="宋体" w:cs="宋体"/>
          <w:sz w:val="28"/>
          <w:szCs w:val="28"/>
        </w:rPr>
      </w:pPr>
      <w:r>
        <w:rPr>
          <w:rFonts w:hint="eastAsia" w:ascii="宋体" w:hAnsi="宋体" w:cs="宋体"/>
          <w:sz w:val="28"/>
          <w:szCs w:val="28"/>
        </w:rPr>
        <w:t>作业范围：行道树、中央隔离绿带、机非隔离绿化带、景观绿化带。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作业内容：行道树、中央隔离绿带、机非隔离绿化带、景观绿化带冲洗除尘。</w:t>
      </w:r>
    </w:p>
    <w:p>
      <w:pPr>
        <w:spacing w:line="500" w:lineRule="exact"/>
        <w:ind w:firstLine="560" w:firstLineChars="200"/>
        <w:rPr>
          <w:rFonts w:ascii="宋体" w:hAnsi="宋体" w:cs="宋体"/>
          <w:sz w:val="28"/>
          <w:szCs w:val="28"/>
        </w:rPr>
      </w:pPr>
      <w:r>
        <w:rPr>
          <w:rFonts w:hint="eastAsia" w:ascii="宋体" w:hAnsi="宋体" w:cs="宋体"/>
          <w:sz w:val="28"/>
          <w:szCs w:val="28"/>
        </w:rPr>
        <w:t>作业频次：不低于1次/日。</w:t>
      </w:r>
    </w:p>
    <w:p>
      <w:pPr>
        <w:spacing w:line="500" w:lineRule="exact"/>
        <w:ind w:firstLine="560" w:firstLineChars="200"/>
        <w:rPr>
          <w:rFonts w:ascii="宋体" w:hAnsi="宋体" w:cs="宋体"/>
          <w:sz w:val="28"/>
          <w:szCs w:val="28"/>
        </w:rPr>
      </w:pPr>
      <w:r>
        <w:rPr>
          <w:rFonts w:hint="eastAsia" w:ascii="宋体" w:hAnsi="宋体" w:cs="宋体"/>
          <w:sz w:val="28"/>
          <w:szCs w:val="28"/>
        </w:rPr>
        <w:t>作业时间：9:30至16:30。</w:t>
      </w:r>
    </w:p>
    <w:p>
      <w:pPr>
        <w:spacing w:line="500" w:lineRule="exact"/>
        <w:ind w:firstLine="560" w:firstLineChars="200"/>
        <w:rPr>
          <w:rFonts w:ascii="宋体" w:hAnsi="宋体" w:cs="宋体"/>
          <w:sz w:val="28"/>
          <w:szCs w:val="28"/>
        </w:rPr>
      </w:pPr>
      <w:r>
        <w:rPr>
          <w:rFonts w:hint="eastAsia" w:ascii="宋体" w:hAnsi="宋体" w:cs="宋体"/>
          <w:sz w:val="28"/>
          <w:szCs w:val="28"/>
        </w:rPr>
        <w:t>作业方式：洒水车冲洗行道树、中央隔离绿带、机非隔离绿化带、景观绿化带。</w:t>
      </w:r>
    </w:p>
    <w:p>
      <w:pPr>
        <w:spacing w:line="500" w:lineRule="exact"/>
        <w:ind w:firstLine="560" w:firstLineChars="200"/>
        <w:rPr>
          <w:rFonts w:ascii="宋体" w:hAnsi="宋体" w:cs="宋体"/>
          <w:sz w:val="28"/>
          <w:szCs w:val="28"/>
        </w:rPr>
      </w:pPr>
      <w:r>
        <w:rPr>
          <w:rFonts w:hint="eastAsia" w:ascii="宋体" w:hAnsi="宋体" w:cs="宋体"/>
          <w:sz w:val="28"/>
          <w:szCs w:val="28"/>
        </w:rPr>
        <w:t>作业时速：不高于20公里/小时。</w:t>
      </w:r>
    </w:p>
    <w:p>
      <w:pPr>
        <w:spacing w:line="500" w:lineRule="exact"/>
        <w:ind w:firstLine="560" w:firstLineChars="200"/>
        <w:rPr>
          <w:rFonts w:ascii="宋体" w:hAnsi="宋体" w:cs="宋体"/>
          <w:sz w:val="28"/>
          <w:szCs w:val="28"/>
        </w:rPr>
      </w:pPr>
      <w:r>
        <w:rPr>
          <w:rFonts w:hint="eastAsia" w:ascii="宋体" w:hAnsi="宋体" w:cs="宋体"/>
          <w:sz w:val="28"/>
          <w:szCs w:val="28"/>
        </w:rPr>
        <w:t>作业车型：车辆行驶证核定载质量≥10吨的洒水车。</w:t>
      </w:r>
    </w:p>
    <w:p>
      <w:pPr>
        <w:spacing w:line="500" w:lineRule="exact"/>
        <w:ind w:firstLine="560" w:firstLineChars="200"/>
        <w:rPr>
          <w:rFonts w:ascii="宋体" w:hAnsi="宋体" w:cs="宋体"/>
          <w:sz w:val="28"/>
          <w:szCs w:val="28"/>
        </w:rPr>
      </w:pPr>
      <w:r>
        <w:rPr>
          <w:rFonts w:hint="eastAsia" w:ascii="宋体" w:hAnsi="宋体" w:cs="宋体"/>
          <w:sz w:val="28"/>
          <w:szCs w:val="28"/>
        </w:rPr>
        <w:t>作业定额：辅工1人/车。</w:t>
      </w:r>
    </w:p>
    <w:p>
      <w:pPr>
        <w:spacing w:line="500" w:lineRule="exact"/>
        <w:ind w:firstLine="560" w:firstLineChars="200"/>
        <w:rPr>
          <w:rFonts w:ascii="宋体" w:hAnsi="宋体" w:cs="宋体"/>
          <w:sz w:val="28"/>
          <w:szCs w:val="28"/>
        </w:rPr>
      </w:pPr>
      <w:r>
        <w:rPr>
          <w:rFonts w:hint="eastAsia" w:ascii="宋体" w:hAnsi="宋体" w:cs="宋体"/>
          <w:sz w:val="28"/>
          <w:szCs w:val="28"/>
        </w:rPr>
        <w:t>作业标准：绿化带无积泥积尘、油污。</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检查方式：利用检查车辆GPS定位设备以及人工检查相结合，监管作业里程、作业频次、作业时速、作业时间等作业质量情况。</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应急突发事故处理</w:t>
      </w:r>
    </w:p>
    <w:p>
      <w:pPr>
        <w:spacing w:line="500" w:lineRule="exact"/>
        <w:ind w:firstLine="280" w:firstLineChars="100"/>
        <w:rPr>
          <w:rFonts w:ascii="宋体" w:hAnsi="宋体" w:cs="宋体"/>
          <w:bCs/>
          <w:sz w:val="28"/>
          <w:szCs w:val="28"/>
        </w:rPr>
      </w:pPr>
      <w:r>
        <w:rPr>
          <w:rFonts w:hint="eastAsia" w:ascii="宋体" w:hAnsi="宋体" w:cs="宋体"/>
          <w:bCs/>
          <w:sz w:val="28"/>
          <w:szCs w:val="28"/>
        </w:rPr>
        <w:t>交通事故现场处理，建筑渣土撒漏处理，无主垃圾清理，轻质漂浮物处理，各类保障任务。</w:t>
      </w:r>
    </w:p>
    <w:p>
      <w:pPr>
        <w:numPr>
          <w:ilvl w:val="0"/>
          <w:numId w:val="31"/>
        </w:numPr>
        <w:spacing w:line="500" w:lineRule="exact"/>
        <w:ind w:left="5" w:firstLine="435"/>
        <w:rPr>
          <w:rFonts w:ascii="宋体" w:hAnsi="宋体" w:cs="宋体"/>
          <w:b w:val="0"/>
          <w:bCs/>
          <w:sz w:val="28"/>
          <w:szCs w:val="28"/>
        </w:rPr>
      </w:pPr>
      <w:r>
        <w:rPr>
          <w:rFonts w:hint="eastAsia" w:ascii="宋体" w:hAnsi="宋体" w:cs="宋体"/>
          <w:b w:val="0"/>
          <w:bCs/>
          <w:sz w:val="28"/>
          <w:szCs w:val="28"/>
        </w:rPr>
        <w:t>安全作业要求</w:t>
      </w:r>
    </w:p>
    <w:p>
      <w:pPr>
        <w:spacing w:line="500" w:lineRule="exact"/>
        <w:ind w:firstLine="560" w:firstLineChars="200"/>
        <w:rPr>
          <w:rFonts w:ascii="宋体" w:hAnsi="宋体" w:cs="宋体"/>
          <w:bCs/>
          <w:sz w:val="28"/>
          <w:szCs w:val="28"/>
        </w:rPr>
      </w:pPr>
      <w:r>
        <w:rPr>
          <w:rFonts w:hint="eastAsia" w:ascii="宋体" w:hAnsi="宋体" w:cs="宋体"/>
          <w:bCs/>
          <w:sz w:val="28"/>
          <w:szCs w:val="28"/>
        </w:rPr>
        <w:t>严禁作业人员在无安全保护情况下进入机动车道作业；严禁作业人员穿行机动车道；在处理应急突发事故时，应按要求配置警示桩、锥形桶等安全警示设施。</w:t>
      </w:r>
    </w:p>
    <w:p>
      <w:pPr>
        <w:pStyle w:val="5"/>
        <w:numPr>
          <w:ilvl w:val="1"/>
          <w:numId w:val="0"/>
        </w:numPr>
        <w:spacing w:before="0" w:after="0" w:line="500" w:lineRule="exact"/>
        <w:ind w:left="-142"/>
        <w:rPr>
          <w:bCs w:val="0"/>
          <w:sz w:val="28"/>
          <w:szCs w:val="28"/>
        </w:rPr>
      </w:pPr>
      <w:bookmarkStart w:id="324" w:name="_Toc15532"/>
      <w:bookmarkStart w:id="325" w:name="_Toc8419"/>
      <w:r>
        <w:rPr>
          <w:rFonts w:hint="eastAsia"/>
          <w:sz w:val="28"/>
          <w:szCs w:val="28"/>
          <w:lang w:eastAsia="zh-CN"/>
        </w:rPr>
        <w:t>（三）</w:t>
      </w:r>
      <w:r>
        <w:rPr>
          <w:rFonts w:hint="eastAsia"/>
          <w:sz w:val="28"/>
          <w:szCs w:val="28"/>
        </w:rPr>
        <w:t>河道保</w:t>
      </w:r>
      <w:r>
        <w:rPr>
          <w:rFonts w:hint="eastAsia"/>
          <w:bCs w:val="0"/>
          <w:sz w:val="28"/>
          <w:szCs w:val="28"/>
        </w:rPr>
        <w:t>河道保洁服务内容及服务要求</w:t>
      </w:r>
      <w:bookmarkEnd w:id="324"/>
      <w:bookmarkEnd w:id="325"/>
    </w:p>
    <w:p>
      <w:pPr>
        <w:spacing w:line="500" w:lineRule="exact"/>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numPr>
          <w:ilvl w:val="0"/>
          <w:numId w:val="75"/>
        </w:numPr>
        <w:spacing w:line="500" w:lineRule="exact"/>
        <w:ind w:left="5" w:firstLine="435"/>
        <w:rPr>
          <w:rFonts w:ascii="宋体" w:hAnsi="宋体" w:cs="宋体"/>
          <w:sz w:val="28"/>
          <w:szCs w:val="28"/>
        </w:rPr>
      </w:pPr>
      <w:r>
        <w:rPr>
          <w:rFonts w:hint="eastAsia" w:ascii="宋体" w:hAnsi="宋体" w:cs="宋体"/>
          <w:sz w:val="28"/>
          <w:szCs w:val="28"/>
        </w:rPr>
        <w:t>中标人需安排专业人员对河渠、陆域保洁、垃圾转运、入河拦污栅漂浮物打捞等。所产生的垃圾由中标人自行合理处置，不得堆积在河道沿岸。</w:t>
      </w:r>
    </w:p>
    <w:p>
      <w:pPr>
        <w:numPr>
          <w:ilvl w:val="0"/>
          <w:numId w:val="75"/>
        </w:numPr>
        <w:spacing w:line="500" w:lineRule="exact"/>
        <w:ind w:left="5" w:firstLine="435"/>
        <w:rPr>
          <w:rFonts w:ascii="宋体" w:hAnsi="宋体" w:cs="宋体"/>
          <w:sz w:val="28"/>
          <w:szCs w:val="28"/>
        </w:rPr>
      </w:pPr>
      <w:r>
        <w:rPr>
          <w:rFonts w:hint="eastAsia" w:ascii="宋体" w:hAnsi="宋体" w:cs="宋体"/>
          <w:sz w:val="28"/>
          <w:szCs w:val="28"/>
        </w:rPr>
        <w:t>做好对全街道辖区内河渠的日常巡查和常规维护维修。对发现的常规性问题有责任和义务进行及时的处置，对不能处置的需上报街道相关部门。</w:t>
      </w:r>
    </w:p>
    <w:p>
      <w:pPr>
        <w:numPr>
          <w:ilvl w:val="0"/>
          <w:numId w:val="75"/>
        </w:numPr>
        <w:spacing w:line="500" w:lineRule="exact"/>
        <w:ind w:left="5" w:firstLine="435"/>
        <w:rPr>
          <w:rFonts w:ascii="宋体" w:hAnsi="宋体" w:cs="宋体"/>
          <w:sz w:val="28"/>
          <w:szCs w:val="28"/>
        </w:rPr>
      </w:pPr>
      <w:r>
        <w:rPr>
          <w:rFonts w:hint="eastAsia" w:ascii="宋体" w:hAnsi="宋体" w:cs="宋体"/>
          <w:sz w:val="28"/>
          <w:szCs w:val="28"/>
        </w:rPr>
        <w:t xml:space="preserve">对下河排口进行巡查，对直排现象进行及时处置，不能处置的需上报社区街道相关部门。 </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33"/>
        </w:numPr>
        <w:spacing w:line="500" w:lineRule="exact"/>
        <w:ind w:left="5" w:firstLine="635"/>
        <w:rPr>
          <w:rFonts w:ascii="宋体" w:hAnsi="宋体" w:cs="宋体"/>
          <w:sz w:val="28"/>
          <w:szCs w:val="28"/>
        </w:rPr>
      </w:pPr>
      <w:r>
        <w:rPr>
          <w:rFonts w:hint="eastAsia" w:ascii="宋体" w:hAnsi="宋体" w:cs="宋体"/>
          <w:sz w:val="28"/>
          <w:szCs w:val="28"/>
        </w:rPr>
        <w:t>时间要求</w:t>
      </w:r>
    </w:p>
    <w:p>
      <w:pPr>
        <w:spacing w:line="500" w:lineRule="exact"/>
        <w:ind w:firstLine="492"/>
        <w:rPr>
          <w:rFonts w:ascii="宋体" w:hAnsi="宋体" w:cs="宋体"/>
          <w:sz w:val="28"/>
          <w:szCs w:val="28"/>
        </w:rPr>
      </w:pPr>
      <w:r>
        <w:rPr>
          <w:rFonts w:hint="eastAsia" w:ascii="宋体" w:hAnsi="宋体" w:cs="宋体"/>
          <w:sz w:val="28"/>
          <w:szCs w:val="28"/>
        </w:rPr>
        <w:t>清扫打漂：河道每天9:00时前完成第一次清扫打漂，15:00时前完成第二次清扫打漂。保洁时间：夏秋季（5-10月）每天7:30至19:00，冬春季（11月至次年4月）每天8:00至18:30时进行。</w:t>
      </w:r>
    </w:p>
    <w:p>
      <w:pPr>
        <w:numPr>
          <w:ilvl w:val="0"/>
          <w:numId w:val="33"/>
        </w:numPr>
        <w:spacing w:line="500" w:lineRule="exact"/>
        <w:ind w:left="5" w:firstLine="635"/>
        <w:rPr>
          <w:rFonts w:ascii="宋体" w:hAnsi="宋体" w:cs="宋体"/>
          <w:sz w:val="28"/>
          <w:szCs w:val="28"/>
        </w:rPr>
      </w:pPr>
      <w:r>
        <w:rPr>
          <w:rFonts w:hint="eastAsia" w:ascii="宋体" w:hAnsi="宋体" w:cs="宋体"/>
          <w:sz w:val="28"/>
          <w:szCs w:val="28"/>
        </w:rPr>
        <w:t>保洁作业质量</w:t>
      </w:r>
    </w:p>
    <w:p>
      <w:pPr>
        <w:spacing w:line="500" w:lineRule="exact"/>
        <w:ind w:firstLine="492"/>
        <w:rPr>
          <w:rFonts w:ascii="宋体" w:hAnsi="宋体" w:cs="宋体"/>
          <w:sz w:val="28"/>
          <w:szCs w:val="28"/>
        </w:rPr>
      </w:pPr>
      <w:r>
        <w:rPr>
          <w:rFonts w:hint="eastAsia" w:ascii="宋体" w:hAnsi="宋体" w:cs="宋体"/>
          <w:sz w:val="28"/>
          <w:szCs w:val="28"/>
        </w:rPr>
        <w:t>通道保洁：保持通道清洁，零星垃圾河道100米内不超过2处且停留时间不得超过0.5小时；桥头、梯步、河堤护岸坡面、公共设施、下河马道干净整洁，无卫生死角。栏杆无明显积尘、污斑、蜘蛛网或其它缠绕垃圾；桥角、桥墩边、水闸前无垃圾及漂浮物，严禁采取开闸放漂，将漂浮物流入下游河段。水面保洁：水面感观良好，视觉范围内无明显漂浮物、阻水物、明显积存垃圾，拦漂设施拦截漂浮物每日进行集中打捞，保证水流通畅，当日垃圾当日清除，及时运至中转站或垃圾场。</w:t>
      </w:r>
    </w:p>
    <w:p>
      <w:pPr>
        <w:spacing w:line="500" w:lineRule="exact"/>
        <w:ind w:firstLine="492"/>
        <w:rPr>
          <w:rFonts w:hint="eastAsia" w:ascii="宋体" w:hAnsi="宋体" w:eastAsia="宋体" w:cs="宋体"/>
          <w:sz w:val="28"/>
          <w:szCs w:val="28"/>
        </w:rPr>
      </w:pPr>
      <w:r>
        <w:rPr>
          <w:rFonts w:hint="eastAsia" w:ascii="宋体" w:hAnsi="宋体" w:cs="宋体"/>
          <w:sz w:val="28"/>
          <w:szCs w:val="28"/>
        </w:rPr>
        <w:t>护坡、河滩地保洁：河堤立面清洁，硬化的护坡无杂草、垃圾；河滩地无大量</w:t>
      </w:r>
      <w:r>
        <w:rPr>
          <w:rFonts w:hint="eastAsia" w:ascii="宋体" w:hAnsi="宋体" w:eastAsia="宋体" w:cs="宋体"/>
          <w:sz w:val="28"/>
          <w:szCs w:val="28"/>
        </w:rPr>
        <w:t>阻水杂草、垃圾及人工种植植物。</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常水位以上无明显突出水面淤积物及障碍物，存留时间不超过2日。</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垃圾清运作业</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打漂、保洁的垃圾清运日产日清，严禁垃圾过夜。打漂、保洁收集的垃圾存放到街道或城管部门指定的存放点，定时派装卸人员装运。</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中标人工作人员和设备配备要求</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每条河道及闸门管理用房配备相应工作量的清扫保洁、绿化管护、设施设备维护、日常巡查管理及从业人员。</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每个清扫保洁人员要配备必要的口袋、撮箕、舀子、钉耙等清扫保洁工具，实行袋装化的河道区域配备足够的垃圾袋。</w:t>
      </w:r>
    </w:p>
    <w:p>
      <w:pPr>
        <w:numPr>
          <w:ilvl w:val="0"/>
          <w:numId w:val="33"/>
        </w:numPr>
        <w:spacing w:line="500" w:lineRule="exact"/>
        <w:ind w:left="5" w:firstLine="635"/>
        <w:rPr>
          <w:rFonts w:hint="eastAsia" w:ascii="宋体" w:hAnsi="宋体" w:eastAsia="宋体" w:cs="宋体"/>
          <w:sz w:val="28"/>
          <w:szCs w:val="28"/>
        </w:rPr>
      </w:pPr>
      <w:r>
        <w:rPr>
          <w:rFonts w:hint="eastAsia" w:ascii="宋体" w:hAnsi="宋体" w:eastAsia="宋体" w:cs="宋体"/>
          <w:sz w:val="28"/>
          <w:szCs w:val="28"/>
        </w:rPr>
        <w:t>安全文明作业</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中标人需对上岗人员进行岗前培训，不断提高河道管理作业人员的工作技能工作热情和安全文明作业水平。</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中标人应配备河道保洁作业必须的工具以及安全保障设施设备，并定期组织安全作业技能培训。</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作业人员上岗期间须着河道管理工作装并佩戴工作证。</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作业人员无脱岗和上岗期间聚集聊天现象，不做与工作无关的事。</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规范安全操作，下水作业必须穿救生衣。</w:t>
      </w:r>
    </w:p>
    <w:p>
      <w:pPr>
        <w:spacing w:line="500" w:lineRule="exact"/>
        <w:ind w:firstLine="492"/>
        <w:rPr>
          <w:rFonts w:hint="eastAsia" w:ascii="宋体" w:hAnsi="宋体" w:eastAsia="宋体" w:cs="宋体"/>
          <w:sz w:val="28"/>
          <w:szCs w:val="28"/>
        </w:rPr>
      </w:pPr>
      <w:r>
        <w:rPr>
          <w:rFonts w:hint="eastAsia" w:ascii="宋体" w:hAnsi="宋体" w:eastAsia="宋体" w:cs="宋体"/>
          <w:sz w:val="28"/>
          <w:szCs w:val="28"/>
        </w:rPr>
        <w:t>制止恶意破坏河道环境卫生、河道设施设备等行为时，作业人员做到耐心文明劝阻、不打人骂人。</w:t>
      </w:r>
    </w:p>
    <w:p>
      <w:pPr>
        <w:pStyle w:val="5"/>
        <w:numPr>
          <w:ilvl w:val="1"/>
          <w:numId w:val="0"/>
        </w:numPr>
        <w:spacing w:before="0" w:after="0" w:line="500" w:lineRule="exact"/>
        <w:ind w:left="-142"/>
        <w:rPr>
          <w:rFonts w:hint="eastAsia" w:ascii="宋体" w:hAnsi="宋体" w:eastAsia="宋体" w:cs="宋体"/>
          <w:sz w:val="28"/>
          <w:szCs w:val="28"/>
        </w:rPr>
      </w:pPr>
      <w:bookmarkStart w:id="326" w:name="_Toc10751"/>
      <w:bookmarkStart w:id="327" w:name="_Toc4770"/>
      <w:r>
        <w:rPr>
          <w:rFonts w:hint="eastAsia" w:ascii="宋体" w:hAnsi="宋体" w:eastAsia="宋体" w:cs="宋体"/>
          <w:sz w:val="28"/>
          <w:szCs w:val="28"/>
          <w:lang w:eastAsia="zh-CN"/>
        </w:rPr>
        <w:t>（四）</w:t>
      </w:r>
      <w:r>
        <w:rPr>
          <w:rFonts w:hint="eastAsia" w:ascii="宋体" w:hAnsi="宋体" w:eastAsia="宋体" w:cs="宋体"/>
          <w:sz w:val="28"/>
          <w:szCs w:val="28"/>
        </w:rPr>
        <w:t>绿化管护服务内容及服务要求</w:t>
      </w:r>
      <w:bookmarkEnd w:id="326"/>
      <w:bookmarkEnd w:id="327"/>
    </w:p>
    <w:p>
      <w:pPr>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服务内容</w:t>
      </w:r>
      <w:r>
        <w:rPr>
          <w:rFonts w:hint="eastAsia" w:ascii="宋体" w:hAnsi="宋体" w:eastAsia="宋体" w:cs="宋体"/>
          <w:b/>
          <w:bCs/>
          <w:sz w:val="28"/>
          <w:szCs w:val="28"/>
          <w:lang w:eastAsia="zh-CN"/>
        </w:rPr>
        <w:t>：</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对所属区域绿化及行道树进行日常管护工作。</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对管护期间所属区域死亡、破坏、缺漏植物进行补栽和换栽工作。</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造型植物、地被植物、草坪的日常修剪及管护，乔木支撑、扶正及修枝整形。</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施肥、浇水、病虫害防治、除杂草。</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街道花台、行道树、街心花园、道路节点及绿化带的管护。</w:t>
      </w:r>
    </w:p>
    <w:p>
      <w:pPr>
        <w:numPr>
          <w:ilvl w:val="0"/>
          <w:numId w:val="76"/>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管护单位负责管护植物的成活率达95%，管护期间因管护不善而造成的植物死亡的补栽费用由管护单位负责。</w:t>
      </w:r>
    </w:p>
    <w:p>
      <w:pPr>
        <w:numPr>
          <w:ilvl w:val="0"/>
          <w:numId w:val="76"/>
        </w:numPr>
        <w:spacing w:line="500" w:lineRule="exact"/>
        <w:ind w:left="5" w:right="31" w:firstLine="435"/>
        <w:rPr>
          <w:rFonts w:hint="eastAsia" w:ascii="宋体" w:hAnsi="宋体" w:eastAsia="宋体" w:cs="宋体"/>
          <w:sz w:val="28"/>
          <w:szCs w:val="28"/>
        </w:rPr>
      </w:pPr>
      <w:r>
        <w:rPr>
          <w:rFonts w:hint="eastAsia" w:ascii="宋体" w:hAnsi="宋体" w:eastAsia="宋体" w:cs="宋体"/>
          <w:sz w:val="28"/>
          <w:szCs w:val="28"/>
          <w:lang w:val="zh-CN"/>
        </w:rPr>
        <w:t>及时清理枯枝残叶。</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77"/>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质量要求</w:t>
      </w:r>
    </w:p>
    <w:p>
      <w:pPr>
        <w:pStyle w:val="24"/>
        <w:numPr>
          <w:ilvl w:val="0"/>
          <w:numId w:val="0"/>
        </w:numPr>
        <w:spacing w:line="50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 xml:space="preserve">管护管理具体操作按照《四川省城市园林绿化技术操作规程》DB51／500l6—l998标准执行。 </w:t>
      </w:r>
      <w:r>
        <w:rPr>
          <w:rFonts w:hint="eastAsia" w:ascii="宋体" w:hAnsi="宋体" w:eastAsia="宋体" w:cs="宋体"/>
          <w:sz w:val="28"/>
          <w:szCs w:val="28"/>
        </w:rPr>
        <w:t>有新规定按最新规定执行。</w:t>
      </w:r>
    </w:p>
    <w:p>
      <w:pPr>
        <w:numPr>
          <w:ilvl w:val="0"/>
          <w:numId w:val="77"/>
        </w:numPr>
        <w:spacing w:line="500" w:lineRule="exact"/>
        <w:ind w:left="5" w:right="31" w:firstLine="435"/>
        <w:rPr>
          <w:rFonts w:hint="eastAsia" w:ascii="宋体" w:hAnsi="宋体" w:eastAsia="宋体" w:cs="宋体"/>
          <w:sz w:val="28"/>
          <w:szCs w:val="28"/>
          <w:lang w:val="zh-CN"/>
        </w:rPr>
      </w:pPr>
      <w:r>
        <w:rPr>
          <w:rFonts w:hint="eastAsia" w:ascii="宋体" w:hAnsi="宋体" w:eastAsia="宋体" w:cs="宋体"/>
          <w:sz w:val="28"/>
          <w:szCs w:val="28"/>
          <w:lang w:val="zh-CN"/>
        </w:rPr>
        <w:t>具体如下</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绿地容貌</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随时保持绿地清洁、美观。及时清除死树、枯枝。及时清运剪下的植物残体。清理出来的废弃物实行袋装化清运，在现场堆放时不得超过24小时。</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浇水与除尘</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新栽树木（包括补栽树木）的浇水，每月不少于2次，三年内定植树，每年浇水不少于4-6次。补植草皮，每周浇水2—3次。渗入深度10-15厘米。在春季发叶前及晚秋枯黄后，要浇水一次发叶水及过冬水，渗入深度达15-20厘米。灌木6-8次/年。</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浇水时间主要集中在2-6月，夏季高温季节，浇水应在早晨或傍晚，冬季应在午后进行。雨季要注意防涝排水，行道树树穴积水，可填沙排水。</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施肥（基肥与追肥）</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每年12月至翌年2月休眠期内，应施基肥。每年3月至8月生长期内，施追肥，花灌木在开花后，要施一次以磷钾为主的追肥。追肥次数每年不少于2次。草坪在4-10月生长期内，每月薄施一次追肥。同时施肥要和松土、浇水结合进行。</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松土、除草</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松土每年4-10月进行。除草要掌握“除早、除小、除了”的原则，绿地中应随时保持无杂草。草坪（含麦冬地面）的纯净度应达到95%以上。</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修剪</w:t>
      </w:r>
    </w:p>
    <w:p>
      <w:pPr>
        <w:pStyle w:val="24"/>
        <w:spacing w:line="500" w:lineRule="exact"/>
        <w:ind w:firstLine="420" w:firstLineChars="150"/>
        <w:rPr>
          <w:rFonts w:hint="eastAsia" w:ascii="宋体" w:hAnsi="宋体" w:eastAsia="宋体" w:cs="宋体"/>
          <w:sz w:val="28"/>
          <w:szCs w:val="28"/>
          <w:lang w:val="zh-CN"/>
        </w:rPr>
      </w:pPr>
      <w:r>
        <w:rPr>
          <w:rFonts w:hint="eastAsia" w:ascii="宋体" w:hAnsi="宋体" w:eastAsia="宋体" w:cs="宋体"/>
          <w:sz w:val="28"/>
          <w:szCs w:val="28"/>
          <w:lang w:val="zh-CN"/>
        </w:rPr>
        <w:t>修剪包括剥芽、去蘖、摘心摘芽、疏枝、短截、截除粗枝、疏花疏果、整形、更冠等技术。</w:t>
      </w:r>
    </w:p>
    <w:p>
      <w:pPr>
        <w:pStyle w:val="24"/>
        <w:spacing w:line="500" w:lineRule="exact"/>
        <w:ind w:firstLine="420" w:firstLineChars="150"/>
        <w:rPr>
          <w:rFonts w:hint="eastAsia" w:ascii="宋体" w:hAnsi="宋体" w:eastAsia="宋体" w:cs="宋体"/>
          <w:sz w:val="28"/>
          <w:szCs w:val="28"/>
          <w:lang w:val="zh-CN"/>
        </w:rPr>
      </w:pPr>
      <w:r>
        <w:rPr>
          <w:rFonts w:hint="eastAsia" w:ascii="宋体" w:hAnsi="宋体" w:eastAsia="宋体" w:cs="宋体"/>
          <w:sz w:val="28"/>
          <w:szCs w:val="28"/>
          <w:lang w:val="zh-CN"/>
        </w:rPr>
        <w:t>修剪次数：乔木一年不能少于1次，造形植物、绿篱植物一年不能少于6次，色块灌木一年不少于4次。</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草坪修剪，一般情况下，混播草坪不能少于24次/年，当草坪高度超过10cm时应即时修剪，草坪高度应保持5-6cm,绿地覆盖率达95%以上。</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修剪应遵循“1/3”原则。各类植物的修剪须遵循《城市园林绿化技术操作规程》（DB51/50016—1998）</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扶正、支柱</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乔木倾斜度超过10度时，须进行扶正。落叶树在休眠期进行，常绿树在3—5月进行。扶正工作应每周进行一次例行检查，每一个月进行一次专项检查。尤其大风、大雨后必须进行一次，防止树木倒伏带来交通隐患。支撑工作在24小时内完成。</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病虫害防治</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全面贯彻“预防为主，综合防治”的植物保护方针，病虫害的发生率应控制在5％以下。采用无污染、低毒性农药，把农药污染控制在最低限度。预防性打药为乔木3—5次／年，灌木5—8次／年，草坪8—12次／年。</w:t>
      </w:r>
    </w:p>
    <w:p>
      <w:pPr>
        <w:pStyle w:val="24"/>
        <w:numPr>
          <w:ilvl w:val="0"/>
          <w:numId w:val="36"/>
        </w:numPr>
        <w:spacing w:line="500" w:lineRule="exact"/>
        <w:ind w:left="5" w:firstLine="415"/>
        <w:rPr>
          <w:rFonts w:hint="eastAsia" w:ascii="宋体" w:hAnsi="宋体" w:eastAsia="宋体" w:cs="宋体"/>
          <w:sz w:val="28"/>
          <w:szCs w:val="28"/>
          <w:lang w:val="zh-CN"/>
        </w:rPr>
      </w:pPr>
      <w:r>
        <w:rPr>
          <w:rFonts w:hint="eastAsia" w:ascii="宋体" w:hAnsi="宋体" w:eastAsia="宋体" w:cs="宋体"/>
          <w:sz w:val="28"/>
          <w:szCs w:val="28"/>
          <w:lang w:val="zh-CN"/>
        </w:rPr>
        <w:t>补栽</w:t>
      </w:r>
    </w:p>
    <w:p>
      <w:pPr>
        <w:pStyle w:val="24"/>
        <w:spacing w:line="500" w:lineRule="exact"/>
        <w:ind w:firstLine="492"/>
        <w:rPr>
          <w:rFonts w:hint="eastAsia" w:ascii="宋体" w:hAnsi="宋体" w:eastAsia="宋体" w:cs="宋体"/>
          <w:sz w:val="28"/>
          <w:szCs w:val="28"/>
          <w:lang w:val="zh-CN"/>
        </w:rPr>
      </w:pPr>
      <w:r>
        <w:rPr>
          <w:rFonts w:hint="eastAsia" w:ascii="宋体" w:hAnsi="宋体" w:eastAsia="宋体" w:cs="宋体"/>
          <w:sz w:val="28"/>
          <w:szCs w:val="28"/>
          <w:lang w:val="zh-CN"/>
        </w:rPr>
        <w:t>补植要做到即时，随时损伤随时补栽，确保景观效果。</w:t>
      </w:r>
    </w:p>
    <w:p>
      <w:pPr>
        <w:pStyle w:val="5"/>
        <w:numPr>
          <w:ilvl w:val="1"/>
          <w:numId w:val="0"/>
        </w:numPr>
        <w:spacing w:before="0" w:after="0" w:line="500" w:lineRule="exact"/>
        <w:ind w:left="-142"/>
        <w:rPr>
          <w:sz w:val="28"/>
          <w:szCs w:val="28"/>
        </w:rPr>
      </w:pPr>
      <w:bookmarkStart w:id="328" w:name="_Toc23404"/>
      <w:bookmarkStart w:id="329" w:name="_Toc29648"/>
      <w:r>
        <w:rPr>
          <w:rFonts w:hint="eastAsia"/>
          <w:sz w:val="28"/>
          <w:szCs w:val="28"/>
          <w:lang w:eastAsia="zh-CN"/>
        </w:rPr>
        <w:t>（五）</w:t>
      </w:r>
      <w:r>
        <w:rPr>
          <w:rFonts w:hint="eastAsia"/>
          <w:sz w:val="28"/>
          <w:szCs w:val="28"/>
        </w:rPr>
        <w:t>公厕管理服务内容及服务要求</w:t>
      </w:r>
      <w:bookmarkEnd w:id="328"/>
      <w:bookmarkEnd w:id="329"/>
    </w:p>
    <w:p>
      <w:pPr>
        <w:spacing w:line="500" w:lineRule="exact"/>
        <w:ind w:firstLine="500" w:firstLineChars="178"/>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numPr>
          <w:ilvl w:val="0"/>
          <w:numId w:val="78"/>
        </w:numPr>
        <w:spacing w:line="500" w:lineRule="exact"/>
        <w:ind w:left="5" w:firstLine="435"/>
        <w:rPr>
          <w:rFonts w:ascii="宋体" w:hAnsi="宋体" w:cs="宋体"/>
          <w:sz w:val="28"/>
          <w:szCs w:val="28"/>
        </w:rPr>
      </w:pPr>
      <w:r>
        <w:rPr>
          <w:rFonts w:hint="eastAsia" w:ascii="宋体" w:hAnsi="宋体" w:cs="宋体"/>
          <w:sz w:val="28"/>
          <w:szCs w:val="28"/>
        </w:rPr>
        <w:t>作业范围</w:t>
      </w:r>
    </w:p>
    <w:p>
      <w:pPr>
        <w:spacing w:line="500" w:lineRule="exact"/>
        <w:ind w:firstLine="560" w:firstLineChars="200"/>
        <w:rPr>
          <w:rFonts w:ascii="宋体" w:hAnsi="宋体" w:cs="宋体"/>
          <w:sz w:val="28"/>
          <w:szCs w:val="28"/>
        </w:rPr>
      </w:pPr>
      <w:r>
        <w:rPr>
          <w:rFonts w:hint="eastAsia" w:ascii="宋体" w:hAnsi="宋体" w:cs="宋体"/>
          <w:sz w:val="28"/>
          <w:szCs w:val="28"/>
        </w:rPr>
        <w:t>万科四期公厕、 万科三期公厕、万科幼儿园公厕、万白路老公厕、鸿雁路公厕、泉水凼广场公厕、万白路新公厕。（开放式公厕）。</w:t>
      </w:r>
    </w:p>
    <w:p>
      <w:pPr>
        <w:numPr>
          <w:ilvl w:val="0"/>
          <w:numId w:val="78"/>
        </w:numPr>
        <w:spacing w:line="500" w:lineRule="exact"/>
        <w:ind w:left="5" w:firstLine="435"/>
        <w:rPr>
          <w:rFonts w:ascii="宋体" w:hAnsi="宋体" w:cs="宋体"/>
          <w:sz w:val="28"/>
          <w:szCs w:val="28"/>
        </w:rPr>
      </w:pPr>
      <w:r>
        <w:rPr>
          <w:rFonts w:hint="eastAsia" w:ascii="宋体" w:hAnsi="宋体" w:cs="宋体"/>
          <w:sz w:val="28"/>
          <w:szCs w:val="28"/>
        </w:rPr>
        <w:t>作业内容</w:t>
      </w:r>
    </w:p>
    <w:p>
      <w:pPr>
        <w:spacing w:line="500" w:lineRule="exact"/>
        <w:ind w:firstLine="560" w:firstLineChars="200"/>
        <w:rPr>
          <w:rFonts w:ascii="宋体" w:hAnsi="宋体" w:cs="宋体"/>
          <w:sz w:val="28"/>
          <w:szCs w:val="28"/>
        </w:rPr>
      </w:pPr>
      <w:r>
        <w:rPr>
          <w:rFonts w:hint="eastAsia" w:ascii="宋体" w:hAnsi="宋体" w:cs="宋体"/>
          <w:sz w:val="28"/>
          <w:szCs w:val="28"/>
        </w:rPr>
        <w:t>公共厕所环境卫生、消毒消杀、设施设备维修更换、两纸一液配置、水电费用支付、化粪池清掏、管理范围内的乱张贴、乱涂写、乱拉挂等。接受采购人的监督管理，负责项目日常管理和上级部门安排的任务，接受采购人的检查监督，遵守公厕管理的规章制度，维护采购人的声誉，配合做好临时性任务。</w:t>
      </w:r>
    </w:p>
    <w:p>
      <w:pPr>
        <w:pStyle w:val="18"/>
        <w:spacing w:line="500" w:lineRule="exact"/>
        <w:ind w:firstLine="500" w:firstLineChars="178"/>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作业时间</w:t>
      </w:r>
    </w:p>
    <w:p>
      <w:pPr>
        <w:spacing w:line="500" w:lineRule="exact"/>
        <w:ind w:firstLine="560" w:firstLineChars="200"/>
        <w:rPr>
          <w:rFonts w:ascii="宋体" w:hAnsi="宋体" w:cs="宋体"/>
          <w:sz w:val="28"/>
          <w:szCs w:val="28"/>
        </w:rPr>
      </w:pPr>
      <w:r>
        <w:rPr>
          <w:rFonts w:hint="eastAsia" w:ascii="宋体" w:hAnsi="宋体" w:cs="宋体"/>
          <w:sz w:val="28"/>
          <w:szCs w:val="28"/>
        </w:rPr>
        <w:t>专人值守时间：春冬6:30至22:00，夏秋6:00至23:00。</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作业频次</w:t>
      </w:r>
    </w:p>
    <w:p>
      <w:pPr>
        <w:spacing w:line="500" w:lineRule="exact"/>
        <w:ind w:firstLine="560" w:firstLineChars="200"/>
        <w:rPr>
          <w:rFonts w:ascii="宋体" w:hAnsi="宋体" w:cs="宋体"/>
          <w:sz w:val="28"/>
          <w:szCs w:val="28"/>
        </w:rPr>
      </w:pPr>
      <w:r>
        <w:rPr>
          <w:rFonts w:hint="eastAsia" w:ascii="宋体" w:hAnsi="宋体" w:cs="宋体"/>
          <w:sz w:val="28"/>
          <w:szCs w:val="28"/>
        </w:rPr>
        <w:t>环境卫生不间断巡回保洁，消毒消杀至少3次/日，设施设备维修更换和两纸一液配置及时，化粪池清掏不低于1次/半年（特殊应急除外），水电费按时支付。</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作业工具</w:t>
      </w:r>
    </w:p>
    <w:p>
      <w:pPr>
        <w:spacing w:line="500" w:lineRule="exact"/>
        <w:ind w:firstLine="560" w:firstLineChars="200"/>
        <w:rPr>
          <w:rFonts w:ascii="宋体" w:hAnsi="宋体" w:cs="宋体"/>
          <w:sz w:val="28"/>
          <w:szCs w:val="28"/>
        </w:rPr>
      </w:pPr>
      <w:r>
        <w:rPr>
          <w:rFonts w:hint="eastAsia" w:ascii="宋体" w:hAnsi="宋体" w:cs="宋体"/>
          <w:sz w:val="28"/>
          <w:szCs w:val="28"/>
        </w:rPr>
        <w:t>塑料扫帚、拖把、撮箕、毛巾、硬质塑料刷、橡胶手套，水刮器、消毒剂、清洁剂、垃圾袋、卫生球、檀香等。</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人员着装</w:t>
      </w:r>
    </w:p>
    <w:p>
      <w:pPr>
        <w:spacing w:line="500" w:lineRule="exact"/>
        <w:ind w:left="420"/>
        <w:rPr>
          <w:rFonts w:ascii="宋体" w:hAnsi="宋体" w:cs="宋体"/>
          <w:sz w:val="28"/>
          <w:szCs w:val="28"/>
        </w:rPr>
      </w:pPr>
      <w:r>
        <w:rPr>
          <w:rFonts w:hint="eastAsia" w:ascii="宋体" w:hAnsi="宋体" w:cs="宋体"/>
          <w:sz w:val="28"/>
          <w:szCs w:val="28"/>
        </w:rPr>
        <w:t>着环卫工人服，佩戴工作牌。</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公厕保洁作业方式</w:t>
      </w:r>
    </w:p>
    <w:p>
      <w:pPr>
        <w:spacing w:line="500" w:lineRule="exact"/>
        <w:ind w:firstLine="492"/>
        <w:rPr>
          <w:rFonts w:ascii="宋体" w:hAnsi="宋体" w:cs="宋体"/>
          <w:sz w:val="28"/>
          <w:szCs w:val="28"/>
        </w:rPr>
      </w:pPr>
      <w:r>
        <w:rPr>
          <w:rFonts w:hint="eastAsia" w:ascii="宋体" w:hAnsi="宋体" w:cs="宋体"/>
          <w:sz w:val="28"/>
          <w:szCs w:val="28"/>
        </w:rPr>
        <w:t>公共厕所保洁应当使用清洁工具随时清除蜘蛛网及墙面积尘、污迹；使用干净毛巾擦洗门窗、洗手器具、小便站位隔板、大便蹲位门及隔断板、瓷砖墙面；使用塑料扫帚清除地面及蹲台废弃物；使用干净湿拖把（不滴水）清洁地面、卫生洁具，使用厕所清洁剂清洗大、小便器，废纸容器内的废弃物即满即清。清扫保洁工具使用完毕后应当存放在管理间（工具间）。</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公厕保洁作业质量标准</w:t>
      </w:r>
    </w:p>
    <w:p>
      <w:pPr>
        <w:spacing w:line="500" w:lineRule="exact"/>
        <w:ind w:firstLine="492"/>
        <w:rPr>
          <w:rFonts w:ascii="宋体" w:hAnsi="宋体" w:cs="宋体"/>
          <w:sz w:val="28"/>
          <w:szCs w:val="28"/>
        </w:rPr>
      </w:pPr>
      <w:r>
        <w:rPr>
          <w:rFonts w:hint="eastAsia" w:ascii="宋体" w:hAnsi="宋体" w:cs="宋体"/>
          <w:sz w:val="28"/>
          <w:szCs w:val="28"/>
        </w:rPr>
        <w:t>环卫公厕管理应达到“四净三无二通一明”要求。即：地面净、墙壁净、厕位净、周边净，无溢流、无蚊蝇、无臭味，水通、电通，灯明。</w:t>
      </w:r>
    </w:p>
    <w:p>
      <w:pPr>
        <w:spacing w:line="500" w:lineRule="exact"/>
        <w:ind w:firstLine="492"/>
        <w:rPr>
          <w:rFonts w:ascii="宋体" w:hAnsi="宋体" w:cs="宋体"/>
          <w:sz w:val="28"/>
          <w:szCs w:val="28"/>
        </w:rPr>
      </w:pPr>
      <w:r>
        <w:rPr>
          <w:rFonts w:hint="eastAsia" w:ascii="宋体" w:hAnsi="宋体" w:cs="宋体"/>
          <w:sz w:val="28"/>
          <w:szCs w:val="28"/>
        </w:rPr>
        <w:t>环卫公共厕所内采光、照明和通风良好，无异味。厕所内地面洁净，无积水，无烟头，无纸屑，无痰迹和其他杂物。墙面、天花板、门窗和隔断板洁净，无积灰，无污迹，无蛛网，无乱涂乱画。卫生洁具整洁，无积存物，无粪便痕迹，无积尿积水，管道畅通无堵塞。管理间（工具间）清洁工具、物品摆放整洁有序，无杂物，无闲杂人员，不得挪作它用。</w:t>
      </w:r>
    </w:p>
    <w:p>
      <w:pPr>
        <w:spacing w:line="500" w:lineRule="exact"/>
        <w:ind w:firstLine="492"/>
        <w:rPr>
          <w:rFonts w:ascii="宋体" w:hAnsi="宋体" w:cs="宋体"/>
          <w:sz w:val="28"/>
          <w:szCs w:val="28"/>
        </w:rPr>
      </w:pPr>
      <w:r>
        <w:rPr>
          <w:rFonts w:hint="eastAsia" w:ascii="宋体" w:hAnsi="宋体" w:cs="宋体"/>
          <w:sz w:val="28"/>
          <w:szCs w:val="28"/>
        </w:rPr>
        <w:t>环卫公共厕所外墙、屋顶及责任区域内整洁，无杂物堆积，墙面光洁完好，无污蚀，无渗漏，窗栅、门窗玻璃无破损。贮粪池盖密闭，无污物满溢，周围无粪便，无积水，无蚊蝇，无杂草。外部环境整洁，无卫生死角、建设红线或实际管理范围内无垃圾、粪便、污水、杂草、废土以及乱堆杂物现象。</w:t>
      </w:r>
    </w:p>
    <w:p>
      <w:pPr>
        <w:spacing w:line="500" w:lineRule="exact"/>
        <w:ind w:firstLine="492"/>
        <w:rPr>
          <w:rFonts w:ascii="宋体" w:hAnsi="宋体" w:cs="宋体"/>
          <w:sz w:val="28"/>
          <w:szCs w:val="28"/>
        </w:rPr>
      </w:pPr>
      <w:r>
        <w:rPr>
          <w:rFonts w:hint="eastAsia" w:ascii="宋体" w:hAnsi="宋体" w:cs="宋体"/>
          <w:sz w:val="28"/>
          <w:szCs w:val="28"/>
        </w:rPr>
        <w:t>环卫公共厕所导向标识完好规范；厕所保洁标准、开放时间、责任单位、监督电话等设置在厕所墙面醒目位置，便于社会监督。</w:t>
      </w:r>
    </w:p>
    <w:p>
      <w:pPr>
        <w:spacing w:line="500" w:lineRule="exact"/>
        <w:ind w:firstLine="492"/>
        <w:rPr>
          <w:rFonts w:ascii="宋体" w:hAnsi="宋体" w:cs="宋体"/>
          <w:sz w:val="28"/>
          <w:szCs w:val="28"/>
        </w:rPr>
      </w:pPr>
      <w:r>
        <w:rPr>
          <w:rFonts w:hint="eastAsia" w:ascii="宋体" w:hAnsi="宋体" w:cs="宋体"/>
          <w:sz w:val="28"/>
          <w:szCs w:val="28"/>
        </w:rPr>
        <w:t>环卫公共厕所照明灯具、标志、洗手器具、镜子、挂衣钩、烘手器、窨井盖、给排水管道、照明线路等设施应定时检修，无缺损渗漏、无积灰、污物；无障碍通道畅通。</w:t>
      </w:r>
    </w:p>
    <w:p>
      <w:pPr>
        <w:numPr>
          <w:ilvl w:val="0"/>
          <w:numId w:val="79"/>
        </w:numPr>
        <w:spacing w:line="500" w:lineRule="exact"/>
        <w:ind w:left="5" w:firstLine="435"/>
        <w:rPr>
          <w:rFonts w:ascii="宋体" w:hAnsi="宋体" w:cs="宋体"/>
          <w:b w:val="0"/>
          <w:bCs w:val="0"/>
          <w:sz w:val="28"/>
          <w:szCs w:val="28"/>
        </w:rPr>
      </w:pPr>
      <w:r>
        <w:rPr>
          <w:rFonts w:hint="eastAsia" w:ascii="宋体" w:hAnsi="宋体" w:cs="宋体"/>
          <w:b w:val="0"/>
          <w:bCs w:val="0"/>
          <w:sz w:val="28"/>
          <w:szCs w:val="28"/>
        </w:rPr>
        <w:t>检查方式</w:t>
      </w:r>
    </w:p>
    <w:p>
      <w:pPr>
        <w:spacing w:line="500" w:lineRule="exact"/>
        <w:ind w:left="420"/>
        <w:rPr>
          <w:rFonts w:ascii="宋体" w:hAnsi="宋体" w:cs="宋体"/>
          <w:sz w:val="28"/>
          <w:szCs w:val="28"/>
        </w:rPr>
      </w:pPr>
      <w:r>
        <w:rPr>
          <w:rFonts w:hint="eastAsia" w:ascii="宋体" w:hAnsi="宋体" w:cs="宋体"/>
          <w:sz w:val="28"/>
          <w:szCs w:val="28"/>
        </w:rPr>
        <w:t>人工随机抽取检查。</w:t>
      </w:r>
    </w:p>
    <w:p>
      <w:pPr>
        <w:spacing w:line="500" w:lineRule="exact"/>
        <w:rPr>
          <w:rFonts w:ascii="宋体" w:hAnsi="宋体" w:cs="宋体"/>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垃圾清运服务内容及要求</w:t>
      </w:r>
    </w:p>
    <w:p>
      <w:pPr>
        <w:spacing w:line="500" w:lineRule="exact"/>
        <w:ind w:firstLine="281" w:firstLineChars="100"/>
        <w:rPr>
          <w:rFonts w:hint="eastAsia" w:ascii="宋体" w:hAnsi="宋体" w:eastAsia="宋体" w:cs="宋体"/>
          <w:b/>
          <w:bCs/>
          <w:sz w:val="28"/>
          <w:szCs w:val="28"/>
          <w:lang w:eastAsia="zh-CN"/>
        </w:rPr>
      </w:pPr>
      <w:r>
        <w:rPr>
          <w:rFonts w:hint="eastAsia" w:ascii="宋体" w:hAnsi="宋体" w:cs="宋体"/>
          <w:b/>
          <w:bCs/>
          <w:sz w:val="28"/>
          <w:szCs w:val="28"/>
        </w:rPr>
        <w:t>服务内容</w:t>
      </w:r>
      <w:r>
        <w:rPr>
          <w:rFonts w:hint="eastAsia" w:ascii="宋体" w:hAnsi="宋体" w:cs="宋体"/>
          <w:b/>
          <w:bCs/>
          <w:sz w:val="28"/>
          <w:szCs w:val="28"/>
          <w:lang w:eastAsia="zh-CN"/>
        </w:rPr>
        <w:t>：</w:t>
      </w:r>
    </w:p>
    <w:p>
      <w:pPr>
        <w:widowControl/>
        <w:numPr>
          <w:ilvl w:val="0"/>
          <w:numId w:val="80"/>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生活垃圾清运范围为成都市双流区九江街道公共区域及安置房小区生活垃圾。从垃圾中转点进行垃圾收集，分类清运至成都九江环保发电有限公司处置，清运垃圾量根据实际产生量及逐年递增因素，暂定为140吨/日计算。</w:t>
      </w:r>
    </w:p>
    <w:p>
      <w:pPr>
        <w:widowControl/>
        <w:numPr>
          <w:ilvl w:val="0"/>
          <w:numId w:val="80"/>
        </w:numPr>
        <w:spacing w:line="500" w:lineRule="exact"/>
        <w:ind w:left="5" w:firstLine="435"/>
        <w:jc w:val="left"/>
        <w:rPr>
          <w:rFonts w:ascii="宋体" w:hAnsi="宋体" w:cs="宋体"/>
          <w:kern w:val="0"/>
          <w:sz w:val="28"/>
          <w:szCs w:val="28"/>
          <w:lang w:bidi="ar"/>
        </w:rPr>
      </w:pPr>
      <w:r>
        <w:rPr>
          <w:rFonts w:hint="eastAsia" w:ascii="宋体" w:hAnsi="宋体" w:cs="宋体"/>
          <w:kern w:val="0"/>
          <w:sz w:val="28"/>
          <w:szCs w:val="28"/>
          <w:lang w:bidi="ar"/>
        </w:rPr>
        <w:t>中标人应当对公共区域部分生活垃圾进行分类分拣，分类清运，安置房部分生活垃圾由小区物业进行分类分拣，中标人分类清运。</w:t>
      </w:r>
    </w:p>
    <w:p>
      <w:pPr>
        <w:widowControl/>
        <w:numPr>
          <w:ilvl w:val="0"/>
          <w:numId w:val="80"/>
        </w:numPr>
        <w:spacing w:line="500" w:lineRule="exact"/>
        <w:ind w:left="5" w:firstLine="435"/>
        <w:jc w:val="left"/>
        <w:rPr>
          <w:rFonts w:ascii="宋体" w:hAnsi="宋体" w:cs="宋体"/>
          <w:kern w:val="0"/>
          <w:sz w:val="28"/>
          <w:szCs w:val="28"/>
          <w:lang w:bidi="ar"/>
        </w:rPr>
      </w:pPr>
      <w:r>
        <w:rPr>
          <w:rFonts w:hint="eastAsia" w:ascii="宋体" w:hAnsi="宋体" w:cs="宋体"/>
          <w:kern w:val="0"/>
          <w:sz w:val="28"/>
          <w:szCs w:val="28"/>
          <w:lang w:bidi="ar"/>
        </w:rPr>
        <w:t>以中标单价和垃圾实际清运量为依据，负责管辖范围内生活垃圾的日常巡查和清运等相关工作。</w:t>
      </w:r>
    </w:p>
    <w:p>
      <w:pPr>
        <w:widowControl/>
        <w:numPr>
          <w:ilvl w:val="0"/>
          <w:numId w:val="80"/>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因成都九江环保发电有限公司检修、停产等限量措施或市城管委垃圾处置总量调配等原因造成垃圾不能进入成都九江环保发电有限公司进行处置的，经采购人通知后，中标人应按照采购入要求调运至龙泉驿洛带填埋场处置。中标人应服从统一安排，结合实际配备足量人员及车辆，确保垃圾转运工作正常开展。</w:t>
      </w:r>
    </w:p>
    <w:p>
      <w:pPr>
        <w:pStyle w:val="18"/>
        <w:spacing w:line="500" w:lineRule="exact"/>
        <w:rPr>
          <w:rFonts w:hint="eastAsia" w:ascii="宋体" w:hAnsi="宋体" w:eastAsia="宋体" w:cs="宋体"/>
          <w:b/>
          <w:bCs/>
          <w:sz w:val="28"/>
          <w:szCs w:val="28"/>
          <w:lang w:eastAsia="zh-CN"/>
        </w:rPr>
      </w:pPr>
      <w:r>
        <w:rPr>
          <w:rFonts w:hint="eastAsia" w:ascii="宋体" w:hAnsi="宋体" w:eastAsia="宋体" w:cs="宋体"/>
          <w:b/>
          <w:bCs/>
          <w:sz w:val="28"/>
          <w:szCs w:val="28"/>
        </w:rPr>
        <w:t>服务要求</w:t>
      </w:r>
      <w:r>
        <w:rPr>
          <w:rFonts w:hint="eastAsia" w:ascii="宋体" w:hAnsi="宋体" w:eastAsia="宋体" w:cs="宋体"/>
          <w:b/>
          <w:bCs/>
          <w:sz w:val="28"/>
          <w:szCs w:val="28"/>
          <w:lang w:eastAsia="zh-CN"/>
        </w:rPr>
        <w:t>：</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依据《成都市生活垃圾管理条例》相关内容标准执行，根据服务区域内投放生活垃圾的类别、数量、作业时间等要求，配备相应的作业车辆、设备和作业人员，按规定安装在线监管装置，并向社会公开服务电话、收集时间等。（注：若颁布新的条例，则按照新规定执行）。</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全天24 小时循环不落地收运，达到生活垃圾日产日清。</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中标人应按招标文件要求配足管理、作业人员及设施设备，设立项目部，明确岗位职责，制定相关管理、人员设备操作及应急预案等制度并上墙。</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作业人员须按标准统一工作装，衣着整洁，备有反光服式，遵守各项安全规章制度，不得违规操作。</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服务公司或服务公司聘请人员不得以任何形式、任何方式在合同服务范围内收取单位或个人的任何费用。</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合理压缩装载生活垃圾，车辆出场前作业人员须认真检查车辆和箱体，确定车辆和箱体各部件完好、车容车貌整洁完好、专用标志清晰完整、警示标志齐全有效及防遗撒、渗漏装置完好后方可出车作业。</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因车辆、道路等客观原因不能继续保障生活垃圾运输作业时，应调配应急车辆、人员处置，确保生活垃圾及时清运。</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作业车辆，应统一印制所在单位（公司）、服务区域和自编号、按照成都市相关要求标示明显的分类收集、运输标识标志。作业车辆应当安装GPS系统和行车记录仪，接入管理方监控平台。车辆证件、保险齐全，各项指标正常，安全警示标识正常，定期做好车辆日常保养维护工作，确保车辆性能良好，车身整洁，外观统一。驾驶人员出车前须做好车辆外观、安全检查，检查无问题后方可上路，杜绝问题车辆上路。收车后应按规定在指定位置有序停放。驾驶人员须経培训合格后方可上岗参与作业运输。驾驶人员严禁酒后驾车，严格按照《中华人民共和国交通道路安全法》行车，确保交通运输安全。</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每天对生活垃圾清运车辆进行清洗、消杀、除臭，确保车辆干净整洁、无异味。</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生活垃圾清运车须严格按规定将生活垃圾拉至九江环保发电厂处理， 严格遵守处置场相关规章制度，不得蛮横行车。</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密闭化运输垃圾，并保持车况良好、车容整洁。</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禁止将垃圾随意倾倒、堆放，或直接排放到公共排水设施、河道、公厕、生活垃圾收集设施等。</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禁止收运途中撒落垃圾。</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禁止未经许可擅自收运、处理垃圾。</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禁止将垃圾交由未经许可的单位或个人收运、处理。</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严格遵守法律、法规、规章规定的其他禁止行为。</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未经批准，不得停业、歇业或停产检修；确需停业、歇业或停产检修的，应当提前十五日向管理部门报告并征得其同意。因不可抗力无法继续运营的情况除外。</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应当制定垃圾收运、处理应急预案，并按规定报管理部门备案。</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中标人在履约过程中应自觉服从、配合采购人工作，服从接受采购人监督，并依采购人要求随时纠正或改进工作。</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中标人严禁私自将垃圾清运工作全部或部分转包给其他第三方，否则（违反相关规定或国家相关法规将追究法律责任，所产生的后果一律由中标人承担）采购人有权终止合同。</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中标人切实履行好社会责任、自觉接受公众监督、群众投诉，妥善处理公众质疑。</w:t>
      </w:r>
    </w:p>
    <w:p>
      <w:pPr>
        <w:numPr>
          <w:ilvl w:val="0"/>
          <w:numId w:val="81"/>
        </w:numPr>
        <w:spacing w:line="500" w:lineRule="exact"/>
        <w:ind w:left="5" w:firstLine="435"/>
        <w:jc w:val="left"/>
        <w:rPr>
          <w:rFonts w:ascii="宋体" w:hAnsi="宋体" w:cs="宋体"/>
          <w:sz w:val="28"/>
          <w:szCs w:val="28"/>
        </w:rPr>
      </w:pPr>
      <w:r>
        <w:rPr>
          <w:rFonts w:hint="eastAsia" w:ascii="宋体" w:hAnsi="宋体" w:cs="宋体"/>
          <w:sz w:val="28"/>
          <w:szCs w:val="28"/>
        </w:rPr>
        <w:t>清运及巡查记录，数据图片台账建立要求：</w:t>
      </w:r>
    </w:p>
    <w:p>
      <w:pPr>
        <w:pStyle w:val="291"/>
        <w:numPr>
          <w:ilvl w:val="0"/>
          <w:numId w:val="81"/>
        </w:numPr>
        <w:tabs>
          <w:tab w:val="left" w:pos="679"/>
        </w:tabs>
        <w:spacing w:line="500" w:lineRule="exact"/>
        <w:ind w:left="5" w:firstLine="435"/>
        <w:jc w:val="left"/>
        <w:rPr>
          <w:sz w:val="28"/>
          <w:szCs w:val="28"/>
        </w:rPr>
      </w:pPr>
      <w:r>
        <w:rPr>
          <w:rFonts w:hint="eastAsia"/>
          <w:sz w:val="28"/>
          <w:szCs w:val="28"/>
        </w:rPr>
        <w:t>建立工作台账，做好压缩处置数据及清运数据台账。</w:t>
      </w:r>
    </w:p>
    <w:p>
      <w:pPr>
        <w:pStyle w:val="291"/>
        <w:numPr>
          <w:ilvl w:val="0"/>
          <w:numId w:val="81"/>
        </w:numPr>
        <w:tabs>
          <w:tab w:val="left" w:pos="679"/>
        </w:tabs>
        <w:spacing w:line="500" w:lineRule="exact"/>
        <w:ind w:left="5" w:firstLine="435"/>
        <w:jc w:val="left"/>
        <w:rPr>
          <w:sz w:val="28"/>
          <w:szCs w:val="28"/>
        </w:rPr>
      </w:pPr>
      <w:r>
        <w:rPr>
          <w:rFonts w:hint="eastAsia"/>
          <w:sz w:val="28"/>
          <w:szCs w:val="28"/>
        </w:rPr>
        <w:t>建立环境治理台账，包括：环保设施运行台账、环保设施检修维护台账、药剂耗材使用台账、自行监测台账、自动监测设备运行维护台账等。</w:t>
      </w:r>
    </w:p>
    <w:p>
      <w:pPr>
        <w:pStyle w:val="291"/>
        <w:numPr>
          <w:ilvl w:val="0"/>
          <w:numId w:val="81"/>
        </w:numPr>
        <w:tabs>
          <w:tab w:val="left" w:pos="679"/>
        </w:tabs>
        <w:spacing w:line="500" w:lineRule="exact"/>
        <w:ind w:left="5" w:firstLine="435"/>
        <w:jc w:val="left"/>
        <w:rPr>
          <w:sz w:val="28"/>
          <w:szCs w:val="28"/>
        </w:rPr>
      </w:pPr>
      <w:r>
        <w:rPr>
          <w:rFonts w:hint="eastAsia"/>
          <w:sz w:val="28"/>
          <w:szCs w:val="28"/>
        </w:rPr>
        <w:t>建立维修维护保养台账，做好各项记录。</w:t>
      </w:r>
    </w:p>
    <w:p>
      <w:pPr>
        <w:pStyle w:val="291"/>
        <w:numPr>
          <w:ilvl w:val="0"/>
          <w:numId w:val="81"/>
        </w:numPr>
        <w:tabs>
          <w:tab w:val="left" w:pos="679"/>
        </w:tabs>
        <w:spacing w:line="500" w:lineRule="exact"/>
        <w:ind w:left="5" w:firstLine="435"/>
        <w:jc w:val="left"/>
        <w:rPr>
          <w:sz w:val="28"/>
          <w:szCs w:val="28"/>
        </w:rPr>
      </w:pPr>
      <w:r>
        <w:rPr>
          <w:rFonts w:hint="eastAsia"/>
          <w:sz w:val="28"/>
          <w:szCs w:val="28"/>
        </w:rPr>
        <w:t>依据《中华人民共和国安全生产法》、《四川省安全生产条例》，服务公司须抓好安全生产管理，建立健全各项安全台账记录。</w:t>
      </w:r>
      <w:r>
        <w:rPr>
          <w:rFonts w:hint="eastAsia"/>
          <w:sz w:val="28"/>
          <w:szCs w:val="28"/>
        </w:rPr>
        <w:tab/>
      </w:r>
    </w:p>
    <w:p>
      <w:pPr>
        <w:numPr>
          <w:ilvl w:val="0"/>
          <w:numId w:val="81"/>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垃圾运输数量以进入成都九江环保发电有限公司处置回单作为垃圾处置吨位结算依据，运输车辆以采购人确认的垃圾运输车辆为准。</w:t>
      </w:r>
    </w:p>
    <w:p>
      <w:pPr>
        <w:numPr>
          <w:ilvl w:val="0"/>
          <w:numId w:val="81"/>
        </w:numPr>
        <w:spacing w:line="500" w:lineRule="exact"/>
        <w:ind w:left="5" w:firstLine="435"/>
        <w:jc w:val="left"/>
        <w:rPr>
          <w:rFonts w:ascii="宋体" w:hAnsi="宋体" w:cs="宋体"/>
          <w:sz w:val="28"/>
          <w:szCs w:val="28"/>
        </w:rPr>
      </w:pPr>
      <w:r>
        <w:rPr>
          <w:rFonts w:hint="eastAsia" w:ascii="宋体" w:hAnsi="宋体" w:cs="宋体"/>
          <w:kern w:val="0"/>
          <w:sz w:val="28"/>
          <w:szCs w:val="28"/>
          <w:lang w:bidi="ar"/>
        </w:rPr>
        <w:t>临时调运至龙泉驿洛带填埋场处置增加的调运费及运输量，以双流区城市管理局确定的标准为准。</w:t>
      </w:r>
    </w:p>
    <w:p>
      <w:pPr>
        <w:ind w:firstLine="487" w:firstLineChars="202"/>
        <w:rPr>
          <w:b/>
          <w:sz w:val="24"/>
        </w:rPr>
      </w:pPr>
      <w:r>
        <w:rPr>
          <w:rFonts w:hint="eastAsia"/>
          <w:b/>
          <w:sz w:val="24"/>
          <w:lang w:val="en-US" w:eastAsia="zh-CN"/>
        </w:rPr>
        <w:t>三、</w:t>
      </w:r>
      <w:r>
        <w:rPr>
          <w:rFonts w:hint="eastAsia"/>
          <w:b/>
          <w:sz w:val="24"/>
        </w:rPr>
        <w:t>合同期限</w:t>
      </w:r>
    </w:p>
    <w:p>
      <w:pPr>
        <w:pStyle w:val="185"/>
        <w:keepNext w:val="0"/>
        <w:keepLines w:val="0"/>
        <w:pageBreakBefore w:val="0"/>
        <w:widowControl w:val="0"/>
        <w:kinsoku/>
        <w:overflowPunct/>
        <w:autoSpaceDE w:val="0"/>
        <w:autoSpaceDN w:val="0"/>
        <w:bidi w:val="0"/>
        <w:adjustRightInd/>
        <w:snapToGrid/>
        <w:spacing w:before="0" w:after="0" w:line="360" w:lineRule="auto"/>
        <w:ind w:firstLine="600" w:firstLineChars="250"/>
        <w:jc w:val="left"/>
        <w:textAlignment w:val="auto"/>
        <w:rPr>
          <w:rFonts w:ascii="宋体" w:hAnsi="宋体" w:eastAsia="宋体" w:cs="宋体"/>
          <w:sz w:val="24"/>
          <w:szCs w:val="24"/>
          <w:lang w:eastAsia="zh-CN"/>
        </w:rPr>
      </w:pPr>
      <w:r>
        <w:rPr>
          <w:rFonts w:hint="eastAsia" w:ascii="宋体" w:hAnsi="宋体"/>
          <w:sz w:val="24"/>
          <w:szCs w:val="24"/>
        </w:rPr>
        <w:t>合同服务期限为三年，合同一年一签，当年合同期满后，经采购人考核合格续签下一年度合同</w:t>
      </w:r>
      <w:r>
        <w:rPr>
          <w:rFonts w:hint="eastAsia" w:ascii="宋体" w:hAnsi="宋体"/>
          <w:sz w:val="24"/>
          <w:szCs w:val="24"/>
          <w:lang w:eastAsia="zh-CN"/>
        </w:rPr>
        <w:t>。</w:t>
      </w:r>
      <w:r>
        <w:rPr>
          <w:rFonts w:hint="eastAsia" w:ascii="宋体" w:hAnsi="宋体" w:eastAsia="宋体" w:cs="宋体"/>
          <w:sz w:val="24"/>
          <w:szCs w:val="24"/>
          <w:lang w:eastAsia="zh-CN"/>
        </w:rPr>
        <w:t>本次合同委托管理的期限为XXX年XX月XX日至XXX年XX月XX日。</w:t>
      </w:r>
    </w:p>
    <w:p>
      <w:pPr>
        <w:pStyle w:val="185"/>
        <w:widowControl w:val="0"/>
        <w:autoSpaceDE w:val="0"/>
        <w:autoSpaceDN w:val="0"/>
        <w:spacing w:before="0" w:after="0" w:line="500" w:lineRule="exact"/>
        <w:ind w:firstLine="482" w:firstLineChars="200"/>
        <w:jc w:val="left"/>
        <w:rPr>
          <w:rFonts w:ascii="宋体" w:hAnsi="宋体" w:eastAsia="宋体" w:cs="宋体"/>
          <w:spacing w:val="-1"/>
          <w:sz w:val="24"/>
          <w:lang w:val="en-US" w:eastAsia="zh-CN"/>
        </w:rPr>
      </w:pPr>
      <w:r>
        <w:rPr>
          <w:rFonts w:hint="eastAsia" w:eastAsia="宋体"/>
          <w:b/>
          <w:sz w:val="24"/>
          <w:lang w:eastAsia="zh-CN"/>
        </w:rPr>
        <w:t>四</w:t>
      </w:r>
      <w:r>
        <w:rPr>
          <w:b/>
          <w:sz w:val="24"/>
          <w:lang w:eastAsia="zh-CN"/>
        </w:rPr>
        <w:t>、</w:t>
      </w:r>
      <w:r>
        <w:rPr>
          <w:rFonts w:hint="eastAsia" w:eastAsia="宋体"/>
          <w:b/>
          <w:kern w:val="2"/>
          <w:sz w:val="24"/>
          <w:lang w:val="en-US" w:eastAsia="zh-CN"/>
        </w:rPr>
        <w:t>服务费用及支付方式</w:t>
      </w:r>
    </w:p>
    <w:p>
      <w:pPr>
        <w:ind w:firstLine="484" w:firstLineChars="202"/>
        <w:rPr>
          <w:sz w:val="24"/>
          <w:szCs w:val="24"/>
        </w:rPr>
      </w:pPr>
      <w:r>
        <w:rPr>
          <w:rFonts w:hint="eastAsia"/>
          <w:sz w:val="24"/>
          <w:szCs w:val="24"/>
        </w:rPr>
        <w:t>（一）本项目服务费用：XXX元（成交价）</w:t>
      </w:r>
    </w:p>
    <w:p>
      <w:pPr>
        <w:spacing w:line="360" w:lineRule="auto"/>
        <w:ind w:firstLine="480" w:firstLineChars="200"/>
        <w:rPr>
          <w:sz w:val="24"/>
          <w:szCs w:val="24"/>
        </w:rPr>
      </w:pPr>
      <w:r>
        <w:rPr>
          <w:rFonts w:hint="eastAsia"/>
          <w:sz w:val="24"/>
          <w:szCs w:val="24"/>
        </w:rPr>
        <w:t>（二）服务费支付方式：</w:t>
      </w:r>
      <w:r>
        <w:rPr>
          <w:rFonts w:hint="eastAsia" w:ascii="宋体" w:hAnsi="宋体" w:eastAsia="宋体" w:cs="Times New Roman"/>
          <w:kern w:val="2"/>
          <w:sz w:val="24"/>
          <w:szCs w:val="24"/>
          <w:lang w:val="en-US" w:eastAsia="zh-CN" w:bidi="ar-SA"/>
        </w:rPr>
        <w:t>合同价款支付方式和条件：首次签订合同后7个工作日内预付合同金额的30%，在首付金额抵扣作业经费完毕后，按照当月考核次月支付的方式付款。中标供应商须向采购人出具合法有效完整的发票及凭证资料后进行支付结算，付款方式均采用公对公的银行转账，供应商接受转账的开户信息以采购合同载明的为准。</w:t>
      </w:r>
    </w:p>
    <w:p>
      <w:pPr>
        <w:ind w:firstLine="487" w:firstLineChars="202"/>
        <w:rPr>
          <w:rFonts w:hint="eastAsia"/>
          <w:b/>
          <w:sz w:val="24"/>
          <w:lang w:val="en-US" w:eastAsia="zh-CN"/>
        </w:rPr>
      </w:pPr>
      <w:r>
        <w:rPr>
          <w:rFonts w:hint="eastAsia"/>
          <w:b/>
          <w:sz w:val="24"/>
        </w:rPr>
        <w:t>五</w:t>
      </w:r>
      <w:r>
        <w:rPr>
          <w:b/>
          <w:sz w:val="24"/>
        </w:rPr>
        <w:t>、</w:t>
      </w:r>
      <w:r>
        <w:rPr>
          <w:rFonts w:hint="eastAsia"/>
          <w:b/>
          <w:sz w:val="24"/>
          <w:lang w:val="en-US" w:eastAsia="zh-CN"/>
        </w:rPr>
        <w:t>验收标准和方法</w:t>
      </w:r>
    </w:p>
    <w:p>
      <w:pPr>
        <w:pStyle w:val="5"/>
        <w:numPr>
          <w:ilvl w:val="0"/>
          <w:numId w:val="0"/>
        </w:numPr>
        <w:spacing w:before="0" w:after="0" w:line="500" w:lineRule="exact"/>
        <w:jc w:val="both"/>
        <w:rPr>
          <w:rFonts w:hint="eastAsia" w:ascii="宋体" w:hAnsi="宋体" w:eastAsia="宋体" w:cs="宋体"/>
          <w:sz w:val="28"/>
          <w:szCs w:val="28"/>
        </w:rPr>
      </w:pPr>
      <w:bookmarkStart w:id="330" w:name="_Toc16366"/>
      <w:bookmarkStart w:id="331" w:name="_Toc104"/>
      <w:r>
        <w:rPr>
          <w:rFonts w:hint="eastAsia" w:ascii="宋体" w:hAnsi="宋体" w:eastAsia="宋体" w:cs="宋体"/>
          <w:sz w:val="28"/>
          <w:szCs w:val="28"/>
          <w:lang w:eastAsia="zh-CN"/>
        </w:rPr>
        <w:t>一、</w:t>
      </w:r>
      <w:r>
        <w:rPr>
          <w:rFonts w:hint="eastAsia" w:ascii="宋体" w:hAnsi="宋体" w:eastAsia="宋体" w:cs="宋体"/>
          <w:sz w:val="28"/>
          <w:szCs w:val="28"/>
        </w:rPr>
        <w:t>成都市双流区人民政府九江街道办事处环境卫生作业管理考核评分细则</w:t>
      </w:r>
      <w:bookmarkEnd w:id="330"/>
      <w:bookmarkEnd w:id="331"/>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环卫作业公司管理评分细则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（1）设立项目部，配备项目经理2名(正副经理各1名)，办公场地面积不低于80平方米，每有一项未达要求扣5分。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（2）按要求配备管理人员及环卫作业人员，缺1名管理人员每人每天扣3分，缺1名环卫作业人员每人每天扣3分。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作业示意图上墙，未达要求扣5分；各项管理制度健全并上墙，未达要求扣5分。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管理人员和值班人员到位，通讯畅通，巡查记录和值班记录完整，未达要求扣每次2分。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按照适时标准制作环卫工作人员（含管理人员）服装，环卫管理人员佩证上岗，未达要求每人每次扣1分。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按要求购买从业人员社会保险，从业人员工资不低于当年最新公布的成都市最低工资标准的130%（如遇基础工资调整，以调整后为准），未达要求除按标准补齐外，每人每次扣5分。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建立健全财务管理体系，未按要求出具审计报告的扣5分。 </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作业质量受到群众举报，经查属实的每次扣2分。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清扫保洁作业评分细则</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（1）作业人员管理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①环卫作业人员按要求着装，未达要求每人每次扣1分。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②3人（含）以上集体闲聊的每次扣1分。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③未执行交接班制度，脱岗、离岗、断档的每人每次扣1分。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④工作人员作业时与市民发生争吵、斗殴、造成不良影响的，每人每次扣5分；作业时与行政管理部门管理人员或考核人员发生争执、不服从管理的每人每次扣5分。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⑤环卫人员焚烧垃圾，每人每次扣5分。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⑥未按规定对冲洗废水进行收集处理，并再利用的，每次扣5分。</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（2）作业工具管理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①洗扫车、雾炮车、洒水车、快保车、垃圾转运车、高压冲洗车等未按要求配置每天每台扣2分。上述车辆车身不洁、脏污，外观标识不规范、警示标识缺失，每台扣2分。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②洗扫车、雾炮车、洒水车等智慧监督系统人为损坏，运行不正常，每天每台扣5分。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③其他环卫作业工具配备不齐，每缺少1项每人扣1分。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④环卫作业工具随意摆放，影响市容观瞻，每次每处扣1分。</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（3）作业质量管理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①</w:t>
      </w:r>
      <w:r>
        <w:rPr>
          <w:rFonts w:hint="eastAsia" w:ascii="宋体" w:hAnsi="宋体" w:eastAsia="宋体" w:cs="宋体"/>
          <w:bCs/>
          <w:sz w:val="24"/>
          <w:szCs w:val="24"/>
        </w:rPr>
        <w:t>机械化作业管理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a.未在规定的作业时间内完成作业（特殊情况除外），每次扣2分。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b.未按规定的作业频次完成作业（特殊情况除外），每次扣2分。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c.作业中虚假作业，洒水车不洒水，洗扫车空作业，每车每次扣2分。</w:t>
      </w:r>
    </w:p>
    <w:p>
      <w:pPr>
        <w:pStyle w:val="3"/>
        <w:spacing w:after="0"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d.未按规定的作业里程完成作业里程，每少5%扣5分。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②人工普扫管理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a.未在规定时间内完成普扫，每条道路每次扣2分。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b.普扫不彻底，存在花扫、漏扫现象的，每条道路每次扣1人。</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③日常保洁管理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a.在规定作业时间内，未按要求做到全时段保洁，每次扣3分。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b.标段内临时性无主垃圾和杂物未及时处理，每处扣1分。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c.往绿化带、水篦子、污雨水管井、道路边沟及河道清扫和倾倒垃圾的，每人每次扣5分。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d.不间断巡回保洁和快速捡拾白色垃圾，如发现白色点状垃圾，每发现1处扣1分。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④雨天作业</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实施雨天作业，及时扫水洗污，未达要求每次扣2分。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⑤人行道和路沿石清洗</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人行道的清洗每周不低于1次，未达要求每次每条街扣2分；检查时发现人行道有积尘积泥、细沙、油渍、污垢，一处扣1分。路沿石的清洗每天不低于2次，未达要求每次扣2分；检查时发现路沿石有积灰、积泥、污迹和灰带，发现一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⑥道路（车行道、人行道、绿化带）发现有积存垃圾、口痰、纸屑、烟头、果皮、牛皮癣等垃圾的，每处扣3分。垃圾（含袋装垃圾）未及时清运的，发现一处扣1分。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⑦桥梁所有立面每周清洗1次；桥梁两侧护栏每日清洗1次，未达要求的每座桥梁扣2分。</w:t>
      </w:r>
    </w:p>
    <w:p>
      <w:pPr>
        <w:pStyle w:val="3"/>
        <w:spacing w:after="0" w:line="500" w:lineRule="exact"/>
        <w:ind w:left="0" w:leftChars="0" w:firstLine="0" w:firstLineChars="0"/>
        <w:outlineLvl w:val="3"/>
        <w:rPr>
          <w:rFonts w:hint="eastAsia" w:ascii="宋体" w:hAnsi="宋体" w:eastAsia="宋体" w:cs="宋体"/>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果屑箱垃圾桶管理评分细则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果屑箱每日清掏至少2次，按要求对桶点进行冲洗，对果屑箱进行擦拭。如果屑箱地面脏污或箱体不整洁或箱门未关，每处扣1分。果屑箱垃圾即满即清，如有暴桶每处扣1分。果屑箱内未套垃圾分类袋，每处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（2）果屑箱倒伏、损坏，影响使用和观瞻，未及时处理每处扣1分。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环卫、市政设施保洁评分细则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环卫市政设施（非机动车停放栏、道路指示牌、休闲座椅）等城市部件，每日至少清洁一次，如有积灰、污渍、油渍的，发现一处扣1分。路面及两米以下的牛皮癣未及时清除的，每处扣1分。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垃圾前端清运评分细则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（1）垃圾运输车辆未按要求分类配置，每台每天扣2分。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（2）垃圾运输车辆车身不洁，标识不规范、警示标识残缺、超载冒载、跑冒滴漏，每车每次扣2分。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（3）未按相关要求分类清运每次扣10分。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（4）垃圾清运不及时，出现垃圾暴桶，每处每次扣2分。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（5）垃圾清运被群众投诉，查证属实，每次扣2分。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（6）垃圾清运人员（含辅工）着装不规范，每人每次扣1分。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（7）跨区域收运生活垃圾，每发现1次扣5分，违规收取生活垃圾清运处置费，除清退所收费用外，每次扣10分。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安全管理评分细则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（1）洒水车未避让行人，发现1次扣5分，出现群众有效投诉的，一次扣10分。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（2）建立健全安全生产管理制度，落实专人负责安全生产管理。制度不健全每次扣5人，无专人管理，每次扣5分。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（3）按要求配置安全锥型桶、安全警示栏、安全警示灯等安全防护设施，未达要求，每次扣2人。随时保持环卫作业车辆安全警示标志和警示设施完好，未达要求每车每次扣2分。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（4）每月召开1次安全生产工作会，对驾驶员、垃圾清运辅工、快保人员、环卫工人等进行安全知识培训，每缺1次扣5分。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（5）定期对环卫作业车辆进行安全检查，建立问题台账，及时处置安全隐患，未达要求每次扣5分。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（6）驾驶人员（含快保人员）遵守交通规则，严禁撞红灯，发现1次扣5分。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非应急处置等特殊情况，环卫作业人员（含快保人员）进入快车道作业，每人每次扣1分。应急处置等特殊情况，环卫作业人员（含快保人员）进入快车道作业，但安全警示等防护措施不完善，存在安全隐患的，每次扣2分。</w:t>
      </w:r>
    </w:p>
    <w:p>
      <w:pPr>
        <w:pStyle w:val="3"/>
        <w:spacing w:after="0" w:line="500" w:lineRule="exact"/>
        <w:ind w:left="0" w:leftChars="0" w:firstLine="0" w:firstLineChars="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执行指令和实施报告制度评分细则</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（1）环卫作业公司未按会议要求（包括人员要求）无故缺席各种会议每次扣5分，参会迟到每次扣2分。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（2）环卫作业公司项目经理无故不在岗，不服从主管部门的指令和安排，每次扣5分。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（3）环卫作业公司不按要求报送材料和延迟报送材料的，每次扣2分。</w:t>
      </w:r>
    </w:p>
    <w:p>
      <w:pPr>
        <w:pStyle w:val="6"/>
        <w:numPr>
          <w:ilvl w:val="2"/>
          <w:numId w:val="0"/>
        </w:num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、成都市双流区人民政府九江街道办事处环境卫生作业考核办法</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考核实施</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由成都市双流区九江街道办事处负责组织。</w:t>
      </w:r>
    </w:p>
    <w:p>
      <w:pPr>
        <w:pStyle w:val="3"/>
        <w:spacing w:after="0" w:line="500" w:lineRule="exact"/>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考核对象</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各环卫作业公司。</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考核内容及标准</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按照招标文件要求和《成都市双流区人民政府九江街道办事处环境卫生作业和管理考核评分细则和考核办法》执行。</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考核办法</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检查考核分为“日巡查、月考核”两种形式。日巡查由采购人组织实施，采取每日巡查方式进行；月考核由采购人组织社区和各环卫作业公司联合实施，以交叉考核的方式进行，每月一次。</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评分办法</w:t>
      </w:r>
    </w:p>
    <w:p>
      <w:pPr>
        <w:widowControl/>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考核实行百分制，其中日巡查占80%，月考核占20%。</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曝光处理责任</w:t>
      </w:r>
    </w:p>
    <w:p>
      <w:pPr>
        <w:pStyle w:val="291"/>
        <w:numPr>
          <w:ilvl w:val="0"/>
          <w:numId w:val="41"/>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41"/>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41"/>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4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pStyle w:val="3"/>
        <w:spacing w:after="0" w:line="500" w:lineRule="exact"/>
        <w:ind w:firstLine="482" w:firstLineChars="200"/>
        <w:outlineLvl w:val="3"/>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结果运用</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pStyle w:val="3"/>
        <w:spacing w:after="0" w:line="500" w:lineRule="exact"/>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申请复核</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5"/>
        <w:spacing w:before="0" w:after="0" w:line="500" w:lineRule="exact"/>
        <w:ind w:left="695" w:leftChars="331" w:firstLine="2322" w:firstLineChars="826"/>
        <w:rPr>
          <w:rFonts w:hint="eastAsia" w:ascii="宋体" w:hAnsi="宋体" w:eastAsia="宋体" w:cs="宋体"/>
          <w:bCs w:val="0"/>
          <w:sz w:val="28"/>
          <w:szCs w:val="28"/>
        </w:rPr>
      </w:pPr>
      <w:bookmarkStart w:id="332" w:name="_Toc533"/>
      <w:bookmarkStart w:id="333" w:name="_Toc18201"/>
      <w:r>
        <w:rPr>
          <w:rFonts w:hint="eastAsia" w:ascii="宋体" w:hAnsi="宋体" w:eastAsia="宋体" w:cs="宋体"/>
          <w:bCs w:val="0"/>
          <w:sz w:val="28"/>
          <w:szCs w:val="28"/>
        </w:rPr>
        <w:t>河道保洁考核办法</w:t>
      </w:r>
      <w:bookmarkEnd w:id="332"/>
      <w:bookmarkEnd w:id="333"/>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作业小组管理</w:t>
      </w:r>
      <w:r>
        <w:rPr>
          <w:rFonts w:hint="eastAsia" w:ascii="宋体" w:hAnsi="宋体" w:eastAsia="宋体" w:cs="宋体"/>
          <w:b/>
          <w:bCs/>
          <w:sz w:val="24"/>
          <w:szCs w:val="24"/>
          <w:lang w:eastAsia="zh-CN"/>
        </w:rPr>
        <w:t>：</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每个作业小组有一个固定负责人，集中对河道保洁员进行管理。未达要求扣1分。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各项管理制度健全。未达要求扣1分。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河道管理人员对河道保洁员到岗情况进行不定期抽查。河道保洁员脱岗每次扣1分。</w:t>
      </w:r>
    </w:p>
    <w:p>
      <w:pPr>
        <w:numPr>
          <w:ilvl w:val="0"/>
          <w:numId w:val="42"/>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通道、护坡、绿地、水面、保洁作业时间。清扫打漂：河道每天9:00前完成第一次清扫打漂，15：00时前完成第二次清扫打漂。未达要求每次扣1分。保洁：五月--十月，每天7:30到19:00时,11月至次年4月，每天8:00至18:30时未达要求。每次扣1分。</w:t>
      </w:r>
    </w:p>
    <w:p>
      <w:pPr>
        <w:spacing w:line="500" w:lineRule="exact"/>
        <w:rPr>
          <w:rFonts w:hint="eastAsia" w:ascii="宋体" w:hAnsi="宋体" w:eastAsia="宋体" w:cs="宋体"/>
          <w:sz w:val="24"/>
          <w:szCs w:val="24"/>
          <w:lang w:eastAsia="zh-CN"/>
        </w:rPr>
      </w:pPr>
      <w:r>
        <w:rPr>
          <w:rFonts w:hint="eastAsia" w:ascii="宋体" w:hAnsi="宋体" w:eastAsia="宋体" w:cs="宋体"/>
          <w:b/>
          <w:bCs/>
          <w:sz w:val="24"/>
          <w:szCs w:val="24"/>
        </w:rPr>
        <w:t>作业质量</w:t>
      </w:r>
      <w:r>
        <w:rPr>
          <w:rFonts w:hint="eastAsia" w:ascii="宋体" w:hAnsi="宋体" w:eastAsia="宋体" w:cs="宋体"/>
          <w:b/>
          <w:bCs/>
          <w:sz w:val="24"/>
          <w:szCs w:val="24"/>
          <w:lang w:eastAsia="zh-CN"/>
        </w:rPr>
        <w:t>：</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通道保洁：①保洁通道清洁,星零垃圾河道100米内不超过2处.未达要求每增加1次扣0.5分；②桥头、梯步、下河马道干净整洁，无卫生死角。无屎臭尿臭味，栏杆无明显积尘、污斑、蜘蛛网或其他缠绕垃圾；③桥脚、桥墩边、水闸前无垃圾及漂浮物。未达要求每次扣0.5分</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护坡、管养河滩地保洁：河堤立面清洁。硬化的护坡无杂草，垃圾；河滩地无大量阻水杂草、垃圾及人工种植植物。未达要求每处扣0.5分。</w:t>
      </w:r>
    </w:p>
    <w:p>
      <w:pPr>
        <w:numPr>
          <w:ilvl w:val="0"/>
          <w:numId w:val="43"/>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水面保洁：水面感观良好，视觉范围内无明显漂浮物、阻水物，明显积存垃圾，拦漂设施拦截漂浮物每日进行集中打捞，保证水流通畅，当日垃圾当日清除，及时运至中转站或垃圾场。未达要求扣0.5分,同样内存垃圾存在超过24小时再扣1分并一直累计。</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管理工作</w:t>
      </w:r>
      <w:r>
        <w:rPr>
          <w:rFonts w:hint="eastAsia" w:ascii="宋体" w:hAnsi="宋体" w:eastAsia="宋体" w:cs="宋体"/>
          <w:b/>
          <w:bCs/>
          <w:sz w:val="24"/>
          <w:szCs w:val="24"/>
          <w:lang w:eastAsia="zh-CN"/>
        </w:rPr>
        <w:t>：</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如采购人发现河道垃圾或管理维护不善之处，中标人应在接到采购人通知后1小时内到达并清除垃圾。如未完成扣1分。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如有上级突击检查，中标人应积极配合采购人，接采购人通知后0.5小时内，中标人该河道管理负责人赶到现场。如未完成扣1分。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未经采购人书面同意，中标人随意更换项目负责人，如有违反扣5分。</w:t>
      </w:r>
    </w:p>
    <w:p>
      <w:pPr>
        <w:numPr>
          <w:ilvl w:val="0"/>
          <w:numId w:val="44"/>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中标人未按采购人要求做好管理维护记录 ，经采购人检查，工作日志不齐全的，每发现一次扣0.5分。</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安全工作</w:t>
      </w:r>
      <w:r>
        <w:rPr>
          <w:rFonts w:hint="eastAsia" w:ascii="宋体" w:hAnsi="宋体" w:eastAsia="宋体" w:cs="宋体"/>
          <w:b/>
          <w:bCs/>
          <w:sz w:val="24"/>
          <w:szCs w:val="24"/>
          <w:lang w:eastAsia="zh-CN"/>
        </w:rPr>
        <w:t>：</w:t>
      </w:r>
    </w:p>
    <w:p>
      <w:pPr>
        <w:numPr>
          <w:ilvl w:val="0"/>
          <w:numId w:val="45"/>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中标人在作业过程未严格按照相关规定和操作规程做好作业人员安全防护的，采购人发现第一次扣0.5分，第二次扣1分，发现第三次及以上则扣2分。</w:t>
      </w:r>
    </w:p>
    <w:p>
      <w:pPr>
        <w:numPr>
          <w:ilvl w:val="0"/>
          <w:numId w:val="45"/>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由于中标人原因发生安全事故，一人受伤扣2分，两人及两人以上扣,4分，如死亡一人或一人以上则扣10分。</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曝光处理细则</w:t>
      </w:r>
      <w:r>
        <w:rPr>
          <w:rFonts w:hint="eastAsia" w:ascii="宋体" w:hAnsi="宋体" w:eastAsia="宋体" w:cs="宋体"/>
          <w:b/>
          <w:bCs/>
          <w:sz w:val="24"/>
          <w:szCs w:val="24"/>
          <w:lang w:val="en-US" w:eastAsia="zh-CN"/>
        </w:rPr>
        <w:t>:</w:t>
      </w:r>
    </w:p>
    <w:p>
      <w:pPr>
        <w:pStyle w:val="291"/>
        <w:numPr>
          <w:ilvl w:val="0"/>
          <w:numId w:val="46"/>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46"/>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w:t>
      </w:r>
      <w:r>
        <w:rPr>
          <w:rFonts w:hint="eastAsia" w:ascii="宋体" w:hAnsi="宋体" w:eastAsia="宋体" w:cs="宋体"/>
          <w:sz w:val="24"/>
          <w:szCs w:val="24"/>
          <w:lang w:eastAsia="zh-CN"/>
        </w:rPr>
        <w:t>区河长办、区级行业主管部门</w:t>
      </w:r>
      <w:r>
        <w:rPr>
          <w:rFonts w:hint="eastAsia" w:ascii="宋体" w:hAnsi="宋体" w:eastAsia="宋体" w:cs="宋体"/>
          <w:sz w:val="24"/>
          <w:szCs w:val="24"/>
          <w:lang w:val="en-US" w:eastAsia="zh-CN"/>
        </w:rPr>
        <w:t>点名通报一次，扣除5000元当月服务费</w:t>
      </w:r>
      <w:r>
        <w:rPr>
          <w:rFonts w:hint="eastAsia" w:ascii="宋体" w:hAnsi="宋体" w:eastAsia="宋体" w:cs="宋体"/>
          <w:sz w:val="24"/>
          <w:szCs w:val="24"/>
          <w:lang w:eastAsia="zh-CN"/>
        </w:rPr>
        <w:t>。</w:t>
      </w:r>
    </w:p>
    <w:p>
      <w:pPr>
        <w:pStyle w:val="291"/>
        <w:numPr>
          <w:ilvl w:val="0"/>
          <w:numId w:val="46"/>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46"/>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结果运用</w:t>
      </w:r>
      <w:r>
        <w:rPr>
          <w:rFonts w:hint="eastAsia" w:ascii="宋体" w:hAnsi="宋体" w:eastAsia="宋体" w:cs="宋体"/>
          <w:b/>
          <w:bCs/>
          <w:sz w:val="24"/>
          <w:szCs w:val="24"/>
          <w:lang w:val="en-US" w:eastAsia="zh-CN"/>
        </w:rPr>
        <w:t>:</w:t>
      </w:r>
    </w:p>
    <w:p>
      <w:pPr>
        <w:pStyle w:val="3"/>
        <w:numPr>
          <w:ilvl w:val="0"/>
          <w:numId w:val="47"/>
        </w:numPr>
        <w:spacing w:after="0" w:line="500" w:lineRule="exact"/>
        <w:ind w:left="5" w:firstLine="43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numPr>
          <w:ilvl w:val="0"/>
          <w:numId w:val="47"/>
        </w:numPr>
        <w:spacing w:after="0" w:line="500" w:lineRule="exact"/>
        <w:ind w:left="5" w:firstLine="43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val="en-US"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5"/>
        <w:numPr>
          <w:ilvl w:val="1"/>
          <w:numId w:val="0"/>
        </w:numPr>
        <w:spacing w:before="0" w:after="0" w:line="500" w:lineRule="exact"/>
        <w:jc w:val="center"/>
        <w:rPr>
          <w:rFonts w:hint="eastAsia" w:ascii="宋体" w:hAnsi="宋体" w:eastAsia="宋体" w:cs="宋体"/>
          <w:bCs w:val="0"/>
          <w:sz w:val="28"/>
          <w:szCs w:val="28"/>
        </w:rPr>
      </w:pPr>
      <w:bookmarkStart w:id="334" w:name="_Toc7816"/>
      <w:bookmarkStart w:id="335" w:name="_Toc30472"/>
      <w:r>
        <w:rPr>
          <w:rFonts w:hint="eastAsia" w:ascii="宋体" w:hAnsi="宋体" w:eastAsia="宋体" w:cs="宋体"/>
          <w:bCs w:val="0"/>
          <w:sz w:val="28"/>
          <w:szCs w:val="28"/>
        </w:rPr>
        <w:t>绿化管护考核办法</w:t>
      </w:r>
      <w:bookmarkEnd w:id="334"/>
      <w:bookmarkEnd w:id="335"/>
    </w:p>
    <w:p>
      <w:pPr>
        <w:autoSpaceDE w:val="0"/>
        <w:autoSpaceDN w:val="0"/>
        <w:adjustRightInd w:val="0"/>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考核实施细则</w:t>
      </w:r>
      <w:r>
        <w:rPr>
          <w:rFonts w:hint="eastAsia" w:ascii="宋体" w:hAnsi="宋体" w:eastAsia="宋体" w:cs="宋体"/>
          <w:b/>
          <w:bCs/>
          <w:kern w:val="0"/>
          <w:sz w:val="24"/>
          <w:szCs w:val="24"/>
          <w:lang w:val="en-US" w:eastAsia="zh-CN"/>
        </w:rPr>
        <w:t>:</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考核采取定期和不定期相结合的办法综合评定。</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定期检查每月25日起进行，采购人和管护单位一起进行现场检查评分。</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不定期检查(巡查)由采购人单独进行，每天巡查，不定时间、不打招呼对各</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管护单位进行抽查，确实做到大节大检查、小节小检查，对存在的问题及时提出整改意见，检查结果将作为季度评分的依据。</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切实做到“组织、制度、责任、措施”四落实，未认真填写日志的单位，扣2分。</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检查考核分直观考核和措施考核两部分。</w:t>
      </w:r>
    </w:p>
    <w:p>
      <w:pPr>
        <w:numPr>
          <w:ilvl w:val="0"/>
          <w:numId w:val="0"/>
        </w:numPr>
        <w:autoSpaceDE w:val="0"/>
        <w:autoSpaceDN w:val="0"/>
        <w:adjustRightInd w:val="0"/>
        <w:spacing w:line="500" w:lineRule="exact"/>
        <w:ind w:left="44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A.</w:t>
      </w:r>
      <w:r>
        <w:rPr>
          <w:rFonts w:hint="eastAsia" w:ascii="宋体" w:hAnsi="宋体" w:eastAsia="宋体" w:cs="宋体"/>
          <w:kern w:val="0"/>
          <w:sz w:val="24"/>
          <w:szCs w:val="24"/>
        </w:rPr>
        <w:t>直观考核以现场检查为主。</w:t>
      </w:r>
    </w:p>
    <w:p>
      <w:pPr>
        <w:numPr>
          <w:ilvl w:val="0"/>
          <w:numId w:val="0"/>
        </w:numPr>
        <w:autoSpaceDE w:val="0"/>
        <w:autoSpaceDN w:val="0"/>
        <w:adjustRightInd w:val="0"/>
        <w:spacing w:line="500" w:lineRule="exact"/>
        <w:ind w:left="440"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B.</w:t>
      </w:r>
      <w:r>
        <w:rPr>
          <w:rFonts w:hint="eastAsia" w:ascii="宋体" w:hAnsi="宋体" w:eastAsia="宋体" w:cs="宋体"/>
          <w:kern w:val="0"/>
          <w:sz w:val="24"/>
          <w:szCs w:val="24"/>
        </w:rPr>
        <w:t>措施考核主要指管护单位必须提交书面管护技术措施：树木与草坪施肥、浇水、冲洗、草坪打孔覆土、绿化设施的维护和及时修复等易被忽略或难以对此直观考核的工作。在进行工作时管护单位应告知采购人，事后由采购人验收签证作为考核依据。</w:t>
      </w:r>
    </w:p>
    <w:p>
      <w:pPr>
        <w:numPr>
          <w:ilvl w:val="0"/>
          <w:numId w:val="48"/>
        </w:numPr>
        <w:autoSpaceDE w:val="0"/>
        <w:autoSpaceDN w:val="0"/>
        <w:adjustRightInd w:val="0"/>
        <w:spacing w:line="500" w:lineRule="exact"/>
        <w:ind w:lef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按时并保质保量完成采购人交办的临时性突击任务。</w:t>
      </w:r>
    </w:p>
    <w:p>
      <w:pPr>
        <w:autoSpaceDE w:val="0"/>
        <w:autoSpaceDN w:val="0"/>
        <w:adjustRightInd w:val="0"/>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考评及奖惩实施细则</w:t>
      </w:r>
      <w:r>
        <w:rPr>
          <w:rFonts w:hint="eastAsia" w:ascii="宋体" w:hAnsi="宋体" w:eastAsia="宋体" w:cs="宋体"/>
          <w:b/>
          <w:bCs/>
          <w:kern w:val="0"/>
          <w:sz w:val="24"/>
          <w:szCs w:val="24"/>
          <w:lang w:val="en-US" w:eastAsia="zh-CN"/>
        </w:rPr>
        <w:t>:</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考评工作采取定期和不定期相结合，由采购人逐家进行考评，充分听取群众意见和建议，考评结果由采购人以文件的形式对各管护公司的考评情况进行通报。</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 xml:space="preserve"> 加大管护工作的执法力度。</w:t>
      </w:r>
    </w:p>
    <w:p>
      <w:pPr>
        <w:numPr>
          <w:ilvl w:val="0"/>
          <w:numId w:val="49"/>
        </w:numPr>
        <w:autoSpaceDE w:val="0"/>
        <w:autoSpaceDN w:val="0"/>
        <w:adjustRightInd w:val="0"/>
        <w:spacing w:line="500" w:lineRule="exact"/>
        <w:ind w:left="0" w:firstLine="440"/>
        <w:rPr>
          <w:rFonts w:hint="eastAsia" w:ascii="宋体" w:hAnsi="宋体" w:eastAsia="宋体" w:cs="宋体"/>
          <w:kern w:val="0"/>
          <w:sz w:val="24"/>
          <w:szCs w:val="24"/>
        </w:rPr>
      </w:pPr>
      <w:r>
        <w:rPr>
          <w:rFonts w:hint="eastAsia" w:ascii="宋体" w:hAnsi="宋体" w:eastAsia="宋体" w:cs="宋体"/>
          <w:kern w:val="0"/>
          <w:sz w:val="24"/>
          <w:szCs w:val="24"/>
        </w:rPr>
        <w:t>针对区交办的临时性任务，各管护单位要无条件地、高质量、高标准完成任务，采购人将跟踪检查。</w:t>
      </w:r>
    </w:p>
    <w:p>
      <w:pPr>
        <w:pStyle w:val="2"/>
        <w:numPr>
          <w:ilvl w:val="0"/>
          <w:numId w:val="49"/>
        </w:numPr>
        <w:spacing w:line="500" w:lineRule="exact"/>
        <w:ind w:left="0" w:firstLine="4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存在扬尘冲洗不到位，晾晒衣物等情况，1次扣1分。</w:t>
      </w:r>
    </w:p>
    <w:p>
      <w:pPr>
        <w:autoSpaceDE w:val="0"/>
        <w:autoSpaceDN w:val="0"/>
        <w:adjustRightInd w:val="0"/>
        <w:spacing w:line="500" w:lineRule="exac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曝光处理细则</w:t>
      </w:r>
      <w:r>
        <w:rPr>
          <w:rFonts w:hint="eastAsia" w:ascii="宋体" w:hAnsi="宋体" w:eastAsia="宋体" w:cs="宋体"/>
          <w:b/>
          <w:bCs/>
          <w:kern w:val="0"/>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50"/>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50"/>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autoSpaceDE w:val="0"/>
        <w:autoSpaceDN w:val="0"/>
        <w:adjustRightInd w:val="0"/>
        <w:spacing w:line="500" w:lineRule="exac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结果运用</w:t>
      </w:r>
      <w:r>
        <w:rPr>
          <w:rFonts w:hint="eastAsia" w:ascii="宋体" w:hAnsi="宋体" w:eastAsia="宋体" w:cs="宋体"/>
          <w:b/>
          <w:bCs/>
          <w:kern w:val="0"/>
          <w:sz w:val="24"/>
          <w:szCs w:val="24"/>
          <w:lang w:eastAsia="zh-CN"/>
        </w:rPr>
        <w:t>：</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spacing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.85分至90分（不含90分），每减少1分扣除1000元；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.80分至85分（不含85分），每减少1分扣除2000元；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.75分至80分（不含80分），每减少1分扣除3000元；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70分至75分（不含75分），每减少1分扣除4000元；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pStyle w:val="3"/>
        <w:spacing w:after="0" w:line="500" w:lineRule="exact"/>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pStyle w:val="3"/>
        <w:spacing w:line="500" w:lineRule="exact"/>
        <w:ind w:firstLine="240"/>
        <w:rPr>
          <w:rFonts w:hint="eastAsia" w:ascii="宋体" w:hAnsi="宋体" w:eastAsia="宋体" w:cs="宋体"/>
          <w:sz w:val="24"/>
          <w:szCs w:val="24"/>
        </w:rPr>
      </w:pPr>
    </w:p>
    <w:p>
      <w:pPr>
        <w:pStyle w:val="2"/>
        <w:spacing w:line="500" w:lineRule="exact"/>
        <w:ind w:firstLine="492"/>
        <w:jc w:val="center"/>
        <w:rPr>
          <w:rFonts w:hint="eastAsia" w:ascii="宋体" w:hAnsi="宋体" w:eastAsia="宋体" w:cs="宋体"/>
          <w:b/>
          <w:bCs/>
          <w:sz w:val="24"/>
          <w:szCs w:val="24"/>
        </w:rPr>
      </w:pPr>
      <w:r>
        <w:rPr>
          <w:rFonts w:hint="eastAsia" w:ascii="宋体" w:hAnsi="宋体" w:eastAsia="宋体" w:cs="宋体"/>
          <w:b/>
          <w:bCs/>
          <w:sz w:val="24"/>
          <w:szCs w:val="24"/>
        </w:rPr>
        <w:t>园林绿化管护内容及扣分标准</w:t>
      </w:r>
    </w:p>
    <w:tbl>
      <w:tblPr>
        <w:tblStyle w:val="45"/>
        <w:tblpPr w:leftFromText="180" w:rightFromText="180" w:vertAnchor="text" w:tblpX="-34" w:tblpY="1"/>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71" w:type="dxa"/>
          </w:tcPr>
          <w:p>
            <w:pPr>
              <w:spacing w:line="500" w:lineRule="exact"/>
              <w:ind w:firstLine="492"/>
              <w:rPr>
                <w:rFonts w:hint="eastAsia" w:ascii="宋体" w:hAnsi="宋体" w:eastAsia="宋体" w:cs="宋体"/>
                <w:sz w:val="24"/>
                <w:szCs w:val="24"/>
              </w:rPr>
            </w:pPr>
            <w:r>
              <w:rPr>
                <w:rFonts w:hint="eastAsia" w:ascii="宋体" w:hAnsi="宋体" w:eastAsia="宋体" w:cs="宋体"/>
                <w:kern w:val="0"/>
                <w:sz w:val="24"/>
                <w:szCs w:val="24"/>
              </w:rPr>
              <w:t>管护内容</w:t>
            </w:r>
          </w:p>
        </w:tc>
        <w:tc>
          <w:tcPr>
            <w:tcW w:w="7485" w:type="dxa"/>
          </w:tcPr>
          <w:p>
            <w:pPr>
              <w:spacing w:line="500" w:lineRule="exact"/>
              <w:ind w:firstLine="492"/>
              <w:rPr>
                <w:rFonts w:hint="eastAsia" w:ascii="宋体" w:hAnsi="宋体" w:eastAsia="宋体" w:cs="宋体"/>
                <w:sz w:val="24"/>
                <w:szCs w:val="24"/>
              </w:rPr>
            </w:pPr>
            <w:r>
              <w:rPr>
                <w:rFonts w:hint="eastAsia" w:ascii="宋体" w:hAnsi="宋体" w:eastAsia="宋体" w:cs="宋体"/>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一、绿地养护</w:t>
            </w:r>
          </w:p>
        </w:tc>
        <w:tc>
          <w:tcPr>
            <w:tcW w:w="7485" w:type="dxa"/>
          </w:tcPr>
          <w:p>
            <w:pPr>
              <w:spacing w:line="500" w:lineRule="exact"/>
              <w:ind w:firstLine="492"/>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971"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1、总体要求</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1、管护段面内未及时发现有未经审批设置、摆放广告牌的一个点位扣1分，未在规定时间内及时处置的一个点位扣1分。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2、管护段面内有白色垃圾、生活垃圾的一个点位扣1分。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3、管护段面内有建渣堆放的一个点位扣1分，未及时处置的扣1分。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4、管护段面内绿地未及时冲洗，叶面有明显积尘的一个点位扣2分。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2、乔木</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1、因明显缺水或积水造成树叶萎蔫的，一株扣1分。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2、因未施肥或施肥不当造成植物生长状况不良的，一株扣1分。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3、病虫害发生率超过10 株(含10 株)，并未得到控制的每10 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4、有明显枯枝败叶、死桩而未修剪、清除的一株扣1分。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5、树木死亡在24 小时内未报告且在指定时间内未换植合格的一株扣1分，因管护原因造成死亡的一株加扣1分。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6、树木倾斜24 小时内不扶正的，一株扣1分。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7、树木倒入车道内，在1 小时内不及时清理的，一次扣1分。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8、树上出现藤本植物及其他杂物未的清除一株扣1分。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3、灌木</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1、因明显缺水或其他原因造成灌木死亡，面积超过100平方米(含100平方米)的，每100平方米扣3分。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2、因未施肥或施肥不当造成灌木生长状况不良的，每100平方米扣1分。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3、病虫害发生率超过5000平方米(含5000平方米)的，并未得到控制的每5000平方米扣5分。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4、灌木萌发的新梢超过6cm未修剪的，每500平方米扣2分。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5、灌木丛死亡、缺失未在指定时间内换植合格的，每100 平方米扣2分，因管护原因造成死亡的每100 平方米加扣3分。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6、灌木内杂草超过500平方米的(含500平方米)，每500 平方米扣2分。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4、草坪</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1、因明显缺水或其他原因造成草坪死亡，面积超过200平方米(含200平方米)的，每200平方米扣2分。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2、因未施肥或施肥不当造成草坪生长状况不良的，每500 平方米扣3分。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3、病虫害发生率超过500 平方米(含500 平方米)的，并未得到控制的每500平方米扣2分。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4、草坪草高超过6cm 未及时修剪的每500平方米扣2分。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5、草坪秃斑超过200平方米(含200平方米)的，每200平方米扣1分。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6、杂草超过500平方米的(含500 平方米)，每500平方米扣1 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7、草坪内出现其它杂物未及时清除每处扣1分。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二、管护档案管</w:t>
            </w:r>
          </w:p>
          <w:p>
            <w:pPr>
              <w:spacing w:line="500" w:lineRule="exact"/>
              <w:ind w:firstLine="492"/>
              <w:rPr>
                <w:rFonts w:hint="eastAsia" w:ascii="宋体" w:hAnsi="宋体" w:eastAsia="宋体" w:cs="宋体"/>
                <w:kern w:val="0"/>
                <w:sz w:val="24"/>
                <w:szCs w:val="24"/>
              </w:rPr>
            </w:pPr>
            <w:r>
              <w:rPr>
                <w:rFonts w:hint="eastAsia" w:ascii="宋体" w:hAnsi="宋体" w:eastAsia="宋体" w:cs="宋体"/>
                <w:kern w:val="0"/>
                <w:sz w:val="24"/>
                <w:szCs w:val="24"/>
              </w:rPr>
              <w:t>理</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对树木、灌木、草坪施肥、冲洗、排涝，草坪打孔覆土，树木支撑等技术措施未按原计划或行政主管部门要求完成的，未按时交填相关计划、总结、管护工作记录台账的每单项扣1分。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71" w:type="dxa"/>
          </w:tcPr>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三、其他方面</w:t>
            </w:r>
          </w:p>
        </w:tc>
        <w:tc>
          <w:tcPr>
            <w:tcW w:w="7485" w:type="dxa"/>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1、加强对绿化的监管，及时发现并制止破坏行为，未履职到位，造成损失，扣1分。恢复的费用由管护单位承担。</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2、其他违规行为和管护遗漏(如缺席主管部门通知的会议或谎报、隐瞒实际情况等，每次每项扣1分)。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3、绿化管护企业擅自同意占用、破坏绿化的加扣10分。</w:t>
            </w:r>
          </w:p>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4、未保质保量完成安排的临时性突击任务，每次扣2分。</w:t>
            </w:r>
          </w:p>
          <w:p>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5、管护人员工作期间未着统一工作服的每次扣1分。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456" w:type="dxa"/>
            <w:gridSpan w:val="2"/>
          </w:tcPr>
          <w:p>
            <w:pPr>
              <w:autoSpaceDE w:val="0"/>
              <w:autoSpaceDN w:val="0"/>
              <w:adjustRightIn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备注：考核月内无上述情况的为满分，单项分值扣完后，在总分值内扣除。</w:t>
            </w:r>
          </w:p>
        </w:tc>
      </w:tr>
    </w:tbl>
    <w:p>
      <w:pPr>
        <w:numPr>
          <w:ilvl w:val="0"/>
          <w:numId w:val="0"/>
        </w:numPr>
        <w:spacing w:line="500" w:lineRule="exact"/>
        <w:jc w:val="center"/>
        <w:rPr>
          <w:rFonts w:hint="eastAsia" w:ascii="宋体" w:hAnsi="宋体" w:eastAsia="宋体" w:cs="宋体"/>
          <w:b/>
          <w:bCs/>
          <w:sz w:val="24"/>
          <w:szCs w:val="24"/>
        </w:rPr>
      </w:pPr>
    </w:p>
    <w:p>
      <w:pPr>
        <w:numPr>
          <w:ilvl w:val="0"/>
          <w:numId w:val="0"/>
        </w:num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公厕管理考核办法</w:t>
      </w:r>
    </w:p>
    <w:p>
      <w:pPr>
        <w:pStyle w:val="18"/>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rPr>
        <w:t>考核实施细则</w:t>
      </w:r>
      <w:r>
        <w:rPr>
          <w:rFonts w:hint="eastAsia" w:ascii="宋体" w:hAnsi="宋体" w:eastAsia="宋体" w:cs="宋体"/>
          <w:b/>
          <w:bCs/>
          <w:sz w:val="24"/>
          <w:szCs w:val="24"/>
          <w:lang w:eastAsia="zh-CN"/>
        </w:rPr>
        <w:t>：</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卫生保洁及时，公厕内干净整洁，无异味、无蚊蝇，无积水、无垃圾，无积灰，无乱涂乱画。公厕外墙、屋顶及责任区域内整洁，无杂物堆积。管理间（含环卫工人休息室）整洁有序，卫生干净，专人值守。未达要求，每处扣1分。该情况不得连续3次出现。</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 xml:space="preserve">公厕标识规范、配置齐全，指示醒目，公示牌内容完整，设置规范。未达要求每处扣2分。     </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公厕的水箱、灯具、洁具、龙头、冲洗阀、洗手池破损、不整洁，标志牌脏、不歪斜，每次扣0.5分。公厕设施损坏未及时维修，造成使用功能障碍，每处扣2分。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牛皮癣未及时清除，每处扣1分。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作业工具（塑料扫帚、拖把、撮箕、垃圾袋、毛巾、硬质塑料刷、橡胶手套、水刮器、消毒剂、清洁剂、卫生球、檀香等）及公厕用品（两纸一液）配备齐全、摆放整齐。未达要求，每次每项扣2分。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公厕配备专职保洁人员，保洁人员着装整洁并佩证上岗。工作期间，不得擅自离岗，不得从事与公厕管理无关的工作。未达要求，每人扣2分。</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私自搭接电源、搭建房屋，扣3分。公厕管理用房出租，挪作它用，每次扣5分，需立即恢复。</w:t>
      </w:r>
    </w:p>
    <w:p>
      <w:pPr>
        <w:numPr>
          <w:ilvl w:val="0"/>
          <w:numId w:val="51"/>
        </w:numPr>
        <w:spacing w:line="500" w:lineRule="exact"/>
        <w:ind w:left="5" w:firstLine="435"/>
        <w:rPr>
          <w:rFonts w:hint="eastAsia" w:ascii="宋体" w:hAnsi="宋体" w:eastAsia="宋体" w:cs="宋体"/>
          <w:sz w:val="24"/>
          <w:szCs w:val="24"/>
        </w:rPr>
      </w:pPr>
      <w:r>
        <w:rPr>
          <w:rFonts w:hint="eastAsia" w:ascii="宋体" w:hAnsi="宋体" w:eastAsia="宋体" w:cs="宋体"/>
          <w:sz w:val="24"/>
          <w:szCs w:val="24"/>
        </w:rPr>
        <w:t>定期对公厕安全隐患进行排查，并建立问题台账，及时整改。未达要求，每处每次扣2分。公厕清洁和公厕维修设置安全提醒，未达要求每次扣2分。公厕清洁高处作业，安全管理人员必须到场，未达要求，每处每次扣2分。</w:t>
      </w:r>
    </w:p>
    <w:p>
      <w:pPr>
        <w:numPr>
          <w:ilvl w:val="0"/>
          <w:numId w:val="51"/>
        </w:numPr>
        <w:spacing w:line="500" w:lineRule="exact"/>
        <w:ind w:left="5" w:firstLine="435"/>
        <w:rPr>
          <w:rFonts w:hint="eastAsia" w:ascii="宋体" w:hAnsi="宋体" w:eastAsia="宋体" w:cs="宋体"/>
          <w:kern w:val="0"/>
          <w:sz w:val="24"/>
          <w:szCs w:val="24"/>
        </w:rPr>
      </w:pPr>
      <w:r>
        <w:rPr>
          <w:rFonts w:hint="eastAsia" w:ascii="宋体" w:hAnsi="宋体" w:eastAsia="宋体" w:cs="宋体"/>
          <w:kern w:val="0"/>
          <w:sz w:val="24"/>
          <w:szCs w:val="24"/>
        </w:rPr>
        <w:t>曝光处理细则</w:t>
      </w:r>
    </w:p>
    <w:p>
      <w:pPr>
        <w:pStyle w:val="291"/>
        <w:numPr>
          <w:ilvl w:val="0"/>
          <w:numId w:val="0"/>
        </w:numPr>
        <w:spacing w:line="500" w:lineRule="exact"/>
        <w:ind w:firstLine="480" w:firstLineChars="200"/>
        <w:rPr>
          <w:rFonts w:hint="eastAsia" w:ascii="宋体" w:hAnsi="宋体" w:eastAsia="宋体" w:cs="宋体"/>
          <w:sz w:val="24"/>
          <w:szCs w:val="24"/>
          <w:lang w:val="en-US" w:eastAsia="zh-CN"/>
        </w:rPr>
      </w:pPr>
      <w:r>
        <w:rPr>
          <w:rFonts w:hint="eastAsia" w:eastAsia="宋体" w:cs="宋体"/>
          <w:sz w:val="24"/>
          <w:szCs w:val="24"/>
          <w:lang w:val="en-US" w:eastAsia="zh-CN"/>
        </w:rPr>
        <w:t>A.</w:t>
      </w: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0"/>
        </w:numPr>
        <w:spacing w:line="500" w:lineRule="exact"/>
        <w:ind w:firstLine="480" w:firstLineChars="200"/>
        <w:rPr>
          <w:rFonts w:hint="eastAsia" w:ascii="宋体" w:hAnsi="宋体" w:eastAsia="宋体" w:cs="宋体"/>
          <w:sz w:val="24"/>
          <w:szCs w:val="24"/>
          <w:lang w:eastAsia="zh-CN"/>
        </w:rPr>
      </w:pPr>
      <w:r>
        <w:rPr>
          <w:rFonts w:hint="eastAsia" w:eastAsia="宋体" w:cs="宋体"/>
          <w:sz w:val="24"/>
          <w:szCs w:val="24"/>
          <w:lang w:val="en-US" w:eastAsia="zh-CN"/>
        </w:rPr>
        <w:t>B.</w:t>
      </w: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0"/>
        </w:numPr>
        <w:spacing w:line="500" w:lineRule="exact"/>
        <w:ind w:firstLine="480" w:firstLineChars="200"/>
        <w:rPr>
          <w:rFonts w:hint="eastAsia" w:ascii="宋体" w:hAnsi="宋体" w:eastAsia="宋体" w:cs="宋体"/>
          <w:sz w:val="24"/>
          <w:szCs w:val="24"/>
          <w:lang w:eastAsia="zh-CN"/>
        </w:rPr>
      </w:pPr>
      <w:r>
        <w:rPr>
          <w:rFonts w:hint="eastAsia" w:eastAsia="宋体" w:cs="宋体"/>
          <w:sz w:val="24"/>
          <w:szCs w:val="24"/>
          <w:lang w:val="en-US" w:eastAsia="zh-CN"/>
        </w:rPr>
        <w:t>C.</w:t>
      </w: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D.</w:t>
      </w: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E.</w:t>
      </w: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0"/>
        </w:numPr>
        <w:spacing w:line="500" w:lineRule="exact"/>
        <w:ind w:firstLine="480" w:firstLineChars="200"/>
        <w:rPr>
          <w:rFonts w:hint="eastAsia" w:ascii="宋体" w:hAnsi="宋体" w:eastAsia="宋体" w:cs="宋体"/>
          <w:sz w:val="24"/>
          <w:szCs w:val="24"/>
        </w:rPr>
      </w:pPr>
      <w:r>
        <w:rPr>
          <w:rFonts w:hint="eastAsia" w:eastAsia="宋体" w:cs="宋体"/>
          <w:sz w:val="24"/>
          <w:szCs w:val="24"/>
          <w:lang w:val="en-US" w:eastAsia="zh-CN"/>
        </w:rPr>
        <w:t>F.</w:t>
      </w: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spacing w:line="500" w:lineRule="exac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结果运用</w:t>
      </w:r>
      <w:r>
        <w:rPr>
          <w:rFonts w:hint="eastAsia" w:ascii="宋体" w:hAnsi="宋体" w:eastAsia="宋体" w:cs="宋体"/>
          <w:b/>
          <w:bCs/>
          <w:kern w:val="0"/>
          <w:sz w:val="24"/>
          <w:szCs w:val="24"/>
          <w:lang w:val="en-US" w:eastAsia="zh-CN"/>
        </w:rPr>
        <w:t>:</w:t>
      </w:r>
    </w:p>
    <w:p>
      <w:pPr>
        <w:pStyle w:val="3"/>
        <w:numPr>
          <w:ilvl w:val="0"/>
          <w:numId w:val="52"/>
        </w:numPr>
        <w:spacing w:after="0" w:line="500" w:lineRule="exact"/>
        <w:ind w:firstLine="1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现金处罚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日巡查按照每分100元标准处罚；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群众监督举报的，按照每分200元标准处罚；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被街道下发整改通知书的，按照每分300元标准处罚。</w:t>
      </w:r>
    </w:p>
    <w:p>
      <w:pPr>
        <w:pStyle w:val="3"/>
        <w:numPr>
          <w:ilvl w:val="0"/>
          <w:numId w:val="52"/>
        </w:numPr>
        <w:spacing w:after="0" w:line="500" w:lineRule="exact"/>
        <w:ind w:firstLine="1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综合处罚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（1）85分至90分（不含90分），每减少1分扣除1000元；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（2）80分至85分（不含85分），每减少1分扣除2000元；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（3）75分至80分（不含80分），每减少1分扣除3000元；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（4）70分至75分（不含75分），每减少1分扣除4000元；</w:t>
      </w:r>
    </w:p>
    <w:p>
      <w:pPr>
        <w:numPr>
          <w:ilvl w:val="0"/>
          <w:numId w:val="0"/>
        </w:numPr>
        <w:spacing w:line="500" w:lineRule="exact"/>
        <w:ind w:left="440" w:leftChars="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（5）70分（不含70分），每减少1分扣除5000元。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spacing w:line="5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val="en-US"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spacing w:line="5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垃圾清运</w:t>
      </w:r>
      <w:r>
        <w:rPr>
          <w:rFonts w:hint="eastAsia" w:ascii="宋体" w:hAnsi="宋体" w:eastAsia="宋体" w:cs="宋体"/>
          <w:b/>
          <w:bCs/>
          <w:sz w:val="24"/>
          <w:szCs w:val="24"/>
          <w:lang w:eastAsia="zh-CN"/>
        </w:rPr>
        <w:t>评分细则</w:t>
      </w:r>
    </w:p>
    <w:p>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生活垃圾收运情况评分细则</w:t>
      </w:r>
      <w:r>
        <w:rPr>
          <w:rFonts w:hint="eastAsia" w:ascii="宋体" w:hAnsi="宋体" w:eastAsia="宋体" w:cs="宋体"/>
          <w:b/>
          <w:bCs/>
          <w:sz w:val="24"/>
          <w:szCs w:val="24"/>
          <w:lang w:val="en-US" w:eastAsia="zh-CN"/>
        </w:rPr>
        <w:t>:</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公司管理评分细则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设立项目部,按要求配备管理人员及作业人员,未按要求的每日每人次扣3 分；各项管理制度健全并上墙,未达要求扣5 分。</w:t>
      </w:r>
    </w:p>
    <w:p>
      <w:pPr>
        <w:numPr>
          <w:ilvl w:val="0"/>
          <w:numId w:val="0"/>
        </w:num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管理人员和作业人员到位，及时处置交办事项，未达要求扣2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按要求购买从业人员社会保险，从业人员工资不低于最新公布的成都市最低工资标准的130%，未达要求每人扣5 分。如因此造成从业人员投诉、举报和上访的每人每次扣3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车辆驾驶员、装车工管理评分细则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车辆驾驶员、装车工按要求着装，未达要求每人每次扣2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车辆驾驶员、装车工不得酒后作业，违反者每人每次扣10 分，并给予公司警告处理。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车辆驾驶员严格按照《中华人民共和国交通道路安全法》行车，未达要求扣5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车辆驾驶员要定期清洗、检修、保养垃圾车及箱体，保持车容车貌及箱体整洁有序，车况良好，未达要求扣2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按时按质清运管理评分细则</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垃圾清运车作业运输过程中存在车箱垃圾乱挂现象的，每台车每次扣5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违规收取区域外的垃圾，发现一次扣4 分。</w:t>
      </w:r>
    </w:p>
    <w:p>
      <w:pPr>
        <w:pStyle w:val="2"/>
        <w:numPr>
          <w:ilvl w:val="0"/>
          <w:numId w:val="0"/>
        </w:numPr>
        <w:spacing w:line="500" w:lineRule="exact"/>
        <w:ind w:firstLine="420" w:firstLineChars="200"/>
        <w:rPr>
          <w:rFonts w:hint="eastAsia" w:ascii="宋体" w:hAnsi="宋体" w:eastAsia="宋体" w:cs="宋体"/>
          <w:szCs w:val="24"/>
        </w:rPr>
      </w:pPr>
      <w:r>
        <w:rPr>
          <w:rFonts w:hint="eastAsia" w:ascii="宋体" w:hAnsi="宋体" w:eastAsia="宋体" w:cs="宋体"/>
          <w:szCs w:val="24"/>
          <w:lang w:val="en-US" w:eastAsia="zh-CN"/>
        </w:rPr>
        <w:t>C.</w:t>
      </w:r>
      <w:r>
        <w:rPr>
          <w:rFonts w:hint="eastAsia" w:ascii="宋体" w:hAnsi="宋体" w:eastAsia="宋体" w:cs="宋体"/>
          <w:szCs w:val="24"/>
        </w:rPr>
        <w:t>严格按照《成都市生活垃圾管理条例》分类收集、清运生活垃圾，未达要求，一次扣5分。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压缩站管理评分细则（如果涉及）</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垃圾不随到随压，站内有散露积存垃圾，每一处扣2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站内防噪、降尘、除臭、排污设施设备没有运行，不符合环境保护技术规范的，每一项扣10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每次压缩流程和转运作业完成后，没对操作场地、压缩箱体、站内墙面及地面进行清洗、消杀、除臭，发现一处一次扣5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站内外场地有撒落垃圾和堆积杂物，有积留污水，墙面有明显污迹、积尘，有明显异味，发现一次扣2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站内的车辆冲洗设施管理不到位，冲洗区域污水横流，发现一次扣2 分。</w:t>
      </w:r>
    </w:p>
    <w:p>
      <w:pPr>
        <w:numPr>
          <w:ilvl w:val="0"/>
          <w:numId w:val="0"/>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F.</w:t>
      </w:r>
      <w:r>
        <w:rPr>
          <w:rFonts w:hint="eastAsia" w:ascii="宋体" w:hAnsi="宋体" w:eastAsia="宋体" w:cs="宋体"/>
          <w:sz w:val="24"/>
          <w:szCs w:val="24"/>
        </w:rPr>
        <w:t>站内设施设备未及时进行检查、保养、维护，造成垃圾压缩不及时一次扣5 分。</w:t>
      </w:r>
    </w:p>
    <w:p>
      <w:pPr>
        <w:numPr>
          <w:ilvl w:val="0"/>
          <w:numId w:val="53"/>
        </w:numPr>
        <w:spacing w:line="500" w:lineRule="exact"/>
        <w:ind w:firstLine="15"/>
        <w:jc w:val="left"/>
        <w:rPr>
          <w:rFonts w:hint="eastAsia" w:ascii="宋体" w:hAnsi="宋体" w:eastAsia="宋体" w:cs="宋体"/>
          <w:sz w:val="24"/>
          <w:szCs w:val="24"/>
        </w:rPr>
      </w:pPr>
      <w:r>
        <w:rPr>
          <w:rFonts w:hint="eastAsia" w:ascii="宋体" w:hAnsi="宋体" w:eastAsia="宋体" w:cs="宋体"/>
          <w:sz w:val="24"/>
          <w:szCs w:val="24"/>
        </w:rPr>
        <w:t>结算凭证管理评分细则</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中标人应提供真实有效的凭证，禁止弄虚作假，否则发现一次，扣10分。全年发现3次采购人有权终止合同。</w:t>
      </w:r>
    </w:p>
    <w:p>
      <w:pPr>
        <w:numPr>
          <w:ilvl w:val="0"/>
          <w:numId w:val="0"/>
        </w:numPr>
        <w:spacing w:line="500" w:lineRule="exact"/>
        <w:ind w:left="44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曝光处理细则</w:t>
      </w:r>
    </w:p>
    <w:p>
      <w:pPr>
        <w:pStyle w:val="291"/>
        <w:numPr>
          <w:ilvl w:val="0"/>
          <w:numId w:val="54"/>
        </w:num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rPr>
        <w:t>被街道</w:t>
      </w:r>
      <w:r>
        <w:rPr>
          <w:rFonts w:hint="eastAsia" w:ascii="宋体" w:hAnsi="宋体" w:eastAsia="宋体" w:cs="宋体"/>
          <w:sz w:val="24"/>
          <w:szCs w:val="24"/>
          <w:lang w:eastAsia="zh-CN"/>
        </w:rPr>
        <w:t>领导点名批评</w:t>
      </w:r>
      <w:r>
        <w:rPr>
          <w:rFonts w:hint="eastAsia" w:ascii="宋体" w:hAnsi="宋体" w:eastAsia="宋体" w:cs="宋体"/>
          <w:sz w:val="24"/>
          <w:szCs w:val="24"/>
        </w:rPr>
        <w:t>后拒不整改、或限期整改仍然不合格的，应</w:t>
      </w:r>
      <w:r>
        <w:rPr>
          <w:rFonts w:hint="eastAsia" w:ascii="宋体" w:hAnsi="宋体" w:eastAsia="宋体" w:cs="宋体"/>
          <w:sz w:val="24"/>
          <w:szCs w:val="24"/>
          <w:lang w:val="en-US" w:eastAsia="zh-CN"/>
        </w:rPr>
        <w:t>扣除2000元当月服务费。</w:t>
      </w:r>
    </w:p>
    <w:p>
      <w:pPr>
        <w:pStyle w:val="291"/>
        <w:numPr>
          <w:ilvl w:val="0"/>
          <w:numId w:val="54"/>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被双流区城乡环境指挥部、区级行业主管部门点名通报一次，扣除5000元当月服务费</w:t>
      </w:r>
      <w:r>
        <w:rPr>
          <w:rFonts w:hint="eastAsia" w:ascii="宋体" w:hAnsi="宋体" w:eastAsia="宋体" w:cs="宋体"/>
          <w:sz w:val="24"/>
          <w:szCs w:val="24"/>
          <w:lang w:eastAsia="zh-CN"/>
        </w:rPr>
        <w:t>。</w:t>
      </w:r>
    </w:p>
    <w:p>
      <w:pPr>
        <w:pStyle w:val="291"/>
        <w:numPr>
          <w:ilvl w:val="0"/>
          <w:numId w:val="54"/>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被双流区区级领导点名批评或被区级媒体曝光的、双流区组织的各种测评和考核扣分的，</w:t>
      </w:r>
      <w:r>
        <w:rPr>
          <w:rFonts w:hint="eastAsia" w:ascii="宋体" w:hAnsi="宋体" w:eastAsia="宋体" w:cs="宋体"/>
          <w:sz w:val="24"/>
          <w:szCs w:val="24"/>
          <w:lang w:val="en-US" w:eastAsia="zh-CN"/>
        </w:rPr>
        <w:t>扣除10000元当月服务费</w:t>
      </w:r>
      <w:r>
        <w:rPr>
          <w:rFonts w:hint="eastAsia" w:ascii="宋体" w:hAnsi="宋体" w:eastAsia="宋体" w:cs="宋体"/>
          <w:sz w:val="24"/>
          <w:szCs w:val="24"/>
          <w:lang w:eastAsia="zh-CN"/>
        </w:rPr>
        <w:t>。</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被市级及以上领导点名批评或被市级及以上媒体曝光的、成都市及以上组织的各种测评和考核扣分的，</w:t>
      </w:r>
      <w:r>
        <w:rPr>
          <w:rFonts w:hint="eastAsia" w:ascii="宋体" w:hAnsi="宋体" w:eastAsia="宋体" w:cs="宋体"/>
          <w:sz w:val="24"/>
          <w:szCs w:val="24"/>
          <w:lang w:val="en-US" w:eastAsia="zh-CN"/>
        </w:rPr>
        <w:t>扣除20000元当月服务费</w:t>
      </w:r>
      <w:r>
        <w:rPr>
          <w:rFonts w:hint="eastAsia" w:ascii="宋体" w:hAnsi="宋体" w:eastAsia="宋体" w:cs="宋体"/>
          <w:sz w:val="24"/>
          <w:szCs w:val="24"/>
        </w:rPr>
        <w:t>。</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在上述各项情况下，</w:t>
      </w:r>
      <w:r>
        <w:rPr>
          <w:rFonts w:hint="eastAsia" w:ascii="宋体" w:hAnsi="宋体" w:eastAsia="宋体" w:cs="宋体"/>
          <w:sz w:val="24"/>
          <w:szCs w:val="24"/>
          <w:lang w:val="en-US" w:eastAsia="zh-CN"/>
        </w:rPr>
        <w:t>中标人</w:t>
      </w:r>
      <w:r>
        <w:rPr>
          <w:rFonts w:hint="eastAsia" w:ascii="宋体" w:hAnsi="宋体" w:eastAsia="宋体" w:cs="宋体"/>
          <w:sz w:val="24"/>
          <w:szCs w:val="24"/>
        </w:rPr>
        <w:t>除应承担相应的违约责任外，还应负责消除影响，赔偿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由此造成的一切损失。同时，相同情况连续发生两次的，</w:t>
      </w:r>
      <w:r>
        <w:rPr>
          <w:rFonts w:hint="eastAsia" w:ascii="宋体" w:hAnsi="宋体" w:eastAsia="宋体" w:cs="宋体"/>
          <w:sz w:val="24"/>
          <w:szCs w:val="24"/>
          <w:lang w:val="en-US" w:eastAsia="zh-CN"/>
        </w:rPr>
        <w:t>采购入</w:t>
      </w:r>
      <w:r>
        <w:rPr>
          <w:rFonts w:hint="eastAsia" w:ascii="宋体" w:hAnsi="宋体" w:eastAsia="宋体" w:cs="宋体"/>
          <w:sz w:val="24"/>
          <w:szCs w:val="24"/>
        </w:rPr>
        <w:t>有权视情况终止合同，并不承担任何的违约责任。</w:t>
      </w:r>
    </w:p>
    <w:p>
      <w:pPr>
        <w:pStyle w:val="291"/>
        <w:numPr>
          <w:ilvl w:val="0"/>
          <w:numId w:val="54"/>
        </w:numPr>
        <w:spacing w:line="500" w:lineRule="exact"/>
        <w:rPr>
          <w:rFonts w:hint="eastAsia" w:ascii="宋体" w:hAnsi="宋体" w:eastAsia="宋体" w:cs="宋体"/>
          <w:sz w:val="24"/>
          <w:szCs w:val="24"/>
        </w:rPr>
      </w:pPr>
      <w:r>
        <w:rPr>
          <w:rFonts w:hint="eastAsia" w:ascii="宋体" w:hAnsi="宋体" w:eastAsia="宋体" w:cs="宋体"/>
          <w:sz w:val="24"/>
          <w:szCs w:val="24"/>
        </w:rPr>
        <w:t>对于上述应承担的违约金或/及损失赔偿，</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有权在任一笔应付款项中直接予以扣除。</w:t>
      </w:r>
    </w:p>
    <w:p>
      <w:pPr>
        <w:numPr>
          <w:ilvl w:val="0"/>
          <w:numId w:val="0"/>
        </w:numPr>
        <w:spacing w:line="500" w:lineRule="exact"/>
        <w:ind w:left="44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执行指令和实施报告制度评分细则</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作业公司法人代表、项目经理无故缺席各种会议每次扣5 分，参会迟到每次扣2分。</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作业公司项目经理无故不在岗，不服从主管部门的指令和安排，每次扣5 分。</w:t>
      </w:r>
    </w:p>
    <w:p>
      <w:pPr>
        <w:numPr>
          <w:ilvl w:val="0"/>
          <w:numId w:val="55"/>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作业公司不按要求报送材料和延迟报送材料的，每次扣5 分。</w:t>
      </w:r>
    </w:p>
    <w:p>
      <w:pPr>
        <w:spacing w:line="500" w:lineRule="exact"/>
        <w:jc w:val="center"/>
        <w:rPr>
          <w:rFonts w:hint="eastAsia" w:ascii="宋体" w:hAnsi="宋体" w:eastAsia="宋体" w:cs="宋体"/>
          <w:b/>
          <w:bCs/>
          <w:sz w:val="24"/>
          <w:szCs w:val="24"/>
        </w:rPr>
      </w:pPr>
    </w:p>
    <w:p>
      <w:pPr>
        <w:spacing w:line="500" w:lineRule="exact"/>
        <w:jc w:val="center"/>
        <w:rPr>
          <w:rFonts w:hint="eastAsia" w:ascii="宋体" w:hAnsi="宋体" w:eastAsia="宋体" w:cs="宋体"/>
          <w:sz w:val="24"/>
          <w:szCs w:val="24"/>
        </w:rPr>
      </w:pPr>
      <w:r>
        <w:rPr>
          <w:rFonts w:hint="eastAsia" w:ascii="宋体" w:hAnsi="宋体" w:eastAsia="宋体" w:cs="宋体"/>
          <w:b/>
          <w:bCs/>
          <w:sz w:val="24"/>
          <w:szCs w:val="24"/>
        </w:rPr>
        <w:t>垃圾清运作业考核办法</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考核实施</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由成都市双流区人民政府九江街道办事处负责组织。</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考核对象</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作业服务公司。</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考核办法</w:t>
      </w:r>
    </w:p>
    <w:p>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检查考核为“日常巡查、月考核”两种形式。日巡查由采购人组织实施，采取每日巡查方式进行；月考核由采购人分管领导组织，按照市区相关要求开展专项检查对清运公司进行评分，每月一次。</w:t>
      </w:r>
    </w:p>
    <w:p>
      <w:pPr>
        <w:numPr>
          <w:ilvl w:val="0"/>
          <w:numId w:val="56"/>
        </w:numPr>
        <w:spacing w:line="500" w:lineRule="exact"/>
        <w:ind w:left="5" w:firstLine="435"/>
        <w:jc w:val="left"/>
        <w:rPr>
          <w:rFonts w:hint="eastAsia" w:ascii="宋体" w:hAnsi="宋体" w:eastAsia="宋体" w:cs="宋体"/>
          <w:sz w:val="24"/>
          <w:szCs w:val="24"/>
        </w:rPr>
      </w:pPr>
      <w:r>
        <w:rPr>
          <w:rFonts w:hint="eastAsia" w:ascii="宋体" w:hAnsi="宋体" w:eastAsia="宋体" w:cs="宋体"/>
          <w:sz w:val="24"/>
          <w:szCs w:val="24"/>
        </w:rPr>
        <w:t>结果运算</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现金处罚</w:t>
      </w:r>
      <w:r>
        <w:rPr>
          <w:rFonts w:hint="eastAsia" w:ascii="宋体" w:hAnsi="宋体" w:eastAsia="宋体" w:cs="宋体"/>
          <w:b/>
          <w:bCs/>
          <w:sz w:val="24"/>
          <w:szCs w:val="24"/>
          <w:lang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依据考核结果扣减作业公司服务经费，具体标准如下：</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日巡查按照每分100元标准处罚；</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群众监督举报的，按照每分200元标准处罚；</w:t>
      </w:r>
    </w:p>
    <w:p>
      <w:pPr>
        <w:numPr>
          <w:ilvl w:val="0"/>
          <w:numId w:val="57"/>
        </w:numPr>
        <w:spacing w:line="500" w:lineRule="exact"/>
        <w:rPr>
          <w:rFonts w:hint="eastAsia" w:ascii="宋体" w:hAnsi="宋体" w:eastAsia="宋体" w:cs="宋体"/>
          <w:sz w:val="24"/>
          <w:szCs w:val="24"/>
        </w:rPr>
      </w:pPr>
      <w:r>
        <w:rPr>
          <w:rFonts w:hint="eastAsia" w:ascii="宋体" w:hAnsi="宋体" w:eastAsia="宋体" w:cs="宋体"/>
          <w:sz w:val="24"/>
          <w:szCs w:val="24"/>
        </w:rPr>
        <w:t>被街道下发整改通知书的，按照每分300元标准处罚。</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综合处罚</w:t>
      </w:r>
      <w:r>
        <w:rPr>
          <w:rFonts w:hint="eastAsia" w:ascii="宋体" w:hAnsi="宋体" w:eastAsia="宋体" w:cs="宋体"/>
          <w:b/>
          <w:bCs/>
          <w:sz w:val="24"/>
          <w:szCs w:val="24"/>
          <w:lang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按照考核评分办法（日巡查占80%，月考核占20%）计算每月考核成绩，依据考核成绩进行月通报。同时，对90分以下（不含90分）的作业公司按下列标准实施综合处罚。</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85分至90分（不含90分），每减少1分扣除1000元；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80分至85分（不含85分），每减少1分扣除2000元；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75分至80分（不含80分），每减少1分扣除3000元；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70分至75分（不含75分），每减少1分扣除4000元；</w:t>
      </w:r>
    </w:p>
    <w:p>
      <w:pPr>
        <w:numPr>
          <w:ilvl w:val="0"/>
          <w:numId w:val="58"/>
        </w:numPr>
        <w:spacing w:line="500" w:lineRule="exact"/>
        <w:rPr>
          <w:rFonts w:hint="eastAsia" w:ascii="宋体" w:hAnsi="宋体" w:eastAsia="宋体" w:cs="宋体"/>
          <w:sz w:val="24"/>
          <w:szCs w:val="24"/>
        </w:rPr>
      </w:pPr>
      <w:r>
        <w:rPr>
          <w:rFonts w:hint="eastAsia" w:ascii="宋体" w:hAnsi="宋体" w:eastAsia="宋体" w:cs="宋体"/>
          <w:sz w:val="24"/>
          <w:szCs w:val="24"/>
        </w:rPr>
        <w:t>70分（不含70分），每减少1分扣除5000元。</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中标人连续三次考核低于70分，采购人有权终止合同，由此带来的损失全部由中标人承担。</w:t>
      </w:r>
    </w:p>
    <w:p>
      <w:pPr>
        <w:numPr>
          <w:ilvl w:val="0"/>
          <w:numId w:val="0"/>
        </w:numPr>
        <w:spacing w:line="500" w:lineRule="exact"/>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申请复核</w:t>
      </w:r>
      <w:r>
        <w:rPr>
          <w:rFonts w:hint="eastAsia" w:ascii="宋体" w:hAnsi="宋体" w:eastAsia="宋体" w:cs="宋体"/>
          <w:b/>
          <w:bCs/>
          <w:sz w:val="24"/>
          <w:szCs w:val="24"/>
          <w:lang w:eastAsia="zh-CN"/>
        </w:rPr>
        <w:t>：</w:t>
      </w:r>
    </w:p>
    <w:p>
      <w:pPr>
        <w:pStyle w:val="3"/>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被考核单位认为考核有误，可以向采购人申请复核，复核只进行一次。</w:t>
      </w:r>
    </w:p>
    <w:p>
      <w:pPr>
        <w:pStyle w:val="190"/>
        <w:spacing w:line="500" w:lineRule="exact"/>
        <w:ind w:firstLine="482"/>
        <w:rPr>
          <w:rFonts w:hint="eastAsia" w:ascii="宋体" w:hAnsi="宋体" w:eastAsia="宋体" w:cs="宋体"/>
          <w:sz w:val="24"/>
          <w:szCs w:val="24"/>
        </w:rPr>
      </w:pPr>
      <w:r>
        <w:rPr>
          <w:rFonts w:hint="eastAsia" w:ascii="宋体" w:hAnsi="宋体" w:eastAsia="宋体" w:cs="宋体"/>
          <w:b/>
          <w:bCs/>
          <w:sz w:val="24"/>
          <w:szCs w:val="24"/>
        </w:rPr>
        <w:t>注：考核标准和考核办法，采购人可根据工作实际和监督手段、监督方式的变化做适当调整。</w:t>
      </w:r>
    </w:p>
    <w:p>
      <w:pPr>
        <w:ind w:firstLine="487" w:firstLineChars="202"/>
        <w:rPr>
          <w:b/>
          <w:sz w:val="24"/>
        </w:rPr>
      </w:pPr>
      <w:r>
        <w:rPr>
          <w:rFonts w:hint="eastAsia"/>
          <w:b/>
          <w:sz w:val="24"/>
          <w:lang w:val="en-US" w:eastAsia="zh-CN"/>
        </w:rPr>
        <w:t>六、</w:t>
      </w:r>
      <w:r>
        <w:rPr>
          <w:rFonts w:hint="eastAsia"/>
          <w:b/>
          <w:sz w:val="24"/>
        </w:rPr>
        <w:t>知识产权</w:t>
      </w:r>
    </w:p>
    <w:p>
      <w:pPr>
        <w:pStyle w:val="194"/>
        <w:keepNext w:val="0"/>
        <w:keepLines w:val="0"/>
        <w:pageBreakBefore w:val="0"/>
        <w:widowControl w:val="0"/>
        <w:kinsoku/>
        <w:overflowPunct/>
        <w:bidi w:val="0"/>
        <w:adjustRightInd/>
        <w:snapToGrid/>
        <w:spacing w:line="360" w:lineRule="auto"/>
        <w:ind w:firstLineChars="0"/>
        <w:textAlignment w:val="auto"/>
        <w:rPr>
          <w:sz w:val="24"/>
          <w:szCs w:val="24"/>
        </w:rPr>
      </w:pPr>
      <w:r>
        <w:rPr>
          <w:rFonts w:hint="eastAsia"/>
          <w:sz w:val="24"/>
          <w:szCs w:val="24"/>
        </w:rPr>
        <w:t>乙方应保证所提供的服务或其任何一部分均不会侵犯任何第三方的专利权、商标权或著作权。</w:t>
      </w:r>
    </w:p>
    <w:p>
      <w:pPr>
        <w:keepNext w:val="0"/>
        <w:keepLines w:val="0"/>
        <w:pageBreakBefore w:val="0"/>
        <w:widowControl w:val="0"/>
        <w:kinsoku/>
        <w:overflowPunct/>
        <w:bidi w:val="0"/>
        <w:adjustRightInd/>
        <w:snapToGrid/>
        <w:spacing w:line="360" w:lineRule="auto"/>
        <w:ind w:firstLine="487" w:firstLineChars="202"/>
        <w:textAlignment w:val="auto"/>
        <w:rPr>
          <w:b/>
          <w:sz w:val="24"/>
        </w:rPr>
      </w:pPr>
      <w:r>
        <w:rPr>
          <w:rFonts w:hint="eastAsia"/>
          <w:b/>
          <w:sz w:val="24"/>
          <w:lang w:val="en-US" w:eastAsia="zh-CN"/>
        </w:rPr>
        <w:t>七</w:t>
      </w:r>
      <w:r>
        <w:rPr>
          <w:rFonts w:hint="eastAsia"/>
          <w:b/>
          <w:sz w:val="24"/>
        </w:rPr>
        <w:t>、无产权瑕疵条款</w:t>
      </w:r>
    </w:p>
    <w:p>
      <w:pPr>
        <w:pStyle w:val="194"/>
        <w:keepNext w:val="0"/>
        <w:keepLines w:val="0"/>
        <w:pageBreakBefore w:val="0"/>
        <w:widowControl w:val="0"/>
        <w:kinsoku/>
        <w:overflowPunct/>
        <w:bidi w:val="0"/>
        <w:adjustRightInd/>
        <w:snapToGrid/>
        <w:spacing w:line="360" w:lineRule="auto"/>
        <w:ind w:firstLineChars="0"/>
        <w:textAlignment w:val="auto"/>
        <w:rPr>
          <w:sz w:val="24"/>
          <w:szCs w:val="24"/>
        </w:rPr>
      </w:pPr>
      <w:r>
        <w:rPr>
          <w:rFonts w:hint="eastAsia"/>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overflowPunct/>
        <w:bidi w:val="0"/>
        <w:adjustRightInd/>
        <w:snapToGrid/>
        <w:spacing w:line="360" w:lineRule="auto"/>
        <w:ind w:firstLine="482" w:firstLineChars="200"/>
        <w:textAlignment w:val="auto"/>
        <w:rPr>
          <w:b/>
          <w:sz w:val="24"/>
        </w:rPr>
      </w:pPr>
      <w:r>
        <w:rPr>
          <w:rFonts w:hint="eastAsia"/>
          <w:b/>
          <w:sz w:val="24"/>
          <w:lang w:val="en-US" w:eastAsia="zh-CN"/>
        </w:rPr>
        <w:t>八</w:t>
      </w:r>
      <w:r>
        <w:rPr>
          <w:b/>
          <w:sz w:val="24"/>
        </w:rPr>
        <w:t>、</w:t>
      </w:r>
      <w:r>
        <w:rPr>
          <w:rFonts w:hint="eastAsia"/>
          <w:b/>
          <w:sz w:val="24"/>
        </w:rPr>
        <w:t>甲方的权利和义务</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1、负责按照乙方中标包件对乙方服务区域和服务范围进行现场明确和现场指导。</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2、负责向乙方提供环卫作业服务质量标准、环卫作业服务质量检查考核办法等相关文件。</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3、甲方有权对合同规定范围内乙方的服务行为进行监督和检查，拥有监管权。有权定期核对乙方提供服务所配备的人员数量、机具数量。对甲方认为不合理的部分有权下达整改通知书，并要求乙方限期整改。</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4、甲方有权依据双方签订的考评办法对乙方提供的服务进行定期考评。当考评结果未达到标准时，有权依据考评办法约定的数额扣除作业经费。</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5、负责检查监督乙方管理工作的实施及制度的执行情况。</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6、根据本合同约定，按时向乙方支付应付服务费用。</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7、甲方按本合同实际履行情况，依照相关法律、法规或政策规定，酌情考虑乙方合同以外的必要费用补贴。</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8、国家法律、法规所规定由甲方承担的其它责任。</w:t>
      </w:r>
    </w:p>
    <w:p>
      <w:pPr>
        <w:keepNext w:val="0"/>
        <w:keepLines w:val="0"/>
        <w:pageBreakBefore w:val="0"/>
        <w:widowControl w:val="0"/>
        <w:kinsoku/>
        <w:overflowPunct/>
        <w:bidi w:val="0"/>
        <w:adjustRightInd/>
        <w:snapToGrid/>
        <w:spacing w:line="360" w:lineRule="auto"/>
        <w:ind w:firstLine="476" w:firstLineChars="200"/>
        <w:textAlignment w:val="auto"/>
        <w:rPr>
          <w:rFonts w:ascii="宋体" w:hAnsi="宋体" w:cs="宋体"/>
          <w:spacing w:val="-1"/>
          <w:kern w:val="0"/>
          <w:sz w:val="24"/>
        </w:rPr>
      </w:pPr>
      <w:r>
        <w:rPr>
          <w:rFonts w:hint="eastAsia" w:ascii="宋体" w:hAnsi="宋体" w:cs="宋体"/>
          <w:spacing w:val="-1"/>
          <w:kern w:val="0"/>
          <w:sz w:val="24"/>
        </w:rPr>
        <w:t>9、甲方有权协同劳动监察部门对乙方用工情况进行检查，有权要求乙方按招标要求保障作业人员的福利待遇。甲方不承担任何由于乙方未办理员工劳动关系由此而产生的纠纷等责任。</w:t>
      </w:r>
    </w:p>
    <w:p>
      <w:pPr>
        <w:keepNext w:val="0"/>
        <w:keepLines w:val="0"/>
        <w:pageBreakBefore w:val="0"/>
        <w:widowControl w:val="0"/>
        <w:kinsoku/>
        <w:overflowPunct/>
        <w:bidi w:val="0"/>
        <w:adjustRightInd/>
        <w:snapToGrid/>
        <w:spacing w:line="360" w:lineRule="auto"/>
        <w:ind w:firstLine="482" w:firstLineChars="200"/>
        <w:textAlignment w:val="auto"/>
        <w:rPr>
          <w:b/>
          <w:sz w:val="24"/>
        </w:rPr>
      </w:pPr>
      <w:r>
        <w:rPr>
          <w:rFonts w:hint="eastAsia"/>
          <w:b/>
          <w:sz w:val="24"/>
          <w:lang w:val="en-US" w:eastAsia="zh-CN"/>
        </w:rPr>
        <w:t>九</w:t>
      </w:r>
      <w:r>
        <w:rPr>
          <w:b/>
          <w:sz w:val="24"/>
        </w:rPr>
        <w:t>、</w:t>
      </w:r>
      <w:r>
        <w:rPr>
          <w:rFonts w:hint="eastAsia"/>
          <w:b/>
          <w:sz w:val="24"/>
        </w:rPr>
        <w:t>乙方的权利和义务</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根据甲方要求和有关法律、法规及本合同相关约定，制定相关工作方案，完善相关管理制度，并按照合同约定的作业质量标准完成各项作业任务。根据需要增加节假日和重大活动期间清扫保洁、冲洗除尘和垃圾清运频次，保证节假日和重大活动期间环境卫生干净清爽。</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2、乙方必须在中标辖区设立项目部和固定办公场所，并在本合同签订前向甲方递交派驻中标辖区项目负责人的书面材料。项目负责人代表乙方不定期向甲方报告作业服务实施情况。</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3、乙方自觉接受甲方的监督、检查和指导，按要求完成临时交办的各项任务，对甲方发现的问题采取积极措施快速整改。对于作业服务区域内发生的违反城市环境卫生管理法律法规的行为，主动劝阻和制止，并及时向甲方报告。</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4、为保证环境卫生作业服务的连续性和作业质量的稳定性，乙方有义务自愿同意聘用原各辖区段面上自愿留下的从业人员，且3月之内不得无故开除。</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5、按照公开招标文件第4章要求足额配备环卫从业人员，并定期开展相关培训。为从业人员足额缴纳社会保险费，足额发放从业人员工资（基本工资标准不低于2314元/月/人），如遇成都市最低工资标准调整，基本工资高于2314元/月/人，在合同期内，其差额部分由区财政追加。同时乙方必须与环卫从业人员签订劳动、劳务合同，并向甲方提交备案。乙方与乙方从业人员间产生的任何劳动、劳务争议，均由乙方自行解决纠纷并承担损失，概与甲方无关。</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6.每年9月底向环卫工人（含公厕管理人员）发放高温补贴300元（按3个月计算，每月100元），12月底前向环卫工人（含公厕管理人员）发放保暖费300元（按3个月计算，每月100元）。环卫工人（含公厕管理人员）辞职补偿金一年一结算。</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7、每年定期组织和安排对环卫工人进行职业健康体检，根据实际需要，合理安排和设置环卫工作休息点，认真做好作业段面已建环卫工人休息室的日常管理工作。</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8、环卫作业人员服装由乙方按照环卫工人服装新要求进行配置，所有作业车辆做到外观标识统一规范。对洒水车、洗扫车等大型作业机具按要求安装智慧监督设施，且保持运行良好。</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9、按照《公司法》和《会计法》规定，健全本公司财务管理制度，严格财务管理。</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10、遵守安全生产相关规定，安全操作、文明作业。合同期内，乙方在环卫作业中产生的一切安全责任事故和其它责任事故概由乙方负责。</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11、建立信息联动机制。如发现中标标段内道路路面、窨井盖、路灯、路牌、交安设施等市政设施损坏损毁现象及时向甲方报告。</w:t>
      </w:r>
    </w:p>
    <w:p>
      <w:pPr>
        <w:keepNext w:val="0"/>
        <w:keepLines w:val="0"/>
        <w:pageBreakBefore w:val="0"/>
        <w:widowControl w:val="0"/>
        <w:kinsoku/>
        <w:overflowPunct/>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12、乙方自觉遵守国家相关法律法规，如违反国家法律法规相关规定，乙方承担全部法律责任。</w:t>
      </w:r>
    </w:p>
    <w:p>
      <w:pPr>
        <w:keepNext w:val="0"/>
        <w:keepLines w:val="0"/>
        <w:pageBreakBefore w:val="0"/>
        <w:widowControl w:val="0"/>
        <w:kinsoku/>
        <w:overflowPunct/>
        <w:bidi w:val="0"/>
        <w:adjustRightInd/>
        <w:snapToGrid/>
        <w:spacing w:line="360" w:lineRule="auto"/>
        <w:ind w:firstLine="482" w:firstLineChars="200"/>
        <w:textAlignment w:val="auto"/>
        <w:rPr>
          <w:b/>
          <w:sz w:val="24"/>
        </w:rPr>
      </w:pPr>
      <w:r>
        <w:rPr>
          <w:rFonts w:hint="eastAsia"/>
          <w:b/>
          <w:sz w:val="24"/>
          <w:lang w:val="en-US" w:eastAsia="zh-CN"/>
        </w:rPr>
        <w:t>十</w:t>
      </w:r>
      <w:r>
        <w:rPr>
          <w:rFonts w:hint="eastAsia"/>
          <w:b/>
          <w:sz w:val="24"/>
        </w:rPr>
        <w:t>、违约责任</w:t>
      </w:r>
    </w:p>
    <w:p>
      <w:pPr>
        <w:pStyle w:val="185"/>
        <w:keepNext w:val="0"/>
        <w:keepLines w:val="0"/>
        <w:pageBreakBefore w:val="0"/>
        <w:widowControl w:val="0"/>
        <w:kinsoku/>
        <w:overflowPunct/>
        <w:autoSpaceDE w:val="0"/>
        <w:autoSpaceDN w:val="0"/>
        <w:bidi w:val="0"/>
        <w:adjustRightInd/>
        <w:snapToGrid/>
        <w:spacing w:before="0" w:after="0" w:line="360" w:lineRule="auto"/>
        <w:ind w:firstLine="220" w:firstLineChars="100"/>
        <w:jc w:val="left"/>
        <w:textAlignment w:val="auto"/>
        <w:rPr>
          <w:rFonts w:ascii="宋体" w:hAnsi="宋体" w:eastAsia="宋体"/>
          <w:kern w:val="2"/>
          <w:sz w:val="24"/>
          <w:szCs w:val="24"/>
          <w:lang w:val="en-US" w:eastAsia="zh-CN"/>
        </w:rPr>
      </w:pPr>
      <w:r>
        <w:rPr>
          <w:rFonts w:hint="eastAsia"/>
          <w:lang w:eastAsia="zh-CN"/>
        </w:rPr>
        <w:t xml:space="preserve">  </w:t>
      </w:r>
      <w:r>
        <w:rPr>
          <w:rFonts w:hint="eastAsia" w:eastAsia="宋体"/>
          <w:lang w:eastAsia="zh-CN"/>
        </w:rPr>
        <w:t xml:space="preserve"> </w:t>
      </w:r>
      <w:r>
        <w:rPr>
          <w:rFonts w:hint="eastAsia" w:ascii="宋体" w:hAnsi="宋体" w:eastAsia="宋体"/>
          <w:kern w:val="2"/>
          <w:sz w:val="24"/>
          <w:szCs w:val="24"/>
          <w:lang w:val="en-US" w:eastAsia="zh-CN"/>
        </w:rPr>
        <w:t>1.双方必须遵守本合同并执行合同中的各项规定，保证本合同的正常履行。</w:t>
      </w:r>
    </w:p>
    <w:p>
      <w:pPr>
        <w:pStyle w:val="185"/>
        <w:keepNext w:val="0"/>
        <w:keepLines w:val="0"/>
        <w:pageBreakBefore w:val="0"/>
        <w:widowControl w:val="0"/>
        <w:kinsoku/>
        <w:overflowPunct/>
        <w:autoSpaceDE w:val="0"/>
        <w:autoSpaceDN w:val="0"/>
        <w:bidi w:val="0"/>
        <w:adjustRightInd/>
        <w:snapToGrid/>
        <w:spacing w:before="0" w:after="0" w:line="360" w:lineRule="auto"/>
        <w:ind w:firstLine="600" w:firstLineChars="250"/>
        <w:jc w:val="left"/>
        <w:textAlignment w:val="auto"/>
        <w:rPr>
          <w:rFonts w:ascii="宋体" w:hAnsi="宋体" w:eastAsia="宋体"/>
          <w:kern w:val="2"/>
          <w:sz w:val="24"/>
          <w:szCs w:val="24"/>
          <w:lang w:val="en-US" w:eastAsia="zh-CN"/>
        </w:rPr>
      </w:pPr>
      <w:r>
        <w:rPr>
          <w:rFonts w:hint="eastAsia" w:ascii="宋体" w:hAnsi="宋体" w:eastAsia="宋体"/>
          <w:kern w:val="2"/>
          <w:sz w:val="24"/>
          <w:szCs w:val="24"/>
          <w:lang w:val="en-US"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85"/>
        <w:keepNext w:val="0"/>
        <w:keepLines w:val="0"/>
        <w:pageBreakBefore w:val="0"/>
        <w:widowControl w:val="0"/>
        <w:kinsoku/>
        <w:overflowPunct/>
        <w:autoSpaceDE w:val="0"/>
        <w:autoSpaceDN w:val="0"/>
        <w:bidi w:val="0"/>
        <w:adjustRightInd/>
        <w:snapToGrid/>
        <w:spacing w:before="0" w:after="0" w:line="360" w:lineRule="auto"/>
        <w:ind w:firstLine="600" w:firstLineChars="250"/>
        <w:jc w:val="left"/>
        <w:textAlignment w:val="auto"/>
        <w:rPr>
          <w:rFonts w:ascii="宋体" w:hAnsi="宋体" w:eastAsia="宋体"/>
          <w:kern w:val="2"/>
          <w:sz w:val="24"/>
          <w:szCs w:val="24"/>
          <w:lang w:val="en-US" w:eastAsia="zh-CN"/>
        </w:rPr>
      </w:pPr>
      <w:r>
        <w:rPr>
          <w:rFonts w:hint="eastAsia" w:ascii="宋体" w:hAnsi="宋体" w:eastAsia="宋体"/>
          <w:kern w:val="2"/>
          <w:sz w:val="24"/>
          <w:szCs w:val="24"/>
          <w:lang w:val="en-US" w:eastAsia="zh-CN"/>
        </w:rPr>
        <w:t>3.乙方在服务期内无质量问题和违约行为的，甲方应准时支付乙方服务费，如逾期，则按应付金额每日1‰标准向乙方赔付违约金。</w:t>
      </w:r>
    </w:p>
    <w:p>
      <w:pPr>
        <w:pStyle w:val="185"/>
        <w:keepNext w:val="0"/>
        <w:keepLines w:val="0"/>
        <w:pageBreakBefore w:val="0"/>
        <w:widowControl w:val="0"/>
        <w:kinsoku/>
        <w:overflowPunct/>
        <w:autoSpaceDE w:val="0"/>
        <w:autoSpaceDN w:val="0"/>
        <w:bidi w:val="0"/>
        <w:adjustRightInd/>
        <w:snapToGrid/>
        <w:spacing w:before="0" w:after="0" w:line="360" w:lineRule="auto"/>
        <w:ind w:firstLine="600" w:firstLineChars="250"/>
        <w:jc w:val="left"/>
        <w:textAlignment w:val="auto"/>
        <w:rPr>
          <w:rFonts w:hint="eastAsia" w:ascii="宋体" w:hAnsi="宋体" w:eastAsia="宋体"/>
          <w:kern w:val="2"/>
          <w:sz w:val="24"/>
          <w:szCs w:val="24"/>
          <w:lang w:val="en-US" w:eastAsia="zh-CN"/>
        </w:rPr>
      </w:pPr>
      <w:r>
        <w:rPr>
          <w:rFonts w:hint="eastAsia" w:ascii="宋体" w:hAnsi="宋体" w:eastAsia="宋体"/>
          <w:kern w:val="2"/>
          <w:sz w:val="24"/>
          <w:szCs w:val="24"/>
          <w:lang w:val="en-US" w:eastAsia="zh-CN"/>
        </w:rPr>
        <w:t>4.因甲方原因导致变更、中止或者终止政府采购合同的，甲方依照合同约定对乙方受到的损失予以赔偿或者补偿。</w:t>
      </w:r>
    </w:p>
    <w:p>
      <w:pPr>
        <w:pStyle w:val="185"/>
        <w:keepNext w:val="0"/>
        <w:keepLines w:val="0"/>
        <w:pageBreakBefore w:val="0"/>
        <w:widowControl w:val="0"/>
        <w:kinsoku/>
        <w:overflowPunct/>
        <w:autoSpaceDE w:val="0"/>
        <w:autoSpaceDN w:val="0"/>
        <w:bidi w:val="0"/>
        <w:adjustRightInd/>
        <w:snapToGrid/>
        <w:spacing w:before="0" w:after="0" w:line="360" w:lineRule="auto"/>
        <w:ind w:firstLine="600" w:firstLineChars="250"/>
        <w:jc w:val="left"/>
        <w:textAlignment w:val="auto"/>
        <w:rPr>
          <w:rFonts w:hint="eastAsia" w:ascii="宋体" w:hAnsi="宋体" w:eastAsia="宋体"/>
          <w:kern w:val="2"/>
          <w:sz w:val="24"/>
          <w:szCs w:val="24"/>
          <w:lang w:val="en-US" w:eastAsia="zh-CN"/>
        </w:rPr>
      </w:pPr>
      <w:r>
        <w:rPr>
          <w:rFonts w:hint="eastAsia" w:ascii="宋体" w:hAnsi="宋体" w:eastAsia="宋体"/>
          <w:kern w:val="2"/>
          <w:sz w:val="24"/>
          <w:szCs w:val="24"/>
          <w:lang w:val="en-US" w:eastAsia="zh-CN"/>
        </w:rPr>
        <w:t>5.如乙方发生违约事项，甲方可以从甲方应付或将付给乙方的任何一笔款项中扣除。</w:t>
      </w:r>
    </w:p>
    <w:p>
      <w:pPr>
        <w:keepNext w:val="0"/>
        <w:keepLines w:val="0"/>
        <w:pageBreakBefore w:val="0"/>
        <w:widowControl w:val="0"/>
        <w:kinsoku/>
        <w:overflowPunct/>
        <w:bidi w:val="0"/>
        <w:adjustRightInd/>
        <w:snapToGrid/>
        <w:spacing w:line="360" w:lineRule="auto"/>
        <w:ind w:firstLine="602" w:firstLineChars="250"/>
        <w:textAlignment w:val="auto"/>
        <w:rPr>
          <w:b/>
          <w:sz w:val="24"/>
        </w:rPr>
      </w:pPr>
      <w:r>
        <w:rPr>
          <w:rFonts w:hint="eastAsia"/>
          <w:b/>
          <w:sz w:val="24"/>
        </w:rPr>
        <w:t>十</w:t>
      </w:r>
      <w:r>
        <w:rPr>
          <w:rFonts w:hint="eastAsia"/>
          <w:b/>
          <w:sz w:val="24"/>
          <w:lang w:val="en-US" w:eastAsia="zh-CN"/>
        </w:rPr>
        <w:t>一</w:t>
      </w:r>
      <w:r>
        <w:rPr>
          <w:rFonts w:hint="eastAsia"/>
          <w:b/>
          <w:sz w:val="24"/>
        </w:rPr>
        <w:t>、不可抗力事件处理</w:t>
      </w:r>
    </w:p>
    <w:p>
      <w:pPr>
        <w:pStyle w:val="185"/>
        <w:keepNext w:val="0"/>
        <w:keepLines w:val="0"/>
        <w:pageBreakBefore w:val="0"/>
        <w:widowControl w:val="0"/>
        <w:kinsoku/>
        <w:overflowPunct/>
        <w:autoSpaceDE w:val="0"/>
        <w:autoSpaceDN w:val="0"/>
        <w:bidi w:val="0"/>
        <w:adjustRightInd/>
        <w:snapToGrid/>
        <w:spacing w:before="0" w:after="0" w:line="360" w:lineRule="auto"/>
        <w:ind w:firstLine="440" w:firstLineChars="200"/>
        <w:jc w:val="left"/>
        <w:textAlignment w:val="auto"/>
        <w:rPr>
          <w:rFonts w:ascii="宋体" w:hAnsi="宋体" w:eastAsia="宋体" w:cs="宋体"/>
          <w:spacing w:val="-1"/>
          <w:sz w:val="24"/>
          <w:lang w:val="en-US" w:eastAsia="zh-CN"/>
        </w:rPr>
      </w:pPr>
      <w:r>
        <w:rPr>
          <w:rFonts w:hint="eastAsia"/>
          <w:lang w:eastAsia="zh-CN"/>
        </w:rPr>
        <w:t xml:space="preserve"> </w:t>
      </w:r>
      <w:r>
        <w:rPr>
          <w:rFonts w:hint="eastAsia" w:eastAsia="宋体"/>
          <w:lang w:eastAsia="zh-CN"/>
        </w:rPr>
        <w:t xml:space="preserve"> </w:t>
      </w:r>
      <w:r>
        <w:rPr>
          <w:rFonts w:hint="eastAsia" w:ascii="宋体" w:hAnsi="宋体" w:eastAsia="宋体" w:cs="宋体"/>
          <w:spacing w:val="-1"/>
          <w:sz w:val="24"/>
          <w:lang w:val="en-US" w:eastAsia="zh-CN"/>
        </w:rPr>
        <w:t>1．在合同有效期内，任何一方因不可抗力事件导致不能履行合同，则合同履行期可延长，其延长期与不可抗力影响期相同。</w:t>
      </w:r>
    </w:p>
    <w:p>
      <w:pPr>
        <w:pStyle w:val="185"/>
        <w:keepNext w:val="0"/>
        <w:keepLines w:val="0"/>
        <w:pageBreakBefore w:val="0"/>
        <w:widowControl w:val="0"/>
        <w:kinsoku/>
        <w:overflowPunct/>
        <w:autoSpaceDE w:val="0"/>
        <w:autoSpaceDN w:val="0"/>
        <w:bidi w:val="0"/>
        <w:adjustRightInd/>
        <w:snapToGrid/>
        <w:spacing w:before="0" w:after="0" w:line="360" w:lineRule="auto"/>
        <w:ind w:firstLine="714" w:firstLineChars="3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2．不可抗力事件发生后，应立即通知对方，并寄送有关权威机构出具的证明。</w:t>
      </w:r>
    </w:p>
    <w:p>
      <w:pPr>
        <w:pStyle w:val="185"/>
        <w:keepNext w:val="0"/>
        <w:keepLines w:val="0"/>
        <w:pageBreakBefore w:val="0"/>
        <w:widowControl w:val="0"/>
        <w:kinsoku/>
        <w:overflowPunct/>
        <w:autoSpaceDE w:val="0"/>
        <w:autoSpaceDN w:val="0"/>
        <w:bidi w:val="0"/>
        <w:adjustRightInd/>
        <w:snapToGrid/>
        <w:spacing w:before="0" w:after="0" w:line="360" w:lineRule="auto"/>
        <w:ind w:firstLine="714" w:firstLineChars="3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3．不可抗力事件延续天以上，双方应通过友好协商，确定是否继续履行合同。</w:t>
      </w:r>
    </w:p>
    <w:p>
      <w:pPr>
        <w:keepNext w:val="0"/>
        <w:keepLines w:val="0"/>
        <w:pageBreakBefore w:val="0"/>
        <w:widowControl w:val="0"/>
        <w:kinsoku/>
        <w:overflowPunct/>
        <w:bidi w:val="0"/>
        <w:adjustRightInd/>
        <w:snapToGrid/>
        <w:spacing w:line="360" w:lineRule="auto"/>
        <w:ind w:firstLine="361" w:firstLineChars="150"/>
        <w:textAlignment w:val="auto"/>
        <w:rPr>
          <w:b/>
          <w:sz w:val="24"/>
        </w:rPr>
      </w:pPr>
      <w:r>
        <w:rPr>
          <w:rFonts w:hint="eastAsia"/>
          <w:b/>
          <w:sz w:val="24"/>
        </w:rPr>
        <w:t>十</w:t>
      </w:r>
      <w:r>
        <w:rPr>
          <w:rFonts w:hint="eastAsia"/>
          <w:b/>
          <w:sz w:val="24"/>
          <w:lang w:val="en-US" w:eastAsia="zh-CN"/>
        </w:rPr>
        <w:t>二</w:t>
      </w:r>
      <w:r>
        <w:rPr>
          <w:b/>
          <w:sz w:val="24"/>
        </w:rPr>
        <w:t>、</w:t>
      </w:r>
      <w:r>
        <w:rPr>
          <w:rFonts w:hint="eastAsia"/>
          <w:b/>
          <w:sz w:val="24"/>
        </w:rPr>
        <w:t>解决争议的方法</w:t>
      </w:r>
    </w:p>
    <w:p>
      <w:pPr>
        <w:pStyle w:val="185"/>
        <w:keepNext w:val="0"/>
        <w:keepLines w:val="0"/>
        <w:pageBreakBefore w:val="0"/>
        <w:widowControl w:val="0"/>
        <w:kinsoku/>
        <w:overflowPunct/>
        <w:autoSpaceDE w:val="0"/>
        <w:autoSpaceDN w:val="0"/>
        <w:bidi w:val="0"/>
        <w:adjustRightInd/>
        <w:snapToGrid/>
        <w:spacing w:before="0" w:after="0" w:line="360" w:lineRule="auto"/>
        <w:ind w:firstLine="476" w:firstLineChars="2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在执行本合同中发生的或与本合同有关的争端，双方应通过友好协商解决，不愿通过协商、调解解决或者协商、调解不成的，可向甲方所在地人民法院起诉。</w:t>
      </w:r>
    </w:p>
    <w:p>
      <w:pPr>
        <w:keepNext w:val="0"/>
        <w:keepLines w:val="0"/>
        <w:pageBreakBefore w:val="0"/>
        <w:widowControl w:val="0"/>
        <w:kinsoku/>
        <w:overflowPunct/>
        <w:bidi w:val="0"/>
        <w:adjustRightInd/>
        <w:snapToGrid/>
        <w:spacing w:line="360" w:lineRule="auto"/>
        <w:ind w:firstLine="487" w:firstLineChars="202"/>
        <w:textAlignment w:val="auto"/>
        <w:rPr>
          <w:b/>
          <w:sz w:val="24"/>
        </w:rPr>
      </w:pPr>
      <w:r>
        <w:rPr>
          <w:rFonts w:hint="eastAsia"/>
          <w:b/>
          <w:sz w:val="24"/>
        </w:rPr>
        <w:t>十</w:t>
      </w:r>
      <w:r>
        <w:rPr>
          <w:rFonts w:hint="eastAsia"/>
          <w:b/>
          <w:sz w:val="24"/>
          <w:lang w:val="en-US" w:eastAsia="zh-CN"/>
        </w:rPr>
        <w:t>三</w:t>
      </w:r>
      <w:r>
        <w:rPr>
          <w:b/>
          <w:sz w:val="24"/>
        </w:rPr>
        <w:t>、</w:t>
      </w:r>
      <w:r>
        <w:rPr>
          <w:rFonts w:hint="eastAsia"/>
          <w:b/>
          <w:sz w:val="24"/>
        </w:rPr>
        <w:t>合同生效及其他</w:t>
      </w:r>
    </w:p>
    <w:p>
      <w:pPr>
        <w:pStyle w:val="265"/>
        <w:keepNext w:val="0"/>
        <w:keepLines w:val="0"/>
        <w:pageBreakBefore w:val="0"/>
        <w:widowControl w:val="0"/>
        <w:numPr>
          <w:ilvl w:val="1"/>
          <w:numId w:val="82"/>
        </w:numPr>
        <w:kinsoku/>
        <w:overflowPunct/>
        <w:bidi w:val="0"/>
        <w:adjustRightInd/>
        <w:snapToGrid/>
        <w:spacing w:line="360" w:lineRule="auto"/>
        <w:ind w:firstLine="480"/>
        <w:textAlignment w:val="auto"/>
        <w:rPr>
          <w:sz w:val="24"/>
          <w:szCs w:val="24"/>
        </w:rPr>
      </w:pPr>
      <w:r>
        <w:rPr>
          <w:rFonts w:hint="eastAsia"/>
          <w:sz w:val="24"/>
          <w:szCs w:val="24"/>
        </w:rPr>
        <w:t>合同经双方法定代表人或授权委托代理人签字并加盖单位公章后生效。</w:t>
      </w:r>
    </w:p>
    <w:p>
      <w:pPr>
        <w:pStyle w:val="265"/>
        <w:keepNext w:val="0"/>
        <w:keepLines w:val="0"/>
        <w:pageBreakBefore w:val="0"/>
        <w:widowControl w:val="0"/>
        <w:numPr>
          <w:ilvl w:val="1"/>
          <w:numId w:val="82"/>
        </w:numPr>
        <w:kinsoku/>
        <w:overflowPunct/>
        <w:bidi w:val="0"/>
        <w:adjustRightInd/>
        <w:snapToGrid/>
        <w:spacing w:line="360" w:lineRule="auto"/>
        <w:ind w:firstLine="480"/>
        <w:textAlignment w:val="auto"/>
        <w:rPr>
          <w:sz w:val="24"/>
          <w:szCs w:val="24"/>
        </w:rPr>
      </w:pPr>
      <w:r>
        <w:rPr>
          <w:rFonts w:hint="eastAsia"/>
          <w:sz w:val="24"/>
          <w:szCs w:val="24"/>
        </w:rPr>
        <w:t>合同执行中涉及采购资金和采购内容修改或补充的，须经政府采购监管部门审批，并签书面补充协议报政府采购监督管理部门备案，方可作为主合同不可分割的一部分。</w:t>
      </w:r>
    </w:p>
    <w:p>
      <w:pPr>
        <w:pStyle w:val="265"/>
        <w:keepNext w:val="0"/>
        <w:keepLines w:val="0"/>
        <w:pageBreakBefore w:val="0"/>
        <w:widowControl w:val="0"/>
        <w:numPr>
          <w:ilvl w:val="1"/>
          <w:numId w:val="82"/>
        </w:numPr>
        <w:kinsoku/>
        <w:overflowPunct/>
        <w:bidi w:val="0"/>
        <w:adjustRightInd/>
        <w:snapToGrid/>
        <w:spacing w:line="360" w:lineRule="auto"/>
        <w:ind w:firstLine="480"/>
        <w:textAlignment w:val="auto"/>
        <w:rPr>
          <w:rFonts w:hint="eastAsia" w:ascii="宋体" w:hAnsi="宋体" w:eastAsia="宋体"/>
          <w:sz w:val="24"/>
          <w:szCs w:val="24"/>
        </w:rPr>
      </w:pPr>
      <w:r>
        <w:rPr>
          <w:rFonts w:hint="eastAsia" w:ascii="宋体" w:hAnsi="宋体" w:eastAsia="宋体"/>
          <w:sz w:val="24"/>
          <w:szCs w:val="24"/>
        </w:rPr>
        <w:t>本合同一式XX份，自双方签章之日起起效。甲方XX份，乙方XX份，政府采购代理机构XX份，同级财政部门备案XX份，具有同等法律效力。</w:t>
      </w:r>
    </w:p>
    <w:p>
      <w:pPr>
        <w:pStyle w:val="265"/>
        <w:keepNext w:val="0"/>
        <w:keepLines w:val="0"/>
        <w:pageBreakBefore w:val="0"/>
        <w:widowControl w:val="0"/>
        <w:numPr>
          <w:ilvl w:val="1"/>
          <w:numId w:val="82"/>
        </w:numPr>
        <w:kinsoku/>
        <w:overflowPunct/>
        <w:bidi w:val="0"/>
        <w:adjustRightInd/>
        <w:snapToGrid/>
        <w:spacing w:line="360" w:lineRule="auto"/>
        <w:ind w:firstLine="480"/>
        <w:textAlignment w:val="auto"/>
        <w:rPr>
          <w:rFonts w:hint="eastAsia" w:ascii="宋体" w:hAnsi="宋体" w:eastAsia="宋体"/>
          <w:sz w:val="24"/>
          <w:szCs w:val="24"/>
        </w:rPr>
      </w:pPr>
      <w:r>
        <w:rPr>
          <w:rFonts w:hint="eastAsia" w:ascii="宋体" w:hAnsi="宋体" w:eastAsia="宋体"/>
          <w:sz w:val="24"/>
          <w:szCs w:val="24"/>
          <w:lang w:val="en-US" w:eastAsia="zh-CN"/>
        </w:rPr>
        <w:t>合同送达方式：由中标人送至采购人处或邮寄送达。</w:t>
      </w:r>
    </w:p>
    <w:p>
      <w:pPr>
        <w:keepNext w:val="0"/>
        <w:keepLines w:val="0"/>
        <w:pageBreakBefore w:val="0"/>
        <w:widowControl w:val="0"/>
        <w:kinsoku/>
        <w:overflowPunct/>
        <w:bidi w:val="0"/>
        <w:adjustRightInd/>
        <w:snapToGrid/>
        <w:spacing w:line="360" w:lineRule="auto"/>
        <w:ind w:firstLine="487" w:firstLineChars="202"/>
        <w:textAlignment w:val="auto"/>
        <w:rPr>
          <w:b/>
          <w:sz w:val="24"/>
        </w:rPr>
      </w:pPr>
      <w:r>
        <w:rPr>
          <w:rFonts w:hint="eastAsia"/>
          <w:b/>
          <w:sz w:val="24"/>
        </w:rPr>
        <w:t>十</w:t>
      </w:r>
      <w:r>
        <w:rPr>
          <w:rFonts w:hint="eastAsia"/>
          <w:b/>
          <w:sz w:val="24"/>
          <w:lang w:val="en-US" w:eastAsia="zh-CN"/>
        </w:rPr>
        <w:t>四</w:t>
      </w:r>
      <w:r>
        <w:rPr>
          <w:b/>
          <w:sz w:val="24"/>
        </w:rPr>
        <w:t>、</w:t>
      </w:r>
      <w:r>
        <w:rPr>
          <w:rFonts w:hint="eastAsia"/>
          <w:b/>
          <w:sz w:val="24"/>
        </w:rPr>
        <w:t>附件</w:t>
      </w:r>
    </w:p>
    <w:p>
      <w:pPr>
        <w:pStyle w:val="185"/>
        <w:keepNext w:val="0"/>
        <w:keepLines w:val="0"/>
        <w:pageBreakBefore w:val="0"/>
        <w:widowControl w:val="0"/>
        <w:kinsoku/>
        <w:overflowPunct/>
        <w:autoSpaceDE w:val="0"/>
        <w:autoSpaceDN w:val="0"/>
        <w:bidi w:val="0"/>
        <w:adjustRightInd/>
        <w:snapToGrid/>
        <w:spacing w:before="0" w:after="0" w:line="360" w:lineRule="auto"/>
        <w:ind w:firstLine="550" w:firstLineChars="250"/>
        <w:jc w:val="left"/>
        <w:textAlignment w:val="auto"/>
        <w:rPr>
          <w:rFonts w:ascii="宋体" w:hAnsi="宋体" w:eastAsia="宋体" w:cs="宋体"/>
          <w:spacing w:val="-1"/>
          <w:sz w:val="24"/>
          <w:lang w:val="en-US" w:eastAsia="zh-CN"/>
        </w:rPr>
      </w:pPr>
      <w:r>
        <w:rPr>
          <w:rFonts w:hint="eastAsia"/>
          <w:lang w:eastAsia="zh-CN"/>
        </w:rPr>
        <w:t xml:space="preserve"> </w:t>
      </w:r>
      <w:r>
        <w:rPr>
          <w:rFonts w:hint="eastAsia" w:ascii="宋体" w:hAnsi="宋体" w:eastAsia="宋体" w:cs="宋体"/>
          <w:spacing w:val="-1"/>
          <w:sz w:val="24"/>
          <w:lang w:val="en-US" w:eastAsia="zh-CN"/>
        </w:rPr>
        <w:t>1．项目招标文件</w:t>
      </w:r>
    </w:p>
    <w:p>
      <w:pPr>
        <w:pStyle w:val="185"/>
        <w:keepNext w:val="0"/>
        <w:keepLines w:val="0"/>
        <w:pageBreakBefore w:val="0"/>
        <w:widowControl w:val="0"/>
        <w:kinsoku/>
        <w:overflowPunct/>
        <w:autoSpaceDE w:val="0"/>
        <w:autoSpaceDN w:val="0"/>
        <w:bidi w:val="0"/>
        <w:adjustRightInd/>
        <w:snapToGrid/>
        <w:spacing w:before="0" w:after="0" w:line="360" w:lineRule="auto"/>
        <w:ind w:firstLine="714" w:firstLineChars="3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2．项目投标文件</w:t>
      </w:r>
    </w:p>
    <w:p>
      <w:pPr>
        <w:pStyle w:val="185"/>
        <w:keepNext w:val="0"/>
        <w:keepLines w:val="0"/>
        <w:pageBreakBefore w:val="0"/>
        <w:widowControl w:val="0"/>
        <w:kinsoku/>
        <w:overflowPunct/>
        <w:autoSpaceDE w:val="0"/>
        <w:autoSpaceDN w:val="0"/>
        <w:bidi w:val="0"/>
        <w:adjustRightInd/>
        <w:snapToGrid/>
        <w:spacing w:before="0" w:after="0" w:line="360" w:lineRule="auto"/>
        <w:ind w:firstLine="714" w:firstLineChars="3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3．中标通知书</w:t>
      </w:r>
    </w:p>
    <w:p>
      <w:pPr>
        <w:pStyle w:val="185"/>
        <w:keepNext w:val="0"/>
        <w:keepLines w:val="0"/>
        <w:pageBreakBefore w:val="0"/>
        <w:widowControl w:val="0"/>
        <w:kinsoku/>
        <w:overflowPunct/>
        <w:autoSpaceDE w:val="0"/>
        <w:autoSpaceDN w:val="0"/>
        <w:bidi w:val="0"/>
        <w:adjustRightInd/>
        <w:snapToGrid/>
        <w:spacing w:before="0" w:after="0" w:line="360" w:lineRule="auto"/>
        <w:ind w:firstLine="714" w:firstLineChars="300"/>
        <w:jc w:val="left"/>
        <w:textAlignment w:val="auto"/>
        <w:rPr>
          <w:rFonts w:ascii="宋体" w:hAnsi="宋体" w:eastAsia="宋体" w:cs="宋体"/>
          <w:spacing w:val="-1"/>
          <w:sz w:val="24"/>
          <w:lang w:val="en-US" w:eastAsia="zh-CN"/>
        </w:rPr>
      </w:pPr>
      <w:r>
        <w:rPr>
          <w:rFonts w:hint="eastAsia" w:ascii="宋体" w:hAnsi="宋体" w:eastAsia="宋体" w:cs="宋体"/>
          <w:spacing w:val="-1"/>
          <w:sz w:val="24"/>
          <w:lang w:val="en-US" w:eastAsia="zh-CN"/>
        </w:rPr>
        <w:t>4．其他</w:t>
      </w:r>
    </w:p>
    <w:p>
      <w:pPr>
        <w:pStyle w:val="2"/>
        <w:keepNext w:val="0"/>
        <w:keepLines w:val="0"/>
        <w:pageBreakBefore w:val="0"/>
        <w:widowControl w:val="0"/>
        <w:kinsoku/>
        <w:overflowPunct/>
        <w:bidi w:val="0"/>
        <w:adjustRightInd/>
        <w:snapToGrid/>
        <w:spacing w:line="360" w:lineRule="auto"/>
        <w:ind w:firstLine="422" w:firstLineChars="200"/>
        <w:textAlignment w:val="auto"/>
        <w:rPr>
          <w:b/>
          <w:bCs/>
        </w:rPr>
      </w:pPr>
      <w:r>
        <w:rPr>
          <w:rFonts w:hint="eastAsia"/>
          <w:b/>
          <w:bCs/>
        </w:rPr>
        <w:t>本章说明：《拟签订合同文本》仅作参考。投标人应认真阅读，对其中条款与招标文件有偏离的以招标文件中表述为准。</w:t>
      </w:r>
    </w:p>
    <w:p>
      <w:pPr>
        <w:pStyle w:val="255"/>
        <w:pageBreakBefore/>
        <w:adjustRightInd w:val="0"/>
        <w:snapToGrid w:val="0"/>
        <w:spacing w:before="312" w:beforeLines="100" w:after="312" w:afterLines="100"/>
        <w:jc w:val="center"/>
        <w:rPr>
          <w:b/>
          <w:bCs/>
        </w:rPr>
      </w:pPr>
      <w:r>
        <w:rPr>
          <w:rFonts w:hint="eastAsia"/>
          <w:b/>
          <w:bCs/>
        </w:rPr>
        <w:t>(本页无正文)</w:t>
      </w:r>
    </w:p>
    <w:tbl>
      <w:tblPr>
        <w:tblStyle w:val="45"/>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甲方：   (盖章)</w:t>
            </w:r>
          </w:p>
        </w:tc>
        <w:tc>
          <w:tcPr>
            <w:tcW w:w="4981" w:type="dxa"/>
            <w:vAlign w:val="center"/>
          </w:tcPr>
          <w:p>
            <w:pPr>
              <w:pStyle w:val="264"/>
              <w:ind w:firstLine="480"/>
            </w:pPr>
            <w:r>
              <w:rPr>
                <w:rFonts w:hint="eastAsia"/>
              </w:rPr>
              <w:t>乙方：   (盖章)</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法定代表人(授权代表)：</w:t>
            </w:r>
          </w:p>
        </w:tc>
        <w:tc>
          <w:tcPr>
            <w:tcW w:w="4981" w:type="dxa"/>
            <w:vAlign w:val="center"/>
          </w:tcPr>
          <w:p>
            <w:pPr>
              <w:pStyle w:val="264"/>
              <w:ind w:firstLine="480"/>
            </w:pPr>
            <w:r>
              <w:rPr>
                <w:rFonts w:hint="eastAsia"/>
              </w:rPr>
              <w:t>法定代表人(授权代表)：</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地址(住所)：</w:t>
            </w:r>
          </w:p>
        </w:tc>
        <w:tc>
          <w:tcPr>
            <w:tcW w:w="4981" w:type="dxa"/>
            <w:vAlign w:val="center"/>
          </w:tcPr>
          <w:p>
            <w:pPr>
              <w:pStyle w:val="264"/>
              <w:ind w:firstLine="480"/>
            </w:pPr>
            <w:r>
              <w:rPr>
                <w:rFonts w:hint="eastAsia"/>
              </w:rPr>
              <w:t>地址(住所)：</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开户银行：</w:t>
            </w:r>
          </w:p>
        </w:tc>
        <w:tc>
          <w:tcPr>
            <w:tcW w:w="4981" w:type="dxa"/>
            <w:vAlign w:val="center"/>
          </w:tcPr>
          <w:p>
            <w:pPr>
              <w:pStyle w:val="264"/>
              <w:ind w:firstLine="480"/>
            </w:pPr>
            <w:r>
              <w:rPr>
                <w:rFonts w:hint="eastAsia"/>
              </w:rPr>
              <w:t>开户银行：</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账号：</w:t>
            </w:r>
          </w:p>
        </w:tc>
        <w:tc>
          <w:tcPr>
            <w:tcW w:w="4981" w:type="dxa"/>
            <w:vAlign w:val="center"/>
          </w:tcPr>
          <w:p>
            <w:pPr>
              <w:pStyle w:val="264"/>
              <w:ind w:firstLine="480"/>
            </w:pPr>
            <w:r>
              <w:rPr>
                <w:rFonts w:hint="eastAsia"/>
              </w:rPr>
              <w:t>账号：</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264"/>
              <w:ind w:firstLine="480"/>
            </w:pPr>
            <w:r>
              <w:rPr>
                <w:rFonts w:hint="eastAsia"/>
              </w:rPr>
              <w:t xml:space="preserve">电话： </w:t>
            </w:r>
          </w:p>
        </w:tc>
        <w:tc>
          <w:tcPr>
            <w:tcW w:w="4981" w:type="dxa"/>
            <w:vAlign w:val="center"/>
          </w:tcPr>
          <w:p>
            <w:pPr>
              <w:pStyle w:val="264"/>
              <w:ind w:firstLine="480"/>
            </w:pPr>
            <w:r>
              <w:rPr>
                <w:rFonts w:hint="eastAsia"/>
              </w:rPr>
              <w:t xml:space="preserve">电话： </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264"/>
              <w:ind w:firstLine="480"/>
            </w:pPr>
            <w:r>
              <w:rPr>
                <w:rFonts w:hint="eastAsia"/>
              </w:rPr>
              <w:t>传真：</w:t>
            </w:r>
          </w:p>
        </w:tc>
        <w:tc>
          <w:tcPr>
            <w:tcW w:w="4981" w:type="dxa"/>
            <w:vAlign w:val="center"/>
          </w:tcPr>
          <w:p>
            <w:pPr>
              <w:pStyle w:val="264"/>
              <w:ind w:firstLine="480"/>
            </w:pPr>
            <w:r>
              <w:rPr>
                <w:rFonts w:hint="eastAsia"/>
              </w:rPr>
              <w:t>传真：</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264"/>
              <w:ind w:firstLine="480"/>
            </w:pPr>
            <w:r>
              <w:rPr>
                <w:rFonts w:hint="eastAsia"/>
              </w:rPr>
              <w:t>签约日期：XX年XX月XX日</w:t>
            </w:r>
          </w:p>
        </w:tc>
        <w:tc>
          <w:tcPr>
            <w:tcW w:w="4981" w:type="dxa"/>
            <w:vAlign w:val="center"/>
          </w:tcPr>
          <w:p>
            <w:pPr>
              <w:pStyle w:val="264"/>
              <w:ind w:firstLine="480"/>
            </w:pPr>
            <w:r>
              <w:rPr>
                <w:rFonts w:hint="eastAsia"/>
              </w:rPr>
              <w:t>签约日期：XX年XX月XX日</w:t>
            </w:r>
          </w:p>
        </w:tc>
      </w:tr>
    </w:tbl>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pStyle w:val="41"/>
        <w:rPr>
          <w:rFonts w:hint="eastAsia" w:ascii="宋体" w:hAnsi="宋体" w:cs="宋体"/>
          <w:b/>
          <w:sz w:val="28"/>
          <w:szCs w:val="28"/>
        </w:rPr>
      </w:pPr>
    </w:p>
    <w:p>
      <w:pPr>
        <w:rPr>
          <w:rFonts w:hint="eastAsia"/>
          <w:spacing w:val="-11"/>
        </w:rPr>
      </w:pPr>
      <w:r>
        <w:rPr>
          <w:rFonts w:hint="eastAsia" w:ascii="宋体" w:hAnsi="宋体" w:cs="Tahoma"/>
          <w:b/>
          <w:spacing w:val="-11"/>
          <w:sz w:val="30"/>
          <w:szCs w:val="30"/>
        </w:rPr>
        <w:t>附</w:t>
      </w:r>
      <w:r>
        <w:rPr>
          <w:rFonts w:hint="eastAsia" w:ascii="宋体" w:hAnsi="宋体" w:cs="Tahoma"/>
          <w:b/>
          <w:spacing w:val="-11"/>
          <w:sz w:val="30"/>
          <w:szCs w:val="30"/>
          <w:lang w:eastAsia="zh-CN"/>
        </w:rPr>
        <w:t>件</w:t>
      </w:r>
      <w:r>
        <w:rPr>
          <w:rFonts w:hint="eastAsia" w:ascii="宋体" w:hAnsi="宋体" w:cs="Tahoma"/>
          <w:b/>
          <w:spacing w:val="-11"/>
          <w:sz w:val="30"/>
          <w:szCs w:val="30"/>
          <w:lang w:val="en-US" w:eastAsia="zh-CN"/>
        </w:rPr>
        <w:t>1</w:t>
      </w:r>
      <w:r>
        <w:rPr>
          <w:rFonts w:hint="eastAsia" w:ascii="宋体" w:hAnsi="宋体" w:cs="Tahoma"/>
          <w:b/>
          <w:spacing w:val="-11"/>
          <w:sz w:val="30"/>
          <w:szCs w:val="30"/>
        </w:rPr>
        <w:t>：</w:t>
      </w:r>
    </w:p>
    <w:tbl>
      <w:tblPr>
        <w:tblStyle w:val="45"/>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699"/>
        <w:gridCol w:w="3160"/>
        <w:gridCol w:w="2555"/>
        <w:gridCol w:w="2986"/>
      </w:tblGrid>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Tahoma"/>
                <w:b/>
                <w:spacing w:val="-11"/>
                <w:sz w:val="30"/>
                <w:szCs w:val="30"/>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6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91" w:hRule="atLeast"/>
        </w:trPr>
        <w:tc>
          <w:tcPr>
            <w:tcW w:w="6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31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联系电话</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18108267808</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18190896900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13688076753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18980585584</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18284529669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13981781800</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18581896869</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18684003573</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13540664856</w:t>
            </w:r>
          </w:p>
        </w:tc>
      </w:tr>
      <w:tr>
        <w:tblPrEx>
          <w:tblCellMar>
            <w:top w:w="0" w:type="dxa"/>
            <w:left w:w="0" w:type="dxa"/>
            <w:bottom w:w="0" w:type="dxa"/>
            <w:right w:w="0" w:type="dxa"/>
          </w:tblCellMar>
        </w:tblPrEx>
        <w:trPr>
          <w:trHeight w:val="549" w:hRule="atLeast"/>
        </w:trPr>
        <w:tc>
          <w:tcPr>
            <w:tcW w:w="6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3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028-67087516  17761260901</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13540090509</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13308183763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028-62580231</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028-85895995</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13981895940</w:t>
            </w:r>
          </w:p>
        </w:tc>
      </w:tr>
      <w:tr>
        <w:tblPrEx>
          <w:tblCellMar>
            <w:top w:w="0" w:type="dxa"/>
            <w:left w:w="0" w:type="dxa"/>
            <w:bottom w:w="0" w:type="dxa"/>
            <w:right w:w="0" w:type="dxa"/>
          </w:tblCellMar>
        </w:tblPrEx>
        <w:trPr>
          <w:trHeight w:val="56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13540385980</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Times New Roman"/>
    <w:panose1 w:val="00000000000000000000"/>
    <w:charset w:val="00"/>
    <w:family w:val="auto"/>
    <w:pitch w:val="default"/>
    <w:sig w:usb0="00000000" w:usb1="00000000" w:usb2="00000008"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pPr>
    <w:r>
      <w:fldChar w:fldCharType="begin"/>
    </w:r>
    <w:r>
      <w:instrText xml:space="preserve"> Page \* MERGEFORMAT </w:instrText>
    </w:r>
    <w:r>
      <w:fldChar w:fldCharType="separate"/>
    </w:r>
    <w:r>
      <w:t>86</w:t>
    </w:r>
    <w:r>
      <w:fldChar w:fldCharType="end"/>
    </w:r>
    <w:r>
      <w:t>/</w:t>
    </w:r>
    <w:r>
      <w:fldChar w:fldCharType="begin"/>
    </w:r>
    <w:r>
      <w:instrText xml:space="preserve"> NumPages \* MERGEFORMAT </w:instrText>
    </w:r>
    <w:r>
      <w:fldChar w:fldCharType="separate"/>
    </w:r>
    <w:r>
      <w:t>86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24557"/>
    <w:multiLevelType w:val="singleLevel"/>
    <w:tmpl w:val="80A24557"/>
    <w:lvl w:ilvl="0" w:tentative="0">
      <w:start w:val="1"/>
      <w:numFmt w:val="decimal"/>
      <w:lvlText w:val="(%1)"/>
      <w:lvlJc w:val="left"/>
      <w:pPr>
        <w:ind w:left="425" w:hanging="425"/>
      </w:pPr>
      <w:rPr>
        <w:rFonts w:hint="default"/>
      </w:rPr>
    </w:lvl>
  </w:abstractNum>
  <w:abstractNum w:abstractNumId="1">
    <w:nsid w:val="82615E4E"/>
    <w:multiLevelType w:val="singleLevel"/>
    <w:tmpl w:val="82615E4E"/>
    <w:lvl w:ilvl="0" w:tentative="0">
      <w:start w:val="1"/>
      <w:numFmt w:val="decimal"/>
      <w:lvlText w:val="(%1)"/>
      <w:lvlJc w:val="left"/>
      <w:pPr>
        <w:ind w:left="425" w:hanging="425"/>
      </w:pPr>
      <w:rPr>
        <w:rFonts w:hint="default"/>
      </w:rPr>
    </w:lvl>
  </w:abstractNum>
  <w:abstractNum w:abstractNumId="2">
    <w:nsid w:val="885D5C82"/>
    <w:multiLevelType w:val="singleLevel"/>
    <w:tmpl w:val="885D5C82"/>
    <w:lvl w:ilvl="0" w:tentative="0">
      <w:start w:val="1"/>
      <w:numFmt w:val="decimal"/>
      <w:lvlText w:val="(%1)"/>
      <w:lvlJc w:val="left"/>
      <w:pPr>
        <w:ind w:left="425" w:hanging="425"/>
      </w:pPr>
      <w:rPr>
        <w:rFonts w:hint="default"/>
      </w:rPr>
    </w:lvl>
  </w:abstractNum>
  <w:abstractNum w:abstractNumId="3">
    <w:nsid w:val="9CE7CD8D"/>
    <w:multiLevelType w:val="singleLevel"/>
    <w:tmpl w:val="9CE7CD8D"/>
    <w:lvl w:ilvl="0" w:tentative="0">
      <w:start w:val="1"/>
      <w:numFmt w:val="decimal"/>
      <w:lvlText w:val="(%1)"/>
      <w:lvlJc w:val="left"/>
      <w:pPr>
        <w:ind w:left="425" w:hanging="425"/>
      </w:pPr>
      <w:rPr>
        <w:rFonts w:hint="default"/>
      </w:rPr>
    </w:lvl>
  </w:abstractNum>
  <w:abstractNum w:abstractNumId="4">
    <w:nsid w:val="A5762F83"/>
    <w:multiLevelType w:val="singleLevel"/>
    <w:tmpl w:val="A5762F83"/>
    <w:lvl w:ilvl="0" w:tentative="0">
      <w:start w:val="1"/>
      <w:numFmt w:val="decimalEnclosedCircleChinese"/>
      <w:suff w:val="nothing"/>
      <w:lvlText w:val="%1　"/>
      <w:lvlJc w:val="left"/>
      <w:pPr>
        <w:ind w:left="0" w:firstLine="400"/>
      </w:pPr>
      <w:rPr>
        <w:rFonts w:hint="eastAsia"/>
      </w:rPr>
    </w:lvl>
  </w:abstractNum>
  <w:abstractNum w:abstractNumId="5">
    <w:nsid w:val="A861A82F"/>
    <w:multiLevelType w:val="singleLevel"/>
    <w:tmpl w:val="A861A82F"/>
    <w:lvl w:ilvl="0" w:tentative="0">
      <w:start w:val="1"/>
      <w:numFmt w:val="decimal"/>
      <w:lvlText w:val="(%1)"/>
      <w:lvlJc w:val="left"/>
      <w:pPr>
        <w:ind w:left="425" w:hanging="425"/>
      </w:pPr>
      <w:rPr>
        <w:rFonts w:hint="default"/>
      </w:rPr>
    </w:lvl>
  </w:abstractNum>
  <w:abstractNum w:abstractNumId="6">
    <w:nsid w:val="A9F64538"/>
    <w:multiLevelType w:val="singleLevel"/>
    <w:tmpl w:val="A9F64538"/>
    <w:lvl w:ilvl="0" w:tentative="0">
      <w:start w:val="1"/>
      <w:numFmt w:val="decimal"/>
      <w:lvlText w:val="(%1)"/>
      <w:lvlJc w:val="left"/>
      <w:pPr>
        <w:ind w:left="425" w:hanging="425"/>
      </w:pPr>
      <w:rPr>
        <w:rFonts w:hint="default"/>
      </w:rPr>
    </w:lvl>
  </w:abstractNum>
  <w:abstractNum w:abstractNumId="7">
    <w:nsid w:val="BB3BBDA3"/>
    <w:multiLevelType w:val="singleLevel"/>
    <w:tmpl w:val="BB3BBDA3"/>
    <w:lvl w:ilvl="0" w:tentative="0">
      <w:start w:val="1"/>
      <w:numFmt w:val="decimal"/>
      <w:lvlText w:val="(%1)"/>
      <w:lvlJc w:val="left"/>
      <w:pPr>
        <w:ind w:left="425" w:hanging="425"/>
      </w:pPr>
      <w:rPr>
        <w:rFonts w:hint="default"/>
      </w:rPr>
    </w:lvl>
  </w:abstractNum>
  <w:abstractNum w:abstractNumId="8">
    <w:nsid w:val="BCD8F5D3"/>
    <w:multiLevelType w:val="singleLevel"/>
    <w:tmpl w:val="BCD8F5D3"/>
    <w:lvl w:ilvl="0" w:tentative="0">
      <w:start w:val="1"/>
      <w:numFmt w:val="decimal"/>
      <w:lvlText w:val="(%1)"/>
      <w:lvlJc w:val="left"/>
      <w:pPr>
        <w:ind w:left="425" w:hanging="425"/>
      </w:pPr>
      <w:rPr>
        <w:rFonts w:hint="default"/>
      </w:rPr>
    </w:lvl>
  </w:abstractNum>
  <w:abstractNum w:abstractNumId="9">
    <w:nsid w:val="BF336CD1"/>
    <w:multiLevelType w:val="singleLevel"/>
    <w:tmpl w:val="BF336CD1"/>
    <w:lvl w:ilvl="0" w:tentative="0">
      <w:start w:val="1"/>
      <w:numFmt w:val="decimal"/>
      <w:lvlText w:val="(%1)"/>
      <w:lvlJc w:val="left"/>
      <w:pPr>
        <w:ind w:left="425" w:hanging="425"/>
      </w:pPr>
      <w:rPr>
        <w:rFonts w:hint="default"/>
      </w:rPr>
    </w:lvl>
  </w:abstractNum>
  <w:abstractNum w:abstractNumId="10">
    <w:nsid w:val="C591FF1D"/>
    <w:multiLevelType w:val="singleLevel"/>
    <w:tmpl w:val="C591FF1D"/>
    <w:lvl w:ilvl="0" w:tentative="0">
      <w:start w:val="1"/>
      <w:numFmt w:val="decimal"/>
      <w:lvlText w:val="(%1)"/>
      <w:lvlJc w:val="left"/>
      <w:pPr>
        <w:ind w:left="425" w:hanging="425"/>
      </w:pPr>
      <w:rPr>
        <w:rFonts w:hint="default"/>
      </w:rPr>
    </w:lvl>
  </w:abstractNum>
  <w:abstractNum w:abstractNumId="11">
    <w:nsid w:val="CE296468"/>
    <w:multiLevelType w:val="singleLevel"/>
    <w:tmpl w:val="CE296468"/>
    <w:lvl w:ilvl="0" w:tentative="0">
      <w:start w:val="1"/>
      <w:numFmt w:val="decimal"/>
      <w:lvlText w:val="(%1)"/>
      <w:lvlJc w:val="left"/>
      <w:pPr>
        <w:ind w:left="425" w:hanging="425"/>
      </w:pPr>
      <w:rPr>
        <w:rFonts w:hint="default"/>
      </w:rPr>
    </w:lvl>
  </w:abstractNum>
  <w:abstractNum w:abstractNumId="12">
    <w:nsid w:val="CFF4A6BF"/>
    <w:multiLevelType w:val="singleLevel"/>
    <w:tmpl w:val="CFF4A6BF"/>
    <w:lvl w:ilvl="0" w:tentative="0">
      <w:start w:val="1"/>
      <w:numFmt w:val="decimal"/>
      <w:lvlText w:val="(%1)"/>
      <w:lvlJc w:val="left"/>
      <w:pPr>
        <w:ind w:left="425" w:hanging="425"/>
      </w:pPr>
      <w:rPr>
        <w:rFonts w:hint="default"/>
      </w:rPr>
    </w:lvl>
  </w:abstractNum>
  <w:abstractNum w:abstractNumId="13">
    <w:nsid w:val="DA9F302D"/>
    <w:multiLevelType w:val="singleLevel"/>
    <w:tmpl w:val="DA9F302D"/>
    <w:lvl w:ilvl="0" w:tentative="0">
      <w:start w:val="1"/>
      <w:numFmt w:val="decimalEnclosedCircleChinese"/>
      <w:suff w:val="nothing"/>
      <w:lvlText w:val="%1　"/>
      <w:lvlJc w:val="left"/>
      <w:pPr>
        <w:ind w:left="0" w:firstLine="400"/>
      </w:pPr>
      <w:rPr>
        <w:rFonts w:hint="eastAsia"/>
      </w:rPr>
    </w:lvl>
  </w:abstractNum>
  <w:abstractNum w:abstractNumId="14">
    <w:nsid w:val="DBF3F5CD"/>
    <w:multiLevelType w:val="singleLevel"/>
    <w:tmpl w:val="DBF3F5CD"/>
    <w:lvl w:ilvl="0" w:tentative="0">
      <w:start w:val="1"/>
      <w:numFmt w:val="decimal"/>
      <w:suff w:val="nothing"/>
      <w:lvlText w:val="%1、"/>
      <w:lvlJc w:val="left"/>
    </w:lvl>
  </w:abstractNum>
  <w:abstractNum w:abstractNumId="1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426"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EC2C4C3E"/>
    <w:multiLevelType w:val="singleLevel"/>
    <w:tmpl w:val="EC2C4C3E"/>
    <w:lvl w:ilvl="0" w:tentative="0">
      <w:start w:val="1"/>
      <w:numFmt w:val="decimal"/>
      <w:lvlText w:val="(%1)"/>
      <w:lvlJc w:val="left"/>
      <w:pPr>
        <w:ind w:left="425" w:hanging="425"/>
      </w:pPr>
      <w:rPr>
        <w:rFonts w:hint="default"/>
      </w:rPr>
    </w:lvl>
  </w:abstractNum>
  <w:abstractNum w:abstractNumId="17">
    <w:nsid w:val="EF17F869"/>
    <w:multiLevelType w:val="singleLevel"/>
    <w:tmpl w:val="EF17F869"/>
    <w:lvl w:ilvl="0" w:tentative="0">
      <w:start w:val="1"/>
      <w:numFmt w:val="decimal"/>
      <w:lvlText w:val="(%1)"/>
      <w:lvlJc w:val="left"/>
      <w:pPr>
        <w:ind w:left="425" w:hanging="425"/>
      </w:pPr>
      <w:rPr>
        <w:rFonts w:hint="default"/>
      </w:rPr>
    </w:lvl>
  </w:abstractNum>
  <w:abstractNum w:abstractNumId="18">
    <w:nsid w:val="F0B5C0D6"/>
    <w:multiLevelType w:val="singleLevel"/>
    <w:tmpl w:val="F0B5C0D6"/>
    <w:lvl w:ilvl="0" w:tentative="0">
      <w:start w:val="1"/>
      <w:numFmt w:val="chineseCounting"/>
      <w:suff w:val="nothing"/>
      <w:lvlText w:val="%1、"/>
      <w:lvlJc w:val="left"/>
      <w:rPr>
        <w:rFonts w:hint="eastAsia"/>
      </w:rPr>
    </w:lvl>
  </w:abstractNum>
  <w:abstractNum w:abstractNumId="19">
    <w:nsid w:val="F274C6D2"/>
    <w:multiLevelType w:val="singleLevel"/>
    <w:tmpl w:val="F274C6D2"/>
    <w:lvl w:ilvl="0" w:tentative="0">
      <w:start w:val="1"/>
      <w:numFmt w:val="decimal"/>
      <w:lvlText w:val="(%1)"/>
      <w:lvlJc w:val="left"/>
      <w:pPr>
        <w:ind w:left="425" w:hanging="425"/>
      </w:pPr>
      <w:rPr>
        <w:rFonts w:hint="default"/>
      </w:rPr>
    </w:lvl>
  </w:abstractNum>
  <w:abstractNum w:abstractNumId="20">
    <w:nsid w:val="00000009"/>
    <w:multiLevelType w:val="multilevel"/>
    <w:tmpl w:val="00000009"/>
    <w:lvl w:ilvl="0" w:tentative="0">
      <w:start w:val="1"/>
      <w:numFmt w:val="chineseCountingThousand"/>
      <w:lvlText w:val="%1、"/>
      <w:lvlJc w:val="left"/>
      <w:pPr>
        <w:ind w:left="8217" w:hanging="420"/>
      </w:pPr>
    </w:lvl>
    <w:lvl w:ilvl="1" w:tentative="0">
      <w:start w:val="1"/>
      <w:numFmt w:val="japaneseCounting"/>
      <w:lvlText w:val="（%2）"/>
      <w:lvlJc w:val="left"/>
      <w:pPr>
        <w:ind w:left="4997" w:hanging="885"/>
      </w:pPr>
      <w:rPr>
        <w:lang w:val="en-US"/>
      </w:rPr>
    </w:lvl>
    <w:lvl w:ilvl="2" w:tentative="0">
      <w:start w:val="1"/>
      <w:numFmt w:val="lowerRoman"/>
      <w:lvlText w:val="%3."/>
      <w:lvlJc w:val="right"/>
      <w:pPr>
        <w:ind w:left="8731" w:hanging="420"/>
      </w:pPr>
    </w:lvl>
    <w:lvl w:ilvl="3" w:tentative="0">
      <w:start w:val="1"/>
      <w:numFmt w:val="decimal"/>
      <w:lvlText w:val="%4."/>
      <w:lvlJc w:val="left"/>
      <w:pPr>
        <w:ind w:left="9151" w:hanging="420"/>
      </w:pPr>
    </w:lvl>
    <w:lvl w:ilvl="4" w:tentative="0">
      <w:start w:val="1"/>
      <w:numFmt w:val="lowerLetter"/>
      <w:lvlText w:val="%5)"/>
      <w:lvlJc w:val="left"/>
      <w:pPr>
        <w:ind w:left="9571" w:hanging="420"/>
      </w:pPr>
    </w:lvl>
    <w:lvl w:ilvl="5" w:tentative="0">
      <w:start w:val="1"/>
      <w:numFmt w:val="lowerRoman"/>
      <w:lvlText w:val="%6."/>
      <w:lvlJc w:val="right"/>
      <w:pPr>
        <w:ind w:left="9991" w:hanging="420"/>
      </w:pPr>
    </w:lvl>
    <w:lvl w:ilvl="6" w:tentative="0">
      <w:start w:val="1"/>
      <w:numFmt w:val="decimal"/>
      <w:lvlText w:val="%7."/>
      <w:lvlJc w:val="left"/>
      <w:pPr>
        <w:ind w:left="10411" w:hanging="420"/>
      </w:pPr>
    </w:lvl>
    <w:lvl w:ilvl="7" w:tentative="0">
      <w:start w:val="1"/>
      <w:numFmt w:val="lowerLetter"/>
      <w:lvlText w:val="%8)"/>
      <w:lvlJc w:val="left"/>
      <w:pPr>
        <w:ind w:left="10831" w:hanging="420"/>
      </w:pPr>
    </w:lvl>
    <w:lvl w:ilvl="8" w:tentative="0">
      <w:start w:val="1"/>
      <w:numFmt w:val="lowerRoman"/>
      <w:lvlText w:val="%9."/>
      <w:lvlJc w:val="right"/>
      <w:pPr>
        <w:ind w:left="11251" w:hanging="420"/>
      </w:pPr>
    </w:lvl>
  </w:abstractNum>
  <w:abstractNum w:abstractNumId="2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0000002E"/>
    <w:multiLevelType w:val="multilevel"/>
    <w:tmpl w:val="0000002E"/>
    <w:lvl w:ilvl="0" w:tentative="0">
      <w:start w:val="1"/>
      <w:numFmt w:val="decimal"/>
      <w:lvlText w:val="第%1章"/>
      <w:lvlJc w:val="left"/>
      <w:pPr>
        <w:ind w:left="3827"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31">
    <w:nsid w:val="00000031"/>
    <w:multiLevelType w:val="multilevel"/>
    <w:tmpl w:val="00000031"/>
    <w:lvl w:ilvl="0" w:tentative="0">
      <w:start w:val="1"/>
      <w:numFmt w:val="chineseCountingThousand"/>
      <w:lvlText w:val="%1、"/>
      <w:lvlJc w:val="left"/>
      <w:pPr>
        <w:ind w:left="240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33">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3E"/>
    <w:multiLevelType w:val="multilevel"/>
    <w:tmpl w:val="0000003E"/>
    <w:lvl w:ilvl="0" w:tentative="0">
      <w:start w:val="1"/>
      <w:numFmt w:val="chineseCountingThousand"/>
      <w:suff w:val="nothing"/>
      <w:lvlText w:val="%1、"/>
      <w:lvlJc w:val="left"/>
      <w:pPr>
        <w:ind w:left="3540"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35">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37">
    <w:nsid w:val="01ED392F"/>
    <w:multiLevelType w:val="singleLevel"/>
    <w:tmpl w:val="01ED392F"/>
    <w:lvl w:ilvl="0" w:tentative="0">
      <w:start w:val="1"/>
      <w:numFmt w:val="decimal"/>
      <w:lvlText w:val="(%1)"/>
      <w:lvlJc w:val="left"/>
      <w:pPr>
        <w:ind w:left="425" w:hanging="425"/>
      </w:pPr>
      <w:rPr>
        <w:rFonts w:hint="default"/>
      </w:rPr>
    </w:lvl>
  </w:abstractNum>
  <w:abstractNum w:abstractNumId="3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09C6895C"/>
    <w:multiLevelType w:val="singleLevel"/>
    <w:tmpl w:val="09C6895C"/>
    <w:lvl w:ilvl="0" w:tentative="0">
      <w:start w:val="1"/>
      <w:numFmt w:val="chineseCounting"/>
      <w:suff w:val="nothing"/>
      <w:lvlText w:val="（%1）"/>
      <w:lvlJc w:val="left"/>
      <w:pPr>
        <w:ind w:left="0" w:firstLine="420"/>
      </w:pPr>
      <w:rPr>
        <w:rFonts w:hint="eastAsia"/>
      </w:rPr>
    </w:lvl>
  </w:abstractNum>
  <w:abstractNum w:abstractNumId="4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1">
    <w:nsid w:val="0F9C1CE2"/>
    <w:multiLevelType w:val="singleLevel"/>
    <w:tmpl w:val="0F9C1CE2"/>
    <w:lvl w:ilvl="0" w:tentative="0">
      <w:start w:val="1"/>
      <w:numFmt w:val="decimal"/>
      <w:lvlText w:val="(%1)"/>
      <w:lvlJc w:val="left"/>
      <w:pPr>
        <w:ind w:left="425" w:hanging="425"/>
      </w:pPr>
      <w:rPr>
        <w:rFonts w:hint="default"/>
      </w:rPr>
    </w:lvl>
  </w:abstractNum>
  <w:abstractNum w:abstractNumId="42">
    <w:nsid w:val="116527A8"/>
    <w:multiLevelType w:val="singleLevel"/>
    <w:tmpl w:val="116527A8"/>
    <w:lvl w:ilvl="0" w:tentative="0">
      <w:start w:val="1"/>
      <w:numFmt w:val="upperLetter"/>
      <w:lvlText w:val="%1."/>
      <w:lvlJc w:val="left"/>
      <w:pPr>
        <w:ind w:left="425" w:hanging="425"/>
      </w:pPr>
      <w:rPr>
        <w:rFonts w:hint="default"/>
      </w:rPr>
    </w:lvl>
  </w:abstractNum>
  <w:abstractNum w:abstractNumId="43">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44">
    <w:nsid w:val="1AE78D84"/>
    <w:multiLevelType w:val="singleLevel"/>
    <w:tmpl w:val="1AE78D84"/>
    <w:lvl w:ilvl="0" w:tentative="0">
      <w:start w:val="1"/>
      <w:numFmt w:val="decimal"/>
      <w:lvlText w:val="%1."/>
      <w:lvlJc w:val="left"/>
      <w:pPr>
        <w:ind w:left="425" w:hanging="425"/>
      </w:pPr>
      <w:rPr>
        <w:rFonts w:hint="default"/>
      </w:rPr>
    </w:lvl>
  </w:abstractNum>
  <w:abstractNum w:abstractNumId="45">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6">
    <w:nsid w:val="23A3F961"/>
    <w:multiLevelType w:val="singleLevel"/>
    <w:tmpl w:val="23A3F961"/>
    <w:lvl w:ilvl="0" w:tentative="0">
      <w:start w:val="1"/>
      <w:numFmt w:val="decimal"/>
      <w:lvlText w:val="(%1)"/>
      <w:lvlJc w:val="left"/>
      <w:pPr>
        <w:ind w:left="425" w:hanging="425"/>
      </w:pPr>
      <w:rPr>
        <w:rFonts w:hint="default"/>
      </w:rPr>
    </w:lvl>
  </w:abstractNum>
  <w:abstractNum w:abstractNumId="47">
    <w:nsid w:val="23B2B412"/>
    <w:multiLevelType w:val="singleLevel"/>
    <w:tmpl w:val="23B2B412"/>
    <w:lvl w:ilvl="0" w:tentative="0">
      <w:start w:val="1"/>
      <w:numFmt w:val="decimal"/>
      <w:lvlText w:val="(%1)"/>
      <w:lvlJc w:val="left"/>
      <w:pPr>
        <w:ind w:left="425" w:hanging="425"/>
      </w:pPr>
      <w:rPr>
        <w:rFonts w:hint="default"/>
      </w:rPr>
    </w:lvl>
  </w:abstractNum>
  <w:abstractNum w:abstractNumId="48">
    <w:nsid w:val="24021941"/>
    <w:multiLevelType w:val="singleLevel"/>
    <w:tmpl w:val="24021941"/>
    <w:lvl w:ilvl="0" w:tentative="0">
      <w:start w:val="1"/>
      <w:numFmt w:val="decimal"/>
      <w:lvlText w:val="(%1)"/>
      <w:lvlJc w:val="left"/>
      <w:pPr>
        <w:ind w:left="425" w:hanging="425"/>
      </w:pPr>
      <w:rPr>
        <w:rFonts w:hint="default"/>
      </w:rPr>
    </w:lvl>
  </w:abstractNum>
  <w:abstractNum w:abstractNumId="4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1">
    <w:nsid w:val="3424055C"/>
    <w:multiLevelType w:val="multilevel"/>
    <w:tmpl w:val="3424055C"/>
    <w:lvl w:ilvl="0" w:tentative="0">
      <w:start w:val="1"/>
      <w:numFmt w:val="chineseCountingThousand"/>
      <w:lvlText w:val="%1、"/>
      <w:lvlJc w:val="left"/>
      <w:pPr>
        <w:ind w:left="1413"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36CEB5A7"/>
    <w:multiLevelType w:val="singleLevel"/>
    <w:tmpl w:val="36CEB5A7"/>
    <w:lvl w:ilvl="0" w:tentative="0">
      <w:start w:val="1"/>
      <w:numFmt w:val="decimal"/>
      <w:lvlText w:val="(%1)"/>
      <w:lvlJc w:val="left"/>
      <w:pPr>
        <w:ind w:left="425" w:hanging="425"/>
      </w:pPr>
      <w:rPr>
        <w:rFonts w:hint="default"/>
      </w:rPr>
    </w:lvl>
  </w:abstractNum>
  <w:abstractNum w:abstractNumId="54">
    <w:nsid w:val="38D233FC"/>
    <w:multiLevelType w:val="singleLevel"/>
    <w:tmpl w:val="38D233FC"/>
    <w:lvl w:ilvl="0" w:tentative="0">
      <w:start w:val="1"/>
      <w:numFmt w:val="decimalEnclosedCircleChinese"/>
      <w:suff w:val="nothing"/>
      <w:lvlText w:val="%1　"/>
      <w:lvlJc w:val="left"/>
      <w:pPr>
        <w:ind w:left="0" w:firstLine="400"/>
      </w:pPr>
      <w:rPr>
        <w:rFonts w:hint="eastAsia"/>
      </w:rPr>
    </w:lvl>
  </w:abstractNum>
  <w:abstractNum w:abstractNumId="55">
    <w:nsid w:val="3F65E18E"/>
    <w:multiLevelType w:val="singleLevel"/>
    <w:tmpl w:val="3F65E18E"/>
    <w:lvl w:ilvl="0" w:tentative="0">
      <w:start w:val="1"/>
      <w:numFmt w:val="decimal"/>
      <w:lvlText w:val="(%1)"/>
      <w:lvlJc w:val="left"/>
      <w:pPr>
        <w:ind w:left="425" w:hanging="425"/>
      </w:pPr>
      <w:rPr>
        <w:rFonts w:hint="default"/>
      </w:rPr>
    </w:lvl>
  </w:abstractNum>
  <w:abstractNum w:abstractNumId="56">
    <w:nsid w:val="41602403"/>
    <w:multiLevelType w:val="singleLevel"/>
    <w:tmpl w:val="41602403"/>
    <w:lvl w:ilvl="0" w:tentative="0">
      <w:start w:val="1"/>
      <w:numFmt w:val="decimal"/>
      <w:lvlText w:val="(%1)"/>
      <w:lvlJc w:val="left"/>
      <w:pPr>
        <w:ind w:left="425" w:hanging="425"/>
      </w:pPr>
      <w:rPr>
        <w:rFonts w:hint="default"/>
      </w:rPr>
    </w:lvl>
  </w:abstractNum>
  <w:abstractNum w:abstractNumId="57">
    <w:nsid w:val="42B8AEC5"/>
    <w:multiLevelType w:val="singleLevel"/>
    <w:tmpl w:val="42B8AEC5"/>
    <w:lvl w:ilvl="0" w:tentative="0">
      <w:start w:val="1"/>
      <w:numFmt w:val="decimal"/>
      <w:lvlText w:val="(%1)"/>
      <w:lvlJc w:val="left"/>
      <w:pPr>
        <w:ind w:left="425" w:hanging="425"/>
      </w:pPr>
      <w:rPr>
        <w:rFonts w:hint="default"/>
      </w:rPr>
    </w:lvl>
  </w:abstractNum>
  <w:abstractNum w:abstractNumId="58">
    <w:nsid w:val="4B80CA31"/>
    <w:multiLevelType w:val="singleLevel"/>
    <w:tmpl w:val="4B80CA31"/>
    <w:lvl w:ilvl="0" w:tentative="0">
      <w:start w:val="1"/>
      <w:numFmt w:val="decimal"/>
      <w:lvlText w:val="(%1)"/>
      <w:lvlJc w:val="left"/>
      <w:pPr>
        <w:ind w:left="425" w:hanging="425"/>
      </w:pPr>
      <w:rPr>
        <w:rFonts w:hint="default"/>
      </w:rPr>
    </w:lvl>
  </w:abstractNum>
  <w:abstractNum w:abstractNumId="59">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60">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62">
    <w:nsid w:val="4E7A5E7D"/>
    <w:multiLevelType w:val="singleLevel"/>
    <w:tmpl w:val="4E7A5E7D"/>
    <w:lvl w:ilvl="0" w:tentative="0">
      <w:start w:val="1"/>
      <w:numFmt w:val="decimal"/>
      <w:lvlText w:val="(%1)"/>
      <w:lvlJc w:val="left"/>
      <w:pPr>
        <w:ind w:left="425" w:hanging="425"/>
      </w:pPr>
      <w:rPr>
        <w:rFonts w:hint="default"/>
      </w:rPr>
    </w:lvl>
  </w:abstractNum>
  <w:abstractNum w:abstractNumId="63">
    <w:nsid w:val="4FAA4B34"/>
    <w:multiLevelType w:val="singleLevel"/>
    <w:tmpl w:val="4FAA4B34"/>
    <w:lvl w:ilvl="0" w:tentative="0">
      <w:start w:val="1"/>
      <w:numFmt w:val="decimal"/>
      <w:lvlText w:val="(%1)"/>
      <w:lvlJc w:val="left"/>
      <w:pPr>
        <w:ind w:left="425" w:hanging="425"/>
      </w:pPr>
      <w:rPr>
        <w:rFonts w:hint="default"/>
      </w:rPr>
    </w:lvl>
  </w:abstractNum>
  <w:abstractNum w:abstractNumId="6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56212AF6"/>
    <w:multiLevelType w:val="singleLevel"/>
    <w:tmpl w:val="56212AF6"/>
    <w:lvl w:ilvl="0" w:tentative="0">
      <w:start w:val="1"/>
      <w:numFmt w:val="decimal"/>
      <w:lvlText w:val="(%1)"/>
      <w:lvlJc w:val="left"/>
      <w:pPr>
        <w:ind w:left="425" w:hanging="425"/>
      </w:pPr>
      <w:rPr>
        <w:rFonts w:hint="default"/>
      </w:rPr>
    </w:lvl>
  </w:abstractNum>
  <w:abstractNum w:abstractNumId="6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6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6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0">
    <w:nsid w:val="696C0ACA"/>
    <w:multiLevelType w:val="singleLevel"/>
    <w:tmpl w:val="696C0ACA"/>
    <w:lvl w:ilvl="0" w:tentative="0">
      <w:start w:val="1"/>
      <w:numFmt w:val="decimalEnclosedCircleChinese"/>
      <w:suff w:val="nothing"/>
      <w:lvlText w:val="%1　"/>
      <w:lvlJc w:val="left"/>
      <w:pPr>
        <w:ind w:left="0" w:firstLine="400"/>
      </w:pPr>
      <w:rPr>
        <w:rFonts w:hint="eastAsia"/>
      </w:rPr>
    </w:lvl>
  </w:abstractNum>
  <w:abstractNum w:abstractNumId="71">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72">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3">
    <w:nsid w:val="74F8CDDF"/>
    <w:multiLevelType w:val="singleLevel"/>
    <w:tmpl w:val="74F8CDDF"/>
    <w:lvl w:ilvl="0" w:tentative="0">
      <w:start w:val="1"/>
      <w:numFmt w:val="decimal"/>
      <w:lvlText w:val="(%1)"/>
      <w:lvlJc w:val="left"/>
      <w:pPr>
        <w:ind w:left="425" w:hanging="425"/>
      </w:pPr>
      <w:rPr>
        <w:rFonts w:hint="default"/>
      </w:rPr>
    </w:lvl>
  </w:abstractNum>
  <w:abstractNum w:abstractNumId="7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5">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6">
    <w:nsid w:val="77B1E532"/>
    <w:multiLevelType w:val="singleLevel"/>
    <w:tmpl w:val="77B1E532"/>
    <w:lvl w:ilvl="0" w:tentative="0">
      <w:start w:val="1"/>
      <w:numFmt w:val="decimal"/>
      <w:lvlText w:val="(%1)"/>
      <w:lvlJc w:val="left"/>
      <w:pPr>
        <w:ind w:left="425" w:hanging="425"/>
      </w:pPr>
      <w:rPr>
        <w:rFonts w:hint="default"/>
      </w:rPr>
    </w:lvl>
  </w:abstractNum>
  <w:abstractNum w:abstractNumId="77">
    <w:nsid w:val="789D00AF"/>
    <w:multiLevelType w:val="multilevel"/>
    <w:tmpl w:val="789D00AF"/>
    <w:lvl w:ilvl="0" w:tentative="0">
      <w:start w:val="1"/>
      <w:numFmt w:val="chineseCountingThousand"/>
      <w:lvlText w:val="(%1)"/>
      <w:lvlJc w:val="left"/>
      <w:pPr>
        <w:ind w:left="846" w:hanging="420"/>
      </w:pPr>
      <w:rPr>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8">
    <w:nsid w:val="792C9FA9"/>
    <w:multiLevelType w:val="singleLevel"/>
    <w:tmpl w:val="792C9FA9"/>
    <w:lvl w:ilvl="0" w:tentative="0">
      <w:start w:val="1"/>
      <w:numFmt w:val="decimal"/>
      <w:lvlText w:val="(%1)"/>
      <w:lvlJc w:val="left"/>
      <w:pPr>
        <w:ind w:left="425" w:hanging="425"/>
      </w:pPr>
      <w:rPr>
        <w:rFonts w:hint="default"/>
      </w:rPr>
    </w:lvl>
  </w:abstractNum>
  <w:abstractNum w:abstractNumId="7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11"/>
  </w:num>
  <w:num w:numId="32">
    <w:abstractNumId w:val="76"/>
  </w:num>
  <w:num w:numId="33">
    <w:abstractNumId w:val="17"/>
  </w:num>
  <w:num w:numId="34">
    <w:abstractNumId w:val="16"/>
  </w:num>
  <w:num w:numId="35">
    <w:abstractNumId w:val="37"/>
  </w:num>
  <w:num w:numId="36">
    <w:abstractNumId w:val="42"/>
  </w:num>
  <w:num w:numId="37">
    <w:abstractNumId w:val="7"/>
  </w:num>
  <w:num w:numId="38">
    <w:abstractNumId w:val="57"/>
  </w:num>
  <w:num w:numId="39">
    <w:abstractNumId w:val="8"/>
  </w:num>
  <w:num w:numId="40">
    <w:abstractNumId w:val="48"/>
  </w:num>
  <w:num w:numId="41">
    <w:abstractNumId w:val="10"/>
  </w:num>
  <w:num w:numId="42">
    <w:abstractNumId w:val="12"/>
  </w:num>
  <w:num w:numId="43">
    <w:abstractNumId w:val="0"/>
  </w:num>
  <w:num w:numId="44">
    <w:abstractNumId w:val="53"/>
  </w:num>
  <w:num w:numId="45">
    <w:abstractNumId w:val="63"/>
  </w:num>
  <w:num w:numId="46">
    <w:abstractNumId w:val="2"/>
  </w:num>
  <w:num w:numId="47">
    <w:abstractNumId w:val="6"/>
  </w:num>
  <w:num w:numId="48">
    <w:abstractNumId w:val="3"/>
  </w:num>
  <w:num w:numId="49">
    <w:abstractNumId w:val="47"/>
  </w:num>
  <w:num w:numId="50">
    <w:abstractNumId w:val="73"/>
  </w:num>
  <w:num w:numId="51">
    <w:abstractNumId w:val="58"/>
  </w:num>
  <w:num w:numId="52">
    <w:abstractNumId w:val="41"/>
  </w:num>
  <w:num w:numId="53">
    <w:abstractNumId w:val="66"/>
  </w:num>
  <w:num w:numId="54">
    <w:abstractNumId w:val="70"/>
  </w:num>
  <w:num w:numId="55">
    <w:abstractNumId w:val="13"/>
  </w:num>
  <w:num w:numId="56">
    <w:abstractNumId w:val="55"/>
  </w:num>
  <w:num w:numId="57">
    <w:abstractNumId w:val="4"/>
  </w:num>
  <w:num w:numId="58">
    <w:abstractNumId w:val="54"/>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39"/>
  </w:num>
  <w:num w:numId="74">
    <w:abstractNumId w:val="44"/>
  </w:num>
  <w:num w:numId="75">
    <w:abstractNumId w:val="9"/>
  </w:num>
  <w:num w:numId="76">
    <w:abstractNumId w:val="5"/>
  </w:num>
  <w:num w:numId="77">
    <w:abstractNumId w:val="19"/>
  </w:num>
  <w:num w:numId="78">
    <w:abstractNumId w:val="1"/>
  </w:num>
  <w:num w:numId="79">
    <w:abstractNumId w:val="78"/>
  </w:num>
  <w:num w:numId="80">
    <w:abstractNumId w:val="46"/>
  </w:num>
  <w:num w:numId="81">
    <w:abstractNumId w:val="62"/>
  </w:num>
  <w:num w:numId="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7A5148"/>
    <w:rsid w:val="019F523C"/>
    <w:rsid w:val="03F87AAA"/>
    <w:rsid w:val="08E10529"/>
    <w:rsid w:val="0C556662"/>
    <w:rsid w:val="0D370EA0"/>
    <w:rsid w:val="0F3A4BF2"/>
    <w:rsid w:val="0F40555F"/>
    <w:rsid w:val="11297B77"/>
    <w:rsid w:val="13A94C1B"/>
    <w:rsid w:val="1CF31A4C"/>
    <w:rsid w:val="216864B0"/>
    <w:rsid w:val="226003C0"/>
    <w:rsid w:val="2C8331C1"/>
    <w:rsid w:val="32511251"/>
    <w:rsid w:val="35AC205A"/>
    <w:rsid w:val="37FE33A0"/>
    <w:rsid w:val="38595620"/>
    <w:rsid w:val="3C3E412A"/>
    <w:rsid w:val="3F44446C"/>
    <w:rsid w:val="40FF7795"/>
    <w:rsid w:val="41D03A9E"/>
    <w:rsid w:val="44362942"/>
    <w:rsid w:val="49B25A4F"/>
    <w:rsid w:val="4EC6303E"/>
    <w:rsid w:val="50D5466B"/>
    <w:rsid w:val="53DD0A45"/>
    <w:rsid w:val="549934E4"/>
    <w:rsid w:val="56A425F3"/>
    <w:rsid w:val="576C34D7"/>
    <w:rsid w:val="66986074"/>
    <w:rsid w:val="69FB1675"/>
    <w:rsid w:val="6A083CDC"/>
    <w:rsid w:val="6A3D66CA"/>
    <w:rsid w:val="6BFE09E2"/>
    <w:rsid w:val="6EBC6C1C"/>
    <w:rsid w:val="73D3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99" w:semiHidden="0" w:name="Subtitle"/>
    <w:lsdException w:qFormat="1" w:unhideWhenUsed="0" w:uiPriority="0" w:semiHidden="0" w:name="Salutation"/>
    <w:lsdException w:qFormat="1" w:uiPriority="99" w:semiHidden="0" w:name="Date"/>
    <w:lsdException w:qFormat="1"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heading 1"/>
    <w:basedOn w:val="1"/>
    <w:next w:val="1"/>
    <w:link w:val="60"/>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5">
    <w:name w:val="heading 2"/>
    <w:basedOn w:val="1"/>
    <w:next w:val="1"/>
    <w:link w:val="61"/>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6">
    <w:name w:val="heading 3"/>
    <w:basedOn w:val="1"/>
    <w:next w:val="1"/>
    <w:link w:val="62"/>
    <w:qFormat/>
    <w:uiPriority w:val="99"/>
    <w:pPr>
      <w:keepNext/>
      <w:keepLines/>
      <w:spacing w:line="360" w:lineRule="auto"/>
      <w:ind w:left="709" w:hanging="567"/>
      <w:outlineLvl w:val="2"/>
    </w:pPr>
    <w:rPr>
      <w:rFonts w:ascii="宋体" w:hAnsi="宋体"/>
      <w:b/>
      <w:bCs/>
      <w:color w:val="000000"/>
      <w:kern w:val="0"/>
      <w:sz w:val="28"/>
      <w:szCs w:val="28"/>
    </w:rPr>
  </w:style>
  <w:style w:type="paragraph" w:styleId="7">
    <w:name w:val="heading 4"/>
    <w:basedOn w:val="1"/>
    <w:next w:val="1"/>
    <w:link w:val="63"/>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8">
    <w:name w:val="heading 5"/>
    <w:basedOn w:val="1"/>
    <w:next w:val="1"/>
    <w:link w:val="64"/>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9">
    <w:name w:val="heading 6"/>
    <w:basedOn w:val="1"/>
    <w:next w:val="1"/>
    <w:link w:val="65"/>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10">
    <w:name w:val="heading 7"/>
    <w:basedOn w:val="1"/>
    <w:next w:val="1"/>
    <w:link w:val="66"/>
    <w:qFormat/>
    <w:uiPriority w:val="99"/>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1">
    <w:name w:val="heading 8"/>
    <w:basedOn w:val="1"/>
    <w:next w:val="1"/>
    <w:link w:val="67"/>
    <w:qFormat/>
    <w:uiPriority w:val="99"/>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68"/>
    <w:qFormat/>
    <w:uiPriority w:val="99"/>
    <w:pPr>
      <w:keepNext/>
      <w:keepLines/>
      <w:spacing w:before="240" w:after="64" w:line="314" w:lineRule="auto"/>
      <w:outlineLvl w:val="8"/>
    </w:pPr>
    <w:rPr>
      <w:rFonts w:ascii="Arial" w:hAnsi="Arial" w:eastAsia="黑体"/>
      <w:kern w:val="0"/>
      <w:sz w:val="20"/>
      <w:szCs w:val="21"/>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02"/>
    <w:unhideWhenUsed/>
    <w:qFormat/>
    <w:uiPriority w:val="99"/>
    <w:pPr>
      <w:spacing w:after="120"/>
    </w:pPr>
  </w:style>
  <w:style w:type="paragraph" w:styleId="3">
    <w:name w:val="Body Text First Indent"/>
    <w:basedOn w:val="2"/>
    <w:link w:val="78"/>
    <w:unhideWhenUsed/>
    <w:qFormat/>
    <w:uiPriority w:val="99"/>
    <w:pPr>
      <w:spacing w:line="240" w:lineRule="auto"/>
      <w:ind w:firstLine="420" w:firstLineChars="100"/>
    </w:pPr>
    <w:rPr>
      <w:rFonts w:asciiTheme="minorHAnsi" w:hAnsiTheme="minorHAnsi" w:eastAsiaTheme="minorEastAsia" w:cstheme="minorBidi"/>
      <w:sz w:val="18"/>
      <w:szCs w:val="18"/>
    </w:rPr>
  </w:style>
  <w:style w:type="paragraph" w:styleId="13">
    <w:name w:val="toc 7"/>
    <w:basedOn w:val="1"/>
    <w:next w:val="1"/>
    <w:unhideWhenUsed/>
    <w:qFormat/>
    <w:uiPriority w:val="99"/>
    <w:pPr>
      <w:spacing w:after="0" w:line="240" w:lineRule="auto"/>
      <w:ind w:left="2520" w:leftChars="1200"/>
    </w:pPr>
    <w:rPr>
      <w:rFonts w:ascii="Times New Roman" w:hAnsi="Times New Roman"/>
      <w:szCs w:val="24"/>
    </w:rPr>
  </w:style>
  <w:style w:type="paragraph" w:styleId="14">
    <w:name w:val="Normal Indent"/>
    <w:basedOn w:val="1"/>
    <w:link w:val="72"/>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qFormat/>
    <w:uiPriority w:val="99"/>
    <w:pPr>
      <w:spacing w:before="152" w:after="160" w:line="360" w:lineRule="auto"/>
    </w:pPr>
    <w:rPr>
      <w:rFonts w:ascii="Arial" w:hAnsi="Arial" w:eastAsia="黑体" w:cs="Arial"/>
      <w:sz w:val="20"/>
      <w:szCs w:val="20"/>
    </w:rPr>
  </w:style>
  <w:style w:type="paragraph" w:styleId="16">
    <w:name w:val="Document Map"/>
    <w:basedOn w:val="1"/>
    <w:link w:val="71"/>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7">
    <w:name w:val="annotation text"/>
    <w:basedOn w:val="1"/>
    <w:link w:val="111"/>
    <w:qFormat/>
    <w:uiPriority w:val="99"/>
    <w:pPr>
      <w:jc w:val="left"/>
    </w:pPr>
  </w:style>
  <w:style w:type="paragraph" w:styleId="18">
    <w:name w:val="Salutation"/>
    <w:basedOn w:val="1"/>
    <w:next w:val="1"/>
    <w:qFormat/>
    <w:uiPriority w:val="0"/>
    <w:rPr>
      <w:rFonts w:eastAsia="黑体"/>
      <w:szCs w:val="20"/>
    </w:rPr>
  </w:style>
  <w:style w:type="paragraph" w:styleId="19">
    <w:name w:val="Body Text 3"/>
    <w:basedOn w:val="1"/>
    <w:link w:val="74"/>
    <w:unhideWhenUsed/>
    <w:qFormat/>
    <w:uiPriority w:val="99"/>
    <w:pPr>
      <w:spacing w:after="0" w:line="240" w:lineRule="auto"/>
      <w:jc w:val="center"/>
    </w:pPr>
    <w:rPr>
      <w:rFonts w:eastAsia="黑体" w:asciiTheme="minorHAnsi" w:hAnsiTheme="minorHAnsi" w:cstheme="minorBidi"/>
      <w:sz w:val="44"/>
      <w:szCs w:val="24"/>
    </w:rPr>
  </w:style>
  <w:style w:type="paragraph" w:styleId="20">
    <w:name w:val="Body Text Indent"/>
    <w:basedOn w:val="1"/>
    <w:link w:val="101"/>
    <w:unhideWhenUsed/>
    <w:qFormat/>
    <w:uiPriority w:val="99"/>
    <w:pPr>
      <w:spacing w:after="120" w:line="240" w:lineRule="auto"/>
      <w:ind w:left="420" w:leftChars="200"/>
    </w:pPr>
    <w:rPr>
      <w:rFonts w:asciiTheme="minorHAnsi" w:hAnsiTheme="minorHAnsi" w:eastAsiaTheme="minorEastAsia" w:cstheme="minorBidi"/>
      <w:szCs w:val="24"/>
    </w:rPr>
  </w:style>
  <w:style w:type="paragraph" w:styleId="21">
    <w:name w:val="Block Text"/>
    <w:basedOn w:val="1"/>
    <w:unhideWhenUsed/>
    <w:qFormat/>
    <w:uiPriority w:val="99"/>
    <w:pPr>
      <w:spacing w:after="0" w:line="240" w:lineRule="auto"/>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99"/>
    <w:pPr>
      <w:spacing w:after="0" w:line="240" w:lineRule="auto"/>
      <w:ind w:left="1680" w:leftChars="800"/>
    </w:pPr>
    <w:rPr>
      <w:rFonts w:ascii="Times New Roman" w:hAnsi="Times New Roman"/>
      <w:sz w:val="18"/>
      <w:szCs w:val="18"/>
    </w:rPr>
  </w:style>
  <w:style w:type="paragraph" w:styleId="23">
    <w:name w:val="toc 3"/>
    <w:basedOn w:val="1"/>
    <w:next w:val="1"/>
    <w:unhideWhenUsed/>
    <w:qFormat/>
    <w:uiPriority w:val="99"/>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4">
    <w:name w:val="Plain Text"/>
    <w:basedOn w:val="1"/>
    <w:link w:val="127"/>
    <w:unhideWhenUsed/>
    <w:qFormat/>
    <w:uiPriority w:val="0"/>
    <w:pPr>
      <w:spacing w:after="0" w:line="240" w:lineRule="auto"/>
    </w:pPr>
    <w:rPr>
      <w:rFonts w:ascii="宋体" w:hAnsi="Courier New" w:eastAsiaTheme="minorEastAsia" w:cstheme="minorBidi"/>
      <w:szCs w:val="18"/>
    </w:rPr>
  </w:style>
  <w:style w:type="paragraph" w:styleId="25">
    <w:name w:val="toc 8"/>
    <w:basedOn w:val="1"/>
    <w:next w:val="1"/>
    <w:unhideWhenUsed/>
    <w:qFormat/>
    <w:uiPriority w:val="99"/>
    <w:pPr>
      <w:spacing w:after="0" w:line="240" w:lineRule="auto"/>
      <w:ind w:left="2940" w:leftChars="1400"/>
    </w:pPr>
    <w:rPr>
      <w:rFonts w:ascii="Times New Roman" w:hAnsi="Times New Roman"/>
      <w:szCs w:val="24"/>
    </w:rPr>
  </w:style>
  <w:style w:type="paragraph" w:styleId="26">
    <w:name w:val="Date"/>
    <w:basedOn w:val="1"/>
    <w:next w:val="1"/>
    <w:link w:val="106"/>
    <w:unhideWhenUsed/>
    <w:qFormat/>
    <w:uiPriority w:val="99"/>
    <w:pPr>
      <w:spacing w:after="0" w:line="240" w:lineRule="auto"/>
      <w:ind w:left="100" w:leftChars="2500"/>
    </w:pPr>
    <w:rPr>
      <w:rFonts w:asciiTheme="minorHAnsi" w:hAnsiTheme="minorHAnsi" w:eastAsiaTheme="minorEastAsia" w:cstheme="minorBidi"/>
      <w:sz w:val="24"/>
      <w:szCs w:val="24"/>
    </w:rPr>
  </w:style>
  <w:style w:type="paragraph" w:styleId="27">
    <w:name w:val="Body Text Indent 2"/>
    <w:basedOn w:val="1"/>
    <w:link w:val="69"/>
    <w:unhideWhenUsed/>
    <w:qFormat/>
    <w:uiPriority w:val="99"/>
    <w:pPr>
      <w:spacing w:after="120" w:line="480" w:lineRule="auto"/>
      <w:ind w:left="420" w:leftChars="200"/>
    </w:pPr>
  </w:style>
  <w:style w:type="paragraph" w:styleId="28">
    <w:name w:val="Balloon Text"/>
    <w:basedOn w:val="1"/>
    <w:link w:val="108"/>
    <w:qFormat/>
    <w:uiPriority w:val="99"/>
    <w:pPr>
      <w:spacing w:after="0" w:line="240" w:lineRule="auto"/>
    </w:pPr>
    <w:rPr>
      <w:sz w:val="18"/>
      <w:szCs w:val="18"/>
    </w:rPr>
  </w:style>
  <w:style w:type="paragraph" w:styleId="29">
    <w:name w:val="footer"/>
    <w:basedOn w:val="1"/>
    <w:link w:val="88"/>
    <w:unhideWhenUsed/>
    <w:qFormat/>
    <w:uiPriority w:val="99"/>
    <w:pPr>
      <w:tabs>
        <w:tab w:val="center" w:pos="4153"/>
        <w:tab w:val="right" w:pos="8306"/>
      </w:tabs>
      <w:snapToGrid w:val="0"/>
      <w:jc w:val="left"/>
    </w:pPr>
    <w:rPr>
      <w:kern w:val="0"/>
      <w:sz w:val="18"/>
      <w:szCs w:val="18"/>
    </w:rPr>
  </w:style>
  <w:style w:type="paragraph" w:styleId="30">
    <w:name w:val="header"/>
    <w:basedOn w:val="1"/>
    <w:link w:val="8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99"/>
    <w:pPr>
      <w:spacing w:after="0" w:line="240" w:lineRule="auto"/>
      <w:ind w:left="1260" w:leftChars="600"/>
    </w:pPr>
    <w:rPr>
      <w:rFonts w:ascii="Times New Roman" w:hAnsi="Times New Roman"/>
      <w:sz w:val="18"/>
      <w:szCs w:val="18"/>
    </w:rPr>
  </w:style>
  <w:style w:type="paragraph" w:styleId="33">
    <w:name w:val="Subtitle"/>
    <w:basedOn w:val="1"/>
    <w:next w:val="1"/>
    <w:link w:val="135"/>
    <w:qFormat/>
    <w:uiPriority w:val="99"/>
    <w:pPr>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73"/>
    <w:unhideWhenUsed/>
    <w:qFormat/>
    <w:uiPriority w:val="99"/>
    <w:pPr>
      <w:snapToGrid w:val="0"/>
      <w:spacing w:after="0" w:line="240" w:lineRule="auto"/>
      <w:jc w:val="left"/>
    </w:pPr>
    <w:rPr>
      <w:rFonts w:eastAsiaTheme="minorEastAsia" w:cstheme="minorBidi"/>
      <w:sz w:val="18"/>
      <w:szCs w:val="18"/>
    </w:rPr>
  </w:style>
  <w:style w:type="paragraph" w:styleId="35">
    <w:name w:val="toc 6"/>
    <w:basedOn w:val="1"/>
    <w:next w:val="1"/>
    <w:unhideWhenUsed/>
    <w:qFormat/>
    <w:uiPriority w:val="99"/>
    <w:pPr>
      <w:spacing w:after="0" w:line="240" w:lineRule="auto"/>
      <w:ind w:left="2100" w:leftChars="1000"/>
    </w:pPr>
    <w:rPr>
      <w:rFonts w:ascii="Times New Roman" w:hAnsi="Times New Roman"/>
      <w:szCs w:val="24"/>
    </w:rPr>
  </w:style>
  <w:style w:type="paragraph" w:styleId="36">
    <w:name w:val="Body Text Indent 3"/>
    <w:basedOn w:val="1"/>
    <w:link w:val="115"/>
    <w:unhideWhenUsed/>
    <w:qFormat/>
    <w:uiPriority w:val="99"/>
    <w:pPr>
      <w:spacing w:after="0" w:line="360" w:lineRule="auto"/>
      <w:ind w:left="153" w:leftChars="85" w:firstLine="560" w:firstLineChars="200"/>
    </w:pPr>
    <w:rPr>
      <w:rFonts w:ascii="宋体" w:hAnsi="宋体" w:eastAsiaTheme="minorEastAsia" w:cstheme="minorBidi"/>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99"/>
    <w:pPr>
      <w:spacing w:after="0" w:line="240" w:lineRule="auto"/>
      <w:ind w:left="3360" w:leftChars="1600"/>
    </w:pPr>
    <w:rPr>
      <w:rFonts w:ascii="Times New Roman" w:hAnsi="Times New Roman"/>
      <w:szCs w:val="24"/>
    </w:rPr>
  </w:style>
  <w:style w:type="paragraph" w:styleId="39">
    <w:name w:val="Body Text 2"/>
    <w:basedOn w:val="1"/>
    <w:link w:val="77"/>
    <w:unhideWhenUsed/>
    <w:qFormat/>
    <w:uiPriority w:val="99"/>
    <w:pPr>
      <w:spacing w:after="120" w:line="480" w:lineRule="auto"/>
    </w:pPr>
    <w:rPr>
      <w:rFonts w:asciiTheme="minorHAnsi" w:hAnsiTheme="minorHAnsi" w:eastAsiaTheme="minorEastAsia" w:cstheme="minorBidi"/>
      <w:sz w:val="18"/>
      <w:szCs w:val="18"/>
    </w:rPr>
  </w:style>
  <w:style w:type="paragraph" w:styleId="40">
    <w:name w:val="Message Header"/>
    <w:next w:val="41"/>
    <w:unhideWhenUsed/>
    <w:qFormat/>
    <w:uiPriority w:val="99"/>
    <w:pPr>
      <w:shd w:val="pct20" w:color="auto" w:fill="auto"/>
      <w:spacing w:after="200" w:line="276" w:lineRule="auto"/>
      <w:ind w:left="500" w:leftChars="500" w:hanging="1080" w:hangingChars="500"/>
    </w:pPr>
    <w:rPr>
      <w:rFonts w:ascii="Arial" w:hAnsi="Arial" w:eastAsia="宋体" w:cs="Arial"/>
      <w:kern w:val="2"/>
      <w:sz w:val="24"/>
      <w:szCs w:val="24"/>
      <w:lang w:val="en-US" w:eastAsia="zh-CN" w:bidi="ar-SA"/>
    </w:rPr>
  </w:style>
  <w:style w:type="paragraph" w:customStyle="1" w:styleId="41">
    <w:name w:val="Bullet 2"/>
    <w:qFormat/>
    <w:uiPriority w:val="0"/>
    <w:pPr>
      <w:tabs>
        <w:tab w:val="left" w:pos="360"/>
      </w:tabs>
      <w:spacing w:after="120" w:line="276" w:lineRule="auto"/>
      <w:ind w:left="360" w:hanging="360"/>
      <w:jc w:val="both"/>
    </w:pPr>
    <w:rPr>
      <w:rFonts w:ascii="Times New Roman" w:hAnsi="Times New Roman" w:eastAsia="宋体" w:cs="Times New Roman"/>
      <w:color w:val="000000"/>
      <w:sz w:val="24"/>
      <w:lang w:val="en-US" w:eastAsia="en-US" w:bidi="ar-SA"/>
    </w:rPr>
  </w:style>
  <w:style w:type="paragraph" w:styleId="42">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43">
    <w:name w:val="annotation subject"/>
    <w:basedOn w:val="17"/>
    <w:next w:val="17"/>
    <w:link w:val="143"/>
    <w:unhideWhenUsed/>
    <w:qFormat/>
    <w:uiPriority w:val="99"/>
    <w:pPr>
      <w:spacing w:after="0" w:line="240" w:lineRule="auto"/>
    </w:pPr>
    <w:rPr>
      <w:rFonts w:eastAsiaTheme="minorEastAsia" w:cstheme="minorBidi"/>
      <w:b/>
      <w:bCs/>
      <w:sz w:val="18"/>
      <w:szCs w:val="18"/>
    </w:rPr>
  </w:style>
  <w:style w:type="paragraph" w:styleId="44">
    <w:name w:val="Body Text First Indent 2"/>
    <w:basedOn w:val="20"/>
    <w:qFormat/>
    <w:uiPriority w:val="99"/>
    <w:pPr>
      <w:ind w:firstLine="420" w:firstLineChars="200"/>
    </w:pPr>
    <w:rPr>
      <w:sz w:val="21"/>
    </w:rPr>
  </w:style>
  <w:style w:type="table" w:styleId="46">
    <w:name w:val="Table Grid"/>
    <w:basedOn w:val="45"/>
    <w:qFormat/>
    <w:uiPriority w:val="0"/>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unhideWhenUsed/>
    <w:qFormat/>
    <w:uiPriority w:val="99"/>
    <w:rPr>
      <w:color w:val="800080"/>
      <w:u w:val="single"/>
    </w:rPr>
  </w:style>
  <w:style w:type="character" w:styleId="51">
    <w:name w:val="HTML Definition"/>
    <w:unhideWhenUsed/>
    <w:qFormat/>
    <w:uiPriority w:val="99"/>
    <w:rPr>
      <w:b/>
      <w:i/>
      <w:color w:val="FFFFFF"/>
      <w:sz w:val="15"/>
      <w:szCs w:val="15"/>
      <w:shd w:val="clear" w:color="auto" w:fill="777777"/>
      <w:vertAlign w:val="baseline"/>
    </w:rPr>
  </w:style>
  <w:style w:type="character" w:styleId="52">
    <w:name w:val="HTML Variable"/>
    <w:basedOn w:val="47"/>
    <w:unhideWhenUsed/>
    <w:qFormat/>
    <w:uiPriority w:val="99"/>
  </w:style>
  <w:style w:type="character" w:styleId="53">
    <w:name w:val="Hyperlink"/>
    <w:unhideWhenUsed/>
    <w:qFormat/>
    <w:uiPriority w:val="99"/>
    <w:rPr>
      <w:color w:val="0000FF"/>
      <w:u w:val="single"/>
    </w:rPr>
  </w:style>
  <w:style w:type="character" w:styleId="54">
    <w:name w:val="HTML Code"/>
    <w:unhideWhenUsed/>
    <w:qFormat/>
    <w:uiPriority w:val="99"/>
    <w:rPr>
      <w:rFonts w:hint="default" w:ascii="Consolas" w:hAnsi="Consolas" w:eastAsia="Consolas" w:cs="Consolas"/>
      <w:color w:val="C7254E"/>
      <w:sz w:val="21"/>
      <w:szCs w:val="21"/>
      <w:shd w:val="clear" w:color="auto" w:fill="F9F2F4"/>
    </w:rPr>
  </w:style>
  <w:style w:type="character" w:styleId="55">
    <w:name w:val="annotation reference"/>
    <w:unhideWhenUsed/>
    <w:qFormat/>
    <w:uiPriority w:val="0"/>
    <w:rPr>
      <w:sz w:val="21"/>
      <w:szCs w:val="21"/>
    </w:rPr>
  </w:style>
  <w:style w:type="character" w:styleId="56">
    <w:name w:val="HTML Cite"/>
    <w:basedOn w:val="47"/>
    <w:unhideWhenUsed/>
    <w:qFormat/>
    <w:uiPriority w:val="99"/>
  </w:style>
  <w:style w:type="character" w:styleId="57">
    <w:name w:val="footnote reference"/>
    <w:unhideWhenUsed/>
    <w:qFormat/>
    <w:uiPriority w:val="0"/>
    <w:rPr>
      <w:vertAlign w:val="superscript"/>
    </w:rPr>
  </w:style>
  <w:style w:type="character" w:styleId="58">
    <w:name w:val="HTML Keyboard"/>
    <w:unhideWhenUsed/>
    <w:qFormat/>
    <w:uiPriority w:val="99"/>
    <w:rPr>
      <w:rFonts w:hint="default" w:ascii="Consolas" w:hAnsi="Consolas" w:eastAsia="Consolas" w:cs="Consolas"/>
      <w:color w:val="FFFFFF"/>
      <w:sz w:val="21"/>
      <w:szCs w:val="21"/>
      <w:shd w:val="clear" w:color="auto" w:fill="333333"/>
    </w:rPr>
  </w:style>
  <w:style w:type="character" w:styleId="59">
    <w:name w:val="HTML Sample"/>
    <w:unhideWhenUsed/>
    <w:qFormat/>
    <w:uiPriority w:val="99"/>
    <w:rPr>
      <w:rFonts w:ascii="Consolas" w:hAnsi="Consolas" w:eastAsia="Consolas" w:cs="Consolas"/>
      <w:sz w:val="21"/>
      <w:szCs w:val="21"/>
    </w:rPr>
  </w:style>
  <w:style w:type="character" w:customStyle="1" w:styleId="60">
    <w:name w:val="标题 1 Char"/>
    <w:basedOn w:val="47"/>
    <w:link w:val="4"/>
    <w:qFormat/>
    <w:uiPriority w:val="99"/>
    <w:rPr>
      <w:rFonts w:ascii="宋体" w:hAnsi="宋体" w:eastAsia="宋体" w:cs="Times New Roman"/>
      <w:b/>
      <w:bCs/>
      <w:spacing w:val="-20"/>
      <w:kern w:val="44"/>
      <w:sz w:val="32"/>
      <w:szCs w:val="32"/>
    </w:rPr>
  </w:style>
  <w:style w:type="character" w:customStyle="1" w:styleId="61">
    <w:name w:val="标题 2 Char"/>
    <w:basedOn w:val="47"/>
    <w:link w:val="5"/>
    <w:qFormat/>
    <w:uiPriority w:val="99"/>
    <w:rPr>
      <w:rFonts w:ascii="宋体" w:hAnsi="宋体" w:eastAsia="宋体" w:cs="Times New Roman"/>
      <w:b/>
      <w:bCs/>
      <w:kern w:val="0"/>
      <w:sz w:val="28"/>
      <w:szCs w:val="28"/>
    </w:rPr>
  </w:style>
  <w:style w:type="character" w:customStyle="1" w:styleId="62">
    <w:name w:val="标题 3 Char"/>
    <w:basedOn w:val="47"/>
    <w:link w:val="6"/>
    <w:qFormat/>
    <w:uiPriority w:val="99"/>
    <w:rPr>
      <w:rFonts w:ascii="宋体" w:hAnsi="宋体" w:eastAsia="宋体" w:cs="Times New Roman"/>
      <w:b/>
      <w:bCs/>
      <w:color w:val="000000"/>
      <w:kern w:val="0"/>
      <w:sz w:val="28"/>
      <w:szCs w:val="28"/>
    </w:rPr>
  </w:style>
  <w:style w:type="character" w:customStyle="1" w:styleId="63">
    <w:name w:val="标题 4 Char"/>
    <w:basedOn w:val="47"/>
    <w:link w:val="7"/>
    <w:qFormat/>
    <w:uiPriority w:val="9"/>
    <w:rPr>
      <w:rFonts w:ascii="Arial" w:hAnsi="Arial" w:eastAsia="宋体" w:cs="Times New Roman"/>
      <w:b/>
      <w:bCs/>
      <w:kern w:val="0"/>
      <w:sz w:val="28"/>
      <w:szCs w:val="28"/>
    </w:rPr>
  </w:style>
  <w:style w:type="character" w:customStyle="1" w:styleId="64">
    <w:name w:val="标题 5 Char"/>
    <w:basedOn w:val="47"/>
    <w:link w:val="8"/>
    <w:qFormat/>
    <w:uiPriority w:val="0"/>
    <w:rPr>
      <w:rFonts w:ascii="Times New Roman" w:hAnsi="Times New Roman" w:eastAsia="宋体" w:cs="Times New Roman"/>
      <w:b/>
      <w:bCs/>
      <w:kern w:val="0"/>
      <w:sz w:val="28"/>
      <w:szCs w:val="28"/>
    </w:rPr>
  </w:style>
  <w:style w:type="character" w:customStyle="1" w:styleId="65">
    <w:name w:val="标题 6 Char"/>
    <w:basedOn w:val="47"/>
    <w:link w:val="9"/>
    <w:qFormat/>
    <w:uiPriority w:val="0"/>
    <w:rPr>
      <w:rFonts w:ascii="Arial" w:hAnsi="Arial" w:eastAsia="宋体" w:cs="Times New Roman"/>
      <w:b/>
      <w:bCs/>
      <w:kern w:val="0"/>
      <w:sz w:val="28"/>
      <w:szCs w:val="18"/>
    </w:rPr>
  </w:style>
  <w:style w:type="character" w:customStyle="1" w:styleId="66">
    <w:name w:val="标题 7 Char"/>
    <w:basedOn w:val="47"/>
    <w:link w:val="10"/>
    <w:qFormat/>
    <w:uiPriority w:val="99"/>
    <w:rPr>
      <w:rFonts w:ascii="Arial Narrow" w:hAnsi="Arial Narrow" w:eastAsia="宋体" w:cs="Times New Roman"/>
      <w:b/>
      <w:bCs/>
      <w:iCs/>
      <w:kern w:val="0"/>
      <w:sz w:val="20"/>
      <w:szCs w:val="24"/>
      <w:lang w:eastAsia="en-US"/>
    </w:rPr>
  </w:style>
  <w:style w:type="character" w:customStyle="1" w:styleId="67">
    <w:name w:val="标题 8 Char"/>
    <w:basedOn w:val="47"/>
    <w:link w:val="11"/>
    <w:qFormat/>
    <w:uiPriority w:val="99"/>
    <w:rPr>
      <w:rFonts w:ascii="Arial" w:hAnsi="Arial" w:eastAsia="黑体" w:cs="Times New Roman"/>
      <w:kern w:val="0"/>
      <w:sz w:val="24"/>
      <w:szCs w:val="24"/>
    </w:rPr>
  </w:style>
  <w:style w:type="character" w:customStyle="1" w:styleId="68">
    <w:name w:val="标题 9 Char"/>
    <w:basedOn w:val="47"/>
    <w:link w:val="12"/>
    <w:qFormat/>
    <w:uiPriority w:val="99"/>
    <w:rPr>
      <w:rFonts w:ascii="Arial" w:hAnsi="Arial" w:eastAsia="黑体" w:cs="Times New Roman"/>
      <w:kern w:val="0"/>
      <w:sz w:val="20"/>
      <w:szCs w:val="21"/>
    </w:rPr>
  </w:style>
  <w:style w:type="character" w:customStyle="1" w:styleId="69">
    <w:name w:val="正文文本缩进 2 Char"/>
    <w:link w:val="27"/>
    <w:qFormat/>
    <w:uiPriority w:val="99"/>
    <w:rPr>
      <w:rFonts w:ascii="Calibri" w:hAnsi="Calibri" w:eastAsia="宋体" w:cs="Times New Roman"/>
    </w:rPr>
  </w:style>
  <w:style w:type="character" w:customStyle="1" w:styleId="70">
    <w:name w:val="Char Char2"/>
    <w:qFormat/>
    <w:uiPriority w:val="0"/>
    <w:rPr>
      <w:kern w:val="2"/>
      <w:sz w:val="18"/>
      <w:szCs w:val="18"/>
    </w:rPr>
  </w:style>
  <w:style w:type="character" w:customStyle="1" w:styleId="71">
    <w:name w:val="文档结构图 Char"/>
    <w:link w:val="16"/>
    <w:qFormat/>
    <w:uiPriority w:val="99"/>
    <w:rPr>
      <w:sz w:val="18"/>
      <w:szCs w:val="18"/>
      <w:shd w:val="clear" w:color="auto" w:fill="000080"/>
    </w:rPr>
  </w:style>
  <w:style w:type="character" w:customStyle="1" w:styleId="72">
    <w:name w:val="正文缩进 Char1"/>
    <w:link w:val="14"/>
    <w:qFormat/>
    <w:locked/>
    <w:uiPriority w:val="0"/>
  </w:style>
  <w:style w:type="character" w:customStyle="1" w:styleId="73">
    <w:name w:val="脚注文本 Char"/>
    <w:link w:val="34"/>
    <w:qFormat/>
    <w:uiPriority w:val="99"/>
    <w:rPr>
      <w:rFonts w:ascii="Calibri" w:hAnsi="Calibri"/>
      <w:sz w:val="18"/>
      <w:szCs w:val="18"/>
    </w:rPr>
  </w:style>
  <w:style w:type="character" w:customStyle="1" w:styleId="74">
    <w:name w:val="正文文本 3 Char"/>
    <w:link w:val="19"/>
    <w:qFormat/>
    <w:uiPriority w:val="99"/>
    <w:rPr>
      <w:rFonts w:eastAsia="黑体"/>
      <w:sz w:val="44"/>
      <w:szCs w:val="24"/>
    </w:rPr>
  </w:style>
  <w:style w:type="character" w:customStyle="1" w:styleId="75">
    <w:name w:val="文章正文 Char Char"/>
    <w:qFormat/>
    <w:uiPriority w:val="0"/>
    <w:rPr>
      <w:rFonts w:hint="eastAsia" w:ascii="宋体" w:hAnsi="宋体" w:eastAsia="宋体"/>
      <w:kern w:val="2"/>
      <w:sz w:val="24"/>
      <w:szCs w:val="24"/>
      <w:lang w:val="en-US" w:eastAsia="zh-CN" w:bidi="ar-SA"/>
    </w:rPr>
  </w:style>
  <w:style w:type="character" w:customStyle="1" w:styleId="76">
    <w:name w:val="正文文本 Char1"/>
    <w:qFormat/>
    <w:uiPriority w:val="0"/>
    <w:rPr>
      <w:rFonts w:hint="default" w:ascii="Times New Roman" w:hAnsi="Times New Roman" w:eastAsia="宋体" w:cs="Times New Roman"/>
      <w:kern w:val="0"/>
      <w:sz w:val="18"/>
      <w:szCs w:val="18"/>
    </w:rPr>
  </w:style>
  <w:style w:type="character" w:customStyle="1" w:styleId="77">
    <w:name w:val="正文文本 2 Char"/>
    <w:link w:val="39"/>
    <w:qFormat/>
    <w:uiPriority w:val="99"/>
    <w:rPr>
      <w:sz w:val="18"/>
      <w:szCs w:val="18"/>
    </w:rPr>
  </w:style>
  <w:style w:type="character" w:customStyle="1" w:styleId="78">
    <w:name w:val="正文首行缩进 Char"/>
    <w:link w:val="3"/>
    <w:qFormat/>
    <w:uiPriority w:val="99"/>
    <w:rPr>
      <w:sz w:val="18"/>
      <w:szCs w:val="18"/>
    </w:rPr>
  </w:style>
  <w:style w:type="character" w:customStyle="1" w:styleId="79">
    <w:name w:val="Char Char5"/>
    <w:qFormat/>
    <w:uiPriority w:val="0"/>
    <w:rPr>
      <w:kern w:val="2"/>
      <w:sz w:val="21"/>
      <w:szCs w:val="24"/>
    </w:rPr>
  </w:style>
  <w:style w:type="character" w:customStyle="1" w:styleId="80">
    <w:name w:val="页眉 Char"/>
    <w:link w:val="30"/>
    <w:qFormat/>
    <w:uiPriority w:val="99"/>
    <w:rPr>
      <w:rFonts w:ascii="Calibri" w:hAnsi="Calibri" w:eastAsia="宋体" w:cs="Times New Roman"/>
      <w:kern w:val="0"/>
      <w:sz w:val="18"/>
      <w:szCs w:val="18"/>
    </w:rPr>
  </w:style>
  <w:style w:type="character" w:customStyle="1" w:styleId="81">
    <w:name w:val="CD正文 Char Char"/>
    <w:qFormat/>
    <w:uiPriority w:val="0"/>
    <w:rPr>
      <w:rFonts w:hint="eastAsia" w:ascii="宋体" w:hAnsi="宋体" w:eastAsia="宋体"/>
      <w:kern w:val="2"/>
      <w:sz w:val="30"/>
      <w:szCs w:val="28"/>
      <w:lang w:val="en-US" w:eastAsia="zh-CN" w:bidi="ar-SA"/>
    </w:rPr>
  </w:style>
  <w:style w:type="character" w:customStyle="1" w:styleId="82">
    <w:name w:val="表正文 Char1"/>
    <w:qFormat/>
    <w:uiPriority w:val="0"/>
    <w:rPr>
      <w:rFonts w:hint="eastAsia" w:ascii="宋体" w:hAnsi="宋体" w:eastAsia="宋体"/>
      <w:kern w:val="2"/>
      <w:sz w:val="21"/>
      <w:lang w:val="en-US" w:eastAsia="zh-CN" w:bidi="ar-SA"/>
    </w:rPr>
  </w:style>
  <w:style w:type="character" w:customStyle="1" w:styleId="83">
    <w:name w:val="列出段落 Char"/>
    <w:link w:val="84"/>
    <w:qFormat/>
    <w:locked/>
    <w:uiPriority w:val="0"/>
    <w:rPr>
      <w:rFonts w:ascii="Calibri" w:hAnsi="Calibri"/>
    </w:rPr>
  </w:style>
  <w:style w:type="paragraph" w:customStyle="1" w:styleId="84">
    <w:name w:val="List Paragraph"/>
    <w:basedOn w:val="1"/>
    <w:link w:val="83"/>
    <w:qFormat/>
    <w:uiPriority w:val="0"/>
    <w:pPr>
      <w:ind w:firstLine="420" w:firstLineChars="200"/>
    </w:pPr>
    <w:rPr>
      <w:rFonts w:eastAsiaTheme="minorEastAsia" w:cstheme="minorBidi"/>
    </w:rPr>
  </w:style>
  <w:style w:type="character" w:customStyle="1" w:styleId="85">
    <w:name w:val="页脚 Char1"/>
    <w:qFormat/>
    <w:uiPriority w:val="99"/>
    <w:rPr>
      <w:sz w:val="18"/>
      <w:szCs w:val="18"/>
    </w:rPr>
  </w:style>
  <w:style w:type="character" w:customStyle="1" w:styleId="86">
    <w:name w:val="列出段落 Char Char"/>
    <w:qFormat/>
    <w:uiPriority w:val="0"/>
    <w:rPr>
      <w:rFonts w:hint="default" w:ascii="Calibri" w:hAnsi="Calibri" w:cs="Calibri"/>
      <w:kern w:val="2"/>
      <w:sz w:val="21"/>
      <w:szCs w:val="22"/>
    </w:rPr>
  </w:style>
  <w:style w:type="character" w:customStyle="1" w:styleId="87">
    <w:name w:val="font11"/>
    <w:qFormat/>
    <w:uiPriority w:val="0"/>
    <w:rPr>
      <w:rFonts w:hint="eastAsia" w:ascii="宋体" w:hAnsi="宋体" w:eastAsia="宋体" w:cs="宋体"/>
      <w:b/>
      <w:color w:val="000000"/>
      <w:sz w:val="22"/>
      <w:szCs w:val="22"/>
      <w:u w:val="none"/>
    </w:rPr>
  </w:style>
  <w:style w:type="character" w:customStyle="1" w:styleId="88">
    <w:name w:val="页脚 Char"/>
    <w:link w:val="29"/>
    <w:qFormat/>
    <w:uiPriority w:val="99"/>
    <w:rPr>
      <w:rFonts w:ascii="Calibri" w:hAnsi="Calibri" w:eastAsia="宋体" w:cs="Times New Roman"/>
      <w:kern w:val="0"/>
      <w:sz w:val="18"/>
      <w:szCs w:val="18"/>
    </w:rPr>
  </w:style>
  <w:style w:type="character" w:customStyle="1" w:styleId="89">
    <w:name w:val="Char Char9"/>
    <w:qFormat/>
    <w:uiPriority w:val="0"/>
    <w:rPr>
      <w:kern w:val="2"/>
      <w:sz w:val="18"/>
      <w:szCs w:val="18"/>
    </w:rPr>
  </w:style>
  <w:style w:type="character" w:customStyle="1" w:styleId="90">
    <w:name w:val="Legal Level 1.1.1. Char"/>
    <w:qFormat/>
    <w:uiPriority w:val="0"/>
    <w:rPr>
      <w:rFonts w:hint="default" w:ascii="Arial" w:hAnsi="Arial" w:eastAsia="黑体" w:cs="Arial"/>
      <w:kern w:val="2"/>
      <w:sz w:val="24"/>
      <w:szCs w:val="24"/>
    </w:rPr>
  </w:style>
  <w:style w:type="character" w:customStyle="1" w:styleId="91">
    <w:name w:val="font01"/>
    <w:qFormat/>
    <w:uiPriority w:val="0"/>
    <w:rPr>
      <w:rFonts w:hint="eastAsia" w:ascii="宋体" w:hAnsi="宋体" w:eastAsia="宋体" w:cs="宋体"/>
      <w:color w:val="000000"/>
      <w:sz w:val="22"/>
      <w:szCs w:val="22"/>
      <w:u w:val="none"/>
    </w:rPr>
  </w:style>
  <w:style w:type="character" w:customStyle="1" w:styleId="92">
    <w:name w:val="Char Char3"/>
    <w:qFormat/>
    <w:uiPriority w:val="0"/>
    <w:rPr>
      <w:b/>
      <w:bCs/>
      <w:kern w:val="2"/>
      <w:sz w:val="18"/>
      <w:szCs w:val="18"/>
    </w:rPr>
  </w:style>
  <w:style w:type="character" w:customStyle="1" w:styleId="93">
    <w:name w:val="正文文本缩进 3 Char1"/>
    <w:qFormat/>
    <w:uiPriority w:val="99"/>
    <w:rPr>
      <w:rFonts w:ascii="Calibri" w:hAnsi="Calibri" w:eastAsia="宋体" w:cs="Times New Roman"/>
      <w:sz w:val="16"/>
      <w:szCs w:val="16"/>
    </w:rPr>
  </w:style>
  <w:style w:type="character" w:customStyle="1" w:styleId="94">
    <w:name w:val="MM Topic 3 Char Char"/>
    <w:qFormat/>
    <w:uiPriority w:val="0"/>
    <w:rPr>
      <w:rFonts w:hint="eastAsia" w:ascii="宋体" w:hAnsi="宋体" w:eastAsia="宋体"/>
      <w:b/>
      <w:bCs/>
      <w:color w:val="000000"/>
      <w:kern w:val="2"/>
      <w:sz w:val="28"/>
      <w:szCs w:val="28"/>
    </w:rPr>
  </w:style>
  <w:style w:type="character" w:customStyle="1" w:styleId="95">
    <w:name w:val="文档结构图 Char1"/>
    <w:qFormat/>
    <w:uiPriority w:val="99"/>
    <w:rPr>
      <w:rFonts w:ascii="宋体" w:hAnsi="Calibri" w:eastAsia="宋体" w:cs="Times New Roman"/>
      <w:sz w:val="18"/>
      <w:szCs w:val="18"/>
    </w:rPr>
  </w:style>
  <w:style w:type="character" w:customStyle="1" w:styleId="96">
    <w:name w:val="标题 3 Char Char Char"/>
    <w:qFormat/>
    <w:uiPriority w:val="0"/>
    <w:rPr>
      <w:rFonts w:hint="eastAsia" w:ascii="宋体" w:hAnsi="宋体" w:eastAsia="宋体"/>
      <w:b/>
      <w:kern w:val="2"/>
      <w:sz w:val="32"/>
      <w:lang w:val="en-US" w:eastAsia="zh-CN" w:bidi="ar-SA"/>
    </w:rPr>
  </w:style>
  <w:style w:type="character" w:customStyle="1" w:styleId="97">
    <w:name w:val="line2"/>
    <w:basedOn w:val="47"/>
    <w:qFormat/>
    <w:uiPriority w:val="0"/>
  </w:style>
  <w:style w:type="character" w:customStyle="1" w:styleId="98">
    <w:name w:val="正文文本 Char"/>
    <w:qFormat/>
    <w:uiPriority w:val="99"/>
    <w:rPr>
      <w:rFonts w:ascii="Calibri" w:hAnsi="Calibri" w:eastAsia="宋体" w:cs="Times New Roman"/>
    </w:rPr>
  </w:style>
  <w:style w:type="character" w:customStyle="1" w:styleId="99">
    <w:name w:val="apple-converted-space"/>
    <w:basedOn w:val="47"/>
    <w:qFormat/>
    <w:uiPriority w:val="0"/>
  </w:style>
  <w:style w:type="character" w:customStyle="1" w:styleId="100">
    <w:name w:val="样式 小四2 Char Char"/>
    <w:qFormat/>
    <w:uiPriority w:val="0"/>
    <w:rPr>
      <w:rFonts w:hint="eastAsia" w:ascii="宋体" w:hAnsi="宋体" w:eastAsia="宋体"/>
      <w:kern w:val="2"/>
      <w:sz w:val="24"/>
      <w:szCs w:val="24"/>
    </w:rPr>
  </w:style>
  <w:style w:type="character" w:customStyle="1" w:styleId="101">
    <w:name w:val="正文文本缩进 Char"/>
    <w:link w:val="20"/>
    <w:qFormat/>
    <w:uiPriority w:val="99"/>
    <w:rPr>
      <w:szCs w:val="24"/>
    </w:rPr>
  </w:style>
  <w:style w:type="character" w:customStyle="1" w:styleId="102">
    <w:name w:val="正文文本 Char3"/>
    <w:link w:val="2"/>
    <w:qFormat/>
    <w:uiPriority w:val="99"/>
    <w:rPr>
      <w:rFonts w:ascii="Calibri" w:hAnsi="Calibri" w:eastAsia="宋体" w:cs="Times New Roman"/>
    </w:rPr>
  </w:style>
  <w:style w:type="character" w:customStyle="1" w:styleId="103">
    <w:name w:val="apple-style-span"/>
    <w:basedOn w:val="47"/>
    <w:qFormat/>
    <w:uiPriority w:val="0"/>
  </w:style>
  <w:style w:type="character" w:customStyle="1" w:styleId="104">
    <w:name w:val="正文文本 3 Char1"/>
    <w:qFormat/>
    <w:uiPriority w:val="99"/>
    <w:rPr>
      <w:rFonts w:ascii="Calibri" w:hAnsi="Calibri" w:eastAsia="宋体" w:cs="Times New Roman"/>
      <w:sz w:val="16"/>
      <w:szCs w:val="16"/>
    </w:rPr>
  </w:style>
  <w:style w:type="character" w:customStyle="1" w:styleId="105">
    <w:name w:val="批注主题 Char1"/>
    <w:qFormat/>
    <w:uiPriority w:val="0"/>
    <w:rPr>
      <w:rFonts w:ascii="Calibri" w:hAnsi="Calibri" w:eastAsia="宋体" w:cs="Times New Roman"/>
      <w:b/>
      <w:bCs/>
    </w:rPr>
  </w:style>
  <w:style w:type="character" w:customStyle="1" w:styleId="106">
    <w:name w:val="日期 Char"/>
    <w:link w:val="26"/>
    <w:qFormat/>
    <w:uiPriority w:val="99"/>
    <w:rPr>
      <w:sz w:val="24"/>
      <w:szCs w:val="24"/>
    </w:rPr>
  </w:style>
  <w:style w:type="character" w:customStyle="1" w:styleId="107">
    <w:name w:val="tt Char"/>
    <w:qFormat/>
    <w:uiPriority w:val="0"/>
    <w:rPr>
      <w:rFonts w:hint="default" w:ascii="Arial" w:hAnsi="Arial" w:eastAsia="黑体" w:cs="Arial"/>
      <w:kern w:val="2"/>
      <w:sz w:val="21"/>
      <w:szCs w:val="21"/>
    </w:rPr>
  </w:style>
  <w:style w:type="character" w:customStyle="1" w:styleId="108">
    <w:name w:val="批注框文本 Char"/>
    <w:link w:val="28"/>
    <w:qFormat/>
    <w:uiPriority w:val="99"/>
    <w:rPr>
      <w:rFonts w:ascii="Calibri" w:hAnsi="Calibri" w:eastAsia="宋体" w:cs="Times New Roman"/>
      <w:sz w:val="18"/>
      <w:szCs w:val="18"/>
    </w:rPr>
  </w:style>
  <w:style w:type="character" w:customStyle="1" w:styleId="109">
    <w:name w:val="副标题 Char2"/>
    <w:qFormat/>
    <w:uiPriority w:val="11"/>
    <w:rPr>
      <w:rFonts w:ascii="Cambria" w:hAnsi="Cambria" w:eastAsia="宋体" w:cs="Times New Roman"/>
      <w:b/>
      <w:bCs/>
      <w:kern w:val="28"/>
      <w:sz w:val="32"/>
      <w:szCs w:val="32"/>
    </w:rPr>
  </w:style>
  <w:style w:type="character" w:customStyle="1" w:styleId="110">
    <w:name w:val="标书正文:  0.74 厘米 Char Char"/>
    <w:qFormat/>
    <w:uiPriority w:val="0"/>
    <w:rPr>
      <w:kern w:val="2"/>
      <w:sz w:val="24"/>
    </w:rPr>
  </w:style>
  <w:style w:type="character" w:customStyle="1" w:styleId="111">
    <w:name w:val="批注文字 Char1"/>
    <w:link w:val="17"/>
    <w:qFormat/>
    <w:uiPriority w:val="99"/>
    <w:rPr>
      <w:rFonts w:ascii="Calibri" w:hAnsi="Calibri" w:eastAsia="宋体" w:cs="Times New Roman"/>
    </w:rPr>
  </w:style>
  <w:style w:type="character" w:customStyle="1" w:styleId="112">
    <w:name w:val="批注文字 Char2"/>
    <w:qFormat/>
    <w:uiPriority w:val="0"/>
    <w:rPr>
      <w:rFonts w:hint="eastAsia" w:ascii="宋体" w:hAnsi="宋体" w:eastAsia="宋体"/>
      <w:sz w:val="18"/>
      <w:szCs w:val="18"/>
    </w:rPr>
  </w:style>
  <w:style w:type="character" w:customStyle="1" w:styleId="113">
    <w:name w:val="img"/>
    <w:basedOn w:val="47"/>
    <w:qFormat/>
    <w:uiPriority w:val="0"/>
  </w:style>
  <w:style w:type="character" w:customStyle="1" w:styleId="114">
    <w:name w:val="正文首行缩进 Char1"/>
    <w:qFormat/>
    <w:uiPriority w:val="99"/>
    <w:rPr>
      <w:rFonts w:ascii="Calibri" w:hAnsi="Calibri" w:eastAsia="宋体" w:cs="Times New Roman"/>
    </w:rPr>
  </w:style>
  <w:style w:type="character" w:customStyle="1" w:styleId="115">
    <w:name w:val="正文文本缩进 3 Char"/>
    <w:link w:val="36"/>
    <w:qFormat/>
    <w:uiPriority w:val="99"/>
    <w:rPr>
      <w:rFonts w:ascii="宋体" w:hAnsi="宋体"/>
      <w:sz w:val="28"/>
      <w:szCs w:val="28"/>
    </w:rPr>
  </w:style>
  <w:style w:type="character" w:customStyle="1" w:styleId="116">
    <w:name w:val="批注文字 Char"/>
    <w:qFormat/>
    <w:uiPriority w:val="99"/>
    <w:rPr>
      <w:rFonts w:ascii="Times New Roman" w:hAnsi="Times New Roman" w:eastAsia="宋体" w:cs="Times New Roman"/>
      <w:kern w:val="0"/>
      <w:sz w:val="18"/>
      <w:szCs w:val="18"/>
    </w:rPr>
  </w:style>
  <w:style w:type="character" w:customStyle="1" w:styleId="117">
    <w:name w:val="纯文本 Char2"/>
    <w:qFormat/>
    <w:uiPriority w:val="99"/>
    <w:rPr>
      <w:rFonts w:ascii="宋体" w:hAnsi="Courier New" w:eastAsia="宋体" w:cs="Courier New"/>
      <w:szCs w:val="21"/>
    </w:rPr>
  </w:style>
  <w:style w:type="character" w:customStyle="1" w:styleId="118">
    <w:name w:val="Char Char Char"/>
    <w:qFormat/>
    <w:uiPriority w:val="0"/>
    <w:rPr>
      <w:rFonts w:hint="eastAsia" w:ascii="宋体" w:hAnsi="宋体" w:eastAsia="宋体"/>
      <w:kern w:val="2"/>
      <w:sz w:val="18"/>
      <w:szCs w:val="18"/>
      <w:lang w:val="en-US" w:eastAsia="zh-CN" w:bidi="ar-SA"/>
    </w:rPr>
  </w:style>
  <w:style w:type="character" w:customStyle="1" w:styleId="119">
    <w:name w:val="正文文本 Char Char"/>
    <w:qFormat/>
    <w:uiPriority w:val="0"/>
    <w:rPr>
      <w:kern w:val="2"/>
      <w:sz w:val="21"/>
      <w:szCs w:val="24"/>
    </w:rPr>
  </w:style>
  <w:style w:type="character" w:customStyle="1" w:styleId="120">
    <w:name w:val="日期 Char1"/>
    <w:qFormat/>
    <w:uiPriority w:val="99"/>
    <w:rPr>
      <w:rFonts w:ascii="Calibri" w:hAnsi="Calibri" w:eastAsia="宋体" w:cs="Times New Roman"/>
    </w:rPr>
  </w:style>
  <w:style w:type="character" w:customStyle="1" w:styleId="121">
    <w:name w:val="Char Char10"/>
    <w:qFormat/>
    <w:uiPriority w:val="0"/>
    <w:rPr>
      <w:kern w:val="2"/>
      <w:sz w:val="24"/>
      <w:szCs w:val="24"/>
    </w:rPr>
  </w:style>
  <w:style w:type="character" w:customStyle="1" w:styleId="122">
    <w:name w:val="0-CD Char"/>
    <w:link w:val="123"/>
    <w:qFormat/>
    <w:locked/>
    <w:uiPriority w:val="0"/>
    <w:rPr>
      <w:rFonts w:ascii="宋体" w:hAnsi="宋体"/>
      <w:sz w:val="28"/>
      <w:szCs w:val="24"/>
    </w:rPr>
  </w:style>
  <w:style w:type="paragraph" w:customStyle="1" w:styleId="123">
    <w:name w:val="0-CD"/>
    <w:basedOn w:val="1"/>
    <w:link w:val="122"/>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4">
    <w:name w:val="Char Char8"/>
    <w:qFormat/>
    <w:uiPriority w:val="0"/>
    <w:rPr>
      <w:rFonts w:hint="eastAsia" w:ascii="宋体" w:hAnsi="宋体" w:eastAsia="宋体"/>
      <w:kern w:val="2"/>
      <w:sz w:val="28"/>
      <w:szCs w:val="28"/>
    </w:rPr>
  </w:style>
  <w:style w:type="character" w:customStyle="1" w:styleId="125">
    <w:name w:val="正文缩进 Char"/>
    <w:qFormat/>
    <w:uiPriority w:val="0"/>
    <w:rPr>
      <w:kern w:val="2"/>
      <w:sz w:val="21"/>
      <w:lang w:val="zh-CN" w:eastAsia="zh-CN"/>
    </w:rPr>
  </w:style>
  <w:style w:type="character" w:customStyle="1" w:styleId="126">
    <w:name w:val="正文文本 Char2"/>
    <w:qFormat/>
    <w:locked/>
    <w:uiPriority w:val="0"/>
    <w:rPr>
      <w:rFonts w:ascii="Calibri" w:hAnsi="Calibri" w:eastAsia="宋体" w:cs="Times New Roman"/>
    </w:rPr>
  </w:style>
  <w:style w:type="character" w:customStyle="1" w:styleId="127">
    <w:name w:val="纯文本 Char1"/>
    <w:link w:val="24"/>
    <w:qFormat/>
    <w:locked/>
    <w:uiPriority w:val="0"/>
    <w:rPr>
      <w:rFonts w:ascii="宋体" w:hAnsi="Courier New"/>
      <w:szCs w:val="18"/>
    </w:rPr>
  </w:style>
  <w:style w:type="character" w:customStyle="1" w:styleId="128">
    <w:name w:val="Char Char7"/>
    <w:qFormat/>
    <w:uiPriority w:val="0"/>
    <w:rPr>
      <w:kern w:val="2"/>
      <w:sz w:val="18"/>
      <w:szCs w:val="18"/>
    </w:rPr>
  </w:style>
  <w:style w:type="character" w:customStyle="1" w:styleId="129">
    <w:name w:val="纯文本 Char"/>
    <w:qFormat/>
    <w:uiPriority w:val="0"/>
    <w:rPr>
      <w:rFonts w:ascii="宋体" w:hAnsi="Courier New" w:eastAsia="宋体" w:cs="Courier New"/>
      <w:szCs w:val="21"/>
    </w:rPr>
  </w:style>
  <w:style w:type="character" w:customStyle="1" w:styleId="130">
    <w:name w:val="Char Char6"/>
    <w:qFormat/>
    <w:uiPriority w:val="0"/>
    <w:rPr>
      <w:kern w:val="2"/>
      <w:sz w:val="21"/>
      <w:szCs w:val="24"/>
    </w:rPr>
  </w:style>
  <w:style w:type="character" w:customStyle="1" w:styleId="131">
    <w:name w:val="正文文本缩进 Char1"/>
    <w:qFormat/>
    <w:uiPriority w:val="99"/>
    <w:rPr>
      <w:rFonts w:ascii="Calibri" w:hAnsi="Calibri" w:eastAsia="宋体" w:cs="Times New Roman"/>
    </w:rPr>
  </w:style>
  <w:style w:type="character" w:customStyle="1" w:styleId="132">
    <w:name w:val="副标题 Char1"/>
    <w:qFormat/>
    <w:uiPriority w:val="11"/>
    <w:rPr>
      <w:rFonts w:hint="default" w:ascii="Cambria" w:hAnsi="Cambria" w:cs="Times New Roman"/>
      <w:b/>
      <w:bCs/>
      <w:kern w:val="28"/>
      <w:sz w:val="32"/>
      <w:szCs w:val="32"/>
    </w:rPr>
  </w:style>
  <w:style w:type="character" w:customStyle="1" w:styleId="133">
    <w:name w:val="标题 1 Char1"/>
    <w:qFormat/>
    <w:uiPriority w:val="99"/>
    <w:rPr>
      <w:b/>
      <w:bCs/>
      <w:kern w:val="44"/>
      <w:sz w:val="44"/>
      <w:szCs w:val="44"/>
    </w:rPr>
  </w:style>
  <w:style w:type="character" w:customStyle="1" w:styleId="134">
    <w:name w:val="（符号）邀请函中一、"/>
    <w:qFormat/>
    <w:uiPriority w:val="0"/>
    <w:rPr>
      <w:rFonts w:hint="eastAsia" w:ascii="黑体" w:hAnsi="黑体" w:eastAsia="黑体"/>
      <w:b/>
      <w:bCs/>
      <w:sz w:val="24"/>
    </w:rPr>
  </w:style>
  <w:style w:type="character" w:customStyle="1" w:styleId="135">
    <w:name w:val="副标题 Char"/>
    <w:link w:val="33"/>
    <w:qFormat/>
    <w:uiPriority w:val="99"/>
    <w:rPr>
      <w:rFonts w:ascii="Cambria" w:hAnsi="Cambria"/>
      <w:b/>
      <w:bCs/>
      <w:kern w:val="28"/>
      <w:sz w:val="32"/>
      <w:szCs w:val="32"/>
    </w:rPr>
  </w:style>
  <w:style w:type="character" w:customStyle="1" w:styleId="136">
    <w:name w:val="small"/>
    <w:basedOn w:val="47"/>
    <w:qFormat/>
    <w:uiPriority w:val="0"/>
  </w:style>
  <w:style w:type="character" w:customStyle="1" w:styleId="137">
    <w:name w:val="标书（正文） Char Char"/>
    <w:qFormat/>
    <w:uiPriority w:val="0"/>
    <w:rPr>
      <w:rFonts w:hint="eastAsia" w:ascii="宋体" w:hAnsi="宋体" w:eastAsia="宋体"/>
      <w:b/>
      <w:kern w:val="10"/>
      <w:sz w:val="21"/>
      <w:szCs w:val="21"/>
      <w:lang w:val="en-US" w:eastAsia="zh-CN" w:bidi="ar-SA"/>
    </w:rPr>
  </w:style>
  <w:style w:type="character" w:customStyle="1" w:styleId="138">
    <w:name w:val="访问过的超链接1"/>
    <w:qFormat/>
    <w:uiPriority w:val="99"/>
    <w:rPr>
      <w:color w:val="800080"/>
      <w:u w:val="single"/>
    </w:rPr>
  </w:style>
  <w:style w:type="character" w:customStyle="1" w:styleId="139">
    <w:name w:val="MM Topic 4 Char Char"/>
    <w:qFormat/>
    <w:uiPriority w:val="0"/>
    <w:rPr>
      <w:rFonts w:hint="default" w:ascii="Arial" w:hAnsi="Arial" w:cs="Arial"/>
      <w:b/>
      <w:bCs/>
      <w:kern w:val="2"/>
      <w:sz w:val="28"/>
      <w:szCs w:val="28"/>
    </w:rPr>
  </w:style>
  <w:style w:type="character" w:customStyle="1" w:styleId="140">
    <w:name w:val="列出段落 Char1"/>
    <w:qFormat/>
    <w:uiPriority w:val="34"/>
    <w:rPr>
      <w:rFonts w:hint="default" w:ascii="Calibri" w:hAnsi="Calibri"/>
      <w:kern w:val="2"/>
      <w:sz w:val="21"/>
      <w:szCs w:val="22"/>
    </w:rPr>
  </w:style>
  <w:style w:type="character" w:customStyle="1" w:styleId="141">
    <w:name w:val="Char Char11"/>
    <w:qFormat/>
    <w:uiPriority w:val="0"/>
    <w:rPr>
      <w:rFonts w:hint="default" w:ascii="Arial Narrow" w:hAnsi="Arial Narrow"/>
      <w:b/>
      <w:bCs/>
      <w:iCs/>
      <w:szCs w:val="24"/>
      <w:lang w:eastAsia="en-US"/>
    </w:rPr>
  </w:style>
  <w:style w:type="character" w:customStyle="1" w:styleId="142">
    <w:name w:val="脚注文本 Char1"/>
    <w:qFormat/>
    <w:uiPriority w:val="0"/>
    <w:rPr>
      <w:rFonts w:ascii="Calibri" w:hAnsi="Calibri" w:eastAsia="宋体" w:cs="Times New Roman"/>
      <w:sz w:val="18"/>
      <w:szCs w:val="18"/>
    </w:rPr>
  </w:style>
  <w:style w:type="character" w:customStyle="1" w:styleId="143">
    <w:name w:val="批注主题 Char"/>
    <w:link w:val="43"/>
    <w:qFormat/>
    <w:uiPriority w:val="99"/>
    <w:rPr>
      <w:rFonts w:ascii="Calibri" w:hAnsi="Calibri"/>
      <w:b/>
      <w:bCs/>
      <w:sz w:val="18"/>
      <w:szCs w:val="18"/>
    </w:rPr>
  </w:style>
  <w:style w:type="character" w:customStyle="1" w:styleId="144">
    <w:name w:val="正文文本 2 Char1"/>
    <w:qFormat/>
    <w:uiPriority w:val="99"/>
    <w:rPr>
      <w:rFonts w:ascii="Calibri" w:hAnsi="Calibri" w:eastAsia="宋体" w:cs="Times New Roman"/>
    </w:rPr>
  </w:style>
  <w:style w:type="character" w:customStyle="1" w:styleId="145">
    <w:name w:val="彩色列表 - 强调文字颜色 1 Char"/>
    <w:link w:val="146"/>
    <w:qFormat/>
    <w:locked/>
    <w:uiPriority w:val="0"/>
    <w:rPr>
      <w:rFonts w:ascii="Calibri" w:hAnsi="Calibri"/>
    </w:rPr>
  </w:style>
  <w:style w:type="paragraph" w:customStyle="1" w:styleId="146">
    <w:name w:val="彩色列表 - 强调文字颜色 11"/>
    <w:basedOn w:val="1"/>
    <w:link w:val="145"/>
    <w:qFormat/>
    <w:uiPriority w:val="0"/>
    <w:pPr>
      <w:ind w:firstLine="420" w:firstLineChars="200"/>
    </w:pPr>
    <w:rPr>
      <w:rFonts w:eastAsiaTheme="minorEastAsia" w:cstheme="minorBidi"/>
    </w:rPr>
  </w:style>
  <w:style w:type="character" w:customStyle="1" w:styleId="147">
    <w:name w:val="Char Char4"/>
    <w:qFormat/>
    <w:uiPriority w:val="0"/>
    <w:rPr>
      <w:kern w:val="2"/>
      <w:sz w:val="18"/>
      <w:szCs w:val="18"/>
    </w:rPr>
  </w:style>
  <w:style w:type="paragraph" w:customStyle="1" w:styleId="148">
    <w:name w:val="正文 首行缩进:  2 字符 Char Char"/>
    <w:basedOn w:val="1"/>
    <w:qFormat/>
    <w:uiPriority w:val="99"/>
    <w:pPr>
      <w:spacing w:after="0" w:line="360" w:lineRule="auto"/>
      <w:ind w:firstLine="480"/>
    </w:pPr>
    <w:rPr>
      <w:rFonts w:ascii="Times New Roman" w:hAnsi="Times New Roman" w:cs="宋体"/>
      <w:sz w:val="24"/>
      <w:szCs w:val="20"/>
    </w:rPr>
  </w:style>
  <w:style w:type="paragraph" w:customStyle="1" w:styleId="149">
    <w:name w:val="样式 首行缩进:  2 字符"/>
    <w:basedOn w:val="1"/>
    <w:qFormat/>
    <w:uiPriority w:val="99"/>
    <w:pPr>
      <w:spacing w:line="400" w:lineRule="exact"/>
      <w:ind w:firstLine="200" w:firstLineChars="200"/>
    </w:pPr>
    <w:rPr>
      <w:rFonts w:ascii="Times New Roman" w:hAnsi="Times New Roman" w:cs="宋体"/>
      <w:sz w:val="24"/>
      <w:szCs w:val="24"/>
    </w:rPr>
  </w:style>
  <w:style w:type="paragraph" w:customStyle="1" w:styleId="150">
    <w:name w:val="样式 右侧:  1 字符1"/>
    <w:basedOn w:val="1"/>
    <w:qFormat/>
    <w:uiPriority w:val="99"/>
    <w:pPr>
      <w:spacing w:after="0" w:line="240" w:lineRule="auto"/>
      <w:ind w:left="240" w:leftChars="100" w:right="240" w:rightChars="100"/>
    </w:pPr>
    <w:rPr>
      <w:rFonts w:ascii="Times New Roman" w:hAnsi="Times New Roman" w:eastAsia="仿宋_GB2312" w:cs="宋体"/>
      <w:sz w:val="28"/>
      <w:szCs w:val="20"/>
    </w:rPr>
  </w:style>
  <w:style w:type="paragraph" w:customStyle="1" w:styleId="151">
    <w:name w:val="样式1"/>
    <w:basedOn w:val="1"/>
    <w:qFormat/>
    <w:uiPriority w:val="99"/>
    <w:pPr>
      <w:spacing w:after="0" w:line="240" w:lineRule="auto"/>
    </w:pPr>
    <w:rPr>
      <w:rFonts w:ascii="Times New Roman" w:hAnsi="Times New Roman" w:eastAsia="隶书"/>
      <w:i/>
      <w:dstrike/>
      <w:sz w:val="28"/>
      <w:szCs w:val="18"/>
    </w:rPr>
  </w:style>
  <w:style w:type="paragraph" w:customStyle="1" w:styleId="152">
    <w:name w:val="列出段落3"/>
    <w:basedOn w:val="1"/>
    <w:qFormat/>
    <w:uiPriority w:val="99"/>
    <w:pPr>
      <w:widowControl/>
      <w:spacing w:after="0" w:line="240" w:lineRule="auto"/>
      <w:ind w:firstLine="420" w:firstLineChars="200"/>
      <w:jc w:val="left"/>
    </w:pPr>
    <w:rPr>
      <w:rFonts w:ascii="Times New Roman" w:hAnsi="Times New Roman"/>
      <w:kern w:val="0"/>
      <w:sz w:val="24"/>
      <w:szCs w:val="24"/>
    </w:rPr>
  </w:style>
  <w:style w:type="paragraph" w:customStyle="1" w:styleId="153">
    <w:name w:val="15、“一、”二级标题"/>
    <w:basedOn w:val="1"/>
    <w:qFormat/>
    <w:uiPriority w:val="99"/>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4">
    <w:name w:val="默认段落字体 Para Char Char"/>
    <w:basedOn w:val="1"/>
    <w:qFormat/>
    <w:uiPriority w:val="99"/>
    <w:pPr>
      <w:spacing w:after="0" w:line="240" w:lineRule="auto"/>
    </w:pPr>
    <w:rPr>
      <w:rFonts w:ascii="Times New Roman" w:hAnsi="Times New Roman"/>
      <w:szCs w:val="24"/>
    </w:rPr>
  </w:style>
  <w:style w:type="paragraph" w:customStyle="1" w:styleId="155">
    <w:name w:val="正文1"/>
    <w:qFormat/>
    <w:uiPriority w:val="99"/>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6">
    <w:name w:val="副标题 字符1"/>
    <w:basedOn w:val="47"/>
    <w:qFormat/>
    <w:uiPriority w:val="11"/>
    <w:rPr>
      <w:b/>
      <w:bCs/>
      <w:kern w:val="28"/>
      <w:sz w:val="32"/>
      <w:szCs w:val="32"/>
    </w:rPr>
  </w:style>
  <w:style w:type="paragraph" w:customStyle="1" w:styleId="157">
    <w:name w:val="列项——（一级）"/>
    <w:qFormat/>
    <w:uiPriority w:val="99"/>
    <w:pPr>
      <w:widowControl w:val="0"/>
      <w:spacing w:after="200" w:line="276" w:lineRule="auto"/>
      <w:ind w:left="3540" w:hanging="420"/>
      <w:jc w:val="both"/>
    </w:pPr>
    <w:rPr>
      <w:rFonts w:ascii="宋体" w:hAnsi="Times New Roman" w:eastAsia="宋体" w:cs="Times New Roman"/>
      <w:kern w:val="0"/>
      <w:sz w:val="21"/>
      <w:szCs w:val="20"/>
      <w:lang w:val="en-US" w:eastAsia="zh-CN" w:bidi="ar-SA"/>
    </w:rPr>
  </w:style>
  <w:style w:type="character" w:customStyle="1" w:styleId="158">
    <w:name w:val="正文文本缩进 2 字符1"/>
    <w:basedOn w:val="47"/>
    <w:semiHidden/>
    <w:qFormat/>
    <w:uiPriority w:val="99"/>
    <w:rPr>
      <w:rFonts w:ascii="Calibri" w:hAnsi="Calibri" w:eastAsia="宋体" w:cs="Times New Roman"/>
    </w:rPr>
  </w:style>
  <w:style w:type="paragraph" w:customStyle="1" w:styleId="159">
    <w:name w:val="6、“1.”表格内一级标题"/>
    <w:basedOn w:val="1"/>
    <w:qFormat/>
    <w:uiPriority w:val="99"/>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60">
    <w:name w:val="正文格式"/>
    <w:basedOn w:val="1"/>
    <w:qFormat/>
    <w:uiPriority w:val="99"/>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1">
    <w:name w:val="MM Topic 3"/>
    <w:basedOn w:val="6"/>
    <w:qFormat/>
    <w:uiPriority w:val="99"/>
    <w:pPr>
      <w:tabs>
        <w:tab w:val="left" w:pos="1418"/>
      </w:tabs>
      <w:spacing w:after="0"/>
      <w:ind w:left="0" w:firstLine="0"/>
    </w:pPr>
  </w:style>
  <w:style w:type="paragraph" w:customStyle="1" w:styleId="162">
    <w:name w:val="2、“(一)”正文二级标题"/>
    <w:basedOn w:val="1"/>
    <w:qFormat/>
    <w:uiPriority w:val="99"/>
    <w:pPr>
      <w:tabs>
        <w:tab w:val="left" w:pos="0"/>
        <w:tab w:val="left" w:pos="704"/>
      </w:tabs>
      <w:wordWrap w:val="0"/>
      <w:topLinePunct/>
      <w:spacing w:after="0" w:line="240" w:lineRule="auto"/>
      <w:ind w:left="704" w:firstLine="803"/>
    </w:pPr>
    <w:rPr>
      <w:rFonts w:ascii="Times New Roman" w:hAnsi="Times New Roman"/>
    </w:rPr>
  </w:style>
  <w:style w:type="paragraph" w:customStyle="1" w:styleId="163">
    <w:name w:val="论文正文"/>
    <w:basedOn w:val="1"/>
    <w:qFormat/>
    <w:uiPriority w:val="99"/>
    <w:pPr>
      <w:spacing w:after="0" w:line="360" w:lineRule="auto"/>
      <w:ind w:firstLine="700" w:firstLineChars="250"/>
    </w:pPr>
    <w:rPr>
      <w:rFonts w:ascii="宋体" w:hAnsi="宋体"/>
      <w:bCs/>
      <w:sz w:val="28"/>
      <w:szCs w:val="28"/>
    </w:rPr>
  </w:style>
  <w:style w:type="character" w:customStyle="1" w:styleId="164">
    <w:name w:val="正文文本缩进 3 字符1"/>
    <w:basedOn w:val="47"/>
    <w:semiHidden/>
    <w:qFormat/>
    <w:uiPriority w:val="99"/>
    <w:rPr>
      <w:rFonts w:ascii="Calibri" w:hAnsi="Calibri" w:eastAsia="宋体" w:cs="Times New Roman"/>
      <w:sz w:val="16"/>
      <w:szCs w:val="16"/>
    </w:rPr>
  </w:style>
  <w:style w:type="paragraph" w:customStyle="1" w:styleId="165">
    <w:name w:val="MM Topic 5"/>
    <w:basedOn w:val="8"/>
    <w:qFormat/>
    <w:uiPriority w:val="99"/>
    <w:pPr>
      <w:tabs>
        <w:tab w:val="left" w:pos="2551"/>
        <w:tab w:val="clear" w:pos="1134"/>
        <w:tab w:val="clear" w:pos="1560"/>
      </w:tabs>
      <w:ind w:left="0" w:firstLine="0"/>
    </w:pPr>
  </w:style>
  <w:style w:type="paragraph" w:customStyle="1" w:styleId="166">
    <w:name w:val="大纲正文"/>
    <w:basedOn w:val="1"/>
    <w:qFormat/>
    <w:uiPriority w:val="99"/>
    <w:pPr>
      <w:spacing w:after="0" w:line="360" w:lineRule="auto"/>
      <w:ind w:firstLine="480" w:firstLineChars="200"/>
    </w:pPr>
    <w:rPr>
      <w:rFonts w:ascii="Times New Roman" w:hAnsi="Times New Roman"/>
      <w:sz w:val="24"/>
      <w:szCs w:val="20"/>
    </w:rPr>
  </w:style>
  <w:style w:type="character" w:customStyle="1" w:styleId="167">
    <w:name w:val="批注文字 字符1"/>
    <w:basedOn w:val="47"/>
    <w:semiHidden/>
    <w:qFormat/>
    <w:uiPriority w:val="99"/>
    <w:rPr>
      <w:rFonts w:ascii="Calibri" w:hAnsi="Calibri" w:eastAsia="宋体" w:cs="Times New Roman"/>
    </w:rPr>
  </w:style>
  <w:style w:type="character" w:customStyle="1" w:styleId="168">
    <w:name w:val="正文文本 2 字符1"/>
    <w:basedOn w:val="47"/>
    <w:semiHidden/>
    <w:qFormat/>
    <w:uiPriority w:val="99"/>
    <w:rPr>
      <w:rFonts w:ascii="Calibri" w:hAnsi="Calibri" w:eastAsia="宋体" w:cs="Times New Roman"/>
    </w:rPr>
  </w:style>
  <w:style w:type="paragraph" w:customStyle="1" w:styleId="169">
    <w:name w:val="09正文_wh"/>
    <w:qFormat/>
    <w:uiPriority w:val="99"/>
    <w:pPr>
      <w:spacing w:after="200"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70">
    <w:name w:val="正文文本缩进 字符1"/>
    <w:basedOn w:val="47"/>
    <w:semiHidden/>
    <w:qFormat/>
    <w:uiPriority w:val="99"/>
    <w:rPr>
      <w:rFonts w:ascii="Calibri" w:hAnsi="Calibri" w:eastAsia="宋体" w:cs="Times New Roman"/>
    </w:rPr>
  </w:style>
  <w:style w:type="character" w:customStyle="1" w:styleId="171">
    <w:name w:val="批注框文本 字符1"/>
    <w:basedOn w:val="47"/>
    <w:semiHidden/>
    <w:qFormat/>
    <w:uiPriority w:val="99"/>
    <w:rPr>
      <w:rFonts w:ascii="Calibri" w:hAnsi="Calibri" w:eastAsia="宋体" w:cs="Times New Roman"/>
      <w:sz w:val="18"/>
      <w:szCs w:val="18"/>
    </w:rPr>
  </w:style>
  <w:style w:type="paragraph" w:customStyle="1" w:styleId="172">
    <w:name w:val="Char2 Char Char Char Char Char Char"/>
    <w:basedOn w:val="1"/>
    <w:qFormat/>
    <w:uiPriority w:val="99"/>
    <w:pPr>
      <w:spacing w:after="0" w:line="240" w:lineRule="auto"/>
    </w:pPr>
    <w:rPr>
      <w:rFonts w:ascii="仿宋_GB2312" w:hAnsi="Times New Roman"/>
      <w:b/>
      <w:sz w:val="30"/>
      <w:szCs w:val="32"/>
    </w:rPr>
  </w:style>
  <w:style w:type="paragraph" w:customStyle="1" w:styleId="173">
    <w:name w:val="无间隔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174">
    <w:name w:val="Default"/>
    <w:qFormat/>
    <w:uiPriority w:val="99"/>
    <w:pPr>
      <w:widowControl w:val="0"/>
      <w:autoSpaceDE w:val="0"/>
      <w:autoSpaceDN w:val="0"/>
      <w:adjustRightInd w:val="0"/>
      <w:spacing w:after="200" w:line="276" w:lineRule="auto"/>
    </w:pPr>
    <w:rPr>
      <w:rFonts w:ascii="宋体" w:hAnsi="Times New Roman" w:eastAsia="宋体" w:cs="宋体"/>
      <w:color w:val="000000"/>
      <w:kern w:val="0"/>
      <w:sz w:val="24"/>
      <w:szCs w:val="24"/>
      <w:lang w:val="en-US" w:eastAsia="zh-CN" w:bidi="ar-SA"/>
    </w:rPr>
  </w:style>
  <w:style w:type="paragraph" w:customStyle="1" w:styleId="175">
    <w:name w:val="修订1"/>
    <w:qFormat/>
    <w:uiPriority w:val="99"/>
    <w:pPr>
      <w:spacing w:after="200" w:line="276" w:lineRule="auto"/>
    </w:pPr>
    <w:rPr>
      <w:rFonts w:ascii="Times New Roman" w:hAnsi="Times New Roman" w:eastAsia="宋体" w:cs="Times New Roman"/>
      <w:kern w:val="2"/>
      <w:sz w:val="21"/>
      <w:szCs w:val="22"/>
      <w:lang w:val="en-US" w:eastAsia="zh-CN" w:bidi="ar-SA"/>
    </w:rPr>
  </w:style>
  <w:style w:type="paragraph" w:customStyle="1" w:styleId="176">
    <w:name w:val="Char1"/>
    <w:basedOn w:val="1"/>
    <w:next w:val="1"/>
    <w:qFormat/>
    <w:uiPriority w:val="99"/>
    <w:pPr>
      <w:spacing w:after="0" w:line="240" w:lineRule="atLeast"/>
      <w:ind w:left="420" w:firstLine="420"/>
      <w:jc w:val="left"/>
    </w:pPr>
    <w:rPr>
      <w:rFonts w:ascii="Times New Roman" w:hAnsi="Times New Roman"/>
      <w:kern w:val="0"/>
      <w:szCs w:val="21"/>
    </w:rPr>
  </w:style>
  <w:style w:type="paragraph" w:customStyle="1" w:styleId="177">
    <w:name w:val="Char1 Char Char Char"/>
    <w:basedOn w:val="1"/>
    <w:next w:val="1"/>
    <w:qFormat/>
    <w:uiPriority w:val="99"/>
    <w:pPr>
      <w:spacing w:after="0" w:line="240" w:lineRule="atLeast"/>
      <w:ind w:left="420" w:firstLine="420"/>
      <w:jc w:val="left"/>
    </w:pPr>
    <w:rPr>
      <w:rFonts w:ascii="Times New Roman" w:hAnsi="Times New Roman"/>
      <w:kern w:val="0"/>
      <w:szCs w:val="21"/>
    </w:rPr>
  </w:style>
  <w:style w:type="character" w:customStyle="1" w:styleId="178">
    <w:name w:val="脚注文本 字符1"/>
    <w:basedOn w:val="47"/>
    <w:semiHidden/>
    <w:qFormat/>
    <w:uiPriority w:val="99"/>
    <w:rPr>
      <w:rFonts w:ascii="Calibri" w:hAnsi="Calibri" w:eastAsia="宋体" w:cs="Times New Roman"/>
      <w:sz w:val="18"/>
      <w:szCs w:val="18"/>
    </w:rPr>
  </w:style>
  <w:style w:type="paragraph" w:customStyle="1" w:styleId="179">
    <w:name w:val="MM Topic 8"/>
    <w:basedOn w:val="11"/>
    <w:qFormat/>
    <w:uiPriority w:val="99"/>
    <w:pPr>
      <w:tabs>
        <w:tab w:val="left" w:pos="4394"/>
      </w:tabs>
    </w:pPr>
  </w:style>
  <w:style w:type="paragraph" w:customStyle="1" w:styleId="180">
    <w:name w:val="标题2-1"/>
    <w:basedOn w:val="1"/>
    <w:qFormat/>
    <w:uiPriority w:val="99"/>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1">
    <w:name w:val="正文文本 字符1"/>
    <w:basedOn w:val="47"/>
    <w:semiHidden/>
    <w:qFormat/>
    <w:uiPriority w:val="99"/>
    <w:rPr>
      <w:rFonts w:ascii="Calibri" w:hAnsi="Calibri" w:eastAsia="宋体" w:cs="Times New Roman"/>
    </w:rPr>
  </w:style>
  <w:style w:type="paragraph" w:customStyle="1" w:styleId="182">
    <w:name w:val="Style Style4 + First line:  2 ch Before:  0.5 line After:  0.5 li..."/>
    <w:basedOn w:val="1"/>
    <w:qFormat/>
    <w:uiPriority w:val="99"/>
    <w:pPr>
      <w:spacing w:beforeLines="50" w:after="0"/>
      <w:ind w:firstLine="480" w:firstLineChars="200"/>
    </w:pPr>
    <w:rPr>
      <w:rFonts w:ascii="Arial" w:hAnsi="Arial"/>
      <w:sz w:val="24"/>
      <w:szCs w:val="20"/>
    </w:rPr>
  </w:style>
  <w:style w:type="paragraph" w:customStyle="1" w:styleId="183">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4">
    <w:name w:val="批注主题 字符1"/>
    <w:basedOn w:val="167"/>
    <w:semiHidden/>
    <w:qFormat/>
    <w:uiPriority w:val="99"/>
    <w:rPr>
      <w:rFonts w:ascii="Calibri" w:hAnsi="Calibri" w:eastAsia="宋体" w:cs="Times New Roman"/>
      <w:b/>
      <w:bCs/>
    </w:rPr>
  </w:style>
  <w:style w:type="paragraph" w:customStyle="1" w:styleId="185">
    <w:name w:val="Normal_59"/>
    <w:qFormat/>
    <w:uiPriority w:val="99"/>
    <w:pPr>
      <w:spacing w:before="120" w:after="240" w:line="276" w:lineRule="auto"/>
      <w:jc w:val="both"/>
    </w:pPr>
    <w:rPr>
      <w:rFonts w:ascii="Times New Roman" w:hAnsi="Times New Roman" w:eastAsia="Calibri" w:cs="Times New Roman"/>
      <w:kern w:val="0"/>
      <w:sz w:val="22"/>
      <w:szCs w:val="22"/>
      <w:lang w:val="ru-RU" w:eastAsia="en-US" w:bidi="ar-SA"/>
    </w:rPr>
  </w:style>
  <w:style w:type="paragraph" w:customStyle="1" w:styleId="186">
    <w:name w:val="Char Char Char Char Char Char Char"/>
    <w:basedOn w:val="1"/>
    <w:qFormat/>
    <w:uiPriority w:val="99"/>
    <w:pPr>
      <w:widowControl/>
      <w:snapToGrid w:val="0"/>
      <w:spacing w:after="0" w:line="240" w:lineRule="exact"/>
      <w:jc w:val="left"/>
    </w:pPr>
    <w:rPr>
      <w:rFonts w:ascii="Verdana" w:hAnsi="Verdana"/>
      <w:kern w:val="0"/>
      <w:sz w:val="20"/>
      <w:szCs w:val="20"/>
      <w:lang w:eastAsia="en-US"/>
    </w:rPr>
  </w:style>
  <w:style w:type="character" w:customStyle="1" w:styleId="187">
    <w:name w:val="日期 字符1"/>
    <w:basedOn w:val="47"/>
    <w:semiHidden/>
    <w:qFormat/>
    <w:uiPriority w:val="99"/>
    <w:rPr>
      <w:rFonts w:ascii="Calibri" w:hAnsi="Calibri" w:eastAsia="宋体" w:cs="Times New Roman"/>
    </w:rPr>
  </w:style>
  <w:style w:type="paragraph" w:customStyle="1" w:styleId="188">
    <w:name w:val="Style8"/>
    <w:basedOn w:val="1"/>
    <w:qFormat/>
    <w:uiPriority w:val="99"/>
    <w:pPr>
      <w:tabs>
        <w:tab w:val="left" w:pos="1304"/>
      </w:tabs>
      <w:spacing w:beforeLines="50" w:after="0"/>
      <w:ind w:left="1304" w:hanging="397"/>
    </w:pPr>
    <w:rPr>
      <w:rFonts w:ascii="Arial" w:hAnsi="Arial"/>
      <w:sz w:val="24"/>
      <w:szCs w:val="24"/>
    </w:rPr>
  </w:style>
  <w:style w:type="character" w:customStyle="1" w:styleId="189">
    <w:name w:val="正文文本 3 字符1"/>
    <w:basedOn w:val="47"/>
    <w:semiHidden/>
    <w:qFormat/>
    <w:uiPriority w:val="99"/>
    <w:rPr>
      <w:rFonts w:ascii="Calibri" w:hAnsi="Calibri" w:eastAsia="宋体" w:cs="Times New Roman"/>
      <w:sz w:val="16"/>
      <w:szCs w:val="16"/>
    </w:rPr>
  </w:style>
  <w:style w:type="paragraph" w:customStyle="1" w:styleId="190">
    <w:name w:val="列出段落1"/>
    <w:basedOn w:val="1"/>
    <w:qFormat/>
    <w:uiPriority w:val="99"/>
    <w:pPr>
      <w:ind w:firstLine="420" w:firstLineChars="200"/>
    </w:pPr>
  </w:style>
  <w:style w:type="character" w:customStyle="1" w:styleId="191">
    <w:name w:val="文档结构图 字符1"/>
    <w:basedOn w:val="47"/>
    <w:semiHidden/>
    <w:qFormat/>
    <w:uiPriority w:val="99"/>
    <w:rPr>
      <w:rFonts w:ascii="Microsoft YaHei UI" w:hAnsi="Calibri" w:eastAsia="Microsoft YaHei UI" w:cs="Times New Roman"/>
      <w:sz w:val="18"/>
      <w:szCs w:val="18"/>
    </w:rPr>
  </w:style>
  <w:style w:type="paragraph" w:customStyle="1" w:styleId="192">
    <w:name w:val="Char Char1"/>
    <w:basedOn w:val="1"/>
    <w:next w:val="1"/>
    <w:qFormat/>
    <w:uiPriority w:val="99"/>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3">
    <w:name w:val="标题 5 + 首行缩进:  2 字符"/>
    <w:basedOn w:val="8"/>
    <w:next w:val="20"/>
    <w:qFormat/>
    <w:uiPriority w:val="99"/>
    <w:pPr>
      <w:tabs>
        <w:tab w:val="left" w:pos="992"/>
        <w:tab w:val="clear" w:pos="1134"/>
      </w:tabs>
      <w:snapToGrid w:val="0"/>
      <w:spacing w:beforeLines="50" w:afterLines="50"/>
      <w:ind w:left="3570" w:firstLine="482" w:firstLineChars="200"/>
    </w:pPr>
    <w:rPr>
      <w:color w:val="000000"/>
      <w:szCs w:val="20"/>
    </w:rPr>
  </w:style>
  <w:style w:type="paragraph" w:customStyle="1" w:styleId="194">
    <w:name w:val="02、首行缩进2字符正文"/>
    <w:basedOn w:val="1"/>
    <w:qFormat/>
    <w:uiPriority w:val="99"/>
    <w:pPr>
      <w:tabs>
        <w:tab w:val="left" w:pos="0"/>
      </w:tabs>
      <w:wordWrap w:val="0"/>
      <w:topLinePunct/>
      <w:spacing w:after="0" w:line="240" w:lineRule="auto"/>
      <w:ind w:firstLine="480" w:firstLineChars="200"/>
    </w:pPr>
    <w:rPr>
      <w:rFonts w:ascii="宋体" w:hAnsi="宋体"/>
    </w:rPr>
  </w:style>
  <w:style w:type="paragraph" w:customStyle="1" w:styleId="195">
    <w:name w:val="标书正文:  0.74 厘米"/>
    <w:basedOn w:val="1"/>
    <w:qFormat/>
    <w:uiPriority w:val="99"/>
    <w:pPr>
      <w:snapToGrid w:val="0"/>
      <w:spacing w:after="0" w:line="360" w:lineRule="auto"/>
      <w:ind w:firstLine="420"/>
    </w:pPr>
    <w:rPr>
      <w:rFonts w:ascii="Times New Roman" w:hAnsi="Times New Roman"/>
      <w:sz w:val="24"/>
      <w:szCs w:val="18"/>
    </w:rPr>
  </w:style>
  <w:style w:type="paragraph" w:customStyle="1" w:styleId="196">
    <w:name w:val="MM Title"/>
    <w:basedOn w:val="1"/>
    <w:qFormat/>
    <w:uiPriority w:val="99"/>
    <w:pPr>
      <w:spacing w:before="240" w:after="60" w:line="240" w:lineRule="auto"/>
      <w:jc w:val="center"/>
      <w:outlineLvl w:val="0"/>
    </w:pPr>
    <w:rPr>
      <w:rFonts w:ascii="Arial" w:hAnsi="Arial" w:cs="Arial"/>
      <w:b/>
      <w:bCs/>
      <w:sz w:val="32"/>
      <w:szCs w:val="32"/>
    </w:rPr>
  </w:style>
  <w:style w:type="paragraph" w:customStyle="1" w:styleId="197">
    <w:name w:val="列出段落2"/>
    <w:basedOn w:val="1"/>
    <w:qFormat/>
    <w:uiPriority w:val="99"/>
    <w:pPr>
      <w:spacing w:after="0" w:line="240" w:lineRule="auto"/>
      <w:ind w:firstLine="420" w:firstLineChars="200"/>
    </w:pPr>
    <w:rPr>
      <w:rFonts w:ascii="Times New Roman" w:hAnsi="Times New Roman"/>
    </w:rPr>
  </w:style>
  <w:style w:type="paragraph" w:customStyle="1" w:styleId="198">
    <w:name w:val="样式 正文缩进 + (中文) 仿宋_GB2312 小四 Char"/>
    <w:basedOn w:val="14"/>
    <w:qFormat/>
    <w:uiPriority w:val="99"/>
    <w:pPr>
      <w:spacing w:after="0" w:line="360" w:lineRule="auto"/>
      <w:ind w:firstLine="480" w:firstLineChars="200"/>
    </w:pPr>
    <w:rPr>
      <w:rFonts w:ascii="宋体" w:hAnsi="宋体"/>
      <w:sz w:val="24"/>
      <w:szCs w:val="24"/>
    </w:rPr>
  </w:style>
  <w:style w:type="paragraph" w:customStyle="1" w:styleId="199">
    <w:name w:val="(符号)五标题1.1.1"/>
    <w:basedOn w:val="1"/>
    <w:qFormat/>
    <w:uiPriority w:val="99"/>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200">
    <w:name w:val="页脚 字符1"/>
    <w:basedOn w:val="47"/>
    <w:semiHidden/>
    <w:qFormat/>
    <w:uiPriority w:val="99"/>
    <w:rPr>
      <w:rFonts w:ascii="Calibri" w:hAnsi="Calibri" w:eastAsia="宋体" w:cs="Times New Roman"/>
      <w:sz w:val="18"/>
      <w:szCs w:val="18"/>
    </w:rPr>
  </w:style>
  <w:style w:type="paragraph" w:customStyle="1" w:styleId="201">
    <w:name w:val="MM Topic 6"/>
    <w:basedOn w:val="9"/>
    <w:qFormat/>
    <w:uiPriority w:val="99"/>
    <w:pPr>
      <w:tabs>
        <w:tab w:val="left" w:pos="3260"/>
        <w:tab w:val="clear" w:pos="1702"/>
      </w:tabs>
      <w:ind w:left="0" w:firstLine="0"/>
    </w:pPr>
    <w:rPr>
      <w:rFonts w:eastAsia="黑体"/>
    </w:rPr>
  </w:style>
  <w:style w:type="paragraph" w:customStyle="1" w:styleId="202">
    <w:name w:val="图"/>
    <w:basedOn w:val="1"/>
    <w:qFormat/>
    <w:uiPriority w:val="99"/>
    <w:pPr>
      <w:widowControl/>
      <w:adjustRightInd w:val="0"/>
      <w:snapToGrid w:val="0"/>
      <w:spacing w:after="0" w:line="240" w:lineRule="auto"/>
      <w:jc w:val="center"/>
    </w:pPr>
    <w:rPr>
      <w:rFonts w:ascii="宋体" w:hAnsi="宋体"/>
      <w:bCs/>
      <w:szCs w:val="24"/>
    </w:rPr>
  </w:style>
  <w:style w:type="character" w:customStyle="1" w:styleId="203">
    <w:name w:val="纯文本 字符1"/>
    <w:basedOn w:val="47"/>
    <w:semiHidden/>
    <w:qFormat/>
    <w:uiPriority w:val="99"/>
    <w:rPr>
      <w:rFonts w:hAnsi="Courier New" w:cs="Courier New" w:asciiTheme="minorEastAsia"/>
    </w:rPr>
  </w:style>
  <w:style w:type="paragraph" w:customStyle="1" w:styleId="204">
    <w:name w:val="MM Topic 7"/>
    <w:basedOn w:val="10"/>
    <w:qFormat/>
    <w:uiPriority w:val="99"/>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5">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6">
    <w:name w:val="正文首行缩进两字符"/>
    <w:basedOn w:val="1"/>
    <w:qFormat/>
    <w:uiPriority w:val="99"/>
    <w:pPr>
      <w:spacing w:line="360" w:lineRule="auto"/>
      <w:ind w:firstLine="200" w:firstLineChars="200"/>
    </w:pPr>
    <w:rPr>
      <w:rFonts w:ascii="Times New Roman" w:hAnsi="Times New Roman"/>
      <w:szCs w:val="24"/>
    </w:rPr>
  </w:style>
  <w:style w:type="paragraph" w:customStyle="1" w:styleId="207">
    <w:name w:val="TOC 标题1"/>
    <w:basedOn w:val="4"/>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8">
    <w:name w:val="3、“1.”正文三级标题"/>
    <w:basedOn w:val="1"/>
    <w:qFormat/>
    <w:uiPriority w:val="99"/>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9">
    <w:name w:val="项目符号：一级"/>
    <w:basedOn w:val="160"/>
    <w:next w:val="160"/>
    <w:qFormat/>
    <w:uiPriority w:val="99"/>
  </w:style>
  <w:style w:type="paragraph" w:customStyle="1" w:styleId="21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1">
    <w:name w:val="zw1"/>
    <w:basedOn w:val="1"/>
    <w:qFormat/>
    <w:uiPriority w:val="99"/>
    <w:pPr>
      <w:widowControl/>
      <w:spacing w:after="0" w:line="360" w:lineRule="auto"/>
      <w:ind w:firstLine="480" w:firstLineChars="200"/>
    </w:pPr>
    <w:rPr>
      <w:rFonts w:ascii="Times New Roman" w:hAnsi="Times New Roman"/>
      <w:kern w:val="0"/>
      <w:sz w:val="24"/>
      <w:szCs w:val="20"/>
    </w:rPr>
  </w:style>
  <w:style w:type="paragraph" w:customStyle="1" w:styleId="212">
    <w:name w:val="Char2 Char Char Char"/>
    <w:basedOn w:val="1"/>
    <w:qFormat/>
    <w:uiPriority w:val="99"/>
    <w:pPr>
      <w:spacing w:after="0" w:line="240" w:lineRule="auto"/>
    </w:pPr>
    <w:rPr>
      <w:rFonts w:ascii="仿宋_GB2312" w:hAnsi="Times New Roman"/>
      <w:b/>
      <w:sz w:val="30"/>
      <w:szCs w:val="32"/>
    </w:rPr>
  </w:style>
  <w:style w:type="paragraph" w:customStyle="1" w:styleId="213">
    <w:name w:val="Char Char Char Char Char Char Char Char Char Char Char Char Char"/>
    <w:basedOn w:val="16"/>
    <w:qFormat/>
    <w:uiPriority w:val="99"/>
    <w:rPr>
      <w:rFonts w:ascii="Tahoma" w:hAnsi="Tahoma"/>
      <w:sz w:val="24"/>
      <w:szCs w:val="24"/>
    </w:rPr>
  </w:style>
  <w:style w:type="paragraph" w:customStyle="1" w:styleId="214">
    <w:name w:val="1 Char"/>
    <w:basedOn w:val="1"/>
    <w:qFormat/>
    <w:uiPriority w:val="99"/>
    <w:pPr>
      <w:widowControl/>
      <w:spacing w:after="160" w:line="240" w:lineRule="exact"/>
      <w:jc w:val="left"/>
    </w:pPr>
    <w:rPr>
      <w:rFonts w:ascii="Tahoma" w:hAnsi="Tahoma" w:eastAsia="Times New Roman"/>
      <w:kern w:val="0"/>
      <w:sz w:val="24"/>
      <w:szCs w:val="24"/>
      <w:lang w:eastAsia="en-US"/>
    </w:rPr>
  </w:style>
  <w:style w:type="paragraph" w:customStyle="1" w:styleId="215">
    <w:name w:val="gb_master正文"/>
    <w:basedOn w:val="1"/>
    <w:qFormat/>
    <w:uiPriority w:val="99"/>
    <w:pPr>
      <w:spacing w:after="0" w:line="240" w:lineRule="auto"/>
      <w:ind w:firstLine="200" w:firstLineChars="200"/>
    </w:pPr>
    <w:rPr>
      <w:rFonts w:ascii="Times New Roman" w:hAnsi="Times New Roman"/>
      <w:szCs w:val="24"/>
    </w:rPr>
  </w:style>
  <w:style w:type="paragraph" w:customStyle="1" w:styleId="216">
    <w:name w:val="Char"/>
    <w:basedOn w:val="1"/>
    <w:next w:val="1"/>
    <w:qFormat/>
    <w:uiPriority w:val="99"/>
    <w:pPr>
      <w:spacing w:after="0" w:line="240" w:lineRule="atLeast"/>
      <w:ind w:left="420" w:firstLine="420"/>
      <w:jc w:val="left"/>
    </w:pPr>
    <w:rPr>
      <w:rFonts w:ascii="Times New Roman" w:hAnsi="Times New Roman"/>
      <w:kern w:val="0"/>
      <w:szCs w:val="21"/>
    </w:rPr>
  </w:style>
  <w:style w:type="character" w:customStyle="1" w:styleId="217">
    <w:name w:val="页眉 字符1"/>
    <w:basedOn w:val="47"/>
    <w:semiHidden/>
    <w:qFormat/>
    <w:uiPriority w:val="99"/>
    <w:rPr>
      <w:rFonts w:ascii="Calibri" w:hAnsi="Calibri" w:eastAsia="宋体" w:cs="Times New Roman"/>
      <w:sz w:val="18"/>
      <w:szCs w:val="18"/>
    </w:rPr>
  </w:style>
  <w:style w:type="character" w:customStyle="1" w:styleId="218">
    <w:name w:val="正文文本首行缩进 字符1"/>
    <w:basedOn w:val="181"/>
    <w:semiHidden/>
    <w:qFormat/>
    <w:uiPriority w:val="99"/>
    <w:rPr>
      <w:rFonts w:ascii="Calibri" w:hAnsi="Calibri" w:eastAsia="宋体" w:cs="Times New Roman"/>
    </w:rPr>
  </w:style>
  <w:style w:type="paragraph" w:customStyle="1" w:styleId="219">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20">
    <w:name w:val="1、“一、”一级标题"/>
    <w:basedOn w:val="1"/>
    <w:qFormat/>
    <w:uiPriority w:val="99"/>
    <w:pPr>
      <w:tabs>
        <w:tab w:val="left" w:pos="0"/>
      </w:tabs>
      <w:spacing w:after="0" w:line="240" w:lineRule="auto"/>
      <w:ind w:left="972" w:hanging="420"/>
      <w:outlineLvl w:val="0"/>
    </w:pPr>
    <w:rPr>
      <w:rFonts w:ascii="Times New Roman" w:hAnsi="Times New Roman"/>
      <w:b/>
    </w:rPr>
  </w:style>
  <w:style w:type="paragraph" w:customStyle="1" w:styleId="221">
    <w:name w:val="样式 宋体 小四 行距: 1.5 倍行距"/>
    <w:basedOn w:val="1"/>
    <w:qFormat/>
    <w:uiPriority w:val="99"/>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2">
    <w:name w:val="标书（正文）"/>
    <w:basedOn w:val="1"/>
    <w:qFormat/>
    <w:uiPriority w:val="99"/>
    <w:pPr>
      <w:spacing w:after="0" w:line="360" w:lineRule="auto"/>
      <w:ind w:firstLine="560" w:firstLineChars="200"/>
    </w:pPr>
    <w:rPr>
      <w:rFonts w:ascii="宋体" w:hAnsi="宋体"/>
      <w:kern w:val="10"/>
      <w:sz w:val="28"/>
      <w:szCs w:val="28"/>
    </w:rPr>
  </w:style>
  <w:style w:type="paragraph" w:customStyle="1" w:styleId="223">
    <w:name w:val="样式 样式 样式 标题 2 + 宋体 五号 非加粗 黑色 + 段前: 6 磅 段后: 0 磅 行距: 单倍行距 + 段前: 12..."/>
    <w:basedOn w:val="1"/>
    <w:qFormat/>
    <w:uiPriority w:val="99"/>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4">
    <w:name w:val="Char1 Char Char Char Char Char Char_0"/>
    <w:basedOn w:val="1"/>
    <w:qFormat/>
    <w:uiPriority w:val="99"/>
    <w:pPr>
      <w:spacing w:after="0" w:line="240" w:lineRule="auto"/>
    </w:pPr>
    <w:rPr>
      <w:rFonts w:ascii="Tahoma" w:hAnsi="Tahoma"/>
      <w:sz w:val="24"/>
      <w:szCs w:val="20"/>
    </w:rPr>
  </w:style>
  <w:style w:type="paragraph" w:customStyle="1" w:styleId="225">
    <w:name w:val="RFI Heading 3rd Level"/>
    <w:basedOn w:val="1"/>
    <w:qFormat/>
    <w:uiPriority w:val="99"/>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6">
    <w:name w:val="MM Topic 4"/>
    <w:basedOn w:val="7"/>
    <w:qFormat/>
    <w:uiPriority w:val="99"/>
    <w:pPr>
      <w:tabs>
        <w:tab w:val="left" w:pos="1984"/>
      </w:tabs>
      <w:ind w:left="0" w:firstLine="0"/>
    </w:pPr>
  </w:style>
  <w:style w:type="paragraph" w:customStyle="1" w:styleId="227">
    <w:name w:val="No Spacing"/>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228">
    <w:name w:val="彩色底纹 - 强调文字颜色 11"/>
    <w:qFormat/>
    <w:uiPriority w:val="99"/>
    <w:pPr>
      <w:spacing w:after="200" w:line="276" w:lineRule="auto"/>
    </w:pPr>
    <w:rPr>
      <w:rFonts w:ascii="Times New Roman" w:hAnsi="Times New Roman" w:eastAsia="宋体" w:cs="Times New Roman"/>
      <w:kern w:val="2"/>
      <w:sz w:val="21"/>
      <w:szCs w:val="22"/>
      <w:lang w:val="en-US" w:eastAsia="zh-CN" w:bidi="ar-SA"/>
    </w:rPr>
  </w:style>
  <w:style w:type="paragraph" w:customStyle="1" w:styleId="229">
    <w:name w:val="Char1 Char Char Char Char Char Char1"/>
    <w:basedOn w:val="1"/>
    <w:qFormat/>
    <w:uiPriority w:val="99"/>
    <w:pPr>
      <w:spacing w:after="0" w:line="240" w:lineRule="auto"/>
    </w:pPr>
    <w:rPr>
      <w:rFonts w:ascii="Tahoma" w:hAnsi="Tahoma"/>
      <w:sz w:val="24"/>
      <w:szCs w:val="20"/>
    </w:rPr>
  </w:style>
  <w:style w:type="paragraph" w:customStyle="1" w:styleId="230">
    <w:name w:val="Revision"/>
    <w:unhideWhenUsed/>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31">
    <w:name w:val="默认段落字体 Para Char"/>
    <w:basedOn w:val="1"/>
    <w:qFormat/>
    <w:uiPriority w:val="99"/>
    <w:pPr>
      <w:spacing w:after="0" w:line="240" w:lineRule="auto"/>
    </w:pPr>
    <w:rPr>
      <w:rFonts w:ascii="Tahoma" w:hAnsi="Tahoma"/>
      <w:sz w:val="24"/>
      <w:szCs w:val="20"/>
    </w:rPr>
  </w:style>
  <w:style w:type="paragraph" w:customStyle="1" w:styleId="232">
    <w:name w:val="表格文字"/>
    <w:basedOn w:val="1"/>
    <w:qFormat/>
    <w:uiPriority w:val="99"/>
    <w:pPr>
      <w:spacing w:beforeLines="25" w:after="0" w:line="240" w:lineRule="auto"/>
    </w:pPr>
    <w:rPr>
      <w:rFonts w:ascii="Times New (W1)" w:hAnsi="Times New (W1)"/>
      <w:spacing w:val="10"/>
      <w:szCs w:val="24"/>
    </w:rPr>
  </w:style>
  <w:style w:type="paragraph" w:customStyle="1" w:styleId="233">
    <w:name w:val="样式 标题 2H2第一章 标题 2Heading 2 HiddenHeading 2 CCBSheading 2h2..."/>
    <w:basedOn w:val="5"/>
    <w:qFormat/>
    <w:uiPriority w:val="99"/>
    <w:pPr>
      <w:tabs>
        <w:tab w:val="left" w:pos="-2493"/>
      </w:tabs>
    </w:pPr>
    <w:rPr>
      <w:szCs w:val="20"/>
    </w:rPr>
  </w:style>
  <w:style w:type="paragraph" w:customStyle="1" w:styleId="234">
    <w:name w:val="列出段落11"/>
    <w:basedOn w:val="1"/>
    <w:qFormat/>
    <w:uiPriority w:val="99"/>
    <w:pPr>
      <w:spacing w:after="0" w:line="240" w:lineRule="auto"/>
      <w:ind w:firstLine="420" w:firstLineChars="200"/>
    </w:pPr>
    <w:rPr>
      <w:rFonts w:ascii="Times New Roman" w:hAnsi="Times New Roman"/>
    </w:rPr>
  </w:style>
  <w:style w:type="paragraph" w:customStyle="1" w:styleId="235">
    <w:name w:val="p0"/>
    <w:basedOn w:val="1"/>
    <w:qFormat/>
    <w:uiPriority w:val="99"/>
    <w:pPr>
      <w:widowControl/>
      <w:spacing w:before="100" w:beforeAutospacing="1" w:after="100" w:afterAutospacing="1" w:line="240" w:lineRule="auto"/>
      <w:jc w:val="left"/>
    </w:pPr>
    <w:rPr>
      <w:rFonts w:ascii="宋体" w:hAnsi="宋体" w:cs="宋体"/>
      <w:kern w:val="0"/>
      <w:sz w:val="24"/>
      <w:szCs w:val="24"/>
    </w:rPr>
  </w:style>
  <w:style w:type="paragraph" w:customStyle="1" w:styleId="236">
    <w:name w:val="修订2"/>
    <w:unhideWhenUsed/>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237">
    <w:name w:val="样式 标题 3 + (西文) 仿宋_GB2312 (中文) 仿宋_GB2312 四号"/>
    <w:basedOn w:val="6"/>
    <w:qFormat/>
    <w:uiPriority w:val="99"/>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8">
    <w:name w:val="样式 小四2"/>
    <w:basedOn w:val="1"/>
    <w:qFormat/>
    <w:uiPriority w:val="99"/>
    <w:pPr>
      <w:spacing w:after="0" w:line="240" w:lineRule="auto"/>
    </w:pPr>
    <w:rPr>
      <w:rFonts w:ascii="宋体" w:hAnsi="宋体"/>
      <w:sz w:val="24"/>
      <w:szCs w:val="24"/>
    </w:rPr>
  </w:style>
  <w:style w:type="paragraph" w:customStyle="1" w:styleId="239">
    <w:name w:val="我的正文"/>
    <w:basedOn w:val="1"/>
    <w:qFormat/>
    <w:uiPriority w:val="99"/>
    <w:pPr>
      <w:spacing w:after="0" w:line="360" w:lineRule="auto"/>
      <w:ind w:firstLine="420" w:firstLineChars="200"/>
    </w:pPr>
    <w:rPr>
      <w:rFonts w:ascii="宋体" w:hAnsi="宋体"/>
      <w:szCs w:val="24"/>
    </w:rPr>
  </w:style>
  <w:style w:type="paragraph" w:customStyle="1" w:styleId="240">
    <w:name w:val="CD正文"/>
    <w:basedOn w:val="241"/>
    <w:qFormat/>
    <w:uiPriority w:val="99"/>
  </w:style>
  <w:style w:type="paragraph" w:customStyle="1" w:styleId="241">
    <w:name w:val="文章正文"/>
    <w:basedOn w:val="1"/>
    <w:qFormat/>
    <w:uiPriority w:val="99"/>
    <w:pPr>
      <w:spacing w:after="0" w:line="360" w:lineRule="auto"/>
      <w:ind w:firstLine="420"/>
    </w:pPr>
    <w:rPr>
      <w:rFonts w:ascii="Times New Roman" w:hAnsi="Times New Roman"/>
      <w:sz w:val="24"/>
      <w:szCs w:val="24"/>
    </w:rPr>
  </w:style>
  <w:style w:type="paragraph" w:customStyle="1" w:styleId="242">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3">
    <w:name w:val="0、正文"/>
    <w:basedOn w:val="1"/>
    <w:qFormat/>
    <w:uiPriority w:val="99"/>
    <w:pPr>
      <w:tabs>
        <w:tab w:val="left" w:pos="0"/>
      </w:tabs>
      <w:wordWrap w:val="0"/>
      <w:topLinePunct/>
      <w:spacing w:after="0" w:line="240" w:lineRule="auto"/>
    </w:pPr>
    <w:rPr>
      <w:rFonts w:ascii="Times New Roman" w:hAnsi="Times New Roman"/>
      <w:snapToGrid w:val="0"/>
    </w:rPr>
  </w:style>
  <w:style w:type="paragraph" w:customStyle="1" w:styleId="244">
    <w:name w:val="Char1 Char Char Char Char Char Char"/>
    <w:basedOn w:val="1"/>
    <w:qFormat/>
    <w:uiPriority w:val="99"/>
    <w:pPr>
      <w:spacing w:after="0" w:line="240" w:lineRule="auto"/>
    </w:pPr>
    <w:rPr>
      <w:rFonts w:ascii="Tahoma" w:hAnsi="Tahoma"/>
      <w:sz w:val="24"/>
      <w:szCs w:val="20"/>
    </w:rPr>
  </w:style>
  <w:style w:type="paragraph" w:customStyle="1" w:styleId="245">
    <w:name w:val="MM Topic 1"/>
    <w:basedOn w:val="4"/>
    <w:qFormat/>
    <w:uiPriority w:val="99"/>
    <w:pPr>
      <w:tabs>
        <w:tab w:val="left" w:pos="425"/>
      </w:tabs>
      <w:ind w:left="283"/>
    </w:pPr>
    <w:rPr>
      <w:sz w:val="44"/>
    </w:rPr>
  </w:style>
  <w:style w:type="paragraph" w:customStyle="1" w:styleId="246">
    <w:name w:val="样式 仿宋_GB2312 小四 左侧:  0.63 厘米"/>
    <w:basedOn w:val="1"/>
    <w:qFormat/>
    <w:uiPriority w:val="99"/>
    <w:pPr>
      <w:spacing w:before="120" w:after="120" w:line="360" w:lineRule="auto"/>
      <w:ind w:left="357" w:firstLine="200" w:firstLineChars="200"/>
    </w:pPr>
    <w:rPr>
      <w:rFonts w:ascii="仿宋_GB2312" w:hAnsi="仿宋_GB2312" w:eastAsia="仿宋_GB2312" w:cs="宋体"/>
      <w:sz w:val="24"/>
      <w:szCs w:val="20"/>
    </w:rPr>
  </w:style>
  <w:style w:type="paragraph" w:customStyle="1" w:styleId="247">
    <w:name w:val="默认段落字体 Para Char Char Char1 Char"/>
    <w:basedOn w:val="1"/>
    <w:next w:val="1"/>
    <w:qFormat/>
    <w:uiPriority w:val="99"/>
    <w:pPr>
      <w:spacing w:after="0" w:line="240" w:lineRule="atLeast"/>
      <w:ind w:left="420" w:firstLine="420"/>
      <w:jc w:val="left"/>
    </w:pPr>
    <w:rPr>
      <w:rFonts w:ascii="Times New Roman" w:hAnsi="Times New Roman"/>
      <w:kern w:val="0"/>
      <w:szCs w:val="21"/>
    </w:rPr>
  </w:style>
  <w:style w:type="paragraph" w:customStyle="1" w:styleId="248">
    <w:name w:val="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49">
    <w:name w:val="段"/>
    <w:qFormat/>
    <w:uiPriority w:val="99"/>
    <w:pPr>
      <w:autoSpaceDE w:val="0"/>
      <w:autoSpaceDN w:val="0"/>
      <w:spacing w:after="200" w:line="276" w:lineRule="auto"/>
      <w:ind w:firstLine="200" w:firstLineChars="200"/>
      <w:jc w:val="both"/>
    </w:pPr>
    <w:rPr>
      <w:rFonts w:ascii="宋体" w:hAnsi="Times New Roman" w:eastAsia="宋体" w:cs="Times New Roman"/>
      <w:kern w:val="0"/>
      <w:sz w:val="21"/>
      <w:szCs w:val="20"/>
      <w:lang w:val="en-US" w:eastAsia="zh-CN" w:bidi="ar-SA"/>
    </w:rPr>
  </w:style>
  <w:style w:type="paragraph" w:customStyle="1" w:styleId="250">
    <w:name w:val="样式 小四 首行缩进:  0.74 厘米"/>
    <w:basedOn w:val="1"/>
    <w:qFormat/>
    <w:uiPriority w:val="99"/>
    <w:pPr>
      <w:spacing w:before="100" w:beforeAutospacing="1" w:after="100" w:afterAutospacing="1" w:line="300" w:lineRule="auto"/>
      <w:ind w:firstLine="420" w:firstLineChars="175"/>
    </w:pPr>
    <w:rPr>
      <w:rFonts w:ascii="宋体" w:hAnsi="宋体"/>
      <w:sz w:val="24"/>
      <w:szCs w:val="24"/>
    </w:rPr>
  </w:style>
  <w:style w:type="paragraph" w:customStyle="1" w:styleId="251">
    <w:name w:val="Char Char Char Char"/>
    <w:basedOn w:val="1"/>
    <w:qFormat/>
    <w:uiPriority w:val="99"/>
    <w:pPr>
      <w:spacing w:after="0" w:line="240" w:lineRule="auto"/>
    </w:pPr>
    <w:rPr>
      <w:rFonts w:ascii="Tahoma" w:hAnsi="Tahoma"/>
      <w:sz w:val="24"/>
      <w:szCs w:val="20"/>
    </w:rPr>
  </w:style>
  <w:style w:type="paragraph" w:customStyle="1" w:styleId="252">
    <w:name w:val="正文2"/>
    <w:qFormat/>
    <w:uiPriority w:val="99"/>
    <w:pPr>
      <w:widowControl w:val="0"/>
      <w:adjustRightInd w:val="0"/>
      <w:spacing w:after="200"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3">
    <w:name w:val="样式 行距: 1.5 倍行距 左  3.42 字符"/>
    <w:basedOn w:val="1"/>
    <w:qFormat/>
    <w:uiPriority w:val="99"/>
    <w:pPr>
      <w:spacing w:after="0" w:line="360" w:lineRule="auto"/>
      <w:ind w:left="200" w:leftChars="200" w:firstLine="200" w:firstLineChars="200"/>
    </w:pPr>
    <w:rPr>
      <w:rFonts w:ascii="Times New Roman" w:hAnsi="Times New Roman" w:cs="宋体"/>
      <w:szCs w:val="20"/>
    </w:rPr>
  </w:style>
  <w:style w:type="paragraph" w:customStyle="1" w:styleId="254">
    <w:name w:val="表格"/>
    <w:basedOn w:val="1"/>
    <w:qFormat/>
    <w:uiPriority w:val="99"/>
    <w:pPr>
      <w:spacing w:after="0" w:line="400" w:lineRule="exact"/>
    </w:pPr>
    <w:rPr>
      <w:rFonts w:ascii="Times New Roman" w:hAnsi="Times New Roman"/>
      <w:sz w:val="24"/>
      <w:szCs w:val="24"/>
    </w:rPr>
  </w:style>
  <w:style w:type="paragraph" w:customStyle="1" w:styleId="255">
    <w:name w:val="00、封面正文(与其他内容无关的格式)"/>
    <w:basedOn w:val="1"/>
    <w:qFormat/>
    <w:uiPriority w:val="99"/>
    <w:pPr>
      <w:tabs>
        <w:tab w:val="left" w:pos="0"/>
      </w:tabs>
      <w:spacing w:after="0" w:line="240" w:lineRule="auto"/>
    </w:pPr>
    <w:rPr>
      <w:rFonts w:ascii="宋体" w:hAnsi="宋体"/>
    </w:rPr>
  </w:style>
  <w:style w:type="paragraph" w:customStyle="1" w:styleId="256">
    <w:name w:val="MM Topic 9"/>
    <w:basedOn w:val="12"/>
    <w:qFormat/>
    <w:uiPriority w:val="99"/>
    <w:pPr>
      <w:tabs>
        <w:tab w:val="left" w:pos="5102"/>
      </w:tabs>
    </w:pPr>
  </w:style>
  <w:style w:type="paragraph" w:customStyle="1" w:styleId="257">
    <w:name w:val="9、表格内正文"/>
    <w:basedOn w:val="1"/>
    <w:qFormat/>
    <w:uiPriority w:val="99"/>
    <w:pPr>
      <w:tabs>
        <w:tab w:val="left" w:pos="0"/>
      </w:tabs>
      <w:wordWrap w:val="0"/>
      <w:topLinePunct/>
      <w:spacing w:after="0" w:line="360" w:lineRule="exact"/>
    </w:pPr>
    <w:rPr>
      <w:rFonts w:ascii="Times New Roman" w:hAnsi="Times New Roman"/>
      <w:snapToGrid w:val="0"/>
    </w:rPr>
  </w:style>
  <w:style w:type="paragraph" w:customStyle="1" w:styleId="258">
    <w:name w:val="MM Topic 2"/>
    <w:basedOn w:val="5"/>
    <w:qFormat/>
    <w:uiPriority w:val="99"/>
    <w:pPr>
      <w:tabs>
        <w:tab w:val="left" w:pos="992"/>
      </w:tabs>
      <w:ind w:left="0" w:firstLine="0"/>
    </w:pPr>
  </w:style>
  <w:style w:type="paragraph" w:customStyle="1" w:styleId="259">
    <w:name w:val="样式 标题 5 + 倾斜"/>
    <w:basedOn w:val="8"/>
    <w:qFormat/>
    <w:uiPriority w:val="99"/>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60">
    <w:name w:val="彩色列表 - 强调文字颜色 12"/>
    <w:basedOn w:val="1"/>
    <w:qFormat/>
    <w:uiPriority w:val="99"/>
    <w:pPr>
      <w:ind w:firstLine="420" w:firstLineChars="200"/>
    </w:pPr>
  </w:style>
  <w:style w:type="paragraph" w:customStyle="1" w:styleId="261">
    <w:name w:val="列出段落4"/>
    <w:basedOn w:val="1"/>
    <w:qFormat/>
    <w:uiPriority w:val="99"/>
    <w:pPr>
      <w:ind w:firstLine="420" w:firstLineChars="200"/>
    </w:pPr>
    <w:rPr>
      <w:rFonts w:ascii="Times New Roman" w:hAnsi="Times New Roman"/>
      <w:szCs w:val="24"/>
    </w:rPr>
  </w:style>
  <w:style w:type="paragraph" w:customStyle="1" w:styleId="262">
    <w:name w:val="4、“1.1”正文四级标题"/>
    <w:basedOn w:val="1"/>
    <w:qFormat/>
    <w:uiPriority w:val="99"/>
    <w:pPr>
      <w:tabs>
        <w:tab w:val="left" w:pos="0"/>
        <w:tab w:val="left" w:pos="1544"/>
      </w:tabs>
      <w:spacing w:after="0" w:line="240" w:lineRule="auto"/>
      <w:ind w:left="1544" w:firstLine="803"/>
    </w:pPr>
    <w:rPr>
      <w:rFonts w:ascii="Times New Roman" w:hAnsi="Times New Roman"/>
    </w:rPr>
  </w:style>
  <w:style w:type="paragraph" w:customStyle="1" w:styleId="263">
    <w:name w:val="正文-缩进"/>
    <w:basedOn w:val="1"/>
    <w:qFormat/>
    <w:uiPriority w:val="99"/>
    <w:pPr>
      <w:spacing w:line="480" w:lineRule="auto"/>
      <w:ind w:firstLine="200" w:firstLineChars="200"/>
    </w:pPr>
    <w:rPr>
      <w:rFonts w:ascii="宋体" w:hAnsi="宋体"/>
    </w:rPr>
  </w:style>
  <w:style w:type="paragraph" w:customStyle="1" w:styleId="264">
    <w:name w:val="01、普通正文"/>
    <w:basedOn w:val="1"/>
    <w:qFormat/>
    <w:uiPriority w:val="99"/>
    <w:pPr>
      <w:tabs>
        <w:tab w:val="left" w:pos="0"/>
      </w:tabs>
      <w:wordWrap w:val="0"/>
      <w:topLinePunct/>
      <w:spacing w:after="0" w:line="440" w:lineRule="exact"/>
      <w:ind w:firstLine="723" w:firstLineChars="200"/>
    </w:pPr>
    <w:rPr>
      <w:rFonts w:ascii="宋体" w:hAnsi="宋体"/>
      <w:snapToGrid w:val="0"/>
      <w:sz w:val="24"/>
    </w:rPr>
  </w:style>
  <w:style w:type="paragraph" w:customStyle="1" w:styleId="265">
    <w:name w:val="05、“(一)”正文三级标题"/>
    <w:basedOn w:val="1"/>
    <w:qFormat/>
    <w:uiPriority w:val="99"/>
    <w:pPr>
      <w:tabs>
        <w:tab w:val="left" w:pos="0"/>
      </w:tabs>
      <w:wordWrap w:val="0"/>
      <w:topLinePunct/>
      <w:spacing w:after="0" w:line="240" w:lineRule="auto"/>
      <w:ind w:left="1693" w:firstLine="803" w:firstLineChars="200"/>
    </w:pPr>
    <w:rPr>
      <w:rFonts w:ascii="宋体" w:hAnsi="宋体"/>
    </w:rPr>
  </w:style>
  <w:style w:type="paragraph" w:customStyle="1" w:styleId="266">
    <w:name w:val="文章正文 Char Char1"/>
    <w:basedOn w:val="1"/>
    <w:qFormat/>
    <w:uiPriority w:val="99"/>
    <w:pPr>
      <w:spacing w:after="0" w:line="360" w:lineRule="auto"/>
      <w:ind w:firstLine="420"/>
    </w:pPr>
    <w:rPr>
      <w:rFonts w:ascii="Times New Roman" w:hAnsi="Times New Roman"/>
      <w:sz w:val="24"/>
      <w:szCs w:val="24"/>
    </w:rPr>
  </w:style>
  <w:style w:type="paragraph" w:customStyle="1" w:styleId="267">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8">
    <w:name w:val="网格型1"/>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9">
    <w:name w:val="标题 2 Char1"/>
    <w:basedOn w:val="47"/>
    <w:semiHidden/>
    <w:qFormat/>
    <w:uiPriority w:val="99"/>
    <w:rPr>
      <w:rFonts w:asciiTheme="majorHAnsi" w:hAnsiTheme="majorHAnsi" w:eastAsiaTheme="majorEastAsia" w:cstheme="majorBidi"/>
      <w:b/>
      <w:bCs/>
      <w:kern w:val="2"/>
      <w:sz w:val="32"/>
      <w:szCs w:val="32"/>
    </w:rPr>
  </w:style>
  <w:style w:type="character" w:customStyle="1" w:styleId="270">
    <w:name w:val="标题 3 Char1"/>
    <w:basedOn w:val="47"/>
    <w:semiHidden/>
    <w:qFormat/>
    <w:uiPriority w:val="99"/>
    <w:rPr>
      <w:rFonts w:ascii="Calibri" w:hAnsi="Calibri"/>
      <w:b/>
      <w:bCs/>
      <w:kern w:val="2"/>
      <w:sz w:val="32"/>
      <w:szCs w:val="32"/>
    </w:rPr>
  </w:style>
  <w:style w:type="character" w:customStyle="1" w:styleId="271">
    <w:name w:val="标题 4 Char1"/>
    <w:basedOn w:val="47"/>
    <w:semiHidden/>
    <w:qFormat/>
    <w:uiPriority w:val="9"/>
    <w:rPr>
      <w:rFonts w:asciiTheme="majorHAnsi" w:hAnsiTheme="majorHAnsi" w:eastAsiaTheme="majorEastAsia" w:cstheme="majorBidi"/>
      <w:b/>
      <w:bCs/>
      <w:kern w:val="2"/>
      <w:sz w:val="28"/>
      <w:szCs w:val="28"/>
    </w:rPr>
  </w:style>
  <w:style w:type="character" w:customStyle="1" w:styleId="272">
    <w:name w:val="正文文本缩进 2 Char1"/>
    <w:basedOn w:val="47"/>
    <w:semiHidden/>
    <w:qFormat/>
    <w:uiPriority w:val="99"/>
    <w:rPr>
      <w:rFonts w:hint="default" w:ascii="Calibri" w:hAnsi="Calibri"/>
      <w:kern w:val="2"/>
      <w:sz w:val="21"/>
      <w:szCs w:val="22"/>
    </w:rPr>
  </w:style>
  <w:style w:type="character" w:customStyle="1" w:styleId="273">
    <w:name w:val="批注框文本 Char1"/>
    <w:basedOn w:val="47"/>
    <w:semiHidden/>
    <w:qFormat/>
    <w:uiPriority w:val="99"/>
    <w:rPr>
      <w:rFonts w:hint="default" w:ascii="Calibri" w:hAnsi="Calibri"/>
      <w:kern w:val="2"/>
      <w:sz w:val="18"/>
      <w:szCs w:val="18"/>
    </w:rPr>
  </w:style>
  <w:style w:type="character" w:customStyle="1" w:styleId="274">
    <w:name w:val="页眉 Char1"/>
    <w:basedOn w:val="47"/>
    <w:semiHidden/>
    <w:qFormat/>
    <w:uiPriority w:val="99"/>
    <w:rPr>
      <w:rFonts w:hint="default" w:ascii="Calibri" w:hAnsi="Calibri"/>
      <w:kern w:val="2"/>
      <w:sz w:val="18"/>
      <w:szCs w:val="18"/>
    </w:rPr>
  </w:style>
  <w:style w:type="character" w:customStyle="1" w:styleId="275">
    <w:name w:val="qowt-font2"/>
    <w:basedOn w:val="47"/>
    <w:qFormat/>
    <w:uiPriority w:val="0"/>
  </w:style>
  <w:style w:type="paragraph" w:customStyle="1" w:styleId="276">
    <w:name w:val="1 Char2"/>
    <w:basedOn w:val="1"/>
    <w:qFormat/>
    <w:uiPriority w:val="99"/>
    <w:pPr>
      <w:widowControl/>
      <w:spacing w:after="160" w:line="240" w:lineRule="exact"/>
      <w:jc w:val="left"/>
    </w:pPr>
    <w:rPr>
      <w:rFonts w:ascii="Tahoma" w:hAnsi="Tahoma" w:eastAsia="Times New Roman"/>
      <w:kern w:val="0"/>
      <w:sz w:val="24"/>
      <w:szCs w:val="24"/>
      <w:lang w:eastAsia="en-US"/>
    </w:rPr>
  </w:style>
  <w:style w:type="character" w:customStyle="1" w:styleId="277">
    <w:name w:val="副标题 Char3"/>
    <w:basedOn w:val="47"/>
    <w:qFormat/>
    <w:uiPriority w:val="11"/>
    <w:rPr>
      <w:rFonts w:hint="eastAsia" w:eastAsia="宋体" w:asciiTheme="majorHAnsi" w:hAnsiTheme="majorHAnsi" w:cstheme="majorBidi"/>
      <w:b/>
      <w:bCs/>
      <w:kern w:val="28"/>
      <w:sz w:val="32"/>
      <w:szCs w:val="32"/>
    </w:rPr>
  </w:style>
  <w:style w:type="character" w:customStyle="1" w:styleId="278">
    <w:name w:val="正文文本缩进 3 Char2"/>
    <w:basedOn w:val="47"/>
    <w:semiHidden/>
    <w:qFormat/>
    <w:uiPriority w:val="99"/>
    <w:rPr>
      <w:rFonts w:hint="default" w:ascii="Calibri" w:hAnsi="Calibri" w:eastAsia="宋体" w:cs="Times New Roman"/>
      <w:sz w:val="16"/>
      <w:szCs w:val="16"/>
    </w:rPr>
  </w:style>
  <w:style w:type="character" w:customStyle="1" w:styleId="279">
    <w:name w:val="批注文字 Char3"/>
    <w:basedOn w:val="47"/>
    <w:semiHidden/>
    <w:qFormat/>
    <w:uiPriority w:val="99"/>
    <w:rPr>
      <w:rFonts w:hint="default" w:ascii="Calibri" w:hAnsi="Calibri" w:eastAsia="宋体" w:cs="Times New Roman"/>
    </w:rPr>
  </w:style>
  <w:style w:type="character" w:customStyle="1" w:styleId="280">
    <w:name w:val="正文文本 2 Char2"/>
    <w:basedOn w:val="47"/>
    <w:semiHidden/>
    <w:qFormat/>
    <w:uiPriority w:val="99"/>
    <w:rPr>
      <w:rFonts w:hint="default" w:ascii="Calibri" w:hAnsi="Calibri" w:eastAsia="宋体" w:cs="Times New Roman"/>
    </w:rPr>
  </w:style>
  <w:style w:type="character" w:customStyle="1" w:styleId="281">
    <w:name w:val="正文文本缩进 Char2"/>
    <w:basedOn w:val="47"/>
    <w:semiHidden/>
    <w:qFormat/>
    <w:uiPriority w:val="99"/>
    <w:rPr>
      <w:rFonts w:hint="default" w:ascii="Calibri" w:hAnsi="Calibri" w:eastAsia="宋体" w:cs="Times New Roman"/>
    </w:rPr>
  </w:style>
  <w:style w:type="character" w:customStyle="1" w:styleId="282">
    <w:name w:val="脚注文本 Char2"/>
    <w:basedOn w:val="47"/>
    <w:semiHidden/>
    <w:qFormat/>
    <w:uiPriority w:val="99"/>
    <w:rPr>
      <w:rFonts w:hint="default" w:ascii="Calibri" w:hAnsi="Calibri" w:eastAsia="宋体" w:cs="Times New Roman"/>
      <w:sz w:val="18"/>
      <w:szCs w:val="18"/>
    </w:rPr>
  </w:style>
  <w:style w:type="character" w:customStyle="1" w:styleId="283">
    <w:name w:val="批注主题 Char2"/>
    <w:basedOn w:val="279"/>
    <w:semiHidden/>
    <w:qFormat/>
    <w:uiPriority w:val="99"/>
    <w:rPr>
      <w:rFonts w:hint="default" w:ascii="Calibri" w:hAnsi="Calibri" w:eastAsia="宋体" w:cs="Times New Roman"/>
      <w:b/>
      <w:bCs/>
    </w:rPr>
  </w:style>
  <w:style w:type="character" w:customStyle="1" w:styleId="284">
    <w:name w:val="日期 Char2"/>
    <w:basedOn w:val="47"/>
    <w:semiHidden/>
    <w:qFormat/>
    <w:uiPriority w:val="99"/>
    <w:rPr>
      <w:rFonts w:hint="default" w:ascii="Calibri" w:hAnsi="Calibri" w:eastAsia="宋体" w:cs="Times New Roman"/>
    </w:rPr>
  </w:style>
  <w:style w:type="character" w:customStyle="1" w:styleId="285">
    <w:name w:val="正文文本 3 Char2"/>
    <w:basedOn w:val="47"/>
    <w:semiHidden/>
    <w:qFormat/>
    <w:uiPriority w:val="99"/>
    <w:rPr>
      <w:rFonts w:hint="default" w:ascii="Calibri" w:hAnsi="Calibri" w:eastAsia="宋体" w:cs="Times New Roman"/>
      <w:sz w:val="16"/>
      <w:szCs w:val="16"/>
    </w:rPr>
  </w:style>
  <w:style w:type="character" w:customStyle="1" w:styleId="286">
    <w:name w:val="文档结构图 Char2"/>
    <w:basedOn w:val="47"/>
    <w:semiHidden/>
    <w:qFormat/>
    <w:uiPriority w:val="99"/>
    <w:rPr>
      <w:rFonts w:hint="eastAsia" w:ascii="宋体" w:hAnsi="Calibri" w:eastAsia="宋体" w:cs="Times New Roman"/>
      <w:sz w:val="18"/>
      <w:szCs w:val="18"/>
    </w:rPr>
  </w:style>
  <w:style w:type="character" w:customStyle="1" w:styleId="287">
    <w:name w:val="页脚 Char2"/>
    <w:basedOn w:val="47"/>
    <w:semiHidden/>
    <w:qFormat/>
    <w:uiPriority w:val="99"/>
    <w:rPr>
      <w:rFonts w:hint="default" w:ascii="Calibri" w:hAnsi="Calibri" w:eastAsia="宋体" w:cs="Times New Roman"/>
      <w:sz w:val="18"/>
      <w:szCs w:val="18"/>
    </w:rPr>
  </w:style>
  <w:style w:type="character" w:customStyle="1" w:styleId="288">
    <w:name w:val="纯文本 Char3"/>
    <w:basedOn w:val="47"/>
    <w:semiHidden/>
    <w:qFormat/>
    <w:uiPriority w:val="99"/>
    <w:rPr>
      <w:rFonts w:hint="eastAsia" w:ascii="宋体" w:hAnsi="Courier New" w:eastAsia="宋体" w:cs="Courier New"/>
      <w:szCs w:val="21"/>
    </w:rPr>
  </w:style>
  <w:style w:type="character" w:customStyle="1" w:styleId="289">
    <w:name w:val="正文首行缩进 Char2"/>
    <w:basedOn w:val="98"/>
    <w:semiHidden/>
    <w:qFormat/>
    <w:uiPriority w:val="99"/>
    <w:rPr>
      <w:rFonts w:hint="default" w:ascii="Calibri" w:hAnsi="Calibri" w:eastAsia="宋体" w:cs="Times New Roman"/>
    </w:rPr>
  </w:style>
  <w:style w:type="paragraph" w:customStyle="1" w:styleId="290">
    <w:name w:val="_Style 4"/>
    <w:basedOn w:val="1"/>
    <w:qFormat/>
    <w:uiPriority w:val="0"/>
    <w:pPr>
      <w:ind w:firstLine="420" w:firstLineChars="200"/>
    </w:pPr>
    <w:rPr>
      <w:rFonts w:ascii="Calibri" w:hAnsi="Calibri"/>
      <w:szCs w:val="22"/>
    </w:rPr>
  </w:style>
  <w:style w:type="paragraph" w:customStyle="1" w:styleId="291">
    <w:name w:val="Body text|1"/>
    <w:basedOn w:val="1"/>
    <w:qFormat/>
    <w:uiPriority w:val="0"/>
    <w:pPr>
      <w:spacing w:line="398" w:lineRule="auto"/>
    </w:pPr>
    <w:rPr>
      <w:rFonts w:ascii="宋体" w:hAnsi="宋体" w:cs="宋体"/>
      <w:sz w:val="20"/>
      <w:szCs w:val="20"/>
      <w:lang w:val="zh-TW" w:eastAsia="zh-TW" w:bidi="zh-TW"/>
    </w:rPr>
  </w:style>
  <w:style w:type="paragraph" w:customStyle="1" w:styleId="292">
    <w:name w:val="正文（绿盟科技）"/>
    <w:qFormat/>
    <w:uiPriority w:val="99"/>
    <w:pPr>
      <w:spacing w:after="200"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6289</Words>
  <Characters>35852</Characters>
  <Lines>298</Lines>
  <Paragraphs>84</Paragraphs>
  <TotalTime>0</TotalTime>
  <ScaleCrop>false</ScaleCrop>
  <LinksUpToDate>false</LinksUpToDate>
  <CharactersWithSpaces>42057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2021-02-18T04:46:00Z</dcterms:created>
  <dc:creator>负 大于</dc:creator>
  <cp:lastModifiedBy>肖迪</cp:lastModifiedBy>
  <cp:lastPrinted>2021-07-13T05:44:00Z</cp:lastPrinted>
  <dcterms:modified xsi:type="dcterms:W3CDTF">2021-08-04T06:09:03Z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DC2D1E7B1C8B4EC99ECA9DE0483D45C6</vt:lpwstr>
  </property>
  <property fmtid="{D5CDD505-2E9C-101B-9397-08002B2CF9AE}" pid="3" name="KSOProductBuildVer">
    <vt:lpwstr>2052-11.8.6.9023</vt:lpwstr>
  </property>
</Properties>
</file>