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项目名称：</w:t>
      </w:r>
      <w:r>
        <w:rPr>
          <w:rFonts w:ascii="华文中宋" w:hAnsi="华文中宋" w:eastAsia="华文中宋"/>
          <w:spacing w:val="20"/>
          <w:sz w:val="32"/>
          <w:szCs w:val="32"/>
        </w:rPr>
        <w:t xml:space="preserve"> </w:t>
      </w:r>
      <w:r>
        <w:rPr>
          <w:rFonts w:hint="eastAsia" w:ascii="华文中宋" w:hAnsi="华文中宋" w:eastAsia="华文中宋"/>
          <w:spacing w:val="20"/>
          <w:sz w:val="28"/>
          <w:szCs w:val="28"/>
        </w:rPr>
        <w:t>成都市武侯区疾病预防控制中心轿车采购项目</w:t>
      </w: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采购项目编号：武侯政采（2021）A0090号</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中国·成都</w:t>
      </w:r>
    </w:p>
    <w:p>
      <w:pPr>
        <w:spacing w:line="560" w:lineRule="exact"/>
        <w:jc w:val="center"/>
        <w:rPr>
          <w:rFonts w:ascii="华文中宋" w:hAnsi="华文中宋" w:eastAsia="华文中宋"/>
          <w:spacing w:val="20"/>
          <w:sz w:val="32"/>
          <w:szCs w:val="32"/>
          <w:u w:val="single"/>
        </w:rPr>
      </w:pPr>
      <w:r>
        <w:rPr>
          <w:rFonts w:hint="eastAsia" w:ascii="华文中宋" w:hAnsi="华文中宋" w:eastAsia="华文中宋"/>
          <w:color w:val="000000" w:themeColor="text1"/>
          <w:sz w:val="32"/>
          <w:szCs w:val="32"/>
          <w14:textFill>
            <w14:solidFill>
              <w14:schemeClr w14:val="tx1"/>
            </w14:solidFill>
          </w14:textFill>
        </w:rPr>
        <w:t>成都市武侯区疾病预防控制中心</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二○二一年</w:t>
      </w:r>
      <w:r>
        <w:rPr>
          <w:rFonts w:hint="eastAsia" w:ascii="华文中宋" w:hAnsi="华文中宋" w:eastAsia="华文中宋"/>
          <w:bCs/>
          <w:sz w:val="32"/>
          <w:szCs w:val="32"/>
          <w:lang w:eastAsia="zh-CN"/>
        </w:rPr>
        <w:t>十</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fldChar w:fldCharType="begin"/>
      </w:r>
      <w:r>
        <w:instrText xml:space="preserve"> HYPERLINK \l "_Toc79742117" </w:instrText>
      </w:r>
      <w:r>
        <w:fldChar w:fldCharType="separate"/>
      </w:r>
      <w:r>
        <w:rPr>
          <w:rStyle w:val="47"/>
          <w:rFonts w:hint="eastAsia" w:ascii="Times New Roman" w:hAnsi="Times New Roman"/>
        </w:rPr>
        <w:t>第1章</w:t>
      </w:r>
      <w:r>
        <w:rPr>
          <w:rFonts w:asciiTheme="minorHAnsi" w:hAnsiTheme="minorHAnsi" w:eastAsiaTheme="minorEastAsia" w:cstheme="minorBidi"/>
          <w:bCs w:val="0"/>
          <w:caps w:val="0"/>
          <w:sz w:val="21"/>
          <w:szCs w:val="22"/>
        </w:rPr>
        <w:tab/>
      </w:r>
      <w:r>
        <w:rPr>
          <w:rStyle w:val="47"/>
          <w:rFonts w:hint="eastAsia"/>
        </w:rPr>
        <w:t>竞争性磋商邀请</w:t>
      </w:r>
      <w:r>
        <w:tab/>
      </w:r>
      <w:r>
        <w:fldChar w:fldCharType="begin"/>
      </w:r>
      <w:r>
        <w:instrText xml:space="preserve"> PAGEREF _Toc79742117 \h </w:instrText>
      </w:r>
      <w:r>
        <w:fldChar w:fldCharType="separate"/>
      </w:r>
      <w:r>
        <w:t>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"_Toc79742118" </w:instrText>
      </w:r>
      <w:r>
        <w:fldChar w:fldCharType="separate"/>
      </w:r>
      <w:r>
        <w:rPr>
          <w:rStyle w:val="47"/>
          <w:rFonts w:hint="eastAsia" w:ascii="Times New Roman" w:hAnsi="Times New Roman"/>
        </w:rPr>
        <w:t>第2章</w:t>
      </w:r>
      <w:r>
        <w:rPr>
          <w:rFonts w:asciiTheme="minorHAnsi" w:hAnsiTheme="minorHAnsi" w:eastAsiaTheme="minorEastAsia" w:cstheme="minorBidi"/>
          <w:bCs w:val="0"/>
          <w:caps w:val="0"/>
          <w:sz w:val="21"/>
          <w:szCs w:val="22"/>
        </w:rPr>
        <w:tab/>
      </w:r>
      <w:r>
        <w:rPr>
          <w:rStyle w:val="47"/>
          <w:rFonts w:hint="eastAsia"/>
        </w:rPr>
        <w:t>供应商须知</w:t>
      </w:r>
      <w:r>
        <w:tab/>
      </w:r>
      <w:r>
        <w:fldChar w:fldCharType="begin"/>
      </w:r>
      <w:r>
        <w:instrText xml:space="preserve"> PAGEREF _Toc79742118 \h </w:instrText>
      </w:r>
      <w:r>
        <w:fldChar w:fldCharType="separate"/>
      </w:r>
      <w:r>
        <w:t>6</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"_Toc79742119" </w:instrText>
      </w:r>
      <w:r>
        <w:fldChar w:fldCharType="separate"/>
      </w:r>
      <w:r>
        <w:rPr>
          <w:rStyle w:val="47"/>
          <w:rFonts w:ascii="Times New Roman" w:hAnsi="Times New Roman"/>
        </w:rPr>
        <w:t>2.1</w:t>
      </w:r>
      <w:r>
        <w:rPr>
          <w:rStyle w:val="47"/>
          <w:rFonts w:hint="eastAsia"/>
        </w:rPr>
        <w:t xml:space="preserve"> 供应商须知前附表</w:t>
      </w:r>
      <w:r>
        <w:tab/>
      </w:r>
      <w:r>
        <w:fldChar w:fldCharType="begin"/>
      </w:r>
      <w:r>
        <w:instrText xml:space="preserve"> PAGEREF _Toc79742119 \h </w:instrText>
      </w:r>
      <w:r>
        <w:fldChar w:fldCharType="separate"/>
      </w:r>
      <w:r>
        <w:t>6</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"_Toc79742120" </w:instrText>
      </w:r>
      <w:r>
        <w:fldChar w:fldCharType="separate"/>
      </w:r>
      <w:r>
        <w:rPr>
          <w:rStyle w:val="47"/>
          <w:rFonts w:ascii="Times New Roman" w:hAnsi="Times New Roman"/>
        </w:rPr>
        <w:t>2.2</w:t>
      </w:r>
      <w:r>
        <w:rPr>
          <w:rStyle w:val="47"/>
          <w:rFonts w:hint="eastAsia"/>
        </w:rPr>
        <w:t xml:space="preserve"> 总则</w:t>
      </w:r>
      <w:r>
        <w:tab/>
      </w:r>
      <w:r>
        <w:fldChar w:fldCharType="begin"/>
      </w:r>
      <w:r>
        <w:instrText xml:space="preserve"> PAGEREF _Toc79742120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"_Toc79742121" </w:instrText>
      </w:r>
      <w:r>
        <w:fldChar w:fldCharType="separate"/>
      </w:r>
      <w:r>
        <w:rPr>
          <w:rStyle w:val="47"/>
          <w:rFonts w:ascii="Times New Roman" w:hAnsi="Times New Roman"/>
        </w:rPr>
        <w:t>2.3</w:t>
      </w:r>
      <w:r>
        <w:rPr>
          <w:rStyle w:val="47"/>
          <w:rFonts w:hint="eastAsia"/>
        </w:rPr>
        <w:t xml:space="preserve"> 磋商文件</w:t>
      </w:r>
      <w:r>
        <w:tab/>
      </w:r>
      <w:r>
        <w:fldChar w:fldCharType="begin"/>
      </w:r>
      <w:r>
        <w:instrText xml:space="preserve"> PAGEREF _Toc79742121 \h </w:instrText>
      </w:r>
      <w:r>
        <w:fldChar w:fldCharType="separate"/>
      </w:r>
      <w:r>
        <w:t>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"_Toc79742122" </w:instrText>
      </w:r>
      <w:r>
        <w:fldChar w:fldCharType="separate"/>
      </w:r>
      <w:r>
        <w:rPr>
          <w:rStyle w:val="47"/>
          <w:rFonts w:ascii="Times New Roman" w:hAnsi="Times New Roman"/>
        </w:rPr>
        <w:t>2.4</w:t>
      </w:r>
      <w:r>
        <w:rPr>
          <w:rStyle w:val="47"/>
          <w:rFonts w:hint="eastAsia"/>
        </w:rPr>
        <w:t xml:space="preserve"> 响应文件</w:t>
      </w:r>
      <w:r>
        <w:tab/>
      </w:r>
      <w:r>
        <w:fldChar w:fldCharType="begin"/>
      </w:r>
      <w:r>
        <w:instrText xml:space="preserve"> PAGEREF _Toc79742122 \h </w:instrText>
      </w:r>
      <w:r>
        <w:fldChar w:fldCharType="separate"/>
      </w:r>
      <w:r>
        <w:t>10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"_Toc79742123" </w:instrText>
      </w:r>
      <w:r>
        <w:fldChar w:fldCharType="separate"/>
      </w:r>
      <w:r>
        <w:rPr>
          <w:rStyle w:val="47"/>
          <w:rFonts w:ascii="Times New Roman" w:hAnsi="Times New Roman"/>
        </w:rPr>
        <w:t>2.5</w:t>
      </w:r>
      <w:r>
        <w:rPr>
          <w:rStyle w:val="47"/>
          <w:rFonts w:hint="eastAsia"/>
        </w:rPr>
        <w:t xml:space="preserve"> 磋商开启活动程序</w:t>
      </w:r>
      <w:r>
        <w:tab/>
      </w:r>
      <w:r>
        <w:fldChar w:fldCharType="begin"/>
      </w:r>
      <w:r>
        <w:instrText xml:space="preserve"> PAGEREF _Toc79742123 \h </w:instrText>
      </w:r>
      <w:r>
        <w:fldChar w:fldCharType="separate"/>
      </w:r>
      <w:r>
        <w:t>14</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"_Toc79742124" </w:instrText>
      </w:r>
      <w:r>
        <w:fldChar w:fldCharType="separate"/>
      </w:r>
      <w:r>
        <w:rPr>
          <w:rStyle w:val="47"/>
          <w:rFonts w:ascii="Times New Roman" w:hAnsi="Times New Roman"/>
        </w:rPr>
        <w:t>2.6</w:t>
      </w:r>
      <w:r>
        <w:rPr>
          <w:rStyle w:val="47"/>
          <w:rFonts w:hint="eastAsia"/>
        </w:rPr>
        <w:t xml:space="preserve"> 资格审查和评审</w:t>
      </w:r>
      <w:r>
        <w:tab/>
      </w:r>
      <w:r>
        <w:fldChar w:fldCharType="begin"/>
      </w:r>
      <w:r>
        <w:instrText xml:space="preserve"> PAGEREF _Toc79742124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"_Toc79742125" </w:instrText>
      </w:r>
      <w:r>
        <w:fldChar w:fldCharType="separate"/>
      </w:r>
      <w:r>
        <w:rPr>
          <w:rStyle w:val="47"/>
          <w:rFonts w:ascii="Times New Roman" w:hAnsi="Times New Roman"/>
        </w:rPr>
        <w:t>2.7</w:t>
      </w:r>
      <w:r>
        <w:rPr>
          <w:rStyle w:val="47"/>
          <w:rFonts w:hint="eastAsia"/>
        </w:rPr>
        <w:t xml:space="preserve"> 成交通知书</w:t>
      </w:r>
      <w:r>
        <w:tab/>
      </w:r>
      <w:r>
        <w:fldChar w:fldCharType="begin"/>
      </w:r>
      <w:r>
        <w:instrText xml:space="preserve"> PAGEREF _Toc79742125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"_Toc79742126" </w:instrText>
      </w:r>
      <w:r>
        <w:fldChar w:fldCharType="separate"/>
      </w:r>
      <w:r>
        <w:rPr>
          <w:rStyle w:val="47"/>
          <w:rFonts w:ascii="Times New Roman" w:hAnsi="Times New Roman"/>
        </w:rPr>
        <w:t>2.8</w:t>
      </w:r>
      <w:r>
        <w:rPr>
          <w:rStyle w:val="47"/>
          <w:rFonts w:hint="eastAsia"/>
        </w:rPr>
        <w:t xml:space="preserve"> 签订及履行合同和验收</w:t>
      </w:r>
      <w:r>
        <w:tab/>
      </w:r>
      <w:r>
        <w:fldChar w:fldCharType="begin"/>
      </w:r>
      <w:r>
        <w:instrText xml:space="preserve"> PAGEREF _Toc79742126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"_Toc79742127" </w:instrText>
      </w:r>
      <w:r>
        <w:fldChar w:fldCharType="separate"/>
      </w:r>
      <w:r>
        <w:rPr>
          <w:rStyle w:val="47"/>
          <w:rFonts w:ascii="Times New Roman" w:hAnsi="Times New Roman"/>
        </w:rPr>
        <w:t>2.9</w:t>
      </w:r>
      <w:r>
        <w:rPr>
          <w:rStyle w:val="47"/>
          <w:rFonts w:hint="eastAsia"/>
        </w:rPr>
        <w:t xml:space="preserve"> 竞争性磋商工作纪律及要求</w:t>
      </w:r>
      <w:r>
        <w:tab/>
      </w:r>
      <w:r>
        <w:fldChar w:fldCharType="begin"/>
      </w:r>
      <w:r>
        <w:instrText xml:space="preserve"> PAGEREF _Toc79742127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"_Toc79742128" </w:instrText>
      </w:r>
      <w:r>
        <w:fldChar w:fldCharType="separate"/>
      </w:r>
      <w:r>
        <w:rPr>
          <w:rStyle w:val="47"/>
          <w:rFonts w:ascii="Times New Roman" w:hAnsi="Times New Roman"/>
        </w:rPr>
        <w:t>2.10</w:t>
      </w:r>
      <w:r>
        <w:rPr>
          <w:rStyle w:val="47"/>
          <w:rFonts w:hint="eastAsia"/>
        </w:rPr>
        <w:t xml:space="preserve"> 询问、质疑和投诉</w:t>
      </w:r>
      <w:r>
        <w:tab/>
      </w:r>
      <w:r>
        <w:fldChar w:fldCharType="begin"/>
      </w:r>
      <w:r>
        <w:instrText xml:space="preserve"> PAGEREF _Toc79742128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"_Toc79742129" </w:instrText>
      </w:r>
      <w:r>
        <w:fldChar w:fldCharType="separate"/>
      </w:r>
      <w:r>
        <w:rPr>
          <w:rStyle w:val="47"/>
          <w:rFonts w:ascii="Times New Roman" w:hAnsi="Times New Roman"/>
        </w:rPr>
        <w:t>2.11</w:t>
      </w:r>
      <w:r>
        <w:rPr>
          <w:rStyle w:val="47"/>
          <w:rFonts w:hint="eastAsia"/>
        </w:rPr>
        <w:t xml:space="preserve"> 其他</w:t>
      </w:r>
      <w:r>
        <w:tab/>
      </w:r>
      <w:r>
        <w:fldChar w:fldCharType="begin"/>
      </w:r>
      <w:r>
        <w:instrText xml:space="preserve"> PAGEREF _Toc79742129 \h </w:instrText>
      </w:r>
      <w:r>
        <w:fldChar w:fldCharType="separate"/>
      </w:r>
      <w:r>
        <w:t>19</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"_Toc79742130" </w:instrText>
      </w:r>
      <w:r>
        <w:fldChar w:fldCharType="separate"/>
      </w:r>
      <w:r>
        <w:rPr>
          <w:rStyle w:val="47"/>
          <w:rFonts w:hint="eastAsia" w:ascii="Times New Roman" w:hAnsi="Times New Roman"/>
        </w:rPr>
        <w:t>第3章</w:t>
      </w:r>
      <w:r>
        <w:rPr>
          <w:rFonts w:asciiTheme="minorHAnsi" w:hAnsiTheme="minorHAnsi" w:eastAsiaTheme="minorEastAsia" w:cstheme="minorBidi"/>
          <w:bCs w:val="0"/>
          <w:caps w:val="0"/>
          <w:sz w:val="21"/>
          <w:szCs w:val="22"/>
        </w:rPr>
        <w:tab/>
      </w:r>
      <w:r>
        <w:rPr>
          <w:rStyle w:val="47"/>
          <w:rFonts w:hint="eastAsia"/>
        </w:rPr>
        <w:t>响应文件格式</w:t>
      </w:r>
      <w:r>
        <w:tab/>
      </w:r>
      <w:r>
        <w:fldChar w:fldCharType="begin"/>
      </w:r>
      <w:r>
        <w:instrText xml:space="preserve"> PAGEREF _Toc79742130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"_Toc79742131" </w:instrText>
      </w:r>
      <w:r>
        <w:fldChar w:fldCharType="separate"/>
      </w:r>
      <w:r>
        <w:rPr>
          <w:rStyle w:val="47"/>
          <w:rFonts w:ascii="Times New Roman" w:hAnsi="Times New Roman"/>
        </w:rPr>
        <w:t>3.1</w:t>
      </w:r>
      <w:r>
        <w:rPr>
          <w:rStyle w:val="47"/>
          <w:rFonts w:hint="eastAsia"/>
        </w:rPr>
        <w:t xml:space="preserve"> 资格性响应文件格式</w:t>
      </w:r>
      <w:r>
        <w:tab/>
      </w:r>
      <w:r>
        <w:fldChar w:fldCharType="begin"/>
      </w:r>
      <w:r>
        <w:instrText xml:space="preserve"> PAGEREF _Toc79742131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"_Toc79742132" </w:instrText>
      </w:r>
      <w:r>
        <w:fldChar w:fldCharType="separate"/>
      </w:r>
      <w:r>
        <w:rPr>
          <w:rStyle w:val="47"/>
          <w:rFonts w:ascii="Times New Roman" w:hAnsi="Times New Roman"/>
        </w:rPr>
        <w:t>3.2</w:t>
      </w:r>
      <w:r>
        <w:rPr>
          <w:rStyle w:val="47"/>
          <w:rFonts w:hint="eastAsia"/>
        </w:rPr>
        <w:t xml:space="preserve"> 技术、商务性响应文件格式</w:t>
      </w:r>
      <w:r>
        <w:tab/>
      </w:r>
      <w:r>
        <w:fldChar w:fldCharType="begin"/>
      </w:r>
      <w:r>
        <w:instrText xml:space="preserve"> PAGEREF _Toc79742132 \h </w:instrText>
      </w:r>
      <w:r>
        <w:fldChar w:fldCharType="separate"/>
      </w:r>
      <w:r>
        <w:t>28</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"_Toc79742133" </w:instrText>
      </w:r>
      <w:r>
        <w:fldChar w:fldCharType="separate"/>
      </w:r>
      <w:r>
        <w:rPr>
          <w:rStyle w:val="47"/>
          <w:rFonts w:hint="eastAsia" w:ascii="Times New Roman" w:hAnsi="Times New Roman"/>
        </w:rPr>
        <w:t>第4章</w:t>
      </w:r>
      <w:r>
        <w:rPr>
          <w:rFonts w:asciiTheme="minorHAnsi" w:hAnsiTheme="minorHAnsi" w:eastAsiaTheme="minorEastAsia" w:cstheme="minorBidi"/>
          <w:bCs w:val="0"/>
          <w:caps w:val="0"/>
          <w:sz w:val="21"/>
          <w:szCs w:val="22"/>
        </w:rPr>
        <w:tab/>
      </w:r>
      <w:r>
        <w:rPr>
          <w:rStyle w:val="47"/>
          <w:rFonts w:hint="eastAsia"/>
        </w:rPr>
        <w:t>技术、商务、服务及其他要求</w:t>
      </w:r>
      <w:r>
        <w:tab/>
      </w:r>
      <w:r>
        <w:fldChar w:fldCharType="begin"/>
      </w:r>
      <w:r>
        <w:instrText xml:space="preserve"> PAGEREF _Toc79742133 \h </w:instrText>
      </w:r>
      <w:r>
        <w:fldChar w:fldCharType="separate"/>
      </w:r>
      <w:r>
        <w:t>36</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"_Toc79742134" </w:instrText>
      </w:r>
      <w:r>
        <w:fldChar w:fldCharType="separate"/>
      </w:r>
      <w:r>
        <w:rPr>
          <w:rStyle w:val="47"/>
          <w:rFonts w:hint="eastAsia" w:ascii="Times New Roman" w:hAnsi="Times New Roman"/>
        </w:rPr>
        <w:t>第5章</w:t>
      </w:r>
      <w:r>
        <w:rPr>
          <w:rFonts w:asciiTheme="minorHAnsi" w:hAnsiTheme="minorHAnsi" w:eastAsiaTheme="minorEastAsia" w:cstheme="minorBidi"/>
          <w:bCs w:val="0"/>
          <w:caps w:val="0"/>
          <w:sz w:val="21"/>
          <w:szCs w:val="22"/>
        </w:rPr>
        <w:tab/>
      </w:r>
      <w:r>
        <w:rPr>
          <w:rStyle w:val="47"/>
          <w:rFonts w:hint="eastAsia"/>
        </w:rPr>
        <w:t>磋商办法</w:t>
      </w:r>
      <w:r>
        <w:tab/>
      </w:r>
      <w:r>
        <w:fldChar w:fldCharType="begin"/>
      </w:r>
      <w:r>
        <w:instrText xml:space="preserve"> PAGEREF _Toc79742134 \h </w:instrText>
      </w:r>
      <w:r>
        <w:fldChar w:fldCharType="separate"/>
      </w:r>
      <w:r>
        <w:t>41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"_Toc79742135" </w:instrText>
      </w:r>
      <w:r>
        <w:fldChar w:fldCharType="separate"/>
      </w:r>
      <w:r>
        <w:rPr>
          <w:rStyle w:val="47"/>
          <w:rFonts w:ascii="Times New Roman" w:hAnsi="Times New Roman"/>
        </w:rPr>
        <w:t>5.1</w:t>
      </w:r>
      <w:r>
        <w:rPr>
          <w:rStyle w:val="47"/>
          <w:rFonts w:hint="eastAsia"/>
        </w:rPr>
        <w:t xml:space="preserve"> 总则</w:t>
      </w:r>
      <w:r>
        <w:tab/>
      </w:r>
      <w:r>
        <w:fldChar w:fldCharType="begin"/>
      </w:r>
      <w:r>
        <w:instrText xml:space="preserve"> PAGEREF _Toc79742135 \h </w:instrText>
      </w:r>
      <w:r>
        <w:fldChar w:fldCharType="separate"/>
      </w:r>
      <w:r>
        <w:t>41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"_Toc79742136" </w:instrText>
      </w:r>
      <w:r>
        <w:fldChar w:fldCharType="separate"/>
      </w:r>
      <w:r>
        <w:rPr>
          <w:rStyle w:val="47"/>
          <w:rFonts w:ascii="Times New Roman" w:hAnsi="Times New Roman"/>
        </w:rPr>
        <w:t>5.2</w:t>
      </w:r>
      <w:r>
        <w:rPr>
          <w:rStyle w:val="47"/>
          <w:rFonts w:hint="eastAsia"/>
        </w:rPr>
        <w:t xml:space="preserve"> 评审程序</w:t>
      </w:r>
      <w:r>
        <w:tab/>
      </w:r>
      <w:r>
        <w:fldChar w:fldCharType="begin"/>
      </w:r>
      <w:r>
        <w:instrText xml:space="preserve"> PAGEREF _Toc79742136 \h </w:instrText>
      </w:r>
      <w:r>
        <w:fldChar w:fldCharType="separate"/>
      </w:r>
      <w:r>
        <w:t>42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"_Toc79742137" </w:instrText>
      </w:r>
      <w:r>
        <w:fldChar w:fldCharType="separate"/>
      </w:r>
      <w:r>
        <w:rPr>
          <w:rStyle w:val="47"/>
          <w:rFonts w:ascii="Times New Roman" w:hAnsi="Times New Roman"/>
        </w:rPr>
        <w:t>5.3</w:t>
      </w:r>
      <w:r>
        <w:rPr>
          <w:rStyle w:val="47"/>
          <w:rFonts w:hint="eastAsia"/>
        </w:rPr>
        <w:t xml:space="preserve"> 磋商异议处理</w:t>
      </w:r>
      <w:r>
        <w:tab/>
      </w:r>
      <w:r>
        <w:fldChar w:fldCharType="begin"/>
      </w:r>
      <w:r>
        <w:instrText xml:space="preserve"> PAGEREF _Toc79742137 \h </w:instrText>
      </w:r>
      <w:r>
        <w:fldChar w:fldCharType="separate"/>
      </w:r>
      <w:r>
        <w:t>49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"_Toc79742138" </w:instrText>
      </w:r>
      <w:r>
        <w:fldChar w:fldCharType="separate"/>
      </w:r>
      <w:r>
        <w:rPr>
          <w:rStyle w:val="47"/>
          <w:rFonts w:ascii="Times New Roman" w:hAnsi="Times New Roman"/>
        </w:rPr>
        <w:t>5.4</w:t>
      </w:r>
      <w:r>
        <w:rPr>
          <w:rStyle w:val="47"/>
          <w:rFonts w:hint="eastAsia"/>
        </w:rPr>
        <w:t xml:space="preserve"> 评审办法和标准</w:t>
      </w:r>
      <w:r>
        <w:tab/>
      </w:r>
      <w:r>
        <w:fldChar w:fldCharType="begin"/>
      </w:r>
      <w:r>
        <w:instrText xml:space="preserve"> PAGEREF _Toc79742138 \h </w:instrText>
      </w:r>
      <w:r>
        <w:fldChar w:fldCharType="separate"/>
      </w:r>
      <w:r>
        <w:t>49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"_Toc79742139" </w:instrText>
      </w:r>
      <w:r>
        <w:fldChar w:fldCharType="separate"/>
      </w:r>
      <w:r>
        <w:rPr>
          <w:rStyle w:val="47"/>
          <w:rFonts w:ascii="Times New Roman" w:hAnsi="Times New Roman"/>
        </w:rPr>
        <w:t>5.5</w:t>
      </w:r>
      <w:r>
        <w:rPr>
          <w:rStyle w:val="47"/>
          <w:rFonts w:hint="eastAsia"/>
        </w:rPr>
        <w:t xml:space="preserve"> 采购失败情形</w:t>
      </w:r>
      <w:r>
        <w:tab/>
      </w:r>
      <w:r>
        <w:fldChar w:fldCharType="begin"/>
      </w:r>
      <w:r>
        <w:instrText xml:space="preserve"> PAGEREF _Toc79742139 \h </w:instrText>
      </w:r>
      <w:r>
        <w:fldChar w:fldCharType="separate"/>
      </w:r>
      <w:r>
        <w:t>51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"_Toc79742140" </w:instrText>
      </w:r>
      <w:r>
        <w:fldChar w:fldCharType="separate"/>
      </w:r>
      <w:r>
        <w:rPr>
          <w:rStyle w:val="47"/>
          <w:rFonts w:ascii="Times New Roman" w:hAnsi="Times New Roman"/>
        </w:rPr>
        <w:t>5.6</w:t>
      </w:r>
      <w:r>
        <w:rPr>
          <w:rStyle w:val="47"/>
          <w:rFonts w:hint="eastAsia"/>
        </w:rPr>
        <w:t xml:space="preserve"> 确定成交供应商</w:t>
      </w:r>
      <w:r>
        <w:tab/>
      </w:r>
      <w:r>
        <w:fldChar w:fldCharType="begin"/>
      </w:r>
      <w:r>
        <w:instrText xml:space="preserve"> PAGEREF _Toc79742140 \h </w:instrText>
      </w:r>
      <w:r>
        <w:fldChar w:fldCharType="separate"/>
      </w:r>
      <w:r>
        <w:t>51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"_Toc79742141" </w:instrText>
      </w:r>
      <w:r>
        <w:fldChar w:fldCharType="separate"/>
      </w:r>
      <w:r>
        <w:rPr>
          <w:rStyle w:val="47"/>
          <w:rFonts w:ascii="Times New Roman" w:hAnsi="Times New Roman"/>
        </w:rPr>
        <w:t>5.7</w:t>
      </w:r>
      <w:r>
        <w:rPr>
          <w:rStyle w:val="47"/>
          <w:rFonts w:hint="eastAsia"/>
        </w:rPr>
        <w:t xml:space="preserve"> 磋商小组成员义务</w:t>
      </w:r>
      <w:r>
        <w:tab/>
      </w:r>
      <w:r>
        <w:fldChar w:fldCharType="begin"/>
      </w:r>
      <w:r>
        <w:instrText xml:space="preserve"> PAGEREF _Toc79742141 \h </w:instrText>
      </w:r>
      <w:r>
        <w:fldChar w:fldCharType="separate"/>
      </w:r>
      <w:r>
        <w:t>52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"_Toc79742142" </w:instrText>
      </w:r>
      <w:r>
        <w:fldChar w:fldCharType="separate"/>
      </w:r>
      <w:r>
        <w:rPr>
          <w:rStyle w:val="47"/>
          <w:rFonts w:ascii="Times New Roman" w:hAnsi="Times New Roman"/>
        </w:rPr>
        <w:t>5.8</w:t>
      </w:r>
      <w:r>
        <w:rPr>
          <w:rStyle w:val="47"/>
          <w:rFonts w:hint="eastAsia"/>
        </w:rPr>
        <w:t xml:space="preserve"> 磋商纪律</w:t>
      </w:r>
      <w:r>
        <w:tab/>
      </w:r>
      <w:r>
        <w:fldChar w:fldCharType="begin"/>
      </w:r>
      <w:r>
        <w:instrText xml:space="preserve"> PAGEREF _Toc79742142 \h </w:instrText>
      </w:r>
      <w:r>
        <w:fldChar w:fldCharType="separate"/>
      </w:r>
      <w:r>
        <w:t>52</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"_Toc79742143" </w:instrText>
      </w:r>
      <w:r>
        <w:fldChar w:fldCharType="separate"/>
      </w:r>
      <w:r>
        <w:rPr>
          <w:rStyle w:val="47"/>
          <w:rFonts w:hint="eastAsia" w:ascii="Times New Roman" w:hAnsi="Times New Roman"/>
        </w:rPr>
        <w:t>第6章</w:t>
      </w:r>
      <w:r>
        <w:rPr>
          <w:rFonts w:asciiTheme="minorHAnsi" w:hAnsiTheme="minorHAnsi" w:eastAsiaTheme="minorEastAsia" w:cstheme="minorBidi"/>
          <w:bCs w:val="0"/>
          <w:caps w:val="0"/>
          <w:sz w:val="21"/>
          <w:szCs w:val="22"/>
        </w:rPr>
        <w:tab/>
      </w:r>
      <w:r>
        <w:rPr>
          <w:rStyle w:val="47"/>
          <w:rFonts w:hint="eastAsia"/>
        </w:rPr>
        <w:t>合同草案条款</w:t>
      </w:r>
      <w:r>
        <w:tab/>
      </w:r>
      <w:r>
        <w:fldChar w:fldCharType="begin"/>
      </w:r>
      <w:r>
        <w:instrText xml:space="preserve"> PAGEREF _Toc79742143 \h </w:instrText>
      </w:r>
      <w:r>
        <w:fldChar w:fldCharType="separate"/>
      </w:r>
      <w:r>
        <w:t>54</w:t>
      </w:r>
      <w:r>
        <w:fldChar w:fldCharType="end"/>
      </w:r>
      <w:r>
        <w:fldChar w:fldCharType="end"/>
      </w:r>
    </w:p>
    <w:p>
      <w:pPr>
        <w:pStyle w:val="30"/>
        <w:spacing w:line="300" w:lineRule="exact"/>
        <w:rPr>
          <w:rFonts w:ascii="宋体" w:hAnsi="宋体"/>
          <w:b/>
          <w:bCs w:val="0"/>
          <w:sz w:val="32"/>
          <w:szCs w:val="32"/>
        </w:rPr>
      </w:pPr>
      <w:r>
        <w:rPr>
          <w:rFonts w:hint="eastAsia" w:ascii="宋体" w:hAnsi="宋体"/>
          <w:bCs w:val="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79742117"/>
      <w:bookmarkStart w:id="1" w:name="_Toc58943323"/>
      <w:r>
        <w:rPr>
          <w:rFonts w:hint="eastAsia"/>
          <w:sz w:val="28"/>
          <w:szCs w:val="28"/>
        </w:rPr>
        <w:t>竞争性磋商邀请</w:t>
      </w:r>
      <w:bookmarkEnd w:id="0"/>
      <w:bookmarkEnd w:id="1"/>
    </w:p>
    <w:p>
      <w:pPr>
        <w:spacing w:line="360" w:lineRule="auto"/>
        <w:ind w:left="-124" w:leftChars="-59" w:right="-21" w:rightChars="-10"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non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成都市武侯区疾病预防控制中心</w:t>
      </w:r>
      <w:r>
        <w:rPr>
          <w:rFonts w:hint="eastAsia" w:ascii="宋体" w:hAnsi="宋体"/>
          <w:color w:val="000000" w:themeColor="text1"/>
          <w:sz w:val="24"/>
          <w:szCs w:val="24"/>
          <w:u w:val="non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委托,拟</w:t>
      </w:r>
      <w:r>
        <w:rPr>
          <w:rFonts w:hint="eastAsia" w:ascii="宋体" w:hAnsi="宋体"/>
          <w:color w:val="000000" w:themeColor="text1"/>
          <w:sz w:val="24"/>
          <w:szCs w:val="24"/>
          <w:u w:val="none"/>
          <w14:textFill>
            <w14:solidFill>
              <w14:schemeClr w14:val="tx1"/>
            </w14:solidFill>
          </w14:textFill>
        </w:rPr>
        <w:t xml:space="preserve">对 </w:t>
      </w:r>
      <w:r>
        <w:rPr>
          <w:rFonts w:hint="eastAsia" w:ascii="宋体" w:hAnsi="宋体"/>
          <w:b/>
          <w:color w:val="000000" w:themeColor="text1"/>
          <w:sz w:val="24"/>
          <w:szCs w:val="24"/>
          <w:u w:val="single"/>
          <w14:textFill>
            <w14:solidFill>
              <w14:schemeClr w14:val="tx1"/>
            </w14:solidFill>
          </w14:textFill>
        </w:rPr>
        <w:t>成都市武侯区疾病预防控制中心</w:t>
      </w:r>
      <w:r>
        <w:rPr>
          <w:rFonts w:hint="eastAsia" w:ascii="宋体" w:hAnsi="宋体"/>
          <w:b/>
          <w:color w:val="000000" w:themeColor="text1"/>
          <w:sz w:val="24"/>
          <w:szCs w:val="24"/>
          <w:u w:val="single"/>
          <w:lang w:eastAsia="zh-CN"/>
          <w14:textFill>
            <w14:solidFill>
              <w14:schemeClr w14:val="tx1"/>
            </w14:solidFill>
          </w14:textFill>
        </w:rPr>
        <w:t>轿车</w:t>
      </w:r>
      <w:r>
        <w:rPr>
          <w:rFonts w:hint="eastAsia" w:ascii="宋体" w:hAnsi="宋体"/>
          <w:b/>
          <w:color w:val="000000" w:themeColor="text1"/>
          <w:sz w:val="24"/>
          <w:szCs w:val="24"/>
          <w:u w:val="single"/>
          <w14:textFill>
            <w14:solidFill>
              <w14:schemeClr w14:val="tx1"/>
            </w14:solidFill>
          </w14:textFill>
        </w:rPr>
        <w:t>采购项目</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 xml:space="preserve">武侯政采（2021）A0090号 </w:t>
      </w:r>
      <w:r>
        <w:rPr>
          <w:rFonts w:hint="eastAsia" w:ascii="宋体" w:hAnsi="宋体"/>
          <w:color w:val="000000" w:themeColor="text1"/>
          <w:sz w:val="24"/>
          <w:szCs w:val="24"/>
          <w14:textFill>
            <w14:solidFill>
              <w14:schemeClr w14:val="tx1"/>
            </w14:solidFill>
          </w14:textFill>
        </w:rPr>
        <w:t xml:space="preserve">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w:t>
      </w:r>
      <w:r>
        <w:rPr>
          <w:rFonts w:hint="eastAsia" w:ascii="宋体" w:hAnsi="宋体"/>
          <w:b/>
          <w:color w:val="000000" w:themeColor="text1"/>
          <w:sz w:val="24"/>
          <w:szCs w:val="24"/>
          <w:u w:val="single"/>
          <w14:textFill>
            <w14:solidFill>
              <w14:schemeClr w14:val="tx1"/>
            </w14:solidFill>
          </w14:textFill>
        </w:rPr>
        <w:t>成都市武侯区疾病预防控制中心</w:t>
      </w:r>
      <w:r>
        <w:rPr>
          <w:rFonts w:hint="eastAsia" w:ascii="宋体" w:hAnsi="宋体"/>
          <w:b/>
          <w:color w:val="000000" w:themeColor="text1"/>
          <w:sz w:val="24"/>
          <w:szCs w:val="24"/>
          <w:u w:val="single"/>
          <w:lang w:eastAsia="zh-CN"/>
          <w14:textFill>
            <w14:solidFill>
              <w14:schemeClr w14:val="tx1"/>
            </w14:solidFill>
          </w14:textFill>
        </w:rPr>
        <w:t>轿车</w:t>
      </w:r>
      <w:r>
        <w:rPr>
          <w:rFonts w:hint="eastAsia" w:ascii="宋体" w:hAnsi="宋体"/>
          <w:b/>
          <w:color w:val="000000" w:themeColor="text1"/>
          <w:sz w:val="24"/>
          <w:szCs w:val="24"/>
          <w:u w:val="single"/>
          <w14:textFill>
            <w14:solidFill>
              <w14:schemeClr w14:val="tx1"/>
            </w14:solidFill>
          </w14:textFill>
        </w:rPr>
        <w:t>采购项目</w:t>
      </w:r>
      <w:r>
        <w:rPr>
          <w:rFonts w:hint="eastAsia" w:ascii="宋体" w:hAnsi="宋体"/>
          <w:color w:val="000000" w:themeColor="text1"/>
          <w:sz w:val="24"/>
          <w:szCs w:val="24"/>
          <w14:textFill>
            <w14:solidFill>
              <w14:schemeClr w14:val="tx1"/>
            </w14:solidFill>
          </w14:textFill>
        </w:rPr>
        <w:t xml:space="preserve">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color w:val="000000" w:themeColor="text1"/>
          <w:sz w:val="24"/>
          <w:szCs w:val="24"/>
          <w14:textFill>
            <w14:solidFill>
              <w14:schemeClr w14:val="tx1"/>
            </w14:solidFill>
          </w14:textFill>
        </w:rPr>
        <w:t>财政</w:t>
      </w:r>
      <w:r>
        <w:rPr>
          <w:rFonts w:hint="eastAsia" w:ascii="宋体" w:hAnsi="宋体"/>
          <w:sz w:val="24"/>
          <w:szCs w:val="24"/>
        </w:rPr>
        <w:t>性资金，政府采购实施计划备案表号：</w:t>
      </w:r>
      <w:r>
        <w:rPr>
          <w:rFonts w:hint="eastAsia" w:ascii="宋体" w:hAnsi="宋体"/>
          <w:sz w:val="24"/>
          <w:szCs w:val="24"/>
          <w:u w:val="single"/>
          <w:lang w:val="en-US" w:eastAsia="zh-CN"/>
        </w:rPr>
        <w:t>(2021)0705</w:t>
      </w:r>
      <w:r>
        <w:rPr>
          <w:rFonts w:hint="eastAsia" w:ascii="宋体" w:hAnsi="宋体"/>
          <w:sz w:val="24"/>
          <w:szCs w:val="24"/>
        </w:rPr>
        <w:t>；预算金额：</w:t>
      </w:r>
      <w:r>
        <w:rPr>
          <w:rFonts w:hint="eastAsia" w:ascii="宋体" w:hAnsi="宋体" w:cs="宋体"/>
          <w:spacing w:val="-20"/>
          <w:sz w:val="28"/>
          <w:szCs w:val="28"/>
          <w:u w:val="single"/>
          <w:lang w:val="en-US" w:eastAsia="zh-CN"/>
        </w:rPr>
        <w:t>21</w:t>
      </w:r>
      <w:r>
        <w:rPr>
          <w:rFonts w:hint="eastAsia" w:ascii="宋体" w:hAnsi="宋体" w:cs="宋体"/>
          <w:spacing w:val="-20"/>
          <w:sz w:val="28"/>
          <w:szCs w:val="28"/>
        </w:rPr>
        <w:t>万元</w:t>
      </w:r>
      <w:r>
        <w:rPr>
          <w:rFonts w:hint="eastAsia" w:ascii="宋体" w:hAnsi="宋体"/>
          <w:sz w:val="24"/>
          <w:szCs w:val="24"/>
        </w:rPr>
        <w:t>；最高限价：</w:t>
      </w:r>
      <w:r>
        <w:rPr>
          <w:rFonts w:hint="eastAsia" w:ascii="宋体" w:hAnsi="宋体" w:cs="宋体"/>
          <w:spacing w:val="-20"/>
          <w:sz w:val="28"/>
          <w:szCs w:val="28"/>
          <w:u w:val="single"/>
          <w:lang w:val="en-US" w:eastAsia="zh-CN"/>
        </w:rPr>
        <w:t>18</w:t>
      </w:r>
      <w:r>
        <w:rPr>
          <w:rFonts w:hint="eastAsia" w:ascii="宋体" w:hAnsi="宋体" w:cs="宋体"/>
          <w:spacing w:val="-20"/>
          <w:sz w:val="28"/>
          <w:szCs w:val="28"/>
        </w:rPr>
        <w:t>万元</w:t>
      </w:r>
      <w:r>
        <w:rPr>
          <w:rFonts w:hint="eastAsia" w:ascii="宋体" w:hAnsi="宋体"/>
          <w:sz w:val="24"/>
          <w:szCs w:val="24"/>
        </w:rPr>
        <w:t>；采购标的：</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轿车</w:t>
      </w:r>
      <w:r>
        <w:rPr>
          <w:rFonts w:hint="eastAsia" w:ascii="宋体" w:hAnsi="宋体"/>
          <w:sz w:val="24"/>
          <w:szCs w:val="24"/>
        </w:rPr>
        <w:t>；采购标的对应的中小企业划分标准所属行业：</w:t>
      </w:r>
      <w:r>
        <w:rPr>
          <w:rFonts w:hint="eastAsia" w:ascii="宋体" w:hAnsi="宋体"/>
          <w:sz w:val="24"/>
          <w:szCs w:val="24"/>
          <w:u w:val="single"/>
        </w:rPr>
        <w:t>制造业</w:t>
      </w:r>
      <w:r>
        <w:rPr>
          <w:rFonts w:hint="eastAsia" w:ascii="宋体" w:hAnsi="宋体"/>
          <w:sz w:val="24"/>
          <w:szCs w:val="24"/>
        </w:rPr>
        <w:t>。</w:t>
      </w:r>
    </w:p>
    <w:p>
      <w:pPr>
        <w:pStyle w:val="18"/>
        <w:rPr>
          <w:sz w:val="20"/>
          <w:szCs w:val="21"/>
        </w:rPr>
      </w:pPr>
      <w:r>
        <w:rPr>
          <w:rFonts w:hint="eastAsia" w:ascii="宋体" w:hAnsi="宋体"/>
          <w:sz w:val="24"/>
          <w:szCs w:val="21"/>
        </w:rPr>
        <w:t>本项目是否专门面向中小企业采购：否。</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 xml:space="preserve">未被列入失信被执行人、重大税收违法案件当事人名单、政府采购严重违法失信行为记录名单； </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未处于被行政部门禁止参与政府采购活动的期限内；</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不属于国家相关法律法规规定的其他禁止参加政府采购活动的供应商；</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本项目</w:t>
      </w:r>
      <w:r>
        <w:rPr>
          <w:rFonts w:hint="eastAsia" w:ascii="宋体" w:hAnsi="宋体"/>
          <w:b/>
          <w:sz w:val="24"/>
          <w:szCs w:val="21"/>
          <w:highlight w:val="yellow"/>
        </w:rPr>
        <w:t>不接受</w:t>
      </w:r>
      <w:r>
        <w:rPr>
          <w:rFonts w:hint="eastAsia" w:ascii="宋体" w:hAnsi="宋体"/>
          <w:sz w:val="24"/>
          <w:szCs w:val="21"/>
        </w:rPr>
        <w:t>供应商以联合体的形式参加</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采购项目简介</w:t>
      </w:r>
    </w:p>
    <w:p>
      <w:pPr>
        <w:spacing w:line="360" w:lineRule="auto"/>
        <w:ind w:firstLine="482" w:firstLineChars="201"/>
        <w:rPr>
          <w:rFonts w:ascii="宋体" w:hAnsi="宋体"/>
          <w:sz w:val="24"/>
          <w:szCs w:val="24"/>
        </w:rPr>
      </w:pPr>
      <w:r>
        <w:rPr>
          <w:rFonts w:hint="eastAsia" w:ascii="宋体" w:hAnsi="宋体"/>
          <w:sz w:val="24"/>
          <w:szCs w:val="24"/>
        </w:rPr>
        <w:t>详细的技术、服务、商务及其他要求见磋商文件第4章。</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w:t>
      </w:r>
      <w:r>
        <w:rPr>
          <w:rFonts w:ascii="宋体" w:hAnsi="宋体" w:eastAsia="宋体" w:cs="宋体"/>
          <w:sz w:val="24"/>
          <w:szCs w:val="24"/>
        </w:rPr>
        <w:t>2021年10月11日到2021年10月21日</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（二）公告期限：2021年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日至</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供应商有意向参加本项目采购的，应在成都市公共资源交易服务中心“政府采购云平台”获取采购文件。</w:t>
      </w:r>
      <w:r>
        <w:rPr>
          <w:rFonts w:hint="eastAsia" w:ascii="宋体" w:hAnsi="宋体"/>
          <w:sz w:val="24"/>
          <w:szCs w:val="24"/>
          <w:highlight w:val="yellow"/>
        </w:rPr>
        <w:t>登录成都市公共资源交易服务中心门户网站（https://www.cdggzy.com/）</w:t>
      </w:r>
      <w:r>
        <w:rPr>
          <w:rFonts w:hint="eastAsia" w:ascii="宋体" w:hAnsi="宋体"/>
          <w:sz w:val="24"/>
          <w:szCs w:val="24"/>
        </w:rPr>
        <w:t>—用户中心—政府采购云平台—项目采购—获取采购文件—申请获取采购文件。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（3）首次登录成都市公共资源交易服务中心门户网站的新用户应先点击“注册新用户”，注册成功后再登录。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：登录成都市公共资源交易服务中心门户网站（https://www.cdggzy.com/）—用户中心—政府采购云平台获取。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（一）首次提交响应文件截止时间及开启时间：2021年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日上午</w:t>
      </w:r>
      <w:r>
        <w:rPr>
          <w:rFonts w:hint="eastAsia" w:ascii="宋体" w:hAnsi="宋体"/>
          <w:sz w:val="24"/>
          <w:szCs w:val="24"/>
          <w:lang w:val="en-US" w:eastAsia="zh-CN"/>
        </w:rPr>
        <w:t>10:00</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（二）响应文件递交方式、地点：响应文件递交截止时间前，供应商应将加密的响应文件递交至“政府采购云平台”对应项目（包件）。</w:t>
      </w:r>
    </w:p>
    <w:p>
      <w:pPr>
        <w:spacing w:line="400" w:lineRule="exact"/>
        <w:ind w:firstLine="480" w:firstLineChars="200"/>
        <w:rPr>
          <w:rFonts w:ascii="宋体" w:hAnsi="宋体"/>
          <w:sz w:val="24"/>
          <w:szCs w:val="24"/>
        </w:rPr>
      </w:pPr>
      <w:r>
        <w:rPr>
          <w:rFonts w:hint="eastAsia" w:ascii="宋体" w:hAnsi="宋体"/>
          <w:sz w:val="24"/>
          <w:szCs w:val="24"/>
        </w:rPr>
        <w:t>本项目只接受供应商加密并递交至“政府采购云平台”的响应文件。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87" w:firstLineChars="202"/>
        <w:rPr>
          <w:rFonts w:ascii="宋体" w:hAnsi="宋体"/>
          <w:b/>
          <w:sz w:val="24"/>
          <w:szCs w:val="24"/>
        </w:rPr>
      </w:pPr>
      <w:r>
        <w:rPr>
          <w:rFonts w:hint="eastAsia" w:ascii="宋体" w:hAnsi="宋体"/>
          <w:b/>
          <w:sz w:val="24"/>
          <w:szCs w:val="24"/>
        </w:rPr>
        <w:t>采购人：成都市武侯区疾病预防控制中心</w:t>
      </w:r>
    </w:p>
    <w:p>
      <w:pPr>
        <w:spacing w:line="400" w:lineRule="exact"/>
        <w:ind w:firstLine="484" w:firstLineChars="202"/>
        <w:rPr>
          <w:rFonts w:ascii="宋体" w:hAnsi="宋体"/>
          <w:sz w:val="24"/>
          <w:szCs w:val="24"/>
        </w:rPr>
      </w:pPr>
      <w:r>
        <w:rPr>
          <w:rFonts w:hint="eastAsia" w:ascii="宋体" w:hAnsi="宋体"/>
          <w:sz w:val="24"/>
          <w:szCs w:val="24"/>
        </w:rPr>
        <w:t>地  址：成都市武侯区广福桥街6号</w:t>
      </w:r>
    </w:p>
    <w:p>
      <w:pPr>
        <w:spacing w:line="400" w:lineRule="exact"/>
        <w:ind w:firstLine="484" w:firstLineChars="202"/>
        <w:rPr>
          <w:rFonts w:ascii="宋体" w:hAnsi="宋体"/>
          <w:sz w:val="24"/>
          <w:szCs w:val="24"/>
        </w:rPr>
      </w:pPr>
      <w:r>
        <w:rPr>
          <w:rFonts w:hint="eastAsia" w:ascii="宋体" w:hAnsi="宋体"/>
          <w:sz w:val="24"/>
          <w:szCs w:val="24"/>
        </w:rPr>
        <w:t>邮  编：610041</w:t>
      </w:r>
    </w:p>
    <w:p>
      <w:pPr>
        <w:spacing w:line="400" w:lineRule="exact"/>
        <w:ind w:firstLine="484" w:firstLineChars="202"/>
        <w:rPr>
          <w:rFonts w:ascii="宋体" w:hAnsi="宋体"/>
          <w:sz w:val="24"/>
          <w:szCs w:val="24"/>
        </w:rPr>
      </w:pPr>
      <w:r>
        <w:rPr>
          <w:rFonts w:hint="eastAsia" w:ascii="宋体" w:hAnsi="宋体"/>
          <w:sz w:val="24"/>
          <w:szCs w:val="24"/>
        </w:rPr>
        <w:t>联系人：符老师</w:t>
      </w:r>
    </w:p>
    <w:p>
      <w:pPr>
        <w:spacing w:line="400" w:lineRule="exact"/>
        <w:ind w:firstLine="484" w:firstLineChars="202"/>
        <w:rPr>
          <w:rFonts w:ascii="宋体" w:hAnsi="宋体"/>
          <w:sz w:val="24"/>
          <w:szCs w:val="24"/>
        </w:rPr>
      </w:pPr>
      <w:r>
        <w:rPr>
          <w:rFonts w:hint="eastAsia" w:ascii="宋体" w:hAnsi="宋体"/>
          <w:sz w:val="24"/>
          <w:szCs w:val="24"/>
        </w:rPr>
        <w:t>联系电话：028-85063722</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rPr>
      </w:pPr>
      <w:bookmarkStart w:id="2" w:name="_Toc58943324"/>
      <w:bookmarkStart w:id="3" w:name="_Toc391885334"/>
      <w:bookmarkStart w:id="4" w:name="_Toc381263230"/>
      <w:bookmarkStart w:id="5" w:name="_Toc287623638"/>
      <w:r>
        <w:rPr>
          <w:rFonts w:hint="eastAsia" w:ascii="宋体" w:hAnsi="宋体"/>
          <w:sz w:val="24"/>
          <w:szCs w:val="24"/>
        </w:rPr>
        <w:t>地  址：</w:t>
      </w:r>
      <w:r>
        <w:rPr>
          <w:rFonts w:hint="eastAsia" w:ascii="宋体" w:hAnsi="宋体"/>
          <w:sz w:val="22"/>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邮  编：610041</w:t>
      </w:r>
    </w:p>
    <w:p>
      <w:pPr>
        <w:spacing w:line="400" w:lineRule="exact"/>
        <w:ind w:firstLine="484" w:firstLineChars="202"/>
        <w:rPr>
          <w:rFonts w:ascii="宋体" w:hAnsi="宋体"/>
          <w:sz w:val="24"/>
          <w:szCs w:val="24"/>
        </w:rPr>
      </w:pPr>
      <w:r>
        <w:rPr>
          <w:rFonts w:hint="eastAsia" w:ascii="宋体" w:hAnsi="宋体"/>
          <w:sz w:val="24"/>
          <w:szCs w:val="24"/>
        </w:rPr>
        <w:t>联系人：吴宇航</w:t>
      </w:r>
    </w:p>
    <w:p>
      <w:pPr>
        <w:spacing w:line="400" w:lineRule="exact"/>
        <w:ind w:firstLine="484" w:firstLineChars="202"/>
        <w:rPr>
          <w:rFonts w:ascii="宋体" w:hAnsi="宋体"/>
          <w:sz w:val="24"/>
          <w:szCs w:val="24"/>
        </w:rPr>
      </w:pPr>
      <w:r>
        <w:rPr>
          <w:rFonts w:hint="eastAsia" w:ascii="宋体" w:hAnsi="宋体"/>
          <w:sz w:val="24"/>
          <w:szCs w:val="24"/>
        </w:rPr>
        <w:t>联系电话：028-61069889</w:t>
      </w:r>
    </w:p>
    <w:p>
      <w:pPr>
        <w:spacing w:line="400" w:lineRule="exact"/>
        <w:ind w:firstLine="482" w:firstLineChars="200"/>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rPr>
      </w:pPr>
      <w:r>
        <w:rPr>
          <w:rFonts w:hint="eastAsia" w:ascii="宋体" w:hAnsi="宋体"/>
          <w:sz w:val="24"/>
          <w:szCs w:val="24"/>
        </w:rPr>
        <w:t>地 址：</w:t>
      </w:r>
      <w:r>
        <w:rPr>
          <w:rFonts w:hint="eastAsia" w:ascii="宋体" w:hAnsi="宋体"/>
          <w:sz w:val="22"/>
        </w:rPr>
        <w:t>成都市武侯区武科西五路360号武侯区市民中心2栋5单元801室</w:t>
      </w:r>
    </w:p>
    <w:p>
      <w:pPr>
        <w:spacing w:line="400" w:lineRule="exact"/>
        <w:ind w:firstLine="484" w:firstLineChars="202"/>
        <w:rPr>
          <w:rFonts w:hint="eastAsia"/>
        </w:rPr>
      </w:pPr>
      <w:r>
        <w:rPr>
          <w:rFonts w:hint="eastAsia" w:ascii="宋体" w:hAnsi="宋体"/>
          <w:sz w:val="24"/>
          <w:szCs w:val="24"/>
        </w:rPr>
        <w:t>邮  编：610041</w:t>
      </w:r>
    </w:p>
    <w:p>
      <w:pPr>
        <w:pStyle w:val="18"/>
        <w:rPr>
          <w:rFonts w:hint="eastAsia"/>
          <w:lang w:eastAsia="zh-CN"/>
        </w:rPr>
      </w:pPr>
      <w:r>
        <w:rPr>
          <w:rFonts w:hint="eastAsia" w:ascii="宋体" w:hAnsi="宋体"/>
          <w:sz w:val="22"/>
          <w:lang w:val="en-US" w:eastAsia="zh-CN"/>
        </w:rPr>
        <w:t xml:space="preserve">    </w:t>
      </w:r>
      <w:r>
        <w:rPr>
          <w:rFonts w:hint="eastAsia"/>
          <w:lang w:eastAsia="zh-CN"/>
        </w:rPr>
        <w:t>联系人：李晓军</w:t>
      </w:r>
    </w:p>
    <w:p>
      <w:pPr>
        <w:pStyle w:val="18"/>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0"/>
        </w:numPr>
        <w:spacing w:before="0" w:after="0" w:line="360" w:lineRule="auto"/>
        <w:ind w:leftChars="0"/>
        <w:jc w:val="both"/>
        <w:rPr>
          <w:sz w:val="28"/>
          <w:szCs w:val="28"/>
        </w:rPr>
        <w:sectPr>
          <w:pgSz w:w="11906" w:h="16838"/>
          <w:pgMar w:top="1134" w:right="1274" w:bottom="1440" w:left="1418" w:header="851" w:footer="992" w:gutter="0"/>
          <w:cols w:space="720" w:num="1"/>
          <w:docGrid w:type="lines" w:linePitch="312" w:charSpace="0"/>
        </w:sectPr>
      </w:pPr>
      <w:bookmarkStart w:id="6" w:name="_Toc79742118"/>
    </w:p>
    <w:p>
      <w:pPr>
        <w:pStyle w:val="4"/>
        <w:widowControl/>
        <w:numPr>
          <w:ilvl w:val="0"/>
          <w:numId w:val="5"/>
        </w:numPr>
        <w:spacing w:before="0" w:after="0" w:line="360" w:lineRule="auto"/>
        <w:ind w:left="0" w:firstLine="0"/>
        <w:rPr>
          <w:sz w:val="28"/>
          <w:szCs w:val="28"/>
        </w:rPr>
      </w:pPr>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58943325"/>
      <w:bookmarkStart w:id="8" w:name="_Toc79742119"/>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534"/>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534"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lang w:val="zh-CN"/>
              </w:rPr>
            </w:pPr>
            <w:r>
              <w:rPr>
                <w:rFonts w:hint="eastAsia"/>
                <w:b/>
                <w:kern w:val="2"/>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lang w:val="zh-CN"/>
              </w:rPr>
            </w:pPr>
            <w:r>
              <w:rPr>
                <w:rFonts w:hint="eastAsia"/>
                <w:b/>
                <w:kern w:val="2"/>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lang w:val="en-US" w:eastAsia="zh-CN"/>
              </w:rPr>
              <w:t>21</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lang w:val="zh-CN"/>
              </w:rPr>
            </w:pPr>
            <w:r>
              <w:rPr>
                <w:rFonts w:hint="eastAsia"/>
                <w:kern w:val="2"/>
                <w:lang w:val="zh-CN"/>
              </w:rPr>
              <w:t>最高限价</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ind w:left="9"/>
              <w:rPr>
                <w:kern w:val="2"/>
                <w:lang w:val="zh-CN"/>
              </w:rPr>
            </w:pPr>
            <w:r>
              <w:rPr>
                <w:rFonts w:hint="eastAsia"/>
                <w:b/>
                <w:kern w:val="2"/>
                <w:lang w:val="zh-CN"/>
              </w:rPr>
              <w:t>最高</w:t>
            </w:r>
            <w:r>
              <w:rPr>
                <w:rFonts w:hint="eastAsia" w:cs="Times New Roman"/>
                <w:b/>
                <w:kern w:val="2"/>
              </w:rPr>
              <w:t>限价</w:t>
            </w:r>
            <w:r>
              <w:rPr>
                <w:rFonts w:hint="eastAsia" w:cs="Times New Roman"/>
                <w:b/>
                <w:kern w:val="2"/>
                <w:u w:val="single"/>
                <w:lang w:val="en-US" w:eastAsia="zh-CN"/>
              </w:rPr>
              <w:t>18</w:t>
            </w:r>
            <w:r>
              <w:rPr>
                <w:rFonts w:hint="eastAsia" w:cs="Times New Roman"/>
                <w:b/>
                <w:kern w:val="2"/>
              </w:rPr>
              <w:t>万</w:t>
            </w:r>
            <w:r>
              <w:rPr>
                <w:rFonts w:hint="eastAsia"/>
                <w:b/>
                <w:kern w:val="2"/>
                <w:lang w:val="zh-CN"/>
              </w:rPr>
              <w:t>元。供应商最后报价高于最高限价的，其响应文件将按无效响应文件处理。</w:t>
            </w:r>
            <w:bookmarkStart w:id="170" w:name="_GoBack"/>
            <w:bookmarkEnd w:id="17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lang w:val="zh-CN"/>
              </w:rPr>
            </w:pPr>
            <w:r>
              <w:rPr>
                <w:rFonts w:hint="eastAsia"/>
                <w:kern w:val="2"/>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ind w:right="210" w:rightChars="100"/>
              <w:jc w:val="both"/>
              <w:rPr>
                <w:kern w:val="2"/>
                <w:lang w:val="zh-CN"/>
              </w:rPr>
            </w:pPr>
            <w:r>
              <w:rPr>
                <w:rFonts w:hint="eastAsia"/>
                <w:kern w:val="2"/>
                <w:lang w:val="zh-CN"/>
              </w:rPr>
              <w:t>小微企业价格扣除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sz w:val="24"/>
                <w:szCs w:val="24"/>
              </w:rPr>
              <w:t>规定的中小企业</w:t>
            </w:r>
            <w:r>
              <w:rPr>
                <w:rFonts w:hint="eastAsia" w:ascii="宋体" w:hAnsi="宋体"/>
                <w:sz w:val="24"/>
                <w:szCs w:val="24"/>
              </w:rPr>
              <w:t>扶持</w:t>
            </w:r>
            <w:r>
              <w:rPr>
                <w:rFonts w:ascii="宋体" w:hAnsi="宋体"/>
                <w:sz w:val="24"/>
                <w:szCs w:val="24"/>
              </w:rPr>
              <w:t>政策</w:t>
            </w:r>
            <w:r>
              <w:rPr>
                <w:rFonts w:hint="eastAsia" w:ascii="宋体" w:hAnsi="宋体"/>
                <w:sz w:val="24"/>
                <w:szCs w:val="24"/>
              </w:rPr>
              <w:t>。</w:t>
            </w:r>
          </w:p>
          <w:p>
            <w:pPr>
              <w:tabs>
                <w:tab w:val="left" w:pos="7665"/>
              </w:tabs>
              <w:adjustRightInd w:val="0"/>
              <w:snapToGrid w:val="0"/>
              <w:rPr>
                <w:rFonts w:ascii="宋体" w:hAnsi="宋体"/>
                <w:sz w:val="24"/>
                <w:szCs w:val="24"/>
              </w:rPr>
            </w:pPr>
            <w:r>
              <w:rPr>
                <w:rFonts w:hint="eastAsia" w:ascii="宋体" w:hAnsi="宋体"/>
                <w:sz w:val="24"/>
                <w:szCs w:val="24"/>
              </w:rPr>
              <w:t>2.响应供应商应提供《中小企业声明函》。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监狱企业价格扣除</w:t>
            </w:r>
          </w:p>
        </w:tc>
        <w:tc>
          <w:tcPr>
            <w:tcW w:w="7092"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1.根据《关于政府采购支持监狱企业发展有关问题的通知》（财库[2014]68号）的规定，监狱企业视同小型、微型企业，对监狱企业制造的货物给予10%的价格扣除，用扣除后的价格参与评标。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残疾人福利性单位价格扣除</w:t>
            </w:r>
          </w:p>
        </w:tc>
        <w:tc>
          <w:tcPr>
            <w:tcW w:w="7092"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三部门联合发布关于促进残疾人就业政府采购政策的通知》（财库[2017]141号）的规定，残疾人福利性单位视同小型、微型企业，对残疾人福利性单位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2.响应供应商应提供《残疾人福利性单位声明函》。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 w:val="24"/>
                <w:szCs w:val="24"/>
                <w:lang w:val="zh-CN"/>
              </w:rPr>
              <w:t>本</w:t>
            </w:r>
            <w:r>
              <w:rPr>
                <w:rFonts w:ascii="宋体" w:hAnsi="宋体" w:cs="宋体"/>
                <w:b/>
                <w:sz w:val="24"/>
                <w:szCs w:val="24"/>
                <w:lang w:val="zh-CN"/>
              </w:rPr>
              <w:t>项目</w:t>
            </w:r>
            <w:r>
              <w:rPr>
                <w:rFonts w:ascii="宋体" w:hAnsi="宋体" w:cs="宋体"/>
                <w:b/>
                <w:sz w:val="24"/>
                <w:szCs w:val="24"/>
                <w:highlight w:val="yellow"/>
                <w:lang w:val="zh-CN"/>
              </w:rPr>
              <w:t>不收取</w:t>
            </w:r>
            <w:r>
              <w:rPr>
                <w:rFonts w:ascii="宋体" w:hAnsi="宋体" w:cs="宋体"/>
                <w:b/>
                <w:sz w:val="24"/>
                <w:szCs w:val="24"/>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2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对磋商文件中供应商参加本次政府采购活动应当具备的条件，项目技术、服务、商务及其他要求,评审办法和标准,以及资格审查的询问、质疑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095619"/>
      <w:bookmarkEnd w:id="9"/>
      <w:bookmarkStart w:id="10" w:name="_Toc494356973"/>
      <w:bookmarkEnd w:id="10"/>
      <w:bookmarkStart w:id="11" w:name="_Toc58943326"/>
      <w:bookmarkStart w:id="12" w:name="_Toc79742120"/>
      <w:r>
        <w:rPr>
          <w:rFonts w:hint="eastAsia"/>
          <w:sz w:val="24"/>
          <w:szCs w:val="24"/>
        </w:rPr>
        <w:t>总则</w:t>
      </w:r>
      <w:bookmarkEnd w:id="11"/>
      <w:bookmarkEnd w:id="12"/>
    </w:p>
    <w:p>
      <w:pPr>
        <w:pStyle w:val="6"/>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6"/>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0"/>
        </w:numPr>
        <w:tabs>
          <w:tab w:val="left" w:pos="1130"/>
          <w:tab w:val="left" w:pos="1200"/>
        </w:tabs>
        <w:spacing w:after="200" w:line="360" w:lineRule="exact"/>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sz w:val="24"/>
          <w:szCs w:val="24"/>
          <w:u w:val="single"/>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numPr>
          <w:ilvl w:val="0"/>
          <w:numId w:val="10"/>
        </w:numPr>
        <w:tabs>
          <w:tab w:val="left" w:pos="709"/>
          <w:tab w:val="left" w:pos="1130"/>
          <w:tab w:val="left" w:pos="1200"/>
          <w:tab w:val="clear" w:pos="420"/>
        </w:tabs>
        <w:spacing w:after="200" w:line="360" w:lineRule="exact"/>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0"/>
        </w:numPr>
        <w:tabs>
          <w:tab w:val="left" w:pos="1130"/>
          <w:tab w:val="left" w:pos="1200"/>
          <w:tab w:val="left" w:pos="1843"/>
        </w:tabs>
        <w:spacing w:after="200" w:line="360" w:lineRule="exact"/>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0"/>
        </w:numPr>
        <w:tabs>
          <w:tab w:val="left" w:pos="0"/>
          <w:tab w:val="clear" w:pos="420"/>
        </w:tabs>
        <w:spacing w:line="360" w:lineRule="exact"/>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6"/>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6"/>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6"/>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2"/>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2"/>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58943327"/>
      <w:bookmarkStart w:id="17" w:name="_Toc79742121"/>
      <w:r>
        <w:rPr>
          <w:rFonts w:hint="eastAsia"/>
          <w:sz w:val="24"/>
          <w:szCs w:val="24"/>
        </w:rPr>
        <w:t>磋商文件</w:t>
      </w:r>
      <w:bookmarkEnd w:id="16"/>
      <w:bookmarkEnd w:id="17"/>
    </w:p>
    <w:p>
      <w:pPr>
        <w:pStyle w:val="6"/>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6"/>
        <w:numPr>
          <w:ilvl w:val="2"/>
          <w:numId w:val="5"/>
        </w:numPr>
        <w:spacing w:after="200"/>
        <w:ind w:left="0" w:firstLine="0"/>
        <w:rPr>
          <w:color w:val="auto"/>
          <w:sz w:val="24"/>
          <w:szCs w:val="24"/>
        </w:rPr>
      </w:pPr>
      <w:bookmarkStart w:id="18" w:name="_Toc183582211"/>
      <w:bookmarkStart w:id="19" w:name="_Toc183682348"/>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3"/>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3"/>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58943328"/>
      <w:bookmarkStart w:id="23" w:name="_Toc79742122"/>
      <w:r>
        <w:rPr>
          <w:rFonts w:hint="eastAsia"/>
          <w:sz w:val="24"/>
          <w:szCs w:val="24"/>
        </w:rPr>
        <w:t>响应文件</w:t>
      </w:r>
      <w:bookmarkEnd w:id="21"/>
      <w:bookmarkEnd w:id="22"/>
      <w:bookmarkEnd w:id="23"/>
    </w:p>
    <w:p>
      <w:pPr>
        <w:pStyle w:val="6"/>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6"/>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6"/>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6"/>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rPr>
      </w:pPr>
      <w:r>
        <w:rPr>
          <w:rFonts w:hint="eastAsia" w:cs="Times New Roman"/>
          <w:kern w:val="2"/>
        </w:rPr>
        <w:t>一</w:t>
      </w:r>
      <w:r>
        <w:rPr>
          <w:rFonts w:cs="Times New Roman"/>
          <w:kern w:val="2"/>
        </w:rPr>
        <w:t>、</w:t>
      </w:r>
      <w:r>
        <w:rPr>
          <w:rFonts w:hint="eastAsia" w:cs="Times New Roman"/>
          <w:kern w:val="2"/>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rPr>
      </w:pPr>
      <w:r>
        <w:rPr>
          <w:rFonts w:hint="eastAsia" w:cs="Times New Roman"/>
          <w:kern w:val="2"/>
        </w:rPr>
        <w:t>二</w:t>
      </w:r>
      <w:r>
        <w:rPr>
          <w:rFonts w:cs="Times New Roman"/>
          <w:kern w:val="2"/>
        </w:rPr>
        <w:t>、</w:t>
      </w:r>
      <w:r>
        <w:rPr>
          <w:rFonts w:hint="eastAsia" w:cs="Times New Roman"/>
          <w:kern w:val="2"/>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6"/>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6"/>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供应商申明函；</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声明；</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中小企业声明函（说明：提供了《残疾人福利性单位声明函》或监狱企业证明文件复印件的无需提供）；</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残疾人福利性单位声明函（说明：提供了《中小企业声明函》或监狱企业证明文件复印件的无需提供）；</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szCs w:val="21"/>
        </w:rPr>
        <w:t>法定代表人</w:t>
      </w:r>
      <w:r>
        <w:rPr>
          <w:rFonts w:hint="eastAsia" w:ascii="宋体" w:hAnsi="宋体"/>
          <w:sz w:val="24"/>
          <w:szCs w:val="24"/>
        </w:rPr>
        <w:t>身份证明书以及</w:t>
      </w:r>
      <w:r>
        <w:rPr>
          <w:rFonts w:hint="eastAsia" w:ascii="宋体" w:hAnsi="宋体"/>
          <w:sz w:val="24"/>
          <w:szCs w:val="21"/>
        </w:rPr>
        <w:t>法定代表人</w:t>
      </w:r>
      <w:r>
        <w:rPr>
          <w:rFonts w:hint="eastAsia" w:ascii="宋体" w:hAnsi="宋体"/>
          <w:sz w:val="24"/>
          <w:szCs w:val="24"/>
        </w:rPr>
        <w:t>身份证复印件（身份证两面均应复印）或护照复印件（说明：（1）供应商的</w:t>
      </w:r>
      <w:r>
        <w:rPr>
          <w:rFonts w:hint="eastAsia" w:ascii="宋体" w:hAnsi="宋体"/>
          <w:sz w:val="24"/>
          <w:szCs w:val="21"/>
        </w:rPr>
        <w:t>法定代表人</w:t>
      </w:r>
      <w:r>
        <w:rPr>
          <w:rFonts w:hint="eastAsia" w:ascii="宋体" w:hAnsi="宋体"/>
          <w:sz w:val="24"/>
          <w:szCs w:val="24"/>
        </w:rPr>
        <w:t>为外籍人士的，则提供护照复印</w:t>
      </w:r>
      <w:r>
        <w:rPr>
          <w:rFonts w:hint="eastAsia" w:ascii="宋体" w:hAnsi="宋体"/>
          <w:sz w:val="24"/>
        </w:rPr>
        <w:t>件；（2）供应商为其他组织的，则法定代表人系指供应商的负责人）；</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供应商基本情况表；</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供应商应提交的其他相关资格证明材料：</w:t>
      </w:r>
    </w:p>
    <w:p>
      <w:pPr>
        <w:pStyle w:val="6"/>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18"/>
        <w:widowControl/>
        <w:numPr>
          <w:ilvl w:val="0"/>
          <w:numId w:val="15"/>
        </w:numPr>
        <w:tabs>
          <w:tab w:val="left" w:pos="1134"/>
        </w:tabs>
        <w:spacing w:after="0" w:line="400" w:lineRule="exact"/>
        <w:ind w:left="0" w:firstLine="567"/>
        <w:jc w:val="left"/>
        <w:rPr>
          <w:rFonts w:ascii="宋体" w:hAnsi="宋体"/>
          <w:sz w:val="24"/>
        </w:rPr>
      </w:pPr>
      <w:bookmarkStart w:id="30" w:name="_Toc320698727"/>
      <w:r>
        <w:rPr>
          <w:rFonts w:hint="eastAsia" w:ascii="宋体" w:hAnsi="宋体"/>
          <w:sz w:val="24"/>
        </w:rPr>
        <w:t>报价表；</w:t>
      </w:r>
    </w:p>
    <w:p>
      <w:pPr>
        <w:pStyle w:val="18"/>
        <w:widowControl/>
        <w:numPr>
          <w:ilvl w:val="0"/>
          <w:numId w:val="15"/>
        </w:numPr>
        <w:tabs>
          <w:tab w:val="left" w:pos="1134"/>
        </w:tabs>
        <w:spacing w:after="0" w:line="400" w:lineRule="exact"/>
        <w:jc w:val="left"/>
        <w:rPr>
          <w:rFonts w:ascii="宋体" w:hAnsi="宋体"/>
          <w:sz w:val="24"/>
        </w:rPr>
      </w:pPr>
      <w:r>
        <w:rPr>
          <w:rFonts w:hint="eastAsia" w:ascii="宋体" w:hAnsi="宋体"/>
          <w:sz w:val="24"/>
        </w:rPr>
        <w:t>技术参数响应表</w:t>
      </w:r>
    </w:p>
    <w:p>
      <w:pPr>
        <w:pStyle w:val="18"/>
        <w:widowControl/>
        <w:numPr>
          <w:ilvl w:val="0"/>
          <w:numId w:val="15"/>
        </w:numPr>
        <w:tabs>
          <w:tab w:val="left" w:pos="1134"/>
        </w:tabs>
        <w:spacing w:after="0" w:line="400" w:lineRule="exact"/>
        <w:jc w:val="left"/>
        <w:rPr>
          <w:rFonts w:ascii="宋体" w:hAnsi="宋体"/>
          <w:sz w:val="24"/>
        </w:rPr>
      </w:pPr>
      <w:r>
        <w:rPr>
          <w:rFonts w:hint="eastAsia" w:ascii="宋体" w:hAnsi="宋体"/>
          <w:sz w:val="24"/>
        </w:rPr>
        <w:t>商务、服务应答表；</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承诺函；</w:t>
      </w:r>
    </w:p>
    <w:p>
      <w:pPr>
        <w:pStyle w:val="6"/>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Cs w:val="22"/>
        </w:rPr>
        <w:t>参加最后报价的供应商按磋商小组的要求在政府采购云平台中提供最后报价，报价应是包括磋商文件规定的全部相应内容的报价。</w:t>
      </w:r>
    </w:p>
    <w:p>
      <w:pPr>
        <w:pStyle w:val="6"/>
        <w:numPr>
          <w:ilvl w:val="2"/>
          <w:numId w:val="5"/>
        </w:numPr>
        <w:spacing w:after="200"/>
        <w:ind w:left="0" w:firstLine="0"/>
        <w:rPr>
          <w:color w:val="auto"/>
          <w:sz w:val="24"/>
          <w:szCs w:val="24"/>
        </w:rPr>
      </w:pPr>
      <w:r>
        <w:rPr>
          <w:rFonts w:hint="eastAsia"/>
          <w:color w:val="auto"/>
          <w:sz w:val="24"/>
          <w:szCs w:val="24"/>
        </w:rPr>
        <w:t>响应文件格式</w:t>
      </w:r>
    </w:p>
    <w:p>
      <w:pPr>
        <w:pStyle w:val="18"/>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18"/>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6"/>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0" w:firstLineChars="200"/>
        <w:rPr>
          <w:rFonts w:ascii="宋体" w:hAnsi="宋体"/>
          <w:bCs/>
          <w:sz w:val="24"/>
          <w:szCs w:val="24"/>
        </w:rPr>
      </w:pPr>
      <w:r>
        <w:rPr>
          <w:rFonts w:hint="eastAsia" w:ascii="宋体" w:hAnsi="宋体"/>
          <w:bCs/>
          <w:sz w:val="24"/>
          <w:szCs w:val="24"/>
        </w:rPr>
        <w:t>本项目不收取磋商保证金。</w:t>
      </w:r>
    </w:p>
    <w:p>
      <w:pPr>
        <w:pStyle w:val="6"/>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6"/>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6"/>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6"/>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3、磋商文件有修改的，供应商须重新下载修改后的磋商文件（修改后的磋商文件在更正公告中下载），并根据修改后的磋商文件制作、撤回修改，并递交响应文件。</w:t>
      </w:r>
    </w:p>
    <w:p>
      <w:pPr>
        <w:spacing w:line="400" w:lineRule="exact"/>
        <w:ind w:firstLine="480" w:firstLineChars="200"/>
        <w:rPr>
          <w:rFonts w:ascii="宋体" w:hAnsi="宋体"/>
          <w:sz w:val="24"/>
          <w:szCs w:val="24"/>
        </w:rPr>
      </w:pPr>
      <w:r>
        <w:rPr>
          <w:rFonts w:ascii="宋体" w:hAnsi="宋体"/>
          <w:sz w:val="24"/>
          <w:szCs w:val="24"/>
        </w:rPr>
        <w:t>4、使用“政府采购云平台”（含政采云电子交易客户端）需要提前申领CA数字证书及电子签章，请自行前往四川CA、CFCA、天威CA服务点办理</w:t>
      </w:r>
      <w:r>
        <w:rPr>
          <w:rFonts w:hint="eastAsia" w:ascii="宋体" w:hAnsi="宋体"/>
          <w:sz w:val="24"/>
          <w:szCs w:val="24"/>
        </w:rPr>
        <w:t>，</w:t>
      </w:r>
      <w:r>
        <w:rPr>
          <w:rFonts w:ascii="宋体" w:hAnsi="宋体"/>
          <w:sz w:val="24"/>
          <w:szCs w:val="24"/>
        </w:rPr>
        <w:t>以上CA数字证书均</w:t>
      </w:r>
      <w:r>
        <w:rPr>
          <w:rFonts w:hint="eastAsia" w:ascii="宋体" w:hAnsi="宋体"/>
          <w:sz w:val="24"/>
          <w:szCs w:val="24"/>
        </w:rPr>
        <w:t>可</w:t>
      </w:r>
      <w:r>
        <w:rPr>
          <w:rFonts w:ascii="宋体" w:hAnsi="宋体"/>
          <w:sz w:val="24"/>
          <w:szCs w:val="24"/>
        </w:rPr>
        <w:t>在成都市公共资源交易服务中心3楼窗口办理</w:t>
      </w:r>
      <w:r>
        <w:rPr>
          <w:rFonts w:hint="eastAsia" w:ascii="宋体" w:hAnsi="宋体"/>
          <w:sz w:val="24"/>
          <w:szCs w:val="24"/>
        </w:rPr>
        <w:t>，</w:t>
      </w:r>
      <w:r>
        <w:rPr>
          <w:rFonts w:ascii="宋体" w:hAnsi="宋体"/>
          <w:sz w:val="24"/>
          <w:szCs w:val="24"/>
        </w:rPr>
        <w:t>其他办理服务点</w:t>
      </w:r>
      <w:r>
        <w:rPr>
          <w:rFonts w:hint="eastAsia" w:ascii="宋体" w:hAnsi="宋体"/>
          <w:sz w:val="24"/>
          <w:szCs w:val="24"/>
        </w:rPr>
        <w:t>及</w:t>
      </w:r>
      <w:r>
        <w:rPr>
          <w:rFonts w:ascii="宋体" w:hAnsi="宋体"/>
          <w:sz w:val="24"/>
          <w:szCs w:val="24"/>
        </w:rPr>
        <w:t>办理方式可拨打官方</w:t>
      </w:r>
      <w:r>
        <w:rPr>
          <w:rFonts w:hint="eastAsia" w:ascii="宋体" w:hAnsi="宋体"/>
          <w:sz w:val="24"/>
          <w:szCs w:val="24"/>
        </w:rPr>
        <w:t>服务</w:t>
      </w:r>
      <w:r>
        <w:rPr>
          <w:rFonts w:ascii="宋体" w:hAnsi="宋体"/>
          <w:sz w:val="24"/>
          <w:szCs w:val="24"/>
        </w:rPr>
        <w:t>电话</w:t>
      </w:r>
      <w:r>
        <w:rPr>
          <w:rFonts w:hint="eastAsia" w:ascii="宋体" w:hAnsi="宋体"/>
          <w:sz w:val="24"/>
          <w:szCs w:val="24"/>
        </w:rPr>
        <w:t>咨询</w:t>
      </w:r>
      <w:r>
        <w:rPr>
          <w:rFonts w:ascii="宋体" w:hAnsi="宋体"/>
          <w:sz w:val="24"/>
          <w:szCs w:val="24"/>
        </w:rPr>
        <w:t>400-028-1130(四川CA)</w:t>
      </w:r>
      <w:r>
        <w:rPr>
          <w:rFonts w:hint="eastAsia" w:ascii="宋体" w:hAnsi="宋体"/>
          <w:sz w:val="24"/>
          <w:szCs w:val="24"/>
        </w:rPr>
        <w:t>；</w:t>
      </w:r>
      <w:r>
        <w:rPr>
          <w:rFonts w:ascii="宋体" w:hAnsi="宋体"/>
          <w:sz w:val="24"/>
          <w:szCs w:val="24"/>
        </w:rPr>
        <w:t>(028)6578532</w:t>
      </w:r>
      <w:r>
        <w:rPr>
          <w:rFonts w:hint="eastAsia" w:ascii="宋体" w:hAnsi="宋体"/>
          <w:sz w:val="24"/>
          <w:szCs w:val="24"/>
        </w:rPr>
        <w:t>、</w:t>
      </w:r>
      <w:r>
        <w:rPr>
          <w:rFonts w:ascii="宋体" w:hAnsi="宋体"/>
          <w:sz w:val="24"/>
          <w:szCs w:val="24"/>
        </w:rPr>
        <w:t>400-8809888(CFCA)；400-819-9995</w:t>
      </w:r>
      <w:r>
        <w:rPr>
          <w:rFonts w:hint="eastAsia" w:ascii="宋体" w:hAnsi="宋体"/>
          <w:sz w:val="24"/>
          <w:szCs w:val="24"/>
        </w:rPr>
        <w:t>、</w:t>
      </w:r>
      <w:r>
        <w:rPr>
          <w:rFonts w:ascii="宋体" w:hAnsi="宋体"/>
          <w:sz w:val="24"/>
          <w:szCs w:val="24"/>
        </w:rPr>
        <w:t>15928647082(天威CA)</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pStyle w:val="6"/>
        <w:spacing w:line="400" w:lineRule="exact"/>
        <w:rPr>
          <w:color w:val="auto"/>
          <w:sz w:val="24"/>
          <w:szCs w:val="24"/>
        </w:rPr>
      </w:pPr>
      <w:r>
        <w:rPr>
          <w:rFonts w:hint="eastAsia"/>
          <w:color w:val="auto"/>
          <w:sz w:val="24"/>
          <w:szCs w:val="24"/>
        </w:rPr>
        <w:t>响应文件的递交</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7"/>
        </w:numPr>
        <w:tabs>
          <w:tab w:val="left" w:pos="1134"/>
        </w:tabs>
        <w:spacing w:line="400" w:lineRule="exact"/>
        <w:ind w:left="0" w:firstLine="567"/>
        <w:rPr>
          <w:rFonts w:ascii="宋体" w:hAnsi="宋体"/>
          <w:bCs/>
          <w:color w:val="000000" w:themeColor="text1"/>
          <w:sz w:val="24"/>
          <w:szCs w:val="24"/>
          <w14:textFill>
            <w14:solidFill>
              <w14:schemeClr w14:val="tx1"/>
            </w14:solidFill>
          </w14:textFill>
        </w:rPr>
      </w:pPr>
      <w:r>
        <w:rPr>
          <w:rFonts w:hint="eastAsia" w:ascii="宋体" w:hAnsi="宋体"/>
          <w:bCs/>
          <w:sz w:val="24"/>
          <w:szCs w:val="24"/>
        </w:rPr>
        <w:t>因磋商文件的修改推迟响应文件递交截止时间的，供应商</w:t>
      </w:r>
      <w:r>
        <w:rPr>
          <w:rFonts w:hint="eastAsia" w:ascii="宋体" w:hAnsi="宋体"/>
          <w:bCs/>
          <w:color w:val="000000" w:themeColor="text1"/>
          <w:sz w:val="24"/>
          <w:szCs w:val="24"/>
          <w14:textFill>
            <w14:solidFill>
              <w14:schemeClr w14:val="tx1"/>
            </w14:solidFill>
          </w14:textFill>
        </w:rPr>
        <w:t>按区政府采购中心在“四川政府采购网”和“成都市公共资源交易服务中心”网站上发布的澄清公告中修改的时间递交响应文件。</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供应商应充分考虑递交响应文件的不可预见因素，未在递交</w:t>
      </w:r>
      <w:r>
        <w:rPr>
          <w:rFonts w:ascii="宋体" w:hAnsi="宋体"/>
          <w:bCs/>
          <w:sz w:val="24"/>
          <w:szCs w:val="24"/>
        </w:rPr>
        <w:t>响应文件</w:t>
      </w:r>
      <w:r>
        <w:rPr>
          <w:rFonts w:hint="eastAsia" w:ascii="宋体" w:hAnsi="宋体"/>
          <w:bCs/>
          <w:sz w:val="24"/>
          <w:szCs w:val="24"/>
        </w:rPr>
        <w:t>截止时间前完成递交的，在递交</w:t>
      </w:r>
      <w:r>
        <w:rPr>
          <w:rFonts w:ascii="宋体" w:hAnsi="宋体"/>
          <w:bCs/>
          <w:sz w:val="24"/>
          <w:szCs w:val="24"/>
        </w:rPr>
        <w:t>响应文件</w:t>
      </w:r>
      <w:r>
        <w:rPr>
          <w:rFonts w:hint="eastAsia" w:ascii="宋体" w:hAnsi="宋体"/>
          <w:bCs/>
          <w:sz w:val="24"/>
          <w:szCs w:val="24"/>
        </w:rPr>
        <w:t>截止时间后将无法递交。</w:t>
      </w:r>
    </w:p>
    <w:p>
      <w:pPr>
        <w:pStyle w:val="6"/>
        <w:spacing w:line="400" w:lineRule="exact"/>
        <w:rPr>
          <w:color w:val="auto"/>
          <w:sz w:val="24"/>
          <w:szCs w:val="24"/>
        </w:rPr>
      </w:pPr>
      <w:r>
        <w:rPr>
          <w:rFonts w:hint="eastAsia"/>
          <w:color w:val="auto"/>
          <w:sz w:val="24"/>
          <w:szCs w:val="24"/>
        </w:rPr>
        <w:t>响应文件的补充、修改和撤回</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w:t>
      </w:r>
      <w:r>
        <w:rPr>
          <w:rFonts w:ascii="宋体" w:hAnsi="宋体"/>
          <w:sz w:val="24"/>
          <w:szCs w:val="24"/>
        </w:rPr>
        <w:t>响应文件</w:t>
      </w:r>
      <w:r>
        <w:rPr>
          <w:rFonts w:hint="eastAsia" w:ascii="宋体" w:hAnsi="宋体"/>
          <w:sz w:val="24"/>
          <w:szCs w:val="24"/>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在递交响应文件截止时间之后，供应商不得对其递交的响应文件做任何补充、修改。</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在递交响应文件截止时间之前，供应商可对已递交的响应文件进行撤回。在递交响应文件截止时间之后，供应商不得撤回响应文件。</w:t>
      </w:r>
    </w:p>
    <w:p>
      <w:pPr>
        <w:pStyle w:val="6"/>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79742123"/>
      <w:bookmarkStart w:id="35" w:name="_Toc183682369"/>
      <w:bookmarkStart w:id="36" w:name="_Toc73447467"/>
      <w:bookmarkStart w:id="37" w:name="_Toc217446057"/>
      <w:bookmarkStart w:id="38" w:name="_Toc183582232"/>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递交响应文件的供应商不足三家的，不予继续开展磋商采购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准备工作。供应商需在递交响应</w:t>
      </w:r>
      <w:r>
        <w:rPr>
          <w:rFonts w:ascii="宋体" w:hAnsi="宋体" w:eastAsia="宋体" w:cs="宋体"/>
          <w:b/>
          <w:sz w:val="24"/>
          <w:szCs w:val="24"/>
        </w:rPr>
        <w:t>文件</w:t>
      </w:r>
      <w:r>
        <w:rPr>
          <w:rFonts w:hint="eastAsia" w:ascii="宋体" w:hAnsi="宋体" w:eastAsia="宋体" w:cs="宋体"/>
          <w:b/>
          <w:sz w:val="24"/>
          <w:szCs w:val="24"/>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w:t>
      </w:r>
      <w:r>
        <w:rPr>
          <w:rFonts w:hint="eastAsia" w:ascii="宋体" w:hAnsi="宋体" w:eastAsia="宋体" w:cs="宋体"/>
          <w:b/>
          <w:color w:val="000000" w:themeColor="text1"/>
          <w:sz w:val="24"/>
          <w:szCs w:val="24"/>
          <w14:textFill>
            <w14:solidFill>
              <w14:schemeClr w14:val="tx1"/>
            </w14:solidFill>
          </w14:textFill>
        </w:rPr>
        <w:t>。待区政府采购中心开启解密后，供应商进行线上解密。除因区政府采购中心断电</w:t>
      </w:r>
      <w:r>
        <w:rPr>
          <w:rFonts w:hint="eastAsia" w:ascii="宋体" w:hAnsi="宋体" w:eastAsia="宋体" w:cs="宋体"/>
          <w:b/>
          <w:sz w:val="24"/>
          <w:szCs w:val="24"/>
        </w:rPr>
        <w:t>、断网、系统故障或其他不可抗力等因素，导致系统无法使用外，供应商在规定的解密时间内，未成功解密的响应文件将视为无效响应文件。</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w:t>
      </w:r>
      <w:r>
        <w:rPr>
          <w:rFonts w:hint="eastAsia" w:ascii="宋体" w:hAnsi="宋体" w:eastAsia="宋体" w:cs="宋体"/>
          <w:b/>
          <w:color w:val="000000" w:themeColor="text1"/>
          <w:sz w:val="24"/>
          <w:szCs w:val="24"/>
          <w14:textFill>
            <w14:solidFill>
              <w14:schemeClr w14:val="tx1"/>
            </w14:solidFill>
          </w14:textFill>
        </w:rPr>
        <w:t>人、区政府采购中心相关工作人员有需要回避的情形的，及时向工作人员提出询问或者回避申请。采购人、区政府采购中心对供应商提出的询问或者</w:t>
      </w:r>
      <w:r>
        <w:rPr>
          <w:rFonts w:hint="eastAsia" w:ascii="宋体" w:hAnsi="宋体" w:eastAsia="宋体" w:cs="宋体"/>
          <w:b/>
          <w:sz w:val="24"/>
          <w:szCs w:val="24"/>
        </w:rPr>
        <w:t>回避申请应当及时处理。</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因</w:t>
      </w:r>
      <w:r>
        <w:rPr>
          <w:rFonts w:hint="eastAsia" w:ascii="宋体" w:hAnsi="宋体" w:eastAsia="宋体" w:cs="宋体"/>
          <w:b/>
          <w:color w:val="000000" w:themeColor="text1"/>
          <w:sz w:val="24"/>
          <w:szCs w:val="24"/>
          <w14:textFill>
            <w14:solidFill>
              <w14:schemeClr w14:val="tx1"/>
            </w14:solidFill>
          </w14:textFill>
        </w:rPr>
        <w:t>区政府采购中心断电、断网、系统故障或其他不可抗力等因素导致不见面开标系统无法正常运行的，磋商活动开启中止或延迟，待系统恢复正常后继续进行。</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磋商活动开启过程中，各方主体均应遵守互联网有关规定，不得发表与交易活动无关的言论。</w:t>
      </w:r>
      <w:bookmarkEnd w:id="32"/>
      <w:bookmarkEnd w:id="33"/>
    </w:p>
    <w:p>
      <w:pPr>
        <w:pStyle w:val="5"/>
        <w:tabs>
          <w:tab w:val="left" w:pos="426"/>
        </w:tabs>
        <w:spacing w:before="0" w:after="0" w:line="400" w:lineRule="exact"/>
        <w:ind w:left="0" w:firstLine="0"/>
        <w:jc w:val="both"/>
        <w:rPr>
          <w:sz w:val="24"/>
          <w:szCs w:val="24"/>
        </w:rPr>
      </w:pPr>
      <w:bookmarkStart w:id="39" w:name="_Toc494095623"/>
      <w:bookmarkEnd w:id="39"/>
      <w:bookmarkStart w:id="40" w:name="_Toc494356977"/>
      <w:bookmarkEnd w:id="40"/>
      <w:bookmarkStart w:id="41" w:name="_Toc73447468"/>
      <w:bookmarkStart w:id="42" w:name="_Toc79742124"/>
      <w:bookmarkStart w:id="43" w:name="_Toc58943329"/>
      <w:r>
        <w:rPr>
          <w:rFonts w:hint="eastAsia"/>
          <w:sz w:val="24"/>
          <w:szCs w:val="24"/>
        </w:rPr>
        <w:t>资格审查</w:t>
      </w:r>
      <w:r>
        <w:rPr>
          <w:sz w:val="24"/>
          <w:szCs w:val="24"/>
        </w:rPr>
        <w:t>和评审</w:t>
      </w:r>
      <w:bookmarkEnd w:id="41"/>
      <w:bookmarkEnd w:id="42"/>
    </w:p>
    <w:p>
      <w:pPr>
        <w:numPr>
          <w:ilvl w:val="0"/>
          <w:numId w:val="20"/>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0"/>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79742125"/>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58943330"/>
      <w:bookmarkStart w:id="46" w:name="_Toc79742126"/>
      <w:bookmarkStart w:id="47" w:name="_Toc287623650"/>
      <w:r>
        <w:rPr>
          <w:rFonts w:hint="eastAsia"/>
          <w:sz w:val="24"/>
          <w:szCs w:val="24"/>
        </w:rPr>
        <w:t>签订及履行合同和验收</w:t>
      </w:r>
      <w:bookmarkEnd w:id="45"/>
      <w:bookmarkEnd w:id="46"/>
    </w:p>
    <w:p>
      <w:pPr>
        <w:pStyle w:val="6"/>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1"/>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6"/>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6"/>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本项目不允许分包。</w:t>
      </w:r>
    </w:p>
    <w:p>
      <w:pPr>
        <w:pStyle w:val="6"/>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6"/>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6"/>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rPr>
        <w:t>不收取</w:t>
      </w:r>
      <w:r>
        <w:rPr>
          <w:rFonts w:hint="eastAsia" w:ascii="宋体" w:hAnsi="宋体"/>
          <w:b/>
          <w:sz w:val="24"/>
          <w:szCs w:val="24"/>
        </w:rPr>
        <w:t>履约保证金。</w:t>
      </w:r>
    </w:p>
    <w:p>
      <w:pPr>
        <w:pStyle w:val="6"/>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6"/>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6"/>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6"/>
        <w:numPr>
          <w:ilvl w:val="2"/>
          <w:numId w:val="5"/>
        </w:numPr>
        <w:spacing w:after="200" w:line="400" w:lineRule="exact"/>
        <w:ind w:left="0" w:firstLine="0"/>
        <w:rPr>
          <w:color w:val="auto"/>
          <w:sz w:val="24"/>
          <w:szCs w:val="24"/>
        </w:rPr>
      </w:pPr>
      <w:r>
        <w:rPr>
          <w:rFonts w:hint="eastAsia"/>
          <w:color w:val="auto"/>
          <w:sz w:val="24"/>
          <w:szCs w:val="24"/>
        </w:rPr>
        <w:t>验收</w:t>
      </w:r>
      <w:bookmarkEnd w:id="52"/>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w:t>
      </w:r>
    </w:p>
    <w:p>
      <w:pPr>
        <w:pStyle w:val="6"/>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58943331"/>
      <w:bookmarkStart w:id="54" w:name="_Toc79742127"/>
      <w:r>
        <w:rPr>
          <w:rFonts w:hint="eastAsia"/>
          <w:sz w:val="24"/>
          <w:szCs w:val="24"/>
        </w:rPr>
        <w:t>竞争性磋商工作纪律及要求</w:t>
      </w:r>
      <w:bookmarkEnd w:id="53"/>
      <w:bookmarkEnd w:id="54"/>
    </w:p>
    <w:p>
      <w:pPr>
        <w:pStyle w:val="6"/>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3"/>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3"/>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6"/>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rPr>
      </w:pPr>
      <w:r>
        <w:rPr>
          <w:rFonts w:hint="eastAsia" w:cs="Helvetic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rPr>
        <w:t>）及相关人员（如</w:t>
      </w:r>
      <w:r>
        <w:rPr>
          <w:rFonts w:cs="Helvetica"/>
          <w:color w:val="auto"/>
        </w:rPr>
        <w:t>磋商小组组成人员</w:t>
      </w:r>
      <w:r>
        <w:rPr>
          <w:rFonts w:hint="eastAsia" w:cs="Helvetica"/>
          <w:color w:val="auto"/>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rPr>
      </w:pPr>
      <w:r>
        <w:rPr>
          <w:rFonts w:hint="eastAsia" w:cs="Helvetica"/>
          <w:color w:val="auto"/>
        </w:rPr>
        <w:t>（一）参加采购活动前3年内与供应商存在劳动关系；</w:t>
      </w:r>
    </w:p>
    <w:p>
      <w:pPr>
        <w:pStyle w:val="39"/>
        <w:shd w:val="clear" w:color="auto" w:fill="FFFFFF"/>
        <w:spacing w:before="0" w:beforeAutospacing="0" w:after="0" w:afterAutospacing="0" w:line="400" w:lineRule="exact"/>
        <w:rPr>
          <w:rFonts w:cs="Helvetica"/>
          <w:color w:val="auto"/>
        </w:rPr>
      </w:pPr>
      <w:r>
        <w:rPr>
          <w:rFonts w:hint="eastAsia" w:cs="Helvetica"/>
          <w:color w:val="auto"/>
        </w:rPr>
        <w:t>　　（二）参加采购活动前3年内担任供应商的董事、监事；</w:t>
      </w:r>
    </w:p>
    <w:p>
      <w:pPr>
        <w:pStyle w:val="39"/>
        <w:shd w:val="clear" w:color="auto" w:fill="FFFFFF"/>
        <w:spacing w:before="0" w:beforeAutospacing="0" w:after="0" w:afterAutospacing="0" w:line="400" w:lineRule="exact"/>
        <w:rPr>
          <w:rFonts w:cs="Helvetica"/>
          <w:color w:val="auto"/>
        </w:rPr>
      </w:pPr>
      <w:r>
        <w:rPr>
          <w:rFonts w:hint="eastAsia" w:cs="Helvetica"/>
          <w:color w:val="auto"/>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rPr>
      </w:pPr>
      <w:r>
        <w:rPr>
          <w:rFonts w:hint="eastAsia" w:cs="Helvetica"/>
          <w:color w:val="auto"/>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rPr>
      </w:pPr>
      <w:r>
        <w:rPr>
          <w:rFonts w:hint="eastAsia" w:cs="Helvetica"/>
          <w:color w:val="auto"/>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58943332"/>
      <w:bookmarkStart w:id="58" w:name="_Toc79742128"/>
      <w:r>
        <w:rPr>
          <w:rFonts w:hint="eastAsia"/>
          <w:sz w:val="24"/>
          <w:szCs w:val="24"/>
        </w:rPr>
        <w:t>询问、质疑</w:t>
      </w:r>
      <w:bookmarkEnd w:id="56"/>
      <w:r>
        <w:rPr>
          <w:rFonts w:hint="eastAsia"/>
          <w:sz w:val="24"/>
          <w:szCs w:val="24"/>
        </w:rPr>
        <w:t>和投诉</w:t>
      </w:r>
      <w:bookmarkEnd w:id="57"/>
      <w:bookmarkEnd w:id="58"/>
    </w:p>
    <w:p>
      <w:pPr>
        <w:pStyle w:val="26"/>
        <w:numPr>
          <w:ilvl w:val="0"/>
          <w:numId w:val="24"/>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4"/>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5"/>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标准提出询问或质疑的，应通过</w:t>
      </w:r>
      <w:r>
        <w:rPr>
          <w:rFonts w:ascii="宋体" w:hAnsi="宋体"/>
          <w:sz w:val="24"/>
          <w:szCs w:val="24"/>
        </w:rPr>
        <w:t>政府采购云平台</w:t>
      </w:r>
      <w:r>
        <w:rPr>
          <w:rFonts w:hint="eastAsia" w:ascii="宋体" w:hAnsi="宋体"/>
          <w:sz w:val="24"/>
          <w:szCs w:val="24"/>
        </w:rPr>
        <w:t>向采购人提出；</w:t>
      </w:r>
    </w:p>
    <w:p>
      <w:pPr>
        <w:pStyle w:val="26"/>
        <w:numPr>
          <w:ilvl w:val="1"/>
          <w:numId w:val="25"/>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供应商对除上述磋商文件中的其他内容、采购过程及成交结果提出询问、质疑的，应通过</w:t>
      </w:r>
      <w:r>
        <w:rPr>
          <w:rFonts w:ascii="宋体" w:hAnsi="宋体"/>
          <w:sz w:val="24"/>
          <w:szCs w:val="24"/>
        </w:rPr>
        <w:t>政府采购云平</w:t>
      </w:r>
      <w:r>
        <w:rPr>
          <w:rFonts w:ascii="宋体" w:hAnsi="宋体"/>
          <w:color w:val="000000" w:themeColor="text1"/>
          <w:sz w:val="24"/>
          <w:szCs w:val="24"/>
          <w14:textFill>
            <w14:solidFill>
              <w14:schemeClr w14:val="tx1"/>
            </w14:solidFill>
          </w14:textFill>
        </w:rPr>
        <w:t>台</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法定代表人身份证复印件1份；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77688481"/>
      <w:bookmarkEnd w:id="59"/>
      <w:bookmarkStart w:id="60" w:name="_Toc77688482"/>
      <w:bookmarkEnd w:id="60"/>
      <w:bookmarkStart w:id="61" w:name="_Toc77688483"/>
      <w:bookmarkEnd w:id="61"/>
      <w:bookmarkStart w:id="62" w:name="_Toc376425021"/>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79742129"/>
      <w:bookmarkStart w:id="64" w:name="_Toc58943334"/>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58943335"/>
      <w:bookmarkStart w:id="67" w:name="_Toc79742130"/>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79742131"/>
      <w:bookmarkStart w:id="69" w:name="_Toc58943336"/>
      <w:r>
        <w:rPr>
          <w:rFonts w:hint="eastAsia"/>
          <w:sz w:val="24"/>
          <w:szCs w:val="24"/>
        </w:rPr>
        <w:t>资格性响应文件格式</w:t>
      </w:r>
      <w:bookmarkEnd w:id="68"/>
      <w:bookmarkEnd w:id="69"/>
    </w:p>
    <w:p>
      <w:pPr>
        <w:pStyle w:val="6"/>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18"/>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rPr>
          <w:rFonts w:ascii="宋体" w:hAnsi="宋体"/>
          <w:b/>
          <w:sz w:val="24"/>
          <w:szCs w:val="24"/>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 xml:space="preserve"> XXXX</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119296788"/>
      <w:bookmarkStart w:id="73" w:name="_Toc146903609"/>
      <w:bookmarkStart w:id="74" w:name="_Toc52184753"/>
      <w:bookmarkStart w:id="75" w:name="_Toc119203988"/>
      <w:bookmarkStart w:id="76" w:name="_Toc119295087"/>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6"/>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XXXX</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19"/>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18"/>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18"/>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rPr>
          <w:rFonts w:ascii="宋体" w:hAnsi="宋体"/>
          <w:sz w:val="20"/>
          <w:szCs w:val="21"/>
        </w:rPr>
      </w:pPr>
    </w:p>
    <w:p>
      <w:pPr>
        <w:pStyle w:val="6"/>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ascii="宋体" w:hAnsi="宋体" w:eastAsia="宋体"/>
          <w:b/>
          <w:sz w:val="24"/>
          <w:szCs w:val="24"/>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199"/>
        <w:ind w:firstLine="0"/>
        <w:rPr>
          <w:sz w:val="22"/>
          <w:szCs w:val="22"/>
        </w:rPr>
        <w:sectPr>
          <w:footerReference r:id="rId4" w:type="default"/>
          <w:pgSz w:w="11906" w:h="16838"/>
          <w:pgMar w:top="1440" w:right="1800" w:bottom="1440" w:left="1800" w:header="851" w:footer="992" w:gutter="0"/>
          <w:cols w:space="425" w:num="1"/>
          <w:docGrid w:type="lines" w:linePitch="312" w:charSpace="0"/>
        </w:sectPr>
      </w:pPr>
    </w:p>
    <w:p>
      <w:pPr>
        <w:pStyle w:val="199"/>
        <w:ind w:firstLine="0"/>
        <w:rPr>
          <w:sz w:val="22"/>
          <w:szCs w:val="22"/>
        </w:rPr>
      </w:pPr>
    </w:p>
    <w:p>
      <w:pPr>
        <w:pStyle w:val="6"/>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keepNext/>
        <w:keepLines/>
        <w:spacing w:line="360" w:lineRule="auto"/>
        <w:outlineLvl w:val="2"/>
        <w:rPr>
          <w:rFonts w:ascii="宋体" w:hAnsi="宋体"/>
          <w:b/>
          <w:sz w:val="24"/>
          <w:szCs w:val="24"/>
        </w:rPr>
        <w:sectPr>
          <w:pgSz w:w="11906" w:h="16838"/>
          <w:pgMar w:top="1440" w:right="1800" w:bottom="1440" w:left="1800" w:header="851" w:footer="992" w:gutter="0"/>
          <w:cols w:space="425" w:num="1"/>
          <w:docGrid w:type="lines" w:linePitch="312" w:charSpace="0"/>
        </w:sectPr>
      </w:pPr>
    </w:p>
    <w:p>
      <w:pPr>
        <w:keepNext/>
        <w:keepLines/>
        <w:spacing w:line="360" w:lineRule="auto"/>
        <w:outlineLvl w:val="2"/>
        <w:rPr>
          <w:rFonts w:ascii="宋体" w:hAnsi="宋体"/>
          <w:sz w:val="24"/>
          <w:szCs w:val="21"/>
        </w:rPr>
      </w:pPr>
      <w:r>
        <w:rPr>
          <w:rFonts w:hint="eastAsia" w:ascii="宋体" w:hAnsi="宋体"/>
          <w:b/>
          <w:sz w:val="24"/>
          <w:szCs w:val="24"/>
        </w:rPr>
        <w:t>所投产品</w:t>
      </w:r>
      <w:r>
        <w:rPr>
          <w:rFonts w:ascii="宋体" w:hAnsi="宋体"/>
          <w:b/>
          <w:sz w:val="24"/>
          <w:szCs w:val="24"/>
        </w:rPr>
        <w:t>制造商属于监狱企业的证明文件复印件</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firstLine="607" w:firstLineChars="253"/>
        <w:rPr>
          <w:rFonts w:ascii="宋体" w:hAnsi="宋体"/>
          <w:spacing w:val="6"/>
          <w:sz w:val="24"/>
          <w:szCs w:val="24"/>
        </w:rPr>
      </w:pPr>
      <w:r>
        <w:rPr>
          <w:rFonts w:hint="eastAsia"/>
          <w:sz w:val="24"/>
          <w:szCs w:val="24"/>
        </w:rPr>
        <w:t>所</w:t>
      </w:r>
      <w:r>
        <w:rPr>
          <w:sz w:val="24"/>
          <w:szCs w:val="24"/>
        </w:rPr>
        <w:t>投产品中为监狱企业制造的货物应提供由省级以上监狱管理局、戒毒管理局（含新疆生产建设兵团）出具的制造商属于监狱企业的证明文件复印件</w:t>
      </w:r>
      <w:r>
        <w:rPr>
          <w:rFonts w:hint="eastAsia"/>
          <w:sz w:val="24"/>
          <w:szCs w:val="24"/>
        </w:rPr>
        <w:t>。</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spacing w:line="588" w:lineRule="exact"/>
        <w:ind w:firstLine="563"/>
        <w:rPr>
          <w:rFonts w:ascii="宋体" w:hAnsi="宋体"/>
          <w:b/>
          <w:sz w:val="24"/>
          <w:szCs w:val="24"/>
        </w:rPr>
      </w:pPr>
      <w:r>
        <w:rPr>
          <w:rFonts w:hint="eastAsia" w:ascii="宋体" w:hAnsi="宋体"/>
          <w:b/>
          <w:spacing w:val="6"/>
          <w:sz w:val="24"/>
          <w:szCs w:val="24"/>
        </w:rPr>
        <w:t>说明：</w:t>
      </w:r>
      <w:r>
        <w:rPr>
          <w:rFonts w:hint="eastAsia" w:ascii="宋体" w:hAnsi="宋体"/>
          <w:b/>
          <w:sz w:val="24"/>
          <w:szCs w:val="24"/>
        </w:rPr>
        <w:t>如未提供所投产品</w:t>
      </w:r>
      <w:r>
        <w:rPr>
          <w:rFonts w:ascii="宋体" w:hAnsi="宋体"/>
          <w:b/>
          <w:sz w:val="24"/>
          <w:szCs w:val="24"/>
        </w:rPr>
        <w:t>制造商属于监狱企业的证明文件</w:t>
      </w:r>
      <w:r>
        <w:rPr>
          <w:rFonts w:hint="eastAsia" w:ascii="宋体" w:hAnsi="宋体"/>
          <w:b/>
          <w:sz w:val="24"/>
          <w:szCs w:val="24"/>
        </w:rPr>
        <w:t>复印件的，不能享受磋商文件规定的价格扣除，但不影响磋商文件的有效性。</w:t>
      </w:r>
    </w:p>
    <w:p>
      <w:pPr>
        <w:spacing w:line="440" w:lineRule="atLeast"/>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00" w:firstLineChars="200"/>
        <w:rPr>
          <w:rFonts w:ascii="宋体" w:hAnsi="宋体"/>
          <w:sz w:val="20"/>
          <w:szCs w:val="24"/>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法定代表人身份证明书</w:t>
      </w:r>
    </w:p>
    <w:p>
      <w:pPr>
        <w:rPr>
          <w:sz w:val="20"/>
          <w:szCs w:val="21"/>
        </w:rPr>
      </w:pPr>
    </w:p>
    <w:p>
      <w:pPr>
        <w:tabs>
          <w:tab w:val="left" w:pos="6300"/>
        </w:tabs>
        <w:spacing w:line="360" w:lineRule="auto"/>
        <w:ind w:firstLine="573"/>
        <w:rPr>
          <w:rFonts w:ascii="宋体" w:hAnsi="宋体"/>
          <w:sz w:val="24"/>
          <w:szCs w:val="24"/>
          <w:lang w:val="zh-CN"/>
        </w:rPr>
      </w:pPr>
      <w:r>
        <w:rPr>
          <w:rFonts w:hint="eastAsia" w:ascii="宋体" w:hAnsi="宋体"/>
          <w:sz w:val="24"/>
          <w:szCs w:val="24"/>
          <w:u w:val="single"/>
          <w:lang w:val="zh-CN"/>
        </w:rPr>
        <w:t xml:space="preserve">       （</w:t>
      </w:r>
      <w:r>
        <w:rPr>
          <w:rFonts w:hint="eastAsia" w:ascii="宋体" w:hAnsi="宋体"/>
          <w:sz w:val="24"/>
          <w:szCs w:val="24"/>
          <w:u w:val="single"/>
        </w:rPr>
        <w:t>法定代表人</w:t>
      </w:r>
      <w:r>
        <w:rPr>
          <w:rFonts w:hint="eastAsia" w:ascii="宋体" w:hAnsi="宋体"/>
          <w:sz w:val="24"/>
          <w:szCs w:val="24"/>
          <w:u w:val="single"/>
          <w:lang w:val="zh-CN"/>
        </w:rPr>
        <w:t xml:space="preserve">姓名）       </w:t>
      </w:r>
      <w:r>
        <w:rPr>
          <w:rFonts w:hint="eastAsia" w:ascii="宋体" w:hAnsi="宋体"/>
          <w:sz w:val="24"/>
          <w:szCs w:val="24"/>
          <w:lang w:val="zh-CN"/>
        </w:rPr>
        <w:t>在</w:t>
      </w:r>
      <w:r>
        <w:rPr>
          <w:rFonts w:hint="eastAsia" w:ascii="宋体" w:hAnsi="宋体"/>
          <w:sz w:val="24"/>
          <w:szCs w:val="24"/>
          <w:u w:val="single"/>
          <w:lang w:val="zh-CN"/>
        </w:rPr>
        <w:t xml:space="preserve">       （供应商名称）       </w:t>
      </w:r>
      <w:r>
        <w:rPr>
          <w:rFonts w:hint="eastAsia" w:ascii="宋体" w:hAnsi="宋体"/>
          <w:sz w:val="24"/>
          <w:szCs w:val="24"/>
          <w:lang w:val="zh-CN"/>
        </w:rPr>
        <w:t>处任</w:t>
      </w:r>
      <w:r>
        <w:rPr>
          <w:rFonts w:hint="eastAsia" w:ascii="宋体" w:hAnsi="宋体"/>
          <w:sz w:val="24"/>
          <w:szCs w:val="24"/>
          <w:u w:val="single"/>
          <w:lang w:val="zh-CN"/>
        </w:rPr>
        <w:t xml:space="preserve">       （职务名称）       </w:t>
      </w:r>
      <w:r>
        <w:rPr>
          <w:rFonts w:hint="eastAsia" w:ascii="宋体" w:hAnsi="宋体"/>
          <w:sz w:val="24"/>
          <w:szCs w:val="24"/>
          <w:lang w:val="zh-CN"/>
        </w:rPr>
        <w:t>职务，是</w:t>
      </w:r>
      <w:r>
        <w:rPr>
          <w:rFonts w:hint="eastAsia" w:ascii="宋体" w:hAnsi="宋体"/>
          <w:sz w:val="24"/>
          <w:szCs w:val="24"/>
          <w:u w:val="single"/>
          <w:lang w:val="zh-CN"/>
        </w:rPr>
        <w:t xml:space="preserve">       （供应商名称）       </w:t>
      </w:r>
      <w:r>
        <w:rPr>
          <w:rFonts w:hint="eastAsia" w:ascii="宋体" w:hAnsi="宋体"/>
          <w:sz w:val="24"/>
          <w:szCs w:val="24"/>
          <w:lang w:val="zh-CN"/>
        </w:rPr>
        <w:t>的</w:t>
      </w:r>
      <w:r>
        <w:rPr>
          <w:rFonts w:hint="eastAsia" w:ascii="宋体" w:hAnsi="宋体"/>
          <w:sz w:val="24"/>
          <w:szCs w:val="24"/>
        </w:rPr>
        <w:t>法定代表人</w:t>
      </w:r>
      <w:r>
        <w:rPr>
          <w:rFonts w:hint="eastAsia" w:ascii="宋体" w:hAnsi="宋体"/>
          <w:sz w:val="24"/>
          <w:szCs w:val="24"/>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1）上述证明文件在资格性响应文件中附有法定代表人身份证复印件（身份证两面均应复印）或护照复印件（供应商的法定代表人为外籍人士的，则提供护照复印件）时才能生效；（2）供应商为其他组织的，则法定代表人系指供应商的负责人。</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spacing w:line="360" w:lineRule="auto"/>
        <w:ind w:left="283" w:leftChars="135" w:firstLine="392" w:firstLineChars="196"/>
        <w:rPr>
          <w:sz w:val="20"/>
          <w:szCs w:val="21"/>
        </w:rPr>
      </w:pPr>
    </w:p>
    <w:p>
      <w:pPr>
        <w:spacing w:line="360" w:lineRule="auto"/>
        <w:rPr>
          <w:color w:val="000000" w:themeColor="text1"/>
          <w:sz w:val="20"/>
          <w:szCs w:val="21"/>
          <w14:textFill>
            <w14:solidFill>
              <w14:schemeClr w14:val="tx1"/>
            </w14:solidFill>
          </w14:textFill>
        </w:rPr>
      </w:pPr>
    </w:p>
    <w:p>
      <w:pPr>
        <w:pStyle w:val="6"/>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rPr>
          <w:color w:val="000000" w:themeColor="text1"/>
          <w:sz w:val="20"/>
          <w:szCs w:val="21"/>
          <w14:textFill>
            <w14:solidFill>
              <w14:schemeClr w14:val="tx1"/>
            </w14:solidFill>
          </w14:textFill>
        </w:rPr>
      </w:pPr>
    </w:p>
    <w:p>
      <w:pPr>
        <w:pStyle w:val="5"/>
        <w:numPr>
          <w:ilvl w:val="1"/>
          <w:numId w:val="5"/>
        </w:numPr>
        <w:tabs>
          <w:tab w:val="left" w:pos="426"/>
          <w:tab w:val="left" w:pos="567"/>
        </w:tabs>
        <w:spacing w:before="0" w:after="200"/>
        <w:ind w:left="1985" w:hanging="1985"/>
        <w:jc w:val="both"/>
        <w:rPr>
          <w:sz w:val="24"/>
          <w:szCs w:val="24"/>
        </w:rPr>
      </w:pPr>
      <w:bookmarkStart w:id="78" w:name="_Toc58943337"/>
      <w:bookmarkStart w:id="79" w:name="_Toc448403805"/>
      <w:bookmarkStart w:id="80" w:name="_Toc79742132"/>
      <w:r>
        <w:rPr>
          <w:rFonts w:hint="eastAsia"/>
          <w:sz w:val="24"/>
          <w:szCs w:val="24"/>
        </w:rPr>
        <w:t>技术、商务性响应文件格式</w:t>
      </w:r>
      <w:bookmarkEnd w:id="78"/>
      <w:bookmarkEnd w:id="79"/>
      <w:bookmarkEnd w:id="80"/>
    </w:p>
    <w:p>
      <w:pPr>
        <w:pStyle w:val="6"/>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采购项目编号：</w:t>
      </w:r>
      <w:r>
        <w:rPr>
          <w:rFonts w:hint="eastAsia" w:ascii="宋体" w:hAnsi="宋体"/>
          <w:b/>
          <w:color w:val="000000" w:themeColor="text1"/>
          <w:sz w:val="24"/>
          <w:szCs w:val="24"/>
          <w14:textFill>
            <w14:solidFill>
              <w14:schemeClr w14:val="tx1"/>
            </w14:solidFill>
          </w14:textFill>
        </w:rPr>
        <w:t>XX</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6"/>
        <w:numPr>
          <w:ilvl w:val="2"/>
          <w:numId w:val="5"/>
        </w:numPr>
        <w:tabs>
          <w:tab w:val="left" w:pos="709"/>
        </w:tabs>
        <w:spacing w:after="200"/>
        <w:ind w:left="709" w:hanging="709"/>
        <w:rPr>
          <w:bCs w:val="0"/>
          <w:color w:val="auto"/>
          <w:sz w:val="24"/>
          <w:szCs w:val="24"/>
        </w:rPr>
      </w:pPr>
      <w:bookmarkStart w:id="81" w:name="_Toc386099146"/>
      <w:bookmarkStart w:id="82" w:name="_Toc32069876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（万元）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（万元）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rPr>
            </w:pPr>
          </w:p>
          <w:p>
            <w:pPr>
              <w:spacing w:line="400" w:lineRule="exact"/>
              <w:jc w:val="left"/>
              <w:rPr>
                <w:rFonts w:ascii="宋体" w:hAnsi="宋体"/>
                <w:sz w:val="22"/>
                <w:u w:val="single"/>
              </w:rPr>
            </w:pPr>
            <w:r>
              <w:rPr>
                <w:rFonts w:hint="eastAsia" w:ascii="宋体" w:hAnsi="宋体"/>
                <w:sz w:val="22"/>
              </w:rPr>
              <w:t>小写：</w:t>
            </w:r>
            <w:r>
              <w:rPr>
                <w:rFonts w:hint="eastAsia" w:ascii="宋体" w:hAnsi="宋体"/>
                <w:sz w:val="22"/>
                <w:u w:val="single"/>
              </w:rPr>
              <w:t xml:space="preserve">                 </w:t>
            </w:r>
            <w:r>
              <w:rPr>
                <w:rFonts w:hint="eastAsia"/>
                <w:color w:val="000000"/>
                <w:sz w:val="22"/>
                <w:szCs w:val="21"/>
                <w:u w:val="single"/>
              </w:rPr>
              <w:t>元</w:t>
            </w:r>
            <w:r>
              <w:rPr>
                <w:rFonts w:hint="eastAsia" w:ascii="宋体" w:hAnsi="宋体"/>
                <w:sz w:val="22"/>
                <w:u w:val="single"/>
              </w:rPr>
              <w:t xml:space="preserve">     </w:t>
            </w:r>
          </w:p>
          <w:p>
            <w:pPr>
              <w:pStyle w:val="81"/>
              <w:ind w:firstLine="400"/>
              <w:rPr>
                <w:sz w:val="20"/>
                <w:szCs w:val="21"/>
              </w:rPr>
            </w:pPr>
          </w:p>
          <w:p>
            <w:pPr>
              <w:spacing w:line="400" w:lineRule="exact"/>
              <w:jc w:val="left"/>
              <w:rPr>
                <w:rFonts w:ascii="宋体" w:hAnsi="宋体"/>
                <w:sz w:val="22"/>
                <w:u w:val="single"/>
              </w:rPr>
            </w:pPr>
            <w:r>
              <w:rPr>
                <w:rFonts w:hint="eastAsia" w:ascii="宋体" w:hAnsi="宋体"/>
                <w:sz w:val="22"/>
              </w:rPr>
              <w:t>大写：</w:t>
            </w:r>
            <w:r>
              <w:rPr>
                <w:rFonts w:hint="eastAsia" w:ascii="宋体" w:hAnsi="宋体"/>
                <w:sz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u w:val="single"/>
              </w:rPr>
              <w:t xml:space="preserve">                  </w:t>
            </w:r>
          </w:p>
          <w:p>
            <w:pPr>
              <w:spacing w:line="400" w:lineRule="exact"/>
              <w:rPr>
                <w:rFonts w:ascii="宋体" w:hAnsi="宋体"/>
                <w:sz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Cs w:val="22"/>
        </w:rPr>
      </w:pPr>
      <w:r>
        <w:rPr>
          <w:rFonts w:hint="eastAsia"/>
          <w:b/>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Cs w:val="22"/>
        </w:rPr>
      </w:pPr>
    </w:p>
    <w:p>
      <w:pPr>
        <w:pStyle w:val="199"/>
        <w:ind w:firstLine="482" w:firstLineChars="200"/>
        <w:rPr>
          <w:b/>
          <w:szCs w:val="22"/>
        </w:rPr>
      </w:pPr>
    </w:p>
    <w:p>
      <w:pPr>
        <w:pStyle w:val="199"/>
        <w:ind w:firstLine="482" w:firstLineChars="200"/>
        <w:rPr>
          <w:b/>
          <w:szCs w:val="22"/>
        </w:rPr>
      </w:pPr>
    </w:p>
    <w:p>
      <w:pPr>
        <w:pStyle w:val="199"/>
        <w:ind w:firstLine="482" w:firstLineChars="200"/>
        <w:rPr>
          <w:b/>
          <w:szCs w:val="22"/>
        </w:rPr>
      </w:pPr>
    </w:p>
    <w:p>
      <w:pPr>
        <w:rPr>
          <w:b/>
          <w:sz w:val="24"/>
        </w:rPr>
      </w:pPr>
      <w:r>
        <w:rPr>
          <w:b/>
          <w:sz w:val="24"/>
        </w:rPr>
        <w:br w:type="page"/>
      </w:r>
    </w:p>
    <w:p>
      <w:pPr>
        <w:pStyle w:val="6"/>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p>
      <w:pPr>
        <w:pStyle w:val="18"/>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Cs w:val="22"/>
        </w:rPr>
      </w:pPr>
    </w:p>
    <w:p>
      <w:pPr>
        <w:pStyle w:val="199"/>
        <w:ind w:firstLine="422" w:firstLineChars="176"/>
        <w:rPr>
          <w:szCs w:val="22"/>
        </w:rPr>
      </w:pPr>
    </w:p>
    <w:p>
      <w:pPr>
        <w:rPr>
          <w:sz w:val="24"/>
        </w:rPr>
      </w:pPr>
      <w:r>
        <w:rPr>
          <w:sz w:val="24"/>
        </w:rPr>
        <w:br w:type="page"/>
      </w:r>
    </w:p>
    <w:bookmarkEnd w:id="81"/>
    <w:bookmarkEnd w:id="82"/>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64" w:hanging="264" w:hangingChars="132"/>
              <w:jc w:val="center"/>
              <w:rPr>
                <w:rFonts w:ascii="方正小标宋简体" w:hAnsi="宋体" w:eastAsia="方正小标宋简体"/>
                <w:sz w:val="20"/>
                <w:szCs w:val="20"/>
              </w:rPr>
            </w:pPr>
          </w:p>
        </w:tc>
        <w:tc>
          <w:tcPr>
            <w:tcW w:w="2175" w:type="dxa"/>
            <w:vAlign w:val="center"/>
          </w:tcPr>
          <w:p>
            <w:pPr>
              <w:spacing w:line="360" w:lineRule="auto"/>
              <w:ind w:left="264" w:hanging="264" w:hangingChars="132"/>
              <w:jc w:val="center"/>
              <w:rPr>
                <w:rFonts w:ascii="方正小标宋简体" w:hAnsi="宋体" w:eastAsia="方正小标宋简体"/>
                <w:sz w:val="20"/>
                <w:szCs w:val="20"/>
              </w:rPr>
            </w:pPr>
          </w:p>
        </w:tc>
        <w:tc>
          <w:tcPr>
            <w:tcW w:w="1507" w:type="dxa"/>
            <w:vAlign w:val="center"/>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64" w:hanging="264" w:hangingChars="132"/>
              <w:jc w:val="center"/>
              <w:rPr>
                <w:rFonts w:ascii="方正小标宋简体" w:hAnsi="宋体" w:eastAsia="方正小标宋简体"/>
                <w:sz w:val="20"/>
                <w:szCs w:val="20"/>
              </w:rPr>
            </w:pPr>
          </w:p>
        </w:tc>
        <w:tc>
          <w:tcPr>
            <w:tcW w:w="2175" w:type="dxa"/>
            <w:vAlign w:val="center"/>
          </w:tcPr>
          <w:p>
            <w:pPr>
              <w:spacing w:line="360" w:lineRule="auto"/>
              <w:ind w:left="264" w:hanging="264" w:hangingChars="132"/>
              <w:jc w:val="center"/>
              <w:rPr>
                <w:rFonts w:ascii="方正小标宋简体" w:hAnsi="宋体" w:eastAsia="方正小标宋简体"/>
                <w:sz w:val="20"/>
                <w:szCs w:val="20"/>
              </w:rPr>
            </w:pPr>
          </w:p>
        </w:tc>
        <w:tc>
          <w:tcPr>
            <w:tcW w:w="1507" w:type="dxa"/>
            <w:vAlign w:val="center"/>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rPr>
          <w:sz w:val="20"/>
          <w:szCs w:val="21"/>
        </w:rPr>
      </w:pPr>
      <w:r>
        <w:rPr>
          <w:sz w:val="20"/>
          <w:szCs w:val="21"/>
        </w:rPr>
        <w:br w:type="page"/>
      </w:r>
    </w:p>
    <w:p>
      <w:pPr>
        <w:pStyle w:val="19"/>
        <w:ind w:firstLine="180"/>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w:t>
      </w:r>
      <w:r>
        <w:rPr>
          <w:rFonts w:hint="eastAsia" w:ascii="宋体" w:hAnsi="宋体"/>
          <w:b/>
          <w:sz w:val="24"/>
          <w:szCs w:val="24"/>
          <w:u w:val="single"/>
        </w:rPr>
        <w:t>XX</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28"/>
        </w:numPr>
        <w:tabs>
          <w:tab w:val="left" w:pos="1134"/>
        </w:tabs>
        <w:snapToGrid w:val="0"/>
        <w:spacing w:before="6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28"/>
        </w:numPr>
        <w:tabs>
          <w:tab w:val="left" w:pos="1134"/>
        </w:tabs>
        <w:snapToGrid w:val="0"/>
        <w:spacing w:before="6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28"/>
        </w:numPr>
        <w:tabs>
          <w:tab w:val="left" w:pos="1134"/>
        </w:tabs>
        <w:snapToGrid w:val="0"/>
        <w:spacing w:before="60" w:line="560" w:lineRule="exact"/>
        <w:ind w:left="0" w:right="210" w:firstLine="567" w:firstLineChars="0"/>
        <w:rPr>
          <w:rFonts w:ascii="宋体" w:hAnsi="宋体"/>
          <w:sz w:val="24"/>
          <w:szCs w:val="24"/>
        </w:rPr>
      </w:pPr>
      <w:r>
        <w:rPr>
          <w:rFonts w:hint="eastAsia" w:ascii="宋体" w:hAnsi="宋体"/>
          <w:sz w:val="24"/>
          <w:szCs w:val="24"/>
        </w:rPr>
        <w:t>我方为本项目提供的所有产品中属于节能产品政府采购品目清单中的政府强制采购产品的，均应具有国家确定的认证机构出具的有效期内的节能产品认证证书。</w:t>
      </w:r>
    </w:p>
    <w:p>
      <w:pPr>
        <w:pStyle w:val="207"/>
        <w:tabs>
          <w:tab w:val="left" w:pos="1134"/>
        </w:tabs>
        <w:snapToGrid w:val="0"/>
        <w:spacing w:before="60" w:line="560" w:lineRule="exact"/>
        <w:ind w:left="567" w:right="210" w:firstLine="0" w:firstLineChars="0"/>
        <w:rPr>
          <w:rFonts w:ascii="宋体" w:hAnsi="宋体"/>
          <w:sz w:val="24"/>
          <w:szCs w:val="24"/>
        </w:rPr>
      </w:pPr>
      <w:r>
        <w:rPr>
          <w:rFonts w:hint="eastAsia" w:ascii="宋体" w:hAnsi="宋体"/>
          <w:sz w:val="24"/>
          <w:szCs w:val="24"/>
        </w:rPr>
        <w:t>四、此处可自行添加(如有）</w:t>
      </w:r>
      <w:r>
        <w:rPr>
          <w:rFonts w:hint="eastAsia" w:ascii="宋体" w:hAnsi="宋体"/>
          <w:sz w:val="24"/>
          <w:szCs w:val="24"/>
          <w:u w:val="single"/>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rPr>
        <w:t>2021年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18"/>
        <w:rPr>
          <w:sz w:val="20"/>
          <w:szCs w:val="21"/>
        </w:rPr>
      </w:pPr>
    </w:p>
    <w:p>
      <w:pPr>
        <w:pStyle w:val="6"/>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采购项目编号：</w:t>
      </w:r>
      <w:r>
        <w:rPr>
          <w:rFonts w:hint="eastAsia" w:ascii="宋体" w:hAnsi="宋体"/>
          <w:b/>
          <w:sz w:val="24"/>
          <w:szCs w:val="24"/>
          <w:u w:val="single"/>
        </w:rPr>
        <w:t>XX</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Cs w:val="22"/>
        </w:rPr>
        <w:t>1</w:t>
      </w:r>
      <w:r>
        <w:rPr>
          <w:rFonts w:hint="eastAsia"/>
          <w:b/>
          <w:szCs w:val="22"/>
        </w:rPr>
        <w:t>、以上表格格式行数可自行增减。</w:t>
      </w:r>
    </w:p>
    <w:p>
      <w:pPr>
        <w:pStyle w:val="199"/>
        <w:ind w:firstLine="0"/>
        <w:rPr>
          <w:rFonts w:ascii="宋体" w:hAnsi="宋体"/>
          <w:b/>
          <w:szCs w:val="22"/>
        </w:rPr>
      </w:pPr>
      <w:r>
        <w:rPr>
          <w:b/>
          <w:szCs w:val="22"/>
        </w:rPr>
        <w:t>2</w:t>
      </w:r>
      <w:r>
        <w:rPr>
          <w:rFonts w:hint="eastAsia"/>
          <w:b/>
          <w:szCs w:val="22"/>
        </w:rPr>
        <w:t>、未提供服务团队人员业绩一览表的，不予</w:t>
      </w:r>
      <w:r>
        <w:rPr>
          <w:b/>
          <w:szCs w:val="22"/>
        </w:rPr>
        <w:t>加分</w:t>
      </w:r>
      <w:r>
        <w:rPr>
          <w:rFonts w:hint="eastAsia"/>
          <w:b/>
          <w:szCs w:val="22"/>
        </w:rPr>
        <w:t>，但不影响供应商响应文件的有效性。</w:t>
      </w:r>
    </w:p>
    <w:p>
      <w:pPr>
        <w:pStyle w:val="4"/>
        <w:widowControl/>
        <w:numPr>
          <w:ilvl w:val="0"/>
          <w:numId w:val="5"/>
        </w:numPr>
        <w:spacing w:line="360" w:lineRule="auto"/>
        <w:ind w:left="0" w:firstLine="0"/>
        <w:rPr>
          <w:color w:val="FF0000"/>
          <w:sz w:val="28"/>
          <w:szCs w:val="28"/>
        </w:rPr>
        <w:sectPr>
          <w:pgSz w:w="11906" w:h="16838"/>
          <w:pgMar w:top="1440" w:right="1800" w:bottom="1440" w:left="1800" w:header="851" w:footer="992" w:gutter="0"/>
          <w:cols w:space="425" w:num="1"/>
          <w:docGrid w:type="lines" w:linePitch="312" w:charSpace="0"/>
        </w:sectPr>
      </w:pPr>
      <w:bookmarkStart w:id="83" w:name="_Toc58943339"/>
    </w:p>
    <w:p>
      <w:pPr>
        <w:pStyle w:val="4"/>
        <w:widowControl/>
        <w:numPr>
          <w:ilvl w:val="0"/>
          <w:numId w:val="5"/>
        </w:numPr>
        <w:spacing w:line="360" w:lineRule="auto"/>
        <w:ind w:left="0" w:firstLine="0"/>
        <w:rPr>
          <w:color w:val="000000" w:themeColor="text1"/>
          <w:sz w:val="28"/>
          <w:szCs w:val="28"/>
          <w14:textFill>
            <w14:solidFill>
              <w14:schemeClr w14:val="tx1"/>
            </w14:solidFill>
          </w14:textFill>
        </w:rPr>
      </w:pPr>
      <w:bookmarkStart w:id="84" w:name="_Toc79742133"/>
      <w:r>
        <w:rPr>
          <w:rFonts w:hint="eastAsia"/>
          <w:color w:val="000000" w:themeColor="text1"/>
          <w:sz w:val="28"/>
          <w:szCs w:val="28"/>
          <w14:textFill>
            <w14:solidFill>
              <w14:schemeClr w14:val="tx1"/>
            </w14:solidFill>
          </w14:textFill>
        </w:rPr>
        <w:t>技术、商务、服务及其他要求</w:t>
      </w:r>
      <w:bookmarkEnd w:id="83"/>
      <w:bookmarkEnd w:id="84"/>
    </w:p>
    <w:p>
      <w:pPr>
        <w:spacing w:line="400" w:lineRule="exact"/>
        <w:rPr>
          <w:rFonts w:cs="仿宋_GB2312" w:asciiTheme="minorEastAsia" w:hAnsiTheme="minorEastAsia"/>
          <w:sz w:val="24"/>
        </w:rPr>
      </w:pPr>
      <w:r>
        <w:rPr>
          <w:rFonts w:hint="eastAsia" w:cs="仿宋_GB2312" w:asciiTheme="minorEastAsia" w:hAnsiTheme="minorEastAsia"/>
          <w:b/>
          <w:bCs/>
          <w:sz w:val="24"/>
        </w:rPr>
        <w:t>一、技术要求</w:t>
      </w:r>
    </w:p>
    <w:p>
      <w:pPr>
        <w:spacing w:line="400" w:lineRule="exact"/>
        <w:rPr>
          <w:rFonts w:cs="仿宋_GB2312" w:asciiTheme="minorEastAsia" w:hAnsiTheme="minorEastAsia"/>
          <w:sz w:val="24"/>
        </w:rPr>
      </w:pPr>
      <w:r>
        <w:rPr>
          <w:rFonts w:hint="eastAsia" w:cs="仿宋_GB2312" w:asciiTheme="minorEastAsia" w:hAnsiTheme="minorEastAsia"/>
          <w:sz w:val="24"/>
        </w:rPr>
        <w:t xml:space="preserve">（一）采购内容 </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按照《成都市人民政府办公厅关于成都市事业单位公务用车制度改革的实施意见》（成办发〔2018〕25号）和《成都市武候区深化公务用车制度改革工作领导小组关于印发成都市武侯区事业单位公务用车制度改革实施方案的通知》（成武公车改〔2018〕1号）要求， 2021年6月，成都市机关事务管理中心已审批同意我中心购置公务用车，预算为18万元（不含购置税、上户等费用），为新能源轿车。</w:t>
      </w:r>
    </w:p>
    <w:p>
      <w:pPr>
        <w:spacing w:line="400" w:lineRule="exact"/>
        <w:rPr>
          <w:rFonts w:cs="仿宋_GB2312" w:asciiTheme="minorEastAsia" w:hAnsiTheme="minorEastAsia"/>
          <w:sz w:val="24"/>
        </w:rPr>
      </w:pPr>
      <w:r>
        <w:rPr>
          <w:rFonts w:hint="eastAsia" w:cs="仿宋_GB2312" w:asciiTheme="minorEastAsia" w:hAnsiTheme="minorEastAsia"/>
          <w:sz w:val="24"/>
        </w:rPr>
        <w:t>（二）采购货物用途的简要说明</w:t>
      </w:r>
    </w:p>
    <w:p>
      <w:pPr>
        <w:pStyle w:val="18"/>
        <w:spacing w:line="400" w:lineRule="exact"/>
        <w:ind w:firstLine="720" w:firstLineChars="300"/>
        <w:rPr>
          <w:rFonts w:asciiTheme="minorEastAsia" w:hAnsiTheme="minorEastAsia" w:eastAsiaTheme="minorEastAsia"/>
          <w:sz w:val="24"/>
        </w:rPr>
      </w:pPr>
      <w:r>
        <w:rPr>
          <w:rFonts w:hint="eastAsia" w:cs="仿宋_GB2312" w:asciiTheme="minorEastAsia" w:hAnsiTheme="minorEastAsia" w:eastAsiaTheme="minorEastAsia"/>
          <w:kern w:val="2"/>
          <w:sz w:val="24"/>
        </w:rPr>
        <w:t>此次采购的新能源轿车主要用于日常公务开展使用，如参加重要会议，办理重要公务事项使用。</w:t>
      </w:r>
    </w:p>
    <w:p>
      <w:pPr>
        <w:spacing w:line="400" w:lineRule="exact"/>
        <w:rPr>
          <w:rFonts w:cs="仿宋_GB2312" w:asciiTheme="minorEastAsia" w:hAnsiTheme="minorEastAsia"/>
          <w:sz w:val="24"/>
        </w:rPr>
      </w:pPr>
      <w:r>
        <w:rPr>
          <w:rFonts w:hint="eastAsia" w:cs="仿宋_GB2312" w:asciiTheme="minorEastAsia" w:hAnsiTheme="minorEastAsia"/>
          <w:sz w:val="24"/>
        </w:rPr>
        <w:t>（三）技术参数及要求</w:t>
      </w:r>
    </w:p>
    <w:tbl>
      <w:tblPr>
        <w:tblStyle w:val="42"/>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77"/>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序号</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类型(新能源)</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仿宋" w:asciiTheme="minorEastAsia" w:hAnsiTheme="minorEastAsia"/>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9"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1</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车辆尺寸（mm）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≥4760*1825*1500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2</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发动机形式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3</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电机型式、电池类型</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永磁同步电机、锂电池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4</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发动机功率（Kw）</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5</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最大扭矩</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≥280N.m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6</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轴距（mm）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7</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前后轮距（mm）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8</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座位数</w:t>
            </w:r>
          </w:p>
        </w:tc>
        <w:tc>
          <w:tcPr>
            <w:tcW w:w="5802" w:type="dxa"/>
            <w:vAlign w:val="center"/>
          </w:tcPr>
          <w:p>
            <w:pPr>
              <w:spacing w:line="400" w:lineRule="exact"/>
              <w:ind w:firstLine="320"/>
              <w:jc w:val="center"/>
              <w:rPr>
                <w:rFonts w:cs="宋体" w:asciiTheme="minorEastAsia" w:hAnsiTheme="minorEastAsia"/>
                <w:sz w:val="24"/>
              </w:rPr>
            </w:pPr>
            <w:r>
              <w:rPr>
                <w:rFonts w:hint="eastAsia" w:cs="宋体" w:asciiTheme="minorEastAsia" w:hAnsiTheme="minorEastAsia"/>
                <w:sz w:val="24"/>
              </w:rPr>
              <w:t>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9</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悬挂型式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前麦弗逊独立悬架/多连杆式独立悬挂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10</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电池能量（KWH）</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11</w:t>
            </w:r>
          </w:p>
        </w:tc>
        <w:tc>
          <w:tcPr>
            <w:tcW w:w="2077" w:type="dxa"/>
            <w:vAlign w:val="center"/>
          </w:tcPr>
          <w:p>
            <w:pPr>
              <w:widowControl/>
              <w:snapToGrid w:val="0"/>
              <w:spacing w:line="400" w:lineRule="exact"/>
              <w:outlineLvl w:val="1"/>
              <w:rPr>
                <w:rFonts w:cs="宋体" w:asciiTheme="minorEastAsia" w:hAnsiTheme="minorEastAsia"/>
                <w:kern w:val="0"/>
                <w:sz w:val="24"/>
              </w:rPr>
            </w:pPr>
            <w:r>
              <w:rPr>
                <w:rFonts w:hint="eastAsia" w:cs="宋体" w:asciiTheme="minorEastAsia" w:hAnsiTheme="minorEastAsia"/>
                <w:kern w:val="0"/>
                <w:sz w:val="24"/>
              </w:rPr>
              <w:t>整备质量（KG）</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12</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工信部纯电续航里程（KM）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13</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变速箱型式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电动车单速变速箱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14</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刹车类型</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15</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轮胎尺寸</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≥235/45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16</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车辆主动安全配置</w:t>
            </w:r>
          </w:p>
        </w:tc>
        <w:tc>
          <w:tcPr>
            <w:tcW w:w="5802" w:type="dxa"/>
            <w:vAlign w:val="center"/>
          </w:tcPr>
          <w:p>
            <w:pPr>
              <w:widowControl/>
              <w:snapToGrid w:val="0"/>
              <w:spacing w:line="400" w:lineRule="exact"/>
              <w:ind w:firstLine="180"/>
              <w:jc w:val="center"/>
              <w:outlineLvl w:val="1"/>
              <w:rPr>
                <w:rFonts w:cs="宋体" w:asciiTheme="minorEastAsia" w:hAnsiTheme="minorEastAsia"/>
                <w:sz w:val="24"/>
              </w:rPr>
            </w:pPr>
            <w:r>
              <w:fldChar w:fldCharType="begin"/>
            </w:r>
            <w:r>
              <w:instrText xml:space="preserve"> HYPERLINK "https://baike.pcauto.com.cn/191.html" \t "https://price.pcauto.com.cn/sg11717/_blank" </w:instrText>
            </w:r>
            <w:r>
              <w:fldChar w:fldCharType="separate"/>
            </w:r>
            <w:r>
              <w:rPr>
                <w:rFonts w:hint="eastAsia" w:cs="宋体" w:asciiTheme="minorEastAsia" w:hAnsiTheme="minorEastAsia"/>
                <w:sz w:val="24"/>
              </w:rPr>
              <w:t>ABS</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"https://baike.pcauto.com.cn/662.html" \t "https://price.pcauto.com.cn/sg11717/_blank" </w:instrText>
            </w:r>
            <w:r>
              <w:fldChar w:fldCharType="separate"/>
            </w:r>
            <w:r>
              <w:rPr>
                <w:rFonts w:hint="eastAsia" w:cs="宋体" w:asciiTheme="minorEastAsia" w:hAnsiTheme="minorEastAsia"/>
                <w:sz w:val="24"/>
              </w:rPr>
              <w:t>制动力分配</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"https://baike.pcauto.com.cn/663.html" \t "https://price.pcauto.com.cn/sg11717/_blank" </w:instrText>
            </w:r>
            <w:r>
              <w:fldChar w:fldCharType="separate"/>
            </w:r>
            <w:r>
              <w:rPr>
                <w:rFonts w:hint="eastAsia" w:cs="宋体" w:asciiTheme="minorEastAsia" w:hAnsiTheme="minorEastAsia"/>
                <w:sz w:val="24"/>
              </w:rPr>
              <w:t>刹车辅助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"https://baike.pcauto.com.cn/166.html" \t "https://price.pcauto.com.cn/sg11717/_blank" </w:instrText>
            </w:r>
            <w:r>
              <w:fldChar w:fldCharType="separate"/>
            </w:r>
            <w:r>
              <w:rPr>
                <w:rFonts w:hint="eastAsia" w:cs="宋体" w:asciiTheme="minorEastAsia" w:hAnsiTheme="minorEastAsia"/>
                <w:sz w:val="24"/>
              </w:rPr>
              <w:t>牵引力控制</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"https://baike.pcauto.com.cn/660.html" \t "https://price.pcauto.com.cn/sg11717/_blank" </w:instrText>
            </w:r>
            <w:r>
              <w:fldChar w:fldCharType="separate"/>
            </w:r>
            <w:r>
              <w:rPr>
                <w:rFonts w:hint="eastAsia" w:cs="宋体" w:asciiTheme="minorEastAsia" w:hAnsiTheme="minorEastAsia"/>
                <w:sz w:val="24"/>
              </w:rPr>
              <w:t>车身稳定控制</w:t>
            </w:r>
            <w:r>
              <w:rPr>
                <w:rFonts w:hint="eastAsia" w:cs="宋体" w:asciiTheme="minorEastAsia" w:hAnsiTheme="minorEastAsia"/>
                <w:sz w:val="24"/>
              </w:rPr>
              <w:fldChar w:fldCharType="end"/>
            </w:r>
            <w:r>
              <w:rPr>
                <w:rFonts w:hint="eastAsia" w:cs="宋体"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17</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车辆辅助安全配置</w:t>
            </w:r>
          </w:p>
        </w:tc>
        <w:tc>
          <w:tcPr>
            <w:tcW w:w="5802" w:type="dxa"/>
            <w:vAlign w:val="center"/>
          </w:tcPr>
          <w:p>
            <w:pPr>
              <w:widowControl/>
              <w:snapToGrid w:val="0"/>
              <w:spacing w:line="400" w:lineRule="exact"/>
              <w:ind w:firstLine="180"/>
              <w:jc w:val="center"/>
              <w:outlineLvl w:val="1"/>
              <w:rPr>
                <w:rFonts w:cs="宋体" w:asciiTheme="minorEastAsia" w:hAnsiTheme="minorEastAsia"/>
                <w:sz w:val="24"/>
              </w:rPr>
            </w:pPr>
            <w:r>
              <w:fldChar w:fldCharType="begin"/>
            </w:r>
            <w:r>
              <w:instrText xml:space="preserve"> HYPERLINK "https://baike.pcauto.com.cn/661.html" \t "https://price.pcauto.com.cn/sg11717/_blank" </w:instrText>
            </w:r>
            <w:r>
              <w:fldChar w:fldCharType="separate"/>
            </w:r>
            <w:r>
              <w:rPr>
                <w:rFonts w:hint="eastAsia" w:cs="宋体" w:asciiTheme="minorEastAsia" w:hAnsiTheme="minorEastAsia"/>
                <w:sz w:val="24"/>
              </w:rPr>
              <w:t>胎压监测装置</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"https://baike.pcauto.com.cn/653.html" \t "https://price.pcauto.com.cn/sg11717/_blank" </w:instrText>
            </w:r>
            <w:r>
              <w:fldChar w:fldCharType="separate"/>
            </w:r>
            <w:r>
              <w:rPr>
                <w:rFonts w:hint="eastAsia" w:cs="宋体" w:asciiTheme="minorEastAsia" w:hAnsiTheme="minorEastAsia"/>
                <w:sz w:val="24"/>
              </w:rPr>
              <w:t>并线辅助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"https://baike.pcauto.com.cn/642.html" \t "https://price.pcauto.com.cn/sg11717/_blank" </w:instrText>
            </w:r>
            <w:r>
              <w:fldChar w:fldCharType="separate"/>
            </w:r>
            <w:r>
              <w:rPr>
                <w:rFonts w:hint="eastAsia" w:cs="宋体" w:asciiTheme="minorEastAsia" w:hAnsiTheme="minorEastAsia"/>
                <w:sz w:val="24"/>
              </w:rPr>
              <w:t>车道偏离预警系统</w:t>
            </w:r>
            <w:r>
              <w:rPr>
                <w:rFonts w:hint="eastAsia" w:cs="宋体" w:asciiTheme="minorEastAsia" w:hAnsiTheme="minorEastAsia"/>
                <w:sz w:val="24"/>
              </w:rPr>
              <w:fldChar w:fldCharType="end"/>
            </w:r>
            <w:r>
              <w:rPr>
                <w:rFonts w:hint="eastAsia" w:cs="宋体" w:asciiTheme="minorEastAsia" w:hAnsiTheme="minorEastAsia"/>
                <w:sz w:val="24"/>
              </w:rPr>
              <w:t>/车道保持辅助系统/道路交通标识识别/主动刹车/</w:t>
            </w:r>
            <w:r>
              <w:fldChar w:fldCharType="begin"/>
            </w:r>
            <w:r>
              <w:instrText xml:space="preserve"> HYPERLINK "https://baike.pcauto.com.cn/654.html" \t "https://price.pcauto.com.cn/sg11717/_blank" </w:instrText>
            </w:r>
            <w:r>
              <w:fldChar w:fldCharType="separate"/>
            </w:r>
            <w:r>
              <w:rPr>
                <w:rFonts w:hint="eastAsia" w:cs="宋体" w:asciiTheme="minorEastAsia" w:hAnsiTheme="minorEastAsia"/>
                <w:sz w:val="24"/>
              </w:rPr>
              <w:t>上坡辅助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"https://baike.pcauto.com.cn/652.html" \t "https://price.pcauto.com.cn/sg11717/_blank" </w:instrText>
            </w:r>
            <w:r>
              <w:fldChar w:fldCharType="separate"/>
            </w:r>
            <w:r>
              <w:rPr>
                <w:rFonts w:hint="eastAsia" w:cs="宋体" w:asciiTheme="minorEastAsia" w:hAnsiTheme="minorEastAsia"/>
                <w:sz w:val="24"/>
              </w:rPr>
              <w:t>陡坡缓降</w:t>
            </w:r>
            <w:r>
              <w:rPr>
                <w:rFonts w:hint="eastAsia" w:cs="宋体" w:asciiTheme="minorEastAsia" w:hAnsiTheme="minorEastAsia"/>
                <w:sz w:val="24"/>
              </w:rPr>
              <w:fldChar w:fldCharType="end"/>
            </w:r>
            <w:r>
              <w:rPr>
                <w:rFonts w:hint="eastAsia" w:cs="宋体" w:asciiTheme="minorEastAsia" w:hAnsiTheme="minorEastAsia"/>
                <w:sz w:val="24"/>
              </w:rPr>
              <w:t>/前后雷达/360全景影像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18</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车辆其他配置</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自适应巡航/电动天窗/铝合金轮毂/车内中控/无钥匙启动/远程启动/电池加热/皮座椅/主副驾电动座椅/LED远近光灯/日间行车灯/自适应远近光灯/自动头灯/大灯高度可调/大灯延时关闭/电动车窗/后视镜加热及折叠/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19</w:t>
            </w:r>
          </w:p>
        </w:tc>
        <w:tc>
          <w:tcPr>
            <w:tcW w:w="2077" w:type="dxa"/>
            <w:vAlign w:val="center"/>
          </w:tcPr>
          <w:p>
            <w:pPr>
              <w:pStyle w:val="284"/>
              <w:spacing w:line="400" w:lineRule="exact"/>
              <w:ind w:left="0"/>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智能行车系统</w:t>
            </w:r>
          </w:p>
        </w:tc>
        <w:tc>
          <w:tcPr>
            <w:tcW w:w="5802" w:type="dxa"/>
          </w:tcPr>
          <w:p>
            <w:pPr>
              <w:pStyle w:val="284"/>
              <w:spacing w:before="39" w:line="400" w:lineRule="exact"/>
              <w:ind w:firstLine="320"/>
              <w:jc w:val="center"/>
              <w:rPr>
                <w:rFonts w:cs="宋体" w:asciiTheme="minorEastAsia" w:hAnsiTheme="minorEastAsia"/>
                <w:sz w:val="24"/>
              </w:rPr>
            </w:pPr>
            <w:r>
              <w:rPr>
                <w:rFonts w:hint="eastAsia" w:cs="宋体" w:asciiTheme="minorEastAsia" w:hAnsiTheme="minorEastAsia"/>
                <w:sz w:val="24"/>
              </w:rPr>
              <w:t>产品尺寸：≤400x400x400（mm），操作方式：按键也可触控，产品总量≤2.5KG，防水等级：PX5，工作方式：自动，配置重力感应功能，工作温度：-20℃至+60℃。提供检验报告或产品图片，否则该项为无效响应。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20</w:t>
            </w:r>
          </w:p>
        </w:tc>
        <w:tc>
          <w:tcPr>
            <w:tcW w:w="2077" w:type="dxa"/>
            <w:vAlign w:val="center"/>
          </w:tcPr>
          <w:p>
            <w:pPr>
              <w:pStyle w:val="284"/>
              <w:spacing w:line="400" w:lineRule="exact"/>
              <w:rPr>
                <w:rFonts w:cs="仿宋_GB2312" w:asciiTheme="minorEastAsia" w:hAnsiTheme="minorEastAsia"/>
                <w:sz w:val="24"/>
              </w:rPr>
            </w:pPr>
            <w:r>
              <w:rPr>
                <w:rFonts w:hint="eastAsia" w:cs="仿宋_GB2312" w:asciiTheme="minorEastAsia" w:hAnsiTheme="minorEastAsia"/>
                <w:sz w:val="24"/>
              </w:rPr>
              <w:t>▲车身颜色</w:t>
            </w:r>
          </w:p>
        </w:tc>
        <w:tc>
          <w:tcPr>
            <w:tcW w:w="5802" w:type="dxa"/>
          </w:tcPr>
          <w:p>
            <w:pPr>
              <w:pStyle w:val="284"/>
              <w:spacing w:before="39" w:line="400" w:lineRule="exact"/>
              <w:ind w:firstLine="320"/>
              <w:jc w:val="center"/>
              <w:rPr>
                <w:rFonts w:cs="宋体" w:asciiTheme="minorEastAsia" w:hAnsiTheme="minorEastAsia"/>
                <w:sz w:val="24"/>
              </w:rPr>
            </w:pPr>
            <w:r>
              <w:rPr>
                <w:rFonts w:hint="eastAsia" w:cs="宋体" w:asciiTheme="minorEastAsia" w:hAnsiTheme="minorEastAsia"/>
                <w:sz w:val="24"/>
              </w:rPr>
              <w:t>白色</w:t>
            </w:r>
          </w:p>
        </w:tc>
      </w:tr>
    </w:tbl>
    <w:p>
      <w:pPr>
        <w:pStyle w:val="18"/>
        <w:spacing w:line="400" w:lineRule="exact"/>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（四）采购标的需执行的相关</w:t>
      </w:r>
    </w:p>
    <w:p>
      <w:pPr>
        <w:pStyle w:val="18"/>
        <w:spacing w:line="400" w:lineRule="exact"/>
        <w:ind w:left="720"/>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符合国家现行相关标准及行业标准，</w:t>
      </w:r>
      <w:r>
        <w:rPr>
          <w:rFonts w:hint="eastAsia" w:cs="仿宋_GB2312" w:asciiTheme="minorEastAsia" w:hAnsiTheme="minorEastAsia"/>
          <w:sz w:val="24"/>
        </w:rPr>
        <w:t>供应商</w:t>
      </w:r>
      <w:r>
        <w:rPr>
          <w:rFonts w:hint="eastAsia" w:cs="仿宋_GB2312" w:asciiTheme="minorEastAsia" w:hAnsiTheme="minorEastAsia" w:eastAsiaTheme="minorEastAsia"/>
          <w:kern w:val="2"/>
          <w:sz w:val="24"/>
        </w:rPr>
        <w:t>承诺成交签订合同时提供产品</w:t>
      </w:r>
    </w:p>
    <w:p>
      <w:pPr>
        <w:pStyle w:val="18"/>
        <w:spacing w:line="400" w:lineRule="exact"/>
        <w:rPr>
          <w:rFonts w:cs="仿宋_GB2312" w:asciiTheme="minorEastAsia" w:hAnsiTheme="minorEastAsia"/>
          <w:sz w:val="24"/>
        </w:rPr>
      </w:pPr>
      <w:r>
        <w:rPr>
          <w:rFonts w:hint="eastAsia" w:cs="仿宋_GB2312" w:asciiTheme="minorEastAsia" w:hAnsiTheme="minorEastAsia" w:eastAsiaTheme="minorEastAsia"/>
          <w:kern w:val="2"/>
          <w:sz w:val="24"/>
        </w:rPr>
        <w:t>CCC证书复印件（提供承诺函加盖投标人公章）。</w:t>
      </w:r>
      <w:r>
        <w:rPr>
          <w:rFonts w:hint="eastAsia" w:asciiTheme="minorEastAsia" w:hAnsiTheme="minorEastAsia" w:eastAsiaTheme="minorEastAsia"/>
          <w:sz w:val="24"/>
        </w:rPr>
        <w:t>车辆技术参数以工信部车辆技术参数为准</w:t>
      </w:r>
    </w:p>
    <w:p>
      <w:pPr>
        <w:spacing w:line="400" w:lineRule="exact"/>
        <w:rPr>
          <w:rFonts w:cs="仿宋_GB2312" w:asciiTheme="minorEastAsia" w:hAnsiTheme="minorEastAsia"/>
          <w:sz w:val="24"/>
        </w:rPr>
      </w:pPr>
      <w:r>
        <w:rPr>
          <w:rFonts w:hint="eastAsia" w:cs="仿宋_GB2312" w:asciiTheme="minorEastAsia" w:hAnsiTheme="minorEastAsia"/>
          <w:sz w:val="24"/>
        </w:rPr>
        <w:t>（五）附件及零配件（包括专用工具）、备品备件的要求。</w:t>
      </w:r>
    </w:p>
    <w:p>
      <w:pPr>
        <w:pStyle w:val="18"/>
        <w:spacing w:line="400" w:lineRule="exact"/>
        <w:ind w:firstLine="600" w:firstLineChars="250"/>
        <w:rPr>
          <w:rFonts w:asciiTheme="minorEastAsia" w:hAnsiTheme="minorEastAsia" w:eastAsiaTheme="minorEastAsia"/>
          <w:sz w:val="24"/>
        </w:rPr>
      </w:pPr>
      <w:r>
        <w:rPr>
          <w:rFonts w:hint="eastAsia" w:cs="仿宋_GB2312" w:asciiTheme="minorEastAsia" w:hAnsiTheme="minorEastAsia" w:eastAsiaTheme="minorEastAsia"/>
          <w:kern w:val="2"/>
          <w:sz w:val="24"/>
        </w:rPr>
        <w:t>符合国家现行相关标准及行业标准。</w:t>
      </w:r>
    </w:p>
    <w:p>
      <w:pPr>
        <w:spacing w:line="400" w:lineRule="exact"/>
        <w:rPr>
          <w:rFonts w:cs="仿宋_GB2312" w:asciiTheme="minorEastAsia" w:hAnsiTheme="minorEastAsia"/>
          <w:sz w:val="24"/>
        </w:rPr>
      </w:pPr>
      <w:r>
        <w:rPr>
          <w:rFonts w:hint="eastAsia" w:cs="仿宋_GB2312" w:asciiTheme="minorEastAsia" w:hAnsiTheme="minorEastAsia"/>
          <w:b/>
          <w:bCs/>
          <w:sz w:val="24"/>
        </w:rPr>
        <w:t>三、商务要求</w:t>
      </w:r>
    </w:p>
    <w:p>
      <w:pPr>
        <w:pStyle w:val="81"/>
        <w:spacing w:line="400" w:lineRule="exact"/>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（一）包装、运输及保管、保险：符合国家现行相关标准及行业标准</w:t>
      </w:r>
    </w:p>
    <w:p>
      <w:pPr>
        <w:spacing w:line="400" w:lineRule="exact"/>
        <w:rPr>
          <w:rFonts w:cs="仿宋_GB2312" w:asciiTheme="minorEastAsia" w:hAnsiTheme="minorEastAsia"/>
          <w:sz w:val="24"/>
        </w:rPr>
      </w:pPr>
      <w:r>
        <w:rPr>
          <w:rFonts w:hint="eastAsia" w:cs="仿宋_GB2312" w:asciiTheme="minorEastAsia" w:hAnsiTheme="minorEastAsia"/>
          <w:sz w:val="24"/>
        </w:rPr>
        <w:t>（二）质量保证与安装调试：质量符合国家现行相关标准及行业标准，到货后进行验收。</w:t>
      </w:r>
      <w:r>
        <w:rPr>
          <w:rFonts w:hint="eastAsia" w:asciiTheme="minorEastAsia" w:hAnsiTheme="minorEastAsia"/>
          <w:sz w:val="24"/>
        </w:rPr>
        <w:t>合同签订后50个工作日内交付，车辆交付后10日内安装调试完毕并验收合格。</w:t>
      </w:r>
    </w:p>
    <w:p>
      <w:pPr>
        <w:pStyle w:val="1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rPr>
        <w:t>（三）</w:t>
      </w:r>
      <w:r>
        <w:rPr>
          <w:rFonts w:hint="eastAsia" w:cs="仿宋_GB2312" w:asciiTheme="minorEastAsia" w:hAnsiTheme="minorEastAsia" w:eastAsiaTheme="minorEastAsia"/>
          <w:sz w:val="24"/>
          <w:szCs w:val="24"/>
        </w:rPr>
        <w:t>质保和售后（提供承诺函加盖投标人公章）</w:t>
      </w:r>
    </w:p>
    <w:p>
      <w:pPr>
        <w:pStyle w:val="16"/>
        <w:ind w:firstLine="480" w:firstLineChars="200"/>
        <w:rPr>
          <w:rFonts w:asciiTheme="minorEastAsia" w:hAnsiTheme="minorEastAsia"/>
          <w:kern w:val="0"/>
          <w:sz w:val="24"/>
        </w:rPr>
      </w:pPr>
      <w:r>
        <w:rPr>
          <w:rFonts w:hint="eastAsia" w:cs="仿宋_GB2312" w:asciiTheme="minorEastAsia" w:hAnsiTheme="minorEastAsia"/>
          <w:sz w:val="24"/>
        </w:rPr>
        <w:t>1.保修期限：保修期自验收合格之日起计算，整车质保不低于3年或10</w:t>
      </w:r>
      <w:r>
        <w:rPr>
          <w:rFonts w:hint="eastAsia" w:asciiTheme="minorEastAsia" w:hAnsiTheme="minorEastAsia"/>
          <w:kern w:val="0"/>
          <w:sz w:val="24"/>
        </w:rPr>
        <w:t>万公里（以先到为准）；</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质保期内发生质量问题:7×24小时技术响应，中标人应免费负责（或协调设备制造厂商）设备维修及抢修，并在采购合同内进行约定。如电话跟采购人之间无法解决，中标人维修工程师在接到故障报告后48小时内达到采购人处进行现场修理和换件，相关费用由中标人承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3.质保期后：中标人保证向采购人提供不高于投标文件中的价格且不高于市场价格供应给采购人备品备件。售后服务部门在接到电话后 2 小时内响应，24小时内派专业技术人员到达现场解决问题，一般故障最迟在 2 个工作日内修复，中标单位有其它服务承诺的，一并履行。</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（四）提供的技术及配套要求</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1.具有完善的售后服务制度，并提供车辆的维修保养、修理手册及使用说明书。</w:t>
      </w:r>
    </w:p>
    <w:p>
      <w:pPr>
        <w:pStyle w:val="81"/>
        <w:spacing w:line="400" w:lineRule="exact"/>
        <w:ind w:firstLine="480"/>
        <w:jc w:val="left"/>
        <w:rPr>
          <w:rFonts w:hint="eastAsia" w:cs="仿宋_GB2312" w:asciiTheme="minorEastAsia" w:hAnsiTheme="minorEastAsia" w:eastAsiaTheme="minorEastAsia"/>
          <w:sz w:val="24"/>
        </w:rPr>
      </w:pPr>
      <w:r>
        <w:rPr>
          <w:rFonts w:hint="eastAsia" w:asciiTheme="minorEastAsia" w:hAnsiTheme="minorEastAsia" w:eastAsiaTheme="minorEastAsia"/>
          <w:kern w:val="0"/>
          <w:sz w:val="24"/>
        </w:rPr>
        <w:t>2.具有完善的售后服务网点，投标人须提供采购方所在地的售后服务维修网点及有效联系方式。</w:t>
      </w:r>
      <w:r>
        <w:rPr>
          <w:rFonts w:hint="eastAsia" w:cs="仿宋_GB2312" w:asciiTheme="minorEastAsia" w:hAnsiTheme="minorEastAsia" w:eastAsiaTheme="minorEastAsia"/>
          <w:sz w:val="24"/>
        </w:rPr>
        <w:t>提供售后服务网点，全程协助车辆</w:t>
      </w:r>
      <w:r>
        <w:rPr>
          <w:rFonts w:hint="eastAsia" w:cs="仿宋_GB2312" w:asciiTheme="minorEastAsia" w:hAnsiTheme="minorEastAsia"/>
          <w:sz w:val="24"/>
        </w:rPr>
        <w:t>上户。</w:t>
      </w:r>
    </w:p>
    <w:p>
      <w:pPr>
        <w:spacing w:line="400" w:lineRule="exact"/>
        <w:rPr>
          <w:rFonts w:cs="仿宋_GB2312" w:asciiTheme="minorEastAsia" w:hAnsiTheme="minorEastAsia"/>
          <w:sz w:val="24"/>
        </w:rPr>
      </w:pPr>
      <w:r>
        <w:rPr>
          <w:rFonts w:hint="eastAsia" w:cs="仿宋_GB2312" w:asciiTheme="minorEastAsia" w:hAnsiTheme="minorEastAsia"/>
          <w:sz w:val="24"/>
        </w:rPr>
        <w:t>（五）交付（实施）的时间（期限）：</w:t>
      </w:r>
      <w:r>
        <w:rPr>
          <w:rFonts w:hint="eastAsia" w:asciiTheme="minorEastAsia" w:hAnsiTheme="minorEastAsia"/>
          <w:sz w:val="24"/>
        </w:rPr>
        <w:t>合同签订后50个工作日内交付。</w:t>
      </w:r>
    </w:p>
    <w:p>
      <w:pPr>
        <w:spacing w:line="400" w:lineRule="exact"/>
        <w:rPr>
          <w:rFonts w:cs="仿宋_GB2312" w:asciiTheme="minorEastAsia" w:hAnsiTheme="minorEastAsia"/>
          <w:sz w:val="24"/>
        </w:rPr>
      </w:pPr>
      <w:r>
        <w:rPr>
          <w:rFonts w:hint="eastAsia" w:cs="仿宋_GB2312" w:asciiTheme="minorEastAsia" w:hAnsiTheme="minorEastAsia"/>
          <w:sz w:val="24"/>
        </w:rPr>
        <w:t>（六）交付（实施）的地点：采购人指定地点。</w:t>
      </w:r>
    </w:p>
    <w:p>
      <w:pPr>
        <w:spacing w:line="400" w:lineRule="exact"/>
        <w:rPr>
          <w:rFonts w:cs="仿宋_GB2312" w:asciiTheme="minorEastAsia" w:hAnsiTheme="minorEastAsia"/>
          <w:sz w:val="24"/>
        </w:rPr>
      </w:pPr>
      <w:r>
        <w:rPr>
          <w:rFonts w:hint="eastAsia" w:cs="仿宋_GB2312" w:asciiTheme="minorEastAsia" w:hAnsiTheme="minorEastAsia"/>
          <w:sz w:val="24"/>
        </w:rPr>
        <w:t>（七）采购资金支付方式、时间、条件</w:t>
      </w:r>
    </w:p>
    <w:p>
      <w:pPr>
        <w:pStyle w:val="18"/>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cs="仿宋_GB2312" w:asciiTheme="minorEastAsia" w:hAnsiTheme="minorEastAsia" w:eastAsiaTheme="minorEastAsia"/>
          <w:sz w:val="24"/>
        </w:rPr>
        <w:t>车辆安装调试完毕并验收合格之日起，采购方接到投标人通知与票据凭证资料以后的30日内，按照财政性资金支付有关规定，向投标人一次性支付合同价款。采购方逾期支付货款的，除应及时付足货款外，应向投标人偿付欠款总额万分之5天的违约金；逾期付款超过30天的，投标人有权终止合同.</w:t>
      </w:r>
    </w:p>
    <w:p>
      <w:pPr>
        <w:spacing w:line="400" w:lineRule="exact"/>
        <w:rPr>
          <w:rFonts w:cs="仿宋_GB2312" w:asciiTheme="minorEastAsia" w:hAnsiTheme="minorEastAsia"/>
          <w:sz w:val="24"/>
        </w:rPr>
      </w:pPr>
      <w:r>
        <w:rPr>
          <w:rFonts w:hint="eastAsia" w:cs="仿宋_GB2312" w:asciiTheme="minorEastAsia" w:hAnsiTheme="minorEastAsia"/>
          <w:sz w:val="24"/>
        </w:rPr>
        <w:t>（八）履约验收的标准、时间、方式；</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1.本项目采购人将依据合同条款、采购文件要求、响应文件响应及承诺内容，严格按照政府采购相关法律法规以及参照《财政部关于进一步加强政府采购需求和履约验收管理的指导意见》（财库〔2016〕205 号）的要求进行验收；</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2.若验收结果不合格的，将不予支付采购资金；</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3.存在国家强制规定或行业标准的遵照相关规定执行。</w:t>
      </w:r>
    </w:p>
    <w:p>
      <w:pPr>
        <w:pStyle w:val="19"/>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车辆交付后10日内安装调试完毕并验收合格。</w:t>
      </w:r>
    </w:p>
    <w:p>
      <w:pPr>
        <w:spacing w:line="400" w:lineRule="exact"/>
        <w:rPr>
          <w:rFonts w:asciiTheme="minorEastAsia" w:hAnsiTheme="minorEastAsia"/>
          <w:sz w:val="24"/>
        </w:rPr>
      </w:pPr>
      <w:r>
        <w:rPr>
          <w:rFonts w:hint="eastAsia" w:cs="仿宋_GB2312" w:asciiTheme="minorEastAsia" w:hAnsiTheme="minorEastAsia"/>
          <w:sz w:val="24"/>
        </w:rPr>
        <w:t>（九）明确是否收取履约保证金：否</w:t>
      </w:r>
    </w:p>
    <w:p>
      <w:pPr>
        <w:spacing w:line="400" w:lineRule="exact"/>
        <w:rPr>
          <w:rFonts w:cs="仿宋_GB2312" w:asciiTheme="minorEastAsia" w:hAnsiTheme="minorEastAsia"/>
          <w:sz w:val="24"/>
        </w:rPr>
      </w:pPr>
      <w:r>
        <w:rPr>
          <w:rFonts w:hint="eastAsia" w:cs="仿宋_GB2312" w:asciiTheme="minorEastAsia" w:hAnsiTheme="minorEastAsia"/>
          <w:sz w:val="24"/>
        </w:rPr>
        <w:t>（十）违约责任；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采购人无正当理由拒收货物的，采购人应偿付合同总价百分之20的违约金；</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采购人逾期支付货款的，除应及时付足货款外，应向投标人偿付欠款总额万分之5/天的违约金；逾期付款超过天的，投标人有权终止合同；</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 采购人偿付的违约金不足以弥补投标人损失的，还应按投标人损失尚未弥补的部分，支付赔偿金给投标人。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交付的货物质量不符合合同规定的，投标人应向采购人支付合同总价的百分之的违约金，并须在合同规定的交货时间内更换合格的货物给采购人，否则，视作投标人不能交付货物而违约，按本条本款下述第“（2）”项规定由投标人偿付违约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不能交付货物或逾期交付货物而违约的，除应及时交足货物外，应向采购人偿付逾期交货部分货款总额的万分之5/天的违约金；逾期交货超过30天，采购人有权终止合同，投标人则应按合同总价的百分之20的款额向采购人偿付赔偿金，并须全额退还采购人已经付给投标人的货款及其利息。</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货物经采购人送交具有法定资格条件的质量技术监督机构检测后，如检测结果认定货物质量不符合本合同规定标准的，则视为投标人没有按时交货而违约，投标人须在天内无条件更换合格的货物，如逾期不能更换合格的货物，采购人有权终止本合同，投标人应另付合同总价的百分之5的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百分之5向采购人支付违约金并赔偿因此给采购人造成的一切损失。</w:t>
      </w:r>
      <w:r>
        <w:rPr>
          <w:rFonts w:hint="eastAsia" w:asciiTheme="minorEastAsia" w:hAnsiTheme="minorEastAsia"/>
          <w:sz w:val="24"/>
        </w:rPr>
        <w:t>货物制造质量出现问题，乙方应在接到甲方通知后20日内负责三包（包修、包换、包退），费用由乙方负担。</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（5）投标人偿付的违约金不足以弥补采购人损失的，还应按采购人损失尚未弥补的部分，支付赔偿金给采购人。</w:t>
      </w:r>
    </w:p>
    <w:p>
      <w:pPr>
        <w:spacing w:line="400" w:lineRule="exact"/>
        <w:rPr>
          <w:rFonts w:cs="仿宋_GB2312" w:asciiTheme="minorEastAsia" w:hAnsiTheme="minorEastAsia"/>
          <w:sz w:val="24"/>
        </w:rPr>
      </w:pPr>
      <w:r>
        <w:rPr>
          <w:rFonts w:hint="eastAsia" w:cs="仿宋_GB2312" w:asciiTheme="minorEastAsia" w:hAnsiTheme="minorEastAsia"/>
          <w:sz w:val="24"/>
        </w:rPr>
        <w:t>（十一）最高限价：180000元（不含购置税、上户等费用）</w:t>
      </w:r>
    </w:p>
    <w:p>
      <w:pPr>
        <w:spacing w:line="400" w:lineRule="exact"/>
        <w:rPr>
          <w:rFonts w:cs="仿宋_GB2312" w:asciiTheme="minorEastAsia" w:hAnsiTheme="minorEastAsia"/>
          <w:sz w:val="24"/>
        </w:rPr>
      </w:pPr>
      <w:r>
        <w:rPr>
          <w:rFonts w:hint="eastAsia" w:cs="仿宋_GB2312" w:asciiTheme="minorEastAsia" w:hAnsiTheme="minorEastAsia"/>
          <w:sz w:val="24"/>
        </w:rPr>
        <w:t>（十二）其它需要说明的事项：否</w:t>
      </w:r>
    </w:p>
    <w:p>
      <w:pPr>
        <w:spacing w:line="400" w:lineRule="exact"/>
        <w:rPr>
          <w:rFonts w:cs="仿宋_GB2312" w:asciiTheme="minorEastAsia" w:hAnsiTheme="minorEastAsia"/>
          <w:b/>
          <w:bCs/>
          <w:sz w:val="24"/>
        </w:rPr>
      </w:pPr>
      <w:r>
        <w:rPr>
          <w:rFonts w:hint="eastAsia" w:cs="仿宋_GB2312" w:asciiTheme="minorEastAsia" w:hAnsiTheme="minorEastAsia"/>
          <w:b/>
          <w:bCs/>
          <w:sz w:val="24"/>
        </w:rPr>
        <w:t>四、其他</w:t>
      </w:r>
    </w:p>
    <w:p>
      <w:pPr>
        <w:spacing w:line="400" w:lineRule="exact"/>
        <w:rPr>
          <w:rFonts w:cs="仿宋_GB2312" w:asciiTheme="minorEastAsia" w:hAnsiTheme="minorEastAsia"/>
          <w:sz w:val="24"/>
        </w:rPr>
      </w:pPr>
      <w:r>
        <w:rPr>
          <w:rFonts w:hint="eastAsia" w:cs="仿宋_GB2312" w:asciiTheme="minorEastAsia" w:hAnsiTheme="minorEastAsia"/>
          <w:sz w:val="24"/>
        </w:rPr>
        <w:t>（一）是否专门面向中小企业采购；</w:t>
      </w:r>
      <w:r>
        <w:rPr>
          <w:rFonts w:hint="eastAsia" w:asciiTheme="minorEastAsia" w:hAnsiTheme="minorEastAsia"/>
          <w:sz w:val="24"/>
        </w:rPr>
        <w:t>否</w:t>
      </w:r>
    </w:p>
    <w:p>
      <w:pPr>
        <w:spacing w:line="400" w:lineRule="exact"/>
        <w:rPr>
          <w:rFonts w:cs="仿宋_GB2312" w:asciiTheme="minorEastAsia" w:hAnsiTheme="minorEastAsia"/>
          <w:sz w:val="24"/>
        </w:rPr>
      </w:pPr>
      <w:r>
        <w:rPr>
          <w:rFonts w:hint="eastAsia" w:cs="仿宋_GB2312" w:asciiTheme="minorEastAsia" w:hAnsiTheme="minorEastAsia"/>
          <w:sz w:val="24"/>
        </w:rPr>
        <w:t>（二）采购标的对应的中小企业划分标准所属行业；</w:t>
      </w:r>
      <w:r>
        <w:rPr>
          <w:rFonts w:hint="eastAsia"/>
          <w:lang w:eastAsia="zh-CN"/>
        </w:rPr>
        <w:t>制造业</w:t>
      </w:r>
      <w:r>
        <w:rPr>
          <w:rFonts w:hint="eastAsia" w:cs="仿宋_GB2312" w:asciiTheme="minorEastAsia" w:hAnsiTheme="minorEastAsia"/>
          <w:sz w:val="24"/>
        </w:rPr>
        <w:t>。</w:t>
      </w:r>
    </w:p>
    <w:p>
      <w:pPr>
        <w:pStyle w:val="18"/>
        <w:spacing w:line="400" w:lineRule="exact"/>
        <w:rPr>
          <w:rFonts w:cs="仿宋_GB2312" w:asciiTheme="minorEastAsia" w:hAnsiTheme="minorEastAsia" w:eastAsiaTheme="minorEastAsia"/>
          <w:kern w:val="2"/>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sz w:val="24"/>
        </w:rPr>
        <w:t>★</w:t>
      </w:r>
      <w:r>
        <w:rPr>
          <w:rFonts w:hint="eastAsia" w:cs="仿宋_GB2312" w:asciiTheme="minorEastAsia" w:hAnsiTheme="minorEastAsia" w:eastAsiaTheme="minorEastAsia"/>
          <w:sz w:val="24"/>
        </w:rPr>
        <w:t>(三）按</w:t>
      </w:r>
      <w:r>
        <w:rPr>
          <w:rFonts w:hint="eastAsia" w:cs="仿宋_GB2312" w:asciiTheme="minorEastAsia" w:hAnsiTheme="minorEastAsia" w:eastAsiaTheme="minorEastAsia"/>
          <w:kern w:val="2"/>
          <w:sz w:val="24"/>
        </w:rPr>
        <w:t>照《2019年最新版3C认证录目》列明产品清单中必须提供3C认证产品的产品：供应商承诺成交签订合同是提供产品CCC证书复印件加盖公章。</w:t>
      </w:r>
    </w:p>
    <w:p>
      <w:pPr>
        <w:spacing w:line="400" w:lineRule="exact"/>
        <w:rPr>
          <w:rFonts w:cs="仿宋_GB2312" w:asciiTheme="minorEastAsia" w:hAnsiTheme="minorEastAsia"/>
          <w:sz w:val="24"/>
        </w:rPr>
      </w:pPr>
      <w:r>
        <w:rPr>
          <w:rFonts w:hint="eastAsia" w:cs="仿宋_GB2312" w:asciiTheme="minorEastAsia" w:hAnsiTheme="minorEastAsia"/>
          <w:sz w:val="24"/>
        </w:rPr>
        <w:t>（四）本项目不允许分包</w:t>
      </w:r>
    </w:p>
    <w:p>
      <w:pPr>
        <w:pStyle w:val="2"/>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eastAsia="zh-CN"/>
        </w:rPr>
        <w:t>五</w:t>
      </w:r>
      <w:r>
        <w:rPr>
          <w:rFonts w:hint="eastAsia" w:cs="仿宋_GB2312" w:asciiTheme="minorEastAsia" w:hAnsiTheme="minorEastAsia"/>
          <w:sz w:val="24"/>
        </w:rPr>
        <w:t>）履约保证金：无</w:t>
      </w:r>
    </w:p>
    <w:p>
      <w:pPr>
        <w:spacing w:line="400" w:lineRule="exact"/>
        <w:rPr>
          <w:rFonts w:hint="eastAsia"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eastAsia="zh-CN"/>
        </w:rPr>
        <w:t>六</w:t>
      </w:r>
      <w:r>
        <w:rPr>
          <w:rFonts w:hint="eastAsia" w:cs="仿宋_GB2312" w:asciiTheme="minorEastAsia" w:hAnsiTheme="minorEastAsia"/>
          <w:sz w:val="24"/>
        </w:rPr>
        <w:t>）采购文件的实质性要求条款用符号“★”标明，不满足视为投标无效；重要参数指标用符号“▲”标明，</w:t>
      </w:r>
      <w:r>
        <w:rPr>
          <w:rFonts w:hint="eastAsia" w:asciiTheme="minorEastAsia" w:hAnsiTheme="minorEastAsia"/>
          <w:sz w:val="24"/>
        </w:rPr>
        <w:t>负偏离将作重要扣分处理。</w:t>
      </w:r>
    </w:p>
    <w:p>
      <w:pPr>
        <w:sectPr>
          <w:pgSz w:w="11906" w:h="16838"/>
          <w:pgMar w:top="1440" w:right="1797" w:bottom="1440" w:left="1797" w:header="851" w:footer="992" w:gutter="0"/>
          <w:cols w:space="425" w:num="1"/>
          <w:docGrid w:type="lines" w:linePitch="312" w:charSpace="0"/>
        </w:sectPr>
      </w:pPr>
    </w:p>
    <w:p>
      <w:pPr>
        <w:pStyle w:val="4"/>
        <w:widowControl/>
        <w:numPr>
          <w:ilvl w:val="0"/>
          <w:numId w:val="0"/>
        </w:numPr>
        <w:spacing w:line="360" w:lineRule="auto"/>
        <w:jc w:val="both"/>
        <w:rPr>
          <w:color w:val="FF0000"/>
          <w:sz w:val="28"/>
          <w:szCs w:val="28"/>
        </w:rPr>
      </w:pPr>
    </w:p>
    <w:p>
      <w:pPr>
        <w:pStyle w:val="4"/>
        <w:widowControl/>
        <w:numPr>
          <w:ilvl w:val="0"/>
          <w:numId w:val="5"/>
        </w:numPr>
        <w:spacing w:before="0" w:after="0" w:line="360" w:lineRule="auto"/>
        <w:ind w:left="0" w:firstLine="0"/>
        <w:rPr>
          <w:sz w:val="28"/>
          <w:szCs w:val="28"/>
        </w:rPr>
      </w:pPr>
      <w:bookmarkStart w:id="85" w:name="_Toc79742134"/>
      <w:bookmarkStart w:id="86" w:name="_Toc58943344"/>
      <w:bookmarkStart w:id="87" w:name="_Toc236285891"/>
      <w:bookmarkStart w:id="88" w:name="_Toc238273564"/>
      <w:bookmarkStart w:id="89" w:name="_Toc360696963"/>
      <w:bookmarkStart w:id="90" w:name="_Toc205604899"/>
      <w:r>
        <w:rPr>
          <w:rFonts w:hint="eastAsia"/>
          <w:sz w:val="28"/>
          <w:szCs w:val="28"/>
        </w:rPr>
        <w:t>磋商办法</w:t>
      </w:r>
      <w:bookmarkEnd w:id="85"/>
      <w:bookmarkEnd w:id="86"/>
    </w:p>
    <w:p>
      <w:pPr>
        <w:pStyle w:val="5"/>
        <w:numPr>
          <w:ilvl w:val="1"/>
          <w:numId w:val="5"/>
        </w:numPr>
        <w:tabs>
          <w:tab w:val="left" w:pos="426"/>
          <w:tab w:val="left" w:pos="567"/>
        </w:tabs>
        <w:spacing w:before="0" w:after="200"/>
        <w:ind w:left="1985" w:hanging="1985"/>
        <w:jc w:val="both"/>
        <w:rPr>
          <w:sz w:val="24"/>
          <w:szCs w:val="24"/>
        </w:rPr>
      </w:pPr>
      <w:bookmarkStart w:id="91" w:name="_Toc58943345"/>
      <w:bookmarkStart w:id="92" w:name="_Toc79742135"/>
      <w:r>
        <w:rPr>
          <w:rFonts w:hint="eastAsia"/>
          <w:sz w:val="24"/>
          <w:szCs w:val="24"/>
        </w:rPr>
        <w:t>总则</w:t>
      </w:r>
      <w:bookmarkEnd w:id="91"/>
      <w:bookmarkEnd w:id="92"/>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0"/>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29"/>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3"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4" w:name="_Toc79742136"/>
      <w:r>
        <w:rPr>
          <w:rFonts w:hint="eastAsia"/>
          <w:sz w:val="24"/>
          <w:szCs w:val="24"/>
        </w:rPr>
        <w:t>评审程序</w:t>
      </w:r>
      <w:bookmarkEnd w:id="93"/>
      <w:bookmarkEnd w:id="94"/>
    </w:p>
    <w:p>
      <w:pPr>
        <w:pStyle w:val="6"/>
        <w:numPr>
          <w:ilvl w:val="2"/>
          <w:numId w:val="5"/>
        </w:numPr>
        <w:spacing w:after="200" w:line="400" w:lineRule="exact"/>
        <w:ind w:left="1135" w:hanging="1135"/>
        <w:rPr>
          <w:color w:val="auto"/>
          <w:sz w:val="24"/>
          <w:szCs w:val="24"/>
        </w:rPr>
      </w:pPr>
      <w:bookmarkStart w:id="95" w:name="_Toc287623646"/>
      <w:r>
        <w:rPr>
          <w:rFonts w:hint="eastAsia"/>
          <w:color w:val="auto"/>
          <w:sz w:val="24"/>
          <w:szCs w:val="24"/>
        </w:rPr>
        <w:t>磋商小组</w:t>
      </w:r>
      <w:bookmarkEnd w:id="95"/>
    </w:p>
    <w:p>
      <w:pPr>
        <w:pStyle w:val="2"/>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6"/>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b/>
                <w:sz w:val="18"/>
                <w:szCs w:val="21"/>
              </w:rPr>
            </w:pPr>
            <w:r>
              <w:rPr>
                <w:rFonts w:hint="eastAsia"/>
                <w:b/>
                <w:sz w:val="18"/>
                <w:szCs w:val="21"/>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sz w:val="18"/>
                <w:szCs w:val="21"/>
              </w:rPr>
            </w:pPr>
            <w:r>
              <w:rPr>
                <w:rFonts w:hint="eastAsia"/>
                <w:b/>
                <w:sz w:val="18"/>
                <w:szCs w:val="21"/>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240" w:lineRule="atLeast"/>
              <w:jc w:val="center"/>
              <w:rPr>
                <w:sz w:val="18"/>
                <w:szCs w:val="21"/>
              </w:rPr>
            </w:pPr>
            <w:r>
              <w:rPr>
                <w:sz w:val="18"/>
                <w:szCs w:val="21"/>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在中华人民共和国境内依法登记注册，并有效存续具有独立法人资格的供应商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营业执照复印件（正本或副本）或法人证书复印件（正本或副本）。【说明：</w:t>
            </w:r>
            <w:r>
              <w:rPr>
                <w:rFonts w:hint="eastAsia" w:ascii="宋体" w:hAnsi="宋体"/>
                <w:sz w:val="18"/>
                <w:szCs w:val="24"/>
              </w:rPr>
              <w:t>①</w:t>
            </w:r>
            <w:r>
              <w:rPr>
                <w:rFonts w:hint="eastAsia"/>
                <w:sz w:val="18"/>
                <w:szCs w:val="21"/>
              </w:rPr>
              <w:t>营业执照或法人证书载明有期限的，应在有效期限内；</w:t>
            </w:r>
            <w:r>
              <w:rPr>
                <w:rFonts w:hint="eastAsia" w:ascii="宋体" w:hAnsi="宋体"/>
                <w:sz w:val="18"/>
                <w:szCs w:val="24"/>
              </w:rPr>
              <w:t>②</w:t>
            </w:r>
            <w:r>
              <w:rPr>
                <w:rFonts w:hint="eastAsia"/>
                <w:sz w:val="18"/>
                <w:szCs w:val="21"/>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2</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供应商参加政府采购活动前三年内，在经营活动中没有重大违法记录的书面声明材料。【说明：①按磋商文件</w:t>
            </w:r>
            <w:r>
              <w:rPr>
                <w:rFonts w:ascii="宋体" w:hAnsi="宋体"/>
                <w:sz w:val="20"/>
                <w:szCs w:val="20"/>
              </w:rPr>
              <w:t>3</w:t>
            </w:r>
            <w:r>
              <w:rPr>
                <w:rFonts w:hint="eastAsia" w:ascii="宋体" w:hAnsi="宋体"/>
                <w:sz w:val="20"/>
                <w:szCs w:val="20"/>
              </w:rPr>
              <w:t>.1.3声明的内容提供书面声明材料；②供应商参加政府采购活动前三年内，在经营活动中没有重大违法记录。】</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供应商具有良好的商业信誉的书面声明材料。【说明：①按磋商文件</w:t>
            </w:r>
            <w:r>
              <w:rPr>
                <w:rFonts w:ascii="宋体" w:hAnsi="宋体"/>
                <w:sz w:val="20"/>
                <w:szCs w:val="20"/>
              </w:rPr>
              <w:t>3</w:t>
            </w:r>
            <w:r>
              <w:rPr>
                <w:rFonts w:hint="eastAsia" w:ascii="宋体" w:hAnsi="宋体"/>
                <w:sz w:val="20"/>
                <w:szCs w:val="20"/>
              </w:rPr>
              <w:t>.1.</w:t>
            </w:r>
            <w:r>
              <w:rPr>
                <w:rFonts w:ascii="宋体" w:hAnsi="宋体"/>
                <w:sz w:val="20"/>
                <w:szCs w:val="20"/>
              </w:rPr>
              <w:t>3</w:t>
            </w:r>
            <w:r>
              <w:rPr>
                <w:rFonts w:hint="eastAsia" w:ascii="宋体" w:hAnsi="宋体"/>
                <w:sz w:val="20"/>
                <w:szCs w:val="20"/>
              </w:rPr>
              <w:t>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3、单位负责人为同一人或者存在直接控股、管理关系的不同供应商，不得参加同一项目的政府</w:t>
            </w:r>
            <w:r>
              <w:rPr>
                <w:rFonts w:ascii="宋体" w:hAnsi="宋体"/>
                <w:sz w:val="20"/>
                <w:szCs w:val="20"/>
              </w:rPr>
              <w:t>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负责人为同一人或者存在直接控股、管理关系的相关供应商未同时参加本项目书面声明材料。【说明：①按磋商文件</w:t>
            </w:r>
            <w:r>
              <w:rPr>
                <w:rFonts w:ascii="宋体" w:hAnsi="宋体"/>
                <w:sz w:val="20"/>
                <w:szCs w:val="20"/>
              </w:rPr>
              <w:t>3.1.3</w:t>
            </w:r>
            <w:r>
              <w:rPr>
                <w:rFonts w:hint="eastAsia" w:ascii="宋体" w:hAnsi="宋体"/>
                <w:sz w:val="20"/>
                <w:szCs w:val="20"/>
              </w:rPr>
              <w:t>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4、行贿犯罪记录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在行贿犯罪信息查询期限内，供应商及其现任法定代表人、主要负责人没有行贿犯罪记录的书面声明材料。【说明：①按磋商文件</w:t>
            </w:r>
            <w:r>
              <w:rPr>
                <w:rFonts w:ascii="宋体" w:hAnsi="宋体"/>
                <w:sz w:val="20"/>
                <w:szCs w:val="20"/>
              </w:rPr>
              <w:t>3</w:t>
            </w:r>
            <w:r>
              <w:rPr>
                <w:rFonts w:hint="eastAsia" w:ascii="宋体" w:hAnsi="宋体"/>
                <w:sz w:val="20"/>
                <w:szCs w:val="20"/>
              </w:rPr>
              <w:t>.1.3声明内容提供书面声明材料，响应文件中不需提供中国裁判文书网（</w:t>
            </w:r>
            <w:r>
              <w:rPr>
                <w:rFonts w:ascii="宋体" w:hAnsi="宋体"/>
                <w:sz w:val="20"/>
                <w:szCs w:val="20"/>
              </w:rPr>
              <w:t>https://wenshu.court.gov.cn</w:t>
            </w:r>
            <w:r>
              <w:rPr>
                <w:rFonts w:hint="eastAsia" w:ascii="宋体" w:hAnsi="宋体"/>
                <w:sz w:val="20"/>
                <w:szCs w:val="20"/>
              </w:rPr>
              <w:t>）查询结果的证明材料；②在行贿犯罪信息查询期限内，供应商及其现任法定代表人、主要负责人没有行贿犯罪记录。】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5、未被列入失信被执行人、重大税收违法案件当事人名单、政府采购严重违法失信行为记录名单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磋商文件</w:t>
            </w:r>
            <w:r>
              <w:rPr>
                <w:rFonts w:ascii="宋体" w:hAnsi="宋体"/>
                <w:sz w:val="20"/>
                <w:szCs w:val="20"/>
              </w:rPr>
              <w:t>3</w:t>
            </w:r>
            <w:r>
              <w:rPr>
                <w:rFonts w:hint="eastAsia" w:ascii="宋体" w:hAnsi="宋体"/>
                <w:sz w:val="20"/>
                <w:szCs w:val="20"/>
              </w:rPr>
              <w:t>.1.3声明内容提供书面声明材料。】</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6、未处于被行政部门禁止参与政府采购活动的期限内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供应商未处于被行政部门禁止参与政府采购活动的期限内。【说明：①按磋商文件</w:t>
            </w:r>
            <w:r>
              <w:rPr>
                <w:rFonts w:ascii="宋体" w:hAnsi="宋体"/>
                <w:sz w:val="20"/>
                <w:szCs w:val="20"/>
              </w:rPr>
              <w:t>3</w:t>
            </w:r>
            <w:r>
              <w:rPr>
                <w:rFonts w:hint="eastAsia" w:ascii="宋体" w:hAnsi="宋体"/>
                <w:sz w:val="20"/>
                <w:szCs w:val="20"/>
              </w:rPr>
              <w:t>.1.3声明内容提供书面声明材料；②供应商未处于被行政部门禁止参与政府采购活动的期限内。】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3</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采购人对供应商履行合同所必须的设备和专业技术能力无其他特殊要求，可不提供其他证明材料。【说明：无须提供证明材料，上传空白页即可，不对本项上传的材料作资格审查】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不属于国家法律法规规定的其他禁止参加政府采购活动的供应商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、根据磋商文件的要求不属于禁止参加政府采购活动的供应商；</w:t>
            </w:r>
          </w:p>
          <w:p>
            <w:pPr>
              <w:tabs>
                <w:tab w:val="left" w:pos="851"/>
              </w:tabs>
              <w:spacing w:line="240" w:lineRule="atLeast"/>
              <w:rPr>
                <w:rFonts w:ascii="宋体" w:hAnsi="宋体"/>
                <w:sz w:val="20"/>
                <w:szCs w:val="20"/>
              </w:rPr>
            </w:pPr>
            <w:r>
              <w:rPr>
                <w:rFonts w:ascii="宋体" w:hAnsi="宋体"/>
                <w:sz w:val="20"/>
                <w:szCs w:val="20"/>
              </w:rPr>
              <w:t>2</w:t>
            </w:r>
            <w:r>
              <w:rPr>
                <w:rFonts w:hint="eastAsia" w:ascii="宋体" w:hAnsi="宋体"/>
                <w:sz w:val="20"/>
                <w:szCs w:val="20"/>
              </w:rPr>
              <w:t>、磋商小组未发现或者未知晓供应商存在属于国家相关法律法规规定的禁止参加磋商的供应商。</w:t>
            </w:r>
          </w:p>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响应文件解密情况</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除因断电、断网、系统故障或其他不可抗力等因素，导致系统无法使用外，响应文件已成功解密。【说明：无须提供证明材料，上传空白页即可，不对本项上传的材料作资格审查】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响应文件的语言、</w:t>
            </w:r>
            <w:r>
              <w:rPr>
                <w:rFonts w:ascii="宋体" w:hAnsi="宋体"/>
                <w:sz w:val="20"/>
                <w:szCs w:val="20"/>
              </w:rPr>
              <w:t>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语言符合磋商文件的要求。【说明：无须提供证明材料，上传空白页即可，不对本项上传的材料作资格审查】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资格性响应</w:t>
            </w:r>
            <w:r>
              <w:rPr>
                <w:rFonts w:ascii="宋体" w:hAnsi="宋体"/>
                <w:sz w:val="20"/>
                <w:szCs w:val="20"/>
              </w:rPr>
              <w:t>文件</w:t>
            </w:r>
            <w:r>
              <w:rPr>
                <w:rFonts w:hint="eastAsia" w:ascii="宋体" w:hAnsi="宋体"/>
                <w:sz w:val="20"/>
                <w:szCs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符合磋商文件“</w:t>
            </w:r>
            <w:r>
              <w:rPr>
                <w:rFonts w:ascii="宋体" w:hAnsi="宋体"/>
                <w:sz w:val="20"/>
                <w:szCs w:val="20"/>
              </w:rPr>
              <w:t>2.4.5</w:t>
            </w:r>
            <w:r>
              <w:rPr>
                <w:rFonts w:hint="eastAsia" w:ascii="宋体" w:hAnsi="宋体"/>
                <w:sz w:val="20"/>
                <w:szCs w:val="20"/>
              </w:rPr>
              <w:t>响应</w:t>
            </w:r>
            <w:r>
              <w:rPr>
                <w:rFonts w:ascii="宋体" w:hAnsi="宋体"/>
                <w:sz w:val="20"/>
                <w:szCs w:val="20"/>
              </w:rPr>
              <w:t>文件的组成”规定要求。</w:t>
            </w:r>
            <w:r>
              <w:rPr>
                <w:rFonts w:hint="eastAsia" w:ascii="宋体" w:hAnsi="宋体"/>
                <w:sz w:val="20"/>
                <w:szCs w:val="20"/>
              </w:rPr>
              <w:t>【说明①供应商按磋商文件3.1.2关于供应商申明的内容提供供应商申明函；②</w:t>
            </w:r>
            <w:r>
              <w:rPr>
                <w:rFonts w:ascii="宋体" w:hAnsi="宋体"/>
                <w:sz w:val="20"/>
                <w:szCs w:val="20"/>
              </w:rPr>
              <w:t>供应商按</w:t>
            </w:r>
            <w:r>
              <w:rPr>
                <w:rFonts w:hint="eastAsia" w:ascii="宋体" w:hAnsi="宋体"/>
                <w:sz w:val="20"/>
                <w:szCs w:val="20"/>
              </w:rPr>
              <w:t>磋商</w:t>
            </w:r>
            <w:r>
              <w:rPr>
                <w:rFonts w:ascii="宋体" w:hAnsi="宋体"/>
                <w:sz w:val="20"/>
                <w:szCs w:val="20"/>
              </w:rPr>
              <w:t>文件3.1.7供应商基本情况表的</w:t>
            </w:r>
            <w:r>
              <w:rPr>
                <w:rFonts w:hint="eastAsia" w:ascii="宋体" w:hAnsi="宋体"/>
                <w:sz w:val="20"/>
                <w:szCs w:val="20"/>
              </w:rPr>
              <w:t>内容</w:t>
            </w:r>
            <w:r>
              <w:rPr>
                <w:rFonts w:ascii="宋体" w:hAnsi="宋体"/>
                <w:sz w:val="20"/>
                <w:szCs w:val="20"/>
              </w:rPr>
              <w:t>提供供应商基本情况表</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法定</w:t>
            </w:r>
            <w:r>
              <w:rPr>
                <w:rFonts w:ascii="宋体" w:hAnsi="宋体"/>
                <w:sz w:val="20"/>
                <w:szCs w:val="20"/>
              </w:rPr>
              <w:t>代表人身份证明书及</w:t>
            </w:r>
            <w:r>
              <w:rPr>
                <w:rFonts w:hint="eastAsia" w:ascii="宋体" w:hAnsi="宋体"/>
                <w:sz w:val="20"/>
                <w:szCs w:val="20"/>
              </w:rPr>
              <w:t>法定代表人身份证复印件或护照复印件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1、供应商按磋商文件</w:t>
            </w:r>
            <w:r>
              <w:rPr>
                <w:rFonts w:ascii="宋体" w:hAnsi="宋体"/>
                <w:sz w:val="20"/>
                <w:szCs w:val="20"/>
              </w:rPr>
              <w:t>3.1.6</w:t>
            </w:r>
            <w:r>
              <w:rPr>
                <w:rFonts w:hint="eastAsia" w:ascii="宋体" w:hAnsi="宋体"/>
                <w:sz w:val="20"/>
                <w:szCs w:val="20"/>
              </w:rPr>
              <w:t>关于法定</w:t>
            </w:r>
            <w:r>
              <w:rPr>
                <w:rFonts w:ascii="宋体" w:hAnsi="宋体"/>
                <w:sz w:val="20"/>
                <w:szCs w:val="20"/>
              </w:rPr>
              <w:t>代表人身份证明书</w:t>
            </w:r>
            <w:r>
              <w:rPr>
                <w:rFonts w:hint="eastAsia" w:ascii="宋体" w:hAnsi="宋体"/>
                <w:sz w:val="20"/>
                <w:szCs w:val="20"/>
              </w:rPr>
              <w:t>的内容提供法定</w:t>
            </w:r>
            <w:r>
              <w:rPr>
                <w:rFonts w:ascii="宋体" w:hAnsi="宋体"/>
                <w:sz w:val="20"/>
                <w:szCs w:val="20"/>
              </w:rPr>
              <w:t>代表人身份证明书</w:t>
            </w:r>
            <w:r>
              <w:rPr>
                <w:rFonts w:hint="eastAsia" w:ascii="宋体" w:hAnsi="宋体"/>
                <w:sz w:val="20"/>
                <w:szCs w:val="20"/>
              </w:rPr>
              <w:t>；2、身份证复印件或护照复印件【注：①法定代表人身份证复印件（身份证两面均应复印，在有效期内）或护照复印件（法定代表人为外籍人士的，按此提供）。②供应商为律师事务所的，则法定代表人系指供应商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的书面声明材料【说明：①按磋商文件3.1.3声明的内容提供书面声明材料；②供应商具有健全的财务会计制度。】。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具有依法缴纳社会保障资金良好记录的证明材料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具有依法缴纳税收良好</w:t>
            </w:r>
            <w:r>
              <w:rPr>
                <w:rFonts w:ascii="宋体" w:hAnsi="宋体"/>
                <w:sz w:val="20"/>
                <w:szCs w:val="20"/>
              </w:rPr>
              <w:t>记录</w:t>
            </w:r>
            <w:r>
              <w:rPr>
                <w:rFonts w:hint="eastAsia" w:ascii="宋体" w:hAnsi="宋体"/>
                <w:sz w:val="20"/>
                <w:szCs w:val="20"/>
              </w:rPr>
              <w:t>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供应商具有依法缴纳税收良好</w:t>
            </w:r>
            <w:r>
              <w:rPr>
                <w:rFonts w:ascii="宋体" w:hAnsi="宋体"/>
                <w:sz w:val="20"/>
                <w:szCs w:val="20"/>
              </w:rPr>
              <w:t>记录</w:t>
            </w:r>
            <w:r>
              <w:rPr>
                <w:rFonts w:hint="eastAsia" w:ascii="宋体" w:hAnsi="宋体"/>
                <w:sz w:val="20"/>
                <w:szCs w:val="20"/>
              </w:rPr>
              <w:t>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；②供应商有依法缴纳税收的良好记录。】。</w:t>
            </w:r>
          </w:p>
        </w:tc>
      </w:tr>
    </w:tbl>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除资格性审查要求的证明材料外，磋商文件要求提供的其他证明材料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pStyle w:val="156"/>
              <w:spacing w:line="360" w:lineRule="auto"/>
              <w:rPr>
                <w:rFonts w:ascii="宋体" w:hAnsi="宋体"/>
                <w:sz w:val="22"/>
                <w:szCs w:val="24"/>
              </w:rPr>
            </w:pPr>
            <w:r>
              <w:rPr>
                <w:rFonts w:hAnsi="宋体" w:cs="Times New Roman"/>
                <w:color w:val="auto"/>
                <w:kern w:val="2"/>
                <w:sz w:val="22"/>
              </w:rPr>
              <w:t>1.承诺函【注：①按</w:t>
            </w:r>
            <w:r>
              <w:rPr>
                <w:rFonts w:ascii="Times New Roman" w:hAnsi="Times New Roman" w:cs="Times New Roman"/>
                <w:color w:val="auto"/>
                <w:kern w:val="2"/>
                <w:sz w:val="22"/>
              </w:rPr>
              <w:t>3.</w:t>
            </w:r>
            <w:r>
              <w:rPr>
                <w:rFonts w:hint="eastAsia" w:ascii="Times New Roman" w:hAnsi="Times New Roman" w:cs="Times New Roman"/>
                <w:color w:val="auto"/>
                <w:kern w:val="2"/>
                <w:sz w:val="22"/>
              </w:rPr>
              <w:t>2</w:t>
            </w:r>
            <w:r>
              <w:rPr>
                <w:rFonts w:ascii="Times New Roman" w:hAnsi="Times New Roman" w:cs="Times New Roman"/>
                <w:color w:val="auto"/>
                <w:kern w:val="2"/>
                <w:sz w:val="22"/>
              </w:rPr>
              <w:t>.</w:t>
            </w:r>
            <w:r>
              <w:rPr>
                <w:rFonts w:hint="eastAsia" w:ascii="Times New Roman" w:hAnsi="Times New Roman" w:cs="Times New Roman"/>
                <w:color w:val="auto"/>
                <w:kern w:val="2"/>
                <w:sz w:val="22"/>
              </w:rPr>
              <w:t>5</w:t>
            </w:r>
            <w:r>
              <w:rPr>
                <w:rFonts w:hAnsi="宋体" w:cs="Times New Roman"/>
                <w:color w:val="auto"/>
                <w:kern w:val="2"/>
                <w:sz w:val="22"/>
              </w:rPr>
              <w:t>的格式及要求提供承诺函；②承诺的内容满足</w:t>
            </w:r>
            <w:r>
              <w:rPr>
                <w:rFonts w:hint="eastAsia" w:hAnsi="宋体" w:cs="Times New Roman"/>
                <w:color w:val="auto"/>
                <w:kern w:val="2"/>
                <w:sz w:val="22"/>
              </w:rPr>
              <w:t>磋商</w:t>
            </w:r>
            <w:r>
              <w:rPr>
                <w:rFonts w:hAnsi="宋体" w:cs="Times New Roman"/>
                <w:color w:val="auto"/>
                <w:kern w:val="2"/>
                <w:sz w:val="22"/>
              </w:rPr>
              <w:t>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2"/>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2"/>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ascii="宋体" w:hAnsi="宋体"/>
          <w:sz w:val="24"/>
          <w:szCs w:val="24"/>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w:t>
      </w:r>
      <w:r>
        <w:rPr>
          <w:rFonts w:ascii="宋体" w:hAnsi="宋体"/>
          <w:sz w:val="24"/>
          <w:szCs w:val="24"/>
        </w:rPr>
        <w:t>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及时参与</w:t>
      </w:r>
      <w:r>
        <w:rPr>
          <w:rFonts w:ascii="宋体" w:hAnsi="宋体"/>
          <w:sz w:val="24"/>
          <w:szCs w:val="24"/>
        </w:rPr>
        <w:t>在线</w:t>
      </w:r>
      <w:r>
        <w:rPr>
          <w:rFonts w:hint="eastAsia" w:ascii="宋体" w:hAnsi="宋体"/>
          <w:sz w:val="24"/>
          <w:szCs w:val="24"/>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4"/>
          <w:szCs w:val="24"/>
        </w:rPr>
        <w:t>。</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磋商小组所有成员集中与单一供应商分别进行一轮或多轮的磋商。在磋商中，磋商的任何一方不得透露与磋商有关的其他供应商的技术资料、价格和其他信息。</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3"/>
        </w:numPr>
        <w:tabs>
          <w:tab w:val="left" w:pos="1134"/>
        </w:tabs>
        <w:spacing w:after="200" w:line="400" w:lineRule="exact"/>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6"/>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磋商结束</w:t>
      </w:r>
      <w:r>
        <w:rPr>
          <w:rFonts w:ascii="宋体" w:hAnsi="宋体"/>
          <w:sz w:val="24"/>
          <w:szCs w:val="24"/>
        </w:rPr>
        <w:t>后，</w:t>
      </w:r>
      <w:r>
        <w:rPr>
          <w:rFonts w:hint="eastAsia" w:ascii="宋体" w:hAnsi="宋体"/>
          <w:sz w:val="24"/>
          <w:szCs w:val="24"/>
        </w:rPr>
        <w:t>磋商小组应当要求所有实质性响应的供应商在规定时间内进行最后报价。磋商小组</w:t>
      </w:r>
      <w:r>
        <w:rPr>
          <w:rFonts w:ascii="宋体" w:hAnsi="宋体"/>
          <w:sz w:val="24"/>
          <w:szCs w:val="24"/>
        </w:rPr>
        <w:t>开启报价后，供应商应随时关注“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4"/>
          <w:szCs w:val="24"/>
        </w:rPr>
        <w:t>并</w:t>
      </w:r>
      <w:r>
        <w:rPr>
          <w:rFonts w:hint="eastAsia" w:ascii="宋体" w:hAnsi="宋体"/>
          <w:sz w:val="24"/>
          <w:szCs w:val="24"/>
        </w:rPr>
        <w:t>签章</w:t>
      </w:r>
      <w:r>
        <w:rPr>
          <w:rFonts w:ascii="宋体" w:hAnsi="宋体"/>
          <w:sz w:val="24"/>
          <w:szCs w:val="24"/>
        </w:rPr>
        <w:t>后</w:t>
      </w:r>
      <w:r>
        <w:rPr>
          <w:rFonts w:hint="eastAsia" w:ascii="宋体" w:hAnsi="宋体"/>
          <w:sz w:val="24"/>
          <w:szCs w:val="24"/>
        </w:rPr>
        <w:t>递交。报价</w:t>
      </w:r>
      <w:r>
        <w:rPr>
          <w:rFonts w:ascii="宋体" w:hAnsi="宋体"/>
          <w:sz w:val="24"/>
          <w:szCs w:val="24"/>
        </w:rPr>
        <w:t>时间截止后，系统</w:t>
      </w:r>
      <w:r>
        <w:rPr>
          <w:rFonts w:hint="eastAsia" w:ascii="宋体" w:hAnsi="宋体"/>
          <w:sz w:val="24"/>
          <w:szCs w:val="24"/>
        </w:rPr>
        <w:t>统一</w:t>
      </w:r>
      <w:r>
        <w:rPr>
          <w:rFonts w:ascii="宋体" w:hAnsi="宋体"/>
          <w:sz w:val="24"/>
          <w:szCs w:val="24"/>
        </w:rPr>
        <w:t>公布报价。</w:t>
      </w:r>
      <w:r>
        <w:rPr>
          <w:rFonts w:hint="eastAsia" w:ascii="宋体" w:hAnsi="宋体"/>
          <w:sz w:val="24"/>
          <w:szCs w:val="24"/>
        </w:rPr>
        <w:t>提示：供应商未按时登录不见面开标系统，未在报价</w:t>
      </w:r>
      <w:r>
        <w:rPr>
          <w:rFonts w:ascii="宋体" w:hAnsi="宋体"/>
          <w:sz w:val="24"/>
          <w:szCs w:val="24"/>
        </w:rPr>
        <w:t>截止时间内</w:t>
      </w:r>
      <w:r>
        <w:rPr>
          <w:rFonts w:hint="eastAsia" w:ascii="宋体" w:hAnsi="宋体"/>
          <w:sz w:val="24"/>
          <w:szCs w:val="24"/>
        </w:rPr>
        <w:t>递交</w:t>
      </w:r>
      <w:r>
        <w:rPr>
          <w:rFonts w:ascii="宋体" w:hAnsi="宋体"/>
          <w:sz w:val="24"/>
          <w:szCs w:val="24"/>
        </w:rPr>
        <w:t>报价</w:t>
      </w:r>
      <w:r>
        <w:rPr>
          <w:rFonts w:hint="eastAsia" w:ascii="宋体" w:hAnsi="宋体"/>
          <w:sz w:val="24"/>
          <w:szCs w:val="24"/>
        </w:rPr>
        <w:t>或未按要求进行报价的，</w:t>
      </w:r>
      <w:r>
        <w:rPr>
          <w:rFonts w:ascii="宋体" w:hAnsi="宋体"/>
          <w:sz w:val="24"/>
          <w:szCs w:val="24"/>
        </w:rPr>
        <w:t>视为供应商</w:t>
      </w:r>
      <w:r>
        <w:rPr>
          <w:rFonts w:hint="eastAsia" w:ascii="宋体" w:hAnsi="宋体"/>
          <w:sz w:val="24"/>
          <w:szCs w:val="24"/>
        </w:rPr>
        <w:t>响应文件无效，由供应商自行承担不利后果。</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4"/>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4"/>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36"/>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36"/>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36"/>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18"/>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4"/>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6"/>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37"/>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37"/>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400" w:lineRule="exact"/>
        <w:ind w:firstLine="482" w:firstLineChars="200"/>
        <w:rPr>
          <w:rFonts w:ascii="宋体" w:hAnsi="宋体"/>
          <w:b/>
          <w:sz w:val="24"/>
          <w:szCs w:val="24"/>
        </w:rPr>
      </w:pPr>
      <w:r>
        <w:rPr>
          <w:rFonts w:hint="eastAsia" w:ascii="宋体" w:hAnsi="宋体"/>
          <w:b/>
          <w:sz w:val="24"/>
          <w:szCs w:val="24"/>
        </w:rPr>
        <w:t>磋商小组应当积极履行澄清、说明或者更正的职责，不得滥用权力。</w:t>
      </w:r>
    </w:p>
    <w:p>
      <w:pPr>
        <w:pStyle w:val="6"/>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监督人员的监督之下，依据有关的法律制度和采购文件对评审结果进行复核，出具复核报告。</w:t>
      </w:r>
    </w:p>
    <w:p>
      <w:pPr>
        <w:spacing w:line="400" w:lineRule="exact"/>
        <w:ind w:firstLine="480" w:firstLineChars="200"/>
        <w:rPr>
          <w:rFonts w:ascii="宋体" w:hAnsi="宋体"/>
          <w:sz w:val="24"/>
          <w:szCs w:val="24"/>
        </w:rPr>
      </w:pPr>
      <w:r>
        <w:rPr>
          <w:rFonts w:hint="eastAsia" w:ascii="宋体" w:hAnsi="宋体"/>
          <w:sz w:val="24"/>
          <w:szCs w:val="24"/>
        </w:rPr>
        <w:t>评审结果汇总完成后，除下列情形外，任何人不得修改评审结果：</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资格性认定错误；</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分值汇总计算错误的；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分项评分超出评分标准范围的；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磋商小组成员对客观评审因素评分不一致的；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经磋商小组认定评分畸高、畸低的。</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存在本条上述情形的，由磋商小组自主</w:t>
      </w:r>
      <w:r>
        <w:rPr>
          <w:rFonts w:hint="eastAsia" w:ascii="宋体" w:hAnsi="宋体"/>
          <w:color w:val="000000" w:themeColor="text1"/>
          <w:sz w:val="24"/>
          <w:szCs w:val="24"/>
          <w14:textFill>
            <w14:solidFill>
              <w14:schemeClr w14:val="tx1"/>
            </w14:solidFill>
          </w14:textFill>
        </w:rPr>
        <w:t>决定是否采纳区政府采购中心的书面建议，并承担独立评审责任。磋商小组采纳区政府采购中心书面建议的，应当按照规定现场修改评审结果或者重新评审，并在磋商报告中详细记载有关事宜；不采纳区政府采购中心书面建议</w:t>
      </w:r>
      <w:r>
        <w:rPr>
          <w:rFonts w:hint="eastAsia" w:ascii="宋体" w:hAnsi="宋体"/>
          <w:sz w:val="24"/>
          <w:szCs w:val="24"/>
        </w:rPr>
        <w:t>的，应当书面说明理由。</w:t>
      </w:r>
      <w:r>
        <w:rPr>
          <w:rFonts w:hint="eastAsia" w:ascii="宋体" w:hAnsi="宋体"/>
          <w:color w:val="000000" w:themeColor="text1"/>
          <w:sz w:val="24"/>
          <w:szCs w:val="24"/>
          <w14:textFill>
            <w14:solidFill>
              <w14:schemeClr w14:val="tx1"/>
            </w14:solidFill>
          </w14:textFill>
        </w:rPr>
        <w:t>区政府采购中心书面建议未被磋商小组采纳的，应当按照规定程序要求继续组织实施采购活动，不</w:t>
      </w:r>
      <w:r>
        <w:rPr>
          <w:rFonts w:hint="eastAsia" w:ascii="宋体" w:hAnsi="宋体"/>
          <w:sz w:val="24"/>
          <w:szCs w:val="24"/>
        </w:rPr>
        <w:t>得擅自中止采购活动</w:t>
      </w:r>
      <w:r>
        <w:rPr>
          <w:rFonts w:hint="eastAsia" w:ascii="宋体" w:hAnsi="宋体"/>
          <w:color w:val="000000" w:themeColor="text1"/>
          <w:sz w:val="24"/>
          <w:szCs w:val="24"/>
          <w14:textFill>
            <w14:solidFill>
              <w14:schemeClr w14:val="tx1"/>
            </w14:solidFill>
          </w14:textFill>
        </w:rPr>
        <w:t>。区政府采购中心认为磋商小组评审结果不合法的，应当书面报告采购项目同级财政部门。</w:t>
      </w:r>
    </w:p>
    <w:p>
      <w:pPr>
        <w:tabs>
          <w:tab w:val="left" w:pos="851"/>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区政府采购中心复核过程中，磋商</w:t>
      </w:r>
      <w:r>
        <w:rPr>
          <w:rFonts w:hint="eastAsia" w:ascii="宋体" w:hAnsi="宋体"/>
          <w:sz w:val="24"/>
          <w:szCs w:val="24"/>
        </w:rPr>
        <w:t>小组成员不得离开评审现场。</w:t>
      </w:r>
    </w:p>
    <w:p>
      <w:pPr>
        <w:pStyle w:val="6"/>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400" w:lineRule="exact"/>
        <w:ind w:firstLine="480" w:firstLineChars="200"/>
        <w:rPr>
          <w:rFonts w:ascii="宋体" w:hAnsi="宋体"/>
          <w:color w:val="000000"/>
          <w:sz w:val="22"/>
          <w:szCs w:val="21"/>
        </w:rPr>
      </w:pPr>
      <w:r>
        <w:rPr>
          <w:rFonts w:hint="eastAsia" w:ascii="宋体" w:hAnsi="宋体"/>
          <w:sz w:val="24"/>
          <w:szCs w:val="24"/>
        </w:rPr>
        <w:t>磋商小组应当根据综合评分情况，按照评审得分由高到低顺序推荐3名以上成交候选供应商，并编写评审报告。</w:t>
      </w:r>
    </w:p>
    <w:p>
      <w:pPr>
        <w:pStyle w:val="6"/>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39"/>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39"/>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5"/>
        <w:numPr>
          <w:ilvl w:val="1"/>
          <w:numId w:val="5"/>
        </w:numPr>
        <w:tabs>
          <w:tab w:val="left" w:pos="426"/>
          <w:tab w:val="left" w:pos="567"/>
        </w:tabs>
        <w:spacing w:before="0" w:after="200" w:line="400" w:lineRule="exact"/>
        <w:ind w:left="1985" w:hanging="1985"/>
        <w:rPr>
          <w:sz w:val="24"/>
          <w:szCs w:val="24"/>
        </w:rPr>
      </w:pPr>
      <w:bookmarkStart w:id="96" w:name="_Toc494095665"/>
      <w:bookmarkEnd w:id="96"/>
      <w:bookmarkStart w:id="97" w:name="_Toc494357018"/>
      <w:bookmarkEnd w:id="97"/>
      <w:bookmarkStart w:id="98" w:name="_Toc79742137"/>
      <w:bookmarkStart w:id="99" w:name="_Toc58943347"/>
      <w:r>
        <w:rPr>
          <w:rFonts w:hint="eastAsia"/>
          <w:sz w:val="24"/>
          <w:szCs w:val="24"/>
        </w:rPr>
        <w:t>磋商</w:t>
      </w:r>
      <w:r>
        <w:rPr>
          <w:sz w:val="24"/>
          <w:szCs w:val="24"/>
        </w:rPr>
        <w:t>异议</w:t>
      </w:r>
      <w:r>
        <w:rPr>
          <w:rFonts w:hint="eastAsia"/>
          <w:sz w:val="24"/>
          <w:szCs w:val="24"/>
        </w:rPr>
        <w:t>处理</w:t>
      </w:r>
      <w:bookmarkEnd w:id="98"/>
      <w:bookmarkEnd w:id="99"/>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0" w:name="_Toc58943348"/>
      <w:bookmarkStart w:id="101" w:name="_Toc79742138"/>
      <w:r>
        <w:rPr>
          <w:rFonts w:hint="eastAsia"/>
          <w:sz w:val="24"/>
          <w:szCs w:val="24"/>
        </w:rPr>
        <w:t>评审办法和标准</w:t>
      </w:r>
      <w:bookmarkEnd w:id="100"/>
      <w:bookmarkEnd w:id="101"/>
    </w:p>
    <w:p>
      <w:pPr>
        <w:pStyle w:val="2"/>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6"/>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00" w:lineRule="exact"/>
        <w:ind w:firstLine="540" w:firstLineChars="225"/>
        <w:rPr>
          <w:rFonts w:ascii="宋体" w:hAnsi="宋体"/>
          <w:sz w:val="24"/>
          <w:szCs w:val="24"/>
        </w:rPr>
      </w:pPr>
      <w:r>
        <w:rPr>
          <w:rFonts w:hint="eastAsia" w:ascii="宋体" w:hAnsi="宋体"/>
          <w:sz w:val="24"/>
          <w:szCs w:val="24"/>
        </w:rPr>
        <w:t>评审得分＝（A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p>
    <w:p>
      <w:pPr>
        <w:spacing w:line="400" w:lineRule="exact"/>
        <w:ind w:firstLine="480" w:firstLineChars="200"/>
        <w:rPr>
          <w:rFonts w:ascii="宋体" w:hAnsi="宋体" w:cs="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分别为磋商小组每个成员的打分，n</w:t>
      </w:r>
      <w:r>
        <w:rPr>
          <w:rFonts w:hint="eastAsia" w:ascii="宋体" w:hAnsi="宋体"/>
          <w:sz w:val="24"/>
          <w:szCs w:val="24"/>
          <w:vertAlign w:val="subscript"/>
        </w:rPr>
        <w:t>1</w:t>
      </w:r>
      <w:r>
        <w:rPr>
          <w:rFonts w:hint="eastAsia" w:ascii="宋体" w:hAnsi="宋体"/>
          <w:sz w:val="24"/>
          <w:szCs w:val="24"/>
        </w:rPr>
        <w:t xml:space="preserve">为磋商小组人数。 </w:t>
      </w:r>
    </w:p>
    <w:p>
      <w:pPr>
        <w:pStyle w:val="6"/>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pPr w:leftFromText="180" w:rightFromText="180" w:vertAnchor="text" w:horzAnchor="page" w:tblpXSpec="center" w:tblpY="608"/>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43"/>
        <w:gridCol w:w="709"/>
        <w:gridCol w:w="52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序号</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评分因素</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分值</w:t>
            </w:r>
          </w:p>
        </w:tc>
        <w:tc>
          <w:tcPr>
            <w:tcW w:w="5245"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评分标准</w:t>
            </w:r>
          </w:p>
        </w:tc>
        <w:tc>
          <w:tcPr>
            <w:tcW w:w="709" w:type="dxa"/>
            <w:vAlign w:val="center"/>
          </w:tcPr>
          <w:p>
            <w:pPr>
              <w:spacing w:line="400" w:lineRule="exact"/>
              <w:jc w:val="center"/>
              <w:rPr>
                <w:rFonts w:cs="Times New Roman" w:asciiTheme="minorEastAsia" w:hAnsiTheme="minorEastAsia"/>
                <w:kern w:val="0"/>
                <w:sz w:val="24"/>
              </w:rPr>
            </w:pPr>
            <w:r>
              <w:rPr>
                <w:rFonts w:hint="eastAsia" w:cs="Times New Roman" w:asciiTheme="minorEastAsia" w:hAnsiTheme="minorEastAsia"/>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1</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报价</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30分</w:t>
            </w:r>
          </w:p>
        </w:tc>
        <w:tc>
          <w:tcPr>
            <w:tcW w:w="5245" w:type="dxa"/>
            <w:vAlign w:val="center"/>
          </w:tcPr>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以本次有效的最低投标报价为基准价，投标报价得分=(基准价／投标报价)×30分</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小微企业（监狱企业、残疾人福利性单位视同小微企业）价格扣除按照本磋商文件响应须知前附表规定执行。</w:t>
            </w:r>
          </w:p>
        </w:tc>
        <w:tc>
          <w:tcPr>
            <w:tcW w:w="709" w:type="dxa"/>
            <w:vAlign w:val="center"/>
          </w:tcPr>
          <w:p>
            <w:pPr>
              <w:spacing w:line="400" w:lineRule="exact"/>
              <w:ind w:left="-38"/>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2</w:t>
            </w:r>
          </w:p>
        </w:tc>
        <w:tc>
          <w:tcPr>
            <w:tcW w:w="1143" w:type="dxa"/>
            <w:vAlign w:val="center"/>
          </w:tcPr>
          <w:p>
            <w:pPr>
              <w:spacing w:line="400" w:lineRule="exact"/>
              <w:ind w:left="743" w:leftChars="104" w:hanging="525" w:hangingChars="219"/>
              <w:jc w:val="center"/>
              <w:rPr>
                <w:rFonts w:cs="Times New Roman" w:asciiTheme="minorEastAsia" w:hAnsiTheme="minorEastAsia"/>
                <w:kern w:val="0"/>
                <w:sz w:val="24"/>
              </w:rPr>
            </w:pPr>
            <w:r>
              <w:rPr>
                <w:rFonts w:hint="eastAsia" w:cs="Times New Roman" w:asciiTheme="minorEastAsia" w:hAnsiTheme="minorEastAsia"/>
                <w:kern w:val="0"/>
                <w:sz w:val="24"/>
              </w:rPr>
              <w:t>技术</w:t>
            </w:r>
          </w:p>
          <w:p>
            <w:pPr>
              <w:spacing w:line="400" w:lineRule="exact"/>
              <w:jc w:val="center"/>
              <w:rPr>
                <w:rFonts w:cs="Times New Roman" w:asciiTheme="minorEastAsia" w:hAnsiTheme="minorEastAsia"/>
                <w:kern w:val="0"/>
                <w:sz w:val="24"/>
              </w:rPr>
            </w:pP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45分</w:t>
            </w:r>
          </w:p>
        </w:tc>
        <w:tc>
          <w:tcPr>
            <w:tcW w:w="5245" w:type="dxa"/>
            <w:vAlign w:val="center"/>
          </w:tcPr>
          <w:p>
            <w:pPr>
              <w:spacing w:line="400" w:lineRule="exact"/>
              <w:ind w:firstLine="480" w:firstLineChars="200"/>
              <w:rPr>
                <w:rFonts w:hint="eastAsia" w:cs="Times New Roman" w:asciiTheme="minorEastAsia" w:hAnsiTheme="minorEastAsia"/>
                <w:kern w:val="0"/>
                <w:sz w:val="24"/>
              </w:rPr>
            </w:pPr>
            <w:r>
              <w:rPr>
                <w:rFonts w:hint="eastAsia" w:cs="Times New Roman" w:asciiTheme="minorEastAsia" w:hAnsiTheme="minorEastAsia"/>
                <w:kern w:val="0"/>
                <w:sz w:val="24"/>
              </w:rPr>
              <w:t>产品技术参数和配置完全符合磋商文件要求的得45分。按照磋商文件要求：</w:t>
            </w:r>
          </w:p>
          <w:p>
            <w:pPr>
              <w:spacing w:line="400" w:lineRule="exact"/>
              <w:ind w:firstLine="480" w:firstLineChars="200"/>
              <w:rPr>
                <w:rFonts w:hint="eastAsia" w:cs="Times New Roman" w:asciiTheme="minorEastAsia" w:hAnsiTheme="minorEastAsia"/>
                <w:kern w:val="0"/>
                <w:sz w:val="24"/>
              </w:rPr>
            </w:pPr>
            <w:r>
              <w:rPr>
                <w:rFonts w:hint="eastAsia" w:cs="Times New Roman" w:asciiTheme="minorEastAsia" w:hAnsiTheme="minorEastAsia"/>
                <w:kern w:val="0"/>
                <w:sz w:val="24"/>
              </w:rPr>
              <w:t>①标“</w:t>
            </w:r>
            <w:r>
              <w:rPr>
                <w:rFonts w:hint="eastAsia" w:cs="仿宋_GB2312" w:asciiTheme="minorEastAsia" w:hAnsiTheme="minorEastAsia"/>
                <w:sz w:val="24"/>
              </w:rPr>
              <w:t>▲</w:t>
            </w:r>
            <w:r>
              <w:rPr>
                <w:rFonts w:hint="eastAsia" w:cs="Times New Roman" w:asciiTheme="minorEastAsia" w:hAnsiTheme="minorEastAsia"/>
                <w:kern w:val="0"/>
                <w:sz w:val="24"/>
              </w:rPr>
              <w:t>”项参数（共10条）有负偏离，一项扣3分，共30分扣完为止。</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②非标“</w:t>
            </w:r>
            <w:r>
              <w:rPr>
                <w:rFonts w:hint="eastAsia" w:cs="仿宋_GB2312" w:asciiTheme="minorEastAsia" w:hAnsiTheme="minorEastAsia"/>
                <w:sz w:val="24"/>
              </w:rPr>
              <w:t>▲</w:t>
            </w:r>
            <w:r>
              <w:rPr>
                <w:rFonts w:hint="eastAsia" w:cs="Times New Roman" w:asciiTheme="minorEastAsia" w:hAnsiTheme="minorEastAsia"/>
                <w:kern w:val="0"/>
                <w:sz w:val="24"/>
              </w:rPr>
              <w:t>”、“</w:t>
            </w:r>
            <w:r>
              <w:rPr>
                <w:rFonts w:hint="eastAsia" w:cs="仿宋_GB2312" w:asciiTheme="minorEastAsia" w:hAnsiTheme="minorEastAsia"/>
                <w:sz w:val="24"/>
              </w:rPr>
              <w:t>★</w:t>
            </w:r>
            <w:r>
              <w:rPr>
                <w:rFonts w:hint="eastAsia" w:cs="Times New Roman" w:asciiTheme="minorEastAsia" w:hAnsiTheme="minorEastAsia"/>
                <w:kern w:val="0"/>
                <w:sz w:val="24"/>
              </w:rPr>
              <w:t>”项参数（共10条）有负偏离，一项扣1.5分，共15分扣完为止。</w:t>
            </w:r>
          </w:p>
        </w:tc>
        <w:tc>
          <w:tcPr>
            <w:tcW w:w="709" w:type="dxa"/>
            <w:vAlign w:val="center"/>
          </w:tcPr>
          <w:p>
            <w:pPr>
              <w:pStyle w:val="16"/>
              <w:spacing w:line="400" w:lineRule="exact"/>
              <w:rPr>
                <w:rFonts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3</w:t>
            </w:r>
          </w:p>
        </w:tc>
        <w:tc>
          <w:tcPr>
            <w:tcW w:w="1143"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履约保障方案</w:t>
            </w:r>
          </w:p>
        </w:tc>
        <w:tc>
          <w:tcPr>
            <w:tcW w:w="709"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18分</w:t>
            </w:r>
          </w:p>
        </w:tc>
        <w:tc>
          <w:tcPr>
            <w:tcW w:w="5245" w:type="dxa"/>
            <w:vAlign w:val="center"/>
          </w:tcPr>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提供的履约保障方案方案完整详细、逻辑清晰、表达清楚，实施步骤明确且切实可行，内容齐全得18分，缺少一项或不满足服务要求的扣2分，不提供方案不得分。应包含：</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1.拟投入的技术力量</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2.产品进度计划</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3.运输安排</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4.特殊情况处置流程</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5.供货保障</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6.售后服务网点清单及服务电话</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7.维修人员名单</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8.培训计划</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9.售后服务保障措施</w:t>
            </w:r>
          </w:p>
        </w:tc>
        <w:tc>
          <w:tcPr>
            <w:tcW w:w="709" w:type="dxa"/>
            <w:vAlign w:val="center"/>
          </w:tcPr>
          <w:p>
            <w:pPr>
              <w:pStyle w:val="16"/>
              <w:spacing w:line="400" w:lineRule="exact"/>
              <w:rPr>
                <w:rFonts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66" w:type="dxa"/>
            <w:vAlign w:val="center"/>
          </w:tcPr>
          <w:p>
            <w:pPr>
              <w:spacing w:line="400" w:lineRule="exact"/>
              <w:ind w:firstLine="28"/>
              <w:jc w:val="center"/>
              <w:rPr>
                <w:rFonts w:hint="eastAsia" w:eastAsia="宋体" w:cs="Times New Roman" w:asciiTheme="minorEastAsia" w:hAnsiTheme="minorEastAsia"/>
                <w:kern w:val="0"/>
                <w:sz w:val="24"/>
                <w:lang w:eastAsia="zh-CN"/>
              </w:rPr>
            </w:pPr>
            <w:r>
              <w:rPr>
                <w:rFonts w:hint="eastAsia" w:cs="Times New Roman" w:asciiTheme="minorEastAsia" w:hAnsiTheme="minorEastAsia"/>
                <w:kern w:val="0"/>
                <w:sz w:val="24"/>
                <w:lang w:val="en-US" w:eastAsia="zh-CN"/>
              </w:rPr>
              <w:t>4</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履约经验</w:t>
            </w:r>
          </w:p>
          <w:p>
            <w:pPr>
              <w:spacing w:line="400" w:lineRule="exact"/>
              <w:ind w:firstLine="28"/>
              <w:jc w:val="center"/>
              <w:rPr>
                <w:rFonts w:cs="Times New Roman" w:asciiTheme="minorEastAsia" w:hAnsiTheme="minorEastAsia"/>
                <w:kern w:val="0"/>
                <w:sz w:val="24"/>
              </w:rPr>
            </w:pPr>
          </w:p>
        </w:tc>
        <w:tc>
          <w:tcPr>
            <w:tcW w:w="709" w:type="dxa"/>
            <w:vAlign w:val="center"/>
          </w:tcPr>
          <w:p>
            <w:pPr>
              <w:pStyle w:val="3"/>
              <w:spacing w:line="400" w:lineRule="exact"/>
              <w:ind w:firstLine="0" w:firstLineChars="0"/>
              <w:rPr>
                <w:rFonts w:cs="Times New Roman" w:asciiTheme="minorEastAsia" w:hAnsiTheme="minorEastAsia" w:eastAsiaTheme="minorEastAsia"/>
                <w:color w:val="auto"/>
                <w:kern w:val="0"/>
              </w:rPr>
            </w:pPr>
            <w:r>
              <w:rPr>
                <w:rFonts w:hint="eastAsia" w:cs="Times New Roman" w:asciiTheme="minorEastAsia" w:hAnsiTheme="minorEastAsia" w:eastAsiaTheme="minorEastAsia"/>
                <w:color w:val="auto"/>
                <w:kern w:val="0"/>
              </w:rPr>
              <w:t>6分</w:t>
            </w:r>
          </w:p>
        </w:tc>
        <w:tc>
          <w:tcPr>
            <w:tcW w:w="5245" w:type="dxa"/>
            <w:vAlign w:val="center"/>
          </w:tcPr>
          <w:p>
            <w:pPr>
              <w:pStyle w:val="3"/>
              <w:spacing w:line="400" w:lineRule="exact"/>
              <w:ind w:firstLine="0" w:firstLineChars="0"/>
              <w:rPr>
                <w:rFonts w:hint="eastAsia" w:cs="Times New Roman" w:asciiTheme="minorEastAsia" w:hAnsiTheme="minorEastAsia" w:eastAsiaTheme="minorEastAsia"/>
                <w:color w:val="auto"/>
                <w:kern w:val="0"/>
              </w:rPr>
            </w:pPr>
            <w:r>
              <w:rPr>
                <w:rFonts w:hint="eastAsia" w:cs="Times New Roman" w:asciiTheme="minorEastAsia" w:hAnsiTheme="minorEastAsia" w:eastAsiaTheme="minorEastAsia"/>
                <w:color w:val="auto"/>
                <w:kern w:val="0"/>
              </w:rPr>
              <w:t>根据投标人自2019年1月1日起今销售（车辆）业绩，每有</w:t>
            </w:r>
            <w:r>
              <w:rPr>
                <w:rFonts w:hint="eastAsia"/>
                <w:lang w:val="en-US" w:eastAsia="zh-CN"/>
              </w:rPr>
              <w:t>1</w:t>
            </w:r>
            <w:r>
              <w:rPr>
                <w:rFonts w:hint="eastAsia" w:cs="Times New Roman" w:asciiTheme="minorEastAsia" w:hAnsiTheme="minorEastAsia" w:eastAsiaTheme="minorEastAsia"/>
                <w:color w:val="auto"/>
                <w:kern w:val="0"/>
              </w:rPr>
              <w:t>个的得2分，最多得6分。</w:t>
            </w:r>
          </w:p>
          <w:p>
            <w:pPr>
              <w:pStyle w:val="3"/>
              <w:spacing w:line="400" w:lineRule="exact"/>
              <w:ind w:firstLine="0" w:firstLineChars="0"/>
              <w:rPr>
                <w:rFonts w:cs="Times New Roman" w:asciiTheme="minorEastAsia" w:hAnsiTheme="minorEastAsia" w:eastAsiaTheme="minorEastAsia"/>
                <w:color w:val="auto"/>
                <w:kern w:val="0"/>
              </w:rPr>
            </w:pPr>
            <w:r>
              <w:rPr>
                <w:rFonts w:hint="eastAsia" w:cs="Times New Roman" w:asciiTheme="minorEastAsia" w:hAnsiTheme="minorEastAsia" w:eastAsiaTheme="minorEastAsia"/>
                <w:kern w:val="0"/>
              </w:rPr>
              <w:t>提供中标公示网站截图或中标通知书或销售合同并加盖投标人公章。</w:t>
            </w:r>
          </w:p>
        </w:tc>
        <w:tc>
          <w:tcPr>
            <w:tcW w:w="709" w:type="dxa"/>
            <w:vAlign w:val="center"/>
          </w:tcPr>
          <w:p>
            <w:pPr>
              <w:spacing w:line="400" w:lineRule="exact"/>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666" w:type="dxa"/>
            <w:vAlign w:val="center"/>
          </w:tcPr>
          <w:p>
            <w:pPr>
              <w:spacing w:line="400" w:lineRule="exact"/>
              <w:ind w:firstLine="28"/>
              <w:jc w:val="center"/>
              <w:rPr>
                <w:rFonts w:hint="eastAsia" w:eastAsia="宋体" w:cs="Times New Roman" w:asciiTheme="minorEastAsia" w:hAnsiTheme="minorEastAsia"/>
                <w:kern w:val="0"/>
                <w:sz w:val="24"/>
                <w:lang w:eastAsia="zh-CN"/>
              </w:rPr>
            </w:pPr>
            <w:r>
              <w:rPr>
                <w:rFonts w:hint="eastAsia" w:cs="Times New Roman" w:asciiTheme="minorEastAsia" w:hAnsiTheme="minorEastAsia"/>
                <w:kern w:val="0"/>
                <w:sz w:val="24"/>
                <w:lang w:val="en-US" w:eastAsia="zh-CN"/>
              </w:rPr>
              <w:t>5</w:t>
            </w:r>
          </w:p>
        </w:tc>
        <w:tc>
          <w:tcPr>
            <w:tcW w:w="1143"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节能、环境标志、无线局域网产品</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1分</w:t>
            </w:r>
          </w:p>
        </w:tc>
        <w:tc>
          <w:tcPr>
            <w:tcW w:w="5245"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政府采购节能产品</w:t>
            </w:r>
            <w:r>
              <w:rPr>
                <w:rFonts w:hint="eastAsia" w:cs="Times New Roman" w:asciiTheme="minorEastAsia" w:hAnsiTheme="minorEastAsia"/>
                <w:kern w:val="0"/>
                <w:sz w:val="24"/>
                <w:lang w:eastAsia="zh-CN"/>
              </w:rPr>
              <w:t>或</w:t>
            </w:r>
            <w:r>
              <w:rPr>
                <w:rFonts w:hint="eastAsia" w:cs="Times New Roman" w:asciiTheme="minorEastAsia" w:hAnsiTheme="minorEastAsia"/>
                <w:kern w:val="0"/>
                <w:sz w:val="24"/>
              </w:rPr>
              <w:t>政府采购环境标志产品</w:t>
            </w:r>
            <w:r>
              <w:rPr>
                <w:rFonts w:hint="eastAsia" w:cs="Times New Roman" w:asciiTheme="minorEastAsia" w:hAnsiTheme="minorEastAsia"/>
                <w:kern w:val="0"/>
                <w:sz w:val="24"/>
                <w:lang w:eastAsia="zh-CN"/>
              </w:rPr>
              <w:t>或</w:t>
            </w:r>
            <w:r>
              <w:rPr>
                <w:rFonts w:hint="eastAsia" w:cs="Times New Roman" w:asciiTheme="minorEastAsia" w:hAnsiTheme="minorEastAsia"/>
                <w:kern w:val="0"/>
                <w:sz w:val="24"/>
              </w:rPr>
              <w:t>无线局域网产品的，得1分，最多得1分（政府强制采购的产品除外）。非政府采购节能、环境标志产品的、无线局域网产品的不得分。节能、环境标志产品依据品目清单和认证为准。投标人需自行提供所投产品的认证证书复印件并加盖投标人公章。</w:t>
            </w:r>
          </w:p>
        </w:tc>
        <w:tc>
          <w:tcPr>
            <w:tcW w:w="709" w:type="dxa"/>
            <w:vAlign w:val="center"/>
          </w:tcPr>
          <w:p>
            <w:pPr>
              <w:spacing w:line="400" w:lineRule="exact"/>
              <w:ind w:left="-38"/>
              <w:rPr>
                <w:rFonts w:cs="Times New Roman" w:asciiTheme="minorEastAsia" w:hAnsiTheme="minorEastAsia"/>
                <w:kern w:val="0"/>
                <w:sz w:val="24"/>
              </w:rPr>
            </w:pPr>
          </w:p>
        </w:tc>
      </w:tr>
    </w:tbl>
    <w:p>
      <w:pPr>
        <w:spacing w:line="400" w:lineRule="exact"/>
        <w:rPr>
          <w:rFonts w:ascii="宋体" w:hAnsi="宋体"/>
          <w:sz w:val="24"/>
          <w:szCs w:val="21"/>
        </w:rPr>
      </w:pPr>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2" w:name="_Toc494095674"/>
      <w:bookmarkEnd w:id="102"/>
      <w:bookmarkStart w:id="103" w:name="_Toc494095673"/>
      <w:bookmarkEnd w:id="103"/>
      <w:bookmarkStart w:id="104" w:name="_Toc494095668"/>
      <w:bookmarkEnd w:id="104"/>
      <w:bookmarkStart w:id="105" w:name="_Toc494095679"/>
      <w:bookmarkEnd w:id="105"/>
      <w:bookmarkStart w:id="106" w:name="_Toc494095669"/>
      <w:bookmarkEnd w:id="106"/>
      <w:bookmarkStart w:id="107" w:name="_Toc494357022"/>
      <w:bookmarkEnd w:id="107"/>
      <w:bookmarkStart w:id="108" w:name="_Toc494357035"/>
      <w:bookmarkEnd w:id="108"/>
      <w:bookmarkStart w:id="109" w:name="_Toc494357031"/>
      <w:bookmarkEnd w:id="109"/>
      <w:bookmarkStart w:id="110" w:name="_Toc494357028"/>
      <w:bookmarkEnd w:id="110"/>
      <w:bookmarkStart w:id="111" w:name="_Toc494357032"/>
      <w:bookmarkEnd w:id="111"/>
      <w:bookmarkStart w:id="112" w:name="_Toc494095678"/>
      <w:bookmarkEnd w:id="112"/>
      <w:bookmarkStart w:id="113" w:name="_Toc494357023"/>
      <w:bookmarkEnd w:id="113"/>
      <w:bookmarkStart w:id="114" w:name="_Toc494357029"/>
      <w:bookmarkEnd w:id="114"/>
      <w:bookmarkStart w:id="115" w:name="_Toc494357026"/>
      <w:bookmarkEnd w:id="115"/>
      <w:bookmarkStart w:id="116" w:name="_Toc494095680"/>
      <w:bookmarkEnd w:id="116"/>
      <w:bookmarkStart w:id="117" w:name="_Toc494095670"/>
      <w:bookmarkEnd w:id="117"/>
      <w:bookmarkStart w:id="118" w:name="_Toc494095675"/>
      <w:bookmarkEnd w:id="118"/>
      <w:bookmarkStart w:id="119" w:name="_Toc494357033"/>
      <w:bookmarkEnd w:id="119"/>
      <w:bookmarkStart w:id="120" w:name="_Toc494095676"/>
      <w:bookmarkEnd w:id="120"/>
      <w:bookmarkStart w:id="121" w:name="_Toc494357034"/>
      <w:bookmarkEnd w:id="121"/>
      <w:bookmarkStart w:id="122" w:name="_Toc494357027"/>
      <w:bookmarkEnd w:id="122"/>
      <w:bookmarkStart w:id="123" w:name="_Toc494095672"/>
      <w:bookmarkEnd w:id="123"/>
      <w:bookmarkStart w:id="124" w:name="_Toc494357024"/>
      <w:bookmarkEnd w:id="124"/>
      <w:bookmarkStart w:id="125" w:name="_Toc494357021"/>
      <w:bookmarkEnd w:id="125"/>
      <w:bookmarkStart w:id="126" w:name="_Toc494095682"/>
      <w:bookmarkEnd w:id="126"/>
      <w:bookmarkStart w:id="127" w:name="_Toc494357025"/>
      <w:bookmarkEnd w:id="127"/>
      <w:bookmarkStart w:id="128" w:name="_Toc494357030"/>
      <w:bookmarkEnd w:id="128"/>
      <w:bookmarkStart w:id="129" w:name="_Toc494095671"/>
      <w:bookmarkEnd w:id="129"/>
      <w:bookmarkStart w:id="130" w:name="_Toc494095677"/>
      <w:bookmarkEnd w:id="130"/>
      <w:bookmarkStart w:id="131" w:name="_Toc494095681"/>
      <w:bookmarkEnd w:id="131"/>
      <w:bookmarkStart w:id="132" w:name="_Toc58943349"/>
      <w:bookmarkStart w:id="133" w:name="_Toc79742139"/>
      <w:r>
        <w:rPr>
          <w:rFonts w:hint="eastAsia"/>
          <w:sz w:val="24"/>
          <w:szCs w:val="24"/>
        </w:rPr>
        <w:t>采购失败情形</w:t>
      </w:r>
      <w:bookmarkEnd w:id="132"/>
      <w:bookmarkEnd w:id="133"/>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4" w:name="_Toc79742140"/>
      <w:bookmarkStart w:id="135" w:name="_Toc58943350"/>
      <w:r>
        <w:rPr>
          <w:rFonts w:hint="eastAsia"/>
          <w:sz w:val="24"/>
          <w:szCs w:val="24"/>
        </w:rPr>
        <w:t>确定成交供应商</w:t>
      </w:r>
      <w:bookmarkEnd w:id="134"/>
      <w:bookmarkEnd w:id="135"/>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0"/>
        </w:numPr>
        <w:tabs>
          <w:tab w:val="left" w:pos="1134"/>
        </w:tabs>
        <w:snapToGrid w:val="0"/>
        <w:spacing w:after="200" w:line="400" w:lineRule="exact"/>
        <w:ind w:left="0" w:firstLine="440" w:firstLineChars="200"/>
        <w:jc w:val="left"/>
        <w:rPr>
          <w:rFonts w:ascii="宋体" w:hAnsi="宋体" w:cs="宋体"/>
          <w:sz w:val="24"/>
          <w:szCs w:val="24"/>
        </w:rPr>
      </w:pPr>
      <w:r>
        <w:rPr>
          <w:rFonts w:hint="eastAsia" w:ascii="宋体" w:hAnsi="宋体"/>
          <w:color w:val="000000"/>
          <w:sz w:val="22"/>
          <w:szCs w:val="21"/>
        </w:rPr>
        <w:t>采购人收到</w:t>
      </w:r>
      <w:r>
        <w:rPr>
          <w:rFonts w:hint="eastAsia" w:ascii="宋体" w:hAnsi="宋体"/>
          <w:sz w:val="24"/>
          <w:szCs w:val="24"/>
        </w:rPr>
        <w:t>评审</w:t>
      </w:r>
      <w:r>
        <w:rPr>
          <w:rFonts w:hint="eastAsia" w:ascii="宋体" w:hAnsi="宋体"/>
          <w:color w:val="000000"/>
          <w:sz w:val="22"/>
          <w:szCs w:val="21"/>
        </w:rPr>
        <w:t>报告及有关资料后，将在5个工作日内按照磋商报告中推荐的成交候选供应商顺序确定成交供应商。成交候选供应商并列的，</w:t>
      </w:r>
      <w:r>
        <w:rPr>
          <w:rFonts w:hint="eastAsia" w:ascii="宋体" w:hAnsi="宋体"/>
          <w:sz w:val="22"/>
          <w:szCs w:val="21"/>
        </w:rPr>
        <w:t>供应商属于不发达地区或者少数民族地区的优先，或</w:t>
      </w:r>
      <w:r>
        <w:rPr>
          <w:rFonts w:hint="eastAsia" w:ascii="宋体" w:hAnsi="宋体"/>
          <w:color w:val="000000"/>
          <w:sz w:val="22"/>
          <w:szCs w:val="21"/>
        </w:rPr>
        <w:t>由采购人自主采取公平、择优的方式选择成交供应商。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6" w:name="_Toc77688504"/>
      <w:bookmarkEnd w:id="136"/>
      <w:bookmarkStart w:id="137" w:name="_Toc77688501"/>
      <w:bookmarkEnd w:id="137"/>
      <w:bookmarkStart w:id="138" w:name="_Toc77688503"/>
      <w:bookmarkEnd w:id="138"/>
      <w:bookmarkStart w:id="139" w:name="_Toc77688502"/>
      <w:bookmarkEnd w:id="139"/>
      <w:bookmarkStart w:id="140" w:name="_Toc58943351"/>
      <w:bookmarkStart w:id="141" w:name="_Toc79742141"/>
      <w:r>
        <w:rPr>
          <w:rFonts w:hint="eastAsia"/>
          <w:sz w:val="24"/>
          <w:szCs w:val="24"/>
        </w:rPr>
        <w:t>磋商小组成员义务</w:t>
      </w:r>
      <w:bookmarkEnd w:id="140"/>
      <w:bookmarkEnd w:id="141"/>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1"/>
        </w:numPr>
        <w:tabs>
          <w:tab w:val="left" w:pos="7665"/>
        </w:tabs>
        <w:spacing w:line="400" w:lineRule="exact"/>
        <w:ind w:hanging="573"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2" w:name="_Toc77688512"/>
      <w:bookmarkEnd w:id="142"/>
      <w:bookmarkStart w:id="143" w:name="_Toc77688516"/>
      <w:bookmarkEnd w:id="143"/>
      <w:bookmarkStart w:id="144" w:name="_Toc77688513"/>
      <w:bookmarkEnd w:id="144"/>
      <w:bookmarkStart w:id="145" w:name="_Toc77688517"/>
      <w:bookmarkEnd w:id="145"/>
      <w:bookmarkStart w:id="146" w:name="_Toc77688520"/>
      <w:bookmarkEnd w:id="146"/>
      <w:bookmarkStart w:id="147" w:name="_Toc77688508"/>
      <w:bookmarkEnd w:id="147"/>
      <w:bookmarkStart w:id="148" w:name="_Toc77688510"/>
      <w:bookmarkEnd w:id="148"/>
      <w:bookmarkStart w:id="149" w:name="_Toc77688507"/>
      <w:bookmarkEnd w:id="149"/>
      <w:bookmarkStart w:id="150" w:name="_Toc77688509"/>
      <w:bookmarkEnd w:id="150"/>
      <w:bookmarkStart w:id="151" w:name="_Toc77688515"/>
      <w:bookmarkEnd w:id="151"/>
      <w:bookmarkStart w:id="152" w:name="_Toc77688506"/>
      <w:bookmarkEnd w:id="152"/>
      <w:bookmarkStart w:id="153" w:name="_Toc77688518"/>
      <w:bookmarkEnd w:id="153"/>
      <w:bookmarkStart w:id="154" w:name="_Toc77688519"/>
      <w:bookmarkEnd w:id="154"/>
      <w:bookmarkStart w:id="155" w:name="_Toc77688511"/>
      <w:bookmarkEnd w:id="155"/>
      <w:bookmarkStart w:id="156" w:name="_Toc77688514"/>
      <w:bookmarkEnd w:id="156"/>
      <w:bookmarkStart w:id="157" w:name="_Toc58943353"/>
      <w:bookmarkStart w:id="158" w:name="_Toc79742142"/>
      <w:r>
        <w:rPr>
          <w:rFonts w:hint="eastAsia"/>
          <w:sz w:val="24"/>
          <w:szCs w:val="24"/>
        </w:rPr>
        <w:t>磋商纪律</w:t>
      </w:r>
      <w:bookmarkEnd w:id="157"/>
      <w:bookmarkEnd w:id="158"/>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440" w:right="1797" w:bottom="1440" w:left="1797"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59" w:name="_Toc58943354"/>
      <w:bookmarkStart w:id="160" w:name="_Toc79742143"/>
      <w:r>
        <w:rPr>
          <w:rFonts w:hint="eastAsia"/>
          <w:sz w:val="28"/>
          <w:szCs w:val="28"/>
        </w:rPr>
        <w:t>合同草案条款</w:t>
      </w:r>
      <w:bookmarkEnd w:id="87"/>
      <w:bookmarkEnd w:id="88"/>
      <w:bookmarkEnd w:id="89"/>
      <w:bookmarkEnd w:id="90"/>
      <w:bookmarkEnd w:id="159"/>
      <w:bookmarkEnd w:id="160"/>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合同编号：XXXX。                 签订地点：XXXX。</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签订时间：XXXX年XX月XX日。</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采购人（甲方）：                 投标人（乙</w:t>
      </w:r>
      <w:r>
        <w:rPr>
          <w:rFonts w:cs="Times New Roman" w:asciiTheme="minorEastAsia" w:hAnsiTheme="minorEastAsia"/>
          <w:kern w:val="0"/>
          <w:sz w:val="24"/>
        </w:rPr>
        <w:t>方</w:t>
      </w:r>
      <w:r>
        <w:rPr>
          <w:rFonts w:hint="eastAsia" w:cs="Times New Roman" w:asciiTheme="minorEastAsia" w:hAnsiTheme="minorEastAsia"/>
          <w:kern w:val="0"/>
          <w:sz w:val="24"/>
        </w:rPr>
        <w:t>）</w:t>
      </w:r>
      <w:r>
        <w:rPr>
          <w:rFonts w:cs="Times New Roman" w:asciiTheme="minorEastAsia" w:hAnsiTheme="minorEastAsia"/>
          <w:kern w:val="0"/>
          <w:sz w:val="24"/>
        </w:rPr>
        <w:t>：</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根据《中华人民共和国政府采购法》、《中华人民共和国民法典》及</w:t>
      </w:r>
      <w:r>
        <w:rPr>
          <w:rFonts w:hint="eastAsia" w:asciiTheme="minorEastAsia" w:hAnsiTheme="minorEastAsia"/>
          <w:sz w:val="24"/>
        </w:rPr>
        <w:t>成都市武侯区疾病预防控制中心公务用车（轿车）采购项目</w:t>
      </w:r>
      <w:r>
        <w:rPr>
          <w:rFonts w:hint="eastAsia" w:cs="Times New Roman" w:asciiTheme="minorEastAsia" w:hAnsiTheme="minorEastAsia"/>
          <w:kern w:val="0"/>
          <w:sz w:val="24"/>
        </w:rPr>
        <w:t>的《招标文件》、乙方的《投标文件》及《中标通知书》，甲、乙双方签订本合同。</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详细技术说明及其他有关合同项目的特定信息为合同附件，合同附件及本项目的招标文件、投标文件、《中标通知书》等均为本合同不可分割的部分。双方同意共同遵守如下条款：</w:t>
      </w:r>
    </w:p>
    <w:p>
      <w:pPr>
        <w:spacing w:line="400" w:lineRule="exact"/>
        <w:rPr>
          <w:rFonts w:cs="Times New Roman" w:asciiTheme="minorEastAsia" w:hAnsiTheme="minorEastAsia"/>
          <w:kern w:val="0"/>
          <w:sz w:val="24"/>
        </w:rPr>
      </w:pPr>
      <w:bookmarkStart w:id="161" w:name="_Toc217446107"/>
      <w:r>
        <w:rPr>
          <w:rFonts w:hint="eastAsia" w:cs="Times New Roman" w:asciiTheme="minorEastAsia" w:hAnsiTheme="minorEastAsia"/>
          <w:kern w:val="0"/>
          <w:sz w:val="24"/>
        </w:rPr>
        <w:t>一、合同货物</w:t>
      </w:r>
      <w:bookmarkEnd w:id="161"/>
    </w:p>
    <w:tbl>
      <w:tblPr>
        <w:tblStyle w:val="41"/>
        <w:tblW w:w="8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3"/>
        <w:gridCol w:w="766"/>
        <w:gridCol w:w="834"/>
        <w:gridCol w:w="833"/>
        <w:gridCol w:w="607"/>
        <w:gridCol w:w="1413"/>
        <w:gridCol w:w="1253"/>
        <w:gridCol w:w="794"/>
        <w:gridCol w:w="1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品牌</w:t>
            </w: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规格</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型号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单位</w:t>
            </w:r>
          </w:p>
        </w:tc>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数量</w:t>
            </w:r>
          </w:p>
        </w:tc>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单价</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（万元）</w:t>
            </w: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总价</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（万元）</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随机</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配件</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asciiTheme="minorEastAsia" w:hAnsiTheme="minorEastAsia"/>
                <w:sz w:val="24"/>
              </w:rPr>
              <w:t>公务用车（轿车）</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r>
    </w:tbl>
    <w:p>
      <w:pPr>
        <w:spacing w:line="400" w:lineRule="exact"/>
        <w:rPr>
          <w:rFonts w:cs="Times New Roman" w:asciiTheme="minorEastAsia" w:hAnsiTheme="minorEastAsia"/>
          <w:kern w:val="0"/>
          <w:sz w:val="24"/>
        </w:rPr>
      </w:pPr>
      <w:bookmarkStart w:id="162" w:name="_Toc217446108"/>
      <w:r>
        <w:rPr>
          <w:rFonts w:hint="eastAsia" w:cs="Times New Roman" w:asciiTheme="minorEastAsia" w:hAnsiTheme="minorEastAsia"/>
          <w:kern w:val="0"/>
          <w:sz w:val="24"/>
        </w:rPr>
        <w:t>二、合同总价</w:t>
      </w:r>
      <w:bookmarkEnd w:id="162"/>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合同总价为人民币大写：元，即RMB￥元；该合同总价已包括货物设计、材料、制造、包装、运输、装卸、保险、安装、调试、检测、验收合格交付使用之前及保修期内保修服务与备用物件等等所有其他有关各项的含税费用。本合同执行期间，本合同第一条项下合同货物的供货数量及品种不发生变化的，合同总价不变，无论市场价格是否造成乙方履行合同项下义务费用的增加，甲方无须另向乙方支付本合同约定之外的其他任何费用。本合同第一条项下合同货物的供货数量及品种发生变化的，甲乙双方按照第一条确定的单价据实结算。</w:t>
      </w:r>
    </w:p>
    <w:p>
      <w:pPr>
        <w:spacing w:line="400" w:lineRule="exact"/>
        <w:rPr>
          <w:rFonts w:cs="Times New Roman" w:asciiTheme="minorEastAsia" w:hAnsiTheme="minorEastAsia"/>
          <w:kern w:val="0"/>
          <w:sz w:val="24"/>
        </w:rPr>
      </w:pPr>
      <w:bookmarkStart w:id="163" w:name="_Toc217446109"/>
      <w:r>
        <w:rPr>
          <w:rFonts w:hint="eastAsia" w:cs="Times New Roman" w:asciiTheme="minorEastAsia" w:hAnsiTheme="minorEastAsia"/>
          <w:kern w:val="0"/>
          <w:sz w:val="24"/>
        </w:rPr>
        <w:t>三、质量要求</w:t>
      </w:r>
      <w:bookmarkEnd w:id="163"/>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1、乙方须提供全新的货物（含零部件、配件等），表面无划伤、无碰撞痕迹，且权属清楚，无所有权瑕疵且不得侵害他人的知识产权。</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2、本合同项下货物有国家（行业）标准的，必须符合或优于国家（行业）标准，以及本项目招标文件的质量要求和技术指标与生产厂家执行的产品标准。每台货物上均应有厂家的产品质量检验合格标志和证书。</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3、货物制造质量出现问题，乙方应在接到甲方通知后20日内负责三包（包修、包换、包退），费用由乙方负担。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4、货到现场后由于甲方保管不当造成的质量问题，乙方亦应负责修理，但费用由甲方负担。</w:t>
      </w:r>
    </w:p>
    <w:p>
      <w:pPr>
        <w:spacing w:line="400" w:lineRule="exact"/>
        <w:rPr>
          <w:rFonts w:cs="Times New Roman" w:asciiTheme="minorEastAsia" w:hAnsiTheme="minorEastAsia"/>
          <w:kern w:val="0"/>
          <w:sz w:val="24"/>
        </w:rPr>
      </w:pPr>
      <w:bookmarkStart w:id="164" w:name="_Toc217446110"/>
      <w:r>
        <w:rPr>
          <w:rFonts w:hint="eastAsia" w:cs="Times New Roman" w:asciiTheme="minorEastAsia" w:hAnsiTheme="minorEastAsia"/>
          <w:kern w:val="0"/>
          <w:sz w:val="24"/>
        </w:rPr>
        <w:t>四、交货及验收</w:t>
      </w:r>
      <w:bookmarkEnd w:id="164"/>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1、乙方交货期限为合同生效后的50个工作日。</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交货：乙方应在合同约定的交货期限内将货物送达到甲方指定地点并全部完成安装调试（交货验收时须提供产品质检部门从同类产品中抽样检查合格的检测报告）。在经甲方验收合格后才视为乙方完成了交货义务。如由于采购人的原因造成合同延迟签订或验收的，时间顺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2、验收由甲方组织并按照有关规定进行，乙方配合进行验收，双方在验收后形成《成都市武侯区疾病预防控制中心仪器设备初步验收记录》和《成都市武侯区疾病预防控制中心仪器设备试运行验收合格报告》：</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 货物在送达甲方指定地点时，对不需要安装的货物，甲乙双方对产品的品种、数量等外在指标进行初步验收；对需要安装调试的货物，在乙方安装调试完毕后通知甲方初步验收。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（2）初步验收合格后，进入试用期；试用期间发生重大质量问题，乙方进行修复的，修复后重新计算试用期，试用相应顺延；试用期结束后，产品运行无质量问题的，甲乙双方在10日内完成最终验收；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 验收时如发现所交付的货物有品名、短装、次品、损坏或其它不符合货物质量标准及本合同规定之情形者，甲方应做出详尽的现场记录，或由甲乙双方签署备忘录，此现场记录或备忘录可用作补充、缺失和更换损坏部件的有效证据。因验收不合格导致的乙方交付时间的延长或逾期，由此产生的有关费用由乙方承担，验收期限不顺延，乙方应按照本合同的约定承担逾期交付的违约责任；</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 如最终验收合格，双方签署最终验收合格报告。</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3、货物安装完成后20日内，甲方无故不进行验收工作并已使用货物的，视同已安装调试完成并验收合格。</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5、如货物经乙方次维修仍不能达到合同约定的质量标准，甲方有权退货，并视作乙方不能交付货物而须支付违约赔偿金给甲方，甲方还可依法解除合同并追究乙方的违约责任。</w:t>
      </w:r>
      <w:r>
        <w:rPr>
          <w:rFonts w:cs="Times New Roman" w:asciiTheme="minorEastAsia" w:hAnsiTheme="minorEastAsia"/>
          <w:kern w:val="0"/>
          <w:sz w:val="24"/>
        </w:rPr>
        <w:t> </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6、甲方将严格按照《财政部关于进一步加强政府釆购需求和履约验收管理的指导意见》（财库〔2016） 205号）以及参照《四川省政府采购项目需求论证和履约验收管 理办法》（川财釆（2015）32号）等相关法律法规要求进行验收。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7、验收结果不合格的，乙方应退回已付款，甲方将不予支付剩余采购资金，并报本项目同级财政部门按照政府釆购法律法规及《四川省公共资源交易领域严重失信联 合惩戒实施办法》（川发改信用规（2019）405号）和《关于对政府釆购领域严重违 法失信主体开展联合惩戒的合作备忘录》（发改财金（2018） 1614号）等有关规定给予行政处罚或者以失信行为记入诚信档案。</w:t>
      </w:r>
    </w:p>
    <w:p>
      <w:pPr>
        <w:spacing w:line="400" w:lineRule="exact"/>
        <w:rPr>
          <w:rFonts w:cs="Times New Roman" w:asciiTheme="minorEastAsia" w:hAnsiTheme="minorEastAsia"/>
          <w:kern w:val="0"/>
          <w:sz w:val="24"/>
        </w:rPr>
      </w:pPr>
      <w:bookmarkStart w:id="165" w:name="_Toc217446111"/>
      <w:r>
        <w:rPr>
          <w:rFonts w:hint="eastAsia" w:cs="Times New Roman" w:asciiTheme="minorEastAsia" w:hAnsiTheme="minorEastAsia"/>
          <w:kern w:val="0"/>
          <w:sz w:val="24"/>
        </w:rPr>
        <w:t>五、付款方式</w:t>
      </w:r>
      <w:bookmarkEnd w:id="165"/>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（一）适用于无预付款采购项目</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1、全部货物安装调试完毕并验收合格之日起，甲方接到乙方通知与票据凭证资料以后的30日内，按照财政性资金支付有关规定，向乙方支付合同价款100%金额，￥          元，人民币大写         元整；</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2、乙方须向甲方出具合法有效完整的完税发票及凭证资料进行支付结算。</w:t>
      </w:r>
    </w:p>
    <w:p>
      <w:pPr>
        <w:spacing w:line="400" w:lineRule="exact"/>
        <w:rPr>
          <w:rFonts w:cs="Times New Roman" w:asciiTheme="minorEastAsia" w:hAnsiTheme="minorEastAsia"/>
          <w:kern w:val="0"/>
          <w:sz w:val="24"/>
        </w:rPr>
      </w:pPr>
      <w:bookmarkStart w:id="166" w:name="_Toc217446112"/>
      <w:r>
        <w:rPr>
          <w:rFonts w:hint="eastAsia" w:cs="Times New Roman" w:asciiTheme="minorEastAsia" w:hAnsiTheme="minorEastAsia"/>
          <w:kern w:val="0"/>
          <w:sz w:val="24"/>
        </w:rPr>
        <w:t>六、售后服务</w:t>
      </w:r>
      <w:bookmarkEnd w:id="166"/>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w:t>
      </w:r>
      <w:r>
        <w:rPr>
          <w:rFonts w:hint="eastAsia" w:cs="仿宋_GB2312" w:asciiTheme="minorEastAsia" w:hAnsiTheme="minorEastAsia"/>
          <w:sz w:val="24"/>
        </w:rPr>
        <w:t>整车质保不低于3年或10</w:t>
      </w:r>
      <w:r>
        <w:rPr>
          <w:rFonts w:hint="eastAsia" w:cs="Times New Roman" w:asciiTheme="minorEastAsia" w:hAnsiTheme="minorEastAsia"/>
          <w:kern w:val="0"/>
          <w:sz w:val="24"/>
        </w:rPr>
        <w:t>万公里（以先到为准），质保期内出现质量问题，乙方在接到通知后48小时内响应到场，2个工作日内完成维修或更换，并承担修理调换的费用；如货物经乙方次维修仍不能达到本合同约定的质量标准，视作乙方未能按时交货，甲方有权退货并追究乙方的违约责任。</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2、货到现场后由于甲方保管不当造成的问题，乙方亦应负责修复，但费用由甲方负担。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3、乙方须指派专人负责与甲方联系售后服务事宜。</w:t>
      </w:r>
      <w:r>
        <w:rPr>
          <w:rFonts w:cs="Times New Roman" w:asciiTheme="minorEastAsia" w:hAnsiTheme="minorEastAsia"/>
          <w:kern w:val="0"/>
          <w:sz w:val="24"/>
        </w:rPr>
        <w:t> </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4、乙方违反本合同项下质保义务的，甲方除有权委托第三方提供质保并向乙方追索产生的相应费用外，甲方还可以报本项目同级财政部门按照政府釆购法律法规及《四川省公共资源交易领域严重失信联 合惩戒实施办法》（川发改信用规（2019）405号）和《关于对政府釆购领域严重违 法失信主体开展联合惩戒的合作备忘录》（发改财金（2018） 1614号）等有关规定给予行政处罚或者以失信行为记入诚信档案。</w:t>
      </w:r>
    </w:p>
    <w:p>
      <w:pPr>
        <w:spacing w:line="400" w:lineRule="exact"/>
        <w:rPr>
          <w:rFonts w:hint="eastAsia" w:cs="Times New Roman" w:asciiTheme="minorEastAsia" w:hAnsiTheme="minorEastAsia"/>
          <w:kern w:val="0"/>
          <w:sz w:val="24"/>
        </w:rPr>
      </w:pPr>
      <w:bookmarkStart w:id="167" w:name="_Toc217446113"/>
      <w:r>
        <w:rPr>
          <w:rFonts w:hint="eastAsia" w:cs="Times New Roman" w:asciiTheme="minorEastAsia" w:hAnsiTheme="minorEastAsia"/>
          <w:kern w:val="0"/>
          <w:sz w:val="24"/>
        </w:rPr>
        <w:t>七、违约责任</w:t>
      </w:r>
      <w:bookmarkEnd w:id="167"/>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采购人无正当理由拒收货物的，采购人应偿付合同总价百分之20的违约金；</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采购人逾期支付货款的，除应及时付足货款外，应向投标人偿付欠款总额万分之5/天的违约金；逾期付款超过天的，投标人有权终止合同；</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 采购人偿付的违约金不足以弥补投标人损失的，还应按投标人损失尚未弥补的部分，支付赔偿金给投标人。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交付的货物质量不符合合同规定的，投标人应向采购人支付合同总价的百分之的违约金，并须在合同规定的交货时间内更换合格的货物给采购人，否则，视作投标人不能交付货物而违约，按本条本款下述第“（2）”项规定由投标人偿付违约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不能交付货物或逾期交付货物而违约的，除应及时交足货物外，应向采购人偿付逾期交货部分货款总额的万分之5/天的违约金；逾期交货超过30天，采购人有权终止合同，投标人则应按合同总价的百分之20的款额向采购人偿付赔偿金，并须全额退还采购人已经付给投标人的货款及其利息。</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货物经采购人送交具有法定资格条件的质量技术监督机构检测后，如检测结果认定货物质量不符合本合同规定标准的，则视为投标人没有按时交货而违约，投标人须在天内无条件更换合格的货物，如逾期不能更换合格的货物，采购人有权终止本合同，投标人应另付合同总价的百分之5的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百分之5向采购人支付违约金并赔偿因此给采购人造成的一切损失。</w:t>
      </w:r>
      <w:r>
        <w:rPr>
          <w:rFonts w:hint="eastAsia" w:asciiTheme="minorEastAsia" w:hAnsiTheme="minorEastAsia"/>
          <w:sz w:val="24"/>
        </w:rPr>
        <w:t>货物制造质量出现问题，乙方应在接到甲方通知后20日内负责三包（包修、包换、包退），费用由乙方负担。</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（5）投标人偿付的违约金不足以弥补采购人损失的，还应按采购人损失尚未弥补的部分，支付赔偿金给采购人。</w:t>
      </w:r>
    </w:p>
    <w:p>
      <w:pPr>
        <w:spacing w:line="400" w:lineRule="exact"/>
        <w:rPr>
          <w:rFonts w:cs="Times New Roman" w:asciiTheme="minorEastAsia" w:hAnsiTheme="minorEastAsia"/>
          <w:kern w:val="0"/>
          <w:sz w:val="24"/>
        </w:rPr>
      </w:pPr>
      <w:bookmarkStart w:id="168" w:name="_Toc217446114"/>
      <w:r>
        <w:rPr>
          <w:rFonts w:hint="eastAsia" w:cs="Times New Roman" w:asciiTheme="minorEastAsia" w:hAnsiTheme="minorEastAsia"/>
          <w:kern w:val="0"/>
          <w:sz w:val="24"/>
        </w:rPr>
        <w:t>八、争议解决办法</w:t>
      </w:r>
      <w:bookmarkEnd w:id="168"/>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1、因货物的质量问题发生争议，由质量技术监督部门或其指定的质量鉴定机构进行质量鉴定。货物符合标准的，鉴定费由甲方承担；货物不符合质量标准的，鉴定费由乙方承担。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合同履行期间,若双方发生争议，可协商或由有关部门调解解决，协商或调解不成的，由当事人依法通过诉讼程序维护其合法权益。因诉讼产生的律师费、诉讼费、保全费、保全担保费等实现债权的费用由违约方承担。</w:t>
      </w:r>
    </w:p>
    <w:p>
      <w:pPr>
        <w:spacing w:line="400" w:lineRule="exact"/>
        <w:rPr>
          <w:rFonts w:cs="Times New Roman" w:asciiTheme="minorEastAsia" w:hAnsiTheme="minorEastAsia"/>
          <w:kern w:val="0"/>
          <w:sz w:val="24"/>
        </w:rPr>
      </w:pPr>
      <w:bookmarkStart w:id="169" w:name="_Toc217446115"/>
      <w:r>
        <w:rPr>
          <w:rFonts w:hint="eastAsia" w:cs="Times New Roman" w:asciiTheme="minorEastAsia" w:hAnsiTheme="minorEastAsia"/>
          <w:kern w:val="0"/>
          <w:sz w:val="24"/>
        </w:rPr>
        <w:t>九、其他</w:t>
      </w:r>
      <w:bookmarkEnd w:id="169"/>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1、如有未尽事宜，由双方依法订立补充合同。</w:t>
      </w:r>
    </w:p>
    <w:p>
      <w:pPr>
        <w:spacing w:line="400" w:lineRule="exact"/>
        <w:rPr>
          <w:rFonts w:asciiTheme="minorEastAsia" w:hAnsiTheme="minorEastAsia"/>
          <w:b/>
          <w:sz w:val="24"/>
        </w:rPr>
      </w:pPr>
      <w:r>
        <w:rPr>
          <w:rFonts w:hint="eastAsia" w:cs="Times New Roman" w:asciiTheme="minorEastAsia" w:hAnsiTheme="minorEastAsia"/>
          <w:kern w:val="0"/>
          <w:sz w:val="24"/>
        </w:rPr>
        <w:t>2、本合同一式六份，自双方签章之日起生效。甲方三份，乙方、政府采购管理部门、采购代理机构各一份。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4">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9">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0">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1">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1">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94E3612"/>
    <w:multiLevelType w:val="multilevel"/>
    <w:tmpl w:val="394E3612"/>
    <w:lvl w:ilvl="0" w:tentative="0">
      <w:start w:val="1"/>
      <w:numFmt w:val="chineseCountingThousand"/>
      <w:lvlText w:val="%1、"/>
      <w:lvlJc w:val="left"/>
      <w:pPr>
        <w:ind w:left="1130" w:hanging="420"/>
      </w:pPr>
      <w:rPr>
        <w:rFonts w:hint="eastAsia"/>
        <w:color w:val="auto"/>
        <w:sz w:val="28"/>
        <w:szCs w:val="28"/>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3">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4">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5">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4FC6300F"/>
    <w:multiLevelType w:val="multilevel"/>
    <w:tmpl w:val="4FC6300F"/>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4">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5">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6">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8"/>
  </w:num>
  <w:num w:numId="2">
    <w:abstractNumId w:val="3"/>
  </w:num>
  <w:num w:numId="3">
    <w:abstractNumId w:val="1"/>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229E"/>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15DE3"/>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8708D"/>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23257B4"/>
    <w:rsid w:val="032E12BD"/>
    <w:rsid w:val="03C01BD8"/>
    <w:rsid w:val="03FB4359"/>
    <w:rsid w:val="03FE2C64"/>
    <w:rsid w:val="04533689"/>
    <w:rsid w:val="05A672A6"/>
    <w:rsid w:val="08071023"/>
    <w:rsid w:val="0AE27A86"/>
    <w:rsid w:val="0BCD4004"/>
    <w:rsid w:val="0E10157D"/>
    <w:rsid w:val="12887028"/>
    <w:rsid w:val="12EA0C0E"/>
    <w:rsid w:val="138D30C0"/>
    <w:rsid w:val="139606A9"/>
    <w:rsid w:val="13C965F4"/>
    <w:rsid w:val="14370E44"/>
    <w:rsid w:val="149E1509"/>
    <w:rsid w:val="14D33CA8"/>
    <w:rsid w:val="15E22DEA"/>
    <w:rsid w:val="16024B2E"/>
    <w:rsid w:val="175975D9"/>
    <w:rsid w:val="193F3E15"/>
    <w:rsid w:val="1B7877E9"/>
    <w:rsid w:val="1C674EEC"/>
    <w:rsid w:val="1E185427"/>
    <w:rsid w:val="1E484981"/>
    <w:rsid w:val="1FFC5D10"/>
    <w:rsid w:val="203C2940"/>
    <w:rsid w:val="23330A80"/>
    <w:rsid w:val="25D15B76"/>
    <w:rsid w:val="25F929BB"/>
    <w:rsid w:val="26B81ACA"/>
    <w:rsid w:val="28E032B8"/>
    <w:rsid w:val="28EA642F"/>
    <w:rsid w:val="292818E4"/>
    <w:rsid w:val="2C1A632D"/>
    <w:rsid w:val="2E1A4E31"/>
    <w:rsid w:val="2F254DFF"/>
    <w:rsid w:val="2F523225"/>
    <w:rsid w:val="2F885AC5"/>
    <w:rsid w:val="30577ED5"/>
    <w:rsid w:val="30757898"/>
    <w:rsid w:val="30AC6B51"/>
    <w:rsid w:val="32784B8A"/>
    <w:rsid w:val="36F94750"/>
    <w:rsid w:val="3754021E"/>
    <w:rsid w:val="37B05FEB"/>
    <w:rsid w:val="37ED2775"/>
    <w:rsid w:val="380B30C9"/>
    <w:rsid w:val="388445D0"/>
    <w:rsid w:val="394064DD"/>
    <w:rsid w:val="3C2A7F0C"/>
    <w:rsid w:val="3CB32653"/>
    <w:rsid w:val="40A33779"/>
    <w:rsid w:val="41666DF9"/>
    <w:rsid w:val="42175C2F"/>
    <w:rsid w:val="44E7637C"/>
    <w:rsid w:val="454B396B"/>
    <w:rsid w:val="45A130A3"/>
    <w:rsid w:val="46376792"/>
    <w:rsid w:val="466A63AC"/>
    <w:rsid w:val="4C7C5F07"/>
    <w:rsid w:val="4D0D05AC"/>
    <w:rsid w:val="4F9D3910"/>
    <w:rsid w:val="50E76D58"/>
    <w:rsid w:val="514E54B3"/>
    <w:rsid w:val="55CF3663"/>
    <w:rsid w:val="56837EEB"/>
    <w:rsid w:val="568453E2"/>
    <w:rsid w:val="58B42CD1"/>
    <w:rsid w:val="5A2F437A"/>
    <w:rsid w:val="5A6630CB"/>
    <w:rsid w:val="5A744A5D"/>
    <w:rsid w:val="5B1F7E64"/>
    <w:rsid w:val="5DAB6126"/>
    <w:rsid w:val="5DBF6E54"/>
    <w:rsid w:val="5DC57088"/>
    <w:rsid w:val="5FD867B5"/>
    <w:rsid w:val="60B97D90"/>
    <w:rsid w:val="60DE34FD"/>
    <w:rsid w:val="612A3AC0"/>
    <w:rsid w:val="61E22D20"/>
    <w:rsid w:val="61FA337C"/>
    <w:rsid w:val="626A32B0"/>
    <w:rsid w:val="634C2388"/>
    <w:rsid w:val="63685E0F"/>
    <w:rsid w:val="638971CF"/>
    <w:rsid w:val="63F25A11"/>
    <w:rsid w:val="664B0DD9"/>
    <w:rsid w:val="67985409"/>
    <w:rsid w:val="681E0551"/>
    <w:rsid w:val="6C930D1F"/>
    <w:rsid w:val="6CB73D86"/>
    <w:rsid w:val="71F550B6"/>
    <w:rsid w:val="72051CAD"/>
    <w:rsid w:val="720E111A"/>
    <w:rsid w:val="72D926E1"/>
    <w:rsid w:val="72EB7D1D"/>
    <w:rsid w:val="72F070B2"/>
    <w:rsid w:val="730562ED"/>
    <w:rsid w:val="732A7626"/>
    <w:rsid w:val="73746428"/>
    <w:rsid w:val="74752363"/>
    <w:rsid w:val="74DB409D"/>
    <w:rsid w:val="76373520"/>
    <w:rsid w:val="77910F2F"/>
    <w:rsid w:val="779F3E4B"/>
    <w:rsid w:val="78DA400E"/>
    <w:rsid w:val="79082B7E"/>
    <w:rsid w:val="79405E83"/>
    <w:rsid w:val="79E33246"/>
    <w:rsid w:val="7B052139"/>
    <w:rsid w:val="7BDB50BC"/>
    <w:rsid w:val="7C5E2AFB"/>
    <w:rsid w:val="7C9B54D0"/>
    <w:rsid w:val="7E747B6D"/>
    <w:rsid w:val="7E752E23"/>
    <w:rsid w:val="7E9E5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75"/>
    <w:unhideWhenUsed/>
    <w:qFormat/>
    <w:uiPriority w:val="0"/>
    <w:rPr>
      <w:rFonts w:ascii="宋体" w:hAnsi="Courier New"/>
      <w:kern w:val="0"/>
      <w:sz w:val="20"/>
      <w:szCs w:val="18"/>
    </w:rPr>
  </w:style>
  <w:style w:type="paragraph" w:styleId="3">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4"/>
    <w:unhideWhenUsed/>
    <w:qFormat/>
    <w:uiPriority w:val="0"/>
    <w:pPr>
      <w:shd w:val="clear" w:color="auto" w:fill="000080"/>
    </w:pPr>
    <w:rPr>
      <w:rFonts w:ascii="Times New Roman" w:hAnsi="Times New Roman"/>
      <w:kern w:val="0"/>
      <w:sz w:val="18"/>
      <w:szCs w:val="18"/>
    </w:rPr>
  </w:style>
  <w:style w:type="paragraph" w:styleId="16">
    <w:name w:val="annotation text"/>
    <w:basedOn w:val="1"/>
    <w:next w:val="1"/>
    <w:link w:val="61"/>
    <w:unhideWhenUsed/>
    <w:qFormat/>
    <w:uiPriority w:val="99"/>
    <w:pPr>
      <w:jc w:val="left"/>
    </w:pPr>
    <w:rPr>
      <w:rFonts w:ascii="Times New Roman" w:hAnsi="Times New Roman"/>
      <w:kern w:val="0"/>
      <w:sz w:val="18"/>
      <w:szCs w:val="18"/>
    </w:rPr>
  </w:style>
  <w:style w:type="paragraph" w:styleId="17">
    <w:name w:val="Body Text 3"/>
    <w:basedOn w:val="1"/>
    <w:link w:val="71"/>
    <w:unhideWhenUsed/>
    <w:qFormat/>
    <w:uiPriority w:val="0"/>
    <w:pPr>
      <w:jc w:val="center"/>
    </w:pPr>
    <w:rPr>
      <w:rFonts w:ascii="Times New Roman" w:hAnsi="Times New Roman" w:eastAsia="黑体"/>
      <w:sz w:val="44"/>
      <w:szCs w:val="24"/>
    </w:rPr>
  </w:style>
  <w:style w:type="paragraph" w:styleId="18">
    <w:name w:val="Body Text"/>
    <w:basedOn w:val="1"/>
    <w:next w:val="19"/>
    <w:link w:val="64"/>
    <w:unhideWhenUsed/>
    <w:qFormat/>
    <w:uiPriority w:val="0"/>
    <w:pPr>
      <w:spacing w:after="120"/>
    </w:pPr>
  </w:style>
  <w:style w:type="paragraph" w:styleId="19">
    <w:name w:val="Body Text First Indent"/>
    <w:basedOn w:val="18"/>
    <w:link w:val="69"/>
    <w:unhideWhenUsed/>
    <w:qFormat/>
    <w:uiPriority w:val="0"/>
    <w:pPr>
      <w:ind w:firstLine="420" w:firstLineChars="100"/>
    </w:pPr>
    <w:rPr>
      <w:rFonts w:ascii="Times New Roman" w:hAnsi="Times New Roman"/>
      <w:kern w:val="0"/>
      <w:sz w:val="18"/>
      <w:szCs w:val="18"/>
    </w:rPr>
  </w:style>
  <w:style w:type="paragraph" w:styleId="20">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6"/>
    <w:next w:val="16"/>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6"/>
    <w:qFormat/>
    <w:uiPriority w:val="0"/>
    <w:rPr>
      <w:rFonts w:ascii="宋体" w:hAnsi="宋体" w:eastAsia="宋体" w:cs="宋体"/>
      <w:b/>
      <w:bCs/>
      <w:color w:val="000000"/>
      <w:sz w:val="28"/>
      <w:szCs w:val="28"/>
    </w:rPr>
  </w:style>
  <w:style w:type="character" w:customStyle="1" w:styleId="53">
    <w:name w:val="标题 4 Char"/>
    <w:basedOn w:val="43"/>
    <w:link w:val="7"/>
    <w:qFormat/>
    <w:uiPriority w:val="9"/>
    <w:rPr>
      <w:rFonts w:ascii="Arial" w:hAnsi="Arial" w:eastAsia="宋体" w:cs="Times New Roman"/>
      <w:b/>
      <w:bCs/>
      <w:sz w:val="28"/>
      <w:szCs w:val="28"/>
    </w:rPr>
  </w:style>
  <w:style w:type="character" w:customStyle="1" w:styleId="54">
    <w:name w:val="标题 5 Char"/>
    <w:basedOn w:val="43"/>
    <w:link w:val="8"/>
    <w:qFormat/>
    <w:uiPriority w:val="9"/>
    <w:rPr>
      <w:rFonts w:ascii="Calibri" w:hAnsi="Calibri" w:eastAsia="宋体" w:cs="宋体"/>
      <w:b/>
      <w:bCs/>
      <w:sz w:val="28"/>
      <w:szCs w:val="28"/>
    </w:rPr>
  </w:style>
  <w:style w:type="character" w:customStyle="1" w:styleId="55">
    <w:name w:val="标题 6 Char"/>
    <w:basedOn w:val="43"/>
    <w:link w:val="9"/>
    <w:qFormat/>
    <w:uiPriority w:val="9"/>
    <w:rPr>
      <w:rFonts w:ascii="Arial" w:hAnsi="Arial" w:eastAsia="宋体" w:cs="Times New Roman"/>
      <w:b/>
      <w:bCs/>
      <w:sz w:val="28"/>
      <w:szCs w:val="18"/>
    </w:rPr>
  </w:style>
  <w:style w:type="character" w:customStyle="1" w:styleId="56">
    <w:name w:val="标题 7 Char"/>
    <w:basedOn w:val="43"/>
    <w:link w:val="10"/>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1"/>
    <w:qFormat/>
    <w:uiPriority w:val="0"/>
    <w:rPr>
      <w:rFonts w:ascii="Arial" w:hAnsi="Arial" w:eastAsia="黑体" w:cs="Times New Roman"/>
      <w:kern w:val="0"/>
      <w:sz w:val="24"/>
      <w:szCs w:val="24"/>
    </w:rPr>
  </w:style>
  <w:style w:type="character" w:customStyle="1" w:styleId="58">
    <w:name w:val="标题 9 Char"/>
    <w:basedOn w:val="43"/>
    <w:link w:val="12"/>
    <w:qFormat/>
    <w:uiPriority w:val="0"/>
    <w:rPr>
      <w:rFonts w:ascii="Arial" w:hAnsi="Arial" w:eastAsia="黑体" w:cs="Times New Roman"/>
      <w:kern w:val="0"/>
      <w:sz w:val="20"/>
      <w:szCs w:val="21"/>
    </w:rPr>
  </w:style>
  <w:style w:type="character" w:customStyle="1" w:styleId="59">
    <w:name w:val="正文缩进 Char1"/>
    <w:link w:val="3"/>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6"/>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18"/>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20"/>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19"/>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7"/>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5"/>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3"/>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5"/>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paragraph" w:customStyle="1" w:styleId="284">
    <w:name w:val="Table Paragraph"/>
    <w:basedOn w:val="1"/>
    <w:qFormat/>
    <w:uiPriority w:val="1"/>
    <w:pPr>
      <w:ind w:left="4"/>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CF685-45A5-4F10-80E4-EF6484609D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4308</Words>
  <Characters>24561</Characters>
  <Lines>204</Lines>
  <Paragraphs>57</Paragraphs>
  <TotalTime>36</TotalTime>
  <ScaleCrop>false</ScaleCrop>
  <LinksUpToDate>false</LinksUpToDate>
  <CharactersWithSpaces>28812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cp:lastModifiedBy>
  <cp:lastPrinted>2021-08-16T02:45:00Z</cp:lastPrinted>
  <dcterms:modified xsi:type="dcterms:W3CDTF">2021-10-13T01:33:10Z</dcterms:modified>
  <cp:revision>564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300669523_btnclosed</vt:lpwstr>
  </property>
  <property fmtid="{D5CDD505-2E9C-101B-9397-08002B2CF9AE}" pid="4" name="ICV">
    <vt:lpwstr>405D346069C8420BABACF6969AFBFA3E</vt:lpwstr>
  </property>
</Properties>
</file>