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华文中宋" w:hAnsi="华文中宋" w:eastAsia="华文中宋"/>
          <w:spacing w:val="42"/>
          <w:sz w:val="84"/>
        </w:rPr>
      </w:pPr>
    </w:p>
    <w:p>
      <w:pPr>
        <w:spacing w:line="360" w:lineRule="auto"/>
        <w:jc w:val="center"/>
        <w:rPr>
          <w:rFonts w:ascii="华文中宋" w:hAnsi="华文中宋" w:eastAsia="华文中宋"/>
          <w:spacing w:val="42"/>
          <w:sz w:val="130"/>
          <w:szCs w:val="130"/>
        </w:rPr>
      </w:pPr>
      <w:r>
        <w:rPr>
          <w:rFonts w:hint="eastAsia" w:ascii="华文中宋" w:hAnsi="华文中宋" w:eastAsia="华文中宋"/>
          <w:spacing w:val="42"/>
          <w:sz w:val="130"/>
          <w:szCs w:val="130"/>
        </w:rPr>
        <w:t>招 标 文 件</w:t>
      </w:r>
    </w:p>
    <w:p>
      <w:pPr>
        <w:spacing w:line="360" w:lineRule="auto"/>
        <w:jc w:val="center"/>
        <w:rPr>
          <w:rFonts w:ascii="华文中宋" w:hAnsi="华文中宋" w:eastAsia="华文中宋"/>
          <w:sz w:val="32"/>
          <w:szCs w:val="32"/>
        </w:rPr>
      </w:pPr>
    </w:p>
    <w:p>
      <w:pPr>
        <w:spacing w:line="360" w:lineRule="auto"/>
        <w:rPr>
          <w:rFonts w:ascii="华文中宋" w:hAnsi="华文中宋" w:eastAsia="华文中宋"/>
        </w:rPr>
      </w:pPr>
    </w:p>
    <w:p>
      <w:pPr>
        <w:spacing w:line="360" w:lineRule="auto"/>
        <w:ind w:left="2306" w:leftChars="338" w:hanging="1596" w:hangingChars="499"/>
        <w:rPr>
          <w:rFonts w:ascii="华文中宋" w:hAnsi="华文中宋" w:eastAsia="华文中宋"/>
          <w:sz w:val="32"/>
          <w:szCs w:val="32"/>
        </w:rPr>
      </w:pPr>
      <w:r>
        <w:rPr>
          <w:rFonts w:hint="eastAsia" w:ascii="华文中宋" w:hAnsi="华文中宋" w:eastAsia="华文中宋"/>
          <w:sz w:val="32"/>
          <w:szCs w:val="32"/>
        </w:rPr>
        <w:t>项目名称：成都市武侯区机关事务中心农副食品，动、植物油制品（第一办公区食材）采购项目</w:t>
      </w:r>
    </w:p>
    <w:p>
      <w:pPr>
        <w:spacing w:line="360" w:lineRule="auto"/>
        <w:ind w:left="2409" w:leftChars="338" w:hanging="1699" w:hangingChars="531"/>
        <w:rPr>
          <w:rFonts w:hint="eastAsia" w:ascii="华文中宋" w:hAnsi="华文中宋" w:eastAsia="华文中宋"/>
          <w:sz w:val="32"/>
          <w:szCs w:val="32"/>
          <w:lang w:eastAsia="zh-CN"/>
        </w:rPr>
      </w:pPr>
      <w:r>
        <w:rPr>
          <w:rFonts w:hint="eastAsia" w:ascii="华文中宋" w:hAnsi="华文中宋" w:eastAsia="华文中宋"/>
          <w:sz w:val="32"/>
          <w:szCs w:val="32"/>
        </w:rPr>
        <w:t>项目编号：</w:t>
      </w:r>
      <w:r>
        <w:rPr>
          <w:rFonts w:hint="eastAsia" w:ascii="华文中宋" w:hAnsi="华文中宋" w:eastAsia="华文中宋"/>
          <w:sz w:val="32"/>
          <w:szCs w:val="32"/>
          <w:lang w:eastAsia="zh-CN"/>
        </w:rPr>
        <w:t>武侯政采（2022）A0006号</w:t>
      </w:r>
    </w:p>
    <w:p>
      <w:pPr>
        <w:spacing w:line="360" w:lineRule="auto"/>
        <w:ind w:firstLine="1280" w:firstLineChars="400"/>
        <w:rPr>
          <w:rFonts w:ascii="华文中宋" w:hAnsi="华文中宋" w:eastAsia="华文中宋"/>
          <w:sz w:val="32"/>
          <w:szCs w:val="32"/>
        </w:rPr>
      </w:pPr>
    </w:p>
    <w:p>
      <w:pPr>
        <w:spacing w:line="360" w:lineRule="auto"/>
        <w:ind w:firstLine="1256" w:firstLineChars="349"/>
        <w:rPr>
          <w:rFonts w:ascii="华文中宋" w:hAnsi="华文中宋" w:eastAsia="华文中宋"/>
          <w:spacing w:val="20"/>
          <w:sz w:val="32"/>
          <w:szCs w:val="32"/>
        </w:rPr>
      </w:pPr>
    </w:p>
    <w:p>
      <w:pPr>
        <w:spacing w:line="360" w:lineRule="auto"/>
        <w:jc w:val="center"/>
        <w:rPr>
          <w:rFonts w:ascii="华文中宋" w:hAnsi="华文中宋" w:eastAsia="华文中宋"/>
          <w:kern w:val="24"/>
          <w:sz w:val="32"/>
          <w:szCs w:val="32"/>
        </w:rPr>
      </w:pPr>
    </w:p>
    <w:p>
      <w:pPr>
        <w:spacing w:line="360" w:lineRule="auto"/>
        <w:jc w:val="center"/>
        <w:rPr>
          <w:rFonts w:ascii="华文中宋" w:hAnsi="华文中宋" w:eastAsia="华文中宋"/>
          <w:sz w:val="32"/>
          <w:szCs w:val="32"/>
        </w:rPr>
      </w:pPr>
    </w:p>
    <w:p>
      <w:pPr>
        <w:spacing w:line="360" w:lineRule="auto"/>
        <w:jc w:val="center"/>
        <w:rPr>
          <w:rFonts w:ascii="华文中宋" w:hAnsi="华文中宋" w:eastAsia="华文中宋"/>
          <w:sz w:val="32"/>
          <w:szCs w:val="32"/>
        </w:rPr>
      </w:pPr>
      <w:r>
        <w:rPr>
          <w:rFonts w:hint="eastAsia" w:ascii="华文中宋" w:hAnsi="华文中宋" w:eastAsia="华文中宋"/>
          <w:sz w:val="32"/>
          <w:szCs w:val="32"/>
        </w:rPr>
        <w:t>成都市武侯区机关事务中心、</w:t>
      </w:r>
    </w:p>
    <w:p>
      <w:pPr>
        <w:spacing w:line="360" w:lineRule="auto"/>
        <w:jc w:val="center"/>
        <w:rPr>
          <w:rFonts w:ascii="华文中宋" w:hAnsi="华文中宋" w:eastAsia="华文中宋"/>
          <w:sz w:val="32"/>
          <w:szCs w:val="32"/>
        </w:rPr>
      </w:pPr>
      <w:r>
        <w:rPr>
          <w:rFonts w:hint="eastAsia" w:ascii="华文中宋" w:hAnsi="华文中宋" w:eastAsia="华文中宋"/>
          <w:sz w:val="32"/>
          <w:szCs w:val="32"/>
          <w:lang w:eastAsia="zh-CN"/>
        </w:rPr>
        <w:t>成都市武侯区政府采购中心</w:t>
      </w:r>
      <w:r>
        <w:rPr>
          <w:rFonts w:hint="eastAsia" w:ascii="华文中宋" w:hAnsi="华文中宋" w:eastAsia="华文中宋"/>
          <w:sz w:val="32"/>
          <w:szCs w:val="32"/>
        </w:rPr>
        <w:t>共同编制</w:t>
      </w:r>
    </w:p>
    <w:p>
      <w:pPr>
        <w:spacing w:line="360" w:lineRule="auto"/>
        <w:jc w:val="center"/>
        <w:rPr>
          <w:rFonts w:ascii="华文中宋" w:hAnsi="华文中宋" w:eastAsia="华文中宋"/>
          <w:sz w:val="32"/>
          <w:szCs w:val="32"/>
        </w:rPr>
      </w:pPr>
      <w:r>
        <w:rPr>
          <w:rFonts w:hint="eastAsia" w:ascii="华文中宋" w:hAnsi="华文中宋" w:eastAsia="华文中宋"/>
          <w:sz w:val="32"/>
          <w:szCs w:val="32"/>
        </w:rPr>
        <w:t>二〇二</w:t>
      </w:r>
      <w:r>
        <w:rPr>
          <w:rFonts w:hint="eastAsia" w:ascii="华文中宋" w:hAnsi="华文中宋" w:eastAsia="华文中宋"/>
          <w:sz w:val="32"/>
          <w:szCs w:val="32"/>
          <w:lang w:eastAsia="zh-CN"/>
        </w:rPr>
        <w:t>二</w:t>
      </w:r>
      <w:r>
        <w:rPr>
          <w:rFonts w:hint="eastAsia" w:ascii="华文中宋" w:hAnsi="华文中宋" w:eastAsia="华文中宋"/>
          <w:sz w:val="32"/>
          <w:szCs w:val="32"/>
        </w:rPr>
        <w:t>年</w:t>
      </w:r>
      <w:r>
        <w:rPr>
          <w:rFonts w:hint="eastAsia" w:ascii="华文中宋" w:hAnsi="华文中宋" w:eastAsia="华文中宋"/>
          <w:sz w:val="32"/>
          <w:szCs w:val="32"/>
          <w:lang w:eastAsia="zh-CN"/>
        </w:rPr>
        <w:t>二</w:t>
      </w:r>
      <w:r>
        <w:rPr>
          <w:rFonts w:hint="eastAsia" w:ascii="华文中宋" w:hAnsi="华文中宋" w:eastAsia="华文中宋"/>
          <w:sz w:val="32"/>
          <w:szCs w:val="32"/>
        </w:rPr>
        <w:t>月</w:t>
      </w:r>
    </w:p>
    <w:p>
      <w:pPr>
        <w:spacing w:line="360" w:lineRule="auto"/>
        <w:jc w:val="center"/>
        <w:rPr>
          <w:rFonts w:ascii="宋体" w:hAnsi="宋体"/>
          <w:b/>
          <w:sz w:val="36"/>
        </w:rPr>
      </w:pPr>
      <w:bookmarkStart w:id="0" w:name="_Toc148505181"/>
      <w:bookmarkStart w:id="1" w:name="_Toc101234248"/>
      <w:bookmarkStart w:id="2" w:name="_Toc101328520"/>
      <w:bookmarkStart w:id="3" w:name="_Toc101247312"/>
      <w:r>
        <w:rPr>
          <w:rFonts w:hint="eastAsia" w:ascii="宋体" w:hAnsi="宋体"/>
          <w:b/>
          <w:sz w:val="32"/>
          <w:szCs w:val="32"/>
        </w:rPr>
        <w:t>目 录</w:t>
      </w:r>
    </w:p>
    <w:p>
      <w:pPr>
        <w:pStyle w:val="30"/>
        <w:tabs>
          <w:tab w:val="right" w:leader="hyphen" w:pos="8640"/>
          <w:tab w:val="clear" w:pos="709"/>
          <w:tab w:val="clear" w:pos="8364"/>
        </w:tabs>
      </w:pPr>
      <w:r>
        <w:rPr>
          <w:rFonts w:hint="eastAsia"/>
        </w:rPr>
        <w:fldChar w:fldCharType="begin"/>
      </w:r>
      <w:r>
        <w:rPr>
          <w:rFonts w:hint="eastAsia" w:ascii="宋体" w:hAnsi="宋体"/>
          <w:smallCaps/>
        </w:rPr>
        <w:instrText xml:space="preserve"> TOC \o "1-2" \h \z \u </w:instrText>
      </w:r>
      <w:r>
        <w:rPr>
          <w:rFonts w:hint="eastAsia"/>
        </w:rPr>
        <w:fldChar w:fldCharType="separate"/>
      </w:r>
      <w:r>
        <w:rPr>
          <w:rFonts w:hint="eastAsia"/>
        </w:rPr>
        <w:fldChar w:fldCharType="begin"/>
      </w:r>
      <w:r>
        <w:rPr>
          <w:rFonts w:hint="eastAsia"/>
        </w:rPr>
        <w:instrText xml:space="preserve"> HYPERLINK \l _Toc21997 </w:instrText>
      </w:r>
      <w:r>
        <w:rPr>
          <w:rFonts w:hint="eastAsia"/>
        </w:rPr>
        <w:fldChar w:fldCharType="separate"/>
      </w:r>
      <w:r>
        <w:rPr>
          <w:rFonts w:hint="default" w:ascii="Times New Roman" w:hAnsi="Times New Roman" w:eastAsia="宋体" w:cs="Times New Roman"/>
          <w:bCs/>
          <w:i w:val="0"/>
          <w:spacing w:val="-20"/>
          <w:kern w:val="44"/>
          <w:szCs w:val="32"/>
        </w:rPr>
        <w:t xml:space="preserve">第1章 </w:t>
      </w:r>
      <w:r>
        <w:rPr>
          <w:rFonts w:hint="eastAsia" w:ascii="宋体" w:hAnsi="宋体"/>
          <w:bCs/>
          <w:spacing w:val="-20"/>
          <w:kern w:val="44"/>
          <w:szCs w:val="32"/>
        </w:rPr>
        <w:t>投标邀请</w:t>
      </w:r>
      <w:r>
        <w:tab/>
      </w:r>
      <w:r>
        <w:fldChar w:fldCharType="begin"/>
      </w:r>
      <w:r>
        <w:instrText xml:space="preserve"> PAGEREF _Toc21997 \h </w:instrText>
      </w:r>
      <w:r>
        <w:fldChar w:fldCharType="separate"/>
      </w:r>
      <w:r>
        <w:t>3</w:t>
      </w:r>
      <w:r>
        <w:fldChar w:fldCharType="end"/>
      </w:r>
      <w:r>
        <w:rPr>
          <w:rFonts w:hint="eastAsia"/>
        </w:rPr>
        <w:fldChar w:fldCharType="end"/>
      </w:r>
    </w:p>
    <w:p>
      <w:pPr>
        <w:pStyle w:val="30"/>
        <w:tabs>
          <w:tab w:val="right" w:leader="hyphen" w:pos="8640"/>
          <w:tab w:val="clear" w:pos="709"/>
          <w:tab w:val="clear" w:pos="8364"/>
        </w:tabs>
      </w:pPr>
      <w:r>
        <w:rPr>
          <w:rFonts w:hint="eastAsia"/>
        </w:rPr>
        <w:fldChar w:fldCharType="begin"/>
      </w:r>
      <w:r>
        <w:rPr>
          <w:rFonts w:hint="eastAsia"/>
        </w:rPr>
        <w:instrText xml:space="preserve"> HYPERLINK \l _Toc15552 </w:instrText>
      </w:r>
      <w:r>
        <w:rPr>
          <w:rFonts w:hint="eastAsia"/>
        </w:rPr>
        <w:fldChar w:fldCharType="separate"/>
      </w:r>
      <w:r>
        <w:rPr>
          <w:rFonts w:hint="default" w:ascii="Times New Roman" w:hAnsi="Times New Roman" w:eastAsia="宋体" w:cs="Times New Roman"/>
          <w:bCs/>
          <w:i w:val="0"/>
          <w:spacing w:val="-20"/>
          <w:kern w:val="44"/>
          <w:szCs w:val="32"/>
        </w:rPr>
        <w:t xml:space="preserve">第2章 </w:t>
      </w:r>
      <w:r>
        <w:rPr>
          <w:rFonts w:hint="eastAsia" w:ascii="宋体" w:hAnsi="宋体"/>
          <w:bCs/>
          <w:spacing w:val="-20"/>
          <w:kern w:val="44"/>
          <w:szCs w:val="32"/>
        </w:rPr>
        <w:t>投标人须知</w:t>
      </w:r>
      <w:r>
        <w:tab/>
      </w:r>
      <w:r>
        <w:fldChar w:fldCharType="begin"/>
      </w:r>
      <w:r>
        <w:instrText xml:space="preserve"> PAGEREF _Toc15552 \h </w:instrText>
      </w:r>
      <w:r>
        <w:fldChar w:fldCharType="separate"/>
      </w:r>
      <w:r>
        <w:t>7</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_Toc26311 </w:instrText>
      </w:r>
      <w:r>
        <w:rPr>
          <w:rFonts w:hint="eastAsia"/>
        </w:rPr>
        <w:fldChar w:fldCharType="separate"/>
      </w:r>
      <w:r>
        <w:rPr>
          <w:rFonts w:hint="default" w:ascii="Times New Roman" w:hAnsi="Times New Roman" w:eastAsia="宋体" w:cs="Times New Roman"/>
          <w:bCs/>
          <w:i w:val="0"/>
          <w:szCs w:val="28"/>
        </w:rPr>
        <w:t xml:space="preserve">2.1 </w:t>
      </w:r>
      <w:r>
        <w:rPr>
          <w:rFonts w:hint="eastAsia" w:ascii="宋体" w:hAnsi="宋体"/>
          <w:bCs/>
          <w:szCs w:val="28"/>
        </w:rPr>
        <w:t>投标人须知前附表</w:t>
      </w:r>
      <w:r>
        <w:tab/>
      </w:r>
      <w:r>
        <w:fldChar w:fldCharType="begin"/>
      </w:r>
      <w:r>
        <w:instrText xml:space="preserve"> PAGEREF _Toc26311 \h </w:instrText>
      </w:r>
      <w:r>
        <w:fldChar w:fldCharType="separate"/>
      </w:r>
      <w:r>
        <w:t>7</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_Toc4383 </w:instrText>
      </w:r>
      <w:r>
        <w:rPr>
          <w:rFonts w:hint="eastAsia"/>
        </w:rPr>
        <w:fldChar w:fldCharType="separate"/>
      </w:r>
      <w:r>
        <w:rPr>
          <w:rFonts w:hint="default" w:ascii="Times New Roman" w:hAnsi="Times New Roman" w:eastAsia="宋体" w:cs="Times New Roman"/>
          <w:bCs/>
          <w:i w:val="0"/>
          <w:szCs w:val="28"/>
        </w:rPr>
        <w:t xml:space="preserve">2.2 </w:t>
      </w:r>
      <w:r>
        <w:rPr>
          <w:rFonts w:hint="eastAsia" w:ascii="宋体" w:hAnsi="宋体"/>
          <w:bCs/>
          <w:szCs w:val="24"/>
        </w:rPr>
        <w:t>总则</w:t>
      </w:r>
      <w:r>
        <w:tab/>
      </w:r>
      <w:r>
        <w:fldChar w:fldCharType="begin"/>
      </w:r>
      <w:r>
        <w:instrText xml:space="preserve"> PAGEREF _Toc4383 \h </w:instrText>
      </w:r>
      <w:r>
        <w:fldChar w:fldCharType="separate"/>
      </w:r>
      <w:r>
        <w:t>10</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_Toc3322 </w:instrText>
      </w:r>
      <w:r>
        <w:rPr>
          <w:rFonts w:hint="eastAsia"/>
        </w:rPr>
        <w:fldChar w:fldCharType="separate"/>
      </w:r>
      <w:r>
        <w:rPr>
          <w:rFonts w:hint="default" w:ascii="Times New Roman" w:hAnsi="Times New Roman" w:eastAsia="宋体" w:cs="Times New Roman"/>
          <w:bCs/>
          <w:i w:val="0"/>
          <w:szCs w:val="28"/>
        </w:rPr>
        <w:t xml:space="preserve">2.3 </w:t>
      </w:r>
      <w:r>
        <w:rPr>
          <w:rFonts w:hint="eastAsia" w:ascii="宋体" w:hAnsi="宋体"/>
          <w:bCs/>
          <w:szCs w:val="24"/>
        </w:rPr>
        <w:t>招标文件</w:t>
      </w:r>
      <w:r>
        <w:tab/>
      </w:r>
      <w:r>
        <w:fldChar w:fldCharType="begin"/>
      </w:r>
      <w:r>
        <w:instrText xml:space="preserve"> PAGEREF _Toc3322 \h </w:instrText>
      </w:r>
      <w:r>
        <w:fldChar w:fldCharType="separate"/>
      </w:r>
      <w:r>
        <w:t>12</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_Toc3123 </w:instrText>
      </w:r>
      <w:r>
        <w:rPr>
          <w:rFonts w:hint="eastAsia"/>
        </w:rPr>
        <w:fldChar w:fldCharType="separate"/>
      </w:r>
      <w:r>
        <w:rPr>
          <w:rFonts w:hint="default" w:ascii="Times New Roman" w:hAnsi="Times New Roman" w:eastAsia="宋体" w:cs="Times New Roman"/>
          <w:bCs/>
          <w:i w:val="0"/>
          <w:szCs w:val="28"/>
        </w:rPr>
        <w:t xml:space="preserve">2.4 </w:t>
      </w:r>
      <w:r>
        <w:rPr>
          <w:rFonts w:hint="eastAsia" w:ascii="宋体" w:hAnsi="宋体"/>
          <w:bCs/>
          <w:szCs w:val="24"/>
        </w:rPr>
        <w:t>投标文件</w:t>
      </w:r>
      <w:r>
        <w:tab/>
      </w:r>
      <w:r>
        <w:fldChar w:fldCharType="begin"/>
      </w:r>
      <w:r>
        <w:instrText xml:space="preserve"> PAGEREF _Toc3123 \h </w:instrText>
      </w:r>
      <w:r>
        <w:fldChar w:fldCharType="separate"/>
      </w:r>
      <w:r>
        <w:t>13</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_Toc19419 </w:instrText>
      </w:r>
      <w:r>
        <w:rPr>
          <w:rFonts w:hint="eastAsia"/>
        </w:rPr>
        <w:fldChar w:fldCharType="separate"/>
      </w:r>
      <w:r>
        <w:rPr>
          <w:rFonts w:hint="default" w:ascii="Times New Roman" w:hAnsi="Times New Roman" w:eastAsia="宋体" w:cs="Times New Roman"/>
          <w:bCs/>
          <w:i w:val="0"/>
          <w:szCs w:val="28"/>
        </w:rPr>
        <w:t xml:space="preserve">2.5 </w:t>
      </w:r>
      <w:r>
        <w:rPr>
          <w:rFonts w:hint="eastAsia" w:ascii="宋体" w:hAnsi="宋体"/>
          <w:bCs/>
          <w:szCs w:val="24"/>
        </w:rPr>
        <w:t>开标、资格审查、评标和中标</w:t>
      </w:r>
      <w:r>
        <w:tab/>
      </w:r>
      <w:r>
        <w:fldChar w:fldCharType="begin"/>
      </w:r>
      <w:r>
        <w:instrText xml:space="preserve"> PAGEREF _Toc19419 \h </w:instrText>
      </w:r>
      <w:r>
        <w:fldChar w:fldCharType="separate"/>
      </w:r>
      <w:r>
        <w:t>19</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_Toc21465 </w:instrText>
      </w:r>
      <w:r>
        <w:rPr>
          <w:rFonts w:hint="eastAsia"/>
        </w:rPr>
        <w:fldChar w:fldCharType="separate"/>
      </w:r>
      <w:r>
        <w:rPr>
          <w:rFonts w:hint="default" w:ascii="Times New Roman" w:hAnsi="Times New Roman" w:eastAsia="宋体" w:cs="Times New Roman"/>
          <w:bCs/>
          <w:i w:val="0"/>
          <w:szCs w:val="28"/>
        </w:rPr>
        <w:t xml:space="preserve">2.6 </w:t>
      </w:r>
      <w:r>
        <w:rPr>
          <w:rFonts w:hint="eastAsia" w:ascii="宋体" w:hAnsi="宋体"/>
          <w:bCs/>
          <w:szCs w:val="24"/>
        </w:rPr>
        <w:t>签订及履行合同和验收</w:t>
      </w:r>
      <w:r>
        <w:tab/>
      </w:r>
      <w:r>
        <w:fldChar w:fldCharType="begin"/>
      </w:r>
      <w:r>
        <w:instrText xml:space="preserve"> PAGEREF _Toc21465 \h </w:instrText>
      </w:r>
      <w:r>
        <w:fldChar w:fldCharType="separate"/>
      </w:r>
      <w:r>
        <w:t>20</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_Toc10794 </w:instrText>
      </w:r>
      <w:r>
        <w:rPr>
          <w:rFonts w:hint="eastAsia"/>
        </w:rPr>
        <w:fldChar w:fldCharType="separate"/>
      </w:r>
      <w:r>
        <w:rPr>
          <w:rFonts w:hint="default" w:ascii="Times New Roman" w:hAnsi="Times New Roman" w:eastAsia="宋体" w:cs="Times New Roman"/>
          <w:bCs/>
          <w:i w:val="0"/>
          <w:szCs w:val="28"/>
        </w:rPr>
        <w:t xml:space="preserve">2.7 </w:t>
      </w:r>
      <w:r>
        <w:rPr>
          <w:rFonts w:hint="eastAsia" w:ascii="宋体" w:hAnsi="宋体"/>
          <w:bCs/>
          <w:szCs w:val="24"/>
        </w:rPr>
        <w:t>投标纪律要求</w:t>
      </w:r>
      <w:r>
        <w:tab/>
      </w:r>
      <w:r>
        <w:fldChar w:fldCharType="begin"/>
      </w:r>
      <w:r>
        <w:instrText xml:space="preserve"> PAGEREF _Toc10794 \h </w:instrText>
      </w:r>
      <w:r>
        <w:fldChar w:fldCharType="separate"/>
      </w:r>
      <w:r>
        <w:t>22</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_Toc21191 </w:instrText>
      </w:r>
      <w:r>
        <w:rPr>
          <w:rFonts w:hint="eastAsia"/>
        </w:rPr>
        <w:fldChar w:fldCharType="separate"/>
      </w:r>
      <w:r>
        <w:rPr>
          <w:rFonts w:hint="default" w:ascii="Times New Roman" w:hAnsi="Times New Roman" w:eastAsia="宋体" w:cs="Times New Roman"/>
          <w:bCs/>
          <w:i w:val="0"/>
          <w:szCs w:val="28"/>
        </w:rPr>
        <w:t xml:space="preserve">2.8 </w:t>
      </w:r>
      <w:r>
        <w:rPr>
          <w:rFonts w:hint="eastAsia" w:ascii="宋体" w:hAnsi="宋体"/>
          <w:bCs/>
          <w:szCs w:val="24"/>
        </w:rPr>
        <w:t>询问、质疑和投诉</w:t>
      </w:r>
      <w:r>
        <w:tab/>
      </w:r>
      <w:r>
        <w:fldChar w:fldCharType="begin"/>
      </w:r>
      <w:r>
        <w:instrText xml:space="preserve"> PAGEREF _Toc21191 \h </w:instrText>
      </w:r>
      <w:r>
        <w:fldChar w:fldCharType="separate"/>
      </w:r>
      <w:r>
        <w:t>24</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_Toc13042 </w:instrText>
      </w:r>
      <w:r>
        <w:rPr>
          <w:rFonts w:hint="eastAsia"/>
        </w:rPr>
        <w:fldChar w:fldCharType="separate"/>
      </w:r>
      <w:r>
        <w:rPr>
          <w:rFonts w:hint="default" w:ascii="Times New Roman" w:hAnsi="Times New Roman" w:eastAsia="宋体" w:cs="Times New Roman"/>
          <w:i w:val="0"/>
          <w:szCs w:val="28"/>
        </w:rPr>
        <w:t xml:space="preserve">2.9 </w:t>
      </w:r>
      <w:r>
        <w:rPr>
          <w:rFonts w:hint="eastAsia"/>
          <w:szCs w:val="24"/>
        </w:rPr>
        <w:t>其他要求（实质性要求）</w:t>
      </w:r>
      <w:r>
        <w:tab/>
      </w:r>
      <w:r>
        <w:fldChar w:fldCharType="begin"/>
      </w:r>
      <w:r>
        <w:instrText xml:space="preserve"> PAGEREF _Toc13042 \h </w:instrText>
      </w:r>
      <w:r>
        <w:fldChar w:fldCharType="separate"/>
      </w:r>
      <w:r>
        <w:t>25</w:t>
      </w:r>
      <w:r>
        <w:fldChar w:fldCharType="end"/>
      </w:r>
      <w:r>
        <w:rPr>
          <w:rFonts w:hint="eastAsia"/>
        </w:rPr>
        <w:fldChar w:fldCharType="end"/>
      </w:r>
    </w:p>
    <w:p>
      <w:pPr>
        <w:pStyle w:val="30"/>
        <w:tabs>
          <w:tab w:val="right" w:leader="hyphen" w:pos="8640"/>
          <w:tab w:val="clear" w:pos="709"/>
          <w:tab w:val="clear" w:pos="8364"/>
        </w:tabs>
      </w:pPr>
      <w:r>
        <w:rPr>
          <w:rFonts w:hint="eastAsia"/>
        </w:rPr>
        <w:fldChar w:fldCharType="begin"/>
      </w:r>
      <w:r>
        <w:rPr>
          <w:rFonts w:hint="eastAsia"/>
        </w:rPr>
        <w:instrText xml:space="preserve"> HYPERLINK \l _Toc11867 </w:instrText>
      </w:r>
      <w:r>
        <w:rPr>
          <w:rFonts w:hint="eastAsia"/>
        </w:rPr>
        <w:fldChar w:fldCharType="separate"/>
      </w:r>
      <w:r>
        <w:rPr>
          <w:rFonts w:hint="default" w:ascii="Times New Roman" w:hAnsi="Times New Roman" w:eastAsia="宋体" w:cs="Times New Roman"/>
          <w:bCs/>
          <w:i w:val="0"/>
          <w:spacing w:val="-20"/>
          <w:kern w:val="44"/>
          <w:szCs w:val="32"/>
        </w:rPr>
        <w:t xml:space="preserve">第3章 </w:t>
      </w:r>
      <w:r>
        <w:rPr>
          <w:rFonts w:hint="eastAsia" w:ascii="宋体" w:hAnsi="宋体"/>
          <w:bCs/>
          <w:spacing w:val="-20"/>
          <w:kern w:val="44"/>
          <w:szCs w:val="32"/>
        </w:rPr>
        <w:t>投标文件格式</w:t>
      </w:r>
      <w:r>
        <w:tab/>
      </w:r>
      <w:r>
        <w:fldChar w:fldCharType="begin"/>
      </w:r>
      <w:r>
        <w:instrText xml:space="preserve"> PAGEREF _Toc11867 \h </w:instrText>
      </w:r>
      <w:r>
        <w:fldChar w:fldCharType="separate"/>
      </w:r>
      <w:r>
        <w:t>26</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_Toc10898 </w:instrText>
      </w:r>
      <w:r>
        <w:rPr>
          <w:rFonts w:hint="eastAsia"/>
        </w:rPr>
        <w:fldChar w:fldCharType="separate"/>
      </w:r>
      <w:r>
        <w:rPr>
          <w:rFonts w:hint="default" w:ascii="Times New Roman" w:hAnsi="Times New Roman" w:eastAsia="宋体" w:cs="Times New Roman"/>
          <w:bCs/>
          <w:i w:val="0"/>
          <w:szCs w:val="28"/>
        </w:rPr>
        <w:t xml:space="preserve">3.1 </w:t>
      </w:r>
      <w:r>
        <w:rPr>
          <w:rFonts w:hint="eastAsia" w:ascii="宋体" w:hAnsi="宋体"/>
          <w:bCs/>
          <w:szCs w:val="28"/>
        </w:rPr>
        <w:t>投标文件封面格式</w:t>
      </w:r>
      <w:r>
        <w:tab/>
      </w:r>
      <w:r>
        <w:fldChar w:fldCharType="begin"/>
      </w:r>
      <w:r>
        <w:instrText xml:space="preserve"> PAGEREF _Toc10898 \h </w:instrText>
      </w:r>
      <w:r>
        <w:fldChar w:fldCharType="separate"/>
      </w:r>
      <w:r>
        <w:t>26</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_Toc25614 </w:instrText>
      </w:r>
      <w:r>
        <w:rPr>
          <w:rFonts w:hint="eastAsia"/>
        </w:rPr>
        <w:fldChar w:fldCharType="separate"/>
      </w:r>
      <w:r>
        <w:rPr>
          <w:rFonts w:hint="default" w:ascii="Times New Roman" w:hAnsi="Times New Roman" w:eastAsia="宋体" w:cs="Times New Roman"/>
          <w:bCs/>
          <w:i w:val="0"/>
          <w:szCs w:val="28"/>
        </w:rPr>
        <w:t xml:space="preserve">3.2 </w:t>
      </w:r>
      <w:r>
        <w:rPr>
          <w:rFonts w:hint="eastAsia" w:ascii="宋体" w:hAnsi="宋体"/>
          <w:bCs/>
          <w:szCs w:val="24"/>
        </w:rPr>
        <w:t>资格响应文件</w:t>
      </w:r>
      <w:r>
        <w:tab/>
      </w:r>
      <w:r>
        <w:fldChar w:fldCharType="begin"/>
      </w:r>
      <w:r>
        <w:instrText xml:space="preserve"> PAGEREF _Toc25614 \h </w:instrText>
      </w:r>
      <w:r>
        <w:fldChar w:fldCharType="separate"/>
      </w:r>
      <w:r>
        <w:t>27</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_Toc229 </w:instrText>
      </w:r>
      <w:r>
        <w:rPr>
          <w:rFonts w:hint="eastAsia"/>
        </w:rPr>
        <w:fldChar w:fldCharType="separate"/>
      </w:r>
      <w:r>
        <w:rPr>
          <w:rFonts w:hint="default" w:ascii="Times New Roman" w:hAnsi="Times New Roman" w:eastAsia="宋体" w:cs="Times New Roman"/>
          <w:bCs/>
          <w:i w:val="0"/>
          <w:szCs w:val="28"/>
        </w:rPr>
        <w:t xml:space="preserve">3.3 </w:t>
      </w:r>
      <w:r>
        <w:rPr>
          <w:rFonts w:hint="eastAsia" w:ascii="宋体" w:hAnsi="宋体"/>
          <w:bCs/>
          <w:szCs w:val="24"/>
        </w:rPr>
        <w:t>商务技术</w:t>
      </w:r>
      <w:r>
        <w:rPr>
          <w:rFonts w:ascii="宋体" w:hAnsi="宋体"/>
          <w:bCs/>
          <w:szCs w:val="24"/>
        </w:rPr>
        <w:t>响应文件</w:t>
      </w:r>
      <w:r>
        <w:tab/>
      </w:r>
      <w:r>
        <w:fldChar w:fldCharType="begin"/>
      </w:r>
      <w:r>
        <w:instrText xml:space="preserve"> PAGEREF _Toc229 \h </w:instrText>
      </w:r>
      <w:r>
        <w:fldChar w:fldCharType="separate"/>
      </w:r>
      <w:r>
        <w:t>31</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_Toc4971 </w:instrText>
      </w:r>
      <w:r>
        <w:rPr>
          <w:rFonts w:hint="eastAsia"/>
        </w:rPr>
        <w:fldChar w:fldCharType="separate"/>
      </w:r>
      <w:r>
        <w:rPr>
          <w:rFonts w:hint="default" w:ascii="Times New Roman" w:hAnsi="Times New Roman" w:eastAsia="宋体" w:cs="Times New Roman"/>
          <w:bCs/>
          <w:i w:val="0"/>
          <w:szCs w:val="28"/>
        </w:rPr>
        <w:t xml:space="preserve">3.4 </w:t>
      </w:r>
      <w:r>
        <w:rPr>
          <w:rFonts w:hint="eastAsia" w:ascii="宋体" w:hAnsi="宋体"/>
          <w:bCs/>
          <w:szCs w:val="24"/>
        </w:rPr>
        <w:t>报价</w:t>
      </w:r>
      <w:r>
        <w:rPr>
          <w:rFonts w:ascii="宋体" w:hAnsi="宋体"/>
          <w:bCs/>
          <w:szCs w:val="24"/>
        </w:rPr>
        <w:t>要求响应文件</w:t>
      </w:r>
      <w:r>
        <w:tab/>
      </w:r>
      <w:r>
        <w:fldChar w:fldCharType="begin"/>
      </w:r>
      <w:r>
        <w:instrText xml:space="preserve"> PAGEREF _Toc4971 \h </w:instrText>
      </w:r>
      <w:r>
        <w:fldChar w:fldCharType="separate"/>
      </w:r>
      <w:r>
        <w:t>36</w:t>
      </w:r>
      <w:r>
        <w:fldChar w:fldCharType="end"/>
      </w:r>
      <w:r>
        <w:rPr>
          <w:rFonts w:hint="eastAsia"/>
        </w:rPr>
        <w:fldChar w:fldCharType="end"/>
      </w:r>
    </w:p>
    <w:p>
      <w:pPr>
        <w:pStyle w:val="30"/>
        <w:tabs>
          <w:tab w:val="right" w:leader="hyphen" w:pos="8640"/>
          <w:tab w:val="clear" w:pos="709"/>
          <w:tab w:val="clear" w:pos="8364"/>
        </w:tabs>
      </w:pPr>
      <w:r>
        <w:rPr>
          <w:rFonts w:hint="eastAsia"/>
        </w:rPr>
        <w:fldChar w:fldCharType="begin"/>
      </w:r>
      <w:r>
        <w:rPr>
          <w:rFonts w:hint="eastAsia"/>
        </w:rPr>
        <w:instrText xml:space="preserve"> HYPERLINK \l _Toc4585 </w:instrText>
      </w:r>
      <w:r>
        <w:rPr>
          <w:rFonts w:hint="eastAsia"/>
        </w:rPr>
        <w:fldChar w:fldCharType="separate"/>
      </w:r>
      <w:r>
        <w:rPr>
          <w:rFonts w:hint="default" w:ascii="Times New Roman" w:hAnsi="Times New Roman" w:eastAsia="宋体" w:cs="Times New Roman"/>
          <w:bCs/>
          <w:i w:val="0"/>
          <w:spacing w:val="-20"/>
          <w:kern w:val="44"/>
          <w:szCs w:val="32"/>
        </w:rPr>
        <w:t xml:space="preserve">第4章 </w:t>
      </w:r>
      <w:r>
        <w:rPr>
          <w:rFonts w:hint="eastAsia" w:ascii="宋体" w:hAnsi="宋体"/>
          <w:bCs/>
          <w:spacing w:val="-20"/>
          <w:kern w:val="44"/>
          <w:szCs w:val="32"/>
        </w:rPr>
        <w:t>招标项目技术、服务、商务及其他要求</w:t>
      </w:r>
      <w:r>
        <w:tab/>
      </w:r>
      <w:r>
        <w:fldChar w:fldCharType="begin"/>
      </w:r>
      <w:r>
        <w:instrText xml:space="preserve"> PAGEREF _Toc4585 \h </w:instrText>
      </w:r>
      <w:r>
        <w:fldChar w:fldCharType="separate"/>
      </w:r>
      <w:r>
        <w:t>45</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_Toc24750 </w:instrText>
      </w:r>
      <w:r>
        <w:rPr>
          <w:rFonts w:hint="eastAsia"/>
        </w:rPr>
        <w:fldChar w:fldCharType="separate"/>
      </w:r>
      <w:r>
        <w:rPr>
          <w:rFonts w:hint="default" w:ascii="Times New Roman" w:hAnsi="Times New Roman" w:eastAsia="宋体" w:cs="Times New Roman"/>
          <w:bCs/>
          <w:i w:val="0"/>
          <w:szCs w:val="28"/>
        </w:rPr>
        <w:t xml:space="preserve">4.1 </w:t>
      </w:r>
      <w:r>
        <w:rPr>
          <w:rFonts w:hint="eastAsia" w:ascii="宋体" w:hAnsi="宋体"/>
          <w:bCs/>
          <w:szCs w:val="28"/>
        </w:rPr>
        <w:t>项目概况</w:t>
      </w:r>
      <w:r>
        <w:tab/>
      </w:r>
      <w:r>
        <w:fldChar w:fldCharType="begin"/>
      </w:r>
      <w:r>
        <w:instrText xml:space="preserve"> PAGEREF _Toc24750 \h </w:instrText>
      </w:r>
      <w:r>
        <w:fldChar w:fldCharType="separate"/>
      </w:r>
      <w:r>
        <w:t>45</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_Toc4177 </w:instrText>
      </w:r>
      <w:r>
        <w:rPr>
          <w:rFonts w:hint="eastAsia"/>
        </w:rPr>
        <w:fldChar w:fldCharType="separate"/>
      </w:r>
      <w:r>
        <w:rPr>
          <w:rFonts w:hint="default" w:ascii="Times New Roman" w:hAnsi="Times New Roman" w:eastAsia="宋体" w:cs="Times New Roman"/>
          <w:bCs/>
          <w:i w:val="0"/>
          <w:szCs w:val="28"/>
        </w:rPr>
        <w:t xml:space="preserve">4.2 </w:t>
      </w:r>
      <w:r>
        <w:rPr>
          <w:rFonts w:hint="eastAsia" w:ascii="宋体" w:hAnsi="宋体"/>
          <w:bCs/>
          <w:szCs w:val="28"/>
        </w:rPr>
        <w:t>采购内容</w:t>
      </w:r>
      <w:r>
        <w:tab/>
      </w:r>
      <w:r>
        <w:fldChar w:fldCharType="begin"/>
      </w:r>
      <w:r>
        <w:instrText xml:space="preserve"> PAGEREF _Toc4177 \h </w:instrText>
      </w:r>
      <w:r>
        <w:fldChar w:fldCharType="separate"/>
      </w:r>
      <w:r>
        <w:t>45</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_Toc32128 </w:instrText>
      </w:r>
      <w:r>
        <w:rPr>
          <w:rFonts w:hint="eastAsia"/>
        </w:rPr>
        <w:fldChar w:fldCharType="separate"/>
      </w:r>
      <w:r>
        <w:rPr>
          <w:rFonts w:hint="default" w:ascii="Times New Roman" w:hAnsi="Times New Roman" w:eastAsia="宋体" w:cs="Times New Roman"/>
          <w:bCs/>
          <w:i w:val="0"/>
          <w:szCs w:val="28"/>
        </w:rPr>
        <w:t xml:space="preserve">4.3 </w:t>
      </w:r>
      <w:r>
        <w:rPr>
          <w:rFonts w:hint="eastAsia" w:ascii="宋体" w:hAnsi="宋体"/>
          <w:bCs/>
          <w:szCs w:val="28"/>
        </w:rPr>
        <w:t>技术参数及要求</w:t>
      </w:r>
      <w:r>
        <w:tab/>
      </w:r>
      <w:r>
        <w:fldChar w:fldCharType="begin"/>
      </w:r>
      <w:r>
        <w:instrText xml:space="preserve"> PAGEREF _Toc32128 \h </w:instrText>
      </w:r>
      <w:r>
        <w:fldChar w:fldCharType="separate"/>
      </w:r>
      <w:r>
        <w:t>45</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_Toc4577 </w:instrText>
      </w:r>
      <w:r>
        <w:rPr>
          <w:rFonts w:hint="eastAsia"/>
        </w:rPr>
        <w:fldChar w:fldCharType="separate"/>
      </w:r>
      <w:r>
        <w:rPr>
          <w:rFonts w:hint="default" w:ascii="Times New Roman" w:hAnsi="Times New Roman" w:eastAsia="宋体" w:cs="Times New Roman"/>
          <w:bCs/>
          <w:i w:val="0"/>
          <w:szCs w:val="28"/>
        </w:rPr>
        <w:t xml:space="preserve">4.4 </w:t>
      </w:r>
      <w:bookmarkStart w:id="211" w:name="_GoBack"/>
      <w:r>
        <w:rPr>
          <w:rFonts w:hint="eastAsia" w:ascii="宋体" w:hAnsi="宋体"/>
          <w:bCs/>
          <w:szCs w:val="24"/>
        </w:rPr>
        <w:t>核心</w:t>
      </w:r>
      <w:bookmarkEnd w:id="211"/>
      <w:r>
        <w:rPr>
          <w:rFonts w:hint="eastAsia" w:ascii="宋体" w:hAnsi="宋体"/>
          <w:bCs/>
          <w:szCs w:val="24"/>
        </w:rPr>
        <w:t>产品</w:t>
      </w:r>
      <w:r>
        <w:tab/>
      </w:r>
      <w:r>
        <w:fldChar w:fldCharType="begin"/>
      </w:r>
      <w:r>
        <w:instrText xml:space="preserve"> PAGEREF _Toc4577 \h </w:instrText>
      </w:r>
      <w:r>
        <w:fldChar w:fldCharType="separate"/>
      </w:r>
      <w:r>
        <w:t>49</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_Toc4197 </w:instrText>
      </w:r>
      <w:r>
        <w:rPr>
          <w:rFonts w:hint="eastAsia"/>
        </w:rPr>
        <w:fldChar w:fldCharType="separate"/>
      </w:r>
      <w:r>
        <w:rPr>
          <w:rFonts w:hint="default" w:ascii="Times New Roman" w:hAnsi="Times New Roman" w:eastAsia="宋体" w:cs="Times New Roman"/>
          <w:bCs/>
          <w:i w:val="0"/>
          <w:szCs w:val="28"/>
        </w:rPr>
        <w:t xml:space="preserve">4.5 </w:t>
      </w:r>
      <w:r>
        <w:rPr>
          <w:rFonts w:hint="eastAsia" w:ascii="宋体" w:hAnsi="宋体"/>
          <w:bCs/>
          <w:szCs w:val="24"/>
        </w:rPr>
        <w:t>商务</w:t>
      </w:r>
      <w:r>
        <w:rPr>
          <w:rFonts w:ascii="宋体" w:hAnsi="宋体"/>
          <w:bCs/>
          <w:szCs w:val="24"/>
        </w:rPr>
        <w:t>要求</w:t>
      </w:r>
      <w:r>
        <w:tab/>
      </w:r>
      <w:r>
        <w:fldChar w:fldCharType="begin"/>
      </w:r>
      <w:r>
        <w:instrText xml:space="preserve"> PAGEREF _Toc4197 \h </w:instrText>
      </w:r>
      <w:r>
        <w:fldChar w:fldCharType="separate"/>
      </w:r>
      <w:r>
        <w:t>50</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_Toc13199 </w:instrText>
      </w:r>
      <w:r>
        <w:rPr>
          <w:rFonts w:hint="eastAsia"/>
        </w:rPr>
        <w:fldChar w:fldCharType="separate"/>
      </w:r>
      <w:r>
        <w:rPr>
          <w:rFonts w:hint="default" w:ascii="Times New Roman" w:hAnsi="Times New Roman" w:eastAsia="宋体" w:cs="Times New Roman"/>
          <w:i w:val="0"/>
          <w:szCs w:val="28"/>
        </w:rPr>
        <w:t xml:space="preserve">4.6 </w:t>
      </w:r>
      <w:r>
        <w:rPr>
          <w:rFonts w:hint="eastAsia" w:ascii="宋体" w:hAnsi="宋体"/>
          <w:szCs w:val="24"/>
        </w:rPr>
        <w:t>其他要求</w:t>
      </w:r>
      <w:r>
        <w:tab/>
      </w:r>
      <w:r>
        <w:fldChar w:fldCharType="begin"/>
      </w:r>
      <w:r>
        <w:instrText xml:space="preserve"> PAGEREF _Toc13199 \h </w:instrText>
      </w:r>
      <w:r>
        <w:fldChar w:fldCharType="separate"/>
      </w:r>
      <w:r>
        <w:t>55</w:t>
      </w:r>
      <w:r>
        <w:fldChar w:fldCharType="end"/>
      </w:r>
      <w:r>
        <w:rPr>
          <w:rFonts w:hint="eastAsia"/>
        </w:rPr>
        <w:fldChar w:fldCharType="end"/>
      </w:r>
    </w:p>
    <w:p>
      <w:pPr>
        <w:pStyle w:val="30"/>
        <w:tabs>
          <w:tab w:val="right" w:leader="hyphen" w:pos="8640"/>
          <w:tab w:val="clear" w:pos="709"/>
          <w:tab w:val="clear" w:pos="8364"/>
        </w:tabs>
      </w:pPr>
      <w:r>
        <w:rPr>
          <w:rFonts w:hint="eastAsia"/>
        </w:rPr>
        <w:fldChar w:fldCharType="begin"/>
      </w:r>
      <w:r>
        <w:rPr>
          <w:rFonts w:hint="eastAsia"/>
        </w:rPr>
        <w:instrText xml:space="preserve"> HYPERLINK \l _Toc14558 </w:instrText>
      </w:r>
      <w:r>
        <w:rPr>
          <w:rFonts w:hint="eastAsia"/>
        </w:rPr>
        <w:fldChar w:fldCharType="separate"/>
      </w:r>
      <w:r>
        <w:rPr>
          <w:rFonts w:hint="default" w:ascii="Times New Roman" w:hAnsi="Times New Roman" w:eastAsia="宋体" w:cs="Times New Roman"/>
          <w:bCs/>
          <w:i w:val="0"/>
          <w:spacing w:val="-20"/>
          <w:kern w:val="44"/>
          <w:szCs w:val="32"/>
        </w:rPr>
        <w:t xml:space="preserve">第5章 </w:t>
      </w:r>
      <w:r>
        <w:rPr>
          <w:rFonts w:hint="eastAsia" w:ascii="宋体" w:hAnsi="宋体"/>
          <w:bCs/>
          <w:spacing w:val="-20"/>
          <w:kern w:val="44"/>
          <w:szCs w:val="32"/>
        </w:rPr>
        <w:t>资格性审查</w:t>
      </w:r>
      <w:r>
        <w:tab/>
      </w:r>
      <w:r>
        <w:fldChar w:fldCharType="begin"/>
      </w:r>
      <w:r>
        <w:instrText xml:space="preserve"> PAGEREF _Toc14558 \h </w:instrText>
      </w:r>
      <w:r>
        <w:fldChar w:fldCharType="separate"/>
      </w:r>
      <w:r>
        <w:t>59</w:t>
      </w:r>
      <w:r>
        <w:fldChar w:fldCharType="end"/>
      </w:r>
      <w:r>
        <w:rPr>
          <w:rFonts w:hint="eastAsia"/>
        </w:rPr>
        <w:fldChar w:fldCharType="end"/>
      </w:r>
    </w:p>
    <w:p>
      <w:pPr>
        <w:pStyle w:val="30"/>
        <w:tabs>
          <w:tab w:val="right" w:leader="hyphen" w:pos="8640"/>
          <w:tab w:val="clear" w:pos="709"/>
          <w:tab w:val="clear" w:pos="8364"/>
        </w:tabs>
      </w:pPr>
      <w:r>
        <w:rPr>
          <w:rFonts w:hint="eastAsia"/>
        </w:rPr>
        <w:fldChar w:fldCharType="begin"/>
      </w:r>
      <w:r>
        <w:rPr>
          <w:rFonts w:hint="eastAsia"/>
        </w:rPr>
        <w:instrText xml:space="preserve"> HYPERLINK \l _Toc15287 </w:instrText>
      </w:r>
      <w:r>
        <w:rPr>
          <w:rFonts w:hint="eastAsia"/>
        </w:rPr>
        <w:fldChar w:fldCharType="separate"/>
      </w:r>
      <w:r>
        <w:rPr>
          <w:rFonts w:hint="default" w:ascii="Times New Roman" w:hAnsi="Times New Roman" w:eastAsia="宋体" w:cs="Times New Roman"/>
          <w:bCs/>
          <w:i w:val="0"/>
          <w:spacing w:val="-20"/>
          <w:kern w:val="44"/>
          <w:szCs w:val="32"/>
        </w:rPr>
        <w:t xml:space="preserve">第6章 </w:t>
      </w:r>
      <w:r>
        <w:rPr>
          <w:rFonts w:hint="eastAsia" w:ascii="宋体" w:hAnsi="宋体"/>
          <w:bCs/>
          <w:spacing w:val="-20"/>
          <w:kern w:val="44"/>
          <w:szCs w:val="32"/>
        </w:rPr>
        <w:t>评标办法</w:t>
      </w:r>
      <w:r>
        <w:tab/>
      </w:r>
      <w:r>
        <w:fldChar w:fldCharType="begin"/>
      </w:r>
      <w:r>
        <w:instrText xml:space="preserve"> PAGEREF _Toc15287 \h </w:instrText>
      </w:r>
      <w:r>
        <w:fldChar w:fldCharType="separate"/>
      </w:r>
      <w:r>
        <w:t>63</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_Toc7498 </w:instrText>
      </w:r>
      <w:r>
        <w:rPr>
          <w:rFonts w:hint="eastAsia"/>
        </w:rPr>
        <w:fldChar w:fldCharType="separate"/>
      </w:r>
      <w:r>
        <w:rPr>
          <w:rFonts w:hint="default" w:ascii="Times New Roman" w:hAnsi="Times New Roman" w:eastAsia="宋体" w:cs="Times New Roman"/>
          <w:bCs/>
          <w:i w:val="0"/>
          <w:szCs w:val="28"/>
        </w:rPr>
        <w:t xml:space="preserve">6.1 </w:t>
      </w:r>
      <w:r>
        <w:rPr>
          <w:rFonts w:hint="eastAsia" w:ascii="宋体" w:hAnsi="宋体"/>
          <w:bCs/>
          <w:szCs w:val="28"/>
        </w:rPr>
        <w:t>总则</w:t>
      </w:r>
      <w:r>
        <w:tab/>
      </w:r>
      <w:r>
        <w:fldChar w:fldCharType="begin"/>
      </w:r>
      <w:r>
        <w:instrText xml:space="preserve"> PAGEREF _Toc7498 \h </w:instrText>
      </w:r>
      <w:r>
        <w:fldChar w:fldCharType="separate"/>
      </w:r>
      <w:r>
        <w:t>63</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_Toc4839 </w:instrText>
      </w:r>
      <w:r>
        <w:rPr>
          <w:rFonts w:hint="eastAsia"/>
        </w:rPr>
        <w:fldChar w:fldCharType="separate"/>
      </w:r>
      <w:r>
        <w:rPr>
          <w:rFonts w:hint="default" w:ascii="Times New Roman" w:hAnsi="Times New Roman" w:eastAsia="宋体" w:cs="Times New Roman"/>
          <w:bCs/>
          <w:i w:val="0"/>
          <w:szCs w:val="28"/>
        </w:rPr>
        <w:t xml:space="preserve">6.2 </w:t>
      </w:r>
      <w:r>
        <w:rPr>
          <w:rFonts w:hint="eastAsia" w:ascii="宋体" w:hAnsi="宋体"/>
          <w:bCs/>
          <w:szCs w:val="24"/>
        </w:rPr>
        <w:t>评标方法</w:t>
      </w:r>
      <w:r>
        <w:tab/>
      </w:r>
      <w:r>
        <w:fldChar w:fldCharType="begin"/>
      </w:r>
      <w:r>
        <w:instrText xml:space="preserve"> PAGEREF _Toc4839 \h </w:instrText>
      </w:r>
      <w:r>
        <w:fldChar w:fldCharType="separate"/>
      </w:r>
      <w:r>
        <w:t>64</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_Toc6403 </w:instrText>
      </w:r>
      <w:r>
        <w:rPr>
          <w:rFonts w:hint="eastAsia"/>
        </w:rPr>
        <w:fldChar w:fldCharType="separate"/>
      </w:r>
      <w:r>
        <w:rPr>
          <w:rFonts w:hint="default" w:ascii="Times New Roman" w:hAnsi="Times New Roman" w:eastAsia="宋体" w:cs="Times New Roman"/>
          <w:bCs/>
          <w:i w:val="0"/>
          <w:szCs w:val="28"/>
        </w:rPr>
        <w:t xml:space="preserve">6.3 </w:t>
      </w:r>
      <w:r>
        <w:rPr>
          <w:rFonts w:hint="eastAsia" w:ascii="宋体" w:hAnsi="宋体"/>
          <w:bCs/>
          <w:szCs w:val="24"/>
        </w:rPr>
        <w:t>评标程序</w:t>
      </w:r>
      <w:r>
        <w:tab/>
      </w:r>
      <w:r>
        <w:fldChar w:fldCharType="begin"/>
      </w:r>
      <w:r>
        <w:instrText xml:space="preserve"> PAGEREF _Toc6403 \h </w:instrText>
      </w:r>
      <w:r>
        <w:fldChar w:fldCharType="separate"/>
      </w:r>
      <w:r>
        <w:t>64</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_Toc28681 </w:instrText>
      </w:r>
      <w:r>
        <w:rPr>
          <w:rFonts w:hint="eastAsia"/>
        </w:rPr>
        <w:fldChar w:fldCharType="separate"/>
      </w:r>
      <w:r>
        <w:rPr>
          <w:rFonts w:hint="default" w:ascii="Times New Roman" w:hAnsi="Times New Roman" w:eastAsia="宋体" w:cs="Times New Roman"/>
          <w:bCs/>
          <w:i w:val="0"/>
          <w:szCs w:val="28"/>
        </w:rPr>
        <w:t xml:space="preserve">6.4 </w:t>
      </w:r>
      <w:r>
        <w:rPr>
          <w:rFonts w:hint="eastAsia" w:ascii="宋体" w:hAnsi="宋体"/>
          <w:bCs/>
          <w:szCs w:val="24"/>
        </w:rPr>
        <w:t>评标争议处理规则</w:t>
      </w:r>
      <w:r>
        <w:tab/>
      </w:r>
      <w:r>
        <w:fldChar w:fldCharType="begin"/>
      </w:r>
      <w:r>
        <w:instrText xml:space="preserve"> PAGEREF _Toc28681 \h </w:instrText>
      </w:r>
      <w:r>
        <w:fldChar w:fldCharType="separate"/>
      </w:r>
      <w:r>
        <w:t>71</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_Toc5206 </w:instrText>
      </w:r>
      <w:r>
        <w:rPr>
          <w:rFonts w:hint="eastAsia"/>
        </w:rPr>
        <w:fldChar w:fldCharType="separate"/>
      </w:r>
      <w:r>
        <w:rPr>
          <w:rFonts w:hint="default" w:ascii="Times New Roman" w:hAnsi="Times New Roman" w:eastAsia="宋体" w:cs="Times New Roman"/>
          <w:bCs/>
          <w:i w:val="0"/>
          <w:szCs w:val="28"/>
        </w:rPr>
        <w:t xml:space="preserve">6.5 </w:t>
      </w:r>
      <w:r>
        <w:rPr>
          <w:rFonts w:hint="eastAsia" w:ascii="宋体" w:hAnsi="宋体"/>
          <w:bCs/>
          <w:szCs w:val="24"/>
        </w:rPr>
        <w:t>评标细则及标准</w:t>
      </w:r>
      <w:r>
        <w:tab/>
      </w:r>
      <w:r>
        <w:fldChar w:fldCharType="begin"/>
      </w:r>
      <w:r>
        <w:instrText xml:space="preserve"> PAGEREF _Toc5206 \h </w:instrText>
      </w:r>
      <w:r>
        <w:fldChar w:fldCharType="separate"/>
      </w:r>
      <w:r>
        <w:t>71</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_Toc15104 </w:instrText>
      </w:r>
      <w:r>
        <w:rPr>
          <w:rFonts w:hint="eastAsia"/>
        </w:rPr>
        <w:fldChar w:fldCharType="separate"/>
      </w:r>
      <w:r>
        <w:rPr>
          <w:rFonts w:hint="default" w:ascii="Times New Roman" w:hAnsi="Times New Roman" w:eastAsia="宋体" w:cs="Times New Roman"/>
          <w:bCs/>
          <w:i w:val="0"/>
          <w:szCs w:val="28"/>
        </w:rPr>
        <w:t xml:space="preserve">6.6 </w:t>
      </w:r>
      <w:r>
        <w:rPr>
          <w:rFonts w:hint="eastAsia" w:ascii="宋体" w:hAnsi="宋体"/>
          <w:bCs/>
          <w:szCs w:val="24"/>
        </w:rPr>
        <w:t>废标</w:t>
      </w:r>
      <w:r>
        <w:tab/>
      </w:r>
      <w:r>
        <w:fldChar w:fldCharType="begin"/>
      </w:r>
      <w:r>
        <w:instrText xml:space="preserve"> PAGEREF _Toc15104 \h </w:instrText>
      </w:r>
      <w:r>
        <w:fldChar w:fldCharType="separate"/>
      </w:r>
      <w:r>
        <w:t>77</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_Toc7490 </w:instrText>
      </w:r>
      <w:r>
        <w:rPr>
          <w:rFonts w:hint="eastAsia"/>
        </w:rPr>
        <w:fldChar w:fldCharType="separate"/>
      </w:r>
      <w:r>
        <w:rPr>
          <w:rFonts w:hint="default" w:ascii="Times New Roman" w:hAnsi="Times New Roman" w:eastAsia="宋体" w:cs="Times New Roman"/>
          <w:bCs/>
          <w:i w:val="0"/>
          <w:szCs w:val="28"/>
        </w:rPr>
        <w:t xml:space="preserve">6.7 </w:t>
      </w:r>
      <w:r>
        <w:rPr>
          <w:rFonts w:hint="eastAsia" w:ascii="宋体" w:hAnsi="宋体"/>
          <w:bCs/>
          <w:szCs w:val="24"/>
        </w:rPr>
        <w:t>定标</w:t>
      </w:r>
      <w:r>
        <w:tab/>
      </w:r>
      <w:r>
        <w:fldChar w:fldCharType="begin"/>
      </w:r>
      <w:r>
        <w:instrText xml:space="preserve"> PAGEREF _Toc7490 \h </w:instrText>
      </w:r>
      <w:r>
        <w:fldChar w:fldCharType="separate"/>
      </w:r>
      <w:r>
        <w:t>77</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_Toc233 </w:instrText>
      </w:r>
      <w:r>
        <w:rPr>
          <w:rFonts w:hint="eastAsia"/>
        </w:rPr>
        <w:fldChar w:fldCharType="separate"/>
      </w:r>
      <w:r>
        <w:rPr>
          <w:rFonts w:hint="default" w:ascii="Times New Roman" w:hAnsi="Times New Roman" w:eastAsia="宋体" w:cs="Times New Roman"/>
          <w:bCs/>
          <w:i w:val="0"/>
          <w:szCs w:val="28"/>
        </w:rPr>
        <w:t xml:space="preserve">6.8 </w:t>
      </w:r>
      <w:r>
        <w:rPr>
          <w:rFonts w:hint="eastAsia" w:ascii="宋体" w:hAnsi="宋体"/>
          <w:bCs/>
          <w:szCs w:val="24"/>
        </w:rPr>
        <w:t>评审专家在政府采购活动中承担以下义务</w:t>
      </w:r>
      <w:r>
        <w:tab/>
      </w:r>
      <w:r>
        <w:fldChar w:fldCharType="begin"/>
      </w:r>
      <w:r>
        <w:instrText xml:space="preserve"> PAGEREF _Toc233 \h </w:instrText>
      </w:r>
      <w:r>
        <w:fldChar w:fldCharType="separate"/>
      </w:r>
      <w:r>
        <w:t>78</w:t>
      </w:r>
      <w:r>
        <w:fldChar w:fldCharType="end"/>
      </w:r>
      <w:r>
        <w:rPr>
          <w:rFonts w:hint="eastAsia"/>
        </w:rPr>
        <w:fldChar w:fldCharType="end"/>
      </w:r>
    </w:p>
    <w:p>
      <w:pPr>
        <w:pStyle w:val="36"/>
        <w:tabs>
          <w:tab w:val="right" w:leader="hyphen" w:pos="8640"/>
          <w:tab w:val="clear" w:pos="620"/>
          <w:tab w:val="clear" w:pos="8364"/>
        </w:tabs>
      </w:pPr>
      <w:r>
        <w:rPr>
          <w:rFonts w:hint="eastAsia"/>
        </w:rPr>
        <w:fldChar w:fldCharType="begin"/>
      </w:r>
      <w:r>
        <w:rPr>
          <w:rFonts w:hint="eastAsia"/>
        </w:rPr>
        <w:instrText xml:space="preserve"> HYPERLINK \l _Toc20258 </w:instrText>
      </w:r>
      <w:r>
        <w:rPr>
          <w:rFonts w:hint="eastAsia"/>
        </w:rPr>
        <w:fldChar w:fldCharType="separate"/>
      </w:r>
      <w:r>
        <w:rPr>
          <w:rFonts w:hint="default" w:ascii="Times New Roman" w:hAnsi="Times New Roman" w:eastAsia="宋体" w:cs="Times New Roman"/>
          <w:bCs/>
          <w:i w:val="0"/>
          <w:szCs w:val="28"/>
        </w:rPr>
        <w:t xml:space="preserve">6.9 </w:t>
      </w:r>
      <w:r>
        <w:rPr>
          <w:rFonts w:hint="eastAsia" w:ascii="宋体" w:hAnsi="宋体"/>
          <w:bCs/>
          <w:szCs w:val="24"/>
        </w:rPr>
        <w:t>评审专家在政府采购活动中应当遵守以下工作纪律</w:t>
      </w:r>
      <w:r>
        <w:tab/>
      </w:r>
      <w:r>
        <w:fldChar w:fldCharType="begin"/>
      </w:r>
      <w:r>
        <w:instrText xml:space="preserve"> PAGEREF _Toc20258 \h </w:instrText>
      </w:r>
      <w:r>
        <w:fldChar w:fldCharType="separate"/>
      </w:r>
      <w:r>
        <w:t>78</w:t>
      </w:r>
      <w:r>
        <w:fldChar w:fldCharType="end"/>
      </w:r>
      <w:r>
        <w:rPr>
          <w:rFonts w:hint="eastAsia"/>
        </w:rPr>
        <w:fldChar w:fldCharType="end"/>
      </w:r>
    </w:p>
    <w:p>
      <w:pPr>
        <w:pStyle w:val="30"/>
        <w:tabs>
          <w:tab w:val="right" w:leader="hyphen" w:pos="8640"/>
          <w:tab w:val="clear" w:pos="709"/>
          <w:tab w:val="clear" w:pos="8364"/>
        </w:tabs>
      </w:pPr>
      <w:r>
        <w:rPr>
          <w:rFonts w:hint="eastAsia"/>
        </w:rPr>
        <w:fldChar w:fldCharType="begin"/>
      </w:r>
      <w:r>
        <w:rPr>
          <w:rFonts w:hint="eastAsia"/>
        </w:rPr>
        <w:instrText xml:space="preserve"> HYPERLINK \l _Toc28571 </w:instrText>
      </w:r>
      <w:r>
        <w:rPr>
          <w:rFonts w:hint="eastAsia"/>
        </w:rPr>
        <w:fldChar w:fldCharType="separate"/>
      </w:r>
      <w:r>
        <w:rPr>
          <w:rFonts w:hint="default" w:ascii="宋体" w:hAnsi="宋体"/>
          <w:bCs/>
          <w:spacing w:val="-20"/>
          <w:kern w:val="44"/>
          <w:szCs w:val="32"/>
        </w:rPr>
        <w:t xml:space="preserve">第7章 </w:t>
      </w:r>
      <w:r>
        <w:rPr>
          <w:rFonts w:hint="eastAsia" w:ascii="宋体" w:hAnsi="宋体"/>
          <w:bCs/>
          <w:spacing w:val="-20"/>
          <w:kern w:val="44"/>
          <w:szCs w:val="32"/>
        </w:rPr>
        <w:t>拟签订合同文本</w:t>
      </w:r>
      <w:r>
        <w:tab/>
      </w:r>
      <w:r>
        <w:fldChar w:fldCharType="begin"/>
      </w:r>
      <w:r>
        <w:instrText xml:space="preserve"> PAGEREF _Toc28571 \h </w:instrText>
      </w:r>
      <w:r>
        <w:fldChar w:fldCharType="separate"/>
      </w:r>
      <w:r>
        <w:t>79</w:t>
      </w:r>
      <w:r>
        <w:fldChar w:fldCharType="end"/>
      </w:r>
      <w:r>
        <w:rPr>
          <w:rFonts w:hint="eastAsia"/>
        </w:rPr>
        <w:fldChar w:fldCharType="end"/>
      </w:r>
    </w:p>
    <w:p>
      <w:pPr>
        <w:keepNext/>
        <w:keepLines/>
        <w:numPr>
          <w:ilvl w:val="0"/>
          <w:numId w:val="3"/>
        </w:numPr>
        <w:spacing w:before="340" w:after="330" w:line="400" w:lineRule="exact"/>
        <w:ind w:left="567"/>
        <w:jc w:val="center"/>
        <w:outlineLvl w:val="0"/>
        <w:rPr>
          <w:rFonts w:ascii="宋体" w:hAnsi="宋体"/>
          <w:b/>
          <w:bCs/>
          <w:spacing w:val="-20"/>
          <w:kern w:val="44"/>
          <w:sz w:val="32"/>
          <w:szCs w:val="32"/>
        </w:rPr>
      </w:pPr>
      <w:r>
        <w:rPr>
          <w:rFonts w:hint="eastAsia"/>
        </w:rPr>
        <w:fldChar w:fldCharType="end"/>
      </w:r>
      <w:bookmarkStart w:id="4" w:name="_Toc181610856"/>
      <w:bookmarkStart w:id="5" w:name="_Toc181591102"/>
      <w:bookmarkStart w:id="6" w:name="_Toc21997"/>
      <w:bookmarkStart w:id="7" w:name="_Toc204575871"/>
      <w:r>
        <w:rPr>
          <w:rFonts w:hint="eastAsia" w:ascii="宋体" w:hAnsi="宋体"/>
          <w:b/>
          <w:bCs/>
          <w:spacing w:val="-20"/>
          <w:kern w:val="44"/>
          <w:sz w:val="32"/>
          <w:szCs w:val="32"/>
        </w:rPr>
        <w:t>投标邀请</w:t>
      </w:r>
      <w:bookmarkEnd w:id="4"/>
      <w:bookmarkEnd w:id="5"/>
      <w:bookmarkEnd w:id="6"/>
      <w:bookmarkEnd w:id="7"/>
    </w:p>
    <w:p>
      <w:pPr>
        <w:spacing w:line="360" w:lineRule="auto"/>
        <w:ind w:firstLine="484" w:firstLineChars="202"/>
        <w:rPr>
          <w:rFonts w:ascii="宋体" w:hAnsi="宋体"/>
          <w:sz w:val="24"/>
          <w:szCs w:val="24"/>
        </w:rPr>
      </w:pPr>
      <w:r>
        <w:rPr>
          <w:rFonts w:hint="eastAsia" w:ascii="宋体" w:hAnsi="宋体"/>
          <w:sz w:val="24"/>
          <w:szCs w:val="24"/>
          <w:lang w:eastAsia="zh-CN"/>
        </w:rPr>
        <w:t>成都市武侯区政府采购中心</w:t>
      </w:r>
      <w:r>
        <w:rPr>
          <w:rFonts w:hint="eastAsia" w:ascii="宋体" w:hAnsi="宋体"/>
          <w:sz w:val="24"/>
          <w:szCs w:val="24"/>
        </w:rPr>
        <w:t>(以下简称“</w:t>
      </w:r>
      <w:r>
        <w:rPr>
          <w:rFonts w:hint="eastAsia" w:ascii="宋体" w:hAnsi="宋体"/>
          <w:sz w:val="24"/>
          <w:szCs w:val="24"/>
          <w:lang w:eastAsia="zh-CN"/>
        </w:rPr>
        <w:t>区政府采购中心</w:t>
      </w:r>
      <w:r>
        <w:rPr>
          <w:rFonts w:hint="eastAsia" w:ascii="宋体" w:hAnsi="宋体"/>
          <w:sz w:val="24"/>
          <w:szCs w:val="24"/>
        </w:rPr>
        <w:t>”)受</w:t>
      </w:r>
      <w:r>
        <w:rPr>
          <w:rFonts w:hint="eastAsia" w:ascii="宋体" w:hAnsi="宋体"/>
          <w:b/>
          <w:bCs/>
          <w:sz w:val="24"/>
          <w:szCs w:val="24"/>
          <w:u w:val="single"/>
        </w:rPr>
        <w:t>成都市武侯区机关事务中心</w:t>
      </w:r>
      <w:r>
        <w:rPr>
          <w:rFonts w:hint="eastAsia" w:ascii="宋体" w:hAnsi="宋体"/>
          <w:sz w:val="24"/>
          <w:szCs w:val="24"/>
        </w:rPr>
        <w:t>委托，拟对</w:t>
      </w:r>
      <w:r>
        <w:rPr>
          <w:rFonts w:hint="eastAsia" w:ascii="宋体" w:hAnsi="宋体"/>
          <w:b/>
          <w:bCs/>
          <w:sz w:val="24"/>
          <w:szCs w:val="24"/>
          <w:u w:val="single"/>
        </w:rPr>
        <w:t>成都市武侯区机关事务中心农副食品，动、植物油制品（第一办公区食材）采购项目</w:t>
      </w:r>
      <w:r>
        <w:rPr>
          <w:rFonts w:hint="eastAsia" w:ascii="宋体" w:hAnsi="宋体"/>
          <w:sz w:val="24"/>
          <w:szCs w:val="24"/>
        </w:rPr>
        <w:t>进行国内公开招标，兹邀请符合本次招标要求的供应商参加投标。</w:t>
      </w:r>
    </w:p>
    <w:p>
      <w:pPr>
        <w:numPr>
          <w:ilvl w:val="0"/>
          <w:numId w:val="4"/>
        </w:numPr>
        <w:spacing w:line="360" w:lineRule="auto"/>
        <w:ind w:left="0" w:firstLine="567"/>
        <w:rPr>
          <w:rFonts w:ascii="宋体" w:hAnsi="宋体"/>
          <w:b/>
          <w:sz w:val="24"/>
          <w:szCs w:val="24"/>
        </w:rPr>
      </w:pPr>
      <w:r>
        <w:rPr>
          <w:rFonts w:hint="eastAsia" w:ascii="宋体" w:hAnsi="宋体"/>
          <w:b/>
          <w:sz w:val="24"/>
          <w:szCs w:val="24"/>
        </w:rPr>
        <w:t>项目编号：</w:t>
      </w:r>
      <w:r>
        <w:rPr>
          <w:rFonts w:hint="eastAsia" w:ascii="宋体" w:hAnsi="宋体"/>
          <w:b/>
          <w:sz w:val="24"/>
          <w:szCs w:val="24"/>
          <w:lang w:eastAsia="zh-CN"/>
        </w:rPr>
        <w:t>武侯政采（2022）A0006号</w:t>
      </w:r>
    </w:p>
    <w:p>
      <w:pPr>
        <w:spacing w:line="360" w:lineRule="auto"/>
        <w:ind w:left="567" w:firstLine="241" w:firstLineChars="100"/>
        <w:rPr>
          <w:rFonts w:ascii="宋体" w:hAnsi="宋体"/>
          <w:b/>
          <w:sz w:val="24"/>
          <w:szCs w:val="24"/>
        </w:rPr>
      </w:pPr>
      <w:r>
        <w:rPr>
          <w:rFonts w:hint="eastAsia" w:ascii="宋体" w:hAnsi="宋体"/>
          <w:b/>
          <w:sz w:val="24"/>
          <w:szCs w:val="24"/>
        </w:rPr>
        <w:t>（采购项目编号： 510107202200015 ）</w:t>
      </w:r>
      <w:r>
        <w:rPr>
          <w:rFonts w:ascii="宋体" w:hAnsi="宋体"/>
          <w:b/>
          <w:sz w:val="24"/>
          <w:szCs w:val="24"/>
        </w:rPr>
        <w:t xml:space="preserve"> </w:t>
      </w:r>
    </w:p>
    <w:p>
      <w:pPr>
        <w:numPr>
          <w:ilvl w:val="0"/>
          <w:numId w:val="4"/>
        </w:numPr>
        <w:spacing w:line="360" w:lineRule="auto"/>
        <w:ind w:left="2208" w:leftChars="0" w:hanging="1640" w:firstLineChars="0"/>
        <w:rPr>
          <w:rFonts w:ascii="宋体" w:hAnsi="宋体"/>
          <w:b/>
          <w:sz w:val="24"/>
          <w:szCs w:val="24"/>
        </w:rPr>
      </w:pPr>
      <w:r>
        <w:rPr>
          <w:rFonts w:hint="eastAsia" w:ascii="宋体" w:hAnsi="宋体"/>
          <w:b/>
          <w:sz w:val="24"/>
          <w:szCs w:val="24"/>
        </w:rPr>
        <w:t>项目名称：成都市武侯区机关事务中心农副食品，动、植物油制品（第一办公区食材）采购项目</w:t>
      </w:r>
    </w:p>
    <w:p>
      <w:pPr>
        <w:numPr>
          <w:ilvl w:val="0"/>
          <w:numId w:val="4"/>
        </w:numPr>
        <w:spacing w:line="360" w:lineRule="auto"/>
        <w:ind w:left="0" w:firstLine="567"/>
        <w:rPr>
          <w:rFonts w:ascii="宋体" w:hAnsi="宋体"/>
          <w:b/>
          <w:sz w:val="24"/>
          <w:szCs w:val="24"/>
        </w:rPr>
      </w:pPr>
      <w:r>
        <w:rPr>
          <w:rFonts w:hint="eastAsia" w:ascii="宋体" w:hAnsi="宋体"/>
          <w:b/>
          <w:sz w:val="24"/>
          <w:szCs w:val="24"/>
        </w:rPr>
        <w:t>资金来源、预算金额及最高限价：</w:t>
      </w:r>
      <w:r>
        <w:rPr>
          <w:rFonts w:hint="eastAsia" w:ascii="宋体" w:hAnsi="宋体"/>
          <w:sz w:val="24"/>
          <w:szCs w:val="24"/>
        </w:rPr>
        <w:t>财政性资金，政府采购实施计划备案表号：</w:t>
      </w:r>
      <w:r>
        <w:rPr>
          <w:rFonts w:hint="eastAsia" w:ascii="宋体" w:hAnsi="宋体"/>
          <w:sz w:val="24"/>
          <w:szCs w:val="24"/>
          <w:lang w:val="en-US" w:eastAsia="zh-CN"/>
        </w:rPr>
        <w:t>51010722210200000077</w:t>
      </w:r>
      <w:r>
        <w:rPr>
          <w:rFonts w:hint="eastAsia" w:ascii="宋体" w:hAnsi="宋体"/>
          <w:sz w:val="24"/>
          <w:szCs w:val="24"/>
        </w:rPr>
        <w:t>号；预算品目：</w:t>
      </w:r>
      <w:r>
        <w:rPr>
          <w:rFonts w:hint="eastAsia" w:ascii="宋体" w:hAnsi="宋体"/>
          <w:sz w:val="24"/>
          <w:szCs w:val="24"/>
          <w:lang w:val="en-US" w:eastAsia="zh-CN"/>
        </w:rPr>
        <w:t>A1501 农副食品，动、植物油制品</w:t>
      </w:r>
      <w:r>
        <w:rPr>
          <w:rFonts w:hint="eastAsia" w:ascii="宋体" w:hAnsi="宋体"/>
          <w:sz w:val="24"/>
          <w:szCs w:val="24"/>
        </w:rPr>
        <w:t>；预算金额：</w:t>
      </w:r>
      <w:r>
        <w:rPr>
          <w:rFonts w:hint="eastAsia" w:ascii="宋体" w:hAnsi="宋体"/>
          <w:sz w:val="24"/>
          <w:szCs w:val="24"/>
          <w:lang w:val="en-US" w:eastAsia="zh-CN"/>
        </w:rPr>
        <w:t>823万</w:t>
      </w:r>
      <w:r>
        <w:rPr>
          <w:rFonts w:hint="eastAsia" w:ascii="宋体" w:hAnsi="宋体"/>
          <w:sz w:val="24"/>
          <w:szCs w:val="24"/>
        </w:rPr>
        <w:t>元；。</w:t>
      </w:r>
    </w:p>
    <w:p>
      <w:pPr>
        <w:numPr>
          <w:ilvl w:val="0"/>
          <w:numId w:val="4"/>
        </w:numPr>
        <w:spacing w:line="360" w:lineRule="auto"/>
        <w:ind w:left="0" w:firstLine="482" w:firstLineChars="200"/>
        <w:rPr>
          <w:rFonts w:ascii="宋体" w:hAnsi="宋体"/>
          <w:sz w:val="24"/>
          <w:szCs w:val="24"/>
        </w:rPr>
      </w:pPr>
      <w:r>
        <w:rPr>
          <w:rFonts w:hint="eastAsia" w:ascii="宋体" w:hAnsi="宋体"/>
          <w:b/>
          <w:sz w:val="24"/>
          <w:szCs w:val="24"/>
        </w:rPr>
        <w:t>招标项目简介</w:t>
      </w:r>
    </w:p>
    <w:tbl>
      <w:tblPr>
        <w:tblStyle w:val="41"/>
        <w:tblW w:w="81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4"/>
        <w:gridCol w:w="2034"/>
        <w:gridCol w:w="1092"/>
        <w:gridCol w:w="1224"/>
        <w:gridCol w:w="30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trPr>
        <w:tc>
          <w:tcPr>
            <w:tcW w:w="774" w:type="dxa"/>
            <w:noWrap w:val="0"/>
            <w:vAlign w:val="center"/>
          </w:tcPr>
          <w:p>
            <w:pPr>
              <w:pStyle w:val="80"/>
              <w:ind w:firstLine="0" w:firstLineChars="0"/>
              <w:jc w:val="center"/>
              <w:rPr>
                <w:b/>
                <w:sz w:val="20"/>
                <w:szCs w:val="20"/>
              </w:rPr>
            </w:pPr>
            <w:r>
              <w:rPr>
                <w:rFonts w:hint="eastAsia"/>
                <w:b/>
                <w:sz w:val="20"/>
                <w:szCs w:val="20"/>
              </w:rPr>
              <w:t>序号</w:t>
            </w:r>
          </w:p>
        </w:tc>
        <w:tc>
          <w:tcPr>
            <w:tcW w:w="2034" w:type="dxa"/>
            <w:noWrap w:val="0"/>
            <w:vAlign w:val="center"/>
          </w:tcPr>
          <w:p>
            <w:pPr>
              <w:pStyle w:val="80"/>
              <w:ind w:firstLine="0" w:firstLineChars="0"/>
              <w:jc w:val="center"/>
              <w:rPr>
                <w:b/>
                <w:sz w:val="20"/>
                <w:szCs w:val="20"/>
              </w:rPr>
            </w:pPr>
            <w:r>
              <w:rPr>
                <w:rFonts w:hint="eastAsia"/>
                <w:b/>
                <w:sz w:val="20"/>
                <w:szCs w:val="20"/>
              </w:rPr>
              <w:t>货物名称（标的名称）</w:t>
            </w:r>
          </w:p>
        </w:tc>
        <w:tc>
          <w:tcPr>
            <w:tcW w:w="1092" w:type="dxa"/>
            <w:noWrap w:val="0"/>
            <w:vAlign w:val="center"/>
          </w:tcPr>
          <w:p>
            <w:pPr>
              <w:pStyle w:val="80"/>
              <w:ind w:firstLine="0" w:firstLineChars="0"/>
              <w:jc w:val="center"/>
              <w:rPr>
                <w:b/>
                <w:sz w:val="20"/>
                <w:szCs w:val="20"/>
              </w:rPr>
            </w:pPr>
            <w:r>
              <w:rPr>
                <w:rFonts w:hint="eastAsia"/>
                <w:b/>
                <w:sz w:val="20"/>
                <w:szCs w:val="20"/>
              </w:rPr>
              <w:t>数量</w:t>
            </w:r>
          </w:p>
        </w:tc>
        <w:tc>
          <w:tcPr>
            <w:tcW w:w="1224" w:type="dxa"/>
            <w:noWrap w:val="0"/>
            <w:vAlign w:val="center"/>
          </w:tcPr>
          <w:p>
            <w:pPr>
              <w:pStyle w:val="80"/>
              <w:ind w:firstLine="0" w:firstLineChars="0"/>
              <w:jc w:val="center"/>
              <w:rPr>
                <w:b/>
                <w:sz w:val="20"/>
                <w:szCs w:val="20"/>
              </w:rPr>
            </w:pPr>
            <w:r>
              <w:rPr>
                <w:rFonts w:hint="eastAsia"/>
                <w:b/>
                <w:sz w:val="20"/>
                <w:szCs w:val="20"/>
              </w:rPr>
              <w:t>数量单位</w:t>
            </w:r>
          </w:p>
        </w:tc>
        <w:tc>
          <w:tcPr>
            <w:tcW w:w="3064" w:type="dxa"/>
            <w:noWrap w:val="0"/>
            <w:vAlign w:val="center"/>
          </w:tcPr>
          <w:p>
            <w:pPr>
              <w:pStyle w:val="80"/>
              <w:ind w:firstLine="0" w:firstLineChars="0"/>
              <w:jc w:val="center"/>
              <w:rPr>
                <w:b/>
                <w:sz w:val="20"/>
                <w:szCs w:val="20"/>
              </w:rPr>
            </w:pPr>
            <w:r>
              <w:rPr>
                <w:rFonts w:hint="eastAsia"/>
                <w:b/>
                <w:sz w:val="20"/>
                <w:szCs w:val="20"/>
              </w:rPr>
              <w:t>所属行业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蔬菜类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水果类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肉类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禽类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蛋类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水产类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米</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面</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油</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奶制品</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干货</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调料</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食盐</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bl>
    <w:p>
      <w:pPr>
        <w:spacing w:line="360" w:lineRule="auto"/>
        <w:ind w:firstLine="480" w:firstLineChars="200"/>
        <w:rPr>
          <w:rFonts w:ascii="宋体" w:hAnsi="宋体"/>
          <w:sz w:val="24"/>
          <w:szCs w:val="24"/>
        </w:rPr>
      </w:pPr>
      <w:r>
        <w:rPr>
          <w:rFonts w:hint="eastAsia" w:ascii="宋体" w:hAnsi="宋体"/>
          <w:sz w:val="24"/>
          <w:szCs w:val="24"/>
        </w:rPr>
        <w:t>详细的技术、服务、商务及其他要求见招标文件第4章。</w:t>
      </w:r>
    </w:p>
    <w:p>
      <w:pPr>
        <w:numPr>
          <w:ilvl w:val="0"/>
          <w:numId w:val="4"/>
        </w:numPr>
        <w:spacing w:line="360" w:lineRule="auto"/>
        <w:ind w:left="0" w:firstLine="567"/>
        <w:rPr>
          <w:rFonts w:ascii="宋体" w:hAnsi="宋体"/>
          <w:b/>
          <w:sz w:val="24"/>
          <w:szCs w:val="24"/>
        </w:rPr>
      </w:pPr>
      <w:r>
        <w:rPr>
          <w:rFonts w:hint="eastAsia" w:ascii="宋体" w:hAnsi="宋体"/>
          <w:b/>
          <w:sz w:val="24"/>
          <w:szCs w:val="24"/>
        </w:rPr>
        <w:t>供应商参加本次政府采购活动应具备的条件</w:t>
      </w:r>
    </w:p>
    <w:p>
      <w:pPr>
        <w:numPr>
          <w:ilvl w:val="1"/>
          <w:numId w:val="6"/>
        </w:numPr>
        <w:tabs>
          <w:tab w:val="left" w:pos="1260"/>
        </w:tabs>
        <w:spacing w:line="360" w:lineRule="auto"/>
        <w:ind w:left="0" w:firstLine="630"/>
        <w:rPr>
          <w:rFonts w:ascii="宋体" w:hAnsi="宋体"/>
          <w:sz w:val="24"/>
          <w:szCs w:val="24"/>
        </w:rPr>
      </w:pPr>
      <w:r>
        <w:rPr>
          <w:rFonts w:hint="eastAsia" w:ascii="宋体" w:hAnsi="宋体"/>
          <w:sz w:val="24"/>
          <w:szCs w:val="24"/>
        </w:rPr>
        <w:t>符合《政府采购法》第二十二条第一款规定的条件；</w:t>
      </w:r>
    </w:p>
    <w:p>
      <w:pPr>
        <w:numPr>
          <w:ilvl w:val="1"/>
          <w:numId w:val="6"/>
        </w:numPr>
        <w:tabs>
          <w:tab w:val="left" w:pos="1260"/>
        </w:tabs>
        <w:spacing w:line="360" w:lineRule="auto"/>
        <w:ind w:left="0" w:firstLine="630"/>
        <w:rPr>
          <w:rFonts w:ascii="宋体" w:hAnsi="宋体"/>
          <w:sz w:val="24"/>
          <w:szCs w:val="24"/>
        </w:rPr>
      </w:pPr>
      <w:r>
        <w:rPr>
          <w:rFonts w:hint="eastAsia" w:ascii="宋体" w:hAnsi="宋体"/>
          <w:sz w:val="24"/>
          <w:szCs w:val="24"/>
        </w:rPr>
        <w:t>未被列入失信被执行人、重大税收违法案件当事人名单、政府采购严重违法失信行为记录名单；</w:t>
      </w:r>
    </w:p>
    <w:p>
      <w:pPr>
        <w:numPr>
          <w:ilvl w:val="1"/>
          <w:numId w:val="6"/>
        </w:numPr>
        <w:tabs>
          <w:tab w:val="left" w:pos="1260"/>
        </w:tabs>
        <w:spacing w:line="360" w:lineRule="auto"/>
        <w:ind w:left="0" w:firstLine="630"/>
        <w:rPr>
          <w:rFonts w:ascii="宋体" w:hAnsi="宋体"/>
          <w:sz w:val="24"/>
          <w:szCs w:val="24"/>
        </w:rPr>
      </w:pPr>
      <w:r>
        <w:rPr>
          <w:rFonts w:hint="eastAsia" w:ascii="宋体" w:hAnsi="宋体"/>
          <w:sz w:val="24"/>
          <w:szCs w:val="24"/>
        </w:rPr>
        <w:t>在行贿犯罪信息查询期限内，投标人及其现任法定代表人、主要负责人没有行贿犯罪记录；</w:t>
      </w:r>
    </w:p>
    <w:p>
      <w:pPr>
        <w:numPr>
          <w:ilvl w:val="1"/>
          <w:numId w:val="6"/>
        </w:numPr>
        <w:tabs>
          <w:tab w:val="left" w:pos="1260"/>
        </w:tabs>
        <w:spacing w:line="360" w:lineRule="auto"/>
        <w:ind w:left="0" w:firstLine="630"/>
        <w:rPr>
          <w:rFonts w:ascii="宋体" w:hAnsi="宋体"/>
          <w:sz w:val="24"/>
          <w:szCs w:val="24"/>
        </w:rPr>
      </w:pPr>
      <w:r>
        <w:rPr>
          <w:rFonts w:ascii="宋体" w:hAnsi="宋体"/>
          <w:sz w:val="24"/>
          <w:szCs w:val="24"/>
        </w:rPr>
        <w:t>未处于被行政部门禁止参与政府采购活动的期限内</w:t>
      </w:r>
      <w:r>
        <w:rPr>
          <w:rFonts w:hint="eastAsia" w:ascii="宋体" w:hAnsi="宋体"/>
          <w:sz w:val="24"/>
          <w:szCs w:val="24"/>
        </w:rPr>
        <w:t>；</w:t>
      </w:r>
    </w:p>
    <w:p>
      <w:pPr>
        <w:numPr>
          <w:ilvl w:val="1"/>
          <w:numId w:val="6"/>
        </w:numPr>
        <w:spacing w:line="360" w:lineRule="auto"/>
        <w:ind w:left="0" w:firstLine="567"/>
        <w:rPr>
          <w:rFonts w:ascii="宋体" w:hAnsi="宋体"/>
          <w:sz w:val="24"/>
          <w:szCs w:val="24"/>
        </w:rPr>
      </w:pPr>
      <w:r>
        <w:rPr>
          <w:rFonts w:hint="eastAsia" w:ascii="宋体" w:hAnsi="宋体"/>
          <w:sz w:val="24"/>
          <w:szCs w:val="24"/>
        </w:rPr>
        <w:t>不属于国家相关法律法规规定的其他禁止参加投标的情形；</w:t>
      </w:r>
    </w:p>
    <w:p>
      <w:pPr>
        <w:numPr>
          <w:ilvl w:val="1"/>
          <w:numId w:val="6"/>
        </w:numPr>
        <w:spacing w:line="360" w:lineRule="auto"/>
        <w:ind w:left="0" w:firstLine="567"/>
        <w:rPr>
          <w:rFonts w:hint="eastAsia" w:ascii="宋体" w:hAnsi="宋体"/>
          <w:sz w:val="24"/>
          <w:szCs w:val="24"/>
        </w:rPr>
      </w:pPr>
      <w:r>
        <w:rPr>
          <w:rFonts w:hint="eastAsia" w:ascii="宋体" w:hAnsi="宋体"/>
          <w:sz w:val="24"/>
          <w:szCs w:val="24"/>
        </w:rPr>
        <w:t>在中华人民共和国境内依法登记注册，并有效存续具有独立承担民事责任能力的</w:t>
      </w:r>
      <w:r>
        <w:rPr>
          <w:rFonts w:hint="eastAsia" w:ascii="宋体" w:hAnsi="宋体"/>
          <w:sz w:val="24"/>
          <w:szCs w:val="24"/>
          <w:lang w:eastAsia="zh-CN"/>
        </w:rPr>
        <w:t>供应商</w:t>
      </w:r>
      <w:r>
        <w:rPr>
          <w:rFonts w:hint="eastAsia" w:ascii="宋体" w:hAnsi="宋体"/>
          <w:sz w:val="24"/>
          <w:szCs w:val="24"/>
        </w:rPr>
        <w:t>。</w:t>
      </w:r>
    </w:p>
    <w:p>
      <w:pPr>
        <w:numPr>
          <w:ilvl w:val="1"/>
          <w:numId w:val="6"/>
        </w:numPr>
        <w:tabs>
          <w:tab w:val="left" w:pos="1260"/>
        </w:tabs>
        <w:spacing w:line="360" w:lineRule="auto"/>
        <w:ind w:left="0" w:firstLine="630"/>
        <w:rPr>
          <w:rFonts w:ascii="宋体" w:hAnsi="宋体"/>
          <w:sz w:val="24"/>
          <w:szCs w:val="24"/>
        </w:rPr>
      </w:pPr>
      <w:r>
        <w:rPr>
          <w:rFonts w:hint="eastAsia" w:ascii="宋体" w:hAnsi="宋体"/>
          <w:sz w:val="24"/>
          <w:szCs w:val="24"/>
        </w:rPr>
        <w:t>本项目</w:t>
      </w:r>
      <w:r>
        <w:rPr>
          <w:rFonts w:hint="eastAsia" w:ascii="宋体" w:hAnsi="宋体"/>
          <w:b/>
          <w:sz w:val="24"/>
          <w:szCs w:val="24"/>
        </w:rPr>
        <w:t>不接受</w:t>
      </w:r>
      <w:r>
        <w:rPr>
          <w:rFonts w:hint="eastAsia" w:ascii="宋体" w:hAnsi="宋体"/>
          <w:sz w:val="24"/>
          <w:szCs w:val="24"/>
        </w:rPr>
        <w:t>联合体投标。</w:t>
      </w:r>
    </w:p>
    <w:p>
      <w:pPr>
        <w:numPr>
          <w:ilvl w:val="1"/>
          <w:numId w:val="6"/>
        </w:numPr>
        <w:tabs>
          <w:tab w:val="left" w:pos="1260"/>
        </w:tabs>
        <w:spacing w:line="360" w:lineRule="auto"/>
        <w:ind w:left="0" w:firstLine="630"/>
      </w:pPr>
      <w:r>
        <w:rPr>
          <w:rFonts w:hint="eastAsia"/>
          <w:sz w:val="24"/>
          <w:szCs w:val="24"/>
        </w:rPr>
        <w:t>投标供应商需具有在有效期内的</w:t>
      </w:r>
      <w:r>
        <w:rPr>
          <w:rFonts w:hint="eastAsia"/>
          <w:b/>
          <w:bCs/>
          <w:sz w:val="24"/>
          <w:szCs w:val="24"/>
          <w:highlight w:val="yellow"/>
        </w:rPr>
        <w:t>食品生产许可证或食品经营许可证</w:t>
      </w:r>
      <w:r>
        <w:rPr>
          <w:rFonts w:hint="eastAsia"/>
          <w:b/>
          <w:bCs/>
          <w:sz w:val="24"/>
          <w:szCs w:val="24"/>
          <w:highlight w:val="yellow"/>
          <w:lang w:eastAsia="zh-CN"/>
        </w:rPr>
        <w:t>。</w:t>
      </w:r>
    </w:p>
    <w:p>
      <w:pPr>
        <w:numPr>
          <w:ilvl w:val="0"/>
          <w:numId w:val="4"/>
        </w:numPr>
        <w:spacing w:line="360" w:lineRule="auto"/>
        <w:ind w:left="0" w:firstLine="567"/>
        <w:rPr>
          <w:rFonts w:ascii="宋体" w:hAnsi="宋体"/>
          <w:i/>
          <w:sz w:val="24"/>
          <w:szCs w:val="21"/>
        </w:rPr>
      </w:pPr>
      <w:r>
        <w:rPr>
          <w:rFonts w:hint="eastAsia" w:ascii="宋体" w:hAnsi="宋体"/>
          <w:b/>
          <w:sz w:val="24"/>
          <w:szCs w:val="24"/>
        </w:rPr>
        <w:t>招标文件获取时间</w:t>
      </w:r>
    </w:p>
    <w:p>
      <w:pPr>
        <w:numPr>
          <w:ilvl w:val="0"/>
          <w:numId w:val="7"/>
        </w:numPr>
        <w:spacing w:line="360" w:lineRule="auto"/>
        <w:ind w:left="0" w:firstLine="567"/>
        <w:rPr>
          <w:rFonts w:ascii="宋体" w:hAnsi="宋体"/>
          <w:sz w:val="24"/>
          <w:szCs w:val="21"/>
        </w:rPr>
      </w:pPr>
      <w:r>
        <w:rPr>
          <w:rFonts w:hint="eastAsia" w:ascii="宋体" w:hAnsi="宋体"/>
          <w:sz w:val="24"/>
          <w:szCs w:val="24"/>
        </w:rPr>
        <w:t>招标文件获取时间：202</w:t>
      </w:r>
      <w:r>
        <w:rPr>
          <w:rFonts w:hint="eastAsia" w:ascii="宋体" w:hAnsi="宋体"/>
          <w:sz w:val="24"/>
          <w:szCs w:val="24"/>
          <w:lang w:val="en-US" w:eastAsia="zh-CN"/>
        </w:rPr>
        <w:t>2</w:t>
      </w:r>
      <w:r>
        <w:rPr>
          <w:rFonts w:hint="eastAsia" w:ascii="宋体" w:hAnsi="宋体"/>
          <w:sz w:val="24"/>
          <w:szCs w:val="24"/>
        </w:rPr>
        <w:t>年</w:t>
      </w:r>
      <w:r>
        <w:rPr>
          <w:rFonts w:hint="eastAsia" w:ascii="宋体" w:hAnsi="宋体"/>
          <w:sz w:val="24"/>
          <w:szCs w:val="24"/>
          <w:lang w:val="en-US" w:eastAsia="zh-CN"/>
        </w:rPr>
        <w:t>2</w:t>
      </w:r>
      <w:r>
        <w:rPr>
          <w:rFonts w:hint="eastAsia" w:ascii="宋体" w:hAnsi="宋体"/>
          <w:sz w:val="24"/>
          <w:szCs w:val="24"/>
        </w:rPr>
        <w:t>月</w:t>
      </w:r>
      <w:r>
        <w:rPr>
          <w:rFonts w:hint="eastAsia" w:ascii="宋体" w:hAnsi="宋体"/>
          <w:sz w:val="24"/>
          <w:szCs w:val="24"/>
          <w:lang w:val="en-US" w:eastAsia="zh-CN"/>
        </w:rPr>
        <w:t>24</w:t>
      </w:r>
      <w:r>
        <w:rPr>
          <w:rFonts w:hint="eastAsia" w:ascii="宋体" w:hAnsi="宋体"/>
          <w:sz w:val="24"/>
          <w:szCs w:val="24"/>
        </w:rPr>
        <w:t>日至</w:t>
      </w:r>
      <w:r>
        <w:rPr>
          <w:rFonts w:hint="eastAsia" w:ascii="宋体" w:hAnsi="宋体"/>
          <w:sz w:val="24"/>
          <w:szCs w:val="24"/>
          <w:lang w:val="en-US" w:eastAsia="zh-CN"/>
        </w:rPr>
        <w:t>3</w:t>
      </w:r>
      <w:r>
        <w:rPr>
          <w:rFonts w:hint="eastAsia" w:ascii="宋体" w:hAnsi="宋体"/>
          <w:sz w:val="24"/>
          <w:szCs w:val="24"/>
        </w:rPr>
        <w:t>月</w:t>
      </w:r>
      <w:r>
        <w:rPr>
          <w:rFonts w:hint="eastAsia" w:ascii="宋体" w:hAnsi="宋体"/>
          <w:sz w:val="24"/>
          <w:szCs w:val="24"/>
          <w:lang w:val="en-US" w:eastAsia="zh-CN"/>
        </w:rPr>
        <w:t>3</w:t>
      </w:r>
      <w:r>
        <w:rPr>
          <w:rFonts w:hint="eastAsia" w:ascii="宋体" w:hAnsi="宋体"/>
          <w:sz w:val="24"/>
          <w:szCs w:val="24"/>
        </w:rPr>
        <w:t>日。</w:t>
      </w:r>
    </w:p>
    <w:p>
      <w:pPr>
        <w:numPr>
          <w:ilvl w:val="0"/>
          <w:numId w:val="7"/>
        </w:numPr>
        <w:spacing w:line="360" w:lineRule="auto"/>
        <w:ind w:left="0" w:firstLine="567"/>
        <w:rPr>
          <w:rFonts w:ascii="宋体" w:hAnsi="宋体"/>
          <w:sz w:val="24"/>
          <w:szCs w:val="24"/>
        </w:rPr>
      </w:pPr>
      <w:r>
        <w:rPr>
          <w:rFonts w:hint="eastAsia" w:ascii="宋体" w:hAnsi="宋体"/>
          <w:sz w:val="24"/>
          <w:szCs w:val="24"/>
        </w:rPr>
        <w:t>公告期限：202</w:t>
      </w:r>
      <w:r>
        <w:rPr>
          <w:rFonts w:hint="eastAsia" w:ascii="宋体" w:hAnsi="宋体"/>
          <w:sz w:val="24"/>
          <w:szCs w:val="24"/>
          <w:lang w:val="en-US" w:eastAsia="zh-CN"/>
        </w:rPr>
        <w:t>2</w:t>
      </w:r>
      <w:r>
        <w:rPr>
          <w:rFonts w:hint="eastAsia" w:ascii="宋体" w:hAnsi="宋体"/>
          <w:sz w:val="24"/>
          <w:szCs w:val="24"/>
        </w:rPr>
        <w:t>年</w:t>
      </w:r>
      <w:r>
        <w:rPr>
          <w:rFonts w:hint="eastAsia" w:ascii="宋体" w:hAnsi="宋体"/>
          <w:sz w:val="24"/>
          <w:szCs w:val="24"/>
          <w:lang w:val="en-US" w:eastAsia="zh-CN"/>
        </w:rPr>
        <w:t>2</w:t>
      </w:r>
      <w:r>
        <w:rPr>
          <w:rFonts w:hint="eastAsia" w:ascii="宋体" w:hAnsi="宋体"/>
          <w:sz w:val="24"/>
          <w:szCs w:val="24"/>
        </w:rPr>
        <w:t>月</w:t>
      </w:r>
      <w:r>
        <w:rPr>
          <w:rFonts w:hint="eastAsia" w:ascii="宋体" w:hAnsi="宋体"/>
          <w:sz w:val="24"/>
          <w:szCs w:val="24"/>
          <w:lang w:val="en-US" w:eastAsia="zh-CN"/>
        </w:rPr>
        <w:t>25</w:t>
      </w:r>
      <w:r>
        <w:rPr>
          <w:rFonts w:hint="eastAsia" w:ascii="宋体" w:hAnsi="宋体"/>
          <w:sz w:val="24"/>
          <w:szCs w:val="24"/>
        </w:rPr>
        <w:t>日至</w:t>
      </w:r>
      <w:r>
        <w:rPr>
          <w:rFonts w:hint="eastAsia" w:ascii="宋体" w:hAnsi="宋体"/>
          <w:sz w:val="24"/>
          <w:szCs w:val="24"/>
          <w:lang w:val="en-US" w:eastAsia="zh-CN"/>
        </w:rPr>
        <w:t>3</w:t>
      </w:r>
      <w:r>
        <w:rPr>
          <w:rFonts w:hint="eastAsia" w:ascii="宋体" w:hAnsi="宋体"/>
          <w:sz w:val="24"/>
          <w:szCs w:val="24"/>
        </w:rPr>
        <w:t>月</w:t>
      </w:r>
      <w:r>
        <w:rPr>
          <w:rFonts w:hint="eastAsia" w:ascii="宋体" w:hAnsi="宋体"/>
          <w:sz w:val="24"/>
          <w:szCs w:val="24"/>
          <w:lang w:val="en-US" w:eastAsia="zh-CN"/>
        </w:rPr>
        <w:t>3</w:t>
      </w:r>
      <w:r>
        <w:rPr>
          <w:rFonts w:hint="eastAsia" w:ascii="宋体" w:hAnsi="宋体"/>
          <w:sz w:val="24"/>
          <w:szCs w:val="24"/>
        </w:rPr>
        <w:t>日。</w:t>
      </w:r>
    </w:p>
    <w:p>
      <w:pPr>
        <w:numPr>
          <w:ilvl w:val="0"/>
          <w:numId w:val="4"/>
        </w:numPr>
        <w:spacing w:line="360" w:lineRule="auto"/>
        <w:ind w:left="0" w:firstLine="567"/>
        <w:rPr>
          <w:rFonts w:ascii="宋体" w:hAnsi="宋体"/>
          <w:b/>
          <w:sz w:val="24"/>
          <w:szCs w:val="24"/>
        </w:rPr>
      </w:pPr>
      <w:r>
        <w:rPr>
          <w:rFonts w:hint="eastAsia" w:ascii="宋体" w:hAnsi="宋体"/>
          <w:b/>
          <w:sz w:val="24"/>
          <w:szCs w:val="24"/>
        </w:rPr>
        <w:t>招标文件获取方式</w:t>
      </w:r>
    </w:p>
    <w:p>
      <w:pPr>
        <w:spacing w:line="360" w:lineRule="auto"/>
        <w:ind w:firstLine="480" w:firstLineChars="200"/>
        <w:rPr>
          <w:rFonts w:ascii="宋体" w:hAnsi="宋体"/>
          <w:sz w:val="24"/>
          <w:szCs w:val="24"/>
        </w:rPr>
      </w:pPr>
      <w:r>
        <w:rPr>
          <w:rFonts w:hint="eastAsia" w:ascii="宋体" w:hAnsi="宋体"/>
          <w:sz w:val="24"/>
          <w:szCs w:val="24"/>
        </w:rPr>
        <w:t>投标人要参加投标，应在成都市公共资源交易服务中心“政府采购云平台（www.zcygov.cn）”获取采购文件。登录政府采购云平台(www.zcygov.cn)—我的工作台—项目采购—获取采购文件—申请获取采购文件。</w:t>
      </w:r>
    </w:p>
    <w:p>
      <w:pPr>
        <w:spacing w:line="360" w:lineRule="auto"/>
        <w:ind w:firstLine="480" w:firstLineChars="200"/>
        <w:rPr>
          <w:rFonts w:ascii="宋体" w:hAnsi="宋体"/>
          <w:sz w:val="24"/>
          <w:szCs w:val="24"/>
        </w:rPr>
      </w:pPr>
      <w:r>
        <w:rPr>
          <w:rFonts w:hint="eastAsia" w:ascii="宋体" w:hAnsi="宋体"/>
          <w:sz w:val="24"/>
          <w:szCs w:val="24"/>
        </w:rPr>
        <w:t>提示：</w:t>
      </w:r>
    </w:p>
    <w:p>
      <w:pPr>
        <w:spacing w:line="360" w:lineRule="auto"/>
        <w:ind w:firstLine="480" w:firstLineChars="200"/>
        <w:rPr>
          <w:rFonts w:ascii="宋体" w:hAnsi="宋体"/>
          <w:sz w:val="24"/>
          <w:szCs w:val="24"/>
        </w:rPr>
      </w:pPr>
      <w:r>
        <w:rPr>
          <w:rFonts w:hint="eastAsia" w:ascii="宋体" w:hAnsi="宋体"/>
          <w:sz w:val="24"/>
          <w:szCs w:val="24"/>
        </w:rPr>
        <w:t>（1）本项目采购文件免费获取。</w:t>
      </w:r>
    </w:p>
    <w:p>
      <w:pPr>
        <w:spacing w:line="360" w:lineRule="auto"/>
        <w:ind w:firstLine="480" w:firstLineChars="200"/>
        <w:rPr>
          <w:rFonts w:ascii="宋体" w:hAnsi="宋体"/>
          <w:sz w:val="24"/>
          <w:szCs w:val="24"/>
        </w:rPr>
      </w:pPr>
      <w:r>
        <w:rPr>
          <w:rFonts w:hint="eastAsia" w:ascii="宋体" w:hAnsi="宋体"/>
          <w:sz w:val="24"/>
          <w:szCs w:val="24"/>
        </w:rPr>
        <w:t>（2）成都市公共资源交易服务中心门户网站上采购公告附件内的采购文件仅供下载阅览使用，投标人只有在“政府采购云平台”完成获取采购文件申请并下载采购文件后才视作依法参与本项目。如未在“政府采购云平台”内完成相关流程，引起的投标无效责任自负。</w:t>
      </w:r>
    </w:p>
    <w:p>
      <w:pPr>
        <w:spacing w:line="360" w:lineRule="auto"/>
        <w:ind w:firstLine="480" w:firstLineChars="200"/>
        <w:rPr>
          <w:rFonts w:ascii="宋体" w:hAnsi="宋体"/>
          <w:sz w:val="24"/>
          <w:szCs w:val="24"/>
        </w:rPr>
      </w:pPr>
      <w:r>
        <w:rPr>
          <w:rFonts w:hint="eastAsia" w:ascii="宋体" w:hAnsi="宋体"/>
          <w:sz w:val="24"/>
          <w:szCs w:val="24"/>
        </w:rPr>
        <w:t>（3）首次登录政府采购云平台(www.zcygov.cn)的新用户,</w:t>
      </w:r>
      <w:r>
        <w:rPr>
          <w:rFonts w:hint="eastAsia"/>
          <w:sz w:val="20"/>
          <w:szCs w:val="21"/>
        </w:rPr>
        <w:t xml:space="preserve"> </w:t>
      </w:r>
      <w:r>
        <w:rPr>
          <w:rFonts w:hint="eastAsia" w:ascii="宋体" w:hAnsi="宋体"/>
          <w:sz w:val="24"/>
          <w:szCs w:val="24"/>
        </w:rPr>
        <w:t>应先点击网页左上角切换至“成都市本级”，再点击“供应商入驻”，注册成功后即可登录。</w:t>
      </w:r>
    </w:p>
    <w:p>
      <w:pPr>
        <w:spacing w:line="360" w:lineRule="auto"/>
        <w:ind w:firstLine="480" w:firstLineChars="200"/>
        <w:rPr>
          <w:rFonts w:ascii="宋体" w:hAnsi="宋体"/>
          <w:sz w:val="24"/>
          <w:szCs w:val="24"/>
        </w:rPr>
      </w:pPr>
      <w:r>
        <w:rPr>
          <w:rFonts w:hint="eastAsia" w:ascii="宋体" w:hAnsi="宋体"/>
          <w:sz w:val="24"/>
          <w:szCs w:val="24"/>
        </w:rPr>
        <w:t>（4）本项目为电子招标投标项目，投标人参与本项目全过程中凡涉及系统操作请详见《成都市全流程电子化采购系统操作指南——供应商版》（操作指南请登录政府采购云平台后，点击“前台大厅</w:t>
      </w:r>
      <w:r>
        <w:rPr>
          <w:rFonts w:ascii="宋体" w:hAnsi="宋体"/>
          <w:sz w:val="24"/>
          <w:szCs w:val="24"/>
        </w:rPr>
        <w:t>—</w:t>
      </w:r>
      <w:r>
        <w:rPr>
          <w:rFonts w:hint="eastAsia" w:ascii="宋体" w:hAnsi="宋体"/>
          <w:sz w:val="24"/>
          <w:szCs w:val="24"/>
        </w:rPr>
        <w:t>操作指南</w:t>
      </w:r>
      <w:r>
        <w:rPr>
          <w:rFonts w:ascii="宋体" w:hAnsi="宋体"/>
          <w:sz w:val="24"/>
          <w:szCs w:val="24"/>
        </w:rPr>
        <w:t>—</w:t>
      </w:r>
      <w:r>
        <w:rPr>
          <w:rFonts w:hint="eastAsia" w:ascii="宋体" w:hAnsi="宋体"/>
          <w:sz w:val="24"/>
          <w:szCs w:val="24"/>
        </w:rPr>
        <w:t>供应商”处下载查看）。</w:t>
      </w:r>
    </w:p>
    <w:p>
      <w:pPr>
        <w:numPr>
          <w:ilvl w:val="0"/>
          <w:numId w:val="4"/>
        </w:numPr>
        <w:spacing w:line="360" w:lineRule="auto"/>
        <w:ind w:left="0" w:firstLine="567"/>
        <w:rPr>
          <w:rFonts w:ascii="宋体" w:hAnsi="宋体"/>
          <w:b/>
          <w:sz w:val="24"/>
          <w:szCs w:val="24"/>
        </w:rPr>
      </w:pPr>
      <w:r>
        <w:rPr>
          <w:rFonts w:hint="eastAsia" w:ascii="宋体" w:hAnsi="宋体"/>
          <w:b/>
          <w:sz w:val="24"/>
          <w:szCs w:val="24"/>
        </w:rPr>
        <w:t>招标文件获取地点</w:t>
      </w:r>
    </w:p>
    <w:p>
      <w:pPr>
        <w:spacing w:line="360" w:lineRule="auto"/>
        <w:ind w:firstLine="480" w:firstLineChars="200"/>
        <w:rPr>
          <w:rFonts w:ascii="宋体" w:hAnsi="宋体"/>
          <w:sz w:val="24"/>
          <w:szCs w:val="24"/>
        </w:rPr>
      </w:pPr>
      <w:bookmarkStart w:id="8" w:name="_Toc186274101"/>
      <w:bookmarkStart w:id="9" w:name="_Toc180051012"/>
      <w:bookmarkStart w:id="10" w:name="_Toc184013605"/>
      <w:bookmarkStart w:id="11" w:name="_Toc174185149"/>
      <w:bookmarkStart w:id="12" w:name="_Toc184023104"/>
      <w:r>
        <w:rPr>
          <w:rFonts w:hint="eastAsia" w:ascii="宋体" w:hAnsi="宋体"/>
          <w:sz w:val="24"/>
          <w:szCs w:val="24"/>
        </w:rPr>
        <w:t>登录政府采购云平台（www.zcygov.cn）获取。</w:t>
      </w:r>
    </w:p>
    <w:p>
      <w:pPr>
        <w:numPr>
          <w:ilvl w:val="0"/>
          <w:numId w:val="4"/>
        </w:numPr>
        <w:spacing w:line="360" w:lineRule="auto"/>
        <w:ind w:left="0" w:firstLine="567"/>
        <w:rPr>
          <w:rFonts w:ascii="宋体" w:hAnsi="宋体"/>
          <w:b/>
          <w:sz w:val="24"/>
          <w:szCs w:val="24"/>
        </w:rPr>
      </w:pPr>
      <w:r>
        <w:rPr>
          <w:rFonts w:hint="eastAsia" w:ascii="宋体" w:hAnsi="宋体"/>
          <w:b/>
          <w:sz w:val="24"/>
          <w:szCs w:val="24"/>
        </w:rPr>
        <w:t>投标文件提交截止时间及开标时间</w:t>
      </w:r>
      <w:bookmarkEnd w:id="8"/>
      <w:bookmarkEnd w:id="9"/>
      <w:bookmarkEnd w:id="10"/>
      <w:bookmarkEnd w:id="11"/>
      <w:bookmarkEnd w:id="12"/>
      <w:r>
        <w:rPr>
          <w:rFonts w:hint="eastAsia" w:ascii="宋体" w:hAnsi="宋体"/>
          <w:b/>
          <w:sz w:val="24"/>
          <w:szCs w:val="24"/>
        </w:rPr>
        <w:t>(北京时间)、地点、方式</w:t>
      </w:r>
    </w:p>
    <w:p>
      <w:pPr>
        <w:spacing w:line="560" w:lineRule="exact"/>
        <w:ind w:firstLine="484" w:firstLineChars="202"/>
        <w:rPr>
          <w:rFonts w:ascii="宋体" w:hAnsi="宋体"/>
          <w:b/>
          <w:sz w:val="24"/>
          <w:szCs w:val="24"/>
        </w:rPr>
      </w:pPr>
      <w:r>
        <w:rPr>
          <w:rFonts w:hint="eastAsia" w:ascii="宋体" w:hAnsi="宋体"/>
          <w:sz w:val="24"/>
          <w:szCs w:val="24"/>
        </w:rPr>
        <w:t>（一）投标文件提交截止时间及开标时间：</w:t>
      </w:r>
      <w:r>
        <w:rPr>
          <w:rFonts w:hint="eastAsia" w:ascii="宋体" w:hAnsi="宋体"/>
          <w:b/>
          <w:sz w:val="24"/>
          <w:szCs w:val="24"/>
        </w:rPr>
        <w:t>202</w:t>
      </w:r>
      <w:r>
        <w:rPr>
          <w:rFonts w:hint="eastAsia" w:ascii="宋体" w:hAnsi="宋体"/>
          <w:b/>
          <w:sz w:val="24"/>
          <w:szCs w:val="24"/>
          <w:lang w:val="en-US" w:eastAsia="zh-CN"/>
        </w:rPr>
        <w:t>2</w:t>
      </w:r>
      <w:r>
        <w:rPr>
          <w:rFonts w:hint="eastAsia" w:ascii="宋体" w:hAnsi="宋体"/>
          <w:b/>
          <w:sz w:val="24"/>
          <w:szCs w:val="24"/>
        </w:rPr>
        <w:t>年</w:t>
      </w:r>
      <w:r>
        <w:rPr>
          <w:rFonts w:hint="eastAsia" w:ascii="宋体" w:hAnsi="宋体"/>
          <w:b/>
          <w:sz w:val="24"/>
          <w:szCs w:val="24"/>
          <w:lang w:val="en-US" w:eastAsia="zh-CN"/>
        </w:rPr>
        <w:t>3</w:t>
      </w:r>
      <w:r>
        <w:rPr>
          <w:rFonts w:hint="eastAsia" w:ascii="宋体" w:hAnsi="宋体"/>
          <w:b/>
          <w:sz w:val="24"/>
          <w:szCs w:val="24"/>
        </w:rPr>
        <w:t>月</w:t>
      </w:r>
      <w:r>
        <w:rPr>
          <w:rFonts w:hint="eastAsia" w:ascii="宋体" w:hAnsi="宋体"/>
          <w:b/>
          <w:sz w:val="24"/>
          <w:szCs w:val="24"/>
          <w:lang w:val="en-US" w:eastAsia="zh-CN"/>
        </w:rPr>
        <w:t>17</w:t>
      </w:r>
      <w:r>
        <w:rPr>
          <w:rFonts w:hint="eastAsia" w:ascii="宋体" w:hAnsi="宋体"/>
          <w:b/>
          <w:sz w:val="24"/>
          <w:szCs w:val="24"/>
        </w:rPr>
        <w:t>日上午</w:t>
      </w:r>
      <w:r>
        <w:rPr>
          <w:rFonts w:hint="eastAsia" w:ascii="宋体" w:hAnsi="宋体"/>
          <w:b/>
          <w:sz w:val="24"/>
          <w:szCs w:val="24"/>
          <w:lang w:val="en-US" w:eastAsia="zh-CN"/>
        </w:rPr>
        <w:t>10</w:t>
      </w:r>
      <w:r>
        <w:rPr>
          <w:rFonts w:hint="eastAsia" w:ascii="宋体" w:hAnsi="宋体"/>
          <w:b/>
          <w:sz w:val="24"/>
          <w:szCs w:val="24"/>
        </w:rPr>
        <w:t>:</w:t>
      </w:r>
      <w:r>
        <w:rPr>
          <w:rFonts w:hint="eastAsia" w:ascii="宋体" w:hAnsi="宋体"/>
          <w:b/>
          <w:sz w:val="24"/>
          <w:szCs w:val="24"/>
          <w:lang w:val="en-US" w:eastAsia="zh-CN"/>
        </w:rPr>
        <w:t>00</w:t>
      </w:r>
      <w:r>
        <w:rPr>
          <w:rFonts w:hint="eastAsia" w:ascii="宋体" w:hAnsi="宋体"/>
          <w:b/>
          <w:sz w:val="24"/>
          <w:szCs w:val="24"/>
        </w:rPr>
        <w:t>。</w:t>
      </w:r>
    </w:p>
    <w:p>
      <w:pPr>
        <w:spacing w:line="560" w:lineRule="exact"/>
        <w:ind w:firstLine="484" w:firstLineChars="202"/>
        <w:rPr>
          <w:rFonts w:ascii="宋体" w:hAnsi="宋体"/>
          <w:sz w:val="24"/>
          <w:szCs w:val="24"/>
        </w:rPr>
      </w:pPr>
      <w:r>
        <w:rPr>
          <w:rFonts w:hint="eastAsia" w:ascii="宋体" w:hAnsi="宋体"/>
          <w:sz w:val="24"/>
          <w:szCs w:val="24"/>
        </w:rPr>
        <w:t>（二）投标文件提交方式、地点：投标截止时间前，投标人应将加密的投标文件提交至“政府采购云平台”对应项目（包件）。</w:t>
      </w:r>
    </w:p>
    <w:p>
      <w:pPr>
        <w:numPr>
          <w:ilvl w:val="0"/>
          <w:numId w:val="4"/>
        </w:numPr>
        <w:spacing w:line="360" w:lineRule="auto"/>
        <w:ind w:left="0" w:firstLine="567"/>
        <w:rPr>
          <w:rFonts w:ascii="宋体" w:hAnsi="宋体"/>
          <w:b/>
          <w:sz w:val="24"/>
          <w:szCs w:val="24"/>
        </w:rPr>
      </w:pPr>
      <w:r>
        <w:rPr>
          <w:rFonts w:hint="eastAsia" w:ascii="宋体" w:hAnsi="宋体"/>
          <w:b/>
          <w:sz w:val="24"/>
          <w:szCs w:val="24"/>
        </w:rPr>
        <w:t>开标地点</w:t>
      </w:r>
    </w:p>
    <w:p>
      <w:pPr>
        <w:pStyle w:val="227"/>
        <w:numPr>
          <w:ilvl w:val="0"/>
          <w:numId w:val="8"/>
        </w:numPr>
        <w:spacing w:line="560" w:lineRule="exact"/>
        <w:ind w:left="0" w:firstLine="566" w:firstLineChars="0"/>
        <w:rPr>
          <w:rFonts w:ascii="宋体" w:hAnsi="宋体"/>
          <w:sz w:val="24"/>
          <w:szCs w:val="24"/>
        </w:rPr>
      </w:pPr>
      <w:r>
        <w:rPr>
          <w:rFonts w:hint="eastAsia" w:ascii="宋体" w:hAnsi="宋体"/>
          <w:sz w:val="24"/>
          <w:szCs w:val="24"/>
        </w:rPr>
        <w:t>本项目为不见面开标项目。</w:t>
      </w:r>
    </w:p>
    <w:p>
      <w:pPr>
        <w:pStyle w:val="227"/>
        <w:numPr>
          <w:ilvl w:val="0"/>
          <w:numId w:val="8"/>
        </w:numPr>
        <w:spacing w:line="560" w:lineRule="exact"/>
        <w:ind w:left="0" w:firstLine="566" w:firstLineChars="0"/>
        <w:rPr>
          <w:rFonts w:ascii="宋体" w:hAnsi="宋体"/>
          <w:sz w:val="24"/>
          <w:szCs w:val="24"/>
        </w:rPr>
      </w:pPr>
      <w:r>
        <w:rPr>
          <w:rFonts w:hint="eastAsia" w:ascii="宋体" w:hAnsi="宋体"/>
          <w:sz w:val="24"/>
          <w:szCs w:val="24"/>
        </w:rPr>
        <w:t>开标地点为：政府采购云平台（www.zcygov.cn）。</w:t>
      </w:r>
    </w:p>
    <w:p>
      <w:pPr>
        <w:pStyle w:val="227"/>
        <w:numPr>
          <w:ilvl w:val="0"/>
          <w:numId w:val="8"/>
        </w:numPr>
        <w:spacing w:line="560" w:lineRule="exact"/>
        <w:ind w:left="0" w:firstLine="566" w:firstLineChars="0"/>
        <w:rPr>
          <w:rFonts w:ascii="宋体" w:hAnsi="宋体"/>
          <w:sz w:val="24"/>
          <w:szCs w:val="24"/>
        </w:rPr>
      </w:pPr>
      <w:r>
        <w:rPr>
          <w:rFonts w:hint="eastAsia" w:ascii="宋体" w:hAnsi="宋体"/>
          <w:sz w:val="24"/>
          <w:szCs w:val="24"/>
        </w:rPr>
        <w:t>本项目只接受投标人加密并递交至“政府采购云平台”的投标文件。</w:t>
      </w:r>
    </w:p>
    <w:p>
      <w:pPr>
        <w:numPr>
          <w:ilvl w:val="0"/>
          <w:numId w:val="4"/>
        </w:numPr>
        <w:spacing w:line="360" w:lineRule="auto"/>
        <w:ind w:left="0" w:firstLine="567"/>
        <w:rPr>
          <w:rFonts w:ascii="宋体" w:hAnsi="宋体"/>
          <w:b/>
          <w:sz w:val="24"/>
          <w:szCs w:val="24"/>
        </w:rPr>
      </w:pPr>
      <w:r>
        <w:rPr>
          <w:rFonts w:hint="eastAsia" w:ascii="宋体" w:hAnsi="宋体"/>
          <w:b/>
          <w:sz w:val="24"/>
          <w:szCs w:val="24"/>
        </w:rPr>
        <w:t>政采中小企业政府采购信用融资</w:t>
      </w:r>
    </w:p>
    <w:p>
      <w:pPr>
        <w:spacing w:line="560" w:lineRule="exact"/>
        <w:ind w:firstLine="484" w:firstLineChars="202"/>
        <w:rPr>
          <w:rFonts w:ascii="宋体" w:hAnsi="宋体"/>
          <w:sz w:val="24"/>
          <w:szCs w:val="24"/>
        </w:rPr>
      </w:pPr>
      <w:r>
        <w:rPr>
          <w:rFonts w:hint="eastAsia" w:ascii="宋体" w:hAnsi="宋体"/>
          <w:sz w:val="24"/>
          <w:szCs w:val="24"/>
        </w:rPr>
        <w:t>本项目支持中标中小企业凭借政府采购合同向相关金融机构申请信用融资。具体内容详见招标文件附件《成都市财政局 中国人民银行成都分行营业管理部关于印发〈成都市中小企业政府采购信用融资暂行办法〉和〈成都市级支持中小企业政府采购信用融资实施方案〉的通知》（成财采〔2019〕17号）、《成都市财政局关于增补“蓉采贷”政策合作银行及做好相关工作的通知》（成财采发〔2020〕20号）。</w:t>
      </w:r>
    </w:p>
    <w:p>
      <w:pPr>
        <w:numPr>
          <w:ilvl w:val="0"/>
          <w:numId w:val="4"/>
        </w:numPr>
        <w:spacing w:line="360" w:lineRule="auto"/>
        <w:ind w:left="0" w:firstLine="567"/>
        <w:rPr>
          <w:rFonts w:ascii="宋体" w:hAnsi="宋体"/>
          <w:b/>
          <w:sz w:val="24"/>
          <w:szCs w:val="24"/>
        </w:rPr>
      </w:pPr>
      <w:r>
        <w:rPr>
          <w:rFonts w:hint="eastAsia" w:ascii="宋体" w:hAnsi="宋体"/>
          <w:b/>
          <w:sz w:val="24"/>
          <w:szCs w:val="24"/>
        </w:rPr>
        <w:t>本投标邀请在“四川政府采购网”和“成都市公共资源交易服务中心”网站上以公告形式发布</w:t>
      </w:r>
    </w:p>
    <w:p>
      <w:pPr>
        <w:numPr>
          <w:ilvl w:val="0"/>
          <w:numId w:val="4"/>
        </w:numPr>
        <w:spacing w:line="360" w:lineRule="auto"/>
        <w:ind w:left="0" w:firstLine="567"/>
        <w:rPr>
          <w:rFonts w:ascii="宋体" w:hAnsi="宋体"/>
          <w:b/>
          <w:sz w:val="24"/>
          <w:szCs w:val="24"/>
        </w:rPr>
      </w:pPr>
      <w:r>
        <w:rPr>
          <w:rFonts w:hint="eastAsia" w:ascii="宋体" w:hAnsi="宋体"/>
          <w:b/>
          <w:sz w:val="24"/>
          <w:szCs w:val="24"/>
        </w:rPr>
        <w:t>联系方式</w:t>
      </w:r>
    </w:p>
    <w:p>
      <w:pPr>
        <w:spacing w:line="360" w:lineRule="auto"/>
        <w:ind w:firstLine="487" w:firstLineChars="202"/>
        <w:rPr>
          <w:rFonts w:ascii="宋体" w:hAnsi="宋体"/>
          <w:b/>
          <w:sz w:val="24"/>
          <w:szCs w:val="24"/>
        </w:rPr>
      </w:pPr>
      <w:r>
        <w:rPr>
          <w:rFonts w:hint="eastAsia" w:ascii="宋体" w:hAnsi="宋体"/>
          <w:b/>
          <w:sz w:val="24"/>
          <w:szCs w:val="24"/>
        </w:rPr>
        <w:t>采购人： 成都市武侯区机关事务中心</w:t>
      </w:r>
    </w:p>
    <w:p>
      <w:pPr>
        <w:spacing w:line="360" w:lineRule="auto"/>
        <w:ind w:firstLine="484" w:firstLineChars="202"/>
        <w:rPr>
          <w:rFonts w:ascii="宋体" w:hAnsi="宋体"/>
          <w:sz w:val="24"/>
          <w:szCs w:val="24"/>
        </w:rPr>
      </w:pPr>
      <w:r>
        <w:rPr>
          <w:rFonts w:hint="eastAsia" w:ascii="宋体" w:hAnsi="宋体"/>
          <w:sz w:val="24"/>
          <w:szCs w:val="24"/>
        </w:rPr>
        <w:t>地  址：</w:t>
      </w:r>
      <w:r>
        <w:rPr>
          <w:rFonts w:hint="eastAsia" w:ascii="宋体" w:hAnsi="宋体"/>
          <w:sz w:val="24"/>
        </w:rPr>
        <w:t>成都市武侯祠大街264号</w:t>
      </w:r>
      <w:r>
        <w:rPr>
          <w:rFonts w:hint="eastAsia" w:ascii="宋体" w:hAnsi="宋体"/>
          <w:sz w:val="24"/>
          <w:szCs w:val="24"/>
        </w:rPr>
        <w:t xml:space="preserve"> </w:t>
      </w:r>
    </w:p>
    <w:p>
      <w:pPr>
        <w:spacing w:line="360" w:lineRule="auto"/>
        <w:ind w:firstLine="484" w:firstLineChars="202"/>
        <w:rPr>
          <w:rFonts w:ascii="宋体" w:hAnsi="宋体"/>
          <w:sz w:val="24"/>
          <w:szCs w:val="24"/>
        </w:rPr>
      </w:pPr>
      <w:r>
        <w:rPr>
          <w:rFonts w:hint="eastAsia" w:ascii="宋体" w:hAnsi="宋体"/>
          <w:sz w:val="24"/>
          <w:szCs w:val="24"/>
        </w:rPr>
        <w:t>邮  编：610041</w:t>
      </w:r>
    </w:p>
    <w:p>
      <w:pPr>
        <w:spacing w:line="360" w:lineRule="auto"/>
        <w:ind w:firstLine="484" w:firstLineChars="202"/>
        <w:rPr>
          <w:rFonts w:hint="eastAsia" w:ascii="宋体" w:hAnsi="宋体" w:eastAsia="宋体"/>
          <w:sz w:val="24"/>
          <w:szCs w:val="24"/>
          <w:lang w:eastAsia="zh-CN"/>
        </w:rPr>
      </w:pPr>
      <w:r>
        <w:rPr>
          <w:rFonts w:hint="eastAsia" w:ascii="宋体" w:hAnsi="宋体"/>
          <w:sz w:val="24"/>
          <w:szCs w:val="24"/>
        </w:rPr>
        <w:t>联系人：</w:t>
      </w:r>
      <w:r>
        <w:rPr>
          <w:rFonts w:hint="eastAsia" w:ascii="宋体" w:hAnsi="宋体"/>
          <w:sz w:val="24"/>
          <w:szCs w:val="24"/>
          <w:lang w:eastAsia="zh-CN"/>
        </w:rPr>
        <w:t>李玲</w:t>
      </w:r>
    </w:p>
    <w:p>
      <w:pPr>
        <w:spacing w:line="360" w:lineRule="auto"/>
        <w:ind w:firstLine="484" w:firstLineChars="202"/>
        <w:rPr>
          <w:rFonts w:ascii="宋体" w:hAnsi="宋体"/>
          <w:sz w:val="24"/>
          <w:szCs w:val="24"/>
        </w:rPr>
      </w:pPr>
      <w:r>
        <w:rPr>
          <w:rFonts w:hint="eastAsia" w:ascii="宋体" w:hAnsi="宋体"/>
          <w:sz w:val="24"/>
          <w:szCs w:val="24"/>
        </w:rPr>
        <w:t>联系电话：028-85559693</w:t>
      </w:r>
    </w:p>
    <w:p>
      <w:pPr>
        <w:spacing w:line="360" w:lineRule="auto"/>
        <w:ind w:firstLine="487" w:firstLineChars="202"/>
        <w:rPr>
          <w:rFonts w:hint="eastAsia" w:ascii="宋体" w:hAnsi="宋体" w:eastAsia="宋体"/>
          <w:b/>
          <w:sz w:val="24"/>
          <w:szCs w:val="24"/>
          <w:lang w:eastAsia="zh-CN"/>
        </w:rPr>
      </w:pPr>
      <w:r>
        <w:rPr>
          <w:rFonts w:hint="eastAsia" w:ascii="宋体" w:hAnsi="宋体"/>
          <w:b/>
          <w:sz w:val="24"/>
          <w:szCs w:val="24"/>
        </w:rPr>
        <w:t>集中</w:t>
      </w:r>
      <w:r>
        <w:rPr>
          <w:rFonts w:ascii="宋体" w:hAnsi="宋体"/>
          <w:b/>
          <w:sz w:val="24"/>
          <w:szCs w:val="24"/>
        </w:rPr>
        <w:t>采购机构</w:t>
      </w:r>
      <w:r>
        <w:rPr>
          <w:rFonts w:hint="eastAsia" w:ascii="宋体" w:hAnsi="宋体"/>
          <w:b/>
          <w:sz w:val="24"/>
          <w:szCs w:val="24"/>
        </w:rPr>
        <w:t>：</w:t>
      </w:r>
      <w:r>
        <w:rPr>
          <w:rFonts w:hint="eastAsia" w:ascii="宋体" w:hAnsi="宋体"/>
          <w:b/>
          <w:sz w:val="24"/>
          <w:szCs w:val="24"/>
          <w:lang w:eastAsia="zh-CN"/>
        </w:rPr>
        <w:t>成都市武侯区政府采购中心</w:t>
      </w:r>
    </w:p>
    <w:p>
      <w:pPr>
        <w:spacing w:line="360" w:lineRule="auto"/>
        <w:ind w:left="1467" w:leftChars="269" w:hanging="902" w:hangingChars="376"/>
        <w:rPr>
          <w:rFonts w:hint="eastAsia" w:ascii="宋体" w:hAnsi="宋体" w:eastAsia="宋体"/>
          <w:sz w:val="24"/>
          <w:szCs w:val="24"/>
          <w:lang w:eastAsia="zh-CN"/>
        </w:rPr>
      </w:pPr>
      <w:r>
        <w:rPr>
          <w:rFonts w:hint="eastAsia" w:ascii="宋体" w:hAnsi="宋体"/>
          <w:sz w:val="24"/>
          <w:szCs w:val="24"/>
        </w:rPr>
        <w:t>地  址：</w:t>
      </w:r>
      <w:r>
        <w:rPr>
          <w:rFonts w:hint="eastAsia" w:ascii="宋体" w:hAnsi="宋体"/>
          <w:sz w:val="24"/>
          <w:szCs w:val="24"/>
          <w:lang w:eastAsia="zh-CN"/>
        </w:rPr>
        <w:t>成都市武侯区武科西五路360号武侯区市民中心2栋5单元 5楼</w:t>
      </w:r>
    </w:p>
    <w:p>
      <w:pPr>
        <w:spacing w:line="360" w:lineRule="auto"/>
        <w:ind w:firstLine="484" w:firstLineChars="202"/>
        <w:rPr>
          <w:rFonts w:ascii="宋体" w:hAnsi="宋体"/>
          <w:sz w:val="24"/>
          <w:szCs w:val="24"/>
        </w:rPr>
      </w:pPr>
      <w:r>
        <w:rPr>
          <w:rFonts w:hint="eastAsia" w:ascii="宋体" w:hAnsi="宋体"/>
          <w:sz w:val="24"/>
          <w:szCs w:val="24"/>
        </w:rPr>
        <w:t>邮  编：610041</w:t>
      </w:r>
    </w:p>
    <w:p>
      <w:pPr>
        <w:spacing w:line="360" w:lineRule="auto"/>
        <w:ind w:firstLine="484" w:firstLineChars="202"/>
        <w:rPr>
          <w:rFonts w:hint="default" w:ascii="宋体" w:hAnsi="宋体" w:eastAsia="宋体"/>
          <w:sz w:val="24"/>
          <w:szCs w:val="24"/>
          <w:lang w:val="en-US" w:eastAsia="zh-CN"/>
        </w:rPr>
      </w:pPr>
      <w:r>
        <w:rPr>
          <w:rFonts w:hint="eastAsia" w:ascii="宋体" w:hAnsi="宋体"/>
          <w:sz w:val="24"/>
          <w:szCs w:val="24"/>
        </w:rPr>
        <w:t>联系人：</w:t>
      </w:r>
      <w:r>
        <w:rPr>
          <w:rFonts w:hint="eastAsia" w:ascii="宋体" w:hAnsi="宋体"/>
          <w:sz w:val="24"/>
          <w:szCs w:val="24"/>
          <w:lang w:eastAsia="zh-CN"/>
        </w:rPr>
        <w:t>黄芙娜</w:t>
      </w:r>
      <w:r>
        <w:rPr>
          <w:rFonts w:hint="eastAsia" w:ascii="宋体" w:hAnsi="宋体"/>
          <w:sz w:val="24"/>
          <w:szCs w:val="24"/>
          <w:lang w:val="en-US" w:eastAsia="zh-CN"/>
        </w:rPr>
        <w:t xml:space="preserve">   </w:t>
      </w:r>
      <w:r>
        <w:rPr>
          <w:rFonts w:hint="eastAsia" w:ascii="宋体" w:hAnsi="宋体"/>
          <w:sz w:val="24"/>
          <w:szCs w:val="24"/>
        </w:rPr>
        <w:t>联系电话：028-</w:t>
      </w:r>
      <w:r>
        <w:rPr>
          <w:rFonts w:hint="eastAsia" w:ascii="宋体" w:hAnsi="宋体"/>
          <w:sz w:val="24"/>
          <w:szCs w:val="24"/>
          <w:lang w:val="en-US" w:eastAsia="zh-CN"/>
        </w:rPr>
        <w:t>85557213</w:t>
      </w:r>
    </w:p>
    <w:p>
      <w:pPr>
        <w:spacing w:line="360" w:lineRule="auto"/>
        <w:ind w:firstLine="487" w:firstLineChars="202"/>
        <w:rPr>
          <w:rFonts w:ascii="宋体" w:hAnsi="宋体"/>
          <w:sz w:val="24"/>
          <w:szCs w:val="24"/>
        </w:rPr>
      </w:pPr>
      <w:r>
        <w:rPr>
          <w:rFonts w:hint="eastAsia" w:ascii="宋体" w:hAnsi="宋体" w:cstheme="minorBidi"/>
          <w:b/>
          <w:sz w:val="24"/>
          <w:szCs w:val="24"/>
        </w:rPr>
        <w:t>技术支持电话：400</w:t>
      </w:r>
      <w:r>
        <w:rPr>
          <w:rFonts w:ascii="宋体" w:hAnsi="宋体" w:cstheme="minorBidi"/>
          <w:b/>
          <w:sz w:val="24"/>
          <w:szCs w:val="24"/>
        </w:rPr>
        <w:t>-</w:t>
      </w:r>
      <w:r>
        <w:rPr>
          <w:rFonts w:hint="eastAsia" w:ascii="宋体" w:hAnsi="宋体" w:cstheme="minorBidi"/>
          <w:b/>
          <w:sz w:val="24"/>
          <w:szCs w:val="24"/>
        </w:rPr>
        <w:t>8817190</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rPr>
        <w:t>集中采购监督机构：</w:t>
      </w:r>
      <w:r>
        <w:rPr>
          <w:rFonts w:hint="eastAsia" w:ascii="宋体" w:hAnsi="宋体"/>
          <w:b/>
          <w:sz w:val="24"/>
          <w:szCs w:val="24"/>
          <w:lang w:eastAsia="zh-CN"/>
        </w:rPr>
        <w:t>成都市武侯区财政局</w:t>
      </w:r>
    </w:p>
    <w:p>
      <w:pPr>
        <w:spacing w:line="360" w:lineRule="auto"/>
        <w:ind w:firstLine="480" w:firstLineChars="200"/>
        <w:rPr>
          <w:rFonts w:hint="eastAsia" w:ascii="宋体" w:hAnsi="宋体" w:eastAsia="宋体"/>
          <w:sz w:val="24"/>
          <w:szCs w:val="24"/>
          <w:lang w:eastAsia="zh-CN"/>
        </w:rPr>
      </w:pPr>
      <w:r>
        <w:rPr>
          <w:rFonts w:hint="eastAsia" w:ascii="宋体" w:hAnsi="宋体"/>
          <w:sz w:val="24"/>
          <w:szCs w:val="24"/>
        </w:rPr>
        <w:t>地 址：</w:t>
      </w:r>
      <w:r>
        <w:rPr>
          <w:rFonts w:hint="eastAsia" w:ascii="宋体" w:hAnsi="宋体"/>
          <w:sz w:val="24"/>
          <w:szCs w:val="24"/>
          <w:lang w:eastAsia="zh-CN"/>
        </w:rPr>
        <w:t>成都市武侯区武科西五路360号武侯区市民中心2栋5单元801室</w:t>
      </w:r>
    </w:p>
    <w:p>
      <w:pPr>
        <w:tabs>
          <w:tab w:val="left" w:pos="900"/>
        </w:tabs>
        <w:spacing w:line="360" w:lineRule="auto"/>
        <w:ind w:firstLine="480" w:firstLineChars="200"/>
        <w:rPr>
          <w:rFonts w:hint="eastAsia" w:ascii="宋体" w:hAnsi="宋体" w:cstheme="minorBidi"/>
          <w:sz w:val="24"/>
          <w:szCs w:val="24"/>
          <w:lang w:eastAsia="zh-CN"/>
        </w:rPr>
      </w:pPr>
      <w:r>
        <w:rPr>
          <w:rFonts w:hint="eastAsia" w:ascii="宋体" w:hAnsi="宋体" w:cstheme="minorBidi"/>
          <w:sz w:val="24"/>
          <w:szCs w:val="24"/>
        </w:rPr>
        <w:t>联系电话：</w:t>
      </w:r>
      <w:r>
        <w:rPr>
          <w:rFonts w:hint="eastAsia" w:ascii="宋体" w:hAnsi="宋体" w:cstheme="minorBidi"/>
          <w:sz w:val="24"/>
          <w:szCs w:val="24"/>
          <w:lang w:eastAsia="zh-CN"/>
        </w:rPr>
        <w:t>028-85558345</w:t>
      </w:r>
    </w:p>
    <w:p>
      <w:pPr>
        <w:rPr>
          <w:rFonts w:hint="eastAsia" w:ascii="宋体" w:hAnsi="宋体" w:cstheme="minorBidi"/>
          <w:sz w:val="24"/>
          <w:szCs w:val="24"/>
          <w:lang w:eastAsia="zh-CN"/>
        </w:rPr>
      </w:pPr>
      <w:r>
        <w:rPr>
          <w:rFonts w:hint="eastAsia" w:ascii="宋体" w:hAnsi="宋体" w:cstheme="minorBidi"/>
          <w:sz w:val="24"/>
          <w:szCs w:val="24"/>
          <w:lang w:eastAsia="zh-CN"/>
        </w:rPr>
        <w:br w:type="page"/>
      </w:r>
    </w:p>
    <w:p>
      <w:pPr>
        <w:keepNext/>
        <w:keepLines/>
        <w:numPr>
          <w:ilvl w:val="0"/>
          <w:numId w:val="3"/>
        </w:numPr>
        <w:spacing w:before="340" w:after="330" w:line="400" w:lineRule="exact"/>
        <w:ind w:left="0" w:firstLine="0"/>
        <w:jc w:val="center"/>
        <w:outlineLvl w:val="0"/>
        <w:rPr>
          <w:rFonts w:ascii="宋体" w:hAnsi="宋体"/>
          <w:b/>
          <w:bCs/>
          <w:spacing w:val="-20"/>
          <w:kern w:val="44"/>
          <w:sz w:val="32"/>
          <w:szCs w:val="32"/>
        </w:rPr>
      </w:pPr>
      <w:bookmarkStart w:id="13" w:name="_Toc15552"/>
      <w:r>
        <w:rPr>
          <w:rFonts w:hint="eastAsia" w:ascii="宋体" w:hAnsi="宋体"/>
          <w:b/>
          <w:bCs/>
          <w:spacing w:val="-20"/>
          <w:kern w:val="44"/>
          <w:sz w:val="32"/>
          <w:szCs w:val="32"/>
        </w:rPr>
        <w:t>投标人须知</w:t>
      </w:r>
      <w:bookmarkEnd w:id="13"/>
    </w:p>
    <w:p>
      <w:pPr>
        <w:keepNext/>
        <w:keepLines/>
        <w:numPr>
          <w:ilvl w:val="1"/>
          <w:numId w:val="3"/>
        </w:numPr>
        <w:spacing w:before="260" w:after="260" w:line="360" w:lineRule="auto"/>
        <w:jc w:val="left"/>
        <w:outlineLvl w:val="1"/>
        <w:rPr>
          <w:rFonts w:ascii="宋体" w:hAnsi="宋体"/>
          <w:b/>
          <w:bCs/>
          <w:sz w:val="28"/>
          <w:szCs w:val="28"/>
        </w:rPr>
      </w:pPr>
      <w:bookmarkStart w:id="14" w:name="_Toc26311"/>
      <w:bookmarkStart w:id="15" w:name="_Toc189727030"/>
      <w:bookmarkStart w:id="16" w:name="_Toc316462344"/>
      <w:bookmarkStart w:id="17" w:name="_Toc213396760"/>
      <w:bookmarkStart w:id="18" w:name="_Toc213396946"/>
      <w:bookmarkStart w:id="19" w:name="_Toc217446032"/>
      <w:bookmarkStart w:id="20" w:name="_Toc213496268"/>
      <w:bookmarkStart w:id="21" w:name="_Toc213397010"/>
      <w:r>
        <w:rPr>
          <w:rFonts w:hint="eastAsia" w:ascii="宋体" w:hAnsi="宋体"/>
          <w:b/>
          <w:bCs/>
          <w:sz w:val="28"/>
          <w:szCs w:val="28"/>
        </w:rPr>
        <w:t>投标人须知前附表</w:t>
      </w:r>
      <w:bookmarkEnd w:id="14"/>
      <w:bookmarkEnd w:id="15"/>
      <w:bookmarkEnd w:id="16"/>
      <w:bookmarkEnd w:id="17"/>
      <w:bookmarkEnd w:id="18"/>
      <w:bookmarkEnd w:id="19"/>
      <w:bookmarkEnd w:id="20"/>
      <w:bookmarkEnd w:id="21"/>
    </w:p>
    <w:tbl>
      <w:tblPr>
        <w:tblStyle w:val="41"/>
        <w:tblW w:w="9510" w:type="dxa"/>
        <w:jc w:val="center"/>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Layout w:type="fixed"/>
        <w:tblCellMar>
          <w:top w:w="0" w:type="dxa"/>
          <w:left w:w="0" w:type="dxa"/>
          <w:bottom w:w="0" w:type="dxa"/>
          <w:right w:w="0" w:type="dxa"/>
        </w:tblCellMar>
      </w:tblPr>
      <w:tblGrid>
        <w:gridCol w:w="884"/>
        <w:gridCol w:w="1716"/>
        <w:gridCol w:w="6910"/>
      </w:tblGrid>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91" w:hRule="exact"/>
          <w:jc w:val="center"/>
        </w:trPr>
        <w:tc>
          <w:tcPr>
            <w:tcW w:w="884" w:type="dxa"/>
            <w:tcBorders>
              <w:top w:val="single" w:color="auto" w:sz="18" w:space="0"/>
              <w:left w:val="single" w:color="auto" w:sz="18" w:space="0"/>
              <w:bottom w:val="single" w:color="auto" w:sz="8" w:space="0"/>
              <w:right w:val="single" w:color="auto" w:sz="8" w:space="0"/>
            </w:tcBorders>
            <w:vAlign w:val="center"/>
          </w:tcPr>
          <w:p>
            <w:pPr>
              <w:snapToGrid w:val="0"/>
              <w:jc w:val="center"/>
              <w:rPr>
                <w:rFonts w:ascii="宋体" w:hAnsi="宋体"/>
                <w:b/>
              </w:rPr>
            </w:pPr>
            <w:r>
              <w:rPr>
                <w:rFonts w:hint="eastAsia" w:ascii="宋体" w:hAnsi="宋体"/>
                <w:b/>
                <w:sz w:val="28"/>
                <w:szCs w:val="28"/>
                <w:lang w:val="zh-CN"/>
              </w:rPr>
              <w:t>序号</w:t>
            </w:r>
          </w:p>
        </w:tc>
        <w:tc>
          <w:tcPr>
            <w:tcW w:w="1716" w:type="dxa"/>
            <w:tcBorders>
              <w:top w:val="single" w:color="auto" w:sz="18" w:space="0"/>
              <w:left w:val="single" w:color="auto" w:sz="8" w:space="0"/>
              <w:bottom w:val="single" w:color="auto" w:sz="8" w:space="0"/>
              <w:right w:val="single" w:color="auto" w:sz="8" w:space="0"/>
            </w:tcBorders>
            <w:vAlign w:val="center"/>
          </w:tcPr>
          <w:p>
            <w:pPr>
              <w:autoSpaceDE w:val="0"/>
              <w:autoSpaceDN w:val="0"/>
              <w:adjustRightInd w:val="0"/>
              <w:spacing w:line="360" w:lineRule="auto"/>
              <w:ind w:left="38"/>
              <w:jc w:val="center"/>
              <w:rPr>
                <w:rFonts w:ascii="宋体" w:hAnsi="宋体" w:cs="宋体"/>
                <w:b/>
                <w:lang w:val="zh-CN"/>
              </w:rPr>
            </w:pPr>
            <w:r>
              <w:rPr>
                <w:rFonts w:hint="eastAsia" w:ascii="宋体" w:hAnsi="宋体" w:cs="宋体"/>
                <w:b/>
                <w:sz w:val="28"/>
                <w:szCs w:val="28"/>
                <w:lang w:val="zh-CN"/>
              </w:rPr>
              <w:t>应知事项</w:t>
            </w:r>
          </w:p>
        </w:tc>
        <w:tc>
          <w:tcPr>
            <w:tcW w:w="6910" w:type="dxa"/>
            <w:tcBorders>
              <w:top w:val="single" w:color="auto" w:sz="18" w:space="0"/>
              <w:left w:val="single" w:color="auto" w:sz="8" w:space="0"/>
              <w:bottom w:val="single" w:color="auto" w:sz="8" w:space="0"/>
              <w:right w:val="single" w:color="auto" w:sz="18" w:space="0"/>
            </w:tcBorders>
            <w:vAlign w:val="center"/>
          </w:tcPr>
          <w:p>
            <w:pPr>
              <w:autoSpaceDE w:val="0"/>
              <w:autoSpaceDN w:val="0"/>
              <w:adjustRightInd w:val="0"/>
              <w:spacing w:line="360" w:lineRule="auto"/>
              <w:jc w:val="center"/>
              <w:rPr>
                <w:rFonts w:ascii="宋体" w:hAnsi="宋体" w:cs="宋体"/>
                <w:b/>
                <w:lang w:val="zh-CN"/>
              </w:rPr>
            </w:pPr>
            <w:r>
              <w:rPr>
                <w:rFonts w:hint="eastAsia" w:ascii="宋体" w:hAnsi="宋体" w:cs="宋体"/>
                <w:b/>
                <w:sz w:val="28"/>
                <w:szCs w:val="28"/>
                <w:lang w:val="zh-CN"/>
              </w:rPr>
              <w:t>说明和要求</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703" w:hRule="exac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spacing w:line="360" w:lineRule="auto"/>
              <w:ind w:right="210" w:rightChars="100"/>
              <w:rPr>
                <w:rFonts w:ascii="宋体" w:hAnsi="宋体"/>
              </w:rPr>
            </w:pPr>
            <w:r>
              <w:rPr>
                <w:rFonts w:hint="eastAsia" w:ascii="宋体" w:hAnsi="宋体"/>
              </w:rPr>
              <w:t>采购预算</w:t>
            </w:r>
          </w:p>
        </w:tc>
        <w:tc>
          <w:tcPr>
            <w:tcW w:w="6910" w:type="dxa"/>
            <w:tcBorders>
              <w:top w:val="single" w:color="auto" w:sz="8" w:space="0"/>
              <w:left w:val="single" w:color="auto" w:sz="8" w:space="0"/>
              <w:bottom w:val="single" w:color="auto" w:sz="8" w:space="0"/>
              <w:right w:val="single" w:color="auto" w:sz="18" w:space="0"/>
            </w:tcBorders>
            <w:vAlign w:val="center"/>
          </w:tcPr>
          <w:p>
            <w:pPr>
              <w:spacing w:line="360" w:lineRule="auto"/>
              <w:ind w:right="210"/>
              <w:rPr>
                <w:rFonts w:hint="eastAsia"/>
                <w:lang w:val="zh-CN"/>
              </w:rPr>
            </w:pPr>
            <w:r>
              <w:rPr>
                <w:rFonts w:hint="eastAsia"/>
              </w:rPr>
              <w:t>人民币</w:t>
            </w:r>
            <w:r>
              <w:rPr>
                <w:rFonts w:hint="eastAsia"/>
                <w:lang w:val="en-US" w:eastAsia="zh-CN"/>
              </w:rPr>
              <w:t>823万</w:t>
            </w:r>
            <w:r>
              <w:rPr>
                <w:rFonts w:hint="eastAsia"/>
              </w:rPr>
              <w:t>元</w:t>
            </w:r>
            <w:r>
              <w:rPr>
                <w:rFonts w:hint="eastAsia"/>
                <w:lang w:val="zh-CN"/>
              </w:rPr>
              <w:t>。</w:t>
            </w:r>
          </w:p>
          <w:p>
            <w:pPr>
              <w:pStyle w:val="17"/>
              <w:rPr>
                <w:lang w:val="zh-CN"/>
              </w:rPr>
            </w:pPr>
            <w:r>
              <w:rPr>
                <w:rFonts w:hint="eastAsia"/>
                <w:b/>
                <w:lang w:val="zh-CN"/>
              </w:rPr>
              <w:t>超过采购预算的报价按无效投标文件处理。</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708" w:hRule="exac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autoSpaceDE w:val="0"/>
              <w:autoSpaceDN w:val="0"/>
              <w:adjustRightInd w:val="0"/>
              <w:spacing w:line="360" w:lineRule="auto"/>
              <w:rPr>
                <w:rFonts w:ascii="宋体" w:hAnsi="宋体" w:cs="宋体"/>
                <w:lang w:val="zh-CN"/>
              </w:rPr>
            </w:pPr>
            <w:r>
              <w:rPr>
                <w:rFonts w:hint="eastAsia" w:ascii="宋体" w:hAnsi="宋体" w:cs="宋体"/>
                <w:lang w:val="zh-CN"/>
              </w:rPr>
              <w:t>采购方式</w:t>
            </w:r>
          </w:p>
        </w:tc>
        <w:tc>
          <w:tcPr>
            <w:tcW w:w="6910" w:type="dxa"/>
            <w:tcBorders>
              <w:top w:val="single" w:color="auto" w:sz="8" w:space="0"/>
              <w:left w:val="single" w:color="auto" w:sz="8" w:space="0"/>
              <w:bottom w:val="single" w:color="auto" w:sz="8" w:space="0"/>
              <w:right w:val="single" w:color="auto" w:sz="18" w:space="0"/>
            </w:tcBorders>
            <w:vAlign w:val="center"/>
          </w:tcPr>
          <w:p>
            <w:pPr>
              <w:autoSpaceDE w:val="0"/>
              <w:autoSpaceDN w:val="0"/>
              <w:adjustRightInd w:val="0"/>
              <w:spacing w:line="360" w:lineRule="auto"/>
              <w:rPr>
                <w:rFonts w:ascii="宋体" w:hAnsi="宋体" w:cs="宋体"/>
                <w:lang w:val="zh-CN"/>
              </w:rPr>
            </w:pPr>
            <w:r>
              <w:rPr>
                <w:rFonts w:hint="eastAsia" w:ascii="宋体" w:hAnsi="宋体" w:cs="宋体"/>
                <w:lang w:val="zh-CN"/>
              </w:rPr>
              <w:t>公开招标</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64"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autoSpaceDE w:val="0"/>
              <w:autoSpaceDN w:val="0"/>
              <w:adjustRightInd w:val="0"/>
              <w:spacing w:line="360" w:lineRule="auto"/>
              <w:rPr>
                <w:rFonts w:ascii="宋体" w:hAnsi="宋体" w:cs="宋体"/>
                <w:lang w:val="zh-CN"/>
              </w:rPr>
            </w:pPr>
            <w:r>
              <w:rPr>
                <w:rFonts w:hint="eastAsia" w:ascii="宋体" w:hAnsi="宋体" w:cs="宋体"/>
                <w:lang w:val="zh-CN"/>
              </w:rPr>
              <w:t>评标方法</w:t>
            </w:r>
          </w:p>
        </w:tc>
        <w:tc>
          <w:tcPr>
            <w:tcW w:w="6910" w:type="dxa"/>
            <w:tcBorders>
              <w:top w:val="single" w:color="auto" w:sz="8" w:space="0"/>
              <w:left w:val="single" w:color="auto" w:sz="8" w:space="0"/>
              <w:bottom w:val="single" w:color="auto" w:sz="8" w:space="0"/>
              <w:right w:val="single" w:color="auto" w:sz="18" w:space="0"/>
            </w:tcBorders>
            <w:vAlign w:val="center"/>
          </w:tcPr>
          <w:p>
            <w:pPr>
              <w:autoSpaceDE w:val="0"/>
              <w:autoSpaceDN w:val="0"/>
              <w:adjustRightInd w:val="0"/>
              <w:spacing w:line="360" w:lineRule="auto"/>
              <w:rPr>
                <w:rFonts w:ascii="宋体" w:hAnsi="宋体" w:cs="宋体"/>
                <w:lang w:val="zh-CN"/>
              </w:rPr>
            </w:pPr>
            <w:r>
              <w:rPr>
                <w:rFonts w:hint="eastAsia" w:ascii="宋体" w:hAnsi="宋体" w:cs="宋体"/>
                <w:lang w:val="zh-CN"/>
              </w:rPr>
              <w:t>综合评分法(详见第6章)</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831"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autoSpaceDE w:val="0"/>
              <w:autoSpaceDN w:val="0"/>
              <w:adjustRightInd w:val="0"/>
              <w:spacing w:line="360" w:lineRule="auto"/>
              <w:ind w:right="210" w:rightChars="100"/>
              <w:rPr>
                <w:rFonts w:ascii="宋体" w:hAnsi="宋体" w:eastAsia="仿宋_GB2312" w:cs="宋体"/>
                <w:lang w:val="zh-CN"/>
              </w:rPr>
            </w:pPr>
            <w:r>
              <w:rPr>
                <w:rFonts w:hint="eastAsia" w:ascii="宋体" w:hAnsi="宋体" w:cs="宋体"/>
                <w:lang w:val="zh-CN"/>
              </w:rPr>
              <w:t>不正当竞争预防措施</w:t>
            </w:r>
          </w:p>
        </w:tc>
        <w:tc>
          <w:tcPr>
            <w:tcW w:w="6910" w:type="dxa"/>
            <w:tcBorders>
              <w:top w:val="single" w:color="auto" w:sz="8" w:space="0"/>
              <w:left w:val="single" w:color="auto" w:sz="8" w:space="0"/>
              <w:bottom w:val="single" w:color="auto" w:sz="8" w:space="0"/>
              <w:right w:val="single" w:color="auto" w:sz="18" w:space="0"/>
            </w:tcBorders>
            <w:vAlign w:val="center"/>
          </w:tcPr>
          <w:p>
            <w:pPr>
              <w:autoSpaceDE w:val="0"/>
              <w:autoSpaceDN w:val="0"/>
              <w:adjustRightInd w:val="0"/>
              <w:spacing w:line="360" w:lineRule="auto"/>
              <w:ind w:right="210" w:rightChars="100"/>
              <w:rPr>
                <w:rFonts w:ascii="宋体" w:hAnsi="宋体" w:cs="宋体"/>
              </w:rPr>
            </w:pPr>
            <w:r>
              <w:rPr>
                <w:rFonts w:hint="eastAsia" w:ascii="宋体" w:hAnsi="宋体" w:cs="宋体"/>
                <w:lang w:val="zh-CN"/>
              </w:rPr>
              <w:t>在评标过程中，评标委员会认为投标人投标报价明显低于其他通过符合性审查投标人的投标报价，有可能影响产品质量或者不能诚信履约的，评标委员会应当要求其在合理的时间内提供书面说明，必要时提交相关证明材料。投标人提交的书面说明、相关证明材料（如涉及），应当加盖投标人（法定名称）电子签章，在评标委员会要求的时间内通过政府采购云平台进行提交，否则无效。如因断电、断网、系统故障或其他不可抗力等因素，导致系统无法使用的，由投标人按评标委员会的要求进行澄清或者说明。投标人不能证明其投标报价合理性的，评标委员会应当将其投标文件作为无效处理。</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831"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autoSpaceDE w:val="0"/>
              <w:autoSpaceDN w:val="0"/>
              <w:adjustRightInd w:val="0"/>
              <w:spacing w:line="360" w:lineRule="auto"/>
              <w:ind w:right="210" w:rightChars="100"/>
              <w:rPr>
                <w:rFonts w:hint="eastAsia" w:ascii="宋体" w:hAnsi="宋体" w:cs="宋体"/>
                <w:lang w:val="zh-CN"/>
              </w:rPr>
            </w:pPr>
            <w:r>
              <w:rPr>
                <w:rFonts w:hint="eastAsia" w:ascii="宋体" w:hAnsi="宋体" w:cs="宋体"/>
                <w:lang w:val="zh-CN"/>
              </w:rPr>
              <w:t>小微企业价格扣除</w:t>
            </w:r>
          </w:p>
        </w:tc>
        <w:tc>
          <w:tcPr>
            <w:tcW w:w="6910" w:type="dxa"/>
            <w:tcBorders>
              <w:top w:val="single" w:color="auto" w:sz="8" w:space="0"/>
              <w:left w:val="single" w:color="auto" w:sz="8" w:space="0"/>
              <w:bottom w:val="single" w:color="auto" w:sz="8" w:space="0"/>
              <w:right w:val="single" w:color="auto" w:sz="18" w:space="0"/>
            </w:tcBorders>
            <w:vAlign w:val="center"/>
          </w:tcPr>
          <w:p>
            <w:pPr>
              <w:spacing w:line="360" w:lineRule="auto"/>
              <w:rPr>
                <w:rFonts w:ascii="宋体" w:hAnsi="宋体" w:cs="宋体"/>
                <w:lang w:val="zh-CN"/>
              </w:rPr>
            </w:pPr>
            <w:r>
              <w:rPr>
                <w:rFonts w:hint="eastAsia" w:ascii="宋体" w:hAnsi="宋体" w:cs="宋体"/>
                <w:lang w:val="zh-CN"/>
              </w:rPr>
              <w:t>1.根据《政府采购促进中小企业发展管理办法》（财库[2020]46号）的规定，对小微企业制造的货物的价格给予10%的价格扣除，用扣除后的价格参加评审。供应商提供的货物既有中小企业制造货物，也有大型企业制造货物的，不享受该办法</w:t>
            </w:r>
            <w:r>
              <w:rPr>
                <w:rFonts w:ascii="宋体" w:hAnsi="宋体" w:cs="宋体"/>
                <w:lang w:val="zh-CN"/>
              </w:rPr>
              <w:t>规定的中小企业</w:t>
            </w:r>
            <w:r>
              <w:rPr>
                <w:rFonts w:hint="eastAsia" w:ascii="宋体" w:hAnsi="宋体" w:cs="宋体"/>
                <w:lang w:val="zh-CN"/>
              </w:rPr>
              <w:t>扶持</w:t>
            </w:r>
            <w:r>
              <w:rPr>
                <w:rFonts w:ascii="宋体" w:hAnsi="宋体" w:cs="宋体"/>
                <w:lang w:val="zh-CN"/>
              </w:rPr>
              <w:t>政策</w:t>
            </w:r>
            <w:r>
              <w:rPr>
                <w:rFonts w:hint="eastAsia" w:ascii="宋体" w:hAnsi="宋体" w:cs="宋体"/>
                <w:lang w:val="zh-CN"/>
              </w:rPr>
              <w:t>。</w:t>
            </w:r>
          </w:p>
          <w:p>
            <w:pPr>
              <w:autoSpaceDE w:val="0"/>
              <w:autoSpaceDN w:val="0"/>
              <w:adjustRightInd w:val="0"/>
              <w:spacing w:line="360" w:lineRule="auto"/>
              <w:ind w:right="210" w:rightChars="100"/>
              <w:rPr>
                <w:rFonts w:hint="eastAsia" w:ascii="宋体" w:hAnsi="宋体" w:cs="宋体"/>
                <w:lang w:val="zh-CN"/>
              </w:rPr>
            </w:pPr>
            <w:r>
              <w:rPr>
                <w:rFonts w:hint="eastAsia" w:ascii="宋体" w:hAnsi="宋体" w:cs="宋体"/>
                <w:lang w:val="zh-CN"/>
              </w:rPr>
              <w:t>2.投标人应提供《中小企业声明函》。</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831"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autoSpaceDE w:val="0"/>
              <w:autoSpaceDN w:val="0"/>
              <w:adjustRightInd w:val="0"/>
              <w:spacing w:line="360" w:lineRule="auto"/>
              <w:ind w:right="210" w:rightChars="100"/>
              <w:rPr>
                <w:rFonts w:hint="eastAsia" w:ascii="宋体" w:hAnsi="宋体" w:cs="宋体"/>
                <w:lang w:val="zh-CN"/>
              </w:rPr>
            </w:pPr>
            <w:r>
              <w:rPr>
                <w:rFonts w:hint="eastAsia" w:ascii="宋体" w:hAnsi="宋体" w:cs="宋体"/>
                <w:lang w:val="zh-CN"/>
              </w:rPr>
              <w:t>监狱企业价格扣除</w:t>
            </w:r>
          </w:p>
        </w:tc>
        <w:tc>
          <w:tcPr>
            <w:tcW w:w="6910" w:type="dxa"/>
            <w:tcBorders>
              <w:top w:val="single" w:color="auto" w:sz="8" w:space="0"/>
              <w:left w:val="single" w:color="auto" w:sz="8" w:space="0"/>
              <w:bottom w:val="single" w:color="auto" w:sz="8" w:space="0"/>
              <w:right w:val="single" w:color="auto" w:sz="18" w:space="0"/>
            </w:tcBorders>
            <w:vAlign w:val="center"/>
          </w:tcPr>
          <w:p>
            <w:pPr>
              <w:spacing w:line="360" w:lineRule="auto"/>
              <w:rPr>
                <w:rFonts w:ascii="宋体" w:hAnsi="宋体" w:cs="宋体"/>
                <w:lang w:val="zh-CN"/>
              </w:rPr>
            </w:pPr>
            <w:r>
              <w:rPr>
                <w:rFonts w:hint="eastAsia" w:ascii="宋体" w:hAnsi="宋体" w:cs="宋体"/>
                <w:lang w:val="zh-CN"/>
              </w:rPr>
              <w:t>1.根据《关于政府采购支持监狱企业发展有关问题的通知》（财库[2014]68号）的规定，</w:t>
            </w:r>
            <w:r>
              <w:rPr>
                <w:rFonts w:hint="eastAsia" w:ascii="宋体" w:hAnsi="宋体"/>
              </w:rPr>
              <w:t>监狱企业视同小型、微型企业，</w:t>
            </w:r>
            <w:r>
              <w:rPr>
                <w:rFonts w:hint="eastAsia" w:ascii="宋体" w:hAnsi="宋体" w:cs="宋体"/>
                <w:lang w:val="zh-CN"/>
              </w:rPr>
              <w:t>对监狱企业制造的货物给予10%的价格扣除，用扣除后的价格参与评标。</w:t>
            </w:r>
          </w:p>
          <w:p>
            <w:pPr>
              <w:autoSpaceDE w:val="0"/>
              <w:autoSpaceDN w:val="0"/>
              <w:adjustRightInd w:val="0"/>
              <w:spacing w:line="360" w:lineRule="auto"/>
              <w:ind w:right="210" w:rightChars="100"/>
              <w:rPr>
                <w:rFonts w:hint="eastAsia" w:ascii="宋体" w:hAnsi="宋体" w:cs="宋体"/>
                <w:lang w:val="zh-CN"/>
              </w:rPr>
            </w:pPr>
            <w:r>
              <w:rPr>
                <w:rFonts w:hint="eastAsia" w:ascii="宋体" w:hAnsi="宋体" w:cs="宋体"/>
                <w:lang w:val="zh-CN"/>
              </w:rPr>
              <w:t>2.投标产品中为监狱企业制造的货物应提供由省级以上监狱管理局、戒毒管理局（含新疆生产建设兵团）出具的制造商属于监狱企业的证明文件复印件</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831"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autoSpaceDE w:val="0"/>
              <w:autoSpaceDN w:val="0"/>
              <w:adjustRightInd w:val="0"/>
              <w:spacing w:line="360" w:lineRule="auto"/>
              <w:ind w:right="210" w:rightChars="100"/>
              <w:rPr>
                <w:rFonts w:hint="eastAsia" w:ascii="宋体" w:hAnsi="宋体" w:cs="宋体"/>
                <w:lang w:val="zh-CN"/>
              </w:rPr>
            </w:pPr>
            <w:r>
              <w:rPr>
                <w:rFonts w:hint="eastAsia" w:ascii="宋体" w:hAnsi="宋体" w:cs="宋体"/>
                <w:lang w:val="zh-CN"/>
              </w:rPr>
              <w:t>残疾人福利性单位价格扣除</w:t>
            </w:r>
          </w:p>
        </w:tc>
        <w:tc>
          <w:tcPr>
            <w:tcW w:w="6910" w:type="dxa"/>
            <w:tcBorders>
              <w:top w:val="single" w:color="auto" w:sz="8" w:space="0"/>
              <w:left w:val="single" w:color="auto" w:sz="8" w:space="0"/>
              <w:bottom w:val="single" w:color="auto" w:sz="8" w:space="0"/>
              <w:right w:val="single" w:color="auto" w:sz="18" w:space="0"/>
            </w:tcBorders>
            <w:vAlign w:val="center"/>
          </w:tcPr>
          <w:p>
            <w:pPr>
              <w:spacing w:line="360" w:lineRule="auto"/>
              <w:rPr>
                <w:rFonts w:ascii="宋体" w:hAnsi="宋体" w:cs="宋体"/>
                <w:lang w:val="zh-CN"/>
              </w:rPr>
            </w:pPr>
            <w:r>
              <w:rPr>
                <w:rFonts w:hint="eastAsia" w:ascii="宋体" w:hAnsi="宋体" w:cs="宋体"/>
                <w:lang w:val="zh-CN"/>
              </w:rPr>
              <w:t>1.根据《三部门联合发布关于促进残疾人就业政府采购政策的通知》（财库[2017]141号）的规定，残疾人福利性单位视同小型、微型企业，对残疾人福利性单位制造的货物给予10%的价格扣除，用扣除后的价格参与评标。</w:t>
            </w:r>
          </w:p>
          <w:p>
            <w:pPr>
              <w:autoSpaceDE w:val="0"/>
              <w:autoSpaceDN w:val="0"/>
              <w:adjustRightInd w:val="0"/>
              <w:spacing w:line="360" w:lineRule="auto"/>
              <w:ind w:right="210" w:rightChars="100"/>
              <w:rPr>
                <w:rFonts w:hint="eastAsia" w:ascii="宋体" w:hAnsi="宋体" w:cs="宋体"/>
                <w:lang w:val="zh-CN"/>
              </w:rPr>
            </w:pPr>
            <w:r>
              <w:rPr>
                <w:rFonts w:hint="eastAsia" w:ascii="宋体" w:hAnsi="宋体" w:cs="宋体"/>
                <w:lang w:val="zh-CN"/>
              </w:rPr>
              <w:t>2.投标人应提供《残疾人福利性单位声明函》。</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831"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rPr>
                <w:rFonts w:hint="eastAsia" w:ascii="宋体" w:hAnsi="宋体"/>
                <w:color w:val="000000"/>
                <w:sz w:val="22"/>
                <w:szCs w:val="22"/>
              </w:rPr>
            </w:pPr>
            <w:r>
              <w:rPr>
                <w:rFonts w:ascii="宋体" w:hAnsi="宋体"/>
                <w:color w:val="000000"/>
                <w:sz w:val="22"/>
                <w:szCs w:val="22"/>
              </w:rPr>
              <w:t>政府采购节能</w:t>
            </w:r>
            <w:r>
              <w:rPr>
                <w:rFonts w:hint="eastAsia" w:ascii="宋体" w:hAnsi="宋体"/>
                <w:color w:val="000000"/>
                <w:sz w:val="22"/>
                <w:szCs w:val="22"/>
              </w:rPr>
              <w:t>、</w:t>
            </w:r>
            <w:r>
              <w:rPr>
                <w:rFonts w:ascii="宋体" w:hAnsi="宋体"/>
                <w:color w:val="000000"/>
                <w:sz w:val="22"/>
                <w:szCs w:val="22"/>
              </w:rPr>
              <w:t>环保产品</w:t>
            </w:r>
            <w:r>
              <w:rPr>
                <w:rFonts w:hint="eastAsia" w:ascii="宋体" w:hAnsi="宋体"/>
                <w:color w:val="000000"/>
                <w:sz w:val="22"/>
                <w:szCs w:val="22"/>
              </w:rPr>
              <w:t>、</w:t>
            </w:r>
            <w:r>
              <w:rPr>
                <w:rFonts w:ascii="宋体" w:hAnsi="宋体"/>
                <w:color w:val="000000"/>
                <w:sz w:val="22"/>
                <w:szCs w:val="22"/>
              </w:rPr>
              <w:t>无线局域网</w:t>
            </w:r>
            <w:r>
              <w:rPr>
                <w:rFonts w:hint="eastAsia" w:ascii="宋体" w:hAnsi="宋体"/>
                <w:color w:val="000000"/>
                <w:sz w:val="22"/>
                <w:szCs w:val="22"/>
              </w:rPr>
              <w:t>（如涉及）</w:t>
            </w:r>
          </w:p>
          <w:p>
            <w:pPr>
              <w:autoSpaceDE w:val="0"/>
              <w:autoSpaceDN w:val="0"/>
              <w:adjustRightInd w:val="0"/>
              <w:spacing w:line="360" w:lineRule="auto"/>
              <w:ind w:right="210" w:rightChars="100"/>
              <w:rPr>
                <w:rFonts w:hint="eastAsia" w:ascii="宋体" w:hAnsi="宋体" w:cs="宋体"/>
                <w:sz w:val="20"/>
                <w:szCs w:val="21"/>
                <w:lang w:val="zh-CN"/>
              </w:rPr>
            </w:pPr>
          </w:p>
        </w:tc>
        <w:tc>
          <w:tcPr>
            <w:tcW w:w="6910" w:type="dxa"/>
            <w:tcBorders>
              <w:top w:val="single" w:color="auto" w:sz="8" w:space="0"/>
              <w:left w:val="single" w:color="auto" w:sz="8" w:space="0"/>
              <w:bottom w:val="single" w:color="auto" w:sz="8" w:space="0"/>
              <w:right w:val="single" w:color="auto" w:sz="18" w:space="0"/>
            </w:tcBorders>
            <w:vAlign w:val="center"/>
          </w:tcPr>
          <w:p>
            <w:pPr>
              <w:numPr>
                <w:ilvl w:val="0"/>
                <w:numId w:val="0"/>
              </w:numPr>
              <w:rPr>
                <w:rFonts w:hint="eastAsia" w:ascii="宋体" w:hAnsi="宋体" w:eastAsia="宋体" w:cs="宋体"/>
                <w:b/>
                <w:bCs/>
                <w:color w:val="000000"/>
                <w:sz w:val="22"/>
                <w:szCs w:val="22"/>
                <w:lang w:eastAsia="zh-CN"/>
              </w:rPr>
            </w:pPr>
            <w:r>
              <w:rPr>
                <w:rFonts w:hint="eastAsia" w:ascii="宋体" w:hAnsi="宋体" w:eastAsia="宋体" w:cs="宋体"/>
                <w:b/>
                <w:bCs/>
                <w:color w:val="000000"/>
                <w:sz w:val="22"/>
                <w:szCs w:val="22"/>
                <w:lang w:val="en-US" w:eastAsia="zh-CN"/>
              </w:rPr>
              <w:t>1、</w:t>
            </w:r>
            <w:r>
              <w:rPr>
                <w:rFonts w:hint="eastAsia" w:ascii="宋体" w:hAnsi="宋体" w:eastAsia="宋体" w:cs="宋体"/>
                <w:b/>
                <w:bCs/>
                <w:color w:val="000000"/>
                <w:sz w:val="22"/>
                <w:szCs w:val="22"/>
                <w:lang w:eastAsia="zh-CN"/>
              </w:rPr>
              <w:t>节能、环保产品政府采购政策：</w:t>
            </w:r>
          </w:p>
          <w:p>
            <w:pPr>
              <w:rPr>
                <w:rFonts w:hint="eastAsia" w:ascii="宋体" w:hAnsi="宋体" w:cs="宋体"/>
                <w:color w:val="000000"/>
                <w:kern w:val="0"/>
                <w:sz w:val="22"/>
                <w:szCs w:val="22"/>
                <w:lang w:eastAsia="zh-CN"/>
              </w:rPr>
            </w:pPr>
            <w:r>
              <w:rPr>
                <w:rFonts w:hint="eastAsia" w:ascii="宋体" w:hAnsi="宋体" w:cs="宋体"/>
                <w:color w:val="000000"/>
                <w:sz w:val="24"/>
                <w:szCs w:val="24"/>
                <w:lang w:val="en-US" w:eastAsia="zh-CN"/>
              </w:rPr>
              <w:t xml:space="preserve">  </w:t>
            </w:r>
            <w:r>
              <w:rPr>
                <w:rFonts w:hint="eastAsia" w:ascii="宋体" w:hAnsi="宋体" w:cs="宋体"/>
                <w:color w:val="000000"/>
                <w:kern w:val="0"/>
                <w:sz w:val="22"/>
                <w:szCs w:val="22"/>
                <w:lang w:val="en-US" w:eastAsia="zh-CN"/>
              </w:rPr>
              <w:t xml:space="preserve"> </w:t>
            </w:r>
            <w:r>
              <w:rPr>
                <w:rFonts w:hint="eastAsia" w:ascii="宋体" w:hAnsi="宋体" w:cs="宋体"/>
                <w:color w:val="000000"/>
                <w:kern w:val="0"/>
                <w:sz w:val="22"/>
                <w:szCs w:val="22"/>
                <w:lang w:eastAsia="zh-CN"/>
              </w:rPr>
              <w:t>根据《财政部</w:t>
            </w:r>
            <w:r>
              <w:rPr>
                <w:rFonts w:hint="eastAsia" w:ascii="宋体" w:hAnsi="宋体" w:cs="宋体"/>
                <w:color w:val="000000"/>
                <w:kern w:val="0"/>
                <w:sz w:val="22"/>
                <w:szCs w:val="22"/>
                <w:lang w:val="en-US" w:eastAsia="zh-CN"/>
              </w:rPr>
              <w:t xml:space="preserve">  发展改革委 生态环境部 市场监管总局关于调整优化节能产品、环境标志产品政府采购执行机制的通知</w:t>
            </w:r>
            <w:r>
              <w:rPr>
                <w:rFonts w:hint="eastAsia" w:ascii="宋体" w:hAnsi="宋体" w:cs="宋体"/>
                <w:color w:val="000000"/>
                <w:kern w:val="0"/>
                <w:sz w:val="22"/>
                <w:szCs w:val="22"/>
                <w:lang w:eastAsia="zh-CN"/>
              </w:rPr>
              <w:t>》（财库</w:t>
            </w:r>
            <w:r>
              <w:rPr>
                <w:rFonts w:hint="eastAsia" w:ascii="宋体" w:hAnsi="宋体" w:cs="宋体"/>
                <w:color w:val="000000"/>
                <w:kern w:val="0"/>
                <w:sz w:val="22"/>
                <w:szCs w:val="22"/>
              </w:rPr>
              <w:t>〔</w:t>
            </w:r>
            <w:r>
              <w:rPr>
                <w:rFonts w:hint="eastAsia" w:ascii="宋体" w:hAnsi="宋体" w:cs="宋体"/>
                <w:color w:val="000000"/>
                <w:kern w:val="0"/>
                <w:sz w:val="22"/>
                <w:szCs w:val="22"/>
                <w:lang w:val="en-US" w:eastAsia="zh-CN"/>
              </w:rPr>
              <w:t>2019</w:t>
            </w:r>
            <w:r>
              <w:rPr>
                <w:rFonts w:hint="eastAsia" w:ascii="宋体" w:hAnsi="宋体" w:cs="宋体"/>
                <w:color w:val="000000"/>
                <w:kern w:val="0"/>
                <w:sz w:val="22"/>
                <w:szCs w:val="22"/>
              </w:rPr>
              <w:t>〕</w:t>
            </w:r>
            <w:r>
              <w:rPr>
                <w:rFonts w:hint="eastAsia" w:ascii="宋体" w:hAnsi="宋体" w:cs="宋体"/>
                <w:color w:val="000000"/>
                <w:kern w:val="0"/>
                <w:sz w:val="22"/>
                <w:szCs w:val="22"/>
                <w:lang w:val="en-US" w:eastAsia="zh-CN"/>
              </w:rPr>
              <w:t>9号</w:t>
            </w:r>
            <w:r>
              <w:rPr>
                <w:rFonts w:hint="eastAsia" w:ascii="宋体" w:hAnsi="宋体" w:cs="宋体"/>
                <w:color w:val="000000"/>
                <w:kern w:val="0"/>
                <w:sz w:val="22"/>
                <w:szCs w:val="22"/>
                <w:lang w:eastAsia="zh-CN"/>
              </w:rPr>
              <w:t>）相关要求，依据品目清单和认证证书实施政府优先采购和强制采购。本项目采购的产品属于品目清单范围的，依据国家确定的认证机构出具的、处于有效期之内的节能产品、环境标志产品认证证书，对获得证书的产品实施政府优先采购或强制采购。</w:t>
            </w:r>
          </w:p>
          <w:p>
            <w:pPr>
              <w:rPr>
                <w:rFonts w:hint="eastAsia" w:ascii="宋体" w:hAnsi="宋体" w:cs="宋体"/>
                <w:color w:val="000000"/>
                <w:kern w:val="0"/>
                <w:sz w:val="22"/>
                <w:szCs w:val="22"/>
                <w:lang w:eastAsia="zh-CN"/>
              </w:rPr>
            </w:pPr>
            <w:r>
              <w:rPr>
                <w:rFonts w:hint="eastAsia" w:ascii="宋体" w:hAnsi="宋体" w:cs="宋体"/>
                <w:color w:val="000000"/>
                <w:kern w:val="0"/>
                <w:sz w:val="22"/>
                <w:szCs w:val="22"/>
                <w:lang w:val="en-US" w:eastAsia="zh-CN"/>
              </w:rPr>
              <w:t xml:space="preserve">   </w:t>
            </w:r>
            <w:r>
              <w:rPr>
                <w:rFonts w:hint="eastAsia" w:ascii="宋体" w:hAnsi="宋体" w:cs="宋体"/>
                <w:color w:val="FF0000"/>
                <w:kern w:val="0"/>
                <w:sz w:val="22"/>
                <w:szCs w:val="22"/>
                <w:highlight w:val="yellow"/>
                <w:lang w:eastAsia="zh-CN"/>
              </w:rPr>
              <w:t>本项目采购的产品属于品目清单范围内强制采购的，供应商应按上述要求提供产品认证证书复印件并加盖供应商单位公章，否则响应文件无效。（实质性要求）</w:t>
            </w:r>
          </w:p>
          <w:p>
            <w:pPr>
              <w:rPr>
                <w:rFonts w:hint="eastAsia" w:ascii="宋体" w:hAnsi="宋体" w:cs="宋体"/>
                <w:color w:val="000000"/>
                <w:kern w:val="0"/>
                <w:sz w:val="22"/>
                <w:szCs w:val="22"/>
                <w:lang w:eastAsia="zh-CN"/>
              </w:rPr>
            </w:pPr>
            <w:r>
              <w:rPr>
                <w:rFonts w:hint="eastAsia" w:ascii="宋体" w:hAnsi="宋体" w:cs="宋体"/>
                <w:color w:val="000000"/>
                <w:kern w:val="0"/>
                <w:sz w:val="22"/>
                <w:szCs w:val="22"/>
                <w:lang w:val="en-US" w:eastAsia="zh-CN"/>
              </w:rPr>
              <w:t xml:space="preserve">   </w:t>
            </w:r>
            <w:r>
              <w:rPr>
                <w:rFonts w:hint="eastAsia" w:ascii="宋体" w:hAnsi="宋体" w:cs="宋体"/>
                <w:color w:val="000000"/>
                <w:kern w:val="0"/>
                <w:sz w:val="22"/>
                <w:szCs w:val="22"/>
                <w:lang w:eastAsia="zh-CN"/>
              </w:rPr>
              <w:t>本项目采购的产品属于品目清单范围内优先采购的，按照第6章评分的规则进行加分。</w:t>
            </w:r>
          </w:p>
          <w:p>
            <w:pPr>
              <w:rPr>
                <w:rFonts w:hint="eastAsia" w:ascii="宋体" w:hAnsi="宋体" w:cs="宋体"/>
                <w:color w:val="000000"/>
                <w:kern w:val="0"/>
                <w:sz w:val="22"/>
                <w:szCs w:val="22"/>
                <w:lang w:eastAsia="zh-CN"/>
              </w:rPr>
            </w:pPr>
            <w:r>
              <w:rPr>
                <w:rFonts w:hint="eastAsia" w:ascii="宋体" w:hAnsi="宋体" w:cs="宋体"/>
                <w:color w:val="000000"/>
                <w:kern w:val="0"/>
                <w:sz w:val="22"/>
                <w:szCs w:val="22"/>
                <w:lang w:eastAsia="zh-CN"/>
              </w:rPr>
              <w:t>注：对政府采购节能产品、环境标志产品实施品目清单管理。财政部、发展改革委、生态环境部等部门根据产品节能环保性能、技术水平和市场成熟程度等因素，确定实施政府优先采购和强制采购的产品类别及所依据的相关标准规范，以品目清单的形式发布并适时调整。</w:t>
            </w:r>
          </w:p>
          <w:p>
            <w:pPr>
              <w:numPr>
                <w:ilvl w:val="0"/>
                <w:numId w:val="0"/>
              </w:numPr>
              <w:rPr>
                <w:rFonts w:hint="eastAsia" w:ascii="宋体" w:hAnsi="宋体" w:eastAsia="宋体" w:cs="宋体"/>
                <w:b/>
                <w:bCs/>
                <w:color w:val="000000"/>
                <w:sz w:val="22"/>
                <w:szCs w:val="22"/>
                <w:lang w:eastAsia="zh-CN"/>
              </w:rPr>
            </w:pPr>
            <w:r>
              <w:rPr>
                <w:rFonts w:hint="eastAsia" w:ascii="宋体" w:hAnsi="宋体" w:eastAsia="宋体" w:cs="宋体"/>
                <w:b/>
                <w:bCs/>
                <w:color w:val="000000"/>
                <w:sz w:val="22"/>
                <w:szCs w:val="22"/>
                <w:lang w:val="en-US" w:eastAsia="zh-CN"/>
              </w:rPr>
              <w:t>2、</w:t>
            </w:r>
            <w:r>
              <w:rPr>
                <w:rFonts w:hint="eastAsia" w:ascii="宋体" w:hAnsi="宋体" w:eastAsia="宋体" w:cs="宋体"/>
                <w:b/>
                <w:bCs/>
                <w:color w:val="000000"/>
                <w:sz w:val="22"/>
                <w:szCs w:val="22"/>
                <w:lang w:eastAsia="zh-CN"/>
              </w:rPr>
              <w:t>无线局域网产品政府采购政策：</w:t>
            </w:r>
          </w:p>
          <w:p>
            <w:pPr>
              <w:rPr>
                <w:rFonts w:hint="eastAsia" w:ascii="宋体" w:hAnsi="宋体" w:cs="宋体"/>
                <w:color w:val="000000"/>
                <w:kern w:val="0"/>
                <w:sz w:val="22"/>
                <w:szCs w:val="22"/>
              </w:rPr>
            </w:pPr>
            <w:r>
              <w:rPr>
                <w:rFonts w:hint="eastAsia" w:ascii="宋体" w:hAnsi="宋体" w:cs="宋体"/>
                <w:color w:val="000000"/>
                <w:sz w:val="24"/>
                <w:szCs w:val="24"/>
                <w:lang w:val="en-US" w:eastAsia="zh-CN"/>
              </w:rPr>
              <w:t xml:space="preserve">   </w:t>
            </w:r>
            <w:r>
              <w:rPr>
                <w:rFonts w:ascii="宋体" w:hAnsi="宋体" w:cs="宋体"/>
                <w:color w:val="000000"/>
                <w:kern w:val="0"/>
                <w:sz w:val="22"/>
                <w:szCs w:val="22"/>
              </w:rPr>
              <w:t xml:space="preserve">根据《无线局域网产品政府采购实施意见》（财库［2005］366号）的规定，采购人用财政性资金采购无线局域网产品和含有无线局域网功能的计算机、通信设备、打印机、复印机、投影仪等产品的，应当优先采购符合国家无线局域网安全标准（GB 15629.11/1102）并通过国家产品认证的产品。其中，国家有特殊信息安全要求的项目必须采购认证产品。 </w:t>
            </w:r>
            <w:r>
              <w:rPr>
                <w:rFonts w:hint="eastAsia" w:ascii="宋体" w:hAnsi="宋体" w:cs="宋体"/>
                <w:color w:val="000000"/>
                <w:kern w:val="0"/>
                <w:sz w:val="22"/>
                <w:szCs w:val="22"/>
                <w:lang w:eastAsia="zh-CN"/>
              </w:rPr>
              <w:t>供应商提供的</w:t>
            </w:r>
            <w:r>
              <w:rPr>
                <w:rFonts w:ascii="宋体" w:hAnsi="宋体" w:cs="宋体"/>
                <w:color w:val="000000"/>
                <w:kern w:val="0"/>
                <w:sz w:val="22"/>
                <w:szCs w:val="22"/>
              </w:rPr>
              <w:t>产品须符合无线局域网 GB15629.11</w:t>
            </w:r>
            <w:r>
              <w:rPr>
                <w:rFonts w:hint="eastAsia" w:ascii="宋体" w:hAnsi="宋体" w:cs="宋体"/>
                <w:color w:val="000000"/>
                <w:kern w:val="0"/>
                <w:sz w:val="22"/>
                <w:szCs w:val="22"/>
              </w:rPr>
              <w:t>系列国家标准的相关要求。</w:t>
            </w:r>
            <w:r>
              <w:rPr>
                <w:rFonts w:hint="eastAsia" w:ascii="宋体" w:hAnsi="宋体" w:cs="宋体"/>
                <w:color w:val="000000"/>
                <w:kern w:val="0"/>
                <w:sz w:val="22"/>
                <w:szCs w:val="22"/>
                <w:lang w:eastAsia="zh-CN"/>
              </w:rPr>
              <w:t>（实质性要求）</w:t>
            </w:r>
          </w:p>
          <w:p>
            <w:pPr>
              <w:autoSpaceDE w:val="0"/>
              <w:autoSpaceDN w:val="0"/>
              <w:adjustRightInd w:val="0"/>
              <w:spacing w:line="360" w:lineRule="auto"/>
              <w:ind w:right="210" w:rightChars="100"/>
              <w:rPr>
                <w:rFonts w:hint="eastAsia" w:ascii="宋体" w:hAnsi="宋体" w:cs="宋体"/>
                <w:sz w:val="20"/>
                <w:szCs w:val="21"/>
                <w:lang w:val="zh-CN"/>
              </w:rPr>
            </w:pPr>
            <w:r>
              <w:rPr>
                <w:rFonts w:hint="eastAsia" w:ascii="宋体" w:hAnsi="宋体" w:cs="宋体"/>
                <w:color w:val="000000"/>
                <w:kern w:val="0"/>
                <w:sz w:val="22"/>
                <w:szCs w:val="22"/>
                <w:lang w:val="en-US" w:eastAsia="zh-CN"/>
              </w:rPr>
              <w:t xml:space="preserve">  </w:t>
            </w:r>
            <w:r>
              <w:rPr>
                <w:rFonts w:hint="eastAsia" w:ascii="宋体" w:hAnsi="宋体" w:cs="宋体"/>
                <w:color w:val="000000"/>
                <w:kern w:val="0"/>
                <w:sz w:val="22"/>
                <w:szCs w:val="22"/>
                <w:lang w:eastAsia="zh-CN"/>
              </w:rPr>
              <w:t>本项目采购的产品属于中国政府采购网公布的《无线局域网认证产品政府采购清单》的，将按照第6章评分标准的规则进行加分。</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841"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autoSpaceDE w:val="0"/>
              <w:autoSpaceDN w:val="0"/>
              <w:adjustRightInd w:val="0"/>
              <w:spacing w:line="360" w:lineRule="auto"/>
              <w:rPr>
                <w:rFonts w:ascii="宋体" w:hAnsi="宋体" w:cs="宋体"/>
                <w:lang w:val="zh-CN"/>
              </w:rPr>
            </w:pPr>
            <w:r>
              <w:rPr>
                <w:rFonts w:hint="eastAsia" w:ascii="宋体" w:hAnsi="宋体" w:cs="宋体"/>
                <w:lang w:val="zh-CN"/>
              </w:rPr>
              <w:t>投标保证金</w:t>
            </w:r>
          </w:p>
        </w:tc>
        <w:tc>
          <w:tcPr>
            <w:tcW w:w="6910" w:type="dxa"/>
            <w:tcBorders>
              <w:top w:val="single" w:color="auto" w:sz="8" w:space="0"/>
              <w:left w:val="single" w:color="auto" w:sz="8" w:space="0"/>
              <w:bottom w:val="single" w:color="auto" w:sz="8" w:space="0"/>
              <w:right w:val="single" w:color="auto" w:sz="18" w:space="0"/>
            </w:tcBorders>
            <w:vAlign w:val="center"/>
          </w:tcPr>
          <w:p>
            <w:pPr>
              <w:spacing w:line="360" w:lineRule="auto"/>
              <w:rPr>
                <w:rFonts w:ascii="宋体" w:hAnsi="宋体"/>
              </w:rPr>
            </w:pPr>
            <w:r>
              <w:rPr>
                <w:rFonts w:hint="eastAsia" w:ascii="宋体" w:hAnsi="宋体"/>
                <w:b/>
              </w:rPr>
              <w:t>本项目不收取投标保证金。</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98"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spacing w:line="360" w:lineRule="auto"/>
              <w:rPr>
                <w:rFonts w:ascii="宋体" w:hAnsi="宋体" w:cs="宋体"/>
                <w:lang w:val="zh-CN"/>
              </w:rPr>
            </w:pPr>
            <w:r>
              <w:rPr>
                <w:rFonts w:hint="eastAsia" w:ascii="宋体" w:hAnsi="宋体" w:cs="宋体"/>
                <w:lang w:val="zh-CN"/>
              </w:rPr>
              <w:t>履约保证金</w:t>
            </w:r>
            <w:r>
              <w:rPr>
                <w:rFonts w:hint="eastAsia" w:ascii="仿宋" w:hAnsi="仿宋" w:eastAsia="仿宋"/>
                <w:szCs w:val="21"/>
                <w:lang w:val="zh-CN"/>
              </w:rPr>
              <w:t>（</w:t>
            </w:r>
            <w:r>
              <w:rPr>
                <w:rFonts w:ascii="仿宋" w:hAnsi="仿宋" w:eastAsia="仿宋"/>
                <w:szCs w:val="21"/>
                <w:lang w:val="zh-CN"/>
              </w:rPr>
              <w:t>实质性</w:t>
            </w:r>
            <w:r>
              <w:rPr>
                <w:rFonts w:hint="eastAsia" w:ascii="仿宋" w:hAnsi="仿宋" w:eastAsia="仿宋"/>
                <w:szCs w:val="21"/>
                <w:lang w:val="zh-CN"/>
              </w:rPr>
              <w:t>要求）</w:t>
            </w:r>
          </w:p>
        </w:tc>
        <w:tc>
          <w:tcPr>
            <w:tcW w:w="6910" w:type="dxa"/>
            <w:tcBorders>
              <w:top w:val="single" w:color="auto" w:sz="8" w:space="0"/>
              <w:left w:val="single" w:color="auto" w:sz="8" w:space="0"/>
              <w:bottom w:val="single" w:color="auto" w:sz="8" w:space="0"/>
              <w:right w:val="single" w:color="auto" w:sz="18" w:space="0"/>
            </w:tcBorders>
            <w:vAlign w:val="center"/>
          </w:tcPr>
          <w:p>
            <w:pPr>
              <w:spacing w:line="360" w:lineRule="auto"/>
              <w:rPr>
                <w:rFonts w:ascii="宋体" w:hAnsi="宋体" w:cs="宋体"/>
                <w:lang w:val="zh-CN"/>
              </w:rPr>
            </w:pPr>
            <w:r>
              <w:rPr>
                <w:rFonts w:hint="eastAsia" w:ascii="宋体" w:hAnsi="宋体" w:cs="宋体"/>
                <w:lang w:val="zh-CN"/>
              </w:rPr>
              <w:t>详见投标人须知2.6.4</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98"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spacing w:line="360" w:lineRule="auto"/>
              <w:rPr>
                <w:rFonts w:ascii="宋体" w:hAnsi="宋体" w:cs="宋体"/>
                <w:lang w:val="zh-CN"/>
              </w:rPr>
            </w:pPr>
            <w:r>
              <w:rPr>
                <w:rFonts w:hint="eastAsia" w:ascii="宋体" w:hAnsi="宋体" w:cs="宋体"/>
                <w:lang w:val="zh-CN"/>
              </w:rPr>
              <w:t>投标有效期</w:t>
            </w:r>
            <w:r>
              <w:rPr>
                <w:rFonts w:hint="eastAsia" w:ascii="仿宋" w:hAnsi="仿宋" w:eastAsia="仿宋"/>
                <w:szCs w:val="21"/>
                <w:lang w:val="zh-CN"/>
              </w:rPr>
              <w:t>（</w:t>
            </w:r>
            <w:r>
              <w:rPr>
                <w:rFonts w:ascii="仿宋" w:hAnsi="仿宋" w:eastAsia="仿宋"/>
                <w:szCs w:val="21"/>
                <w:lang w:val="zh-CN"/>
              </w:rPr>
              <w:t>实质性</w:t>
            </w:r>
            <w:r>
              <w:rPr>
                <w:rFonts w:hint="eastAsia" w:ascii="仿宋" w:hAnsi="仿宋" w:eastAsia="仿宋"/>
                <w:szCs w:val="21"/>
                <w:lang w:val="zh-CN"/>
              </w:rPr>
              <w:t>要求）</w:t>
            </w:r>
          </w:p>
        </w:tc>
        <w:tc>
          <w:tcPr>
            <w:tcW w:w="6910" w:type="dxa"/>
            <w:tcBorders>
              <w:top w:val="single" w:color="auto" w:sz="8" w:space="0"/>
              <w:left w:val="single" w:color="auto" w:sz="8" w:space="0"/>
              <w:bottom w:val="single" w:color="auto" w:sz="8" w:space="0"/>
              <w:right w:val="single" w:color="auto" w:sz="18" w:space="0"/>
            </w:tcBorders>
            <w:vAlign w:val="center"/>
          </w:tcPr>
          <w:p>
            <w:pPr>
              <w:spacing w:line="360" w:lineRule="auto"/>
              <w:rPr>
                <w:rFonts w:ascii="宋体" w:hAnsi="宋体" w:cs="宋体"/>
                <w:lang w:val="zh-CN"/>
              </w:rPr>
            </w:pPr>
            <w:r>
              <w:rPr>
                <w:rFonts w:hint="eastAsia" w:ascii="宋体" w:hAnsi="宋体" w:cs="宋体"/>
                <w:lang w:val="zh-CN"/>
              </w:rPr>
              <w:t>提交投标文件的截止之日起</w:t>
            </w:r>
            <w:r>
              <w:rPr>
                <w:rFonts w:hint="eastAsia" w:ascii="宋体" w:hAnsi="宋体" w:cs="宋体"/>
                <w:u w:val="single"/>
                <w:lang w:val="zh-CN"/>
              </w:rPr>
              <w:t>120</w:t>
            </w:r>
            <w:r>
              <w:rPr>
                <w:rFonts w:hint="eastAsia" w:ascii="宋体" w:hAnsi="宋体" w:cs="宋体"/>
                <w:lang w:val="zh-CN"/>
              </w:rPr>
              <w:t>天。</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98"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tabs>
                <w:tab w:val="left" w:pos="7665"/>
              </w:tabs>
              <w:snapToGrid w:val="0"/>
              <w:jc w:val="left"/>
              <w:rPr>
                <w:rFonts w:ascii="宋体" w:hAnsi="宋体"/>
              </w:rPr>
            </w:pPr>
            <w:r>
              <w:rPr>
                <w:rFonts w:hint="eastAsia" w:ascii="宋体" w:hAnsi="宋体"/>
              </w:rPr>
              <w:t>投标文件的制作和签章、加密</w:t>
            </w:r>
            <w:r>
              <w:rPr>
                <w:rFonts w:hint="eastAsia" w:ascii="仿宋" w:hAnsi="仿宋" w:eastAsia="仿宋"/>
                <w:szCs w:val="21"/>
                <w:lang w:val="zh-CN"/>
              </w:rPr>
              <w:t>（</w:t>
            </w:r>
            <w:r>
              <w:rPr>
                <w:rFonts w:ascii="仿宋" w:hAnsi="仿宋" w:eastAsia="仿宋"/>
                <w:szCs w:val="21"/>
                <w:lang w:val="zh-CN"/>
              </w:rPr>
              <w:t>实质性</w:t>
            </w:r>
            <w:r>
              <w:rPr>
                <w:rFonts w:hint="eastAsia" w:ascii="仿宋" w:hAnsi="仿宋" w:eastAsia="仿宋"/>
                <w:szCs w:val="21"/>
                <w:lang w:val="zh-CN"/>
              </w:rPr>
              <w:t>要求）</w:t>
            </w:r>
          </w:p>
        </w:tc>
        <w:tc>
          <w:tcPr>
            <w:tcW w:w="6910" w:type="dxa"/>
            <w:tcBorders>
              <w:top w:val="single" w:color="auto" w:sz="8" w:space="0"/>
              <w:left w:val="single" w:color="auto" w:sz="8" w:space="0"/>
              <w:bottom w:val="single" w:color="auto" w:sz="8" w:space="0"/>
              <w:right w:val="single" w:color="auto" w:sz="18" w:space="0"/>
            </w:tcBorders>
            <w:vAlign w:val="center"/>
          </w:tcPr>
          <w:p>
            <w:pPr>
              <w:tabs>
                <w:tab w:val="left" w:pos="7665"/>
              </w:tabs>
              <w:snapToGrid w:val="0"/>
              <w:jc w:val="left"/>
              <w:rPr>
                <w:rFonts w:ascii="宋体" w:hAnsi="宋体"/>
              </w:rPr>
            </w:pPr>
            <w:r>
              <w:rPr>
                <w:rFonts w:hint="eastAsia" w:ascii="宋体" w:hAnsi="宋体"/>
              </w:rPr>
              <w:t>详见投标人须知2.4.11</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98"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tabs>
                <w:tab w:val="left" w:pos="7665"/>
              </w:tabs>
              <w:snapToGrid w:val="0"/>
              <w:jc w:val="left"/>
              <w:rPr>
                <w:rFonts w:ascii="宋体" w:hAnsi="宋体"/>
              </w:rPr>
            </w:pPr>
            <w:r>
              <w:rPr>
                <w:rFonts w:hint="eastAsia" w:ascii="宋体" w:hAnsi="宋体"/>
              </w:rPr>
              <w:t>投标文件的提交</w:t>
            </w:r>
            <w:r>
              <w:rPr>
                <w:rFonts w:hint="eastAsia" w:ascii="仿宋" w:hAnsi="仿宋" w:eastAsia="仿宋"/>
                <w:szCs w:val="21"/>
                <w:lang w:val="zh-CN"/>
              </w:rPr>
              <w:t>（</w:t>
            </w:r>
            <w:r>
              <w:rPr>
                <w:rFonts w:ascii="仿宋" w:hAnsi="仿宋" w:eastAsia="仿宋"/>
                <w:szCs w:val="21"/>
                <w:lang w:val="zh-CN"/>
              </w:rPr>
              <w:t>实质性</w:t>
            </w:r>
            <w:r>
              <w:rPr>
                <w:rFonts w:hint="eastAsia" w:ascii="仿宋" w:hAnsi="仿宋" w:eastAsia="仿宋"/>
                <w:szCs w:val="21"/>
                <w:lang w:val="zh-CN"/>
              </w:rPr>
              <w:t>要求）</w:t>
            </w:r>
          </w:p>
        </w:tc>
        <w:tc>
          <w:tcPr>
            <w:tcW w:w="6910" w:type="dxa"/>
            <w:tcBorders>
              <w:top w:val="single" w:color="auto" w:sz="8" w:space="0"/>
              <w:left w:val="single" w:color="auto" w:sz="8" w:space="0"/>
              <w:bottom w:val="single" w:color="auto" w:sz="8" w:space="0"/>
              <w:right w:val="single" w:color="auto" w:sz="18" w:space="0"/>
            </w:tcBorders>
            <w:vAlign w:val="center"/>
          </w:tcPr>
          <w:p>
            <w:pPr>
              <w:tabs>
                <w:tab w:val="left" w:pos="7665"/>
              </w:tabs>
              <w:snapToGrid w:val="0"/>
              <w:jc w:val="left"/>
              <w:rPr>
                <w:rFonts w:ascii="宋体" w:hAnsi="宋体"/>
              </w:rPr>
            </w:pPr>
            <w:r>
              <w:rPr>
                <w:rFonts w:hint="eastAsia" w:ascii="宋体" w:hAnsi="宋体"/>
              </w:rPr>
              <w:t>详见投标人须知2.4.12</w:t>
            </w:r>
          </w:p>
          <w:p>
            <w:pPr>
              <w:tabs>
                <w:tab w:val="left" w:pos="7665"/>
              </w:tabs>
              <w:snapToGrid w:val="0"/>
              <w:jc w:val="left"/>
              <w:rPr>
                <w:b/>
              </w:rPr>
            </w:pPr>
            <w:r>
              <w:rPr>
                <w:rFonts w:hint="eastAsia" w:ascii="宋体" w:hAnsi="宋体"/>
                <w:b/>
              </w:rPr>
              <w:t>注：投标人使用</w:t>
            </w:r>
            <w:r>
              <w:rPr>
                <w:rFonts w:ascii="宋体" w:hAnsi="宋体"/>
                <w:b/>
              </w:rPr>
              <w:t>CA证书在</w:t>
            </w:r>
            <w:r>
              <w:rPr>
                <w:rFonts w:hint="eastAsia" w:ascii="宋体" w:hAnsi="宋体"/>
                <w:b/>
              </w:rPr>
              <w:t>投标截止时间前，将电子投标文件上传至政府</w:t>
            </w:r>
            <w:r>
              <w:rPr>
                <w:rFonts w:ascii="宋体" w:hAnsi="宋体"/>
                <w:b/>
              </w:rPr>
              <w:t>采购</w:t>
            </w:r>
            <w:r>
              <w:rPr>
                <w:rFonts w:hint="eastAsia" w:ascii="宋体" w:hAnsi="宋体"/>
                <w:b/>
              </w:rPr>
              <w:t>云平台，上传前须对电子投标文件是否有电子签章等进行核对。</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98"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tabs>
                <w:tab w:val="left" w:pos="7665"/>
              </w:tabs>
              <w:snapToGrid w:val="0"/>
              <w:jc w:val="left"/>
              <w:rPr>
                <w:rFonts w:ascii="宋体" w:hAnsi="宋体"/>
              </w:rPr>
            </w:pPr>
            <w:r>
              <w:rPr>
                <w:rFonts w:hint="eastAsia" w:ascii="宋体" w:hAnsi="宋体"/>
              </w:rPr>
              <w:t>投标文件的补充、修改</w:t>
            </w:r>
            <w:r>
              <w:rPr>
                <w:rFonts w:hint="eastAsia" w:ascii="仿宋" w:hAnsi="仿宋" w:eastAsia="仿宋"/>
                <w:szCs w:val="21"/>
                <w:lang w:val="zh-CN"/>
              </w:rPr>
              <w:t>（</w:t>
            </w:r>
            <w:r>
              <w:rPr>
                <w:rFonts w:ascii="仿宋" w:hAnsi="仿宋" w:eastAsia="仿宋"/>
                <w:szCs w:val="21"/>
                <w:lang w:val="zh-CN"/>
              </w:rPr>
              <w:t>实质性</w:t>
            </w:r>
            <w:r>
              <w:rPr>
                <w:rFonts w:hint="eastAsia" w:ascii="仿宋" w:hAnsi="仿宋" w:eastAsia="仿宋"/>
                <w:szCs w:val="21"/>
                <w:lang w:val="zh-CN"/>
              </w:rPr>
              <w:t>要求）</w:t>
            </w:r>
          </w:p>
        </w:tc>
        <w:tc>
          <w:tcPr>
            <w:tcW w:w="6910" w:type="dxa"/>
            <w:tcBorders>
              <w:top w:val="single" w:color="auto" w:sz="8" w:space="0"/>
              <w:left w:val="single" w:color="auto" w:sz="8" w:space="0"/>
              <w:bottom w:val="single" w:color="auto" w:sz="8" w:space="0"/>
              <w:right w:val="single" w:color="auto" w:sz="18" w:space="0"/>
            </w:tcBorders>
            <w:vAlign w:val="center"/>
          </w:tcPr>
          <w:p>
            <w:pPr>
              <w:tabs>
                <w:tab w:val="left" w:pos="7665"/>
              </w:tabs>
              <w:snapToGrid w:val="0"/>
              <w:jc w:val="left"/>
              <w:rPr>
                <w:rFonts w:ascii="宋体" w:hAnsi="宋体"/>
              </w:rPr>
            </w:pPr>
            <w:r>
              <w:rPr>
                <w:rFonts w:hint="eastAsia" w:ascii="宋体" w:hAnsi="宋体"/>
              </w:rPr>
              <w:t>详见投标人须知2.4.13</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98"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tabs>
                <w:tab w:val="left" w:pos="7665"/>
              </w:tabs>
              <w:snapToGrid w:val="0"/>
              <w:jc w:val="left"/>
              <w:rPr>
                <w:rFonts w:ascii="宋体" w:hAnsi="宋体"/>
              </w:rPr>
            </w:pPr>
            <w:r>
              <w:rPr>
                <w:rFonts w:hint="eastAsia" w:ascii="宋体" w:hAnsi="宋体"/>
              </w:rPr>
              <w:t>投标文件的撤回</w:t>
            </w:r>
            <w:r>
              <w:rPr>
                <w:rFonts w:hint="eastAsia" w:ascii="仿宋" w:hAnsi="仿宋" w:eastAsia="仿宋"/>
                <w:szCs w:val="21"/>
                <w:lang w:val="zh-CN"/>
              </w:rPr>
              <w:t>（</w:t>
            </w:r>
            <w:r>
              <w:rPr>
                <w:rFonts w:ascii="仿宋" w:hAnsi="仿宋" w:eastAsia="仿宋"/>
                <w:szCs w:val="21"/>
                <w:lang w:val="zh-CN"/>
              </w:rPr>
              <w:t>实质性</w:t>
            </w:r>
            <w:r>
              <w:rPr>
                <w:rFonts w:hint="eastAsia" w:ascii="仿宋" w:hAnsi="仿宋" w:eastAsia="仿宋"/>
                <w:szCs w:val="21"/>
                <w:lang w:val="zh-CN"/>
              </w:rPr>
              <w:t>要求）</w:t>
            </w:r>
          </w:p>
        </w:tc>
        <w:tc>
          <w:tcPr>
            <w:tcW w:w="6910" w:type="dxa"/>
            <w:tcBorders>
              <w:top w:val="single" w:color="auto" w:sz="8" w:space="0"/>
              <w:left w:val="single" w:color="auto" w:sz="8" w:space="0"/>
              <w:bottom w:val="single" w:color="auto" w:sz="8" w:space="0"/>
              <w:right w:val="single" w:color="auto" w:sz="18" w:space="0"/>
            </w:tcBorders>
            <w:vAlign w:val="center"/>
          </w:tcPr>
          <w:p>
            <w:pPr>
              <w:tabs>
                <w:tab w:val="left" w:pos="7665"/>
              </w:tabs>
              <w:snapToGrid w:val="0"/>
              <w:jc w:val="left"/>
              <w:rPr>
                <w:rFonts w:ascii="宋体" w:hAnsi="宋体"/>
              </w:rPr>
            </w:pPr>
            <w:r>
              <w:rPr>
                <w:rFonts w:hint="eastAsia" w:ascii="宋体" w:hAnsi="宋体"/>
              </w:rPr>
              <w:t>详见投标人须知2.4.14</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98"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tabs>
                <w:tab w:val="left" w:pos="7665"/>
              </w:tabs>
              <w:snapToGrid w:val="0"/>
              <w:jc w:val="left"/>
              <w:rPr>
                <w:rFonts w:ascii="宋体" w:hAnsi="宋体"/>
              </w:rPr>
            </w:pPr>
            <w:r>
              <w:rPr>
                <w:rFonts w:hint="eastAsia"/>
                <w:b/>
              </w:rPr>
              <w:t>开标及开标程序</w:t>
            </w:r>
          </w:p>
        </w:tc>
        <w:tc>
          <w:tcPr>
            <w:tcW w:w="6910" w:type="dxa"/>
            <w:tcBorders>
              <w:top w:val="single" w:color="auto" w:sz="8" w:space="0"/>
              <w:left w:val="single" w:color="auto" w:sz="8" w:space="0"/>
              <w:bottom w:val="single" w:color="auto" w:sz="8" w:space="0"/>
              <w:right w:val="single" w:color="auto" w:sz="18" w:space="0"/>
            </w:tcBorders>
            <w:vAlign w:val="center"/>
          </w:tcPr>
          <w:p>
            <w:pPr>
              <w:snapToGrid w:val="0"/>
              <w:spacing w:line="360" w:lineRule="auto"/>
              <w:rPr>
                <w:rFonts w:ascii="宋体" w:hAnsi="宋体"/>
                <w:b/>
              </w:rPr>
            </w:pPr>
            <w:r>
              <w:rPr>
                <w:rFonts w:hint="eastAsia" w:ascii="宋体" w:hAnsi="宋体"/>
                <w:b/>
              </w:rPr>
              <w:t>详见投标人须知2.5.1。</w:t>
            </w:r>
          </w:p>
          <w:p>
            <w:pPr>
              <w:snapToGrid w:val="0"/>
              <w:spacing w:line="360" w:lineRule="auto"/>
              <w:rPr>
                <w:rFonts w:ascii="宋体" w:hAnsi="宋体"/>
                <w:b/>
              </w:rPr>
            </w:pPr>
            <w:r>
              <w:rPr>
                <w:rFonts w:hint="eastAsia" w:ascii="宋体" w:hAnsi="宋体"/>
                <w:b/>
              </w:rPr>
              <w:t>投标文件解密：开启解密后，投标人应在系统提示的解密开始时间后</w:t>
            </w:r>
            <w:r>
              <w:rPr>
                <w:rFonts w:ascii="宋体" w:hAnsi="宋体"/>
                <w:b/>
              </w:rPr>
              <w:t>60</w:t>
            </w:r>
            <w:r>
              <w:rPr>
                <w:rFonts w:hint="eastAsia" w:ascii="宋体" w:hAnsi="宋体"/>
                <w:b/>
              </w:rPr>
              <w:t>分钟内 ，使用对投标文件进行加密的CA证书在线完成对投标人提交至政府采购云平台的投标文件的解密。</w:t>
            </w:r>
          </w:p>
          <w:p>
            <w:pPr>
              <w:snapToGrid w:val="0"/>
              <w:spacing w:line="360" w:lineRule="auto"/>
              <w:rPr>
                <w:rFonts w:ascii="宋体" w:hAnsi="宋体"/>
                <w:b/>
              </w:rPr>
            </w:pPr>
            <w:r>
              <w:rPr>
                <w:rFonts w:hint="eastAsia" w:ascii="宋体" w:hAnsi="宋体"/>
                <w:b/>
              </w:rPr>
              <w:t>投标人电脑终端等硬件设备和软件系统配置：投标人电脑终端等硬件设备和软件系统配置应符合开标大厅投标人电脑终端配置要求并运行正常，投标人承担因未尽职责产生的不利后果。</w:t>
            </w:r>
          </w:p>
          <w:p>
            <w:pPr>
              <w:tabs>
                <w:tab w:val="left" w:pos="7665"/>
              </w:tabs>
              <w:snapToGrid w:val="0"/>
              <w:jc w:val="left"/>
              <w:rPr>
                <w:rFonts w:ascii="宋体" w:hAnsi="宋体"/>
              </w:rPr>
            </w:pPr>
            <w:r>
              <w:rPr>
                <w:rFonts w:hint="eastAsia" w:ascii="宋体" w:hAnsi="宋体"/>
                <w:b/>
              </w:rPr>
              <w:t>开标、投标文件的解密详见《成都市全流程电子化采购系统操作指南——供应商版》。</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64"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snapToGrid w:val="0"/>
              <w:spacing w:line="360" w:lineRule="auto"/>
              <w:rPr>
                <w:rFonts w:ascii="宋体" w:hAnsi="宋体"/>
              </w:rPr>
            </w:pPr>
            <w:r>
              <w:rPr>
                <w:rFonts w:hint="eastAsia" w:ascii="宋体" w:hAnsi="宋体"/>
              </w:rPr>
              <w:t>对招标文件中供应商参加本次政府采购活动应当具备的条件,招标项目技术、服务、商务及其他要求,评标细则及标准,以及</w:t>
            </w:r>
            <w:r>
              <w:rPr>
                <w:rFonts w:ascii="宋体" w:hAnsi="宋体"/>
              </w:rPr>
              <w:t>关于资格审查</w:t>
            </w:r>
            <w:r>
              <w:rPr>
                <w:rFonts w:hint="eastAsia" w:ascii="宋体" w:hAnsi="宋体"/>
              </w:rPr>
              <w:t>的询问、质疑</w:t>
            </w:r>
          </w:p>
        </w:tc>
        <w:tc>
          <w:tcPr>
            <w:tcW w:w="6910" w:type="dxa"/>
            <w:tcBorders>
              <w:top w:val="single" w:color="auto" w:sz="8" w:space="0"/>
              <w:left w:val="single" w:color="auto" w:sz="8" w:space="0"/>
              <w:bottom w:val="single" w:color="auto" w:sz="8" w:space="0"/>
              <w:right w:val="single" w:color="auto" w:sz="18" w:space="0"/>
            </w:tcBorders>
            <w:vAlign w:val="center"/>
          </w:tcPr>
          <w:p>
            <w:pPr>
              <w:tabs>
                <w:tab w:val="left" w:pos="7665"/>
              </w:tabs>
              <w:snapToGrid w:val="0"/>
              <w:spacing w:line="360" w:lineRule="auto"/>
              <w:ind w:right="210"/>
              <w:rPr>
                <w:rFonts w:ascii="宋体" w:hAnsi="宋体" w:eastAsia="仿宋_GB2312" w:cs="宋体"/>
              </w:rPr>
            </w:pPr>
            <w:r>
              <w:rPr>
                <w:rFonts w:hint="eastAsia" w:ascii="宋体" w:hAnsi="宋体"/>
              </w:rPr>
              <w:t>向采购人提出，并由采购人按相关规定作出答复（详见投标人须知2.8）。</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993"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snapToGrid w:val="0"/>
              <w:spacing w:line="360" w:lineRule="auto"/>
              <w:rPr>
                <w:rFonts w:ascii="宋体" w:hAnsi="宋体"/>
              </w:rPr>
            </w:pPr>
            <w:r>
              <w:rPr>
                <w:rFonts w:hint="eastAsia" w:ascii="宋体" w:hAnsi="宋体"/>
              </w:rPr>
              <w:t>对招标文件中的其他内容、采购过程及中标结果（除</w:t>
            </w:r>
            <w:r>
              <w:rPr>
                <w:rFonts w:ascii="宋体" w:hAnsi="宋体"/>
              </w:rPr>
              <w:t>资格审查</w:t>
            </w:r>
            <w:r>
              <w:rPr>
                <w:rFonts w:hint="eastAsia" w:ascii="宋体" w:hAnsi="宋体"/>
              </w:rPr>
              <w:t>）的询问、质疑</w:t>
            </w:r>
          </w:p>
        </w:tc>
        <w:tc>
          <w:tcPr>
            <w:tcW w:w="6910" w:type="dxa"/>
            <w:tcBorders>
              <w:top w:val="single" w:color="auto" w:sz="8" w:space="0"/>
              <w:left w:val="single" w:color="auto" w:sz="8" w:space="0"/>
              <w:bottom w:val="single" w:color="auto" w:sz="8" w:space="0"/>
              <w:right w:val="single" w:color="auto" w:sz="18" w:space="0"/>
            </w:tcBorders>
            <w:vAlign w:val="center"/>
          </w:tcPr>
          <w:p>
            <w:pPr>
              <w:tabs>
                <w:tab w:val="left" w:pos="7665"/>
              </w:tabs>
              <w:snapToGrid w:val="0"/>
              <w:spacing w:line="360" w:lineRule="auto"/>
              <w:ind w:right="210"/>
              <w:rPr>
                <w:rFonts w:ascii="宋体" w:hAnsi="宋体" w:eastAsia="仿宋_GB2312" w:cs="宋体"/>
              </w:rPr>
            </w:pPr>
            <w:r>
              <w:rPr>
                <w:rFonts w:hint="eastAsia" w:ascii="宋体" w:hAnsi="宋体"/>
              </w:rPr>
              <w:t>向</w:t>
            </w:r>
            <w:r>
              <w:rPr>
                <w:rFonts w:hint="eastAsia" w:ascii="宋体" w:hAnsi="宋体"/>
                <w:lang w:eastAsia="zh-CN"/>
              </w:rPr>
              <w:t>区政府采购中心</w:t>
            </w:r>
            <w:r>
              <w:rPr>
                <w:rFonts w:hint="eastAsia" w:ascii="宋体" w:hAnsi="宋体"/>
              </w:rPr>
              <w:t>提出，并由</w:t>
            </w:r>
            <w:r>
              <w:rPr>
                <w:rFonts w:hint="eastAsia" w:ascii="宋体" w:hAnsi="宋体"/>
                <w:lang w:eastAsia="zh-CN"/>
              </w:rPr>
              <w:t>区政府采购中心</w:t>
            </w:r>
            <w:r>
              <w:rPr>
                <w:rFonts w:hint="eastAsia" w:ascii="宋体" w:hAnsi="宋体"/>
              </w:rPr>
              <w:t>按相关规定作出答复（详见投标人须知2.8）。</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978" w:hRule="atLeast"/>
          <w:jc w:val="center"/>
        </w:trPr>
        <w:tc>
          <w:tcPr>
            <w:tcW w:w="884" w:type="dxa"/>
            <w:tcBorders>
              <w:top w:val="single" w:color="auto" w:sz="8" w:space="0"/>
              <w:left w:val="single" w:color="auto" w:sz="18" w:space="0"/>
              <w:bottom w:val="single" w:color="auto" w:sz="8" w:space="0"/>
              <w:right w:val="single" w:color="auto" w:sz="8" w:space="0"/>
            </w:tcBorders>
            <w:vAlign w:val="center"/>
          </w:tcPr>
          <w:p>
            <w:pPr>
              <w:numPr>
                <w:ilvl w:val="0"/>
                <w:numId w:val="9"/>
              </w:numPr>
              <w:snapToGrid w:val="0"/>
              <w:spacing w:line="360" w:lineRule="auto"/>
              <w:ind w:left="420"/>
              <w:jc w:val="center"/>
              <w:rPr>
                <w:rFonts w:ascii="宋体" w:hAnsi="宋体"/>
              </w:rPr>
            </w:pPr>
          </w:p>
        </w:tc>
        <w:tc>
          <w:tcPr>
            <w:tcW w:w="1716" w:type="dxa"/>
            <w:tcBorders>
              <w:top w:val="single" w:color="auto" w:sz="8" w:space="0"/>
              <w:left w:val="single" w:color="auto" w:sz="8" w:space="0"/>
              <w:bottom w:val="single" w:color="auto" w:sz="8" w:space="0"/>
              <w:right w:val="single" w:color="auto" w:sz="8" w:space="0"/>
            </w:tcBorders>
            <w:vAlign w:val="center"/>
          </w:tcPr>
          <w:p>
            <w:pPr>
              <w:snapToGrid w:val="0"/>
              <w:spacing w:line="360" w:lineRule="auto"/>
              <w:ind w:right="210" w:rightChars="100"/>
              <w:rPr>
                <w:rFonts w:ascii="宋体" w:hAnsi="宋体"/>
              </w:rPr>
            </w:pPr>
            <w:r>
              <w:rPr>
                <w:rFonts w:hint="eastAsia" w:ascii="宋体" w:hAnsi="宋体"/>
              </w:rPr>
              <w:t>投标人投诉</w:t>
            </w:r>
          </w:p>
        </w:tc>
        <w:tc>
          <w:tcPr>
            <w:tcW w:w="6910" w:type="dxa"/>
            <w:tcBorders>
              <w:top w:val="single" w:color="auto" w:sz="8" w:space="0"/>
              <w:left w:val="single" w:color="auto" w:sz="8" w:space="0"/>
              <w:bottom w:val="single" w:color="auto" w:sz="8" w:space="0"/>
              <w:right w:val="single" w:color="auto" w:sz="18" w:space="0"/>
            </w:tcBorders>
            <w:vAlign w:val="center"/>
          </w:tcPr>
          <w:p>
            <w:pPr>
              <w:tabs>
                <w:tab w:val="left" w:pos="7665"/>
              </w:tabs>
              <w:snapToGrid w:val="0"/>
              <w:spacing w:line="360" w:lineRule="auto"/>
              <w:ind w:left="183" w:right="210" w:rightChars="100" w:hanging="182" w:hangingChars="87"/>
              <w:rPr>
                <w:rFonts w:ascii="宋体" w:hAnsi="宋体" w:eastAsia="仿宋_GB2312" w:cs="宋体"/>
              </w:rPr>
            </w:pPr>
            <w:r>
              <w:rPr>
                <w:rFonts w:hint="eastAsia" w:ascii="宋体" w:hAnsi="宋体"/>
              </w:rPr>
              <w:t>投诉受理单位：本项目同级财政部门，即</w:t>
            </w:r>
            <w:r>
              <w:rPr>
                <w:rFonts w:hint="eastAsia" w:ascii="宋体" w:hAnsi="宋体"/>
                <w:lang w:eastAsia="zh-CN"/>
              </w:rPr>
              <w:t>成都市武侯区财政局</w:t>
            </w:r>
            <w:r>
              <w:rPr>
                <w:rFonts w:hint="eastAsia" w:ascii="宋体" w:hAnsi="宋体"/>
              </w:rPr>
              <w:t>。</w:t>
            </w:r>
          </w:p>
          <w:p>
            <w:pPr>
              <w:tabs>
                <w:tab w:val="left" w:pos="7665"/>
              </w:tabs>
              <w:snapToGrid w:val="0"/>
              <w:spacing w:line="360" w:lineRule="auto"/>
              <w:rPr>
                <w:rFonts w:ascii="宋体" w:hAnsi="宋体"/>
              </w:rPr>
            </w:pPr>
            <w:r>
              <w:rPr>
                <w:rFonts w:hint="eastAsia" w:ascii="宋体" w:hAnsi="宋体"/>
              </w:rPr>
              <w:t>联系电话：</w:t>
            </w:r>
            <w:r>
              <w:rPr>
                <w:rFonts w:hint="eastAsia" w:ascii="宋体" w:hAnsi="宋体"/>
                <w:lang w:eastAsia="zh-CN"/>
              </w:rPr>
              <w:t>028-85558345</w:t>
            </w:r>
            <w:r>
              <w:rPr>
                <w:rFonts w:hint="eastAsia" w:ascii="宋体" w:hAnsi="宋体"/>
              </w:rPr>
              <w:t>。</w:t>
            </w:r>
          </w:p>
          <w:p>
            <w:pPr>
              <w:tabs>
                <w:tab w:val="left" w:pos="7665"/>
              </w:tabs>
              <w:snapToGrid w:val="0"/>
              <w:spacing w:line="360" w:lineRule="auto"/>
              <w:rPr>
                <w:rFonts w:ascii="宋体" w:hAnsi="宋体"/>
              </w:rPr>
            </w:pPr>
            <w:r>
              <w:rPr>
                <w:rFonts w:hint="eastAsia" w:ascii="宋体" w:hAnsi="宋体"/>
              </w:rPr>
              <w:t>地址：</w:t>
            </w:r>
            <w:r>
              <w:rPr>
                <w:rFonts w:hint="eastAsia" w:ascii="宋体" w:hAnsi="宋体"/>
                <w:lang w:eastAsia="zh-CN"/>
              </w:rPr>
              <w:t>成都市武侯区武科西五路360号武侯区市民中心2栋5单元801室</w:t>
            </w:r>
            <w:r>
              <w:rPr>
                <w:rFonts w:hint="eastAsia" w:ascii="宋体" w:hAnsi="宋体"/>
              </w:rPr>
              <w:t>。</w:t>
            </w:r>
          </w:p>
          <w:p>
            <w:pPr>
              <w:tabs>
                <w:tab w:val="left" w:pos="7665"/>
              </w:tabs>
              <w:snapToGrid w:val="0"/>
              <w:spacing w:line="360" w:lineRule="auto"/>
              <w:rPr>
                <w:rFonts w:ascii="宋体" w:hAnsi="宋体"/>
              </w:rPr>
            </w:pPr>
            <w:r>
              <w:rPr>
                <w:rFonts w:hint="eastAsia" w:ascii="宋体" w:hAnsi="宋体"/>
              </w:rPr>
              <w:t>邮编：610041。</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433" w:hRule="atLeast"/>
          <w:jc w:val="center"/>
        </w:trPr>
        <w:tc>
          <w:tcPr>
            <w:tcW w:w="884" w:type="dxa"/>
            <w:tcBorders>
              <w:top w:val="single" w:color="auto" w:sz="8" w:space="0"/>
              <w:left w:val="single" w:color="auto" w:sz="18" w:space="0"/>
              <w:bottom w:val="single" w:color="auto" w:sz="4" w:space="0"/>
              <w:right w:val="single" w:color="auto" w:sz="8" w:space="0"/>
            </w:tcBorders>
            <w:vAlign w:val="center"/>
          </w:tcPr>
          <w:p>
            <w:pPr>
              <w:numPr>
                <w:ilvl w:val="0"/>
                <w:numId w:val="9"/>
              </w:numPr>
              <w:snapToGrid w:val="0"/>
              <w:spacing w:line="360" w:lineRule="auto"/>
              <w:ind w:left="0" w:firstLine="0"/>
              <w:jc w:val="center"/>
              <w:rPr>
                <w:rFonts w:ascii="宋体" w:hAnsi="宋体"/>
              </w:rPr>
            </w:pPr>
          </w:p>
        </w:tc>
        <w:tc>
          <w:tcPr>
            <w:tcW w:w="1716" w:type="dxa"/>
            <w:tcBorders>
              <w:top w:val="single" w:color="auto" w:sz="8" w:space="0"/>
              <w:left w:val="single" w:color="auto" w:sz="8" w:space="0"/>
              <w:bottom w:val="single" w:color="auto" w:sz="4" w:space="0"/>
              <w:right w:val="single" w:color="auto" w:sz="8" w:space="0"/>
            </w:tcBorders>
            <w:vAlign w:val="center"/>
          </w:tcPr>
          <w:p>
            <w:pPr>
              <w:snapToGrid w:val="0"/>
              <w:spacing w:line="360" w:lineRule="auto"/>
              <w:rPr>
                <w:rFonts w:ascii="宋体" w:hAnsi="宋体" w:cs="宋体"/>
                <w:lang w:val="zh-CN"/>
              </w:rPr>
            </w:pPr>
            <w:r>
              <w:rPr>
                <w:rFonts w:hint="eastAsia" w:ascii="宋体" w:hAnsi="宋体" w:cs="宋体"/>
                <w:lang w:val="zh-CN"/>
              </w:rPr>
              <w:t>评标情况公告</w:t>
            </w:r>
          </w:p>
        </w:tc>
        <w:tc>
          <w:tcPr>
            <w:tcW w:w="6910" w:type="dxa"/>
            <w:tcBorders>
              <w:top w:val="single" w:color="auto" w:sz="8" w:space="0"/>
              <w:left w:val="single" w:color="auto" w:sz="8" w:space="0"/>
              <w:bottom w:val="single" w:color="auto" w:sz="4" w:space="0"/>
              <w:right w:val="single" w:color="auto" w:sz="18" w:space="0"/>
            </w:tcBorders>
            <w:vAlign w:val="center"/>
          </w:tcPr>
          <w:p>
            <w:pPr>
              <w:tabs>
                <w:tab w:val="left" w:pos="7665"/>
              </w:tabs>
              <w:spacing w:line="360" w:lineRule="auto"/>
              <w:rPr>
                <w:rFonts w:ascii="宋体" w:hAnsi="宋体" w:cs="宋体"/>
                <w:lang w:val="zh-CN"/>
              </w:rPr>
            </w:pPr>
            <w:r>
              <w:rPr>
                <w:rFonts w:hint="eastAsia" w:ascii="宋体" w:hAnsi="宋体" w:cs="宋体"/>
                <w:lang w:val="zh-CN"/>
              </w:rPr>
              <w:t>所有</w:t>
            </w:r>
            <w:r>
              <w:rPr>
                <w:rFonts w:hint="eastAsia" w:ascii="宋体" w:hAnsi="宋体"/>
              </w:rPr>
              <w:t>投标人</w:t>
            </w:r>
            <w:r>
              <w:rPr>
                <w:rFonts w:hint="eastAsia" w:ascii="宋体" w:hAnsi="宋体" w:cs="宋体"/>
                <w:lang w:val="zh-CN"/>
              </w:rPr>
              <w:t>投标文件资格性、符合性审查情况、采用综合评分法时的总得分情况、评标结果等将在成都市公共资源交易服务中心网、四川政府采购网上采购结果公告栏中予以公告。</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127" w:hRule="atLeast"/>
          <w:jc w:val="center"/>
        </w:trPr>
        <w:tc>
          <w:tcPr>
            <w:tcW w:w="884" w:type="dxa"/>
            <w:tcBorders>
              <w:top w:val="single" w:color="auto" w:sz="8" w:space="0"/>
              <w:left w:val="single" w:color="auto" w:sz="18" w:space="0"/>
              <w:bottom w:val="single" w:color="auto" w:sz="4" w:space="0"/>
              <w:right w:val="single" w:color="auto" w:sz="8" w:space="0"/>
            </w:tcBorders>
            <w:vAlign w:val="center"/>
          </w:tcPr>
          <w:p>
            <w:pPr>
              <w:numPr>
                <w:ilvl w:val="0"/>
                <w:numId w:val="9"/>
              </w:numPr>
              <w:snapToGrid w:val="0"/>
              <w:spacing w:line="360" w:lineRule="auto"/>
              <w:ind w:left="0" w:firstLine="0"/>
              <w:jc w:val="center"/>
              <w:rPr>
                <w:rFonts w:ascii="宋体" w:hAnsi="宋体"/>
              </w:rPr>
            </w:pPr>
          </w:p>
        </w:tc>
        <w:tc>
          <w:tcPr>
            <w:tcW w:w="1716" w:type="dxa"/>
            <w:tcBorders>
              <w:top w:val="single" w:color="auto" w:sz="8" w:space="0"/>
              <w:left w:val="single" w:color="auto" w:sz="8" w:space="0"/>
              <w:bottom w:val="single" w:color="auto" w:sz="4" w:space="0"/>
              <w:right w:val="single" w:color="auto" w:sz="8" w:space="0"/>
            </w:tcBorders>
            <w:vAlign w:val="center"/>
          </w:tcPr>
          <w:p>
            <w:pPr>
              <w:snapToGrid w:val="0"/>
              <w:spacing w:line="360" w:lineRule="auto"/>
              <w:rPr>
                <w:rFonts w:ascii="宋体" w:hAnsi="宋体"/>
              </w:rPr>
            </w:pPr>
            <w:r>
              <w:rPr>
                <w:rFonts w:hint="eastAsia" w:ascii="宋体" w:hAnsi="宋体" w:cs="宋体"/>
                <w:lang w:val="zh-CN"/>
              </w:rPr>
              <w:t>中标通知书</w:t>
            </w:r>
          </w:p>
        </w:tc>
        <w:tc>
          <w:tcPr>
            <w:tcW w:w="6910" w:type="dxa"/>
            <w:tcBorders>
              <w:top w:val="single" w:color="auto" w:sz="8" w:space="0"/>
              <w:left w:val="single" w:color="auto" w:sz="8" w:space="0"/>
              <w:bottom w:val="single" w:color="auto" w:sz="4" w:space="0"/>
              <w:right w:val="single" w:color="auto" w:sz="18" w:space="0"/>
            </w:tcBorders>
            <w:vAlign w:val="center"/>
          </w:tcPr>
          <w:p>
            <w:pPr>
              <w:tabs>
                <w:tab w:val="left" w:pos="7665"/>
              </w:tabs>
              <w:snapToGrid w:val="0"/>
              <w:spacing w:line="360" w:lineRule="auto"/>
              <w:rPr>
                <w:rFonts w:ascii="宋体" w:hAnsi="宋体"/>
              </w:rPr>
            </w:pPr>
            <w:r>
              <w:rPr>
                <w:rFonts w:hint="eastAsia" w:ascii="宋体" w:hAnsi="宋体" w:cs="宋体"/>
                <w:lang w:val="zh-CN"/>
              </w:rPr>
              <w:t>中标公告在四川政府采购网上公告后，中标供应商自行登录政府采购云平台下载中标通知书。</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90" w:hRule="atLeast"/>
          <w:jc w:val="center"/>
        </w:trPr>
        <w:tc>
          <w:tcPr>
            <w:tcW w:w="884" w:type="dxa"/>
            <w:tcBorders>
              <w:top w:val="single" w:color="auto" w:sz="8" w:space="0"/>
              <w:left w:val="single" w:color="auto" w:sz="18" w:space="0"/>
              <w:bottom w:val="single" w:color="auto" w:sz="4" w:space="0"/>
              <w:right w:val="single" w:color="auto" w:sz="8" w:space="0"/>
            </w:tcBorders>
            <w:vAlign w:val="center"/>
          </w:tcPr>
          <w:p>
            <w:pPr>
              <w:numPr>
                <w:ilvl w:val="0"/>
                <w:numId w:val="9"/>
              </w:numPr>
              <w:snapToGrid w:val="0"/>
              <w:spacing w:line="360" w:lineRule="auto"/>
              <w:ind w:left="0" w:firstLine="0"/>
              <w:jc w:val="center"/>
              <w:rPr>
                <w:rFonts w:ascii="宋体" w:hAnsi="宋体"/>
              </w:rPr>
            </w:pPr>
          </w:p>
        </w:tc>
        <w:tc>
          <w:tcPr>
            <w:tcW w:w="1716" w:type="dxa"/>
            <w:tcBorders>
              <w:top w:val="single" w:color="auto" w:sz="8" w:space="0"/>
              <w:left w:val="single" w:color="auto" w:sz="8" w:space="0"/>
              <w:bottom w:val="single" w:color="auto" w:sz="4" w:space="0"/>
              <w:right w:val="single" w:color="auto" w:sz="8" w:space="0"/>
            </w:tcBorders>
            <w:vAlign w:val="center"/>
          </w:tcPr>
          <w:p>
            <w:pPr>
              <w:snapToGrid w:val="0"/>
              <w:spacing w:line="360" w:lineRule="auto"/>
              <w:rPr>
                <w:rFonts w:ascii="宋体" w:hAnsi="宋体"/>
              </w:rPr>
            </w:pPr>
            <w:r>
              <w:rPr>
                <w:rFonts w:hint="eastAsia" w:ascii="宋体" w:hAnsi="宋体"/>
              </w:rPr>
              <w:t>合同签订地点</w:t>
            </w:r>
          </w:p>
        </w:tc>
        <w:tc>
          <w:tcPr>
            <w:tcW w:w="6910" w:type="dxa"/>
            <w:tcBorders>
              <w:top w:val="single" w:color="auto" w:sz="8" w:space="0"/>
              <w:left w:val="single" w:color="auto" w:sz="8" w:space="0"/>
              <w:bottom w:val="single" w:color="auto" w:sz="4" w:space="0"/>
              <w:right w:val="single" w:color="auto" w:sz="18" w:space="0"/>
            </w:tcBorders>
            <w:vAlign w:val="center"/>
          </w:tcPr>
          <w:p>
            <w:pPr>
              <w:tabs>
                <w:tab w:val="left" w:pos="7665"/>
              </w:tabs>
              <w:snapToGrid w:val="0"/>
              <w:spacing w:line="360" w:lineRule="auto"/>
              <w:rPr>
                <w:rFonts w:ascii="宋体" w:hAnsi="宋体"/>
              </w:rPr>
            </w:pPr>
            <w:r>
              <w:rPr>
                <w:rFonts w:hint="eastAsia" w:ascii="宋体" w:hAnsi="宋体"/>
              </w:rPr>
              <w:t>四川省成都市</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975" w:hRule="atLeast"/>
          <w:jc w:val="center"/>
        </w:trPr>
        <w:tc>
          <w:tcPr>
            <w:tcW w:w="884" w:type="dxa"/>
            <w:tcBorders>
              <w:top w:val="single" w:color="auto" w:sz="4" w:space="0"/>
              <w:left w:val="single" w:color="auto" w:sz="18" w:space="0"/>
              <w:bottom w:val="single" w:color="auto" w:sz="4" w:space="0"/>
              <w:right w:val="single" w:color="auto" w:sz="8" w:space="0"/>
            </w:tcBorders>
            <w:vAlign w:val="center"/>
          </w:tcPr>
          <w:p>
            <w:pPr>
              <w:numPr>
                <w:ilvl w:val="0"/>
                <w:numId w:val="9"/>
              </w:numPr>
              <w:snapToGrid w:val="0"/>
              <w:spacing w:line="360" w:lineRule="auto"/>
              <w:ind w:left="0" w:firstLine="0"/>
              <w:jc w:val="center"/>
              <w:rPr>
                <w:rFonts w:ascii="宋体" w:hAnsi="宋体"/>
              </w:rPr>
            </w:pPr>
          </w:p>
        </w:tc>
        <w:tc>
          <w:tcPr>
            <w:tcW w:w="1716" w:type="dxa"/>
            <w:tcBorders>
              <w:top w:val="single" w:color="auto" w:sz="4" w:space="0"/>
              <w:left w:val="single" w:color="auto" w:sz="8" w:space="0"/>
              <w:bottom w:val="single" w:color="auto" w:sz="4" w:space="0"/>
              <w:right w:val="single" w:color="auto" w:sz="8" w:space="0"/>
            </w:tcBorders>
            <w:vAlign w:val="center"/>
          </w:tcPr>
          <w:p>
            <w:pPr>
              <w:snapToGrid w:val="0"/>
              <w:spacing w:line="360" w:lineRule="auto"/>
              <w:ind w:right="210" w:rightChars="100"/>
              <w:rPr>
                <w:rFonts w:ascii="宋体" w:hAnsi="宋体"/>
              </w:rPr>
            </w:pPr>
            <w:r>
              <w:rPr>
                <w:rFonts w:hint="eastAsia" w:ascii="宋体" w:hAnsi="宋体"/>
              </w:rPr>
              <w:t>政府采购合同公告、备案</w:t>
            </w:r>
          </w:p>
        </w:tc>
        <w:tc>
          <w:tcPr>
            <w:tcW w:w="6910" w:type="dxa"/>
            <w:tcBorders>
              <w:top w:val="single" w:color="auto" w:sz="4" w:space="0"/>
              <w:left w:val="single" w:color="auto" w:sz="8" w:space="0"/>
              <w:bottom w:val="single" w:color="auto" w:sz="4" w:space="0"/>
              <w:right w:val="single" w:color="auto" w:sz="18" w:space="0"/>
            </w:tcBorders>
            <w:vAlign w:val="center"/>
          </w:tcPr>
          <w:p>
            <w:pPr>
              <w:tabs>
                <w:tab w:val="left" w:pos="7665"/>
              </w:tabs>
              <w:snapToGrid w:val="0"/>
              <w:spacing w:line="360" w:lineRule="auto"/>
              <w:ind w:left="-4" w:leftChars="-2" w:right="210" w:firstLine="12" w:firstLineChars="6"/>
              <w:rPr>
                <w:rFonts w:ascii="宋体" w:hAnsi="宋体"/>
              </w:rPr>
            </w:pPr>
            <w:r>
              <w:rPr>
                <w:rFonts w:hint="eastAsia" w:ascii="宋体"/>
              </w:rPr>
              <w:t>政府采购合同签订之日起2个工作日内，采购人将在四川政府采购网公告政府采购合同；疫情防控期间，采购人原则上在5个工作日内与供应商签订政府采购合同及向本采购项目同级财政部门，即</w:t>
            </w:r>
            <w:r>
              <w:rPr>
                <w:rFonts w:hint="eastAsia" w:ascii="宋体"/>
                <w:lang w:eastAsia="zh-CN"/>
              </w:rPr>
              <w:t>成都市武侯区财政局</w:t>
            </w:r>
            <w:r>
              <w:rPr>
                <w:rFonts w:hint="eastAsia" w:ascii="宋体"/>
              </w:rPr>
              <w:t>备案政府采购合同。</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685" w:hRule="atLeast"/>
          <w:jc w:val="center"/>
        </w:trPr>
        <w:tc>
          <w:tcPr>
            <w:tcW w:w="884" w:type="dxa"/>
            <w:tcBorders>
              <w:top w:val="single" w:color="auto" w:sz="4" w:space="0"/>
              <w:left w:val="single" w:color="auto" w:sz="18" w:space="0"/>
              <w:bottom w:val="single" w:color="auto" w:sz="4" w:space="0"/>
              <w:right w:val="single" w:color="auto" w:sz="8" w:space="0"/>
            </w:tcBorders>
            <w:vAlign w:val="center"/>
          </w:tcPr>
          <w:p>
            <w:pPr>
              <w:numPr>
                <w:ilvl w:val="0"/>
                <w:numId w:val="9"/>
              </w:numPr>
              <w:snapToGrid w:val="0"/>
              <w:spacing w:line="360" w:lineRule="auto"/>
              <w:ind w:left="0" w:firstLine="0"/>
              <w:jc w:val="center"/>
              <w:rPr>
                <w:rFonts w:ascii="宋体" w:hAnsi="宋体"/>
              </w:rPr>
            </w:pPr>
          </w:p>
        </w:tc>
        <w:tc>
          <w:tcPr>
            <w:tcW w:w="1716" w:type="dxa"/>
            <w:tcBorders>
              <w:top w:val="single" w:color="auto" w:sz="4" w:space="0"/>
              <w:left w:val="single" w:color="auto" w:sz="8" w:space="0"/>
              <w:bottom w:val="single" w:color="auto" w:sz="4" w:space="0"/>
              <w:right w:val="single" w:color="auto" w:sz="8" w:space="0"/>
            </w:tcBorders>
            <w:vAlign w:val="center"/>
          </w:tcPr>
          <w:p>
            <w:pPr>
              <w:snapToGrid w:val="0"/>
              <w:spacing w:line="360" w:lineRule="auto"/>
              <w:rPr>
                <w:rFonts w:ascii="宋体" w:hAnsi="宋体"/>
              </w:rPr>
            </w:pPr>
            <w:r>
              <w:rPr>
                <w:rFonts w:hint="eastAsia" w:ascii="宋体" w:hAnsi="宋体"/>
              </w:rPr>
              <w:t>进口产品</w:t>
            </w:r>
            <w:r>
              <w:rPr>
                <w:rFonts w:hint="eastAsia" w:ascii="仿宋" w:hAnsi="仿宋" w:eastAsia="仿宋"/>
                <w:szCs w:val="21"/>
                <w:lang w:val="zh-CN"/>
              </w:rPr>
              <w:t>（</w:t>
            </w:r>
            <w:r>
              <w:rPr>
                <w:rFonts w:ascii="仿宋" w:hAnsi="仿宋" w:eastAsia="仿宋"/>
                <w:szCs w:val="21"/>
                <w:lang w:val="zh-CN"/>
              </w:rPr>
              <w:t>实质性</w:t>
            </w:r>
            <w:r>
              <w:rPr>
                <w:rFonts w:hint="eastAsia" w:ascii="仿宋" w:hAnsi="仿宋" w:eastAsia="仿宋"/>
                <w:szCs w:val="21"/>
                <w:lang w:val="zh-CN"/>
              </w:rPr>
              <w:t>要求）</w:t>
            </w:r>
          </w:p>
        </w:tc>
        <w:tc>
          <w:tcPr>
            <w:tcW w:w="6910" w:type="dxa"/>
            <w:tcBorders>
              <w:top w:val="single" w:color="auto" w:sz="4" w:space="0"/>
              <w:left w:val="single" w:color="auto" w:sz="8" w:space="0"/>
              <w:bottom w:val="single" w:color="auto" w:sz="4" w:space="0"/>
              <w:right w:val="single" w:color="auto" w:sz="18" w:space="0"/>
            </w:tcBorders>
            <w:vAlign w:val="center"/>
          </w:tcPr>
          <w:p>
            <w:pPr>
              <w:tabs>
                <w:tab w:val="left" w:pos="7665"/>
              </w:tabs>
              <w:snapToGrid w:val="0"/>
              <w:spacing w:line="360" w:lineRule="auto"/>
              <w:rPr>
                <w:rFonts w:ascii="宋体" w:hAnsi="宋体"/>
              </w:rPr>
            </w:pPr>
            <w:r>
              <w:rPr>
                <w:rFonts w:hint="eastAsia" w:ascii="宋体" w:hAnsi="宋体"/>
              </w:rPr>
              <w:t>招标文件中未载明“允许采购进口产品”的产品，拒绝进口产品的投标。招标文件中载明“允许采购进口产品”的产品，允许国产产品参与投标竞争。</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695" w:hRule="atLeast"/>
          <w:jc w:val="center"/>
        </w:trPr>
        <w:tc>
          <w:tcPr>
            <w:tcW w:w="884" w:type="dxa"/>
            <w:tcBorders>
              <w:top w:val="single" w:color="auto" w:sz="4" w:space="0"/>
              <w:left w:val="single" w:color="auto" w:sz="18" w:space="0"/>
              <w:bottom w:val="single" w:color="auto" w:sz="4" w:space="0"/>
              <w:right w:val="single" w:color="auto" w:sz="8" w:space="0"/>
            </w:tcBorders>
            <w:vAlign w:val="center"/>
          </w:tcPr>
          <w:p>
            <w:pPr>
              <w:numPr>
                <w:ilvl w:val="0"/>
                <w:numId w:val="9"/>
              </w:numPr>
              <w:snapToGrid w:val="0"/>
              <w:spacing w:line="360" w:lineRule="auto"/>
              <w:ind w:left="0" w:firstLine="0"/>
              <w:jc w:val="center"/>
              <w:rPr>
                <w:rFonts w:ascii="宋体" w:hAnsi="宋体"/>
              </w:rPr>
            </w:pPr>
          </w:p>
        </w:tc>
        <w:tc>
          <w:tcPr>
            <w:tcW w:w="8626" w:type="dxa"/>
            <w:gridSpan w:val="2"/>
            <w:tcBorders>
              <w:top w:val="single" w:color="auto" w:sz="4" w:space="0"/>
              <w:left w:val="single" w:color="auto" w:sz="8" w:space="0"/>
              <w:bottom w:val="single" w:color="auto" w:sz="4" w:space="0"/>
              <w:right w:val="single" w:color="auto" w:sz="18" w:space="0"/>
            </w:tcBorders>
            <w:vAlign w:val="center"/>
          </w:tcPr>
          <w:p>
            <w:pPr>
              <w:tabs>
                <w:tab w:val="left" w:pos="7665"/>
              </w:tabs>
              <w:snapToGrid w:val="0"/>
              <w:spacing w:line="360" w:lineRule="auto"/>
              <w:rPr>
                <w:rFonts w:ascii="宋体" w:hAnsi="宋体"/>
              </w:rPr>
            </w:pPr>
            <w:r>
              <w:rPr>
                <w:rFonts w:hint="eastAsia" w:ascii="宋体" w:hAnsi="宋体"/>
              </w:rPr>
              <w:t>采购人可以要求参加政府采购的供应商提供有关资质证明文件和业绩情况，并根据《中华人民共和国政府采购法》规定的供应商条件和采购项目对供应商的特定要求，对供应商的资格进行审查。</w:t>
            </w:r>
          </w:p>
        </w:tc>
      </w:tr>
    </w:tbl>
    <w:p>
      <w:pPr>
        <w:keepNext/>
        <w:keepLines/>
        <w:numPr>
          <w:ilvl w:val="1"/>
          <w:numId w:val="3"/>
        </w:numPr>
        <w:spacing w:before="260" w:after="260" w:line="360" w:lineRule="auto"/>
        <w:jc w:val="left"/>
        <w:outlineLvl w:val="1"/>
        <w:rPr>
          <w:rFonts w:ascii="宋体" w:hAnsi="宋体"/>
          <w:b/>
          <w:bCs/>
          <w:sz w:val="24"/>
          <w:szCs w:val="24"/>
        </w:rPr>
      </w:pPr>
      <w:bookmarkStart w:id="22" w:name="_Toc4383"/>
      <w:r>
        <w:rPr>
          <w:rFonts w:hint="eastAsia" w:ascii="宋体" w:hAnsi="宋体"/>
          <w:b/>
          <w:bCs/>
          <w:sz w:val="24"/>
          <w:szCs w:val="24"/>
        </w:rPr>
        <w:t>总则</w:t>
      </w:r>
      <w:bookmarkEnd w:id="22"/>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适用范围</w:t>
      </w:r>
    </w:p>
    <w:p>
      <w:pPr>
        <w:numPr>
          <w:ilvl w:val="0"/>
          <w:numId w:val="10"/>
        </w:numPr>
        <w:tabs>
          <w:tab w:val="left" w:pos="1134"/>
        </w:tabs>
        <w:spacing w:line="360" w:lineRule="auto"/>
        <w:ind w:left="0" w:firstLine="484" w:firstLineChars="202"/>
        <w:rPr>
          <w:rFonts w:ascii="宋体" w:hAnsi="宋体"/>
          <w:sz w:val="24"/>
          <w:szCs w:val="24"/>
        </w:rPr>
      </w:pPr>
      <w:r>
        <w:rPr>
          <w:rFonts w:hint="eastAsia" w:ascii="宋体" w:hAnsi="宋体"/>
          <w:sz w:val="24"/>
          <w:szCs w:val="24"/>
        </w:rPr>
        <w:t>本招标文件仅适用于本次公开招标采购项目。</w:t>
      </w:r>
    </w:p>
    <w:p>
      <w:pPr>
        <w:numPr>
          <w:ilvl w:val="0"/>
          <w:numId w:val="10"/>
        </w:numPr>
        <w:tabs>
          <w:tab w:val="left" w:pos="1134"/>
        </w:tabs>
        <w:spacing w:line="360" w:lineRule="auto"/>
        <w:ind w:left="0" w:firstLine="484" w:firstLineChars="202"/>
        <w:rPr>
          <w:rFonts w:ascii="宋体" w:hAnsi="宋体"/>
          <w:sz w:val="24"/>
          <w:szCs w:val="24"/>
        </w:rPr>
      </w:pPr>
      <w:r>
        <w:rPr>
          <w:rFonts w:hint="eastAsia" w:ascii="宋体" w:hAnsi="宋体"/>
          <w:sz w:val="24"/>
          <w:szCs w:val="24"/>
        </w:rPr>
        <w:t>本招标文件的最终解释权由采购人或</w:t>
      </w:r>
      <w:r>
        <w:rPr>
          <w:rFonts w:hint="eastAsia" w:ascii="宋体" w:hAnsi="宋体"/>
          <w:sz w:val="24"/>
          <w:szCs w:val="24"/>
          <w:lang w:eastAsia="zh-CN"/>
        </w:rPr>
        <w:t>区政府采购中心</w:t>
      </w:r>
      <w:r>
        <w:rPr>
          <w:rFonts w:hint="eastAsia" w:ascii="宋体" w:hAnsi="宋体"/>
          <w:sz w:val="24"/>
          <w:szCs w:val="24"/>
        </w:rPr>
        <w:t>享有。对招标文件中供应商参加本次政府采购活动应当具备的条件，招标项目技术、服务、商务及其他要求，评标细则及标准由采购人负责解释。除上述招标文件内容，其他内容由</w:t>
      </w:r>
      <w:r>
        <w:rPr>
          <w:rFonts w:hint="eastAsia" w:ascii="宋体" w:hAnsi="宋体"/>
          <w:sz w:val="24"/>
          <w:szCs w:val="24"/>
          <w:lang w:eastAsia="zh-CN"/>
        </w:rPr>
        <w:t>区政府采购中心</w:t>
      </w:r>
      <w:r>
        <w:rPr>
          <w:rFonts w:hint="eastAsia" w:ascii="宋体" w:hAnsi="宋体"/>
          <w:sz w:val="24"/>
          <w:szCs w:val="24"/>
        </w:rPr>
        <w:t>负责解释。</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有关定义</w:t>
      </w:r>
    </w:p>
    <w:p>
      <w:pPr>
        <w:numPr>
          <w:ilvl w:val="0"/>
          <w:numId w:val="11"/>
        </w:numPr>
        <w:tabs>
          <w:tab w:val="left" w:pos="1134"/>
        </w:tabs>
        <w:spacing w:line="360" w:lineRule="auto"/>
        <w:ind w:left="0" w:firstLine="568"/>
        <w:rPr>
          <w:rFonts w:ascii="宋体" w:hAnsi="宋体"/>
          <w:sz w:val="24"/>
          <w:szCs w:val="24"/>
        </w:rPr>
      </w:pPr>
      <w:r>
        <w:rPr>
          <w:rFonts w:hint="eastAsia" w:ascii="宋体" w:hAnsi="宋体"/>
          <w:sz w:val="24"/>
          <w:szCs w:val="24"/>
        </w:rPr>
        <w:t>“采购人”和“甲方”系指依法进行政府采购的成都市</w:t>
      </w:r>
      <w:r>
        <w:rPr>
          <w:rFonts w:hint="eastAsia" w:ascii="宋体" w:hAnsi="宋体"/>
          <w:sz w:val="24"/>
          <w:szCs w:val="24"/>
          <w:lang w:eastAsia="zh-CN"/>
        </w:rPr>
        <w:t>武侯区区</w:t>
      </w:r>
      <w:r>
        <w:rPr>
          <w:rFonts w:hint="eastAsia" w:ascii="宋体" w:hAnsi="宋体"/>
          <w:sz w:val="24"/>
          <w:szCs w:val="24"/>
        </w:rPr>
        <w:t>级机关、事业单位、团体组织。本次招标的采购人是</w:t>
      </w:r>
      <w:r>
        <w:rPr>
          <w:rFonts w:hint="eastAsia" w:ascii="宋体" w:hAnsi="宋体"/>
          <w:b/>
          <w:bCs/>
          <w:sz w:val="24"/>
          <w:szCs w:val="24"/>
          <w:u w:val="single"/>
        </w:rPr>
        <w:t>成都市武侯区机关事务中心</w:t>
      </w:r>
      <w:r>
        <w:rPr>
          <w:rFonts w:hint="eastAsia" w:ascii="宋体" w:hAnsi="宋体"/>
          <w:sz w:val="24"/>
          <w:szCs w:val="24"/>
        </w:rPr>
        <w:t>。</w:t>
      </w:r>
    </w:p>
    <w:p>
      <w:pPr>
        <w:numPr>
          <w:ilvl w:val="0"/>
          <w:numId w:val="11"/>
        </w:numPr>
        <w:tabs>
          <w:tab w:val="left" w:pos="1134"/>
        </w:tabs>
        <w:spacing w:line="360" w:lineRule="auto"/>
        <w:ind w:left="0" w:firstLine="567"/>
        <w:rPr>
          <w:rFonts w:ascii="宋体" w:hAnsi="宋体"/>
          <w:sz w:val="24"/>
          <w:szCs w:val="24"/>
        </w:rPr>
      </w:pPr>
      <w:r>
        <w:rPr>
          <w:rFonts w:hint="eastAsia" w:ascii="宋体" w:hAnsi="宋体"/>
          <w:sz w:val="24"/>
          <w:szCs w:val="24"/>
        </w:rPr>
        <w:t>“投标人”系指在按照招标文件“投标邀请”中第六、七、八条规定获取了招标文件，拟参加投标和向采购人提供货物的供应商。“乙方”是指本项目的中标供应商。</w:t>
      </w:r>
    </w:p>
    <w:p>
      <w:pPr>
        <w:numPr>
          <w:ilvl w:val="0"/>
          <w:numId w:val="11"/>
        </w:numPr>
        <w:tabs>
          <w:tab w:val="left" w:pos="1134"/>
        </w:tabs>
        <w:spacing w:line="360" w:lineRule="auto"/>
        <w:ind w:left="0" w:firstLine="567"/>
        <w:rPr>
          <w:rFonts w:ascii="宋体" w:hAnsi="宋体"/>
          <w:sz w:val="24"/>
          <w:szCs w:val="24"/>
        </w:rPr>
      </w:pPr>
      <w:r>
        <w:rPr>
          <w:rFonts w:hint="eastAsia" w:ascii="宋体" w:hAnsi="宋体"/>
          <w:sz w:val="24"/>
          <w:szCs w:val="24"/>
        </w:rPr>
        <w:t>本招标文件各部分规定的期间以时、日、月、年计算。期间开始的时和日，不计算在期间内，而从次日开始计算。期间届满的最后一天是节假日的，以节假日后的第一日为期间届满的日期。</w:t>
      </w:r>
    </w:p>
    <w:p>
      <w:pPr>
        <w:numPr>
          <w:ilvl w:val="0"/>
          <w:numId w:val="11"/>
        </w:numPr>
        <w:tabs>
          <w:tab w:val="left" w:pos="1134"/>
        </w:tabs>
        <w:spacing w:line="360" w:lineRule="auto"/>
        <w:ind w:left="0" w:firstLine="568"/>
        <w:rPr>
          <w:rFonts w:ascii="宋体" w:hAnsi="宋体"/>
          <w:sz w:val="24"/>
          <w:szCs w:val="24"/>
        </w:rPr>
      </w:pPr>
      <w:r>
        <w:rPr>
          <w:rFonts w:hint="eastAsia" w:ascii="宋体" w:hAnsi="宋体"/>
          <w:sz w:val="24"/>
          <w:szCs w:val="24"/>
        </w:rPr>
        <w:t>本招标文件各部分规定的“以上”、“以下”、“内”、“以内”，包括本数；所称的“不足”，不包括本数。</w:t>
      </w:r>
    </w:p>
    <w:p>
      <w:pPr>
        <w:numPr>
          <w:ilvl w:val="0"/>
          <w:numId w:val="11"/>
        </w:numPr>
        <w:tabs>
          <w:tab w:val="left" w:pos="1134"/>
        </w:tabs>
        <w:spacing w:line="360" w:lineRule="auto"/>
        <w:ind w:left="0" w:firstLine="568"/>
        <w:rPr>
          <w:rFonts w:ascii="宋体" w:hAnsi="宋体"/>
          <w:sz w:val="24"/>
          <w:szCs w:val="24"/>
        </w:rPr>
      </w:pPr>
      <w:r>
        <w:rPr>
          <w:rFonts w:ascii="宋体" w:hAnsi="宋体"/>
          <w:sz w:val="24"/>
          <w:szCs w:val="24"/>
        </w:rPr>
        <w:t>重大违法记录是指供应商因违法经营受到刑事处罚或者责令停产停业、吊销许可证或者执照、较大数额罚款等行政处罚</w:t>
      </w:r>
      <w:r>
        <w:rPr>
          <w:rFonts w:hint="eastAsia" w:ascii="宋体" w:hAnsi="宋体"/>
          <w:sz w:val="24"/>
          <w:szCs w:val="24"/>
        </w:rPr>
        <w:t>。</w:t>
      </w:r>
    </w:p>
    <w:p>
      <w:pPr>
        <w:numPr>
          <w:ilvl w:val="0"/>
          <w:numId w:val="11"/>
        </w:numPr>
        <w:tabs>
          <w:tab w:val="left" w:pos="1200"/>
        </w:tabs>
        <w:spacing w:line="600" w:lineRule="exact"/>
        <w:ind w:left="0" w:firstLine="567"/>
        <w:rPr>
          <w:rFonts w:ascii="宋体" w:hAnsi="宋体"/>
          <w:sz w:val="24"/>
          <w:szCs w:val="24"/>
        </w:rPr>
      </w:pPr>
      <w:r>
        <w:rPr>
          <w:rFonts w:hint="eastAsia" w:ascii="宋体" w:hAnsi="宋体"/>
          <w:sz w:val="24"/>
          <w:szCs w:val="24"/>
        </w:rPr>
        <w:t>本</w:t>
      </w:r>
      <w:r>
        <w:rPr>
          <w:rFonts w:ascii="宋体" w:hAnsi="宋体"/>
          <w:sz w:val="24"/>
          <w:szCs w:val="24"/>
        </w:rPr>
        <w:t>项目重大违法记录中的较大数额罚款的具体金额标准：若行业行政主管部门对较大数额罚款金额标准有明文规定的，以行业行政主管部门规定的较大数额罚款金额标准为准；若行业行政主管部门对较大数额罚款金额标准未明文规定的，以作出行政处罚机关当地的行政处罚罚款听证标准金额为准。</w:t>
      </w:r>
    </w:p>
    <w:p>
      <w:pPr>
        <w:numPr>
          <w:ilvl w:val="0"/>
          <w:numId w:val="11"/>
        </w:numPr>
        <w:tabs>
          <w:tab w:val="left" w:pos="1134"/>
        </w:tabs>
        <w:spacing w:line="360" w:lineRule="auto"/>
        <w:ind w:left="0" w:firstLine="568"/>
        <w:rPr>
          <w:rFonts w:ascii="宋体" w:hAnsi="宋体"/>
          <w:sz w:val="24"/>
          <w:szCs w:val="24"/>
        </w:rPr>
      </w:pPr>
      <w:r>
        <w:rPr>
          <w:rFonts w:hint="eastAsia" w:ascii="宋体" w:hAnsi="宋体"/>
          <w:sz w:val="24"/>
          <w:szCs w:val="24"/>
        </w:rPr>
        <w:t>不见面开标是指，</w:t>
      </w:r>
      <w:r>
        <w:rPr>
          <w:rFonts w:hint="eastAsia" w:ascii="宋体" w:hAnsi="宋体"/>
          <w:sz w:val="24"/>
          <w:szCs w:val="24"/>
          <w:lang w:eastAsia="zh-CN"/>
        </w:rPr>
        <w:t>区政府采购中心</w:t>
      </w:r>
      <w:r>
        <w:rPr>
          <w:rFonts w:hint="eastAsia" w:ascii="宋体" w:hAnsi="宋体"/>
          <w:sz w:val="24"/>
          <w:szCs w:val="24"/>
        </w:rPr>
        <w:t>依托政府采购云平台组织开标活动，供应商在线参与开标的一种组织形式。</w:t>
      </w:r>
    </w:p>
    <w:p>
      <w:pPr>
        <w:keepNext/>
        <w:keepLines/>
        <w:numPr>
          <w:ilvl w:val="2"/>
          <w:numId w:val="3"/>
        </w:numPr>
        <w:spacing w:line="360" w:lineRule="auto"/>
        <w:ind w:left="3119" w:hanging="3119"/>
        <w:outlineLvl w:val="2"/>
        <w:rPr>
          <w:rFonts w:ascii="宋体" w:hAnsi="宋体"/>
          <w:b/>
          <w:bCs/>
          <w:sz w:val="24"/>
          <w:szCs w:val="24"/>
        </w:rPr>
      </w:pPr>
      <w:bookmarkStart w:id="23" w:name="_Toc183682344"/>
      <w:bookmarkStart w:id="24" w:name="_Toc217390843"/>
      <w:bookmarkStart w:id="25" w:name="_Toc183582207"/>
      <w:bookmarkStart w:id="26" w:name="_Toc217446036"/>
      <w:r>
        <w:rPr>
          <w:rFonts w:hint="eastAsia" w:ascii="宋体" w:hAnsi="宋体"/>
          <w:b/>
          <w:bCs/>
          <w:sz w:val="24"/>
          <w:szCs w:val="24"/>
        </w:rPr>
        <w:t>合格的投标人</w:t>
      </w:r>
      <w:bookmarkEnd w:id="23"/>
      <w:bookmarkEnd w:id="24"/>
      <w:bookmarkEnd w:id="25"/>
      <w:bookmarkEnd w:id="26"/>
      <w:r>
        <w:rPr>
          <w:rFonts w:hint="eastAsia" w:ascii="宋体" w:hAnsi="宋体"/>
          <w:b/>
          <w:bCs/>
          <w:sz w:val="24"/>
          <w:szCs w:val="24"/>
        </w:rPr>
        <w:t>（实质性要求）</w:t>
      </w:r>
    </w:p>
    <w:p>
      <w:pPr>
        <w:tabs>
          <w:tab w:val="left" w:pos="7665"/>
        </w:tabs>
        <w:spacing w:line="360" w:lineRule="auto"/>
        <w:ind w:firstLine="484" w:firstLineChars="202"/>
        <w:rPr>
          <w:rFonts w:ascii="宋体" w:hAnsi="宋体"/>
          <w:sz w:val="24"/>
          <w:szCs w:val="24"/>
        </w:rPr>
      </w:pPr>
      <w:r>
        <w:rPr>
          <w:rFonts w:hint="eastAsia" w:ascii="宋体" w:hAnsi="宋体"/>
          <w:sz w:val="24"/>
          <w:szCs w:val="24"/>
        </w:rPr>
        <w:t>合格的投标人应具备以下条件：</w:t>
      </w:r>
    </w:p>
    <w:p>
      <w:pPr>
        <w:numPr>
          <w:ilvl w:val="0"/>
          <w:numId w:val="12"/>
        </w:numPr>
        <w:tabs>
          <w:tab w:val="left" w:pos="1134"/>
        </w:tabs>
        <w:spacing w:line="360" w:lineRule="auto"/>
        <w:rPr>
          <w:rFonts w:ascii="宋体" w:hAnsi="宋体"/>
          <w:sz w:val="24"/>
          <w:szCs w:val="24"/>
        </w:rPr>
      </w:pPr>
      <w:r>
        <w:rPr>
          <w:rFonts w:hint="eastAsia" w:ascii="宋体" w:hAnsi="宋体"/>
          <w:sz w:val="24"/>
          <w:szCs w:val="24"/>
        </w:rPr>
        <w:t>本招标文件“投标邀请”第五条规定的条件；</w:t>
      </w:r>
    </w:p>
    <w:p>
      <w:pPr>
        <w:numPr>
          <w:ilvl w:val="0"/>
          <w:numId w:val="12"/>
        </w:numPr>
        <w:tabs>
          <w:tab w:val="left" w:pos="1134"/>
        </w:tabs>
        <w:spacing w:line="360" w:lineRule="auto"/>
        <w:ind w:left="0" w:firstLine="568"/>
        <w:rPr>
          <w:rFonts w:ascii="宋体" w:hAnsi="宋体"/>
          <w:sz w:val="24"/>
          <w:szCs w:val="24"/>
        </w:rPr>
      </w:pPr>
      <w:r>
        <w:rPr>
          <w:rFonts w:hint="eastAsia" w:ascii="宋体" w:hAnsi="宋体"/>
          <w:sz w:val="24"/>
          <w:szCs w:val="24"/>
        </w:rPr>
        <w:t>按照招标文件“投标邀请”中第六、七、八条规定获取了招标文件。</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投标费用（实质性要求）</w:t>
      </w:r>
    </w:p>
    <w:p>
      <w:pPr>
        <w:spacing w:line="360" w:lineRule="auto"/>
        <w:ind w:firstLine="566" w:firstLineChars="236"/>
        <w:rPr>
          <w:rFonts w:ascii="宋体" w:hAnsi="宋体"/>
          <w:sz w:val="24"/>
          <w:szCs w:val="24"/>
        </w:rPr>
      </w:pPr>
      <w:r>
        <w:rPr>
          <w:rFonts w:hint="eastAsia" w:ascii="宋体" w:hAnsi="宋体"/>
          <w:sz w:val="24"/>
          <w:szCs w:val="24"/>
        </w:rPr>
        <w:t>投标人应自行承担参加投标的全部费用。</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充分、公平竞争保障措施（实质性要求）</w:t>
      </w:r>
    </w:p>
    <w:p>
      <w:pPr>
        <w:numPr>
          <w:ilvl w:val="0"/>
          <w:numId w:val="13"/>
        </w:numPr>
        <w:tabs>
          <w:tab w:val="left" w:pos="1134"/>
        </w:tabs>
        <w:adjustRightInd w:val="0"/>
        <w:spacing w:line="360" w:lineRule="auto"/>
        <w:ind w:left="0" w:firstLine="567"/>
        <w:rPr>
          <w:rFonts w:ascii="宋体" w:hAnsi="宋体"/>
          <w:sz w:val="24"/>
          <w:szCs w:val="24"/>
        </w:rPr>
      </w:pPr>
      <w:r>
        <w:rPr>
          <w:rFonts w:hint="eastAsia" w:ascii="宋体" w:hAnsi="宋体"/>
          <w:sz w:val="24"/>
          <w:szCs w:val="24"/>
        </w:rPr>
        <w:t>单位负责人为同一人或者存在直接控股、管理关系的不同供应商，不得参加同一项目的投标。</w:t>
      </w:r>
    </w:p>
    <w:p>
      <w:pPr>
        <w:numPr>
          <w:ilvl w:val="0"/>
          <w:numId w:val="13"/>
        </w:numPr>
        <w:tabs>
          <w:tab w:val="left" w:pos="1134"/>
        </w:tabs>
        <w:adjustRightInd w:val="0"/>
        <w:spacing w:line="360" w:lineRule="auto"/>
        <w:ind w:left="0" w:firstLine="567"/>
        <w:rPr>
          <w:rFonts w:ascii="宋体" w:hAnsi="宋体"/>
          <w:b/>
          <w:sz w:val="24"/>
          <w:szCs w:val="24"/>
        </w:rPr>
      </w:pPr>
      <w:r>
        <w:rPr>
          <w:rFonts w:hint="eastAsia" w:ascii="宋体" w:hAnsi="宋体"/>
          <w:sz w:val="24"/>
          <w:szCs w:val="24"/>
        </w:rPr>
        <w:t>为采购项目提供整体设计、规范编制或者项目管理、监理、检测等服务的供应商，不得再参加该采购项目的其他采购活动。供应商为采购人、</w:t>
      </w:r>
      <w:r>
        <w:rPr>
          <w:rFonts w:hint="eastAsia" w:ascii="宋体" w:cs="Arial"/>
          <w:sz w:val="24"/>
          <w:szCs w:val="24"/>
        </w:rPr>
        <w:t>采购代理机构</w:t>
      </w:r>
      <w:r>
        <w:rPr>
          <w:rFonts w:hint="eastAsia" w:ascii="宋体" w:hAnsi="宋体"/>
          <w:sz w:val="24"/>
          <w:szCs w:val="24"/>
        </w:rPr>
        <w:t>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r>
        <w:rPr>
          <w:rFonts w:hint="eastAsia" w:ascii="宋体" w:hAnsi="宋体"/>
          <w:b/>
          <w:sz w:val="24"/>
          <w:szCs w:val="24"/>
        </w:rPr>
        <w:t>（说明：无供应商为本项目提供整体设计、规范编制或者项目管理、监理、检测等服务。）</w:t>
      </w:r>
    </w:p>
    <w:p>
      <w:pPr>
        <w:numPr>
          <w:ilvl w:val="0"/>
          <w:numId w:val="13"/>
        </w:numPr>
        <w:tabs>
          <w:tab w:val="left" w:pos="1134"/>
        </w:tabs>
        <w:adjustRightInd w:val="0"/>
        <w:spacing w:line="360" w:lineRule="auto"/>
        <w:ind w:left="0" w:firstLine="567"/>
        <w:rPr>
          <w:rFonts w:ascii="宋体" w:hAnsi="宋体"/>
          <w:b/>
          <w:sz w:val="24"/>
          <w:szCs w:val="24"/>
        </w:rPr>
      </w:pPr>
      <w:r>
        <w:rPr>
          <w:rFonts w:hint="eastAsia" w:asciiTheme="minorEastAsia" w:hAnsiTheme="minorEastAsia"/>
          <w:sz w:val="24"/>
          <w:szCs w:val="24"/>
          <w:lang w:val="zh-CN"/>
        </w:rPr>
        <w:t>本项目</w:t>
      </w:r>
      <w:r>
        <w:rPr>
          <w:rFonts w:hint="eastAsia" w:asciiTheme="minorEastAsia" w:hAnsiTheme="minorEastAsia"/>
          <w:b/>
          <w:sz w:val="24"/>
          <w:szCs w:val="24"/>
        </w:rPr>
        <w:t>核心产品为</w:t>
      </w:r>
      <w:r>
        <w:rPr>
          <w:rFonts w:hint="eastAsia" w:asciiTheme="minorEastAsia" w:hAnsiTheme="minorEastAsia"/>
          <w:b/>
          <w:sz w:val="24"/>
          <w:szCs w:val="24"/>
          <w:lang w:eastAsia="zh-CN"/>
        </w:rPr>
        <w:t>：</w:t>
      </w:r>
      <w:r>
        <w:rPr>
          <w:rFonts w:hint="eastAsia" w:asciiTheme="minorEastAsia" w:hAnsiTheme="minorEastAsia"/>
          <w:b/>
          <w:sz w:val="24"/>
          <w:szCs w:val="24"/>
          <w:highlight w:val="yellow"/>
          <w:lang w:eastAsia="zh-CN"/>
        </w:rPr>
        <w:t>大米、菜籽油</w:t>
      </w:r>
      <w:r>
        <w:rPr>
          <w:rFonts w:hint="eastAsia" w:asciiTheme="minorEastAsia" w:hAnsiTheme="minorEastAsia"/>
          <w:sz w:val="24"/>
          <w:szCs w:val="24"/>
          <w:lang w:val="zh-CN"/>
        </w:rPr>
        <w:t>。</w:t>
      </w:r>
      <w:r>
        <w:rPr>
          <w:rFonts w:hint="eastAsia" w:hAnsi="宋体"/>
          <w:sz w:val="24"/>
          <w:szCs w:val="24"/>
        </w:rPr>
        <w:t>提供核心产品品牌</w:t>
      </w:r>
      <w:r>
        <w:rPr>
          <w:rFonts w:hint="eastAsia" w:hAnsi="宋体"/>
          <w:sz w:val="24"/>
          <w:szCs w:val="24"/>
          <w:lang w:eastAsia="zh-CN"/>
        </w:rPr>
        <w:t>都</w:t>
      </w:r>
      <w:r>
        <w:rPr>
          <w:rFonts w:hint="eastAsia" w:hAnsi="宋体"/>
          <w:sz w:val="24"/>
          <w:szCs w:val="24"/>
        </w:rPr>
        <w:t>相</w:t>
      </w:r>
      <w:r>
        <w:rPr>
          <w:rFonts w:hint="eastAsia" w:hAnsi="宋体"/>
          <w:sz w:val="24"/>
          <w:szCs w:val="24"/>
          <w:lang w:val="zh-CN"/>
        </w:rPr>
        <w:t>同且通过资格检查和符合性检查的不同投标人参加同一项目</w:t>
      </w:r>
      <w:r>
        <w:rPr>
          <w:rFonts w:hAnsi="宋体"/>
          <w:sz w:val="24"/>
          <w:szCs w:val="24"/>
          <w:lang w:val="zh-CN"/>
        </w:rPr>
        <w:t>（</w:t>
      </w:r>
      <w:r>
        <w:rPr>
          <w:rFonts w:hint="eastAsia" w:hAnsi="宋体"/>
          <w:sz w:val="24"/>
          <w:szCs w:val="24"/>
          <w:lang w:val="zh-CN"/>
        </w:rPr>
        <w:t>包件</w:t>
      </w:r>
      <w:r>
        <w:rPr>
          <w:rFonts w:hAnsi="宋体"/>
          <w:sz w:val="24"/>
          <w:szCs w:val="24"/>
          <w:lang w:val="zh-CN"/>
        </w:rPr>
        <w:t>）</w:t>
      </w:r>
      <w:r>
        <w:rPr>
          <w:rFonts w:hint="eastAsia" w:hAnsi="宋体"/>
          <w:sz w:val="24"/>
          <w:szCs w:val="24"/>
          <w:lang w:val="zh-CN"/>
        </w:rPr>
        <w:t>投标的，按一家投标人计算，评审后得分最高的投标人获得中标候选人推荐资格；评审得分相同的，报价得分最高的投标人获得中标候选人推荐资格；评审得分相同且报价相同的，由评标委员会采取随机抽取的方式确定一个投标人获得中标候选人推荐资格。</w:t>
      </w:r>
    </w:p>
    <w:p>
      <w:pPr>
        <w:keepNext/>
        <w:keepLines/>
        <w:numPr>
          <w:ilvl w:val="1"/>
          <w:numId w:val="3"/>
        </w:numPr>
        <w:spacing w:line="360" w:lineRule="auto"/>
        <w:jc w:val="left"/>
        <w:outlineLvl w:val="1"/>
        <w:rPr>
          <w:rFonts w:ascii="宋体" w:hAnsi="宋体"/>
          <w:b/>
          <w:bCs/>
          <w:sz w:val="24"/>
          <w:szCs w:val="24"/>
        </w:rPr>
      </w:pPr>
      <w:bookmarkStart w:id="27" w:name="_Toc3322"/>
      <w:bookmarkStart w:id="28" w:name="_Toc183582210"/>
      <w:bookmarkStart w:id="29" w:name="_Toc183682347"/>
      <w:bookmarkStart w:id="30" w:name="_Toc217446039"/>
      <w:r>
        <w:rPr>
          <w:rFonts w:hint="eastAsia" w:ascii="宋体" w:hAnsi="宋体"/>
          <w:b/>
          <w:bCs/>
          <w:sz w:val="24"/>
          <w:szCs w:val="24"/>
        </w:rPr>
        <w:t>招标文件</w:t>
      </w:r>
      <w:bookmarkEnd w:id="27"/>
      <w:bookmarkEnd w:id="28"/>
      <w:bookmarkEnd w:id="29"/>
      <w:bookmarkEnd w:id="30"/>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招标文件的构成</w:t>
      </w:r>
    </w:p>
    <w:p>
      <w:pPr>
        <w:numPr>
          <w:ilvl w:val="0"/>
          <w:numId w:val="14"/>
        </w:numPr>
        <w:tabs>
          <w:tab w:val="left" w:pos="1134"/>
        </w:tabs>
        <w:spacing w:line="360" w:lineRule="auto"/>
        <w:ind w:left="0" w:firstLine="567"/>
        <w:rPr>
          <w:rFonts w:ascii="宋体" w:hAnsi="宋体"/>
          <w:sz w:val="24"/>
          <w:szCs w:val="24"/>
        </w:rPr>
      </w:pPr>
      <w:r>
        <w:rPr>
          <w:rFonts w:hint="eastAsia" w:ascii="宋体" w:hAnsi="宋体"/>
          <w:sz w:val="24"/>
          <w:szCs w:val="24"/>
        </w:rPr>
        <w:t>招标文件是供应商准备投标文件和参加投标的依据，同时也是评标的重要依据。招标文件用以阐明招标项目所需的资质、技术、服务及报价等要求、招标投标程序、有关规定和注意事项以及合同主要条款等。本招标文件包括以下内容：</w:t>
      </w:r>
    </w:p>
    <w:p>
      <w:pPr>
        <w:numPr>
          <w:ilvl w:val="1"/>
          <w:numId w:val="15"/>
        </w:numPr>
        <w:tabs>
          <w:tab w:val="left" w:pos="1134"/>
        </w:tabs>
        <w:spacing w:line="360" w:lineRule="auto"/>
        <w:ind w:left="0" w:firstLine="567"/>
        <w:rPr>
          <w:rFonts w:ascii="宋体" w:hAnsi="宋体"/>
          <w:sz w:val="24"/>
          <w:szCs w:val="24"/>
        </w:rPr>
      </w:pPr>
      <w:r>
        <w:rPr>
          <w:rFonts w:hint="eastAsia" w:ascii="宋体" w:hAnsi="宋体"/>
          <w:sz w:val="24"/>
          <w:szCs w:val="24"/>
        </w:rPr>
        <w:t>投标邀请；</w:t>
      </w:r>
    </w:p>
    <w:p>
      <w:pPr>
        <w:numPr>
          <w:ilvl w:val="1"/>
          <w:numId w:val="15"/>
        </w:numPr>
        <w:tabs>
          <w:tab w:val="left" w:pos="1134"/>
        </w:tabs>
        <w:spacing w:line="360" w:lineRule="auto"/>
        <w:ind w:left="0" w:firstLine="567"/>
        <w:rPr>
          <w:rFonts w:ascii="宋体" w:hAnsi="宋体"/>
          <w:sz w:val="24"/>
          <w:szCs w:val="24"/>
        </w:rPr>
      </w:pPr>
      <w:r>
        <w:rPr>
          <w:rFonts w:hint="eastAsia" w:ascii="宋体" w:hAnsi="宋体"/>
          <w:sz w:val="24"/>
          <w:szCs w:val="24"/>
        </w:rPr>
        <w:t>投标人须知；</w:t>
      </w:r>
    </w:p>
    <w:p>
      <w:pPr>
        <w:numPr>
          <w:ilvl w:val="1"/>
          <w:numId w:val="15"/>
        </w:numPr>
        <w:tabs>
          <w:tab w:val="left" w:pos="1134"/>
        </w:tabs>
        <w:spacing w:line="360" w:lineRule="auto"/>
        <w:ind w:left="0" w:firstLine="567"/>
        <w:rPr>
          <w:rFonts w:ascii="宋体" w:hAnsi="宋体"/>
          <w:sz w:val="24"/>
          <w:szCs w:val="24"/>
        </w:rPr>
      </w:pPr>
      <w:r>
        <w:rPr>
          <w:rFonts w:hint="eastAsia" w:ascii="宋体" w:hAnsi="宋体"/>
          <w:sz w:val="24"/>
          <w:szCs w:val="24"/>
        </w:rPr>
        <w:t>投标文件格式；</w:t>
      </w:r>
    </w:p>
    <w:p>
      <w:pPr>
        <w:numPr>
          <w:ilvl w:val="1"/>
          <w:numId w:val="15"/>
        </w:numPr>
        <w:tabs>
          <w:tab w:val="left" w:pos="1134"/>
        </w:tabs>
        <w:spacing w:line="360" w:lineRule="auto"/>
        <w:ind w:left="0" w:firstLine="567"/>
        <w:rPr>
          <w:rFonts w:ascii="宋体" w:hAnsi="宋体"/>
          <w:sz w:val="24"/>
          <w:szCs w:val="24"/>
        </w:rPr>
      </w:pPr>
      <w:r>
        <w:rPr>
          <w:rFonts w:hint="eastAsia" w:ascii="宋体" w:hAnsi="宋体"/>
          <w:sz w:val="24"/>
          <w:szCs w:val="24"/>
        </w:rPr>
        <w:t>招标项目技术、服务、商务及其他要求；</w:t>
      </w:r>
    </w:p>
    <w:p>
      <w:pPr>
        <w:numPr>
          <w:ilvl w:val="1"/>
          <w:numId w:val="15"/>
        </w:numPr>
        <w:tabs>
          <w:tab w:val="left" w:pos="1134"/>
        </w:tabs>
        <w:spacing w:line="360" w:lineRule="auto"/>
        <w:ind w:left="0" w:firstLine="567"/>
        <w:rPr>
          <w:rFonts w:ascii="宋体" w:hAnsi="宋体"/>
          <w:sz w:val="24"/>
          <w:szCs w:val="24"/>
        </w:rPr>
      </w:pPr>
      <w:r>
        <w:rPr>
          <w:rFonts w:hint="eastAsia" w:ascii="宋体" w:hAnsi="宋体"/>
          <w:sz w:val="24"/>
          <w:szCs w:val="24"/>
        </w:rPr>
        <w:t>资格性审查；</w:t>
      </w:r>
    </w:p>
    <w:p>
      <w:pPr>
        <w:numPr>
          <w:ilvl w:val="1"/>
          <w:numId w:val="15"/>
        </w:numPr>
        <w:tabs>
          <w:tab w:val="left" w:pos="1134"/>
        </w:tabs>
        <w:spacing w:line="360" w:lineRule="auto"/>
        <w:ind w:left="0" w:firstLine="567"/>
        <w:rPr>
          <w:rFonts w:ascii="宋体" w:hAnsi="宋体"/>
          <w:sz w:val="24"/>
          <w:szCs w:val="24"/>
        </w:rPr>
      </w:pPr>
      <w:r>
        <w:rPr>
          <w:rFonts w:hint="eastAsia" w:ascii="宋体" w:hAnsi="宋体"/>
          <w:sz w:val="24"/>
          <w:szCs w:val="24"/>
        </w:rPr>
        <w:t>评标办法；</w:t>
      </w:r>
    </w:p>
    <w:p>
      <w:pPr>
        <w:numPr>
          <w:ilvl w:val="1"/>
          <w:numId w:val="15"/>
        </w:numPr>
        <w:tabs>
          <w:tab w:val="left" w:pos="1134"/>
        </w:tabs>
        <w:spacing w:line="360" w:lineRule="auto"/>
        <w:ind w:left="0" w:firstLine="567"/>
        <w:rPr>
          <w:rFonts w:ascii="宋体" w:hAnsi="宋体"/>
          <w:sz w:val="24"/>
          <w:szCs w:val="24"/>
        </w:rPr>
      </w:pPr>
      <w:r>
        <w:rPr>
          <w:rFonts w:hint="eastAsia" w:ascii="宋体" w:hAnsi="宋体"/>
          <w:sz w:val="24"/>
          <w:szCs w:val="24"/>
        </w:rPr>
        <w:t>拟签订合同文本。</w:t>
      </w:r>
    </w:p>
    <w:p>
      <w:pPr>
        <w:numPr>
          <w:ilvl w:val="0"/>
          <w:numId w:val="14"/>
        </w:numPr>
        <w:tabs>
          <w:tab w:val="left" w:pos="1134"/>
        </w:tabs>
        <w:spacing w:line="360" w:lineRule="auto"/>
        <w:ind w:left="0" w:firstLine="567"/>
        <w:rPr>
          <w:rFonts w:ascii="宋体" w:hAnsi="宋体"/>
          <w:sz w:val="24"/>
          <w:szCs w:val="24"/>
        </w:rPr>
      </w:pPr>
      <w:r>
        <w:rPr>
          <w:rFonts w:hint="eastAsia" w:ascii="宋体" w:hAnsi="宋体"/>
          <w:sz w:val="24"/>
          <w:szCs w:val="24"/>
        </w:rPr>
        <w:t>投标人应认真阅读和充分理解招标文件中所有的事项、格式条款和规范要求。投标人没有对招标文件全面做出实质性响应所产生的风险由投标人承担。</w:t>
      </w:r>
    </w:p>
    <w:p>
      <w:pPr>
        <w:keepNext/>
        <w:keepLines/>
        <w:numPr>
          <w:ilvl w:val="2"/>
          <w:numId w:val="3"/>
        </w:numPr>
        <w:spacing w:line="360" w:lineRule="auto"/>
        <w:ind w:left="0" w:firstLine="0"/>
        <w:outlineLvl w:val="2"/>
        <w:rPr>
          <w:rFonts w:ascii="宋体" w:hAnsi="宋体"/>
          <w:b/>
          <w:bCs/>
          <w:sz w:val="24"/>
          <w:szCs w:val="24"/>
        </w:rPr>
      </w:pPr>
      <w:bookmarkStart w:id="31" w:name="_Toc183582211"/>
      <w:bookmarkStart w:id="32" w:name="_Toc183682348"/>
      <w:bookmarkStart w:id="33" w:name="_Toc217446040"/>
      <w:r>
        <w:rPr>
          <w:rFonts w:hint="eastAsia" w:ascii="宋体" w:hAnsi="宋体"/>
          <w:b/>
          <w:bCs/>
          <w:sz w:val="24"/>
          <w:szCs w:val="24"/>
        </w:rPr>
        <w:t>招标文件的澄清</w:t>
      </w:r>
      <w:bookmarkEnd w:id="31"/>
      <w:bookmarkEnd w:id="32"/>
      <w:r>
        <w:rPr>
          <w:rFonts w:hint="eastAsia" w:ascii="宋体" w:hAnsi="宋体"/>
          <w:b/>
          <w:bCs/>
          <w:sz w:val="24"/>
          <w:szCs w:val="24"/>
        </w:rPr>
        <w:t>和修改</w:t>
      </w:r>
      <w:bookmarkEnd w:id="33"/>
      <w:bookmarkStart w:id="34" w:name="_Toc183682351"/>
      <w:bookmarkStart w:id="35" w:name="_Toc217446042"/>
      <w:bookmarkStart w:id="36" w:name="_Toc89075876"/>
      <w:bookmarkStart w:id="37" w:name="_Toc77400780"/>
      <w:bookmarkStart w:id="38" w:name="_Toc183582214"/>
    </w:p>
    <w:p>
      <w:pPr>
        <w:numPr>
          <w:ilvl w:val="0"/>
          <w:numId w:val="16"/>
        </w:numPr>
        <w:tabs>
          <w:tab w:val="left" w:pos="142"/>
          <w:tab w:val="left" w:pos="1134"/>
        </w:tabs>
        <w:spacing w:line="360" w:lineRule="auto"/>
        <w:ind w:left="0" w:firstLine="560"/>
        <w:rPr>
          <w:rFonts w:ascii="宋体" w:hAnsi="宋体"/>
          <w:sz w:val="24"/>
          <w:szCs w:val="24"/>
        </w:rPr>
      </w:pPr>
      <w:r>
        <w:rPr>
          <w:rFonts w:hint="eastAsia" w:ascii="宋体" w:hAnsi="宋体"/>
          <w:sz w:val="24"/>
          <w:szCs w:val="24"/>
        </w:rPr>
        <w:t>在投标截止时间前，采购人或者</w:t>
      </w:r>
      <w:r>
        <w:rPr>
          <w:rFonts w:hint="eastAsia" w:cs="Arial"/>
          <w:sz w:val="24"/>
          <w:szCs w:val="24"/>
          <w:lang w:eastAsia="zh-CN"/>
        </w:rPr>
        <w:t>区政府采购中心</w:t>
      </w:r>
      <w:r>
        <w:rPr>
          <w:rFonts w:hint="eastAsia" w:ascii="宋体" w:hAnsi="宋体"/>
          <w:sz w:val="24"/>
          <w:szCs w:val="24"/>
        </w:rPr>
        <w:t>可以对已发出的招标文件进行必要的澄清或者修改。</w:t>
      </w:r>
    </w:p>
    <w:p>
      <w:pPr>
        <w:numPr>
          <w:ilvl w:val="0"/>
          <w:numId w:val="16"/>
        </w:numPr>
        <w:tabs>
          <w:tab w:val="left" w:pos="142"/>
          <w:tab w:val="left" w:pos="1134"/>
        </w:tabs>
        <w:spacing w:line="360" w:lineRule="auto"/>
        <w:ind w:left="0" w:firstLine="560"/>
        <w:rPr>
          <w:rFonts w:ascii="宋体" w:hAnsi="宋体"/>
          <w:sz w:val="24"/>
          <w:szCs w:val="24"/>
        </w:rPr>
      </w:pPr>
      <w:r>
        <w:rPr>
          <w:rFonts w:hint="eastAsia" w:ascii="宋体" w:hAnsi="宋体"/>
          <w:sz w:val="24"/>
          <w:szCs w:val="24"/>
        </w:rPr>
        <w:t>澄清或者修改的内容，</w:t>
      </w:r>
      <w:r>
        <w:rPr>
          <w:rFonts w:hint="eastAsia" w:ascii="宋体" w:hAnsi="宋体"/>
          <w:sz w:val="24"/>
          <w:szCs w:val="24"/>
          <w:lang w:eastAsia="zh-CN"/>
        </w:rPr>
        <w:t>区政府采购中心</w:t>
      </w:r>
      <w:r>
        <w:rPr>
          <w:rFonts w:hint="eastAsia" w:ascii="宋体" w:hAnsi="宋体"/>
          <w:sz w:val="24"/>
          <w:szCs w:val="24"/>
        </w:rPr>
        <w:t>将在“四川政府采购网”和“成都市公共资源交易服务中心”网站上发布澄清公告，同时通过政府采购云平台将澄清或者修改的内容告知所有在系统中成功获取招标文件的潜在投标人（投标人通过账号或CA证书登录政府采购云平台查看）</w:t>
      </w:r>
    </w:p>
    <w:p>
      <w:pPr>
        <w:numPr>
          <w:ilvl w:val="0"/>
          <w:numId w:val="16"/>
        </w:numPr>
        <w:tabs>
          <w:tab w:val="left" w:pos="142"/>
          <w:tab w:val="left" w:pos="1134"/>
        </w:tabs>
        <w:spacing w:line="360" w:lineRule="auto"/>
        <w:ind w:left="0" w:firstLine="560"/>
        <w:rPr>
          <w:rFonts w:ascii="宋体" w:hAnsi="宋体"/>
          <w:sz w:val="24"/>
          <w:szCs w:val="24"/>
        </w:rPr>
      </w:pPr>
      <w:r>
        <w:rPr>
          <w:rFonts w:hint="eastAsia" w:ascii="宋体" w:hAnsi="宋体"/>
          <w:sz w:val="24"/>
          <w:szCs w:val="24"/>
        </w:rPr>
        <w:t>澄清或者修改的内容可能影响投标文件编制的，</w:t>
      </w:r>
      <w:r>
        <w:rPr>
          <w:rFonts w:hint="eastAsia" w:ascii="宋体" w:hAnsi="宋体"/>
          <w:sz w:val="24"/>
          <w:szCs w:val="24"/>
          <w:lang w:eastAsia="zh-CN"/>
        </w:rPr>
        <w:t>区政府采购中心</w:t>
      </w:r>
      <w:r>
        <w:rPr>
          <w:rFonts w:hint="eastAsia" w:ascii="宋体" w:hAnsi="宋体"/>
          <w:sz w:val="24"/>
          <w:szCs w:val="24"/>
        </w:rPr>
        <w:t>应当在投标截止时间至少15日前，通过政府采购云平台通知所有已获取招标文件的潜在投标人；不足15日的，采购人或</w:t>
      </w:r>
      <w:r>
        <w:rPr>
          <w:rFonts w:hint="eastAsia" w:ascii="宋体" w:hAnsi="宋体"/>
          <w:sz w:val="24"/>
          <w:szCs w:val="24"/>
          <w:lang w:eastAsia="zh-CN"/>
        </w:rPr>
        <w:t>区政府采购中心</w:t>
      </w:r>
      <w:r>
        <w:rPr>
          <w:rFonts w:hint="eastAsia" w:ascii="宋体" w:hAnsi="宋体"/>
          <w:sz w:val="24"/>
          <w:szCs w:val="24"/>
        </w:rPr>
        <w:t>应当顺延提交投标文件的截止时间。</w:t>
      </w:r>
    </w:p>
    <w:p>
      <w:pPr>
        <w:keepNext/>
        <w:keepLines/>
        <w:numPr>
          <w:ilvl w:val="1"/>
          <w:numId w:val="3"/>
        </w:numPr>
        <w:spacing w:line="360" w:lineRule="auto"/>
        <w:jc w:val="left"/>
        <w:outlineLvl w:val="1"/>
        <w:rPr>
          <w:rFonts w:ascii="宋体" w:hAnsi="宋体"/>
          <w:b/>
          <w:bCs/>
          <w:sz w:val="24"/>
          <w:szCs w:val="24"/>
        </w:rPr>
      </w:pPr>
      <w:bookmarkStart w:id="39" w:name="_Toc3123"/>
      <w:r>
        <w:rPr>
          <w:rFonts w:hint="eastAsia" w:ascii="宋体" w:hAnsi="宋体"/>
          <w:b/>
          <w:bCs/>
          <w:sz w:val="24"/>
          <w:szCs w:val="24"/>
        </w:rPr>
        <w:t>投标文件</w:t>
      </w:r>
      <w:bookmarkEnd w:id="34"/>
      <w:bookmarkEnd w:id="35"/>
      <w:bookmarkEnd w:id="36"/>
      <w:bookmarkEnd w:id="37"/>
      <w:bookmarkEnd w:id="38"/>
      <w:bookmarkEnd w:id="39"/>
    </w:p>
    <w:p>
      <w:pPr>
        <w:keepNext/>
        <w:keepLines/>
        <w:numPr>
          <w:ilvl w:val="2"/>
          <w:numId w:val="3"/>
        </w:numPr>
        <w:spacing w:line="360" w:lineRule="auto"/>
        <w:ind w:left="0" w:firstLine="0"/>
        <w:outlineLvl w:val="2"/>
        <w:rPr>
          <w:rFonts w:ascii="宋体" w:hAnsi="宋体"/>
          <w:b/>
          <w:bCs/>
          <w:sz w:val="24"/>
          <w:szCs w:val="24"/>
        </w:rPr>
      </w:pPr>
      <w:bookmarkStart w:id="40" w:name="_Toc183582215"/>
      <w:bookmarkStart w:id="41" w:name="_Toc217446043"/>
      <w:bookmarkStart w:id="42" w:name="_Toc183682352"/>
      <w:r>
        <w:rPr>
          <w:rFonts w:hint="eastAsia" w:ascii="宋体" w:hAnsi="宋体"/>
          <w:b/>
          <w:bCs/>
          <w:sz w:val="24"/>
          <w:szCs w:val="24"/>
        </w:rPr>
        <w:t>投标文件的语言</w:t>
      </w:r>
      <w:bookmarkEnd w:id="40"/>
      <w:bookmarkEnd w:id="41"/>
      <w:bookmarkEnd w:id="42"/>
      <w:r>
        <w:rPr>
          <w:rFonts w:hint="eastAsia" w:ascii="宋体" w:hAnsi="宋体"/>
          <w:b/>
          <w:bCs/>
          <w:sz w:val="24"/>
          <w:szCs w:val="24"/>
        </w:rPr>
        <w:t>（实质性要求）</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一</w:t>
      </w:r>
      <w:r>
        <w:rPr>
          <w:rFonts w:ascii="宋体" w:hAnsi="宋体"/>
          <w:sz w:val="24"/>
          <w:szCs w:val="24"/>
        </w:rPr>
        <w:t>、</w:t>
      </w:r>
      <w:r>
        <w:rPr>
          <w:rFonts w:hint="eastAsia" w:ascii="宋体" w:hAnsi="宋体"/>
          <w:sz w:val="24"/>
          <w:szCs w:val="24"/>
        </w:rPr>
        <w:t>投标人提交的投标文件以及投标人与采购人或</w:t>
      </w:r>
      <w:r>
        <w:rPr>
          <w:rFonts w:hint="eastAsia" w:cs="Arial"/>
          <w:sz w:val="24"/>
          <w:szCs w:val="24"/>
          <w:lang w:eastAsia="zh-CN"/>
        </w:rPr>
        <w:t>区政府采购中心</w:t>
      </w:r>
      <w:r>
        <w:rPr>
          <w:rFonts w:hint="eastAsia" w:ascii="宋体" w:hAnsi="宋体"/>
          <w:sz w:val="24"/>
          <w:szCs w:val="24"/>
        </w:rPr>
        <w:t>就有关投标的所有来往书面文件均须使用中文。投标文件中如附有外文资料，主要部分要对应翻译成中文并附在相关外文资料后面。</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二</w:t>
      </w:r>
      <w:r>
        <w:rPr>
          <w:rFonts w:ascii="宋体" w:hAnsi="宋体"/>
          <w:sz w:val="24"/>
          <w:szCs w:val="24"/>
        </w:rPr>
        <w:t>、</w:t>
      </w:r>
      <w:r>
        <w:rPr>
          <w:rFonts w:hint="eastAsia" w:ascii="宋体" w:hAnsi="宋体"/>
          <w:sz w:val="24"/>
          <w:szCs w:val="24"/>
        </w:rPr>
        <w:t>翻译的中文资料与外文资料如果出现差异和矛盾时，以中文为准。涉嫌提供虚假材料的按照相关法律法规处理。</w:t>
      </w:r>
    </w:p>
    <w:p>
      <w:pPr>
        <w:tabs>
          <w:tab w:val="left" w:pos="1134"/>
        </w:tabs>
        <w:spacing w:line="360" w:lineRule="auto"/>
        <w:ind w:left="560"/>
        <w:rPr>
          <w:rFonts w:ascii="宋体" w:hAnsi="宋体"/>
          <w:sz w:val="24"/>
          <w:szCs w:val="24"/>
        </w:rPr>
      </w:pPr>
      <w:r>
        <w:rPr>
          <w:rFonts w:hint="eastAsia" w:ascii="宋体" w:hAnsi="宋体" w:eastAsiaTheme="minorEastAsia" w:cstheme="minorBidi"/>
          <w:sz w:val="24"/>
          <w:szCs w:val="24"/>
        </w:rPr>
        <w:t>三、如因未翻译而造成对供应商的不利后果，由供应商承担。</w:t>
      </w:r>
    </w:p>
    <w:p>
      <w:pPr>
        <w:keepNext/>
        <w:keepLines/>
        <w:numPr>
          <w:ilvl w:val="2"/>
          <w:numId w:val="3"/>
        </w:numPr>
        <w:spacing w:line="360" w:lineRule="auto"/>
        <w:ind w:left="0" w:firstLine="0"/>
        <w:outlineLvl w:val="2"/>
        <w:rPr>
          <w:rFonts w:ascii="宋体" w:hAnsi="宋体"/>
          <w:b/>
          <w:bCs/>
          <w:sz w:val="24"/>
          <w:szCs w:val="24"/>
        </w:rPr>
      </w:pPr>
      <w:bookmarkStart w:id="43" w:name="_Toc183582216"/>
      <w:bookmarkStart w:id="44" w:name="_Toc217446044"/>
      <w:bookmarkStart w:id="45" w:name="_Toc183682353"/>
      <w:r>
        <w:rPr>
          <w:rFonts w:hint="eastAsia" w:ascii="宋体" w:hAnsi="宋体"/>
          <w:b/>
          <w:bCs/>
          <w:sz w:val="24"/>
          <w:szCs w:val="24"/>
        </w:rPr>
        <w:t>计量单位</w:t>
      </w:r>
      <w:bookmarkEnd w:id="43"/>
      <w:bookmarkEnd w:id="44"/>
      <w:bookmarkEnd w:id="45"/>
      <w:r>
        <w:rPr>
          <w:rFonts w:hint="eastAsia" w:ascii="宋体" w:hAnsi="宋体"/>
          <w:b/>
          <w:bCs/>
          <w:sz w:val="24"/>
          <w:szCs w:val="24"/>
        </w:rPr>
        <w:t>（实质性要求）</w:t>
      </w:r>
    </w:p>
    <w:p>
      <w:pPr>
        <w:tabs>
          <w:tab w:val="left" w:pos="7665"/>
        </w:tabs>
        <w:spacing w:line="360" w:lineRule="auto"/>
        <w:ind w:left="13" w:firstLine="554"/>
        <w:rPr>
          <w:rFonts w:ascii="宋体" w:hAnsi="宋体"/>
          <w:sz w:val="24"/>
          <w:szCs w:val="24"/>
        </w:rPr>
      </w:pPr>
      <w:r>
        <w:rPr>
          <w:rFonts w:hint="eastAsia" w:ascii="宋体" w:hAnsi="宋体"/>
          <w:sz w:val="24"/>
          <w:szCs w:val="24"/>
        </w:rPr>
        <w:t>除招标文件中另有规定外，本次采购项目所有合同项下的投标均采用国家法定的计量单位。</w:t>
      </w:r>
    </w:p>
    <w:p>
      <w:pPr>
        <w:keepNext/>
        <w:keepLines/>
        <w:numPr>
          <w:ilvl w:val="2"/>
          <w:numId w:val="3"/>
        </w:numPr>
        <w:spacing w:line="360" w:lineRule="auto"/>
        <w:ind w:left="0" w:firstLine="0"/>
        <w:outlineLvl w:val="2"/>
        <w:rPr>
          <w:rFonts w:ascii="宋体" w:hAnsi="宋体"/>
          <w:b/>
          <w:bCs/>
          <w:sz w:val="24"/>
          <w:szCs w:val="24"/>
        </w:rPr>
      </w:pPr>
      <w:bookmarkStart w:id="46" w:name="_Toc217446045"/>
      <w:r>
        <w:rPr>
          <w:rFonts w:hint="eastAsia" w:ascii="宋体" w:hAnsi="宋体"/>
          <w:b/>
          <w:bCs/>
          <w:sz w:val="24"/>
          <w:szCs w:val="24"/>
        </w:rPr>
        <w:t>投标货币</w:t>
      </w:r>
      <w:bookmarkEnd w:id="46"/>
      <w:r>
        <w:rPr>
          <w:rFonts w:hint="eastAsia" w:ascii="宋体" w:hAnsi="宋体"/>
          <w:b/>
          <w:bCs/>
          <w:sz w:val="24"/>
          <w:szCs w:val="24"/>
        </w:rPr>
        <w:t>（</w:t>
      </w:r>
      <w:r>
        <w:rPr>
          <w:rFonts w:ascii="宋体" w:hAnsi="宋体"/>
          <w:b/>
          <w:bCs/>
          <w:sz w:val="24"/>
          <w:szCs w:val="24"/>
        </w:rPr>
        <w:t>实质性</w:t>
      </w:r>
      <w:r>
        <w:rPr>
          <w:rFonts w:hint="eastAsia" w:ascii="宋体" w:hAnsi="宋体"/>
          <w:b/>
          <w:bCs/>
          <w:sz w:val="24"/>
          <w:szCs w:val="24"/>
        </w:rPr>
        <w:t>要求）</w:t>
      </w:r>
    </w:p>
    <w:p>
      <w:pPr>
        <w:tabs>
          <w:tab w:val="left" w:pos="7665"/>
        </w:tabs>
        <w:spacing w:line="360" w:lineRule="auto"/>
        <w:ind w:left="13" w:firstLine="554"/>
        <w:rPr>
          <w:rFonts w:ascii="宋体" w:hAnsi="宋体"/>
          <w:sz w:val="24"/>
          <w:szCs w:val="24"/>
        </w:rPr>
      </w:pPr>
      <w:r>
        <w:rPr>
          <w:rFonts w:hint="eastAsia" w:ascii="宋体" w:hAnsi="宋体"/>
          <w:sz w:val="24"/>
          <w:szCs w:val="24"/>
        </w:rPr>
        <w:t>本次招标项目的投标均以人民币报价。</w:t>
      </w:r>
    </w:p>
    <w:p>
      <w:pPr>
        <w:keepNext/>
        <w:keepLines/>
        <w:numPr>
          <w:ilvl w:val="2"/>
          <w:numId w:val="3"/>
        </w:numPr>
        <w:spacing w:line="360" w:lineRule="auto"/>
        <w:ind w:left="0" w:firstLine="0"/>
        <w:outlineLvl w:val="2"/>
        <w:rPr>
          <w:rFonts w:ascii="宋体" w:hAnsi="宋体"/>
          <w:b/>
          <w:bCs/>
          <w:sz w:val="24"/>
          <w:szCs w:val="24"/>
        </w:rPr>
      </w:pPr>
      <w:bookmarkStart w:id="47" w:name="_Toc217446046"/>
      <w:r>
        <w:rPr>
          <w:rFonts w:hint="eastAsia" w:ascii="宋体" w:hAnsi="宋体"/>
          <w:b/>
          <w:bCs/>
          <w:sz w:val="24"/>
          <w:szCs w:val="24"/>
        </w:rPr>
        <w:t>联合体投标</w:t>
      </w:r>
      <w:bookmarkEnd w:id="47"/>
      <w:r>
        <w:rPr>
          <w:rFonts w:hint="eastAsia" w:ascii="宋体" w:hAnsi="宋体"/>
          <w:b/>
          <w:bCs/>
          <w:sz w:val="24"/>
          <w:szCs w:val="24"/>
        </w:rPr>
        <w:t>（实质性要求）</w:t>
      </w:r>
    </w:p>
    <w:p>
      <w:pPr>
        <w:tabs>
          <w:tab w:val="left" w:pos="1134"/>
        </w:tabs>
        <w:spacing w:line="360" w:lineRule="auto"/>
        <w:ind w:left="546"/>
        <w:rPr>
          <w:rFonts w:ascii="宋体" w:hAnsi="宋体"/>
          <w:sz w:val="24"/>
          <w:szCs w:val="24"/>
        </w:rPr>
      </w:pPr>
      <w:r>
        <w:rPr>
          <w:rFonts w:hint="eastAsia" w:ascii="宋体" w:hAnsi="宋体"/>
          <w:sz w:val="24"/>
          <w:szCs w:val="24"/>
        </w:rPr>
        <w:t>本次政府采购活动</w:t>
      </w:r>
      <w:r>
        <w:rPr>
          <w:rFonts w:hint="eastAsia" w:ascii="宋体" w:hAnsi="宋体"/>
          <w:b/>
          <w:sz w:val="24"/>
          <w:szCs w:val="24"/>
        </w:rPr>
        <w:t>不接受</w:t>
      </w:r>
      <w:r>
        <w:rPr>
          <w:rFonts w:hint="eastAsia" w:ascii="宋体" w:hAnsi="宋体"/>
          <w:sz w:val="24"/>
          <w:szCs w:val="24"/>
        </w:rPr>
        <w:t>联合体投标。</w:t>
      </w:r>
    </w:p>
    <w:p>
      <w:pPr>
        <w:keepNext/>
        <w:keepLines/>
        <w:numPr>
          <w:ilvl w:val="2"/>
          <w:numId w:val="3"/>
        </w:numPr>
        <w:spacing w:line="360" w:lineRule="auto"/>
        <w:ind w:left="0" w:firstLine="0"/>
        <w:outlineLvl w:val="2"/>
        <w:rPr>
          <w:rFonts w:ascii="宋体" w:hAnsi="宋体"/>
          <w:b/>
          <w:bCs/>
          <w:sz w:val="24"/>
          <w:szCs w:val="24"/>
        </w:rPr>
      </w:pPr>
      <w:bookmarkStart w:id="48" w:name="_Toc217446047"/>
      <w:r>
        <w:rPr>
          <w:rFonts w:hint="eastAsia" w:ascii="宋体" w:hAnsi="宋体"/>
          <w:b/>
          <w:bCs/>
          <w:sz w:val="24"/>
          <w:szCs w:val="24"/>
        </w:rPr>
        <w:t>知识产权</w:t>
      </w:r>
      <w:bookmarkEnd w:id="48"/>
      <w:r>
        <w:rPr>
          <w:rFonts w:hint="eastAsia" w:ascii="宋体" w:hAnsi="宋体"/>
          <w:b/>
          <w:bCs/>
          <w:sz w:val="24"/>
          <w:szCs w:val="24"/>
        </w:rPr>
        <w:t>（实质性要求）</w:t>
      </w:r>
    </w:p>
    <w:p>
      <w:pPr>
        <w:pStyle w:val="120"/>
        <w:spacing w:line="360" w:lineRule="auto"/>
        <w:ind w:firstLine="480" w:firstLineChars="200"/>
        <w:jc w:val="both"/>
        <w:rPr>
          <w:rFonts w:cs="Times New Roman"/>
          <w:kern w:val="2"/>
          <w:sz w:val="24"/>
          <w:szCs w:val="24"/>
        </w:rPr>
      </w:pPr>
      <w:r>
        <w:rPr>
          <w:rFonts w:hint="eastAsia" w:cs="Times New Roman"/>
          <w:kern w:val="2"/>
          <w:sz w:val="24"/>
          <w:szCs w:val="24"/>
        </w:rPr>
        <w:t>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tabs>
          <w:tab w:val="left" w:pos="1134"/>
        </w:tabs>
        <w:spacing w:line="360" w:lineRule="auto"/>
        <w:ind w:firstLine="480" w:firstLineChars="200"/>
        <w:rPr>
          <w:sz w:val="24"/>
          <w:szCs w:val="24"/>
        </w:rPr>
      </w:pPr>
      <w:r>
        <w:rPr>
          <w:rFonts w:hint="eastAsia"/>
          <w:sz w:val="24"/>
          <w:szCs w:val="24"/>
        </w:rPr>
        <w:t>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三</w:t>
      </w:r>
      <w:r>
        <w:rPr>
          <w:rFonts w:ascii="宋体" w:hAnsi="宋体"/>
          <w:sz w:val="24"/>
          <w:szCs w:val="24"/>
        </w:rPr>
        <w:t>、</w:t>
      </w:r>
      <w:r>
        <w:rPr>
          <w:rFonts w:hint="eastAsia" w:ascii="宋体" w:hAnsi="宋体"/>
          <w:sz w:val="24"/>
          <w:szCs w:val="24"/>
        </w:rPr>
        <w:t>如采用投标人所不拥有的知识产权，则在投标报价中必须包括合法获取该知识产权的相关费用。</w:t>
      </w:r>
    </w:p>
    <w:p>
      <w:pPr>
        <w:keepNext/>
        <w:keepLines/>
        <w:numPr>
          <w:ilvl w:val="2"/>
          <w:numId w:val="3"/>
        </w:numPr>
        <w:spacing w:line="360" w:lineRule="auto"/>
        <w:ind w:left="0" w:firstLine="0"/>
        <w:outlineLvl w:val="2"/>
        <w:rPr>
          <w:rFonts w:ascii="宋体" w:hAnsi="宋体"/>
          <w:b/>
          <w:bCs/>
          <w:sz w:val="24"/>
          <w:szCs w:val="24"/>
        </w:rPr>
      </w:pPr>
      <w:bookmarkStart w:id="49" w:name="_Toc183682354"/>
      <w:bookmarkStart w:id="50" w:name="_Toc183582217"/>
      <w:bookmarkStart w:id="51" w:name="_Toc217446048"/>
      <w:r>
        <w:rPr>
          <w:rFonts w:hint="eastAsia" w:ascii="宋体" w:hAnsi="宋体"/>
          <w:b/>
          <w:bCs/>
          <w:sz w:val="24"/>
          <w:szCs w:val="24"/>
        </w:rPr>
        <w:t>投标文件的组成</w:t>
      </w:r>
      <w:bookmarkEnd w:id="49"/>
      <w:bookmarkEnd w:id="50"/>
      <w:bookmarkEnd w:id="51"/>
      <w:r>
        <w:rPr>
          <w:rFonts w:hint="eastAsia" w:ascii="宋体" w:hAnsi="宋体"/>
          <w:b/>
          <w:bCs/>
          <w:sz w:val="24"/>
          <w:szCs w:val="24"/>
        </w:rPr>
        <w:t>（实质性要求）</w:t>
      </w:r>
    </w:p>
    <w:p>
      <w:pPr>
        <w:spacing w:line="360" w:lineRule="auto"/>
        <w:ind w:firstLine="470" w:firstLineChars="196"/>
        <w:rPr>
          <w:rFonts w:ascii="宋体" w:hAnsi="宋体"/>
          <w:sz w:val="24"/>
          <w:szCs w:val="24"/>
        </w:rPr>
      </w:pPr>
      <w:r>
        <w:rPr>
          <w:rFonts w:hint="eastAsia" w:ascii="宋体" w:hAnsi="宋体"/>
          <w:sz w:val="24"/>
          <w:szCs w:val="24"/>
        </w:rPr>
        <w:t>投标人应按照招标文件的规定和要求编制投标文件。投标人拟在中标后将中标项目的非主体、非关键性工作交由他人完成的，应当在投标文件中载明。投标人编写的投标文件应包括下列部分：</w:t>
      </w:r>
    </w:p>
    <w:p>
      <w:pPr>
        <w:pStyle w:val="5"/>
        <w:numPr>
          <w:ilvl w:val="3"/>
          <w:numId w:val="3"/>
        </w:numPr>
        <w:rPr>
          <w:rFonts w:ascii="宋体" w:hAnsi="宋体"/>
          <w:sz w:val="24"/>
          <w:szCs w:val="24"/>
        </w:rPr>
      </w:pPr>
      <w:r>
        <w:rPr>
          <w:rFonts w:hint="eastAsia" w:ascii="宋体" w:hAnsi="宋体"/>
          <w:sz w:val="24"/>
          <w:szCs w:val="24"/>
        </w:rPr>
        <w:t>资格响应文件</w:t>
      </w:r>
    </w:p>
    <w:p>
      <w:pPr>
        <w:numPr>
          <w:ilvl w:val="0"/>
          <w:numId w:val="17"/>
        </w:numPr>
        <w:tabs>
          <w:tab w:val="left" w:pos="1134"/>
        </w:tabs>
        <w:spacing w:line="360" w:lineRule="auto"/>
        <w:ind w:left="0" w:firstLine="546"/>
        <w:rPr>
          <w:rFonts w:ascii="宋体" w:hAnsi="宋体"/>
          <w:b/>
          <w:sz w:val="24"/>
          <w:szCs w:val="24"/>
        </w:rPr>
      </w:pPr>
      <w:r>
        <w:rPr>
          <w:rFonts w:hint="eastAsia" w:ascii="宋体" w:hAnsi="宋体"/>
          <w:b/>
          <w:sz w:val="24"/>
          <w:szCs w:val="24"/>
        </w:rPr>
        <w:t>关于投标人申明的函；</w:t>
      </w:r>
    </w:p>
    <w:p>
      <w:pPr>
        <w:numPr>
          <w:ilvl w:val="0"/>
          <w:numId w:val="17"/>
        </w:numPr>
        <w:tabs>
          <w:tab w:val="left" w:pos="1134"/>
        </w:tabs>
        <w:spacing w:line="360" w:lineRule="auto"/>
        <w:ind w:left="0" w:firstLine="546"/>
        <w:rPr>
          <w:rFonts w:ascii="宋体" w:hAnsi="宋体"/>
          <w:b/>
          <w:sz w:val="24"/>
          <w:szCs w:val="24"/>
        </w:rPr>
      </w:pPr>
      <w:r>
        <w:rPr>
          <w:rFonts w:hint="eastAsia" w:ascii="宋体" w:hAnsi="宋体"/>
          <w:b/>
          <w:sz w:val="24"/>
          <w:szCs w:val="24"/>
        </w:rPr>
        <w:t>声明；</w:t>
      </w:r>
    </w:p>
    <w:p>
      <w:pPr>
        <w:numPr>
          <w:ilvl w:val="0"/>
          <w:numId w:val="17"/>
        </w:numPr>
        <w:tabs>
          <w:tab w:val="left" w:pos="1134"/>
        </w:tabs>
        <w:spacing w:line="360" w:lineRule="auto"/>
        <w:ind w:left="0" w:firstLine="546"/>
        <w:rPr>
          <w:rFonts w:ascii="宋体" w:hAnsi="宋体"/>
          <w:b/>
          <w:sz w:val="24"/>
          <w:szCs w:val="24"/>
        </w:rPr>
      </w:pPr>
      <w:r>
        <w:rPr>
          <w:rFonts w:hint="eastAsia" w:ascii="宋体" w:hAnsi="宋体"/>
          <w:b/>
          <w:sz w:val="24"/>
          <w:szCs w:val="24"/>
        </w:rPr>
        <w:t xml:space="preserve">投标人应提交的相关资格证明材料： </w:t>
      </w:r>
    </w:p>
    <w:p>
      <w:pPr>
        <w:pStyle w:val="80"/>
        <w:numPr>
          <w:ilvl w:val="0"/>
          <w:numId w:val="18"/>
        </w:numPr>
        <w:spacing w:before="60" w:line="360" w:lineRule="auto"/>
        <w:ind w:left="0" w:firstLine="546" w:firstLineChars="0"/>
        <w:rPr>
          <w:rFonts w:ascii="宋体" w:hAnsi="宋体"/>
          <w:b/>
          <w:sz w:val="24"/>
          <w:szCs w:val="24"/>
        </w:rPr>
      </w:pPr>
      <w:r>
        <w:rPr>
          <w:rFonts w:hint="eastAsia" w:ascii="宋体" w:hAnsi="宋体"/>
          <w:b/>
          <w:sz w:val="24"/>
          <w:szCs w:val="24"/>
        </w:rPr>
        <w:t>营业执照复印件（正本或副本）或法人证书复印件（正本或副本）或其他能够证明</w:t>
      </w:r>
      <w:r>
        <w:rPr>
          <w:rFonts w:ascii="宋体" w:hAnsi="宋体"/>
          <w:b/>
          <w:sz w:val="24"/>
          <w:szCs w:val="24"/>
        </w:rPr>
        <w:t>供应商具有独立承担民事责任能力的</w:t>
      </w:r>
      <w:r>
        <w:rPr>
          <w:rFonts w:hint="eastAsia" w:ascii="宋体" w:hAnsi="宋体"/>
          <w:b/>
          <w:sz w:val="24"/>
          <w:szCs w:val="24"/>
        </w:rPr>
        <w:t>相关证明材料复印件；</w:t>
      </w:r>
    </w:p>
    <w:p>
      <w:pPr>
        <w:pStyle w:val="80"/>
        <w:numPr>
          <w:ilvl w:val="0"/>
          <w:numId w:val="18"/>
        </w:numPr>
        <w:spacing w:before="60" w:line="360" w:lineRule="auto"/>
        <w:ind w:left="0" w:firstLine="546" w:firstLineChars="0"/>
        <w:rPr>
          <w:rFonts w:ascii="宋体" w:hAnsi="宋体"/>
          <w:b/>
          <w:sz w:val="24"/>
          <w:szCs w:val="24"/>
        </w:rPr>
      </w:pPr>
      <w:r>
        <w:rPr>
          <w:rFonts w:hint="eastAsia" w:ascii="宋体" w:hAnsi="宋体"/>
          <w:b/>
          <w:sz w:val="24"/>
          <w:szCs w:val="24"/>
        </w:rPr>
        <w:t>提交采购人对投标人履行合同所必须的设备和专业技术能力无特殊要求，投标人具有有效的营业执照或法人证书</w:t>
      </w:r>
      <w:r>
        <w:rPr>
          <w:rFonts w:hint="eastAsia" w:ascii="宋体" w:hAnsi="宋体"/>
          <w:b/>
          <w:sz w:val="24"/>
          <w:szCs w:val="24"/>
          <w:lang w:eastAsia="zh-CN"/>
        </w:rPr>
        <w:t>的</w:t>
      </w:r>
      <w:r>
        <w:rPr>
          <w:rFonts w:hint="eastAsia" w:ascii="宋体" w:hAnsi="宋体"/>
          <w:b/>
          <w:sz w:val="24"/>
          <w:szCs w:val="24"/>
        </w:rPr>
        <w:t>可不提供证明材料；</w:t>
      </w:r>
    </w:p>
    <w:p>
      <w:pPr>
        <w:pStyle w:val="80"/>
        <w:numPr>
          <w:ilvl w:val="0"/>
          <w:numId w:val="18"/>
        </w:numPr>
        <w:spacing w:before="60" w:line="360" w:lineRule="auto"/>
        <w:ind w:left="0" w:firstLine="546" w:firstLineChars="0"/>
        <w:rPr>
          <w:rFonts w:ascii="宋体" w:hAnsi="宋体"/>
          <w:b/>
          <w:sz w:val="24"/>
          <w:szCs w:val="24"/>
        </w:rPr>
      </w:pPr>
      <w:r>
        <w:rPr>
          <w:rFonts w:hint="eastAsia" w:ascii="宋体" w:hAnsi="宋体"/>
          <w:b/>
          <w:sz w:val="24"/>
          <w:szCs w:val="24"/>
        </w:rPr>
        <w:t>采购人对法律、行政法规规定的其他条件无特殊要求，投标人可不提供证明材料；</w:t>
      </w:r>
    </w:p>
    <w:p>
      <w:pPr>
        <w:pStyle w:val="80"/>
        <w:numPr>
          <w:ilvl w:val="0"/>
          <w:numId w:val="18"/>
        </w:numPr>
        <w:spacing w:before="60" w:line="360" w:lineRule="auto"/>
        <w:ind w:left="0" w:firstLine="546" w:firstLineChars="0"/>
        <w:rPr>
          <w:rFonts w:ascii="宋体" w:hAnsi="宋体"/>
          <w:b/>
          <w:sz w:val="24"/>
          <w:szCs w:val="24"/>
        </w:rPr>
      </w:pPr>
      <w:r>
        <w:rPr>
          <w:rFonts w:hint="eastAsia" w:ascii="宋体" w:hAnsi="宋体"/>
          <w:b/>
          <w:sz w:val="24"/>
          <w:szCs w:val="24"/>
        </w:rPr>
        <w:t>投标供应商需具有在有效期内的食品生产许可证或食品经营许可证</w:t>
      </w:r>
      <w:r>
        <w:rPr>
          <w:rFonts w:hint="eastAsia" w:ascii="宋体" w:hAnsi="宋体"/>
          <w:b/>
          <w:sz w:val="24"/>
          <w:szCs w:val="24"/>
          <w:lang w:eastAsia="zh-CN"/>
        </w:rPr>
        <w:t>。</w:t>
      </w:r>
    </w:p>
    <w:p>
      <w:pPr>
        <w:pStyle w:val="5"/>
        <w:numPr>
          <w:ilvl w:val="3"/>
          <w:numId w:val="3"/>
        </w:numPr>
        <w:rPr>
          <w:rFonts w:ascii="宋体" w:hAnsi="宋体"/>
          <w:sz w:val="24"/>
          <w:szCs w:val="24"/>
        </w:rPr>
      </w:pPr>
      <w:r>
        <w:rPr>
          <w:rFonts w:hint="eastAsia" w:ascii="宋体" w:hAnsi="宋体"/>
          <w:sz w:val="24"/>
          <w:szCs w:val="24"/>
        </w:rPr>
        <w:t>商务技术</w:t>
      </w:r>
      <w:r>
        <w:rPr>
          <w:rFonts w:ascii="宋体" w:hAnsi="宋体"/>
          <w:sz w:val="24"/>
          <w:szCs w:val="24"/>
        </w:rPr>
        <w:t>响应</w:t>
      </w:r>
      <w:r>
        <w:rPr>
          <w:rFonts w:hint="eastAsia" w:ascii="宋体" w:hAnsi="宋体"/>
          <w:sz w:val="24"/>
          <w:szCs w:val="24"/>
        </w:rPr>
        <w:t>文件</w:t>
      </w:r>
    </w:p>
    <w:p>
      <w:pPr>
        <w:numPr>
          <w:ilvl w:val="0"/>
          <w:numId w:val="19"/>
        </w:numPr>
        <w:tabs>
          <w:tab w:val="left" w:pos="1134"/>
        </w:tabs>
        <w:spacing w:line="360" w:lineRule="auto"/>
        <w:ind w:left="0" w:firstLine="567"/>
        <w:jc w:val="left"/>
        <w:rPr>
          <w:rFonts w:ascii="宋体" w:hAnsi="宋体"/>
          <w:b/>
          <w:sz w:val="24"/>
          <w:szCs w:val="24"/>
        </w:rPr>
      </w:pPr>
      <w:r>
        <w:rPr>
          <w:rFonts w:hint="eastAsia" w:ascii="宋体" w:hAnsi="宋体"/>
          <w:b/>
          <w:sz w:val="24"/>
          <w:szCs w:val="24"/>
        </w:rPr>
        <w:t>投标函；</w:t>
      </w:r>
    </w:p>
    <w:p>
      <w:pPr>
        <w:pStyle w:val="227"/>
        <w:numPr>
          <w:ilvl w:val="0"/>
          <w:numId w:val="19"/>
        </w:numPr>
        <w:ind w:left="0" w:firstLine="567" w:firstLineChars="0"/>
        <w:rPr>
          <w:rFonts w:ascii="宋体" w:hAnsi="宋体"/>
          <w:b/>
          <w:sz w:val="24"/>
          <w:szCs w:val="24"/>
        </w:rPr>
      </w:pPr>
      <w:r>
        <w:rPr>
          <w:rFonts w:hint="eastAsia" w:ascii="宋体" w:hAnsi="宋体"/>
          <w:b/>
          <w:sz w:val="24"/>
          <w:szCs w:val="24"/>
        </w:rPr>
        <w:t>法定代表人或主要负责人身份证明书（说明：主要负责人为供应商提供的其具有独立承担民事责任能力的证明材料中的主要负责人员。）。</w:t>
      </w:r>
    </w:p>
    <w:p>
      <w:pPr>
        <w:numPr>
          <w:ilvl w:val="0"/>
          <w:numId w:val="19"/>
        </w:numPr>
        <w:tabs>
          <w:tab w:val="left" w:pos="1134"/>
        </w:tabs>
        <w:spacing w:line="360" w:lineRule="auto"/>
        <w:ind w:left="0" w:firstLine="567"/>
        <w:rPr>
          <w:rFonts w:ascii="宋体" w:hAnsi="宋体"/>
          <w:b/>
          <w:sz w:val="24"/>
          <w:szCs w:val="24"/>
        </w:rPr>
      </w:pPr>
      <w:r>
        <w:rPr>
          <w:rFonts w:hint="eastAsia" w:ascii="宋体" w:hAnsi="宋体"/>
          <w:b/>
          <w:sz w:val="24"/>
          <w:szCs w:val="24"/>
          <w:lang w:eastAsia="zh-CN"/>
        </w:rPr>
        <w:t>技术参数响应表</w:t>
      </w:r>
      <w:r>
        <w:rPr>
          <w:rFonts w:hint="eastAsia" w:ascii="宋体" w:hAnsi="宋体"/>
          <w:b/>
          <w:sz w:val="24"/>
          <w:szCs w:val="24"/>
        </w:rPr>
        <w:t>；</w:t>
      </w:r>
    </w:p>
    <w:p>
      <w:pPr>
        <w:numPr>
          <w:ilvl w:val="0"/>
          <w:numId w:val="19"/>
        </w:numPr>
        <w:tabs>
          <w:tab w:val="left" w:pos="1134"/>
        </w:tabs>
        <w:spacing w:line="360" w:lineRule="auto"/>
        <w:ind w:left="0" w:firstLine="567"/>
        <w:rPr>
          <w:rFonts w:ascii="宋体" w:hAnsi="宋体"/>
          <w:b/>
          <w:sz w:val="24"/>
          <w:szCs w:val="24"/>
        </w:rPr>
      </w:pPr>
      <w:r>
        <w:rPr>
          <w:rFonts w:hint="eastAsia" w:ascii="宋体" w:hAnsi="宋体"/>
          <w:b/>
          <w:sz w:val="24"/>
          <w:szCs w:val="24"/>
          <w:lang w:eastAsia="zh-CN"/>
        </w:rPr>
        <w:t>商务、服务应答表</w:t>
      </w:r>
      <w:r>
        <w:rPr>
          <w:rFonts w:hint="eastAsia" w:ascii="宋体" w:hAnsi="宋体"/>
          <w:b/>
          <w:sz w:val="24"/>
          <w:szCs w:val="24"/>
        </w:rPr>
        <w:t>；</w:t>
      </w:r>
    </w:p>
    <w:p>
      <w:pPr>
        <w:numPr>
          <w:ilvl w:val="0"/>
          <w:numId w:val="19"/>
        </w:numPr>
        <w:tabs>
          <w:tab w:val="left" w:pos="1134"/>
        </w:tabs>
        <w:spacing w:line="360" w:lineRule="auto"/>
        <w:ind w:left="0" w:firstLine="567"/>
        <w:rPr>
          <w:rFonts w:ascii="宋体" w:hAnsi="宋体"/>
          <w:b/>
          <w:sz w:val="24"/>
          <w:szCs w:val="24"/>
        </w:rPr>
      </w:pPr>
      <w:r>
        <w:rPr>
          <w:rFonts w:hint="eastAsia" w:ascii="宋体" w:hAnsi="宋体"/>
          <w:b/>
          <w:sz w:val="24"/>
          <w:szCs w:val="24"/>
        </w:rPr>
        <w:t>承诺函。</w:t>
      </w:r>
    </w:p>
    <w:p>
      <w:pPr>
        <w:pStyle w:val="5"/>
        <w:numPr>
          <w:ilvl w:val="3"/>
          <w:numId w:val="3"/>
        </w:numPr>
        <w:ind w:left="0" w:hanging="8"/>
        <w:rPr>
          <w:rFonts w:ascii="宋体" w:hAnsi="宋体"/>
          <w:sz w:val="24"/>
          <w:szCs w:val="24"/>
        </w:rPr>
      </w:pPr>
      <w:r>
        <w:rPr>
          <w:rFonts w:hint="eastAsia" w:ascii="宋体" w:hAnsi="宋体"/>
          <w:sz w:val="24"/>
          <w:szCs w:val="24"/>
        </w:rPr>
        <w:t>报价</w:t>
      </w:r>
      <w:r>
        <w:rPr>
          <w:rFonts w:ascii="宋体" w:hAnsi="宋体"/>
          <w:sz w:val="24"/>
          <w:szCs w:val="24"/>
        </w:rPr>
        <w:t>要求响应文件</w:t>
      </w:r>
    </w:p>
    <w:p>
      <w:pPr>
        <w:pStyle w:val="78"/>
        <w:numPr>
          <w:ilvl w:val="0"/>
          <w:numId w:val="20"/>
        </w:numPr>
        <w:tabs>
          <w:tab w:val="left" w:pos="1134"/>
        </w:tabs>
        <w:spacing w:line="360" w:lineRule="auto"/>
        <w:ind w:left="0" w:firstLine="567"/>
        <w:rPr>
          <w:rFonts w:ascii="宋体" w:hAnsi="宋体"/>
          <w:b/>
          <w:sz w:val="24"/>
          <w:szCs w:val="24"/>
        </w:rPr>
      </w:pPr>
      <w:r>
        <w:rPr>
          <w:rFonts w:hint="eastAsia" w:ascii="宋体" w:hAnsi="宋体"/>
          <w:b/>
          <w:sz w:val="24"/>
          <w:szCs w:val="24"/>
        </w:rPr>
        <w:t>开标一览表（投标报价以投标人在政府采购云平台开标一览表中填写的报价为准）；</w:t>
      </w:r>
    </w:p>
    <w:p>
      <w:pPr>
        <w:numPr>
          <w:ilvl w:val="0"/>
          <w:numId w:val="20"/>
        </w:numPr>
        <w:tabs>
          <w:tab w:val="left" w:pos="1134"/>
        </w:tabs>
        <w:spacing w:line="360" w:lineRule="auto"/>
        <w:ind w:left="0" w:leftChars="0" w:firstLine="567" w:firstLineChars="0"/>
        <w:rPr>
          <w:rFonts w:hint="eastAsia" w:ascii="宋体" w:hAnsi="宋体"/>
          <w:b/>
          <w:sz w:val="24"/>
          <w:szCs w:val="24"/>
        </w:rPr>
      </w:pPr>
      <w:r>
        <w:rPr>
          <w:rFonts w:hint="eastAsia" w:ascii="宋体" w:hAnsi="宋体"/>
          <w:b/>
          <w:sz w:val="24"/>
          <w:szCs w:val="24"/>
        </w:rPr>
        <w:t>分项报价明细表</w:t>
      </w:r>
      <w:r>
        <w:rPr>
          <w:rFonts w:hint="eastAsia" w:ascii="宋体" w:hAnsi="宋体"/>
          <w:b/>
          <w:sz w:val="24"/>
          <w:szCs w:val="24"/>
          <w:lang w:eastAsia="zh-CN"/>
        </w:rPr>
        <w:t>【</w:t>
      </w:r>
      <w:r>
        <w:rPr>
          <w:rFonts w:hint="eastAsia" w:ascii="宋体" w:hAnsi="宋体"/>
          <w:b/>
          <w:sz w:val="24"/>
          <w:szCs w:val="24"/>
        </w:rPr>
        <w:t>分项报价明细表中要求填写</w:t>
      </w:r>
      <w:r>
        <w:rPr>
          <w:rFonts w:hint="eastAsia" w:ascii="宋体" w:hAnsi="宋体"/>
          <w:b/>
          <w:sz w:val="24"/>
          <w:szCs w:val="24"/>
          <w:lang w:eastAsia="zh-CN"/>
        </w:rPr>
        <w:t>品牌（如有）</w:t>
      </w:r>
      <w:r>
        <w:rPr>
          <w:rFonts w:hint="eastAsia" w:ascii="宋体" w:hAnsi="宋体"/>
          <w:b/>
          <w:sz w:val="24"/>
          <w:szCs w:val="24"/>
        </w:rPr>
        <w:t>、规格型号、制造商、进口或国产的，投标人必须载明其投标产品的品牌、规格型号、制造商、进口或国产</w:t>
      </w:r>
      <w:r>
        <w:rPr>
          <w:rFonts w:hint="eastAsia" w:ascii="宋体" w:hAnsi="宋体"/>
          <w:b/>
          <w:sz w:val="24"/>
          <w:szCs w:val="24"/>
          <w:lang w:eastAsia="zh-CN"/>
        </w:rPr>
        <w:t>】</w:t>
      </w:r>
      <w:r>
        <w:rPr>
          <w:rFonts w:hint="eastAsia" w:ascii="宋体" w:hAnsi="宋体"/>
          <w:b/>
          <w:sz w:val="24"/>
          <w:szCs w:val="24"/>
        </w:rPr>
        <w:t>。</w:t>
      </w:r>
    </w:p>
    <w:p>
      <w:pPr>
        <w:numPr>
          <w:ilvl w:val="0"/>
          <w:numId w:val="20"/>
        </w:numPr>
        <w:tabs>
          <w:tab w:val="left" w:pos="1134"/>
        </w:tabs>
        <w:spacing w:line="360" w:lineRule="auto"/>
        <w:ind w:left="0" w:leftChars="0" w:firstLine="567" w:firstLineChars="0"/>
        <w:rPr>
          <w:rFonts w:hint="eastAsia" w:ascii="宋体" w:hAnsi="宋体"/>
          <w:b/>
          <w:sz w:val="24"/>
          <w:szCs w:val="24"/>
        </w:rPr>
      </w:pPr>
      <w:r>
        <w:rPr>
          <w:rFonts w:hint="eastAsia" w:ascii="宋体" w:hAnsi="宋体"/>
          <w:b/>
          <w:sz w:val="24"/>
          <w:szCs w:val="24"/>
        </w:rPr>
        <w:t>监狱企业、残疾人福利性单位制造的货物清单及价格（如未提供监狱企业、残疾人福利性单位制造的货物清单及价格，则其投标产品中的监狱企业、残疾人福利性单位制造的货物不能享受招标文件规定的价格扣除，但不影响供应商投标文件的有效性）；</w:t>
      </w:r>
    </w:p>
    <w:p>
      <w:pPr>
        <w:numPr>
          <w:ilvl w:val="0"/>
          <w:numId w:val="20"/>
        </w:numPr>
        <w:tabs>
          <w:tab w:val="left" w:pos="1134"/>
        </w:tabs>
        <w:spacing w:line="360" w:lineRule="auto"/>
        <w:ind w:left="0" w:leftChars="0" w:firstLine="567" w:firstLineChars="0"/>
        <w:rPr>
          <w:rFonts w:hint="eastAsia" w:ascii="宋体" w:hAnsi="宋体"/>
          <w:b/>
          <w:sz w:val="24"/>
          <w:szCs w:val="24"/>
        </w:rPr>
      </w:pPr>
      <w:r>
        <w:rPr>
          <w:rFonts w:hint="eastAsia" w:ascii="宋体" w:hAnsi="宋体"/>
          <w:b/>
          <w:sz w:val="24"/>
          <w:szCs w:val="24"/>
        </w:rPr>
        <w:t>中小企业声明函（如未提供中小企业声明函，则其投标产品中的小型、微型企业制造的货物不能享受招标文件规定的价格扣除，但不影响投标人投标文件的有效性）；</w:t>
      </w:r>
    </w:p>
    <w:p>
      <w:pPr>
        <w:numPr>
          <w:ilvl w:val="0"/>
          <w:numId w:val="20"/>
        </w:numPr>
        <w:tabs>
          <w:tab w:val="left" w:pos="1134"/>
        </w:tabs>
        <w:spacing w:line="360" w:lineRule="auto"/>
        <w:ind w:left="0" w:leftChars="0" w:firstLine="567" w:firstLineChars="0"/>
        <w:rPr>
          <w:rFonts w:hint="eastAsia" w:ascii="宋体" w:hAnsi="宋体"/>
          <w:b/>
          <w:sz w:val="24"/>
          <w:szCs w:val="24"/>
        </w:rPr>
      </w:pPr>
      <w:r>
        <w:rPr>
          <w:rFonts w:hint="eastAsia" w:ascii="宋体" w:hAnsi="宋体"/>
          <w:b/>
          <w:sz w:val="24"/>
          <w:szCs w:val="24"/>
        </w:rPr>
        <w:t>残疾人福利性单位声明函（如未提供残疾人福利性单位声明函，则其投标产品中的残疾人福利性单位制造的货物不能享受招标文件规定的价格扣除，但不影响投标人投标文件的有效性）；</w:t>
      </w:r>
    </w:p>
    <w:p>
      <w:pPr>
        <w:numPr>
          <w:ilvl w:val="0"/>
          <w:numId w:val="20"/>
        </w:numPr>
        <w:tabs>
          <w:tab w:val="left" w:pos="1134"/>
        </w:tabs>
        <w:spacing w:line="360" w:lineRule="auto"/>
        <w:ind w:left="0" w:leftChars="0" w:firstLine="567" w:firstLineChars="0"/>
        <w:rPr>
          <w:rFonts w:hint="eastAsia" w:ascii="宋体" w:hAnsi="宋体"/>
          <w:b/>
          <w:sz w:val="24"/>
          <w:szCs w:val="24"/>
        </w:rPr>
      </w:pPr>
      <w:r>
        <w:rPr>
          <w:rFonts w:hint="eastAsia" w:ascii="宋体" w:hAnsi="宋体"/>
          <w:b/>
          <w:sz w:val="24"/>
          <w:szCs w:val="24"/>
        </w:rPr>
        <w:t>投标产品制造商属于监狱企业的证明文件复印件（1、投标产品中为监狱企业制造的货物应提供由省级以上监狱管理局、戒毒管理局（含新疆生产建设兵团）出具的制造商属于监狱企业的证明文件复印件；2、如未提供监狱企业的证明文件复印件，则其投标产品中为监狱企业制造的货物不能享受招标文件规定的价格扣除，但不影响供应商投标文件的有效性。）。</w:t>
      </w:r>
    </w:p>
    <w:p>
      <w:pPr>
        <w:keepNext/>
        <w:keepLines/>
        <w:numPr>
          <w:ilvl w:val="2"/>
          <w:numId w:val="3"/>
        </w:numPr>
        <w:spacing w:line="360" w:lineRule="auto"/>
        <w:ind w:left="0" w:firstLine="0"/>
        <w:outlineLvl w:val="2"/>
        <w:rPr>
          <w:rFonts w:ascii="宋体" w:hAnsi="宋体"/>
          <w:b/>
          <w:bCs/>
          <w:sz w:val="24"/>
          <w:szCs w:val="24"/>
        </w:rPr>
      </w:pPr>
      <w:bookmarkStart w:id="52" w:name="_Toc316291395"/>
      <w:bookmarkEnd w:id="52"/>
      <w:bookmarkStart w:id="53" w:name="_Toc316292019"/>
      <w:bookmarkEnd w:id="53"/>
      <w:bookmarkStart w:id="54" w:name="_Toc316292020"/>
      <w:bookmarkEnd w:id="54"/>
      <w:bookmarkStart w:id="55" w:name="_Toc316291396"/>
      <w:bookmarkEnd w:id="55"/>
      <w:bookmarkStart w:id="56" w:name="_Toc217446049"/>
      <w:bookmarkStart w:id="57" w:name="_Toc183582218"/>
      <w:bookmarkStart w:id="58" w:name="_Toc183682355"/>
      <w:r>
        <w:rPr>
          <w:rFonts w:hint="eastAsia" w:ascii="宋体" w:hAnsi="宋体"/>
          <w:b/>
          <w:bCs/>
          <w:sz w:val="24"/>
          <w:szCs w:val="24"/>
        </w:rPr>
        <w:t>投标文件格式</w:t>
      </w:r>
      <w:bookmarkEnd w:id="56"/>
      <w:bookmarkEnd w:id="57"/>
      <w:bookmarkEnd w:id="58"/>
      <w:r>
        <w:rPr>
          <w:rFonts w:hint="eastAsia" w:ascii="宋体" w:hAnsi="宋体"/>
          <w:b/>
          <w:bCs/>
          <w:sz w:val="24"/>
          <w:szCs w:val="24"/>
        </w:rPr>
        <w:tab/>
      </w:r>
    </w:p>
    <w:p>
      <w:pPr>
        <w:numPr>
          <w:ilvl w:val="0"/>
          <w:numId w:val="21"/>
        </w:numPr>
        <w:tabs>
          <w:tab w:val="left" w:pos="1134"/>
        </w:tabs>
        <w:spacing w:line="360" w:lineRule="auto"/>
        <w:ind w:left="0" w:firstLine="567"/>
        <w:rPr>
          <w:rFonts w:ascii="宋体" w:hAnsi="宋体"/>
          <w:sz w:val="24"/>
          <w:szCs w:val="24"/>
        </w:rPr>
      </w:pPr>
      <w:r>
        <w:rPr>
          <w:rFonts w:hint="eastAsia" w:ascii="宋体" w:hAnsi="宋体"/>
          <w:sz w:val="24"/>
          <w:szCs w:val="24"/>
        </w:rPr>
        <w:t>投标人应按照招标文件第3章中提供的“投标文件格式”填写相关内容。</w:t>
      </w:r>
    </w:p>
    <w:p>
      <w:pPr>
        <w:numPr>
          <w:ilvl w:val="0"/>
          <w:numId w:val="21"/>
        </w:numPr>
        <w:tabs>
          <w:tab w:val="left" w:pos="1134"/>
        </w:tabs>
        <w:spacing w:line="360" w:lineRule="auto"/>
        <w:ind w:left="0" w:firstLine="567"/>
        <w:rPr>
          <w:rFonts w:ascii="宋体" w:hAnsi="宋体"/>
          <w:sz w:val="24"/>
          <w:szCs w:val="24"/>
        </w:rPr>
      </w:pPr>
      <w:r>
        <w:rPr>
          <w:rFonts w:hint="eastAsia" w:ascii="宋体" w:hAnsi="宋体"/>
          <w:sz w:val="24"/>
          <w:szCs w:val="24"/>
        </w:rPr>
        <w:t>对于没有格式要求的投标文件由投标人自行编写。</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投标报价（实质性要求）</w:t>
      </w:r>
    </w:p>
    <w:p>
      <w:pPr>
        <w:numPr>
          <w:ilvl w:val="0"/>
          <w:numId w:val="22"/>
        </w:numPr>
        <w:tabs>
          <w:tab w:val="left" w:pos="1134"/>
        </w:tabs>
        <w:spacing w:line="360" w:lineRule="auto"/>
        <w:ind w:left="0" w:firstLine="560"/>
        <w:rPr>
          <w:rFonts w:ascii="宋体" w:hAnsi="宋体"/>
          <w:sz w:val="24"/>
          <w:szCs w:val="24"/>
        </w:rPr>
      </w:pPr>
      <w:r>
        <w:rPr>
          <w:rFonts w:hint="eastAsia" w:ascii="宋体" w:hAnsi="宋体"/>
          <w:sz w:val="24"/>
          <w:szCs w:val="24"/>
        </w:rPr>
        <w:t>投标人的报价是投标人响应招标项目要求的全部工作内容的价格体现，包括投标人完成本项目所需的一切费用。</w:t>
      </w:r>
    </w:p>
    <w:p>
      <w:pPr>
        <w:numPr>
          <w:ilvl w:val="0"/>
          <w:numId w:val="22"/>
        </w:numPr>
        <w:tabs>
          <w:tab w:val="left" w:pos="1134"/>
        </w:tabs>
        <w:spacing w:line="360" w:lineRule="auto"/>
        <w:ind w:left="0" w:firstLine="560"/>
        <w:rPr>
          <w:rFonts w:ascii="宋体" w:hAnsi="宋体"/>
          <w:sz w:val="24"/>
          <w:szCs w:val="24"/>
        </w:rPr>
      </w:pPr>
      <w:r>
        <w:rPr>
          <w:rFonts w:hint="eastAsia" w:ascii="宋体" w:hAnsi="宋体"/>
          <w:sz w:val="24"/>
          <w:szCs w:val="24"/>
        </w:rPr>
        <w:t>投标人每种货物及服务内容只允许有一个报价，并且在合同履行过程中是固定不变的，任何有选择或可调整的报价将不予接受，并按无效投标处理。</w:t>
      </w:r>
    </w:p>
    <w:p>
      <w:pPr>
        <w:tabs>
          <w:tab w:val="left" w:pos="1134"/>
        </w:tabs>
        <w:spacing w:line="360" w:lineRule="auto"/>
        <w:ind w:firstLine="484" w:firstLineChars="202"/>
        <w:rPr>
          <w:rFonts w:ascii="宋体" w:hAnsi="宋体"/>
          <w:sz w:val="24"/>
          <w:szCs w:val="24"/>
        </w:rPr>
      </w:pPr>
      <w:bookmarkStart w:id="59" w:name="_Toc183582223"/>
      <w:bookmarkStart w:id="60" w:name="_Toc183682360"/>
      <w:bookmarkStart w:id="61" w:name="_Toc217446050"/>
      <w:r>
        <w:rPr>
          <w:rFonts w:hint="eastAsia" w:ascii="宋体" w:hAnsi="宋体"/>
          <w:sz w:val="24"/>
          <w:szCs w:val="24"/>
        </w:rPr>
        <w:t>三、投标文件报价出现前后不一致的，按照下列规定修正：（1）大写金额和小写金额不一致的，以大写金额为准，但大写金额出现文字错误，导致金额无法判断的除外；（</w:t>
      </w:r>
      <w:r>
        <w:rPr>
          <w:rFonts w:ascii="宋体" w:hAnsi="宋体"/>
          <w:sz w:val="24"/>
          <w:szCs w:val="24"/>
        </w:rPr>
        <w:t>2</w:t>
      </w:r>
      <w:r>
        <w:rPr>
          <w:rFonts w:hint="eastAsia" w:ascii="宋体" w:hAnsi="宋体"/>
          <w:sz w:val="24"/>
          <w:szCs w:val="24"/>
        </w:rPr>
        <w:t>）单价金额小数点或者百分比有明显错位的，应以总价为准，并修改单价；（</w:t>
      </w:r>
      <w:r>
        <w:rPr>
          <w:rFonts w:ascii="宋体" w:hAnsi="宋体"/>
          <w:sz w:val="24"/>
          <w:szCs w:val="24"/>
        </w:rPr>
        <w:t>3</w:t>
      </w:r>
      <w:r>
        <w:rPr>
          <w:rFonts w:hint="eastAsia" w:ascii="宋体" w:hAnsi="宋体"/>
          <w:sz w:val="24"/>
          <w:szCs w:val="24"/>
        </w:rPr>
        <w:t>）总价金额与按单价汇总金额不一致的，以单价金额计算结果为准。</w:t>
      </w:r>
    </w:p>
    <w:p>
      <w:pPr>
        <w:tabs>
          <w:tab w:val="left" w:pos="1134"/>
        </w:tabs>
        <w:spacing w:line="360" w:lineRule="auto"/>
        <w:ind w:firstLine="484" w:firstLineChars="202"/>
        <w:rPr>
          <w:rFonts w:ascii="宋体" w:hAnsi="宋体"/>
          <w:sz w:val="24"/>
          <w:szCs w:val="24"/>
        </w:rPr>
      </w:pPr>
      <w:r>
        <w:rPr>
          <w:rFonts w:hint="eastAsia" w:cs="Arial"/>
          <w:sz w:val="24"/>
          <w:szCs w:val="24"/>
        </w:rPr>
        <w:t>同时出现两种以上不一致的，按照前款规定的顺序修正。修正后的报价经投标人以书面形式通过政府采购云平台进行确认，并加盖投标人（法定名称）电子签章，投标人逾时确认的，其投标无效。</w:t>
      </w:r>
      <w:r>
        <w:rPr>
          <w:rFonts w:hint="eastAsia"/>
          <w:sz w:val="24"/>
          <w:szCs w:val="24"/>
        </w:rPr>
        <w:t>评标委员会不得未经要求投标人确认，直接将投标人投标文件做无效处理。</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投标保证金</w:t>
      </w:r>
      <w:bookmarkEnd w:id="59"/>
      <w:bookmarkEnd w:id="60"/>
      <w:bookmarkEnd w:id="61"/>
    </w:p>
    <w:p>
      <w:pPr>
        <w:spacing w:line="360" w:lineRule="auto"/>
        <w:ind w:firstLine="480" w:firstLineChars="200"/>
        <w:rPr>
          <w:rFonts w:ascii="宋体" w:hAnsi="宋体"/>
          <w:sz w:val="24"/>
          <w:szCs w:val="24"/>
        </w:rPr>
      </w:pPr>
      <w:r>
        <w:rPr>
          <w:rFonts w:hint="eastAsia" w:cs="Arial"/>
          <w:sz w:val="24"/>
          <w:szCs w:val="24"/>
        </w:rPr>
        <w:t>本项目不收取投标保证金。</w:t>
      </w:r>
    </w:p>
    <w:p>
      <w:pPr>
        <w:keepNext/>
        <w:keepLines/>
        <w:numPr>
          <w:ilvl w:val="2"/>
          <w:numId w:val="3"/>
        </w:numPr>
        <w:tabs>
          <w:tab w:val="left" w:pos="851"/>
        </w:tabs>
        <w:spacing w:line="360" w:lineRule="auto"/>
        <w:ind w:left="0" w:firstLine="0"/>
        <w:outlineLvl w:val="2"/>
        <w:rPr>
          <w:rFonts w:ascii="宋体" w:hAnsi="宋体"/>
          <w:b/>
          <w:bCs/>
          <w:sz w:val="24"/>
          <w:szCs w:val="24"/>
        </w:rPr>
      </w:pPr>
      <w:bookmarkStart w:id="62" w:name="_Toc316292024"/>
      <w:bookmarkEnd w:id="62"/>
      <w:bookmarkStart w:id="63" w:name="_Toc316291400"/>
      <w:bookmarkEnd w:id="63"/>
      <w:bookmarkStart w:id="64" w:name="_Toc183582224"/>
      <w:bookmarkStart w:id="65" w:name="_Toc183682361"/>
      <w:bookmarkStart w:id="66" w:name="_Toc217446051"/>
      <w:r>
        <w:rPr>
          <w:rFonts w:hint="eastAsia" w:ascii="宋体" w:hAnsi="宋体"/>
          <w:b/>
          <w:bCs/>
          <w:sz w:val="24"/>
          <w:szCs w:val="24"/>
        </w:rPr>
        <w:t>投标有效期</w:t>
      </w:r>
      <w:bookmarkEnd w:id="64"/>
      <w:bookmarkEnd w:id="65"/>
      <w:bookmarkEnd w:id="66"/>
    </w:p>
    <w:p>
      <w:pPr>
        <w:numPr>
          <w:ilvl w:val="0"/>
          <w:numId w:val="23"/>
        </w:numPr>
        <w:tabs>
          <w:tab w:val="left" w:pos="1134"/>
        </w:tabs>
        <w:spacing w:line="360" w:lineRule="auto"/>
        <w:ind w:left="0" w:firstLine="567"/>
        <w:rPr>
          <w:rFonts w:ascii="宋体" w:hAnsi="宋体"/>
          <w:sz w:val="24"/>
          <w:szCs w:val="24"/>
        </w:rPr>
      </w:pPr>
      <w:r>
        <w:rPr>
          <w:rFonts w:hint="eastAsia" w:ascii="宋体" w:hAnsi="宋体"/>
          <w:b/>
          <w:bCs/>
          <w:sz w:val="24"/>
          <w:szCs w:val="24"/>
        </w:rPr>
        <w:t>（实质性要求）</w:t>
      </w:r>
      <w:r>
        <w:rPr>
          <w:rFonts w:hint="eastAsia" w:ascii="宋体" w:hAnsi="宋体"/>
          <w:sz w:val="24"/>
          <w:szCs w:val="24"/>
        </w:rPr>
        <w:t>投标有效期为</w:t>
      </w:r>
      <w:r>
        <w:rPr>
          <w:rFonts w:hint="eastAsia" w:ascii="Helvetica" w:hAnsi="Helvetica" w:cs="Helvetica"/>
          <w:sz w:val="24"/>
          <w:szCs w:val="24"/>
        </w:rPr>
        <w:t>提交投标文件的截止之日起</w:t>
      </w:r>
      <w:r>
        <w:rPr>
          <w:rFonts w:hint="eastAsia" w:ascii="宋体" w:hAnsi="宋体"/>
          <w:sz w:val="24"/>
          <w:szCs w:val="24"/>
          <w:u w:val="single"/>
        </w:rPr>
        <w:t>120</w:t>
      </w:r>
      <w:r>
        <w:rPr>
          <w:rFonts w:hint="eastAsia" w:ascii="宋体" w:hAnsi="宋体"/>
          <w:sz w:val="24"/>
          <w:szCs w:val="24"/>
        </w:rPr>
        <w:t>天。投标有效期短于此规定期限的或不作响应的，则其投标文件将按无效投标文件处理。</w:t>
      </w:r>
    </w:p>
    <w:p>
      <w:pPr>
        <w:numPr>
          <w:ilvl w:val="0"/>
          <w:numId w:val="23"/>
        </w:numPr>
        <w:tabs>
          <w:tab w:val="left" w:pos="1134"/>
        </w:tabs>
        <w:spacing w:line="360" w:lineRule="auto"/>
        <w:ind w:left="0" w:firstLine="567"/>
        <w:rPr>
          <w:rFonts w:ascii="宋体" w:hAnsi="宋体"/>
          <w:sz w:val="24"/>
          <w:szCs w:val="24"/>
        </w:rPr>
      </w:pPr>
      <w:r>
        <w:rPr>
          <w:rFonts w:hint="eastAsia" w:ascii="宋体" w:hAnsi="宋体"/>
          <w:sz w:val="24"/>
          <w:szCs w:val="24"/>
        </w:rPr>
        <w:t>特殊情况下，采购人可于投标有效期满之前要求投标人同意延长有效期，要求与答复均应为书面形式。投标人可以拒绝上述要求。同意延长投标有效期的投标人不能修改其投标文件。</w:t>
      </w:r>
    </w:p>
    <w:p>
      <w:pPr>
        <w:pStyle w:val="4"/>
        <w:numPr>
          <w:ilvl w:val="2"/>
          <w:numId w:val="3"/>
        </w:numPr>
        <w:tabs>
          <w:tab w:val="left" w:pos="851"/>
        </w:tabs>
        <w:spacing w:after="200"/>
        <w:ind w:left="0" w:firstLine="0"/>
        <w:rPr>
          <w:color w:val="auto"/>
          <w:sz w:val="24"/>
          <w:szCs w:val="24"/>
        </w:rPr>
      </w:pPr>
      <w:bookmarkStart w:id="67" w:name="_Toc217446054"/>
      <w:bookmarkStart w:id="68" w:name="_Toc183682364"/>
      <w:bookmarkStart w:id="69" w:name="_Toc183582227"/>
      <w:r>
        <w:rPr>
          <w:rFonts w:hint="eastAsia"/>
          <w:color w:val="auto"/>
          <w:sz w:val="24"/>
          <w:szCs w:val="24"/>
        </w:rPr>
        <w:t>投标文件的制作和签章、加密</w:t>
      </w:r>
    </w:p>
    <w:p>
      <w:pPr>
        <w:spacing w:line="360" w:lineRule="auto"/>
        <w:ind w:firstLine="482" w:firstLineChars="200"/>
        <w:rPr>
          <w:rFonts w:ascii="宋体" w:hAnsi="宋体"/>
          <w:sz w:val="24"/>
          <w:szCs w:val="24"/>
        </w:rPr>
      </w:pPr>
      <w:r>
        <w:rPr>
          <w:rFonts w:hint="eastAsia" w:ascii="宋体" w:hAnsi="宋体"/>
          <w:b/>
          <w:sz w:val="24"/>
          <w:szCs w:val="24"/>
        </w:rPr>
        <w:t>一、</w:t>
      </w:r>
      <w:r>
        <w:rPr>
          <w:rFonts w:hint="eastAsia" w:ascii="宋体" w:hAnsi="宋体"/>
          <w:b/>
          <w:bCs/>
          <w:sz w:val="24"/>
          <w:szCs w:val="24"/>
        </w:rPr>
        <w:t>（实质性要求）</w:t>
      </w:r>
      <w:r>
        <w:rPr>
          <w:rFonts w:hint="eastAsia" w:ascii="宋体" w:hAnsi="宋体"/>
          <w:b/>
          <w:sz w:val="24"/>
          <w:szCs w:val="24"/>
        </w:rPr>
        <w:t>投标文件应根据招标文件的要求进行制作。</w:t>
      </w:r>
      <w:r>
        <w:rPr>
          <w:rFonts w:hint="eastAsia" w:ascii="宋体" w:hAnsi="宋体"/>
          <w:sz w:val="24"/>
          <w:szCs w:val="24"/>
        </w:rPr>
        <w:t>（说明：1、招标文件中要求提供复印件证明材料的，包含提供原件的影印件或复印件。2、要求提供复印件的证明材料须清晰可辨。）</w:t>
      </w:r>
    </w:p>
    <w:p>
      <w:pPr>
        <w:spacing w:line="360" w:lineRule="auto"/>
        <w:ind w:firstLine="480" w:firstLineChars="200"/>
        <w:rPr>
          <w:rFonts w:ascii="宋体" w:hAnsi="宋体"/>
          <w:sz w:val="24"/>
          <w:szCs w:val="24"/>
        </w:rPr>
      </w:pPr>
      <w:r>
        <w:rPr>
          <w:rFonts w:hint="eastAsia" w:ascii="宋体" w:hAnsi="宋体"/>
          <w:sz w:val="24"/>
          <w:szCs w:val="24"/>
        </w:rPr>
        <w:t>二、投标文件制作详情：</w:t>
      </w:r>
    </w:p>
    <w:p>
      <w:pPr>
        <w:spacing w:line="360" w:lineRule="auto"/>
        <w:ind w:firstLine="480" w:firstLineChars="200"/>
        <w:rPr>
          <w:rFonts w:ascii="宋体" w:hAnsi="宋体"/>
          <w:sz w:val="24"/>
          <w:szCs w:val="24"/>
        </w:rPr>
      </w:pPr>
      <w:r>
        <w:rPr>
          <w:rFonts w:hint="eastAsia" w:ascii="宋体" w:hAnsi="宋体"/>
          <w:sz w:val="24"/>
          <w:szCs w:val="24"/>
        </w:rPr>
        <w:t>1、本项目实行电子投标。投标人应先安装“政采云投标客户端”（下载地址1：前往成都市公共资源交易服务中心门户网站（https://www.cdggzy.com/）—业务办理—下载专区—政府采购下载专区下载“政采云投标客户端”；下载地址2：</w:t>
      </w:r>
      <w:r>
        <w:rPr>
          <w:rFonts w:ascii="宋体" w:hAnsi="宋体"/>
          <w:sz w:val="24"/>
          <w:szCs w:val="24"/>
        </w:rPr>
        <w:t>https://customer.zcygov.cn/CA-driver-download?utm=web-ca-front.3ddc8fbb.0.0.3a16b7402a4511ec900b6349b129e0db</w:t>
      </w:r>
      <w:r>
        <w:rPr>
          <w:rFonts w:hint="eastAsia" w:ascii="宋体" w:hAnsi="宋体"/>
          <w:sz w:val="24"/>
          <w:szCs w:val="24"/>
        </w:rPr>
        <w:t>）。</w:t>
      </w:r>
      <w:r>
        <w:rPr>
          <w:rFonts w:hint="eastAsia" w:ascii="宋体" w:hAnsi="宋体"/>
          <w:b/>
          <w:sz w:val="24"/>
          <w:szCs w:val="24"/>
        </w:rPr>
        <w:t>投标人应按招标文件要求，通过“政采云投标客户端”制作、加密并提交投标文件。</w:t>
      </w:r>
    </w:p>
    <w:p>
      <w:pPr>
        <w:spacing w:line="360" w:lineRule="auto"/>
        <w:ind w:firstLine="482" w:firstLineChars="200"/>
        <w:rPr>
          <w:rFonts w:ascii="宋体" w:hAnsi="宋体"/>
          <w:b/>
          <w:sz w:val="24"/>
          <w:szCs w:val="24"/>
        </w:rPr>
      </w:pPr>
      <w:r>
        <w:rPr>
          <w:rFonts w:hint="eastAsia" w:ascii="宋体" w:hAnsi="宋体"/>
          <w:b/>
          <w:sz w:val="24"/>
          <w:szCs w:val="24"/>
        </w:rPr>
        <w:t>2、</w:t>
      </w:r>
      <w:r>
        <w:rPr>
          <w:rFonts w:hint="eastAsia" w:ascii="宋体" w:hAnsi="宋体"/>
          <w:b/>
          <w:bCs/>
          <w:sz w:val="24"/>
          <w:szCs w:val="24"/>
        </w:rPr>
        <w:t>（实质性要求）</w:t>
      </w:r>
      <w:r>
        <w:rPr>
          <w:rFonts w:hint="eastAsia" w:ascii="宋体" w:hAnsi="宋体"/>
          <w:b/>
          <w:sz w:val="24"/>
          <w:szCs w:val="24"/>
        </w:rPr>
        <w:t>投标文件应加盖投标人（法定名称）电子签章，不得使用投标人专用章（如经济合同章、投标专用章等）或下属单位印章代替。</w:t>
      </w:r>
    </w:p>
    <w:p>
      <w:pPr>
        <w:spacing w:line="360" w:lineRule="auto"/>
        <w:ind w:firstLine="482" w:firstLineChars="200"/>
        <w:rPr>
          <w:rFonts w:ascii="宋体" w:hAnsi="宋体"/>
          <w:b/>
          <w:sz w:val="24"/>
          <w:szCs w:val="24"/>
        </w:rPr>
      </w:pPr>
      <w:r>
        <w:rPr>
          <w:rFonts w:hint="eastAsia" w:ascii="宋体" w:hAnsi="宋体"/>
          <w:b/>
          <w:sz w:val="24"/>
          <w:szCs w:val="24"/>
        </w:rPr>
        <w:t>3、投标人应使用本企业CA数字证书对投标文件进行加密。</w:t>
      </w:r>
    </w:p>
    <w:p>
      <w:pPr>
        <w:spacing w:line="360" w:lineRule="auto"/>
        <w:ind w:firstLine="482" w:firstLineChars="200"/>
        <w:rPr>
          <w:rFonts w:ascii="宋体" w:hAnsi="宋体"/>
          <w:b/>
          <w:sz w:val="24"/>
          <w:szCs w:val="24"/>
        </w:rPr>
      </w:pPr>
      <w:r>
        <w:rPr>
          <w:rFonts w:hint="eastAsia" w:ascii="宋体" w:hAnsi="宋体"/>
          <w:b/>
          <w:sz w:val="24"/>
          <w:szCs w:val="24"/>
        </w:rPr>
        <w:t>4、招标文件有修改的，投标人须重新下载修改后的招标文件（修改后的招标文件在更正公告中下载），根据修改后的招标文件制作、撤回修改，并提交投标文件。</w:t>
      </w:r>
    </w:p>
    <w:p>
      <w:pPr>
        <w:spacing w:line="360" w:lineRule="auto"/>
        <w:ind w:firstLine="480" w:firstLineChars="200"/>
        <w:rPr>
          <w:rFonts w:ascii="宋体" w:hAnsi="宋体"/>
          <w:sz w:val="24"/>
          <w:szCs w:val="24"/>
        </w:rPr>
      </w:pPr>
      <w:r>
        <w:rPr>
          <w:rFonts w:hint="eastAsia" w:ascii="宋体" w:hAnsi="宋体"/>
          <w:sz w:val="24"/>
          <w:szCs w:val="24"/>
        </w:rPr>
        <w:t>5、使用“政府采购云平台”（含政采云电子交易客户端）需要提前申领CA数字证书及电子签章，请自行前往四川CA、、天威CA 、CFCA服务点办理，投标人只需办理其中一家CA数字证书及签章（提示：办理时请说明参与成都市政府采购项目）。投标人应及时完成在“政府采购云平台”的CA账号绑定，确保顺利参与电子投标。</w:t>
      </w:r>
    </w:p>
    <w:p>
      <w:pPr>
        <w:spacing w:line="360" w:lineRule="auto"/>
        <w:ind w:firstLine="480" w:firstLineChars="200"/>
        <w:rPr>
          <w:rFonts w:ascii="宋体" w:hAnsi="宋体"/>
          <w:sz w:val="24"/>
          <w:szCs w:val="24"/>
        </w:rPr>
      </w:pPr>
      <w:r>
        <w:rPr>
          <w:rFonts w:hint="eastAsia" w:ascii="宋体" w:hAnsi="宋体"/>
          <w:sz w:val="24"/>
          <w:szCs w:val="24"/>
        </w:rPr>
        <w:t>6、政府采购云平台所支持的CA证书及签章：四川CA及金格签章，天威CA（金润版）及金润签章，CFCA及金格签章。</w:t>
      </w:r>
    </w:p>
    <w:p>
      <w:pPr>
        <w:spacing w:line="360" w:lineRule="auto"/>
        <w:ind w:firstLine="480" w:firstLineChars="200"/>
        <w:rPr>
          <w:rFonts w:ascii="宋体" w:hAnsi="宋体"/>
          <w:sz w:val="24"/>
          <w:szCs w:val="24"/>
        </w:rPr>
      </w:pPr>
      <w:r>
        <w:rPr>
          <w:rFonts w:hint="eastAsia" w:ascii="宋体" w:hAnsi="宋体"/>
          <w:sz w:val="24"/>
          <w:szCs w:val="24"/>
        </w:rPr>
        <w:t>7、政府采购云平台技术支持：（1）钉钉群号：34165101（注：本群有3家CA办理人员加入）；如遇钉钉群满，请加钉钉群号：33782435（注：只加其中一个即可）。（2）统一热线电话：4008817190</w:t>
      </w:r>
    </w:p>
    <w:p>
      <w:pPr>
        <w:spacing w:line="360" w:lineRule="auto"/>
        <w:ind w:firstLine="480" w:firstLineChars="200"/>
        <w:rPr>
          <w:rFonts w:ascii="宋体" w:hAnsi="宋体"/>
          <w:sz w:val="24"/>
          <w:szCs w:val="24"/>
        </w:rPr>
      </w:pPr>
      <w:r>
        <w:rPr>
          <w:rFonts w:hint="eastAsia" w:ascii="宋体" w:hAnsi="宋体"/>
          <w:sz w:val="24"/>
          <w:szCs w:val="24"/>
        </w:rPr>
        <w:t>8、CA技术支持：四川CA：400-0281130；天威CA： 028-86694886、1592864708；CFCA：028-65785326、18033549468。</w:t>
      </w:r>
    </w:p>
    <w:p>
      <w:pPr>
        <w:pStyle w:val="4"/>
        <w:numPr>
          <w:ilvl w:val="2"/>
          <w:numId w:val="3"/>
        </w:numPr>
        <w:spacing w:after="200"/>
        <w:ind w:left="0" w:firstLine="0"/>
        <w:rPr>
          <w:color w:val="auto"/>
          <w:sz w:val="24"/>
          <w:szCs w:val="24"/>
        </w:rPr>
      </w:pPr>
      <w:r>
        <w:rPr>
          <w:rFonts w:hint="eastAsia"/>
          <w:color w:val="auto"/>
          <w:sz w:val="24"/>
          <w:szCs w:val="24"/>
        </w:rPr>
        <w:t>投标文件的</w:t>
      </w:r>
      <w:bookmarkEnd w:id="67"/>
      <w:bookmarkEnd w:id="68"/>
      <w:bookmarkEnd w:id="69"/>
      <w:r>
        <w:rPr>
          <w:rFonts w:hint="eastAsia"/>
          <w:color w:val="auto"/>
          <w:sz w:val="24"/>
          <w:szCs w:val="24"/>
        </w:rPr>
        <w:t>提交</w:t>
      </w:r>
    </w:p>
    <w:p>
      <w:pPr>
        <w:tabs>
          <w:tab w:val="left" w:pos="0"/>
        </w:tabs>
        <w:spacing w:line="360" w:lineRule="auto"/>
        <w:ind w:firstLine="360" w:firstLineChars="150"/>
        <w:rPr>
          <w:rFonts w:ascii="宋体" w:hAnsi="宋体" w:eastAsiaTheme="minorEastAsia" w:cstheme="minorBidi"/>
          <w:bCs/>
          <w:sz w:val="24"/>
          <w:szCs w:val="24"/>
        </w:rPr>
      </w:pPr>
      <w:r>
        <w:rPr>
          <w:rFonts w:hint="eastAsia" w:ascii="宋体" w:hAnsi="宋体" w:eastAsiaTheme="minorEastAsia" w:cstheme="minorBidi"/>
          <w:bCs/>
          <w:sz w:val="24"/>
          <w:szCs w:val="24"/>
        </w:rPr>
        <w:t>一、</w:t>
      </w:r>
      <w:r>
        <w:rPr>
          <w:rFonts w:hint="eastAsia" w:ascii="宋体" w:hAnsi="宋体" w:eastAsiaTheme="minorEastAsia" w:cstheme="minorBidi"/>
          <w:b/>
          <w:bCs/>
          <w:sz w:val="24"/>
          <w:szCs w:val="24"/>
        </w:rPr>
        <w:t>（实质性要求）</w:t>
      </w:r>
      <w:r>
        <w:rPr>
          <w:rFonts w:hint="eastAsia" w:ascii="宋体" w:hAnsi="宋体" w:eastAsiaTheme="minorEastAsia" w:cstheme="minorBidi"/>
          <w:bCs/>
          <w:sz w:val="24"/>
          <w:szCs w:val="24"/>
        </w:rPr>
        <w:t>投标人应当在投标文件提交截止时间前，将生成的已加密的投标文件成功提交至“政府采购云平台”。</w:t>
      </w:r>
    </w:p>
    <w:p>
      <w:pPr>
        <w:tabs>
          <w:tab w:val="left" w:pos="0"/>
        </w:tabs>
        <w:spacing w:line="360" w:lineRule="auto"/>
        <w:ind w:firstLine="360" w:firstLineChars="150"/>
        <w:rPr>
          <w:rFonts w:ascii="宋体" w:hAnsi="宋体" w:eastAsiaTheme="minorEastAsia" w:cstheme="minorBidi"/>
          <w:bCs/>
          <w:sz w:val="24"/>
          <w:szCs w:val="24"/>
        </w:rPr>
      </w:pPr>
      <w:r>
        <w:rPr>
          <w:rFonts w:hint="eastAsia" w:ascii="宋体" w:hAnsi="宋体" w:eastAsiaTheme="minorEastAsia" w:cstheme="minorBidi"/>
          <w:bCs/>
          <w:sz w:val="24"/>
          <w:szCs w:val="24"/>
        </w:rPr>
        <w:t>二、因招标文件的修改推迟投标截止日期的，投标人按</w:t>
      </w:r>
      <w:r>
        <w:rPr>
          <w:rFonts w:hint="eastAsia" w:ascii="宋体" w:hAnsi="宋体" w:eastAsiaTheme="minorEastAsia" w:cstheme="minorBidi"/>
          <w:bCs/>
          <w:sz w:val="24"/>
          <w:szCs w:val="24"/>
          <w:lang w:eastAsia="zh-CN"/>
        </w:rPr>
        <w:t>区政府采购中心</w:t>
      </w:r>
      <w:r>
        <w:rPr>
          <w:rFonts w:hint="eastAsia" w:ascii="宋体" w:hAnsi="宋体" w:eastAsiaTheme="minorEastAsia" w:cstheme="minorBidi"/>
          <w:bCs/>
          <w:sz w:val="24"/>
          <w:szCs w:val="24"/>
        </w:rPr>
        <w:t>在“四川政府采购网”和“成都市公共资源交易服务中心”网站上发布的澄清公告中修改的时间提交投标文件。</w:t>
      </w:r>
    </w:p>
    <w:p>
      <w:pPr>
        <w:tabs>
          <w:tab w:val="left" w:pos="0"/>
        </w:tabs>
        <w:spacing w:line="360" w:lineRule="auto"/>
        <w:ind w:firstLine="360" w:firstLineChars="150"/>
        <w:rPr>
          <w:rFonts w:ascii="宋体" w:hAnsi="宋体"/>
          <w:bCs/>
          <w:sz w:val="24"/>
          <w:szCs w:val="24"/>
        </w:rPr>
      </w:pPr>
      <w:r>
        <w:rPr>
          <w:rFonts w:hint="eastAsia" w:ascii="宋体" w:hAnsi="宋体" w:eastAsiaTheme="minorEastAsia" w:cstheme="minorBidi"/>
          <w:bCs/>
          <w:sz w:val="24"/>
          <w:szCs w:val="24"/>
        </w:rPr>
        <w:t>三、投标人应充分考虑提交文件的不可预见因素，未在投标截止时间前完成提交的，在投标截止时间后将无法提交</w:t>
      </w:r>
      <w:r>
        <w:rPr>
          <w:rFonts w:hint="eastAsia" w:ascii="宋体" w:hAnsi="宋体"/>
          <w:bCs/>
          <w:sz w:val="24"/>
          <w:szCs w:val="24"/>
        </w:rPr>
        <w:t>。</w:t>
      </w:r>
    </w:p>
    <w:p>
      <w:pPr>
        <w:pStyle w:val="4"/>
        <w:numPr>
          <w:ilvl w:val="2"/>
          <w:numId w:val="3"/>
        </w:numPr>
        <w:spacing w:after="200"/>
        <w:ind w:left="0" w:firstLine="0"/>
        <w:rPr>
          <w:color w:val="auto"/>
          <w:sz w:val="24"/>
          <w:szCs w:val="24"/>
        </w:rPr>
      </w:pPr>
      <w:r>
        <w:rPr>
          <w:rFonts w:hint="eastAsia"/>
          <w:color w:val="auto"/>
          <w:sz w:val="24"/>
          <w:szCs w:val="24"/>
        </w:rPr>
        <w:t>投标文件的补充、修改</w:t>
      </w:r>
      <w:r>
        <w:rPr>
          <w:rFonts w:hint="eastAsia"/>
          <w:sz w:val="24"/>
          <w:szCs w:val="24"/>
        </w:rPr>
        <w:t>（实质性要求）</w:t>
      </w:r>
    </w:p>
    <w:p>
      <w:pPr>
        <w:numPr>
          <w:ilvl w:val="0"/>
          <w:numId w:val="24"/>
        </w:numPr>
        <w:tabs>
          <w:tab w:val="left" w:pos="1134"/>
        </w:tabs>
        <w:spacing w:before="120" w:after="200" w:line="360" w:lineRule="auto"/>
        <w:ind w:left="0" w:firstLine="567"/>
        <w:rPr>
          <w:rFonts w:ascii="宋体" w:hAnsi="宋体"/>
          <w:sz w:val="24"/>
          <w:szCs w:val="24"/>
        </w:rPr>
      </w:pPr>
      <w:r>
        <w:rPr>
          <w:rFonts w:hint="eastAsia" w:ascii="宋体" w:hAnsi="宋体"/>
          <w:sz w:val="24"/>
          <w:szCs w:val="24"/>
        </w:rPr>
        <w:t>在投标截止时间之前，投标人可对已提交的投标文件进行补充、修改。补充或者修改投标文件的，应当先撤回已提交的投标文件，在“政采云投标客户端”补充、修改投标文件并签章、加密后重新提交。撤回投标文件进行补充、修改，在投标截止时间前未重新提交的，视为撤回投标文件。</w:t>
      </w:r>
    </w:p>
    <w:p>
      <w:pPr>
        <w:numPr>
          <w:ilvl w:val="0"/>
          <w:numId w:val="24"/>
        </w:numPr>
        <w:tabs>
          <w:tab w:val="left" w:pos="1134"/>
        </w:tabs>
        <w:spacing w:before="120" w:after="200" w:line="360" w:lineRule="auto"/>
        <w:ind w:left="0" w:firstLine="567"/>
        <w:rPr>
          <w:rFonts w:ascii="宋体" w:hAnsi="宋体"/>
          <w:sz w:val="24"/>
          <w:szCs w:val="24"/>
        </w:rPr>
      </w:pPr>
      <w:r>
        <w:rPr>
          <w:rFonts w:hint="eastAsia" w:ascii="宋体" w:hAnsi="宋体"/>
          <w:sz w:val="24"/>
          <w:szCs w:val="24"/>
        </w:rPr>
        <w:t>在投标截止时间之后，投标人不得对其提交的投标文件做任何补充、修改。</w:t>
      </w:r>
    </w:p>
    <w:p>
      <w:pPr>
        <w:pStyle w:val="4"/>
        <w:numPr>
          <w:ilvl w:val="2"/>
          <w:numId w:val="3"/>
        </w:numPr>
        <w:spacing w:after="200"/>
        <w:ind w:left="0" w:firstLine="0"/>
        <w:rPr>
          <w:color w:val="auto"/>
          <w:sz w:val="24"/>
          <w:szCs w:val="24"/>
        </w:rPr>
      </w:pPr>
      <w:bookmarkStart w:id="70" w:name="_Toc316475587"/>
      <w:bookmarkEnd w:id="70"/>
      <w:bookmarkStart w:id="71" w:name="_Toc316475586"/>
      <w:bookmarkEnd w:id="71"/>
      <w:bookmarkStart w:id="72" w:name="_Toc217446055"/>
      <w:bookmarkStart w:id="73" w:name="_Toc183682365"/>
      <w:bookmarkStart w:id="74" w:name="_Toc183582228"/>
      <w:r>
        <w:rPr>
          <w:rFonts w:hint="eastAsia"/>
          <w:color w:val="auto"/>
          <w:sz w:val="24"/>
          <w:szCs w:val="24"/>
        </w:rPr>
        <w:t>投标文件的</w:t>
      </w:r>
      <w:bookmarkEnd w:id="72"/>
      <w:bookmarkEnd w:id="73"/>
      <w:bookmarkEnd w:id="74"/>
      <w:r>
        <w:rPr>
          <w:rFonts w:hint="eastAsia"/>
          <w:color w:val="auto"/>
          <w:sz w:val="24"/>
          <w:szCs w:val="24"/>
        </w:rPr>
        <w:t>撤回</w:t>
      </w:r>
      <w:r>
        <w:rPr>
          <w:rFonts w:hint="eastAsia"/>
          <w:sz w:val="24"/>
          <w:szCs w:val="24"/>
        </w:rPr>
        <w:t>（实质性要求）</w:t>
      </w:r>
    </w:p>
    <w:p>
      <w:pPr>
        <w:spacing w:before="120" w:after="200" w:line="360" w:lineRule="auto"/>
        <w:ind w:firstLine="480" w:firstLineChars="200"/>
        <w:rPr>
          <w:rFonts w:ascii="宋体" w:hAnsi="宋体"/>
          <w:bCs/>
          <w:sz w:val="24"/>
          <w:szCs w:val="24"/>
        </w:rPr>
      </w:pPr>
      <w:r>
        <w:rPr>
          <w:rFonts w:hint="eastAsia" w:ascii="宋体" w:hAnsi="宋体"/>
          <w:bCs/>
          <w:sz w:val="24"/>
          <w:szCs w:val="24"/>
        </w:rPr>
        <w:t>在投标截止时间之前，投标人可对已提交的投标文件进行撤回。在投标截止时间之后，投标人不得撤回投标文件。</w:t>
      </w:r>
    </w:p>
    <w:p>
      <w:pPr>
        <w:pStyle w:val="4"/>
        <w:numPr>
          <w:ilvl w:val="2"/>
          <w:numId w:val="3"/>
        </w:numPr>
        <w:spacing w:after="200" w:line="240" w:lineRule="auto"/>
        <w:rPr>
          <w:color w:val="auto"/>
          <w:sz w:val="24"/>
          <w:szCs w:val="24"/>
        </w:rPr>
      </w:pPr>
      <w:r>
        <w:rPr>
          <w:rFonts w:hint="eastAsia"/>
          <w:color w:val="auto"/>
          <w:sz w:val="24"/>
          <w:szCs w:val="24"/>
        </w:rPr>
        <w:t>投标文件的解密</w:t>
      </w:r>
      <w:r>
        <w:rPr>
          <w:rFonts w:hint="eastAsia"/>
          <w:sz w:val="24"/>
          <w:szCs w:val="24"/>
        </w:rPr>
        <w:t>（实质性要求）</w:t>
      </w:r>
    </w:p>
    <w:p>
      <w:pPr>
        <w:tabs>
          <w:tab w:val="left" w:pos="1134"/>
        </w:tabs>
        <w:spacing w:before="120" w:line="360" w:lineRule="auto"/>
        <w:ind w:firstLine="484" w:firstLineChars="202"/>
        <w:rPr>
          <w:rFonts w:ascii="宋体" w:hAnsi="宋体"/>
          <w:bCs/>
          <w:sz w:val="24"/>
          <w:szCs w:val="24"/>
        </w:rPr>
      </w:pPr>
      <w:r>
        <w:rPr>
          <w:rFonts w:hint="eastAsia" w:ascii="宋体" w:hAnsi="宋体"/>
          <w:bCs/>
          <w:sz w:val="24"/>
          <w:szCs w:val="24"/>
        </w:rPr>
        <w:t>投标人</w:t>
      </w:r>
      <w:r>
        <w:rPr>
          <w:rFonts w:hint="eastAsia" w:ascii="宋体" w:hAnsi="宋体"/>
          <w:sz w:val="24"/>
          <w:szCs w:val="24"/>
        </w:rPr>
        <w:t>登录政府采购云平台，点击“项目采购—开标评标”模块，找到对应项目，进入“开标大厅”，等待</w:t>
      </w:r>
      <w:r>
        <w:rPr>
          <w:rFonts w:hint="eastAsia" w:ascii="宋体" w:hAnsi="宋体"/>
          <w:sz w:val="24"/>
          <w:szCs w:val="24"/>
          <w:lang w:eastAsia="zh-CN"/>
        </w:rPr>
        <w:t>区政府采购中心</w:t>
      </w:r>
      <w:r>
        <w:rPr>
          <w:rFonts w:hint="eastAsia" w:ascii="宋体" w:hAnsi="宋体"/>
          <w:sz w:val="24"/>
          <w:szCs w:val="24"/>
        </w:rPr>
        <w:t>开启解密后，进行线上解密。</w:t>
      </w:r>
      <w:r>
        <w:rPr>
          <w:rFonts w:hint="eastAsia" w:ascii="宋体" w:hAnsi="宋体"/>
          <w:bCs/>
          <w:sz w:val="24"/>
          <w:szCs w:val="24"/>
        </w:rPr>
        <w:t>除因</w:t>
      </w:r>
      <w:r>
        <w:rPr>
          <w:rFonts w:hint="eastAsia" w:ascii="宋体" w:hAnsi="宋体"/>
          <w:sz w:val="24"/>
          <w:szCs w:val="24"/>
          <w:lang w:eastAsia="zh-CN"/>
        </w:rPr>
        <w:t>区政府采购中心</w:t>
      </w:r>
      <w:r>
        <w:rPr>
          <w:rFonts w:hint="eastAsia" w:ascii="宋体" w:hAnsi="宋体"/>
          <w:bCs/>
          <w:sz w:val="24"/>
          <w:szCs w:val="24"/>
        </w:rPr>
        <w:t>断电、断网、系统故障或其他不可抗力等因素，导致系统无法使用外，投标人在规定的解密时间内，未成功解密的投标文件将视为无效投标文件。</w:t>
      </w:r>
    </w:p>
    <w:p>
      <w:pPr>
        <w:keepNext/>
        <w:keepLines/>
        <w:numPr>
          <w:ilvl w:val="1"/>
          <w:numId w:val="3"/>
        </w:numPr>
        <w:spacing w:line="360" w:lineRule="auto"/>
        <w:jc w:val="left"/>
        <w:outlineLvl w:val="1"/>
        <w:rPr>
          <w:rFonts w:ascii="宋体" w:hAnsi="宋体"/>
          <w:b/>
          <w:bCs/>
          <w:sz w:val="24"/>
          <w:szCs w:val="24"/>
        </w:rPr>
      </w:pPr>
      <w:bookmarkStart w:id="75" w:name="_Toc19419"/>
      <w:bookmarkStart w:id="76" w:name="_Toc183582231"/>
      <w:bookmarkStart w:id="77" w:name="_Toc183682368"/>
      <w:bookmarkStart w:id="78" w:name="_Toc77400782"/>
      <w:bookmarkStart w:id="79" w:name="_Toc217446056"/>
      <w:bookmarkStart w:id="80" w:name="_Toc89075878"/>
      <w:r>
        <w:rPr>
          <w:rFonts w:hint="eastAsia" w:ascii="宋体" w:hAnsi="宋体"/>
          <w:b/>
          <w:bCs/>
          <w:sz w:val="24"/>
          <w:szCs w:val="24"/>
        </w:rPr>
        <w:t>开标、资格审查、评标和中标</w:t>
      </w:r>
      <w:bookmarkEnd w:id="75"/>
      <w:bookmarkEnd w:id="76"/>
      <w:bookmarkEnd w:id="77"/>
      <w:bookmarkEnd w:id="78"/>
      <w:bookmarkEnd w:id="79"/>
      <w:bookmarkEnd w:id="80"/>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开标及开标程序</w:t>
      </w:r>
    </w:p>
    <w:p>
      <w:pPr>
        <w:pStyle w:val="80"/>
        <w:numPr>
          <w:ilvl w:val="0"/>
          <w:numId w:val="25"/>
        </w:numPr>
        <w:tabs>
          <w:tab w:val="left" w:pos="1134"/>
        </w:tabs>
        <w:spacing w:before="120" w:after="200" w:line="360" w:lineRule="auto"/>
        <w:ind w:left="0" w:right="210" w:firstLine="567" w:firstLineChars="0"/>
        <w:rPr>
          <w:rFonts w:ascii="宋体" w:hAnsi="宋体" w:eastAsia="宋体" w:cs="宋体"/>
          <w:sz w:val="24"/>
          <w:szCs w:val="24"/>
        </w:rPr>
      </w:pPr>
      <w:r>
        <w:rPr>
          <w:rFonts w:hint="eastAsia" w:ascii="宋体" w:hAnsi="宋体" w:eastAsia="宋体" w:cs="宋体"/>
          <w:sz w:val="24"/>
          <w:szCs w:val="24"/>
        </w:rPr>
        <w:t>本项目为不见面开标项目。提交电子投标文件的投标人不足3家的，不予开标。</w:t>
      </w:r>
    </w:p>
    <w:p>
      <w:pPr>
        <w:pStyle w:val="80"/>
        <w:numPr>
          <w:ilvl w:val="0"/>
          <w:numId w:val="25"/>
        </w:numPr>
        <w:tabs>
          <w:tab w:val="left" w:pos="0"/>
        </w:tabs>
        <w:spacing w:before="120" w:after="200" w:line="360" w:lineRule="auto"/>
        <w:ind w:left="0" w:right="210" w:firstLine="567" w:firstLineChars="0"/>
        <w:rPr>
          <w:rFonts w:ascii="宋体" w:hAnsi="宋体" w:eastAsia="宋体" w:cs="宋体"/>
          <w:b/>
          <w:sz w:val="24"/>
          <w:szCs w:val="24"/>
        </w:rPr>
      </w:pPr>
      <w:r>
        <w:rPr>
          <w:rFonts w:hint="eastAsia" w:ascii="宋体" w:hAnsi="宋体" w:eastAsia="宋体" w:cs="宋体"/>
          <w:b/>
          <w:sz w:val="24"/>
          <w:szCs w:val="24"/>
        </w:rPr>
        <w:t>开标准备工作。投标人需在开标当日、投标截止时间前登录“政府采购云平台”，通过“开标大厅”参与不见面开标。登录政府采购云平台(www.zcygov.cn)—我的工作台—项目采购—开标评标—开标大厅（找到对应项目）。提示：投标人未按时登录不见面开标系统，错过开标解密时间的，由投标人自行承担不利后果。</w:t>
      </w:r>
    </w:p>
    <w:p>
      <w:pPr>
        <w:pStyle w:val="80"/>
        <w:numPr>
          <w:ilvl w:val="0"/>
          <w:numId w:val="25"/>
        </w:numPr>
        <w:tabs>
          <w:tab w:val="left" w:pos="1134"/>
        </w:tabs>
        <w:spacing w:before="120" w:after="200" w:line="360" w:lineRule="auto"/>
        <w:ind w:left="0" w:right="210" w:firstLine="567" w:firstLineChars="0"/>
        <w:rPr>
          <w:rFonts w:ascii="宋体" w:hAnsi="宋体" w:eastAsia="宋体" w:cs="宋体"/>
          <w:b/>
          <w:sz w:val="24"/>
          <w:szCs w:val="24"/>
        </w:rPr>
      </w:pPr>
      <w:r>
        <w:rPr>
          <w:rFonts w:hint="eastAsia" w:ascii="宋体" w:hAnsi="宋体" w:eastAsia="宋体" w:cs="宋体"/>
          <w:b/>
          <w:sz w:val="24"/>
          <w:szCs w:val="24"/>
        </w:rPr>
        <w:t>解密投标文件。等待</w:t>
      </w:r>
      <w:r>
        <w:rPr>
          <w:rFonts w:hint="eastAsia" w:ascii="宋体" w:hAnsi="宋体" w:eastAsia="宋体" w:cs="宋体"/>
          <w:b/>
          <w:sz w:val="24"/>
          <w:szCs w:val="24"/>
          <w:lang w:eastAsia="zh-CN"/>
        </w:rPr>
        <w:t>区政府采购中心</w:t>
      </w:r>
      <w:r>
        <w:rPr>
          <w:rFonts w:hint="eastAsia" w:ascii="宋体" w:hAnsi="宋体" w:eastAsia="宋体" w:cs="宋体"/>
          <w:b/>
          <w:sz w:val="24"/>
          <w:szCs w:val="24"/>
        </w:rPr>
        <w:t>开启解密后，投标人进行线上解密。开启解密后，投标人应在60分钟内，使用加密该投标文件的CA数字证书在线完成投标文件的解密。除因</w:t>
      </w:r>
      <w:r>
        <w:rPr>
          <w:rFonts w:hint="eastAsia" w:ascii="宋体" w:hAnsi="宋体" w:eastAsia="宋体" w:cs="宋体"/>
          <w:b/>
          <w:sz w:val="24"/>
          <w:szCs w:val="24"/>
          <w:lang w:eastAsia="zh-CN"/>
        </w:rPr>
        <w:t>区政府采购中心</w:t>
      </w:r>
      <w:r>
        <w:rPr>
          <w:rFonts w:hint="eastAsia" w:ascii="宋体" w:hAnsi="宋体" w:eastAsia="宋体" w:cs="宋体"/>
          <w:b/>
          <w:sz w:val="24"/>
          <w:szCs w:val="24"/>
        </w:rPr>
        <w:t>断电、断网、系统故障或其他不可抗力等因素，导致系统无法使用外，投标人在规定的解密时间内，未成功解密的投标文件将视为无效投标文件。</w:t>
      </w:r>
    </w:p>
    <w:p>
      <w:pPr>
        <w:pStyle w:val="80"/>
        <w:numPr>
          <w:ilvl w:val="0"/>
          <w:numId w:val="25"/>
        </w:numPr>
        <w:tabs>
          <w:tab w:val="left" w:pos="1134"/>
        </w:tabs>
        <w:spacing w:before="120" w:after="200" w:line="360" w:lineRule="auto"/>
        <w:ind w:left="0" w:right="210" w:firstLine="567" w:firstLineChars="0"/>
        <w:rPr>
          <w:rFonts w:ascii="宋体" w:hAnsi="宋体" w:eastAsia="宋体" w:cs="宋体"/>
          <w:b/>
          <w:sz w:val="24"/>
          <w:szCs w:val="24"/>
        </w:rPr>
      </w:pPr>
      <w:r>
        <w:rPr>
          <w:rFonts w:hint="eastAsia" w:ascii="宋体" w:hAnsi="宋体" w:eastAsia="宋体" w:cs="宋体"/>
          <w:b/>
          <w:sz w:val="24"/>
          <w:szCs w:val="24"/>
        </w:rPr>
        <w:t>确认开标记录。解密时间截止或者所有投标人投标文件均完成解密后（以发生在先的时间为准），由“政府采购云平台”系统展示投标人名称、投标文件解密情况、投标报价等唱标内容。如成功解密投标文件的投标人不足三家的，则只展示投标人名称、投标文件解密情况。</w:t>
      </w:r>
    </w:p>
    <w:p>
      <w:pPr>
        <w:pStyle w:val="80"/>
        <w:numPr>
          <w:ilvl w:val="0"/>
          <w:numId w:val="25"/>
        </w:numPr>
        <w:tabs>
          <w:tab w:val="left" w:pos="1134"/>
        </w:tabs>
        <w:spacing w:before="120" w:after="200" w:line="360" w:lineRule="auto"/>
        <w:ind w:left="0" w:right="210" w:firstLine="567" w:firstLineChars="0"/>
        <w:rPr>
          <w:rFonts w:ascii="宋体" w:hAnsi="宋体" w:eastAsia="宋体" w:cs="宋体"/>
          <w:b/>
          <w:sz w:val="24"/>
          <w:szCs w:val="24"/>
        </w:rPr>
      </w:pPr>
      <w:r>
        <w:rPr>
          <w:rFonts w:hint="eastAsia" w:ascii="宋体" w:hAnsi="宋体" w:eastAsia="宋体" w:cs="宋体"/>
          <w:b/>
          <w:sz w:val="24"/>
          <w:szCs w:val="24"/>
        </w:rPr>
        <w:t>投标人对开标过程和开标记录有疑义，以及认为采购人、</w:t>
      </w:r>
      <w:r>
        <w:rPr>
          <w:rFonts w:hint="eastAsia" w:ascii="宋体" w:hAnsi="宋体" w:eastAsia="宋体" w:cs="宋体"/>
          <w:b/>
          <w:sz w:val="24"/>
          <w:szCs w:val="24"/>
          <w:lang w:eastAsia="zh-CN"/>
        </w:rPr>
        <w:t>区政府采购中心</w:t>
      </w:r>
      <w:r>
        <w:rPr>
          <w:rFonts w:hint="eastAsia" w:ascii="宋体" w:hAnsi="宋体" w:eastAsia="宋体" w:cs="宋体"/>
          <w:b/>
          <w:sz w:val="24"/>
          <w:szCs w:val="24"/>
        </w:rPr>
        <w:t>相关工作人员有需要回避的情形的，及时向工作人员提出询问或者回避申请。采购人、</w:t>
      </w:r>
      <w:r>
        <w:rPr>
          <w:rFonts w:hint="eastAsia" w:ascii="宋体" w:hAnsi="宋体" w:eastAsia="宋体" w:cs="宋体"/>
          <w:b/>
          <w:sz w:val="24"/>
          <w:szCs w:val="24"/>
          <w:lang w:eastAsia="zh-CN"/>
        </w:rPr>
        <w:t>区政府采购中心</w:t>
      </w:r>
      <w:r>
        <w:rPr>
          <w:rFonts w:hint="eastAsia" w:ascii="宋体" w:hAnsi="宋体" w:eastAsia="宋体" w:cs="宋体"/>
          <w:b/>
          <w:sz w:val="24"/>
          <w:szCs w:val="24"/>
        </w:rPr>
        <w:t>对投标人提出的询问或者回避申请应当及时处理。</w:t>
      </w:r>
    </w:p>
    <w:p>
      <w:pPr>
        <w:pStyle w:val="80"/>
        <w:numPr>
          <w:ilvl w:val="0"/>
          <w:numId w:val="25"/>
        </w:numPr>
        <w:tabs>
          <w:tab w:val="left" w:pos="1134"/>
        </w:tabs>
        <w:spacing w:before="120" w:after="200" w:line="360" w:lineRule="auto"/>
        <w:ind w:left="0" w:right="210" w:firstLine="567" w:firstLineChars="0"/>
        <w:rPr>
          <w:rFonts w:ascii="宋体" w:hAnsi="宋体" w:eastAsia="宋体" w:cs="宋体"/>
          <w:b/>
          <w:sz w:val="24"/>
          <w:szCs w:val="24"/>
        </w:rPr>
      </w:pPr>
      <w:r>
        <w:rPr>
          <w:rFonts w:hint="eastAsia" w:ascii="宋体" w:hAnsi="宋体" w:eastAsia="宋体" w:cs="宋体"/>
          <w:b/>
          <w:sz w:val="24"/>
          <w:szCs w:val="24"/>
        </w:rPr>
        <w:t>供应商电脑终端等硬件设备和软件系统配置：供应商电脑终端等硬件设备和软件系统配置应符合电子投标（含不见面开标大厅）供应商电脑终端配置要求并运行正常，供应商承担因未尽职责产生的不利后果。</w:t>
      </w:r>
    </w:p>
    <w:p>
      <w:pPr>
        <w:pStyle w:val="80"/>
        <w:numPr>
          <w:ilvl w:val="0"/>
          <w:numId w:val="25"/>
        </w:numPr>
        <w:tabs>
          <w:tab w:val="left" w:pos="1134"/>
        </w:tabs>
        <w:spacing w:before="120" w:after="200" w:line="360" w:lineRule="auto"/>
        <w:ind w:left="0" w:right="210" w:firstLine="567" w:firstLineChars="0"/>
        <w:rPr>
          <w:rFonts w:ascii="宋体" w:hAnsi="宋体" w:eastAsia="宋体" w:cs="宋体"/>
          <w:b/>
          <w:sz w:val="24"/>
          <w:szCs w:val="24"/>
        </w:rPr>
      </w:pPr>
      <w:r>
        <w:rPr>
          <w:rFonts w:hint="eastAsia" w:ascii="宋体" w:hAnsi="宋体" w:eastAsia="宋体" w:cs="宋体"/>
          <w:b/>
          <w:sz w:val="24"/>
          <w:szCs w:val="24"/>
        </w:rPr>
        <w:t>政府采购云平台运行基本环境要求：电脑应安装并顺利运行64位win7以上操作系统，谷歌浏览器；正确的CA及签章驱动等；能流畅访问互联网。</w:t>
      </w:r>
    </w:p>
    <w:p>
      <w:pPr>
        <w:pStyle w:val="80"/>
        <w:numPr>
          <w:ilvl w:val="0"/>
          <w:numId w:val="25"/>
        </w:numPr>
        <w:tabs>
          <w:tab w:val="left" w:pos="1134"/>
        </w:tabs>
        <w:spacing w:before="120" w:after="200" w:line="360" w:lineRule="auto"/>
        <w:ind w:left="0" w:right="210" w:firstLine="567" w:firstLineChars="0"/>
        <w:rPr>
          <w:rFonts w:ascii="宋体" w:hAnsi="宋体" w:eastAsia="宋体" w:cs="宋体"/>
          <w:b/>
          <w:sz w:val="24"/>
          <w:szCs w:val="24"/>
        </w:rPr>
      </w:pPr>
      <w:r>
        <w:rPr>
          <w:rFonts w:hint="eastAsia" w:ascii="宋体" w:hAnsi="宋体" w:eastAsia="宋体" w:cs="宋体"/>
          <w:b/>
          <w:sz w:val="24"/>
          <w:szCs w:val="24"/>
        </w:rPr>
        <w:t>因</w:t>
      </w:r>
      <w:r>
        <w:rPr>
          <w:rFonts w:hint="eastAsia" w:ascii="宋体" w:hAnsi="宋体" w:eastAsia="宋体" w:cs="宋体"/>
          <w:b/>
          <w:sz w:val="24"/>
          <w:szCs w:val="24"/>
          <w:lang w:eastAsia="zh-CN"/>
        </w:rPr>
        <w:t>区政府采购中心</w:t>
      </w:r>
      <w:r>
        <w:rPr>
          <w:rFonts w:hint="eastAsia" w:ascii="宋体" w:hAnsi="宋体" w:eastAsia="宋体" w:cs="宋体"/>
          <w:b/>
          <w:sz w:val="24"/>
          <w:szCs w:val="24"/>
        </w:rPr>
        <w:t>断电、断网、系统故障或其他不可抗力等因素导致不见面开标系统无法正常运行的，开标活动中止或延迟，待系统恢复正常后继续进行开标活动。</w:t>
      </w:r>
    </w:p>
    <w:p>
      <w:pPr>
        <w:pStyle w:val="80"/>
        <w:numPr>
          <w:ilvl w:val="0"/>
          <w:numId w:val="25"/>
        </w:numPr>
        <w:tabs>
          <w:tab w:val="left" w:pos="1134"/>
        </w:tabs>
        <w:spacing w:before="120" w:after="200" w:line="360" w:lineRule="auto"/>
        <w:ind w:left="0" w:right="210" w:firstLine="567" w:firstLineChars="0"/>
        <w:rPr>
          <w:rFonts w:ascii="宋体" w:hAnsi="宋体" w:eastAsia="宋体" w:cs="宋体"/>
          <w:b/>
          <w:sz w:val="24"/>
          <w:szCs w:val="24"/>
        </w:rPr>
      </w:pPr>
      <w:r>
        <w:rPr>
          <w:rFonts w:hint="eastAsia" w:ascii="宋体" w:hAnsi="宋体" w:eastAsia="宋体" w:cs="宋体"/>
          <w:b/>
          <w:sz w:val="24"/>
          <w:szCs w:val="24"/>
        </w:rPr>
        <w:t>不见面开标过程中，各方主体均应遵守互联网有关规定，不得发表与交易活动无关的言论。</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资格审查</w:t>
      </w:r>
    </w:p>
    <w:p>
      <w:pPr>
        <w:spacing w:line="360" w:lineRule="auto"/>
        <w:ind w:firstLine="495"/>
        <w:rPr>
          <w:rFonts w:ascii="宋体" w:hAnsi="宋体"/>
          <w:sz w:val="24"/>
          <w:szCs w:val="24"/>
        </w:rPr>
      </w:pPr>
      <w:r>
        <w:rPr>
          <w:rFonts w:hint="eastAsia" w:ascii="宋体" w:hAnsi="宋体"/>
          <w:sz w:val="24"/>
          <w:szCs w:val="24"/>
        </w:rPr>
        <w:t>详见招标文件第5章。</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评标</w:t>
      </w:r>
    </w:p>
    <w:p>
      <w:pPr>
        <w:spacing w:line="360" w:lineRule="auto"/>
        <w:ind w:firstLine="495"/>
        <w:rPr>
          <w:rFonts w:ascii="宋体" w:hAnsi="宋体"/>
          <w:sz w:val="24"/>
          <w:szCs w:val="24"/>
        </w:rPr>
      </w:pPr>
      <w:r>
        <w:rPr>
          <w:rFonts w:hint="eastAsia" w:ascii="宋体" w:hAnsi="宋体"/>
          <w:sz w:val="24"/>
          <w:szCs w:val="24"/>
        </w:rPr>
        <w:t>详见招标文件第6章。</w:t>
      </w:r>
    </w:p>
    <w:p>
      <w:pPr>
        <w:keepNext/>
        <w:keepLines/>
        <w:numPr>
          <w:ilvl w:val="2"/>
          <w:numId w:val="3"/>
        </w:numPr>
        <w:spacing w:line="360" w:lineRule="auto"/>
        <w:ind w:left="0" w:firstLine="0"/>
        <w:outlineLvl w:val="2"/>
        <w:rPr>
          <w:rFonts w:ascii="宋体" w:hAnsi="宋体"/>
          <w:b/>
          <w:bCs/>
          <w:sz w:val="24"/>
          <w:szCs w:val="24"/>
        </w:rPr>
      </w:pPr>
      <w:bookmarkStart w:id="81" w:name="_Toc183582238"/>
      <w:bookmarkStart w:id="82" w:name="_Toc183682375"/>
      <w:bookmarkStart w:id="83" w:name="_Toc217446063"/>
      <w:r>
        <w:rPr>
          <w:rFonts w:hint="eastAsia" w:ascii="宋体" w:hAnsi="宋体"/>
          <w:b/>
          <w:bCs/>
          <w:sz w:val="24"/>
          <w:szCs w:val="24"/>
        </w:rPr>
        <w:t>中标通知</w:t>
      </w:r>
      <w:bookmarkEnd w:id="81"/>
      <w:bookmarkEnd w:id="82"/>
      <w:r>
        <w:rPr>
          <w:rFonts w:hint="eastAsia" w:ascii="宋体" w:hAnsi="宋体"/>
          <w:b/>
          <w:bCs/>
          <w:sz w:val="24"/>
          <w:szCs w:val="24"/>
        </w:rPr>
        <w:t>书</w:t>
      </w:r>
      <w:bookmarkEnd w:id="83"/>
    </w:p>
    <w:p>
      <w:pPr>
        <w:spacing w:line="360" w:lineRule="auto"/>
        <w:ind w:right="210" w:firstLine="480" w:firstLineChars="200"/>
        <w:rPr>
          <w:rFonts w:ascii="宋体" w:hAnsi="宋体"/>
          <w:sz w:val="24"/>
          <w:szCs w:val="24"/>
        </w:rPr>
      </w:pPr>
      <w:bookmarkStart w:id="84" w:name="_Toc217446064"/>
      <w:bookmarkStart w:id="85" w:name="_Toc183582240"/>
      <w:bookmarkStart w:id="86" w:name="_Toc183682377"/>
      <w:r>
        <w:rPr>
          <w:rFonts w:hint="eastAsia" w:ascii="宋体" w:hAnsi="宋体"/>
          <w:sz w:val="24"/>
          <w:szCs w:val="24"/>
        </w:rPr>
        <w:t>一、中标通知书为采购人签订政府采购合同的依据，是合同的有效组成部分。如果出现政府采购法律法规、规章制度规定的中标无效情形的，将以公告形式宣布发出的中标通知书无效，中标通知书将自动失效，并依法重新确定中标人或者重新开展采购活动。</w:t>
      </w:r>
    </w:p>
    <w:p>
      <w:pPr>
        <w:spacing w:line="360" w:lineRule="auto"/>
        <w:ind w:firstLine="480" w:firstLineChars="200"/>
        <w:rPr>
          <w:rFonts w:hint="eastAsia" w:ascii="宋体" w:hAnsi="宋体"/>
          <w:sz w:val="24"/>
          <w:szCs w:val="24"/>
        </w:rPr>
      </w:pPr>
      <w:r>
        <w:rPr>
          <w:rFonts w:hint="eastAsia" w:ascii="宋体" w:hAnsi="宋体"/>
          <w:sz w:val="24"/>
          <w:szCs w:val="24"/>
        </w:rPr>
        <w:t>二、中标通知书对采购人和中标人均具有法律效力。</w:t>
      </w:r>
    </w:p>
    <w:p>
      <w:pPr>
        <w:spacing w:line="360" w:lineRule="auto"/>
        <w:ind w:firstLine="480" w:firstLineChars="200"/>
        <w:rPr>
          <w:rFonts w:ascii="宋体" w:hAnsi="宋体"/>
          <w:sz w:val="24"/>
          <w:szCs w:val="24"/>
        </w:rPr>
      </w:pPr>
      <w:r>
        <w:rPr>
          <w:rFonts w:hint="eastAsia" w:ascii="宋体" w:hAnsi="宋体"/>
          <w:sz w:val="24"/>
          <w:szCs w:val="24"/>
        </w:rPr>
        <w:t>三、中标公告在四川政府采购网上公告后，中标供应商自行登录政府采购云平台下载中标通知书。</w:t>
      </w:r>
    </w:p>
    <w:p>
      <w:pPr>
        <w:keepNext/>
        <w:keepLines/>
        <w:numPr>
          <w:ilvl w:val="1"/>
          <w:numId w:val="3"/>
        </w:numPr>
        <w:spacing w:before="240" w:line="360" w:lineRule="auto"/>
        <w:jc w:val="left"/>
        <w:outlineLvl w:val="1"/>
        <w:rPr>
          <w:rFonts w:ascii="宋体" w:hAnsi="宋体"/>
          <w:b/>
          <w:bCs/>
          <w:sz w:val="24"/>
          <w:szCs w:val="24"/>
        </w:rPr>
      </w:pPr>
      <w:bookmarkStart w:id="87" w:name="_Toc21465"/>
      <w:r>
        <w:rPr>
          <w:rFonts w:hint="eastAsia" w:ascii="宋体" w:hAnsi="宋体"/>
          <w:b/>
          <w:bCs/>
          <w:sz w:val="24"/>
          <w:szCs w:val="24"/>
        </w:rPr>
        <w:t>签订及履行合同和验收</w:t>
      </w:r>
      <w:bookmarkEnd w:id="84"/>
      <w:bookmarkEnd w:id="87"/>
    </w:p>
    <w:p>
      <w:pPr>
        <w:keepNext/>
        <w:keepLines/>
        <w:numPr>
          <w:ilvl w:val="2"/>
          <w:numId w:val="3"/>
        </w:numPr>
        <w:spacing w:line="360" w:lineRule="auto"/>
        <w:ind w:left="0" w:firstLine="0"/>
        <w:outlineLvl w:val="2"/>
        <w:rPr>
          <w:rFonts w:ascii="宋体" w:hAnsi="宋体"/>
          <w:b/>
          <w:bCs/>
          <w:sz w:val="24"/>
          <w:szCs w:val="24"/>
        </w:rPr>
      </w:pPr>
      <w:bookmarkStart w:id="88" w:name="_Toc217446065"/>
      <w:r>
        <w:rPr>
          <w:rFonts w:hint="eastAsia" w:ascii="宋体" w:hAnsi="宋体"/>
          <w:b/>
          <w:bCs/>
          <w:sz w:val="24"/>
          <w:szCs w:val="24"/>
        </w:rPr>
        <w:t>签订合同</w:t>
      </w:r>
      <w:bookmarkEnd w:id="88"/>
    </w:p>
    <w:p>
      <w:pPr>
        <w:tabs>
          <w:tab w:val="left" w:pos="1134"/>
        </w:tabs>
        <w:spacing w:line="360" w:lineRule="auto"/>
        <w:ind w:firstLine="480" w:firstLineChars="200"/>
        <w:rPr>
          <w:rFonts w:ascii="宋体" w:hAnsi="宋体"/>
          <w:sz w:val="24"/>
          <w:szCs w:val="24"/>
        </w:rPr>
      </w:pPr>
      <w:r>
        <w:rPr>
          <w:rFonts w:hint="eastAsia" w:ascii="宋体" w:hAnsi="宋体"/>
          <w:sz w:val="24"/>
          <w:szCs w:val="24"/>
        </w:rPr>
        <w:t>一、疫情防控期间，采购人原则上在中标通知书发出之日起5个工作日内与中标人签订采购合同。因中标人的原因在中标通知书发出之日起30日内未与采购人签订采购合同或者中标人拒绝与采购人签订合同的，采购人可以按照评审报告推荐的中标候选人名单排序，确定下一候选人为中标供应商，也可以重新开展政府采购活动。</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二、采购人不得向中标人提出任何不合理的要求，作为签订合同的条件，不得与中标人私下订立背离合同实质性内容的任何协议，所签订的合同不得对招标文件和中标人投标文件作实质性修改。</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三、招标文件、投标文件、中标通知书等一切与本项目评标结果有关且经责任主体确认的资料均为合同的有效组成部分。</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四、询问或者质疑事项可能影响中标、成交结果的，采购人应当暂停签订合同，已经签订合同的，应当中止履行合同。</w:t>
      </w:r>
    </w:p>
    <w:p>
      <w:pPr>
        <w:keepNext/>
        <w:keepLines/>
        <w:numPr>
          <w:ilvl w:val="2"/>
          <w:numId w:val="3"/>
        </w:numPr>
        <w:spacing w:line="360" w:lineRule="auto"/>
        <w:ind w:left="3119" w:hanging="3119"/>
        <w:outlineLvl w:val="2"/>
        <w:rPr>
          <w:rFonts w:ascii="宋体" w:hAnsi="宋体"/>
          <w:b/>
          <w:bCs/>
          <w:sz w:val="24"/>
          <w:szCs w:val="24"/>
        </w:rPr>
      </w:pPr>
      <w:bookmarkStart w:id="89" w:name="_Toc315871033"/>
      <w:bookmarkEnd w:id="89"/>
      <w:bookmarkStart w:id="90" w:name="_Toc217446066"/>
      <w:r>
        <w:rPr>
          <w:rFonts w:hint="eastAsia" w:ascii="宋体" w:hAnsi="宋体"/>
          <w:b/>
          <w:bCs/>
          <w:sz w:val="24"/>
          <w:szCs w:val="24"/>
        </w:rPr>
        <w:t>合同分包</w:t>
      </w:r>
      <w:bookmarkEnd w:id="90"/>
      <w:r>
        <w:rPr>
          <w:rFonts w:hint="eastAsia" w:ascii="宋体" w:hAnsi="宋体"/>
          <w:b/>
          <w:bCs/>
          <w:sz w:val="24"/>
          <w:szCs w:val="24"/>
        </w:rPr>
        <w:t>和转包（实质性要求）</w:t>
      </w:r>
    </w:p>
    <w:p>
      <w:pPr>
        <w:keepNext/>
        <w:keepLines/>
        <w:numPr>
          <w:ilvl w:val="3"/>
          <w:numId w:val="3"/>
        </w:numPr>
        <w:spacing w:line="360" w:lineRule="auto"/>
        <w:ind w:left="1275" w:hanging="1275"/>
        <w:outlineLvl w:val="2"/>
        <w:rPr>
          <w:rFonts w:ascii="宋体" w:hAnsi="宋体"/>
          <w:b/>
          <w:bCs/>
          <w:sz w:val="24"/>
          <w:szCs w:val="24"/>
        </w:rPr>
      </w:pPr>
      <w:r>
        <w:rPr>
          <w:rFonts w:hint="eastAsia" w:ascii="宋体" w:hAnsi="宋体"/>
          <w:b/>
          <w:bCs/>
          <w:sz w:val="24"/>
          <w:szCs w:val="24"/>
        </w:rPr>
        <w:t>合同分包</w:t>
      </w:r>
    </w:p>
    <w:p>
      <w:pPr>
        <w:pStyle w:val="120"/>
        <w:spacing w:line="360" w:lineRule="auto"/>
        <w:ind w:firstLine="480" w:firstLineChars="200"/>
        <w:rPr>
          <w:rFonts w:cs="Times New Roman"/>
          <w:sz w:val="24"/>
          <w:szCs w:val="24"/>
          <w:lang w:val="zh-CN"/>
        </w:rPr>
      </w:pPr>
      <w:r>
        <w:rPr>
          <w:rFonts w:hint="eastAsia" w:cs="Times New Roman"/>
          <w:sz w:val="24"/>
          <w:szCs w:val="24"/>
          <w:lang w:val="zh-CN"/>
        </w:rPr>
        <w:t>本</w:t>
      </w:r>
      <w:r>
        <w:rPr>
          <w:rFonts w:cs="Times New Roman"/>
          <w:sz w:val="24"/>
          <w:szCs w:val="24"/>
          <w:lang w:val="zh-CN"/>
        </w:rPr>
        <w:t>项目不允许分包</w:t>
      </w:r>
      <w:r>
        <w:rPr>
          <w:rFonts w:hint="eastAsia" w:cs="Times New Roman"/>
          <w:sz w:val="24"/>
          <w:szCs w:val="24"/>
          <w:lang w:val="zh-CN"/>
        </w:rPr>
        <w:t>。</w:t>
      </w:r>
    </w:p>
    <w:p>
      <w:pPr>
        <w:keepNext/>
        <w:keepLines/>
        <w:numPr>
          <w:ilvl w:val="3"/>
          <w:numId w:val="3"/>
        </w:numPr>
        <w:spacing w:line="360" w:lineRule="auto"/>
        <w:ind w:left="1275" w:hanging="1275"/>
        <w:outlineLvl w:val="2"/>
        <w:rPr>
          <w:rFonts w:ascii="宋体" w:hAnsi="宋体"/>
          <w:b/>
          <w:bCs/>
          <w:sz w:val="24"/>
          <w:szCs w:val="24"/>
        </w:rPr>
      </w:pPr>
      <w:r>
        <w:rPr>
          <w:rFonts w:hint="eastAsia" w:ascii="宋体" w:hAnsi="宋体"/>
          <w:b/>
          <w:bCs/>
          <w:sz w:val="24"/>
          <w:szCs w:val="24"/>
        </w:rPr>
        <w:t>合同转包</w:t>
      </w:r>
    </w:p>
    <w:p>
      <w:pPr>
        <w:spacing w:line="360" w:lineRule="auto"/>
        <w:ind w:firstLine="480" w:firstLineChars="200"/>
        <w:rPr>
          <w:rFonts w:ascii="宋体" w:hAnsi="宋体" w:cs="宋体"/>
          <w:sz w:val="24"/>
          <w:szCs w:val="24"/>
        </w:rPr>
      </w:pPr>
      <w:r>
        <w:rPr>
          <w:rFonts w:hint="eastAsia" w:ascii="宋体" w:hAnsi="宋体"/>
          <w:sz w:val="24"/>
          <w:szCs w:val="24"/>
        </w:rPr>
        <w:t>一、严禁中标供应商将本项目转包。本项目所称转包，是指</w:t>
      </w:r>
      <w:r>
        <w:rPr>
          <w:rFonts w:hint="eastAsia" w:ascii="宋体" w:hAnsi="宋体" w:cs="宋体"/>
          <w:sz w:val="24"/>
          <w:szCs w:val="24"/>
        </w:rPr>
        <w:t xml:space="preserve">将本项目转给他人或者将本项目全部肢解以后以分包的名义分别转给他人的行为。 </w:t>
      </w:r>
    </w:p>
    <w:p>
      <w:pPr>
        <w:spacing w:line="360" w:lineRule="auto"/>
        <w:ind w:firstLine="495"/>
        <w:rPr>
          <w:rFonts w:ascii="宋体" w:hAnsi="宋体"/>
          <w:sz w:val="24"/>
          <w:szCs w:val="24"/>
        </w:rPr>
      </w:pPr>
      <w:r>
        <w:rPr>
          <w:rFonts w:hint="eastAsia" w:ascii="宋体" w:hAnsi="宋体"/>
          <w:sz w:val="24"/>
          <w:szCs w:val="24"/>
        </w:rPr>
        <w:t>二、中标供应商转包的，视同拒绝履行政府采购合同，将依法追究法律责任。</w:t>
      </w:r>
    </w:p>
    <w:p>
      <w:pPr>
        <w:keepNext/>
        <w:keepLines/>
        <w:numPr>
          <w:ilvl w:val="2"/>
          <w:numId w:val="3"/>
        </w:numPr>
        <w:spacing w:before="240" w:line="360" w:lineRule="auto"/>
        <w:ind w:left="0" w:firstLine="0"/>
        <w:outlineLvl w:val="2"/>
        <w:rPr>
          <w:rFonts w:ascii="宋体" w:hAnsi="宋体"/>
          <w:b/>
          <w:bCs/>
          <w:sz w:val="24"/>
          <w:szCs w:val="24"/>
        </w:rPr>
      </w:pPr>
      <w:bookmarkStart w:id="91" w:name="_Toc217446067"/>
      <w:r>
        <w:rPr>
          <w:rFonts w:hint="eastAsia" w:ascii="宋体" w:hAnsi="宋体"/>
          <w:b/>
          <w:bCs/>
          <w:sz w:val="24"/>
          <w:szCs w:val="24"/>
        </w:rPr>
        <w:t>采购人增加合同标的的权</w:t>
      </w:r>
      <w:bookmarkEnd w:id="91"/>
      <w:r>
        <w:rPr>
          <w:rFonts w:hint="eastAsia" w:ascii="宋体" w:hAnsi="宋体"/>
          <w:b/>
          <w:bCs/>
          <w:sz w:val="24"/>
          <w:szCs w:val="24"/>
        </w:rPr>
        <w:t>利</w:t>
      </w:r>
    </w:p>
    <w:p>
      <w:pPr>
        <w:spacing w:after="180" w:line="360" w:lineRule="auto"/>
        <w:ind w:firstLine="480" w:firstLineChars="200"/>
        <w:rPr>
          <w:rFonts w:ascii="宋体" w:hAnsi="宋体"/>
          <w:sz w:val="24"/>
          <w:szCs w:val="24"/>
        </w:rPr>
      </w:pPr>
      <w:r>
        <w:rPr>
          <w:rFonts w:hint="eastAsia" w:ascii="宋体" w:hAnsi="宋体"/>
          <w:sz w:val="24"/>
          <w:szCs w:val="24"/>
        </w:rPr>
        <w:t>采购合同履行过程中，采购人需要追加与合同标的相同的货物或者服务的，在不改变合同其他条款的前提下，可以与中标人协商签订补充合同，但所有补充合同的采购金额不得超过原合同采购金额的百分之十。</w:t>
      </w:r>
    </w:p>
    <w:p>
      <w:pPr>
        <w:keepNext/>
        <w:keepLines/>
        <w:numPr>
          <w:ilvl w:val="2"/>
          <w:numId w:val="3"/>
        </w:numPr>
        <w:spacing w:line="360" w:lineRule="auto"/>
        <w:ind w:left="0" w:firstLine="0"/>
        <w:outlineLvl w:val="2"/>
        <w:rPr>
          <w:rFonts w:ascii="宋体" w:hAnsi="宋体"/>
          <w:b/>
          <w:bCs/>
          <w:sz w:val="24"/>
          <w:szCs w:val="24"/>
        </w:rPr>
      </w:pPr>
      <w:bookmarkStart w:id="92" w:name="_Toc217446068"/>
      <w:r>
        <w:rPr>
          <w:rFonts w:hint="eastAsia" w:ascii="宋体" w:hAnsi="宋体"/>
          <w:b/>
          <w:bCs/>
          <w:sz w:val="24"/>
          <w:szCs w:val="24"/>
          <w:highlight w:val="yellow"/>
        </w:rPr>
        <w:t>履约保证金</w:t>
      </w:r>
      <w:bookmarkEnd w:id="92"/>
      <w:r>
        <w:rPr>
          <w:rFonts w:hint="eastAsia" w:ascii="宋体" w:hAnsi="宋体"/>
          <w:b/>
          <w:bCs/>
          <w:sz w:val="24"/>
          <w:szCs w:val="24"/>
        </w:rPr>
        <w:t>（实质性要求）</w:t>
      </w:r>
    </w:p>
    <w:p>
      <w:pPr>
        <w:spacing w:after="180" w:line="360" w:lineRule="auto"/>
        <w:ind w:firstLine="480" w:firstLineChars="200"/>
        <w:rPr>
          <w:rFonts w:hint="eastAsia" w:ascii="宋体" w:hAnsi="宋体"/>
          <w:sz w:val="24"/>
          <w:szCs w:val="24"/>
        </w:rPr>
      </w:pPr>
      <w:bookmarkStart w:id="93" w:name="_Toc217446069"/>
      <w:r>
        <w:rPr>
          <w:rFonts w:hint="eastAsia" w:ascii="宋体" w:hAnsi="宋体"/>
          <w:sz w:val="24"/>
          <w:szCs w:val="24"/>
        </w:rPr>
        <w:t>本项目服务期限为1年，履约保证金为</w:t>
      </w:r>
      <w:r>
        <w:rPr>
          <w:rFonts w:hint="eastAsia" w:ascii="宋体" w:hAnsi="宋体"/>
          <w:sz w:val="24"/>
          <w:szCs w:val="24"/>
          <w:lang w:val="en-US" w:eastAsia="zh-CN"/>
        </w:rPr>
        <w:t>25</w:t>
      </w:r>
      <w:r>
        <w:rPr>
          <w:rFonts w:hint="eastAsia" w:ascii="宋体" w:hAnsi="宋体"/>
          <w:sz w:val="24"/>
          <w:szCs w:val="24"/>
        </w:rPr>
        <w:t>万元，履约保证金在合同有效期满，中标供应商按合同约定履约，无食材服务质量和重大的安全责任事故并且采购人在收到中标人开具的退还履约保证金凭证后，15个工作日内无息退还，因中标供应商原因所产生的违约金、损害赔偿、整改费用等费用，采购人均可直接从履约保证金中予以扣除。采购人在收到中标人开具的退还履约保证金凭证后15个工作日内以转账的方式支付到中标人银行账户，采购人逾期付款，则每日按</w:t>
      </w:r>
      <w:r>
        <w:rPr>
          <w:rFonts w:hint="eastAsia" w:ascii="宋体" w:hAnsi="宋体"/>
          <w:sz w:val="24"/>
          <w:szCs w:val="24"/>
          <w:lang w:eastAsia="zh-CN"/>
        </w:rPr>
        <w:t>履约保证金</w:t>
      </w:r>
      <w:r>
        <w:rPr>
          <w:rFonts w:hint="eastAsia" w:ascii="宋体" w:hAnsi="宋体"/>
          <w:sz w:val="24"/>
          <w:szCs w:val="24"/>
        </w:rPr>
        <w:t>的1‰向乙方偿付违约金。</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合同公告</w:t>
      </w:r>
    </w:p>
    <w:p>
      <w:pPr>
        <w:spacing w:after="180" w:line="360" w:lineRule="auto"/>
        <w:ind w:firstLine="480" w:firstLineChars="200"/>
        <w:rPr>
          <w:rFonts w:ascii="宋体" w:hAnsi="宋体"/>
          <w:sz w:val="24"/>
          <w:szCs w:val="24"/>
        </w:rPr>
      </w:pPr>
      <w:r>
        <w:rPr>
          <w:rFonts w:hint="eastAsia" w:ascii="宋体" w:hAnsi="宋体"/>
          <w:sz w:val="24"/>
          <w:szCs w:val="24"/>
        </w:rPr>
        <w:t>采购人应当自政府采购合同签订之日起2个工作日内，在四川政府采购网公告，但政府采购合同中涉及国家秘密、商业秘密的内容除外。</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合同备案</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疫情防控期间，采购人原则上在5个工作日内与供应商签订政府采购合同及按</w:t>
      </w:r>
      <w:r>
        <w:rPr>
          <w:rFonts w:hint="eastAsia" w:ascii="宋体" w:hAnsi="宋体"/>
          <w:sz w:val="24"/>
          <w:szCs w:val="24"/>
          <w:lang w:eastAsia="zh-CN"/>
        </w:rPr>
        <w:t>成都市武侯区财政局</w:t>
      </w:r>
      <w:r>
        <w:rPr>
          <w:rFonts w:hint="eastAsia" w:ascii="宋体" w:hAnsi="宋体"/>
          <w:sz w:val="24"/>
          <w:szCs w:val="24"/>
        </w:rPr>
        <w:t>的要求完成合同备案工作。</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履行合同</w:t>
      </w:r>
      <w:bookmarkEnd w:id="93"/>
    </w:p>
    <w:p>
      <w:pPr>
        <w:tabs>
          <w:tab w:val="left" w:pos="1134"/>
        </w:tabs>
        <w:spacing w:line="360" w:lineRule="auto"/>
        <w:ind w:firstLine="480" w:firstLineChars="200"/>
        <w:rPr>
          <w:rFonts w:ascii="宋体" w:hAnsi="宋体"/>
          <w:sz w:val="24"/>
          <w:szCs w:val="24"/>
        </w:rPr>
      </w:pPr>
      <w:r>
        <w:rPr>
          <w:rFonts w:hint="eastAsia" w:ascii="宋体" w:hAnsi="宋体"/>
          <w:sz w:val="24"/>
          <w:szCs w:val="24"/>
        </w:rPr>
        <w:t>一、合同一经签订，双方应严格履行合同规定的义务。</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二、在合同履行过程中，如发生合同纠纷，合同双方应按照《中华人民共和国民法典》及合同条款的有关规定进行处理。</w:t>
      </w:r>
    </w:p>
    <w:p>
      <w:pPr>
        <w:keepNext/>
        <w:keepLines/>
        <w:numPr>
          <w:ilvl w:val="2"/>
          <w:numId w:val="3"/>
        </w:numPr>
        <w:spacing w:line="360" w:lineRule="auto"/>
        <w:ind w:left="0" w:firstLine="0"/>
        <w:outlineLvl w:val="2"/>
        <w:rPr>
          <w:rFonts w:ascii="宋体" w:hAnsi="宋体"/>
          <w:b/>
          <w:bCs/>
          <w:sz w:val="24"/>
          <w:szCs w:val="24"/>
        </w:rPr>
      </w:pPr>
      <w:bookmarkStart w:id="94" w:name="_Toc217446070"/>
      <w:r>
        <w:rPr>
          <w:rFonts w:hint="eastAsia" w:ascii="宋体" w:hAnsi="宋体"/>
          <w:b/>
          <w:bCs/>
          <w:sz w:val="24"/>
          <w:szCs w:val="24"/>
        </w:rPr>
        <w:t>验收</w:t>
      </w:r>
      <w:bookmarkEnd w:id="94"/>
      <w:r>
        <w:rPr>
          <w:rFonts w:hint="eastAsia" w:ascii="宋体" w:hAnsi="宋体"/>
          <w:b/>
          <w:bCs/>
          <w:sz w:val="24"/>
          <w:szCs w:val="24"/>
        </w:rPr>
        <w:t>考核</w:t>
      </w:r>
    </w:p>
    <w:bookmarkEnd w:id="85"/>
    <w:bookmarkEnd w:id="86"/>
    <w:p>
      <w:pPr>
        <w:pStyle w:val="26"/>
        <w:spacing w:line="360" w:lineRule="auto"/>
        <w:ind w:left="0" w:leftChars="0" w:firstLine="484" w:firstLineChars="202"/>
        <w:rPr>
          <w:rFonts w:ascii="宋体" w:hAnsi="宋体"/>
          <w:sz w:val="24"/>
          <w:szCs w:val="24"/>
        </w:rPr>
      </w:pPr>
      <w:bookmarkStart w:id="95" w:name="_Toc217446074"/>
      <w:bookmarkStart w:id="96" w:name="_Toc183682380"/>
      <w:bookmarkStart w:id="97" w:name="_Toc183582243"/>
      <w:r>
        <w:rPr>
          <w:rFonts w:hint="eastAsia" w:ascii="宋体" w:hAnsi="宋体"/>
          <w:sz w:val="24"/>
          <w:szCs w:val="24"/>
        </w:rPr>
        <w:t>采购人严格按照国家相关法律法规的要求组织验收或考核，采购</w:t>
      </w:r>
      <w:r>
        <w:rPr>
          <w:rFonts w:ascii="宋体" w:hAnsi="宋体"/>
          <w:sz w:val="24"/>
          <w:szCs w:val="24"/>
        </w:rPr>
        <w:t>预算金额大</w:t>
      </w:r>
      <w:r>
        <w:rPr>
          <w:rFonts w:hint="eastAsia" w:ascii="宋体" w:hAnsi="宋体"/>
          <w:sz w:val="24"/>
          <w:szCs w:val="24"/>
        </w:rPr>
        <w:t>的采购</w:t>
      </w:r>
      <w:r>
        <w:rPr>
          <w:rFonts w:ascii="宋体" w:hAnsi="宋体"/>
          <w:sz w:val="24"/>
          <w:szCs w:val="24"/>
        </w:rPr>
        <w:t>项目、政府</w:t>
      </w:r>
      <w:r>
        <w:rPr>
          <w:rFonts w:hint="eastAsia" w:ascii="宋体" w:hAnsi="宋体"/>
          <w:sz w:val="24"/>
          <w:szCs w:val="24"/>
        </w:rPr>
        <w:t>向</w:t>
      </w:r>
      <w:r>
        <w:rPr>
          <w:rFonts w:ascii="宋体" w:hAnsi="宋体"/>
          <w:sz w:val="24"/>
          <w:szCs w:val="24"/>
        </w:rPr>
        <w:t>社会公共提供的公共服务项目、采购人和实际使用人或者受益者分离、有质疑投诉举报的的采购项目，</w:t>
      </w:r>
      <w:r>
        <w:rPr>
          <w:rFonts w:hint="eastAsia" w:ascii="宋体" w:hAnsi="宋体"/>
          <w:sz w:val="24"/>
          <w:szCs w:val="24"/>
        </w:rPr>
        <w:t>可以</w:t>
      </w:r>
      <w:r>
        <w:rPr>
          <w:rFonts w:ascii="宋体" w:hAnsi="宋体"/>
          <w:sz w:val="24"/>
          <w:szCs w:val="24"/>
        </w:rPr>
        <w:t>邀请国家认可的</w:t>
      </w:r>
      <w:r>
        <w:rPr>
          <w:rFonts w:hint="eastAsia" w:ascii="宋体" w:hAnsi="宋体"/>
          <w:sz w:val="24"/>
          <w:szCs w:val="24"/>
        </w:rPr>
        <w:t>第三方</w:t>
      </w:r>
      <w:r>
        <w:rPr>
          <w:rFonts w:ascii="宋体" w:hAnsi="宋体"/>
          <w:sz w:val="24"/>
          <w:szCs w:val="24"/>
        </w:rPr>
        <w:t>检测机构或者集采机构参与</w:t>
      </w:r>
      <w:r>
        <w:rPr>
          <w:rFonts w:hint="eastAsia" w:ascii="宋体" w:hAnsi="宋体"/>
          <w:sz w:val="24"/>
          <w:szCs w:val="24"/>
        </w:rPr>
        <w:t>履约</w:t>
      </w:r>
      <w:r>
        <w:rPr>
          <w:rFonts w:ascii="宋体" w:hAnsi="宋体"/>
          <w:sz w:val="24"/>
          <w:szCs w:val="24"/>
        </w:rPr>
        <w:t>验收工作</w:t>
      </w:r>
      <w:r>
        <w:rPr>
          <w:rFonts w:hint="eastAsia" w:ascii="宋体" w:hAnsi="宋体"/>
          <w:sz w:val="24"/>
          <w:szCs w:val="24"/>
        </w:rPr>
        <w:t>。</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资金支付</w:t>
      </w:r>
    </w:p>
    <w:p>
      <w:pPr>
        <w:shd w:val="clear" w:color="auto" w:fill="FFFFFF"/>
        <w:spacing w:line="360" w:lineRule="auto"/>
        <w:ind w:firstLine="570"/>
        <w:rPr>
          <w:rFonts w:ascii="宋体" w:hAnsi="宋体" w:cs="Helvetica"/>
          <w:sz w:val="24"/>
          <w:szCs w:val="24"/>
        </w:rPr>
      </w:pPr>
      <w:r>
        <w:rPr>
          <w:rFonts w:hint="eastAsia" w:ascii="宋体" w:hAnsi="宋体" w:cs="Helvetica"/>
          <w:sz w:val="24"/>
          <w:szCs w:val="24"/>
        </w:rPr>
        <w:t>采购人按财政部门的相关规定及采购合同的约定进行支付。</w:t>
      </w:r>
    </w:p>
    <w:p>
      <w:pPr>
        <w:keepNext/>
        <w:keepLines/>
        <w:numPr>
          <w:ilvl w:val="1"/>
          <w:numId w:val="3"/>
        </w:numPr>
        <w:spacing w:line="360" w:lineRule="auto"/>
        <w:jc w:val="left"/>
        <w:outlineLvl w:val="1"/>
        <w:rPr>
          <w:rFonts w:ascii="宋体" w:hAnsi="宋体"/>
          <w:b/>
          <w:bCs/>
          <w:sz w:val="24"/>
          <w:szCs w:val="24"/>
        </w:rPr>
      </w:pPr>
      <w:bookmarkStart w:id="98" w:name="_Toc10794"/>
      <w:r>
        <w:rPr>
          <w:rFonts w:hint="eastAsia" w:ascii="宋体" w:hAnsi="宋体"/>
          <w:b/>
          <w:bCs/>
          <w:sz w:val="24"/>
          <w:szCs w:val="24"/>
        </w:rPr>
        <w:t>投标纪律要求</w:t>
      </w:r>
      <w:bookmarkEnd w:id="95"/>
      <w:bookmarkEnd w:id="98"/>
    </w:p>
    <w:p>
      <w:pPr>
        <w:keepNext/>
        <w:keepLines/>
        <w:numPr>
          <w:ilvl w:val="2"/>
          <w:numId w:val="3"/>
        </w:numPr>
        <w:spacing w:line="360" w:lineRule="auto"/>
        <w:ind w:left="0" w:firstLine="0"/>
        <w:outlineLvl w:val="2"/>
        <w:rPr>
          <w:rFonts w:ascii="宋体" w:hAnsi="宋体"/>
          <w:b/>
          <w:bCs/>
          <w:sz w:val="24"/>
          <w:szCs w:val="24"/>
        </w:rPr>
      </w:pPr>
      <w:bookmarkStart w:id="99" w:name="_Toc217446075"/>
      <w:r>
        <w:rPr>
          <w:rFonts w:hint="eastAsia" w:ascii="宋体" w:hAnsi="宋体"/>
          <w:b/>
          <w:bCs/>
          <w:sz w:val="24"/>
          <w:szCs w:val="24"/>
        </w:rPr>
        <w:t>投标人不得具有的情形</w:t>
      </w:r>
      <w:bookmarkEnd w:id="99"/>
    </w:p>
    <w:p>
      <w:pPr>
        <w:spacing w:after="180" w:line="360" w:lineRule="auto"/>
        <w:ind w:firstLine="567"/>
        <w:rPr>
          <w:rFonts w:ascii="宋体" w:hAnsi="宋体"/>
          <w:sz w:val="24"/>
          <w:szCs w:val="24"/>
        </w:rPr>
      </w:pPr>
      <w:r>
        <w:rPr>
          <w:rFonts w:hint="eastAsia" w:ascii="宋体" w:hAnsi="宋体"/>
          <w:sz w:val="24"/>
          <w:szCs w:val="24"/>
        </w:rPr>
        <w:t>投标人参加投标不得有下列情形：</w:t>
      </w:r>
    </w:p>
    <w:p>
      <w:pPr>
        <w:numPr>
          <w:ilvl w:val="1"/>
          <w:numId w:val="26"/>
        </w:numPr>
        <w:tabs>
          <w:tab w:val="left" w:pos="1134"/>
        </w:tabs>
        <w:spacing w:line="360" w:lineRule="auto"/>
        <w:ind w:left="420" w:firstLine="147"/>
        <w:rPr>
          <w:rFonts w:ascii="宋体" w:hAnsi="宋体"/>
          <w:sz w:val="24"/>
          <w:szCs w:val="24"/>
        </w:rPr>
      </w:pPr>
      <w:r>
        <w:rPr>
          <w:rFonts w:hint="eastAsia" w:ascii="宋体" w:hAnsi="宋体"/>
          <w:sz w:val="24"/>
          <w:szCs w:val="24"/>
        </w:rPr>
        <w:t>有下列情形之一的，视为投标人串通投标：</w:t>
      </w:r>
    </w:p>
    <w:p>
      <w:pPr>
        <w:tabs>
          <w:tab w:val="left" w:pos="1134"/>
        </w:tabs>
        <w:spacing w:line="360" w:lineRule="auto"/>
        <w:ind w:left="420"/>
        <w:rPr>
          <w:rFonts w:ascii="宋体" w:hAnsi="宋体"/>
          <w:sz w:val="24"/>
          <w:szCs w:val="24"/>
        </w:rPr>
      </w:pPr>
      <w:r>
        <w:rPr>
          <w:rFonts w:hint="eastAsia" w:ascii="宋体" w:hAnsi="宋体"/>
          <w:sz w:val="24"/>
          <w:szCs w:val="24"/>
        </w:rPr>
        <w:t>（一）不同投标人的投标文件由同一单位或者个人编制；</w:t>
      </w:r>
    </w:p>
    <w:p>
      <w:pPr>
        <w:tabs>
          <w:tab w:val="left" w:pos="1134"/>
        </w:tabs>
        <w:spacing w:line="360" w:lineRule="auto"/>
        <w:ind w:left="420"/>
        <w:rPr>
          <w:rFonts w:ascii="宋体" w:hAnsi="宋体"/>
          <w:sz w:val="24"/>
          <w:szCs w:val="24"/>
        </w:rPr>
      </w:pPr>
      <w:r>
        <w:rPr>
          <w:rFonts w:hint="eastAsia" w:ascii="宋体" w:hAnsi="宋体"/>
          <w:sz w:val="24"/>
          <w:szCs w:val="24"/>
        </w:rPr>
        <w:t>（二）不同投标人委托同一单位或者个人办理投标事宜；</w:t>
      </w:r>
    </w:p>
    <w:p>
      <w:pPr>
        <w:tabs>
          <w:tab w:val="left" w:pos="1134"/>
        </w:tabs>
        <w:spacing w:line="360" w:lineRule="auto"/>
        <w:ind w:left="420"/>
        <w:rPr>
          <w:rFonts w:ascii="宋体" w:hAnsi="宋体"/>
          <w:sz w:val="24"/>
          <w:szCs w:val="24"/>
        </w:rPr>
      </w:pPr>
      <w:r>
        <w:rPr>
          <w:rFonts w:hint="eastAsia" w:ascii="宋体" w:hAnsi="宋体"/>
          <w:sz w:val="24"/>
          <w:szCs w:val="24"/>
        </w:rPr>
        <w:t>（三）不同投标人的投标文件载明的项目管理成员或者联系人员为同一人；</w:t>
      </w:r>
    </w:p>
    <w:p>
      <w:pPr>
        <w:tabs>
          <w:tab w:val="left" w:pos="1134"/>
        </w:tabs>
        <w:spacing w:line="360" w:lineRule="auto"/>
        <w:ind w:firstLine="360" w:firstLineChars="150"/>
        <w:rPr>
          <w:rFonts w:ascii="宋体" w:hAnsi="宋体"/>
          <w:sz w:val="24"/>
          <w:szCs w:val="24"/>
        </w:rPr>
      </w:pPr>
      <w:r>
        <w:rPr>
          <w:rFonts w:hint="eastAsia" w:ascii="宋体" w:hAnsi="宋体"/>
          <w:sz w:val="24"/>
          <w:szCs w:val="24"/>
        </w:rPr>
        <w:t>（四）不同投标人的投标文件异常一致或者投标报价呈规律性差异；</w:t>
      </w:r>
    </w:p>
    <w:p>
      <w:pPr>
        <w:tabs>
          <w:tab w:val="left" w:pos="1134"/>
        </w:tabs>
        <w:spacing w:line="360" w:lineRule="auto"/>
        <w:ind w:firstLine="360" w:firstLineChars="150"/>
        <w:rPr>
          <w:rFonts w:ascii="宋体" w:hAnsi="宋体"/>
          <w:sz w:val="24"/>
          <w:szCs w:val="24"/>
        </w:rPr>
      </w:pPr>
      <w:r>
        <w:rPr>
          <w:rFonts w:hint="eastAsia" w:ascii="宋体" w:hAnsi="宋体"/>
          <w:sz w:val="24"/>
          <w:szCs w:val="24"/>
        </w:rPr>
        <w:t>（五）不同投标人的投标文件相互混装；</w:t>
      </w:r>
    </w:p>
    <w:p>
      <w:pPr>
        <w:tabs>
          <w:tab w:val="left" w:pos="1134"/>
        </w:tabs>
        <w:spacing w:line="360" w:lineRule="auto"/>
        <w:ind w:left="420"/>
        <w:rPr>
          <w:rFonts w:ascii="宋体" w:hAnsi="宋体"/>
          <w:sz w:val="24"/>
          <w:szCs w:val="24"/>
        </w:rPr>
      </w:pPr>
      <w:r>
        <w:rPr>
          <w:rFonts w:hint="eastAsia" w:ascii="宋体" w:hAnsi="宋体"/>
          <w:sz w:val="24"/>
          <w:szCs w:val="24"/>
        </w:rPr>
        <w:t>（六）不同投标人的投标保证金从同一单位或者个人的账户转出；</w:t>
      </w:r>
    </w:p>
    <w:p>
      <w:pPr>
        <w:numPr>
          <w:ilvl w:val="1"/>
          <w:numId w:val="26"/>
        </w:numPr>
        <w:tabs>
          <w:tab w:val="left" w:pos="1134"/>
        </w:tabs>
        <w:spacing w:line="360" w:lineRule="auto"/>
        <w:ind w:left="420" w:firstLine="147"/>
        <w:rPr>
          <w:rFonts w:ascii="宋体" w:hAnsi="宋体"/>
          <w:sz w:val="24"/>
          <w:szCs w:val="24"/>
        </w:rPr>
      </w:pPr>
      <w:r>
        <w:rPr>
          <w:rFonts w:hint="eastAsia" w:ascii="宋体" w:hAnsi="宋体"/>
          <w:sz w:val="24"/>
          <w:szCs w:val="24"/>
        </w:rPr>
        <w:t>提供虚假材料谋取中标；</w:t>
      </w:r>
    </w:p>
    <w:p>
      <w:pPr>
        <w:numPr>
          <w:ilvl w:val="1"/>
          <w:numId w:val="26"/>
        </w:numPr>
        <w:tabs>
          <w:tab w:val="left" w:pos="1134"/>
        </w:tabs>
        <w:spacing w:line="360" w:lineRule="auto"/>
        <w:ind w:left="420" w:firstLine="147"/>
        <w:rPr>
          <w:rFonts w:ascii="宋体" w:hAnsi="宋体"/>
          <w:sz w:val="24"/>
          <w:szCs w:val="24"/>
        </w:rPr>
      </w:pPr>
      <w:r>
        <w:rPr>
          <w:rFonts w:hint="eastAsia" w:ascii="宋体" w:hAnsi="宋体"/>
          <w:sz w:val="24"/>
          <w:szCs w:val="24"/>
        </w:rPr>
        <w:t>采取不正当手段诋毁、排挤其他投标人；</w:t>
      </w:r>
    </w:p>
    <w:p>
      <w:pPr>
        <w:numPr>
          <w:ilvl w:val="1"/>
          <w:numId w:val="26"/>
        </w:numPr>
        <w:tabs>
          <w:tab w:val="left" w:pos="1134"/>
        </w:tabs>
        <w:spacing w:line="360" w:lineRule="auto"/>
        <w:ind w:left="420" w:firstLine="147"/>
        <w:rPr>
          <w:rFonts w:ascii="宋体" w:hAnsi="宋体"/>
          <w:sz w:val="24"/>
          <w:szCs w:val="24"/>
        </w:rPr>
      </w:pPr>
      <w:r>
        <w:rPr>
          <w:rFonts w:hint="eastAsia" w:ascii="宋体" w:hAnsi="宋体"/>
          <w:sz w:val="24"/>
          <w:szCs w:val="24"/>
        </w:rPr>
        <w:t>与采购人或</w:t>
      </w:r>
      <w:r>
        <w:rPr>
          <w:rFonts w:hint="eastAsia" w:cs="Arial"/>
          <w:sz w:val="24"/>
          <w:szCs w:val="24"/>
          <w:lang w:eastAsia="zh-CN"/>
        </w:rPr>
        <w:t>区政府采购中心</w:t>
      </w:r>
      <w:r>
        <w:rPr>
          <w:rFonts w:hint="eastAsia" w:ascii="宋体" w:hAnsi="宋体"/>
          <w:sz w:val="24"/>
          <w:szCs w:val="24"/>
        </w:rPr>
        <w:t>、其他投标人恶意串通；</w:t>
      </w:r>
    </w:p>
    <w:p>
      <w:pPr>
        <w:numPr>
          <w:ilvl w:val="1"/>
          <w:numId w:val="26"/>
        </w:numPr>
        <w:tabs>
          <w:tab w:val="left" w:pos="1134"/>
        </w:tabs>
        <w:spacing w:line="360" w:lineRule="auto"/>
        <w:ind w:left="0" w:firstLine="567"/>
        <w:rPr>
          <w:rFonts w:ascii="宋体" w:hAnsi="宋体"/>
          <w:sz w:val="24"/>
          <w:szCs w:val="24"/>
        </w:rPr>
      </w:pPr>
      <w:r>
        <w:rPr>
          <w:rFonts w:hint="eastAsia" w:ascii="宋体" w:hAnsi="宋体"/>
          <w:sz w:val="24"/>
          <w:szCs w:val="24"/>
        </w:rPr>
        <w:t>向采购人或</w:t>
      </w:r>
      <w:r>
        <w:rPr>
          <w:rFonts w:hint="eastAsia" w:cs="Arial"/>
          <w:sz w:val="24"/>
          <w:szCs w:val="24"/>
          <w:lang w:eastAsia="zh-CN"/>
        </w:rPr>
        <w:t>区政府采购中心</w:t>
      </w:r>
      <w:r>
        <w:rPr>
          <w:rFonts w:hint="eastAsia" w:ascii="宋体" w:hAnsi="宋体"/>
          <w:sz w:val="24"/>
          <w:szCs w:val="24"/>
        </w:rPr>
        <w:t>、评标委员会成员行贿或者提供其他不正当利益；</w:t>
      </w:r>
    </w:p>
    <w:p>
      <w:pPr>
        <w:numPr>
          <w:ilvl w:val="1"/>
          <w:numId w:val="26"/>
        </w:numPr>
        <w:tabs>
          <w:tab w:val="left" w:pos="1134"/>
        </w:tabs>
        <w:spacing w:line="360" w:lineRule="auto"/>
        <w:ind w:left="420" w:firstLine="147"/>
        <w:rPr>
          <w:rFonts w:ascii="宋体" w:hAnsi="宋体"/>
          <w:sz w:val="24"/>
          <w:szCs w:val="24"/>
        </w:rPr>
      </w:pPr>
      <w:r>
        <w:rPr>
          <w:rFonts w:hint="eastAsia" w:ascii="宋体" w:hAnsi="宋体"/>
          <w:sz w:val="24"/>
          <w:szCs w:val="24"/>
        </w:rPr>
        <w:t>在招标过程中与采购人或</w:t>
      </w:r>
      <w:r>
        <w:rPr>
          <w:rFonts w:hint="eastAsia" w:cs="Arial"/>
          <w:sz w:val="24"/>
          <w:szCs w:val="24"/>
          <w:lang w:eastAsia="zh-CN"/>
        </w:rPr>
        <w:t>区政府采购中心</w:t>
      </w:r>
      <w:r>
        <w:rPr>
          <w:rFonts w:hint="eastAsia" w:ascii="宋体" w:hAnsi="宋体"/>
          <w:sz w:val="24"/>
          <w:szCs w:val="24"/>
        </w:rPr>
        <w:t>进行协商谈判；</w:t>
      </w:r>
    </w:p>
    <w:p>
      <w:pPr>
        <w:numPr>
          <w:ilvl w:val="1"/>
          <w:numId w:val="26"/>
        </w:numPr>
        <w:tabs>
          <w:tab w:val="left" w:pos="1134"/>
        </w:tabs>
        <w:spacing w:line="360" w:lineRule="auto"/>
        <w:ind w:left="420" w:firstLine="147"/>
        <w:rPr>
          <w:rFonts w:ascii="宋体" w:hAnsi="宋体"/>
          <w:sz w:val="24"/>
          <w:szCs w:val="24"/>
        </w:rPr>
      </w:pPr>
      <w:r>
        <w:rPr>
          <w:rFonts w:hint="eastAsia" w:ascii="宋体" w:hAnsi="宋体"/>
          <w:sz w:val="24"/>
          <w:szCs w:val="24"/>
        </w:rPr>
        <w:t>中标后无正当理由拒不与采购人签订政府采购合同；</w:t>
      </w:r>
    </w:p>
    <w:p>
      <w:pPr>
        <w:numPr>
          <w:ilvl w:val="1"/>
          <w:numId w:val="26"/>
        </w:numPr>
        <w:tabs>
          <w:tab w:val="left" w:pos="1134"/>
        </w:tabs>
        <w:spacing w:line="360" w:lineRule="auto"/>
        <w:ind w:left="420" w:firstLine="147"/>
        <w:rPr>
          <w:rFonts w:ascii="宋体" w:hAnsi="宋体"/>
          <w:sz w:val="24"/>
          <w:szCs w:val="24"/>
        </w:rPr>
      </w:pPr>
      <w:r>
        <w:rPr>
          <w:rFonts w:hint="eastAsia" w:ascii="宋体" w:hAnsi="宋体"/>
          <w:sz w:val="24"/>
          <w:szCs w:val="24"/>
        </w:rPr>
        <w:t>未按照采购文件确定的事项签订政府采购合同；</w:t>
      </w:r>
    </w:p>
    <w:p>
      <w:pPr>
        <w:numPr>
          <w:ilvl w:val="1"/>
          <w:numId w:val="26"/>
        </w:numPr>
        <w:tabs>
          <w:tab w:val="left" w:pos="1134"/>
        </w:tabs>
        <w:spacing w:line="360" w:lineRule="auto"/>
        <w:ind w:left="420" w:firstLine="147"/>
        <w:rPr>
          <w:rFonts w:ascii="宋体" w:hAnsi="宋体"/>
          <w:sz w:val="24"/>
          <w:szCs w:val="24"/>
        </w:rPr>
      </w:pPr>
      <w:r>
        <w:rPr>
          <w:rFonts w:hint="eastAsia" w:ascii="宋体" w:hAnsi="宋体"/>
          <w:sz w:val="24"/>
          <w:szCs w:val="24"/>
        </w:rPr>
        <w:t>将政府采购合同转包或者违规分包；</w:t>
      </w:r>
    </w:p>
    <w:p>
      <w:pPr>
        <w:numPr>
          <w:ilvl w:val="1"/>
          <w:numId w:val="26"/>
        </w:numPr>
        <w:tabs>
          <w:tab w:val="left" w:pos="1134"/>
        </w:tabs>
        <w:spacing w:line="360" w:lineRule="auto"/>
        <w:ind w:left="420" w:firstLine="147"/>
        <w:rPr>
          <w:rFonts w:ascii="宋体" w:hAnsi="宋体"/>
          <w:sz w:val="24"/>
          <w:szCs w:val="24"/>
        </w:rPr>
      </w:pPr>
      <w:r>
        <w:rPr>
          <w:rFonts w:hint="eastAsia" w:ascii="宋体" w:hAnsi="宋体"/>
          <w:sz w:val="24"/>
          <w:szCs w:val="24"/>
        </w:rPr>
        <w:t>提供假冒伪劣产品；</w:t>
      </w:r>
    </w:p>
    <w:p>
      <w:pPr>
        <w:numPr>
          <w:ilvl w:val="1"/>
          <w:numId w:val="26"/>
        </w:numPr>
        <w:tabs>
          <w:tab w:val="left" w:pos="1134"/>
          <w:tab w:val="left" w:pos="1418"/>
        </w:tabs>
        <w:spacing w:line="360" w:lineRule="auto"/>
        <w:ind w:left="420" w:firstLine="147"/>
        <w:rPr>
          <w:rFonts w:ascii="宋体" w:hAnsi="宋体"/>
          <w:sz w:val="24"/>
          <w:szCs w:val="24"/>
        </w:rPr>
      </w:pPr>
      <w:r>
        <w:rPr>
          <w:rFonts w:hint="eastAsia" w:ascii="宋体" w:hAnsi="宋体"/>
          <w:sz w:val="24"/>
          <w:szCs w:val="24"/>
        </w:rPr>
        <w:t>擅自变更、中止或者终止政府采购合同；</w:t>
      </w:r>
    </w:p>
    <w:p>
      <w:pPr>
        <w:tabs>
          <w:tab w:val="left" w:pos="1134"/>
        </w:tabs>
        <w:spacing w:line="360" w:lineRule="auto"/>
        <w:ind w:left="567"/>
        <w:rPr>
          <w:rFonts w:ascii="宋体" w:hAnsi="宋体"/>
          <w:sz w:val="24"/>
          <w:szCs w:val="24"/>
        </w:rPr>
      </w:pPr>
      <w:r>
        <w:rPr>
          <w:rFonts w:hint="eastAsia" w:ascii="宋体" w:hAnsi="宋体"/>
          <w:sz w:val="24"/>
          <w:szCs w:val="24"/>
        </w:rPr>
        <w:t>十二、拒绝有关部门的监督检查或者向监督检查部门提供虚假情况；</w:t>
      </w:r>
    </w:p>
    <w:p>
      <w:pPr>
        <w:spacing w:after="180" w:line="360" w:lineRule="auto"/>
        <w:ind w:firstLine="484" w:firstLineChars="202"/>
        <w:rPr>
          <w:rFonts w:ascii="宋体" w:hAnsi="宋体"/>
          <w:sz w:val="24"/>
          <w:szCs w:val="24"/>
        </w:rPr>
      </w:pPr>
      <w:r>
        <w:rPr>
          <w:rFonts w:hint="eastAsia" w:ascii="宋体" w:hAnsi="宋体"/>
          <w:sz w:val="24"/>
          <w:szCs w:val="24"/>
        </w:rPr>
        <w:t>十三、法律法规规定的其他禁止情形。</w:t>
      </w:r>
    </w:p>
    <w:p>
      <w:pPr>
        <w:spacing w:after="180" w:line="360" w:lineRule="auto"/>
        <w:ind w:firstLine="487" w:firstLineChars="202"/>
        <w:rPr>
          <w:rFonts w:ascii="宋体" w:hAnsi="宋体"/>
          <w:b/>
          <w:sz w:val="24"/>
          <w:szCs w:val="24"/>
        </w:rPr>
      </w:pPr>
      <w:r>
        <w:rPr>
          <w:rFonts w:hint="eastAsia" w:ascii="宋体" w:hAnsi="宋体"/>
          <w:b/>
          <w:sz w:val="24"/>
          <w:szCs w:val="24"/>
        </w:rPr>
        <w:t>投标人有上述情形的，按照规定追究法律责任，具备一至十一条情形之一的，其</w:t>
      </w:r>
      <w:r>
        <w:rPr>
          <w:rFonts w:ascii="宋体" w:hAnsi="宋体"/>
          <w:b/>
          <w:sz w:val="24"/>
          <w:szCs w:val="24"/>
        </w:rPr>
        <w:t>投标文件无效，</w:t>
      </w:r>
      <w:r>
        <w:rPr>
          <w:rFonts w:hint="eastAsia" w:ascii="宋体" w:hAnsi="宋体"/>
          <w:b/>
          <w:sz w:val="24"/>
          <w:szCs w:val="24"/>
        </w:rPr>
        <w:t>或</w:t>
      </w:r>
      <w:r>
        <w:rPr>
          <w:rFonts w:ascii="宋体" w:hAnsi="宋体"/>
          <w:b/>
          <w:sz w:val="24"/>
          <w:szCs w:val="24"/>
        </w:rPr>
        <w:t>取消被</w:t>
      </w:r>
      <w:r>
        <w:rPr>
          <w:rFonts w:hint="eastAsia" w:ascii="宋体" w:hAnsi="宋体"/>
          <w:b/>
          <w:sz w:val="24"/>
          <w:szCs w:val="24"/>
        </w:rPr>
        <w:t>确认为中标</w:t>
      </w:r>
      <w:r>
        <w:rPr>
          <w:rFonts w:ascii="宋体" w:hAnsi="宋体"/>
          <w:b/>
          <w:sz w:val="24"/>
          <w:szCs w:val="24"/>
        </w:rPr>
        <w:t>供应商的资格或认定</w:t>
      </w:r>
      <w:r>
        <w:rPr>
          <w:rFonts w:hint="eastAsia" w:ascii="宋体" w:hAnsi="宋体"/>
          <w:b/>
          <w:sz w:val="24"/>
          <w:szCs w:val="24"/>
        </w:rPr>
        <w:t>中标</w:t>
      </w:r>
      <w:r>
        <w:rPr>
          <w:rFonts w:ascii="宋体" w:hAnsi="宋体"/>
          <w:b/>
          <w:sz w:val="24"/>
          <w:szCs w:val="24"/>
        </w:rPr>
        <w:t>无效</w:t>
      </w:r>
      <w:r>
        <w:rPr>
          <w:rFonts w:hint="eastAsia" w:ascii="宋体" w:hAnsi="宋体"/>
          <w:b/>
          <w:sz w:val="24"/>
          <w:szCs w:val="24"/>
        </w:rPr>
        <w:t>。</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回避</w:t>
      </w:r>
    </w:p>
    <w:p>
      <w:pPr>
        <w:shd w:val="clear" w:color="auto" w:fill="FFFFFF"/>
        <w:spacing w:line="360" w:lineRule="auto"/>
        <w:ind w:firstLine="480" w:firstLineChars="200"/>
        <w:rPr>
          <w:rFonts w:ascii="宋体" w:hAnsi="宋体" w:cs="Helvetica"/>
          <w:sz w:val="24"/>
          <w:szCs w:val="24"/>
        </w:rPr>
      </w:pPr>
      <w:r>
        <w:rPr>
          <w:rFonts w:hint="eastAsia" w:ascii="宋体" w:hAnsi="宋体" w:cs="Helvetica"/>
          <w:sz w:val="24"/>
          <w:szCs w:val="24"/>
        </w:rPr>
        <w:t>在政府采购活动中，采购人员</w:t>
      </w:r>
      <w:r>
        <w:rPr>
          <w:rFonts w:hint="eastAsia" w:cs="Helvetica"/>
          <w:sz w:val="24"/>
          <w:szCs w:val="24"/>
        </w:rPr>
        <w:t>（如</w:t>
      </w:r>
      <w:r>
        <w:rPr>
          <w:rFonts w:hint="eastAsia"/>
          <w:sz w:val="24"/>
          <w:szCs w:val="24"/>
        </w:rPr>
        <w:t>采购人内部负责采购项目的具体经办工作人员或直接分管采购项目的负责人、</w:t>
      </w:r>
      <w:r>
        <w:rPr>
          <w:rFonts w:hint="eastAsia" w:cs="Arial"/>
          <w:sz w:val="24"/>
          <w:szCs w:val="24"/>
          <w:lang w:eastAsia="zh-CN"/>
        </w:rPr>
        <w:t>区政府采购中心</w:t>
      </w:r>
      <w:r>
        <w:rPr>
          <w:rFonts w:hint="eastAsia"/>
          <w:sz w:val="24"/>
          <w:szCs w:val="24"/>
        </w:rPr>
        <w:t>负责采购项目的具体经办工作人员或直接分管采购活动的负责人等</w:t>
      </w:r>
      <w:r>
        <w:rPr>
          <w:rFonts w:hint="eastAsia" w:cs="Helvetica"/>
          <w:sz w:val="24"/>
          <w:szCs w:val="24"/>
        </w:rPr>
        <w:t>）</w:t>
      </w:r>
      <w:r>
        <w:rPr>
          <w:rFonts w:hint="eastAsia" w:ascii="宋体" w:hAnsi="宋体" w:cs="Helvetica"/>
          <w:sz w:val="24"/>
          <w:szCs w:val="24"/>
        </w:rPr>
        <w:t>及相关人员（包括</w:t>
      </w:r>
      <w:r>
        <w:rPr>
          <w:rFonts w:ascii="宋体" w:hAnsi="宋体" w:cs="Helvetica"/>
          <w:sz w:val="24"/>
          <w:szCs w:val="24"/>
        </w:rPr>
        <w:t>评标委员会的组成人员</w:t>
      </w:r>
      <w:r>
        <w:rPr>
          <w:rFonts w:hint="eastAsia" w:ascii="宋体" w:hAnsi="宋体" w:cs="Helvetica"/>
          <w:sz w:val="24"/>
          <w:szCs w:val="24"/>
        </w:rPr>
        <w:t>）与</w:t>
      </w:r>
      <w:r>
        <w:rPr>
          <w:rFonts w:hint="eastAsia" w:ascii="宋体" w:hAnsi="宋体"/>
          <w:sz w:val="24"/>
          <w:szCs w:val="24"/>
        </w:rPr>
        <w:t>供应商</w:t>
      </w:r>
      <w:r>
        <w:rPr>
          <w:rFonts w:hint="eastAsia" w:ascii="宋体" w:hAnsi="宋体" w:cs="Helvetica"/>
          <w:sz w:val="24"/>
          <w:szCs w:val="24"/>
        </w:rPr>
        <w:t>有下列利害关系之一的，应当回避：</w:t>
      </w:r>
    </w:p>
    <w:p>
      <w:pPr>
        <w:shd w:val="clear" w:color="auto" w:fill="FFFFFF"/>
        <w:spacing w:line="360" w:lineRule="auto"/>
        <w:ind w:left="708" w:hanging="607" w:hangingChars="253"/>
        <w:rPr>
          <w:rFonts w:ascii="宋体" w:hAnsi="宋体" w:cs="Helvetica"/>
          <w:sz w:val="24"/>
          <w:szCs w:val="24"/>
        </w:rPr>
      </w:pPr>
      <w:r>
        <w:rPr>
          <w:rFonts w:hint="eastAsia" w:ascii="宋体" w:hAnsi="宋体" w:cs="Helvetica"/>
          <w:sz w:val="24"/>
          <w:szCs w:val="24"/>
        </w:rPr>
        <w:t>　　（一）参加采购活动前3年内与</w:t>
      </w:r>
      <w:r>
        <w:rPr>
          <w:rFonts w:hint="eastAsia" w:ascii="宋体" w:hAnsi="宋体"/>
          <w:sz w:val="24"/>
          <w:szCs w:val="24"/>
        </w:rPr>
        <w:t>供应商</w:t>
      </w:r>
      <w:r>
        <w:rPr>
          <w:rFonts w:hint="eastAsia" w:ascii="宋体" w:hAnsi="宋体" w:cs="Helvetica"/>
          <w:sz w:val="24"/>
          <w:szCs w:val="24"/>
        </w:rPr>
        <w:t>存在劳动关系；</w:t>
      </w:r>
    </w:p>
    <w:p>
      <w:pPr>
        <w:shd w:val="clear" w:color="auto" w:fill="FFFFFF"/>
        <w:spacing w:line="360" w:lineRule="auto"/>
        <w:rPr>
          <w:rFonts w:ascii="宋体" w:hAnsi="宋体" w:cs="Helvetica"/>
          <w:sz w:val="24"/>
          <w:szCs w:val="24"/>
        </w:rPr>
      </w:pPr>
      <w:r>
        <w:rPr>
          <w:rFonts w:hint="eastAsia" w:ascii="宋体" w:hAnsi="宋体" w:cs="Helvetica"/>
          <w:sz w:val="24"/>
          <w:szCs w:val="24"/>
        </w:rPr>
        <w:t>　　（二）参加采购活动前3年内担任</w:t>
      </w:r>
      <w:r>
        <w:rPr>
          <w:rFonts w:hint="eastAsia" w:ascii="宋体" w:hAnsi="宋体"/>
          <w:sz w:val="24"/>
          <w:szCs w:val="24"/>
        </w:rPr>
        <w:t>供应商</w:t>
      </w:r>
      <w:r>
        <w:rPr>
          <w:rFonts w:hint="eastAsia" w:ascii="宋体" w:hAnsi="宋体" w:cs="Helvetica"/>
          <w:sz w:val="24"/>
          <w:szCs w:val="24"/>
        </w:rPr>
        <w:t>的董事、监事；</w:t>
      </w:r>
    </w:p>
    <w:p>
      <w:pPr>
        <w:shd w:val="clear" w:color="auto" w:fill="FFFFFF"/>
        <w:spacing w:line="360" w:lineRule="auto"/>
        <w:ind w:firstLine="480" w:firstLineChars="200"/>
        <w:rPr>
          <w:rFonts w:ascii="宋体" w:hAnsi="宋体" w:cs="Helvetica"/>
          <w:sz w:val="24"/>
          <w:szCs w:val="24"/>
        </w:rPr>
      </w:pPr>
      <w:r>
        <w:rPr>
          <w:rFonts w:hint="eastAsia" w:ascii="宋体" w:hAnsi="宋体" w:cs="Helvetica"/>
          <w:sz w:val="24"/>
          <w:szCs w:val="24"/>
        </w:rPr>
        <w:t>（三）参加采购活动前3年内是</w:t>
      </w:r>
      <w:r>
        <w:rPr>
          <w:rFonts w:hint="eastAsia" w:ascii="宋体" w:hAnsi="宋体"/>
          <w:sz w:val="24"/>
          <w:szCs w:val="24"/>
        </w:rPr>
        <w:t>供应商</w:t>
      </w:r>
      <w:r>
        <w:rPr>
          <w:rFonts w:hint="eastAsia" w:ascii="宋体" w:hAnsi="宋体" w:cs="Helvetica"/>
          <w:sz w:val="24"/>
          <w:szCs w:val="24"/>
        </w:rPr>
        <w:t>的控股股东或者实际控制人；</w:t>
      </w:r>
    </w:p>
    <w:p>
      <w:pPr>
        <w:shd w:val="clear" w:color="auto" w:fill="FFFFFF"/>
        <w:spacing w:line="360" w:lineRule="auto"/>
        <w:ind w:firstLine="570"/>
        <w:rPr>
          <w:rFonts w:ascii="宋体" w:hAnsi="宋体" w:cs="Helvetica"/>
          <w:sz w:val="24"/>
          <w:szCs w:val="24"/>
        </w:rPr>
      </w:pPr>
      <w:r>
        <w:rPr>
          <w:rFonts w:hint="eastAsia" w:ascii="宋体" w:hAnsi="宋体" w:cs="Helvetica"/>
          <w:sz w:val="24"/>
          <w:szCs w:val="24"/>
        </w:rPr>
        <w:t>（四）与</w:t>
      </w:r>
      <w:r>
        <w:rPr>
          <w:rFonts w:hint="eastAsia" w:ascii="宋体" w:hAnsi="宋体"/>
          <w:sz w:val="24"/>
          <w:szCs w:val="24"/>
        </w:rPr>
        <w:t>供应商</w:t>
      </w:r>
      <w:r>
        <w:rPr>
          <w:rFonts w:hint="eastAsia" w:ascii="宋体" w:hAnsi="宋体" w:cs="Helvetica"/>
          <w:sz w:val="24"/>
          <w:szCs w:val="24"/>
        </w:rPr>
        <w:t>的法定代表人或者负责人有夫妻、直系血亲、三代以内旁系血亲或者近姻亲关系；</w:t>
      </w:r>
    </w:p>
    <w:p>
      <w:pPr>
        <w:shd w:val="clear" w:color="auto" w:fill="FFFFFF"/>
        <w:spacing w:line="360" w:lineRule="auto"/>
        <w:ind w:firstLine="570"/>
        <w:rPr>
          <w:rFonts w:ascii="宋体" w:hAnsi="宋体" w:cs="Helvetica"/>
          <w:sz w:val="24"/>
          <w:szCs w:val="24"/>
        </w:rPr>
      </w:pPr>
      <w:r>
        <w:rPr>
          <w:rFonts w:hint="eastAsia" w:ascii="宋体" w:hAnsi="宋体" w:cs="Helvetica"/>
          <w:sz w:val="24"/>
          <w:szCs w:val="24"/>
        </w:rPr>
        <w:t>（五）与</w:t>
      </w:r>
      <w:r>
        <w:rPr>
          <w:rFonts w:hint="eastAsia" w:ascii="宋体" w:hAnsi="宋体"/>
          <w:sz w:val="24"/>
          <w:szCs w:val="24"/>
        </w:rPr>
        <w:t>供应商</w:t>
      </w:r>
      <w:r>
        <w:rPr>
          <w:rFonts w:hint="eastAsia" w:ascii="宋体" w:hAnsi="宋体" w:cs="Helvetica"/>
          <w:sz w:val="24"/>
          <w:szCs w:val="24"/>
        </w:rPr>
        <w:t>有其他可能影响政府采购活动公平、公正进行的关系。</w:t>
      </w:r>
    </w:p>
    <w:p>
      <w:pPr>
        <w:shd w:val="clear" w:color="auto" w:fill="FFFFFF"/>
        <w:spacing w:line="360" w:lineRule="auto"/>
        <w:ind w:firstLine="570"/>
        <w:rPr>
          <w:rFonts w:ascii="宋体" w:hAnsi="宋体" w:cs="Helvetica"/>
          <w:sz w:val="24"/>
          <w:szCs w:val="24"/>
        </w:rPr>
      </w:pPr>
      <w:r>
        <w:rPr>
          <w:rFonts w:hint="eastAsia" w:ascii="宋体" w:hAnsi="宋体"/>
          <w:sz w:val="24"/>
          <w:szCs w:val="24"/>
        </w:rPr>
        <w:t>供应商</w:t>
      </w:r>
      <w:r>
        <w:rPr>
          <w:rFonts w:hint="eastAsia" w:ascii="宋体" w:hAnsi="宋体" w:cs="Helvetica"/>
          <w:sz w:val="24"/>
          <w:szCs w:val="24"/>
        </w:rPr>
        <w:t>认为采购人员及相关人员与其他</w:t>
      </w:r>
      <w:r>
        <w:rPr>
          <w:rFonts w:hint="eastAsia" w:ascii="宋体" w:hAnsi="宋体"/>
          <w:sz w:val="24"/>
          <w:szCs w:val="24"/>
        </w:rPr>
        <w:t>供应商</w:t>
      </w:r>
      <w:r>
        <w:rPr>
          <w:rFonts w:hint="eastAsia" w:ascii="宋体" w:hAnsi="宋体" w:cs="Helvetica"/>
          <w:sz w:val="24"/>
          <w:szCs w:val="24"/>
        </w:rPr>
        <w:t>有利害关系的，可以向采购人或者</w:t>
      </w:r>
      <w:r>
        <w:rPr>
          <w:rFonts w:hint="eastAsia" w:ascii="宋体" w:hAnsi="宋体" w:cs="Arial"/>
          <w:sz w:val="24"/>
          <w:szCs w:val="24"/>
        </w:rPr>
        <w:t>采购代理机构</w:t>
      </w:r>
      <w:r>
        <w:rPr>
          <w:rFonts w:hint="eastAsia" w:ascii="宋体" w:hAnsi="宋体" w:cs="Helvetica"/>
          <w:sz w:val="24"/>
          <w:szCs w:val="24"/>
        </w:rPr>
        <w:t>书面提出回避申请，并说明理由。采购人或者</w:t>
      </w:r>
      <w:r>
        <w:rPr>
          <w:rFonts w:hint="eastAsia" w:ascii="宋体" w:hAnsi="宋体" w:cs="Arial"/>
          <w:sz w:val="24"/>
          <w:szCs w:val="24"/>
        </w:rPr>
        <w:t>采购代理机构</w:t>
      </w:r>
      <w:r>
        <w:rPr>
          <w:rFonts w:hint="eastAsia" w:ascii="宋体" w:hAnsi="宋体" w:cs="Helvetica"/>
          <w:sz w:val="24"/>
          <w:szCs w:val="24"/>
        </w:rPr>
        <w:t>应当及时询问被申请回避人员，有利害关系的被申请回避人员应当回避。</w:t>
      </w:r>
    </w:p>
    <w:p>
      <w:pPr>
        <w:keepNext/>
        <w:keepLines/>
        <w:numPr>
          <w:ilvl w:val="1"/>
          <w:numId w:val="3"/>
        </w:numPr>
        <w:spacing w:line="360" w:lineRule="auto"/>
        <w:jc w:val="left"/>
        <w:outlineLvl w:val="1"/>
        <w:rPr>
          <w:rFonts w:ascii="宋体" w:hAnsi="宋体"/>
          <w:b/>
          <w:bCs/>
          <w:sz w:val="24"/>
          <w:szCs w:val="24"/>
        </w:rPr>
      </w:pPr>
      <w:bookmarkStart w:id="100" w:name="_Toc21191"/>
      <w:bookmarkStart w:id="101" w:name="_Toc217446078"/>
      <w:r>
        <w:rPr>
          <w:rFonts w:hint="eastAsia" w:ascii="宋体" w:hAnsi="宋体"/>
          <w:b/>
          <w:bCs/>
          <w:sz w:val="24"/>
          <w:szCs w:val="24"/>
        </w:rPr>
        <w:t>询问、质疑和投诉</w:t>
      </w:r>
      <w:bookmarkEnd w:id="100"/>
      <w:bookmarkEnd w:id="101"/>
      <w:bookmarkStart w:id="102" w:name="_Toc217446079"/>
    </w:p>
    <w:bookmarkEnd w:id="96"/>
    <w:bookmarkEnd w:id="97"/>
    <w:bookmarkEnd w:id="102"/>
    <w:p>
      <w:pPr>
        <w:numPr>
          <w:ilvl w:val="0"/>
          <w:numId w:val="27"/>
        </w:numPr>
        <w:spacing w:line="360" w:lineRule="auto"/>
        <w:ind w:left="0" w:firstLine="567"/>
        <w:jc w:val="left"/>
        <w:rPr>
          <w:sz w:val="24"/>
          <w:szCs w:val="24"/>
        </w:rPr>
      </w:pPr>
      <w:r>
        <w:rPr>
          <w:rFonts w:hint="eastAsia"/>
          <w:sz w:val="24"/>
          <w:szCs w:val="24"/>
        </w:rPr>
        <w:t>询问、质疑、投诉的接收和处理严格按照《中华人民共和国政府采购法》、《中华人民共和国政府采购法实施条例》《中华人民共和国财政部货物和服务招投标管理办法》（财政部第</w:t>
      </w:r>
      <w:r>
        <w:rPr>
          <w:sz w:val="24"/>
          <w:szCs w:val="24"/>
        </w:rPr>
        <w:t>87</w:t>
      </w:r>
      <w:r>
        <w:rPr>
          <w:rFonts w:hint="eastAsia"/>
          <w:sz w:val="24"/>
          <w:szCs w:val="24"/>
        </w:rPr>
        <w:t>号令）和《政府采购质疑和投诉办法》（财政部</w:t>
      </w:r>
      <w:r>
        <w:rPr>
          <w:sz w:val="24"/>
          <w:szCs w:val="24"/>
        </w:rPr>
        <w:t>94</w:t>
      </w:r>
      <w:r>
        <w:rPr>
          <w:rFonts w:hint="eastAsia"/>
          <w:sz w:val="24"/>
          <w:szCs w:val="24"/>
        </w:rPr>
        <w:t>号令）的规定办理。</w:t>
      </w:r>
    </w:p>
    <w:p>
      <w:pPr>
        <w:numPr>
          <w:ilvl w:val="0"/>
          <w:numId w:val="27"/>
        </w:numPr>
        <w:spacing w:line="360" w:lineRule="auto"/>
        <w:ind w:left="0" w:firstLine="567"/>
        <w:jc w:val="left"/>
        <w:rPr>
          <w:sz w:val="24"/>
          <w:szCs w:val="24"/>
        </w:rPr>
      </w:pPr>
      <w:r>
        <w:rPr>
          <w:rFonts w:hint="eastAsia"/>
          <w:sz w:val="24"/>
          <w:szCs w:val="24"/>
        </w:rPr>
        <w:t>供应商</w:t>
      </w:r>
      <w:r>
        <w:rPr>
          <w:rFonts w:hint="eastAsia" w:ascii="宋体" w:hAnsi="宋体"/>
          <w:sz w:val="24"/>
          <w:szCs w:val="24"/>
        </w:rPr>
        <w:t>询问、质疑的对象</w:t>
      </w:r>
    </w:p>
    <w:p>
      <w:pPr>
        <w:numPr>
          <w:ilvl w:val="1"/>
          <w:numId w:val="28"/>
        </w:numPr>
        <w:tabs>
          <w:tab w:val="left" w:pos="0"/>
          <w:tab w:val="left" w:pos="1276"/>
        </w:tabs>
        <w:spacing w:after="120" w:line="360" w:lineRule="auto"/>
        <w:ind w:left="0" w:firstLine="567"/>
        <w:rPr>
          <w:rFonts w:ascii="宋体" w:hAnsi="宋体"/>
          <w:sz w:val="24"/>
          <w:szCs w:val="24"/>
        </w:rPr>
      </w:pPr>
      <w:r>
        <w:rPr>
          <w:rFonts w:hint="eastAsia"/>
          <w:sz w:val="24"/>
          <w:szCs w:val="24"/>
        </w:rPr>
        <w:t>供应商</w:t>
      </w:r>
      <w:r>
        <w:rPr>
          <w:rFonts w:hint="eastAsia" w:ascii="宋体" w:hAnsi="宋体"/>
          <w:sz w:val="24"/>
          <w:szCs w:val="24"/>
        </w:rPr>
        <w:t>对招标文件中</w:t>
      </w:r>
      <w:r>
        <w:rPr>
          <w:rFonts w:hint="eastAsia"/>
          <w:sz w:val="24"/>
          <w:szCs w:val="24"/>
        </w:rPr>
        <w:t>供应商</w:t>
      </w:r>
      <w:r>
        <w:rPr>
          <w:rFonts w:hint="eastAsia" w:ascii="宋体" w:hAnsi="宋体"/>
          <w:sz w:val="24"/>
          <w:szCs w:val="24"/>
        </w:rPr>
        <w:t>参加本次政府采购活动应当具备的条件，招标项目技术、服务、商务及其他要求，评标细则及标准，和中标结果中关于资格审查提出询问或质疑的，向采购人提出；</w:t>
      </w:r>
    </w:p>
    <w:p>
      <w:pPr>
        <w:numPr>
          <w:ilvl w:val="1"/>
          <w:numId w:val="28"/>
        </w:numPr>
        <w:tabs>
          <w:tab w:val="left" w:pos="1276"/>
        </w:tabs>
        <w:spacing w:after="120" w:line="360" w:lineRule="auto"/>
        <w:ind w:left="0" w:firstLine="567"/>
        <w:rPr>
          <w:rFonts w:ascii="宋体" w:hAnsi="宋体"/>
          <w:sz w:val="24"/>
          <w:szCs w:val="24"/>
        </w:rPr>
      </w:pPr>
      <w:r>
        <w:rPr>
          <w:rFonts w:hint="eastAsia"/>
          <w:sz w:val="24"/>
          <w:szCs w:val="24"/>
        </w:rPr>
        <w:t>供应商对除上述招标文件中的其他内容，采购过程及中标结果中（除资格审查）</w:t>
      </w:r>
      <w:r>
        <w:rPr>
          <w:rFonts w:hint="eastAsia" w:ascii="宋体" w:hAnsi="宋体"/>
          <w:sz w:val="24"/>
          <w:szCs w:val="24"/>
        </w:rPr>
        <w:t>提出询问或质疑的，向</w:t>
      </w:r>
      <w:r>
        <w:rPr>
          <w:rFonts w:hint="eastAsia" w:ascii="宋体" w:hAnsi="宋体" w:cs="Arial"/>
          <w:sz w:val="24"/>
          <w:szCs w:val="24"/>
          <w:lang w:eastAsia="zh-CN"/>
        </w:rPr>
        <w:t>区政府采购中心</w:t>
      </w:r>
      <w:r>
        <w:rPr>
          <w:rFonts w:hint="eastAsia" w:ascii="宋体" w:hAnsi="宋体"/>
          <w:sz w:val="24"/>
          <w:szCs w:val="24"/>
        </w:rPr>
        <w:t>提出。</w:t>
      </w:r>
    </w:p>
    <w:p>
      <w:pPr>
        <w:numPr>
          <w:ilvl w:val="0"/>
          <w:numId w:val="27"/>
        </w:numPr>
        <w:tabs>
          <w:tab w:val="left" w:pos="1134"/>
        </w:tabs>
        <w:spacing w:after="120" w:line="360" w:lineRule="auto"/>
        <w:ind w:left="0" w:firstLine="567"/>
        <w:rPr>
          <w:rFonts w:ascii="宋体" w:hAnsi="宋体"/>
          <w:sz w:val="24"/>
          <w:szCs w:val="24"/>
        </w:rPr>
      </w:pPr>
      <w:r>
        <w:rPr>
          <w:rFonts w:hint="eastAsia" w:ascii="宋体" w:hAnsi="宋体"/>
          <w:sz w:val="24"/>
          <w:szCs w:val="24"/>
        </w:rPr>
        <w:t>供应商提出的询问，应当明确询问事项，如以书面形式提出的，应由供应商签字并加盖公章。</w:t>
      </w:r>
    </w:p>
    <w:p>
      <w:pPr>
        <w:numPr>
          <w:ilvl w:val="0"/>
          <w:numId w:val="27"/>
        </w:numPr>
        <w:tabs>
          <w:tab w:val="left" w:pos="1134"/>
        </w:tabs>
        <w:spacing w:after="120" w:line="360" w:lineRule="auto"/>
        <w:ind w:left="0" w:firstLine="567"/>
        <w:rPr>
          <w:rFonts w:ascii="宋体" w:hAnsi="宋体"/>
          <w:sz w:val="24"/>
          <w:szCs w:val="24"/>
        </w:rPr>
      </w:pPr>
      <w:r>
        <w:rPr>
          <w:rFonts w:hint="eastAsia" w:ascii="宋体" w:hAnsi="宋体"/>
          <w:sz w:val="24"/>
          <w:szCs w:val="24"/>
        </w:rPr>
        <w:t>供应商应在法定质疑期内一次性提出针对同一采购程序环节的质疑。</w:t>
      </w:r>
    </w:p>
    <w:p>
      <w:pPr>
        <w:numPr>
          <w:ilvl w:val="0"/>
          <w:numId w:val="27"/>
        </w:numPr>
        <w:tabs>
          <w:tab w:val="left" w:pos="1134"/>
        </w:tabs>
        <w:spacing w:after="120" w:line="500" w:lineRule="exact"/>
        <w:ind w:left="0" w:firstLine="567"/>
        <w:rPr>
          <w:rFonts w:ascii="宋体" w:hAnsi="宋体"/>
          <w:sz w:val="24"/>
          <w:szCs w:val="24"/>
        </w:rPr>
      </w:pPr>
      <w:r>
        <w:rPr>
          <w:rFonts w:hint="eastAsia" w:ascii="宋体" w:hAnsi="宋体"/>
          <w:sz w:val="24"/>
          <w:szCs w:val="24"/>
        </w:rPr>
        <w:t>供应商可通过“政府采购云平台”，或现场等方式向采购人或</w:t>
      </w:r>
      <w:r>
        <w:rPr>
          <w:rFonts w:hint="eastAsia" w:ascii="宋体" w:hAnsi="宋体"/>
          <w:sz w:val="24"/>
          <w:szCs w:val="24"/>
          <w:lang w:eastAsia="zh-CN"/>
        </w:rPr>
        <w:t>区政府采购中心</w:t>
      </w:r>
      <w:r>
        <w:rPr>
          <w:rFonts w:hint="eastAsia" w:ascii="宋体" w:hAnsi="宋体"/>
          <w:sz w:val="24"/>
          <w:szCs w:val="24"/>
        </w:rPr>
        <w:t>提交质疑资料。</w:t>
      </w:r>
    </w:p>
    <w:p>
      <w:pPr>
        <w:numPr>
          <w:ilvl w:val="0"/>
          <w:numId w:val="27"/>
        </w:numPr>
        <w:tabs>
          <w:tab w:val="left" w:pos="1134"/>
        </w:tabs>
        <w:spacing w:after="120" w:line="360" w:lineRule="auto"/>
        <w:ind w:left="0" w:firstLine="567"/>
        <w:rPr>
          <w:rFonts w:ascii="宋体" w:hAnsi="宋体"/>
          <w:sz w:val="24"/>
          <w:szCs w:val="24"/>
        </w:rPr>
      </w:pPr>
      <w:r>
        <w:rPr>
          <w:rFonts w:hint="eastAsia" w:ascii="宋体" w:hAnsi="宋体"/>
          <w:sz w:val="24"/>
          <w:szCs w:val="24"/>
        </w:rPr>
        <w:t>供应商提出质疑时应当准备的资料</w:t>
      </w:r>
    </w:p>
    <w:p>
      <w:pPr>
        <w:pStyle w:val="39"/>
        <w:shd w:val="clear" w:color="auto" w:fill="FFFFFF"/>
        <w:spacing w:before="0" w:beforeAutospacing="0" w:after="0" w:afterAutospacing="0" w:line="360" w:lineRule="auto"/>
        <w:ind w:firstLine="480" w:firstLineChars="200"/>
        <w:rPr>
          <w:rFonts w:cs="Helvetica"/>
          <w:color w:val="auto"/>
          <w:sz w:val="24"/>
          <w:szCs w:val="24"/>
        </w:rPr>
      </w:pPr>
      <w:r>
        <w:rPr>
          <w:rFonts w:hint="eastAsia" w:cs="Helvetica"/>
          <w:color w:val="auto"/>
          <w:sz w:val="24"/>
          <w:szCs w:val="24"/>
        </w:rPr>
        <w:t>（一）质疑书正本1份；</w:t>
      </w:r>
    </w:p>
    <w:p>
      <w:pPr>
        <w:pStyle w:val="39"/>
        <w:shd w:val="clear" w:color="auto" w:fill="FFFFFF"/>
        <w:spacing w:before="0" w:beforeAutospacing="0" w:after="0" w:afterAutospacing="0" w:line="360" w:lineRule="auto"/>
        <w:ind w:firstLine="480" w:firstLineChars="200"/>
        <w:rPr>
          <w:rFonts w:cs="Helvetica"/>
          <w:color w:val="auto"/>
          <w:sz w:val="24"/>
          <w:szCs w:val="24"/>
        </w:rPr>
      </w:pPr>
      <w:r>
        <w:rPr>
          <w:rFonts w:hint="eastAsia" w:cs="Helvetica"/>
          <w:color w:val="auto"/>
          <w:sz w:val="24"/>
          <w:szCs w:val="24"/>
        </w:rPr>
        <w:t>（二）法定代表人或主要负责人授权委托书1份（委托代理人办理质疑事宜的需提供）；</w:t>
      </w:r>
    </w:p>
    <w:p>
      <w:pPr>
        <w:pStyle w:val="39"/>
        <w:shd w:val="clear" w:color="auto" w:fill="FFFFFF"/>
        <w:spacing w:before="0" w:beforeAutospacing="0" w:after="0" w:afterAutospacing="0" w:line="360" w:lineRule="auto"/>
        <w:ind w:firstLine="480" w:firstLineChars="200"/>
        <w:rPr>
          <w:rFonts w:cs="Helvetica"/>
          <w:color w:val="auto"/>
          <w:sz w:val="24"/>
          <w:szCs w:val="24"/>
        </w:rPr>
      </w:pPr>
      <w:r>
        <w:rPr>
          <w:rFonts w:hint="eastAsia" w:cs="Helvetica"/>
          <w:color w:val="auto"/>
          <w:sz w:val="24"/>
          <w:szCs w:val="24"/>
        </w:rPr>
        <w:t>（三）法定代表人或主要负责人身份证复印件1份；</w:t>
      </w:r>
    </w:p>
    <w:p>
      <w:pPr>
        <w:pStyle w:val="39"/>
        <w:shd w:val="clear" w:color="auto" w:fill="FFFFFF"/>
        <w:spacing w:before="0" w:beforeAutospacing="0" w:after="0" w:afterAutospacing="0" w:line="360" w:lineRule="auto"/>
        <w:ind w:firstLine="480" w:firstLineChars="200"/>
        <w:rPr>
          <w:rFonts w:cs="Helvetica"/>
          <w:color w:val="auto"/>
          <w:sz w:val="24"/>
          <w:szCs w:val="24"/>
        </w:rPr>
      </w:pPr>
      <w:r>
        <w:rPr>
          <w:rFonts w:hint="eastAsia" w:cs="Helvetica"/>
          <w:color w:val="auto"/>
          <w:sz w:val="24"/>
          <w:szCs w:val="24"/>
        </w:rPr>
        <w:t>（四）委托代理人身份证复印件1份（委托代理人办理质疑事宜的需提供）；</w:t>
      </w:r>
    </w:p>
    <w:p>
      <w:pPr>
        <w:pStyle w:val="39"/>
        <w:shd w:val="clear" w:color="auto" w:fill="FFFFFF"/>
        <w:spacing w:before="0" w:beforeAutospacing="0" w:after="0" w:afterAutospacing="0" w:line="360" w:lineRule="auto"/>
        <w:ind w:firstLine="480" w:firstLineChars="200"/>
        <w:rPr>
          <w:rFonts w:cs="Helvetica"/>
          <w:color w:val="auto"/>
          <w:sz w:val="24"/>
          <w:szCs w:val="24"/>
        </w:rPr>
      </w:pPr>
      <w:r>
        <w:rPr>
          <w:rFonts w:hint="eastAsia" w:cs="Helvetica"/>
          <w:color w:val="auto"/>
          <w:sz w:val="24"/>
          <w:szCs w:val="24"/>
        </w:rPr>
        <w:t>（五）针对质疑事项必要的证明材料。</w:t>
      </w:r>
    </w:p>
    <w:p>
      <w:pPr>
        <w:numPr>
          <w:ilvl w:val="0"/>
          <w:numId w:val="27"/>
        </w:numPr>
        <w:tabs>
          <w:tab w:val="left" w:pos="1134"/>
        </w:tabs>
        <w:spacing w:line="360" w:lineRule="auto"/>
        <w:ind w:left="0" w:firstLine="567"/>
        <w:rPr>
          <w:rFonts w:ascii="宋体" w:hAnsi="宋体"/>
          <w:sz w:val="24"/>
          <w:szCs w:val="24"/>
        </w:rPr>
      </w:pPr>
      <w:r>
        <w:rPr>
          <w:rFonts w:hint="eastAsia" w:ascii="宋体" w:hAnsi="宋体"/>
          <w:sz w:val="24"/>
          <w:szCs w:val="24"/>
        </w:rPr>
        <w:t>供应商对采购人或</w:t>
      </w:r>
      <w:r>
        <w:rPr>
          <w:rFonts w:hint="eastAsia" w:ascii="宋体" w:hAnsi="宋体"/>
          <w:sz w:val="24"/>
          <w:szCs w:val="24"/>
          <w:lang w:eastAsia="zh-CN"/>
        </w:rPr>
        <w:t>区政府采购中心</w:t>
      </w:r>
      <w:r>
        <w:rPr>
          <w:rFonts w:hint="eastAsia" w:ascii="宋体" w:hAnsi="宋体"/>
          <w:sz w:val="24"/>
          <w:szCs w:val="24"/>
        </w:rPr>
        <w:t>的质疑答复不满意，或者采购人或</w:t>
      </w:r>
      <w:r>
        <w:rPr>
          <w:rFonts w:hint="eastAsia" w:ascii="宋体" w:hAnsi="宋体"/>
          <w:sz w:val="24"/>
          <w:szCs w:val="24"/>
          <w:lang w:eastAsia="zh-CN"/>
        </w:rPr>
        <w:t>区政府采购中心</w:t>
      </w:r>
      <w:r>
        <w:rPr>
          <w:rFonts w:hint="eastAsia" w:ascii="宋体" w:hAnsi="宋体"/>
          <w:sz w:val="24"/>
          <w:szCs w:val="24"/>
        </w:rPr>
        <w:t>未在规定期限内作出答复的，供应商可以在答复期满后15个工作日内向同级财政部门提起投诉。</w:t>
      </w:r>
    </w:p>
    <w:p>
      <w:pPr>
        <w:tabs>
          <w:tab w:val="left" w:pos="1276"/>
        </w:tabs>
        <w:spacing w:line="360" w:lineRule="auto"/>
        <w:rPr>
          <w:rFonts w:ascii="宋体" w:hAnsi="宋体"/>
          <w:sz w:val="24"/>
          <w:szCs w:val="24"/>
        </w:rPr>
      </w:pPr>
    </w:p>
    <w:p>
      <w:pPr>
        <w:pStyle w:val="2"/>
        <w:tabs>
          <w:tab w:val="left" w:pos="426"/>
          <w:tab w:val="left" w:pos="567"/>
        </w:tabs>
        <w:spacing w:before="0" w:after="0" w:line="600" w:lineRule="exact"/>
        <w:jc w:val="both"/>
        <w:rPr>
          <w:sz w:val="24"/>
          <w:szCs w:val="24"/>
        </w:rPr>
      </w:pPr>
      <w:bookmarkStart w:id="103" w:name="_Toc13042"/>
      <w:r>
        <w:rPr>
          <w:rFonts w:hint="eastAsia"/>
          <w:sz w:val="24"/>
          <w:szCs w:val="24"/>
        </w:rPr>
        <w:t>其他要求（实质性要求）</w:t>
      </w:r>
      <w:bookmarkEnd w:id="103"/>
    </w:p>
    <w:p>
      <w:pPr>
        <w:pStyle w:val="80"/>
        <w:numPr>
          <w:ilvl w:val="0"/>
          <w:numId w:val="29"/>
        </w:numPr>
        <w:tabs>
          <w:tab w:val="left" w:pos="1276"/>
        </w:tabs>
        <w:snapToGrid w:val="0"/>
        <w:spacing w:line="360" w:lineRule="auto"/>
        <w:ind w:left="0" w:firstLine="710" w:firstLineChars="0"/>
        <w:rPr>
          <w:rFonts w:ascii="宋体" w:hAnsi="宋体" w:eastAsia="宋体"/>
          <w:sz w:val="24"/>
          <w:szCs w:val="24"/>
        </w:rPr>
      </w:pPr>
      <w:r>
        <w:rPr>
          <w:rFonts w:hint="eastAsia" w:ascii="宋体" w:hAnsi="宋体" w:eastAsia="宋体"/>
          <w:sz w:val="24"/>
          <w:szCs w:val="24"/>
        </w:rPr>
        <w:t>供应商为本项目提供的所有产品、辅材中属于《国家强制性产品认证目录》范围内产品的，均通过国家强制性产品认证并取得认证证书。</w:t>
      </w:r>
    </w:p>
    <w:p>
      <w:pPr>
        <w:pStyle w:val="80"/>
        <w:numPr>
          <w:ilvl w:val="0"/>
          <w:numId w:val="29"/>
        </w:numPr>
        <w:tabs>
          <w:tab w:val="left" w:pos="1276"/>
        </w:tabs>
        <w:snapToGrid w:val="0"/>
        <w:spacing w:line="360" w:lineRule="auto"/>
        <w:ind w:left="0" w:firstLine="710" w:firstLineChars="0"/>
        <w:rPr>
          <w:rFonts w:ascii="宋体" w:hAnsi="宋体" w:eastAsia="宋体"/>
          <w:sz w:val="24"/>
          <w:szCs w:val="24"/>
        </w:rPr>
      </w:pPr>
      <w:r>
        <w:rPr>
          <w:rFonts w:hint="eastAsia" w:ascii="宋体" w:hAnsi="宋体" w:eastAsia="宋体"/>
          <w:sz w:val="24"/>
          <w:szCs w:val="24"/>
        </w:rPr>
        <w:t>供应商为本项目提供的所有产品、辅材符合现行的强制性国家相关标准、行业标准。</w:t>
      </w:r>
    </w:p>
    <w:p>
      <w:pPr>
        <w:pStyle w:val="80"/>
        <w:numPr>
          <w:ilvl w:val="0"/>
          <w:numId w:val="29"/>
        </w:numPr>
        <w:tabs>
          <w:tab w:val="left" w:pos="1134"/>
          <w:tab w:val="left" w:pos="1276"/>
        </w:tabs>
        <w:snapToGrid w:val="0"/>
        <w:spacing w:line="600" w:lineRule="exact"/>
        <w:ind w:left="0" w:firstLine="562" w:firstLineChars="0"/>
        <w:rPr>
          <w:rFonts w:ascii="宋体" w:hAnsi="宋体" w:eastAsia="宋体"/>
          <w:sz w:val="24"/>
          <w:szCs w:val="24"/>
        </w:rPr>
      </w:pPr>
      <w:r>
        <w:rPr>
          <w:rFonts w:hint="eastAsia" w:ascii="宋体" w:hAnsi="宋体" w:eastAsia="宋体"/>
          <w:sz w:val="24"/>
          <w:szCs w:val="24"/>
        </w:rPr>
        <w:t>为本项目实施涉及的商品包装和快递包装，均应符合财政部等三部门联合印发商品包装和快递包装政府采购需求标准（试行）（财办库[2020]123号）的要求，包装应适应于远距离运输、防潮、防震、防锈和防野蛮装卸，以确保货物安全无损运抵指定地点。由于包装不善所引起的货物损失均由供应商承担。</w:t>
      </w:r>
    </w:p>
    <w:p>
      <w:pPr>
        <w:tabs>
          <w:tab w:val="left" w:pos="1276"/>
        </w:tabs>
        <w:spacing w:line="360" w:lineRule="auto"/>
        <w:rPr>
          <w:rFonts w:ascii="宋体" w:hAnsi="宋体"/>
          <w:sz w:val="28"/>
          <w:szCs w:val="28"/>
        </w:rPr>
      </w:pPr>
    </w:p>
    <w:p>
      <w:pPr>
        <w:tabs>
          <w:tab w:val="left" w:pos="1276"/>
        </w:tabs>
        <w:spacing w:line="360" w:lineRule="auto"/>
        <w:rPr>
          <w:rFonts w:ascii="宋体" w:hAnsi="宋体"/>
          <w:sz w:val="28"/>
          <w:szCs w:val="28"/>
        </w:rPr>
      </w:pPr>
    </w:p>
    <w:p>
      <w:pPr>
        <w:rPr>
          <w:rFonts w:ascii="宋体" w:hAnsi="宋体"/>
          <w:sz w:val="28"/>
          <w:szCs w:val="28"/>
        </w:rPr>
      </w:pPr>
      <w:r>
        <w:rPr>
          <w:rFonts w:ascii="宋体" w:hAnsi="宋体"/>
          <w:sz w:val="28"/>
          <w:szCs w:val="28"/>
        </w:rPr>
        <w:br w:type="page"/>
      </w:r>
    </w:p>
    <w:p>
      <w:pPr>
        <w:keepNext/>
        <w:keepLines/>
        <w:numPr>
          <w:ilvl w:val="0"/>
          <w:numId w:val="3"/>
        </w:numPr>
        <w:spacing w:before="340" w:after="330" w:line="400" w:lineRule="exact"/>
        <w:ind w:left="567"/>
        <w:jc w:val="center"/>
        <w:outlineLvl w:val="0"/>
        <w:rPr>
          <w:rFonts w:ascii="宋体" w:hAnsi="宋体"/>
          <w:b/>
          <w:bCs/>
          <w:spacing w:val="-20"/>
          <w:kern w:val="44"/>
          <w:sz w:val="32"/>
          <w:szCs w:val="32"/>
        </w:rPr>
      </w:pPr>
      <w:bookmarkStart w:id="104" w:name="_Toc315871048"/>
      <w:bookmarkEnd w:id="104"/>
      <w:bookmarkStart w:id="105" w:name="_Toc315871047"/>
      <w:bookmarkEnd w:id="105"/>
      <w:bookmarkStart w:id="106" w:name="_Toc316292048"/>
      <w:bookmarkEnd w:id="106"/>
      <w:bookmarkStart w:id="107" w:name="_Toc315871046"/>
      <w:bookmarkEnd w:id="107"/>
      <w:bookmarkStart w:id="108" w:name="_Toc315871045"/>
      <w:bookmarkEnd w:id="108"/>
      <w:bookmarkStart w:id="109" w:name="_Toc316292051"/>
      <w:bookmarkEnd w:id="109"/>
      <w:bookmarkStart w:id="110" w:name="_Toc316292052"/>
      <w:bookmarkEnd w:id="110"/>
      <w:bookmarkStart w:id="111" w:name="_Toc315871050"/>
      <w:bookmarkEnd w:id="111"/>
      <w:bookmarkStart w:id="112" w:name="_Toc316292050"/>
      <w:bookmarkEnd w:id="112"/>
      <w:bookmarkStart w:id="113" w:name="_Toc315871049"/>
      <w:bookmarkEnd w:id="113"/>
      <w:bookmarkStart w:id="114" w:name="_Toc316292049"/>
      <w:bookmarkEnd w:id="114"/>
      <w:bookmarkStart w:id="115" w:name="_Toc11867"/>
      <w:r>
        <w:rPr>
          <w:rFonts w:hint="eastAsia" w:ascii="宋体" w:hAnsi="宋体"/>
          <w:b/>
          <w:bCs/>
          <w:spacing w:val="-20"/>
          <w:kern w:val="44"/>
          <w:sz w:val="32"/>
          <w:szCs w:val="32"/>
        </w:rPr>
        <w:t>投标文件格式</w:t>
      </w:r>
      <w:bookmarkEnd w:id="115"/>
    </w:p>
    <w:p>
      <w:pPr>
        <w:keepNext/>
        <w:keepLines/>
        <w:numPr>
          <w:ilvl w:val="1"/>
          <w:numId w:val="3"/>
        </w:numPr>
        <w:spacing w:before="260" w:after="260" w:line="360" w:lineRule="auto"/>
        <w:jc w:val="left"/>
        <w:outlineLvl w:val="1"/>
        <w:rPr>
          <w:rFonts w:ascii="宋体" w:hAnsi="宋体"/>
          <w:b/>
          <w:bCs/>
          <w:sz w:val="28"/>
          <w:szCs w:val="28"/>
        </w:rPr>
      </w:pPr>
      <w:bookmarkStart w:id="116" w:name="_Toc10898"/>
      <w:r>
        <w:rPr>
          <w:rFonts w:hint="eastAsia" w:ascii="宋体" w:hAnsi="宋体"/>
          <w:b/>
          <w:bCs/>
          <w:sz w:val="28"/>
          <w:szCs w:val="28"/>
        </w:rPr>
        <w:t>投标文件封面格式</w:t>
      </w:r>
      <w:bookmarkEnd w:id="116"/>
    </w:p>
    <w:p>
      <w:pPr>
        <w:spacing w:line="360" w:lineRule="auto"/>
        <w:rPr>
          <w:rFonts w:ascii="宋体" w:hAnsi="宋体"/>
          <w:bCs/>
          <w:szCs w:val="21"/>
        </w:rPr>
      </w:pPr>
    </w:p>
    <w:p>
      <w:pPr>
        <w:spacing w:line="360" w:lineRule="auto"/>
        <w:rPr>
          <w:rFonts w:ascii="宋体" w:hAnsi="宋体"/>
          <w:bCs/>
          <w:szCs w:val="21"/>
        </w:rPr>
      </w:pPr>
    </w:p>
    <w:p>
      <w:pPr>
        <w:spacing w:line="360" w:lineRule="auto"/>
        <w:jc w:val="right"/>
        <w:rPr>
          <w:rFonts w:ascii="宋体" w:hAnsi="宋体"/>
        </w:rPr>
      </w:pPr>
    </w:p>
    <w:p>
      <w:pPr>
        <w:spacing w:line="360" w:lineRule="auto"/>
        <w:jc w:val="center"/>
        <w:rPr>
          <w:rFonts w:ascii="宋体" w:hAnsi="宋体"/>
          <w:spacing w:val="78"/>
          <w:sz w:val="96"/>
          <w:szCs w:val="120"/>
        </w:rPr>
      </w:pPr>
      <w:r>
        <w:rPr>
          <w:rFonts w:hint="eastAsia" w:ascii="宋体" w:hAnsi="宋体"/>
          <w:spacing w:val="78"/>
          <w:sz w:val="96"/>
          <w:szCs w:val="120"/>
        </w:rPr>
        <w:t>投标文件</w:t>
      </w:r>
    </w:p>
    <w:p>
      <w:pPr>
        <w:spacing w:line="360" w:lineRule="auto"/>
        <w:jc w:val="center"/>
        <w:rPr>
          <w:rFonts w:ascii="宋体" w:hAnsi="宋体"/>
          <w:bCs/>
          <w:sz w:val="36"/>
        </w:rPr>
      </w:pPr>
    </w:p>
    <w:p>
      <w:pPr>
        <w:spacing w:line="360" w:lineRule="auto"/>
        <w:jc w:val="center"/>
        <w:rPr>
          <w:rFonts w:ascii="宋体" w:hAnsi="宋体"/>
          <w:bCs/>
          <w:sz w:val="36"/>
        </w:rPr>
      </w:pPr>
    </w:p>
    <w:p>
      <w:pPr>
        <w:spacing w:line="360" w:lineRule="auto"/>
        <w:ind w:left="1751" w:hanging="1751" w:hangingChars="545"/>
        <w:rPr>
          <w:rFonts w:ascii="宋体" w:hAnsi="宋体"/>
          <w:b/>
          <w:bCs/>
          <w:sz w:val="32"/>
          <w:szCs w:val="32"/>
        </w:rPr>
      </w:pPr>
      <w:r>
        <w:rPr>
          <w:rFonts w:hint="eastAsia" w:ascii="宋体" w:hAnsi="宋体"/>
          <w:b/>
          <w:bCs/>
          <w:sz w:val="32"/>
          <w:szCs w:val="32"/>
        </w:rPr>
        <w:t>项目名称：XXXX采购项目</w:t>
      </w:r>
    </w:p>
    <w:p>
      <w:pPr>
        <w:spacing w:line="360" w:lineRule="auto"/>
        <w:rPr>
          <w:rFonts w:hint="eastAsia" w:ascii="宋体" w:hAnsi="宋体" w:eastAsia="宋体"/>
          <w:b/>
          <w:sz w:val="32"/>
          <w:szCs w:val="32"/>
          <w:u w:val="single"/>
          <w:lang w:eastAsia="zh-CN"/>
        </w:rPr>
      </w:pPr>
      <w:r>
        <w:rPr>
          <w:rFonts w:hint="eastAsia" w:ascii="宋体" w:hAnsi="宋体"/>
          <w:b/>
          <w:bCs/>
          <w:sz w:val="32"/>
          <w:szCs w:val="32"/>
        </w:rPr>
        <w:t>项目编号：</w:t>
      </w:r>
      <w:r>
        <w:rPr>
          <w:rFonts w:hint="eastAsia" w:ascii="宋体" w:hAnsi="宋体"/>
          <w:b/>
          <w:bCs/>
          <w:sz w:val="32"/>
          <w:szCs w:val="32"/>
          <w:lang w:eastAsia="zh-CN"/>
        </w:rPr>
        <w:t>武侯政采（2022）A0006号</w:t>
      </w:r>
    </w:p>
    <w:p>
      <w:pPr>
        <w:spacing w:line="360" w:lineRule="auto"/>
        <w:rPr>
          <w:rFonts w:ascii="宋体" w:hAnsi="宋体"/>
          <w:b/>
          <w:bCs/>
          <w:sz w:val="32"/>
          <w:szCs w:val="32"/>
        </w:rPr>
      </w:pPr>
    </w:p>
    <w:p>
      <w:pPr>
        <w:spacing w:line="360" w:lineRule="auto"/>
        <w:rPr>
          <w:rFonts w:ascii="宋体" w:hAnsi="宋体"/>
          <w:b/>
          <w:bCs/>
          <w:sz w:val="32"/>
          <w:szCs w:val="32"/>
        </w:rPr>
      </w:pPr>
    </w:p>
    <w:p>
      <w:pPr>
        <w:spacing w:line="360" w:lineRule="auto"/>
        <w:rPr>
          <w:rFonts w:ascii="宋体" w:hAnsi="宋体"/>
          <w:b/>
          <w:bCs/>
          <w:sz w:val="32"/>
          <w:szCs w:val="32"/>
        </w:rPr>
      </w:pPr>
    </w:p>
    <w:p>
      <w:pPr>
        <w:spacing w:line="360" w:lineRule="auto"/>
        <w:ind w:firstLine="630" w:firstLineChars="196"/>
        <w:rPr>
          <w:rFonts w:ascii="宋体" w:hAnsi="宋体"/>
          <w:b/>
          <w:bCs/>
          <w:sz w:val="32"/>
          <w:szCs w:val="32"/>
        </w:rPr>
      </w:pPr>
      <w:r>
        <w:rPr>
          <w:rFonts w:hint="eastAsia" w:ascii="宋体" w:hAnsi="宋体"/>
          <w:b/>
          <w:bCs/>
          <w:sz w:val="32"/>
          <w:szCs w:val="32"/>
        </w:rPr>
        <w:t>投标人名称：XXXX</w:t>
      </w:r>
    </w:p>
    <w:p>
      <w:pPr>
        <w:spacing w:line="360" w:lineRule="auto"/>
        <w:ind w:firstLine="569" w:firstLineChars="177"/>
        <w:rPr>
          <w:rFonts w:ascii="宋体" w:hAnsi="宋体"/>
          <w:b/>
          <w:bCs/>
          <w:sz w:val="32"/>
          <w:szCs w:val="32"/>
        </w:rPr>
      </w:pPr>
      <w:r>
        <w:rPr>
          <w:rFonts w:hint="eastAsia" w:ascii="宋体" w:hAnsi="宋体"/>
          <w:b/>
          <w:bCs/>
          <w:sz w:val="32"/>
          <w:szCs w:val="32"/>
        </w:rPr>
        <w:t>日       期：202X年XX月XX日</w:t>
      </w:r>
    </w:p>
    <w:p>
      <w:pPr>
        <w:spacing w:line="360" w:lineRule="auto"/>
        <w:ind w:firstLine="569" w:firstLineChars="177"/>
        <w:rPr>
          <w:rFonts w:ascii="宋体" w:hAnsi="宋体"/>
          <w:b/>
          <w:bCs/>
          <w:sz w:val="32"/>
          <w:szCs w:val="32"/>
        </w:rPr>
      </w:pPr>
    </w:p>
    <w:p>
      <w:pPr>
        <w:spacing w:line="360" w:lineRule="auto"/>
        <w:ind w:firstLine="569" w:firstLineChars="177"/>
        <w:rPr>
          <w:rFonts w:ascii="宋体" w:hAnsi="宋体"/>
          <w:b/>
          <w:bCs/>
          <w:sz w:val="32"/>
          <w:szCs w:val="32"/>
        </w:rPr>
      </w:pPr>
    </w:p>
    <w:p>
      <w:pPr>
        <w:spacing w:line="360" w:lineRule="auto"/>
        <w:ind w:firstLine="569" w:firstLineChars="177"/>
        <w:rPr>
          <w:rFonts w:ascii="宋体" w:hAnsi="宋体"/>
          <w:b/>
          <w:bCs/>
          <w:sz w:val="32"/>
          <w:szCs w:val="32"/>
        </w:rPr>
      </w:pPr>
    </w:p>
    <w:p>
      <w:pPr>
        <w:keepNext/>
        <w:keepLines/>
        <w:numPr>
          <w:ilvl w:val="1"/>
          <w:numId w:val="3"/>
        </w:numPr>
        <w:spacing w:before="260" w:after="260" w:line="360" w:lineRule="auto"/>
        <w:jc w:val="left"/>
        <w:outlineLvl w:val="1"/>
        <w:rPr>
          <w:rFonts w:ascii="宋体" w:hAnsi="宋体"/>
          <w:b/>
          <w:bCs/>
          <w:sz w:val="24"/>
          <w:szCs w:val="24"/>
        </w:rPr>
      </w:pPr>
      <w:bookmarkStart w:id="117" w:name="_Toc25614"/>
      <w:r>
        <w:rPr>
          <w:rFonts w:hint="eastAsia" w:ascii="宋体" w:hAnsi="宋体"/>
          <w:b/>
          <w:bCs/>
          <w:sz w:val="24"/>
          <w:szCs w:val="24"/>
        </w:rPr>
        <w:t>资格响应文件</w:t>
      </w:r>
      <w:bookmarkEnd w:id="117"/>
    </w:p>
    <w:p>
      <w:pPr>
        <w:keepNext/>
        <w:keepLines/>
        <w:numPr>
          <w:ilvl w:val="2"/>
          <w:numId w:val="3"/>
        </w:numPr>
        <w:spacing w:line="360" w:lineRule="auto"/>
        <w:ind w:left="3119" w:hanging="3119"/>
        <w:outlineLvl w:val="2"/>
        <w:rPr>
          <w:rFonts w:ascii="宋体" w:hAnsi="宋体"/>
          <w:b/>
          <w:bCs/>
          <w:sz w:val="24"/>
          <w:szCs w:val="24"/>
        </w:rPr>
      </w:pPr>
      <w:r>
        <w:rPr>
          <w:rFonts w:hint="eastAsia" w:ascii="宋体" w:hAnsi="宋体"/>
          <w:b/>
          <w:bCs/>
          <w:sz w:val="24"/>
          <w:szCs w:val="24"/>
        </w:rPr>
        <w:t>关于投标人申明的函</w:t>
      </w:r>
    </w:p>
    <w:p>
      <w:pPr>
        <w:spacing w:line="360" w:lineRule="auto"/>
        <w:rPr>
          <w:rFonts w:hint="eastAsia" w:ascii="宋体" w:hAnsi="宋体" w:eastAsia="宋体"/>
          <w:sz w:val="24"/>
          <w:szCs w:val="24"/>
          <w:lang w:eastAsia="zh-CN"/>
        </w:rPr>
      </w:pPr>
      <w:bookmarkStart w:id="118" w:name="_Toc238581782"/>
      <w:bookmarkStart w:id="119" w:name="_Toc119203988"/>
      <w:bookmarkStart w:id="120" w:name="_Toc146903609"/>
      <w:bookmarkStart w:id="121" w:name="_Toc52184753"/>
      <w:bookmarkStart w:id="122" w:name="_Toc119296788"/>
      <w:bookmarkStart w:id="123" w:name="_Toc119295087"/>
      <w:r>
        <w:rPr>
          <w:rFonts w:hint="eastAsia" w:ascii="宋体" w:hAnsi="宋体"/>
          <w:sz w:val="24"/>
          <w:szCs w:val="24"/>
        </w:rPr>
        <w:t>致：</w:t>
      </w:r>
      <w:bookmarkEnd w:id="118"/>
      <w:r>
        <w:rPr>
          <w:rFonts w:hint="eastAsia" w:ascii="宋体" w:hAnsi="宋体"/>
          <w:sz w:val="24"/>
          <w:szCs w:val="24"/>
          <w:lang w:eastAsia="zh-CN"/>
        </w:rPr>
        <w:t>成都市武侯区政府采购中心</w:t>
      </w:r>
    </w:p>
    <w:p>
      <w:pPr>
        <w:spacing w:line="360" w:lineRule="auto"/>
        <w:ind w:firstLine="484" w:firstLineChars="202"/>
        <w:rPr>
          <w:rFonts w:ascii="宋体" w:hAnsi="宋体"/>
          <w:sz w:val="24"/>
          <w:szCs w:val="24"/>
        </w:rPr>
      </w:pPr>
      <w:bookmarkStart w:id="124" w:name="_Toc238581783"/>
      <w:r>
        <w:rPr>
          <w:rFonts w:hint="eastAsia" w:ascii="宋体" w:hAnsi="宋体"/>
          <w:sz w:val="24"/>
          <w:szCs w:val="24"/>
        </w:rPr>
        <w:t>关于我方对</w:t>
      </w:r>
      <w:r>
        <w:rPr>
          <w:rFonts w:hint="eastAsia" w:ascii="宋体" w:hAnsi="宋体"/>
          <w:b/>
          <w:bCs/>
          <w:sz w:val="24"/>
          <w:szCs w:val="24"/>
          <w:u w:val="single"/>
        </w:rPr>
        <w:t>成都市武侯区机关事务中心农副食品，动、植物油制品（第一办公区食材）采购项目</w:t>
      </w:r>
      <w:r>
        <w:rPr>
          <w:rFonts w:hint="eastAsia" w:ascii="宋体" w:hAnsi="宋体"/>
          <w:b/>
          <w:sz w:val="24"/>
          <w:szCs w:val="24"/>
          <w:u w:val="single"/>
        </w:rPr>
        <w:t>（项目编号：</w:t>
      </w:r>
      <w:r>
        <w:rPr>
          <w:rFonts w:hint="eastAsia" w:ascii="宋体" w:hAnsi="宋体"/>
          <w:b/>
          <w:sz w:val="24"/>
          <w:szCs w:val="24"/>
          <w:u w:val="single"/>
          <w:lang w:eastAsia="zh-CN"/>
        </w:rPr>
        <w:t>武侯政采（2022）A0006号</w:t>
      </w:r>
      <w:r>
        <w:rPr>
          <w:rFonts w:hint="eastAsia" w:ascii="宋体" w:hAnsi="宋体"/>
          <w:b/>
          <w:sz w:val="24"/>
          <w:szCs w:val="24"/>
          <w:u w:val="single"/>
        </w:rPr>
        <w:t>）</w:t>
      </w:r>
      <w:r>
        <w:rPr>
          <w:rFonts w:hint="eastAsia" w:ascii="宋体" w:hAnsi="宋体"/>
          <w:sz w:val="24"/>
          <w:szCs w:val="24"/>
        </w:rPr>
        <w:t>的公开招标，提交的下列文件和说明是准确的和真实的。</w:t>
      </w:r>
      <w:bookmarkEnd w:id="124"/>
    </w:p>
    <w:p>
      <w:pPr>
        <w:widowControl/>
        <w:numPr>
          <w:ilvl w:val="2"/>
          <w:numId w:val="30"/>
        </w:numPr>
        <w:spacing w:line="360" w:lineRule="auto"/>
        <w:ind w:left="0" w:firstLine="480" w:firstLineChars="200"/>
        <w:rPr>
          <w:rFonts w:ascii="宋体" w:hAnsi="宋体"/>
          <w:sz w:val="24"/>
          <w:szCs w:val="24"/>
        </w:rPr>
      </w:pPr>
      <w:bookmarkStart w:id="125" w:name="_Toc238581784"/>
      <w:r>
        <w:rPr>
          <w:rFonts w:hint="eastAsia" w:ascii="宋体" w:hAnsi="宋体"/>
          <w:sz w:val="24"/>
          <w:szCs w:val="24"/>
        </w:rPr>
        <w:t>投标人名称及概况：</w:t>
      </w:r>
      <w:bookmarkEnd w:id="119"/>
      <w:bookmarkEnd w:id="120"/>
      <w:bookmarkEnd w:id="121"/>
      <w:bookmarkEnd w:id="122"/>
      <w:bookmarkEnd w:id="123"/>
      <w:bookmarkEnd w:id="125"/>
    </w:p>
    <w:p>
      <w:pPr>
        <w:widowControl/>
        <w:numPr>
          <w:ilvl w:val="0"/>
          <w:numId w:val="31"/>
        </w:numPr>
        <w:spacing w:line="360" w:lineRule="auto"/>
        <w:ind w:left="0" w:firstLine="480" w:firstLineChars="200"/>
        <w:jc w:val="left"/>
        <w:rPr>
          <w:rFonts w:ascii="宋体" w:hAnsi="宋体"/>
          <w:sz w:val="24"/>
          <w:szCs w:val="24"/>
        </w:rPr>
      </w:pPr>
      <w:r>
        <w:rPr>
          <w:rFonts w:hint="eastAsia" w:ascii="宋体" w:hAnsi="宋体"/>
          <w:sz w:val="24"/>
          <w:szCs w:val="24"/>
        </w:rPr>
        <w:t>投标人名称：XXXX</w:t>
      </w:r>
    </w:p>
    <w:p>
      <w:pPr>
        <w:widowControl/>
        <w:numPr>
          <w:ilvl w:val="0"/>
          <w:numId w:val="31"/>
        </w:numPr>
        <w:spacing w:line="360" w:lineRule="auto"/>
        <w:ind w:left="0" w:firstLine="480" w:firstLineChars="200"/>
        <w:jc w:val="left"/>
        <w:rPr>
          <w:rFonts w:ascii="宋体" w:hAnsi="宋体"/>
          <w:sz w:val="24"/>
          <w:szCs w:val="24"/>
        </w:rPr>
      </w:pPr>
      <w:r>
        <w:rPr>
          <w:rFonts w:hint="eastAsia" w:ascii="宋体" w:hAnsi="宋体"/>
          <w:sz w:val="24"/>
          <w:szCs w:val="24"/>
        </w:rPr>
        <w:t>地址：XXXX           邮编：XXXX</w:t>
      </w:r>
    </w:p>
    <w:p>
      <w:pPr>
        <w:spacing w:line="360" w:lineRule="auto"/>
        <w:ind w:firstLine="600" w:firstLineChars="250"/>
        <w:rPr>
          <w:rFonts w:ascii="宋体" w:hAnsi="宋体"/>
          <w:sz w:val="24"/>
          <w:szCs w:val="24"/>
          <w:u w:val="single"/>
        </w:rPr>
      </w:pPr>
      <w:r>
        <w:rPr>
          <w:rFonts w:hint="eastAsia" w:ascii="宋体" w:hAnsi="宋体"/>
          <w:sz w:val="24"/>
          <w:szCs w:val="24"/>
        </w:rPr>
        <w:t>传真/电话：XXXX</w:t>
      </w:r>
    </w:p>
    <w:p>
      <w:pPr>
        <w:widowControl/>
        <w:numPr>
          <w:ilvl w:val="0"/>
          <w:numId w:val="31"/>
        </w:numPr>
        <w:spacing w:line="360" w:lineRule="auto"/>
        <w:ind w:left="0" w:firstLine="480" w:firstLineChars="200"/>
        <w:jc w:val="left"/>
        <w:rPr>
          <w:rFonts w:ascii="宋体" w:hAnsi="宋体"/>
          <w:sz w:val="24"/>
          <w:szCs w:val="24"/>
        </w:rPr>
      </w:pPr>
      <w:r>
        <w:rPr>
          <w:rFonts w:hint="eastAsia" w:ascii="宋体" w:hAnsi="宋体"/>
          <w:sz w:val="24"/>
          <w:szCs w:val="24"/>
        </w:rPr>
        <w:t>成立日期或注册日期：XXXX</w:t>
      </w:r>
    </w:p>
    <w:p>
      <w:pPr>
        <w:widowControl/>
        <w:numPr>
          <w:ilvl w:val="0"/>
          <w:numId w:val="31"/>
        </w:numPr>
        <w:spacing w:line="360" w:lineRule="auto"/>
        <w:ind w:left="0" w:firstLine="480" w:firstLineChars="200"/>
        <w:jc w:val="left"/>
        <w:rPr>
          <w:rFonts w:ascii="宋体" w:hAnsi="宋体"/>
          <w:sz w:val="24"/>
          <w:szCs w:val="24"/>
          <w:u w:val="single"/>
        </w:rPr>
      </w:pPr>
      <w:r>
        <w:rPr>
          <w:rFonts w:hint="eastAsia" w:ascii="宋体" w:hAnsi="宋体"/>
          <w:sz w:val="24"/>
          <w:szCs w:val="24"/>
        </w:rPr>
        <w:t>法定代表人或主要负责人姓名：XXXX</w:t>
      </w:r>
    </w:p>
    <w:p>
      <w:pPr>
        <w:widowControl/>
        <w:numPr>
          <w:ilvl w:val="2"/>
          <w:numId w:val="30"/>
        </w:numPr>
        <w:tabs>
          <w:tab w:val="left" w:pos="1276"/>
        </w:tabs>
        <w:spacing w:line="360" w:lineRule="auto"/>
        <w:ind w:left="0" w:firstLine="567"/>
        <w:rPr>
          <w:rFonts w:ascii="宋体" w:hAnsi="宋体"/>
          <w:sz w:val="24"/>
          <w:szCs w:val="24"/>
        </w:rPr>
      </w:pPr>
      <w:r>
        <w:rPr>
          <w:rFonts w:hint="eastAsia" w:ascii="宋体" w:hAnsi="宋体"/>
          <w:sz w:val="24"/>
          <w:szCs w:val="24"/>
        </w:rPr>
        <w:t>开户银行名称：XXXX</w:t>
      </w:r>
    </w:p>
    <w:p>
      <w:pPr>
        <w:spacing w:line="360" w:lineRule="auto"/>
        <w:ind w:firstLine="1080" w:firstLineChars="450"/>
        <w:rPr>
          <w:rFonts w:ascii="宋体" w:hAnsi="宋体"/>
          <w:sz w:val="24"/>
          <w:szCs w:val="24"/>
          <w:u w:val="single"/>
        </w:rPr>
      </w:pPr>
      <w:r>
        <w:rPr>
          <w:rFonts w:hint="eastAsia" w:ascii="宋体" w:hAnsi="宋体"/>
          <w:sz w:val="24"/>
          <w:szCs w:val="24"/>
        </w:rPr>
        <w:t>地址：XXXX</w:t>
      </w:r>
    </w:p>
    <w:p>
      <w:pPr>
        <w:spacing w:line="360" w:lineRule="auto"/>
        <w:ind w:firstLine="1080" w:firstLineChars="450"/>
        <w:rPr>
          <w:rFonts w:ascii="宋体" w:hAnsi="宋体"/>
          <w:sz w:val="24"/>
          <w:szCs w:val="24"/>
        </w:rPr>
      </w:pPr>
      <w:r>
        <w:rPr>
          <w:rFonts w:hint="eastAsia" w:ascii="宋体" w:hAnsi="宋体"/>
          <w:sz w:val="24"/>
          <w:szCs w:val="24"/>
        </w:rPr>
        <w:t>账号：XXXX</w:t>
      </w:r>
    </w:p>
    <w:p>
      <w:pPr>
        <w:spacing w:line="360" w:lineRule="auto"/>
        <w:ind w:left="560"/>
        <w:rPr>
          <w:rFonts w:ascii="宋体" w:hAnsi="宋体"/>
          <w:sz w:val="24"/>
          <w:szCs w:val="24"/>
        </w:rPr>
      </w:pPr>
    </w:p>
    <w:p>
      <w:pPr>
        <w:spacing w:line="360" w:lineRule="auto"/>
        <w:ind w:left="560"/>
        <w:rPr>
          <w:rFonts w:ascii="宋体" w:hAnsi="宋体"/>
          <w:sz w:val="24"/>
          <w:szCs w:val="24"/>
        </w:rPr>
      </w:pPr>
    </w:p>
    <w:p>
      <w:pPr>
        <w:spacing w:line="360" w:lineRule="auto"/>
        <w:ind w:left="560"/>
        <w:rPr>
          <w:rFonts w:ascii="宋体" w:hAnsi="宋体"/>
          <w:sz w:val="24"/>
          <w:szCs w:val="24"/>
        </w:rPr>
      </w:pPr>
    </w:p>
    <w:p>
      <w:pPr>
        <w:spacing w:line="360" w:lineRule="auto"/>
        <w:ind w:left="560"/>
        <w:rPr>
          <w:rFonts w:ascii="宋体" w:hAnsi="宋体"/>
          <w:sz w:val="24"/>
          <w:szCs w:val="24"/>
        </w:rPr>
      </w:pPr>
    </w:p>
    <w:p>
      <w:pPr>
        <w:spacing w:line="360" w:lineRule="auto"/>
        <w:ind w:left="560"/>
        <w:rPr>
          <w:rFonts w:ascii="宋体" w:hAnsi="宋体"/>
          <w:sz w:val="24"/>
          <w:szCs w:val="24"/>
        </w:rPr>
      </w:pPr>
    </w:p>
    <w:p>
      <w:pPr>
        <w:spacing w:line="360" w:lineRule="auto"/>
        <w:ind w:left="560"/>
        <w:rPr>
          <w:rFonts w:ascii="宋体" w:hAnsi="宋体"/>
          <w:sz w:val="24"/>
          <w:szCs w:val="24"/>
        </w:rPr>
      </w:pPr>
    </w:p>
    <w:p>
      <w:pPr>
        <w:spacing w:line="360" w:lineRule="auto"/>
        <w:ind w:firstLine="480" w:firstLineChars="200"/>
        <w:rPr>
          <w:rFonts w:ascii="宋体" w:hAnsi="宋体"/>
          <w:sz w:val="24"/>
          <w:szCs w:val="24"/>
        </w:rPr>
      </w:pPr>
      <w:r>
        <w:rPr>
          <w:rFonts w:hint="eastAsia" w:ascii="宋体" w:hAnsi="宋体"/>
          <w:sz w:val="24"/>
          <w:szCs w:val="24"/>
        </w:rPr>
        <w:t>投标人名称：</w:t>
      </w:r>
      <w:r>
        <w:rPr>
          <w:rFonts w:hint="eastAsia" w:ascii="宋体" w:hAnsi="宋体"/>
          <w:sz w:val="24"/>
          <w:szCs w:val="24"/>
          <w:u w:val="single"/>
        </w:rPr>
        <w:t>XXXX</w:t>
      </w:r>
    </w:p>
    <w:p>
      <w:pPr>
        <w:spacing w:line="360" w:lineRule="auto"/>
        <w:ind w:left="283" w:leftChars="135" w:firstLine="240" w:firstLineChars="100"/>
        <w:rPr>
          <w:rFonts w:hint="eastAsia" w:ascii="宋体" w:hAnsi="宋体"/>
          <w:bCs/>
          <w:sz w:val="24"/>
          <w:szCs w:val="21"/>
        </w:rPr>
      </w:pPr>
      <w:r>
        <w:rPr>
          <w:rFonts w:hint="eastAsia" w:ascii="宋体" w:hAnsi="宋体"/>
          <w:bCs/>
          <w:sz w:val="24"/>
          <w:szCs w:val="24"/>
        </w:rPr>
        <w:t>日    期：</w:t>
      </w:r>
      <w:r>
        <w:rPr>
          <w:rFonts w:hint="eastAsia" w:ascii="宋体" w:hAnsi="宋体"/>
          <w:bCs/>
          <w:sz w:val="24"/>
          <w:szCs w:val="21"/>
        </w:rPr>
        <w:t>202</w:t>
      </w:r>
      <w:r>
        <w:rPr>
          <w:rFonts w:hint="eastAsia" w:ascii="宋体" w:hAnsi="宋体"/>
          <w:bCs/>
          <w:sz w:val="24"/>
          <w:szCs w:val="21"/>
          <w:u w:val="single"/>
        </w:rPr>
        <w:t>X</w:t>
      </w:r>
      <w:r>
        <w:rPr>
          <w:rFonts w:hint="eastAsia" w:ascii="宋体" w:hAnsi="宋体"/>
          <w:bCs/>
          <w:sz w:val="24"/>
          <w:szCs w:val="21"/>
        </w:rPr>
        <w:t>年</w:t>
      </w:r>
      <w:r>
        <w:rPr>
          <w:rFonts w:hint="eastAsia" w:ascii="宋体" w:hAnsi="宋体"/>
          <w:bCs/>
          <w:sz w:val="24"/>
          <w:szCs w:val="21"/>
          <w:u w:val="single"/>
        </w:rPr>
        <w:t>XX</w:t>
      </w:r>
      <w:r>
        <w:rPr>
          <w:rFonts w:hint="eastAsia" w:ascii="宋体" w:hAnsi="宋体"/>
          <w:bCs/>
          <w:sz w:val="24"/>
          <w:szCs w:val="21"/>
        </w:rPr>
        <w:t>月</w:t>
      </w:r>
      <w:r>
        <w:rPr>
          <w:rFonts w:hint="eastAsia" w:ascii="宋体" w:hAnsi="宋体"/>
          <w:bCs/>
          <w:sz w:val="24"/>
          <w:szCs w:val="21"/>
          <w:u w:val="single"/>
        </w:rPr>
        <w:t>XX</w:t>
      </w:r>
      <w:r>
        <w:rPr>
          <w:rFonts w:hint="eastAsia" w:ascii="宋体" w:hAnsi="宋体"/>
          <w:bCs/>
          <w:sz w:val="24"/>
          <w:szCs w:val="21"/>
        </w:rPr>
        <w:t>日</w:t>
      </w:r>
    </w:p>
    <w:p>
      <w:pPr>
        <w:rPr>
          <w:rFonts w:hint="eastAsia" w:ascii="宋体" w:hAnsi="宋体"/>
          <w:bCs/>
          <w:sz w:val="24"/>
          <w:szCs w:val="21"/>
        </w:rPr>
      </w:pPr>
      <w:r>
        <w:rPr>
          <w:rFonts w:hint="eastAsia" w:ascii="宋体" w:hAnsi="宋体"/>
          <w:bCs/>
          <w:sz w:val="24"/>
          <w:szCs w:val="21"/>
        </w:rPr>
        <w:br w:type="page"/>
      </w:r>
    </w:p>
    <w:p>
      <w:pPr>
        <w:keepNext/>
        <w:keepLines/>
        <w:numPr>
          <w:ilvl w:val="2"/>
          <w:numId w:val="3"/>
        </w:numPr>
        <w:spacing w:line="360" w:lineRule="auto"/>
        <w:ind w:left="0" w:firstLine="0"/>
        <w:outlineLvl w:val="2"/>
        <w:rPr>
          <w:rFonts w:ascii="宋体" w:hAnsi="宋体"/>
          <w:b/>
          <w:bCs/>
          <w:sz w:val="28"/>
          <w:szCs w:val="28"/>
        </w:rPr>
      </w:pPr>
      <w:r>
        <w:rPr>
          <w:rFonts w:hint="eastAsia" w:ascii="宋体" w:hAnsi="宋体"/>
          <w:b/>
          <w:bCs/>
          <w:sz w:val="28"/>
          <w:szCs w:val="28"/>
        </w:rPr>
        <w:t>声明</w:t>
      </w:r>
    </w:p>
    <w:p>
      <w:pPr>
        <w:tabs>
          <w:tab w:val="left" w:pos="1260"/>
        </w:tabs>
        <w:spacing w:line="560" w:lineRule="exact"/>
        <w:ind w:firstLine="480" w:firstLineChars="200"/>
        <w:rPr>
          <w:rFonts w:hint="eastAsia" w:ascii="宋体" w:hAnsi="宋体" w:eastAsia="宋体"/>
          <w:sz w:val="24"/>
          <w:szCs w:val="24"/>
          <w:lang w:eastAsia="zh-CN"/>
        </w:rPr>
      </w:pPr>
      <w:r>
        <w:rPr>
          <w:rFonts w:hint="eastAsia" w:ascii="宋体" w:hAnsi="宋体"/>
          <w:sz w:val="24"/>
          <w:szCs w:val="24"/>
        </w:rPr>
        <w:t>致：</w:t>
      </w:r>
      <w:r>
        <w:rPr>
          <w:rFonts w:hint="eastAsia" w:ascii="宋体" w:hAnsi="宋体"/>
          <w:sz w:val="24"/>
          <w:szCs w:val="24"/>
          <w:lang w:eastAsia="zh-CN"/>
        </w:rPr>
        <w:t>成都市武侯区政府采购中心</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我单位作为</w:t>
      </w:r>
      <w:r>
        <w:rPr>
          <w:rFonts w:hint="eastAsia" w:ascii="宋体" w:hAnsi="宋体"/>
          <w:b/>
          <w:bCs/>
          <w:sz w:val="24"/>
          <w:szCs w:val="24"/>
          <w:u w:val="single"/>
        </w:rPr>
        <w:t>成都市武侯区机关事务中心农副食品，动、植物油制品（第一办公区食材）采购项目</w:t>
      </w:r>
      <w:r>
        <w:rPr>
          <w:rFonts w:hint="eastAsia" w:ascii="宋体" w:hAnsi="宋体"/>
          <w:b/>
          <w:sz w:val="24"/>
          <w:szCs w:val="24"/>
          <w:u w:val="single"/>
        </w:rPr>
        <w:t>（项目编号：</w:t>
      </w:r>
      <w:r>
        <w:rPr>
          <w:rFonts w:hint="eastAsia" w:ascii="宋体" w:hAnsi="宋体"/>
          <w:b/>
          <w:sz w:val="24"/>
          <w:szCs w:val="24"/>
          <w:u w:val="single"/>
          <w:lang w:eastAsia="zh-CN"/>
        </w:rPr>
        <w:t>武侯政采（2022）A0006号</w:t>
      </w:r>
      <w:r>
        <w:rPr>
          <w:rFonts w:hint="eastAsia" w:ascii="宋体" w:hAnsi="宋体"/>
          <w:b/>
          <w:sz w:val="24"/>
          <w:szCs w:val="24"/>
          <w:u w:val="single"/>
        </w:rPr>
        <w:t>）</w:t>
      </w:r>
      <w:r>
        <w:rPr>
          <w:rFonts w:hint="eastAsia" w:ascii="宋体" w:hAnsi="宋体"/>
          <w:sz w:val="24"/>
          <w:szCs w:val="24"/>
        </w:rPr>
        <w:t>的投标人，在此郑重声明：</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一、我单位参加政府采购活动前三年内，在经营活动中</w:t>
      </w:r>
      <w:r>
        <w:rPr>
          <w:rFonts w:hint="eastAsia" w:ascii="宋体" w:hAnsi="宋体"/>
          <w:b/>
          <w:sz w:val="24"/>
          <w:szCs w:val="24"/>
          <w:u w:val="single"/>
        </w:rPr>
        <w:t>（说明：填写“没有”或“有”）</w:t>
      </w:r>
      <w:r>
        <w:rPr>
          <w:rFonts w:hint="eastAsia" w:ascii="宋体" w:hAnsi="宋体"/>
          <w:sz w:val="24"/>
          <w:szCs w:val="24"/>
        </w:rPr>
        <w:t>重大违法记录。</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二、我单位</w:t>
      </w:r>
      <w:r>
        <w:rPr>
          <w:rFonts w:hint="eastAsia" w:ascii="宋体" w:hAnsi="宋体"/>
          <w:b/>
          <w:sz w:val="24"/>
          <w:szCs w:val="24"/>
          <w:u w:val="single"/>
        </w:rPr>
        <w:t>（说明：填写“具有”或“不具有”）</w:t>
      </w:r>
      <w:r>
        <w:rPr>
          <w:rFonts w:hint="eastAsia" w:ascii="宋体" w:hAnsi="宋体"/>
          <w:sz w:val="24"/>
          <w:szCs w:val="24"/>
        </w:rPr>
        <w:t>良好的商业信誉。</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三、与我单位负责人为同一人或者存在直接控股、管理关系的不同供应商：</w:t>
      </w:r>
      <w:r>
        <w:rPr>
          <w:rFonts w:hint="eastAsia" w:ascii="宋体" w:hAnsi="宋体"/>
          <w:b/>
          <w:sz w:val="24"/>
          <w:szCs w:val="24"/>
          <w:u w:val="single"/>
        </w:rPr>
        <w:t>（说明：填写“无”或“（一）供应商名称１；（二）供应商名称２；（三）……”）</w:t>
      </w:r>
      <w:r>
        <w:rPr>
          <w:rFonts w:hint="eastAsia" w:ascii="宋体" w:hAnsi="宋体"/>
          <w:b/>
          <w:sz w:val="24"/>
          <w:szCs w:val="24"/>
        </w:rPr>
        <w:t xml:space="preserve"> </w:t>
      </w:r>
      <w:r>
        <w:rPr>
          <w:rFonts w:hint="eastAsia" w:ascii="宋体" w:hAnsi="宋体"/>
          <w:sz w:val="24"/>
          <w:szCs w:val="24"/>
        </w:rPr>
        <w:t>。</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四、在行贿犯罪信息查询期限内，我单位及我单位现任法定代表人、主要负责人</w:t>
      </w:r>
      <w:r>
        <w:rPr>
          <w:rFonts w:hint="eastAsia" w:ascii="宋体" w:hAnsi="宋体"/>
          <w:b/>
          <w:sz w:val="24"/>
          <w:szCs w:val="24"/>
          <w:u w:val="single"/>
        </w:rPr>
        <w:t>（说明：填写“没有”或“有”）</w:t>
      </w:r>
      <w:r>
        <w:rPr>
          <w:rFonts w:hint="eastAsia" w:ascii="宋体" w:hAnsi="宋体"/>
          <w:sz w:val="24"/>
          <w:szCs w:val="24"/>
        </w:rPr>
        <w:t>行贿犯罪记录。</w:t>
      </w:r>
    </w:p>
    <w:p>
      <w:pPr>
        <w:tabs>
          <w:tab w:val="left" w:pos="1260"/>
        </w:tabs>
        <w:spacing w:line="360" w:lineRule="auto"/>
        <w:ind w:firstLine="480" w:firstLineChars="200"/>
        <w:rPr>
          <w:rFonts w:ascii="宋体" w:hAnsi="宋体"/>
          <w:sz w:val="24"/>
          <w:szCs w:val="24"/>
        </w:rPr>
      </w:pPr>
      <w:r>
        <w:rPr>
          <w:rFonts w:hint="eastAsia" w:ascii="宋体" w:hAnsi="宋体"/>
          <w:sz w:val="24"/>
          <w:szCs w:val="24"/>
        </w:rPr>
        <w:t>五、我单位</w:t>
      </w:r>
      <w:r>
        <w:rPr>
          <w:rFonts w:hint="eastAsia" w:ascii="宋体" w:hAnsi="宋体"/>
          <w:b/>
          <w:sz w:val="24"/>
          <w:szCs w:val="24"/>
          <w:u w:val="single"/>
        </w:rPr>
        <w:t>（说明：填写“未列入”或“被列入”）</w:t>
      </w:r>
      <w:r>
        <w:rPr>
          <w:rFonts w:hint="eastAsia" w:ascii="宋体" w:hAnsi="宋体"/>
          <w:sz w:val="24"/>
          <w:szCs w:val="24"/>
        </w:rPr>
        <w:t>失信被执行人、重大税收违法案件当事人名单。</w:t>
      </w:r>
    </w:p>
    <w:p>
      <w:pPr>
        <w:tabs>
          <w:tab w:val="left" w:pos="1260"/>
        </w:tabs>
        <w:spacing w:line="360" w:lineRule="auto"/>
        <w:ind w:firstLine="480" w:firstLineChars="200"/>
        <w:rPr>
          <w:rFonts w:ascii="宋体" w:hAnsi="宋体"/>
          <w:sz w:val="24"/>
          <w:szCs w:val="24"/>
        </w:rPr>
      </w:pPr>
      <w:r>
        <w:rPr>
          <w:rFonts w:hint="eastAsia" w:ascii="宋体" w:hAnsi="宋体"/>
          <w:sz w:val="24"/>
          <w:szCs w:val="24"/>
        </w:rPr>
        <w:t>我单位</w:t>
      </w:r>
      <w:r>
        <w:rPr>
          <w:rFonts w:hint="eastAsia" w:ascii="宋体" w:hAnsi="宋体"/>
          <w:b/>
          <w:sz w:val="24"/>
          <w:szCs w:val="24"/>
          <w:u w:val="single"/>
        </w:rPr>
        <w:t>（说明：填写“未列入”或“被列入”）</w:t>
      </w:r>
      <w:r>
        <w:rPr>
          <w:rFonts w:hint="eastAsia" w:ascii="宋体" w:hAnsi="宋体"/>
          <w:sz w:val="24"/>
          <w:szCs w:val="24"/>
        </w:rPr>
        <w:t>政府采购严重违法失信行为记录名单。</w:t>
      </w:r>
    </w:p>
    <w:p>
      <w:pPr>
        <w:tabs>
          <w:tab w:val="left" w:pos="1260"/>
        </w:tabs>
        <w:spacing w:line="360" w:lineRule="auto"/>
        <w:ind w:firstLine="480" w:firstLineChars="200"/>
        <w:rPr>
          <w:rFonts w:ascii="宋体" w:hAnsi="宋体"/>
          <w:bCs/>
          <w:sz w:val="24"/>
          <w:szCs w:val="24"/>
        </w:rPr>
      </w:pPr>
      <w:r>
        <w:rPr>
          <w:rFonts w:hint="eastAsia" w:ascii="宋体" w:hAnsi="宋体"/>
          <w:sz w:val="24"/>
          <w:szCs w:val="24"/>
        </w:rPr>
        <w:t>六、我单位</w:t>
      </w:r>
      <w:r>
        <w:rPr>
          <w:rFonts w:hint="eastAsia" w:ascii="宋体" w:hAnsi="宋体"/>
          <w:b/>
          <w:sz w:val="24"/>
          <w:szCs w:val="24"/>
          <w:u w:val="single"/>
        </w:rPr>
        <w:t>（说明：填写“未处于”或“处于”）</w:t>
      </w:r>
      <w:r>
        <w:rPr>
          <w:rFonts w:hint="eastAsia" w:ascii="宋体" w:hAnsi="宋体"/>
          <w:bCs/>
          <w:sz w:val="24"/>
          <w:szCs w:val="24"/>
        </w:rPr>
        <w:t>被行政部门禁止参与政府采购活动的期限内。</w:t>
      </w:r>
    </w:p>
    <w:p>
      <w:pPr>
        <w:tabs>
          <w:tab w:val="left" w:pos="1260"/>
        </w:tabs>
        <w:spacing w:line="360" w:lineRule="auto"/>
        <w:ind w:firstLine="480" w:firstLineChars="200"/>
        <w:rPr>
          <w:rFonts w:ascii="宋体" w:hAnsi="宋体"/>
          <w:sz w:val="24"/>
          <w:szCs w:val="21"/>
        </w:rPr>
      </w:pPr>
      <w:r>
        <w:rPr>
          <w:rFonts w:hint="eastAsia" w:ascii="宋体" w:hAnsi="宋体"/>
          <w:sz w:val="24"/>
          <w:szCs w:val="21"/>
        </w:rPr>
        <w:t>七</w:t>
      </w:r>
      <w:r>
        <w:rPr>
          <w:rFonts w:ascii="宋体" w:hAnsi="宋体"/>
          <w:sz w:val="24"/>
          <w:szCs w:val="21"/>
        </w:rPr>
        <w:t>、</w:t>
      </w:r>
      <w:r>
        <w:rPr>
          <w:rFonts w:hint="eastAsia" w:ascii="宋体" w:hAnsi="宋体"/>
          <w:sz w:val="24"/>
          <w:szCs w:val="21"/>
        </w:rPr>
        <w:t>我单位</w:t>
      </w:r>
      <w:r>
        <w:rPr>
          <w:rFonts w:hint="eastAsia" w:ascii="宋体" w:hAnsi="宋体"/>
          <w:b/>
          <w:sz w:val="24"/>
          <w:szCs w:val="21"/>
          <w:u w:val="single"/>
        </w:rPr>
        <w:t>（说明：填写“具有”或“不具有”）</w:t>
      </w:r>
      <w:r>
        <w:rPr>
          <w:rFonts w:hint="eastAsia" w:ascii="宋体" w:hAnsi="宋体"/>
          <w:sz w:val="24"/>
          <w:szCs w:val="21"/>
        </w:rPr>
        <w:t>健全的</w:t>
      </w:r>
      <w:r>
        <w:rPr>
          <w:rFonts w:ascii="宋体" w:hAnsi="宋体"/>
          <w:sz w:val="24"/>
          <w:szCs w:val="21"/>
        </w:rPr>
        <w:t>财务会计制度</w:t>
      </w:r>
      <w:r>
        <w:rPr>
          <w:rFonts w:hint="eastAsia" w:ascii="宋体" w:hAnsi="宋体"/>
          <w:sz w:val="24"/>
          <w:szCs w:val="21"/>
        </w:rPr>
        <w:t>。</w:t>
      </w:r>
    </w:p>
    <w:p>
      <w:pPr>
        <w:pStyle w:val="17"/>
        <w:ind w:firstLine="480" w:firstLineChars="200"/>
        <w:rPr>
          <w:rFonts w:ascii="宋体" w:hAnsi="宋体"/>
          <w:bCs/>
          <w:sz w:val="24"/>
          <w:szCs w:val="24"/>
        </w:rPr>
      </w:pPr>
      <w:r>
        <w:rPr>
          <w:rFonts w:hint="eastAsia" w:ascii="宋体" w:hAnsi="宋体"/>
          <w:bCs/>
          <w:sz w:val="24"/>
          <w:szCs w:val="24"/>
        </w:rPr>
        <w:t>八</w:t>
      </w:r>
      <w:r>
        <w:rPr>
          <w:rFonts w:ascii="宋体" w:hAnsi="宋体"/>
          <w:bCs/>
          <w:sz w:val="24"/>
          <w:szCs w:val="24"/>
        </w:rPr>
        <w:t>、</w:t>
      </w:r>
      <w:r>
        <w:rPr>
          <w:rFonts w:hint="eastAsia" w:ascii="宋体" w:hAnsi="宋体"/>
          <w:bCs/>
          <w:sz w:val="24"/>
          <w:szCs w:val="24"/>
        </w:rPr>
        <w:t>我单位</w:t>
      </w:r>
      <w:r>
        <w:rPr>
          <w:rFonts w:hint="eastAsia" w:ascii="宋体" w:hAnsi="宋体"/>
          <w:b/>
          <w:bCs/>
          <w:sz w:val="24"/>
          <w:szCs w:val="24"/>
          <w:u w:val="single"/>
        </w:rPr>
        <w:t>（说明：填写“有”或“无”）</w:t>
      </w:r>
      <w:r>
        <w:rPr>
          <w:rFonts w:hint="eastAsia" w:ascii="宋体" w:hAnsi="宋体"/>
          <w:bCs/>
          <w:sz w:val="24"/>
          <w:szCs w:val="24"/>
        </w:rPr>
        <w:t>依法缴纳社会</w:t>
      </w:r>
      <w:r>
        <w:rPr>
          <w:rFonts w:ascii="宋体" w:hAnsi="宋体"/>
          <w:bCs/>
          <w:sz w:val="24"/>
          <w:szCs w:val="24"/>
        </w:rPr>
        <w:t>保障资金的良好记录。</w:t>
      </w:r>
    </w:p>
    <w:p>
      <w:pPr>
        <w:pStyle w:val="17"/>
        <w:ind w:firstLine="420"/>
        <w:rPr>
          <w:sz w:val="20"/>
          <w:szCs w:val="21"/>
        </w:rPr>
      </w:pPr>
      <w:r>
        <w:rPr>
          <w:rFonts w:hint="eastAsia" w:ascii="宋体" w:hAnsi="宋体"/>
          <w:bCs/>
          <w:sz w:val="24"/>
          <w:szCs w:val="24"/>
        </w:rPr>
        <w:t>九</w:t>
      </w:r>
      <w:r>
        <w:rPr>
          <w:rFonts w:ascii="宋体" w:hAnsi="宋体"/>
          <w:bCs/>
          <w:sz w:val="24"/>
          <w:szCs w:val="24"/>
        </w:rPr>
        <w:t>、我单位</w:t>
      </w:r>
      <w:r>
        <w:rPr>
          <w:rFonts w:hint="eastAsia" w:ascii="宋体" w:hAnsi="宋体"/>
          <w:b/>
          <w:bCs/>
          <w:sz w:val="24"/>
          <w:szCs w:val="24"/>
          <w:u w:val="single"/>
        </w:rPr>
        <w:t>（说明：填写“有”或“无”）</w:t>
      </w:r>
      <w:r>
        <w:rPr>
          <w:rFonts w:hint="eastAsia" w:ascii="宋体" w:hAnsi="宋体"/>
          <w:bCs/>
          <w:sz w:val="24"/>
          <w:szCs w:val="24"/>
        </w:rPr>
        <w:t>依法缴纳税收</w:t>
      </w:r>
      <w:r>
        <w:rPr>
          <w:rFonts w:ascii="宋体" w:hAnsi="宋体"/>
          <w:bCs/>
          <w:sz w:val="24"/>
          <w:szCs w:val="24"/>
        </w:rPr>
        <w:t>的良好记录。</w:t>
      </w:r>
    </w:p>
    <w:p>
      <w:pPr>
        <w:tabs>
          <w:tab w:val="left" w:pos="1260"/>
        </w:tabs>
        <w:spacing w:line="360" w:lineRule="auto"/>
        <w:ind w:firstLine="480" w:firstLineChars="200"/>
        <w:rPr>
          <w:rFonts w:ascii="宋体" w:hAnsi="宋体"/>
          <w:sz w:val="24"/>
          <w:szCs w:val="24"/>
        </w:rPr>
      </w:pPr>
      <w:r>
        <w:rPr>
          <w:rFonts w:hint="eastAsia" w:ascii="宋体" w:hAnsi="宋体"/>
          <w:sz w:val="24"/>
          <w:szCs w:val="24"/>
        </w:rPr>
        <w:t>特此声明。</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投标人名称：</w:t>
      </w:r>
      <w:r>
        <w:rPr>
          <w:rFonts w:hint="eastAsia" w:ascii="宋体" w:hAnsi="宋体"/>
          <w:sz w:val="24"/>
          <w:szCs w:val="24"/>
          <w:u w:val="single"/>
        </w:rPr>
        <w:t>XXXX</w:t>
      </w:r>
    </w:p>
    <w:p>
      <w:pPr>
        <w:tabs>
          <w:tab w:val="left" w:pos="1260"/>
        </w:tabs>
        <w:spacing w:line="560" w:lineRule="exact"/>
        <w:ind w:firstLine="480" w:firstLineChars="200"/>
        <w:rPr>
          <w:rFonts w:ascii="宋体" w:hAnsi="宋体"/>
          <w:sz w:val="24"/>
          <w:szCs w:val="24"/>
          <w:u w:val="single"/>
        </w:rPr>
      </w:pPr>
      <w:r>
        <w:rPr>
          <w:rFonts w:hint="eastAsia" w:ascii="宋体" w:hAnsi="宋体"/>
          <w:sz w:val="24"/>
          <w:szCs w:val="24"/>
        </w:rPr>
        <w:t>日    期：202</w:t>
      </w:r>
      <w:r>
        <w:rPr>
          <w:rFonts w:hint="eastAsia" w:ascii="宋体" w:hAnsi="宋体"/>
          <w:sz w:val="24"/>
          <w:szCs w:val="24"/>
          <w:u w:val="single"/>
        </w:rPr>
        <w:t>X</w:t>
      </w:r>
      <w:r>
        <w:rPr>
          <w:rFonts w:hint="eastAsia" w:ascii="宋体" w:hAnsi="宋体"/>
          <w:sz w:val="24"/>
          <w:szCs w:val="24"/>
        </w:rPr>
        <w:t>年</w:t>
      </w:r>
      <w:r>
        <w:rPr>
          <w:rFonts w:hint="eastAsia" w:ascii="宋体" w:hAnsi="宋体"/>
          <w:sz w:val="24"/>
          <w:szCs w:val="24"/>
          <w:u w:val="single"/>
        </w:rPr>
        <w:t>XX</w:t>
      </w:r>
      <w:r>
        <w:rPr>
          <w:rFonts w:hint="eastAsia" w:ascii="宋体" w:hAnsi="宋体"/>
          <w:sz w:val="24"/>
          <w:szCs w:val="24"/>
        </w:rPr>
        <w:t>月</w:t>
      </w:r>
      <w:r>
        <w:rPr>
          <w:rFonts w:hint="eastAsia" w:ascii="宋体" w:hAnsi="宋体"/>
          <w:sz w:val="24"/>
          <w:szCs w:val="24"/>
          <w:u w:val="single"/>
        </w:rPr>
        <w:t>XX</w:t>
      </w:r>
      <w:r>
        <w:rPr>
          <w:rFonts w:hint="eastAsia" w:ascii="宋体" w:hAnsi="宋体"/>
          <w:sz w:val="24"/>
          <w:szCs w:val="24"/>
        </w:rPr>
        <w:t>日</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说明：</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1.对声明中第一条的说明：如投标人在参加政府采购活动前三年内，在经营活动中有重大违法记录的，应填写“有”，投标人投标文件将被认定为无效；</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2.</w:t>
      </w:r>
      <w:r>
        <w:rPr>
          <w:rFonts w:ascii="宋体" w:hAnsi="宋体"/>
          <w:sz w:val="24"/>
          <w:szCs w:val="24"/>
        </w:rPr>
        <w:t xml:space="preserve"> </w:t>
      </w:r>
      <w:r>
        <w:rPr>
          <w:rFonts w:hint="eastAsia" w:ascii="宋体" w:hAnsi="宋体"/>
          <w:sz w:val="24"/>
          <w:szCs w:val="24"/>
        </w:rPr>
        <w:t>对声明中第三条的说明：单位负责人为同一人或者存在直接控股、管理关系的不同供应商，不得参加同一合同项下的政府采购活动；</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3.对声明中第四条的说明：在行贿犯罪信息查询期限内，投标人根据中国裁判文书网（https://wenshu.court.gov.cn）查询结果，如果投标人及其现任法定代表人、主要负责人有行贿犯罪记录的，投标人应填写“有”，投标人投标文件将被认定为无效；</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4.对声明中第五条的说明：投标人如被列入失信被执行人、重大税收违法案件当事人名单，应填写“被列入”，投标人投标文件将被认定为无效；投标人如被列入政府采购严重违法失信行为记录名单，应填写“被列入”，投标人投标文件将被认定为无效；</w:t>
      </w:r>
    </w:p>
    <w:p>
      <w:pPr>
        <w:tabs>
          <w:tab w:val="left" w:pos="1260"/>
        </w:tabs>
        <w:spacing w:line="560" w:lineRule="exact"/>
        <w:ind w:firstLine="480" w:firstLineChars="200"/>
        <w:rPr>
          <w:rFonts w:ascii="宋体" w:hAnsi="宋体"/>
          <w:sz w:val="24"/>
          <w:szCs w:val="24"/>
        </w:rPr>
      </w:pPr>
      <w:r>
        <w:rPr>
          <w:rFonts w:hint="eastAsia" w:ascii="宋体" w:hAnsi="宋体"/>
          <w:sz w:val="24"/>
          <w:szCs w:val="24"/>
        </w:rPr>
        <w:t>5.对声明中第六条的说明：如投标人处于被行政部门禁止参加政府采购活动期限内的，该声明填“处于”，投标人投标文件将被认定为无效。</w:t>
      </w:r>
    </w:p>
    <w:p>
      <w:pPr>
        <w:spacing w:line="360" w:lineRule="auto"/>
        <w:ind w:firstLine="480" w:firstLineChars="200"/>
        <w:rPr>
          <w:rFonts w:ascii="宋体" w:hAnsi="宋体"/>
          <w:sz w:val="24"/>
          <w:szCs w:val="24"/>
        </w:rPr>
      </w:pPr>
      <w:r>
        <w:rPr>
          <w:rFonts w:hint="eastAsia" w:ascii="宋体" w:hAnsi="宋体"/>
          <w:sz w:val="24"/>
          <w:szCs w:val="24"/>
        </w:rPr>
        <w:t>6.</w:t>
      </w:r>
      <w:r>
        <w:rPr>
          <w:rFonts w:ascii="宋体" w:hAnsi="宋体"/>
          <w:sz w:val="24"/>
          <w:szCs w:val="24"/>
        </w:rPr>
        <w:t>对声明中第七条的说明：</w:t>
      </w:r>
      <w:r>
        <w:rPr>
          <w:rFonts w:hint="eastAsia" w:ascii="宋体" w:hAnsi="宋体"/>
          <w:sz w:val="24"/>
          <w:szCs w:val="24"/>
        </w:rPr>
        <w:t>投标人</w:t>
      </w:r>
      <w:r>
        <w:rPr>
          <w:rFonts w:ascii="宋体" w:hAnsi="宋体"/>
          <w:sz w:val="24"/>
          <w:szCs w:val="24"/>
        </w:rPr>
        <w:t>不具有健全的财务会计制度的，应填写“</w:t>
      </w:r>
      <w:r>
        <w:rPr>
          <w:rFonts w:hint="eastAsia" w:ascii="宋体" w:hAnsi="宋体"/>
          <w:sz w:val="24"/>
          <w:szCs w:val="24"/>
        </w:rPr>
        <w:t>不具有</w:t>
      </w:r>
      <w:r>
        <w:rPr>
          <w:rFonts w:ascii="宋体" w:hAnsi="宋体"/>
          <w:sz w:val="24"/>
          <w:szCs w:val="24"/>
        </w:rPr>
        <w:t>”</w:t>
      </w:r>
      <w:r>
        <w:rPr>
          <w:rFonts w:hint="eastAsia" w:ascii="宋体" w:hAnsi="宋体"/>
          <w:sz w:val="24"/>
          <w:szCs w:val="24"/>
        </w:rPr>
        <w:t>，投标人投标文件将被认定为无效；</w:t>
      </w:r>
    </w:p>
    <w:p>
      <w:pPr>
        <w:spacing w:line="360" w:lineRule="auto"/>
        <w:ind w:firstLine="480" w:firstLineChars="200"/>
        <w:rPr>
          <w:rFonts w:ascii="宋体" w:hAnsi="宋体"/>
          <w:sz w:val="24"/>
          <w:szCs w:val="24"/>
        </w:rPr>
      </w:pPr>
      <w:r>
        <w:rPr>
          <w:rFonts w:ascii="宋体" w:hAnsi="宋体"/>
          <w:sz w:val="24"/>
          <w:szCs w:val="24"/>
        </w:rPr>
        <w:t>7</w:t>
      </w:r>
      <w:r>
        <w:rPr>
          <w:rFonts w:hint="eastAsia" w:ascii="宋体" w:hAnsi="宋体"/>
          <w:sz w:val="24"/>
          <w:szCs w:val="24"/>
        </w:rPr>
        <w:t>.</w:t>
      </w:r>
      <w:r>
        <w:rPr>
          <w:rFonts w:ascii="宋体" w:hAnsi="宋体"/>
          <w:sz w:val="24"/>
          <w:szCs w:val="24"/>
        </w:rPr>
        <w:t>对声明中第八条的说明：如</w:t>
      </w:r>
      <w:r>
        <w:rPr>
          <w:rFonts w:hint="eastAsia" w:ascii="宋体" w:hAnsi="宋体"/>
          <w:sz w:val="24"/>
          <w:szCs w:val="24"/>
        </w:rPr>
        <w:t>投标人无依法缴纳社会</w:t>
      </w:r>
      <w:r>
        <w:rPr>
          <w:rFonts w:ascii="宋体" w:hAnsi="宋体"/>
          <w:sz w:val="24"/>
          <w:szCs w:val="24"/>
        </w:rPr>
        <w:t>保障资金的良好记录</w:t>
      </w:r>
      <w:r>
        <w:rPr>
          <w:rFonts w:hint="eastAsia" w:ascii="宋体" w:hAnsi="宋体"/>
          <w:sz w:val="24"/>
          <w:szCs w:val="24"/>
        </w:rPr>
        <w:t>的，</w:t>
      </w:r>
      <w:r>
        <w:rPr>
          <w:rFonts w:ascii="宋体" w:hAnsi="宋体"/>
          <w:sz w:val="24"/>
          <w:szCs w:val="24"/>
        </w:rPr>
        <w:t>应填写“</w:t>
      </w:r>
      <w:r>
        <w:rPr>
          <w:rFonts w:hint="eastAsia" w:ascii="宋体" w:hAnsi="宋体"/>
          <w:sz w:val="24"/>
          <w:szCs w:val="24"/>
        </w:rPr>
        <w:t>无</w:t>
      </w:r>
      <w:r>
        <w:rPr>
          <w:rFonts w:ascii="宋体" w:hAnsi="宋体"/>
          <w:sz w:val="24"/>
          <w:szCs w:val="24"/>
        </w:rPr>
        <w:t>”</w:t>
      </w:r>
      <w:r>
        <w:rPr>
          <w:rFonts w:hint="eastAsia" w:ascii="宋体" w:hAnsi="宋体"/>
          <w:sz w:val="24"/>
          <w:szCs w:val="24"/>
        </w:rPr>
        <w:t>，投标人投标文件将被认定为</w:t>
      </w:r>
      <w:r>
        <w:rPr>
          <w:rFonts w:ascii="宋体" w:hAnsi="宋体"/>
          <w:sz w:val="24"/>
          <w:szCs w:val="24"/>
        </w:rPr>
        <w:t>无效</w:t>
      </w:r>
      <w:r>
        <w:rPr>
          <w:rFonts w:hint="eastAsia" w:ascii="宋体" w:hAnsi="宋体"/>
          <w:sz w:val="24"/>
          <w:szCs w:val="24"/>
        </w:rPr>
        <w:t>。</w:t>
      </w:r>
    </w:p>
    <w:p>
      <w:pPr>
        <w:tabs>
          <w:tab w:val="left" w:pos="1260"/>
        </w:tabs>
        <w:spacing w:line="560" w:lineRule="exact"/>
        <w:ind w:firstLine="480" w:firstLineChars="200"/>
        <w:rPr>
          <w:rFonts w:ascii="宋体" w:hAnsi="宋体"/>
          <w:sz w:val="20"/>
          <w:szCs w:val="24"/>
        </w:rPr>
      </w:pPr>
      <w:r>
        <w:rPr>
          <w:rFonts w:ascii="宋体" w:hAnsi="宋体"/>
          <w:sz w:val="24"/>
          <w:szCs w:val="24"/>
        </w:rPr>
        <w:t>8</w:t>
      </w:r>
      <w:r>
        <w:rPr>
          <w:rFonts w:hint="eastAsia" w:ascii="宋体" w:hAnsi="宋体"/>
          <w:sz w:val="24"/>
          <w:szCs w:val="24"/>
        </w:rPr>
        <w:t>.</w:t>
      </w:r>
      <w:r>
        <w:rPr>
          <w:rFonts w:ascii="宋体" w:hAnsi="宋体"/>
          <w:sz w:val="24"/>
          <w:szCs w:val="24"/>
        </w:rPr>
        <w:t>对声明中第九条的说明：如</w:t>
      </w:r>
      <w:r>
        <w:rPr>
          <w:rFonts w:hint="eastAsia" w:ascii="宋体" w:hAnsi="宋体"/>
          <w:sz w:val="24"/>
          <w:szCs w:val="24"/>
        </w:rPr>
        <w:t>投标人无依法缴纳税收</w:t>
      </w:r>
      <w:r>
        <w:rPr>
          <w:rFonts w:ascii="宋体" w:hAnsi="宋体"/>
          <w:sz w:val="24"/>
          <w:szCs w:val="24"/>
        </w:rPr>
        <w:t>的良好记录</w:t>
      </w:r>
      <w:r>
        <w:rPr>
          <w:rFonts w:hint="eastAsia" w:ascii="宋体" w:hAnsi="宋体"/>
          <w:sz w:val="24"/>
          <w:szCs w:val="24"/>
        </w:rPr>
        <w:t>的，</w:t>
      </w:r>
      <w:r>
        <w:rPr>
          <w:rFonts w:ascii="宋体" w:hAnsi="宋体"/>
          <w:sz w:val="24"/>
          <w:szCs w:val="24"/>
        </w:rPr>
        <w:t>应填写“</w:t>
      </w:r>
      <w:r>
        <w:rPr>
          <w:rFonts w:hint="eastAsia" w:ascii="宋体" w:hAnsi="宋体"/>
          <w:sz w:val="24"/>
          <w:szCs w:val="24"/>
        </w:rPr>
        <w:t>无</w:t>
      </w:r>
      <w:r>
        <w:rPr>
          <w:rFonts w:ascii="宋体" w:hAnsi="宋体"/>
          <w:sz w:val="24"/>
          <w:szCs w:val="24"/>
        </w:rPr>
        <w:t>”</w:t>
      </w:r>
      <w:r>
        <w:rPr>
          <w:rFonts w:hint="eastAsia" w:ascii="宋体" w:hAnsi="宋体"/>
          <w:sz w:val="24"/>
          <w:szCs w:val="24"/>
        </w:rPr>
        <w:t>，投标人投标文件将被认定为</w:t>
      </w:r>
      <w:r>
        <w:rPr>
          <w:rFonts w:ascii="宋体" w:hAnsi="宋体"/>
          <w:sz w:val="24"/>
          <w:szCs w:val="24"/>
        </w:rPr>
        <w:t>无效</w:t>
      </w:r>
      <w:r>
        <w:rPr>
          <w:rFonts w:hint="eastAsia" w:ascii="宋体" w:hAnsi="宋体"/>
          <w:sz w:val="24"/>
          <w:szCs w:val="24"/>
        </w:rPr>
        <w:t>。</w:t>
      </w:r>
    </w:p>
    <w:p>
      <w:pPr>
        <w:widowControl/>
        <w:jc w:val="left"/>
        <w:rPr>
          <w:rFonts w:ascii="宋体" w:hAnsi="宋体"/>
          <w:b/>
          <w:bCs/>
          <w:sz w:val="28"/>
          <w:szCs w:val="28"/>
        </w:rPr>
      </w:pPr>
      <w:r>
        <w:rPr>
          <w:rFonts w:ascii="宋体" w:hAnsi="宋体"/>
          <w:b/>
          <w:bCs/>
          <w:sz w:val="28"/>
          <w:szCs w:val="28"/>
        </w:rPr>
        <w:br w:type="page"/>
      </w:r>
    </w:p>
    <w:p>
      <w:pPr>
        <w:keepNext/>
        <w:keepLines/>
        <w:numPr>
          <w:ilvl w:val="2"/>
          <w:numId w:val="3"/>
        </w:numPr>
        <w:spacing w:line="360" w:lineRule="auto"/>
        <w:ind w:left="0" w:firstLine="0"/>
        <w:outlineLvl w:val="2"/>
        <w:rPr>
          <w:rFonts w:ascii="宋体" w:hAnsi="宋体"/>
          <w:b/>
          <w:bCs/>
          <w:sz w:val="28"/>
          <w:szCs w:val="28"/>
        </w:rPr>
      </w:pPr>
      <w:r>
        <w:rPr>
          <w:rFonts w:hint="eastAsia" w:ascii="宋体" w:hAnsi="宋体"/>
          <w:b/>
          <w:bCs/>
          <w:sz w:val="28"/>
          <w:szCs w:val="28"/>
        </w:rPr>
        <w:t>投标人应提交的相关资格证明材料</w:t>
      </w:r>
    </w:p>
    <w:p>
      <w:pPr>
        <w:spacing w:line="360" w:lineRule="auto"/>
        <w:ind w:firstLine="480" w:firstLineChars="200"/>
        <w:rPr>
          <w:sz w:val="24"/>
          <w:szCs w:val="24"/>
        </w:rPr>
      </w:pPr>
      <w:r>
        <w:rPr>
          <w:rFonts w:hint="eastAsia"/>
          <w:sz w:val="24"/>
          <w:szCs w:val="24"/>
        </w:rPr>
        <w:t>投标人按招标文件要求，应提供以下相关资格证明材料：</w:t>
      </w:r>
    </w:p>
    <w:p>
      <w:pPr>
        <w:pStyle w:val="80"/>
        <w:numPr>
          <w:ilvl w:val="0"/>
          <w:numId w:val="32"/>
        </w:numPr>
        <w:tabs>
          <w:tab w:val="left" w:pos="1134"/>
        </w:tabs>
        <w:spacing w:before="60" w:line="360" w:lineRule="auto"/>
        <w:ind w:left="0" w:firstLine="567" w:firstLineChars="0"/>
        <w:rPr>
          <w:rFonts w:ascii="宋体" w:hAnsi="宋体"/>
          <w:sz w:val="24"/>
          <w:szCs w:val="24"/>
        </w:rPr>
      </w:pPr>
      <w:r>
        <w:rPr>
          <w:rFonts w:hint="eastAsia" w:ascii="宋体" w:hAnsi="宋体"/>
          <w:sz w:val="24"/>
          <w:szCs w:val="24"/>
        </w:rPr>
        <w:t>营业执照复印件（正本或副本）或法人证书复印件（正本或副本）</w:t>
      </w:r>
      <w:r>
        <w:rPr>
          <w:rFonts w:hint="eastAsia" w:ascii="宋体" w:hAnsi="宋体"/>
          <w:kern w:val="0"/>
          <w:sz w:val="24"/>
          <w:szCs w:val="24"/>
        </w:rPr>
        <w:t>或其他能够证明供应商具有独立承担民事责任能力的相关证明材料复印件；</w:t>
      </w:r>
      <w:r>
        <w:rPr>
          <w:rFonts w:hint="eastAsia" w:ascii="宋体" w:hAnsi="宋体"/>
          <w:sz w:val="24"/>
          <w:szCs w:val="24"/>
        </w:rPr>
        <w:t xml:space="preserve">； </w:t>
      </w:r>
    </w:p>
    <w:p>
      <w:pPr>
        <w:pStyle w:val="80"/>
        <w:numPr>
          <w:ilvl w:val="0"/>
          <w:numId w:val="32"/>
        </w:numPr>
        <w:tabs>
          <w:tab w:val="left" w:pos="1134"/>
        </w:tabs>
        <w:spacing w:before="60" w:line="360" w:lineRule="auto"/>
        <w:ind w:left="0" w:firstLine="567" w:firstLineChars="0"/>
        <w:rPr>
          <w:rFonts w:ascii="宋体" w:hAnsi="宋体"/>
          <w:sz w:val="24"/>
          <w:szCs w:val="24"/>
        </w:rPr>
      </w:pPr>
      <w:r>
        <w:rPr>
          <w:rFonts w:hint="eastAsia"/>
          <w:sz w:val="24"/>
          <w:szCs w:val="24"/>
        </w:rPr>
        <w:t>采购人对投标人履行合同所必须的设备和专业技术能力无其他特殊要求，投标人具有有效的营业执照或法人证书</w:t>
      </w:r>
      <w:r>
        <w:rPr>
          <w:rFonts w:hint="eastAsia"/>
          <w:sz w:val="24"/>
          <w:szCs w:val="24"/>
          <w:lang w:eastAsia="zh-CN"/>
        </w:rPr>
        <w:t>的</w:t>
      </w:r>
      <w:r>
        <w:rPr>
          <w:rFonts w:hint="eastAsia"/>
          <w:sz w:val="24"/>
          <w:szCs w:val="24"/>
        </w:rPr>
        <w:t>可不提供证明材料；</w:t>
      </w:r>
    </w:p>
    <w:p>
      <w:pPr>
        <w:pStyle w:val="80"/>
        <w:numPr>
          <w:ilvl w:val="0"/>
          <w:numId w:val="32"/>
        </w:numPr>
        <w:tabs>
          <w:tab w:val="left" w:pos="1134"/>
        </w:tabs>
        <w:spacing w:before="60" w:line="360" w:lineRule="auto"/>
        <w:ind w:left="0" w:firstLine="567" w:firstLineChars="0"/>
        <w:rPr>
          <w:rFonts w:ascii="宋体" w:hAnsi="宋体" w:eastAsia="宋体"/>
          <w:b/>
          <w:sz w:val="24"/>
          <w:szCs w:val="24"/>
        </w:rPr>
      </w:pPr>
      <w:r>
        <w:rPr>
          <w:rFonts w:hint="eastAsia" w:ascii="宋体" w:hAnsi="宋体"/>
          <w:sz w:val="24"/>
          <w:szCs w:val="24"/>
        </w:rPr>
        <w:t>采购人对法律、行政法规规定的其他条件无其他特殊要求，投标人可不提供证明材料。</w:t>
      </w:r>
    </w:p>
    <w:p>
      <w:pPr>
        <w:pStyle w:val="80"/>
        <w:numPr>
          <w:ilvl w:val="0"/>
          <w:numId w:val="32"/>
        </w:numPr>
        <w:tabs>
          <w:tab w:val="left" w:pos="1134"/>
        </w:tabs>
        <w:spacing w:before="60" w:line="360" w:lineRule="auto"/>
        <w:ind w:left="0" w:firstLine="567" w:firstLineChars="0"/>
        <w:rPr>
          <w:rFonts w:ascii="宋体" w:hAnsi="宋体" w:eastAsia="宋体"/>
          <w:b/>
          <w:sz w:val="24"/>
          <w:szCs w:val="24"/>
        </w:rPr>
      </w:pPr>
      <w:r>
        <w:rPr>
          <w:rFonts w:hint="eastAsia" w:ascii="宋体" w:hAnsi="宋体" w:eastAsia="宋体"/>
          <w:b/>
          <w:sz w:val="24"/>
          <w:szCs w:val="24"/>
        </w:rPr>
        <w:t>投标供应商需具有在有效期内的食品生产许可证或食品经营许可证</w:t>
      </w:r>
      <w:r>
        <w:rPr>
          <w:rFonts w:hint="eastAsia" w:ascii="宋体" w:hAnsi="宋体" w:eastAsia="宋体"/>
          <w:b/>
          <w:sz w:val="24"/>
          <w:szCs w:val="24"/>
          <w:lang w:eastAsia="zh-CN"/>
        </w:rPr>
        <w:t>。</w:t>
      </w:r>
    </w:p>
    <w:p>
      <w:pPr>
        <w:widowControl/>
        <w:jc w:val="left"/>
        <w:rPr>
          <w:rFonts w:ascii="宋体" w:hAnsi="宋体"/>
          <w:b/>
          <w:bCs/>
          <w:sz w:val="28"/>
          <w:szCs w:val="28"/>
        </w:rPr>
      </w:pPr>
      <w:r>
        <w:rPr>
          <w:rFonts w:ascii="宋体" w:hAnsi="宋体"/>
          <w:b/>
          <w:bCs/>
          <w:sz w:val="28"/>
          <w:szCs w:val="28"/>
        </w:rPr>
        <w:br w:type="page"/>
      </w:r>
    </w:p>
    <w:p>
      <w:pPr>
        <w:keepNext/>
        <w:keepLines/>
        <w:numPr>
          <w:ilvl w:val="1"/>
          <w:numId w:val="3"/>
        </w:numPr>
        <w:spacing w:line="360" w:lineRule="auto"/>
        <w:jc w:val="left"/>
        <w:outlineLvl w:val="1"/>
        <w:rPr>
          <w:rFonts w:ascii="宋体" w:hAnsi="宋体"/>
          <w:b/>
          <w:bCs/>
          <w:sz w:val="24"/>
          <w:szCs w:val="24"/>
        </w:rPr>
      </w:pPr>
      <w:bookmarkStart w:id="126" w:name="_Toc229"/>
      <w:r>
        <w:rPr>
          <w:rFonts w:hint="eastAsia" w:ascii="宋体" w:hAnsi="宋体"/>
          <w:b/>
          <w:bCs/>
          <w:sz w:val="24"/>
          <w:szCs w:val="24"/>
        </w:rPr>
        <w:t>商务技术</w:t>
      </w:r>
      <w:r>
        <w:rPr>
          <w:rFonts w:ascii="宋体" w:hAnsi="宋体"/>
          <w:b/>
          <w:bCs/>
          <w:sz w:val="24"/>
          <w:szCs w:val="24"/>
        </w:rPr>
        <w:t>响应文件</w:t>
      </w:r>
      <w:bookmarkEnd w:id="126"/>
    </w:p>
    <w:p>
      <w:pPr>
        <w:keepNext/>
        <w:keepLines/>
        <w:numPr>
          <w:ilvl w:val="2"/>
          <w:numId w:val="3"/>
        </w:numPr>
        <w:spacing w:line="360" w:lineRule="auto"/>
        <w:ind w:left="569" w:hanging="569"/>
        <w:outlineLvl w:val="2"/>
        <w:rPr>
          <w:rFonts w:ascii="宋体" w:hAnsi="宋体"/>
          <w:b/>
          <w:bCs/>
          <w:sz w:val="24"/>
          <w:szCs w:val="24"/>
        </w:rPr>
      </w:pPr>
      <w:r>
        <w:rPr>
          <w:rFonts w:hint="eastAsia" w:ascii="宋体" w:hAnsi="宋体"/>
          <w:b/>
          <w:bCs/>
          <w:sz w:val="24"/>
          <w:szCs w:val="24"/>
        </w:rPr>
        <w:t>投标函</w:t>
      </w:r>
    </w:p>
    <w:p>
      <w:pPr>
        <w:spacing w:line="560" w:lineRule="exact"/>
        <w:rPr>
          <w:rFonts w:ascii="宋体" w:hAnsi="宋体"/>
          <w:bCs/>
          <w:sz w:val="24"/>
          <w:szCs w:val="24"/>
        </w:rPr>
      </w:pPr>
      <w:r>
        <w:rPr>
          <w:rFonts w:hint="eastAsia" w:ascii="宋体" w:hAnsi="宋体"/>
          <w:bCs/>
          <w:sz w:val="24"/>
          <w:szCs w:val="24"/>
          <w:lang w:eastAsia="zh-CN"/>
        </w:rPr>
        <w:t>成都市武侯区政府采购中心</w:t>
      </w:r>
      <w:r>
        <w:rPr>
          <w:rFonts w:hint="eastAsia" w:ascii="宋体" w:hAnsi="宋体"/>
          <w:bCs/>
          <w:sz w:val="24"/>
          <w:szCs w:val="24"/>
        </w:rPr>
        <w:t>：</w:t>
      </w:r>
    </w:p>
    <w:p>
      <w:pPr>
        <w:spacing w:line="560" w:lineRule="exact"/>
        <w:ind w:firstLine="484" w:firstLineChars="202"/>
        <w:rPr>
          <w:rFonts w:ascii="宋体" w:hAnsi="宋体"/>
          <w:bCs/>
          <w:sz w:val="24"/>
          <w:szCs w:val="24"/>
        </w:rPr>
      </w:pPr>
      <w:r>
        <w:rPr>
          <w:rFonts w:hint="eastAsia" w:ascii="宋体" w:hAnsi="宋体"/>
          <w:bCs/>
          <w:sz w:val="24"/>
          <w:szCs w:val="24"/>
        </w:rPr>
        <w:t>我方全面研究了“</w:t>
      </w:r>
      <w:r>
        <w:rPr>
          <w:rFonts w:hint="eastAsia" w:ascii="宋体" w:hAnsi="宋体"/>
          <w:b/>
          <w:bCs w:val="0"/>
          <w:sz w:val="24"/>
          <w:szCs w:val="24"/>
          <w:u w:val="single"/>
        </w:rPr>
        <w:t>成都市武侯区机关事务中心农副食品，动、植物油制品（第一办公区食材）采购项目</w:t>
      </w:r>
      <w:r>
        <w:rPr>
          <w:rFonts w:hint="eastAsia" w:ascii="宋体" w:hAnsi="宋体"/>
          <w:b/>
          <w:bCs/>
          <w:sz w:val="24"/>
          <w:szCs w:val="24"/>
          <w:u w:val="single"/>
        </w:rPr>
        <w:t>”（项目编号：</w:t>
      </w:r>
      <w:r>
        <w:rPr>
          <w:rFonts w:hint="eastAsia" w:ascii="宋体" w:hAnsi="宋体"/>
          <w:b/>
          <w:bCs/>
          <w:sz w:val="24"/>
          <w:szCs w:val="24"/>
          <w:u w:val="single"/>
          <w:lang w:eastAsia="zh-CN"/>
        </w:rPr>
        <w:t>武侯政采（2022）A0006号</w:t>
      </w:r>
      <w:r>
        <w:rPr>
          <w:rFonts w:hint="eastAsia" w:ascii="宋体" w:hAnsi="宋体"/>
          <w:b/>
          <w:bCs/>
          <w:sz w:val="24"/>
          <w:szCs w:val="24"/>
          <w:u w:val="single"/>
        </w:rPr>
        <w:t>）</w:t>
      </w:r>
      <w:r>
        <w:rPr>
          <w:rFonts w:hint="eastAsia" w:ascii="宋体" w:hAnsi="宋体"/>
          <w:bCs/>
          <w:sz w:val="24"/>
          <w:szCs w:val="24"/>
        </w:rPr>
        <w:t>招标文件，决定参加贵单位组织的本项目投标。</w:t>
      </w:r>
    </w:p>
    <w:p>
      <w:pPr>
        <w:numPr>
          <w:ilvl w:val="1"/>
          <w:numId w:val="33"/>
        </w:numPr>
        <w:tabs>
          <w:tab w:val="left" w:pos="1134"/>
        </w:tabs>
        <w:spacing w:line="560" w:lineRule="exact"/>
        <w:ind w:left="0" w:firstLine="567"/>
        <w:rPr>
          <w:rFonts w:ascii="宋体" w:hAnsi="宋体"/>
          <w:sz w:val="24"/>
          <w:szCs w:val="24"/>
        </w:rPr>
      </w:pPr>
      <w:r>
        <w:rPr>
          <w:rFonts w:hint="eastAsia" w:ascii="宋体" w:hAnsi="宋体"/>
          <w:sz w:val="24"/>
          <w:szCs w:val="24"/>
        </w:rPr>
        <w:t>我方自愿按照招标文件规定的各项要求向采购人提供所需货物及服务，</w:t>
      </w:r>
      <w:r>
        <w:rPr>
          <w:rFonts w:hint="eastAsia" w:ascii="宋体" w:hAnsi="宋体"/>
          <w:b/>
          <w:sz w:val="24"/>
          <w:szCs w:val="24"/>
        </w:rPr>
        <w:t>投标报价以《开标一览表》为准</w:t>
      </w:r>
      <w:r>
        <w:rPr>
          <w:rFonts w:hint="eastAsia" w:ascii="宋体" w:hAnsi="宋体"/>
          <w:sz w:val="24"/>
          <w:szCs w:val="24"/>
        </w:rPr>
        <w:t>。</w:t>
      </w:r>
    </w:p>
    <w:p>
      <w:pPr>
        <w:numPr>
          <w:ilvl w:val="1"/>
          <w:numId w:val="33"/>
        </w:numPr>
        <w:tabs>
          <w:tab w:val="left" w:pos="1134"/>
        </w:tabs>
        <w:spacing w:line="560" w:lineRule="exact"/>
        <w:ind w:left="0" w:firstLine="567"/>
        <w:rPr>
          <w:rFonts w:ascii="宋体" w:hAnsi="宋体"/>
          <w:sz w:val="24"/>
          <w:szCs w:val="24"/>
        </w:rPr>
      </w:pPr>
      <w:r>
        <w:rPr>
          <w:rFonts w:hint="eastAsia" w:ascii="宋体" w:hAnsi="宋体"/>
          <w:sz w:val="24"/>
          <w:szCs w:val="24"/>
        </w:rPr>
        <w:t>如果我方中标，我方将严格履行合同规定的责任和义务，否则将承担由此产生的一切责任。</w:t>
      </w:r>
    </w:p>
    <w:p>
      <w:pPr>
        <w:numPr>
          <w:ilvl w:val="1"/>
          <w:numId w:val="33"/>
        </w:numPr>
        <w:tabs>
          <w:tab w:val="left" w:pos="1134"/>
        </w:tabs>
        <w:spacing w:line="560" w:lineRule="exact"/>
        <w:ind w:left="0" w:firstLine="567"/>
        <w:rPr>
          <w:rFonts w:ascii="宋体" w:hAnsi="宋体"/>
          <w:sz w:val="24"/>
          <w:szCs w:val="24"/>
        </w:rPr>
      </w:pPr>
      <w:r>
        <w:rPr>
          <w:rFonts w:hint="eastAsia" w:ascii="宋体" w:hAnsi="宋体"/>
          <w:sz w:val="24"/>
          <w:szCs w:val="24"/>
        </w:rPr>
        <w:t>我方已知晓全部招标文件的内容，包括修改文件（如有）以及全部相关资料和有关附件，并对上述文件均无异议。</w:t>
      </w:r>
    </w:p>
    <w:p>
      <w:pPr>
        <w:numPr>
          <w:ilvl w:val="1"/>
          <w:numId w:val="33"/>
        </w:numPr>
        <w:tabs>
          <w:tab w:val="left" w:pos="1134"/>
        </w:tabs>
        <w:spacing w:line="560" w:lineRule="exact"/>
        <w:ind w:left="0" w:firstLine="567"/>
        <w:rPr>
          <w:rFonts w:ascii="宋体" w:hAnsi="宋体"/>
          <w:sz w:val="24"/>
          <w:szCs w:val="24"/>
        </w:rPr>
      </w:pPr>
      <w:r>
        <w:rPr>
          <w:rFonts w:hint="eastAsia" w:ascii="宋体" w:hAnsi="宋体"/>
          <w:sz w:val="24"/>
          <w:szCs w:val="24"/>
        </w:rPr>
        <w:t>投标有效期为从投标截止之日起120天。</w:t>
      </w:r>
    </w:p>
    <w:p>
      <w:pPr>
        <w:numPr>
          <w:ilvl w:val="1"/>
          <w:numId w:val="33"/>
        </w:numPr>
        <w:tabs>
          <w:tab w:val="left" w:pos="1134"/>
        </w:tabs>
        <w:spacing w:line="560" w:lineRule="exact"/>
        <w:ind w:left="0" w:firstLine="567"/>
        <w:rPr>
          <w:rFonts w:ascii="宋体" w:hAnsi="宋体"/>
          <w:sz w:val="24"/>
          <w:szCs w:val="24"/>
        </w:rPr>
      </w:pPr>
      <w:r>
        <w:rPr>
          <w:rFonts w:hint="eastAsia" w:ascii="宋体" w:hAnsi="宋体"/>
          <w:sz w:val="24"/>
          <w:szCs w:val="24"/>
        </w:rPr>
        <w:t>我方愿意提供贵中心可能另外要求的，与投标有关的文件资料，并保证我方已提供和将要提供的文件资料是真实、准确的，并对此承担一切法律后果。</w:t>
      </w:r>
    </w:p>
    <w:p>
      <w:pPr>
        <w:numPr>
          <w:ilvl w:val="1"/>
          <w:numId w:val="33"/>
        </w:numPr>
        <w:tabs>
          <w:tab w:val="left" w:pos="1134"/>
        </w:tabs>
        <w:spacing w:line="360" w:lineRule="auto"/>
        <w:ind w:left="0" w:firstLine="567"/>
        <w:rPr>
          <w:rFonts w:ascii="宋体" w:hAnsi="宋体"/>
          <w:sz w:val="24"/>
          <w:szCs w:val="24"/>
        </w:rPr>
      </w:pPr>
      <w:r>
        <w:rPr>
          <w:rFonts w:hint="eastAsia" w:ascii="宋体" w:hAnsi="宋体"/>
          <w:sz w:val="24"/>
          <w:szCs w:val="24"/>
        </w:rPr>
        <w:t>我单位联系方式：</w:t>
      </w:r>
      <w:r>
        <w:rPr>
          <w:rFonts w:hint="eastAsia" w:ascii="宋体" w:hAnsi="宋体"/>
          <w:sz w:val="24"/>
          <w:szCs w:val="24"/>
          <w:u w:val="single"/>
        </w:rPr>
        <w:t>XXXX</w:t>
      </w:r>
    </w:p>
    <w:p>
      <w:pPr>
        <w:spacing w:line="360" w:lineRule="auto"/>
        <w:ind w:left="420" w:firstLine="484" w:firstLineChars="202"/>
        <w:rPr>
          <w:rFonts w:ascii="宋体" w:hAnsi="宋体"/>
          <w:sz w:val="24"/>
          <w:szCs w:val="24"/>
          <w:u w:val="single"/>
        </w:rPr>
      </w:pPr>
      <w:r>
        <w:rPr>
          <w:rFonts w:hint="eastAsia" w:ascii="宋体" w:hAnsi="宋体"/>
          <w:sz w:val="24"/>
          <w:szCs w:val="24"/>
        </w:rPr>
        <w:t>地    址：</w:t>
      </w:r>
      <w:r>
        <w:rPr>
          <w:rFonts w:hint="eastAsia" w:ascii="宋体" w:hAnsi="宋体"/>
          <w:sz w:val="24"/>
          <w:szCs w:val="24"/>
          <w:u w:val="single"/>
        </w:rPr>
        <w:t>XXXX</w:t>
      </w:r>
    </w:p>
    <w:p>
      <w:pPr>
        <w:spacing w:line="360" w:lineRule="auto"/>
        <w:ind w:left="420" w:firstLine="484" w:firstLineChars="202"/>
        <w:rPr>
          <w:rFonts w:ascii="宋体" w:hAnsi="宋体"/>
          <w:sz w:val="24"/>
          <w:szCs w:val="24"/>
          <w:u w:val="single"/>
        </w:rPr>
      </w:pPr>
      <w:r>
        <w:rPr>
          <w:rFonts w:hint="eastAsia" w:ascii="宋体" w:hAnsi="宋体"/>
          <w:sz w:val="24"/>
          <w:szCs w:val="24"/>
        </w:rPr>
        <w:t>传    真：</w:t>
      </w:r>
      <w:r>
        <w:rPr>
          <w:rFonts w:hint="eastAsia" w:ascii="宋体" w:hAnsi="宋体"/>
          <w:sz w:val="24"/>
          <w:szCs w:val="24"/>
          <w:u w:val="single"/>
        </w:rPr>
        <w:t>XXXX</w:t>
      </w:r>
    </w:p>
    <w:p>
      <w:pPr>
        <w:spacing w:line="360" w:lineRule="auto"/>
        <w:ind w:left="420" w:firstLine="484" w:firstLineChars="202"/>
        <w:rPr>
          <w:rFonts w:ascii="宋体" w:hAnsi="宋体"/>
          <w:sz w:val="24"/>
          <w:szCs w:val="24"/>
          <w:u w:val="single"/>
        </w:rPr>
      </w:pPr>
      <w:r>
        <w:rPr>
          <w:rFonts w:hint="eastAsia" w:ascii="宋体" w:hAnsi="宋体"/>
          <w:sz w:val="24"/>
          <w:szCs w:val="24"/>
        </w:rPr>
        <w:t>邮政编码：</w:t>
      </w:r>
      <w:r>
        <w:rPr>
          <w:rFonts w:hint="eastAsia" w:ascii="宋体" w:hAnsi="宋体"/>
          <w:sz w:val="24"/>
          <w:szCs w:val="24"/>
          <w:u w:val="single"/>
        </w:rPr>
        <w:t>XXXX</w:t>
      </w:r>
    </w:p>
    <w:p>
      <w:pPr>
        <w:spacing w:after="120" w:line="360" w:lineRule="auto"/>
        <w:ind w:left="420" w:leftChars="200" w:firstLine="480" w:firstLineChars="200"/>
        <w:rPr>
          <w:rFonts w:ascii="宋体" w:hAnsi="宋体"/>
          <w:bCs/>
          <w:sz w:val="24"/>
          <w:szCs w:val="24"/>
        </w:rPr>
      </w:pPr>
      <w:r>
        <w:rPr>
          <w:rFonts w:hint="eastAsia" w:ascii="宋体" w:hAnsi="宋体"/>
          <w:bCs/>
          <w:sz w:val="24"/>
          <w:szCs w:val="24"/>
        </w:rPr>
        <w:t>投标人名称：</w:t>
      </w:r>
      <w:r>
        <w:rPr>
          <w:rFonts w:hint="eastAsia" w:ascii="宋体" w:hAnsi="宋体"/>
          <w:bCs/>
          <w:sz w:val="24"/>
          <w:szCs w:val="24"/>
          <w:u w:val="single"/>
        </w:rPr>
        <w:t>XXXX</w:t>
      </w:r>
    </w:p>
    <w:p>
      <w:pPr>
        <w:spacing w:line="360" w:lineRule="auto"/>
        <w:ind w:left="283" w:leftChars="135" w:firstLine="600" w:firstLineChars="250"/>
        <w:rPr>
          <w:rFonts w:ascii="宋体" w:hAnsi="宋体"/>
          <w:bCs/>
          <w:sz w:val="28"/>
        </w:rPr>
      </w:pPr>
      <w:r>
        <w:rPr>
          <w:rFonts w:hint="eastAsia" w:ascii="宋体" w:hAnsi="宋体"/>
          <w:bCs/>
          <w:sz w:val="24"/>
          <w:szCs w:val="24"/>
        </w:rPr>
        <w:t>日    期：</w:t>
      </w:r>
      <w:r>
        <w:rPr>
          <w:rFonts w:hint="eastAsia" w:ascii="宋体" w:hAnsi="宋体"/>
          <w:bCs/>
          <w:sz w:val="24"/>
          <w:szCs w:val="21"/>
        </w:rPr>
        <w:t>202</w:t>
      </w:r>
      <w:r>
        <w:rPr>
          <w:rFonts w:hint="eastAsia" w:ascii="宋体" w:hAnsi="宋体"/>
          <w:bCs/>
          <w:sz w:val="24"/>
          <w:szCs w:val="21"/>
          <w:u w:val="single"/>
        </w:rPr>
        <w:t>X</w:t>
      </w:r>
      <w:r>
        <w:rPr>
          <w:rFonts w:hint="eastAsia" w:ascii="宋体" w:hAnsi="宋体"/>
          <w:bCs/>
          <w:sz w:val="24"/>
          <w:szCs w:val="21"/>
        </w:rPr>
        <w:t>年</w:t>
      </w:r>
      <w:r>
        <w:rPr>
          <w:rFonts w:hint="eastAsia" w:ascii="宋体" w:hAnsi="宋体"/>
          <w:bCs/>
          <w:sz w:val="24"/>
          <w:szCs w:val="21"/>
          <w:u w:val="single"/>
        </w:rPr>
        <w:t>XX</w:t>
      </w:r>
      <w:r>
        <w:rPr>
          <w:rFonts w:hint="eastAsia" w:ascii="宋体" w:hAnsi="宋体"/>
          <w:bCs/>
          <w:sz w:val="24"/>
          <w:szCs w:val="21"/>
        </w:rPr>
        <w:t>月</w:t>
      </w:r>
      <w:r>
        <w:rPr>
          <w:rFonts w:hint="eastAsia" w:ascii="宋体" w:hAnsi="宋体"/>
          <w:bCs/>
          <w:sz w:val="24"/>
          <w:szCs w:val="21"/>
          <w:u w:val="single"/>
        </w:rPr>
        <w:t>XX</w:t>
      </w:r>
      <w:r>
        <w:rPr>
          <w:rFonts w:hint="eastAsia" w:ascii="宋体" w:hAnsi="宋体"/>
          <w:bCs/>
          <w:sz w:val="24"/>
          <w:szCs w:val="21"/>
        </w:rPr>
        <w:t>日</w:t>
      </w:r>
      <w:bookmarkStart w:id="127" w:name="_Toc314574804"/>
      <w:bookmarkStart w:id="128" w:name="_Toc240367172"/>
      <w:bookmarkStart w:id="129" w:name="_Toc239846734"/>
      <w:bookmarkStart w:id="130" w:name="_Toc265494342"/>
      <w:bookmarkStart w:id="131" w:name="_Toc239849853"/>
      <w:bookmarkStart w:id="132" w:name="_Toc240865266"/>
      <w:bookmarkStart w:id="133" w:name="_Toc237145395"/>
      <w:bookmarkStart w:id="134" w:name="_Toc229802674"/>
      <w:bookmarkStart w:id="135" w:name="_Toc231030275"/>
    </w:p>
    <w:p>
      <w:pPr>
        <w:widowControl/>
        <w:jc w:val="left"/>
        <w:rPr>
          <w:rFonts w:ascii="宋体" w:hAnsi="宋体"/>
          <w:b/>
          <w:bCs/>
          <w:sz w:val="28"/>
          <w:szCs w:val="28"/>
        </w:rPr>
      </w:pPr>
      <w:r>
        <w:rPr>
          <w:rFonts w:ascii="宋体" w:hAnsi="宋体"/>
          <w:b/>
          <w:bCs/>
          <w:sz w:val="28"/>
          <w:szCs w:val="28"/>
        </w:rPr>
        <w:br w:type="page"/>
      </w:r>
    </w:p>
    <w:p>
      <w:pPr>
        <w:keepNext/>
        <w:keepLines/>
        <w:numPr>
          <w:ilvl w:val="2"/>
          <w:numId w:val="3"/>
        </w:numPr>
        <w:spacing w:line="360" w:lineRule="auto"/>
        <w:ind w:left="3119" w:hanging="3119"/>
        <w:outlineLvl w:val="2"/>
        <w:rPr>
          <w:rFonts w:ascii="宋体" w:hAnsi="宋体"/>
          <w:b/>
          <w:bCs/>
          <w:sz w:val="24"/>
          <w:szCs w:val="24"/>
        </w:rPr>
      </w:pPr>
      <w:r>
        <w:rPr>
          <w:rFonts w:hint="eastAsia" w:ascii="宋体" w:hAnsi="宋体"/>
          <w:b/>
          <w:bCs/>
          <w:sz w:val="24"/>
          <w:szCs w:val="24"/>
        </w:rPr>
        <w:t>法定代表人或主要负责人身份证明书</w:t>
      </w:r>
    </w:p>
    <w:p>
      <w:pPr>
        <w:tabs>
          <w:tab w:val="left" w:pos="6300"/>
        </w:tabs>
        <w:spacing w:line="360" w:lineRule="auto"/>
        <w:ind w:firstLine="573"/>
        <w:rPr>
          <w:rFonts w:ascii="宋体" w:hAnsi="宋体"/>
          <w:sz w:val="24"/>
          <w:szCs w:val="21"/>
          <w:u w:val="single"/>
          <w:lang w:val="zh-CN"/>
        </w:rPr>
      </w:pPr>
    </w:p>
    <w:p>
      <w:pPr>
        <w:tabs>
          <w:tab w:val="left" w:pos="6300"/>
        </w:tabs>
        <w:spacing w:line="360" w:lineRule="auto"/>
        <w:ind w:firstLine="573"/>
        <w:rPr>
          <w:rFonts w:ascii="宋体" w:hAnsi="宋体"/>
          <w:sz w:val="24"/>
          <w:szCs w:val="21"/>
          <w:lang w:val="zh-CN"/>
        </w:rPr>
      </w:pPr>
      <w:r>
        <w:rPr>
          <w:rFonts w:hint="eastAsia" w:ascii="宋体" w:hAnsi="宋体"/>
          <w:sz w:val="24"/>
          <w:szCs w:val="21"/>
          <w:u w:val="single"/>
          <w:lang w:val="zh-CN"/>
        </w:rPr>
        <w:t>XXXX（法定代表人或主要负责人姓名）</w:t>
      </w:r>
      <w:r>
        <w:rPr>
          <w:rFonts w:hint="eastAsia" w:ascii="宋体" w:hAnsi="宋体"/>
          <w:sz w:val="24"/>
          <w:szCs w:val="21"/>
          <w:lang w:val="zh-CN"/>
        </w:rPr>
        <w:t>在</w:t>
      </w:r>
      <w:r>
        <w:rPr>
          <w:rFonts w:hint="eastAsia" w:ascii="宋体" w:hAnsi="宋体"/>
          <w:sz w:val="24"/>
          <w:szCs w:val="21"/>
          <w:u w:val="single"/>
          <w:lang w:val="zh-CN"/>
        </w:rPr>
        <w:t>XXXX（投标人名称）</w:t>
      </w:r>
      <w:r>
        <w:rPr>
          <w:rFonts w:hint="eastAsia" w:ascii="宋体" w:hAnsi="宋体"/>
          <w:sz w:val="24"/>
          <w:szCs w:val="21"/>
          <w:lang w:val="zh-CN"/>
        </w:rPr>
        <w:t>处任</w:t>
      </w:r>
      <w:r>
        <w:rPr>
          <w:rFonts w:hint="eastAsia" w:ascii="宋体" w:hAnsi="宋体"/>
          <w:sz w:val="24"/>
          <w:szCs w:val="21"/>
          <w:u w:val="single"/>
          <w:lang w:val="zh-CN"/>
        </w:rPr>
        <w:t>XXXX（职务名称）</w:t>
      </w:r>
      <w:r>
        <w:rPr>
          <w:rFonts w:hint="eastAsia" w:ascii="宋体" w:hAnsi="宋体"/>
          <w:sz w:val="24"/>
          <w:szCs w:val="21"/>
          <w:lang w:val="zh-CN"/>
        </w:rPr>
        <w:t>职务，是</w:t>
      </w:r>
      <w:r>
        <w:rPr>
          <w:rFonts w:hint="eastAsia" w:ascii="宋体" w:hAnsi="宋体"/>
          <w:sz w:val="24"/>
          <w:szCs w:val="21"/>
          <w:u w:val="single"/>
          <w:lang w:val="zh-CN"/>
        </w:rPr>
        <w:t>XXXX（投标人名称）</w:t>
      </w:r>
      <w:r>
        <w:rPr>
          <w:rFonts w:hint="eastAsia" w:ascii="宋体" w:hAnsi="宋体"/>
          <w:sz w:val="24"/>
          <w:szCs w:val="21"/>
          <w:lang w:val="zh-CN"/>
        </w:rPr>
        <w:t>的法定代表人</w:t>
      </w:r>
      <w:r>
        <w:rPr>
          <w:rFonts w:hint="eastAsia" w:ascii="宋体" w:hAnsi="宋体"/>
          <w:sz w:val="24"/>
          <w:szCs w:val="21"/>
          <w:u w:val="single"/>
          <w:lang w:val="zh-CN"/>
        </w:rPr>
        <w:t>或主要负责人</w:t>
      </w:r>
      <w:r>
        <w:rPr>
          <w:rFonts w:hint="eastAsia" w:ascii="宋体" w:hAnsi="宋体"/>
          <w:sz w:val="24"/>
          <w:szCs w:val="21"/>
          <w:lang w:val="zh-CN"/>
        </w:rPr>
        <w:t>。</w:t>
      </w:r>
    </w:p>
    <w:p>
      <w:pPr>
        <w:tabs>
          <w:tab w:val="left" w:pos="6300"/>
        </w:tabs>
        <w:spacing w:line="360" w:lineRule="auto"/>
        <w:rPr>
          <w:rFonts w:ascii="宋体" w:hAnsi="宋体"/>
          <w:sz w:val="24"/>
          <w:szCs w:val="21"/>
          <w:lang w:val="zh-CN"/>
        </w:rPr>
      </w:pPr>
    </w:p>
    <w:p>
      <w:pPr>
        <w:tabs>
          <w:tab w:val="left" w:pos="6300"/>
        </w:tabs>
        <w:spacing w:line="360" w:lineRule="auto"/>
        <w:rPr>
          <w:rFonts w:ascii="宋体" w:hAnsi="宋体"/>
          <w:sz w:val="24"/>
          <w:szCs w:val="21"/>
          <w:lang w:val="zh-CN"/>
        </w:rPr>
      </w:pPr>
    </w:p>
    <w:p>
      <w:pPr>
        <w:tabs>
          <w:tab w:val="left" w:pos="6300"/>
        </w:tabs>
        <w:spacing w:line="360" w:lineRule="auto"/>
        <w:ind w:firstLine="573"/>
        <w:rPr>
          <w:rFonts w:ascii="宋体" w:hAnsi="宋体"/>
          <w:sz w:val="24"/>
          <w:szCs w:val="21"/>
          <w:lang w:val="zh-CN"/>
        </w:rPr>
      </w:pPr>
    </w:p>
    <w:p>
      <w:pPr>
        <w:tabs>
          <w:tab w:val="left" w:pos="6300"/>
        </w:tabs>
        <w:spacing w:line="360" w:lineRule="auto"/>
        <w:ind w:firstLine="573"/>
        <w:rPr>
          <w:rFonts w:ascii="宋体" w:hAnsi="宋体"/>
          <w:sz w:val="24"/>
          <w:szCs w:val="21"/>
          <w:lang w:val="zh-CN"/>
        </w:rPr>
      </w:pPr>
    </w:p>
    <w:p>
      <w:pPr>
        <w:tabs>
          <w:tab w:val="left" w:pos="6300"/>
        </w:tabs>
        <w:spacing w:line="360" w:lineRule="auto"/>
        <w:ind w:firstLine="573"/>
        <w:rPr>
          <w:rFonts w:ascii="宋体" w:hAnsi="宋体"/>
          <w:sz w:val="24"/>
          <w:szCs w:val="21"/>
          <w:lang w:val="zh-CN"/>
        </w:rPr>
      </w:pPr>
    </w:p>
    <w:p>
      <w:pPr>
        <w:tabs>
          <w:tab w:val="left" w:pos="6300"/>
        </w:tabs>
        <w:spacing w:line="360" w:lineRule="auto"/>
        <w:ind w:firstLine="573"/>
        <w:rPr>
          <w:rFonts w:ascii="宋体" w:hAnsi="宋体"/>
          <w:sz w:val="24"/>
          <w:szCs w:val="21"/>
          <w:lang w:val="zh-CN"/>
        </w:rPr>
      </w:pPr>
      <w:bookmarkStart w:id="136" w:name="_Toc263768866"/>
      <w:r>
        <w:rPr>
          <w:rFonts w:hint="eastAsia" w:ascii="宋体" w:hAnsi="宋体"/>
          <w:sz w:val="24"/>
          <w:szCs w:val="21"/>
          <w:lang w:val="zh-CN"/>
        </w:rPr>
        <w:t>特此证明。</w:t>
      </w:r>
      <w:bookmarkEnd w:id="136"/>
    </w:p>
    <w:p>
      <w:pPr>
        <w:tabs>
          <w:tab w:val="left" w:pos="6300"/>
        </w:tabs>
        <w:spacing w:line="360" w:lineRule="auto"/>
        <w:rPr>
          <w:rFonts w:ascii="宋体" w:hAnsi="宋体"/>
          <w:sz w:val="24"/>
          <w:szCs w:val="21"/>
          <w:lang w:val="zh-CN"/>
        </w:rPr>
      </w:pPr>
    </w:p>
    <w:p>
      <w:pPr>
        <w:tabs>
          <w:tab w:val="left" w:pos="6300"/>
        </w:tabs>
        <w:spacing w:line="360" w:lineRule="auto"/>
        <w:rPr>
          <w:rFonts w:ascii="宋体" w:hAnsi="宋体"/>
          <w:sz w:val="24"/>
          <w:szCs w:val="21"/>
          <w:lang w:val="zh-CN"/>
        </w:rPr>
      </w:pPr>
    </w:p>
    <w:p>
      <w:pPr>
        <w:spacing w:line="360" w:lineRule="auto"/>
        <w:rPr>
          <w:rFonts w:ascii="宋体" w:hAnsi="宋体"/>
          <w:sz w:val="24"/>
          <w:szCs w:val="21"/>
          <w:lang w:val="zh-CN"/>
        </w:rPr>
      </w:pPr>
      <w:r>
        <w:rPr>
          <w:rFonts w:hint="eastAsia" w:ascii="宋体" w:hAnsi="宋体"/>
          <w:sz w:val="24"/>
          <w:szCs w:val="21"/>
          <w:lang w:val="zh-CN"/>
        </w:rPr>
        <w:t>投标人名称：</w:t>
      </w:r>
      <w:r>
        <w:rPr>
          <w:rFonts w:hint="eastAsia" w:ascii="宋体" w:hAnsi="宋体"/>
          <w:sz w:val="24"/>
          <w:szCs w:val="21"/>
          <w:u w:val="single"/>
          <w:lang w:val="zh-CN"/>
        </w:rPr>
        <w:t>XXXX</w:t>
      </w:r>
    </w:p>
    <w:p>
      <w:pPr>
        <w:spacing w:line="360" w:lineRule="auto"/>
        <w:rPr>
          <w:rFonts w:ascii="宋体" w:hAnsi="宋体"/>
          <w:b/>
          <w:sz w:val="24"/>
          <w:szCs w:val="21"/>
          <w:u w:val="single"/>
          <w:lang w:val="zh-CN"/>
        </w:rPr>
      </w:pPr>
      <w:r>
        <w:rPr>
          <w:rFonts w:hint="eastAsia" w:ascii="宋体" w:hAnsi="宋体"/>
          <w:sz w:val="24"/>
          <w:szCs w:val="21"/>
        </w:rPr>
        <w:t>日期：</w:t>
      </w:r>
      <w:r>
        <w:rPr>
          <w:rFonts w:hint="eastAsia" w:ascii="宋体" w:hAnsi="宋体"/>
          <w:bCs/>
          <w:sz w:val="24"/>
          <w:szCs w:val="21"/>
        </w:rPr>
        <w:t>20</w:t>
      </w:r>
      <w:r>
        <w:rPr>
          <w:rFonts w:hint="eastAsia" w:ascii="宋体" w:hAnsi="宋体"/>
          <w:sz w:val="24"/>
          <w:szCs w:val="21"/>
          <w:lang w:val="zh-CN"/>
        </w:rPr>
        <w:t>2</w:t>
      </w:r>
      <w:r>
        <w:rPr>
          <w:rFonts w:hint="eastAsia" w:ascii="宋体" w:hAnsi="宋体"/>
          <w:sz w:val="24"/>
          <w:szCs w:val="21"/>
          <w:u w:val="single"/>
          <w:lang w:val="zh-CN"/>
        </w:rPr>
        <w:t>X</w:t>
      </w:r>
      <w:r>
        <w:rPr>
          <w:rFonts w:hint="eastAsia" w:ascii="宋体" w:hAnsi="宋体"/>
          <w:bCs/>
          <w:sz w:val="24"/>
          <w:szCs w:val="21"/>
        </w:rPr>
        <w:t>年</w:t>
      </w:r>
      <w:r>
        <w:rPr>
          <w:rFonts w:hint="eastAsia" w:ascii="宋体" w:hAnsi="宋体"/>
          <w:sz w:val="24"/>
          <w:szCs w:val="21"/>
          <w:u w:val="single"/>
          <w:lang w:val="zh-CN"/>
        </w:rPr>
        <w:t>XX</w:t>
      </w:r>
      <w:r>
        <w:rPr>
          <w:rFonts w:hint="eastAsia" w:ascii="宋体" w:hAnsi="宋体"/>
          <w:bCs/>
          <w:sz w:val="24"/>
          <w:szCs w:val="21"/>
        </w:rPr>
        <w:t>月</w:t>
      </w:r>
      <w:r>
        <w:rPr>
          <w:rFonts w:hint="eastAsia" w:ascii="宋体" w:hAnsi="宋体"/>
          <w:sz w:val="24"/>
          <w:szCs w:val="21"/>
          <w:u w:val="single"/>
          <w:lang w:val="zh-CN"/>
        </w:rPr>
        <w:t>XX</w:t>
      </w:r>
      <w:r>
        <w:rPr>
          <w:rFonts w:hint="eastAsia" w:ascii="宋体" w:hAnsi="宋体"/>
          <w:bCs/>
          <w:sz w:val="24"/>
          <w:szCs w:val="21"/>
        </w:rPr>
        <w:t>日</w:t>
      </w:r>
    </w:p>
    <w:p>
      <w:pPr>
        <w:spacing w:after="180" w:line="360" w:lineRule="auto"/>
        <w:ind w:firstLine="487" w:firstLineChars="202"/>
        <w:rPr>
          <w:rFonts w:ascii="宋体" w:hAnsi="宋体"/>
          <w:b/>
          <w:sz w:val="24"/>
          <w:szCs w:val="24"/>
        </w:rPr>
      </w:pPr>
    </w:p>
    <w:p>
      <w:pPr>
        <w:spacing w:after="180" w:line="360" w:lineRule="auto"/>
        <w:ind w:firstLine="487" w:firstLineChars="202"/>
        <w:rPr>
          <w:rFonts w:ascii="宋体" w:hAnsi="宋体"/>
          <w:b/>
          <w:sz w:val="28"/>
          <w:szCs w:val="28"/>
        </w:rPr>
      </w:pPr>
      <w:r>
        <w:rPr>
          <w:rFonts w:hint="eastAsia" w:ascii="宋体" w:hAnsi="宋体"/>
          <w:b/>
          <w:sz w:val="24"/>
          <w:szCs w:val="24"/>
        </w:rPr>
        <w:t>说明：（1）上述证明文件在投标文件中附有法定代表人</w:t>
      </w:r>
      <w:r>
        <w:rPr>
          <w:rFonts w:hint="eastAsia" w:ascii="宋体" w:hAnsi="宋体"/>
          <w:sz w:val="24"/>
          <w:szCs w:val="24"/>
          <w:u w:val="single"/>
        </w:rPr>
        <w:t>或</w:t>
      </w:r>
      <w:r>
        <w:rPr>
          <w:rFonts w:ascii="宋体" w:hAnsi="宋体"/>
          <w:sz w:val="24"/>
          <w:szCs w:val="24"/>
          <w:u w:val="single"/>
        </w:rPr>
        <w:t>主要负责人</w:t>
      </w:r>
      <w:r>
        <w:rPr>
          <w:rFonts w:hint="eastAsia" w:ascii="宋体" w:hAnsi="宋体"/>
          <w:b/>
          <w:sz w:val="24"/>
          <w:szCs w:val="24"/>
        </w:rPr>
        <w:t>身份证复印件（身份证两面均应复印）或护照复印件（投标人的法定代表人</w:t>
      </w:r>
      <w:r>
        <w:rPr>
          <w:rFonts w:hint="eastAsia" w:ascii="宋体" w:hAnsi="宋体"/>
          <w:b/>
          <w:sz w:val="24"/>
          <w:szCs w:val="24"/>
          <w:u w:val="single"/>
        </w:rPr>
        <w:t>或</w:t>
      </w:r>
      <w:r>
        <w:rPr>
          <w:rFonts w:ascii="宋体" w:hAnsi="宋体"/>
          <w:b/>
          <w:sz w:val="24"/>
          <w:szCs w:val="24"/>
          <w:u w:val="single"/>
        </w:rPr>
        <w:t>主要负责人</w:t>
      </w:r>
      <w:r>
        <w:rPr>
          <w:rFonts w:hint="eastAsia" w:ascii="宋体" w:hAnsi="宋体"/>
          <w:b/>
          <w:sz w:val="24"/>
          <w:szCs w:val="24"/>
        </w:rPr>
        <w:t>为外籍人士的，则提供护照复印件）时才能生效。</w:t>
      </w:r>
      <w:r>
        <w:rPr>
          <w:rFonts w:hint="eastAsia" w:ascii="宋体" w:hAnsi="宋体"/>
          <w:b/>
          <w:sz w:val="24"/>
          <w:szCs w:val="24"/>
          <w:lang w:val="zh-CN"/>
        </w:rPr>
        <w:t>（</w:t>
      </w:r>
      <w:r>
        <w:rPr>
          <w:rFonts w:ascii="宋体" w:hAnsi="宋体"/>
          <w:b/>
          <w:sz w:val="24"/>
          <w:szCs w:val="24"/>
          <w:lang w:val="zh-CN"/>
        </w:rPr>
        <w:t>2）主要负责人为</w:t>
      </w:r>
      <w:r>
        <w:rPr>
          <w:rFonts w:hint="eastAsia" w:ascii="宋体" w:hAnsi="宋体"/>
          <w:b/>
          <w:sz w:val="24"/>
          <w:szCs w:val="24"/>
          <w:lang w:val="zh-CN"/>
        </w:rPr>
        <w:t>投标人</w:t>
      </w:r>
      <w:r>
        <w:rPr>
          <w:rFonts w:ascii="宋体" w:hAnsi="宋体"/>
          <w:b/>
          <w:sz w:val="24"/>
          <w:szCs w:val="24"/>
          <w:lang w:val="zh-CN"/>
        </w:rPr>
        <w:t>提供的其</w:t>
      </w:r>
      <w:r>
        <w:rPr>
          <w:rFonts w:hint="eastAsia" w:ascii="宋体" w:hAnsi="宋体"/>
          <w:b/>
          <w:sz w:val="24"/>
          <w:szCs w:val="24"/>
          <w:lang w:val="zh-CN"/>
        </w:rPr>
        <w:t>具有独立承担民事责任能力的</w:t>
      </w:r>
      <w:r>
        <w:rPr>
          <w:rFonts w:ascii="宋体" w:hAnsi="宋体"/>
          <w:b/>
          <w:sz w:val="24"/>
          <w:szCs w:val="24"/>
          <w:lang w:val="zh-CN"/>
        </w:rPr>
        <w:t>证明材料中</w:t>
      </w:r>
      <w:r>
        <w:rPr>
          <w:rFonts w:hint="eastAsia" w:ascii="宋体" w:hAnsi="宋体"/>
          <w:b/>
          <w:sz w:val="24"/>
          <w:szCs w:val="24"/>
          <w:lang w:val="zh-CN"/>
        </w:rPr>
        <w:t>的</w:t>
      </w:r>
      <w:r>
        <w:rPr>
          <w:rFonts w:ascii="宋体" w:hAnsi="宋体"/>
          <w:b/>
          <w:sz w:val="24"/>
          <w:szCs w:val="24"/>
          <w:lang w:val="zh-CN"/>
        </w:rPr>
        <w:t>主要</w:t>
      </w:r>
      <w:r>
        <w:rPr>
          <w:rFonts w:hint="eastAsia" w:ascii="宋体" w:hAnsi="宋体"/>
          <w:b/>
          <w:sz w:val="24"/>
          <w:szCs w:val="24"/>
          <w:lang w:val="zh-CN"/>
        </w:rPr>
        <w:t>负责</w:t>
      </w:r>
      <w:r>
        <w:rPr>
          <w:rFonts w:ascii="宋体" w:hAnsi="宋体"/>
          <w:b/>
          <w:sz w:val="24"/>
          <w:szCs w:val="24"/>
          <w:lang w:val="zh-CN"/>
        </w:rPr>
        <w:t>人员。</w:t>
      </w:r>
      <w:r>
        <w:rPr>
          <w:rFonts w:hint="eastAsia" w:ascii="宋体" w:hAnsi="宋体"/>
          <w:b/>
          <w:sz w:val="28"/>
          <w:szCs w:val="28"/>
        </w:rPr>
        <w:t xml:space="preserve"> </w:t>
      </w:r>
      <w:bookmarkEnd w:id="127"/>
      <w:bookmarkEnd w:id="128"/>
      <w:bookmarkEnd w:id="129"/>
      <w:bookmarkEnd w:id="130"/>
      <w:bookmarkEnd w:id="131"/>
      <w:bookmarkEnd w:id="132"/>
      <w:bookmarkEnd w:id="133"/>
      <w:bookmarkEnd w:id="134"/>
      <w:bookmarkEnd w:id="135"/>
      <w:bookmarkStart w:id="137" w:name="_Toc315871054"/>
      <w:bookmarkEnd w:id="137"/>
      <w:bookmarkStart w:id="138" w:name="_Toc302997926"/>
      <w:bookmarkStart w:id="139" w:name="_Toc263768870"/>
      <w:bookmarkStart w:id="140" w:name="_Toc263753605"/>
      <w:bookmarkStart w:id="141" w:name="_Toc220299393"/>
      <w:bookmarkStart w:id="142" w:name="_Toc217446083"/>
    </w:p>
    <w:p>
      <w:pPr>
        <w:widowControl/>
        <w:jc w:val="left"/>
        <w:rPr>
          <w:rFonts w:ascii="宋体" w:hAnsi="宋体"/>
          <w:b/>
          <w:bCs/>
          <w:sz w:val="28"/>
          <w:szCs w:val="28"/>
        </w:rPr>
      </w:pPr>
      <w:r>
        <w:rPr>
          <w:rFonts w:ascii="宋体" w:hAnsi="宋体"/>
          <w:b/>
          <w:bCs/>
          <w:sz w:val="28"/>
          <w:szCs w:val="28"/>
        </w:rPr>
        <w:br w:type="page"/>
      </w:r>
      <w:bookmarkEnd w:id="138"/>
    </w:p>
    <w:p>
      <w:pPr>
        <w:adjustRightInd w:val="0"/>
        <w:spacing w:line="400" w:lineRule="exact"/>
        <w:ind w:firstLine="700" w:firstLineChars="250"/>
        <w:rPr>
          <w:rFonts w:ascii="宋体" w:hAnsi="宋体"/>
          <w:bCs/>
          <w:sz w:val="28"/>
          <w:szCs w:val="28"/>
        </w:rPr>
      </w:pPr>
    </w:p>
    <w:bookmarkEnd w:id="139"/>
    <w:bookmarkEnd w:id="140"/>
    <w:bookmarkEnd w:id="141"/>
    <w:p>
      <w:pPr>
        <w:keepNext/>
        <w:keepLines/>
        <w:numPr>
          <w:ilvl w:val="2"/>
          <w:numId w:val="3"/>
        </w:numPr>
        <w:spacing w:line="360" w:lineRule="auto"/>
        <w:ind w:left="142" w:hanging="142"/>
        <w:outlineLvl w:val="2"/>
        <w:rPr>
          <w:rFonts w:ascii="宋体" w:hAnsi="宋体"/>
          <w:b/>
          <w:bCs/>
          <w:sz w:val="24"/>
          <w:szCs w:val="24"/>
        </w:rPr>
      </w:pPr>
      <w:bookmarkStart w:id="143" w:name="_Toc263753619"/>
      <w:bookmarkStart w:id="144" w:name="_Toc302997928"/>
      <w:bookmarkStart w:id="145" w:name="_Toc263768877"/>
      <w:r>
        <w:rPr>
          <w:rFonts w:hint="eastAsia" w:ascii="宋体" w:hAnsi="宋体"/>
          <w:b/>
          <w:bCs/>
          <w:sz w:val="24"/>
          <w:szCs w:val="24"/>
          <w:lang w:eastAsia="zh-CN"/>
        </w:rPr>
        <w:t>技术参数响应表</w:t>
      </w:r>
    </w:p>
    <w:p>
      <w:pPr>
        <w:snapToGrid w:val="0"/>
        <w:spacing w:line="360" w:lineRule="auto"/>
        <w:ind w:left="1224" w:leftChars="0" w:right="-624" w:rightChars="-297" w:hanging="1224" w:hangingChars="508"/>
        <w:rPr>
          <w:rFonts w:hint="eastAsia" w:ascii="宋体" w:hAnsi="宋体"/>
          <w:b/>
          <w:sz w:val="24"/>
          <w:szCs w:val="21"/>
        </w:rPr>
      </w:pPr>
      <w:r>
        <w:rPr>
          <w:rFonts w:hint="eastAsia" w:ascii="宋体" w:hAnsi="宋体"/>
          <w:b/>
          <w:sz w:val="24"/>
          <w:szCs w:val="21"/>
        </w:rPr>
        <w:t>项目名称：成都市武侯区机关事务中心农副食品，动、植物油制品（第一办公区食材）采购项目</w:t>
      </w:r>
    </w:p>
    <w:p>
      <w:pPr>
        <w:snapToGrid w:val="0"/>
        <w:spacing w:line="360" w:lineRule="auto"/>
        <w:ind w:right="-624" w:rightChars="-297"/>
        <w:rPr>
          <w:rFonts w:hint="eastAsia" w:ascii="宋体" w:hAnsi="宋体" w:eastAsia="宋体"/>
          <w:sz w:val="20"/>
          <w:szCs w:val="21"/>
          <w:lang w:eastAsia="zh-CN"/>
        </w:rPr>
      </w:pPr>
      <w:r>
        <w:rPr>
          <w:rFonts w:hint="eastAsia" w:ascii="宋体" w:hAnsi="宋体"/>
          <w:b/>
          <w:sz w:val="24"/>
          <w:szCs w:val="21"/>
        </w:rPr>
        <w:t>项目编号：</w:t>
      </w:r>
      <w:r>
        <w:rPr>
          <w:rFonts w:hint="eastAsia" w:ascii="宋体" w:hAnsi="宋体"/>
          <w:b/>
          <w:sz w:val="24"/>
          <w:szCs w:val="24"/>
          <w:u w:val="single"/>
          <w:lang w:eastAsia="zh-CN"/>
        </w:rPr>
        <w:t>武侯政采（2022）A0006号</w:t>
      </w:r>
    </w:p>
    <w:tbl>
      <w:tblPr>
        <w:tblStyle w:val="41"/>
        <w:tblW w:w="82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2240"/>
        <w:gridCol w:w="2512"/>
        <w:gridCol w:w="1276"/>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992"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序号</w:t>
            </w:r>
          </w:p>
        </w:tc>
        <w:tc>
          <w:tcPr>
            <w:tcW w:w="2240"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文件要求</w:t>
            </w:r>
          </w:p>
        </w:tc>
        <w:tc>
          <w:tcPr>
            <w:tcW w:w="2512"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响应应答</w:t>
            </w:r>
          </w:p>
        </w:tc>
        <w:tc>
          <w:tcPr>
            <w:tcW w:w="1276"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偏离情况</w:t>
            </w:r>
          </w:p>
        </w:tc>
        <w:tc>
          <w:tcPr>
            <w:tcW w:w="1276" w:type="dxa"/>
          </w:tcPr>
          <w:p>
            <w:pPr>
              <w:spacing w:line="360" w:lineRule="auto"/>
              <w:jc w:val="center"/>
              <w:rPr>
                <w:rFonts w:ascii="方正小标宋简体" w:hAnsi="宋体" w:eastAsia="方正小标宋简体"/>
                <w:sz w:val="20"/>
                <w:szCs w:val="20"/>
              </w:rPr>
            </w:pPr>
            <w:r>
              <w:rPr>
                <w:rFonts w:hint="eastAsia" w:ascii="方正小标宋简体" w:eastAsia="方正小标宋简体"/>
                <w:sz w:val="16"/>
                <w:szCs w:val="16"/>
              </w:rPr>
              <w:t>支撑材料所在页码（1.仅部分需提供；2.相应条款没有支撑材料的请填写“/”）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1</w:t>
            </w:r>
          </w:p>
        </w:tc>
        <w:tc>
          <w:tcPr>
            <w:tcW w:w="2240" w:type="dxa"/>
            <w:vAlign w:val="center"/>
          </w:tcPr>
          <w:p>
            <w:pPr>
              <w:spacing w:line="360" w:lineRule="auto"/>
              <w:jc w:val="center"/>
              <w:rPr>
                <w:rFonts w:ascii="方正小标宋简体" w:hAnsi="宋体" w:eastAsia="方正小标宋简体"/>
                <w:sz w:val="20"/>
                <w:szCs w:val="20"/>
              </w:rPr>
            </w:pPr>
          </w:p>
        </w:tc>
        <w:tc>
          <w:tcPr>
            <w:tcW w:w="2512" w:type="dxa"/>
            <w:vAlign w:val="center"/>
          </w:tcPr>
          <w:p>
            <w:pPr>
              <w:spacing w:line="360" w:lineRule="auto"/>
              <w:ind w:left="277" w:hanging="264" w:hangingChars="132"/>
              <w:jc w:val="center"/>
              <w:rPr>
                <w:rFonts w:ascii="方正小标宋简体" w:hAnsi="宋体" w:eastAsia="方正小标宋简体"/>
                <w:sz w:val="20"/>
                <w:szCs w:val="20"/>
              </w:rPr>
            </w:pPr>
          </w:p>
        </w:tc>
        <w:tc>
          <w:tcPr>
            <w:tcW w:w="1276" w:type="dxa"/>
            <w:vAlign w:val="center"/>
          </w:tcPr>
          <w:p>
            <w:pPr>
              <w:spacing w:line="360" w:lineRule="auto"/>
              <w:ind w:left="277" w:hanging="264" w:hangingChars="132"/>
              <w:jc w:val="center"/>
              <w:rPr>
                <w:rFonts w:ascii="方正小标宋简体" w:hAnsi="宋体" w:eastAsia="方正小标宋简体"/>
                <w:sz w:val="20"/>
                <w:szCs w:val="20"/>
              </w:rPr>
            </w:pPr>
          </w:p>
        </w:tc>
        <w:tc>
          <w:tcPr>
            <w:tcW w:w="1276" w:type="dxa"/>
          </w:tcPr>
          <w:p>
            <w:pPr>
              <w:spacing w:line="360" w:lineRule="auto"/>
              <w:ind w:left="277" w:hanging="264" w:hangingChars="132"/>
              <w:jc w:val="center"/>
              <w:rPr>
                <w:rFonts w:ascii="方正小标宋简体" w:hAnsi="宋体" w:eastAsia="方正小标宋简体"/>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992"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2</w:t>
            </w:r>
          </w:p>
        </w:tc>
        <w:tc>
          <w:tcPr>
            <w:tcW w:w="2240" w:type="dxa"/>
            <w:vAlign w:val="center"/>
          </w:tcPr>
          <w:p>
            <w:pPr>
              <w:spacing w:line="360" w:lineRule="auto"/>
              <w:jc w:val="center"/>
              <w:rPr>
                <w:rFonts w:ascii="方正小标宋简体" w:hAnsi="宋体" w:eastAsia="方正小标宋简体"/>
                <w:sz w:val="20"/>
                <w:szCs w:val="20"/>
              </w:rPr>
            </w:pPr>
          </w:p>
        </w:tc>
        <w:tc>
          <w:tcPr>
            <w:tcW w:w="2512" w:type="dxa"/>
            <w:vAlign w:val="center"/>
          </w:tcPr>
          <w:p>
            <w:pPr>
              <w:spacing w:line="360" w:lineRule="auto"/>
              <w:ind w:left="277" w:hanging="264" w:hangingChars="132"/>
              <w:jc w:val="center"/>
              <w:rPr>
                <w:rFonts w:ascii="方正小标宋简体" w:hAnsi="宋体" w:eastAsia="方正小标宋简体"/>
                <w:sz w:val="20"/>
                <w:szCs w:val="20"/>
              </w:rPr>
            </w:pPr>
          </w:p>
        </w:tc>
        <w:tc>
          <w:tcPr>
            <w:tcW w:w="1276" w:type="dxa"/>
            <w:vAlign w:val="center"/>
          </w:tcPr>
          <w:p>
            <w:pPr>
              <w:spacing w:line="360" w:lineRule="auto"/>
              <w:ind w:left="277" w:hanging="264" w:hangingChars="132"/>
              <w:jc w:val="center"/>
              <w:rPr>
                <w:rFonts w:ascii="方正小标宋简体" w:hAnsi="宋体" w:eastAsia="方正小标宋简体"/>
                <w:sz w:val="20"/>
                <w:szCs w:val="20"/>
              </w:rPr>
            </w:pPr>
          </w:p>
        </w:tc>
        <w:tc>
          <w:tcPr>
            <w:tcW w:w="1276" w:type="dxa"/>
          </w:tcPr>
          <w:p>
            <w:pPr>
              <w:spacing w:line="360" w:lineRule="auto"/>
              <w:ind w:left="277" w:hanging="264" w:hangingChars="132"/>
              <w:jc w:val="center"/>
              <w:rPr>
                <w:rFonts w:ascii="方正小标宋简体" w:hAnsi="宋体" w:eastAsia="方正小标宋简体"/>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7" w:hRule="atLeast"/>
          <w:jc w:val="center"/>
        </w:trPr>
        <w:tc>
          <w:tcPr>
            <w:tcW w:w="992"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3</w:t>
            </w:r>
          </w:p>
        </w:tc>
        <w:tc>
          <w:tcPr>
            <w:tcW w:w="2240" w:type="dxa"/>
            <w:vAlign w:val="center"/>
          </w:tcPr>
          <w:p>
            <w:pPr>
              <w:spacing w:line="360" w:lineRule="auto"/>
              <w:jc w:val="center"/>
              <w:rPr>
                <w:rFonts w:ascii="方正小标宋简体" w:hAnsi="宋体" w:eastAsia="方正小标宋简体"/>
                <w:sz w:val="20"/>
                <w:szCs w:val="20"/>
              </w:rPr>
            </w:pPr>
          </w:p>
        </w:tc>
        <w:tc>
          <w:tcPr>
            <w:tcW w:w="2512" w:type="dxa"/>
            <w:vAlign w:val="center"/>
          </w:tcPr>
          <w:p>
            <w:pPr>
              <w:spacing w:line="360" w:lineRule="auto"/>
              <w:jc w:val="center"/>
              <w:rPr>
                <w:rFonts w:ascii="方正小标宋简体" w:hAnsi="宋体" w:eastAsia="方正小标宋简体"/>
                <w:sz w:val="20"/>
                <w:szCs w:val="20"/>
              </w:rPr>
            </w:pPr>
          </w:p>
        </w:tc>
        <w:tc>
          <w:tcPr>
            <w:tcW w:w="1276" w:type="dxa"/>
            <w:vAlign w:val="center"/>
          </w:tcPr>
          <w:p>
            <w:pPr>
              <w:spacing w:line="360" w:lineRule="auto"/>
              <w:jc w:val="center"/>
              <w:rPr>
                <w:rFonts w:ascii="方正小标宋简体" w:hAnsi="宋体" w:eastAsia="方正小标宋简体"/>
                <w:sz w:val="20"/>
                <w:szCs w:val="20"/>
              </w:rPr>
            </w:pPr>
          </w:p>
        </w:tc>
        <w:tc>
          <w:tcPr>
            <w:tcW w:w="1276" w:type="dxa"/>
          </w:tcPr>
          <w:p>
            <w:pPr>
              <w:spacing w:line="360" w:lineRule="auto"/>
              <w:jc w:val="center"/>
              <w:rPr>
                <w:rFonts w:ascii="方正小标宋简体" w:hAnsi="宋体" w:eastAsia="方正小标宋简体"/>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992"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4</w:t>
            </w:r>
          </w:p>
        </w:tc>
        <w:tc>
          <w:tcPr>
            <w:tcW w:w="2240" w:type="dxa"/>
            <w:vAlign w:val="center"/>
          </w:tcPr>
          <w:p>
            <w:pPr>
              <w:spacing w:line="360" w:lineRule="auto"/>
              <w:jc w:val="center"/>
              <w:rPr>
                <w:rFonts w:ascii="方正小标宋简体" w:hAnsi="宋体" w:eastAsia="方正小标宋简体"/>
                <w:sz w:val="20"/>
                <w:szCs w:val="20"/>
              </w:rPr>
            </w:pPr>
          </w:p>
        </w:tc>
        <w:tc>
          <w:tcPr>
            <w:tcW w:w="2512" w:type="dxa"/>
            <w:vAlign w:val="center"/>
          </w:tcPr>
          <w:p>
            <w:pPr>
              <w:spacing w:line="360" w:lineRule="auto"/>
              <w:jc w:val="center"/>
              <w:rPr>
                <w:rFonts w:ascii="方正小标宋简体" w:hAnsi="宋体" w:eastAsia="方正小标宋简体"/>
                <w:sz w:val="20"/>
                <w:szCs w:val="20"/>
              </w:rPr>
            </w:pPr>
          </w:p>
        </w:tc>
        <w:tc>
          <w:tcPr>
            <w:tcW w:w="1276" w:type="dxa"/>
            <w:vAlign w:val="center"/>
          </w:tcPr>
          <w:p>
            <w:pPr>
              <w:spacing w:line="360" w:lineRule="auto"/>
              <w:jc w:val="center"/>
              <w:rPr>
                <w:rFonts w:ascii="方正小标宋简体" w:hAnsi="宋体" w:eastAsia="方正小标宋简体"/>
                <w:sz w:val="20"/>
                <w:szCs w:val="20"/>
              </w:rPr>
            </w:pPr>
          </w:p>
        </w:tc>
        <w:tc>
          <w:tcPr>
            <w:tcW w:w="1276" w:type="dxa"/>
          </w:tcPr>
          <w:p>
            <w:pPr>
              <w:spacing w:line="360" w:lineRule="auto"/>
              <w:jc w:val="center"/>
              <w:rPr>
                <w:rFonts w:ascii="方正小标宋简体" w:hAnsi="宋体" w:eastAsia="方正小标宋简体"/>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92"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5</w:t>
            </w:r>
          </w:p>
        </w:tc>
        <w:tc>
          <w:tcPr>
            <w:tcW w:w="2240" w:type="dxa"/>
            <w:vAlign w:val="center"/>
          </w:tcPr>
          <w:p>
            <w:pPr>
              <w:spacing w:line="360" w:lineRule="auto"/>
              <w:jc w:val="center"/>
              <w:rPr>
                <w:rFonts w:ascii="方正小标宋简体" w:hAnsi="宋体" w:eastAsia="方正小标宋简体"/>
                <w:sz w:val="20"/>
                <w:szCs w:val="20"/>
              </w:rPr>
            </w:pPr>
          </w:p>
        </w:tc>
        <w:tc>
          <w:tcPr>
            <w:tcW w:w="2512" w:type="dxa"/>
            <w:vAlign w:val="center"/>
          </w:tcPr>
          <w:p>
            <w:pPr>
              <w:spacing w:line="360" w:lineRule="auto"/>
              <w:jc w:val="center"/>
              <w:rPr>
                <w:rFonts w:ascii="方正小标宋简体" w:hAnsi="宋体" w:eastAsia="方正小标宋简体"/>
                <w:sz w:val="20"/>
                <w:szCs w:val="20"/>
              </w:rPr>
            </w:pPr>
          </w:p>
        </w:tc>
        <w:tc>
          <w:tcPr>
            <w:tcW w:w="1276" w:type="dxa"/>
            <w:vAlign w:val="center"/>
          </w:tcPr>
          <w:p>
            <w:pPr>
              <w:spacing w:line="360" w:lineRule="auto"/>
              <w:jc w:val="center"/>
              <w:rPr>
                <w:rFonts w:ascii="方正小标宋简体" w:hAnsi="宋体" w:eastAsia="方正小标宋简体"/>
                <w:sz w:val="20"/>
                <w:szCs w:val="20"/>
              </w:rPr>
            </w:pPr>
          </w:p>
        </w:tc>
        <w:tc>
          <w:tcPr>
            <w:tcW w:w="1276" w:type="dxa"/>
          </w:tcPr>
          <w:p>
            <w:pPr>
              <w:spacing w:line="360" w:lineRule="auto"/>
              <w:jc w:val="center"/>
              <w:rPr>
                <w:rFonts w:ascii="方正小标宋简体" w:hAnsi="宋体" w:eastAsia="方正小标宋简体"/>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jc w:val="center"/>
        </w:trPr>
        <w:tc>
          <w:tcPr>
            <w:tcW w:w="992"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w:t>
            </w:r>
          </w:p>
        </w:tc>
        <w:tc>
          <w:tcPr>
            <w:tcW w:w="2240" w:type="dxa"/>
            <w:vAlign w:val="center"/>
          </w:tcPr>
          <w:p>
            <w:pPr>
              <w:spacing w:line="360" w:lineRule="auto"/>
              <w:jc w:val="center"/>
              <w:rPr>
                <w:rFonts w:ascii="方正小标宋简体" w:hAnsi="宋体" w:eastAsia="方正小标宋简体"/>
                <w:sz w:val="20"/>
                <w:szCs w:val="20"/>
              </w:rPr>
            </w:pPr>
          </w:p>
        </w:tc>
        <w:tc>
          <w:tcPr>
            <w:tcW w:w="2512" w:type="dxa"/>
            <w:vAlign w:val="center"/>
          </w:tcPr>
          <w:p>
            <w:pPr>
              <w:spacing w:line="360" w:lineRule="auto"/>
              <w:jc w:val="center"/>
              <w:rPr>
                <w:rFonts w:ascii="方正小标宋简体" w:hAnsi="宋体" w:eastAsia="方正小标宋简体"/>
                <w:sz w:val="20"/>
                <w:szCs w:val="20"/>
              </w:rPr>
            </w:pPr>
          </w:p>
        </w:tc>
        <w:tc>
          <w:tcPr>
            <w:tcW w:w="1276" w:type="dxa"/>
            <w:vAlign w:val="center"/>
          </w:tcPr>
          <w:p>
            <w:pPr>
              <w:spacing w:line="360" w:lineRule="auto"/>
              <w:jc w:val="center"/>
              <w:rPr>
                <w:rFonts w:ascii="方正小标宋简体" w:hAnsi="宋体" w:eastAsia="方正小标宋简体"/>
                <w:sz w:val="20"/>
                <w:szCs w:val="20"/>
              </w:rPr>
            </w:pPr>
          </w:p>
        </w:tc>
        <w:tc>
          <w:tcPr>
            <w:tcW w:w="1276" w:type="dxa"/>
          </w:tcPr>
          <w:p>
            <w:pPr>
              <w:spacing w:line="360" w:lineRule="auto"/>
              <w:jc w:val="center"/>
              <w:rPr>
                <w:rFonts w:ascii="方正小标宋简体" w:hAnsi="宋体" w:eastAsia="方正小标宋简体"/>
                <w:sz w:val="20"/>
                <w:szCs w:val="20"/>
              </w:rPr>
            </w:pPr>
          </w:p>
        </w:tc>
      </w:tr>
    </w:tbl>
    <w:p>
      <w:pPr>
        <w:rPr>
          <w:rFonts w:ascii="宋体" w:hAnsi="宋体"/>
        </w:rPr>
      </w:pPr>
    </w:p>
    <w:p>
      <w:pPr>
        <w:rPr>
          <w:rFonts w:hint="eastAsia" w:ascii="宋体" w:hAnsi="宋体" w:eastAsia="宋体"/>
          <w:lang w:eastAsia="zh-CN"/>
        </w:rPr>
      </w:pPr>
      <w:r>
        <w:rPr>
          <w:rFonts w:hint="eastAsia" w:ascii="宋体" w:hAnsi="宋体" w:cs="宋体"/>
          <w:sz w:val="24"/>
          <w:szCs w:val="24"/>
          <w:lang w:eastAsia="zh-CN"/>
        </w:rPr>
        <w:t>说明：</w:t>
      </w:r>
      <w:r>
        <w:rPr>
          <w:rFonts w:ascii="宋体" w:hAnsi="宋体" w:eastAsia="宋体" w:cs="宋体"/>
          <w:sz w:val="24"/>
          <w:szCs w:val="24"/>
        </w:rPr>
        <w:t>1.</w:t>
      </w:r>
      <w:r>
        <w:rPr>
          <w:rFonts w:ascii="宋体" w:hAnsi="宋体" w:eastAsia="宋体" w:cs="宋体"/>
          <w:color w:val="FF0000"/>
          <w:sz w:val="24"/>
          <w:szCs w:val="24"/>
          <w:highlight w:val="yellow"/>
        </w:rPr>
        <w:t>供应商应把采购项目的全部技术参数列入此表，须全部应答，凡未在该表中体现的技术参数均视为满足采购文件技术参数要求。</w:t>
      </w:r>
      <w:r>
        <w:rPr>
          <w:rFonts w:ascii="宋体" w:hAnsi="宋体" w:eastAsia="宋体" w:cs="宋体"/>
          <w:sz w:val="24"/>
          <w:szCs w:val="24"/>
        </w:rPr>
        <w:br w:type="textWrapping"/>
      </w:r>
      <w:r>
        <w:rPr>
          <w:rFonts w:ascii="宋体" w:hAnsi="宋体" w:eastAsia="宋体" w:cs="宋体"/>
          <w:sz w:val="24"/>
          <w:szCs w:val="24"/>
        </w:rPr>
        <w:t>2．供应商必须据实填写，不得虚假填写，否则，其</w:t>
      </w:r>
      <w:r>
        <w:rPr>
          <w:rFonts w:hint="eastAsia" w:ascii="宋体" w:hAnsi="宋体" w:cs="宋体"/>
          <w:sz w:val="24"/>
          <w:szCs w:val="24"/>
          <w:lang w:eastAsia="zh-CN"/>
        </w:rPr>
        <w:t>投标</w:t>
      </w:r>
      <w:r>
        <w:rPr>
          <w:rFonts w:ascii="宋体" w:hAnsi="宋体" w:eastAsia="宋体" w:cs="宋体"/>
          <w:sz w:val="24"/>
          <w:szCs w:val="24"/>
        </w:rPr>
        <w:t>文件无效并按规定追究其相关责任。若采购人在项目实施中发现供应商虚假响应，则采购人有权单方面中止合同，并没收供应商的全部履约保证金（如有）并追索其由此给采购人造成的一切损失。</w:t>
      </w:r>
      <w:r>
        <w:rPr>
          <w:rFonts w:ascii="宋体" w:hAnsi="宋体" w:eastAsia="宋体" w:cs="宋体"/>
          <w:sz w:val="24"/>
          <w:szCs w:val="24"/>
        </w:rPr>
        <w:br w:type="textWrapping"/>
      </w:r>
      <w:r>
        <w:rPr>
          <w:rFonts w:ascii="宋体" w:hAnsi="宋体" w:eastAsia="宋体" w:cs="宋体"/>
          <w:sz w:val="24"/>
          <w:szCs w:val="24"/>
        </w:rPr>
        <w:t>3. 若此表篇幅不足，由供应商自行添加</w:t>
      </w:r>
      <w:r>
        <w:rPr>
          <w:rFonts w:hint="eastAsia" w:ascii="宋体" w:hAnsi="宋体" w:cs="宋体"/>
          <w:sz w:val="24"/>
          <w:szCs w:val="24"/>
          <w:lang w:eastAsia="zh-CN"/>
        </w:rPr>
        <w:t>。</w:t>
      </w:r>
    </w:p>
    <w:p>
      <w:pPr>
        <w:spacing w:after="120" w:line="360" w:lineRule="auto"/>
        <w:ind w:left="420" w:leftChars="200"/>
        <w:rPr>
          <w:rFonts w:hint="eastAsia" w:ascii="宋体" w:hAnsi="宋体"/>
          <w:bCs/>
          <w:sz w:val="28"/>
          <w:szCs w:val="28"/>
        </w:rPr>
      </w:pPr>
    </w:p>
    <w:p>
      <w:pPr>
        <w:spacing w:after="120" w:line="360" w:lineRule="auto"/>
        <w:ind w:left="420" w:leftChars="200"/>
        <w:rPr>
          <w:rFonts w:ascii="宋体" w:hAnsi="宋体"/>
          <w:bCs/>
          <w:sz w:val="28"/>
          <w:szCs w:val="28"/>
        </w:rPr>
      </w:pPr>
      <w:r>
        <w:rPr>
          <w:rFonts w:hint="eastAsia" w:ascii="宋体" w:hAnsi="宋体"/>
          <w:bCs/>
          <w:sz w:val="28"/>
          <w:szCs w:val="28"/>
        </w:rPr>
        <w:t>投标人名称：</w:t>
      </w:r>
      <w:r>
        <w:rPr>
          <w:rFonts w:hint="eastAsia" w:ascii="宋体" w:hAnsi="宋体"/>
          <w:bCs/>
          <w:sz w:val="28"/>
          <w:szCs w:val="28"/>
          <w:u w:val="single"/>
        </w:rPr>
        <w:t>XXXX</w:t>
      </w:r>
    </w:p>
    <w:p>
      <w:pPr>
        <w:adjustRightInd w:val="0"/>
        <w:spacing w:line="400" w:lineRule="exact"/>
        <w:ind w:firstLine="420" w:firstLineChars="150"/>
        <w:rPr>
          <w:rFonts w:ascii="宋体" w:hAnsi="宋体"/>
          <w:bCs/>
          <w:sz w:val="28"/>
          <w:u w:val="single"/>
        </w:rPr>
      </w:pPr>
      <w:r>
        <w:rPr>
          <w:rFonts w:hint="eastAsia" w:ascii="宋体" w:hAnsi="宋体"/>
          <w:sz w:val="28"/>
        </w:rPr>
        <w:t>日期：</w:t>
      </w:r>
      <w:r>
        <w:rPr>
          <w:rFonts w:hint="eastAsia" w:ascii="宋体" w:hAnsi="宋体"/>
          <w:bCs/>
          <w:sz w:val="28"/>
        </w:rPr>
        <w:t>202</w:t>
      </w:r>
      <w:r>
        <w:rPr>
          <w:rFonts w:hint="eastAsia" w:ascii="宋体" w:hAnsi="宋体"/>
          <w:bCs/>
          <w:sz w:val="28"/>
          <w:u w:val="single"/>
        </w:rPr>
        <w:t>X</w:t>
      </w:r>
      <w:r>
        <w:rPr>
          <w:rFonts w:hint="eastAsia" w:ascii="宋体" w:hAnsi="宋体"/>
          <w:bCs/>
          <w:sz w:val="28"/>
        </w:rPr>
        <w:t>年</w:t>
      </w:r>
      <w:r>
        <w:rPr>
          <w:rFonts w:hint="eastAsia" w:ascii="宋体" w:hAnsi="宋体"/>
          <w:bCs/>
          <w:sz w:val="28"/>
          <w:u w:val="single"/>
        </w:rPr>
        <w:t>XX</w:t>
      </w:r>
      <w:r>
        <w:rPr>
          <w:rFonts w:hint="eastAsia" w:ascii="宋体" w:hAnsi="宋体"/>
          <w:bCs/>
          <w:sz w:val="28"/>
        </w:rPr>
        <w:t>月</w:t>
      </w:r>
      <w:r>
        <w:rPr>
          <w:rFonts w:hint="eastAsia" w:ascii="宋体" w:hAnsi="宋体"/>
          <w:bCs/>
          <w:sz w:val="28"/>
          <w:u w:val="single"/>
        </w:rPr>
        <w:t>XX</w:t>
      </w:r>
      <w:r>
        <w:rPr>
          <w:rFonts w:hint="eastAsia" w:ascii="宋体" w:hAnsi="宋体"/>
          <w:bCs/>
          <w:sz w:val="28"/>
        </w:rPr>
        <w:t>日</w:t>
      </w:r>
    </w:p>
    <w:bookmarkEnd w:id="143"/>
    <w:bookmarkEnd w:id="144"/>
    <w:bookmarkEnd w:id="145"/>
    <w:p>
      <w:pPr>
        <w:keepNext/>
        <w:keepLines/>
        <w:numPr>
          <w:ilvl w:val="2"/>
          <w:numId w:val="3"/>
        </w:numPr>
        <w:spacing w:line="360" w:lineRule="auto"/>
        <w:ind w:left="3119" w:hanging="3119"/>
        <w:outlineLvl w:val="2"/>
        <w:rPr>
          <w:rFonts w:ascii="宋体" w:hAnsi="宋体"/>
          <w:b/>
          <w:bCs/>
          <w:sz w:val="24"/>
          <w:szCs w:val="24"/>
        </w:rPr>
      </w:pPr>
      <w:r>
        <w:rPr>
          <w:rFonts w:hint="eastAsia" w:ascii="宋体" w:hAnsi="宋体"/>
          <w:b/>
          <w:bCs/>
          <w:sz w:val="24"/>
          <w:szCs w:val="24"/>
          <w:lang w:eastAsia="zh-CN"/>
        </w:rPr>
        <w:t>商务、服务应答表</w:t>
      </w:r>
    </w:p>
    <w:p>
      <w:pPr>
        <w:snapToGrid w:val="0"/>
        <w:spacing w:line="360" w:lineRule="auto"/>
        <w:ind w:left="1243" w:leftChars="0" w:right="-624" w:rightChars="-297" w:hanging="1243" w:hangingChars="516"/>
        <w:rPr>
          <w:rFonts w:ascii="宋体" w:hAnsi="宋体"/>
          <w:b/>
          <w:sz w:val="24"/>
          <w:szCs w:val="24"/>
        </w:rPr>
      </w:pPr>
      <w:r>
        <w:rPr>
          <w:rFonts w:hint="eastAsia" w:ascii="宋体" w:hAnsi="宋体"/>
          <w:b/>
          <w:sz w:val="24"/>
          <w:szCs w:val="21"/>
        </w:rPr>
        <w:t>项目名称：成都市武侯区机关事务中心农副食品，动、植物油制品（第一办公区食材）采购项目</w:t>
      </w:r>
    </w:p>
    <w:p>
      <w:pPr>
        <w:snapToGrid w:val="0"/>
        <w:spacing w:line="360" w:lineRule="auto"/>
        <w:ind w:right="-624" w:rightChars="-297"/>
        <w:rPr>
          <w:rFonts w:hint="eastAsia" w:ascii="宋体" w:hAnsi="宋体" w:eastAsia="宋体"/>
          <w:b/>
          <w:sz w:val="24"/>
          <w:szCs w:val="21"/>
          <w:lang w:eastAsia="zh-CN"/>
        </w:rPr>
      </w:pPr>
      <w:r>
        <w:rPr>
          <w:rFonts w:hint="eastAsia" w:ascii="宋体" w:hAnsi="宋体"/>
          <w:b/>
          <w:sz w:val="24"/>
          <w:szCs w:val="21"/>
        </w:rPr>
        <w:t>项目编号：</w:t>
      </w:r>
      <w:r>
        <w:rPr>
          <w:rFonts w:hint="eastAsia" w:ascii="宋体" w:hAnsi="宋体"/>
          <w:b/>
          <w:sz w:val="24"/>
          <w:szCs w:val="21"/>
          <w:u w:val="single"/>
          <w:lang w:eastAsia="zh-CN"/>
        </w:rPr>
        <w:t>武侯政采（2022）A0006号</w:t>
      </w:r>
    </w:p>
    <w:bookmarkEnd w:id="142"/>
    <w:tbl>
      <w:tblPr>
        <w:tblStyle w:val="41"/>
        <w:tblpPr w:leftFromText="180" w:rightFromText="180" w:vertAnchor="text" w:horzAnchor="page" w:tblpX="1417" w:tblpY="553"/>
        <w:tblOverlap w:val="never"/>
        <w:tblW w:w="912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0"/>
        <w:gridCol w:w="1680"/>
        <w:gridCol w:w="2775"/>
        <w:gridCol w:w="2175"/>
        <w:gridCol w:w="15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990" w:type="dxa"/>
            <w:vAlign w:val="center"/>
          </w:tcPr>
          <w:p>
            <w:pPr>
              <w:spacing w:line="360" w:lineRule="auto"/>
              <w:jc w:val="center"/>
              <w:rPr>
                <w:rFonts w:ascii="方正小标宋简体" w:hAnsi="宋体" w:eastAsia="方正小标宋简体"/>
                <w:color w:val="000000" w:themeColor="text1"/>
                <w:sz w:val="20"/>
                <w:szCs w:val="20"/>
                <w14:textFill>
                  <w14:solidFill>
                    <w14:schemeClr w14:val="tx1"/>
                  </w14:solidFill>
                </w14:textFill>
              </w:rPr>
            </w:pPr>
            <w:bookmarkStart w:id="146" w:name="_Toc316475719"/>
            <w:r>
              <w:rPr>
                <w:rFonts w:hint="eastAsia" w:ascii="方正小标宋简体" w:hAnsi="宋体" w:eastAsia="方正小标宋简体"/>
                <w:color w:val="000000" w:themeColor="text1"/>
                <w:sz w:val="20"/>
                <w:szCs w:val="20"/>
                <w14:textFill>
                  <w14:solidFill>
                    <w14:schemeClr w14:val="tx1"/>
                  </w14:solidFill>
                </w14:textFill>
              </w:rPr>
              <w:t>序号</w:t>
            </w:r>
          </w:p>
        </w:tc>
        <w:tc>
          <w:tcPr>
            <w:tcW w:w="1680" w:type="dxa"/>
            <w:vAlign w:val="center"/>
          </w:tcPr>
          <w:p>
            <w:pPr>
              <w:spacing w:line="360" w:lineRule="auto"/>
              <w:jc w:val="center"/>
              <w:rPr>
                <w:rFonts w:ascii="方正小标宋简体" w:hAnsi="宋体" w:eastAsia="方正小标宋简体"/>
                <w:color w:val="000000" w:themeColor="text1"/>
                <w:sz w:val="20"/>
                <w:szCs w:val="20"/>
                <w14:textFill>
                  <w14:solidFill>
                    <w14:schemeClr w14:val="tx1"/>
                  </w14:solidFill>
                </w14:textFill>
              </w:rPr>
            </w:pPr>
            <w:r>
              <w:rPr>
                <w:rFonts w:hint="eastAsia" w:ascii="方正小标宋简体" w:hAnsi="宋体" w:eastAsia="方正小标宋简体"/>
                <w:color w:val="000000" w:themeColor="text1"/>
                <w:sz w:val="20"/>
                <w:szCs w:val="20"/>
                <w14:textFill>
                  <w14:solidFill>
                    <w14:schemeClr w14:val="tx1"/>
                  </w14:solidFill>
                </w14:textFill>
              </w:rPr>
              <w:t>文件要求</w:t>
            </w:r>
          </w:p>
        </w:tc>
        <w:tc>
          <w:tcPr>
            <w:tcW w:w="2775" w:type="dxa"/>
            <w:vAlign w:val="center"/>
          </w:tcPr>
          <w:p>
            <w:pPr>
              <w:spacing w:line="360" w:lineRule="auto"/>
              <w:jc w:val="center"/>
              <w:rPr>
                <w:rFonts w:ascii="方正小标宋简体" w:hAnsi="宋体" w:eastAsia="方正小标宋简体"/>
                <w:color w:val="000000" w:themeColor="text1"/>
                <w:sz w:val="20"/>
                <w:szCs w:val="20"/>
                <w14:textFill>
                  <w14:solidFill>
                    <w14:schemeClr w14:val="tx1"/>
                  </w14:solidFill>
                </w14:textFill>
              </w:rPr>
            </w:pPr>
            <w:r>
              <w:rPr>
                <w:rFonts w:hint="eastAsia" w:ascii="方正小标宋简体" w:hAnsi="宋体" w:eastAsia="方正小标宋简体"/>
                <w:color w:val="000000" w:themeColor="text1"/>
                <w:sz w:val="20"/>
                <w:szCs w:val="20"/>
                <w14:textFill>
                  <w14:solidFill>
                    <w14:schemeClr w14:val="tx1"/>
                  </w14:solidFill>
                </w14:textFill>
              </w:rPr>
              <w:t>响应应答</w:t>
            </w:r>
          </w:p>
        </w:tc>
        <w:tc>
          <w:tcPr>
            <w:tcW w:w="2175" w:type="dxa"/>
            <w:vAlign w:val="center"/>
          </w:tcPr>
          <w:p>
            <w:pPr>
              <w:spacing w:line="360" w:lineRule="auto"/>
              <w:jc w:val="center"/>
              <w:rPr>
                <w:rFonts w:ascii="方正小标宋简体" w:hAnsi="宋体" w:eastAsia="方正小标宋简体"/>
                <w:color w:val="000000" w:themeColor="text1"/>
                <w:sz w:val="20"/>
                <w:szCs w:val="20"/>
                <w14:textFill>
                  <w14:solidFill>
                    <w14:schemeClr w14:val="tx1"/>
                  </w14:solidFill>
                </w14:textFill>
              </w:rPr>
            </w:pPr>
            <w:r>
              <w:rPr>
                <w:rFonts w:hint="eastAsia" w:ascii="方正小标宋简体" w:hAnsi="宋体" w:eastAsia="方正小标宋简体"/>
                <w:color w:val="000000" w:themeColor="text1"/>
                <w:sz w:val="20"/>
                <w:szCs w:val="20"/>
                <w14:textFill>
                  <w14:solidFill>
                    <w14:schemeClr w14:val="tx1"/>
                  </w14:solidFill>
                </w14:textFill>
              </w:rPr>
              <w:t>偏离情况</w:t>
            </w:r>
          </w:p>
        </w:tc>
        <w:tc>
          <w:tcPr>
            <w:tcW w:w="1507" w:type="dxa"/>
            <w:vAlign w:val="center"/>
          </w:tcPr>
          <w:p>
            <w:pPr>
              <w:spacing w:line="500" w:lineRule="exact"/>
              <w:jc w:val="center"/>
              <w:rPr>
                <w:color w:val="000000" w:themeColor="text1"/>
                <w:sz w:val="22"/>
                <w:szCs w:val="21"/>
                <w14:textFill>
                  <w14:solidFill>
                    <w14:schemeClr w14:val="tx1"/>
                  </w14:solidFill>
                </w14:textFill>
              </w:rPr>
            </w:pPr>
            <w:r>
              <w:rPr>
                <w:rFonts w:hint="eastAsia"/>
                <w:color w:val="000000" w:themeColor="text1"/>
                <w:sz w:val="22"/>
                <w:szCs w:val="21"/>
                <w14:textFill>
                  <w14:solidFill>
                    <w14:schemeClr w14:val="tx1"/>
                  </w14:solidFill>
                </w14:textFill>
              </w:rPr>
              <w:t>备注</w:t>
            </w:r>
          </w:p>
          <w:p>
            <w:pPr>
              <w:spacing w:line="360" w:lineRule="auto"/>
              <w:jc w:val="center"/>
              <w:rPr>
                <w:rFonts w:ascii="方正小标宋简体" w:hAnsi="宋体" w:eastAsia="方正小标宋简体"/>
                <w:color w:val="000000" w:themeColor="text1"/>
                <w:sz w:val="20"/>
                <w:szCs w:val="20"/>
                <w14:textFill>
                  <w14:solidFill>
                    <w14:schemeClr w14:val="tx1"/>
                  </w14:solidFill>
                </w14:textFill>
              </w:rPr>
            </w:pPr>
            <w:r>
              <w:rPr>
                <w:rFonts w:hint="eastAsia" w:ascii="方正小标宋简体" w:eastAsia="方正小标宋简体"/>
                <w:color w:val="000000" w:themeColor="text1"/>
                <w:sz w:val="16"/>
                <w:szCs w:val="16"/>
                <w14:textFill>
                  <w14:solidFill>
                    <w14:schemeClr w14:val="tx1"/>
                  </w14:solidFill>
                </w14:textFill>
              </w:rPr>
              <w:t>支撑材料所在页码（1.仅部分需提供；2.相应条款没有支撑材料的请填写“/”）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990"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1</w:t>
            </w:r>
          </w:p>
        </w:tc>
        <w:tc>
          <w:tcPr>
            <w:tcW w:w="1680" w:type="dxa"/>
            <w:vAlign w:val="center"/>
          </w:tcPr>
          <w:p>
            <w:pPr>
              <w:spacing w:line="360" w:lineRule="auto"/>
              <w:jc w:val="center"/>
              <w:rPr>
                <w:rFonts w:ascii="方正小标宋简体" w:hAnsi="宋体" w:eastAsia="方正小标宋简体"/>
                <w:sz w:val="20"/>
                <w:szCs w:val="20"/>
              </w:rPr>
            </w:pPr>
          </w:p>
        </w:tc>
        <w:tc>
          <w:tcPr>
            <w:tcW w:w="2775" w:type="dxa"/>
            <w:vAlign w:val="center"/>
          </w:tcPr>
          <w:p>
            <w:pPr>
              <w:spacing w:line="360" w:lineRule="auto"/>
              <w:ind w:left="277" w:hanging="264" w:hangingChars="132"/>
              <w:jc w:val="center"/>
              <w:rPr>
                <w:rFonts w:ascii="方正小标宋简体" w:hAnsi="宋体" w:eastAsia="方正小标宋简体"/>
                <w:sz w:val="20"/>
                <w:szCs w:val="20"/>
              </w:rPr>
            </w:pPr>
          </w:p>
        </w:tc>
        <w:tc>
          <w:tcPr>
            <w:tcW w:w="2175" w:type="dxa"/>
            <w:vAlign w:val="center"/>
          </w:tcPr>
          <w:p>
            <w:pPr>
              <w:spacing w:line="360" w:lineRule="auto"/>
              <w:ind w:left="277" w:hanging="264" w:hangingChars="132"/>
              <w:jc w:val="center"/>
              <w:rPr>
                <w:rFonts w:ascii="方正小标宋简体" w:hAnsi="宋体" w:eastAsia="方正小标宋简体"/>
                <w:sz w:val="20"/>
                <w:szCs w:val="20"/>
              </w:rPr>
            </w:pPr>
          </w:p>
        </w:tc>
        <w:tc>
          <w:tcPr>
            <w:tcW w:w="1507" w:type="dxa"/>
            <w:vAlign w:val="center"/>
          </w:tcPr>
          <w:p>
            <w:pPr>
              <w:spacing w:line="360" w:lineRule="auto"/>
              <w:ind w:left="277" w:hanging="264" w:hangingChars="132"/>
              <w:jc w:val="center"/>
              <w:rPr>
                <w:rFonts w:ascii="方正小标宋简体" w:hAnsi="宋体" w:eastAsia="方正小标宋简体"/>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990"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2</w:t>
            </w:r>
          </w:p>
        </w:tc>
        <w:tc>
          <w:tcPr>
            <w:tcW w:w="1680" w:type="dxa"/>
            <w:vAlign w:val="center"/>
          </w:tcPr>
          <w:p>
            <w:pPr>
              <w:spacing w:line="360" w:lineRule="auto"/>
              <w:jc w:val="center"/>
              <w:rPr>
                <w:rFonts w:ascii="方正小标宋简体" w:hAnsi="宋体" w:eastAsia="方正小标宋简体"/>
                <w:sz w:val="20"/>
                <w:szCs w:val="20"/>
              </w:rPr>
            </w:pPr>
          </w:p>
        </w:tc>
        <w:tc>
          <w:tcPr>
            <w:tcW w:w="2775" w:type="dxa"/>
            <w:vAlign w:val="center"/>
          </w:tcPr>
          <w:p>
            <w:pPr>
              <w:spacing w:line="360" w:lineRule="auto"/>
              <w:ind w:left="277" w:hanging="264" w:hangingChars="132"/>
              <w:jc w:val="center"/>
              <w:rPr>
                <w:rFonts w:ascii="方正小标宋简体" w:hAnsi="宋体" w:eastAsia="方正小标宋简体"/>
                <w:sz w:val="20"/>
                <w:szCs w:val="20"/>
              </w:rPr>
            </w:pPr>
          </w:p>
        </w:tc>
        <w:tc>
          <w:tcPr>
            <w:tcW w:w="2175" w:type="dxa"/>
            <w:vAlign w:val="center"/>
          </w:tcPr>
          <w:p>
            <w:pPr>
              <w:spacing w:line="360" w:lineRule="auto"/>
              <w:ind w:left="277" w:hanging="264" w:hangingChars="132"/>
              <w:jc w:val="center"/>
              <w:rPr>
                <w:rFonts w:ascii="方正小标宋简体" w:hAnsi="宋体" w:eastAsia="方正小标宋简体"/>
                <w:sz w:val="20"/>
                <w:szCs w:val="20"/>
              </w:rPr>
            </w:pPr>
          </w:p>
        </w:tc>
        <w:tc>
          <w:tcPr>
            <w:tcW w:w="1507" w:type="dxa"/>
            <w:vAlign w:val="center"/>
          </w:tcPr>
          <w:p>
            <w:pPr>
              <w:spacing w:line="360" w:lineRule="auto"/>
              <w:ind w:left="277" w:hanging="264" w:hangingChars="132"/>
              <w:jc w:val="center"/>
              <w:rPr>
                <w:rFonts w:ascii="方正小标宋简体" w:hAnsi="宋体" w:eastAsia="方正小标宋简体"/>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7" w:hRule="atLeast"/>
        </w:trPr>
        <w:tc>
          <w:tcPr>
            <w:tcW w:w="990"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3</w:t>
            </w:r>
          </w:p>
        </w:tc>
        <w:tc>
          <w:tcPr>
            <w:tcW w:w="1680" w:type="dxa"/>
            <w:vAlign w:val="center"/>
          </w:tcPr>
          <w:p>
            <w:pPr>
              <w:spacing w:line="360" w:lineRule="auto"/>
              <w:jc w:val="center"/>
              <w:rPr>
                <w:rFonts w:ascii="方正小标宋简体" w:hAnsi="宋体" w:eastAsia="方正小标宋简体"/>
                <w:sz w:val="20"/>
                <w:szCs w:val="20"/>
              </w:rPr>
            </w:pPr>
          </w:p>
        </w:tc>
        <w:tc>
          <w:tcPr>
            <w:tcW w:w="2775" w:type="dxa"/>
            <w:vAlign w:val="center"/>
          </w:tcPr>
          <w:p>
            <w:pPr>
              <w:spacing w:line="360" w:lineRule="auto"/>
              <w:jc w:val="center"/>
              <w:rPr>
                <w:rFonts w:ascii="方正小标宋简体" w:hAnsi="宋体" w:eastAsia="方正小标宋简体"/>
                <w:sz w:val="20"/>
                <w:szCs w:val="20"/>
              </w:rPr>
            </w:pPr>
          </w:p>
        </w:tc>
        <w:tc>
          <w:tcPr>
            <w:tcW w:w="2175" w:type="dxa"/>
            <w:vAlign w:val="center"/>
          </w:tcPr>
          <w:p>
            <w:pPr>
              <w:spacing w:line="360" w:lineRule="auto"/>
              <w:jc w:val="center"/>
              <w:rPr>
                <w:rFonts w:ascii="方正小标宋简体" w:hAnsi="宋体" w:eastAsia="方正小标宋简体"/>
                <w:sz w:val="20"/>
                <w:szCs w:val="20"/>
              </w:rPr>
            </w:pPr>
          </w:p>
        </w:tc>
        <w:tc>
          <w:tcPr>
            <w:tcW w:w="1507" w:type="dxa"/>
            <w:vAlign w:val="center"/>
          </w:tcPr>
          <w:p>
            <w:pPr>
              <w:spacing w:line="360" w:lineRule="auto"/>
              <w:jc w:val="center"/>
              <w:rPr>
                <w:rFonts w:ascii="方正小标宋简体" w:hAnsi="宋体" w:eastAsia="方正小标宋简体"/>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990"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4</w:t>
            </w:r>
          </w:p>
        </w:tc>
        <w:tc>
          <w:tcPr>
            <w:tcW w:w="1680" w:type="dxa"/>
            <w:vAlign w:val="center"/>
          </w:tcPr>
          <w:p>
            <w:pPr>
              <w:spacing w:line="360" w:lineRule="auto"/>
              <w:jc w:val="center"/>
              <w:rPr>
                <w:rFonts w:ascii="方正小标宋简体" w:hAnsi="宋体" w:eastAsia="方正小标宋简体"/>
                <w:sz w:val="20"/>
                <w:szCs w:val="20"/>
              </w:rPr>
            </w:pPr>
          </w:p>
        </w:tc>
        <w:tc>
          <w:tcPr>
            <w:tcW w:w="2775" w:type="dxa"/>
            <w:vAlign w:val="center"/>
          </w:tcPr>
          <w:p>
            <w:pPr>
              <w:spacing w:line="360" w:lineRule="auto"/>
              <w:jc w:val="center"/>
              <w:rPr>
                <w:rFonts w:ascii="方正小标宋简体" w:hAnsi="宋体" w:eastAsia="方正小标宋简体"/>
                <w:sz w:val="20"/>
                <w:szCs w:val="20"/>
              </w:rPr>
            </w:pPr>
          </w:p>
        </w:tc>
        <w:tc>
          <w:tcPr>
            <w:tcW w:w="2175" w:type="dxa"/>
            <w:vAlign w:val="center"/>
          </w:tcPr>
          <w:p>
            <w:pPr>
              <w:spacing w:line="360" w:lineRule="auto"/>
              <w:jc w:val="center"/>
              <w:rPr>
                <w:rFonts w:ascii="方正小标宋简体" w:hAnsi="宋体" w:eastAsia="方正小标宋简体"/>
                <w:sz w:val="20"/>
                <w:szCs w:val="20"/>
              </w:rPr>
            </w:pPr>
          </w:p>
        </w:tc>
        <w:tc>
          <w:tcPr>
            <w:tcW w:w="1507" w:type="dxa"/>
            <w:vAlign w:val="center"/>
          </w:tcPr>
          <w:p>
            <w:pPr>
              <w:spacing w:line="360" w:lineRule="auto"/>
              <w:jc w:val="center"/>
              <w:rPr>
                <w:rFonts w:ascii="方正小标宋简体" w:hAnsi="宋体" w:eastAsia="方正小标宋简体"/>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990"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5</w:t>
            </w:r>
          </w:p>
        </w:tc>
        <w:tc>
          <w:tcPr>
            <w:tcW w:w="1680" w:type="dxa"/>
            <w:vAlign w:val="center"/>
          </w:tcPr>
          <w:p>
            <w:pPr>
              <w:spacing w:line="360" w:lineRule="auto"/>
              <w:jc w:val="center"/>
              <w:rPr>
                <w:rFonts w:ascii="方正小标宋简体" w:hAnsi="宋体" w:eastAsia="方正小标宋简体"/>
                <w:sz w:val="20"/>
                <w:szCs w:val="20"/>
              </w:rPr>
            </w:pPr>
          </w:p>
        </w:tc>
        <w:tc>
          <w:tcPr>
            <w:tcW w:w="2775" w:type="dxa"/>
            <w:vAlign w:val="center"/>
          </w:tcPr>
          <w:p>
            <w:pPr>
              <w:spacing w:line="360" w:lineRule="auto"/>
              <w:jc w:val="center"/>
              <w:rPr>
                <w:rFonts w:ascii="方正小标宋简体" w:hAnsi="宋体" w:eastAsia="方正小标宋简体"/>
                <w:sz w:val="20"/>
                <w:szCs w:val="20"/>
              </w:rPr>
            </w:pPr>
          </w:p>
        </w:tc>
        <w:tc>
          <w:tcPr>
            <w:tcW w:w="2175" w:type="dxa"/>
            <w:vAlign w:val="center"/>
          </w:tcPr>
          <w:p>
            <w:pPr>
              <w:spacing w:line="360" w:lineRule="auto"/>
              <w:jc w:val="center"/>
              <w:rPr>
                <w:rFonts w:ascii="方正小标宋简体" w:hAnsi="宋体" w:eastAsia="方正小标宋简体"/>
                <w:sz w:val="20"/>
                <w:szCs w:val="20"/>
              </w:rPr>
            </w:pPr>
          </w:p>
        </w:tc>
        <w:tc>
          <w:tcPr>
            <w:tcW w:w="1507" w:type="dxa"/>
            <w:vAlign w:val="center"/>
          </w:tcPr>
          <w:p>
            <w:pPr>
              <w:spacing w:line="360" w:lineRule="auto"/>
              <w:jc w:val="center"/>
              <w:rPr>
                <w:rFonts w:ascii="方正小标宋简体" w:hAnsi="宋体" w:eastAsia="方正小标宋简体"/>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rPr>
        <w:tc>
          <w:tcPr>
            <w:tcW w:w="990" w:type="dxa"/>
            <w:vAlign w:val="center"/>
          </w:tcPr>
          <w:p>
            <w:pPr>
              <w:spacing w:line="360" w:lineRule="auto"/>
              <w:jc w:val="center"/>
              <w:rPr>
                <w:rFonts w:ascii="方正小标宋简体" w:hAnsi="宋体" w:eastAsia="方正小标宋简体"/>
                <w:sz w:val="20"/>
                <w:szCs w:val="20"/>
              </w:rPr>
            </w:pPr>
            <w:r>
              <w:rPr>
                <w:rFonts w:hint="eastAsia" w:ascii="方正小标宋简体" w:hAnsi="宋体" w:eastAsia="方正小标宋简体"/>
                <w:sz w:val="20"/>
                <w:szCs w:val="20"/>
              </w:rPr>
              <w:t>…</w:t>
            </w:r>
          </w:p>
        </w:tc>
        <w:tc>
          <w:tcPr>
            <w:tcW w:w="1680" w:type="dxa"/>
            <w:vAlign w:val="center"/>
          </w:tcPr>
          <w:p>
            <w:pPr>
              <w:spacing w:line="360" w:lineRule="auto"/>
              <w:jc w:val="center"/>
              <w:rPr>
                <w:rFonts w:ascii="方正小标宋简体" w:hAnsi="宋体" w:eastAsia="方正小标宋简体"/>
                <w:sz w:val="20"/>
                <w:szCs w:val="20"/>
              </w:rPr>
            </w:pPr>
          </w:p>
        </w:tc>
        <w:tc>
          <w:tcPr>
            <w:tcW w:w="2775" w:type="dxa"/>
            <w:vAlign w:val="center"/>
          </w:tcPr>
          <w:p>
            <w:pPr>
              <w:spacing w:line="360" w:lineRule="auto"/>
              <w:jc w:val="center"/>
              <w:rPr>
                <w:rFonts w:ascii="方正小标宋简体" w:hAnsi="宋体" w:eastAsia="方正小标宋简体"/>
                <w:sz w:val="20"/>
                <w:szCs w:val="20"/>
              </w:rPr>
            </w:pPr>
          </w:p>
        </w:tc>
        <w:tc>
          <w:tcPr>
            <w:tcW w:w="2175" w:type="dxa"/>
            <w:vAlign w:val="center"/>
          </w:tcPr>
          <w:p>
            <w:pPr>
              <w:spacing w:line="360" w:lineRule="auto"/>
              <w:jc w:val="center"/>
              <w:rPr>
                <w:rFonts w:ascii="方正小标宋简体" w:hAnsi="宋体" w:eastAsia="方正小标宋简体"/>
                <w:sz w:val="20"/>
                <w:szCs w:val="20"/>
              </w:rPr>
            </w:pPr>
          </w:p>
        </w:tc>
        <w:tc>
          <w:tcPr>
            <w:tcW w:w="1507" w:type="dxa"/>
            <w:vAlign w:val="center"/>
          </w:tcPr>
          <w:p>
            <w:pPr>
              <w:spacing w:line="360" w:lineRule="auto"/>
              <w:jc w:val="center"/>
              <w:rPr>
                <w:rFonts w:ascii="方正小标宋简体" w:hAnsi="宋体" w:eastAsia="方正小标宋简体"/>
                <w:sz w:val="20"/>
                <w:szCs w:val="20"/>
              </w:rPr>
            </w:pPr>
          </w:p>
        </w:tc>
      </w:tr>
    </w:tbl>
    <w:p>
      <w:pPr>
        <w:ind w:firstLine="565" w:firstLineChars="202"/>
        <w:rPr>
          <w:rFonts w:ascii="宋体" w:hAnsi="宋体"/>
          <w:sz w:val="28"/>
        </w:rPr>
      </w:pPr>
    </w:p>
    <w:p>
      <w:pPr>
        <w:spacing w:line="360" w:lineRule="auto"/>
        <w:rPr>
          <w:rFonts w:hint="eastAsia"/>
          <w:sz w:val="24"/>
        </w:rPr>
      </w:pPr>
      <w:r>
        <w:rPr>
          <w:rFonts w:hint="eastAsia"/>
          <w:sz w:val="24"/>
          <w:lang w:eastAsia="zh-CN"/>
        </w:rPr>
        <w:t>说明</w:t>
      </w:r>
      <w:r>
        <w:rPr>
          <w:rFonts w:hint="eastAsia"/>
          <w:sz w:val="24"/>
        </w:rPr>
        <w:t>：1、</w:t>
      </w:r>
      <w:r>
        <w:rPr>
          <w:rFonts w:hint="eastAsia" w:ascii="Times New Roman" w:hAnsi="Times New Roman"/>
          <w:sz w:val="24"/>
        </w:rPr>
        <w:t xml:space="preserve"> 此表必须编入</w:t>
      </w:r>
      <w:r>
        <w:rPr>
          <w:rFonts w:hint="eastAsia" w:ascii="Times New Roman" w:hAnsi="Times New Roman"/>
          <w:sz w:val="24"/>
          <w:lang w:eastAsia="zh-CN"/>
        </w:rPr>
        <w:t>投标</w:t>
      </w:r>
      <w:r>
        <w:rPr>
          <w:rFonts w:hint="eastAsia" w:ascii="Times New Roman" w:hAnsi="Times New Roman"/>
          <w:sz w:val="24"/>
        </w:rPr>
        <w:t>文件中，若</w:t>
      </w:r>
      <w:r>
        <w:rPr>
          <w:rFonts w:hint="eastAsia" w:ascii="Times New Roman" w:hAnsi="Times New Roman"/>
          <w:sz w:val="24"/>
          <w:lang w:eastAsia="zh-CN"/>
        </w:rPr>
        <w:t>商务、服务</w:t>
      </w:r>
      <w:r>
        <w:rPr>
          <w:rFonts w:hint="eastAsia" w:ascii="Times New Roman" w:hAnsi="Times New Roman"/>
          <w:sz w:val="24"/>
        </w:rPr>
        <w:t>无偏离，可不填写内容。</w:t>
      </w:r>
      <w:r>
        <w:rPr>
          <w:rFonts w:hint="eastAsia"/>
          <w:sz w:val="24"/>
        </w:rPr>
        <w:t>否则供应商必须根据第</w:t>
      </w:r>
      <w:r>
        <w:rPr>
          <w:rFonts w:hint="eastAsia"/>
          <w:sz w:val="24"/>
          <w:lang w:eastAsia="zh-CN"/>
        </w:rPr>
        <w:t>四</w:t>
      </w:r>
      <w:r>
        <w:rPr>
          <w:rFonts w:hint="eastAsia"/>
          <w:sz w:val="24"/>
        </w:rPr>
        <w:t>章商务</w:t>
      </w:r>
      <w:r>
        <w:rPr>
          <w:rFonts w:hint="eastAsia"/>
          <w:sz w:val="24"/>
          <w:lang w:eastAsia="zh-CN"/>
        </w:rPr>
        <w:t>、服务</w:t>
      </w:r>
      <w:r>
        <w:rPr>
          <w:rFonts w:hint="eastAsia"/>
          <w:sz w:val="24"/>
        </w:rPr>
        <w:t>要求逐一据实填写，虚假应答将取消其</w:t>
      </w:r>
      <w:r>
        <w:rPr>
          <w:rFonts w:hint="eastAsia"/>
          <w:sz w:val="24"/>
          <w:lang w:eastAsia="zh-CN"/>
        </w:rPr>
        <w:t>投标</w:t>
      </w:r>
      <w:r>
        <w:rPr>
          <w:rFonts w:hint="eastAsia"/>
          <w:sz w:val="24"/>
        </w:rPr>
        <w:t>或</w:t>
      </w:r>
      <w:r>
        <w:rPr>
          <w:rFonts w:hint="eastAsia"/>
          <w:sz w:val="24"/>
          <w:lang w:eastAsia="zh-CN"/>
        </w:rPr>
        <w:t>中标</w:t>
      </w:r>
      <w:r>
        <w:rPr>
          <w:rFonts w:hint="eastAsia"/>
          <w:sz w:val="24"/>
        </w:rPr>
        <w:t>资格。如第</w:t>
      </w:r>
      <w:r>
        <w:rPr>
          <w:rFonts w:hint="eastAsia"/>
          <w:sz w:val="24"/>
          <w:lang w:eastAsia="zh-CN"/>
        </w:rPr>
        <w:t>四</w:t>
      </w:r>
      <w:r>
        <w:rPr>
          <w:rFonts w:hint="eastAsia"/>
          <w:sz w:val="24"/>
        </w:rPr>
        <w:t>章有要求证明材料的，还需提供对应证明材料。</w:t>
      </w:r>
    </w:p>
    <w:p>
      <w:pPr>
        <w:spacing w:line="360" w:lineRule="auto"/>
        <w:rPr>
          <w:rFonts w:ascii="宋体" w:hAnsi="宋体"/>
          <w:sz w:val="24"/>
          <w:szCs w:val="24"/>
        </w:rPr>
      </w:pPr>
      <w:r>
        <w:rPr>
          <w:rFonts w:hint="eastAsia"/>
          <w:sz w:val="24"/>
          <w:lang w:val="en-US" w:eastAsia="zh-CN"/>
        </w:rPr>
        <w:t>2、</w:t>
      </w:r>
      <w:r>
        <w:rPr>
          <w:rFonts w:hint="eastAsia"/>
          <w:sz w:val="24"/>
        </w:rPr>
        <w:t>偏离情况一列填写“无偏离”或“负偏离”或“正偏离”</w:t>
      </w:r>
      <w:r>
        <w:rPr>
          <w:rFonts w:hint="eastAsia" w:ascii="宋体" w:hAnsi="宋体"/>
          <w:sz w:val="24"/>
          <w:szCs w:val="24"/>
        </w:rPr>
        <w:t>。</w:t>
      </w:r>
    </w:p>
    <w:p>
      <w:pPr>
        <w:pStyle w:val="17"/>
      </w:pPr>
      <w:r>
        <w:rPr>
          <w:rFonts w:hint="eastAsia"/>
          <w:sz w:val="24"/>
          <w:lang w:val="en-US" w:eastAsia="zh-CN"/>
        </w:rPr>
        <w:t>3、</w:t>
      </w:r>
      <w:bookmarkStart w:id="147" w:name="_Hlk527459744"/>
      <w:r>
        <w:rPr>
          <w:rFonts w:hint="eastAsia"/>
          <w:sz w:val="24"/>
        </w:rPr>
        <w:t>若此表篇幅不足，由供应商自行添加。</w:t>
      </w:r>
      <w:bookmarkEnd w:id="147"/>
    </w:p>
    <w:p>
      <w:pPr>
        <w:spacing w:after="120" w:line="360" w:lineRule="auto"/>
        <w:ind w:left="420" w:leftChars="200"/>
        <w:rPr>
          <w:rFonts w:ascii="宋体" w:hAnsi="宋体"/>
          <w:bCs/>
          <w:sz w:val="24"/>
          <w:szCs w:val="24"/>
        </w:rPr>
      </w:pPr>
      <w:r>
        <w:rPr>
          <w:rFonts w:hint="eastAsia" w:ascii="宋体" w:hAnsi="宋体"/>
          <w:bCs/>
          <w:sz w:val="24"/>
          <w:szCs w:val="24"/>
        </w:rPr>
        <w:t>投标人名称：</w:t>
      </w:r>
      <w:r>
        <w:rPr>
          <w:rFonts w:hint="eastAsia" w:ascii="宋体" w:hAnsi="宋体"/>
          <w:bCs/>
          <w:sz w:val="24"/>
          <w:szCs w:val="24"/>
          <w:u w:val="single"/>
        </w:rPr>
        <w:t>XXXX</w:t>
      </w:r>
    </w:p>
    <w:p>
      <w:pPr>
        <w:adjustRightInd w:val="0"/>
        <w:spacing w:line="400" w:lineRule="exact"/>
        <w:ind w:firstLine="360" w:firstLineChars="150"/>
        <w:rPr>
          <w:rFonts w:hint="eastAsia" w:ascii="宋体" w:hAnsi="宋体"/>
          <w:bCs/>
          <w:sz w:val="24"/>
          <w:szCs w:val="21"/>
        </w:rPr>
      </w:pPr>
      <w:r>
        <w:rPr>
          <w:rFonts w:hint="eastAsia" w:ascii="宋体" w:hAnsi="宋体"/>
          <w:sz w:val="24"/>
          <w:szCs w:val="21"/>
        </w:rPr>
        <w:t>日期：</w:t>
      </w:r>
      <w:r>
        <w:rPr>
          <w:rFonts w:hint="eastAsia" w:ascii="宋体" w:hAnsi="宋体"/>
          <w:bCs/>
          <w:sz w:val="24"/>
          <w:szCs w:val="21"/>
        </w:rPr>
        <w:t>202</w:t>
      </w:r>
      <w:r>
        <w:rPr>
          <w:rFonts w:hint="eastAsia" w:ascii="宋体" w:hAnsi="宋体"/>
          <w:bCs/>
          <w:sz w:val="24"/>
          <w:szCs w:val="21"/>
          <w:u w:val="single"/>
        </w:rPr>
        <w:t>X</w:t>
      </w:r>
      <w:r>
        <w:rPr>
          <w:rFonts w:hint="eastAsia" w:ascii="宋体" w:hAnsi="宋体"/>
          <w:bCs/>
          <w:sz w:val="24"/>
          <w:szCs w:val="21"/>
        </w:rPr>
        <w:t>年</w:t>
      </w:r>
      <w:r>
        <w:rPr>
          <w:rFonts w:hint="eastAsia" w:ascii="宋体" w:hAnsi="宋体"/>
          <w:bCs/>
          <w:sz w:val="24"/>
          <w:szCs w:val="21"/>
          <w:u w:val="single"/>
        </w:rPr>
        <w:t>XX</w:t>
      </w:r>
      <w:r>
        <w:rPr>
          <w:rFonts w:hint="eastAsia" w:ascii="宋体" w:hAnsi="宋体"/>
          <w:bCs/>
          <w:sz w:val="24"/>
          <w:szCs w:val="21"/>
        </w:rPr>
        <w:t>月</w:t>
      </w:r>
      <w:r>
        <w:rPr>
          <w:rFonts w:hint="eastAsia" w:ascii="宋体" w:hAnsi="宋体"/>
          <w:bCs/>
          <w:sz w:val="24"/>
          <w:szCs w:val="21"/>
          <w:u w:val="single"/>
        </w:rPr>
        <w:t>XX</w:t>
      </w:r>
      <w:r>
        <w:rPr>
          <w:rFonts w:hint="eastAsia" w:ascii="宋体" w:hAnsi="宋体"/>
          <w:bCs/>
          <w:sz w:val="24"/>
          <w:szCs w:val="21"/>
        </w:rPr>
        <w:t>日</w:t>
      </w:r>
    </w:p>
    <w:p>
      <w:pPr>
        <w:rPr>
          <w:rFonts w:hint="eastAsia" w:ascii="宋体" w:hAnsi="宋体"/>
          <w:bCs/>
          <w:sz w:val="24"/>
          <w:szCs w:val="21"/>
        </w:rPr>
      </w:pPr>
      <w:r>
        <w:rPr>
          <w:rFonts w:hint="eastAsia" w:ascii="宋体" w:hAnsi="宋体"/>
          <w:bCs/>
          <w:sz w:val="24"/>
          <w:szCs w:val="21"/>
        </w:rPr>
        <w:br w:type="page"/>
      </w:r>
    </w:p>
    <w:p>
      <w:pPr>
        <w:keepNext/>
        <w:keepLines/>
        <w:numPr>
          <w:ilvl w:val="2"/>
          <w:numId w:val="3"/>
        </w:numPr>
        <w:spacing w:line="360" w:lineRule="auto"/>
        <w:outlineLvl w:val="2"/>
        <w:rPr>
          <w:rFonts w:ascii="宋体" w:hAnsi="宋体"/>
          <w:b/>
          <w:sz w:val="28"/>
          <w:szCs w:val="28"/>
        </w:rPr>
      </w:pPr>
      <w:r>
        <w:rPr>
          <w:rFonts w:hint="eastAsia" w:ascii="宋体" w:hAnsi="宋体"/>
          <w:b/>
          <w:sz w:val="28"/>
          <w:szCs w:val="28"/>
        </w:rPr>
        <w:t>承诺函</w:t>
      </w:r>
    </w:p>
    <w:p>
      <w:pPr>
        <w:snapToGrid w:val="0"/>
        <w:spacing w:line="360" w:lineRule="auto"/>
        <w:ind w:left="1205" w:leftChars="0" w:hanging="1205" w:hangingChars="500"/>
        <w:rPr>
          <w:rFonts w:ascii="宋体" w:hAnsi="宋体"/>
          <w:b/>
          <w:sz w:val="24"/>
          <w:szCs w:val="24"/>
        </w:rPr>
      </w:pPr>
      <w:r>
        <w:rPr>
          <w:rFonts w:hint="eastAsia" w:ascii="宋体" w:hAnsi="宋体"/>
          <w:b/>
          <w:sz w:val="24"/>
          <w:szCs w:val="24"/>
        </w:rPr>
        <w:t>项目名称：</w:t>
      </w:r>
      <w:r>
        <w:rPr>
          <w:rFonts w:hint="eastAsia" w:ascii="宋体" w:hAnsi="宋体"/>
          <w:b/>
          <w:sz w:val="24"/>
          <w:szCs w:val="21"/>
        </w:rPr>
        <w:t>成都市武侯区机关事务中心农副食品，动、植物油制品（第一办公区食材）采购项目</w:t>
      </w:r>
    </w:p>
    <w:p>
      <w:pPr>
        <w:snapToGrid w:val="0"/>
        <w:spacing w:line="360" w:lineRule="auto"/>
        <w:rPr>
          <w:rFonts w:hint="eastAsia" w:ascii="宋体" w:hAnsi="宋体" w:eastAsia="宋体"/>
          <w:b/>
          <w:sz w:val="24"/>
          <w:szCs w:val="24"/>
          <w:lang w:eastAsia="zh-CN"/>
        </w:rPr>
      </w:pPr>
      <w:r>
        <w:rPr>
          <w:rFonts w:hint="eastAsia" w:ascii="宋体" w:hAnsi="宋体"/>
          <w:b/>
          <w:sz w:val="24"/>
          <w:szCs w:val="24"/>
        </w:rPr>
        <w:t>项目编号：</w:t>
      </w:r>
      <w:r>
        <w:rPr>
          <w:rFonts w:hint="eastAsia" w:ascii="宋体" w:hAnsi="宋体"/>
          <w:b/>
          <w:sz w:val="24"/>
          <w:szCs w:val="24"/>
          <w:u w:val="single"/>
          <w:lang w:eastAsia="zh-CN"/>
        </w:rPr>
        <w:t>武侯政采（2022）A0006号</w:t>
      </w:r>
    </w:p>
    <w:p>
      <w:pPr>
        <w:snapToGrid w:val="0"/>
        <w:spacing w:line="360" w:lineRule="auto"/>
        <w:rPr>
          <w:rFonts w:ascii="宋体" w:hAnsi="宋体"/>
          <w:b/>
          <w:sz w:val="24"/>
          <w:szCs w:val="24"/>
        </w:rPr>
      </w:pPr>
    </w:p>
    <w:p>
      <w:pPr>
        <w:snapToGrid w:val="0"/>
        <w:spacing w:line="360" w:lineRule="auto"/>
        <w:ind w:firstLine="480" w:firstLineChars="200"/>
        <w:rPr>
          <w:rFonts w:ascii="宋体" w:hAnsi="宋体"/>
          <w:sz w:val="24"/>
          <w:szCs w:val="21"/>
        </w:rPr>
      </w:pPr>
      <w:r>
        <w:rPr>
          <w:rFonts w:hint="eastAsia" w:ascii="宋体" w:hAnsi="宋体"/>
          <w:sz w:val="24"/>
          <w:szCs w:val="21"/>
        </w:rPr>
        <w:t>我公司作为本项目供应商，在此郑重承诺：</w:t>
      </w:r>
    </w:p>
    <w:p>
      <w:pPr>
        <w:pStyle w:val="230"/>
        <w:widowControl w:val="0"/>
        <w:numPr>
          <w:ilvl w:val="0"/>
          <w:numId w:val="34"/>
        </w:numPr>
        <w:tabs>
          <w:tab w:val="left" w:pos="1134"/>
        </w:tabs>
        <w:snapToGrid w:val="0"/>
        <w:spacing w:before="60" w:after="200" w:line="360" w:lineRule="auto"/>
        <w:ind w:left="0" w:right="210" w:firstLine="567" w:firstLineChars="0"/>
        <w:jc w:val="both"/>
        <w:rPr>
          <w:rFonts w:ascii="宋体" w:hAnsi="宋体"/>
          <w:sz w:val="24"/>
          <w:szCs w:val="24"/>
        </w:rPr>
      </w:pPr>
      <w:r>
        <w:rPr>
          <w:rFonts w:hint="eastAsia" w:asciiTheme="minorEastAsia" w:hAnsiTheme="minorEastAsia"/>
          <w:sz w:val="24"/>
          <w:szCs w:val="24"/>
        </w:rPr>
        <w:t>为本项目提供的所有产品、辅材中属于《国家强制性产品认证目录》范围内产品的，均通过国家强制性产品认证并取得认证证书。</w:t>
      </w:r>
    </w:p>
    <w:p>
      <w:pPr>
        <w:pStyle w:val="230"/>
        <w:widowControl w:val="0"/>
        <w:numPr>
          <w:ilvl w:val="0"/>
          <w:numId w:val="34"/>
        </w:numPr>
        <w:tabs>
          <w:tab w:val="left" w:pos="1134"/>
        </w:tabs>
        <w:snapToGrid w:val="0"/>
        <w:spacing w:before="60" w:after="200" w:line="360" w:lineRule="auto"/>
        <w:ind w:left="0" w:right="210" w:firstLine="567" w:firstLineChars="0"/>
        <w:jc w:val="both"/>
        <w:rPr>
          <w:rFonts w:asciiTheme="minorEastAsia" w:hAnsiTheme="minorEastAsia"/>
          <w:sz w:val="24"/>
          <w:szCs w:val="24"/>
        </w:rPr>
      </w:pPr>
      <w:r>
        <w:rPr>
          <w:rFonts w:hint="eastAsia" w:asciiTheme="minorEastAsia" w:hAnsiTheme="minorEastAsia"/>
          <w:sz w:val="24"/>
          <w:szCs w:val="24"/>
        </w:rPr>
        <w:t>为本项目提供的所有产品、辅材符合现行的强制性国家相关标准、行业标准。</w:t>
      </w:r>
    </w:p>
    <w:p>
      <w:pPr>
        <w:pStyle w:val="230"/>
        <w:widowControl w:val="0"/>
        <w:numPr>
          <w:ilvl w:val="0"/>
          <w:numId w:val="34"/>
        </w:numPr>
        <w:tabs>
          <w:tab w:val="left" w:pos="1134"/>
        </w:tabs>
        <w:snapToGrid w:val="0"/>
        <w:spacing w:before="60" w:after="200" w:line="360" w:lineRule="auto"/>
        <w:ind w:left="0" w:right="210" w:firstLine="567" w:firstLineChars="0"/>
        <w:jc w:val="both"/>
        <w:rPr>
          <w:rFonts w:asciiTheme="minorEastAsia" w:hAnsiTheme="minorEastAsia"/>
          <w:sz w:val="24"/>
          <w:szCs w:val="24"/>
        </w:rPr>
      </w:pPr>
      <w:r>
        <w:rPr>
          <w:rFonts w:hint="eastAsia" w:asciiTheme="minorEastAsia" w:hAnsiTheme="minorEastAsia"/>
          <w:sz w:val="24"/>
          <w:szCs w:val="24"/>
        </w:rPr>
        <w:t>为本项目实施涉及的商品包装和快递包装，均符合财政部等三部门联合印发商品包装和快递包装政府采购需求标准（试行）（财办库[2020]123号）的要求，包装适应于远距离运输、防潮、防震、防锈和防野蛮装卸，确保货物安全无损运抵指定地点。由于包装不善所引起的货物损失均由我公司承担。</w:t>
      </w:r>
    </w:p>
    <w:p>
      <w:pPr>
        <w:pStyle w:val="230"/>
        <w:widowControl w:val="0"/>
        <w:tabs>
          <w:tab w:val="left" w:pos="1134"/>
        </w:tabs>
        <w:snapToGrid w:val="0"/>
        <w:spacing w:before="60" w:after="200" w:line="360" w:lineRule="auto"/>
        <w:ind w:right="210" w:firstLine="560"/>
        <w:jc w:val="both"/>
        <w:rPr>
          <w:rFonts w:asciiTheme="minorEastAsia" w:hAnsiTheme="minorEastAsia"/>
          <w:sz w:val="24"/>
          <w:szCs w:val="24"/>
        </w:rPr>
      </w:pPr>
      <w:r>
        <w:rPr>
          <w:rFonts w:hint="eastAsia" w:asciiTheme="minorEastAsia" w:hAnsiTheme="minorEastAsia"/>
          <w:sz w:val="24"/>
          <w:szCs w:val="24"/>
        </w:rPr>
        <w:t>四、参加本次采购活动，我方完全同意招标文件第二章关于 “投标费用”、“知识产权”、“合同分包和转包”、“履约保证金”等实质性要求，并承诺严格按照招标文件要求履行。</w:t>
      </w:r>
    </w:p>
    <w:p>
      <w:pPr>
        <w:pStyle w:val="230"/>
        <w:widowControl w:val="0"/>
        <w:tabs>
          <w:tab w:val="left" w:pos="1134"/>
        </w:tabs>
        <w:snapToGrid w:val="0"/>
        <w:spacing w:before="60" w:after="200" w:line="360" w:lineRule="auto"/>
        <w:ind w:right="210" w:firstLine="560"/>
        <w:jc w:val="both"/>
        <w:rPr>
          <w:rFonts w:asciiTheme="minorEastAsia" w:hAnsiTheme="minorEastAsia"/>
          <w:sz w:val="24"/>
          <w:szCs w:val="24"/>
          <w:lang w:val="en-US"/>
        </w:rPr>
      </w:pPr>
      <w:r>
        <w:rPr>
          <w:rFonts w:hint="eastAsia" w:asciiTheme="minorEastAsia" w:hAnsiTheme="minorEastAsia"/>
          <w:sz w:val="24"/>
          <w:szCs w:val="24"/>
          <w:lang w:val="en-US"/>
        </w:rPr>
        <w:t>我方对上述承诺的内容事项真实性负责。如经查实上述承诺的内容事项存在虚假，我方愿意接受以提供虚假材料谋取成交的法律责任。</w:t>
      </w:r>
    </w:p>
    <w:p>
      <w:pPr>
        <w:snapToGrid w:val="0"/>
        <w:spacing w:line="360" w:lineRule="auto"/>
        <w:ind w:firstLine="480" w:firstLineChars="200"/>
        <w:rPr>
          <w:sz w:val="20"/>
          <w:szCs w:val="21"/>
        </w:rPr>
      </w:pPr>
      <w:r>
        <w:rPr>
          <w:rFonts w:hint="eastAsia" w:ascii="宋体" w:hAnsi="宋体"/>
          <w:sz w:val="24"/>
          <w:szCs w:val="24"/>
        </w:rPr>
        <w:t>特此承诺。</w:t>
      </w:r>
    </w:p>
    <w:p>
      <w:pPr>
        <w:snapToGrid w:val="0"/>
        <w:spacing w:line="360" w:lineRule="auto"/>
        <w:ind w:firstLine="480" w:firstLineChars="200"/>
        <w:rPr>
          <w:rFonts w:ascii="宋体" w:hAnsi="宋体"/>
          <w:sz w:val="24"/>
          <w:szCs w:val="24"/>
        </w:rPr>
      </w:pPr>
    </w:p>
    <w:p>
      <w:pPr>
        <w:spacing w:after="120" w:line="360" w:lineRule="auto"/>
        <w:ind w:left="420" w:leftChars="200"/>
        <w:rPr>
          <w:rFonts w:ascii="宋体" w:hAnsi="宋体"/>
          <w:bCs/>
          <w:sz w:val="24"/>
          <w:szCs w:val="24"/>
        </w:rPr>
      </w:pPr>
      <w:r>
        <w:rPr>
          <w:rFonts w:hint="eastAsia" w:ascii="宋体" w:hAnsi="宋体"/>
          <w:bCs/>
          <w:sz w:val="24"/>
          <w:szCs w:val="24"/>
        </w:rPr>
        <w:t>供应商名称：</w:t>
      </w:r>
      <w:r>
        <w:rPr>
          <w:rFonts w:hint="eastAsia" w:ascii="宋体" w:hAnsi="宋体"/>
          <w:bCs/>
          <w:sz w:val="24"/>
          <w:szCs w:val="24"/>
          <w:u w:val="single"/>
        </w:rPr>
        <w:t>XXXX</w:t>
      </w:r>
    </w:p>
    <w:p>
      <w:pPr>
        <w:adjustRightInd w:val="0"/>
        <w:spacing w:line="400" w:lineRule="exact"/>
        <w:ind w:firstLine="360" w:firstLineChars="150"/>
        <w:rPr>
          <w:rFonts w:hint="eastAsia" w:ascii="宋体" w:hAnsi="宋体"/>
          <w:bCs/>
          <w:sz w:val="24"/>
          <w:szCs w:val="21"/>
        </w:rPr>
      </w:pPr>
      <w:r>
        <w:rPr>
          <w:rFonts w:hint="eastAsia" w:ascii="宋体" w:hAnsi="宋体"/>
          <w:sz w:val="24"/>
          <w:szCs w:val="21"/>
        </w:rPr>
        <w:t>日期：</w:t>
      </w:r>
      <w:r>
        <w:rPr>
          <w:rFonts w:hint="eastAsia" w:ascii="宋体" w:hAnsi="宋体"/>
          <w:bCs/>
          <w:sz w:val="24"/>
          <w:szCs w:val="21"/>
        </w:rPr>
        <w:t>202</w:t>
      </w:r>
      <w:r>
        <w:rPr>
          <w:rFonts w:hint="eastAsia" w:ascii="宋体" w:hAnsi="宋体"/>
          <w:bCs/>
          <w:sz w:val="24"/>
          <w:szCs w:val="21"/>
          <w:u w:val="single"/>
        </w:rPr>
        <w:t>X</w:t>
      </w:r>
      <w:r>
        <w:rPr>
          <w:rFonts w:hint="eastAsia" w:ascii="宋体" w:hAnsi="宋体"/>
          <w:bCs/>
          <w:sz w:val="24"/>
          <w:szCs w:val="21"/>
        </w:rPr>
        <w:t>年</w:t>
      </w:r>
      <w:r>
        <w:rPr>
          <w:rFonts w:hint="eastAsia" w:ascii="宋体" w:hAnsi="宋体"/>
          <w:bCs/>
          <w:sz w:val="24"/>
          <w:szCs w:val="21"/>
          <w:u w:val="single"/>
        </w:rPr>
        <w:t>XX</w:t>
      </w:r>
      <w:r>
        <w:rPr>
          <w:rFonts w:hint="eastAsia" w:ascii="宋体" w:hAnsi="宋体"/>
          <w:bCs/>
          <w:sz w:val="24"/>
          <w:szCs w:val="21"/>
        </w:rPr>
        <w:t>月</w:t>
      </w:r>
      <w:r>
        <w:rPr>
          <w:rFonts w:hint="eastAsia" w:ascii="宋体" w:hAnsi="宋体"/>
          <w:bCs/>
          <w:sz w:val="24"/>
          <w:szCs w:val="21"/>
          <w:u w:val="single"/>
        </w:rPr>
        <w:t>XX</w:t>
      </w:r>
      <w:r>
        <w:rPr>
          <w:rFonts w:hint="eastAsia" w:ascii="宋体" w:hAnsi="宋体"/>
          <w:bCs/>
          <w:sz w:val="24"/>
          <w:szCs w:val="21"/>
        </w:rPr>
        <w:t>日</w:t>
      </w:r>
    </w:p>
    <w:p>
      <w:pPr>
        <w:pStyle w:val="17"/>
        <w:rPr>
          <w:rFonts w:hint="eastAsia"/>
          <w:lang w:val="en-US" w:eastAsia="zh-CN"/>
        </w:rPr>
      </w:pPr>
      <w:r>
        <w:rPr>
          <w:rFonts w:hint="eastAsia"/>
          <w:lang w:val="en-US" w:eastAsia="zh-CN"/>
        </w:rPr>
        <w:t>—————————————————————————————————————————</w:t>
      </w:r>
    </w:p>
    <w:p>
      <w:pPr>
        <w:pStyle w:val="17"/>
        <w:rPr>
          <w:rFonts w:hint="eastAsia"/>
          <w:lang w:eastAsia="zh-CN"/>
        </w:rPr>
      </w:pPr>
      <w:r>
        <w:rPr>
          <w:rFonts w:hint="eastAsia"/>
          <w:lang w:eastAsia="zh-CN"/>
        </w:rPr>
        <w:t>注：采购文件载明需提供证书的按要求提供。</w:t>
      </w:r>
    </w:p>
    <w:p>
      <w:pPr>
        <w:rPr>
          <w:rFonts w:hint="eastAsia"/>
          <w:lang w:eastAsia="zh-CN"/>
        </w:rPr>
      </w:pPr>
      <w:r>
        <w:rPr>
          <w:rFonts w:hint="eastAsia"/>
          <w:lang w:eastAsia="zh-CN"/>
        </w:rPr>
        <w:br w:type="page"/>
      </w:r>
    </w:p>
    <w:p>
      <w:pPr>
        <w:keepNext/>
        <w:keepLines/>
        <w:numPr>
          <w:ilvl w:val="1"/>
          <w:numId w:val="3"/>
        </w:numPr>
        <w:spacing w:line="360" w:lineRule="auto"/>
        <w:jc w:val="left"/>
        <w:outlineLvl w:val="1"/>
        <w:rPr>
          <w:rFonts w:ascii="宋体" w:hAnsi="宋体"/>
          <w:b/>
          <w:bCs/>
          <w:sz w:val="24"/>
          <w:szCs w:val="24"/>
        </w:rPr>
      </w:pPr>
      <w:bookmarkStart w:id="148" w:name="_Toc4971"/>
      <w:r>
        <w:rPr>
          <w:rFonts w:hint="eastAsia" w:ascii="宋体" w:hAnsi="宋体"/>
          <w:b/>
          <w:bCs/>
          <w:sz w:val="24"/>
          <w:szCs w:val="24"/>
        </w:rPr>
        <w:t>报价</w:t>
      </w:r>
      <w:r>
        <w:rPr>
          <w:rFonts w:ascii="宋体" w:hAnsi="宋体"/>
          <w:b/>
          <w:bCs/>
          <w:sz w:val="24"/>
          <w:szCs w:val="24"/>
        </w:rPr>
        <w:t>要求响应文件</w:t>
      </w:r>
      <w:bookmarkEnd w:id="148"/>
    </w:p>
    <w:p>
      <w:pPr>
        <w:keepNext/>
        <w:keepLines/>
        <w:numPr>
          <w:ilvl w:val="2"/>
          <w:numId w:val="3"/>
        </w:numPr>
        <w:spacing w:line="360" w:lineRule="auto"/>
        <w:outlineLvl w:val="2"/>
        <w:rPr>
          <w:rFonts w:ascii="宋体" w:hAnsi="宋体"/>
          <w:b/>
          <w:bCs/>
          <w:sz w:val="24"/>
          <w:szCs w:val="24"/>
        </w:rPr>
      </w:pPr>
      <w:r>
        <w:rPr>
          <w:rFonts w:hint="eastAsia" w:ascii="宋体" w:hAnsi="宋体"/>
          <w:b/>
          <w:bCs/>
          <w:sz w:val="24"/>
          <w:szCs w:val="24"/>
        </w:rPr>
        <w:t>开标</w:t>
      </w:r>
      <w:r>
        <w:rPr>
          <w:rFonts w:ascii="宋体" w:hAnsi="宋体"/>
          <w:b/>
          <w:bCs/>
          <w:sz w:val="24"/>
          <w:szCs w:val="24"/>
        </w:rPr>
        <w:t>一览表</w:t>
      </w:r>
    </w:p>
    <w:p>
      <w:pPr>
        <w:tabs>
          <w:tab w:val="left" w:pos="1134"/>
        </w:tabs>
        <w:spacing w:line="560" w:lineRule="exact"/>
        <w:ind w:left="1261" w:leftChars="174" w:hanging="896" w:hangingChars="372"/>
        <w:rPr>
          <w:rFonts w:hint="eastAsia" w:ascii="宋体" w:hAnsi="宋体"/>
          <w:b/>
          <w:sz w:val="24"/>
          <w:szCs w:val="21"/>
        </w:rPr>
      </w:pPr>
      <w:r>
        <w:rPr>
          <w:rFonts w:hint="eastAsia" w:ascii="宋体" w:hAnsi="宋体"/>
          <w:b/>
          <w:bCs/>
          <w:sz w:val="24"/>
          <w:szCs w:val="24"/>
        </w:rPr>
        <w:t>标项1：</w:t>
      </w:r>
      <w:r>
        <w:rPr>
          <w:rFonts w:hint="eastAsia" w:ascii="宋体" w:hAnsi="宋体"/>
          <w:b/>
          <w:sz w:val="24"/>
          <w:szCs w:val="21"/>
        </w:rPr>
        <w:t>成都市武侯区机关事务中心农副食品，动、植物油制品（第一办公区食材）采购项目</w:t>
      </w:r>
    </w:p>
    <w:tbl>
      <w:tblPr>
        <w:tblStyle w:val="41"/>
        <w:tblW w:w="8601" w:type="dxa"/>
        <w:tblInd w:w="-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9"/>
        <w:gridCol w:w="3865"/>
        <w:gridCol w:w="3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trPr>
        <w:tc>
          <w:tcPr>
            <w:tcW w:w="999" w:type="dxa"/>
            <w:vAlign w:val="center"/>
          </w:tcPr>
          <w:p>
            <w:pPr>
              <w:spacing w:line="580" w:lineRule="exact"/>
              <w:jc w:val="center"/>
              <w:rPr>
                <w:rFonts w:ascii="宋体" w:hAnsi="宋体"/>
                <w:b/>
                <w:caps/>
                <w:sz w:val="24"/>
                <w:szCs w:val="24"/>
              </w:rPr>
            </w:pPr>
            <w:r>
              <w:rPr>
                <w:rFonts w:hint="eastAsia" w:ascii="宋体" w:hAnsi="宋体"/>
                <w:b/>
                <w:caps/>
                <w:sz w:val="24"/>
                <w:szCs w:val="24"/>
              </w:rPr>
              <w:t>序号</w:t>
            </w:r>
          </w:p>
        </w:tc>
        <w:tc>
          <w:tcPr>
            <w:tcW w:w="3865" w:type="dxa"/>
            <w:vAlign w:val="center"/>
          </w:tcPr>
          <w:p>
            <w:pPr>
              <w:spacing w:line="580" w:lineRule="exact"/>
              <w:jc w:val="center"/>
              <w:rPr>
                <w:rFonts w:ascii="宋体" w:hAnsi="宋体"/>
                <w:b/>
                <w:bCs/>
                <w:sz w:val="24"/>
                <w:szCs w:val="24"/>
              </w:rPr>
            </w:pPr>
            <w:r>
              <w:rPr>
                <w:rFonts w:hint="eastAsia" w:ascii="宋体" w:hAnsi="宋体"/>
                <w:b/>
                <w:bCs/>
                <w:sz w:val="24"/>
                <w:szCs w:val="24"/>
              </w:rPr>
              <w:t>类别</w:t>
            </w:r>
          </w:p>
        </w:tc>
        <w:tc>
          <w:tcPr>
            <w:tcW w:w="3737" w:type="dxa"/>
            <w:vAlign w:val="center"/>
          </w:tcPr>
          <w:p>
            <w:pPr>
              <w:spacing w:line="580" w:lineRule="exact"/>
              <w:jc w:val="center"/>
              <w:rPr>
                <w:rFonts w:ascii="宋体" w:hAnsi="宋体"/>
                <w:b/>
                <w:bCs/>
                <w:sz w:val="24"/>
                <w:szCs w:val="24"/>
              </w:rPr>
            </w:pPr>
            <w:r>
              <w:rPr>
                <w:rFonts w:hint="eastAsia" w:ascii="宋体" w:hAnsi="宋体"/>
                <w:b/>
                <w:bCs/>
                <w:sz w:val="24"/>
                <w:szCs w:val="24"/>
              </w:rPr>
              <w:t>投标报价【投标结算率（%）】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trPr>
        <w:tc>
          <w:tcPr>
            <w:tcW w:w="999" w:type="dxa"/>
            <w:vAlign w:val="center"/>
          </w:tcPr>
          <w:p>
            <w:pPr>
              <w:spacing w:line="580" w:lineRule="exact"/>
              <w:jc w:val="center"/>
              <w:rPr>
                <w:rFonts w:ascii="宋体" w:hAnsi="宋体"/>
                <w:sz w:val="24"/>
                <w:szCs w:val="24"/>
              </w:rPr>
            </w:pPr>
            <w:r>
              <w:rPr>
                <w:rFonts w:hint="eastAsia" w:ascii="宋体" w:hAnsi="宋体"/>
                <w:sz w:val="24"/>
                <w:szCs w:val="24"/>
              </w:rPr>
              <w:t>1</w:t>
            </w:r>
          </w:p>
        </w:tc>
        <w:tc>
          <w:tcPr>
            <w:tcW w:w="3865" w:type="dxa"/>
            <w:vAlign w:val="center"/>
          </w:tcPr>
          <w:p>
            <w:pPr>
              <w:spacing w:line="580" w:lineRule="exact"/>
              <w:jc w:val="center"/>
              <w:rPr>
                <w:rFonts w:ascii="宋体" w:hAnsi="宋体"/>
                <w:sz w:val="22"/>
              </w:rPr>
            </w:pPr>
            <w:r>
              <w:rPr>
                <w:rFonts w:hint="eastAsia" w:ascii="宋体"/>
                <w:sz w:val="22"/>
                <w:szCs w:val="28"/>
              </w:rPr>
              <w:t>米、面、油、奶制品、干货</w:t>
            </w:r>
            <w:r>
              <w:rPr>
                <w:rFonts w:hint="eastAsia" w:ascii="宋体"/>
                <w:sz w:val="22"/>
                <w:szCs w:val="28"/>
                <w:lang w:eastAsia="zh-CN"/>
              </w:rPr>
              <w:t>、</w:t>
            </w:r>
            <w:r>
              <w:rPr>
                <w:rFonts w:hint="eastAsia" w:ascii="宋体"/>
                <w:sz w:val="22"/>
                <w:szCs w:val="28"/>
              </w:rPr>
              <w:t>调料</w:t>
            </w:r>
          </w:p>
        </w:tc>
        <w:tc>
          <w:tcPr>
            <w:tcW w:w="3737" w:type="dxa"/>
            <w:vAlign w:val="center"/>
          </w:tcPr>
          <w:p>
            <w:pPr>
              <w:spacing w:line="58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999" w:type="dxa"/>
            <w:vAlign w:val="center"/>
          </w:tcPr>
          <w:p>
            <w:pPr>
              <w:spacing w:line="580" w:lineRule="exact"/>
              <w:jc w:val="center"/>
              <w:rPr>
                <w:rFonts w:ascii="宋体" w:hAnsi="宋体"/>
                <w:b/>
                <w:sz w:val="24"/>
                <w:szCs w:val="24"/>
              </w:rPr>
            </w:pPr>
            <w:r>
              <w:rPr>
                <w:rFonts w:hint="eastAsia" w:ascii="宋体" w:hAnsi="宋体"/>
                <w:b/>
                <w:sz w:val="24"/>
                <w:szCs w:val="24"/>
              </w:rPr>
              <w:t>2</w:t>
            </w:r>
          </w:p>
        </w:tc>
        <w:tc>
          <w:tcPr>
            <w:tcW w:w="3865" w:type="dxa"/>
            <w:vAlign w:val="center"/>
          </w:tcPr>
          <w:p>
            <w:pPr>
              <w:spacing w:line="580" w:lineRule="exact"/>
              <w:jc w:val="center"/>
              <w:rPr>
                <w:rFonts w:ascii="宋体" w:hAnsi="宋体"/>
                <w:b/>
                <w:sz w:val="22"/>
              </w:rPr>
            </w:pPr>
            <w:r>
              <w:rPr>
                <w:rFonts w:hint="eastAsia" w:ascii="宋体"/>
                <w:sz w:val="22"/>
                <w:szCs w:val="28"/>
                <w:lang w:eastAsia="zh-CN"/>
              </w:rPr>
              <w:t>肉类、禽类、蛋</w:t>
            </w:r>
            <w:r>
              <w:rPr>
                <w:rFonts w:hint="eastAsia" w:ascii="宋体"/>
                <w:sz w:val="22"/>
                <w:szCs w:val="28"/>
              </w:rPr>
              <w:t>类、水产类</w:t>
            </w:r>
          </w:p>
        </w:tc>
        <w:tc>
          <w:tcPr>
            <w:tcW w:w="3737" w:type="dxa"/>
            <w:vAlign w:val="center"/>
          </w:tcPr>
          <w:p>
            <w:pPr>
              <w:spacing w:line="580" w:lineRule="exact"/>
              <w:jc w:val="center"/>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9" w:hRule="atLeast"/>
        </w:trPr>
        <w:tc>
          <w:tcPr>
            <w:tcW w:w="999" w:type="dxa"/>
            <w:vAlign w:val="center"/>
          </w:tcPr>
          <w:p>
            <w:pPr>
              <w:spacing w:line="580" w:lineRule="exact"/>
              <w:jc w:val="center"/>
              <w:rPr>
                <w:rFonts w:ascii="宋体" w:hAnsi="宋体"/>
                <w:bCs/>
                <w:sz w:val="24"/>
                <w:szCs w:val="24"/>
              </w:rPr>
            </w:pPr>
            <w:r>
              <w:rPr>
                <w:rFonts w:hint="eastAsia" w:ascii="宋体" w:hAnsi="宋体"/>
                <w:bCs/>
                <w:sz w:val="24"/>
                <w:szCs w:val="24"/>
              </w:rPr>
              <w:t>3</w:t>
            </w:r>
          </w:p>
        </w:tc>
        <w:tc>
          <w:tcPr>
            <w:tcW w:w="3865" w:type="dxa"/>
            <w:vAlign w:val="center"/>
          </w:tcPr>
          <w:p>
            <w:pPr>
              <w:spacing w:line="400" w:lineRule="exact"/>
              <w:jc w:val="center"/>
              <w:rPr>
                <w:rFonts w:ascii="宋体" w:hAnsi="宋体"/>
                <w:sz w:val="22"/>
                <w:u w:val="single"/>
              </w:rPr>
            </w:pPr>
            <w:r>
              <w:rPr>
                <w:rFonts w:hint="eastAsia" w:ascii="宋体"/>
                <w:sz w:val="22"/>
                <w:szCs w:val="28"/>
              </w:rPr>
              <w:t>水果</w:t>
            </w:r>
            <w:r>
              <w:rPr>
                <w:rFonts w:hint="eastAsia" w:ascii="宋体"/>
                <w:sz w:val="22"/>
                <w:szCs w:val="28"/>
                <w:lang w:eastAsia="zh-CN"/>
              </w:rPr>
              <w:t>类</w:t>
            </w:r>
            <w:r>
              <w:rPr>
                <w:rFonts w:hint="eastAsia" w:ascii="宋体"/>
                <w:sz w:val="22"/>
                <w:szCs w:val="28"/>
              </w:rPr>
              <w:t>、蔬菜</w:t>
            </w:r>
            <w:r>
              <w:rPr>
                <w:rFonts w:hint="eastAsia" w:ascii="宋体"/>
                <w:sz w:val="22"/>
                <w:szCs w:val="28"/>
                <w:lang w:eastAsia="zh-CN"/>
              </w:rPr>
              <w:t>类</w:t>
            </w:r>
          </w:p>
        </w:tc>
        <w:tc>
          <w:tcPr>
            <w:tcW w:w="3737" w:type="dxa"/>
            <w:vAlign w:val="center"/>
          </w:tcPr>
          <w:p>
            <w:pPr>
              <w:spacing w:line="580" w:lineRule="exact"/>
              <w:jc w:val="center"/>
              <w:rPr>
                <w:rFonts w:ascii="宋体" w:hAnsi="宋体"/>
                <w:sz w:val="24"/>
                <w:szCs w:val="24"/>
                <w:u w:val="single"/>
              </w:rPr>
            </w:pPr>
          </w:p>
        </w:tc>
      </w:tr>
    </w:tbl>
    <w:p>
      <w:pPr>
        <w:tabs>
          <w:tab w:val="left" w:pos="1134"/>
        </w:tabs>
        <w:spacing w:line="560" w:lineRule="exact"/>
        <w:rPr>
          <w:rFonts w:ascii="宋体" w:hAnsi="宋体"/>
          <w:sz w:val="24"/>
          <w:szCs w:val="24"/>
        </w:rPr>
      </w:pPr>
      <w:r>
        <w:rPr>
          <w:rFonts w:hint="eastAsia" w:ascii="宋体" w:hAnsi="宋体"/>
          <w:sz w:val="22"/>
        </w:rPr>
        <w:t>说明：</w:t>
      </w:r>
      <w:r>
        <w:rPr>
          <w:rFonts w:hint="eastAsia" w:ascii="宋体"/>
          <w:sz w:val="24"/>
          <w:szCs w:val="32"/>
        </w:rPr>
        <w:t>1.货款实行按月结算，当月支付上月货款。</w:t>
      </w:r>
      <w:r>
        <w:rPr>
          <w:rFonts w:hint="eastAsia" w:ascii="宋体"/>
          <w:sz w:val="24"/>
          <w:szCs w:val="32"/>
        </w:rPr>
        <w:br w:type="textWrapping"/>
      </w:r>
      <w:r>
        <w:rPr>
          <w:rFonts w:hint="eastAsia" w:ascii="宋体"/>
          <w:sz w:val="24"/>
          <w:szCs w:val="32"/>
        </w:rPr>
        <w:t xml:space="preserve">  2.</w:t>
      </w:r>
      <w:r>
        <w:rPr>
          <w:rFonts w:hint="eastAsia" w:ascii="宋体"/>
          <w:sz w:val="24"/>
          <w:szCs w:val="32"/>
          <w:highlight w:val="yellow"/>
        </w:rPr>
        <w:t>米、面、油、奶制品、干货</w:t>
      </w:r>
      <w:r>
        <w:rPr>
          <w:rFonts w:hint="eastAsia" w:ascii="宋体"/>
          <w:sz w:val="24"/>
          <w:szCs w:val="32"/>
          <w:highlight w:val="yellow"/>
          <w:lang w:eastAsia="zh-CN"/>
        </w:rPr>
        <w:t>、</w:t>
      </w:r>
      <w:r>
        <w:rPr>
          <w:rFonts w:hint="eastAsia" w:ascii="宋体"/>
          <w:sz w:val="24"/>
          <w:szCs w:val="32"/>
          <w:highlight w:val="yellow"/>
        </w:rPr>
        <w:t>调料</w:t>
      </w:r>
      <w:r>
        <w:rPr>
          <w:rFonts w:hint="eastAsia" w:ascii="宋体"/>
          <w:sz w:val="24"/>
          <w:szCs w:val="32"/>
        </w:rPr>
        <w:t>配送结算首先以成都市发改委每月发布的市场综合零售价乘以90%作为结算基础价,成都市发改委未发布的品种以武侯区机关事务中心市场调价乘以90%作为结算基础价，结算基础价乘以</w:t>
      </w:r>
      <w:r>
        <w:rPr>
          <w:rFonts w:hint="eastAsia" w:ascii="宋体"/>
          <w:sz w:val="24"/>
          <w:szCs w:val="24"/>
        </w:rPr>
        <w:t>投标结算率</w:t>
      </w:r>
      <w:r>
        <w:rPr>
          <w:rFonts w:hint="eastAsia" w:ascii="宋体"/>
          <w:sz w:val="24"/>
          <w:szCs w:val="32"/>
        </w:rPr>
        <w:t>再乘以数量进行结算。</w:t>
      </w:r>
      <w:r>
        <w:rPr>
          <w:rFonts w:hint="eastAsia" w:ascii="宋体"/>
          <w:b/>
          <w:sz w:val="24"/>
          <w:szCs w:val="24"/>
        </w:rPr>
        <w:t>即结算公式为：（市场综合零售价、市场调价）</w:t>
      </w:r>
      <w:r>
        <w:rPr>
          <w:rFonts w:hint="eastAsia" w:ascii="宋体" w:hAnsi="宋体"/>
          <w:b/>
          <w:sz w:val="24"/>
          <w:szCs w:val="24"/>
        </w:rPr>
        <w:t>×</w:t>
      </w:r>
      <w:r>
        <w:rPr>
          <w:rFonts w:hint="eastAsia" w:ascii="宋体"/>
          <w:b/>
          <w:sz w:val="24"/>
          <w:szCs w:val="24"/>
        </w:rPr>
        <w:t>90%</w:t>
      </w:r>
      <w:r>
        <w:rPr>
          <w:rFonts w:hint="eastAsia" w:ascii="宋体" w:hAnsi="宋体"/>
          <w:b/>
          <w:sz w:val="24"/>
          <w:szCs w:val="24"/>
        </w:rPr>
        <w:t>×</w:t>
      </w:r>
      <w:r>
        <w:rPr>
          <w:rFonts w:hint="eastAsia" w:ascii="宋体"/>
          <w:b/>
          <w:sz w:val="24"/>
          <w:szCs w:val="24"/>
        </w:rPr>
        <w:t>投标结算率</w:t>
      </w:r>
      <w:r>
        <w:rPr>
          <w:rFonts w:hint="eastAsia" w:ascii="宋体" w:hAnsi="宋体"/>
          <w:b/>
          <w:sz w:val="24"/>
          <w:szCs w:val="24"/>
        </w:rPr>
        <w:t>×</w:t>
      </w:r>
      <w:r>
        <w:rPr>
          <w:rFonts w:hint="eastAsia" w:ascii="宋体"/>
          <w:b/>
          <w:sz w:val="24"/>
          <w:szCs w:val="24"/>
        </w:rPr>
        <w:t>数量=实际结算价。</w:t>
      </w:r>
      <w:r>
        <w:rPr>
          <w:rFonts w:hint="eastAsia" w:ascii="宋体"/>
          <w:b/>
          <w:sz w:val="28"/>
          <w:szCs w:val="28"/>
        </w:rPr>
        <w:br w:type="textWrapping"/>
      </w:r>
      <w:r>
        <w:rPr>
          <w:rFonts w:hint="eastAsia" w:ascii="宋体"/>
          <w:sz w:val="24"/>
          <w:szCs w:val="32"/>
        </w:rPr>
        <w:t>3.</w:t>
      </w:r>
      <w:r>
        <w:rPr>
          <w:rFonts w:hint="eastAsia" w:ascii="宋体"/>
          <w:sz w:val="24"/>
          <w:szCs w:val="32"/>
          <w:highlight w:val="yellow"/>
        </w:rPr>
        <w:t>肉</w:t>
      </w:r>
      <w:r>
        <w:rPr>
          <w:rFonts w:hint="eastAsia" w:ascii="宋体"/>
          <w:sz w:val="24"/>
          <w:szCs w:val="32"/>
          <w:highlight w:val="yellow"/>
          <w:lang w:eastAsia="zh-CN"/>
        </w:rPr>
        <w:t>类、</w:t>
      </w:r>
      <w:r>
        <w:rPr>
          <w:rFonts w:hint="eastAsia" w:ascii="宋体"/>
          <w:sz w:val="24"/>
          <w:szCs w:val="32"/>
          <w:highlight w:val="yellow"/>
        </w:rPr>
        <w:t>禽</w:t>
      </w:r>
      <w:r>
        <w:rPr>
          <w:rFonts w:hint="eastAsia" w:ascii="宋体"/>
          <w:sz w:val="24"/>
          <w:szCs w:val="32"/>
          <w:highlight w:val="yellow"/>
          <w:lang w:eastAsia="zh-CN"/>
        </w:rPr>
        <w:t>类、</w:t>
      </w:r>
      <w:r>
        <w:rPr>
          <w:rFonts w:hint="eastAsia" w:ascii="宋体"/>
          <w:sz w:val="24"/>
          <w:szCs w:val="32"/>
          <w:highlight w:val="yellow"/>
        </w:rPr>
        <w:t>蛋类、水产类</w:t>
      </w:r>
      <w:r>
        <w:rPr>
          <w:rFonts w:hint="eastAsia" w:ascii="宋体"/>
          <w:sz w:val="24"/>
          <w:szCs w:val="32"/>
        </w:rPr>
        <w:t>配送结算首先以成都市发改委每月发布的市场综合零售价乘以88%作为结算基础价,成都市发改委未发布的品种以武侯区机关事务中心市场调价乘以88%作为结算基础价，结算基础价乘以</w:t>
      </w:r>
      <w:r>
        <w:rPr>
          <w:rFonts w:hint="eastAsia" w:ascii="宋体"/>
          <w:sz w:val="24"/>
          <w:szCs w:val="24"/>
        </w:rPr>
        <w:t>投标结算率</w:t>
      </w:r>
      <w:r>
        <w:rPr>
          <w:rFonts w:hint="eastAsia" w:ascii="宋体"/>
          <w:sz w:val="24"/>
          <w:szCs w:val="32"/>
        </w:rPr>
        <w:t>再乘以数量进行结算。</w:t>
      </w:r>
      <w:r>
        <w:rPr>
          <w:rFonts w:hint="eastAsia" w:ascii="宋体"/>
          <w:b/>
          <w:sz w:val="24"/>
          <w:szCs w:val="24"/>
        </w:rPr>
        <w:t>即结算公式为：（市场综合零售价、市场调价）</w:t>
      </w:r>
      <w:r>
        <w:rPr>
          <w:rFonts w:hint="eastAsia" w:ascii="宋体" w:hAnsi="宋体"/>
          <w:b/>
          <w:sz w:val="24"/>
          <w:szCs w:val="24"/>
        </w:rPr>
        <w:t>×88</w:t>
      </w:r>
      <w:r>
        <w:rPr>
          <w:rFonts w:hint="eastAsia" w:ascii="宋体"/>
          <w:b/>
          <w:sz w:val="24"/>
          <w:szCs w:val="24"/>
        </w:rPr>
        <w:t>%</w:t>
      </w:r>
      <w:r>
        <w:rPr>
          <w:rFonts w:hint="eastAsia" w:ascii="宋体" w:hAnsi="宋体"/>
          <w:b/>
          <w:sz w:val="24"/>
          <w:szCs w:val="24"/>
        </w:rPr>
        <w:t>×</w:t>
      </w:r>
      <w:r>
        <w:rPr>
          <w:rFonts w:hint="eastAsia" w:ascii="宋体"/>
          <w:b/>
          <w:sz w:val="24"/>
          <w:szCs w:val="24"/>
        </w:rPr>
        <w:t>投标结算率</w:t>
      </w:r>
      <w:r>
        <w:rPr>
          <w:rFonts w:hint="eastAsia" w:ascii="宋体" w:hAnsi="宋体"/>
          <w:b/>
          <w:sz w:val="24"/>
          <w:szCs w:val="24"/>
        </w:rPr>
        <w:t>×</w:t>
      </w:r>
      <w:r>
        <w:rPr>
          <w:rFonts w:hint="eastAsia" w:ascii="宋体"/>
          <w:b/>
          <w:sz w:val="24"/>
          <w:szCs w:val="24"/>
        </w:rPr>
        <w:t>数量=实际结算价。</w:t>
      </w:r>
      <w:r>
        <w:rPr>
          <w:rFonts w:hint="eastAsia" w:ascii="宋体"/>
          <w:b/>
          <w:sz w:val="28"/>
          <w:szCs w:val="28"/>
        </w:rPr>
        <w:br w:type="textWrapping"/>
      </w:r>
      <w:r>
        <w:rPr>
          <w:rFonts w:hint="eastAsia" w:ascii="宋体"/>
          <w:sz w:val="24"/>
          <w:szCs w:val="32"/>
        </w:rPr>
        <w:t>4.</w:t>
      </w:r>
      <w:r>
        <w:rPr>
          <w:rFonts w:hint="eastAsia" w:ascii="宋体"/>
          <w:sz w:val="24"/>
          <w:szCs w:val="32"/>
          <w:highlight w:val="yellow"/>
        </w:rPr>
        <w:t>水果</w:t>
      </w:r>
      <w:r>
        <w:rPr>
          <w:rFonts w:hint="eastAsia" w:ascii="宋体"/>
          <w:sz w:val="24"/>
          <w:szCs w:val="32"/>
          <w:highlight w:val="yellow"/>
          <w:lang w:eastAsia="zh-CN"/>
        </w:rPr>
        <w:t>类</w:t>
      </w:r>
      <w:r>
        <w:rPr>
          <w:rFonts w:hint="eastAsia" w:ascii="宋体"/>
          <w:sz w:val="24"/>
          <w:szCs w:val="32"/>
          <w:highlight w:val="yellow"/>
        </w:rPr>
        <w:t>、蔬菜</w:t>
      </w:r>
      <w:r>
        <w:rPr>
          <w:rFonts w:hint="eastAsia" w:ascii="宋体"/>
          <w:sz w:val="24"/>
          <w:szCs w:val="32"/>
          <w:highlight w:val="yellow"/>
          <w:lang w:eastAsia="zh-CN"/>
        </w:rPr>
        <w:t>类</w:t>
      </w:r>
      <w:r>
        <w:rPr>
          <w:rFonts w:hint="eastAsia" w:ascii="宋体"/>
          <w:sz w:val="24"/>
          <w:szCs w:val="32"/>
        </w:rPr>
        <w:t>配送结算首先以成都市发改委每月发布的市场综合零售价乘以80%作为结算基础价,成都市发改委未发布的品种以武侯区机关事务中心市场调价乘以80%作为结算基础价，结算基础价乘以</w:t>
      </w:r>
      <w:r>
        <w:rPr>
          <w:rFonts w:hint="eastAsia" w:ascii="宋体"/>
          <w:sz w:val="24"/>
          <w:szCs w:val="24"/>
        </w:rPr>
        <w:t>投标结算率</w:t>
      </w:r>
      <w:r>
        <w:rPr>
          <w:rFonts w:hint="eastAsia" w:ascii="宋体"/>
          <w:sz w:val="24"/>
          <w:szCs w:val="32"/>
        </w:rPr>
        <w:t>再乘以数量进行结算。</w:t>
      </w:r>
      <w:r>
        <w:rPr>
          <w:rFonts w:hint="eastAsia" w:ascii="宋体"/>
          <w:b/>
          <w:sz w:val="24"/>
          <w:szCs w:val="24"/>
        </w:rPr>
        <w:t>即结算公式为：（市场综合零售价、市场调价）</w:t>
      </w:r>
      <w:r>
        <w:rPr>
          <w:rFonts w:hint="eastAsia" w:ascii="宋体" w:hAnsi="宋体"/>
          <w:b/>
          <w:sz w:val="24"/>
          <w:szCs w:val="24"/>
        </w:rPr>
        <w:t>×80</w:t>
      </w:r>
      <w:r>
        <w:rPr>
          <w:rFonts w:hint="eastAsia" w:ascii="宋体"/>
          <w:b/>
          <w:sz w:val="24"/>
          <w:szCs w:val="24"/>
        </w:rPr>
        <w:t>%</w:t>
      </w:r>
      <w:r>
        <w:rPr>
          <w:rFonts w:hint="eastAsia" w:ascii="宋体" w:hAnsi="宋体"/>
          <w:b/>
          <w:sz w:val="24"/>
          <w:szCs w:val="24"/>
        </w:rPr>
        <w:t>×</w:t>
      </w:r>
      <w:r>
        <w:rPr>
          <w:rFonts w:hint="eastAsia" w:ascii="宋体"/>
          <w:b/>
          <w:sz w:val="24"/>
          <w:szCs w:val="24"/>
        </w:rPr>
        <w:t>投标结算率</w:t>
      </w:r>
      <w:r>
        <w:rPr>
          <w:rFonts w:hint="eastAsia" w:ascii="宋体" w:hAnsi="宋体"/>
          <w:b/>
          <w:sz w:val="24"/>
          <w:szCs w:val="24"/>
        </w:rPr>
        <w:t>×</w:t>
      </w:r>
      <w:r>
        <w:rPr>
          <w:rFonts w:hint="eastAsia" w:ascii="宋体"/>
          <w:b/>
          <w:sz w:val="24"/>
          <w:szCs w:val="24"/>
        </w:rPr>
        <w:t>数量=实际结算价。</w:t>
      </w:r>
    </w:p>
    <w:p>
      <w:pPr>
        <w:tabs>
          <w:tab w:val="left" w:pos="1134"/>
        </w:tabs>
        <w:spacing w:line="560" w:lineRule="exact"/>
        <w:ind w:firstLine="366" w:firstLineChars="152"/>
        <w:rPr>
          <w:rFonts w:ascii="宋体" w:hAnsi="宋体"/>
          <w:b/>
          <w:bCs/>
          <w:sz w:val="24"/>
          <w:szCs w:val="21"/>
        </w:rPr>
      </w:pPr>
      <w:r>
        <w:rPr>
          <w:rFonts w:hint="eastAsia" w:ascii="宋体" w:hAnsi="宋体"/>
          <w:b/>
          <w:sz w:val="24"/>
          <w:szCs w:val="24"/>
        </w:rPr>
        <w:t>投标报价以投标人在政府采购云平台开标一览表中填写的报价为准。</w:t>
      </w:r>
    </w:p>
    <w:p>
      <w:pPr>
        <w:rPr>
          <w:rFonts w:ascii="宋体" w:hAnsi="宋体"/>
          <w:bCs/>
          <w:sz w:val="28"/>
        </w:rPr>
      </w:pPr>
      <w:r>
        <w:rPr>
          <w:rFonts w:ascii="宋体" w:hAnsi="宋体"/>
          <w:bCs/>
          <w:sz w:val="28"/>
        </w:rPr>
        <w:br w:type="page"/>
      </w:r>
    </w:p>
    <w:p>
      <w:pPr>
        <w:keepNext/>
        <w:keepLines/>
        <w:numPr>
          <w:ilvl w:val="2"/>
          <w:numId w:val="3"/>
        </w:numPr>
        <w:spacing w:line="360" w:lineRule="auto"/>
        <w:ind w:left="3119" w:hanging="3119"/>
        <w:outlineLvl w:val="2"/>
        <w:rPr>
          <w:rFonts w:ascii="宋体" w:hAnsi="宋体"/>
          <w:b/>
          <w:bCs/>
          <w:sz w:val="28"/>
          <w:szCs w:val="28"/>
        </w:rPr>
      </w:pPr>
      <w:r>
        <w:rPr>
          <w:rFonts w:hint="eastAsia" w:ascii="宋体" w:hAnsi="宋体"/>
          <w:b/>
          <w:bCs/>
          <w:sz w:val="28"/>
          <w:szCs w:val="28"/>
        </w:rPr>
        <w:t>分项报价明细表</w:t>
      </w:r>
    </w:p>
    <w:p>
      <w:pPr>
        <w:snapToGrid w:val="0"/>
        <w:spacing w:line="360" w:lineRule="auto"/>
        <w:ind w:left="1425" w:leftChars="0" w:hanging="1425" w:hangingChars="507"/>
        <w:rPr>
          <w:rFonts w:ascii="宋体" w:hAnsi="宋体"/>
          <w:b/>
          <w:sz w:val="28"/>
          <w:szCs w:val="28"/>
        </w:rPr>
      </w:pPr>
      <w:r>
        <w:rPr>
          <w:rFonts w:hint="eastAsia" w:ascii="宋体" w:hAnsi="宋体"/>
          <w:b/>
          <w:sz w:val="28"/>
          <w:szCs w:val="28"/>
        </w:rPr>
        <w:t>项目名称：</w:t>
      </w:r>
      <w:r>
        <w:rPr>
          <w:rFonts w:hint="eastAsia" w:ascii="宋体" w:hAnsi="宋体"/>
          <w:b/>
          <w:sz w:val="24"/>
          <w:szCs w:val="21"/>
        </w:rPr>
        <w:t>成都市武侯区机关事务中心农副食品，动、植物油制品（第一办公区食材）采购项目</w:t>
      </w:r>
    </w:p>
    <w:p>
      <w:pPr>
        <w:snapToGrid w:val="0"/>
        <w:spacing w:line="360" w:lineRule="auto"/>
        <w:rPr>
          <w:rFonts w:hint="eastAsia" w:ascii="宋体" w:hAnsi="宋体" w:eastAsia="宋体"/>
          <w:b/>
          <w:sz w:val="28"/>
          <w:szCs w:val="28"/>
          <w:lang w:eastAsia="zh-CN"/>
        </w:rPr>
      </w:pPr>
      <w:r>
        <w:rPr>
          <w:rFonts w:hint="eastAsia" w:ascii="宋体" w:hAnsi="宋体"/>
          <w:b/>
          <w:sz w:val="28"/>
          <w:szCs w:val="28"/>
        </w:rPr>
        <w:t>项目编号：</w:t>
      </w:r>
      <w:r>
        <w:rPr>
          <w:rFonts w:hint="eastAsia" w:ascii="宋体" w:hAnsi="宋体"/>
          <w:b/>
          <w:sz w:val="28"/>
          <w:szCs w:val="28"/>
          <w:u w:val="single"/>
          <w:lang w:eastAsia="zh-CN"/>
        </w:rPr>
        <w:t>武侯政采（2022）A0006号</w:t>
      </w:r>
    </w:p>
    <w:tbl>
      <w:tblPr>
        <w:tblStyle w:val="41"/>
        <w:tblpPr w:leftFromText="180" w:rightFromText="180" w:vertAnchor="text" w:tblpXSpec="center" w:tblpY="1"/>
        <w:tblOverlap w:val="never"/>
        <w:tblW w:w="81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9"/>
        <w:gridCol w:w="1404"/>
        <w:gridCol w:w="876"/>
        <w:gridCol w:w="768"/>
        <w:gridCol w:w="1740"/>
        <w:gridCol w:w="744"/>
        <w:gridCol w:w="677"/>
        <w:gridCol w:w="708"/>
        <w:gridCol w:w="7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48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b/>
                <w:szCs w:val="28"/>
              </w:rPr>
            </w:pPr>
            <w:r>
              <w:rPr>
                <w:rFonts w:hint="eastAsia" w:ascii="宋体" w:hAnsi="宋体"/>
                <w:b/>
                <w:szCs w:val="28"/>
              </w:rPr>
              <w:t>序号</w:t>
            </w:r>
          </w:p>
        </w:tc>
        <w:tc>
          <w:tcPr>
            <w:tcW w:w="1404"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b/>
                <w:szCs w:val="28"/>
              </w:rPr>
            </w:pPr>
            <w:r>
              <w:rPr>
                <w:rFonts w:hint="eastAsia" w:ascii="宋体" w:hAnsi="宋体"/>
                <w:b/>
                <w:szCs w:val="28"/>
              </w:rPr>
              <w:t>货物名称（标的</w:t>
            </w:r>
            <w:r>
              <w:rPr>
                <w:rFonts w:ascii="宋体" w:hAnsi="宋体"/>
                <w:b/>
                <w:szCs w:val="28"/>
              </w:rPr>
              <w:t>名称</w:t>
            </w:r>
            <w:r>
              <w:rPr>
                <w:rFonts w:hint="eastAsia" w:ascii="宋体" w:hAnsi="宋体"/>
                <w:b/>
                <w:szCs w:val="28"/>
              </w:rPr>
              <w:t>）</w:t>
            </w:r>
          </w:p>
        </w:tc>
        <w:tc>
          <w:tcPr>
            <w:tcW w:w="876"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hint="eastAsia" w:ascii="宋体" w:hAnsi="宋体" w:eastAsia="宋体"/>
                <w:b/>
                <w:szCs w:val="28"/>
                <w:lang w:eastAsia="zh-CN"/>
              </w:rPr>
            </w:pPr>
            <w:r>
              <w:rPr>
                <w:rFonts w:hint="eastAsia" w:ascii="宋体" w:hAnsi="宋体"/>
                <w:b/>
                <w:szCs w:val="28"/>
              </w:rPr>
              <w:t>品牌</w:t>
            </w:r>
            <w:r>
              <w:rPr>
                <w:rFonts w:hint="eastAsia" w:ascii="宋体" w:hAnsi="宋体"/>
                <w:b/>
                <w:szCs w:val="28"/>
                <w:lang w:eastAsia="zh-CN"/>
              </w:rPr>
              <w:t>（如有）</w:t>
            </w:r>
          </w:p>
        </w:tc>
        <w:tc>
          <w:tcPr>
            <w:tcW w:w="768"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b/>
                <w:szCs w:val="28"/>
              </w:rPr>
            </w:pPr>
            <w:r>
              <w:rPr>
                <w:rFonts w:hint="eastAsia" w:ascii="宋体" w:hAnsi="宋体"/>
                <w:b/>
                <w:szCs w:val="28"/>
              </w:rPr>
              <w:t>规格型号</w:t>
            </w:r>
          </w:p>
        </w:tc>
        <w:tc>
          <w:tcPr>
            <w:tcW w:w="1740"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b/>
                <w:szCs w:val="28"/>
              </w:rPr>
            </w:pPr>
            <w:r>
              <w:rPr>
                <w:rFonts w:hint="eastAsia" w:ascii="宋体" w:hAnsi="宋体"/>
                <w:b/>
                <w:szCs w:val="28"/>
              </w:rPr>
              <w:t>制造商</w:t>
            </w:r>
          </w:p>
        </w:tc>
        <w:tc>
          <w:tcPr>
            <w:tcW w:w="744"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b/>
                <w:szCs w:val="28"/>
              </w:rPr>
            </w:pPr>
            <w:r>
              <w:rPr>
                <w:rFonts w:hint="eastAsia" w:ascii="宋体" w:hAnsi="宋体"/>
                <w:b/>
                <w:szCs w:val="28"/>
              </w:rPr>
              <w:t>进口或国产</w:t>
            </w:r>
          </w:p>
        </w:tc>
        <w:tc>
          <w:tcPr>
            <w:tcW w:w="677"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b/>
                <w:szCs w:val="28"/>
              </w:rPr>
            </w:pPr>
            <w:r>
              <w:rPr>
                <w:rFonts w:hint="eastAsia" w:ascii="宋体" w:hAnsi="宋体"/>
                <w:b/>
                <w:szCs w:val="28"/>
              </w:rPr>
              <w:t>数量</w:t>
            </w:r>
          </w:p>
        </w:tc>
        <w:tc>
          <w:tcPr>
            <w:tcW w:w="708"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b/>
                <w:szCs w:val="28"/>
              </w:rPr>
            </w:pPr>
            <w:r>
              <w:rPr>
                <w:rFonts w:hint="eastAsia" w:ascii="宋体" w:hAnsi="宋体"/>
                <w:b/>
                <w:szCs w:val="28"/>
              </w:rPr>
              <w:t>单位</w:t>
            </w:r>
          </w:p>
        </w:tc>
        <w:tc>
          <w:tcPr>
            <w:tcW w:w="782"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b/>
                <w:szCs w:val="28"/>
              </w:rPr>
            </w:pPr>
            <w:r>
              <w:rPr>
                <w:rFonts w:hint="eastAsia" w:ascii="宋体" w:hAnsi="宋体"/>
                <w:b/>
                <w:szCs w:val="28"/>
              </w:rPr>
              <w:t>投标结算率（%）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489" w:type="dxa"/>
            <w:tcBorders>
              <w:top w:val="single" w:color="auto" w:sz="4" w:space="0"/>
              <w:left w:val="single" w:color="auto" w:sz="4" w:space="0"/>
              <w:bottom w:val="single" w:color="auto" w:sz="4" w:space="0"/>
              <w:right w:val="single" w:color="auto" w:sz="4" w:space="0"/>
            </w:tcBorders>
            <w:vAlign w:val="center"/>
          </w:tcPr>
          <w:p>
            <w:pPr>
              <w:numPr>
                <w:ilvl w:val="0"/>
                <w:numId w:val="35"/>
              </w:numPr>
              <w:ind w:left="425" w:leftChars="0" w:hanging="425" w:firstLineChars="0"/>
            </w:pPr>
          </w:p>
        </w:tc>
        <w:tc>
          <w:tcPr>
            <w:tcW w:w="140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heme="minorEastAsia" w:hAnsiTheme="minorEastAsia" w:eastAsiaTheme="minorEastAsia"/>
                <w:sz w:val="24"/>
                <w:szCs w:val="28"/>
                <w:lang w:eastAsia="zh-CN"/>
              </w:rPr>
            </w:pPr>
            <w:r>
              <w:rPr>
                <w:rFonts w:hint="eastAsia" w:eastAsiaTheme="minorEastAsia"/>
                <w:lang w:eastAsia="zh-CN"/>
              </w:rPr>
              <w:t>大米</w:t>
            </w:r>
          </w:p>
        </w:tc>
        <w:tc>
          <w:tcPr>
            <w:tcW w:w="876"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768" w:type="dxa"/>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sz w:val="24"/>
                <w:szCs w:val="28"/>
              </w:rPr>
            </w:pPr>
            <w:r>
              <w:rPr>
                <w:rFonts w:hint="eastAsia"/>
              </w:rPr>
              <w:t>XXXX</w:t>
            </w:r>
          </w:p>
        </w:tc>
        <w:tc>
          <w:tcPr>
            <w:tcW w:w="1740"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744"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hint="eastAsia" w:eastAsia="宋体"/>
                <w:lang w:eastAsia="zh-CN"/>
              </w:rPr>
            </w:pPr>
            <w:r>
              <w:rPr>
                <w:rFonts w:hint="eastAsia"/>
                <w:lang w:eastAsia="zh-CN"/>
              </w:rPr>
              <w:t>据实结算</w:t>
            </w:r>
          </w:p>
        </w:tc>
        <w:tc>
          <w:tcPr>
            <w:tcW w:w="708"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ascii="宋体" w:hAnsi="宋体"/>
                <w:szCs w:val="28"/>
              </w:rPr>
            </w:pPr>
            <w:r>
              <w:rPr>
                <w:rFonts w:hint="eastAsia"/>
              </w:rPr>
              <w:t>XX</w:t>
            </w:r>
          </w:p>
        </w:tc>
        <w:tc>
          <w:tcPr>
            <w:tcW w:w="782"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489" w:type="dxa"/>
            <w:tcBorders>
              <w:top w:val="single" w:color="auto" w:sz="4" w:space="0"/>
              <w:left w:val="single" w:color="auto" w:sz="4" w:space="0"/>
              <w:bottom w:val="single" w:color="auto" w:sz="4" w:space="0"/>
              <w:right w:val="single" w:color="auto" w:sz="4" w:space="0"/>
            </w:tcBorders>
            <w:vAlign w:val="center"/>
          </w:tcPr>
          <w:p>
            <w:pPr>
              <w:numPr>
                <w:ilvl w:val="0"/>
                <w:numId w:val="35"/>
              </w:numPr>
              <w:ind w:left="425" w:leftChars="0" w:hanging="425" w:firstLineChars="0"/>
            </w:pPr>
          </w:p>
        </w:tc>
        <w:tc>
          <w:tcPr>
            <w:tcW w:w="140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heme="minorEastAsia" w:hAnsiTheme="minorEastAsia" w:eastAsiaTheme="minorEastAsia"/>
                <w:sz w:val="24"/>
                <w:szCs w:val="28"/>
                <w:lang w:eastAsia="zh-CN"/>
              </w:rPr>
            </w:pPr>
            <w:r>
              <w:rPr>
                <w:rFonts w:hint="eastAsia" w:asciiTheme="minorEastAsia" w:hAnsiTheme="minorEastAsia" w:eastAsiaTheme="minorEastAsia"/>
                <w:sz w:val="24"/>
                <w:szCs w:val="28"/>
                <w:lang w:eastAsia="zh-CN"/>
              </w:rPr>
              <w:t>菜籽油</w:t>
            </w:r>
          </w:p>
        </w:tc>
        <w:tc>
          <w:tcPr>
            <w:tcW w:w="876"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768" w:type="dxa"/>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sz w:val="24"/>
                <w:szCs w:val="28"/>
              </w:rPr>
            </w:pPr>
            <w:r>
              <w:rPr>
                <w:rFonts w:hint="eastAsia"/>
              </w:rPr>
              <w:t>XXXX</w:t>
            </w:r>
          </w:p>
        </w:tc>
        <w:tc>
          <w:tcPr>
            <w:tcW w:w="1740"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744"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677"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XX</w:t>
            </w:r>
          </w:p>
        </w:tc>
        <w:tc>
          <w:tcPr>
            <w:tcW w:w="708"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ascii="宋体" w:hAnsi="宋体"/>
                <w:szCs w:val="28"/>
              </w:rPr>
            </w:pPr>
            <w:r>
              <w:rPr>
                <w:rFonts w:hint="eastAsia"/>
              </w:rPr>
              <w:t>XX</w:t>
            </w:r>
          </w:p>
        </w:tc>
        <w:tc>
          <w:tcPr>
            <w:tcW w:w="782"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489" w:type="dxa"/>
            <w:tcBorders>
              <w:top w:val="single" w:color="auto" w:sz="4" w:space="0"/>
              <w:left w:val="single" w:color="auto" w:sz="4" w:space="0"/>
              <w:bottom w:val="single" w:color="auto" w:sz="4" w:space="0"/>
              <w:right w:val="single" w:color="auto" w:sz="4" w:space="0"/>
            </w:tcBorders>
            <w:vAlign w:val="center"/>
          </w:tcPr>
          <w:p>
            <w:pPr>
              <w:numPr>
                <w:ilvl w:val="0"/>
                <w:numId w:val="35"/>
              </w:numPr>
              <w:ind w:left="425" w:leftChars="0" w:hanging="425" w:firstLineChars="0"/>
            </w:pPr>
          </w:p>
        </w:tc>
        <w:tc>
          <w:tcPr>
            <w:tcW w:w="140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heme="minorEastAsia" w:hAnsiTheme="minorEastAsia" w:eastAsiaTheme="minorEastAsia" w:cstheme="minorEastAsia"/>
                <w:sz w:val="24"/>
                <w:szCs w:val="28"/>
                <w:lang w:val="en-US" w:eastAsia="zh-CN"/>
              </w:rPr>
            </w:pPr>
            <w:r>
              <w:rPr>
                <w:rFonts w:hint="eastAsia" w:ascii="宋体" w:hAnsi="宋体" w:eastAsia="宋体" w:cs="宋体"/>
                <w:sz w:val="24"/>
                <w:szCs w:val="28"/>
                <w:lang w:val="en-US" w:eastAsia="zh-CN"/>
              </w:rPr>
              <w:t>…</w:t>
            </w:r>
          </w:p>
        </w:tc>
        <w:tc>
          <w:tcPr>
            <w:tcW w:w="876"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768"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p>
        </w:tc>
        <w:tc>
          <w:tcPr>
            <w:tcW w:w="1740"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744"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p>
        </w:tc>
        <w:tc>
          <w:tcPr>
            <w:tcW w:w="708"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hint="eastAsia"/>
              </w:rPr>
            </w:pPr>
          </w:p>
        </w:tc>
        <w:tc>
          <w:tcPr>
            <w:tcW w:w="782"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489" w:type="dxa"/>
            <w:tcBorders>
              <w:top w:val="single" w:color="auto" w:sz="4" w:space="0"/>
              <w:left w:val="single" w:color="auto" w:sz="4" w:space="0"/>
              <w:bottom w:val="single" w:color="auto" w:sz="4" w:space="0"/>
              <w:right w:val="single" w:color="auto" w:sz="4" w:space="0"/>
            </w:tcBorders>
            <w:vAlign w:val="center"/>
          </w:tcPr>
          <w:p>
            <w:pPr>
              <w:numPr>
                <w:ilvl w:val="0"/>
                <w:numId w:val="35"/>
              </w:numPr>
              <w:ind w:left="425" w:leftChars="0" w:hanging="425" w:firstLineChars="0"/>
            </w:pPr>
          </w:p>
        </w:tc>
        <w:tc>
          <w:tcPr>
            <w:tcW w:w="140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heme="minorEastAsia" w:hAnsiTheme="minorEastAsia" w:eastAsiaTheme="minorEastAsia"/>
                <w:sz w:val="24"/>
                <w:szCs w:val="28"/>
                <w:lang w:eastAsia="zh-CN"/>
              </w:rPr>
            </w:pPr>
          </w:p>
        </w:tc>
        <w:tc>
          <w:tcPr>
            <w:tcW w:w="876"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768"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p>
        </w:tc>
        <w:tc>
          <w:tcPr>
            <w:tcW w:w="1740"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744" w:type="dxa"/>
            <w:tcBorders>
              <w:top w:val="single" w:color="auto" w:sz="4" w:space="0"/>
              <w:left w:val="single" w:color="auto" w:sz="4" w:space="0"/>
              <w:bottom w:val="single" w:color="auto" w:sz="4" w:space="0"/>
              <w:right w:val="single" w:color="auto" w:sz="4" w:space="0"/>
            </w:tcBorders>
            <w:vAlign w:val="center"/>
          </w:tcPr>
          <w:p>
            <w:pPr>
              <w:spacing w:after="120" w:afterLines="50" w:line="360" w:lineRule="auto"/>
              <w:jc w:val="center"/>
              <w:rPr>
                <w:rFonts w:ascii="宋体" w:hAnsi="宋体"/>
                <w:szCs w:val="28"/>
              </w:rPr>
            </w:pP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p>
        </w:tc>
        <w:tc>
          <w:tcPr>
            <w:tcW w:w="708"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hint="eastAsia"/>
              </w:rPr>
            </w:pPr>
          </w:p>
        </w:tc>
        <w:tc>
          <w:tcPr>
            <w:tcW w:w="782"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宋体" w:hAnsi="宋体"/>
                <w:szCs w:val="28"/>
              </w:rPr>
            </w:pPr>
          </w:p>
        </w:tc>
      </w:tr>
    </w:tbl>
    <w:p>
      <w:pPr>
        <w:spacing w:line="440" w:lineRule="atLeast"/>
        <w:ind w:firstLine="419" w:firstLineChars="149"/>
        <w:rPr>
          <w:rFonts w:ascii="宋体" w:hAnsi="宋体"/>
          <w:b/>
          <w:sz w:val="28"/>
          <w:szCs w:val="28"/>
        </w:rPr>
      </w:pPr>
    </w:p>
    <w:p>
      <w:pPr>
        <w:spacing w:line="440" w:lineRule="atLeast"/>
        <w:ind w:firstLine="419" w:firstLineChars="149"/>
        <w:rPr>
          <w:rFonts w:ascii="宋体" w:hAnsi="宋体"/>
          <w:b/>
          <w:sz w:val="28"/>
          <w:szCs w:val="28"/>
        </w:rPr>
      </w:pPr>
      <w:r>
        <w:rPr>
          <w:rFonts w:hint="eastAsia" w:ascii="宋体" w:hAnsi="宋体"/>
          <w:b/>
          <w:sz w:val="28"/>
          <w:szCs w:val="28"/>
        </w:rPr>
        <w:t>说明：</w:t>
      </w:r>
    </w:p>
    <w:p>
      <w:pPr>
        <w:spacing w:line="440" w:lineRule="atLeast"/>
        <w:ind w:firstLine="419" w:firstLineChars="149"/>
        <w:rPr>
          <w:rFonts w:ascii="宋体" w:hAnsi="宋体"/>
          <w:b/>
          <w:sz w:val="28"/>
          <w:szCs w:val="28"/>
        </w:rPr>
      </w:pPr>
      <w:r>
        <w:rPr>
          <w:rFonts w:hint="eastAsia" w:ascii="宋体" w:hAnsi="宋体"/>
          <w:b/>
          <w:sz w:val="28"/>
          <w:szCs w:val="28"/>
        </w:rPr>
        <w:t>1、进口产品是指通过中国海关报关验放进入中国境内且产自关境外的产品。</w:t>
      </w:r>
    </w:p>
    <w:p>
      <w:pPr>
        <w:spacing w:line="440" w:lineRule="atLeast"/>
        <w:ind w:firstLine="419" w:firstLineChars="149"/>
        <w:rPr>
          <w:rFonts w:ascii="宋体" w:hAnsi="宋体"/>
          <w:b/>
          <w:sz w:val="28"/>
          <w:szCs w:val="28"/>
        </w:rPr>
      </w:pPr>
      <w:r>
        <w:rPr>
          <w:rFonts w:hint="eastAsia" w:ascii="宋体" w:hAnsi="宋体"/>
          <w:b/>
          <w:sz w:val="28"/>
          <w:szCs w:val="28"/>
        </w:rPr>
        <w:t>2、分项报价明细表格式中要求填写</w:t>
      </w:r>
      <w:r>
        <w:rPr>
          <w:rFonts w:hint="eastAsia" w:ascii="宋体" w:hAnsi="宋体"/>
          <w:b/>
          <w:sz w:val="28"/>
          <w:szCs w:val="28"/>
          <w:lang w:eastAsia="zh-CN"/>
        </w:rPr>
        <w:t>品牌（如有）</w:t>
      </w:r>
      <w:r>
        <w:rPr>
          <w:rFonts w:hint="eastAsia" w:ascii="宋体" w:hAnsi="宋体"/>
          <w:b/>
          <w:sz w:val="28"/>
          <w:szCs w:val="28"/>
        </w:rPr>
        <w:t>、规格型号、制造商、进口或国产的，投标人必须载明其投标产品的</w:t>
      </w:r>
      <w:r>
        <w:rPr>
          <w:rFonts w:hint="eastAsia" w:ascii="宋体" w:hAnsi="宋体"/>
          <w:b/>
          <w:sz w:val="28"/>
          <w:szCs w:val="28"/>
          <w:lang w:eastAsia="zh-CN"/>
        </w:rPr>
        <w:t>品牌（如有）</w:t>
      </w:r>
      <w:r>
        <w:rPr>
          <w:rFonts w:hint="eastAsia" w:ascii="宋体" w:hAnsi="宋体"/>
          <w:b/>
          <w:sz w:val="28"/>
          <w:szCs w:val="28"/>
        </w:rPr>
        <w:t>、规格型号、制造商、进口或国产。</w:t>
      </w:r>
    </w:p>
    <w:p>
      <w:pPr>
        <w:spacing w:line="360" w:lineRule="auto"/>
        <w:ind w:firstLine="422" w:firstLineChars="150"/>
        <w:rPr>
          <w:rFonts w:ascii="宋体" w:hAnsi="宋体"/>
          <w:b/>
          <w:sz w:val="28"/>
          <w:szCs w:val="28"/>
        </w:rPr>
      </w:pPr>
      <w:r>
        <w:rPr>
          <w:rFonts w:hint="eastAsia" w:ascii="宋体" w:hAnsi="宋体"/>
          <w:b/>
          <w:sz w:val="28"/>
          <w:szCs w:val="28"/>
        </w:rPr>
        <w:t>3.报价</w:t>
      </w:r>
      <w:r>
        <w:rPr>
          <w:rFonts w:ascii="宋体" w:hAnsi="宋体"/>
          <w:b/>
          <w:sz w:val="28"/>
          <w:szCs w:val="28"/>
        </w:rPr>
        <w:t>明细以投标人在政府采购云平台</w:t>
      </w:r>
      <w:r>
        <w:rPr>
          <w:rFonts w:hint="eastAsia" w:ascii="宋体" w:hAnsi="宋体"/>
          <w:b/>
          <w:sz w:val="28"/>
          <w:szCs w:val="28"/>
        </w:rPr>
        <w:t>报价</w:t>
      </w:r>
      <w:r>
        <w:rPr>
          <w:rFonts w:ascii="宋体" w:hAnsi="宋体"/>
          <w:b/>
          <w:sz w:val="28"/>
          <w:szCs w:val="28"/>
        </w:rPr>
        <w:t>明细表中填写的</w:t>
      </w:r>
      <w:r>
        <w:rPr>
          <w:rFonts w:hint="eastAsia" w:ascii="宋体" w:hAnsi="宋体"/>
          <w:b/>
          <w:sz w:val="28"/>
          <w:szCs w:val="28"/>
        </w:rPr>
        <w:t>为准</w:t>
      </w:r>
      <w:r>
        <w:rPr>
          <w:rFonts w:ascii="宋体" w:hAnsi="宋体"/>
          <w:b/>
          <w:sz w:val="28"/>
          <w:szCs w:val="28"/>
        </w:rPr>
        <w:t>。</w:t>
      </w:r>
    </w:p>
    <w:p>
      <w:pPr>
        <w:spacing w:line="440" w:lineRule="atLeast"/>
        <w:ind w:firstLine="419" w:firstLineChars="149"/>
        <w:rPr>
          <w:rFonts w:hint="eastAsia" w:ascii="宋体" w:hAnsi="宋体" w:eastAsia="宋体"/>
          <w:b/>
          <w:sz w:val="28"/>
          <w:szCs w:val="28"/>
          <w:lang w:eastAsia="zh-CN"/>
        </w:rPr>
      </w:pPr>
      <w:r>
        <w:rPr>
          <w:rFonts w:hint="eastAsia" w:ascii="宋体" w:hAnsi="宋体"/>
          <w:b/>
          <w:sz w:val="28"/>
          <w:szCs w:val="28"/>
        </w:rPr>
        <w:t>4. “分项报价明细表”为多页的，每页均需加盖投标人公章</w:t>
      </w:r>
      <w:r>
        <w:rPr>
          <w:rFonts w:hint="eastAsia" w:ascii="宋体" w:hAnsi="宋体"/>
          <w:b/>
          <w:sz w:val="28"/>
          <w:szCs w:val="28"/>
          <w:lang w:eastAsia="zh-CN"/>
        </w:rPr>
        <w:t>。</w:t>
      </w:r>
    </w:p>
    <w:p>
      <w:pPr>
        <w:widowControl/>
        <w:jc w:val="left"/>
        <w:rPr>
          <w:rFonts w:ascii="宋体" w:hAnsi="宋体"/>
          <w:bCs/>
          <w:sz w:val="28"/>
          <w:u w:val="single"/>
        </w:rPr>
      </w:pPr>
      <w:r>
        <w:rPr>
          <w:rFonts w:ascii="宋体" w:hAnsi="宋体"/>
          <w:bCs/>
          <w:sz w:val="28"/>
          <w:u w:val="single"/>
        </w:rPr>
        <w:br w:type="page"/>
      </w:r>
    </w:p>
    <w:p>
      <w:pPr>
        <w:keepNext/>
        <w:keepLines/>
        <w:numPr>
          <w:ilvl w:val="2"/>
          <w:numId w:val="3"/>
        </w:numPr>
        <w:spacing w:line="360" w:lineRule="auto"/>
        <w:ind w:left="3119" w:hanging="3119"/>
        <w:outlineLvl w:val="2"/>
        <w:rPr>
          <w:rFonts w:ascii="宋体" w:hAnsi="宋体"/>
          <w:b/>
          <w:bCs/>
          <w:sz w:val="28"/>
          <w:szCs w:val="28"/>
        </w:rPr>
      </w:pPr>
      <w:r>
        <w:rPr>
          <w:rFonts w:hint="eastAsia" w:ascii="宋体" w:hAnsi="宋体"/>
          <w:b/>
          <w:bCs/>
          <w:sz w:val="28"/>
          <w:szCs w:val="28"/>
        </w:rPr>
        <w:t>监狱企业、残疾人福利性单位制造的货物清单及价格</w:t>
      </w:r>
    </w:p>
    <w:p>
      <w:pPr>
        <w:numPr>
          <w:ilvl w:val="0"/>
          <w:numId w:val="36"/>
        </w:numPr>
        <w:tabs>
          <w:tab w:val="left" w:pos="1134"/>
          <w:tab w:val="clear" w:pos="720"/>
        </w:tabs>
        <w:spacing w:after="200" w:line="360" w:lineRule="auto"/>
        <w:ind w:left="0" w:firstLine="484" w:firstLineChars="201"/>
        <w:rPr>
          <w:rFonts w:ascii="宋体" w:hAnsi="宋体"/>
          <w:b/>
          <w:sz w:val="28"/>
        </w:rPr>
      </w:pPr>
      <w:r>
        <w:rPr>
          <w:rFonts w:hint="eastAsia" w:ascii="宋体" w:hAnsi="宋体"/>
          <w:b/>
          <w:sz w:val="24"/>
          <w:szCs w:val="24"/>
        </w:rPr>
        <w:t>投标人</w:t>
      </w:r>
      <w:r>
        <w:rPr>
          <w:rFonts w:hint="eastAsia" w:ascii="宋体" w:hAnsi="宋体"/>
          <w:b/>
          <w:sz w:val="24"/>
          <w:szCs w:val="21"/>
        </w:rPr>
        <w:t>投标产品中为监狱企业制造的货物清单及价格（说明：</w:t>
      </w:r>
      <w:r>
        <w:rPr>
          <w:rFonts w:ascii="宋体" w:hAnsi="宋体"/>
          <w:b/>
          <w:sz w:val="24"/>
          <w:szCs w:val="21"/>
        </w:rPr>
        <w:t>1、提供由省级以上监狱管理局、戒毒管理局（含新疆生产建设兵团）出具的</w:t>
      </w:r>
      <w:r>
        <w:rPr>
          <w:rFonts w:hint="eastAsia" w:ascii="宋体" w:hAnsi="宋体"/>
          <w:b/>
          <w:sz w:val="24"/>
          <w:szCs w:val="21"/>
        </w:rPr>
        <w:t>制造</w:t>
      </w:r>
      <w:r>
        <w:rPr>
          <w:rFonts w:ascii="宋体" w:hAnsi="宋体"/>
          <w:b/>
          <w:sz w:val="24"/>
          <w:szCs w:val="21"/>
        </w:rPr>
        <w:t>商属于监狱企业的证明文件复印件；2、如未提供</w:t>
      </w:r>
      <w:r>
        <w:rPr>
          <w:rFonts w:hint="eastAsia" w:ascii="宋体" w:hAnsi="宋体"/>
          <w:b/>
          <w:sz w:val="24"/>
          <w:szCs w:val="21"/>
        </w:rPr>
        <w:t>货物</w:t>
      </w:r>
      <w:r>
        <w:rPr>
          <w:rFonts w:ascii="宋体" w:hAnsi="宋体"/>
          <w:b/>
          <w:sz w:val="24"/>
          <w:szCs w:val="21"/>
        </w:rPr>
        <w:t>清单及价格以及相关证明材料复印件，则不能享受对监狱企业</w:t>
      </w:r>
      <w:r>
        <w:rPr>
          <w:rFonts w:hint="eastAsia" w:ascii="宋体" w:hAnsi="宋体"/>
          <w:b/>
          <w:sz w:val="24"/>
          <w:szCs w:val="21"/>
        </w:rPr>
        <w:t>制造的货物</w:t>
      </w:r>
      <w:r>
        <w:rPr>
          <w:rFonts w:ascii="宋体" w:hAnsi="宋体"/>
          <w:b/>
          <w:sz w:val="24"/>
          <w:szCs w:val="21"/>
        </w:rPr>
        <w:t>的价格扣除，但不影响投标文件的有效性。）</w:t>
      </w:r>
    </w:p>
    <w:tbl>
      <w:tblPr>
        <w:tblStyle w:val="41"/>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0"/>
        <w:gridCol w:w="1720"/>
        <w:gridCol w:w="694"/>
        <w:gridCol w:w="1253"/>
        <w:gridCol w:w="1417"/>
        <w:gridCol w:w="851"/>
        <w:gridCol w:w="992"/>
        <w:gridCol w:w="1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0" w:type="dxa"/>
            <w:vAlign w:val="center"/>
          </w:tcPr>
          <w:p>
            <w:pPr>
              <w:spacing w:before="120" w:beforeLines="50" w:line="360" w:lineRule="auto"/>
              <w:jc w:val="center"/>
              <w:rPr>
                <w:rFonts w:ascii="宋体" w:hAnsi="宋体"/>
                <w:b/>
              </w:rPr>
            </w:pPr>
            <w:r>
              <w:rPr>
                <w:rFonts w:hint="eastAsia" w:ascii="宋体" w:hAnsi="宋体"/>
                <w:b/>
              </w:rPr>
              <w:t>序号</w:t>
            </w:r>
          </w:p>
        </w:tc>
        <w:tc>
          <w:tcPr>
            <w:tcW w:w="1720" w:type="dxa"/>
            <w:vAlign w:val="center"/>
          </w:tcPr>
          <w:p>
            <w:pPr>
              <w:spacing w:before="120" w:beforeLines="50" w:line="360" w:lineRule="auto"/>
              <w:jc w:val="center"/>
              <w:rPr>
                <w:rFonts w:ascii="宋体" w:hAnsi="宋体"/>
                <w:b/>
              </w:rPr>
            </w:pPr>
            <w:r>
              <w:rPr>
                <w:rFonts w:hint="eastAsia" w:ascii="宋体" w:hAnsi="宋体"/>
                <w:b/>
              </w:rPr>
              <w:t>货物名称</w:t>
            </w:r>
          </w:p>
        </w:tc>
        <w:tc>
          <w:tcPr>
            <w:tcW w:w="694" w:type="dxa"/>
            <w:vAlign w:val="center"/>
          </w:tcPr>
          <w:p>
            <w:pPr>
              <w:spacing w:before="120" w:beforeLines="50" w:line="360" w:lineRule="auto"/>
              <w:jc w:val="center"/>
              <w:rPr>
                <w:rFonts w:hint="eastAsia" w:ascii="宋体" w:hAnsi="宋体" w:eastAsia="宋体"/>
                <w:b/>
                <w:lang w:eastAsia="zh-CN"/>
              </w:rPr>
            </w:pPr>
            <w:r>
              <w:rPr>
                <w:rFonts w:hint="eastAsia" w:ascii="宋体" w:hAnsi="宋体"/>
                <w:b/>
                <w:lang w:eastAsia="zh-CN"/>
              </w:rPr>
              <w:t>品牌（如有）</w:t>
            </w:r>
          </w:p>
        </w:tc>
        <w:tc>
          <w:tcPr>
            <w:tcW w:w="1253" w:type="dxa"/>
            <w:vAlign w:val="center"/>
          </w:tcPr>
          <w:p>
            <w:pPr>
              <w:spacing w:before="120" w:beforeLines="50" w:line="360" w:lineRule="auto"/>
              <w:jc w:val="center"/>
              <w:rPr>
                <w:rFonts w:ascii="宋体" w:hAnsi="宋体"/>
                <w:b/>
              </w:rPr>
            </w:pPr>
            <w:r>
              <w:rPr>
                <w:rFonts w:hint="eastAsia" w:ascii="宋体" w:hAnsi="宋体"/>
                <w:b/>
              </w:rPr>
              <w:t>规格型号</w:t>
            </w:r>
          </w:p>
        </w:tc>
        <w:tc>
          <w:tcPr>
            <w:tcW w:w="1417" w:type="dxa"/>
            <w:vAlign w:val="center"/>
          </w:tcPr>
          <w:p>
            <w:pPr>
              <w:spacing w:before="120" w:beforeLines="50" w:line="360" w:lineRule="auto"/>
              <w:jc w:val="center"/>
              <w:rPr>
                <w:rFonts w:ascii="宋体" w:hAnsi="宋体"/>
                <w:b/>
              </w:rPr>
            </w:pPr>
            <w:r>
              <w:rPr>
                <w:rFonts w:hint="eastAsia" w:ascii="宋体" w:hAnsi="宋体"/>
                <w:b/>
              </w:rPr>
              <w:t>制造商</w:t>
            </w:r>
          </w:p>
        </w:tc>
        <w:tc>
          <w:tcPr>
            <w:tcW w:w="851" w:type="dxa"/>
            <w:vAlign w:val="center"/>
          </w:tcPr>
          <w:p>
            <w:pPr>
              <w:spacing w:before="120" w:beforeLines="50" w:line="360" w:lineRule="auto"/>
              <w:jc w:val="center"/>
              <w:rPr>
                <w:rFonts w:ascii="宋体" w:hAnsi="宋体"/>
                <w:b/>
              </w:rPr>
            </w:pPr>
            <w:r>
              <w:rPr>
                <w:rFonts w:hint="eastAsia" w:ascii="宋体" w:hAnsi="宋体"/>
                <w:b/>
              </w:rPr>
              <w:t>数量</w:t>
            </w:r>
          </w:p>
        </w:tc>
        <w:tc>
          <w:tcPr>
            <w:tcW w:w="992" w:type="dxa"/>
            <w:vAlign w:val="center"/>
          </w:tcPr>
          <w:p>
            <w:pPr>
              <w:spacing w:before="120" w:beforeLines="50" w:line="360" w:lineRule="auto"/>
              <w:jc w:val="center"/>
              <w:rPr>
                <w:rFonts w:hint="eastAsia" w:ascii="宋体" w:hAnsi="宋体" w:eastAsia="宋体"/>
                <w:b/>
                <w:lang w:eastAsia="zh-CN"/>
              </w:rPr>
            </w:pPr>
            <w:r>
              <w:rPr>
                <w:rFonts w:hint="eastAsia" w:ascii="宋体" w:hAnsi="宋体"/>
                <w:b/>
              </w:rPr>
              <w:t>单</w:t>
            </w:r>
            <w:r>
              <w:rPr>
                <w:rFonts w:hint="eastAsia" w:ascii="宋体" w:hAnsi="宋体"/>
                <w:b/>
                <w:lang w:eastAsia="zh-CN"/>
              </w:rPr>
              <w:t>位</w:t>
            </w:r>
          </w:p>
        </w:tc>
        <w:tc>
          <w:tcPr>
            <w:tcW w:w="1406" w:type="dxa"/>
            <w:vAlign w:val="center"/>
          </w:tcPr>
          <w:p>
            <w:pPr>
              <w:spacing w:before="120" w:beforeLines="50" w:line="360" w:lineRule="auto"/>
              <w:jc w:val="center"/>
              <w:rPr>
                <w:rFonts w:ascii="宋体" w:hAnsi="宋体"/>
                <w:b/>
              </w:rPr>
            </w:pPr>
            <w:r>
              <w:rPr>
                <w:rFonts w:hint="eastAsia" w:ascii="宋体" w:hAnsi="宋体"/>
                <w:b/>
                <w:szCs w:val="28"/>
              </w:rPr>
              <w:t>投标结算率（%）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60" w:type="dxa"/>
            <w:vAlign w:val="center"/>
          </w:tcPr>
          <w:p>
            <w:pPr>
              <w:snapToGrid w:val="0"/>
              <w:spacing w:line="360" w:lineRule="auto"/>
              <w:jc w:val="center"/>
              <w:rPr>
                <w:rFonts w:ascii="宋体" w:hAnsi="宋体"/>
              </w:rPr>
            </w:pPr>
          </w:p>
        </w:tc>
        <w:tc>
          <w:tcPr>
            <w:tcW w:w="1720" w:type="dxa"/>
            <w:vAlign w:val="center"/>
          </w:tcPr>
          <w:p>
            <w:pPr>
              <w:spacing w:line="360" w:lineRule="auto"/>
              <w:jc w:val="center"/>
              <w:rPr>
                <w:rFonts w:ascii="宋体" w:hAnsi="宋体"/>
              </w:rPr>
            </w:pPr>
          </w:p>
        </w:tc>
        <w:tc>
          <w:tcPr>
            <w:tcW w:w="694" w:type="dxa"/>
            <w:vAlign w:val="center"/>
          </w:tcPr>
          <w:p>
            <w:pPr>
              <w:spacing w:line="360" w:lineRule="auto"/>
              <w:jc w:val="center"/>
              <w:rPr>
                <w:rFonts w:ascii="宋体" w:hAnsi="宋体"/>
              </w:rPr>
            </w:pPr>
          </w:p>
        </w:tc>
        <w:tc>
          <w:tcPr>
            <w:tcW w:w="1253" w:type="dxa"/>
            <w:vAlign w:val="center"/>
          </w:tcPr>
          <w:p>
            <w:pPr>
              <w:spacing w:line="360" w:lineRule="auto"/>
              <w:jc w:val="center"/>
              <w:rPr>
                <w:rFonts w:ascii="宋体" w:hAnsi="宋体"/>
              </w:rPr>
            </w:pPr>
          </w:p>
        </w:tc>
        <w:tc>
          <w:tcPr>
            <w:tcW w:w="1417" w:type="dxa"/>
            <w:vAlign w:val="center"/>
          </w:tcPr>
          <w:p>
            <w:pPr>
              <w:spacing w:line="360" w:lineRule="auto"/>
              <w:jc w:val="center"/>
              <w:rPr>
                <w:rFonts w:ascii="宋体" w:hAnsi="宋体"/>
              </w:rPr>
            </w:pPr>
          </w:p>
        </w:tc>
        <w:tc>
          <w:tcPr>
            <w:tcW w:w="851" w:type="dxa"/>
            <w:vAlign w:val="center"/>
          </w:tcPr>
          <w:p>
            <w:pPr>
              <w:spacing w:line="360" w:lineRule="auto"/>
              <w:jc w:val="center"/>
              <w:rPr>
                <w:rFonts w:ascii="宋体" w:hAnsi="宋体"/>
              </w:rPr>
            </w:pPr>
          </w:p>
        </w:tc>
        <w:tc>
          <w:tcPr>
            <w:tcW w:w="992" w:type="dxa"/>
            <w:vAlign w:val="center"/>
          </w:tcPr>
          <w:p>
            <w:pPr>
              <w:spacing w:line="360" w:lineRule="auto"/>
              <w:jc w:val="center"/>
              <w:rPr>
                <w:rFonts w:ascii="宋体" w:hAnsi="宋体"/>
              </w:rPr>
            </w:pPr>
          </w:p>
        </w:tc>
        <w:tc>
          <w:tcPr>
            <w:tcW w:w="1406" w:type="dxa"/>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60" w:type="dxa"/>
            <w:vAlign w:val="center"/>
          </w:tcPr>
          <w:p>
            <w:pPr>
              <w:snapToGrid w:val="0"/>
              <w:spacing w:line="360" w:lineRule="auto"/>
              <w:jc w:val="center"/>
              <w:rPr>
                <w:rFonts w:ascii="宋体" w:hAnsi="宋体"/>
              </w:rPr>
            </w:pPr>
          </w:p>
        </w:tc>
        <w:tc>
          <w:tcPr>
            <w:tcW w:w="1720" w:type="dxa"/>
            <w:vAlign w:val="center"/>
          </w:tcPr>
          <w:p>
            <w:pPr>
              <w:spacing w:line="360" w:lineRule="auto"/>
              <w:jc w:val="center"/>
              <w:rPr>
                <w:rFonts w:ascii="宋体" w:hAnsi="宋体"/>
              </w:rPr>
            </w:pPr>
          </w:p>
        </w:tc>
        <w:tc>
          <w:tcPr>
            <w:tcW w:w="694" w:type="dxa"/>
            <w:vAlign w:val="center"/>
          </w:tcPr>
          <w:p>
            <w:pPr>
              <w:spacing w:line="360" w:lineRule="auto"/>
              <w:jc w:val="center"/>
              <w:rPr>
                <w:rFonts w:ascii="宋体" w:hAnsi="宋体"/>
              </w:rPr>
            </w:pPr>
          </w:p>
        </w:tc>
        <w:tc>
          <w:tcPr>
            <w:tcW w:w="1253" w:type="dxa"/>
            <w:vAlign w:val="center"/>
          </w:tcPr>
          <w:p>
            <w:pPr>
              <w:spacing w:line="360" w:lineRule="auto"/>
              <w:jc w:val="center"/>
              <w:rPr>
                <w:rFonts w:ascii="宋体" w:hAnsi="宋体"/>
              </w:rPr>
            </w:pPr>
          </w:p>
        </w:tc>
        <w:tc>
          <w:tcPr>
            <w:tcW w:w="1417" w:type="dxa"/>
            <w:vAlign w:val="center"/>
          </w:tcPr>
          <w:p>
            <w:pPr>
              <w:spacing w:line="360" w:lineRule="auto"/>
              <w:jc w:val="center"/>
              <w:rPr>
                <w:rFonts w:ascii="宋体" w:hAnsi="宋体"/>
              </w:rPr>
            </w:pPr>
          </w:p>
        </w:tc>
        <w:tc>
          <w:tcPr>
            <w:tcW w:w="851" w:type="dxa"/>
            <w:vAlign w:val="center"/>
          </w:tcPr>
          <w:p>
            <w:pPr>
              <w:spacing w:line="360" w:lineRule="auto"/>
              <w:jc w:val="center"/>
              <w:rPr>
                <w:rFonts w:ascii="宋体" w:hAnsi="宋体"/>
              </w:rPr>
            </w:pPr>
          </w:p>
        </w:tc>
        <w:tc>
          <w:tcPr>
            <w:tcW w:w="992" w:type="dxa"/>
            <w:vAlign w:val="center"/>
          </w:tcPr>
          <w:p>
            <w:pPr>
              <w:spacing w:line="360" w:lineRule="auto"/>
              <w:jc w:val="center"/>
              <w:rPr>
                <w:rFonts w:ascii="宋体" w:hAnsi="宋体"/>
              </w:rPr>
            </w:pPr>
          </w:p>
        </w:tc>
        <w:tc>
          <w:tcPr>
            <w:tcW w:w="1406" w:type="dxa"/>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960" w:type="dxa"/>
            <w:vAlign w:val="center"/>
          </w:tcPr>
          <w:p>
            <w:pPr>
              <w:snapToGrid w:val="0"/>
              <w:spacing w:line="360" w:lineRule="auto"/>
              <w:jc w:val="center"/>
              <w:rPr>
                <w:rFonts w:ascii="宋体" w:hAnsi="宋体"/>
              </w:rPr>
            </w:pPr>
          </w:p>
        </w:tc>
        <w:tc>
          <w:tcPr>
            <w:tcW w:w="1720" w:type="dxa"/>
            <w:vAlign w:val="center"/>
          </w:tcPr>
          <w:p>
            <w:pPr>
              <w:spacing w:line="360" w:lineRule="auto"/>
              <w:jc w:val="center"/>
              <w:rPr>
                <w:rFonts w:ascii="宋体" w:hAnsi="宋体"/>
              </w:rPr>
            </w:pPr>
          </w:p>
        </w:tc>
        <w:tc>
          <w:tcPr>
            <w:tcW w:w="694" w:type="dxa"/>
            <w:vAlign w:val="center"/>
          </w:tcPr>
          <w:p>
            <w:pPr>
              <w:spacing w:line="360" w:lineRule="auto"/>
              <w:jc w:val="center"/>
              <w:rPr>
                <w:rFonts w:ascii="宋体" w:hAnsi="宋体"/>
              </w:rPr>
            </w:pPr>
          </w:p>
        </w:tc>
        <w:tc>
          <w:tcPr>
            <w:tcW w:w="1253" w:type="dxa"/>
            <w:vAlign w:val="center"/>
          </w:tcPr>
          <w:p>
            <w:pPr>
              <w:spacing w:line="360" w:lineRule="auto"/>
              <w:jc w:val="center"/>
              <w:rPr>
                <w:rFonts w:ascii="宋体" w:hAnsi="宋体"/>
              </w:rPr>
            </w:pPr>
          </w:p>
        </w:tc>
        <w:tc>
          <w:tcPr>
            <w:tcW w:w="1417" w:type="dxa"/>
            <w:vAlign w:val="center"/>
          </w:tcPr>
          <w:p>
            <w:pPr>
              <w:spacing w:line="360" w:lineRule="auto"/>
              <w:jc w:val="center"/>
              <w:rPr>
                <w:rFonts w:ascii="宋体" w:hAnsi="宋体"/>
              </w:rPr>
            </w:pPr>
          </w:p>
        </w:tc>
        <w:tc>
          <w:tcPr>
            <w:tcW w:w="851" w:type="dxa"/>
            <w:vAlign w:val="center"/>
          </w:tcPr>
          <w:p>
            <w:pPr>
              <w:spacing w:line="360" w:lineRule="auto"/>
              <w:jc w:val="center"/>
              <w:rPr>
                <w:rFonts w:ascii="宋体" w:hAnsi="宋体"/>
              </w:rPr>
            </w:pPr>
          </w:p>
        </w:tc>
        <w:tc>
          <w:tcPr>
            <w:tcW w:w="992" w:type="dxa"/>
            <w:vAlign w:val="center"/>
          </w:tcPr>
          <w:p>
            <w:pPr>
              <w:spacing w:line="360" w:lineRule="auto"/>
              <w:jc w:val="center"/>
              <w:rPr>
                <w:rFonts w:ascii="宋体" w:hAnsi="宋体"/>
              </w:rPr>
            </w:pPr>
          </w:p>
        </w:tc>
        <w:tc>
          <w:tcPr>
            <w:tcW w:w="1406" w:type="dxa"/>
            <w:vAlign w:val="center"/>
          </w:tcPr>
          <w:p>
            <w:pPr>
              <w:spacing w:line="360" w:lineRule="auto"/>
              <w:jc w:val="center"/>
              <w:rPr>
                <w:rFonts w:ascii="宋体" w:hAnsi="宋体"/>
              </w:rPr>
            </w:pPr>
          </w:p>
        </w:tc>
      </w:tr>
    </w:tbl>
    <w:p>
      <w:pPr>
        <w:numPr>
          <w:ilvl w:val="0"/>
          <w:numId w:val="36"/>
        </w:numPr>
        <w:tabs>
          <w:tab w:val="left" w:pos="630"/>
          <w:tab w:val="left" w:pos="7560"/>
        </w:tabs>
        <w:spacing w:after="200" w:line="360" w:lineRule="auto"/>
        <w:ind w:left="0" w:firstLine="0"/>
        <w:rPr>
          <w:rFonts w:ascii="宋体" w:hAnsi="宋体"/>
          <w:b/>
          <w:sz w:val="28"/>
        </w:rPr>
      </w:pPr>
      <w:r>
        <w:rPr>
          <w:rFonts w:hint="eastAsia" w:ascii="宋体" w:hAnsi="宋体"/>
          <w:b/>
          <w:sz w:val="24"/>
          <w:szCs w:val="21"/>
        </w:rPr>
        <w:t>投标人投标产品中为残疾人福利性单位制造的货物清单及价格（说明：如未提供则不能享受对残疾人福利性单位制造的货物的价格扣除，</w:t>
      </w:r>
      <w:r>
        <w:rPr>
          <w:rFonts w:ascii="宋体" w:hAnsi="宋体"/>
          <w:b/>
          <w:sz w:val="24"/>
          <w:szCs w:val="21"/>
        </w:rPr>
        <w:t>但不影响投标文件的有效性。</w:t>
      </w:r>
      <w:r>
        <w:rPr>
          <w:rFonts w:hint="eastAsia" w:ascii="宋体" w:hAnsi="宋体"/>
          <w:b/>
          <w:sz w:val="24"/>
          <w:szCs w:val="21"/>
        </w:rPr>
        <w:t>）</w:t>
      </w:r>
    </w:p>
    <w:tbl>
      <w:tblPr>
        <w:tblStyle w:val="41"/>
        <w:tblW w:w="101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0"/>
        <w:gridCol w:w="1720"/>
        <w:gridCol w:w="1418"/>
        <w:gridCol w:w="1418"/>
        <w:gridCol w:w="1417"/>
        <w:gridCol w:w="851"/>
        <w:gridCol w:w="992"/>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0" w:type="dxa"/>
            <w:vAlign w:val="center"/>
          </w:tcPr>
          <w:p>
            <w:pPr>
              <w:spacing w:before="120" w:beforeLines="50" w:line="360" w:lineRule="auto"/>
              <w:jc w:val="center"/>
              <w:rPr>
                <w:rFonts w:ascii="宋体" w:hAnsi="宋体"/>
                <w:b/>
              </w:rPr>
            </w:pPr>
            <w:r>
              <w:rPr>
                <w:rFonts w:hint="eastAsia" w:ascii="宋体" w:hAnsi="宋体"/>
                <w:b/>
              </w:rPr>
              <w:t>序号</w:t>
            </w:r>
          </w:p>
        </w:tc>
        <w:tc>
          <w:tcPr>
            <w:tcW w:w="1720" w:type="dxa"/>
            <w:vAlign w:val="center"/>
          </w:tcPr>
          <w:p>
            <w:pPr>
              <w:spacing w:before="120" w:beforeLines="50" w:line="360" w:lineRule="auto"/>
              <w:jc w:val="center"/>
              <w:rPr>
                <w:rFonts w:ascii="宋体" w:hAnsi="宋体"/>
                <w:b/>
              </w:rPr>
            </w:pPr>
            <w:r>
              <w:rPr>
                <w:rFonts w:hint="eastAsia" w:ascii="宋体" w:hAnsi="宋体"/>
                <w:b/>
              </w:rPr>
              <w:t>货物名称</w:t>
            </w:r>
          </w:p>
        </w:tc>
        <w:tc>
          <w:tcPr>
            <w:tcW w:w="1418" w:type="dxa"/>
          </w:tcPr>
          <w:p>
            <w:pPr>
              <w:spacing w:before="120" w:beforeLines="50" w:line="360" w:lineRule="auto"/>
              <w:jc w:val="center"/>
              <w:rPr>
                <w:rFonts w:hint="eastAsia" w:ascii="宋体" w:hAnsi="宋体" w:eastAsia="宋体"/>
                <w:b/>
                <w:lang w:eastAsia="zh-CN"/>
              </w:rPr>
            </w:pPr>
            <w:r>
              <w:rPr>
                <w:rFonts w:hint="eastAsia" w:ascii="宋体" w:hAnsi="宋体"/>
                <w:b/>
                <w:lang w:eastAsia="zh-CN"/>
              </w:rPr>
              <w:t>品牌（如有）</w:t>
            </w:r>
          </w:p>
        </w:tc>
        <w:tc>
          <w:tcPr>
            <w:tcW w:w="1418" w:type="dxa"/>
            <w:vAlign w:val="center"/>
          </w:tcPr>
          <w:p>
            <w:pPr>
              <w:spacing w:before="120" w:beforeLines="50" w:line="360" w:lineRule="auto"/>
              <w:jc w:val="center"/>
              <w:rPr>
                <w:rFonts w:ascii="宋体" w:hAnsi="宋体"/>
                <w:b/>
              </w:rPr>
            </w:pPr>
            <w:r>
              <w:rPr>
                <w:rFonts w:hint="eastAsia" w:ascii="宋体" w:hAnsi="宋体"/>
                <w:b/>
              </w:rPr>
              <w:t>规格型号</w:t>
            </w:r>
          </w:p>
        </w:tc>
        <w:tc>
          <w:tcPr>
            <w:tcW w:w="1417" w:type="dxa"/>
            <w:vAlign w:val="center"/>
          </w:tcPr>
          <w:p>
            <w:pPr>
              <w:spacing w:before="120" w:beforeLines="50" w:line="360" w:lineRule="auto"/>
              <w:jc w:val="center"/>
              <w:rPr>
                <w:rFonts w:ascii="宋体" w:hAnsi="宋体"/>
                <w:b/>
              </w:rPr>
            </w:pPr>
            <w:r>
              <w:rPr>
                <w:rFonts w:hint="eastAsia" w:ascii="宋体" w:hAnsi="宋体"/>
                <w:b/>
              </w:rPr>
              <w:t>制造商</w:t>
            </w:r>
          </w:p>
        </w:tc>
        <w:tc>
          <w:tcPr>
            <w:tcW w:w="851" w:type="dxa"/>
            <w:vAlign w:val="center"/>
          </w:tcPr>
          <w:p>
            <w:pPr>
              <w:spacing w:before="120" w:beforeLines="50" w:line="360" w:lineRule="auto"/>
              <w:jc w:val="center"/>
              <w:rPr>
                <w:rFonts w:ascii="宋体" w:hAnsi="宋体"/>
                <w:b/>
              </w:rPr>
            </w:pPr>
            <w:r>
              <w:rPr>
                <w:rFonts w:hint="eastAsia" w:ascii="宋体" w:hAnsi="宋体"/>
                <w:b/>
              </w:rPr>
              <w:t>数量</w:t>
            </w:r>
          </w:p>
        </w:tc>
        <w:tc>
          <w:tcPr>
            <w:tcW w:w="992" w:type="dxa"/>
            <w:vAlign w:val="center"/>
          </w:tcPr>
          <w:p>
            <w:pPr>
              <w:spacing w:before="120" w:beforeLines="50" w:line="360" w:lineRule="auto"/>
              <w:jc w:val="center"/>
              <w:rPr>
                <w:rFonts w:hint="eastAsia" w:ascii="宋体" w:hAnsi="宋体" w:eastAsia="宋体"/>
                <w:b/>
                <w:lang w:eastAsia="zh-CN"/>
              </w:rPr>
            </w:pPr>
            <w:r>
              <w:rPr>
                <w:rFonts w:hint="eastAsia" w:ascii="宋体" w:hAnsi="宋体"/>
                <w:b/>
              </w:rPr>
              <w:t>单</w:t>
            </w:r>
            <w:r>
              <w:rPr>
                <w:rFonts w:hint="eastAsia" w:ascii="宋体" w:hAnsi="宋体"/>
                <w:b/>
                <w:lang w:eastAsia="zh-CN"/>
              </w:rPr>
              <w:t>位</w:t>
            </w:r>
          </w:p>
        </w:tc>
        <w:tc>
          <w:tcPr>
            <w:tcW w:w="1346" w:type="dxa"/>
            <w:vAlign w:val="center"/>
          </w:tcPr>
          <w:p>
            <w:pPr>
              <w:spacing w:before="120" w:beforeLines="50" w:line="360" w:lineRule="auto"/>
              <w:jc w:val="center"/>
              <w:rPr>
                <w:rFonts w:ascii="宋体" w:hAnsi="宋体"/>
                <w:b/>
              </w:rPr>
            </w:pPr>
            <w:r>
              <w:rPr>
                <w:rFonts w:hint="eastAsia" w:ascii="宋体" w:hAnsi="宋体"/>
                <w:b/>
                <w:szCs w:val="28"/>
              </w:rPr>
              <w:t>投标结算率（%）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60" w:type="dxa"/>
            <w:vAlign w:val="center"/>
          </w:tcPr>
          <w:p>
            <w:pPr>
              <w:snapToGrid w:val="0"/>
              <w:spacing w:line="360" w:lineRule="auto"/>
              <w:jc w:val="center"/>
              <w:rPr>
                <w:rFonts w:ascii="宋体" w:hAnsi="宋体"/>
              </w:rPr>
            </w:pPr>
          </w:p>
        </w:tc>
        <w:tc>
          <w:tcPr>
            <w:tcW w:w="1720" w:type="dxa"/>
            <w:vAlign w:val="center"/>
          </w:tcPr>
          <w:p>
            <w:pPr>
              <w:spacing w:line="360" w:lineRule="auto"/>
              <w:jc w:val="center"/>
              <w:rPr>
                <w:rFonts w:ascii="宋体" w:hAnsi="宋体"/>
              </w:rPr>
            </w:pPr>
          </w:p>
        </w:tc>
        <w:tc>
          <w:tcPr>
            <w:tcW w:w="1418" w:type="dxa"/>
          </w:tcPr>
          <w:p>
            <w:pPr>
              <w:spacing w:line="360" w:lineRule="auto"/>
              <w:jc w:val="center"/>
              <w:rPr>
                <w:rFonts w:ascii="宋体" w:hAnsi="宋体"/>
              </w:rPr>
            </w:pPr>
          </w:p>
        </w:tc>
        <w:tc>
          <w:tcPr>
            <w:tcW w:w="1418" w:type="dxa"/>
            <w:vAlign w:val="center"/>
          </w:tcPr>
          <w:p>
            <w:pPr>
              <w:spacing w:line="360" w:lineRule="auto"/>
              <w:jc w:val="center"/>
              <w:rPr>
                <w:rFonts w:ascii="宋体" w:hAnsi="宋体"/>
              </w:rPr>
            </w:pPr>
          </w:p>
        </w:tc>
        <w:tc>
          <w:tcPr>
            <w:tcW w:w="1417" w:type="dxa"/>
            <w:vAlign w:val="center"/>
          </w:tcPr>
          <w:p>
            <w:pPr>
              <w:spacing w:line="360" w:lineRule="auto"/>
              <w:jc w:val="center"/>
              <w:rPr>
                <w:rFonts w:ascii="宋体" w:hAnsi="宋体"/>
              </w:rPr>
            </w:pPr>
          </w:p>
        </w:tc>
        <w:tc>
          <w:tcPr>
            <w:tcW w:w="851" w:type="dxa"/>
            <w:vAlign w:val="center"/>
          </w:tcPr>
          <w:p>
            <w:pPr>
              <w:spacing w:line="360" w:lineRule="auto"/>
              <w:jc w:val="center"/>
              <w:rPr>
                <w:rFonts w:ascii="宋体" w:hAnsi="宋体"/>
              </w:rPr>
            </w:pPr>
          </w:p>
        </w:tc>
        <w:tc>
          <w:tcPr>
            <w:tcW w:w="992" w:type="dxa"/>
            <w:vAlign w:val="center"/>
          </w:tcPr>
          <w:p>
            <w:pPr>
              <w:spacing w:line="360" w:lineRule="auto"/>
              <w:jc w:val="center"/>
              <w:rPr>
                <w:rFonts w:ascii="宋体" w:hAnsi="宋体"/>
              </w:rPr>
            </w:pPr>
          </w:p>
        </w:tc>
        <w:tc>
          <w:tcPr>
            <w:tcW w:w="1346" w:type="dxa"/>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960" w:type="dxa"/>
            <w:vAlign w:val="center"/>
          </w:tcPr>
          <w:p>
            <w:pPr>
              <w:snapToGrid w:val="0"/>
              <w:spacing w:line="360" w:lineRule="auto"/>
              <w:jc w:val="center"/>
              <w:rPr>
                <w:rFonts w:ascii="宋体" w:hAnsi="宋体"/>
              </w:rPr>
            </w:pPr>
          </w:p>
        </w:tc>
        <w:tc>
          <w:tcPr>
            <w:tcW w:w="1720" w:type="dxa"/>
            <w:vAlign w:val="center"/>
          </w:tcPr>
          <w:p>
            <w:pPr>
              <w:spacing w:line="360" w:lineRule="auto"/>
              <w:jc w:val="center"/>
              <w:rPr>
                <w:rFonts w:ascii="宋体" w:hAnsi="宋体"/>
              </w:rPr>
            </w:pPr>
          </w:p>
        </w:tc>
        <w:tc>
          <w:tcPr>
            <w:tcW w:w="1418" w:type="dxa"/>
          </w:tcPr>
          <w:p>
            <w:pPr>
              <w:spacing w:line="360" w:lineRule="auto"/>
              <w:jc w:val="center"/>
              <w:rPr>
                <w:rFonts w:ascii="宋体" w:hAnsi="宋体"/>
              </w:rPr>
            </w:pPr>
          </w:p>
        </w:tc>
        <w:tc>
          <w:tcPr>
            <w:tcW w:w="1418" w:type="dxa"/>
            <w:vAlign w:val="center"/>
          </w:tcPr>
          <w:p>
            <w:pPr>
              <w:spacing w:line="360" w:lineRule="auto"/>
              <w:jc w:val="center"/>
              <w:rPr>
                <w:rFonts w:ascii="宋体" w:hAnsi="宋体"/>
              </w:rPr>
            </w:pPr>
          </w:p>
        </w:tc>
        <w:tc>
          <w:tcPr>
            <w:tcW w:w="1417" w:type="dxa"/>
            <w:vAlign w:val="center"/>
          </w:tcPr>
          <w:p>
            <w:pPr>
              <w:spacing w:line="360" w:lineRule="auto"/>
              <w:jc w:val="center"/>
              <w:rPr>
                <w:rFonts w:ascii="宋体" w:hAnsi="宋体"/>
              </w:rPr>
            </w:pPr>
          </w:p>
        </w:tc>
        <w:tc>
          <w:tcPr>
            <w:tcW w:w="851" w:type="dxa"/>
            <w:vAlign w:val="center"/>
          </w:tcPr>
          <w:p>
            <w:pPr>
              <w:spacing w:line="360" w:lineRule="auto"/>
              <w:jc w:val="center"/>
              <w:rPr>
                <w:rFonts w:ascii="宋体" w:hAnsi="宋体"/>
              </w:rPr>
            </w:pPr>
          </w:p>
        </w:tc>
        <w:tc>
          <w:tcPr>
            <w:tcW w:w="992" w:type="dxa"/>
            <w:vAlign w:val="center"/>
          </w:tcPr>
          <w:p>
            <w:pPr>
              <w:spacing w:line="360" w:lineRule="auto"/>
              <w:jc w:val="center"/>
              <w:rPr>
                <w:rFonts w:ascii="宋体" w:hAnsi="宋体"/>
              </w:rPr>
            </w:pPr>
          </w:p>
        </w:tc>
        <w:tc>
          <w:tcPr>
            <w:tcW w:w="1346" w:type="dxa"/>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960" w:type="dxa"/>
            <w:vAlign w:val="center"/>
          </w:tcPr>
          <w:p>
            <w:pPr>
              <w:snapToGrid w:val="0"/>
              <w:spacing w:line="360" w:lineRule="auto"/>
              <w:jc w:val="center"/>
              <w:rPr>
                <w:rFonts w:ascii="宋体" w:hAnsi="宋体"/>
              </w:rPr>
            </w:pPr>
          </w:p>
        </w:tc>
        <w:tc>
          <w:tcPr>
            <w:tcW w:w="1720" w:type="dxa"/>
            <w:vAlign w:val="center"/>
          </w:tcPr>
          <w:p>
            <w:pPr>
              <w:spacing w:line="360" w:lineRule="auto"/>
              <w:jc w:val="center"/>
              <w:rPr>
                <w:rFonts w:ascii="宋体" w:hAnsi="宋体"/>
              </w:rPr>
            </w:pPr>
          </w:p>
        </w:tc>
        <w:tc>
          <w:tcPr>
            <w:tcW w:w="1418" w:type="dxa"/>
          </w:tcPr>
          <w:p>
            <w:pPr>
              <w:spacing w:line="360" w:lineRule="auto"/>
              <w:jc w:val="center"/>
              <w:rPr>
                <w:rFonts w:ascii="宋体" w:hAnsi="宋体"/>
              </w:rPr>
            </w:pPr>
          </w:p>
        </w:tc>
        <w:tc>
          <w:tcPr>
            <w:tcW w:w="1418" w:type="dxa"/>
            <w:vAlign w:val="center"/>
          </w:tcPr>
          <w:p>
            <w:pPr>
              <w:spacing w:line="360" w:lineRule="auto"/>
              <w:jc w:val="center"/>
              <w:rPr>
                <w:rFonts w:ascii="宋体" w:hAnsi="宋体"/>
              </w:rPr>
            </w:pPr>
          </w:p>
        </w:tc>
        <w:tc>
          <w:tcPr>
            <w:tcW w:w="1417" w:type="dxa"/>
            <w:vAlign w:val="center"/>
          </w:tcPr>
          <w:p>
            <w:pPr>
              <w:spacing w:line="360" w:lineRule="auto"/>
              <w:jc w:val="center"/>
              <w:rPr>
                <w:rFonts w:ascii="宋体" w:hAnsi="宋体"/>
              </w:rPr>
            </w:pPr>
          </w:p>
        </w:tc>
        <w:tc>
          <w:tcPr>
            <w:tcW w:w="851" w:type="dxa"/>
            <w:vAlign w:val="center"/>
          </w:tcPr>
          <w:p>
            <w:pPr>
              <w:spacing w:line="360" w:lineRule="auto"/>
              <w:jc w:val="center"/>
              <w:rPr>
                <w:rFonts w:ascii="宋体" w:hAnsi="宋体"/>
              </w:rPr>
            </w:pPr>
          </w:p>
        </w:tc>
        <w:tc>
          <w:tcPr>
            <w:tcW w:w="992" w:type="dxa"/>
            <w:vAlign w:val="center"/>
          </w:tcPr>
          <w:p>
            <w:pPr>
              <w:spacing w:line="360" w:lineRule="auto"/>
              <w:jc w:val="center"/>
              <w:rPr>
                <w:rFonts w:ascii="宋体" w:hAnsi="宋体"/>
              </w:rPr>
            </w:pPr>
          </w:p>
        </w:tc>
        <w:tc>
          <w:tcPr>
            <w:tcW w:w="1346" w:type="dxa"/>
            <w:vAlign w:val="center"/>
          </w:tcPr>
          <w:p>
            <w:pPr>
              <w:spacing w:line="360" w:lineRule="auto"/>
              <w:jc w:val="center"/>
              <w:rPr>
                <w:rFonts w:ascii="宋体" w:hAnsi="宋体"/>
              </w:rPr>
            </w:pPr>
          </w:p>
        </w:tc>
      </w:tr>
    </w:tbl>
    <w:p>
      <w:pPr>
        <w:spacing w:line="360" w:lineRule="auto"/>
        <w:ind w:left="0" w:leftChars="0" w:firstLine="0" w:firstLineChars="0"/>
        <w:jc w:val="center"/>
        <w:rPr>
          <w:rFonts w:hint="eastAsia" w:ascii="宋体" w:hAnsi="宋体"/>
          <w:sz w:val="28"/>
          <w:lang w:val="zh-CN"/>
        </w:rPr>
      </w:pPr>
    </w:p>
    <w:p>
      <w:pPr>
        <w:tabs>
          <w:tab w:val="left" w:pos="630"/>
          <w:tab w:val="left" w:pos="7560"/>
        </w:tabs>
        <w:spacing w:line="360" w:lineRule="auto"/>
        <w:ind w:firstLine="440" w:firstLineChars="200"/>
        <w:rPr>
          <w:rFonts w:ascii="宋体" w:hAnsi="宋体"/>
          <w:sz w:val="28"/>
          <w:szCs w:val="28"/>
          <w:highlight w:val="yellow"/>
        </w:rPr>
      </w:pPr>
      <w:r>
        <w:rPr>
          <w:rFonts w:ascii="宋体" w:hAnsi="宋体"/>
          <w:sz w:val="22"/>
          <w:szCs w:val="22"/>
          <w:highlight w:val="yellow"/>
        </w:rPr>
        <w:t>须填报的货物为：肉类、禽类、蛋类、水产类、水果类、蔬菜类、米、面、油、奶制品、干货、调料（不包括食用盐）、食用盐。</w:t>
      </w:r>
    </w:p>
    <w:p>
      <w:pPr>
        <w:spacing w:line="360" w:lineRule="auto"/>
        <w:ind w:left="0" w:leftChars="0" w:firstLine="0" w:firstLineChars="0"/>
        <w:jc w:val="center"/>
        <w:rPr>
          <w:rFonts w:hint="eastAsia" w:ascii="宋体" w:hAnsi="宋体"/>
          <w:sz w:val="28"/>
          <w:lang w:val="zh-CN"/>
        </w:rPr>
      </w:pPr>
    </w:p>
    <w:p>
      <w:pPr>
        <w:spacing w:line="360" w:lineRule="auto"/>
        <w:ind w:left="0" w:leftChars="0" w:firstLine="0" w:firstLineChars="0"/>
        <w:jc w:val="center"/>
        <w:rPr>
          <w:rFonts w:ascii="宋体" w:hAnsi="宋体"/>
          <w:sz w:val="28"/>
          <w:lang w:val="zh-CN"/>
        </w:rPr>
      </w:pPr>
      <w:r>
        <w:rPr>
          <w:rFonts w:hint="eastAsia" w:ascii="宋体" w:hAnsi="宋体"/>
          <w:sz w:val="28"/>
          <w:lang w:val="zh-CN"/>
        </w:rPr>
        <w:t>投标人名称：</w:t>
      </w:r>
      <w:r>
        <w:rPr>
          <w:rFonts w:ascii="宋体" w:hAnsi="宋体"/>
          <w:sz w:val="28"/>
          <w:u w:val="single"/>
          <w:lang w:val="zh-CN"/>
        </w:rPr>
        <w:t>XXXX</w:t>
      </w:r>
    </w:p>
    <w:p>
      <w:pPr>
        <w:jc w:val="center"/>
      </w:pPr>
      <w:r>
        <w:rPr>
          <w:rFonts w:hint="eastAsia" w:ascii="宋体" w:hAnsi="宋体"/>
          <w:sz w:val="28"/>
          <w:lang w:val="en-US" w:eastAsia="zh-CN"/>
        </w:rPr>
        <w:t xml:space="preserve">      </w:t>
      </w:r>
      <w:r>
        <w:rPr>
          <w:rFonts w:ascii="宋体" w:hAnsi="宋体"/>
          <w:sz w:val="28"/>
        </w:rPr>
        <w:t>日期：</w:t>
      </w:r>
      <w:r>
        <w:rPr>
          <w:rFonts w:ascii="宋体" w:hAnsi="宋体"/>
          <w:bCs/>
          <w:sz w:val="28"/>
        </w:rPr>
        <w:t>202X年XX月XX日</w:t>
      </w:r>
      <w:r>
        <w:br w:type="page"/>
      </w:r>
    </w:p>
    <w:p/>
    <w:p>
      <w:pPr>
        <w:keepNext/>
        <w:keepLines/>
        <w:numPr>
          <w:ilvl w:val="2"/>
          <w:numId w:val="3"/>
        </w:numPr>
        <w:spacing w:line="360" w:lineRule="auto"/>
        <w:ind w:left="3119" w:hanging="3119"/>
        <w:outlineLvl w:val="2"/>
        <w:rPr>
          <w:rFonts w:ascii="宋体" w:hAnsi="宋体"/>
          <w:b/>
          <w:bCs/>
          <w:sz w:val="28"/>
          <w:szCs w:val="28"/>
        </w:rPr>
      </w:pPr>
      <w:r>
        <w:rPr>
          <w:rFonts w:hint="eastAsia" w:ascii="宋体" w:hAnsi="宋体"/>
          <w:b/>
          <w:bCs/>
          <w:sz w:val="28"/>
          <w:szCs w:val="28"/>
        </w:rPr>
        <w:t>中小企业声明函</w:t>
      </w:r>
    </w:p>
    <w:p>
      <w:pPr>
        <w:spacing w:line="440" w:lineRule="exact"/>
        <w:ind w:firstLine="574" w:firstLineChars="196"/>
        <w:jc w:val="center"/>
        <w:rPr>
          <w:rFonts w:ascii="宋体" w:hAnsi="宋体"/>
          <w:b/>
          <w:sz w:val="28"/>
          <w:szCs w:val="28"/>
        </w:rPr>
      </w:pPr>
      <w:r>
        <w:rPr>
          <w:rFonts w:hint="eastAsia" w:ascii="宋体" w:hAnsi="宋体"/>
          <w:b/>
          <w:spacing w:val="6"/>
          <w:sz w:val="28"/>
          <w:szCs w:val="28"/>
        </w:rPr>
        <w:t>中小企业声明函</w:t>
      </w:r>
    </w:p>
    <w:p>
      <w:pPr>
        <w:spacing w:line="480" w:lineRule="exact"/>
        <w:ind w:firstLine="561"/>
        <w:rPr>
          <w:rFonts w:ascii="宋体" w:hAnsi="宋体"/>
          <w:sz w:val="24"/>
          <w:szCs w:val="24"/>
        </w:rPr>
      </w:pPr>
      <w:r>
        <w:rPr>
          <w:rFonts w:hint="eastAsia" w:ascii="宋体" w:hAnsi="宋体"/>
          <w:sz w:val="24"/>
          <w:szCs w:val="24"/>
        </w:rPr>
        <w:t>本公司郑重声明，根据《政府采购促进中小企业发展管理办法》（财库﹝2020﹞46 号）的规定，本公司参加</w:t>
      </w:r>
      <w:r>
        <w:rPr>
          <w:rFonts w:hint="eastAsia" w:ascii="宋体" w:hAnsi="宋体"/>
          <w:b/>
          <w:bCs/>
          <w:sz w:val="24"/>
          <w:szCs w:val="24"/>
          <w:u w:val="single"/>
        </w:rPr>
        <w:t>成都市武侯区机关事务中心</w:t>
      </w:r>
      <w:r>
        <w:rPr>
          <w:rFonts w:hint="eastAsia" w:ascii="宋体" w:hAnsi="宋体"/>
          <w:sz w:val="24"/>
          <w:szCs w:val="24"/>
        </w:rPr>
        <w:t>的</w:t>
      </w:r>
      <w:r>
        <w:rPr>
          <w:rFonts w:hint="eastAsia" w:ascii="宋体" w:hAnsi="宋体"/>
          <w:b/>
          <w:bCs/>
          <w:sz w:val="24"/>
          <w:szCs w:val="24"/>
          <w:u w:val="single"/>
        </w:rPr>
        <w:t>成都市武侯区机关事务中心农副食品，动、植物油制品（第一办公区食材）采购项目</w:t>
      </w:r>
      <w:r>
        <w:rPr>
          <w:rFonts w:hint="eastAsia" w:ascii="宋体" w:hAnsi="宋体"/>
          <w:sz w:val="24"/>
          <w:szCs w:val="24"/>
        </w:rPr>
        <w:t>采购活动，</w:t>
      </w:r>
      <w:r>
        <w:rPr>
          <w:rFonts w:hint="eastAsia" w:ascii="宋体" w:hAnsi="宋体"/>
          <w:b/>
          <w:sz w:val="24"/>
          <w:szCs w:val="24"/>
        </w:rPr>
        <w:t>提供的货物全部由符合政策要求的中小企业制造。</w:t>
      </w:r>
      <w:r>
        <w:rPr>
          <w:rFonts w:hint="eastAsia" w:ascii="宋体" w:hAnsi="宋体"/>
          <w:sz w:val="24"/>
          <w:szCs w:val="24"/>
        </w:rPr>
        <w:t>相关企业的具体情况如下：</w:t>
      </w:r>
    </w:p>
    <w:p>
      <w:pPr>
        <w:numPr>
          <w:ilvl w:val="0"/>
          <w:numId w:val="37"/>
        </w:numPr>
        <w:spacing w:line="480" w:lineRule="exact"/>
        <w:ind w:left="701" w:leftChars="0" w:firstLine="0" w:firstLineChars="0"/>
        <w:rPr>
          <w:rFonts w:hint="eastAsia" w:ascii="宋体" w:hAnsi="宋体"/>
          <w:sz w:val="24"/>
          <w:szCs w:val="24"/>
        </w:rPr>
      </w:pPr>
      <w:r>
        <w:rPr>
          <w:rFonts w:hint="default" w:ascii="仿宋" w:hAnsi="仿宋" w:eastAsia="仿宋" w:cs="仿宋"/>
          <w:b w:val="0"/>
          <w:bCs w:val="0"/>
          <w:sz w:val="24"/>
          <w:szCs w:val="24"/>
          <w:u w:val="single"/>
        </w:rPr>
        <w:t>蔬菜类</w:t>
      </w:r>
      <w:r>
        <w:rPr>
          <w:rFonts w:hint="eastAsia" w:ascii="宋体" w:hAnsi="宋体"/>
          <w:sz w:val="24"/>
          <w:szCs w:val="24"/>
        </w:rPr>
        <w:t>（标的名称），属于</w:t>
      </w:r>
      <w:r>
        <w:rPr>
          <w:rFonts w:hint="eastAsia" w:ascii="宋体" w:hAnsi="宋体"/>
          <w:sz w:val="24"/>
          <w:szCs w:val="24"/>
          <w:u w:val="single"/>
        </w:rPr>
        <w:t>__</w:t>
      </w:r>
      <w:r>
        <w:rPr>
          <w:rFonts w:hint="default" w:ascii="宋体" w:hAnsi="宋体"/>
          <w:sz w:val="24"/>
          <w:szCs w:val="24"/>
          <w:u w:val="single"/>
        </w:rPr>
        <w:t>农、林、牧、渔业</w:t>
      </w:r>
      <w:r>
        <w:rPr>
          <w:rFonts w:hint="eastAsia" w:ascii="宋体" w:hAnsi="宋体"/>
          <w:sz w:val="24"/>
          <w:szCs w:val="24"/>
          <w:u w:val="single"/>
        </w:rPr>
        <w:t>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p>
    <w:p>
      <w:pPr>
        <w:numPr>
          <w:ilvl w:val="0"/>
          <w:numId w:val="37"/>
        </w:numPr>
        <w:spacing w:line="480" w:lineRule="exact"/>
        <w:ind w:left="701" w:leftChars="0" w:firstLine="0" w:firstLineChars="0"/>
        <w:rPr>
          <w:sz w:val="20"/>
          <w:szCs w:val="21"/>
        </w:rPr>
      </w:pPr>
      <w:r>
        <w:rPr>
          <w:rFonts w:hint="default" w:ascii="仿宋" w:hAnsi="仿宋" w:eastAsia="仿宋" w:cs="仿宋"/>
          <w:sz w:val="24"/>
          <w:szCs w:val="24"/>
          <w:u w:val="single"/>
        </w:rPr>
        <w:t>水果类</w:t>
      </w:r>
      <w:r>
        <w:rPr>
          <w:rFonts w:hint="eastAsia" w:ascii="宋体" w:hAnsi="宋体"/>
          <w:sz w:val="24"/>
          <w:szCs w:val="24"/>
        </w:rPr>
        <w:t>（标的名称），属于</w:t>
      </w:r>
      <w:r>
        <w:rPr>
          <w:rFonts w:hint="eastAsia" w:ascii="宋体" w:hAnsi="宋体"/>
          <w:sz w:val="24"/>
          <w:szCs w:val="24"/>
          <w:u w:val="single"/>
        </w:rPr>
        <w:t>___</w:t>
      </w:r>
      <w:r>
        <w:rPr>
          <w:rFonts w:hint="default" w:ascii="宋体" w:hAnsi="宋体"/>
          <w:sz w:val="24"/>
          <w:szCs w:val="24"/>
          <w:u w:val="single"/>
        </w:rPr>
        <w:t>农、林、牧、渔业</w:t>
      </w:r>
      <w:r>
        <w:rPr>
          <w:rFonts w:hint="eastAsia" w:ascii="宋体" w:hAnsi="宋体"/>
          <w:sz w:val="24"/>
          <w:szCs w:val="24"/>
          <w:u w:val="single"/>
        </w:rPr>
        <w:t>____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p>
    <w:p>
      <w:pPr>
        <w:numPr>
          <w:ilvl w:val="0"/>
          <w:numId w:val="37"/>
        </w:numPr>
        <w:spacing w:line="480" w:lineRule="exact"/>
        <w:ind w:left="701" w:leftChars="0" w:firstLine="0" w:firstLineChars="0"/>
        <w:rPr>
          <w:sz w:val="20"/>
          <w:szCs w:val="21"/>
        </w:rPr>
      </w:pPr>
      <w:r>
        <w:rPr>
          <w:rFonts w:hint="eastAsia" w:ascii="宋体" w:hAnsi="宋体"/>
          <w:sz w:val="24"/>
          <w:szCs w:val="24"/>
          <w:u w:val="single"/>
          <w:lang w:eastAsia="zh-CN"/>
        </w:rPr>
        <w:t>肉类</w:t>
      </w:r>
      <w:r>
        <w:rPr>
          <w:rFonts w:hint="eastAsia" w:ascii="宋体" w:hAnsi="宋体"/>
          <w:sz w:val="24"/>
          <w:szCs w:val="24"/>
          <w:u w:val="single"/>
        </w:rPr>
        <w:t>（</w:t>
      </w:r>
      <w:r>
        <w:rPr>
          <w:rFonts w:hint="eastAsia" w:ascii="宋体" w:hAnsi="宋体"/>
          <w:sz w:val="24"/>
          <w:szCs w:val="24"/>
        </w:rPr>
        <w:t>标的名称），属于</w:t>
      </w:r>
      <w:r>
        <w:rPr>
          <w:rFonts w:hint="eastAsia" w:ascii="宋体" w:hAnsi="宋体"/>
          <w:sz w:val="24"/>
          <w:szCs w:val="24"/>
          <w:u w:val="single"/>
        </w:rPr>
        <w:t>____</w:t>
      </w:r>
      <w:r>
        <w:rPr>
          <w:rFonts w:hint="default" w:ascii="宋体" w:hAnsi="宋体"/>
          <w:sz w:val="24"/>
          <w:szCs w:val="24"/>
          <w:u w:val="single"/>
        </w:rPr>
        <w:t>农、林、牧、渔业</w:t>
      </w:r>
      <w:r>
        <w:rPr>
          <w:rFonts w:hint="eastAsia" w:ascii="宋体" w:hAnsi="宋体"/>
          <w:sz w:val="24"/>
          <w:szCs w:val="24"/>
          <w:u w:val="single"/>
        </w:rPr>
        <w:t>____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numPr>
          <w:ilvl w:val="0"/>
          <w:numId w:val="37"/>
        </w:numPr>
        <w:spacing w:line="480" w:lineRule="exact"/>
        <w:ind w:left="701" w:leftChars="0" w:firstLine="0" w:firstLineChars="0"/>
        <w:rPr>
          <w:sz w:val="20"/>
          <w:szCs w:val="21"/>
        </w:rPr>
      </w:pPr>
      <w:r>
        <w:rPr>
          <w:rFonts w:hint="eastAsia" w:ascii="宋体" w:hAnsi="宋体"/>
          <w:sz w:val="24"/>
          <w:szCs w:val="24"/>
          <w:u w:val="single"/>
          <w:lang w:eastAsia="zh-CN"/>
        </w:rPr>
        <w:t>禽类</w:t>
      </w:r>
      <w:r>
        <w:rPr>
          <w:rFonts w:hint="eastAsia" w:ascii="宋体" w:hAnsi="宋体"/>
          <w:sz w:val="24"/>
          <w:szCs w:val="24"/>
          <w:u w:val="single"/>
        </w:rPr>
        <w:t>（</w:t>
      </w:r>
      <w:r>
        <w:rPr>
          <w:rFonts w:hint="eastAsia" w:ascii="宋体" w:hAnsi="宋体"/>
          <w:sz w:val="24"/>
          <w:szCs w:val="24"/>
        </w:rPr>
        <w:t>标的名称），属于</w:t>
      </w:r>
      <w:r>
        <w:rPr>
          <w:rFonts w:hint="eastAsia" w:ascii="宋体" w:hAnsi="宋体"/>
          <w:sz w:val="24"/>
          <w:szCs w:val="24"/>
          <w:u w:val="single"/>
        </w:rPr>
        <w:t>__</w:t>
      </w:r>
      <w:r>
        <w:rPr>
          <w:rFonts w:hint="default" w:ascii="宋体" w:hAnsi="宋体"/>
          <w:sz w:val="24"/>
          <w:szCs w:val="24"/>
          <w:u w:val="single"/>
        </w:rPr>
        <w:t>农、林、牧、渔业</w:t>
      </w:r>
      <w:r>
        <w:rPr>
          <w:rFonts w:hint="eastAsia" w:ascii="宋体" w:hAnsi="宋体"/>
          <w:sz w:val="24"/>
          <w:szCs w:val="24"/>
          <w:u w:val="single"/>
        </w:rPr>
        <w:t>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numPr>
          <w:ilvl w:val="0"/>
          <w:numId w:val="37"/>
        </w:numPr>
        <w:spacing w:line="480" w:lineRule="exact"/>
        <w:ind w:left="701" w:leftChars="0" w:firstLine="0" w:firstLineChars="0"/>
        <w:rPr>
          <w:sz w:val="20"/>
          <w:szCs w:val="21"/>
        </w:rPr>
      </w:pPr>
      <w:r>
        <w:rPr>
          <w:rFonts w:hint="eastAsia" w:ascii="宋体" w:hAnsi="宋体"/>
          <w:sz w:val="24"/>
          <w:szCs w:val="24"/>
          <w:u w:val="single"/>
          <w:lang w:eastAsia="zh-CN"/>
        </w:rPr>
        <w:t>蛋类</w:t>
      </w:r>
      <w:r>
        <w:rPr>
          <w:rFonts w:hint="eastAsia" w:ascii="宋体" w:hAnsi="宋体"/>
          <w:sz w:val="24"/>
          <w:szCs w:val="24"/>
          <w:u w:val="single"/>
        </w:rPr>
        <w:t>（</w:t>
      </w:r>
      <w:r>
        <w:rPr>
          <w:rFonts w:hint="eastAsia" w:ascii="宋体" w:hAnsi="宋体"/>
          <w:sz w:val="24"/>
          <w:szCs w:val="24"/>
        </w:rPr>
        <w:t>标的名称），属于</w:t>
      </w:r>
      <w:r>
        <w:rPr>
          <w:rFonts w:hint="eastAsia" w:ascii="宋体" w:hAnsi="宋体"/>
          <w:sz w:val="24"/>
          <w:szCs w:val="24"/>
          <w:u w:val="single"/>
        </w:rPr>
        <w:t>___</w:t>
      </w:r>
      <w:r>
        <w:rPr>
          <w:rFonts w:hint="default" w:ascii="宋体" w:hAnsi="宋体"/>
          <w:sz w:val="24"/>
          <w:szCs w:val="24"/>
          <w:u w:val="single"/>
        </w:rPr>
        <w:t>农、林、牧、渔业</w:t>
      </w:r>
      <w:r>
        <w:rPr>
          <w:rFonts w:hint="eastAsia" w:ascii="宋体" w:hAnsi="宋体"/>
          <w:sz w:val="24"/>
          <w:szCs w:val="24"/>
          <w:u w:val="single"/>
        </w:rPr>
        <w:t>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numPr>
          <w:ilvl w:val="0"/>
          <w:numId w:val="37"/>
        </w:numPr>
        <w:spacing w:line="480" w:lineRule="exact"/>
        <w:ind w:left="701" w:leftChars="0" w:firstLine="0" w:firstLineChars="0"/>
        <w:rPr>
          <w:sz w:val="20"/>
          <w:szCs w:val="21"/>
        </w:rPr>
      </w:pPr>
      <w:r>
        <w:rPr>
          <w:rFonts w:hint="eastAsia" w:ascii="宋体" w:hAnsi="宋体"/>
          <w:sz w:val="24"/>
          <w:szCs w:val="24"/>
          <w:u w:val="single"/>
          <w:lang w:eastAsia="zh-CN"/>
        </w:rPr>
        <w:t>水产类</w:t>
      </w:r>
      <w:r>
        <w:rPr>
          <w:rFonts w:hint="eastAsia" w:ascii="宋体" w:hAnsi="宋体"/>
          <w:sz w:val="24"/>
          <w:szCs w:val="24"/>
        </w:rPr>
        <w:t>（标的名称），属于</w:t>
      </w:r>
      <w:r>
        <w:rPr>
          <w:rFonts w:hint="eastAsia" w:ascii="宋体" w:hAnsi="宋体"/>
          <w:sz w:val="24"/>
          <w:szCs w:val="24"/>
          <w:u w:val="single"/>
        </w:rPr>
        <w:t>__</w:t>
      </w:r>
      <w:r>
        <w:rPr>
          <w:rFonts w:hint="default" w:ascii="宋体" w:hAnsi="宋体"/>
          <w:sz w:val="24"/>
          <w:szCs w:val="24"/>
          <w:u w:val="single"/>
        </w:rPr>
        <w:t>农、林、牧、渔业</w:t>
      </w:r>
      <w:r>
        <w:rPr>
          <w:rFonts w:hint="eastAsia" w:ascii="宋体" w:hAnsi="宋体"/>
          <w:sz w:val="24"/>
          <w:szCs w:val="24"/>
          <w:u w:val="single"/>
        </w:rPr>
        <w:t>____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numPr>
          <w:ilvl w:val="0"/>
          <w:numId w:val="37"/>
        </w:numPr>
        <w:spacing w:line="480" w:lineRule="exact"/>
        <w:ind w:left="701" w:leftChars="0" w:firstLine="0" w:firstLineChars="0"/>
        <w:rPr>
          <w:sz w:val="20"/>
          <w:szCs w:val="21"/>
        </w:rPr>
      </w:pPr>
      <w:r>
        <w:rPr>
          <w:rFonts w:hint="eastAsia" w:ascii="宋体" w:hAnsi="宋体"/>
          <w:sz w:val="24"/>
          <w:szCs w:val="24"/>
          <w:u w:val="single"/>
          <w:lang w:eastAsia="zh-CN"/>
        </w:rPr>
        <w:t>米</w:t>
      </w:r>
      <w:r>
        <w:rPr>
          <w:rFonts w:hint="eastAsia" w:ascii="宋体" w:hAnsi="宋体"/>
          <w:sz w:val="24"/>
          <w:szCs w:val="24"/>
        </w:rPr>
        <w:t>（标的名称），属于</w:t>
      </w:r>
      <w:r>
        <w:rPr>
          <w:rFonts w:hint="eastAsia" w:ascii="宋体" w:hAnsi="宋体"/>
          <w:sz w:val="24"/>
          <w:szCs w:val="24"/>
          <w:u w:val="single"/>
        </w:rPr>
        <w:t>__</w:t>
      </w:r>
      <w:r>
        <w:rPr>
          <w:rFonts w:hint="eastAsia" w:ascii="宋体" w:hAnsi="宋体"/>
          <w:sz w:val="24"/>
          <w:szCs w:val="24"/>
          <w:u w:val="single"/>
          <w:lang w:eastAsia="zh-CN"/>
        </w:rPr>
        <w:t>工业</w:t>
      </w:r>
      <w:r>
        <w:rPr>
          <w:rFonts w:hint="eastAsia" w:ascii="宋体" w:hAnsi="宋体"/>
          <w:sz w:val="24"/>
          <w:szCs w:val="24"/>
          <w:u w:val="single"/>
        </w:rPr>
        <w:t>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numPr>
          <w:ilvl w:val="0"/>
          <w:numId w:val="37"/>
        </w:numPr>
        <w:spacing w:line="480" w:lineRule="exact"/>
        <w:ind w:left="701" w:leftChars="0" w:firstLine="0" w:firstLineChars="0"/>
        <w:rPr>
          <w:sz w:val="20"/>
          <w:szCs w:val="21"/>
        </w:rPr>
      </w:pPr>
      <w:r>
        <w:rPr>
          <w:rFonts w:hint="eastAsia" w:ascii="宋体" w:hAnsi="宋体"/>
          <w:sz w:val="24"/>
          <w:szCs w:val="24"/>
          <w:u w:val="single"/>
          <w:lang w:eastAsia="zh-CN"/>
        </w:rPr>
        <w:t>面</w:t>
      </w:r>
      <w:r>
        <w:rPr>
          <w:rFonts w:hint="eastAsia" w:ascii="宋体" w:hAnsi="宋体"/>
          <w:sz w:val="24"/>
          <w:szCs w:val="24"/>
        </w:rPr>
        <w:t>（标的名称），属于</w:t>
      </w:r>
      <w:r>
        <w:rPr>
          <w:rFonts w:hint="eastAsia" w:ascii="宋体" w:hAnsi="宋体"/>
          <w:sz w:val="24"/>
          <w:szCs w:val="24"/>
          <w:u w:val="single"/>
        </w:rPr>
        <w:t>___</w:t>
      </w:r>
      <w:r>
        <w:rPr>
          <w:rFonts w:hint="eastAsia" w:ascii="宋体" w:hAnsi="宋体"/>
          <w:sz w:val="24"/>
          <w:szCs w:val="24"/>
          <w:u w:val="single"/>
          <w:lang w:eastAsia="zh-CN"/>
        </w:rPr>
        <w:t>工业</w:t>
      </w:r>
      <w:r>
        <w:rPr>
          <w:rFonts w:hint="eastAsia" w:ascii="宋体" w:hAnsi="宋体"/>
          <w:sz w:val="24"/>
          <w:szCs w:val="24"/>
          <w:u w:val="single"/>
        </w:rPr>
        <w:t>____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numPr>
          <w:ilvl w:val="0"/>
          <w:numId w:val="37"/>
        </w:numPr>
        <w:spacing w:line="480" w:lineRule="exact"/>
        <w:ind w:left="701" w:leftChars="0" w:firstLine="0" w:firstLineChars="0"/>
        <w:rPr>
          <w:sz w:val="20"/>
          <w:szCs w:val="21"/>
        </w:rPr>
      </w:pPr>
      <w:r>
        <w:rPr>
          <w:rFonts w:hint="eastAsia" w:ascii="宋体" w:hAnsi="宋体"/>
          <w:sz w:val="24"/>
          <w:szCs w:val="24"/>
          <w:lang w:val="en-US" w:eastAsia="zh-CN"/>
        </w:rPr>
        <w:t>油</w:t>
      </w:r>
      <w:r>
        <w:rPr>
          <w:rFonts w:hint="eastAsia" w:ascii="宋体" w:hAnsi="宋体"/>
          <w:sz w:val="24"/>
          <w:szCs w:val="24"/>
        </w:rPr>
        <w:t>（标的名称），属于</w:t>
      </w:r>
      <w:r>
        <w:rPr>
          <w:rFonts w:hint="eastAsia" w:ascii="宋体" w:hAnsi="宋体"/>
          <w:sz w:val="24"/>
          <w:szCs w:val="24"/>
          <w:u w:val="single"/>
        </w:rPr>
        <w:t>__</w:t>
      </w:r>
      <w:r>
        <w:rPr>
          <w:rFonts w:hint="eastAsia" w:ascii="宋体" w:hAnsi="宋体"/>
          <w:sz w:val="24"/>
          <w:szCs w:val="24"/>
          <w:u w:val="single"/>
          <w:lang w:eastAsia="zh-CN"/>
        </w:rPr>
        <w:t>工业</w:t>
      </w:r>
      <w:r>
        <w:rPr>
          <w:rFonts w:hint="eastAsia" w:ascii="宋体" w:hAnsi="宋体"/>
          <w:sz w:val="24"/>
          <w:szCs w:val="24"/>
          <w:u w:val="single"/>
        </w:rPr>
        <w:t>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numPr>
          <w:ilvl w:val="0"/>
          <w:numId w:val="37"/>
        </w:numPr>
        <w:spacing w:line="480" w:lineRule="exact"/>
        <w:ind w:left="701" w:leftChars="0" w:firstLine="0" w:firstLineChars="0"/>
        <w:rPr>
          <w:sz w:val="20"/>
          <w:szCs w:val="21"/>
        </w:rPr>
      </w:pPr>
      <w:r>
        <w:rPr>
          <w:rFonts w:hint="eastAsia" w:ascii="宋体" w:hAnsi="宋体"/>
          <w:sz w:val="24"/>
          <w:szCs w:val="24"/>
          <w:u w:val="single"/>
          <w:lang w:eastAsia="zh-CN"/>
        </w:rPr>
        <w:t>奶制品</w:t>
      </w:r>
      <w:r>
        <w:rPr>
          <w:rFonts w:hint="eastAsia" w:ascii="宋体" w:hAnsi="宋体"/>
          <w:sz w:val="24"/>
          <w:szCs w:val="24"/>
        </w:rPr>
        <w:t>（标的名称），属于</w:t>
      </w:r>
      <w:r>
        <w:rPr>
          <w:rFonts w:hint="eastAsia" w:ascii="宋体" w:hAnsi="宋体"/>
          <w:sz w:val="24"/>
          <w:szCs w:val="24"/>
          <w:u w:val="single"/>
        </w:rPr>
        <w:t>__</w:t>
      </w:r>
      <w:r>
        <w:rPr>
          <w:rFonts w:hint="eastAsia" w:ascii="宋体" w:hAnsi="宋体"/>
          <w:sz w:val="24"/>
          <w:szCs w:val="24"/>
          <w:u w:val="single"/>
          <w:lang w:eastAsia="zh-CN"/>
        </w:rPr>
        <w:t>工业</w:t>
      </w:r>
      <w:r>
        <w:rPr>
          <w:rFonts w:hint="eastAsia" w:ascii="宋体" w:hAnsi="宋体"/>
          <w:sz w:val="24"/>
          <w:szCs w:val="24"/>
          <w:u w:val="single"/>
        </w:rPr>
        <w:t>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numPr>
          <w:ilvl w:val="0"/>
          <w:numId w:val="37"/>
        </w:numPr>
        <w:spacing w:line="480" w:lineRule="exact"/>
        <w:ind w:left="701" w:leftChars="0" w:firstLine="0" w:firstLineChars="0"/>
        <w:rPr>
          <w:sz w:val="20"/>
          <w:szCs w:val="21"/>
        </w:rPr>
      </w:pPr>
      <w:r>
        <w:rPr>
          <w:rFonts w:hint="eastAsia" w:ascii="宋体" w:hAnsi="宋体"/>
          <w:sz w:val="24"/>
          <w:szCs w:val="24"/>
          <w:u w:val="single"/>
          <w:lang w:eastAsia="zh-CN"/>
        </w:rPr>
        <w:t>干货</w:t>
      </w:r>
      <w:r>
        <w:rPr>
          <w:rFonts w:hint="eastAsia" w:ascii="宋体" w:hAnsi="宋体"/>
          <w:sz w:val="24"/>
          <w:szCs w:val="24"/>
          <w:u w:val="single"/>
        </w:rPr>
        <w:t>（</w:t>
      </w:r>
      <w:r>
        <w:rPr>
          <w:rFonts w:hint="eastAsia" w:ascii="宋体" w:hAnsi="宋体"/>
          <w:sz w:val="24"/>
          <w:szCs w:val="24"/>
        </w:rPr>
        <w:t>标的名称），属于</w:t>
      </w:r>
      <w:r>
        <w:rPr>
          <w:rFonts w:hint="eastAsia" w:ascii="宋体" w:hAnsi="宋体"/>
          <w:sz w:val="24"/>
          <w:szCs w:val="24"/>
          <w:u w:val="single"/>
        </w:rPr>
        <w:t>_</w:t>
      </w:r>
      <w:r>
        <w:rPr>
          <w:rFonts w:hint="eastAsia" w:ascii="宋体" w:hAnsi="宋体"/>
          <w:sz w:val="24"/>
          <w:szCs w:val="24"/>
          <w:u w:val="single"/>
          <w:lang w:eastAsia="zh-CN"/>
        </w:rPr>
        <w:t>工业</w:t>
      </w:r>
      <w:r>
        <w:rPr>
          <w:rFonts w:hint="eastAsia" w:ascii="宋体" w:hAnsi="宋体"/>
          <w:sz w:val="24"/>
          <w:szCs w:val="24"/>
          <w:u w:val="single"/>
        </w:rPr>
        <w:t>____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numPr>
          <w:ilvl w:val="0"/>
          <w:numId w:val="37"/>
        </w:numPr>
        <w:spacing w:line="480" w:lineRule="exact"/>
        <w:ind w:left="701" w:leftChars="0" w:firstLine="0" w:firstLineChars="0"/>
        <w:rPr>
          <w:sz w:val="20"/>
          <w:szCs w:val="21"/>
        </w:rPr>
      </w:pPr>
      <w:r>
        <w:rPr>
          <w:rFonts w:hint="eastAsia" w:ascii="宋体" w:hAnsi="宋体"/>
          <w:sz w:val="24"/>
          <w:szCs w:val="24"/>
          <w:u w:val="single"/>
          <w:lang w:eastAsia="zh-CN"/>
        </w:rPr>
        <w:t>调料（不含食盐）</w:t>
      </w:r>
      <w:r>
        <w:rPr>
          <w:rFonts w:hint="eastAsia" w:ascii="宋体" w:hAnsi="宋体"/>
          <w:sz w:val="24"/>
          <w:szCs w:val="24"/>
        </w:rPr>
        <w:t>（标的名称），属于</w:t>
      </w:r>
      <w:r>
        <w:rPr>
          <w:rFonts w:hint="eastAsia" w:ascii="宋体" w:hAnsi="宋体"/>
          <w:sz w:val="24"/>
          <w:szCs w:val="24"/>
          <w:u w:val="single"/>
        </w:rPr>
        <w:t>__</w:t>
      </w:r>
      <w:r>
        <w:rPr>
          <w:rFonts w:hint="eastAsia" w:ascii="宋体" w:hAnsi="宋体"/>
          <w:sz w:val="24"/>
          <w:szCs w:val="24"/>
          <w:u w:val="single"/>
          <w:lang w:eastAsia="zh-CN"/>
        </w:rPr>
        <w:t>工业</w:t>
      </w:r>
      <w:r>
        <w:rPr>
          <w:rFonts w:hint="eastAsia" w:ascii="宋体" w:hAnsi="宋体"/>
          <w:sz w:val="24"/>
          <w:szCs w:val="24"/>
          <w:u w:val="single"/>
        </w:rPr>
        <w:t>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numPr>
          <w:ilvl w:val="0"/>
          <w:numId w:val="37"/>
        </w:numPr>
        <w:spacing w:line="480" w:lineRule="exact"/>
        <w:ind w:left="701" w:leftChars="0" w:firstLine="0" w:firstLineChars="0"/>
        <w:rPr>
          <w:sz w:val="20"/>
          <w:szCs w:val="21"/>
        </w:rPr>
      </w:pPr>
      <w:r>
        <w:rPr>
          <w:rFonts w:hint="eastAsia" w:ascii="宋体" w:hAnsi="宋体"/>
          <w:sz w:val="24"/>
          <w:szCs w:val="24"/>
          <w:u w:val="single"/>
          <w:lang w:eastAsia="zh-CN"/>
        </w:rPr>
        <w:t>食盐</w:t>
      </w:r>
      <w:r>
        <w:rPr>
          <w:rFonts w:hint="eastAsia" w:ascii="宋体" w:hAnsi="宋体"/>
          <w:sz w:val="24"/>
          <w:szCs w:val="24"/>
        </w:rPr>
        <w:t>（标的名称），属于</w:t>
      </w:r>
      <w:r>
        <w:rPr>
          <w:rFonts w:hint="eastAsia" w:ascii="宋体" w:hAnsi="宋体"/>
          <w:sz w:val="24"/>
          <w:szCs w:val="24"/>
          <w:u w:val="single"/>
        </w:rPr>
        <w:t>__</w:t>
      </w:r>
      <w:r>
        <w:rPr>
          <w:rFonts w:hint="eastAsia" w:ascii="宋体" w:hAnsi="宋体"/>
          <w:sz w:val="24"/>
          <w:szCs w:val="24"/>
          <w:u w:val="single"/>
          <w:lang w:eastAsia="zh-CN"/>
        </w:rPr>
        <w:t>工业</w:t>
      </w:r>
      <w:r>
        <w:rPr>
          <w:rFonts w:hint="eastAsia" w:ascii="宋体" w:hAnsi="宋体"/>
          <w:sz w:val="24"/>
          <w:szCs w:val="24"/>
          <w:u w:val="single"/>
        </w:rPr>
        <w:t>____</w:t>
      </w:r>
      <w:r>
        <w:rPr>
          <w:rFonts w:hint="eastAsia" w:ascii="宋体" w:hAnsi="宋体"/>
          <w:sz w:val="24"/>
          <w:szCs w:val="24"/>
        </w:rPr>
        <w:t>（采购文件中明确的所属行业）行业；制造商为</w:t>
      </w:r>
      <w:r>
        <w:rPr>
          <w:rFonts w:hint="eastAsia" w:ascii="宋体" w:hAnsi="宋体"/>
          <w:sz w:val="24"/>
          <w:szCs w:val="24"/>
          <w:u w:val="single"/>
        </w:rPr>
        <w:t>___XXXX__</w:t>
      </w:r>
      <w:r>
        <w:rPr>
          <w:rFonts w:hint="eastAsia" w:ascii="宋体" w:hAnsi="宋体"/>
          <w:sz w:val="24"/>
          <w:szCs w:val="24"/>
        </w:rPr>
        <w:t>（企业名称），从业人员</w:t>
      </w:r>
      <w:r>
        <w:rPr>
          <w:rFonts w:hint="eastAsia" w:ascii="宋体" w:hAnsi="宋体"/>
          <w:sz w:val="24"/>
          <w:szCs w:val="24"/>
          <w:u w:val="single"/>
        </w:rPr>
        <w:t>___XXXX___</w:t>
      </w:r>
      <w:r>
        <w:rPr>
          <w:rFonts w:hint="eastAsia" w:ascii="宋体" w:hAnsi="宋体"/>
          <w:sz w:val="24"/>
          <w:szCs w:val="24"/>
        </w:rPr>
        <w:t>人，营业收入为</w:t>
      </w:r>
      <w:r>
        <w:rPr>
          <w:rFonts w:hint="eastAsia" w:ascii="宋体" w:hAnsi="宋体"/>
          <w:sz w:val="24"/>
          <w:szCs w:val="24"/>
          <w:u w:val="single"/>
        </w:rPr>
        <w:t>__XXXX__</w:t>
      </w:r>
      <w:r>
        <w:rPr>
          <w:rFonts w:hint="eastAsia" w:ascii="宋体" w:hAnsi="宋体"/>
          <w:sz w:val="24"/>
          <w:szCs w:val="24"/>
        </w:rPr>
        <w:t>万元，资产总额为</w:t>
      </w:r>
      <w:r>
        <w:rPr>
          <w:rFonts w:hint="eastAsia" w:ascii="宋体" w:hAnsi="宋体"/>
          <w:sz w:val="24"/>
          <w:szCs w:val="24"/>
          <w:u w:val="single"/>
        </w:rPr>
        <w:t>___XXXX___</w:t>
      </w:r>
      <w:r>
        <w:rPr>
          <w:rFonts w:hint="eastAsia" w:ascii="宋体" w:hAnsi="宋体"/>
          <w:sz w:val="24"/>
          <w:szCs w:val="24"/>
        </w:rPr>
        <w:t>万元</w:t>
      </w:r>
      <w:r>
        <w:rPr>
          <w:rFonts w:hint="eastAsia" w:ascii="宋体" w:hAnsi="宋体"/>
          <w:sz w:val="24"/>
          <w:szCs w:val="24"/>
          <w:vertAlign w:val="superscript"/>
        </w:rPr>
        <w:t>1</w:t>
      </w:r>
      <w:r>
        <w:rPr>
          <w:rFonts w:hint="eastAsia" w:ascii="宋体" w:hAnsi="宋体"/>
          <w:sz w:val="24"/>
          <w:szCs w:val="24"/>
        </w:rPr>
        <w:t>，属于</w:t>
      </w:r>
      <w:r>
        <w:rPr>
          <w:rFonts w:hint="eastAsia" w:ascii="宋体" w:hAnsi="宋体"/>
          <w:sz w:val="24"/>
          <w:szCs w:val="24"/>
          <w:u w:val="single"/>
        </w:rPr>
        <w:t>___XXXX__</w:t>
      </w:r>
      <w:r>
        <w:rPr>
          <w:rFonts w:hint="eastAsia" w:ascii="宋体" w:hAnsi="宋体"/>
          <w:sz w:val="24"/>
          <w:szCs w:val="24"/>
        </w:rPr>
        <w:t>（中型企业、小型企业、微型企业）</w:t>
      </w:r>
      <w:r>
        <w:rPr>
          <w:rFonts w:hint="eastAsia" w:ascii="宋体" w:hAnsi="宋体"/>
          <w:sz w:val="24"/>
          <w:szCs w:val="24"/>
          <w:lang w:eastAsia="zh-CN"/>
        </w:rPr>
        <w:t>。</w:t>
      </w:r>
    </w:p>
    <w:p>
      <w:pPr>
        <w:rPr>
          <w:sz w:val="20"/>
          <w:szCs w:val="21"/>
        </w:rPr>
      </w:pPr>
    </w:p>
    <w:p>
      <w:pPr>
        <w:rPr>
          <w:sz w:val="20"/>
          <w:szCs w:val="21"/>
        </w:rPr>
      </w:pPr>
    </w:p>
    <w:p>
      <w:pPr>
        <w:spacing w:line="480" w:lineRule="exact"/>
        <w:ind w:firstLine="561"/>
        <w:rPr>
          <w:rFonts w:ascii="宋体" w:hAnsi="宋体"/>
          <w:sz w:val="24"/>
          <w:szCs w:val="24"/>
        </w:rPr>
      </w:pPr>
      <w:r>
        <w:rPr>
          <w:rFonts w:hint="eastAsia" w:ascii="宋体" w:hAnsi="宋体"/>
          <w:sz w:val="24"/>
          <w:szCs w:val="24"/>
        </w:rPr>
        <w:t>以上企业，不属于大企业的分支机构，不存在控股股东 为大企业的情形，也不存在与大企业的负责人为同一人的情形。</w:t>
      </w:r>
    </w:p>
    <w:p>
      <w:pPr>
        <w:spacing w:line="480" w:lineRule="exact"/>
        <w:ind w:firstLine="561"/>
        <w:rPr>
          <w:rFonts w:ascii="宋体" w:hAnsi="宋体"/>
          <w:sz w:val="24"/>
          <w:szCs w:val="24"/>
        </w:rPr>
      </w:pPr>
      <w:r>
        <w:rPr>
          <w:rFonts w:hint="eastAsia" w:ascii="宋体" w:hAnsi="宋体"/>
          <w:sz w:val="24"/>
          <w:szCs w:val="24"/>
        </w:rPr>
        <w:t>本企业对上述声明内容的真实性负责。如有虚假，将依法承担相应责任。</w:t>
      </w:r>
    </w:p>
    <w:p>
      <w:pPr>
        <w:spacing w:line="480" w:lineRule="exact"/>
        <w:ind w:right="280" w:firstLine="561"/>
        <w:jc w:val="right"/>
        <w:rPr>
          <w:rFonts w:ascii="宋体" w:hAnsi="宋体"/>
          <w:sz w:val="24"/>
          <w:szCs w:val="24"/>
        </w:rPr>
      </w:pPr>
      <w:r>
        <w:rPr>
          <w:rFonts w:hint="eastAsia" w:ascii="宋体" w:hAnsi="宋体"/>
          <w:sz w:val="24"/>
          <w:szCs w:val="24"/>
        </w:rPr>
        <w:t>企业名称：</w:t>
      </w:r>
      <w:r>
        <w:rPr>
          <w:rFonts w:hint="eastAsia" w:ascii="宋体" w:hAnsi="宋体"/>
          <w:sz w:val="24"/>
          <w:szCs w:val="24"/>
          <w:u w:val="single"/>
        </w:rPr>
        <w:t>___XXXX____</w:t>
      </w:r>
    </w:p>
    <w:p>
      <w:pPr>
        <w:spacing w:line="480" w:lineRule="exact"/>
        <w:ind w:firstLine="561"/>
        <w:rPr>
          <w:rFonts w:ascii="宋体" w:hAnsi="宋体"/>
          <w:sz w:val="24"/>
          <w:szCs w:val="24"/>
        </w:rPr>
      </w:pPr>
      <w:r>
        <w:rPr>
          <w:rFonts w:hint="eastAsia" w:ascii="宋体" w:hAnsi="宋体"/>
          <w:sz w:val="24"/>
          <w:szCs w:val="24"/>
        </w:rPr>
        <w:t xml:space="preserve">                                日 期：202X年XX月XX日</w:t>
      </w:r>
    </w:p>
    <w:p>
      <w:pPr>
        <w:pStyle w:val="80"/>
        <w:tabs>
          <w:tab w:val="left" w:pos="567"/>
          <w:tab w:val="left" w:pos="709"/>
          <w:tab w:val="left" w:pos="851"/>
        </w:tabs>
        <w:spacing w:line="520" w:lineRule="exact"/>
        <w:ind w:firstLine="0" w:firstLineChars="0"/>
        <w:rPr>
          <w:rFonts w:ascii="宋体" w:hAnsi="宋体" w:eastAsia="宋体"/>
          <w:b/>
          <w:sz w:val="24"/>
          <w:szCs w:val="24"/>
        </w:rPr>
      </w:pPr>
    </w:p>
    <w:p>
      <w:pPr>
        <w:pStyle w:val="80"/>
        <w:tabs>
          <w:tab w:val="left" w:pos="567"/>
          <w:tab w:val="left" w:pos="709"/>
          <w:tab w:val="left" w:pos="851"/>
        </w:tabs>
        <w:spacing w:line="520" w:lineRule="exact"/>
        <w:ind w:firstLine="0" w:firstLineChars="0"/>
        <w:rPr>
          <w:rFonts w:ascii="宋体" w:hAnsi="宋体" w:eastAsia="宋体"/>
          <w:b/>
          <w:sz w:val="24"/>
          <w:szCs w:val="24"/>
        </w:rPr>
      </w:pPr>
    </w:p>
    <w:p>
      <w:pPr>
        <w:pStyle w:val="80"/>
        <w:tabs>
          <w:tab w:val="left" w:pos="567"/>
          <w:tab w:val="left" w:pos="709"/>
          <w:tab w:val="left" w:pos="851"/>
        </w:tabs>
        <w:spacing w:line="520" w:lineRule="exact"/>
        <w:ind w:firstLine="0" w:firstLineChars="0"/>
        <w:rPr>
          <w:rFonts w:ascii="宋体" w:hAnsi="宋体" w:eastAsia="宋体"/>
          <w:b/>
          <w:sz w:val="28"/>
          <w:szCs w:val="28"/>
          <w:vertAlign w:val="superscript"/>
        </w:rPr>
      </w:pPr>
      <w:r>
        <w:rPr>
          <w:rFonts w:hint="eastAsia" w:ascii="宋体" w:hAnsi="宋体" w:eastAsia="宋体"/>
          <w:b/>
          <w:sz w:val="24"/>
          <w:szCs w:val="24"/>
        </w:rPr>
        <w:t>说明： 从业人员、营业收入、资产总额填报上一年度数据，无上一年度数据的新成立企业可不填报。</w:t>
      </w:r>
    </w:p>
    <w:p>
      <w:pPr>
        <w:pStyle w:val="80"/>
        <w:tabs>
          <w:tab w:val="left" w:pos="567"/>
          <w:tab w:val="left" w:pos="709"/>
          <w:tab w:val="left" w:pos="851"/>
        </w:tabs>
        <w:spacing w:line="520" w:lineRule="exact"/>
        <w:ind w:firstLine="0" w:firstLineChars="0"/>
        <w:rPr>
          <w:rFonts w:ascii="宋体" w:hAnsi="宋体" w:eastAsia="宋体"/>
          <w:b/>
          <w:sz w:val="28"/>
          <w:szCs w:val="28"/>
        </w:rPr>
      </w:pPr>
    </w:p>
    <w:p>
      <w:pPr>
        <w:pStyle w:val="80"/>
        <w:tabs>
          <w:tab w:val="left" w:pos="567"/>
          <w:tab w:val="left" w:pos="709"/>
          <w:tab w:val="left" w:pos="851"/>
        </w:tabs>
        <w:spacing w:line="520" w:lineRule="exact"/>
        <w:ind w:firstLine="0" w:firstLineChars="0"/>
        <w:rPr>
          <w:rFonts w:ascii="宋体" w:hAnsi="宋体" w:eastAsia="宋体"/>
          <w:b/>
          <w:sz w:val="28"/>
          <w:szCs w:val="28"/>
        </w:rPr>
      </w:pPr>
    </w:p>
    <w:p>
      <w:pPr>
        <w:pStyle w:val="80"/>
        <w:tabs>
          <w:tab w:val="left" w:pos="567"/>
          <w:tab w:val="left" w:pos="709"/>
          <w:tab w:val="left" w:pos="851"/>
        </w:tabs>
        <w:spacing w:line="520" w:lineRule="exact"/>
        <w:ind w:firstLine="0" w:firstLineChars="0"/>
        <w:rPr>
          <w:rFonts w:ascii="宋体" w:hAnsi="宋体" w:eastAsia="宋体"/>
          <w:b/>
          <w:sz w:val="28"/>
          <w:szCs w:val="28"/>
        </w:rPr>
      </w:pPr>
    </w:p>
    <w:p>
      <w:pPr>
        <w:pStyle w:val="80"/>
        <w:tabs>
          <w:tab w:val="left" w:pos="567"/>
          <w:tab w:val="left" w:pos="709"/>
          <w:tab w:val="left" w:pos="851"/>
        </w:tabs>
        <w:spacing w:line="520" w:lineRule="exact"/>
        <w:ind w:firstLine="0" w:firstLineChars="0"/>
        <w:rPr>
          <w:rFonts w:ascii="宋体" w:hAnsi="宋体" w:eastAsia="宋体"/>
          <w:b/>
          <w:sz w:val="28"/>
          <w:szCs w:val="28"/>
        </w:rPr>
      </w:pPr>
    </w:p>
    <w:p>
      <w:r>
        <w:br w:type="page"/>
      </w:r>
    </w:p>
    <w:p>
      <w:pPr>
        <w:pStyle w:val="17"/>
      </w:pPr>
    </w:p>
    <w:p>
      <w:pPr>
        <w:keepNext/>
        <w:keepLines/>
        <w:numPr>
          <w:ilvl w:val="2"/>
          <w:numId w:val="3"/>
        </w:numPr>
        <w:spacing w:line="360" w:lineRule="auto"/>
        <w:ind w:left="3119" w:hanging="3119"/>
        <w:outlineLvl w:val="2"/>
        <w:rPr>
          <w:rFonts w:ascii="宋体" w:hAnsi="宋体"/>
          <w:b/>
          <w:bCs/>
          <w:sz w:val="28"/>
          <w:szCs w:val="28"/>
        </w:rPr>
      </w:pPr>
      <w:r>
        <w:rPr>
          <w:rFonts w:hint="eastAsia" w:ascii="宋体" w:hAnsi="宋体"/>
          <w:b/>
          <w:bCs/>
          <w:sz w:val="28"/>
          <w:szCs w:val="28"/>
        </w:rPr>
        <w:t>残疾人福利性单位声明函</w:t>
      </w:r>
    </w:p>
    <w:p>
      <w:pPr>
        <w:spacing w:line="588" w:lineRule="exact"/>
        <w:ind w:firstLine="562" w:firstLineChars="200"/>
        <w:jc w:val="center"/>
        <w:rPr>
          <w:b/>
          <w:sz w:val="28"/>
          <w:szCs w:val="28"/>
        </w:rPr>
      </w:pPr>
      <w:r>
        <w:rPr>
          <w:rFonts w:hint="eastAsia"/>
          <w:b/>
          <w:sz w:val="28"/>
          <w:szCs w:val="28"/>
        </w:rPr>
        <w:t>残疾人福利性单位声明函</w:t>
      </w:r>
    </w:p>
    <w:p>
      <w:pPr>
        <w:spacing w:line="588" w:lineRule="exact"/>
        <w:ind w:firstLine="584" w:firstLineChars="200"/>
        <w:rPr>
          <w:rFonts w:ascii="宋体" w:hAnsi="宋体"/>
          <w:spacing w:val="6"/>
          <w:sz w:val="28"/>
          <w:szCs w:val="28"/>
        </w:rPr>
      </w:pPr>
      <w:r>
        <w:rPr>
          <w:rFonts w:hint="eastAsia" w:ascii="宋体" w:hAnsi="宋体"/>
          <w:spacing w:val="6"/>
          <w:sz w:val="28"/>
          <w:szCs w:val="28"/>
        </w:rPr>
        <w:t>本单位郑重声明，根据《财政部 民政部 中国残疾人联合会关于促进残疾人就业政府采购政策的通知》（财库〔2017〕141号）的规定，本单位为符合条件的残疾人福利性单位，且本单位参加</w:t>
      </w:r>
      <w:r>
        <w:rPr>
          <w:rFonts w:hint="eastAsia" w:ascii="宋体" w:hAnsi="宋体"/>
          <w:spacing w:val="6"/>
          <w:sz w:val="28"/>
          <w:szCs w:val="28"/>
          <w:u w:val="none"/>
        </w:rPr>
        <w:t>成都市武侯区机关事务中心</w:t>
      </w:r>
      <w:r>
        <w:rPr>
          <w:rFonts w:hint="eastAsia" w:ascii="宋体" w:hAnsi="宋体"/>
          <w:spacing w:val="6"/>
          <w:sz w:val="28"/>
          <w:szCs w:val="28"/>
        </w:rPr>
        <w:t>的</w:t>
      </w:r>
      <w:r>
        <w:rPr>
          <w:rFonts w:hint="eastAsia" w:ascii="宋体" w:hAnsi="宋体"/>
          <w:b/>
          <w:bCs/>
          <w:spacing w:val="6"/>
          <w:sz w:val="28"/>
          <w:szCs w:val="28"/>
          <w:u w:val="single"/>
        </w:rPr>
        <w:t>成都市武侯区机关事务中心农副食品，动、植物油制品（第一办公区食材）采购项目</w:t>
      </w:r>
      <w:r>
        <w:rPr>
          <w:rFonts w:hint="eastAsia" w:ascii="宋体" w:hAnsi="宋体"/>
          <w:spacing w:val="6"/>
          <w:sz w:val="28"/>
          <w:szCs w:val="28"/>
        </w:rPr>
        <w:t>采购活动提供本单位制造的货物，或者提供其他残疾人福利性单位制造的货物（不包括使用非残疾人福利性单位注册商标的货物）。</w:t>
      </w:r>
    </w:p>
    <w:p>
      <w:pPr>
        <w:spacing w:line="588" w:lineRule="exact"/>
        <w:ind w:firstLine="584" w:firstLineChars="200"/>
        <w:rPr>
          <w:rFonts w:ascii="宋体" w:hAnsi="宋体"/>
          <w:spacing w:val="6"/>
          <w:sz w:val="28"/>
          <w:szCs w:val="28"/>
        </w:rPr>
      </w:pPr>
      <w:r>
        <w:rPr>
          <w:rFonts w:hint="eastAsia" w:ascii="宋体" w:hAnsi="宋体"/>
          <w:spacing w:val="6"/>
          <w:sz w:val="28"/>
          <w:szCs w:val="28"/>
        </w:rPr>
        <w:t>本单位对上述声明的真实性负责。如有虚假，将依法承担相应责任。</w:t>
      </w:r>
    </w:p>
    <w:p>
      <w:pPr>
        <w:spacing w:line="588" w:lineRule="exact"/>
        <w:ind w:firstLine="584" w:firstLineChars="200"/>
        <w:rPr>
          <w:rFonts w:ascii="宋体" w:hAnsi="宋体"/>
          <w:spacing w:val="6"/>
          <w:sz w:val="28"/>
          <w:szCs w:val="28"/>
        </w:rPr>
      </w:pPr>
    </w:p>
    <w:p>
      <w:pPr>
        <w:spacing w:line="588" w:lineRule="exact"/>
        <w:ind w:firstLine="584" w:firstLineChars="200"/>
        <w:rPr>
          <w:rFonts w:ascii="宋体" w:hAnsi="宋体"/>
          <w:spacing w:val="6"/>
          <w:sz w:val="28"/>
          <w:szCs w:val="28"/>
        </w:rPr>
      </w:pPr>
    </w:p>
    <w:p>
      <w:pPr>
        <w:spacing w:line="588" w:lineRule="exact"/>
        <w:jc w:val="right"/>
        <w:rPr>
          <w:rFonts w:ascii="宋体" w:hAnsi="宋体"/>
          <w:spacing w:val="6"/>
          <w:sz w:val="28"/>
          <w:szCs w:val="28"/>
        </w:rPr>
      </w:pPr>
    </w:p>
    <w:p>
      <w:pPr>
        <w:tabs>
          <w:tab w:val="left" w:pos="3969"/>
        </w:tabs>
        <w:spacing w:line="588" w:lineRule="exact"/>
        <w:ind w:right="-58"/>
        <w:jc w:val="right"/>
        <w:rPr>
          <w:rFonts w:ascii="宋体" w:hAnsi="宋体"/>
          <w:spacing w:val="6"/>
          <w:sz w:val="28"/>
          <w:szCs w:val="28"/>
        </w:rPr>
      </w:pPr>
      <w:r>
        <w:rPr>
          <w:rFonts w:hint="eastAsia" w:ascii="宋体" w:hAnsi="宋体"/>
          <w:spacing w:val="6"/>
          <w:sz w:val="28"/>
          <w:szCs w:val="28"/>
        </w:rPr>
        <w:t>单位名称：</w:t>
      </w:r>
      <w:r>
        <w:rPr>
          <w:rFonts w:hint="eastAsia" w:ascii="宋体" w:hAnsi="宋体"/>
          <w:spacing w:val="6"/>
          <w:sz w:val="28"/>
          <w:szCs w:val="28"/>
          <w:u w:val="single"/>
        </w:rPr>
        <w:t>XXXX</w:t>
      </w:r>
    </w:p>
    <w:p>
      <w:pPr>
        <w:tabs>
          <w:tab w:val="left" w:pos="3969"/>
        </w:tabs>
        <w:spacing w:line="588" w:lineRule="exact"/>
        <w:ind w:right="-58"/>
        <w:jc w:val="right"/>
        <w:rPr>
          <w:rFonts w:ascii="宋体" w:hAnsi="宋体"/>
          <w:bCs/>
          <w:sz w:val="28"/>
        </w:rPr>
      </w:pPr>
      <w:r>
        <w:rPr>
          <w:rFonts w:hint="eastAsia" w:ascii="宋体" w:hAnsi="宋体"/>
          <w:spacing w:val="6"/>
          <w:sz w:val="28"/>
          <w:szCs w:val="28"/>
        </w:rPr>
        <w:t>日  期：</w:t>
      </w:r>
      <w:r>
        <w:rPr>
          <w:rFonts w:hint="eastAsia" w:ascii="宋体" w:hAnsi="宋体"/>
          <w:bCs/>
          <w:sz w:val="28"/>
        </w:rPr>
        <w:t>202</w:t>
      </w:r>
      <w:r>
        <w:rPr>
          <w:rFonts w:hint="eastAsia" w:ascii="宋体" w:hAnsi="宋体"/>
          <w:bCs/>
          <w:sz w:val="28"/>
          <w:u w:val="single"/>
        </w:rPr>
        <w:t>X</w:t>
      </w:r>
      <w:r>
        <w:rPr>
          <w:rFonts w:hint="eastAsia" w:ascii="宋体" w:hAnsi="宋体"/>
          <w:bCs/>
          <w:sz w:val="28"/>
        </w:rPr>
        <w:t>年</w:t>
      </w:r>
      <w:r>
        <w:rPr>
          <w:rFonts w:hint="eastAsia" w:ascii="宋体" w:hAnsi="宋体"/>
          <w:bCs/>
          <w:sz w:val="28"/>
          <w:u w:val="single"/>
        </w:rPr>
        <w:t>XX</w:t>
      </w:r>
      <w:r>
        <w:rPr>
          <w:rFonts w:hint="eastAsia" w:ascii="宋体" w:hAnsi="宋体"/>
          <w:bCs/>
          <w:sz w:val="28"/>
        </w:rPr>
        <w:t>月</w:t>
      </w:r>
      <w:r>
        <w:rPr>
          <w:rFonts w:hint="eastAsia" w:ascii="宋体" w:hAnsi="宋体"/>
          <w:bCs/>
          <w:sz w:val="28"/>
          <w:u w:val="single"/>
        </w:rPr>
        <w:t>XX</w:t>
      </w:r>
      <w:r>
        <w:rPr>
          <w:rFonts w:hint="eastAsia" w:ascii="宋体" w:hAnsi="宋体"/>
          <w:bCs/>
          <w:sz w:val="28"/>
        </w:rPr>
        <w:t>日</w:t>
      </w:r>
    </w:p>
    <w:p>
      <w:pPr>
        <w:widowControl/>
        <w:jc w:val="left"/>
        <w:rPr>
          <w:rFonts w:ascii="宋体" w:hAnsi="宋体"/>
          <w:bCs/>
          <w:sz w:val="28"/>
        </w:rPr>
      </w:pPr>
      <w:r>
        <w:rPr>
          <w:rFonts w:ascii="宋体" w:hAnsi="宋体"/>
          <w:bCs/>
          <w:sz w:val="28"/>
        </w:rPr>
        <w:br w:type="page"/>
      </w:r>
    </w:p>
    <w:p/>
    <w:p>
      <w:pPr>
        <w:keepNext/>
        <w:keepLines/>
        <w:numPr>
          <w:ilvl w:val="2"/>
          <w:numId w:val="3"/>
        </w:numPr>
        <w:spacing w:line="360" w:lineRule="auto"/>
        <w:ind w:left="3119" w:hanging="3119"/>
        <w:outlineLvl w:val="2"/>
        <w:rPr>
          <w:rFonts w:ascii="宋体" w:hAnsi="宋体"/>
          <w:b/>
          <w:bCs/>
          <w:sz w:val="28"/>
          <w:szCs w:val="28"/>
        </w:rPr>
      </w:pPr>
      <w:r>
        <w:rPr>
          <w:rFonts w:hint="eastAsia" w:ascii="宋体" w:hAnsi="宋体"/>
          <w:b/>
          <w:bCs/>
          <w:sz w:val="28"/>
          <w:szCs w:val="28"/>
        </w:rPr>
        <w:t>投标产品</w:t>
      </w:r>
      <w:r>
        <w:rPr>
          <w:rFonts w:ascii="宋体" w:hAnsi="宋体"/>
          <w:b/>
          <w:bCs/>
          <w:sz w:val="28"/>
          <w:szCs w:val="28"/>
        </w:rPr>
        <w:t>制造商属于监狱企业的证明文件复印件</w:t>
      </w:r>
    </w:p>
    <w:p>
      <w:pPr>
        <w:tabs>
          <w:tab w:val="left" w:pos="3969"/>
        </w:tabs>
        <w:spacing w:line="588" w:lineRule="exact"/>
        <w:ind w:right="-58" w:firstLine="708" w:firstLineChars="253"/>
        <w:jc w:val="left"/>
        <w:rPr>
          <w:rFonts w:ascii="宋体" w:hAnsi="宋体"/>
          <w:bCs/>
          <w:sz w:val="28"/>
        </w:rPr>
      </w:pPr>
      <w:r>
        <w:rPr>
          <w:rFonts w:hint="eastAsia"/>
          <w:sz w:val="28"/>
          <w:szCs w:val="28"/>
        </w:rPr>
        <w:t>投标</w:t>
      </w:r>
      <w:r>
        <w:rPr>
          <w:sz w:val="28"/>
          <w:szCs w:val="28"/>
        </w:rPr>
        <w:t>投标产品中为监狱企业制造的货物应提供由省级以上监狱管理局、戒毒管理局（含新疆生产建设兵团）出具的制造商属于监狱企业的证明文件复印件</w:t>
      </w:r>
      <w:r>
        <w:rPr>
          <w:rFonts w:hint="eastAsia"/>
          <w:sz w:val="28"/>
          <w:szCs w:val="28"/>
        </w:rPr>
        <w:t>。</w:t>
      </w:r>
    </w:p>
    <w:p>
      <w:pPr>
        <w:widowControl/>
        <w:jc w:val="left"/>
        <w:rPr>
          <w:rFonts w:ascii="宋体" w:hAnsi="宋体"/>
          <w:bCs/>
          <w:sz w:val="28"/>
          <w:u w:val="single"/>
        </w:rPr>
      </w:pPr>
    </w:p>
    <w:p>
      <w:pPr>
        <w:widowControl/>
        <w:jc w:val="left"/>
        <w:rPr>
          <w:rFonts w:ascii="宋体" w:hAnsi="宋体"/>
          <w:b/>
          <w:bCs/>
          <w:spacing w:val="-20"/>
          <w:kern w:val="44"/>
          <w:sz w:val="32"/>
          <w:szCs w:val="32"/>
        </w:rPr>
      </w:pPr>
      <w:r>
        <w:rPr>
          <w:rFonts w:ascii="宋体" w:hAnsi="宋体"/>
          <w:b/>
          <w:bCs/>
          <w:spacing w:val="-20"/>
          <w:kern w:val="44"/>
          <w:sz w:val="32"/>
          <w:szCs w:val="32"/>
        </w:rPr>
        <w:br w:type="page"/>
      </w:r>
    </w:p>
    <w:bookmarkEnd w:id="146"/>
    <w:p>
      <w:pPr>
        <w:keepNext/>
        <w:keepLines/>
        <w:numPr>
          <w:ilvl w:val="0"/>
          <w:numId w:val="3"/>
        </w:numPr>
        <w:spacing w:line="360" w:lineRule="auto"/>
        <w:ind w:left="0" w:firstLine="0"/>
        <w:jc w:val="center"/>
        <w:outlineLvl w:val="0"/>
        <w:rPr>
          <w:rFonts w:ascii="宋体" w:hAnsi="宋体"/>
          <w:b/>
          <w:bCs/>
          <w:spacing w:val="-20"/>
          <w:kern w:val="44"/>
          <w:sz w:val="32"/>
          <w:szCs w:val="32"/>
        </w:rPr>
      </w:pPr>
      <w:bookmarkStart w:id="149" w:name="_Toc4585"/>
      <w:bookmarkStart w:id="150" w:name="_Toc217446093"/>
      <w:bookmarkStart w:id="151" w:name="_Toc321382057"/>
      <w:bookmarkStart w:id="152" w:name="_Toc316292231"/>
      <w:r>
        <w:rPr>
          <w:rFonts w:hint="eastAsia" w:ascii="宋体" w:hAnsi="宋体"/>
          <w:b/>
          <w:bCs/>
          <w:spacing w:val="-20"/>
          <w:kern w:val="44"/>
          <w:sz w:val="32"/>
          <w:szCs w:val="32"/>
        </w:rPr>
        <w:t>招标项目技术、服务、商务及其他要求</w:t>
      </w:r>
      <w:bookmarkEnd w:id="149"/>
      <w:bookmarkEnd w:id="150"/>
    </w:p>
    <w:p>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28"/>
          <w:szCs w:val="28"/>
        </w:rPr>
      </w:pPr>
      <w:bookmarkStart w:id="153" w:name="_Toc24750"/>
      <w:r>
        <w:rPr>
          <w:rFonts w:hint="eastAsia" w:ascii="宋体" w:hAnsi="宋体"/>
          <w:b/>
          <w:bCs/>
          <w:sz w:val="28"/>
          <w:szCs w:val="28"/>
        </w:rPr>
        <w:t>项目概况</w:t>
      </w:r>
      <w:bookmarkEnd w:id="153"/>
    </w:p>
    <w:p>
      <w:pPr>
        <w:tabs>
          <w:tab w:val="left" w:pos="851"/>
        </w:tabs>
        <w:spacing w:line="360" w:lineRule="auto"/>
        <w:ind w:firstLine="484" w:firstLineChars="202"/>
        <w:rPr>
          <w:rFonts w:ascii="宋体" w:hAnsi="宋体"/>
          <w:sz w:val="24"/>
          <w:szCs w:val="24"/>
        </w:rPr>
      </w:pPr>
      <w:r>
        <w:rPr>
          <w:rFonts w:hint="eastAsia" w:ascii="宋体" w:hAnsi="宋体"/>
          <w:sz w:val="24"/>
          <w:szCs w:val="24"/>
        </w:rPr>
        <w:t>武侯区</w:t>
      </w:r>
      <w:r>
        <w:rPr>
          <w:rFonts w:hint="eastAsia" w:ascii="宋体" w:hAnsi="宋体"/>
          <w:sz w:val="24"/>
          <w:szCs w:val="24"/>
          <w:lang w:val="en-US" w:eastAsia="zh-CN"/>
        </w:rPr>
        <w:t>第一办公区食堂</w:t>
      </w:r>
      <w:r>
        <w:rPr>
          <w:rFonts w:hint="eastAsia" w:ascii="宋体" w:hAnsi="宋体"/>
          <w:sz w:val="24"/>
          <w:szCs w:val="24"/>
        </w:rPr>
        <w:t>位于</w:t>
      </w:r>
      <w:r>
        <w:rPr>
          <w:rFonts w:hint="eastAsia" w:ascii="宋体" w:hAnsi="宋体"/>
          <w:sz w:val="24"/>
          <w:szCs w:val="24"/>
          <w:lang w:val="en-US" w:eastAsia="zh-CN"/>
        </w:rPr>
        <w:t>武侯祠大街264号</w:t>
      </w:r>
      <w:r>
        <w:rPr>
          <w:rFonts w:hint="eastAsia" w:ascii="宋体" w:hAnsi="宋体"/>
          <w:sz w:val="24"/>
          <w:szCs w:val="24"/>
        </w:rPr>
        <w:t>，为加强对武侯区</w:t>
      </w:r>
      <w:r>
        <w:rPr>
          <w:rFonts w:hint="eastAsia" w:ascii="宋体" w:hAnsi="宋体"/>
          <w:sz w:val="24"/>
          <w:szCs w:val="24"/>
          <w:lang w:val="en-US" w:eastAsia="zh-CN"/>
        </w:rPr>
        <w:t>第一办公区</w:t>
      </w:r>
      <w:r>
        <w:rPr>
          <w:rFonts w:hint="eastAsia" w:ascii="宋体" w:hAnsi="宋体"/>
          <w:sz w:val="24"/>
          <w:szCs w:val="24"/>
        </w:rPr>
        <w:t>食堂食品原料供应的管理，进而确保食品原料的安全、及时、卫生、新鲜，保证食材品质。决定通过公开招标的形式，选取符合要求的供应商，为食堂提供有保障的食品原材料。本项目共一个包，合同签订期限为一年。</w:t>
      </w:r>
    </w:p>
    <w:p>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28"/>
          <w:szCs w:val="28"/>
        </w:rPr>
      </w:pPr>
      <w:bookmarkStart w:id="154" w:name="_Toc4177"/>
      <w:r>
        <w:rPr>
          <w:rFonts w:hint="eastAsia" w:ascii="宋体" w:hAnsi="宋体"/>
          <w:b/>
          <w:bCs/>
          <w:sz w:val="28"/>
          <w:szCs w:val="28"/>
        </w:rPr>
        <w:t>采购内容</w:t>
      </w:r>
      <w:bookmarkEnd w:id="154"/>
    </w:p>
    <w:tbl>
      <w:tblPr>
        <w:tblStyle w:val="41"/>
        <w:tblW w:w="81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4"/>
        <w:gridCol w:w="2034"/>
        <w:gridCol w:w="1092"/>
        <w:gridCol w:w="1224"/>
        <w:gridCol w:w="30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trPr>
        <w:tc>
          <w:tcPr>
            <w:tcW w:w="774" w:type="dxa"/>
            <w:noWrap w:val="0"/>
            <w:vAlign w:val="center"/>
          </w:tcPr>
          <w:p>
            <w:pPr>
              <w:pStyle w:val="80"/>
              <w:ind w:firstLine="0" w:firstLineChars="0"/>
              <w:jc w:val="center"/>
              <w:rPr>
                <w:b/>
                <w:sz w:val="20"/>
                <w:szCs w:val="20"/>
              </w:rPr>
            </w:pPr>
            <w:r>
              <w:rPr>
                <w:rFonts w:hint="eastAsia"/>
                <w:b/>
                <w:sz w:val="20"/>
                <w:szCs w:val="20"/>
              </w:rPr>
              <w:t>序号</w:t>
            </w:r>
          </w:p>
        </w:tc>
        <w:tc>
          <w:tcPr>
            <w:tcW w:w="2034" w:type="dxa"/>
            <w:noWrap w:val="0"/>
            <w:vAlign w:val="center"/>
          </w:tcPr>
          <w:p>
            <w:pPr>
              <w:pStyle w:val="80"/>
              <w:ind w:firstLine="0" w:firstLineChars="0"/>
              <w:jc w:val="center"/>
              <w:rPr>
                <w:b/>
                <w:sz w:val="20"/>
                <w:szCs w:val="20"/>
              </w:rPr>
            </w:pPr>
            <w:r>
              <w:rPr>
                <w:rFonts w:hint="eastAsia"/>
                <w:b/>
                <w:sz w:val="20"/>
                <w:szCs w:val="20"/>
              </w:rPr>
              <w:t>货物名称（标的名称）</w:t>
            </w:r>
          </w:p>
        </w:tc>
        <w:tc>
          <w:tcPr>
            <w:tcW w:w="1092" w:type="dxa"/>
            <w:noWrap w:val="0"/>
            <w:vAlign w:val="center"/>
          </w:tcPr>
          <w:p>
            <w:pPr>
              <w:pStyle w:val="80"/>
              <w:ind w:firstLine="0" w:firstLineChars="0"/>
              <w:jc w:val="center"/>
              <w:rPr>
                <w:b/>
                <w:sz w:val="20"/>
                <w:szCs w:val="20"/>
              </w:rPr>
            </w:pPr>
            <w:r>
              <w:rPr>
                <w:rFonts w:hint="eastAsia"/>
                <w:b/>
                <w:sz w:val="20"/>
                <w:szCs w:val="20"/>
              </w:rPr>
              <w:t>数量</w:t>
            </w:r>
          </w:p>
        </w:tc>
        <w:tc>
          <w:tcPr>
            <w:tcW w:w="1224" w:type="dxa"/>
            <w:noWrap w:val="0"/>
            <w:vAlign w:val="center"/>
          </w:tcPr>
          <w:p>
            <w:pPr>
              <w:pStyle w:val="80"/>
              <w:ind w:firstLine="0" w:firstLineChars="0"/>
              <w:jc w:val="center"/>
              <w:rPr>
                <w:b/>
                <w:sz w:val="20"/>
                <w:szCs w:val="20"/>
              </w:rPr>
            </w:pPr>
            <w:r>
              <w:rPr>
                <w:rFonts w:hint="eastAsia"/>
                <w:b/>
                <w:sz w:val="20"/>
                <w:szCs w:val="20"/>
              </w:rPr>
              <w:t>数量单位</w:t>
            </w:r>
          </w:p>
        </w:tc>
        <w:tc>
          <w:tcPr>
            <w:tcW w:w="3064" w:type="dxa"/>
            <w:noWrap w:val="0"/>
            <w:vAlign w:val="center"/>
          </w:tcPr>
          <w:p>
            <w:pPr>
              <w:pStyle w:val="80"/>
              <w:ind w:firstLine="0" w:firstLineChars="0"/>
              <w:jc w:val="center"/>
              <w:rPr>
                <w:b/>
                <w:sz w:val="20"/>
                <w:szCs w:val="20"/>
              </w:rPr>
            </w:pPr>
            <w:r>
              <w:rPr>
                <w:rFonts w:hint="eastAsia"/>
                <w:b/>
                <w:sz w:val="20"/>
                <w:szCs w:val="20"/>
              </w:rPr>
              <w:t>所属行业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蔬菜类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水果类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肉类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禽类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蛋类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水产类</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农、林、牧、渔业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米</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面</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油</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奶制品</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干货</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ascii="仿宋" w:hAnsi="仿宋" w:eastAsia="仿宋" w:cs="仿宋"/>
                <w:sz w:val="28"/>
                <w:szCs w:val="28"/>
                <w:u w:val="none"/>
              </w:rPr>
            </w:pPr>
            <w:r>
              <w:rPr>
                <w:rFonts w:hint="default" w:ascii="仿宋" w:hAnsi="仿宋" w:eastAsia="仿宋" w:cs="仿宋"/>
                <w:sz w:val="28"/>
                <w:szCs w:val="28"/>
                <w:u w:val="none"/>
              </w:rPr>
              <w:t>调料</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74" w:type="dxa"/>
            <w:noWrap w:val="0"/>
            <w:vAlign w:val="center"/>
          </w:tcPr>
          <w:p>
            <w:pPr>
              <w:pStyle w:val="80"/>
              <w:keepNext w:val="0"/>
              <w:keepLines w:val="0"/>
              <w:pageBreakBefore w:val="0"/>
              <w:widowControl w:val="0"/>
              <w:numPr>
                <w:ilvl w:val="0"/>
                <w:numId w:val="5"/>
              </w:numPr>
              <w:kinsoku/>
              <w:wordWrap/>
              <w:overflowPunct/>
              <w:topLinePunct w:val="0"/>
              <w:autoSpaceDE/>
              <w:autoSpaceDN/>
              <w:bidi w:val="0"/>
              <w:adjustRightInd w:val="0"/>
              <w:snapToGrid w:val="0"/>
              <w:ind w:firstLineChars="0"/>
              <w:textAlignment w:val="auto"/>
              <w:rPr>
                <w:sz w:val="20"/>
                <w:szCs w:val="20"/>
              </w:rPr>
            </w:pPr>
          </w:p>
        </w:tc>
        <w:tc>
          <w:tcPr>
            <w:tcW w:w="203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食盐</w:t>
            </w:r>
          </w:p>
        </w:tc>
        <w:tc>
          <w:tcPr>
            <w:tcW w:w="1092"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122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lang w:eastAsia="zh-CN"/>
              </w:rPr>
              <w:t>据实</w:t>
            </w:r>
          </w:p>
        </w:tc>
        <w:tc>
          <w:tcPr>
            <w:tcW w:w="3064" w:type="dxa"/>
            <w:noWrap w:val="0"/>
            <w:vAlign w:val="center"/>
          </w:tcPr>
          <w:p>
            <w:pPr>
              <w:keepNext w:val="0"/>
              <w:keepLines w:val="0"/>
              <w:pageBreakBefore w:val="0"/>
              <w:widowControl w:val="0"/>
              <w:kinsoku/>
              <w:wordWrap/>
              <w:overflowPunct/>
              <w:topLinePunct w:val="0"/>
              <w:autoSpaceDE/>
              <w:autoSpaceDN/>
              <w:bidi w:val="0"/>
              <w:adjustRightInd w:val="0"/>
              <w:snapToGrid w:val="0"/>
              <w:jc w:val="both"/>
              <w:textAlignment w:val="auto"/>
              <w:rPr>
                <w:rFonts w:hint="eastAsia" w:ascii="仿宋" w:hAnsi="仿宋" w:eastAsia="仿宋" w:cs="仿宋"/>
                <w:sz w:val="28"/>
                <w:szCs w:val="28"/>
                <w:u w:val="none"/>
                <w:lang w:eastAsia="zh-CN"/>
              </w:rPr>
            </w:pPr>
            <w:r>
              <w:rPr>
                <w:rFonts w:hint="default" w:ascii="仿宋" w:hAnsi="仿宋" w:eastAsia="仿宋" w:cs="仿宋"/>
                <w:sz w:val="28"/>
                <w:szCs w:val="28"/>
                <w:u w:val="none"/>
              </w:rPr>
              <w:t>工业</w:t>
            </w:r>
          </w:p>
        </w:tc>
      </w:tr>
    </w:tbl>
    <w:p/>
    <w:p>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24"/>
          <w:szCs w:val="28"/>
        </w:rPr>
      </w:pPr>
      <w:bookmarkStart w:id="155" w:name="_Toc32128"/>
      <w:r>
        <w:rPr>
          <w:rFonts w:hint="eastAsia" w:ascii="宋体" w:hAnsi="宋体"/>
          <w:b/>
          <w:bCs/>
          <w:sz w:val="24"/>
          <w:szCs w:val="28"/>
        </w:rPr>
        <w:t>技术参数及要求</w:t>
      </w:r>
      <w:bookmarkEnd w:id="155"/>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bookmarkStart w:id="156" w:name="_Toc529173741"/>
      <w:bookmarkStart w:id="157" w:name="_Toc533672602"/>
      <w:r>
        <w:rPr>
          <w:rFonts w:hint="eastAsia" w:ascii="仿宋" w:hAnsi="仿宋" w:eastAsia="仿宋" w:cs="仿宋"/>
          <w:sz w:val="28"/>
          <w:szCs w:val="28"/>
          <w:u w:val="none"/>
        </w:rPr>
        <w:t>（一）</w:t>
      </w:r>
      <w:r>
        <w:rPr>
          <w:rFonts w:hint="eastAsia" w:ascii="仿宋" w:hAnsi="仿宋" w:eastAsia="仿宋" w:cs="仿宋"/>
          <w:b/>
          <w:bCs/>
          <w:sz w:val="28"/>
          <w:szCs w:val="28"/>
          <w:u w:val="none"/>
        </w:rPr>
        <w:t>肉</w:t>
      </w:r>
      <w:r>
        <w:rPr>
          <w:rFonts w:hint="eastAsia" w:ascii="仿宋" w:hAnsi="仿宋" w:eastAsia="仿宋" w:cs="仿宋"/>
          <w:b/>
          <w:bCs/>
          <w:sz w:val="28"/>
          <w:szCs w:val="28"/>
          <w:u w:val="none"/>
          <w:lang w:eastAsia="zh-CN"/>
        </w:rPr>
        <w:t>类、</w:t>
      </w:r>
      <w:r>
        <w:rPr>
          <w:rFonts w:hint="eastAsia" w:ascii="仿宋" w:hAnsi="仿宋" w:eastAsia="仿宋" w:cs="仿宋"/>
          <w:b/>
          <w:bCs/>
          <w:sz w:val="28"/>
          <w:szCs w:val="28"/>
          <w:u w:val="none"/>
        </w:rPr>
        <w:t>禽</w:t>
      </w:r>
      <w:r>
        <w:rPr>
          <w:rFonts w:hint="eastAsia" w:ascii="仿宋" w:hAnsi="仿宋" w:eastAsia="仿宋" w:cs="仿宋"/>
          <w:b/>
          <w:bCs/>
          <w:sz w:val="28"/>
          <w:szCs w:val="28"/>
          <w:u w:val="none"/>
          <w:lang w:eastAsia="zh-CN"/>
        </w:rPr>
        <w:t>类</w:t>
      </w:r>
      <w:r>
        <w:rPr>
          <w:rFonts w:hint="eastAsia" w:ascii="仿宋" w:hAnsi="仿宋" w:eastAsia="仿宋" w:cs="仿宋"/>
          <w:b/>
          <w:bCs/>
          <w:sz w:val="28"/>
          <w:szCs w:val="28"/>
          <w:u w:val="none"/>
        </w:rPr>
        <w:t>、水产类</w:t>
      </w:r>
      <w:r>
        <w:rPr>
          <w:rFonts w:hint="eastAsia" w:ascii="仿宋" w:hAnsi="仿宋" w:eastAsia="仿宋" w:cs="仿宋"/>
          <w:b/>
          <w:bCs/>
          <w:sz w:val="28"/>
          <w:szCs w:val="28"/>
          <w:u w:val="none"/>
          <w:lang w:eastAsia="zh-CN"/>
        </w:rPr>
        <w:t>、</w:t>
      </w:r>
      <w:r>
        <w:rPr>
          <w:rFonts w:hint="eastAsia" w:ascii="仿宋" w:hAnsi="仿宋" w:eastAsia="仿宋" w:cs="仿宋"/>
          <w:b/>
          <w:bCs/>
          <w:sz w:val="28"/>
          <w:szCs w:val="28"/>
          <w:u w:val="none"/>
        </w:rPr>
        <w:t>蛋</w:t>
      </w:r>
      <w:r>
        <w:rPr>
          <w:rFonts w:hint="eastAsia" w:ascii="仿宋" w:hAnsi="仿宋" w:eastAsia="仿宋" w:cs="仿宋"/>
          <w:b/>
          <w:bCs/>
          <w:sz w:val="28"/>
          <w:szCs w:val="28"/>
          <w:u w:val="none"/>
          <w:lang w:eastAsia="zh-CN"/>
        </w:rPr>
        <w:t>类</w:t>
      </w:r>
      <w:r>
        <w:rPr>
          <w:rFonts w:hint="eastAsia" w:ascii="仿宋" w:hAnsi="仿宋" w:eastAsia="仿宋" w:cs="仿宋"/>
          <w:sz w:val="28"/>
          <w:szCs w:val="28"/>
          <w:u w:val="none"/>
        </w:rPr>
        <w:t>：肉</w:t>
      </w:r>
      <w:r>
        <w:rPr>
          <w:rFonts w:hint="eastAsia" w:ascii="仿宋" w:hAnsi="仿宋" w:eastAsia="仿宋" w:cs="仿宋"/>
          <w:sz w:val="28"/>
          <w:szCs w:val="28"/>
          <w:u w:val="none"/>
          <w:lang w:eastAsia="zh-CN"/>
        </w:rPr>
        <w:t>类</w:t>
      </w:r>
      <w:r>
        <w:rPr>
          <w:rFonts w:hint="eastAsia" w:ascii="仿宋" w:hAnsi="仿宋" w:eastAsia="仿宋" w:cs="仿宋"/>
          <w:sz w:val="28"/>
          <w:szCs w:val="28"/>
          <w:u w:val="none"/>
        </w:rPr>
        <w:t>包括猪、牛、羊等畜类，禽</w:t>
      </w:r>
      <w:r>
        <w:rPr>
          <w:rFonts w:hint="eastAsia" w:ascii="仿宋" w:hAnsi="仿宋" w:eastAsia="仿宋" w:cs="仿宋"/>
          <w:sz w:val="28"/>
          <w:szCs w:val="28"/>
          <w:u w:val="none"/>
          <w:lang w:eastAsia="zh-CN"/>
        </w:rPr>
        <w:t>类</w:t>
      </w:r>
      <w:r>
        <w:rPr>
          <w:rFonts w:hint="eastAsia" w:ascii="仿宋" w:hAnsi="仿宋" w:eastAsia="仿宋" w:cs="仿宋"/>
          <w:sz w:val="28"/>
          <w:szCs w:val="28"/>
          <w:u w:val="none"/>
          <w:lang w:val="en-US" w:eastAsia="zh-CN"/>
        </w:rPr>
        <w:t>包括</w:t>
      </w:r>
      <w:r>
        <w:rPr>
          <w:rFonts w:hint="eastAsia" w:ascii="仿宋" w:hAnsi="仿宋" w:eastAsia="仿宋" w:cs="仿宋"/>
          <w:sz w:val="28"/>
          <w:szCs w:val="28"/>
          <w:u w:val="none"/>
        </w:rPr>
        <w:t>鸡、鸭、鹅等禽类，</w:t>
      </w:r>
      <w:r>
        <w:rPr>
          <w:rFonts w:hint="eastAsia" w:ascii="仿宋" w:hAnsi="仿宋" w:eastAsia="仿宋" w:cs="仿宋"/>
          <w:sz w:val="28"/>
          <w:szCs w:val="28"/>
          <w:u w:val="none"/>
          <w:lang w:val="en-US" w:eastAsia="zh-CN"/>
        </w:rPr>
        <w:t>水产类包括</w:t>
      </w:r>
      <w:r>
        <w:rPr>
          <w:rFonts w:hint="eastAsia" w:ascii="仿宋" w:hAnsi="仿宋" w:eastAsia="仿宋" w:cs="仿宋"/>
          <w:sz w:val="28"/>
          <w:szCs w:val="28"/>
          <w:u w:val="none"/>
        </w:rPr>
        <w:t>草鱼、鲢鱼、鲫鱼等</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蛋类</w:t>
      </w:r>
      <w:r>
        <w:rPr>
          <w:rFonts w:hint="eastAsia" w:ascii="仿宋" w:hAnsi="仿宋" w:eastAsia="仿宋" w:cs="仿宋"/>
          <w:sz w:val="28"/>
          <w:szCs w:val="28"/>
          <w:u w:val="none"/>
          <w:lang w:val="en-US" w:eastAsia="zh-CN"/>
        </w:rPr>
        <w:t>包括鸡蛋、鸭蛋等</w:t>
      </w:r>
      <w:r>
        <w:rPr>
          <w:rFonts w:hint="eastAsia" w:ascii="仿宋" w:hAnsi="仿宋" w:eastAsia="仿宋" w:cs="仿宋"/>
          <w:sz w:val="28"/>
          <w:szCs w:val="28"/>
          <w:u w:val="none"/>
        </w:rPr>
        <w:t>。</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1、产品总体要求（技术要求）</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生鲜类（数量、品类：根据采购人实际需要品种、数量提供。）</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肉</w:t>
      </w:r>
      <w:r>
        <w:rPr>
          <w:rFonts w:hint="eastAsia" w:ascii="仿宋" w:hAnsi="仿宋" w:eastAsia="仿宋" w:cs="仿宋"/>
          <w:sz w:val="28"/>
          <w:szCs w:val="28"/>
          <w:u w:val="none"/>
          <w:lang w:val="en-US" w:eastAsia="zh-CN"/>
        </w:rPr>
        <w:t>类、</w:t>
      </w:r>
      <w:r>
        <w:rPr>
          <w:rFonts w:hint="eastAsia" w:ascii="仿宋" w:hAnsi="仿宋" w:eastAsia="仿宋" w:cs="仿宋"/>
          <w:sz w:val="28"/>
          <w:szCs w:val="28"/>
          <w:u w:val="none"/>
        </w:rPr>
        <w:t>禽类</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符合GB</w:t>
      </w:r>
      <w:r>
        <w:rPr>
          <w:rFonts w:hint="eastAsia" w:ascii="仿宋" w:hAnsi="仿宋" w:eastAsia="仿宋" w:cs="仿宋"/>
          <w:sz w:val="28"/>
          <w:szCs w:val="28"/>
          <w:u w:val="none"/>
          <w:lang w:val="en-US" w:eastAsia="zh-CN"/>
        </w:rPr>
        <w:t xml:space="preserve"> </w:t>
      </w:r>
      <w:r>
        <w:rPr>
          <w:rFonts w:hint="eastAsia" w:ascii="仿宋" w:hAnsi="仿宋" w:eastAsia="仿宋" w:cs="仿宋"/>
          <w:sz w:val="28"/>
          <w:szCs w:val="28"/>
          <w:u w:val="none"/>
        </w:rPr>
        <w:t>31650国家最新标准</w:t>
      </w:r>
      <w:r>
        <w:rPr>
          <w:rFonts w:hint="eastAsia" w:ascii="仿宋" w:hAnsi="仿宋" w:eastAsia="仿宋" w:cs="仿宋"/>
          <w:sz w:val="28"/>
          <w:szCs w:val="28"/>
          <w:u w:val="none"/>
          <w:lang w:val="en-US" w:eastAsia="zh-CN"/>
        </w:rPr>
        <w:t>规定，</w:t>
      </w:r>
      <w:r>
        <w:rPr>
          <w:rFonts w:hint="eastAsia" w:ascii="仿宋" w:hAnsi="仿宋" w:eastAsia="仿宋" w:cs="仿宋"/>
          <w:sz w:val="28"/>
          <w:szCs w:val="28"/>
          <w:u w:val="none"/>
        </w:rPr>
        <w:t>食品中兽药最大残留限量的规定。</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冷鲜肉一级，符合GB/T 9959国家最新标准规定和国家卫生、安全标准要求。</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1.1无槽头肉和血刀肉；甲状腺、肾上腺、病变淋巴摘除干净；无残留毛绒，不带长短毛；不带浮毛、凝血块、胆污、粪污及其他污染物。</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1.2色泽：肌肉色泽鲜红或深红，有光泽；脂肪呈乳白色或粉白色。</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1.3弹性（组织状态）：指压后的凹陷立即恢复。</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1.4粘度：外表微干或微湿润，不粘手。</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1.5气味：具有鲜猪肉正常气味。煮沸后肉汤透明澄清，脂肪团聚于液面，具有香味。</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1.6产品符合GB/T9959国家最新标准分割鲜冻猪瘦肉，GB</w:t>
      </w:r>
      <w:r>
        <w:rPr>
          <w:rFonts w:hint="eastAsia" w:ascii="仿宋" w:hAnsi="仿宋" w:eastAsia="仿宋" w:cs="仿宋"/>
          <w:sz w:val="28"/>
          <w:szCs w:val="28"/>
          <w:u w:val="none"/>
          <w:lang w:val="en-US" w:eastAsia="zh-CN"/>
        </w:rPr>
        <w:t xml:space="preserve"> </w:t>
      </w:r>
      <w:r>
        <w:rPr>
          <w:rFonts w:hint="eastAsia" w:ascii="仿宋" w:hAnsi="仿宋" w:eastAsia="仿宋" w:cs="仿宋"/>
          <w:sz w:val="28"/>
          <w:szCs w:val="28"/>
          <w:u w:val="none"/>
        </w:rPr>
        <w:t>31650国家最新标准食品中兽药最大残留限量。</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1.7国家有定点屠宰、检验检疫要求的品种，应来自于定点屠宰厂出品、有国家规定的动物产品检疫合格证明及验讫印章、肉品品质检验合格证明及验讫印章（随每批次供货时按批次提供）。鲜猪肉(当日生产)符合成都市生猪溯源体系的要求，并将溯源资料交采购人备案待查。配送时具有动检部门检疫印章和肉品品质合格印章。</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1.8猪肉要求全程冷链配送，相关检疫证书齐全完备。</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1.9羊肉、牛肉</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鸡肉、鸭肉等冷鲜畜禽肉的食品安全指标应符合GB 2707国家最新标准的规定,须肉面干净、无任何异味、无毛发、表皮处理清洁，大小统一、码放整齐。</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1.10水产类、海水藻类的食品安全指标应分别符合GB 2733国家最新标准、GB 19643国家最新标准的规定。</w:t>
      </w:r>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hint="eastAsia" w:ascii="仿宋" w:hAnsi="仿宋" w:eastAsia="仿宋" w:cs="仿宋"/>
          <w:bCs/>
          <w:sz w:val="28"/>
          <w:szCs w:val="28"/>
          <w:u w:val="none"/>
        </w:rPr>
      </w:pPr>
      <w:r>
        <w:rPr>
          <w:rFonts w:hint="eastAsia" w:ascii="仿宋" w:hAnsi="仿宋" w:eastAsia="仿宋" w:cs="仿宋"/>
          <w:bCs/>
          <w:sz w:val="28"/>
          <w:szCs w:val="28"/>
          <w:u w:val="none"/>
        </w:rPr>
        <w:t>2、</w:t>
      </w:r>
      <w:r>
        <w:rPr>
          <w:rFonts w:hint="eastAsia" w:ascii="仿宋" w:hAnsi="仿宋" w:eastAsia="仿宋" w:cs="仿宋"/>
          <w:sz w:val="28"/>
          <w:szCs w:val="28"/>
          <w:u w:val="none"/>
        </w:rPr>
        <w:t>猪肉</w:t>
      </w:r>
      <w:r>
        <w:rPr>
          <w:rFonts w:hint="eastAsia" w:ascii="仿宋" w:hAnsi="仿宋" w:eastAsia="仿宋" w:cs="仿宋"/>
          <w:bCs/>
          <w:sz w:val="28"/>
          <w:szCs w:val="28"/>
          <w:u w:val="none"/>
        </w:rPr>
        <w:t>。</w:t>
      </w:r>
      <w:r>
        <w:rPr>
          <w:rFonts w:hint="eastAsia" w:ascii="仿宋" w:hAnsi="仿宋" w:eastAsia="仿宋" w:cs="仿宋"/>
          <w:color w:val="000000"/>
          <w:sz w:val="28"/>
          <w:szCs w:val="28"/>
          <w:u w:val="none"/>
        </w:rPr>
        <w:t>当天屠宰且不能是冻肉（特殊情况下取得采购人认可后方可送冻肉），</w:t>
      </w:r>
      <w:r>
        <w:rPr>
          <w:rFonts w:hint="eastAsia" w:ascii="仿宋" w:hAnsi="仿宋" w:eastAsia="仿宋" w:cs="仿宋"/>
          <w:sz w:val="28"/>
          <w:szCs w:val="28"/>
          <w:u w:val="none"/>
        </w:rPr>
        <w:t>应符合GB/T 9959国家最新标准，成都市生猪溯源体系的要求并有产地动物卫生监督机构出具的检疫（或检测）合格证明和动物产品检疫（或检测）合格验讫印章以及生猪定点屠宰厂肉品品质检验合格验讫印章。</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bCs/>
          <w:sz w:val="28"/>
          <w:szCs w:val="28"/>
          <w:u w:val="none"/>
        </w:rPr>
      </w:pPr>
      <w:r>
        <w:rPr>
          <w:rFonts w:hint="eastAsia" w:ascii="仿宋" w:hAnsi="仿宋" w:eastAsia="仿宋" w:cs="仿宋"/>
          <w:bCs/>
          <w:sz w:val="28"/>
          <w:szCs w:val="28"/>
          <w:u w:val="none"/>
        </w:rPr>
        <w:t>3、</w:t>
      </w:r>
      <w:r>
        <w:rPr>
          <w:rFonts w:hint="eastAsia" w:ascii="仿宋" w:hAnsi="仿宋" w:eastAsia="仿宋" w:cs="仿宋"/>
          <w:sz w:val="28"/>
          <w:szCs w:val="28"/>
          <w:u w:val="none"/>
        </w:rPr>
        <w:t>鸡蛋。</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3.1</w:t>
      </w:r>
      <w:r>
        <w:rPr>
          <w:rFonts w:hint="eastAsia" w:ascii="仿宋" w:hAnsi="仿宋" w:eastAsia="仿宋" w:cs="仿宋"/>
          <w:sz w:val="28"/>
          <w:szCs w:val="28"/>
          <w:u w:val="none"/>
        </w:rPr>
        <w:t>每枚净重不得少于50g，汞含量符合GB</w:t>
      </w:r>
      <w:r>
        <w:rPr>
          <w:rFonts w:hint="eastAsia" w:ascii="仿宋" w:hAnsi="仿宋" w:eastAsia="仿宋" w:cs="仿宋"/>
          <w:sz w:val="28"/>
          <w:szCs w:val="28"/>
          <w:u w:val="none"/>
          <w:lang w:val="en-US" w:eastAsia="zh-CN"/>
        </w:rPr>
        <w:t xml:space="preserve"> </w:t>
      </w:r>
      <w:r>
        <w:rPr>
          <w:rFonts w:hint="eastAsia" w:ascii="仿宋" w:hAnsi="仿宋" w:eastAsia="仿宋" w:cs="仿宋"/>
          <w:sz w:val="28"/>
          <w:szCs w:val="28"/>
          <w:u w:val="none"/>
        </w:rPr>
        <w:t>2749国家最新标准，其他理化指标符合GB</w:t>
      </w:r>
      <w:r>
        <w:rPr>
          <w:rFonts w:hint="eastAsia" w:ascii="仿宋" w:hAnsi="仿宋" w:eastAsia="仿宋" w:cs="仿宋"/>
          <w:sz w:val="28"/>
          <w:szCs w:val="28"/>
          <w:u w:val="none"/>
          <w:lang w:val="en-US" w:eastAsia="zh-CN"/>
        </w:rPr>
        <w:t xml:space="preserve"> </w:t>
      </w:r>
      <w:r>
        <w:rPr>
          <w:rFonts w:hint="eastAsia" w:ascii="仿宋" w:hAnsi="仿宋" w:eastAsia="仿宋" w:cs="仿宋"/>
          <w:sz w:val="28"/>
          <w:szCs w:val="28"/>
          <w:u w:val="none"/>
        </w:rPr>
        <w:t>2749国家最新标准。须有动物检疫合格证，包装规范，应采用符合国家食品安全标准要求的包装材料。</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3.2</w:t>
      </w:r>
      <w:r>
        <w:rPr>
          <w:rFonts w:hint="eastAsia" w:ascii="仿宋" w:hAnsi="仿宋" w:eastAsia="仿宋" w:cs="仿宋"/>
          <w:sz w:val="28"/>
          <w:szCs w:val="28"/>
          <w:u w:val="none"/>
        </w:rPr>
        <w:t>色泽：具有禽蛋固有的色泽。</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3.3</w:t>
      </w:r>
      <w:r>
        <w:rPr>
          <w:rFonts w:hint="eastAsia" w:ascii="仿宋" w:hAnsi="仿宋" w:eastAsia="仿宋" w:cs="仿宋"/>
          <w:sz w:val="28"/>
          <w:szCs w:val="28"/>
          <w:u w:val="none"/>
        </w:rPr>
        <w:t>组织形状：蛋壳清洁、无破裂，打开后蛋黄凸起、完整、有韧性，蛋白澄清透明、稀稠分明。</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3.4</w:t>
      </w:r>
      <w:r>
        <w:rPr>
          <w:rFonts w:hint="eastAsia" w:ascii="仿宋" w:hAnsi="仿宋" w:eastAsia="仿宋" w:cs="仿宋"/>
          <w:sz w:val="28"/>
          <w:szCs w:val="28"/>
          <w:u w:val="none"/>
        </w:rPr>
        <w:t>气味：具有产品固有的气味，无异味。</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3.5</w:t>
      </w:r>
      <w:r>
        <w:rPr>
          <w:rFonts w:hint="eastAsia" w:ascii="仿宋" w:hAnsi="仿宋" w:eastAsia="仿宋" w:cs="仿宋"/>
          <w:sz w:val="28"/>
          <w:szCs w:val="28"/>
          <w:u w:val="none"/>
        </w:rPr>
        <w:t>杂质：无杂质，内容物不得有血块或其他鸡组织异物。</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鲜蛋的感官指标不低于国家有关食品质量标准的二级指标要求，应保证新鲜；散装生鲜禽蛋应有动物产品检疫（或检测）合格证明或出县境动物产品检疫（或检测）合格证明，外地生鲜禽蛋应有其所在地农业部门的检疫（或检测）合格证明或检疫（或检测）验讫标识。保证新鲜、清洁、无破损；外壳坚固完整，色泽自然有光泽；包装应采用符合国家卫生标准要求的包装材料。</w:t>
      </w:r>
    </w:p>
    <w:p>
      <w:pPr>
        <w:keepNext w:val="0"/>
        <w:keepLines w:val="0"/>
        <w:pageBreakBefore w:val="0"/>
        <w:widowControl w:val="0"/>
        <w:kinsoku/>
        <w:wordWrap/>
        <w:overflowPunct/>
        <w:topLinePunct w:val="0"/>
        <w:autoSpaceDE/>
        <w:autoSpaceDN/>
        <w:bidi w:val="0"/>
        <w:adjustRightInd/>
        <w:spacing w:line="360" w:lineRule="exact"/>
        <w:ind w:firstLine="562" w:firstLineChars="200"/>
        <w:textAlignment w:val="auto"/>
        <w:rPr>
          <w:rFonts w:hint="eastAsia" w:ascii="仿宋" w:hAnsi="仿宋" w:eastAsia="仿宋" w:cs="仿宋"/>
          <w:sz w:val="28"/>
          <w:szCs w:val="28"/>
          <w:u w:val="none"/>
        </w:rPr>
      </w:pPr>
      <w:r>
        <w:rPr>
          <w:rFonts w:hint="eastAsia" w:ascii="仿宋" w:hAnsi="仿宋" w:eastAsia="仿宋" w:cs="仿宋"/>
          <w:b/>
          <w:bCs/>
          <w:sz w:val="28"/>
          <w:szCs w:val="28"/>
          <w:u w:val="none"/>
        </w:rPr>
        <w:t>（二）蔬菜类</w:t>
      </w:r>
      <w:r>
        <w:rPr>
          <w:rFonts w:hint="eastAsia" w:ascii="仿宋" w:hAnsi="仿宋" w:eastAsia="仿宋" w:cs="仿宋"/>
          <w:b/>
          <w:bCs/>
          <w:sz w:val="28"/>
          <w:szCs w:val="28"/>
          <w:u w:val="none"/>
          <w:lang w:eastAsia="zh-CN"/>
        </w:rPr>
        <w:t>：</w:t>
      </w:r>
      <w:r>
        <w:rPr>
          <w:rFonts w:hint="eastAsia" w:ascii="仿宋" w:hAnsi="仿宋" w:eastAsia="仿宋" w:cs="仿宋"/>
          <w:sz w:val="28"/>
          <w:szCs w:val="28"/>
          <w:u w:val="none"/>
        </w:rPr>
        <w:t>主要包括土豆、萝卜、白菜、花菜、佛手瓜、冬瓜、茄子、豇豆、青豆等叶菜类、茎菜类、根菜类、果菜类、花菜等。</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1、产品总体要求（技术要求）</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1.1蔬菜（数量、品类：根据采购人实际需要品种、数量提供。）</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1.2叶菜类：鲜嫩，无枯黄叶，无花斑叶，无烂叶；叶茎完整无折断，基部不老化，干爽无水；无裂口损伤，表面无泥土及其它杂物，无农药残留。</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1.3根茎类：个体均匀，根形完整，无畸形，无泥土，无虫蛀和机械伤，无腐烂，无断折断裂，不萎蔫变软，不发芽，不变绿，不空心，不糠心，不黑心，弹击有实心感，无农药残留。</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1.4芽苗类：鲜嫩、无老叶、无花斑黄叶，根部切口新鲜，茎叶完整，无腐烂现象，无农药残留。</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1.5菌类：色泽与其品种相适应，气味正常；无腐烂及虫蛀株，无发霉，无失水枯萎， 朵片完整，手轻捏不能有水渗出为宜。</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1.6所投产品必须符合GB 2763国家最新标准和安全标准及GB 2762国家最新标准食品中污染物限量标准。所列产品标准如国家有调整的，应以调整后的最新标准为准。农药残留及重金属不得超标，不得含有国家全面禁止使用的农药成份。</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1.7原菜须保证菜面干净、无明显泥土、码放整齐、无破损、不得过熟或欠熟；净菜须保证菜面完全干净、无泥土、按统一标准加工、码放整齐，并按相关规定配送前采样送检，并提供具有农药、杀虫剂等残留检测合格的报告。</w:t>
      </w:r>
    </w:p>
    <w:p>
      <w:pPr>
        <w:keepNext w:val="0"/>
        <w:keepLines w:val="0"/>
        <w:pageBreakBefore w:val="0"/>
        <w:widowControl w:val="0"/>
        <w:kinsoku/>
        <w:wordWrap/>
        <w:overflowPunct/>
        <w:topLinePunct w:val="0"/>
        <w:autoSpaceDE/>
        <w:autoSpaceDN/>
        <w:bidi w:val="0"/>
        <w:adjustRightInd/>
        <w:spacing w:line="360" w:lineRule="exact"/>
        <w:ind w:firstLine="562" w:firstLineChars="200"/>
        <w:textAlignment w:val="auto"/>
        <w:rPr>
          <w:rFonts w:hint="eastAsia" w:ascii="仿宋" w:hAnsi="仿宋" w:eastAsia="仿宋" w:cs="仿宋"/>
          <w:sz w:val="28"/>
          <w:szCs w:val="28"/>
          <w:u w:val="none"/>
        </w:rPr>
      </w:pPr>
      <w:r>
        <w:rPr>
          <w:rFonts w:hint="eastAsia" w:ascii="仿宋" w:hAnsi="仿宋" w:eastAsia="仿宋" w:cs="仿宋"/>
          <w:b/>
          <w:bCs/>
          <w:sz w:val="28"/>
          <w:szCs w:val="28"/>
          <w:u w:val="none"/>
        </w:rPr>
        <w:t>（三）干杂类</w:t>
      </w:r>
      <w:r>
        <w:rPr>
          <w:rFonts w:hint="eastAsia" w:ascii="仿宋" w:hAnsi="仿宋" w:eastAsia="仿宋" w:cs="仿宋"/>
          <w:sz w:val="28"/>
          <w:szCs w:val="28"/>
          <w:u w:val="none"/>
        </w:rPr>
        <w:t>。主要包括米、面、油、奶制品、干货</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调料等一切干杂辅料类</w:t>
      </w:r>
      <w:r>
        <w:rPr>
          <w:rFonts w:hint="eastAsia" w:ascii="仿宋" w:hAnsi="仿宋" w:eastAsia="仿宋" w:cs="仿宋"/>
          <w:sz w:val="28"/>
          <w:szCs w:val="28"/>
          <w:u w:val="none"/>
          <w:lang w:eastAsia="zh-CN"/>
        </w:rPr>
        <w:t>。</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1、产品总体要求（技术要求）</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1.1干杂类（数量、品类：根据采购人实际需要品种、数量提供。）</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1.2不得含有二氧化硫及重金属元素和非法使用添加剂；农药残留不得超标，须优质、无感观异常。符合国家最新质量标准和安全标准。</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1.3</w:t>
      </w:r>
      <w:r>
        <w:rPr>
          <w:rFonts w:hint="eastAsia" w:ascii="仿宋" w:hAnsi="仿宋" w:eastAsia="仿宋" w:cs="仿宋"/>
          <w:sz w:val="28"/>
          <w:szCs w:val="28"/>
          <w:u w:val="none"/>
          <w:lang w:val="en-US" w:eastAsia="zh-CN"/>
        </w:rPr>
        <w:t>所有</w:t>
      </w:r>
      <w:r>
        <w:rPr>
          <w:rFonts w:hint="eastAsia" w:ascii="仿宋" w:hAnsi="仿宋" w:eastAsia="仿宋" w:cs="仿宋"/>
          <w:sz w:val="28"/>
          <w:szCs w:val="28"/>
          <w:u w:val="none"/>
        </w:rPr>
        <w:t>配送</w:t>
      </w:r>
      <w:r>
        <w:rPr>
          <w:rFonts w:hint="eastAsia" w:ascii="仿宋" w:hAnsi="仿宋" w:eastAsia="仿宋" w:cs="仿宋"/>
          <w:sz w:val="28"/>
          <w:szCs w:val="28"/>
          <w:u w:val="none"/>
          <w:lang w:val="en-US" w:eastAsia="zh-CN"/>
        </w:rPr>
        <w:t>产品必须有明确的</w:t>
      </w:r>
      <w:r>
        <w:rPr>
          <w:rFonts w:hint="eastAsia" w:ascii="仿宋" w:hAnsi="仿宋" w:eastAsia="仿宋" w:cs="仿宋"/>
          <w:sz w:val="28"/>
          <w:szCs w:val="28"/>
          <w:u w:val="none"/>
        </w:rPr>
        <w:t>种类、品牌、规格，</w:t>
      </w:r>
      <w:r>
        <w:rPr>
          <w:rFonts w:hint="eastAsia" w:ascii="仿宋" w:hAnsi="仿宋" w:eastAsia="仿宋" w:cs="仿宋"/>
          <w:sz w:val="28"/>
          <w:szCs w:val="28"/>
          <w:u w:val="none"/>
          <w:lang w:val="en-US" w:eastAsia="zh-CN"/>
        </w:rPr>
        <w:t>净含量、</w:t>
      </w:r>
      <w:r>
        <w:rPr>
          <w:rFonts w:hint="eastAsia" w:ascii="仿宋" w:hAnsi="仿宋" w:eastAsia="仿宋" w:cs="仿宋"/>
          <w:sz w:val="28"/>
          <w:szCs w:val="28"/>
          <w:u w:val="none"/>
        </w:rPr>
        <w:t>生产日期</w:t>
      </w: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保质期等</w:t>
      </w:r>
      <w:r>
        <w:rPr>
          <w:rFonts w:hint="eastAsia" w:ascii="仿宋" w:hAnsi="仿宋" w:eastAsia="仿宋" w:cs="仿宋"/>
          <w:sz w:val="28"/>
          <w:szCs w:val="28"/>
          <w:u w:val="none"/>
        </w:rPr>
        <w:t>，包装完整、无任何破损、无挤压、无破碎、无异味、无任何表面附着物或衍生物。</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1.4 产品符合国家质量安全检验标准、随货有该批次产品质量检测合格证、包装完好无损、外观无霉变、无斑点、无腐烂变质，有该物品独有的气味、无异味。有效期须在保质期二分之一天数之内，凭出厂合格证与检验员章确认质量，具有相关产品检验报告，在保质期内有 SC 标记。</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1.5食用盐：精制盐，加碘，符合国家最新或行业标准。白色，味咸，无异味，无明显与盐无关的外来异物。食品添加剂与营养强化剂的质量应符合相应的标准和有关要求。</w:t>
      </w:r>
      <w:r>
        <w:rPr>
          <w:rFonts w:hint="eastAsia" w:ascii="仿宋" w:hAnsi="仿宋" w:eastAsia="仿宋" w:cs="仿宋"/>
          <w:b/>
          <w:bCs/>
          <w:sz w:val="28"/>
          <w:szCs w:val="28"/>
          <w:u w:val="none"/>
        </w:rPr>
        <w:t>食用盐由各省级市场监督管理</w:t>
      </w:r>
      <w:r>
        <w:rPr>
          <w:rFonts w:hint="eastAsia" w:ascii="仿宋" w:hAnsi="仿宋" w:eastAsia="仿宋" w:cs="仿宋"/>
          <w:b/>
          <w:bCs/>
          <w:sz w:val="28"/>
          <w:szCs w:val="28"/>
          <w:u w:val="none"/>
          <w:lang w:eastAsia="zh-CN"/>
        </w:rPr>
        <w:t>部门</w:t>
      </w:r>
      <w:r>
        <w:rPr>
          <w:rFonts w:hint="eastAsia" w:ascii="仿宋" w:hAnsi="仿宋" w:eastAsia="仿宋" w:cs="仿宋"/>
          <w:b/>
          <w:bCs/>
          <w:sz w:val="28"/>
          <w:szCs w:val="28"/>
          <w:u w:val="none"/>
        </w:rPr>
        <w:t>批准</w:t>
      </w:r>
      <w:r>
        <w:rPr>
          <w:rFonts w:hint="eastAsia" w:ascii="仿宋" w:hAnsi="仿宋" w:eastAsia="仿宋" w:cs="仿宋"/>
          <w:b/>
          <w:bCs/>
          <w:sz w:val="28"/>
          <w:szCs w:val="28"/>
          <w:u w:val="none"/>
          <w:lang w:eastAsia="zh-CN"/>
        </w:rPr>
        <w:t>的</w:t>
      </w:r>
      <w:r>
        <w:rPr>
          <w:rFonts w:hint="eastAsia" w:ascii="仿宋" w:hAnsi="仿宋" w:eastAsia="仿宋" w:cs="仿宋"/>
          <w:b/>
          <w:bCs/>
          <w:sz w:val="28"/>
          <w:szCs w:val="28"/>
          <w:u w:val="none"/>
        </w:rPr>
        <w:t>定点企业进行生产</w:t>
      </w:r>
      <w:r>
        <w:rPr>
          <w:rFonts w:hint="eastAsia" w:ascii="仿宋" w:hAnsi="仿宋" w:eastAsia="仿宋" w:cs="仿宋"/>
          <w:sz w:val="28"/>
          <w:szCs w:val="28"/>
          <w:u w:val="none"/>
        </w:rPr>
        <w:t>。</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1.6菜籽油</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菜籽油为非转基因食用植物油，食用油的食品安全指标应符合GB 2716国家最新标准的规定， 其中：成品菜籽油的质量指标不低于 GB/T 1536 国家最新标准的二级压榨成品菜籽油的技术要求。食品中污染物限量标准应符合国家标准GB 2762国家最新标准、GB 2761国家最新标准规定或国家卫生、食品安全最新标准，即预包装原料必须为原公司（厂）生产的全新产品，符合国家相关规定的质量标准、环保标准、技术参数和规格要求并达到采购方对食材的要求，特殊食品必须符合国家有关特殊标准和规定。不得提供假冒伪劣、有毒有害食品。</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桶装，每桶一次性密封装。</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包装符合GB/T 17374国家最新标准。</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保质期不少于12个月。</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在油桶的肩部刻有清晰的生产日期。</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在油桶上印有清晰地生产日期。油桶上注明产品名称、配料、加工原料、净含量、厂名、厂址、保质期、联系方式、质量等级、生产工艺、营养成分表、生产许可证号、贮存条件、原料原产地。</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1.7大米</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①不低于GB/T 1354国家最新标准一级定等指标的技术要求；</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②国标二级籼稻大米（产品与标注情况一致）；</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③袋装；</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④包装符合GB/T 17109国家最新标准 粮食销售包装标准；</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⑤保质期不少于 6 个月；</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⑥生产日期标注在独立的纸制生产合格证上并固定于袋口封装线上，在未拆封包装袋之前完全能清晰看清生产日期。外包装上注明产品名称、原料、产地、净含量、厂名、厂址、生产日期、保质期、产品标准号、联系方式、质量等级、营养成分表、生产许可证编号、贮存条件；</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⑦生产日期标注在独立的生产合格证上并固定于袋口封装线上；在未拆封包装袋之前完全能清楚看清生产日期。</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1.8面粉及面制品</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①</w:t>
      </w:r>
      <w:r>
        <w:rPr>
          <w:rFonts w:hint="eastAsia" w:ascii="仿宋" w:hAnsi="仿宋" w:eastAsia="仿宋" w:cs="仿宋"/>
          <w:sz w:val="28"/>
          <w:szCs w:val="28"/>
          <w:u w:val="none"/>
          <w:lang w:eastAsia="zh-CN"/>
        </w:rPr>
        <w:t>特制一等粉：</w:t>
      </w:r>
      <w:r>
        <w:rPr>
          <w:rFonts w:hint="eastAsia" w:ascii="仿宋" w:hAnsi="仿宋" w:eastAsia="仿宋" w:cs="仿宋"/>
          <w:sz w:val="28"/>
          <w:szCs w:val="28"/>
          <w:u w:val="none"/>
        </w:rPr>
        <w:t>符合国家最新或行业标准。</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②</w:t>
      </w:r>
      <w:r>
        <w:rPr>
          <w:rFonts w:hint="eastAsia" w:ascii="仿宋" w:hAnsi="仿宋" w:eastAsia="仿宋" w:cs="仿宋"/>
          <w:sz w:val="28"/>
          <w:szCs w:val="28"/>
          <w:u w:val="none"/>
          <w:lang w:eastAsia="zh-CN"/>
        </w:rPr>
        <w:t>特制二等粉：</w:t>
      </w:r>
      <w:r>
        <w:rPr>
          <w:rFonts w:hint="eastAsia" w:ascii="仿宋" w:hAnsi="仿宋" w:eastAsia="仿宋" w:cs="仿宋"/>
          <w:sz w:val="28"/>
          <w:szCs w:val="28"/>
          <w:u w:val="none"/>
        </w:rPr>
        <w:t>质量指标不低于 GB/T 1355国家最新标准的特制二等指标的技术要求。</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③面粉色泽呈乳白色或淡黄色，不发暗，无杂质，无粗粒感，流散性好，不结块，有自然的麦香味。</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④袋装；</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⑤保质期不少于 6 个月；</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⑥生产日期标注在独立的纸制生产合格证上并固定于袋口封装线上，在未拆封包装袋之前完全能清晰看清生产日期。外包装上注明产品名称、原料、产地、净含量、厂名、厂址、生产日期、保质期、产品标准号、联系方式、质量等级、营养成分表、生产许可证编号、贮存条件</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 xml:space="preserve">。 </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1.7项、1.8项要求的食品原料的食品安全指标应符合相应食品安全国家标准的规定，分等分级的质量指标不低于国家有关食品质量标准的中位数水平，如质量或规格等级划分为 1、2、3、4、5 或大（L）、 中（M）、小（S）的，应选择 1、2 或大（L）、中（M）等级。食品原料的包装应完整、清洁、无破损，包装有关食品名称、生产日期、保质期限、质量等级、生产经营者等标识内容应与其内装物一致。预包装类食品原料应具有SC标记。其中：成品粮（大米、小麦粉或面粉）的食品安全指标应符合 GB 2715国家最新标准的规定。</w:t>
      </w:r>
    </w:p>
    <w:p>
      <w:pPr>
        <w:keepNext w:val="0"/>
        <w:keepLines w:val="0"/>
        <w:pageBreakBefore w:val="0"/>
        <w:widowControl w:val="0"/>
        <w:kinsoku/>
        <w:wordWrap/>
        <w:overflowPunct/>
        <w:topLinePunct w:val="0"/>
        <w:autoSpaceDE/>
        <w:autoSpaceDN/>
        <w:bidi w:val="0"/>
        <w:adjustRightInd/>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1.9奶制品</w:t>
      </w:r>
      <w:r>
        <w:rPr>
          <w:rFonts w:hint="eastAsia" w:ascii="仿宋" w:hAnsi="仿宋" w:eastAsia="仿宋" w:cs="仿宋"/>
          <w:sz w:val="28"/>
          <w:szCs w:val="28"/>
          <w:u w:val="none"/>
        </w:rPr>
        <w:t>：符合 GB 25190国家最新标准《食品安全国家标准 灭菌乳》及 GB 7718国家最新标准《食品安全国家标准 预包装食品标签通则》或国家卫生、食品安全最新标准。每批货均需提供盒装奶生产厂家出具的《质检报告》。外观呈乳白色或微黄色，具有乳固有的香味，呈均匀一致液体，无凝块、无沉淀、无正常视力可见异物。</w:t>
      </w:r>
    </w:p>
    <w:p>
      <w:pPr>
        <w:tabs>
          <w:tab w:val="left" w:pos="851"/>
        </w:tabs>
        <w:spacing w:line="360" w:lineRule="auto"/>
        <w:ind w:firstLine="568" w:firstLineChars="202"/>
        <w:rPr>
          <w:rFonts w:ascii="宋体" w:hAnsi="宋体"/>
          <w:sz w:val="24"/>
          <w:szCs w:val="24"/>
          <w:u w:val="none"/>
        </w:rPr>
      </w:pPr>
      <w:r>
        <w:rPr>
          <w:rFonts w:hint="eastAsia" w:ascii="仿宋" w:hAnsi="仿宋" w:eastAsia="仿宋" w:cs="仿宋"/>
          <w:b/>
          <w:bCs/>
          <w:sz w:val="28"/>
          <w:szCs w:val="28"/>
          <w:u w:val="none"/>
        </w:rPr>
        <w:t>（</w:t>
      </w:r>
      <w:r>
        <w:rPr>
          <w:rFonts w:hint="eastAsia" w:ascii="仿宋" w:hAnsi="仿宋" w:eastAsia="仿宋" w:cs="仿宋"/>
          <w:b/>
          <w:bCs/>
          <w:sz w:val="28"/>
          <w:szCs w:val="28"/>
          <w:u w:val="none"/>
          <w:lang w:eastAsia="zh-CN"/>
        </w:rPr>
        <w:t>四</w:t>
      </w:r>
      <w:r>
        <w:rPr>
          <w:rFonts w:hint="eastAsia" w:ascii="仿宋" w:hAnsi="仿宋" w:eastAsia="仿宋" w:cs="仿宋"/>
          <w:b/>
          <w:bCs/>
          <w:sz w:val="28"/>
          <w:szCs w:val="28"/>
          <w:u w:val="none"/>
        </w:rPr>
        <w:t>）水果类</w:t>
      </w:r>
      <w:r>
        <w:rPr>
          <w:rFonts w:hint="eastAsia" w:ascii="仿宋" w:hAnsi="仿宋" w:eastAsia="仿宋" w:cs="仿宋"/>
          <w:sz w:val="28"/>
          <w:szCs w:val="28"/>
          <w:u w:val="none"/>
        </w:rPr>
        <w:t>：水果类必须保证果型匀称，色泽均匀，无干疤、斑点、裂口、腐烂，口感好</w:t>
      </w:r>
      <w:r>
        <w:rPr>
          <w:rFonts w:hint="eastAsia" w:ascii="仿宋" w:hAnsi="仿宋" w:eastAsia="仿宋" w:cs="仿宋"/>
          <w:color w:val="000000"/>
          <w:sz w:val="28"/>
          <w:szCs w:val="28"/>
          <w:u w:val="none"/>
        </w:rPr>
        <w:t>。水果必须保证其新鲜度，残余农药含量不能超过国家有关标准。由水果引发的食物中毒等安全事故，由中标供应商负全责。</w:t>
      </w:r>
    </w:p>
    <w:p>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24"/>
          <w:szCs w:val="24"/>
        </w:rPr>
      </w:pPr>
      <w:bookmarkStart w:id="158" w:name="_Toc4577"/>
      <w:r>
        <w:rPr>
          <w:rFonts w:hint="eastAsia" w:ascii="宋体" w:hAnsi="宋体"/>
          <w:b/>
          <w:bCs/>
          <w:sz w:val="24"/>
          <w:szCs w:val="24"/>
        </w:rPr>
        <w:t>核心产品</w:t>
      </w:r>
      <w:bookmarkEnd w:id="158"/>
    </w:p>
    <w:p>
      <w:pPr>
        <w:keepNext w:val="0"/>
        <w:keepLines w:val="0"/>
        <w:pageBreakBefore w:val="0"/>
        <w:widowControl w:val="0"/>
        <w:kinsoku/>
        <w:wordWrap/>
        <w:overflowPunct/>
        <w:topLinePunct w:val="0"/>
        <w:autoSpaceDE/>
        <w:autoSpaceDN/>
        <w:bidi w:val="0"/>
        <w:adjustRightInd/>
        <w:snapToGrid w:val="0"/>
        <w:spacing w:line="360" w:lineRule="exact"/>
        <w:ind w:firstLine="560" w:firstLineChars="200"/>
        <w:textAlignment w:val="auto"/>
        <w:rPr>
          <w:rFonts w:ascii="宋体" w:hAnsi="宋体"/>
          <w:sz w:val="24"/>
          <w:szCs w:val="24"/>
          <w:u w:val="none"/>
        </w:rPr>
      </w:pPr>
      <w:r>
        <w:rPr>
          <w:rFonts w:hint="eastAsia" w:ascii="仿宋" w:hAnsi="仿宋" w:eastAsia="仿宋" w:cs="仿宋"/>
          <w:sz w:val="28"/>
          <w:szCs w:val="28"/>
          <w:u w:val="none"/>
          <w:lang w:eastAsia="zh-CN"/>
        </w:rPr>
        <w:t>本项目核心产品为：大米、菜籽油。</w:t>
      </w:r>
    </w:p>
    <w:p>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24"/>
          <w:szCs w:val="24"/>
        </w:rPr>
      </w:pPr>
      <w:bookmarkStart w:id="159" w:name="_Toc4197"/>
      <w:r>
        <w:rPr>
          <w:rFonts w:hint="eastAsia" w:ascii="宋体" w:hAnsi="宋体"/>
          <w:b/>
          <w:bCs/>
          <w:sz w:val="24"/>
          <w:szCs w:val="24"/>
        </w:rPr>
        <w:t>商务</w:t>
      </w:r>
      <w:r>
        <w:rPr>
          <w:rFonts w:ascii="宋体" w:hAnsi="宋体"/>
          <w:b/>
          <w:bCs/>
          <w:sz w:val="24"/>
          <w:szCs w:val="24"/>
        </w:rPr>
        <w:t>要求</w:t>
      </w:r>
      <w:bookmarkEnd w:id="159"/>
    </w:p>
    <w:p>
      <w:pPr>
        <w:keepNext w:val="0"/>
        <w:keepLines w:val="0"/>
        <w:pageBreakBefore w:val="0"/>
        <w:widowControl w:val="0"/>
        <w:kinsoku/>
        <w:wordWrap/>
        <w:overflowPunct/>
        <w:topLinePunct w:val="0"/>
        <w:autoSpaceDE/>
        <w:autoSpaceDN/>
        <w:bidi w:val="0"/>
        <w:spacing w:line="360" w:lineRule="exact"/>
        <w:ind w:firstLine="562" w:firstLineChars="200"/>
        <w:textAlignment w:val="auto"/>
        <w:rPr>
          <w:rFonts w:hint="eastAsia" w:ascii="仿宋" w:hAnsi="仿宋" w:eastAsia="仿宋" w:cs="仿宋"/>
          <w:sz w:val="28"/>
          <w:szCs w:val="28"/>
          <w:u w:val="none"/>
        </w:rPr>
      </w:pPr>
      <w:r>
        <w:rPr>
          <w:rFonts w:hint="eastAsia" w:ascii="仿宋" w:hAnsi="仿宋" w:eastAsia="仿宋" w:cs="仿宋"/>
          <w:b/>
          <w:bCs/>
          <w:sz w:val="28"/>
          <w:szCs w:val="28"/>
          <w:u w:val="none"/>
        </w:rPr>
        <w:t>★</w:t>
      </w:r>
      <w:r>
        <w:rPr>
          <w:rFonts w:hint="eastAsia" w:ascii="仿宋" w:hAnsi="仿宋" w:eastAsia="仿宋" w:cs="仿宋"/>
          <w:color w:val="000000"/>
          <w:sz w:val="28"/>
          <w:szCs w:val="28"/>
          <w:u w:val="none"/>
          <w:lang w:eastAsia="zh-CN"/>
        </w:rPr>
        <w:t>（一）</w:t>
      </w:r>
      <w:r>
        <w:rPr>
          <w:rFonts w:hint="eastAsia" w:ascii="仿宋" w:hAnsi="仿宋" w:eastAsia="仿宋" w:cs="仿宋"/>
          <w:color w:val="000000"/>
          <w:sz w:val="28"/>
          <w:szCs w:val="28"/>
          <w:u w:val="none"/>
        </w:rPr>
        <w:t>所有</w:t>
      </w:r>
      <w:r>
        <w:rPr>
          <w:rFonts w:hint="eastAsia" w:ascii="仿宋" w:hAnsi="仿宋" w:eastAsia="仿宋" w:cs="仿宋"/>
          <w:sz w:val="28"/>
          <w:szCs w:val="28"/>
          <w:u w:val="none"/>
        </w:rPr>
        <w:t>产品必须符合国家的相关标准与要求，并在配送时按要求提供产品所涉及的《全国工业产品生产许可证》、《食品生产许可证》、《生猪定点屠宰证》和《动物防疫条件合格证》等国家强制规定材料，不得提供转基因食品或利用转基因食品原料加工的成品</w:t>
      </w: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冷链食品必须通过四川省冷链食品追溯平台“川冷链”采购，必须查验海关检疫证明、通关证明、消毒证明和核酸检测报告的“三证明一报告”，证明材料不全的，严禁采购。投</w:t>
      </w:r>
      <w:r>
        <w:rPr>
          <w:rFonts w:hint="eastAsia" w:ascii="仿宋" w:hAnsi="仿宋" w:eastAsia="仿宋" w:cs="仿宋"/>
          <w:sz w:val="28"/>
          <w:szCs w:val="28"/>
          <w:u w:val="none"/>
        </w:rPr>
        <w:t>标人所供产品达到相关食品卫生安全规定，国家有出台新的更高标准的，以新的更高标准为准，保证所供产品配送到被服务单位时的质量、卫生和安全。（</w:t>
      </w:r>
      <w:r>
        <w:rPr>
          <w:rFonts w:hint="eastAsia" w:ascii="仿宋" w:hAnsi="仿宋" w:eastAsia="仿宋" w:cs="仿宋"/>
          <w:b/>
          <w:bCs/>
          <w:sz w:val="28"/>
          <w:szCs w:val="28"/>
          <w:u w:val="none"/>
        </w:rPr>
        <w:t>投标人必须单独提供承诺函，否则作无效投标处理，格式自拟</w:t>
      </w:r>
      <w:r>
        <w:rPr>
          <w:rFonts w:hint="eastAsia" w:ascii="仿宋" w:hAnsi="仿宋" w:eastAsia="仿宋" w:cs="仿宋"/>
          <w:sz w:val="28"/>
          <w:szCs w:val="28"/>
          <w:u w:val="none"/>
        </w:rPr>
        <w:t>）。</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（二）</w:t>
      </w:r>
      <w:r>
        <w:rPr>
          <w:rFonts w:hint="eastAsia" w:ascii="仿宋" w:hAnsi="仿宋" w:eastAsia="仿宋" w:cs="仿宋"/>
          <w:sz w:val="28"/>
          <w:szCs w:val="28"/>
          <w:u w:val="none"/>
        </w:rPr>
        <w:t>产品供应链管理要求</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1、</w:t>
      </w:r>
      <w:r>
        <w:rPr>
          <w:rFonts w:hint="eastAsia" w:ascii="仿宋" w:hAnsi="仿宋" w:eastAsia="仿宋" w:cs="仿宋"/>
          <w:sz w:val="28"/>
          <w:szCs w:val="28"/>
          <w:u w:val="none"/>
        </w:rPr>
        <w:t>采购时应制定并完善供应商档案表，包括供应商的名称、供货能力、质量保证能力、产品质量情况、供货情况等方面的资料，严格审验供货商的许可证、合格证等证明文件，并分类建立档案，确保食品能追根溯源；</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2、</w:t>
      </w:r>
      <w:r>
        <w:rPr>
          <w:rFonts w:hint="eastAsia" w:ascii="仿宋" w:hAnsi="仿宋" w:eastAsia="仿宋" w:cs="仿宋"/>
          <w:sz w:val="28"/>
          <w:szCs w:val="28"/>
          <w:u w:val="none"/>
        </w:rPr>
        <w:t>建立稳定的产品供应商</w:t>
      </w:r>
      <w:r>
        <w:rPr>
          <w:rFonts w:hint="eastAsia" w:ascii="仿宋" w:hAnsi="仿宋" w:eastAsia="仿宋" w:cs="仿宋"/>
          <w:sz w:val="28"/>
          <w:szCs w:val="28"/>
          <w:u w:val="none"/>
          <w:lang w:eastAsia="zh-CN"/>
        </w:rPr>
        <w:t>渠道</w:t>
      </w:r>
      <w:r>
        <w:rPr>
          <w:rFonts w:hint="eastAsia" w:ascii="仿宋" w:hAnsi="仿宋" w:eastAsia="仿宋" w:cs="仿宋"/>
          <w:sz w:val="28"/>
          <w:szCs w:val="28"/>
          <w:u w:val="none"/>
        </w:rPr>
        <w:t>；</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3、</w:t>
      </w:r>
      <w:r>
        <w:rPr>
          <w:rFonts w:hint="eastAsia" w:ascii="仿宋" w:hAnsi="仿宋" w:eastAsia="仿宋" w:cs="仿宋"/>
          <w:sz w:val="28"/>
          <w:szCs w:val="28"/>
          <w:u w:val="none"/>
        </w:rPr>
        <w:t>根据食材配送项目的特性，制定供应商指标体系，并对其进行筛选评级，对不达标的，解除长期或短期合作关系；</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4、</w:t>
      </w:r>
      <w:r>
        <w:rPr>
          <w:rFonts w:hint="eastAsia" w:ascii="仿宋" w:hAnsi="仿宋" w:eastAsia="仿宋" w:cs="仿宋"/>
          <w:sz w:val="28"/>
          <w:szCs w:val="28"/>
          <w:u w:val="none"/>
        </w:rPr>
        <w:t>每次购入食品，如实记录食品的进货日期、名称、规格、数量、生产批号、保质期、供货商联系方式等内容；</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5、</w:t>
      </w:r>
      <w:r>
        <w:rPr>
          <w:rFonts w:hint="eastAsia" w:ascii="仿宋" w:hAnsi="仿宋" w:eastAsia="仿宋" w:cs="仿宋"/>
          <w:sz w:val="28"/>
          <w:szCs w:val="28"/>
          <w:u w:val="none"/>
        </w:rPr>
        <w:t>食品储存仓库要做好温度湿度控制和防四害处理。</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（三）</w:t>
      </w:r>
      <w:r>
        <w:rPr>
          <w:rFonts w:hint="eastAsia" w:ascii="仿宋" w:hAnsi="仿宋" w:eastAsia="仿宋" w:cs="仿宋"/>
          <w:sz w:val="28"/>
          <w:szCs w:val="28"/>
          <w:u w:val="none"/>
        </w:rPr>
        <w:t>应急处置措施要求</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1、</w:t>
      </w:r>
      <w:r>
        <w:rPr>
          <w:rFonts w:hint="eastAsia" w:ascii="仿宋" w:hAnsi="仿宋" w:eastAsia="仿宋" w:cs="仿宋"/>
          <w:sz w:val="28"/>
          <w:szCs w:val="28"/>
          <w:u w:val="none"/>
        </w:rPr>
        <w:t>成立为本项目配备的食品安全突发事件预防与处置小组，切实加强组织领导，对食品安全事件的预防常抓不懈；</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2、</w:t>
      </w:r>
      <w:r>
        <w:rPr>
          <w:rFonts w:hint="eastAsia" w:ascii="仿宋" w:hAnsi="仿宋" w:eastAsia="仿宋" w:cs="仿宋"/>
          <w:sz w:val="28"/>
          <w:szCs w:val="28"/>
          <w:u w:val="none"/>
        </w:rPr>
        <w:t>建立食品安全突发事件值班制度，设置并公示突发事件报告或投诉电话，尤其是在食品安全事故多发季节，要重点落实；</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3、</w:t>
      </w:r>
      <w:r>
        <w:rPr>
          <w:rFonts w:hint="eastAsia" w:ascii="仿宋" w:hAnsi="仿宋" w:eastAsia="仿宋" w:cs="仿宋"/>
          <w:sz w:val="28"/>
          <w:szCs w:val="28"/>
          <w:u w:val="none"/>
        </w:rPr>
        <w:t>若发生食品安全事件应立即启动安全应急预案，封存可能导致食品安全事故的食品及其原料，配合调查；</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4、</w:t>
      </w:r>
      <w:r>
        <w:rPr>
          <w:rFonts w:hint="eastAsia" w:ascii="仿宋" w:hAnsi="仿宋" w:eastAsia="仿宋" w:cs="仿宋"/>
          <w:sz w:val="28"/>
          <w:szCs w:val="28"/>
          <w:u w:val="none"/>
        </w:rPr>
        <w:t>验收时发现不合格食品，乙方应当在一小时内完成货品更换，临时接待在</w:t>
      </w:r>
      <w:r>
        <w:rPr>
          <w:rFonts w:hint="eastAsia" w:ascii="仿宋" w:hAnsi="仿宋" w:eastAsia="仿宋" w:cs="仿宋"/>
          <w:sz w:val="28"/>
          <w:szCs w:val="28"/>
          <w:u w:val="none"/>
          <w:lang w:val="en-US" w:eastAsia="zh-CN"/>
        </w:rPr>
        <w:t>采购人</w:t>
      </w:r>
      <w:r>
        <w:rPr>
          <w:rFonts w:hint="eastAsia" w:ascii="仿宋" w:hAnsi="仿宋" w:eastAsia="仿宋" w:cs="仿宋"/>
          <w:sz w:val="28"/>
          <w:szCs w:val="28"/>
          <w:u w:val="none"/>
        </w:rPr>
        <w:t>规定时间内送达，特殊紧急情况30分钟内响应并送达</w:t>
      </w:r>
      <w:r>
        <w:rPr>
          <w:rFonts w:hint="eastAsia" w:ascii="仿宋" w:hAnsi="仿宋" w:eastAsia="仿宋" w:cs="仿宋"/>
          <w:sz w:val="28"/>
          <w:szCs w:val="28"/>
          <w:u w:val="none"/>
          <w:lang w:eastAsia="zh-CN"/>
        </w:rPr>
        <w:t>。</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（四）</w:t>
      </w:r>
      <w:r>
        <w:rPr>
          <w:rFonts w:hint="eastAsia" w:ascii="仿宋" w:hAnsi="仿宋" w:eastAsia="仿宋" w:cs="仿宋"/>
          <w:sz w:val="28"/>
          <w:szCs w:val="28"/>
          <w:u w:val="none"/>
        </w:rPr>
        <w:t>产品质量保障要求</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1、</w:t>
      </w:r>
      <w:r>
        <w:rPr>
          <w:rFonts w:hint="eastAsia" w:ascii="仿宋" w:hAnsi="仿宋" w:eastAsia="仿宋" w:cs="仿宋"/>
          <w:sz w:val="28"/>
          <w:szCs w:val="28"/>
          <w:u w:val="none"/>
        </w:rPr>
        <w:t>每日配送的食材应提供检验报告，动物提供检疫合格证，蔬菜提供农残检测报告，其他食品按采购人要求提供厂家品牌产品并随附检验报告；</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2、</w:t>
      </w:r>
      <w:r>
        <w:rPr>
          <w:rFonts w:hint="eastAsia" w:ascii="仿宋" w:hAnsi="仿宋" w:eastAsia="仿宋" w:cs="仿宋"/>
          <w:sz w:val="28"/>
          <w:szCs w:val="28"/>
          <w:u w:val="none"/>
        </w:rPr>
        <w:t>对畜禽肉进行水分速测，检测是否为注水肉，若供应商已做水分速测，需提供书面速测报告，验收员核实后需保存每次收货供应商提供的速测报告；</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3、</w:t>
      </w:r>
      <w:r>
        <w:rPr>
          <w:rFonts w:hint="eastAsia" w:ascii="仿宋" w:hAnsi="仿宋" w:eastAsia="仿宋" w:cs="仿宋"/>
          <w:sz w:val="28"/>
          <w:szCs w:val="28"/>
          <w:u w:val="none"/>
        </w:rPr>
        <w:t>要求供应商对肉类食材进行瘦肉精检测，需提供书面检测报告，验收员核实后需保存每次收货供应商提供的报告；</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sz w:val="28"/>
          <w:szCs w:val="28"/>
          <w:u w:val="none"/>
        </w:rPr>
      </w:pPr>
      <w:r>
        <w:rPr>
          <w:rFonts w:hint="eastAsia" w:ascii="仿宋" w:hAnsi="仿宋" w:eastAsia="仿宋" w:cs="仿宋"/>
          <w:color w:val="000000"/>
          <w:sz w:val="28"/>
          <w:szCs w:val="28"/>
          <w:u w:val="none"/>
          <w:lang w:val="en-US" w:eastAsia="zh-CN"/>
        </w:rPr>
        <w:t>4</w:t>
      </w:r>
      <w:r>
        <w:rPr>
          <w:rFonts w:hint="eastAsia" w:ascii="仿宋" w:hAnsi="仿宋" w:eastAsia="仿宋" w:cs="仿宋"/>
          <w:color w:val="000000"/>
          <w:sz w:val="28"/>
          <w:szCs w:val="28"/>
          <w:u w:val="none"/>
        </w:rPr>
        <w:t>、配送的蔬菜肉类需具有追踪溯源标识或记录记载，并可实现追踪溯源；</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bCs/>
          <w:sz w:val="28"/>
          <w:szCs w:val="28"/>
          <w:u w:val="none"/>
        </w:rPr>
      </w:pPr>
      <w:r>
        <w:rPr>
          <w:rFonts w:hint="eastAsia" w:ascii="仿宋" w:hAnsi="仿宋" w:eastAsia="仿宋" w:cs="仿宋"/>
          <w:b/>
          <w:bCs/>
          <w:sz w:val="28"/>
          <w:szCs w:val="28"/>
          <w:u w:val="none"/>
        </w:rPr>
        <w:t>★</w:t>
      </w:r>
      <w:r>
        <w:rPr>
          <w:rFonts w:hint="eastAsia" w:ascii="仿宋" w:hAnsi="仿宋" w:eastAsia="仿宋" w:cs="仿宋"/>
          <w:sz w:val="28"/>
          <w:szCs w:val="28"/>
          <w:u w:val="none"/>
          <w:lang w:val="en-US" w:eastAsia="zh-CN"/>
        </w:rPr>
        <w:t>5、</w:t>
      </w:r>
      <w:r>
        <w:rPr>
          <w:rFonts w:hint="eastAsia" w:ascii="仿宋" w:hAnsi="仿宋" w:eastAsia="仿宋" w:cs="仿宋"/>
          <w:sz w:val="28"/>
          <w:szCs w:val="28"/>
          <w:u w:val="none"/>
        </w:rPr>
        <w:t>配送产品符合《食品安全法》相关要求，达到相关食品卫生安全规定，国家有出台新的更高标准的，以新的更高标准为准，保证所供产品配送到指定地点时的质量、卫生和安全。未按国家相关食品卫生标准及本招标文件要求配送的食材引发的食品卫生中毒等食品安全事故，由中标供应商负完全责任。</w:t>
      </w:r>
      <w:r>
        <w:rPr>
          <w:rFonts w:hint="eastAsia" w:ascii="仿宋" w:hAnsi="仿宋" w:eastAsia="仿宋" w:cs="仿宋"/>
          <w:b/>
          <w:bCs/>
          <w:sz w:val="28"/>
          <w:szCs w:val="28"/>
          <w:u w:val="none"/>
        </w:rPr>
        <w:t>（</w:t>
      </w:r>
      <w:r>
        <w:rPr>
          <w:rFonts w:hint="eastAsia" w:ascii="仿宋" w:hAnsi="仿宋" w:eastAsia="仿宋" w:cs="仿宋"/>
          <w:b/>
          <w:bCs/>
          <w:sz w:val="28"/>
          <w:szCs w:val="28"/>
          <w:u w:val="none"/>
          <w:lang w:val="en-US" w:eastAsia="zh-CN"/>
        </w:rPr>
        <w:t>投标供应商</w:t>
      </w:r>
      <w:r>
        <w:rPr>
          <w:rFonts w:hint="eastAsia" w:ascii="仿宋" w:hAnsi="仿宋" w:eastAsia="仿宋" w:cs="仿宋"/>
          <w:b/>
          <w:bCs/>
          <w:sz w:val="28"/>
          <w:szCs w:val="28"/>
          <w:u w:val="none"/>
        </w:rPr>
        <w:t>提供承诺函）</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sz w:val="28"/>
          <w:szCs w:val="28"/>
          <w:u w:val="none"/>
        </w:rPr>
      </w:pPr>
      <w:r>
        <w:rPr>
          <w:rFonts w:hint="eastAsia" w:ascii="仿宋" w:hAnsi="仿宋" w:eastAsia="仿宋" w:cs="仿宋"/>
          <w:b/>
          <w:bCs/>
          <w:sz w:val="28"/>
          <w:szCs w:val="28"/>
          <w:u w:val="none"/>
        </w:rPr>
        <w:t>★</w:t>
      </w:r>
      <w:r>
        <w:rPr>
          <w:rFonts w:hint="eastAsia" w:ascii="仿宋" w:hAnsi="仿宋" w:eastAsia="仿宋" w:cs="仿宋"/>
          <w:sz w:val="28"/>
          <w:szCs w:val="28"/>
          <w:u w:val="none"/>
          <w:lang w:val="en-US" w:eastAsia="zh-CN"/>
        </w:rPr>
        <w:t>6、</w:t>
      </w:r>
      <w:r>
        <w:rPr>
          <w:rFonts w:hint="eastAsia" w:ascii="仿宋" w:hAnsi="仿宋" w:eastAsia="仿宋" w:cs="仿宋"/>
          <w:color w:val="000000"/>
          <w:sz w:val="28"/>
          <w:szCs w:val="28"/>
          <w:u w:val="none"/>
        </w:rPr>
        <w:t>预包装</w:t>
      </w:r>
      <w:r>
        <w:rPr>
          <w:rFonts w:hint="eastAsia" w:ascii="仿宋" w:hAnsi="仿宋" w:eastAsia="仿宋" w:cs="仿宋"/>
          <w:sz w:val="28"/>
          <w:szCs w:val="28"/>
          <w:u w:val="none"/>
        </w:rPr>
        <w:t>食品须符合《预包装食品标签通则》（最新国家标准）保证规格品种完全符合采购方要求，包装规格、口味、种类齐全。保质期在3天以内的，必须是送货当天生</w:t>
      </w:r>
      <w:r>
        <w:rPr>
          <w:rFonts w:hint="eastAsia" w:ascii="仿宋" w:hAnsi="仿宋" w:eastAsia="仿宋" w:cs="仿宋"/>
          <w:color w:val="000000"/>
          <w:sz w:val="28"/>
          <w:szCs w:val="28"/>
          <w:u w:val="none"/>
        </w:rPr>
        <w:t>产的货品；保质期在7天以内的，送货日不超过生产日两日；保质期在6个月以内的，送货日至保质期到期日的天数必须大于保质期天数的三分之二；6个月以上的，送货日至保质期到期日的天数必须大于保质期天数的二分之一，凭出厂合格证与检验员章确认质量。</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color w:val="000000"/>
          <w:sz w:val="28"/>
          <w:szCs w:val="28"/>
          <w:u w:val="none"/>
        </w:rPr>
      </w:pPr>
      <w:r>
        <w:rPr>
          <w:rFonts w:hint="eastAsia" w:ascii="仿宋" w:hAnsi="仿宋" w:eastAsia="仿宋" w:cs="仿宋"/>
          <w:b/>
          <w:color w:val="000000"/>
          <w:sz w:val="28"/>
          <w:szCs w:val="28"/>
          <w:u w:val="none"/>
          <w:lang w:eastAsia="zh-CN"/>
        </w:rPr>
        <w:t>（</w:t>
      </w:r>
      <w:r>
        <w:rPr>
          <w:rFonts w:hint="eastAsia" w:ascii="仿宋" w:hAnsi="仿宋" w:eastAsia="仿宋" w:cs="仿宋"/>
          <w:b/>
          <w:color w:val="000000"/>
          <w:sz w:val="28"/>
          <w:szCs w:val="28"/>
          <w:u w:val="none"/>
        </w:rPr>
        <w:t>五</w:t>
      </w:r>
      <w:r>
        <w:rPr>
          <w:rFonts w:hint="eastAsia" w:ascii="仿宋" w:hAnsi="仿宋" w:eastAsia="仿宋" w:cs="仿宋"/>
          <w:b/>
          <w:color w:val="000000"/>
          <w:sz w:val="28"/>
          <w:szCs w:val="28"/>
          <w:u w:val="none"/>
          <w:lang w:eastAsia="zh-CN"/>
        </w:rPr>
        <w:t>）</w:t>
      </w:r>
      <w:r>
        <w:rPr>
          <w:rFonts w:hint="eastAsia" w:ascii="仿宋" w:hAnsi="仿宋" w:eastAsia="仿宋" w:cs="仿宋"/>
          <w:b/>
          <w:color w:val="000000"/>
          <w:sz w:val="28"/>
          <w:szCs w:val="28"/>
          <w:u w:val="none"/>
        </w:rPr>
        <w:t>配送方法及要求</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sz w:val="28"/>
          <w:szCs w:val="28"/>
          <w:u w:val="none"/>
        </w:rPr>
      </w:pPr>
      <w:r>
        <w:rPr>
          <w:rFonts w:hint="eastAsia" w:ascii="仿宋" w:hAnsi="仿宋" w:eastAsia="仿宋" w:cs="仿宋"/>
          <w:b/>
          <w:sz w:val="28"/>
          <w:szCs w:val="28"/>
          <w:u w:val="none"/>
          <w:lang w:val="en-US" w:eastAsia="zh-CN"/>
        </w:rPr>
        <w:t>1、</w:t>
      </w:r>
      <w:r>
        <w:rPr>
          <w:rFonts w:hint="eastAsia" w:ascii="仿宋" w:hAnsi="仿宋" w:eastAsia="仿宋" w:cs="仿宋"/>
          <w:b/>
          <w:sz w:val="28"/>
          <w:szCs w:val="28"/>
          <w:u w:val="none"/>
        </w:rPr>
        <w:t>配送时间要求</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1</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每天早餐食材可提前一天送到，午餐</w:t>
      </w: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晚餐</w:t>
      </w:r>
      <w:r>
        <w:rPr>
          <w:rFonts w:hint="eastAsia" w:ascii="仿宋" w:hAnsi="仿宋" w:eastAsia="仿宋" w:cs="仿宋"/>
          <w:sz w:val="28"/>
          <w:szCs w:val="28"/>
          <w:u w:val="none"/>
        </w:rPr>
        <w:t>食材应在当天上午7:00以前送到（送达时间以采购方要求为准）。临时</w:t>
      </w:r>
      <w:r>
        <w:rPr>
          <w:rFonts w:hint="eastAsia" w:ascii="仿宋" w:hAnsi="仿宋" w:eastAsia="仿宋" w:cs="仿宋"/>
          <w:sz w:val="28"/>
          <w:szCs w:val="28"/>
          <w:u w:val="none"/>
          <w:lang w:val="en-US" w:eastAsia="zh-CN"/>
        </w:rPr>
        <w:t>公务</w:t>
      </w:r>
      <w:r>
        <w:rPr>
          <w:rFonts w:hint="eastAsia" w:ascii="仿宋" w:hAnsi="仿宋" w:eastAsia="仿宋" w:cs="仿宋"/>
          <w:sz w:val="28"/>
          <w:szCs w:val="28"/>
          <w:u w:val="none"/>
        </w:rPr>
        <w:t>接待，应急配送要求应在甲方发出</w:t>
      </w:r>
      <w:r>
        <w:rPr>
          <w:rFonts w:hint="eastAsia" w:ascii="仿宋" w:hAnsi="仿宋" w:eastAsia="仿宋" w:cs="仿宋"/>
          <w:sz w:val="28"/>
          <w:szCs w:val="28"/>
          <w:u w:val="none"/>
          <w:lang w:val="en-US" w:eastAsia="zh-CN"/>
        </w:rPr>
        <w:t>需求</w:t>
      </w:r>
      <w:r>
        <w:rPr>
          <w:rFonts w:hint="eastAsia" w:ascii="仿宋" w:hAnsi="仿宋" w:eastAsia="仿宋" w:cs="仿宋"/>
          <w:sz w:val="28"/>
          <w:szCs w:val="28"/>
          <w:u w:val="none"/>
        </w:rPr>
        <w:t>后30分钟内予以响应并送到。</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b/>
          <w:bCs/>
          <w:sz w:val="28"/>
          <w:szCs w:val="28"/>
          <w:u w:val="none"/>
        </w:rPr>
      </w:pPr>
      <w:r>
        <w:rPr>
          <w:rFonts w:hint="eastAsia" w:ascii="仿宋" w:hAnsi="仿宋" w:eastAsia="仿宋" w:cs="仿宋"/>
          <w:sz w:val="28"/>
          <w:szCs w:val="28"/>
          <w:u w:val="none"/>
        </w:rPr>
        <w:t>★</w:t>
      </w: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2</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投标供应商保证配送商品质量、数量、送货时间等均符合采购人要求(下单规则</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至少提前一天制定需求），紧急情况除外如遇不可抗力造成送货延误的，经采购人同意后，投标供应商应按采购人另行指定的地点和时间及时送达。</w:t>
      </w:r>
      <w:r>
        <w:rPr>
          <w:rFonts w:hint="eastAsia" w:ascii="仿宋" w:hAnsi="仿宋" w:eastAsia="仿宋" w:cs="仿宋"/>
          <w:b/>
          <w:bCs/>
          <w:sz w:val="28"/>
          <w:szCs w:val="28"/>
          <w:u w:val="none"/>
        </w:rPr>
        <w:t>（</w:t>
      </w:r>
      <w:r>
        <w:rPr>
          <w:rFonts w:hint="eastAsia" w:ascii="仿宋" w:hAnsi="仿宋" w:eastAsia="仿宋" w:cs="仿宋"/>
          <w:b/>
          <w:bCs/>
          <w:sz w:val="28"/>
          <w:szCs w:val="28"/>
          <w:u w:val="none"/>
          <w:lang w:val="en-US" w:eastAsia="zh-CN"/>
        </w:rPr>
        <w:t>投标供应商</w:t>
      </w:r>
      <w:r>
        <w:rPr>
          <w:rFonts w:hint="eastAsia" w:ascii="仿宋" w:hAnsi="仿宋" w:eastAsia="仿宋" w:cs="仿宋"/>
          <w:b/>
          <w:bCs/>
          <w:sz w:val="28"/>
          <w:szCs w:val="28"/>
          <w:u w:val="none"/>
        </w:rPr>
        <w:t>提供承诺函）</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sz w:val="28"/>
          <w:szCs w:val="28"/>
          <w:u w:val="none"/>
        </w:rPr>
      </w:pPr>
      <w:r>
        <w:rPr>
          <w:rFonts w:hint="eastAsia" w:ascii="仿宋" w:hAnsi="仿宋" w:eastAsia="仿宋" w:cs="仿宋"/>
          <w:b/>
          <w:sz w:val="28"/>
          <w:szCs w:val="28"/>
          <w:u w:val="none"/>
          <w:lang w:val="en-US" w:eastAsia="zh-CN"/>
        </w:rPr>
        <w:t>2、</w:t>
      </w:r>
      <w:r>
        <w:rPr>
          <w:rFonts w:hint="eastAsia" w:ascii="仿宋" w:hAnsi="仿宋" w:eastAsia="仿宋" w:cs="仿宋"/>
          <w:b/>
          <w:sz w:val="28"/>
          <w:szCs w:val="28"/>
          <w:u w:val="none"/>
        </w:rPr>
        <w:t>配送</w:t>
      </w:r>
      <w:r>
        <w:rPr>
          <w:rFonts w:hint="eastAsia" w:ascii="仿宋" w:hAnsi="仿宋" w:eastAsia="仿宋" w:cs="仿宋"/>
          <w:b/>
          <w:sz w:val="28"/>
          <w:szCs w:val="28"/>
          <w:u w:val="none"/>
          <w:lang w:eastAsia="zh-CN"/>
        </w:rPr>
        <w:t>车辆</w:t>
      </w:r>
      <w:r>
        <w:rPr>
          <w:rFonts w:hint="eastAsia" w:ascii="仿宋" w:hAnsi="仿宋" w:eastAsia="仿宋" w:cs="仿宋"/>
          <w:b/>
          <w:sz w:val="28"/>
          <w:szCs w:val="28"/>
          <w:u w:val="none"/>
        </w:rPr>
        <w:t>要求</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(1)投标供应商针对本项目至少配备</w:t>
      </w:r>
      <w:r>
        <w:rPr>
          <w:rFonts w:hint="eastAsia" w:ascii="仿宋" w:hAnsi="仿宋" w:eastAsia="仿宋" w:cs="仿宋"/>
          <w:sz w:val="28"/>
          <w:szCs w:val="28"/>
          <w:u w:val="none"/>
          <w:lang w:val="en-US" w:eastAsia="zh-CN"/>
        </w:rPr>
        <w:t>1</w:t>
      </w:r>
      <w:r>
        <w:rPr>
          <w:rFonts w:hint="eastAsia" w:ascii="仿宋" w:hAnsi="仿宋" w:eastAsia="仿宋" w:cs="仿宋"/>
          <w:sz w:val="28"/>
          <w:szCs w:val="28"/>
          <w:u w:val="none"/>
        </w:rPr>
        <w:t>辆厢式密封配送车</w:t>
      </w:r>
      <w:r>
        <w:rPr>
          <w:rFonts w:hint="eastAsia" w:ascii="仿宋" w:hAnsi="仿宋" w:eastAsia="仿宋" w:cs="仿宋"/>
          <w:sz w:val="28"/>
          <w:szCs w:val="28"/>
          <w:u w:val="none"/>
          <w:lang w:val="en-US" w:eastAsia="zh-CN"/>
        </w:rPr>
        <w:t>和1</w:t>
      </w:r>
      <w:r>
        <w:rPr>
          <w:rFonts w:hint="eastAsia" w:ascii="仿宋" w:hAnsi="仿宋" w:eastAsia="仿宋" w:cs="仿宋"/>
          <w:sz w:val="28"/>
          <w:szCs w:val="28"/>
          <w:u w:val="none"/>
        </w:rPr>
        <w:t>辆厢式冷链配送车，且车辆固定专门为本项目使用，配送车辆应符合相关卫生要求，做到每日清洗、消毒并做好消毒记录。</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w:t>
      </w:r>
      <w:r>
        <w:rPr>
          <w:rFonts w:hint="eastAsia" w:ascii="仿宋" w:hAnsi="仿宋" w:eastAsia="仿宋" w:cs="仿宋"/>
          <w:sz w:val="28"/>
          <w:szCs w:val="28"/>
          <w:u w:val="none"/>
          <w:lang w:val="en-US" w:eastAsia="zh-CN"/>
        </w:rPr>
        <w:t>2</w:t>
      </w:r>
      <w:r>
        <w:rPr>
          <w:rFonts w:hint="eastAsia" w:ascii="仿宋" w:hAnsi="仿宋" w:eastAsia="仿宋" w:cs="仿宋"/>
          <w:sz w:val="28"/>
          <w:szCs w:val="28"/>
          <w:u w:val="none"/>
        </w:rPr>
        <w:t>）配送车辆要向采购人报备，不经采购人书面同意，不允许更换配送车辆，专车专送，不得与其他单位配送食品混装，配送前对车辆进行卫生清理与消毒并做好消毒记录；</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w:t>
      </w:r>
      <w:r>
        <w:rPr>
          <w:rFonts w:hint="eastAsia" w:ascii="仿宋" w:hAnsi="仿宋" w:eastAsia="仿宋" w:cs="仿宋"/>
          <w:sz w:val="28"/>
          <w:szCs w:val="28"/>
          <w:u w:val="none"/>
          <w:lang w:val="en-US" w:eastAsia="zh-CN"/>
        </w:rPr>
        <w:t>3</w:t>
      </w:r>
      <w:r>
        <w:rPr>
          <w:rFonts w:hint="eastAsia" w:ascii="仿宋" w:hAnsi="仿宋" w:eastAsia="仿宋" w:cs="仿宋"/>
          <w:sz w:val="28"/>
          <w:szCs w:val="28"/>
          <w:u w:val="none"/>
        </w:rPr>
        <w:t>）配送车辆需符合生鲜配送、冷藏配送的要求</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不得用面包车、货拉拉等不符合标准的车辆；</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w:t>
      </w:r>
      <w:r>
        <w:rPr>
          <w:rFonts w:hint="eastAsia" w:ascii="仿宋" w:hAnsi="仿宋" w:eastAsia="仿宋" w:cs="仿宋"/>
          <w:sz w:val="28"/>
          <w:szCs w:val="28"/>
          <w:u w:val="none"/>
          <w:lang w:val="en-US" w:eastAsia="zh-CN"/>
        </w:rPr>
        <w:t>4</w:t>
      </w:r>
      <w:r>
        <w:rPr>
          <w:rFonts w:hint="eastAsia" w:ascii="仿宋" w:hAnsi="仿宋" w:eastAsia="仿宋" w:cs="仿宋"/>
          <w:sz w:val="28"/>
          <w:szCs w:val="28"/>
          <w:u w:val="none"/>
        </w:rPr>
        <w:t>）冷链食品</w:t>
      </w:r>
      <w:r>
        <w:rPr>
          <w:rFonts w:hint="eastAsia" w:ascii="仿宋" w:hAnsi="仿宋" w:eastAsia="仿宋" w:cs="仿宋"/>
          <w:sz w:val="28"/>
          <w:szCs w:val="28"/>
          <w:u w:val="none"/>
          <w:lang w:eastAsia="zh-CN"/>
        </w:rPr>
        <w:t>须</w:t>
      </w:r>
      <w:r>
        <w:rPr>
          <w:rFonts w:hint="eastAsia" w:ascii="仿宋" w:hAnsi="仿宋" w:eastAsia="仿宋" w:cs="仿宋"/>
          <w:sz w:val="28"/>
          <w:szCs w:val="28"/>
          <w:u w:val="none"/>
        </w:rPr>
        <w:t>配备冷链配送专用车，并随车提供每日蔬菜、水果农残检测报告和肉类的动物检疫合格证明；</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w:t>
      </w:r>
      <w:r>
        <w:rPr>
          <w:rFonts w:hint="eastAsia" w:ascii="仿宋" w:hAnsi="仿宋" w:eastAsia="仿宋" w:cs="仿宋"/>
          <w:sz w:val="28"/>
          <w:szCs w:val="28"/>
          <w:u w:val="none"/>
          <w:lang w:val="en-US" w:eastAsia="zh-CN"/>
        </w:rPr>
        <w:t>5</w:t>
      </w:r>
      <w:r>
        <w:rPr>
          <w:rFonts w:hint="eastAsia" w:ascii="仿宋" w:hAnsi="仿宋" w:eastAsia="仿宋" w:cs="仿宋"/>
          <w:sz w:val="28"/>
          <w:szCs w:val="28"/>
          <w:u w:val="none"/>
        </w:rPr>
        <w:t>）配送车辆上食品不与其他产品混装、不挤压</w:t>
      </w:r>
      <w:r>
        <w:rPr>
          <w:rFonts w:hint="eastAsia" w:ascii="仿宋" w:hAnsi="仿宋" w:eastAsia="仿宋" w:cs="仿宋"/>
          <w:sz w:val="28"/>
          <w:szCs w:val="28"/>
          <w:u w:val="none"/>
          <w:lang w:eastAsia="zh-CN"/>
        </w:rPr>
        <w:t>。</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sz w:val="28"/>
          <w:szCs w:val="28"/>
          <w:u w:val="none"/>
        </w:rPr>
      </w:pPr>
      <w:r>
        <w:rPr>
          <w:rFonts w:hint="eastAsia" w:ascii="仿宋" w:hAnsi="仿宋" w:eastAsia="仿宋" w:cs="仿宋"/>
          <w:b/>
          <w:sz w:val="28"/>
          <w:szCs w:val="28"/>
          <w:u w:val="none"/>
          <w:lang w:val="en-US" w:eastAsia="zh-CN"/>
        </w:rPr>
        <w:t>3、</w:t>
      </w:r>
      <w:r>
        <w:rPr>
          <w:rFonts w:hint="eastAsia" w:ascii="仿宋" w:hAnsi="仿宋" w:eastAsia="仿宋" w:cs="仿宋"/>
          <w:b/>
          <w:sz w:val="28"/>
          <w:szCs w:val="28"/>
          <w:u w:val="none"/>
        </w:rPr>
        <w:t>仓储管理</w:t>
      </w:r>
      <w:r>
        <w:rPr>
          <w:rFonts w:hint="eastAsia" w:ascii="仿宋" w:hAnsi="仿宋" w:eastAsia="仿宋" w:cs="仿宋"/>
          <w:b/>
          <w:sz w:val="28"/>
          <w:szCs w:val="28"/>
          <w:u w:val="none"/>
          <w:lang w:eastAsia="zh-CN"/>
        </w:rPr>
        <w:t>制度</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（1）投标供应商应建立严格的专人验收登记制度，详细记载购入产品的种类、数量和时间，勤进勤出，先进先出，定期清仓检查，防止食品过期、变质、霉变、生虫，及时清理不符合食品安全要求的食品；</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（2）食材配送方需对自己的仓储场地与供应商的仓储场地不定期检查，并形成检查报告存档，甲方将不定期抽查；</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（3）食材配送方仓储场地需符合食品仓储要求，保持库房温度湿度和卫生情况；</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4）针对不同类别的食材采取分类、分架、隔墙、隔地存放管理，各类食品有明显标识，易于查找，有异味或易潮食品应密封保存或分库存放，易腐食品要及时冷藏或冷冻保存；食品与非食品分库存放，不得与洗化用品和日杂用品等混放</w:t>
      </w:r>
      <w:r>
        <w:rPr>
          <w:rFonts w:hint="eastAsia" w:ascii="仿宋" w:hAnsi="仿宋" w:eastAsia="仿宋" w:cs="仿宋"/>
          <w:sz w:val="28"/>
          <w:szCs w:val="28"/>
          <w:u w:val="none"/>
          <w:lang w:eastAsia="zh-CN"/>
        </w:rPr>
        <w:t>。</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sz w:val="28"/>
          <w:szCs w:val="28"/>
          <w:u w:val="none"/>
        </w:rPr>
      </w:pPr>
      <w:r>
        <w:rPr>
          <w:rFonts w:hint="eastAsia" w:ascii="仿宋" w:hAnsi="仿宋" w:eastAsia="仿宋" w:cs="仿宋"/>
          <w:b/>
          <w:sz w:val="28"/>
          <w:szCs w:val="28"/>
          <w:u w:val="none"/>
          <w:lang w:val="en-US" w:eastAsia="zh-CN"/>
        </w:rPr>
        <w:t>4、</w:t>
      </w:r>
      <w:r>
        <w:rPr>
          <w:rFonts w:hint="eastAsia" w:ascii="仿宋" w:hAnsi="仿宋" w:eastAsia="仿宋" w:cs="仿宋"/>
          <w:b/>
          <w:sz w:val="28"/>
          <w:szCs w:val="28"/>
          <w:u w:val="none"/>
        </w:rPr>
        <w:t>人员配备管理方案</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b/>
          <w:bCs/>
          <w:sz w:val="28"/>
          <w:szCs w:val="28"/>
          <w:u w:val="none"/>
        </w:rPr>
      </w:pPr>
      <w:r>
        <w:rPr>
          <w:rFonts w:hint="eastAsia" w:ascii="仿宋" w:hAnsi="仿宋" w:eastAsia="仿宋" w:cs="仿宋"/>
          <w:sz w:val="28"/>
          <w:szCs w:val="28"/>
          <w:u w:val="none"/>
        </w:rPr>
        <w:t>★（1）为保证食材配送及时，保障食堂每日准时供餐，投标供应商为本项目配备</w:t>
      </w:r>
      <w:r>
        <w:rPr>
          <w:rFonts w:hint="eastAsia" w:ascii="仿宋" w:hAnsi="仿宋" w:eastAsia="仿宋" w:cs="仿宋"/>
          <w:sz w:val="28"/>
          <w:szCs w:val="28"/>
          <w:u w:val="none"/>
          <w:lang w:eastAsia="zh-CN"/>
        </w:rPr>
        <w:t>至少</w:t>
      </w:r>
      <w:r>
        <w:rPr>
          <w:rFonts w:hint="eastAsia" w:ascii="仿宋" w:hAnsi="仿宋" w:eastAsia="仿宋" w:cs="仿宋"/>
          <w:sz w:val="28"/>
          <w:szCs w:val="28"/>
          <w:u w:val="none"/>
          <w:lang w:val="en-US" w:eastAsia="zh-CN"/>
        </w:rPr>
        <w:t>3</w:t>
      </w:r>
      <w:r>
        <w:rPr>
          <w:rFonts w:hint="eastAsia" w:ascii="仿宋" w:hAnsi="仿宋" w:eastAsia="仿宋" w:cs="仿宋"/>
          <w:sz w:val="28"/>
          <w:szCs w:val="28"/>
          <w:u w:val="none"/>
        </w:rPr>
        <w:t>名持有有效健康证</w:t>
      </w:r>
      <w:r>
        <w:rPr>
          <w:rFonts w:hint="eastAsia" w:ascii="仿宋" w:hAnsi="仿宋" w:eastAsia="仿宋" w:cs="仿宋"/>
          <w:sz w:val="28"/>
          <w:szCs w:val="28"/>
          <w:u w:val="none"/>
          <w:lang w:eastAsia="zh-CN"/>
        </w:rPr>
        <w:t>的</w:t>
      </w:r>
      <w:r>
        <w:rPr>
          <w:rFonts w:hint="eastAsia" w:ascii="仿宋" w:hAnsi="仿宋" w:eastAsia="仿宋" w:cs="仿宋"/>
          <w:sz w:val="28"/>
          <w:szCs w:val="28"/>
          <w:u w:val="none"/>
        </w:rPr>
        <w:t>配送人员</w:t>
      </w:r>
      <w:r>
        <w:rPr>
          <w:rFonts w:hint="eastAsia" w:ascii="仿宋" w:hAnsi="仿宋" w:eastAsia="仿宋" w:cs="仿宋"/>
          <w:sz w:val="28"/>
          <w:szCs w:val="28"/>
          <w:u w:val="none"/>
          <w:lang w:eastAsia="zh-CN"/>
        </w:rPr>
        <w:t>，且</w:t>
      </w:r>
      <w:r>
        <w:rPr>
          <w:rFonts w:hint="eastAsia" w:ascii="仿宋" w:hAnsi="仿宋" w:eastAsia="仿宋" w:cs="仿宋"/>
          <w:sz w:val="28"/>
          <w:szCs w:val="28"/>
          <w:u w:val="none"/>
        </w:rPr>
        <w:t>为本公司员工，每次配送至少要有2名持有</w:t>
      </w:r>
      <w:r>
        <w:rPr>
          <w:rFonts w:hint="eastAsia" w:ascii="仿宋" w:hAnsi="仿宋" w:eastAsia="仿宋" w:cs="仿宋"/>
          <w:sz w:val="28"/>
          <w:szCs w:val="28"/>
          <w:u w:val="none"/>
          <w:lang w:eastAsia="zh-CN"/>
        </w:rPr>
        <w:t>有效</w:t>
      </w:r>
      <w:r>
        <w:rPr>
          <w:rFonts w:hint="eastAsia" w:ascii="仿宋" w:hAnsi="仿宋" w:eastAsia="仿宋" w:cs="仿宋"/>
          <w:sz w:val="28"/>
          <w:szCs w:val="28"/>
          <w:u w:val="none"/>
        </w:rPr>
        <w:t>健康证</w:t>
      </w:r>
      <w:r>
        <w:rPr>
          <w:rFonts w:hint="eastAsia" w:ascii="仿宋" w:hAnsi="仿宋" w:eastAsia="仿宋" w:cs="仿宋"/>
          <w:sz w:val="28"/>
          <w:szCs w:val="28"/>
          <w:u w:val="none"/>
          <w:lang w:eastAsia="zh-CN"/>
        </w:rPr>
        <w:t>的</w:t>
      </w:r>
      <w:r>
        <w:rPr>
          <w:rFonts w:hint="eastAsia" w:ascii="仿宋" w:hAnsi="仿宋" w:eastAsia="仿宋" w:cs="仿宋"/>
          <w:sz w:val="28"/>
          <w:szCs w:val="28"/>
          <w:u w:val="none"/>
        </w:rPr>
        <w:t>配送员，未经采购人事先许可，供应商不得擅自变动配送人员</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专人专岗，定期体检；</w:t>
      </w:r>
      <w:r>
        <w:rPr>
          <w:rFonts w:hint="eastAsia" w:ascii="仿宋" w:hAnsi="仿宋" w:eastAsia="仿宋" w:cs="仿宋"/>
          <w:b/>
          <w:bCs/>
          <w:sz w:val="28"/>
          <w:szCs w:val="28"/>
          <w:u w:val="none"/>
        </w:rPr>
        <w:t>（提供承诺函）</w:t>
      </w:r>
      <w:r>
        <w:rPr>
          <w:rFonts w:hint="eastAsia" w:ascii="仿宋" w:hAnsi="仿宋" w:eastAsia="仿宋" w:cs="仿宋"/>
          <w:b/>
          <w:bCs/>
          <w:sz w:val="28"/>
          <w:szCs w:val="28"/>
          <w:u w:val="none"/>
          <w:lang w:eastAsia="zh-CN"/>
        </w:rPr>
        <w:t>。</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（2）食材配送员必须穿戴整洁的工作衣帽，每日消毒，具有基本的食品安全常识，了解食品卫生相关的法律法规；</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rPr>
        <w:t>（3）加强对食材配送员的培训，装卸食品原料、成品、半成品时，食品不能接触地面，也不能随意堆放在马路边</w:t>
      </w:r>
      <w:r>
        <w:rPr>
          <w:rFonts w:hint="eastAsia" w:ascii="仿宋" w:hAnsi="仿宋" w:eastAsia="仿宋" w:cs="仿宋"/>
          <w:sz w:val="28"/>
          <w:szCs w:val="28"/>
          <w:u w:val="none"/>
          <w:lang w:eastAsia="zh-CN"/>
        </w:rPr>
        <w:t>；</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（4）投标供应商须为本项目确定一名项目负责人。投标供应商与采购人均需安排专人负责联系（手机号码、短信、微信），并确认产品需求量、加工要求（如有）、配送时间及配送要求。</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b/>
          <w:bCs/>
          <w:sz w:val="28"/>
          <w:szCs w:val="28"/>
          <w:u w:val="none"/>
        </w:rPr>
      </w:pPr>
      <w:r>
        <w:rPr>
          <w:rFonts w:hint="eastAsia" w:ascii="仿宋" w:hAnsi="仿宋" w:eastAsia="仿宋" w:cs="仿宋"/>
          <w:sz w:val="28"/>
          <w:szCs w:val="28"/>
          <w:u w:val="none"/>
        </w:rPr>
        <w:t>（5）投标供应商具备各项应急措施，有明确应急联系人（手机号码、短信、微信），保证在各种市场变化及遇突发事件下，能保证货品数量、质量并能及时满足食堂食品及原材料供应。</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color w:val="000000"/>
          <w:sz w:val="28"/>
          <w:szCs w:val="28"/>
          <w:u w:val="none"/>
          <w:lang w:val="en-US" w:eastAsia="zh-CN"/>
        </w:rPr>
      </w:pPr>
      <w:r>
        <w:rPr>
          <w:rFonts w:hint="eastAsia" w:ascii="仿宋" w:hAnsi="仿宋" w:eastAsia="仿宋" w:cs="仿宋"/>
          <w:b/>
          <w:color w:val="000000"/>
          <w:sz w:val="28"/>
          <w:szCs w:val="28"/>
          <w:u w:val="none"/>
          <w:lang w:val="en-US" w:eastAsia="zh-CN"/>
        </w:rPr>
        <w:t>5.其他配送要求</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color w:val="000000"/>
          <w:sz w:val="28"/>
          <w:szCs w:val="28"/>
          <w:u w:val="none"/>
        </w:rPr>
      </w:pPr>
      <w:r>
        <w:rPr>
          <w:rFonts w:hint="eastAsia" w:ascii="仿宋" w:hAnsi="仿宋" w:eastAsia="仿宋" w:cs="仿宋"/>
          <w:b/>
          <w:bCs/>
          <w:sz w:val="28"/>
          <w:szCs w:val="28"/>
          <w:u w:val="none"/>
        </w:rPr>
        <w:t>★</w:t>
      </w:r>
      <w:r>
        <w:rPr>
          <w:rFonts w:hint="eastAsia" w:ascii="仿宋" w:hAnsi="仿宋" w:eastAsia="仿宋" w:cs="仿宋"/>
          <w:color w:val="000000"/>
          <w:sz w:val="28"/>
          <w:szCs w:val="28"/>
          <w:u w:val="none"/>
          <w:lang w:val="en-US" w:eastAsia="zh-CN"/>
        </w:rPr>
        <w:t>（1）</w:t>
      </w:r>
      <w:r>
        <w:rPr>
          <w:rFonts w:hint="eastAsia" w:ascii="仿宋" w:hAnsi="仿宋" w:eastAsia="仿宋" w:cs="仿宋"/>
          <w:color w:val="000000"/>
          <w:sz w:val="28"/>
          <w:szCs w:val="28"/>
          <w:u w:val="none"/>
        </w:rPr>
        <w:t>承诺合同签订后在武侯区</w:t>
      </w:r>
      <w:r>
        <w:rPr>
          <w:rFonts w:hint="eastAsia" w:ascii="仿宋" w:hAnsi="仿宋" w:eastAsia="仿宋" w:cs="仿宋"/>
          <w:color w:val="000000"/>
          <w:sz w:val="28"/>
          <w:szCs w:val="28"/>
          <w:u w:val="none"/>
          <w:lang w:eastAsia="zh-CN"/>
        </w:rPr>
        <w:t>第一办公区</w:t>
      </w:r>
      <w:r>
        <w:rPr>
          <w:rFonts w:hint="eastAsia" w:ascii="仿宋" w:hAnsi="仿宋" w:eastAsia="仿宋" w:cs="仿宋"/>
          <w:color w:val="000000"/>
          <w:sz w:val="28"/>
          <w:szCs w:val="28"/>
          <w:u w:val="none"/>
        </w:rPr>
        <w:t>（成都市</w:t>
      </w:r>
      <w:r>
        <w:rPr>
          <w:rFonts w:hint="eastAsia" w:ascii="仿宋" w:hAnsi="仿宋" w:eastAsia="仿宋" w:cs="仿宋"/>
          <w:color w:val="000000"/>
          <w:sz w:val="28"/>
          <w:szCs w:val="28"/>
          <w:u w:val="none"/>
          <w:lang w:eastAsia="zh-CN"/>
        </w:rPr>
        <w:t>武侯祠大街264</w:t>
      </w:r>
      <w:r>
        <w:rPr>
          <w:rFonts w:hint="eastAsia" w:ascii="仿宋" w:hAnsi="仿宋" w:eastAsia="仿宋" w:cs="仿宋"/>
          <w:color w:val="000000"/>
          <w:sz w:val="28"/>
          <w:szCs w:val="28"/>
          <w:u w:val="none"/>
        </w:rPr>
        <w:t>号）附近区域内（</w:t>
      </w:r>
      <w:r>
        <w:rPr>
          <w:rFonts w:hint="eastAsia" w:ascii="仿宋" w:hAnsi="仿宋" w:eastAsia="仿宋" w:cs="仿宋"/>
          <w:color w:val="000000"/>
          <w:sz w:val="28"/>
          <w:szCs w:val="28"/>
          <w:u w:val="none"/>
          <w:lang w:val="en-US" w:eastAsia="zh-CN"/>
        </w:rPr>
        <w:t>2</w:t>
      </w:r>
      <w:r>
        <w:rPr>
          <w:rFonts w:hint="eastAsia" w:ascii="仿宋" w:hAnsi="仿宋" w:eastAsia="仿宋" w:cs="仿宋"/>
          <w:color w:val="000000"/>
          <w:sz w:val="28"/>
          <w:szCs w:val="28"/>
          <w:u w:val="none"/>
        </w:rPr>
        <w:t>0分钟交通距离）设置自有应急配送门店(具备食品、肉类、粮油、蔬菜等应急配送能力），应急配送要求应在30分钟内予以响应并送到。</w:t>
      </w:r>
      <w:r>
        <w:rPr>
          <w:rFonts w:hint="eastAsia" w:ascii="仿宋" w:hAnsi="仿宋" w:eastAsia="仿宋" w:cs="仿宋"/>
          <w:b/>
          <w:bCs/>
          <w:sz w:val="28"/>
          <w:szCs w:val="28"/>
          <w:u w:val="none"/>
        </w:rPr>
        <w:t>（</w:t>
      </w:r>
      <w:r>
        <w:rPr>
          <w:rFonts w:hint="eastAsia" w:ascii="仿宋" w:hAnsi="仿宋" w:eastAsia="仿宋" w:cs="仿宋"/>
          <w:b/>
          <w:bCs/>
          <w:sz w:val="28"/>
          <w:szCs w:val="28"/>
          <w:u w:val="none"/>
          <w:lang w:val="en-US" w:eastAsia="zh-CN"/>
        </w:rPr>
        <w:t>投标供应商</w:t>
      </w:r>
      <w:r>
        <w:rPr>
          <w:rFonts w:hint="eastAsia" w:ascii="仿宋" w:hAnsi="仿宋" w:eastAsia="仿宋" w:cs="仿宋"/>
          <w:b/>
          <w:bCs/>
          <w:sz w:val="28"/>
          <w:szCs w:val="28"/>
          <w:u w:val="none"/>
        </w:rPr>
        <w:t>提供承诺函）</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sz w:val="28"/>
          <w:szCs w:val="28"/>
          <w:u w:val="none"/>
          <w:lang w:val="en-US" w:eastAsia="zh-CN"/>
        </w:rPr>
      </w:pPr>
      <w:r>
        <w:rPr>
          <w:rFonts w:hint="eastAsia" w:ascii="仿宋" w:hAnsi="仿宋" w:eastAsia="仿宋" w:cs="仿宋"/>
          <w:b/>
          <w:bCs/>
          <w:sz w:val="28"/>
          <w:szCs w:val="28"/>
          <w:u w:val="none"/>
        </w:rPr>
        <w:t>★</w:t>
      </w:r>
      <w:r>
        <w:rPr>
          <w:rFonts w:hint="eastAsia" w:ascii="仿宋" w:hAnsi="仿宋" w:eastAsia="仿宋" w:cs="仿宋"/>
          <w:color w:val="000000"/>
          <w:sz w:val="28"/>
          <w:szCs w:val="28"/>
          <w:u w:val="none"/>
          <w:lang w:eastAsia="zh-CN"/>
        </w:rPr>
        <w:t>（</w:t>
      </w:r>
      <w:r>
        <w:rPr>
          <w:rFonts w:hint="eastAsia" w:ascii="仿宋" w:hAnsi="仿宋" w:eastAsia="仿宋" w:cs="仿宋"/>
          <w:color w:val="000000"/>
          <w:sz w:val="28"/>
          <w:szCs w:val="28"/>
          <w:u w:val="none"/>
          <w:lang w:val="en-US" w:eastAsia="zh-CN"/>
        </w:rPr>
        <w:t>2</w:t>
      </w:r>
      <w:r>
        <w:rPr>
          <w:rFonts w:hint="eastAsia" w:ascii="仿宋" w:hAnsi="仿宋" w:eastAsia="仿宋" w:cs="仿宋"/>
          <w:color w:val="000000"/>
          <w:sz w:val="28"/>
          <w:szCs w:val="28"/>
          <w:u w:val="none"/>
          <w:lang w:eastAsia="zh-CN"/>
        </w:rPr>
        <w:t>）</w:t>
      </w:r>
      <w:r>
        <w:rPr>
          <w:rFonts w:hint="eastAsia" w:ascii="仿宋" w:hAnsi="仿宋" w:eastAsia="仿宋" w:cs="仿宋"/>
          <w:color w:val="000000"/>
          <w:sz w:val="28"/>
          <w:szCs w:val="28"/>
          <w:u w:val="none"/>
        </w:rPr>
        <w:t>以采购人实际需求及用量进行配送服务，并按甲方书面确认的实际用量进行结算，以上数据仅供供应商参考，不作为供应商报价依据。</w:t>
      </w:r>
      <w:r>
        <w:rPr>
          <w:rFonts w:hint="eastAsia" w:ascii="仿宋" w:hAnsi="仿宋" w:eastAsia="仿宋" w:cs="仿宋"/>
          <w:b/>
          <w:bCs/>
          <w:sz w:val="28"/>
          <w:szCs w:val="28"/>
          <w:u w:val="none"/>
        </w:rPr>
        <w:t>（</w:t>
      </w:r>
      <w:r>
        <w:rPr>
          <w:rFonts w:hint="eastAsia" w:ascii="仿宋" w:hAnsi="仿宋" w:eastAsia="仿宋" w:cs="仿宋"/>
          <w:b/>
          <w:bCs/>
          <w:sz w:val="28"/>
          <w:szCs w:val="28"/>
          <w:u w:val="none"/>
          <w:lang w:val="en-US" w:eastAsia="zh-CN"/>
        </w:rPr>
        <w:t>投标供应商</w:t>
      </w:r>
      <w:r>
        <w:rPr>
          <w:rFonts w:hint="eastAsia" w:ascii="仿宋" w:hAnsi="仿宋" w:eastAsia="仿宋" w:cs="仿宋"/>
          <w:b/>
          <w:bCs/>
          <w:sz w:val="28"/>
          <w:szCs w:val="28"/>
          <w:u w:val="none"/>
        </w:rPr>
        <w:t>提供承诺函）</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color w:val="000000"/>
          <w:sz w:val="28"/>
          <w:szCs w:val="28"/>
          <w:u w:val="none"/>
        </w:rPr>
      </w:pPr>
      <w:r>
        <w:rPr>
          <w:rFonts w:hint="eastAsia" w:ascii="仿宋" w:hAnsi="仿宋" w:eastAsia="仿宋" w:cs="仿宋"/>
          <w:b/>
          <w:color w:val="000000"/>
          <w:sz w:val="28"/>
          <w:szCs w:val="28"/>
          <w:u w:val="none"/>
        </w:rPr>
        <w:t>（六）验收标准</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lang w:eastAsia="zh-CN"/>
        </w:rPr>
      </w:pPr>
      <w:r>
        <w:rPr>
          <w:rFonts w:hint="eastAsia" w:ascii="仿宋" w:hAnsi="仿宋" w:eastAsia="仿宋" w:cs="仿宋"/>
          <w:sz w:val="28"/>
          <w:szCs w:val="28"/>
          <w:u w:val="none"/>
        </w:rPr>
        <w:t>验收时间：送达随即验收</w:t>
      </w:r>
      <w:r>
        <w:rPr>
          <w:rFonts w:hint="eastAsia" w:ascii="仿宋" w:hAnsi="仿宋" w:eastAsia="仿宋" w:cs="仿宋"/>
          <w:sz w:val="28"/>
          <w:szCs w:val="28"/>
          <w:u w:val="none"/>
          <w:lang w:eastAsia="zh-CN"/>
        </w:rPr>
        <w:t>。</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验收方式：</w:t>
      </w:r>
      <w:r>
        <w:rPr>
          <w:rFonts w:hint="eastAsia" w:ascii="仿宋" w:hAnsi="仿宋" w:eastAsia="仿宋" w:cs="仿宋"/>
          <w:sz w:val="28"/>
          <w:szCs w:val="28"/>
          <w:u w:val="none"/>
        </w:rPr>
        <w:t>按照采购产品质量及要求的规定开袋逐一检查</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验收人员对不合格货品有权要求无条件进行退货、换货。</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sz w:val="28"/>
          <w:szCs w:val="28"/>
          <w:u w:val="none"/>
        </w:rPr>
      </w:pPr>
      <w:r>
        <w:rPr>
          <w:rFonts w:hint="eastAsia" w:ascii="仿宋" w:hAnsi="仿宋" w:eastAsia="仿宋" w:cs="仿宋"/>
          <w:b/>
          <w:sz w:val="28"/>
          <w:szCs w:val="28"/>
          <w:u w:val="none"/>
          <w:lang w:eastAsia="zh-CN"/>
        </w:rPr>
        <w:t>（七）</w:t>
      </w:r>
      <w:r>
        <w:rPr>
          <w:rFonts w:hint="eastAsia" w:ascii="仿宋" w:hAnsi="仿宋" w:eastAsia="仿宋" w:cs="仿宋"/>
          <w:b/>
          <w:sz w:val="28"/>
          <w:szCs w:val="28"/>
          <w:u w:val="none"/>
        </w:rPr>
        <w:t>售后服务要求</w:t>
      </w:r>
    </w:p>
    <w:p>
      <w:pPr>
        <w:keepNext w:val="0"/>
        <w:keepLines w:val="0"/>
        <w:pageBreakBefore w:val="0"/>
        <w:widowControl w:val="0"/>
        <w:kinsoku/>
        <w:wordWrap/>
        <w:overflowPunct/>
        <w:topLinePunct w:val="0"/>
        <w:autoSpaceDE/>
        <w:autoSpaceDN/>
        <w:bidi w:val="0"/>
        <w:adjustRightInd w:val="0"/>
        <w:snapToGrid w:val="0"/>
        <w:spacing w:line="360" w:lineRule="exact"/>
        <w:ind w:firstLine="560" w:firstLineChars="200"/>
        <w:jc w:val="left"/>
        <w:textAlignment w:val="auto"/>
        <w:rPr>
          <w:rFonts w:hint="eastAsia" w:ascii="仿宋" w:hAnsi="仿宋" w:eastAsia="仿宋" w:cs="仿宋"/>
          <w:sz w:val="28"/>
          <w:szCs w:val="28"/>
          <w:u w:val="none"/>
        </w:rPr>
      </w:pPr>
      <w:r>
        <w:rPr>
          <w:rFonts w:hint="eastAsia" w:ascii="仿宋" w:hAnsi="仿宋" w:eastAsia="仿宋" w:cs="仿宋"/>
          <w:sz w:val="28"/>
          <w:szCs w:val="28"/>
          <w:u w:val="none"/>
        </w:rPr>
        <w:t>1、提供售后服务呼叫电话和响应时间</w:t>
      </w:r>
    </w:p>
    <w:p>
      <w:pPr>
        <w:keepNext w:val="0"/>
        <w:keepLines w:val="0"/>
        <w:pageBreakBefore w:val="0"/>
        <w:widowControl w:val="0"/>
        <w:kinsoku/>
        <w:wordWrap/>
        <w:overflowPunct/>
        <w:topLinePunct w:val="0"/>
        <w:autoSpaceDE/>
        <w:autoSpaceDN/>
        <w:bidi w:val="0"/>
        <w:adjustRightInd w:val="0"/>
        <w:snapToGrid w:val="0"/>
        <w:spacing w:line="360" w:lineRule="exact"/>
        <w:ind w:firstLine="560" w:firstLineChars="200"/>
        <w:jc w:val="left"/>
        <w:textAlignment w:val="auto"/>
        <w:rPr>
          <w:rFonts w:hint="eastAsia" w:ascii="仿宋" w:hAnsi="仿宋" w:eastAsia="仿宋" w:cs="仿宋"/>
          <w:sz w:val="28"/>
          <w:szCs w:val="28"/>
          <w:u w:val="none"/>
        </w:rPr>
      </w:pPr>
      <w:r>
        <w:rPr>
          <w:rFonts w:hint="eastAsia" w:ascii="仿宋" w:hAnsi="仿宋" w:eastAsia="仿宋" w:cs="仿宋"/>
          <w:sz w:val="28"/>
          <w:szCs w:val="28"/>
          <w:u w:val="none"/>
        </w:rPr>
        <w:t>（1）设置专人专线，且保持电话24小时畅通，有人接听；</w:t>
      </w:r>
    </w:p>
    <w:p>
      <w:pPr>
        <w:keepNext w:val="0"/>
        <w:keepLines w:val="0"/>
        <w:pageBreakBefore w:val="0"/>
        <w:widowControl w:val="0"/>
        <w:kinsoku/>
        <w:wordWrap/>
        <w:overflowPunct/>
        <w:topLinePunct w:val="0"/>
        <w:autoSpaceDE/>
        <w:autoSpaceDN/>
        <w:bidi w:val="0"/>
        <w:adjustRightInd w:val="0"/>
        <w:snapToGrid w:val="0"/>
        <w:spacing w:line="360" w:lineRule="exact"/>
        <w:ind w:firstLine="560" w:firstLineChars="200"/>
        <w:jc w:val="left"/>
        <w:textAlignment w:val="auto"/>
        <w:rPr>
          <w:rFonts w:hint="eastAsia" w:ascii="仿宋" w:hAnsi="仿宋" w:eastAsia="仿宋" w:cs="仿宋"/>
          <w:sz w:val="28"/>
          <w:szCs w:val="28"/>
          <w:u w:val="none"/>
        </w:rPr>
      </w:pPr>
      <w:r>
        <w:rPr>
          <w:rFonts w:hint="eastAsia" w:ascii="仿宋" w:hAnsi="仿宋" w:eastAsia="仿宋" w:cs="仿宋"/>
          <w:sz w:val="28"/>
          <w:szCs w:val="28"/>
          <w:u w:val="none"/>
        </w:rPr>
        <w:t>（2）当遇突发情况时，需在30分钟内做出响应并提出解决方案；</w:t>
      </w:r>
    </w:p>
    <w:p>
      <w:pPr>
        <w:keepNext w:val="0"/>
        <w:keepLines w:val="0"/>
        <w:pageBreakBefore w:val="0"/>
        <w:widowControl w:val="0"/>
        <w:kinsoku/>
        <w:wordWrap/>
        <w:overflowPunct/>
        <w:topLinePunct w:val="0"/>
        <w:autoSpaceDE/>
        <w:autoSpaceDN/>
        <w:bidi w:val="0"/>
        <w:adjustRightInd w:val="0"/>
        <w:snapToGrid w:val="0"/>
        <w:spacing w:line="360" w:lineRule="exact"/>
        <w:ind w:firstLine="560" w:firstLineChars="200"/>
        <w:jc w:val="left"/>
        <w:textAlignment w:val="auto"/>
        <w:rPr>
          <w:rFonts w:hint="eastAsia" w:ascii="仿宋" w:hAnsi="仿宋" w:eastAsia="仿宋" w:cs="仿宋"/>
          <w:sz w:val="28"/>
          <w:szCs w:val="28"/>
          <w:u w:val="none"/>
        </w:rPr>
      </w:pPr>
      <w:r>
        <w:rPr>
          <w:rFonts w:hint="eastAsia" w:ascii="仿宋" w:hAnsi="仿宋" w:eastAsia="仿宋" w:cs="仿宋"/>
          <w:sz w:val="28"/>
          <w:szCs w:val="28"/>
          <w:u w:val="none"/>
        </w:rPr>
        <w:t>（3）若遇重大事故，应立即安排人员到现场配合调查工作，并做好事后总结；</w:t>
      </w:r>
    </w:p>
    <w:p>
      <w:pPr>
        <w:keepNext w:val="0"/>
        <w:keepLines w:val="0"/>
        <w:pageBreakBefore w:val="0"/>
        <w:widowControl w:val="0"/>
        <w:kinsoku/>
        <w:wordWrap/>
        <w:overflowPunct/>
        <w:topLinePunct w:val="0"/>
        <w:autoSpaceDE/>
        <w:autoSpaceDN/>
        <w:bidi w:val="0"/>
        <w:adjustRightInd w:val="0"/>
        <w:snapToGrid w:val="0"/>
        <w:spacing w:line="360" w:lineRule="exact"/>
        <w:ind w:firstLine="560" w:firstLineChars="200"/>
        <w:jc w:val="left"/>
        <w:textAlignment w:val="auto"/>
        <w:rPr>
          <w:rFonts w:hint="eastAsia" w:ascii="仿宋" w:hAnsi="仿宋" w:eastAsia="仿宋" w:cs="仿宋"/>
          <w:sz w:val="28"/>
          <w:szCs w:val="28"/>
          <w:u w:val="none"/>
        </w:rPr>
      </w:pPr>
      <w:r>
        <w:rPr>
          <w:rFonts w:hint="eastAsia" w:ascii="仿宋" w:hAnsi="仿宋" w:eastAsia="仿宋" w:cs="仿宋"/>
          <w:sz w:val="28"/>
          <w:szCs w:val="28"/>
          <w:u w:val="none"/>
        </w:rPr>
        <w:t>2、现场服务支持能力</w:t>
      </w:r>
    </w:p>
    <w:p>
      <w:pPr>
        <w:keepNext w:val="0"/>
        <w:keepLines w:val="0"/>
        <w:pageBreakBefore w:val="0"/>
        <w:widowControl w:val="0"/>
        <w:kinsoku/>
        <w:wordWrap/>
        <w:overflowPunct/>
        <w:topLinePunct w:val="0"/>
        <w:autoSpaceDE/>
        <w:autoSpaceDN/>
        <w:bidi w:val="0"/>
        <w:adjustRightInd w:val="0"/>
        <w:snapToGrid w:val="0"/>
        <w:spacing w:line="360" w:lineRule="exact"/>
        <w:ind w:firstLine="560" w:firstLineChars="200"/>
        <w:jc w:val="left"/>
        <w:textAlignment w:val="auto"/>
        <w:rPr>
          <w:rFonts w:hint="eastAsia" w:ascii="仿宋" w:hAnsi="仿宋" w:eastAsia="仿宋" w:cs="仿宋"/>
          <w:sz w:val="28"/>
          <w:szCs w:val="28"/>
          <w:u w:val="none"/>
        </w:rPr>
      </w:pPr>
      <w:r>
        <w:rPr>
          <w:rFonts w:hint="eastAsia" w:ascii="仿宋" w:hAnsi="仿宋" w:eastAsia="仿宋" w:cs="仿宋"/>
          <w:sz w:val="28"/>
          <w:szCs w:val="28"/>
          <w:u w:val="none"/>
        </w:rPr>
        <w:t>（1）如遇突发情况，需紧急加送时，能在30分钟内加送到指定地点；</w:t>
      </w:r>
    </w:p>
    <w:p>
      <w:pPr>
        <w:keepNext w:val="0"/>
        <w:keepLines w:val="0"/>
        <w:pageBreakBefore w:val="0"/>
        <w:widowControl w:val="0"/>
        <w:kinsoku/>
        <w:wordWrap/>
        <w:overflowPunct/>
        <w:topLinePunct w:val="0"/>
        <w:autoSpaceDE/>
        <w:autoSpaceDN/>
        <w:bidi w:val="0"/>
        <w:adjustRightInd w:val="0"/>
        <w:snapToGrid w:val="0"/>
        <w:spacing w:line="360" w:lineRule="exact"/>
        <w:ind w:firstLine="560" w:firstLineChars="200"/>
        <w:jc w:val="left"/>
        <w:textAlignment w:val="auto"/>
        <w:rPr>
          <w:rFonts w:hint="eastAsia" w:ascii="仿宋" w:hAnsi="仿宋" w:eastAsia="仿宋" w:cs="仿宋"/>
          <w:sz w:val="28"/>
          <w:szCs w:val="28"/>
          <w:u w:val="none"/>
        </w:rPr>
      </w:pPr>
      <w:r>
        <w:rPr>
          <w:rFonts w:hint="eastAsia" w:ascii="仿宋" w:hAnsi="仿宋" w:eastAsia="仿宋" w:cs="仿宋"/>
          <w:sz w:val="28"/>
          <w:szCs w:val="28"/>
          <w:u w:val="none"/>
        </w:rPr>
        <w:t>（2）遇重大接待，中标人需保持有工作人员在现场，随时做好服务支持；</w:t>
      </w:r>
    </w:p>
    <w:p>
      <w:pPr>
        <w:keepNext w:val="0"/>
        <w:keepLines w:val="0"/>
        <w:pageBreakBefore w:val="0"/>
        <w:widowControl w:val="0"/>
        <w:kinsoku/>
        <w:wordWrap/>
        <w:overflowPunct/>
        <w:topLinePunct w:val="0"/>
        <w:autoSpaceDE/>
        <w:autoSpaceDN/>
        <w:bidi w:val="0"/>
        <w:adjustRightInd w:val="0"/>
        <w:snapToGrid w:val="0"/>
        <w:spacing w:line="360" w:lineRule="exact"/>
        <w:ind w:firstLine="560" w:firstLineChars="200"/>
        <w:jc w:val="left"/>
        <w:textAlignment w:val="auto"/>
        <w:rPr>
          <w:rFonts w:hint="eastAsia" w:ascii="仿宋" w:hAnsi="仿宋" w:eastAsia="仿宋" w:cs="仿宋"/>
          <w:sz w:val="28"/>
          <w:szCs w:val="28"/>
          <w:u w:val="none"/>
        </w:rPr>
      </w:pPr>
      <w:r>
        <w:rPr>
          <w:rFonts w:hint="eastAsia" w:ascii="仿宋" w:hAnsi="仿宋" w:eastAsia="仿宋" w:cs="仿宋"/>
          <w:sz w:val="28"/>
          <w:szCs w:val="28"/>
          <w:u w:val="none"/>
        </w:rPr>
        <w:t>（3）不定期对甲方干部职工进行新鲜健康食材选取的宣传科普；</w:t>
      </w:r>
    </w:p>
    <w:p>
      <w:pPr>
        <w:keepNext w:val="0"/>
        <w:keepLines w:val="0"/>
        <w:pageBreakBefore w:val="0"/>
        <w:widowControl w:val="0"/>
        <w:kinsoku/>
        <w:wordWrap/>
        <w:overflowPunct/>
        <w:topLinePunct w:val="0"/>
        <w:autoSpaceDE/>
        <w:autoSpaceDN/>
        <w:bidi w:val="0"/>
        <w:adjustRightInd w:val="0"/>
        <w:snapToGrid w:val="0"/>
        <w:spacing w:line="360" w:lineRule="exact"/>
        <w:ind w:firstLine="560" w:firstLineChars="200"/>
        <w:jc w:val="left"/>
        <w:textAlignment w:val="auto"/>
        <w:rPr>
          <w:rFonts w:hint="eastAsia" w:ascii="仿宋" w:hAnsi="仿宋" w:eastAsia="仿宋" w:cs="仿宋"/>
          <w:sz w:val="28"/>
          <w:szCs w:val="28"/>
          <w:u w:val="none"/>
        </w:rPr>
      </w:pPr>
      <w:r>
        <w:rPr>
          <w:rFonts w:hint="eastAsia" w:ascii="仿宋" w:hAnsi="仿宋" w:eastAsia="仿宋" w:cs="仿宋"/>
          <w:sz w:val="28"/>
          <w:szCs w:val="28"/>
          <w:u w:val="none"/>
        </w:rPr>
        <w:t>（4）配合采购人验货，紧急情况下帮助采购人进行食材初加工；</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3、售后巡检及质保服务</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（1）中标人对食材质量负全责，若出现食材残损无法食用或规格不一，如水果大小</w:t>
      </w:r>
      <w:r>
        <w:rPr>
          <w:rFonts w:hint="eastAsia" w:ascii="仿宋" w:hAnsi="仿宋" w:eastAsia="仿宋" w:cs="仿宋"/>
          <w:sz w:val="28"/>
          <w:szCs w:val="28"/>
          <w:u w:val="none"/>
          <w:lang w:val="en-US" w:eastAsia="zh-CN"/>
        </w:rPr>
        <w:t>规</w:t>
      </w:r>
      <w:r>
        <w:rPr>
          <w:rFonts w:hint="eastAsia" w:ascii="仿宋" w:hAnsi="仿宋" w:eastAsia="仿宋" w:cs="仿宋"/>
          <w:sz w:val="28"/>
          <w:szCs w:val="28"/>
          <w:u w:val="none"/>
        </w:rPr>
        <w:t>格不一，相差较大的，应及时更换，否则采购人可拒收或不支付该次货款；</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（2）定期对配送工作进行总结，对配送中出现的问题进行整改；</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（3）加强交流沟通，及时反馈相关信息，对发现的问题及时整改；</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（4）每月向采购人报送月工作总结，内容不能千篇一律，要及时反映最新的工作动向；</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（5）主动向采购人了解当日食材质量，做好后期调整完善；</w:t>
      </w:r>
    </w:p>
    <w:p>
      <w:pPr>
        <w:keepNext w:val="0"/>
        <w:keepLines w:val="0"/>
        <w:pageBreakBefore w:val="0"/>
        <w:widowControl w:val="0"/>
        <w:kinsoku/>
        <w:wordWrap/>
        <w:overflowPunct/>
        <w:topLinePunct w:val="0"/>
        <w:autoSpaceDE/>
        <w:autoSpaceDN/>
        <w:bidi w:val="0"/>
        <w:adjustRightInd w:val="0"/>
        <w:snapToGrid w:val="0"/>
        <w:spacing w:line="360" w:lineRule="exact"/>
        <w:ind w:firstLine="562" w:firstLineChars="200"/>
        <w:jc w:val="left"/>
        <w:textAlignment w:val="auto"/>
        <w:rPr>
          <w:rFonts w:hint="eastAsia" w:ascii="仿宋" w:hAnsi="仿宋" w:eastAsia="仿宋" w:cs="仿宋"/>
          <w:b/>
          <w:sz w:val="28"/>
          <w:szCs w:val="28"/>
          <w:u w:val="none"/>
        </w:rPr>
      </w:pPr>
      <w:r>
        <w:rPr>
          <w:rFonts w:hint="eastAsia" w:ascii="仿宋" w:hAnsi="仿宋" w:eastAsia="仿宋" w:cs="仿宋"/>
          <w:b/>
          <w:sz w:val="28"/>
          <w:szCs w:val="28"/>
          <w:u w:val="none"/>
          <w:lang w:eastAsia="zh-CN"/>
        </w:rPr>
        <w:t>（八）</w:t>
      </w:r>
      <w:r>
        <w:rPr>
          <w:rFonts w:hint="eastAsia" w:ascii="仿宋" w:hAnsi="仿宋" w:eastAsia="仿宋" w:cs="仿宋"/>
          <w:b/>
          <w:sz w:val="28"/>
          <w:szCs w:val="28"/>
          <w:u w:val="none"/>
        </w:rPr>
        <w:t>增值服务要求</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1、提供健康营养膳食建议服务</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（1）为采购人配备营养师，根据季节进行菜品搭配、荤素搭配，应季特色菜品更新；</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（2）做好合理菜谱建议，做到老少皆宜、清淡及重口味搭配、油炸及非油炸搭配；</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（3）根据地方区域（外地），适合的口味及特色进行搭配；</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2、公务用餐菜谱定制服务</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（1）根据季节、区域及人数，制定合理的公务用餐菜谱，注意营养搭配、荤素搭配，推荐应季、健康新鲜的肉类、蔬菜、水果；</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（2）主动加强与采购人沟通，了解公务用餐菜谱情况，根据反馈及时调整完善；</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（3）加强与食堂工作人员沟通，提升菜品质量，针对菜品数量进行规划，避免浪费；</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3、食材净菜加工服务</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（1）如采购人有需求，提供数量与质量达到采购人要求的净菜品类；</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（2）如遇处理程序较为复杂的食材时，配合采购人对食材进行深加工；</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（3）水产类食材现场宰杀处理；</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（4）对易损伤类水果进行分装。</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bCs w:val="0"/>
          <w:color w:val="000000"/>
          <w:sz w:val="28"/>
          <w:szCs w:val="28"/>
          <w:u w:val="none"/>
        </w:rPr>
      </w:pPr>
      <w:r>
        <w:rPr>
          <w:rFonts w:hint="eastAsia" w:ascii="仿宋" w:hAnsi="仿宋" w:eastAsia="仿宋" w:cs="仿宋"/>
          <w:b/>
          <w:bCs w:val="0"/>
          <w:color w:val="000000"/>
          <w:sz w:val="28"/>
          <w:szCs w:val="28"/>
          <w:u w:val="none"/>
          <w:lang w:eastAsia="zh-CN"/>
        </w:rPr>
        <w:t>（九）</w:t>
      </w:r>
      <w:r>
        <w:rPr>
          <w:rFonts w:hint="eastAsia" w:ascii="仿宋" w:hAnsi="仿宋" w:eastAsia="仿宋" w:cs="仿宋"/>
          <w:b/>
          <w:bCs w:val="0"/>
          <w:color w:val="000000"/>
          <w:sz w:val="28"/>
          <w:szCs w:val="28"/>
          <w:u w:val="none"/>
        </w:rPr>
        <w:t>投标供应商</w:t>
      </w:r>
      <w:r>
        <w:rPr>
          <w:rFonts w:hint="eastAsia" w:ascii="仿宋" w:hAnsi="仿宋" w:eastAsia="仿宋" w:cs="仿宋"/>
          <w:b/>
          <w:bCs w:val="0"/>
          <w:color w:val="000000"/>
          <w:sz w:val="28"/>
          <w:szCs w:val="28"/>
          <w:u w:val="none"/>
          <w:lang w:eastAsia="zh-CN"/>
        </w:rPr>
        <w:t>须</w:t>
      </w:r>
      <w:r>
        <w:rPr>
          <w:rFonts w:hint="eastAsia" w:ascii="仿宋" w:hAnsi="仿宋" w:eastAsia="仿宋" w:cs="仿宋"/>
          <w:b/>
          <w:bCs w:val="0"/>
          <w:color w:val="000000"/>
          <w:sz w:val="28"/>
          <w:szCs w:val="28"/>
          <w:u w:val="none"/>
        </w:rPr>
        <w:t>执行如下各项制度</w:t>
      </w:r>
    </w:p>
    <w:p>
      <w:pPr>
        <w:keepNext w:val="0"/>
        <w:keepLines w:val="0"/>
        <w:pageBreakBefore w:val="0"/>
        <w:widowControl w:val="0"/>
        <w:kinsoku/>
        <w:wordWrap/>
        <w:overflowPunct/>
        <w:topLinePunct w:val="0"/>
        <w:autoSpaceDE/>
        <w:autoSpaceDN/>
        <w:bidi w:val="0"/>
        <w:spacing w:line="360" w:lineRule="exact"/>
        <w:ind w:firstLine="562" w:firstLineChars="200"/>
        <w:jc w:val="center"/>
        <w:textAlignment w:val="auto"/>
        <w:rPr>
          <w:rFonts w:hint="eastAsia" w:ascii="仿宋" w:hAnsi="仿宋" w:eastAsia="仿宋" w:cs="仿宋"/>
          <w:b/>
          <w:sz w:val="28"/>
          <w:szCs w:val="28"/>
          <w:u w:val="none"/>
        </w:rPr>
      </w:pPr>
      <w:r>
        <w:rPr>
          <w:rFonts w:hint="eastAsia" w:ascii="仿宋" w:hAnsi="仿宋" w:eastAsia="仿宋" w:cs="仿宋"/>
          <w:b/>
          <w:sz w:val="28"/>
          <w:szCs w:val="28"/>
          <w:u w:val="none"/>
        </w:rPr>
        <w:t>《食品配送管理制度》</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1、配送人员应该严格按照武侯区机关事务中心要求的时间提前赶到各个点位，不得迟到。应按要求提前清点货物和检查货品的质量。</w:t>
      </w:r>
      <w:r>
        <w:rPr>
          <w:rFonts w:hint="eastAsia" w:ascii="仿宋" w:hAnsi="仿宋" w:eastAsia="仿宋" w:cs="仿宋"/>
          <w:sz w:val="28"/>
          <w:szCs w:val="28"/>
          <w:u w:val="none"/>
          <w:lang w:val="en-US" w:eastAsia="zh-CN"/>
        </w:rPr>
        <w:t>严禁</w:t>
      </w:r>
      <w:r>
        <w:rPr>
          <w:rFonts w:hint="eastAsia" w:ascii="仿宋" w:hAnsi="仿宋" w:eastAsia="仿宋" w:cs="仿宋"/>
          <w:sz w:val="28"/>
          <w:szCs w:val="28"/>
          <w:u w:val="none"/>
        </w:rPr>
        <w:t>腐烂变质的生鲜货物；</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2、配送人员应该保证已到达单位货物的安全性和完整性，不能让货物受到损失和丢失，如有损失照价赔偿。在月度食材配送综合测评表中扣除相应分数；</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3、配送人员应文明配送，不得作出破坏食材的行为；</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4、配送的蔬菜肉类需具有追踪溯源标识或记录记载，并可实现追踪溯源，配送的食品全部都要有相应的防尘、防污染措施，避免外露；</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5、配送车辆应符合相关卫生要求，做到每日清洗、消毒并做好消毒记录，严格配送时的卫生要求，车上食品不混装、不挤压；</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6、配送时严格清查配送物品的品种、数量等应与订餐明细相符。</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7、该项目配送负责人要对其所负责点位全权负责处理日常事务。</w:t>
      </w:r>
    </w:p>
    <w:p>
      <w:pPr>
        <w:keepNext w:val="0"/>
        <w:keepLines w:val="0"/>
        <w:pageBreakBefore w:val="0"/>
        <w:widowControl w:val="0"/>
        <w:kinsoku/>
        <w:wordWrap/>
        <w:overflowPunct/>
        <w:topLinePunct w:val="0"/>
        <w:autoSpaceDE/>
        <w:autoSpaceDN/>
        <w:bidi w:val="0"/>
        <w:spacing w:line="360" w:lineRule="exact"/>
        <w:ind w:firstLine="562" w:firstLineChars="200"/>
        <w:jc w:val="center"/>
        <w:textAlignment w:val="auto"/>
        <w:rPr>
          <w:rFonts w:hint="eastAsia" w:ascii="仿宋" w:hAnsi="仿宋" w:eastAsia="仿宋" w:cs="仿宋"/>
          <w:b/>
          <w:sz w:val="28"/>
          <w:szCs w:val="28"/>
          <w:u w:val="none"/>
        </w:rPr>
      </w:pPr>
    </w:p>
    <w:p>
      <w:pPr>
        <w:keepNext w:val="0"/>
        <w:keepLines w:val="0"/>
        <w:pageBreakBefore w:val="0"/>
        <w:widowControl w:val="0"/>
        <w:kinsoku/>
        <w:wordWrap/>
        <w:overflowPunct/>
        <w:topLinePunct w:val="0"/>
        <w:autoSpaceDE/>
        <w:autoSpaceDN/>
        <w:bidi w:val="0"/>
        <w:spacing w:line="360" w:lineRule="exact"/>
        <w:ind w:firstLine="562" w:firstLineChars="200"/>
        <w:jc w:val="center"/>
        <w:textAlignment w:val="auto"/>
        <w:rPr>
          <w:rFonts w:hint="eastAsia" w:ascii="仿宋" w:hAnsi="仿宋" w:eastAsia="仿宋" w:cs="仿宋"/>
          <w:b/>
          <w:sz w:val="28"/>
          <w:szCs w:val="28"/>
          <w:u w:val="none"/>
        </w:rPr>
      </w:pPr>
      <w:r>
        <w:rPr>
          <w:rFonts w:hint="eastAsia" w:ascii="仿宋" w:hAnsi="仿宋" w:eastAsia="仿宋" w:cs="仿宋"/>
          <w:b/>
          <w:sz w:val="28"/>
          <w:szCs w:val="28"/>
          <w:u w:val="none"/>
        </w:rPr>
        <w:t>《蔬果农药检测制度》</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1、为确保进入配送的蔬菜安全卫生，按照国家的有关规定，结合实际情况，制定蔬菜农药残留农药检测制度；</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2、检测人员上岗前必须经过专业培训；检测前清洗双手，着装整洁；检测过程中必须严格按照检测技术要求规范操作，确保检测的准确性；</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3、实行蔬菜农药残留抽检制度，每天随机抽取进入配送的蔬菜样品（具体抽取数量依据实际自行确定），对农药残留情况进行检测，并对每批检测结果进行记录，建立档案。存档记录原则上应保存1个月以上；</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4、样品检测时如发现农残超标，应立即重新复检二次。如全部不合格则判定为该样品速检不合格，及时进行处理，应该退给分装者的退给分装者，应该销毁处理的及时销毁处理，如果情节严重的，应该及时报告当地食品药品监督管理行政主管部门。</w:t>
      </w:r>
    </w:p>
    <w:p>
      <w:pPr>
        <w:keepNext w:val="0"/>
        <w:keepLines w:val="0"/>
        <w:pageBreakBefore w:val="0"/>
        <w:widowControl w:val="0"/>
        <w:kinsoku/>
        <w:wordWrap/>
        <w:overflowPunct/>
        <w:topLinePunct w:val="0"/>
        <w:autoSpaceDE/>
        <w:autoSpaceDN/>
        <w:bidi w:val="0"/>
        <w:spacing w:line="360" w:lineRule="exact"/>
        <w:ind w:firstLine="562" w:firstLineChars="200"/>
        <w:jc w:val="center"/>
        <w:textAlignment w:val="auto"/>
        <w:rPr>
          <w:rFonts w:hint="eastAsia" w:ascii="仿宋" w:hAnsi="仿宋" w:eastAsia="仿宋" w:cs="仿宋"/>
          <w:b/>
          <w:sz w:val="28"/>
          <w:szCs w:val="28"/>
          <w:u w:val="none"/>
        </w:rPr>
      </w:pPr>
    </w:p>
    <w:p>
      <w:pPr>
        <w:keepNext w:val="0"/>
        <w:keepLines w:val="0"/>
        <w:pageBreakBefore w:val="0"/>
        <w:widowControl w:val="0"/>
        <w:kinsoku/>
        <w:wordWrap/>
        <w:overflowPunct/>
        <w:topLinePunct w:val="0"/>
        <w:autoSpaceDE/>
        <w:autoSpaceDN/>
        <w:bidi w:val="0"/>
        <w:spacing w:line="360" w:lineRule="exact"/>
        <w:ind w:firstLine="562" w:firstLineChars="200"/>
        <w:jc w:val="center"/>
        <w:textAlignment w:val="auto"/>
        <w:rPr>
          <w:rFonts w:hint="eastAsia" w:ascii="仿宋" w:hAnsi="仿宋" w:eastAsia="仿宋" w:cs="仿宋"/>
          <w:b/>
          <w:sz w:val="28"/>
          <w:szCs w:val="28"/>
          <w:u w:val="none"/>
        </w:rPr>
      </w:pPr>
      <w:r>
        <w:rPr>
          <w:rFonts w:hint="eastAsia" w:ascii="仿宋" w:hAnsi="仿宋" w:eastAsia="仿宋" w:cs="仿宋"/>
          <w:b/>
          <w:sz w:val="28"/>
          <w:szCs w:val="28"/>
          <w:u w:val="none"/>
        </w:rPr>
        <w:t>《场地、车辆、消毒保洁管理制度》</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1、主副食品分库存放，非食品及个人生活用品不得进入食品库房，严禁在食品库内存放杀虫剂、洗涤剂、消毒剂等有毒、有害物品；</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做好库房和车辆的防霉、防蝇、防虫、防鼠工作。库房和车辆内不得有霉斑、鼠迹、苍蝇、蟑螂、蜘蛛网等，仓库和车辆内定期清扫，保持仓库、货架清洁卫生。经常开窗或用机械设备通风，保持干燥，对配送车辆进行定期清洗，并做好相关记录；</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3、按原料、半成品、成品的性质将食品分类分架存放，有明显标志、有一定间距，隔墙离地10厘米以上，离地平台或层架。</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4、肉类、水产类、禽蛋等易腐食品应分别冷藏贮存。用于保存食品的冷藏设备，要保持清洁、及时除霜、定期消毒、并贴有明显标识，配有温度显示装置。生食品、熟食品、半成品分柜存放，杜绝生熟混放。</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5、严格执行冷藏冷冻设备检查维修制度，定期进行设备检修，保证冷藏设施正常运转，温度显示装置良好。</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6、严格执行出入库登记及食品卫生质量检查验收制度。</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（1）入库前，首先对所购食品进行检查，对不符合食品卫生要求者，不签收。</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（2）做好食品数量、质量、进发货登记；做到先进先出，易坏先用。验收记录应妥善保存、以备查考。按签标示的贮存条件保存食品。</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7、做好库房防鼠、防蝇、防蟑螂工作。</w:t>
      </w:r>
    </w:p>
    <w:p>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sz w:val="24"/>
          <w:szCs w:val="24"/>
        </w:rPr>
      </w:pPr>
      <w:bookmarkStart w:id="160" w:name="_Toc13199"/>
      <w:r>
        <w:rPr>
          <w:rFonts w:hint="eastAsia" w:ascii="宋体" w:hAnsi="宋体"/>
          <w:b/>
          <w:sz w:val="24"/>
          <w:szCs w:val="24"/>
        </w:rPr>
        <w:t>其他要求</w:t>
      </w:r>
      <w:bookmarkEnd w:id="160"/>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color w:val="000000"/>
          <w:sz w:val="28"/>
          <w:szCs w:val="28"/>
          <w:u w:val="none"/>
        </w:rPr>
      </w:pPr>
      <w:r>
        <w:rPr>
          <w:rFonts w:hint="eastAsia" w:ascii="仿宋" w:hAnsi="仿宋" w:eastAsia="仿宋" w:cs="仿宋"/>
          <w:b/>
          <w:color w:val="000000"/>
          <w:sz w:val="28"/>
          <w:szCs w:val="28"/>
          <w:u w:val="none"/>
          <w:lang w:eastAsia="zh-CN"/>
        </w:rPr>
        <w:t>（十）</w:t>
      </w:r>
      <w:r>
        <w:rPr>
          <w:rFonts w:hint="eastAsia" w:ascii="仿宋" w:hAnsi="仿宋" w:eastAsia="仿宋" w:cs="仿宋"/>
          <w:b/>
          <w:color w:val="000000"/>
          <w:sz w:val="28"/>
          <w:szCs w:val="28"/>
          <w:u w:val="none"/>
        </w:rPr>
        <w:t>其他要求</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bCs/>
          <w:color w:val="000000"/>
          <w:sz w:val="28"/>
          <w:szCs w:val="28"/>
          <w:u w:val="none"/>
        </w:rPr>
      </w:pPr>
      <w:r>
        <w:rPr>
          <w:rFonts w:hint="eastAsia" w:ascii="仿宋" w:hAnsi="仿宋" w:eastAsia="仿宋" w:cs="仿宋"/>
          <w:b/>
          <w:bCs/>
          <w:color w:val="000000"/>
          <w:sz w:val="28"/>
          <w:szCs w:val="28"/>
          <w:u w:val="none"/>
          <w:lang w:val="en-US" w:eastAsia="zh-CN"/>
        </w:rPr>
        <w:t>1.</w:t>
      </w:r>
      <w:r>
        <w:rPr>
          <w:rFonts w:hint="eastAsia" w:ascii="仿宋" w:hAnsi="仿宋" w:eastAsia="仿宋" w:cs="仿宋"/>
          <w:b/>
          <w:bCs/>
          <w:color w:val="000000"/>
          <w:sz w:val="28"/>
          <w:szCs w:val="28"/>
          <w:u w:val="none"/>
        </w:rPr>
        <w:t>货款结算</w:t>
      </w:r>
    </w:p>
    <w:p>
      <w:pPr>
        <w:keepNext w:val="0"/>
        <w:keepLines w:val="0"/>
        <w:pageBreakBefore w:val="0"/>
        <w:widowControl w:val="0"/>
        <w:kinsoku/>
        <w:wordWrap/>
        <w:overflowPunct/>
        <w:topLinePunct w:val="0"/>
        <w:autoSpaceDE/>
        <w:autoSpaceDN/>
        <w:bidi w:val="0"/>
        <w:spacing w:line="360" w:lineRule="exact"/>
        <w:ind w:firstLine="560" w:firstLineChars="200"/>
        <w:jc w:val="left"/>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1</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货款实行按月结算，当月支付上月货款，货款系包含商品本身、商品包装费、交货所需的运输费用、保险费用及其他因商品采购事宜而产生的所有含税费用。采购人与中标人共同核实本月实际供货清单，并结合月度考评结果确定后，由中标人出具完整合法有效的发票。采购人在收到中标人开具的发票后15个工作日内以转账的方式支付到中标人银行账</w:t>
      </w:r>
      <w:r>
        <w:rPr>
          <w:rFonts w:hint="eastAsia" w:ascii="仿宋" w:hAnsi="仿宋" w:eastAsia="仿宋" w:cs="仿宋"/>
          <w:sz w:val="28"/>
          <w:szCs w:val="28"/>
          <w:u w:val="none"/>
          <w:lang w:eastAsia="zh-CN"/>
        </w:rPr>
        <w:t>户。</w:t>
      </w:r>
      <w:r>
        <w:rPr>
          <w:rFonts w:hint="eastAsia" w:ascii="仿宋" w:hAnsi="仿宋" w:eastAsia="仿宋" w:cs="仿宋"/>
          <w:sz w:val="28"/>
          <w:szCs w:val="28"/>
          <w:u w:val="none"/>
        </w:rPr>
        <w:t>采购人逾期付款，则每日按</w:t>
      </w:r>
      <w:r>
        <w:rPr>
          <w:rFonts w:hint="eastAsia" w:ascii="仿宋" w:hAnsi="仿宋" w:eastAsia="仿宋" w:cs="仿宋"/>
          <w:sz w:val="28"/>
          <w:szCs w:val="28"/>
          <w:u w:val="none"/>
          <w:lang w:eastAsia="zh-CN"/>
        </w:rPr>
        <w:t>当月应付货款金额</w:t>
      </w:r>
      <w:r>
        <w:rPr>
          <w:rFonts w:hint="eastAsia" w:ascii="仿宋" w:hAnsi="仿宋" w:eastAsia="仿宋" w:cs="仿宋"/>
          <w:sz w:val="28"/>
          <w:szCs w:val="28"/>
          <w:u w:val="none"/>
        </w:rPr>
        <w:t>的1‰向乙方偿付违约金。</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2</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米、面、油、奶制品、干货</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调料配送结算首先以成都市发改委每月发布的市场综合零售价乘以90%作为结算基础价,成都市发改委未发布的品种以武侯区机关事务中心市场调价乘以90%作为结算基础价，结算基础价乘以投标结算率再乘以数量进行结算。</w:t>
      </w:r>
      <w:r>
        <w:rPr>
          <w:rFonts w:hint="eastAsia" w:ascii="仿宋" w:hAnsi="仿宋" w:eastAsia="仿宋" w:cs="仿宋"/>
          <w:b/>
          <w:sz w:val="28"/>
          <w:szCs w:val="28"/>
          <w:u w:val="none"/>
        </w:rPr>
        <w:t>即结算公式为：（市场综合零售价、市场调价）×90%×投标结算率×数量=实际结算价。</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肉类、禽类、蛋</w:t>
      </w:r>
      <w:r>
        <w:rPr>
          <w:rFonts w:hint="eastAsia" w:ascii="仿宋" w:hAnsi="仿宋" w:eastAsia="仿宋" w:cs="仿宋"/>
          <w:sz w:val="28"/>
          <w:szCs w:val="28"/>
          <w:u w:val="none"/>
        </w:rPr>
        <w:t>类、水产类配送结算首先以成都市发改委每月发布的市场综合零售价乘以88%作为结算基础价,成都市发改委未发布的品种以武侯区机关事务中心市场调价乘以88%作为结算基础价，结算基础价乘以投标结算率再乘以数量进行结算。</w:t>
      </w:r>
      <w:r>
        <w:rPr>
          <w:rFonts w:hint="eastAsia" w:ascii="仿宋" w:hAnsi="仿宋" w:eastAsia="仿宋" w:cs="仿宋"/>
          <w:b/>
          <w:sz w:val="28"/>
          <w:szCs w:val="28"/>
          <w:u w:val="none"/>
        </w:rPr>
        <w:t>即结算公式为：（市场综合零售价、市场调价）×88%×投标结算率×数量=实际结算价。</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b/>
          <w:sz w:val="28"/>
          <w:szCs w:val="28"/>
          <w:u w:val="none"/>
        </w:rPr>
      </w:pPr>
      <w:r>
        <w:rPr>
          <w:rFonts w:hint="eastAsia" w:ascii="仿宋" w:hAnsi="仿宋" w:eastAsia="仿宋" w:cs="仿宋"/>
          <w:sz w:val="28"/>
          <w:szCs w:val="28"/>
          <w:u w:val="none"/>
        </w:rPr>
        <w:t>水果</w:t>
      </w:r>
      <w:r>
        <w:rPr>
          <w:rFonts w:hint="eastAsia" w:ascii="仿宋" w:hAnsi="仿宋" w:eastAsia="仿宋" w:cs="仿宋"/>
          <w:sz w:val="28"/>
          <w:szCs w:val="28"/>
          <w:u w:val="none"/>
          <w:lang w:eastAsia="zh-CN"/>
        </w:rPr>
        <w:t>类</w:t>
      </w:r>
      <w:r>
        <w:rPr>
          <w:rFonts w:hint="eastAsia" w:ascii="仿宋" w:hAnsi="仿宋" w:eastAsia="仿宋" w:cs="仿宋"/>
          <w:sz w:val="28"/>
          <w:szCs w:val="28"/>
          <w:u w:val="none"/>
        </w:rPr>
        <w:t>、蔬菜</w:t>
      </w:r>
      <w:r>
        <w:rPr>
          <w:rFonts w:hint="eastAsia" w:ascii="仿宋" w:hAnsi="仿宋" w:eastAsia="仿宋" w:cs="仿宋"/>
          <w:sz w:val="28"/>
          <w:szCs w:val="28"/>
          <w:u w:val="none"/>
          <w:lang w:eastAsia="zh-CN"/>
        </w:rPr>
        <w:t>类</w:t>
      </w:r>
      <w:r>
        <w:rPr>
          <w:rFonts w:hint="eastAsia" w:ascii="仿宋" w:hAnsi="仿宋" w:eastAsia="仿宋" w:cs="仿宋"/>
          <w:sz w:val="28"/>
          <w:szCs w:val="28"/>
          <w:u w:val="none"/>
        </w:rPr>
        <w:t>配送结算首先以成都市发改委每月发布的市场综合零售价乘以80%作为结算基础价,成都市发改委未发布的品种以武侯区机关事务中心市场调价乘以80%作为结算基础价，结算基础价乘以投标结算率再乘以数量进行结算。</w:t>
      </w:r>
      <w:r>
        <w:rPr>
          <w:rFonts w:hint="eastAsia" w:ascii="仿宋" w:hAnsi="仿宋" w:eastAsia="仿宋" w:cs="仿宋"/>
          <w:b/>
          <w:sz w:val="28"/>
          <w:szCs w:val="28"/>
          <w:u w:val="none"/>
        </w:rPr>
        <w:t>即结算公式为：（市场综合零售价、市场调价）×80%×投标结算率×数量=实际结算价。</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3</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按采购人需求购买的熟食按购入价格据实结算。</w:t>
      </w:r>
    </w:p>
    <w:p>
      <w:pPr>
        <w:pStyle w:val="17"/>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4</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投标人优先将我区农产品战略合作地及其他贫困地区农产品纳入采购范围，按购入价格据实结算。</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5</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如需称重计量的，双方共同校对计量称，所供食材的数量以</w:t>
      </w:r>
      <w:r>
        <w:rPr>
          <w:rFonts w:hint="eastAsia" w:ascii="仿宋" w:hAnsi="仿宋" w:eastAsia="仿宋" w:cs="仿宋"/>
          <w:sz w:val="28"/>
          <w:szCs w:val="28"/>
          <w:u w:val="none"/>
          <w:lang w:val="en-US" w:eastAsia="zh-CN"/>
        </w:rPr>
        <w:t>采购人</w:t>
      </w:r>
      <w:r>
        <w:rPr>
          <w:rFonts w:hint="eastAsia" w:ascii="仿宋" w:hAnsi="仿宋" w:eastAsia="仿宋" w:cs="仿宋"/>
          <w:sz w:val="28"/>
          <w:szCs w:val="28"/>
          <w:u w:val="none"/>
        </w:rPr>
        <w:t>过磅为准，并由</w:t>
      </w:r>
      <w:r>
        <w:rPr>
          <w:rFonts w:hint="eastAsia" w:ascii="仿宋" w:hAnsi="仿宋" w:eastAsia="仿宋" w:cs="仿宋"/>
          <w:sz w:val="28"/>
          <w:szCs w:val="28"/>
          <w:u w:val="none"/>
          <w:lang w:val="en-US" w:eastAsia="zh-CN"/>
        </w:rPr>
        <w:t>采购人</w:t>
      </w:r>
      <w:r>
        <w:rPr>
          <w:rFonts w:hint="eastAsia" w:ascii="仿宋" w:hAnsi="仿宋" w:eastAsia="仿宋" w:cs="仿宋"/>
          <w:sz w:val="28"/>
          <w:szCs w:val="28"/>
          <w:u w:val="none"/>
        </w:rPr>
        <w:t>验收人员签字确认。由</w:t>
      </w:r>
      <w:r>
        <w:rPr>
          <w:rFonts w:hint="eastAsia" w:ascii="仿宋" w:hAnsi="仿宋" w:eastAsia="仿宋" w:cs="仿宋"/>
          <w:sz w:val="28"/>
          <w:szCs w:val="28"/>
          <w:u w:val="none"/>
          <w:lang w:val="en-US" w:eastAsia="zh-CN"/>
        </w:rPr>
        <w:t>采购人</w:t>
      </w:r>
      <w:r>
        <w:rPr>
          <w:rFonts w:hint="eastAsia" w:ascii="仿宋" w:hAnsi="仿宋" w:eastAsia="仿宋" w:cs="仿宋"/>
          <w:sz w:val="28"/>
          <w:szCs w:val="28"/>
          <w:u w:val="none"/>
        </w:rPr>
        <w:t>验收人员签字确认的数量即视为双方均认可的数量。</w:t>
      </w:r>
    </w:p>
    <w:p>
      <w:pPr>
        <w:keepNext w:val="0"/>
        <w:keepLines w:val="0"/>
        <w:pageBreakBefore w:val="0"/>
        <w:widowControl w:val="0"/>
        <w:kinsoku/>
        <w:wordWrap/>
        <w:overflowPunct/>
        <w:topLinePunct w:val="0"/>
        <w:autoSpaceDE/>
        <w:autoSpaceDN/>
        <w:bidi w:val="0"/>
        <w:snapToGrid w:val="0"/>
        <w:spacing w:line="360" w:lineRule="exact"/>
        <w:ind w:firstLine="562" w:firstLineChars="200"/>
        <w:textAlignment w:val="auto"/>
        <w:rPr>
          <w:rFonts w:hint="eastAsia" w:ascii="仿宋" w:hAnsi="仿宋" w:eastAsia="仿宋" w:cs="仿宋"/>
          <w:b/>
          <w:bCs/>
          <w:sz w:val="28"/>
          <w:szCs w:val="28"/>
          <w:u w:val="none"/>
        </w:rPr>
      </w:pPr>
      <w:r>
        <w:rPr>
          <w:rFonts w:hint="eastAsia" w:ascii="仿宋" w:hAnsi="仿宋" w:eastAsia="仿宋" w:cs="仿宋"/>
          <w:b/>
          <w:bCs/>
          <w:sz w:val="28"/>
          <w:szCs w:val="28"/>
          <w:u w:val="none"/>
          <w:lang w:val="en-US" w:eastAsia="zh-CN"/>
        </w:rPr>
        <w:t>2.</w:t>
      </w:r>
      <w:r>
        <w:rPr>
          <w:rFonts w:hint="eastAsia" w:ascii="仿宋" w:hAnsi="仿宋" w:eastAsia="仿宋" w:cs="仿宋"/>
          <w:b/>
          <w:bCs/>
          <w:sz w:val="28"/>
          <w:szCs w:val="28"/>
          <w:u w:val="none"/>
        </w:rPr>
        <w:t>考核时间及处罚</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实行</w:t>
      </w:r>
      <w:r>
        <w:rPr>
          <w:rFonts w:hint="eastAsia" w:ascii="仿宋" w:hAnsi="仿宋" w:eastAsia="仿宋" w:cs="仿宋"/>
          <w:sz w:val="28"/>
          <w:szCs w:val="28"/>
          <w:u w:val="none"/>
        </w:rPr>
        <w:t>日常抽查和月考评相结合的综合考核标准。</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1</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日常考评</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①根据各项服务日常检查和处罚标准对日常食堂食材配送服务质量进行的考核</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采购人将按各项服务标准严格管理；</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②由采购人将检查结果进行汇总，以备在每月食材费用支付时扣除。</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2</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月考评</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①月考核作为支付当月服务费的主要依据，由采购人根据服务公司的服务质量和服务态度进行综评打分，按考核打分档次支付当月食材费。</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②单项方面工作被点名或通报批评，本月考核结果扣</w:t>
      </w:r>
      <w:r>
        <w:rPr>
          <w:rFonts w:hint="eastAsia" w:ascii="仿宋" w:hAnsi="仿宋" w:eastAsia="仿宋" w:cs="仿宋"/>
          <w:sz w:val="28"/>
          <w:szCs w:val="28"/>
          <w:u w:val="none"/>
          <w:lang w:val="en-US" w:eastAsia="zh-CN"/>
        </w:rPr>
        <w:t>5</w:t>
      </w:r>
      <w:r>
        <w:rPr>
          <w:rFonts w:hint="eastAsia" w:ascii="仿宋" w:hAnsi="仿宋" w:eastAsia="仿宋" w:cs="仿宋"/>
          <w:sz w:val="28"/>
          <w:szCs w:val="28"/>
          <w:u w:val="none"/>
        </w:rPr>
        <w:t>分；</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③根据</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武侯区食堂食材配送验收清单</w:t>
      </w:r>
      <w:r>
        <w:rPr>
          <w:rFonts w:hint="eastAsia" w:ascii="仿宋" w:hAnsi="仿宋" w:eastAsia="仿宋" w:cs="仿宋"/>
          <w:sz w:val="28"/>
          <w:szCs w:val="28"/>
          <w:u w:val="none"/>
          <w:lang w:eastAsia="zh-CN"/>
        </w:rPr>
        <w:t>》（附后）</w:t>
      </w:r>
      <w:r>
        <w:rPr>
          <w:rFonts w:hint="eastAsia" w:ascii="仿宋" w:hAnsi="仿宋" w:eastAsia="仿宋" w:cs="仿宋"/>
          <w:sz w:val="28"/>
          <w:szCs w:val="28"/>
          <w:u w:val="none"/>
        </w:rPr>
        <w:t>考评打分结果计算出月考核评分。当月得分95分（含）以上的，当月的费用按合同金额全额向中标供应商支付；当月综合平均得分95分（不含）—90分（含），支付当月费用时在合同金额中从95分起计，按每扣0.5分扣除当月费用1000元后支付，扣除不满0.5分的按照0.5分计算扣除（如94.8分，按照94.5分计，扣除当月费用1000元）；当月综合平均得分90分（不含）—80分（含），支付费用时在合同金额中扣除10000元后，从90分起计，按当月每扣0.5分扣除当月费用1500元后支付，扣除不满0.5分的按照0.5分计算扣除当月费用（如84.2分，按照84分计，扣除当月费用28000元）；当月综合平均得分检查结果为80分（不含）以下，则扣发当月费用的50%。若月考核评定低于90分，则中标供应商须就服务工作方面的问题向采购人提供整改报告。</w:t>
      </w:r>
    </w:p>
    <w:p>
      <w:pPr>
        <w:keepNext w:val="0"/>
        <w:keepLines w:val="0"/>
        <w:pageBreakBefore w:val="0"/>
        <w:widowControl w:val="0"/>
        <w:kinsoku/>
        <w:wordWrap/>
        <w:overflowPunct/>
        <w:topLinePunct w:val="0"/>
        <w:autoSpaceDE/>
        <w:autoSpaceDN/>
        <w:bidi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color w:val="auto"/>
          <w:sz w:val="28"/>
          <w:szCs w:val="28"/>
          <w:u w:val="none"/>
        </w:rPr>
        <w:t>④</w:t>
      </w:r>
      <w:r>
        <w:rPr>
          <w:rFonts w:hint="eastAsia" w:ascii="仿宋" w:hAnsi="仿宋" w:eastAsia="仿宋" w:cs="仿宋"/>
          <w:sz w:val="28"/>
          <w:szCs w:val="28"/>
          <w:u w:val="none"/>
        </w:rPr>
        <w:t>每年度月考核中累计有三个月月得分低于90分，视为年度考核不合格，采购人有权要求终止合同，由中标供应商承担违约和赔偿责任。</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single"/>
          <w:lang w:eastAsia="zh-CN"/>
        </w:rPr>
      </w:pPr>
    </w:p>
    <w:p>
      <w:pPr>
        <w:jc w:val="center"/>
        <w:rPr>
          <w:rFonts w:ascii="宋体" w:hAnsi="宋体"/>
          <w:b/>
          <w:bCs/>
          <w:snapToGrid w:val="0"/>
          <w:spacing w:val="0"/>
          <w:kern w:val="0"/>
          <w:sz w:val="28"/>
          <w:szCs w:val="21"/>
        </w:rPr>
      </w:pPr>
      <w:r>
        <w:rPr>
          <w:rFonts w:hint="eastAsia" w:ascii="宋体" w:hAnsi="宋体"/>
          <w:b/>
          <w:bCs/>
          <w:snapToGrid w:val="0"/>
          <w:spacing w:val="0"/>
          <w:kern w:val="0"/>
          <w:sz w:val="28"/>
          <w:szCs w:val="21"/>
        </w:rPr>
        <w:t>武侯区食堂食材配送验收清单</w:t>
      </w:r>
    </w:p>
    <w:p>
      <w:pPr>
        <w:rPr>
          <w:sz w:val="18"/>
          <w:szCs w:val="18"/>
        </w:rPr>
      </w:pPr>
      <w:r>
        <w:rPr>
          <w:rFonts w:hint="eastAsia"/>
          <w:sz w:val="18"/>
          <w:szCs w:val="18"/>
        </w:rPr>
        <w:t xml:space="preserve">日期：                                                                             </w:t>
      </w:r>
    </w:p>
    <w:tbl>
      <w:tblPr>
        <w:tblStyle w:val="41"/>
        <w:tblW w:w="0" w:type="auto"/>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8"/>
        <w:gridCol w:w="709"/>
        <w:gridCol w:w="7512"/>
        <w:gridCol w:w="7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7" w:type="dxa"/>
            <w:gridSpan w:val="2"/>
            <w:noWrap w:val="0"/>
            <w:vAlign w:val="center"/>
          </w:tcPr>
          <w:p>
            <w:pPr>
              <w:spacing w:line="300" w:lineRule="exact"/>
              <w:jc w:val="center"/>
              <w:rPr>
                <w:sz w:val="18"/>
                <w:szCs w:val="18"/>
              </w:rPr>
            </w:pPr>
            <w:r>
              <w:rPr>
                <w:rFonts w:hint="eastAsia"/>
                <w:sz w:val="18"/>
                <w:szCs w:val="18"/>
              </w:rPr>
              <w:t>项目</w:t>
            </w:r>
          </w:p>
        </w:tc>
        <w:tc>
          <w:tcPr>
            <w:tcW w:w="7512" w:type="dxa"/>
            <w:noWrap w:val="0"/>
            <w:vAlign w:val="center"/>
          </w:tcPr>
          <w:p>
            <w:pPr>
              <w:spacing w:line="300" w:lineRule="exact"/>
              <w:jc w:val="center"/>
              <w:rPr>
                <w:sz w:val="18"/>
                <w:szCs w:val="18"/>
              </w:rPr>
            </w:pPr>
            <w:r>
              <w:rPr>
                <w:rFonts w:hint="eastAsia"/>
                <w:sz w:val="18"/>
                <w:szCs w:val="18"/>
              </w:rPr>
              <w:t>细则</w:t>
            </w:r>
          </w:p>
        </w:tc>
        <w:tc>
          <w:tcPr>
            <w:tcW w:w="708" w:type="dxa"/>
            <w:noWrap w:val="0"/>
            <w:vAlign w:val="top"/>
          </w:tcPr>
          <w:p>
            <w:pPr>
              <w:spacing w:line="300" w:lineRule="exact"/>
              <w:jc w:val="center"/>
              <w:rPr>
                <w:sz w:val="18"/>
                <w:szCs w:val="18"/>
              </w:rPr>
            </w:pPr>
            <w:r>
              <w:rPr>
                <w:rFonts w:hint="eastAsia"/>
                <w:sz w:val="18"/>
                <w:szCs w:val="18"/>
              </w:rPr>
              <w:t>扣分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trPr>
        <w:tc>
          <w:tcPr>
            <w:tcW w:w="568" w:type="dxa"/>
            <w:vMerge w:val="restart"/>
            <w:noWrap w:val="0"/>
            <w:vAlign w:val="center"/>
          </w:tcPr>
          <w:p>
            <w:pPr>
              <w:spacing w:line="300" w:lineRule="exact"/>
              <w:jc w:val="center"/>
              <w:rPr>
                <w:sz w:val="18"/>
                <w:szCs w:val="18"/>
              </w:rPr>
            </w:pPr>
            <w:r>
              <w:rPr>
                <w:rFonts w:hint="eastAsia"/>
                <w:sz w:val="18"/>
                <w:szCs w:val="18"/>
              </w:rPr>
              <w:t>配送管理100分</w:t>
            </w:r>
          </w:p>
        </w:tc>
        <w:tc>
          <w:tcPr>
            <w:tcW w:w="709" w:type="dxa"/>
            <w:vMerge w:val="restart"/>
            <w:noWrap w:val="0"/>
            <w:vAlign w:val="center"/>
          </w:tcPr>
          <w:p>
            <w:pPr>
              <w:spacing w:line="300" w:lineRule="exact"/>
              <w:jc w:val="center"/>
              <w:rPr>
                <w:sz w:val="18"/>
                <w:szCs w:val="18"/>
              </w:rPr>
            </w:pPr>
            <w:r>
              <w:rPr>
                <w:rFonts w:hint="eastAsia"/>
                <w:sz w:val="18"/>
                <w:szCs w:val="18"/>
              </w:rPr>
              <w:t>规章制度</w:t>
            </w:r>
          </w:p>
          <w:p>
            <w:pPr>
              <w:spacing w:line="300" w:lineRule="exact"/>
              <w:jc w:val="center"/>
              <w:rPr>
                <w:sz w:val="18"/>
                <w:szCs w:val="18"/>
              </w:rPr>
            </w:pPr>
            <w:r>
              <w:rPr>
                <w:rFonts w:hint="eastAsia"/>
                <w:sz w:val="18"/>
                <w:szCs w:val="18"/>
              </w:rPr>
              <w:t>10分</w:t>
            </w:r>
          </w:p>
        </w:tc>
        <w:tc>
          <w:tcPr>
            <w:tcW w:w="7512" w:type="dxa"/>
            <w:noWrap w:val="0"/>
            <w:vAlign w:val="center"/>
          </w:tcPr>
          <w:p>
            <w:pPr>
              <w:spacing w:line="300" w:lineRule="exact"/>
              <w:jc w:val="left"/>
              <w:rPr>
                <w:sz w:val="18"/>
                <w:szCs w:val="18"/>
              </w:rPr>
            </w:pPr>
            <w:r>
              <w:rPr>
                <w:rFonts w:hint="eastAsia"/>
                <w:sz w:val="18"/>
                <w:szCs w:val="18"/>
              </w:rPr>
              <w:t>按照招标文件要求，建立健全食材配送各项管理制度、各岗位工作标准，并制定具体的落实措施和考核办法。如有违反，每次扣1分。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从业人员提供名册并具有有效期内的健康证。如有违反，每次扣1分。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配送人员有效的核酸检测报告齐全。如有违反，每次扣1分。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会计、驾驶员、残留农药检测员具有从业资格证。如有违反，每次扣1分。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车辆、人员每日具有晨检记录。如有违反，每次扣1分。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trPr>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领导小组、管理网络健全。如有违反，每次扣1分。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restart"/>
            <w:noWrap w:val="0"/>
            <w:vAlign w:val="center"/>
          </w:tcPr>
          <w:p>
            <w:pPr>
              <w:spacing w:line="300" w:lineRule="exact"/>
              <w:jc w:val="center"/>
              <w:rPr>
                <w:sz w:val="18"/>
                <w:szCs w:val="18"/>
              </w:rPr>
            </w:pPr>
            <w:r>
              <w:rPr>
                <w:rFonts w:hint="eastAsia"/>
                <w:sz w:val="18"/>
                <w:szCs w:val="18"/>
              </w:rPr>
              <w:t>安全保障10分</w:t>
            </w:r>
          </w:p>
        </w:tc>
        <w:tc>
          <w:tcPr>
            <w:tcW w:w="7512" w:type="dxa"/>
            <w:noWrap w:val="0"/>
            <w:vAlign w:val="center"/>
          </w:tcPr>
          <w:p>
            <w:pPr>
              <w:spacing w:line="300" w:lineRule="exact"/>
              <w:jc w:val="left"/>
              <w:rPr>
                <w:sz w:val="18"/>
                <w:szCs w:val="18"/>
              </w:rPr>
            </w:pPr>
            <w:r>
              <w:rPr>
                <w:rFonts w:hint="eastAsia"/>
                <w:sz w:val="18"/>
                <w:szCs w:val="18"/>
              </w:rPr>
              <w:t>配送用具干净卫生，定期清洗消毒，有记录，附图片，交由业务科室报备。如有违反，每次扣2分。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配送车辆使用冷链车，定期清洗消毒，有记录，附图片，交由业务科室报备。如有违反，每次扣2分。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配送人员统一着装，佩戴好口罩、帽子、手套。如有违反，每次扣2分。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restart"/>
            <w:noWrap w:val="0"/>
            <w:vAlign w:val="center"/>
          </w:tcPr>
          <w:p>
            <w:pPr>
              <w:spacing w:line="300" w:lineRule="exact"/>
              <w:jc w:val="center"/>
              <w:rPr>
                <w:sz w:val="18"/>
                <w:szCs w:val="18"/>
              </w:rPr>
            </w:pPr>
            <w:r>
              <w:rPr>
                <w:rFonts w:hint="eastAsia"/>
                <w:sz w:val="18"/>
                <w:szCs w:val="18"/>
              </w:rPr>
              <w:t>货源质量保障50分</w:t>
            </w:r>
          </w:p>
        </w:tc>
        <w:tc>
          <w:tcPr>
            <w:tcW w:w="7512" w:type="dxa"/>
            <w:noWrap w:val="0"/>
            <w:vAlign w:val="center"/>
          </w:tcPr>
          <w:p>
            <w:pPr>
              <w:spacing w:line="300" w:lineRule="exact"/>
              <w:jc w:val="left"/>
              <w:rPr>
                <w:sz w:val="18"/>
                <w:szCs w:val="18"/>
              </w:rPr>
            </w:pPr>
            <w:r>
              <w:rPr>
                <w:rFonts w:hint="eastAsia"/>
                <w:sz w:val="18"/>
                <w:szCs w:val="18"/>
              </w:rPr>
              <w:t>从符合规定资质的单位进货、有协议及资质证明材料，交由业务科室报备。如有违反，每次扣2分。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配送产品证件（合格证、检疫证、检验报告等原件或复印件）。如有违反，每次扣2分。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验收时查看包装产品有QS标志。如有违反，每次扣2分。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按照明确的食材品质、规格大小、品牌、品种等进行验收。如有违反，每次扣2分。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查看配送的袋装产品有无质量合格证明、生产许可证。如有违反，每次扣2分。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restart"/>
            <w:noWrap w:val="0"/>
            <w:vAlign w:val="center"/>
          </w:tcPr>
          <w:p>
            <w:pPr>
              <w:spacing w:line="300" w:lineRule="exact"/>
              <w:jc w:val="center"/>
              <w:rPr>
                <w:sz w:val="18"/>
                <w:szCs w:val="18"/>
              </w:rPr>
            </w:pPr>
            <w:r>
              <w:rPr>
                <w:rFonts w:hint="eastAsia"/>
                <w:sz w:val="18"/>
                <w:szCs w:val="18"/>
              </w:rPr>
              <w:t>台账齐全20分</w:t>
            </w:r>
          </w:p>
        </w:tc>
        <w:tc>
          <w:tcPr>
            <w:tcW w:w="7512" w:type="dxa"/>
            <w:noWrap w:val="0"/>
            <w:vAlign w:val="center"/>
          </w:tcPr>
          <w:p>
            <w:pPr>
              <w:spacing w:line="300" w:lineRule="exact"/>
              <w:jc w:val="left"/>
              <w:rPr>
                <w:sz w:val="18"/>
                <w:szCs w:val="18"/>
              </w:rPr>
            </w:pPr>
            <w:r>
              <w:rPr>
                <w:rFonts w:hint="eastAsia"/>
                <w:sz w:val="18"/>
                <w:szCs w:val="18"/>
              </w:rPr>
              <w:t>进出库记录齐全。如有违反，每次扣1分。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水果、蔬菜残留农药检验、检测记录。如有违反，每次扣1分。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72小时食品留样记录。如有违反，每次扣1分。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规范台账、票据规范、及时。如有违反，每次扣1分。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退换货记录齐全（含图片）。如有违反，每次扣1分。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restart"/>
            <w:noWrap w:val="0"/>
            <w:vAlign w:val="center"/>
          </w:tcPr>
          <w:p>
            <w:pPr>
              <w:spacing w:line="300" w:lineRule="exact"/>
              <w:jc w:val="center"/>
              <w:rPr>
                <w:sz w:val="18"/>
                <w:szCs w:val="18"/>
              </w:rPr>
            </w:pPr>
            <w:r>
              <w:rPr>
                <w:rFonts w:hint="eastAsia"/>
                <w:sz w:val="18"/>
                <w:szCs w:val="18"/>
              </w:rPr>
              <w:t>服务管理10分</w:t>
            </w:r>
          </w:p>
        </w:tc>
        <w:tc>
          <w:tcPr>
            <w:tcW w:w="7512" w:type="dxa"/>
            <w:noWrap w:val="0"/>
            <w:vAlign w:val="center"/>
          </w:tcPr>
          <w:p>
            <w:pPr>
              <w:spacing w:line="300" w:lineRule="exact"/>
              <w:jc w:val="left"/>
              <w:rPr>
                <w:sz w:val="18"/>
                <w:szCs w:val="18"/>
              </w:rPr>
            </w:pPr>
            <w:r>
              <w:rPr>
                <w:rFonts w:hint="eastAsia"/>
                <w:sz w:val="18"/>
                <w:szCs w:val="18"/>
              </w:rPr>
              <w:t>到达服务单位后货物摆放按要求：离地、有货物标牌、垫仓板。如有违反，每次扣2分。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在高温时配送生鲜、生肉时进行保鲜措施。如有违反，每次扣2分。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按时到位，有专用配送篮，避免二次伤害，专车专送。如有违反，每次扣2分。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按武侯区机关事务中心制定品牌食品采购。如有违反，每次扣2分。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退换货及时响应，及时配送。如有违反，每次扣2分。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按机关需要配送，保质保量，及时配送。如有违反，每次扣2分。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设立应急配送点，每次应急配送响应需在30分钟内送到。如有违反，每次扣2分。</w:t>
            </w:r>
          </w:p>
        </w:tc>
        <w:tc>
          <w:tcPr>
            <w:tcW w:w="708" w:type="dxa"/>
            <w:noWrap w:val="0"/>
            <w:vAlign w:val="top"/>
          </w:tcPr>
          <w:p>
            <w:pPr>
              <w:spacing w:line="300" w:lineRule="exact"/>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68" w:type="dxa"/>
            <w:vMerge w:val="continue"/>
            <w:noWrap w:val="0"/>
            <w:vAlign w:val="center"/>
          </w:tcPr>
          <w:p>
            <w:pPr>
              <w:spacing w:line="300" w:lineRule="exact"/>
              <w:jc w:val="center"/>
              <w:rPr>
                <w:sz w:val="18"/>
                <w:szCs w:val="18"/>
              </w:rPr>
            </w:pPr>
          </w:p>
        </w:tc>
        <w:tc>
          <w:tcPr>
            <w:tcW w:w="709" w:type="dxa"/>
            <w:vMerge w:val="continue"/>
            <w:noWrap w:val="0"/>
            <w:vAlign w:val="center"/>
          </w:tcPr>
          <w:p>
            <w:pPr>
              <w:spacing w:line="300" w:lineRule="exact"/>
              <w:jc w:val="center"/>
              <w:rPr>
                <w:sz w:val="18"/>
                <w:szCs w:val="18"/>
              </w:rPr>
            </w:pPr>
          </w:p>
        </w:tc>
        <w:tc>
          <w:tcPr>
            <w:tcW w:w="7512" w:type="dxa"/>
            <w:noWrap w:val="0"/>
            <w:vAlign w:val="center"/>
          </w:tcPr>
          <w:p>
            <w:pPr>
              <w:spacing w:line="300" w:lineRule="exact"/>
              <w:jc w:val="left"/>
              <w:rPr>
                <w:sz w:val="18"/>
                <w:szCs w:val="18"/>
              </w:rPr>
            </w:pPr>
            <w:r>
              <w:rPr>
                <w:rFonts w:hint="eastAsia"/>
                <w:sz w:val="18"/>
                <w:szCs w:val="18"/>
              </w:rPr>
              <w:t>按照管理科室要求及时报送工作总结，总结内容详细，并符合要求。如有违反，每次扣2分。</w:t>
            </w:r>
          </w:p>
        </w:tc>
        <w:tc>
          <w:tcPr>
            <w:tcW w:w="708" w:type="dxa"/>
            <w:noWrap w:val="0"/>
            <w:vAlign w:val="top"/>
          </w:tcPr>
          <w:p>
            <w:pPr>
              <w:spacing w:line="300" w:lineRule="exact"/>
              <w:jc w:val="center"/>
              <w:rPr>
                <w:sz w:val="18"/>
                <w:szCs w:val="18"/>
              </w:rPr>
            </w:pPr>
          </w:p>
        </w:tc>
      </w:tr>
    </w:tbl>
    <w:p>
      <w:pPr>
        <w:jc w:val="left"/>
        <w:rPr>
          <w:sz w:val="18"/>
          <w:szCs w:val="18"/>
        </w:rPr>
      </w:pPr>
    </w:p>
    <w:p>
      <w:pPr>
        <w:rPr>
          <w:rFonts w:hint="eastAsia"/>
          <w:sz w:val="18"/>
          <w:szCs w:val="18"/>
        </w:rPr>
      </w:pPr>
      <w:r>
        <w:rPr>
          <w:rFonts w:hint="eastAsia"/>
          <w:sz w:val="18"/>
          <w:szCs w:val="18"/>
        </w:rPr>
        <w:t>配送公司：               验收人：             责任科室：                 责任科室负责人：</w:t>
      </w:r>
    </w:p>
    <w:p>
      <w:pPr>
        <w:pStyle w:val="18"/>
        <w:tabs>
          <w:tab w:val="left" w:pos="0"/>
        </w:tabs>
        <w:rPr>
          <w:rFonts w:hint="eastAsia"/>
          <w:lang w:eastAsia="zh-CN"/>
        </w:rPr>
      </w:pP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eastAsia="zh-CN"/>
        </w:rPr>
        <w:t>（</w:t>
      </w:r>
      <w:r>
        <w:rPr>
          <w:rFonts w:hint="eastAsia" w:ascii="仿宋" w:hAnsi="仿宋" w:eastAsia="仿宋" w:cs="仿宋"/>
          <w:sz w:val="28"/>
          <w:szCs w:val="28"/>
          <w:u w:val="none"/>
          <w:lang w:val="en-US" w:eastAsia="zh-CN"/>
        </w:rPr>
        <w:t>3</w:t>
      </w:r>
      <w:r>
        <w:rPr>
          <w:rFonts w:hint="eastAsia" w:ascii="仿宋" w:hAnsi="仿宋" w:eastAsia="仿宋" w:cs="仿宋"/>
          <w:sz w:val="28"/>
          <w:szCs w:val="28"/>
          <w:u w:val="none"/>
          <w:lang w:eastAsia="zh-CN"/>
        </w:rPr>
        <w:t>）</w:t>
      </w:r>
      <w:r>
        <w:rPr>
          <w:rFonts w:hint="eastAsia" w:ascii="仿宋" w:hAnsi="仿宋" w:eastAsia="仿宋" w:cs="仿宋"/>
          <w:sz w:val="28"/>
          <w:szCs w:val="28"/>
          <w:u w:val="none"/>
        </w:rPr>
        <w:t>责任追究制度</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采购人将定期或不定期地对配送工作进行督查。对投标供应商提供不合格产品或不按要求配送，影响正常就餐的，给予警告；情节严重的取消配送资格，因配送产品引发的食品安全事故或造成责任事故的取消供应商配送资格，并将追究其法律责任。</w:t>
      </w:r>
    </w:p>
    <w:p>
      <w:pPr>
        <w:keepNext w:val="0"/>
        <w:keepLines w:val="0"/>
        <w:pageBreakBefore w:val="0"/>
        <w:widowControl w:val="0"/>
        <w:kinsoku/>
        <w:wordWrap/>
        <w:overflowPunct/>
        <w:topLinePunct w:val="0"/>
        <w:autoSpaceDE/>
        <w:autoSpaceDN/>
        <w:bidi w:val="0"/>
        <w:spacing w:line="360" w:lineRule="exact"/>
        <w:ind w:firstLine="562" w:firstLineChars="200"/>
        <w:textAlignment w:val="auto"/>
        <w:rPr>
          <w:rFonts w:hint="eastAsia" w:ascii="仿宋" w:hAnsi="仿宋" w:eastAsia="仿宋" w:cs="仿宋"/>
          <w:b/>
          <w:bCs/>
          <w:sz w:val="28"/>
          <w:szCs w:val="28"/>
          <w:u w:val="none"/>
        </w:rPr>
      </w:pPr>
      <w:r>
        <w:rPr>
          <w:rFonts w:hint="eastAsia" w:ascii="仿宋" w:hAnsi="仿宋" w:eastAsia="仿宋" w:cs="仿宋"/>
          <w:b/>
          <w:bCs/>
          <w:sz w:val="28"/>
          <w:szCs w:val="28"/>
          <w:u w:val="none"/>
          <w:lang w:val="en-US" w:eastAsia="zh-CN"/>
        </w:rPr>
        <w:t>3.</w:t>
      </w:r>
      <w:r>
        <w:rPr>
          <w:rFonts w:hint="eastAsia" w:ascii="仿宋" w:hAnsi="仿宋" w:eastAsia="仿宋" w:cs="仿宋"/>
          <w:b/>
          <w:bCs/>
          <w:sz w:val="28"/>
          <w:szCs w:val="28"/>
          <w:u w:val="none"/>
        </w:rPr>
        <w:t>中标供应商签订合同时，签订《廉洁共建承诺书》，《廉洁共建承诺书》作为合同的一部分，中标供应商违反《廉洁共建承诺书》的承诺事项，采购人（甲方）有权单方解除合同，违约责任由中标供应商（乙方）承担。《廉洁共建承诺书》附后。</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lang w:val="en-US" w:eastAsia="zh-CN"/>
        </w:rPr>
        <w:t>4.</w:t>
      </w:r>
      <w:r>
        <w:rPr>
          <w:rFonts w:hint="eastAsia" w:ascii="仿宋" w:hAnsi="仿宋" w:eastAsia="仿宋" w:cs="仿宋"/>
          <w:sz w:val="28"/>
          <w:szCs w:val="28"/>
          <w:u w:val="none"/>
        </w:rPr>
        <w:t>履行合同时间、方式</w:t>
      </w:r>
    </w:p>
    <w:p>
      <w:pPr>
        <w:keepNext w:val="0"/>
        <w:keepLines w:val="0"/>
        <w:pageBreakBefore w:val="0"/>
        <w:widowControl w:val="0"/>
        <w:kinsoku/>
        <w:wordWrap/>
        <w:overflowPunct/>
        <w:topLinePunct w:val="0"/>
        <w:autoSpaceDE/>
        <w:autoSpaceDN/>
        <w:bidi w:val="0"/>
        <w:snapToGrid w:val="0"/>
        <w:spacing w:line="360" w:lineRule="exact"/>
        <w:ind w:firstLine="560" w:firstLineChars="200"/>
        <w:textAlignment w:val="auto"/>
        <w:rPr>
          <w:rFonts w:hint="eastAsia" w:ascii="仿宋" w:hAnsi="仿宋" w:eastAsia="仿宋" w:cs="仿宋"/>
          <w:sz w:val="28"/>
          <w:szCs w:val="28"/>
          <w:u w:val="none"/>
        </w:rPr>
      </w:pPr>
      <w:r>
        <w:rPr>
          <w:rFonts w:hint="eastAsia" w:ascii="仿宋" w:hAnsi="仿宋" w:eastAsia="仿宋" w:cs="仿宋"/>
          <w:sz w:val="28"/>
          <w:szCs w:val="28"/>
          <w:u w:val="none"/>
        </w:rPr>
        <w:t>本项目服务期限为1年，履约保证金为</w:t>
      </w:r>
      <w:r>
        <w:rPr>
          <w:rFonts w:hint="eastAsia" w:ascii="仿宋" w:hAnsi="仿宋" w:eastAsia="仿宋" w:cs="仿宋"/>
          <w:sz w:val="28"/>
          <w:szCs w:val="28"/>
          <w:u w:val="none"/>
          <w:lang w:val="en-US" w:eastAsia="zh-CN"/>
        </w:rPr>
        <w:t>25</w:t>
      </w:r>
      <w:r>
        <w:rPr>
          <w:rFonts w:hint="eastAsia" w:ascii="仿宋" w:hAnsi="仿宋" w:eastAsia="仿宋" w:cs="仿宋"/>
          <w:sz w:val="28"/>
          <w:szCs w:val="28"/>
          <w:u w:val="none"/>
        </w:rPr>
        <w:t>万元，履约保证金在合同有效期满，中标供应商按合同约定履约，无食材服务质量和重大的安全责任事故并且采购人在收到中标人开具的退还履约保证金凭证后，15个工作日内无息退还，因中标供应商原因所产生的违约金、损害赔偿、整改费用等费用，采购人均可直接从履约保证金中予以扣除。采购人在收到中标人开具的退还履约保证金凭证后15个工作日内以转账的方式支付到中标人银行账户，采购人逾期付款，则每日按</w:t>
      </w:r>
      <w:r>
        <w:rPr>
          <w:rFonts w:hint="eastAsia" w:ascii="仿宋" w:hAnsi="仿宋" w:eastAsia="仿宋" w:cs="仿宋"/>
          <w:sz w:val="28"/>
          <w:szCs w:val="28"/>
          <w:u w:val="none"/>
          <w:lang w:eastAsia="zh-CN"/>
        </w:rPr>
        <w:t>履约保证金</w:t>
      </w:r>
      <w:r>
        <w:rPr>
          <w:rFonts w:hint="eastAsia" w:ascii="仿宋" w:hAnsi="仿宋" w:eastAsia="仿宋" w:cs="仿宋"/>
          <w:sz w:val="28"/>
          <w:szCs w:val="28"/>
          <w:u w:val="none"/>
        </w:rPr>
        <w:t>的1‰向乙方偿付违约金。</w:t>
      </w:r>
    </w:p>
    <w:p>
      <w:pPr>
        <w:keepNext w:val="0"/>
        <w:keepLines w:val="0"/>
        <w:pageBreakBefore w:val="0"/>
        <w:widowControl w:val="0"/>
        <w:numPr>
          <w:ilvl w:val="0"/>
          <w:numId w:val="0"/>
        </w:numPr>
        <w:kinsoku/>
        <w:wordWrap/>
        <w:overflowPunct/>
        <w:topLinePunct w:val="0"/>
        <w:autoSpaceDE/>
        <w:autoSpaceDN/>
        <w:bidi w:val="0"/>
        <w:snapToGrid w:val="0"/>
        <w:spacing w:line="360" w:lineRule="exact"/>
        <w:textAlignment w:val="auto"/>
        <w:rPr>
          <w:rFonts w:hint="eastAsia" w:eastAsia="仿宋"/>
          <w:u w:val="none"/>
          <w:lang w:val="en-US" w:eastAsia="zh-CN"/>
        </w:rPr>
      </w:pPr>
      <w:r>
        <w:rPr>
          <w:rFonts w:hint="eastAsia" w:ascii="仿宋" w:hAnsi="仿宋" w:eastAsia="仿宋" w:cs="仿宋"/>
          <w:sz w:val="28"/>
          <w:szCs w:val="28"/>
          <w:u w:val="none"/>
          <w:lang w:val="en-US" w:eastAsia="zh-CN"/>
        </w:rPr>
        <w:t xml:space="preserve">    5.实质性要求</w:t>
      </w:r>
    </w:p>
    <w:p>
      <w:pPr>
        <w:pStyle w:val="80"/>
        <w:tabs>
          <w:tab w:val="left" w:pos="1134"/>
        </w:tabs>
        <w:snapToGrid w:val="0"/>
        <w:spacing w:line="360" w:lineRule="auto"/>
        <w:ind w:firstLineChars="0"/>
        <w:rPr>
          <w:rFonts w:asciiTheme="minorEastAsia" w:hAnsiTheme="minorEastAsia"/>
          <w:b/>
          <w:sz w:val="28"/>
          <w:szCs w:val="28"/>
        </w:rPr>
      </w:pPr>
      <w:r>
        <w:rPr>
          <w:rFonts w:hint="eastAsia" w:ascii="仿宋" w:hAnsi="仿宋" w:eastAsia="仿宋" w:cs="仿宋"/>
          <w:sz w:val="28"/>
          <w:szCs w:val="28"/>
          <w:u w:val="none"/>
          <w:lang w:val="en-US" w:eastAsia="zh-CN"/>
        </w:rPr>
        <w:t xml:space="preserve">    带★为实质性要求，必须完全响应，否则投标文件无效。</w:t>
      </w:r>
    </w:p>
    <w:bookmarkEnd w:id="156"/>
    <w:bookmarkEnd w:id="157"/>
    <w:p>
      <w:pPr>
        <w:widowControl/>
        <w:jc w:val="left"/>
        <w:rPr>
          <w:rFonts w:ascii="宋体" w:hAnsi="宋体"/>
          <w:b/>
          <w:bCs/>
          <w:spacing w:val="-20"/>
          <w:kern w:val="44"/>
          <w:sz w:val="32"/>
          <w:szCs w:val="32"/>
        </w:rPr>
      </w:pPr>
      <w:r>
        <w:rPr>
          <w:rFonts w:ascii="宋体" w:hAnsi="宋体"/>
          <w:b/>
          <w:bCs/>
          <w:spacing w:val="-20"/>
          <w:kern w:val="44"/>
          <w:sz w:val="32"/>
          <w:szCs w:val="32"/>
        </w:rPr>
        <w:br w:type="page"/>
      </w:r>
    </w:p>
    <w:p>
      <w:pPr>
        <w:keepNext/>
        <w:keepLines/>
        <w:numPr>
          <w:ilvl w:val="0"/>
          <w:numId w:val="3"/>
        </w:numPr>
        <w:spacing w:before="340" w:after="330" w:line="400" w:lineRule="exact"/>
        <w:outlineLvl w:val="0"/>
        <w:rPr>
          <w:rFonts w:ascii="宋体" w:hAnsi="宋体"/>
          <w:b/>
          <w:bCs/>
          <w:spacing w:val="-20"/>
          <w:kern w:val="44"/>
          <w:sz w:val="32"/>
          <w:szCs w:val="32"/>
        </w:rPr>
      </w:pPr>
      <w:bookmarkStart w:id="161" w:name="_Toc14558"/>
      <w:r>
        <w:rPr>
          <w:rFonts w:hint="eastAsia" w:ascii="宋体" w:hAnsi="宋体"/>
          <w:b/>
          <w:bCs/>
          <w:spacing w:val="-20"/>
          <w:kern w:val="44"/>
          <w:sz w:val="32"/>
          <w:szCs w:val="32"/>
        </w:rPr>
        <w:t>资格性审查</w:t>
      </w:r>
      <w:bookmarkEnd w:id="161"/>
    </w:p>
    <w:p>
      <w:pPr>
        <w:tabs>
          <w:tab w:val="left" w:pos="851"/>
        </w:tabs>
        <w:spacing w:line="360" w:lineRule="auto"/>
        <w:ind w:firstLine="484" w:firstLineChars="202"/>
        <w:rPr>
          <w:rFonts w:ascii="宋体" w:hAnsi="宋体"/>
          <w:sz w:val="24"/>
          <w:szCs w:val="24"/>
        </w:rPr>
      </w:pPr>
      <w:r>
        <w:rPr>
          <w:rFonts w:hint="eastAsia" w:ascii="宋体" w:hAnsi="宋体"/>
          <w:sz w:val="24"/>
          <w:szCs w:val="24"/>
        </w:rPr>
        <w:t>资格性审查由采购人组建的资格审查小组依据法律法规和招标文件的规定，对投标文件中的资格证明等进行审查，以确定投标人是否具备投标资格，并出具资格性审查报告。</w:t>
      </w:r>
    </w:p>
    <w:p>
      <w:pPr>
        <w:tabs>
          <w:tab w:val="left" w:pos="851"/>
        </w:tabs>
        <w:spacing w:line="360" w:lineRule="auto"/>
        <w:ind w:firstLine="484" w:firstLineChars="202"/>
        <w:rPr>
          <w:rFonts w:ascii="宋体" w:hAnsi="宋体"/>
          <w:sz w:val="24"/>
          <w:szCs w:val="24"/>
        </w:rPr>
      </w:pPr>
      <w:r>
        <w:rPr>
          <w:rFonts w:hint="eastAsia" w:ascii="宋体" w:hAnsi="宋体"/>
          <w:sz w:val="24"/>
          <w:szCs w:val="24"/>
        </w:rPr>
        <w:t>资格性审查时因断电、断网、系统故障或其他不可抗力等因素，导致资格审查小组无法通过系统阅读投标文件进行审查的，待系统恢复后继续审查。出现上述情况时，</w:t>
      </w:r>
      <w:r>
        <w:rPr>
          <w:rFonts w:hint="eastAsia" w:ascii="宋体" w:hAnsi="宋体"/>
          <w:sz w:val="24"/>
          <w:szCs w:val="24"/>
          <w:lang w:eastAsia="zh-CN"/>
        </w:rPr>
        <w:t>区政府采购中心</w:t>
      </w:r>
      <w:r>
        <w:rPr>
          <w:rFonts w:hint="eastAsia" w:ascii="宋体" w:hAnsi="宋体"/>
          <w:sz w:val="24"/>
          <w:szCs w:val="24"/>
        </w:rPr>
        <w:t>将以电子邮件形式通知各投标人。资格性审查标准见下表：</w:t>
      </w: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2"/>
        <w:gridCol w:w="444"/>
        <w:gridCol w:w="1747"/>
        <w:gridCol w:w="59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2913" w:type="dxa"/>
            <w:gridSpan w:val="3"/>
            <w:tcBorders>
              <w:top w:val="single" w:color="auto" w:sz="2" w:space="0"/>
              <w:left w:val="single" w:color="auto" w:sz="2" w:space="0"/>
              <w:bottom w:val="single" w:color="auto" w:sz="4" w:space="0"/>
              <w:right w:val="single" w:color="auto" w:sz="2" w:space="0"/>
            </w:tcBorders>
            <w:vAlign w:val="center"/>
          </w:tcPr>
          <w:p>
            <w:pPr>
              <w:tabs>
                <w:tab w:val="left" w:pos="851"/>
              </w:tabs>
              <w:spacing w:line="360" w:lineRule="auto"/>
              <w:jc w:val="center"/>
              <w:rPr>
                <w:b/>
                <w:sz w:val="20"/>
              </w:rPr>
            </w:pPr>
            <w:r>
              <w:rPr>
                <w:rFonts w:hint="eastAsia"/>
                <w:b/>
                <w:sz w:val="20"/>
              </w:rPr>
              <w:t>资格性审查项</w:t>
            </w:r>
          </w:p>
        </w:tc>
        <w:tc>
          <w:tcPr>
            <w:tcW w:w="5943" w:type="dxa"/>
            <w:tcBorders>
              <w:top w:val="single" w:color="auto" w:sz="2" w:space="0"/>
              <w:left w:val="single" w:color="auto" w:sz="2" w:space="0"/>
              <w:bottom w:val="single" w:color="auto" w:sz="4" w:space="0"/>
              <w:right w:val="single" w:color="auto" w:sz="2" w:space="0"/>
            </w:tcBorders>
            <w:vAlign w:val="center"/>
          </w:tcPr>
          <w:p>
            <w:pPr>
              <w:tabs>
                <w:tab w:val="left" w:pos="851"/>
              </w:tabs>
              <w:spacing w:line="360" w:lineRule="auto"/>
              <w:jc w:val="center"/>
              <w:rPr>
                <w:sz w:val="20"/>
              </w:rPr>
            </w:pPr>
            <w:r>
              <w:rPr>
                <w:rFonts w:hint="eastAsia"/>
                <w:b/>
                <w:sz w:val="20"/>
              </w:rPr>
              <w:t>通过条件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tcBorders>
              <w:top w:val="single" w:color="auto" w:sz="2" w:space="0"/>
              <w:left w:val="single" w:color="auto" w:sz="2" w:space="0"/>
              <w:right w:val="single" w:color="auto" w:sz="2" w:space="0"/>
            </w:tcBorders>
            <w:vAlign w:val="center"/>
          </w:tcPr>
          <w:p>
            <w:pPr>
              <w:tabs>
                <w:tab w:val="left" w:pos="851"/>
              </w:tabs>
              <w:spacing w:line="360" w:lineRule="auto"/>
              <w:jc w:val="center"/>
              <w:rPr>
                <w:sz w:val="20"/>
              </w:rPr>
            </w:pPr>
            <w:r>
              <w:rPr>
                <w:sz w:val="20"/>
              </w:rPr>
              <w:t>1</w:t>
            </w:r>
          </w:p>
        </w:tc>
        <w:tc>
          <w:tcPr>
            <w:tcW w:w="2191" w:type="dxa"/>
            <w:gridSpan w:val="2"/>
            <w:tcBorders>
              <w:top w:val="single" w:color="auto" w:sz="2" w:space="0"/>
              <w:left w:val="single" w:color="auto" w:sz="2" w:space="0"/>
              <w:right w:val="single" w:color="auto" w:sz="2" w:space="0"/>
            </w:tcBorders>
            <w:vAlign w:val="center"/>
          </w:tcPr>
          <w:p>
            <w:pPr>
              <w:tabs>
                <w:tab w:val="left" w:pos="851"/>
              </w:tabs>
              <w:spacing w:line="360" w:lineRule="auto"/>
              <w:rPr>
                <w:sz w:val="20"/>
              </w:rPr>
            </w:pPr>
            <w:r>
              <w:rPr>
                <w:rFonts w:hint="eastAsia"/>
                <w:sz w:val="20"/>
              </w:rPr>
              <w:t>投标人应具有独立承担民事责任的能力</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营业执照（正本或副本）或法人登记证（正本或副本）或其他能够证明投标人具有独立承担民事责任能力的相关证明材料复印件【注：</w:t>
            </w:r>
            <w:r>
              <w:rPr>
                <w:rFonts w:hint="eastAsia" w:ascii="宋体" w:hAnsi="宋体"/>
                <w:sz w:val="20"/>
                <w:szCs w:val="28"/>
              </w:rPr>
              <w:t>①</w:t>
            </w:r>
            <w:r>
              <w:rPr>
                <w:rFonts w:hint="eastAsia"/>
                <w:sz w:val="20"/>
              </w:rPr>
              <w:t>营业执照或法人登记证或其他证明材料载明有期限的，应在有效期限内；</w:t>
            </w:r>
            <w:r>
              <w:rPr>
                <w:rFonts w:hint="eastAsia" w:ascii="宋体" w:hAnsi="宋体"/>
                <w:sz w:val="20"/>
                <w:szCs w:val="28"/>
              </w:rPr>
              <w:t>②</w:t>
            </w:r>
            <w:r>
              <w:rPr>
                <w:rFonts w:hint="eastAsia"/>
                <w:sz w:val="20"/>
              </w:rPr>
              <w:t>在中华人民共和国境内注册。】。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restart"/>
            <w:tcBorders>
              <w:top w:val="single" w:color="auto" w:sz="2" w:space="0"/>
              <w:left w:val="single" w:color="auto" w:sz="2" w:space="0"/>
              <w:right w:val="single" w:color="auto" w:sz="2" w:space="0"/>
            </w:tcBorders>
            <w:vAlign w:val="center"/>
          </w:tcPr>
          <w:p>
            <w:pPr>
              <w:tabs>
                <w:tab w:val="left" w:pos="851"/>
              </w:tabs>
              <w:spacing w:line="360" w:lineRule="auto"/>
              <w:jc w:val="center"/>
              <w:rPr>
                <w:sz w:val="20"/>
              </w:rPr>
            </w:pPr>
            <w:r>
              <w:rPr>
                <w:sz w:val="20"/>
              </w:rPr>
              <w:t>2</w:t>
            </w:r>
          </w:p>
        </w:tc>
        <w:tc>
          <w:tcPr>
            <w:tcW w:w="444" w:type="dxa"/>
            <w:vMerge w:val="restart"/>
            <w:tcBorders>
              <w:top w:val="single" w:color="auto" w:sz="2" w:space="0"/>
              <w:left w:val="single" w:color="auto" w:sz="2" w:space="0"/>
              <w:right w:val="single" w:color="auto" w:sz="2" w:space="0"/>
            </w:tcBorders>
            <w:vAlign w:val="center"/>
          </w:tcPr>
          <w:p>
            <w:pPr>
              <w:tabs>
                <w:tab w:val="left" w:pos="851"/>
              </w:tabs>
              <w:spacing w:line="360" w:lineRule="auto"/>
              <w:rPr>
                <w:sz w:val="20"/>
              </w:rPr>
            </w:pPr>
            <w:r>
              <w:rPr>
                <w:rFonts w:hint="eastAsia"/>
                <w:sz w:val="20"/>
              </w:rPr>
              <w:t>书面声明材料</w:t>
            </w: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具有良好的商业信誉的证明材料</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投标人具有良好的商业信誉的书面声明材料。【说明：</w:t>
            </w:r>
            <w:r>
              <w:rPr>
                <w:rFonts w:hint="eastAsia" w:ascii="宋体" w:hAnsi="宋体"/>
                <w:sz w:val="20"/>
                <w:szCs w:val="28"/>
              </w:rPr>
              <w:t>①</w:t>
            </w:r>
            <w:r>
              <w:rPr>
                <w:rFonts w:hint="eastAsia"/>
                <w:sz w:val="20"/>
              </w:rPr>
              <w:t>按招标文件第</w:t>
            </w:r>
            <w:r>
              <w:rPr>
                <w:sz w:val="20"/>
              </w:rPr>
              <w:t>3</w:t>
            </w:r>
            <w:r>
              <w:rPr>
                <w:rFonts w:hint="eastAsia"/>
                <w:sz w:val="20"/>
              </w:rPr>
              <w:t>章的内容及要求提供书面声明材料</w:t>
            </w:r>
            <w:r>
              <w:rPr>
                <w:rFonts w:hint="eastAsia" w:ascii="宋体" w:hAnsi="宋体"/>
                <w:sz w:val="20"/>
                <w:szCs w:val="28"/>
              </w:rPr>
              <w:t>；②供应商具有良好的商业信誉</w:t>
            </w:r>
            <w:r>
              <w:rPr>
                <w:rFonts w:hint="eastAsia"/>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444"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参加政府采购活动前三年内，在经营活动中没有重大违法记录</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sz w:val="20"/>
              </w:rPr>
              <w:t>1.</w:t>
            </w:r>
            <w:r>
              <w:rPr>
                <w:rFonts w:hint="eastAsia"/>
                <w:sz w:val="20"/>
              </w:rPr>
              <w:t>投标人参加政府采购活动前三年内，在经营活动中没有重大违法记录的书面声明材料。【说明：</w:t>
            </w:r>
            <w:r>
              <w:rPr>
                <w:rFonts w:hint="eastAsia" w:ascii="宋体" w:hAnsi="宋体"/>
                <w:sz w:val="20"/>
                <w:szCs w:val="28"/>
              </w:rPr>
              <w:t>①</w:t>
            </w:r>
            <w:r>
              <w:rPr>
                <w:rFonts w:hint="eastAsia"/>
                <w:sz w:val="20"/>
              </w:rPr>
              <w:t>按第</w:t>
            </w:r>
            <w:r>
              <w:rPr>
                <w:sz w:val="20"/>
              </w:rPr>
              <w:t>3</w:t>
            </w:r>
            <w:r>
              <w:rPr>
                <w:rFonts w:hint="eastAsia"/>
                <w:sz w:val="20"/>
              </w:rPr>
              <w:t>章的内容及要求提供书面声明材料；</w:t>
            </w:r>
            <w:r>
              <w:rPr>
                <w:rFonts w:hint="eastAsia" w:ascii="宋体" w:hAnsi="宋体"/>
                <w:sz w:val="20"/>
                <w:szCs w:val="28"/>
              </w:rPr>
              <w:t>②供应商参加政府采购活动前三年内，在经营活动中没有重大违法记录</w:t>
            </w:r>
            <w:r>
              <w:rPr>
                <w:rFonts w:hint="eastAsia"/>
                <w:sz w:val="20"/>
              </w:rPr>
              <w:t>。】</w:t>
            </w:r>
          </w:p>
          <w:p>
            <w:pPr>
              <w:tabs>
                <w:tab w:val="left" w:pos="851"/>
              </w:tabs>
              <w:spacing w:line="360" w:lineRule="auto"/>
              <w:rPr>
                <w:sz w:val="20"/>
              </w:rPr>
            </w:pPr>
            <w:r>
              <w:rPr>
                <w:sz w:val="20"/>
              </w:rPr>
              <w:t xml:space="preserve">2. </w:t>
            </w:r>
            <w:r>
              <w:rPr>
                <w:rFonts w:hint="eastAsia"/>
                <w:sz w:val="20"/>
              </w:rPr>
              <w:t>资格审查小组根据</w:t>
            </w:r>
            <w:r>
              <w:rPr>
                <w:sz w:val="20"/>
              </w:rPr>
              <w:t>“</w:t>
            </w:r>
            <w:r>
              <w:rPr>
                <w:rFonts w:hint="eastAsia"/>
                <w:sz w:val="20"/>
              </w:rPr>
              <w:t>信用中国</w:t>
            </w:r>
            <w:r>
              <w:rPr>
                <w:sz w:val="20"/>
              </w:rPr>
              <w:t>”</w:t>
            </w:r>
            <w:r>
              <w:rPr>
                <w:rFonts w:hint="eastAsia"/>
                <w:sz w:val="20"/>
              </w:rPr>
              <w:t>和</w:t>
            </w:r>
            <w:r>
              <w:rPr>
                <w:sz w:val="20"/>
              </w:rPr>
              <w:t>“</w:t>
            </w:r>
            <w:r>
              <w:rPr>
                <w:rFonts w:hint="eastAsia"/>
                <w:sz w:val="20"/>
              </w:rPr>
              <w:t>中国政府采购网</w:t>
            </w:r>
            <w:r>
              <w:rPr>
                <w:sz w:val="20"/>
              </w:rPr>
              <w:t>”</w:t>
            </w:r>
            <w:r>
              <w:rPr>
                <w:rFonts w:hint="eastAsia"/>
                <w:sz w:val="20"/>
              </w:rPr>
              <w:t>网站的查询结果，在资格审查期间对投标人在参加政府采购活动前三年内，在经营活动中是否有重大违法记录进行审查。【说明：投标人参加政府采购活动前三年内，在经营活动中没有重大违法记录。】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444"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未被列入失信被执行人、重大税收违法案件当事人名单、政府采购严重违法失信行为记录名单</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sz w:val="20"/>
              </w:rPr>
              <w:t>1.</w:t>
            </w:r>
            <w:r>
              <w:rPr>
                <w:rFonts w:hint="eastAsia"/>
                <w:sz w:val="20"/>
              </w:rPr>
              <w:t>投标人未列入失信被执行人、重大税收违法案件当事人名单、政府采购严重违法失信行为记录名单的书面声明材料。【说明：</w:t>
            </w:r>
            <w:r>
              <w:rPr>
                <w:rFonts w:hint="eastAsia" w:ascii="宋体" w:hAnsi="宋体"/>
                <w:sz w:val="20"/>
                <w:szCs w:val="28"/>
              </w:rPr>
              <w:t>①</w:t>
            </w:r>
            <w:r>
              <w:rPr>
                <w:rFonts w:hint="eastAsia"/>
                <w:sz w:val="20"/>
              </w:rPr>
              <w:t>投标人未列入失信被执行人、重大税收违法案件当事人名单、政府采购严重违法失信行为记录名单；</w:t>
            </w:r>
            <w:r>
              <w:rPr>
                <w:rFonts w:hint="eastAsia" w:ascii="宋体" w:hAnsi="宋体"/>
                <w:sz w:val="20"/>
                <w:szCs w:val="28"/>
              </w:rPr>
              <w:t>②</w:t>
            </w:r>
            <w:r>
              <w:rPr>
                <w:rFonts w:hint="eastAsia"/>
                <w:sz w:val="20"/>
              </w:rPr>
              <w:t>按第</w:t>
            </w:r>
            <w:r>
              <w:rPr>
                <w:sz w:val="20"/>
              </w:rPr>
              <w:t>3</w:t>
            </w:r>
            <w:r>
              <w:rPr>
                <w:rFonts w:hint="eastAsia"/>
                <w:sz w:val="20"/>
              </w:rPr>
              <w:t>章的内容及要求提供书面声明材料。】</w:t>
            </w:r>
          </w:p>
          <w:p>
            <w:pPr>
              <w:tabs>
                <w:tab w:val="left" w:pos="851"/>
              </w:tabs>
              <w:spacing w:line="360" w:lineRule="auto"/>
              <w:rPr>
                <w:sz w:val="20"/>
              </w:rPr>
            </w:pPr>
            <w:r>
              <w:rPr>
                <w:sz w:val="20"/>
              </w:rPr>
              <w:t xml:space="preserve">2. </w:t>
            </w:r>
            <w:r>
              <w:rPr>
                <w:rFonts w:hint="eastAsia"/>
                <w:sz w:val="20"/>
              </w:rPr>
              <w:t>资格审查小组根据</w:t>
            </w:r>
            <w:r>
              <w:rPr>
                <w:sz w:val="20"/>
              </w:rPr>
              <w:t>“</w:t>
            </w:r>
            <w:r>
              <w:rPr>
                <w:rFonts w:hint="eastAsia"/>
                <w:sz w:val="20"/>
              </w:rPr>
              <w:t>信用中国</w:t>
            </w:r>
            <w:r>
              <w:rPr>
                <w:sz w:val="20"/>
              </w:rPr>
              <w:t>”</w:t>
            </w:r>
            <w:r>
              <w:rPr>
                <w:rFonts w:hint="eastAsia"/>
                <w:sz w:val="20"/>
              </w:rPr>
              <w:t>和</w:t>
            </w:r>
            <w:r>
              <w:rPr>
                <w:sz w:val="20"/>
              </w:rPr>
              <w:t>“</w:t>
            </w:r>
            <w:r>
              <w:rPr>
                <w:rFonts w:hint="eastAsia"/>
                <w:sz w:val="20"/>
              </w:rPr>
              <w:t>中国政府采购网</w:t>
            </w:r>
            <w:r>
              <w:rPr>
                <w:sz w:val="20"/>
              </w:rPr>
              <w:t>”</w:t>
            </w:r>
            <w:r>
              <w:rPr>
                <w:rFonts w:hint="eastAsia"/>
                <w:sz w:val="20"/>
              </w:rPr>
              <w:t>网站的查询结果，在资格审查期间对投标人是否被列入失信被执行人、重大税收违法案件当事人名单、政府采购严重违法失信行为记录名单进行审查。【说明：投标人未列入失信被执行人、重大税收违法案件当事人名单、政府采购严重违法失信行为记录名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444"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未处于被行政部门禁止参与政府采购活动的期限内</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投标人未处于被行政部门禁止参与政府采购活动的期限内。【说明：</w:t>
            </w:r>
            <w:r>
              <w:rPr>
                <w:rFonts w:hint="eastAsia" w:ascii="宋体" w:hAnsi="宋体"/>
                <w:sz w:val="20"/>
                <w:szCs w:val="28"/>
              </w:rPr>
              <w:t>①</w:t>
            </w:r>
            <w:r>
              <w:rPr>
                <w:rFonts w:hint="eastAsia"/>
                <w:sz w:val="20"/>
              </w:rPr>
              <w:t>按招标文件第</w:t>
            </w:r>
            <w:r>
              <w:rPr>
                <w:sz w:val="20"/>
              </w:rPr>
              <w:t>3</w:t>
            </w:r>
            <w:r>
              <w:rPr>
                <w:rFonts w:hint="eastAsia"/>
                <w:sz w:val="20"/>
              </w:rPr>
              <w:t>章的内容及要求提供书面声明材料</w:t>
            </w:r>
            <w:r>
              <w:rPr>
                <w:rFonts w:hint="eastAsia" w:ascii="宋体" w:hAnsi="宋体"/>
                <w:sz w:val="20"/>
                <w:szCs w:val="28"/>
              </w:rPr>
              <w:t>；②供应商未处于被行政部门禁止参与政府采购活动的期限内。</w:t>
            </w:r>
            <w:r>
              <w:rPr>
                <w:rFonts w:hint="eastAsia"/>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444"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行贿犯罪记录</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在行贿犯罪信息查询期限内，投标人及其现任法定代表人、主要负责人没有行贿犯罪记录的书面声明材料。【说明：</w:t>
            </w:r>
            <w:r>
              <w:rPr>
                <w:rFonts w:hint="eastAsia" w:ascii="宋体" w:hAnsi="宋体"/>
                <w:sz w:val="20"/>
                <w:szCs w:val="28"/>
              </w:rPr>
              <w:t>①</w:t>
            </w:r>
            <w:r>
              <w:rPr>
                <w:rFonts w:hint="eastAsia"/>
                <w:sz w:val="20"/>
              </w:rPr>
              <w:t>按招标文件第</w:t>
            </w:r>
            <w:r>
              <w:rPr>
                <w:sz w:val="20"/>
              </w:rPr>
              <w:t>3</w:t>
            </w:r>
            <w:r>
              <w:rPr>
                <w:rFonts w:hint="eastAsia"/>
                <w:sz w:val="20"/>
              </w:rPr>
              <w:t>章的内容及要求提供书面声明材料，投标文件中不需提供中国裁判文书网（</w:t>
            </w:r>
            <w:r>
              <w:rPr>
                <w:sz w:val="20"/>
              </w:rPr>
              <w:t>https://wenshu.court.gov.cn</w:t>
            </w:r>
            <w:r>
              <w:rPr>
                <w:rFonts w:hint="eastAsia"/>
                <w:sz w:val="20"/>
              </w:rPr>
              <w:t>）查询结果的证明材料；</w:t>
            </w:r>
            <w:r>
              <w:rPr>
                <w:rFonts w:hint="eastAsia" w:ascii="宋体" w:hAnsi="宋体"/>
                <w:sz w:val="20"/>
                <w:szCs w:val="28"/>
              </w:rPr>
              <w:t>②在行贿犯罪信息查询期限内，供应商及其现任法定代表人、主要负责人没有行贿犯罪记录</w:t>
            </w:r>
            <w:r>
              <w:rPr>
                <w:rFonts w:hint="eastAsia"/>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bottom w:val="single" w:color="auto" w:sz="2" w:space="0"/>
              <w:right w:val="single" w:color="auto" w:sz="2" w:space="0"/>
            </w:tcBorders>
            <w:vAlign w:val="center"/>
          </w:tcPr>
          <w:p>
            <w:pPr>
              <w:tabs>
                <w:tab w:val="left" w:pos="851"/>
              </w:tabs>
              <w:spacing w:line="360" w:lineRule="auto"/>
              <w:rPr>
                <w:sz w:val="20"/>
              </w:rPr>
            </w:pPr>
          </w:p>
        </w:tc>
        <w:tc>
          <w:tcPr>
            <w:tcW w:w="444" w:type="dxa"/>
            <w:vMerge w:val="continue"/>
            <w:tcBorders>
              <w:left w:val="single" w:color="auto" w:sz="2" w:space="0"/>
              <w:bottom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单位负责人为同一人或者存在直接控股、管理关系的不同供应商，不得参加同一项目的投标</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ascii="宋体" w:hAnsi="宋体"/>
                <w:sz w:val="20"/>
                <w:szCs w:val="28"/>
              </w:rPr>
              <w:t>负责人为同一人或者存在直接控股、管理关系的不同投标人未同时参加本项目书面声明材料。【说明：①按招标文件3.2.2声明内容提供书面声明材料；②参加本项目采购活动的投标人中无与其他同时参加本项目的投标人负责人为同一人的情况，不存在直接控股、管理关系的投标人参加本项目的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restart"/>
            <w:tcBorders>
              <w:left w:val="single" w:color="auto" w:sz="2" w:space="0"/>
              <w:right w:val="single" w:color="auto" w:sz="2" w:space="0"/>
            </w:tcBorders>
            <w:vAlign w:val="center"/>
          </w:tcPr>
          <w:p>
            <w:pPr>
              <w:tabs>
                <w:tab w:val="left" w:pos="851"/>
              </w:tabs>
              <w:spacing w:line="360" w:lineRule="auto"/>
              <w:jc w:val="center"/>
              <w:rPr>
                <w:sz w:val="20"/>
              </w:rPr>
            </w:pPr>
            <w:r>
              <w:rPr>
                <w:rFonts w:hint="eastAsia"/>
                <w:sz w:val="20"/>
              </w:rPr>
              <w:t>3</w:t>
            </w:r>
          </w:p>
        </w:tc>
        <w:tc>
          <w:tcPr>
            <w:tcW w:w="444" w:type="dxa"/>
            <w:vMerge w:val="restart"/>
            <w:tcBorders>
              <w:left w:val="single" w:color="auto" w:sz="2" w:space="0"/>
              <w:right w:val="single" w:color="auto" w:sz="2" w:space="0"/>
            </w:tcBorders>
            <w:vAlign w:val="center"/>
          </w:tcPr>
          <w:p>
            <w:pPr>
              <w:tabs>
                <w:tab w:val="left" w:pos="851"/>
              </w:tabs>
              <w:spacing w:line="360" w:lineRule="auto"/>
              <w:rPr>
                <w:sz w:val="20"/>
              </w:rPr>
            </w:pPr>
            <w:r>
              <w:rPr>
                <w:rFonts w:hint="eastAsia"/>
                <w:sz w:val="20"/>
              </w:rPr>
              <w:t>其他</w:t>
            </w: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具有履行合同所必须的设备和专业技术能力</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采购人对投标人履行合同所必须的设备和专业技术能力无其他特殊要求，投标人具有有效的营业执照或法人证书</w:t>
            </w:r>
            <w:r>
              <w:rPr>
                <w:rFonts w:hint="eastAsia"/>
                <w:sz w:val="20"/>
                <w:lang w:eastAsia="zh-CN"/>
              </w:rPr>
              <w:t>的</w:t>
            </w:r>
            <w:r>
              <w:rPr>
                <w:rFonts w:hint="eastAsia" w:ascii="宋体" w:hAnsi="宋体"/>
                <w:sz w:val="20"/>
                <w:szCs w:val="28"/>
              </w:rPr>
              <w:t>可不提供证明材料</w:t>
            </w:r>
            <w:r>
              <w:rPr>
                <w:rFonts w:hint="eastAsia"/>
                <w:sz w:val="20"/>
              </w:rPr>
              <w:t>。【说明：无须提供证明材料，上传空白页即可，不对本项上传的材料作资格审查】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right w:val="single" w:color="auto" w:sz="2" w:space="0"/>
            </w:tcBorders>
            <w:vAlign w:val="center"/>
          </w:tcPr>
          <w:p>
            <w:pPr>
              <w:tabs>
                <w:tab w:val="left" w:pos="851"/>
              </w:tabs>
              <w:spacing w:line="360" w:lineRule="auto"/>
              <w:jc w:val="center"/>
              <w:rPr>
                <w:sz w:val="20"/>
              </w:rPr>
            </w:pPr>
          </w:p>
        </w:tc>
        <w:tc>
          <w:tcPr>
            <w:tcW w:w="444"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法律、行政法规规定的其他条件</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采购人对法律、行政法规规定的其他条件无其他特殊要求，投标人</w:t>
            </w:r>
            <w:r>
              <w:rPr>
                <w:rFonts w:hint="eastAsia" w:ascii="宋体" w:hAnsi="宋体"/>
                <w:sz w:val="20"/>
                <w:szCs w:val="28"/>
              </w:rPr>
              <w:t>可不提供证明材料</w:t>
            </w:r>
            <w:r>
              <w:rPr>
                <w:rFonts w:hint="eastAsia"/>
                <w:sz w:val="20"/>
              </w:rPr>
              <w:t>。【说明：无须提供证明材料，上传空白页即可，不对本项上传的材料作资格审查】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right w:val="single" w:color="auto" w:sz="2" w:space="0"/>
            </w:tcBorders>
            <w:vAlign w:val="center"/>
          </w:tcPr>
          <w:p>
            <w:pPr>
              <w:tabs>
                <w:tab w:val="left" w:pos="851"/>
              </w:tabs>
              <w:spacing w:line="360" w:lineRule="auto"/>
              <w:jc w:val="center"/>
              <w:rPr>
                <w:sz w:val="20"/>
              </w:rPr>
            </w:pPr>
          </w:p>
        </w:tc>
        <w:tc>
          <w:tcPr>
            <w:tcW w:w="444"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不属于国家相关法律法规规定的其他禁止参加投标的情形</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sz w:val="20"/>
              </w:rPr>
              <w:t>1</w:t>
            </w:r>
            <w:r>
              <w:rPr>
                <w:rFonts w:hint="eastAsia"/>
                <w:sz w:val="20"/>
              </w:rPr>
              <w:t>、根据招标文件的要求不属于禁止参加投标或投标无效的供应商；</w:t>
            </w:r>
          </w:p>
          <w:p>
            <w:pPr>
              <w:tabs>
                <w:tab w:val="left" w:pos="851"/>
              </w:tabs>
              <w:spacing w:line="360" w:lineRule="auto"/>
              <w:rPr>
                <w:sz w:val="20"/>
              </w:rPr>
            </w:pPr>
            <w:r>
              <w:rPr>
                <w:sz w:val="20"/>
              </w:rPr>
              <w:t>2</w:t>
            </w:r>
            <w:r>
              <w:rPr>
                <w:rFonts w:hint="eastAsia"/>
                <w:sz w:val="20"/>
              </w:rPr>
              <w:t>、资格审查小组未发现或者未知晓投标人存在属于国家相关法律法规规定的禁止参加投标或投标无效的供应商。</w:t>
            </w:r>
          </w:p>
          <w:p>
            <w:pPr>
              <w:tabs>
                <w:tab w:val="left" w:pos="851"/>
              </w:tabs>
              <w:spacing w:line="360" w:lineRule="auto"/>
              <w:rPr>
                <w:sz w:val="20"/>
              </w:rPr>
            </w:pPr>
            <w:r>
              <w:rPr>
                <w:rFonts w:hint="eastAsia"/>
                <w:sz w:val="20"/>
              </w:rPr>
              <w:t>【说明：无须提供证明材料，上传空白页即可，不对本项上传的材料作资格审查】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444"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联合体投标</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非联合体投标。【说明：无须提供证明材料，上传空白页即可，不对本项上传的材料作资格审查】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444"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资质要求</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cs="Times New Roman"/>
                <w:sz w:val="20"/>
              </w:rPr>
              <w:t>投标供应商需具有在有效期内的食品生产许可证或食品经营许可证</w:t>
            </w:r>
            <w:r>
              <w:rPr>
                <w:rFonts w:hint="eastAsia" w:cs="Times New Roman"/>
                <w:sz w:val="20"/>
                <w:lang w:eastAsia="zh-CN"/>
              </w:rPr>
              <w:t>。</w:t>
            </w:r>
            <w:r>
              <w:rPr>
                <w:rFonts w:hint="eastAsia"/>
                <w:sz w:val="20"/>
              </w:rPr>
              <w:t>【说明：</w:t>
            </w:r>
            <w:r>
              <w:rPr>
                <w:rFonts w:hint="eastAsia"/>
                <w:sz w:val="20"/>
                <w:highlight w:val="yellow"/>
              </w:rPr>
              <w:t>两个证有其中一个即可</w:t>
            </w:r>
            <w:r>
              <w:rPr>
                <w:rFonts w:hint="eastAsia"/>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444"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投标保证金</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无【说明：无须提供证明材料，上传空白页即可，不对本项上传的材料作资格审查】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444" w:type="dxa"/>
            <w:vMerge w:val="continue"/>
            <w:tcBorders>
              <w:left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投标文件签章</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投标文件加盖有投标人（法定名称）电子签章。【说明：无须提供证明材料，上传空白页即可，不对本项上传的材料作资格审查】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vMerge w:val="continue"/>
            <w:tcBorders>
              <w:left w:val="single" w:color="auto" w:sz="2" w:space="0"/>
              <w:bottom w:val="single" w:color="auto" w:sz="2" w:space="0"/>
              <w:right w:val="single" w:color="auto" w:sz="2" w:space="0"/>
            </w:tcBorders>
            <w:vAlign w:val="center"/>
          </w:tcPr>
          <w:p>
            <w:pPr>
              <w:tabs>
                <w:tab w:val="left" w:pos="851"/>
              </w:tabs>
              <w:spacing w:line="360" w:lineRule="auto"/>
              <w:rPr>
                <w:sz w:val="20"/>
              </w:rPr>
            </w:pPr>
          </w:p>
        </w:tc>
        <w:tc>
          <w:tcPr>
            <w:tcW w:w="444" w:type="dxa"/>
            <w:vMerge w:val="continue"/>
            <w:tcBorders>
              <w:left w:val="single" w:color="auto" w:sz="2" w:space="0"/>
              <w:bottom w:val="single" w:color="auto" w:sz="2" w:space="0"/>
              <w:right w:val="single" w:color="auto" w:sz="2" w:space="0"/>
            </w:tcBorders>
            <w:vAlign w:val="center"/>
          </w:tcPr>
          <w:p>
            <w:pPr>
              <w:tabs>
                <w:tab w:val="left" w:pos="851"/>
              </w:tabs>
              <w:spacing w:line="360" w:lineRule="auto"/>
              <w:rPr>
                <w:sz w:val="20"/>
              </w:rPr>
            </w:pPr>
          </w:p>
        </w:tc>
        <w:tc>
          <w:tcPr>
            <w:tcW w:w="1747"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投标文件资格响应文件的语言</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语言符合招标文件的要求。【说明：无须提供证明材料，上传空白页即可，不对本项上传的材料作资格审查】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tcBorders>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4</w:t>
            </w:r>
          </w:p>
        </w:tc>
        <w:tc>
          <w:tcPr>
            <w:tcW w:w="2191" w:type="dxa"/>
            <w:gridSpan w:val="2"/>
            <w:tcBorders>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投标文件资格响应</w:t>
            </w:r>
            <w:r>
              <w:rPr>
                <w:sz w:val="20"/>
              </w:rPr>
              <w:t>文件</w:t>
            </w:r>
            <w:r>
              <w:rPr>
                <w:rFonts w:hint="eastAsia"/>
                <w:sz w:val="20"/>
              </w:rPr>
              <w:t>组成</w:t>
            </w:r>
          </w:p>
        </w:tc>
        <w:tc>
          <w:tcPr>
            <w:tcW w:w="5943" w:type="dxa"/>
            <w:tcBorders>
              <w:top w:val="single" w:color="auto" w:sz="2" w:space="0"/>
              <w:left w:val="single" w:color="auto" w:sz="2" w:space="0"/>
              <w:bottom w:val="single" w:color="auto" w:sz="2" w:space="0"/>
              <w:right w:val="single" w:color="auto" w:sz="2" w:space="0"/>
            </w:tcBorders>
            <w:vAlign w:val="center"/>
          </w:tcPr>
          <w:p>
            <w:r>
              <w:rPr>
                <w:rFonts w:hint="eastAsia" w:ascii="宋体" w:hAnsi="宋体"/>
                <w:sz w:val="20"/>
                <w:szCs w:val="28"/>
              </w:rPr>
              <w:t>符合招标文件“</w:t>
            </w:r>
            <w:r>
              <w:rPr>
                <w:rFonts w:ascii="宋体" w:hAnsi="宋体"/>
                <w:sz w:val="20"/>
                <w:szCs w:val="28"/>
              </w:rPr>
              <w:t>2.4.</w:t>
            </w:r>
            <w:r>
              <w:rPr>
                <w:rFonts w:hint="eastAsia" w:ascii="宋体" w:hAnsi="宋体"/>
                <w:sz w:val="20"/>
                <w:szCs w:val="28"/>
              </w:rPr>
              <w:t>6投标</w:t>
            </w:r>
            <w:r>
              <w:rPr>
                <w:rFonts w:ascii="宋体" w:hAnsi="宋体"/>
                <w:sz w:val="20"/>
                <w:szCs w:val="28"/>
              </w:rPr>
              <w:t>文件的组成”规定要求。</w:t>
            </w:r>
            <w:r>
              <w:rPr>
                <w:rFonts w:hint="eastAsia" w:ascii="宋体" w:hAnsi="宋体"/>
                <w:sz w:val="20"/>
                <w:szCs w:val="28"/>
              </w:rPr>
              <w:t>【说明：投标人按招标文件3.2.1关于投标人申明的</w:t>
            </w:r>
            <w:r>
              <w:rPr>
                <w:rFonts w:hint="eastAsia"/>
                <w:sz w:val="20"/>
              </w:rPr>
              <w:t>内容</w:t>
            </w:r>
            <w:r>
              <w:rPr>
                <w:rFonts w:hint="eastAsia" w:ascii="宋体" w:hAnsi="宋体"/>
                <w:sz w:val="20"/>
                <w:szCs w:val="28"/>
              </w:rPr>
              <w:t>提供关于投标人申明的函。】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jc w:val="center"/>
              <w:rPr>
                <w:sz w:val="20"/>
              </w:rPr>
            </w:pPr>
            <w:r>
              <w:rPr>
                <w:rFonts w:hint="eastAsia"/>
                <w:sz w:val="20"/>
              </w:rPr>
              <w:t>5</w:t>
            </w:r>
          </w:p>
        </w:tc>
        <w:tc>
          <w:tcPr>
            <w:tcW w:w="2191" w:type="dxa"/>
            <w:gridSpan w:val="2"/>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具有健全的财务会计制度的证明材料</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投标人具有健全的财务会计制度的书面声明材料【说明：①按招标文件3.2.2声明的内容提供书面声明材料；②投标人具有健全的财务会计制度。】。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jc w:val="center"/>
              <w:rPr>
                <w:sz w:val="20"/>
              </w:rPr>
            </w:pPr>
            <w:r>
              <w:rPr>
                <w:rFonts w:hint="eastAsia"/>
                <w:sz w:val="20"/>
              </w:rPr>
              <w:t>6</w:t>
            </w:r>
          </w:p>
        </w:tc>
        <w:tc>
          <w:tcPr>
            <w:tcW w:w="2191" w:type="dxa"/>
            <w:gridSpan w:val="2"/>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缴纳社会保障资金的证明材料</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投标人具有依法缴纳社会保障资金良好记录的书面声明材料【说明：①按招标文件3.2.2声明的内容提供书面声明材料；②投标人有依法缴纳社会保障资金的良好记录。】。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2"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jc w:val="center"/>
              <w:rPr>
                <w:sz w:val="20"/>
              </w:rPr>
            </w:pPr>
            <w:r>
              <w:rPr>
                <w:rFonts w:hint="eastAsia"/>
                <w:sz w:val="20"/>
              </w:rPr>
              <w:t>7</w:t>
            </w:r>
          </w:p>
        </w:tc>
        <w:tc>
          <w:tcPr>
            <w:tcW w:w="2191" w:type="dxa"/>
            <w:gridSpan w:val="2"/>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缴纳税收的证明材料</w:t>
            </w:r>
          </w:p>
        </w:tc>
        <w:tc>
          <w:tcPr>
            <w:tcW w:w="59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sz w:val="20"/>
              </w:rPr>
            </w:pPr>
            <w:r>
              <w:rPr>
                <w:rFonts w:hint="eastAsia"/>
                <w:sz w:val="20"/>
              </w:rPr>
              <w:t>投标人具有依法缴纳税收良好记录的书面声明材料【说明：①按招标文件3.2.2声明的内容提供书面声明材料；②投标人有依法缴纳税收的良好记录。】。</w:t>
            </w:r>
          </w:p>
        </w:tc>
      </w:tr>
    </w:tbl>
    <w:p>
      <w:pPr>
        <w:tabs>
          <w:tab w:val="left" w:pos="851"/>
        </w:tabs>
        <w:spacing w:line="360" w:lineRule="auto"/>
        <w:rPr>
          <w:rFonts w:ascii="宋体" w:hAnsi="宋体"/>
          <w:sz w:val="28"/>
          <w:szCs w:val="28"/>
        </w:rPr>
      </w:pPr>
    </w:p>
    <w:p>
      <w:pPr>
        <w:tabs>
          <w:tab w:val="left" w:pos="851"/>
        </w:tabs>
        <w:spacing w:line="360" w:lineRule="auto"/>
        <w:ind w:firstLine="480" w:firstLineChars="200"/>
        <w:rPr>
          <w:rFonts w:ascii="宋体" w:hAnsi="宋体"/>
          <w:sz w:val="24"/>
          <w:szCs w:val="24"/>
        </w:rPr>
      </w:pPr>
      <w:r>
        <w:rPr>
          <w:rFonts w:hint="eastAsia" w:ascii="宋体" w:hAnsi="宋体"/>
          <w:sz w:val="24"/>
          <w:szCs w:val="24"/>
        </w:rPr>
        <w:t>注：一、以上每一项结论均为“符合”的，则投标人的投标文件通过资格性审查；如有其中任意一项结论为“不符合”的，则投标人的投标文件按无效投标文件处理。如果资格审查小组认为投标人有任意一项不通过的，应在资格性审查报告中载明不通过的具体原因。</w:t>
      </w:r>
    </w:p>
    <w:p>
      <w:pPr>
        <w:tabs>
          <w:tab w:val="left" w:pos="851"/>
        </w:tabs>
        <w:spacing w:line="360" w:lineRule="auto"/>
        <w:ind w:firstLine="484" w:firstLineChars="202"/>
        <w:rPr>
          <w:rFonts w:ascii="宋体" w:hAnsi="宋体"/>
          <w:sz w:val="24"/>
          <w:szCs w:val="24"/>
        </w:rPr>
      </w:pPr>
      <w:r>
        <w:rPr>
          <w:rFonts w:hint="eastAsia" w:ascii="宋体" w:hAnsi="宋体"/>
          <w:sz w:val="24"/>
          <w:szCs w:val="24"/>
        </w:rPr>
        <w:t>二、“信用中国”和“中国政府采购网”网站查询结果，将以纸质截图或将截图保存至电子介质的形式留存。</w:t>
      </w:r>
    </w:p>
    <w:p>
      <w:pPr>
        <w:tabs>
          <w:tab w:val="left" w:pos="851"/>
        </w:tabs>
        <w:spacing w:line="360" w:lineRule="auto"/>
        <w:ind w:firstLine="484" w:firstLineChars="202"/>
        <w:rPr>
          <w:rFonts w:ascii="宋体" w:hAnsi="宋体"/>
          <w:sz w:val="24"/>
          <w:szCs w:val="24"/>
        </w:rPr>
      </w:pPr>
      <w:r>
        <w:rPr>
          <w:rFonts w:hint="eastAsia" w:ascii="宋体" w:hAnsi="宋体"/>
          <w:sz w:val="24"/>
          <w:szCs w:val="24"/>
        </w:rPr>
        <w:t>三、投标人的投标文件资格性审查时被判定为无效的，</w:t>
      </w:r>
      <w:r>
        <w:rPr>
          <w:rFonts w:hint="eastAsia" w:ascii="宋体" w:hAnsi="宋体"/>
          <w:sz w:val="24"/>
          <w:szCs w:val="24"/>
          <w:lang w:eastAsia="zh-CN"/>
        </w:rPr>
        <w:t>区政府采购中心</w:t>
      </w:r>
      <w:r>
        <w:rPr>
          <w:rFonts w:hint="eastAsia" w:ascii="宋体" w:hAnsi="宋体"/>
          <w:sz w:val="24"/>
          <w:szCs w:val="24"/>
        </w:rPr>
        <w:t>将通知投标人（以短信、现场公示、电话、“政府采购云平台”等任一方式）。投标人如对资格审查结论有异议的，应及时向</w:t>
      </w:r>
      <w:r>
        <w:rPr>
          <w:rFonts w:hint="eastAsia" w:ascii="宋体" w:hAnsi="宋体"/>
          <w:sz w:val="24"/>
          <w:szCs w:val="24"/>
          <w:lang w:eastAsia="zh-CN"/>
        </w:rPr>
        <w:t>区政府采购中心</w:t>
      </w:r>
      <w:r>
        <w:rPr>
          <w:rFonts w:hint="eastAsia" w:ascii="宋体" w:hAnsi="宋体"/>
          <w:sz w:val="24"/>
          <w:szCs w:val="24"/>
        </w:rPr>
        <w:t>反馈意见。</w:t>
      </w:r>
      <w:r>
        <w:rPr>
          <w:rFonts w:hint="eastAsia" w:ascii="宋体" w:hAnsi="宋体"/>
          <w:sz w:val="24"/>
          <w:szCs w:val="24"/>
          <w:lang w:eastAsia="zh-CN"/>
        </w:rPr>
        <w:t>区政府采购中心</w:t>
      </w:r>
      <w:r>
        <w:rPr>
          <w:rFonts w:hint="eastAsia" w:ascii="宋体" w:hAnsi="宋体"/>
          <w:sz w:val="24"/>
          <w:szCs w:val="24"/>
        </w:rPr>
        <w:t>将及时告知资格审查小组。（说明：无论投标人是否收到通知或提供反馈意见，均不影响资格审查和评标工作，且</w:t>
      </w:r>
      <w:r>
        <w:rPr>
          <w:rFonts w:hint="eastAsia" w:ascii="宋体" w:hAnsi="宋体"/>
          <w:sz w:val="24"/>
          <w:szCs w:val="24"/>
          <w:lang w:eastAsia="zh-CN"/>
        </w:rPr>
        <w:t>区政府采购中心</w:t>
      </w:r>
      <w:r>
        <w:rPr>
          <w:rFonts w:hint="eastAsia" w:ascii="宋体" w:hAnsi="宋体"/>
          <w:sz w:val="24"/>
          <w:szCs w:val="24"/>
        </w:rPr>
        <w:t>对此将不承担任何的责任。投标人对资格审查结论有异议的，其反馈意见仅限于资格审查小组对资格审查结论的正确性进行复核，避免出现审查错误。）</w:t>
      </w:r>
    </w:p>
    <w:p>
      <w:pPr>
        <w:tabs>
          <w:tab w:val="left" w:pos="851"/>
        </w:tabs>
        <w:spacing w:line="360" w:lineRule="auto"/>
        <w:ind w:firstLine="484" w:firstLineChars="202"/>
        <w:rPr>
          <w:rFonts w:ascii="宋体" w:hAnsi="宋体"/>
          <w:sz w:val="28"/>
          <w:szCs w:val="28"/>
        </w:rPr>
      </w:pPr>
      <w:r>
        <w:rPr>
          <w:rFonts w:hint="eastAsia" w:ascii="宋体" w:hAnsi="宋体"/>
          <w:sz w:val="24"/>
          <w:szCs w:val="24"/>
        </w:rPr>
        <w:t>四、通过资格性审查的供应商＜3名，采购失败。</w:t>
      </w:r>
    </w:p>
    <w:p>
      <w:pPr>
        <w:tabs>
          <w:tab w:val="left" w:pos="851"/>
        </w:tabs>
        <w:spacing w:line="360" w:lineRule="auto"/>
        <w:ind w:firstLine="565" w:firstLineChars="202"/>
        <w:rPr>
          <w:rFonts w:ascii="宋体" w:hAnsi="宋体"/>
          <w:sz w:val="28"/>
          <w:szCs w:val="28"/>
        </w:rPr>
      </w:pPr>
    </w:p>
    <w:p>
      <w:pPr>
        <w:tabs>
          <w:tab w:val="left" w:pos="851"/>
        </w:tabs>
        <w:spacing w:line="360" w:lineRule="auto"/>
        <w:rPr>
          <w:rFonts w:ascii="宋体" w:hAnsi="宋体"/>
          <w:sz w:val="28"/>
          <w:szCs w:val="28"/>
        </w:rPr>
      </w:pPr>
    </w:p>
    <w:p>
      <w:pPr>
        <w:widowControl/>
        <w:jc w:val="left"/>
        <w:rPr>
          <w:rFonts w:ascii="宋体" w:hAnsi="宋体"/>
          <w:b/>
          <w:bCs/>
          <w:spacing w:val="-20"/>
          <w:kern w:val="44"/>
          <w:sz w:val="32"/>
          <w:szCs w:val="32"/>
        </w:rPr>
      </w:pPr>
      <w:r>
        <w:rPr>
          <w:rFonts w:ascii="宋体" w:hAnsi="宋体"/>
          <w:b/>
          <w:bCs/>
          <w:spacing w:val="-20"/>
          <w:kern w:val="44"/>
          <w:sz w:val="32"/>
          <w:szCs w:val="32"/>
        </w:rPr>
        <w:br w:type="page"/>
      </w:r>
    </w:p>
    <w:p>
      <w:pPr>
        <w:keepNext/>
        <w:keepLines/>
        <w:numPr>
          <w:ilvl w:val="0"/>
          <w:numId w:val="3"/>
        </w:numPr>
        <w:spacing w:line="360" w:lineRule="auto"/>
        <w:ind w:left="0" w:firstLine="0"/>
        <w:jc w:val="center"/>
        <w:outlineLvl w:val="0"/>
        <w:rPr>
          <w:rFonts w:ascii="宋体" w:hAnsi="宋体"/>
          <w:b/>
          <w:bCs/>
          <w:spacing w:val="-20"/>
          <w:kern w:val="44"/>
          <w:sz w:val="32"/>
          <w:szCs w:val="32"/>
        </w:rPr>
      </w:pPr>
      <w:bookmarkStart w:id="162" w:name="_Toc15287"/>
      <w:r>
        <w:rPr>
          <w:rFonts w:hint="eastAsia" w:ascii="宋体" w:hAnsi="宋体"/>
          <w:b/>
          <w:bCs/>
          <w:spacing w:val="-20"/>
          <w:kern w:val="44"/>
          <w:sz w:val="32"/>
          <w:szCs w:val="32"/>
        </w:rPr>
        <w:t>评标办法</w:t>
      </w:r>
      <w:bookmarkEnd w:id="162"/>
    </w:p>
    <w:p>
      <w:pPr>
        <w:keepNext/>
        <w:keepLines/>
        <w:numPr>
          <w:ilvl w:val="1"/>
          <w:numId w:val="3"/>
        </w:numPr>
        <w:spacing w:line="360" w:lineRule="auto"/>
        <w:jc w:val="left"/>
        <w:outlineLvl w:val="1"/>
        <w:rPr>
          <w:rFonts w:ascii="宋体" w:hAnsi="宋体"/>
          <w:b/>
          <w:bCs/>
          <w:sz w:val="28"/>
          <w:szCs w:val="28"/>
        </w:rPr>
      </w:pPr>
      <w:bookmarkStart w:id="163" w:name="_Toc7498"/>
      <w:r>
        <w:rPr>
          <w:rFonts w:hint="eastAsia" w:ascii="宋体" w:hAnsi="宋体"/>
          <w:b/>
          <w:bCs/>
          <w:sz w:val="28"/>
          <w:szCs w:val="28"/>
        </w:rPr>
        <w:t>总则</w:t>
      </w:r>
      <w:bookmarkEnd w:id="163"/>
    </w:p>
    <w:p>
      <w:pPr>
        <w:numPr>
          <w:ilvl w:val="0"/>
          <w:numId w:val="38"/>
        </w:numPr>
        <w:tabs>
          <w:tab w:val="left" w:pos="1134"/>
        </w:tabs>
        <w:spacing w:line="360" w:lineRule="auto"/>
        <w:ind w:left="0" w:firstLine="484" w:firstLineChars="202"/>
        <w:rPr>
          <w:rFonts w:ascii="宋体" w:hAnsi="宋体"/>
          <w:sz w:val="24"/>
          <w:szCs w:val="24"/>
        </w:rPr>
      </w:pPr>
      <w:r>
        <w:rPr>
          <w:rFonts w:hint="eastAsia" w:ascii="宋体" w:hAnsi="宋体"/>
          <w:sz w:val="24"/>
          <w:szCs w:val="24"/>
        </w:rPr>
        <w:t>根据《中华人民共和国政府采购法》、《中华人民共和国政府采购法实施条例》和《政府采购货物和服务招标投标管理办法》等法律规章，结合采购项目特点制定本评标办法。</w:t>
      </w:r>
    </w:p>
    <w:p>
      <w:pPr>
        <w:numPr>
          <w:ilvl w:val="0"/>
          <w:numId w:val="38"/>
        </w:numPr>
        <w:tabs>
          <w:tab w:val="left" w:pos="1134"/>
        </w:tabs>
        <w:spacing w:line="360" w:lineRule="auto"/>
        <w:ind w:left="0" w:firstLine="484" w:firstLineChars="202"/>
        <w:rPr>
          <w:rFonts w:ascii="宋体" w:hAnsi="宋体"/>
          <w:sz w:val="24"/>
          <w:szCs w:val="24"/>
        </w:rPr>
      </w:pPr>
      <w:r>
        <w:rPr>
          <w:rFonts w:hint="eastAsia" w:ascii="宋体" w:hAnsi="宋体"/>
          <w:sz w:val="24"/>
          <w:szCs w:val="24"/>
        </w:rPr>
        <w:t>评标工作由</w:t>
      </w:r>
      <w:r>
        <w:rPr>
          <w:rFonts w:hint="eastAsia" w:cs="Arial"/>
          <w:sz w:val="24"/>
          <w:szCs w:val="24"/>
          <w:lang w:eastAsia="zh-CN"/>
        </w:rPr>
        <w:t>区政府采购中心</w:t>
      </w:r>
      <w:r>
        <w:rPr>
          <w:rFonts w:hint="eastAsia" w:ascii="宋体" w:hAnsi="宋体"/>
          <w:sz w:val="24"/>
          <w:szCs w:val="24"/>
        </w:rPr>
        <w:t>负责组织，具体评标事务由采购人或</w:t>
      </w:r>
      <w:r>
        <w:rPr>
          <w:rFonts w:hint="eastAsia" w:cs="Arial"/>
          <w:sz w:val="24"/>
          <w:szCs w:val="24"/>
          <w:lang w:eastAsia="zh-CN"/>
        </w:rPr>
        <w:t>区政府采购中心</w:t>
      </w:r>
      <w:r>
        <w:rPr>
          <w:rFonts w:hint="eastAsia" w:ascii="宋体" w:hAnsi="宋体"/>
          <w:sz w:val="24"/>
          <w:szCs w:val="24"/>
        </w:rPr>
        <w:t>依法组建的评标委员会负责。评标委员会由采购人代表和评审专家组成。</w:t>
      </w:r>
    </w:p>
    <w:p>
      <w:pPr>
        <w:numPr>
          <w:ilvl w:val="0"/>
          <w:numId w:val="38"/>
        </w:numPr>
        <w:tabs>
          <w:tab w:val="left" w:pos="1134"/>
        </w:tabs>
        <w:spacing w:line="360" w:lineRule="auto"/>
        <w:ind w:left="0" w:firstLine="484" w:firstLineChars="202"/>
        <w:rPr>
          <w:rFonts w:ascii="宋体" w:hAnsi="宋体"/>
          <w:sz w:val="24"/>
          <w:szCs w:val="24"/>
        </w:rPr>
      </w:pPr>
      <w:r>
        <w:rPr>
          <w:rFonts w:hint="eastAsia" w:ascii="宋体" w:hAnsi="宋体"/>
          <w:sz w:val="24"/>
          <w:szCs w:val="24"/>
        </w:rPr>
        <w:t>评标工作应遵循公平、公正、科学及择优的原则，并以相同的评标程序和标准对待所有的投标人。</w:t>
      </w:r>
    </w:p>
    <w:p>
      <w:pPr>
        <w:numPr>
          <w:ilvl w:val="0"/>
          <w:numId w:val="38"/>
        </w:numPr>
        <w:tabs>
          <w:tab w:val="left" w:pos="1134"/>
        </w:tabs>
        <w:spacing w:line="360" w:lineRule="auto"/>
        <w:ind w:left="0" w:firstLine="484" w:firstLineChars="202"/>
        <w:rPr>
          <w:rFonts w:ascii="宋体" w:hAnsi="宋体"/>
          <w:sz w:val="24"/>
          <w:szCs w:val="24"/>
        </w:rPr>
      </w:pPr>
      <w:r>
        <w:rPr>
          <w:rFonts w:hint="eastAsia" w:ascii="宋体" w:hAnsi="宋体"/>
          <w:sz w:val="24"/>
          <w:szCs w:val="24"/>
        </w:rPr>
        <w:t>评标委员会按照招标文件规定的评标程序、评标方法和标准进行独立评审，并独立履行下列职责：</w:t>
      </w:r>
    </w:p>
    <w:p>
      <w:pPr>
        <w:numPr>
          <w:ilvl w:val="1"/>
          <w:numId w:val="39"/>
        </w:numPr>
        <w:spacing w:line="360" w:lineRule="auto"/>
        <w:ind w:left="0" w:firstLine="567"/>
        <w:rPr>
          <w:rFonts w:ascii="宋体" w:hAnsi="宋体"/>
          <w:sz w:val="24"/>
          <w:szCs w:val="24"/>
        </w:rPr>
      </w:pPr>
      <w:r>
        <w:rPr>
          <w:rFonts w:hint="eastAsia" w:ascii="宋体" w:hAnsi="宋体"/>
          <w:sz w:val="24"/>
          <w:szCs w:val="24"/>
        </w:rPr>
        <w:t>熟悉和理解招标文件；</w:t>
      </w:r>
    </w:p>
    <w:p>
      <w:pPr>
        <w:numPr>
          <w:ilvl w:val="1"/>
          <w:numId w:val="39"/>
        </w:numPr>
        <w:spacing w:line="360" w:lineRule="auto"/>
        <w:ind w:left="0" w:firstLine="567"/>
        <w:rPr>
          <w:rFonts w:ascii="宋体" w:hAnsi="宋体"/>
          <w:sz w:val="24"/>
          <w:szCs w:val="24"/>
        </w:rPr>
      </w:pPr>
      <w:r>
        <w:rPr>
          <w:rFonts w:hint="eastAsia" w:ascii="宋体" w:hAnsi="宋体"/>
          <w:sz w:val="24"/>
          <w:szCs w:val="24"/>
        </w:rPr>
        <w:t>审查、评价投标文件是否符合招标文件的商务、技术等实质性要求；</w:t>
      </w:r>
    </w:p>
    <w:p>
      <w:pPr>
        <w:numPr>
          <w:ilvl w:val="1"/>
          <w:numId w:val="39"/>
        </w:numPr>
        <w:spacing w:line="360" w:lineRule="auto"/>
        <w:ind w:left="0" w:firstLine="567"/>
        <w:rPr>
          <w:rFonts w:ascii="宋体" w:hAnsi="宋体"/>
          <w:sz w:val="24"/>
          <w:szCs w:val="24"/>
        </w:rPr>
      </w:pPr>
      <w:r>
        <w:rPr>
          <w:rFonts w:hint="eastAsia" w:ascii="宋体" w:hAnsi="宋体"/>
          <w:sz w:val="24"/>
          <w:szCs w:val="24"/>
        </w:rPr>
        <w:t>对投标文件进行比较和评价；</w:t>
      </w:r>
    </w:p>
    <w:p>
      <w:pPr>
        <w:numPr>
          <w:ilvl w:val="1"/>
          <w:numId w:val="39"/>
        </w:numPr>
        <w:spacing w:line="360" w:lineRule="auto"/>
        <w:ind w:left="0" w:firstLine="567"/>
        <w:rPr>
          <w:rFonts w:ascii="宋体" w:hAnsi="宋体"/>
          <w:sz w:val="24"/>
          <w:szCs w:val="24"/>
        </w:rPr>
      </w:pPr>
      <w:r>
        <w:rPr>
          <w:rFonts w:hint="eastAsia" w:ascii="宋体" w:hAnsi="宋体"/>
          <w:sz w:val="24"/>
          <w:szCs w:val="24"/>
        </w:rPr>
        <w:t>根据需要要求采购人对招标文件作出解释；根据需要要求投标人对投标文件有关事项作出解释或者澄清；</w:t>
      </w:r>
    </w:p>
    <w:p>
      <w:pPr>
        <w:numPr>
          <w:ilvl w:val="1"/>
          <w:numId w:val="39"/>
        </w:numPr>
        <w:spacing w:line="360" w:lineRule="auto"/>
        <w:ind w:left="0" w:firstLine="567"/>
        <w:rPr>
          <w:rFonts w:ascii="宋体" w:hAnsi="宋体"/>
          <w:sz w:val="24"/>
          <w:szCs w:val="24"/>
        </w:rPr>
      </w:pPr>
      <w:r>
        <w:rPr>
          <w:rFonts w:hint="eastAsia" w:ascii="宋体" w:hAnsi="宋体"/>
          <w:sz w:val="24"/>
          <w:szCs w:val="24"/>
        </w:rPr>
        <w:t>确定中标候选人名单，以及根据采购人委托直接确定中标人；</w:t>
      </w:r>
    </w:p>
    <w:p>
      <w:pPr>
        <w:numPr>
          <w:ilvl w:val="1"/>
          <w:numId w:val="39"/>
        </w:numPr>
        <w:spacing w:line="360" w:lineRule="auto"/>
        <w:ind w:left="0" w:firstLine="567"/>
        <w:rPr>
          <w:rFonts w:ascii="宋体" w:hAnsi="宋体"/>
          <w:sz w:val="24"/>
          <w:szCs w:val="24"/>
        </w:rPr>
      </w:pPr>
      <w:r>
        <w:rPr>
          <w:rFonts w:hint="eastAsia" w:ascii="宋体" w:hAnsi="宋体"/>
          <w:sz w:val="24"/>
          <w:szCs w:val="24"/>
        </w:rPr>
        <w:t>起草评标报告并进行签署；</w:t>
      </w:r>
    </w:p>
    <w:p>
      <w:pPr>
        <w:numPr>
          <w:ilvl w:val="1"/>
          <w:numId w:val="39"/>
        </w:numPr>
        <w:spacing w:line="360" w:lineRule="auto"/>
        <w:ind w:left="0" w:firstLine="567"/>
        <w:rPr>
          <w:rFonts w:ascii="宋体" w:hAnsi="宋体"/>
          <w:sz w:val="24"/>
          <w:szCs w:val="24"/>
        </w:rPr>
      </w:pPr>
      <w:r>
        <w:rPr>
          <w:rFonts w:hint="eastAsia" w:ascii="宋体" w:hAnsi="宋体"/>
          <w:sz w:val="24"/>
          <w:szCs w:val="24"/>
        </w:rPr>
        <w:t>向采购人、</w:t>
      </w:r>
      <w:r>
        <w:rPr>
          <w:rFonts w:hint="eastAsia" w:ascii="宋体" w:hAnsi="宋体"/>
          <w:sz w:val="24"/>
          <w:szCs w:val="24"/>
          <w:lang w:eastAsia="zh-CN"/>
        </w:rPr>
        <w:t>区政府采购中心</w:t>
      </w:r>
      <w:r>
        <w:rPr>
          <w:rFonts w:hint="eastAsia" w:ascii="宋体" w:hAnsi="宋体"/>
          <w:sz w:val="24"/>
          <w:szCs w:val="24"/>
        </w:rPr>
        <w:t>或者财政、监察等有关部门报告或举报非法干预评标工作的行为；</w:t>
      </w:r>
    </w:p>
    <w:p>
      <w:pPr>
        <w:numPr>
          <w:ilvl w:val="1"/>
          <w:numId w:val="39"/>
        </w:numPr>
        <w:spacing w:line="360" w:lineRule="auto"/>
        <w:ind w:left="0" w:firstLine="567"/>
        <w:rPr>
          <w:rFonts w:ascii="宋体" w:hAnsi="宋体"/>
          <w:sz w:val="24"/>
          <w:szCs w:val="24"/>
        </w:rPr>
      </w:pPr>
      <w:r>
        <w:rPr>
          <w:rFonts w:hint="eastAsia" w:ascii="宋体" w:hAnsi="宋体"/>
          <w:sz w:val="24"/>
          <w:szCs w:val="24"/>
        </w:rPr>
        <w:t>向采购人、</w:t>
      </w:r>
      <w:r>
        <w:rPr>
          <w:rFonts w:hint="eastAsia" w:cs="Arial"/>
          <w:sz w:val="24"/>
          <w:szCs w:val="24"/>
          <w:lang w:eastAsia="zh-CN"/>
        </w:rPr>
        <w:t>区政府采购中心</w:t>
      </w:r>
      <w:r>
        <w:rPr>
          <w:rFonts w:hint="eastAsia" w:ascii="宋体" w:hAnsi="宋体"/>
          <w:sz w:val="24"/>
          <w:szCs w:val="24"/>
        </w:rPr>
        <w:t>或者有关部门报告评标中发现的违法行为。</w:t>
      </w:r>
    </w:p>
    <w:p>
      <w:pPr>
        <w:numPr>
          <w:ilvl w:val="1"/>
          <w:numId w:val="39"/>
        </w:numPr>
        <w:spacing w:line="360" w:lineRule="auto"/>
        <w:ind w:left="0" w:firstLine="567"/>
        <w:rPr>
          <w:rFonts w:ascii="宋体" w:hAnsi="宋体"/>
          <w:sz w:val="24"/>
          <w:szCs w:val="24"/>
        </w:rPr>
      </w:pPr>
      <w:r>
        <w:rPr>
          <w:rFonts w:hint="eastAsia" w:ascii="宋体" w:hAnsi="宋体"/>
          <w:sz w:val="24"/>
          <w:szCs w:val="24"/>
        </w:rPr>
        <w:t>法律、法规和规章规定的其他职责。</w:t>
      </w:r>
    </w:p>
    <w:p>
      <w:pPr>
        <w:numPr>
          <w:ilvl w:val="0"/>
          <w:numId w:val="38"/>
        </w:numPr>
        <w:tabs>
          <w:tab w:val="left" w:pos="1134"/>
        </w:tabs>
        <w:spacing w:line="360" w:lineRule="auto"/>
        <w:ind w:left="0" w:firstLine="484" w:firstLineChars="202"/>
        <w:rPr>
          <w:rFonts w:ascii="宋体" w:hAnsi="宋体"/>
          <w:sz w:val="24"/>
          <w:szCs w:val="24"/>
        </w:rPr>
      </w:pPr>
      <w:r>
        <w:rPr>
          <w:rFonts w:hint="eastAsia" w:ascii="宋体" w:hAnsi="宋体"/>
          <w:sz w:val="24"/>
          <w:szCs w:val="24"/>
        </w:rPr>
        <w:t>评标过程独立、保密。投标人非法干预评标过程的行为将导致其投标文件作为无效处理。</w:t>
      </w:r>
    </w:p>
    <w:p>
      <w:pPr>
        <w:numPr>
          <w:ilvl w:val="0"/>
          <w:numId w:val="38"/>
        </w:numPr>
        <w:tabs>
          <w:tab w:val="left" w:pos="1134"/>
        </w:tabs>
        <w:spacing w:line="360" w:lineRule="auto"/>
        <w:ind w:left="0" w:firstLine="484" w:firstLineChars="202"/>
        <w:rPr>
          <w:rFonts w:ascii="宋体" w:hAnsi="宋体"/>
          <w:sz w:val="24"/>
          <w:szCs w:val="24"/>
        </w:rPr>
      </w:pPr>
      <w:r>
        <w:rPr>
          <w:rFonts w:hint="eastAsia" w:ascii="宋体" w:hAnsi="宋体"/>
          <w:sz w:val="24"/>
          <w:szCs w:val="24"/>
        </w:rPr>
        <w:t>评标委员会决定投标文件的响应性依据投标文件本身的内容，而不寻求外部的证据，招标文件有明确约定的除外。</w:t>
      </w:r>
    </w:p>
    <w:p>
      <w:pPr>
        <w:numPr>
          <w:ilvl w:val="0"/>
          <w:numId w:val="38"/>
        </w:numPr>
        <w:tabs>
          <w:tab w:val="left" w:pos="1134"/>
        </w:tabs>
        <w:spacing w:line="360" w:lineRule="auto"/>
        <w:ind w:left="0" w:firstLine="484" w:firstLineChars="202"/>
        <w:rPr>
          <w:rFonts w:ascii="宋体" w:hAnsi="宋体"/>
          <w:sz w:val="24"/>
          <w:szCs w:val="24"/>
        </w:rPr>
      </w:pPr>
      <w:r>
        <w:rPr>
          <w:rFonts w:hint="eastAsia" w:ascii="宋体" w:hAnsi="宋体"/>
          <w:sz w:val="24"/>
          <w:szCs w:val="24"/>
        </w:rPr>
        <w:t>评标委员会发现招标文件表述不明确或需要说明的事项，可提请采购人和</w:t>
      </w:r>
      <w:r>
        <w:rPr>
          <w:rFonts w:hint="eastAsia" w:ascii="宋体" w:hAnsi="宋体"/>
          <w:sz w:val="24"/>
          <w:szCs w:val="24"/>
          <w:lang w:eastAsia="zh-CN"/>
        </w:rPr>
        <w:t>区政府采购中心</w:t>
      </w:r>
      <w:r>
        <w:rPr>
          <w:rFonts w:hint="eastAsia" w:ascii="宋体" w:hAnsi="宋体"/>
          <w:sz w:val="24"/>
          <w:szCs w:val="24"/>
        </w:rPr>
        <w:t>书面解释说明。</w:t>
      </w:r>
    </w:p>
    <w:p>
      <w:pPr>
        <w:keepNext/>
        <w:keepLines/>
        <w:numPr>
          <w:ilvl w:val="1"/>
          <w:numId w:val="3"/>
        </w:numPr>
        <w:spacing w:line="360" w:lineRule="auto"/>
        <w:jc w:val="left"/>
        <w:outlineLvl w:val="1"/>
        <w:rPr>
          <w:rFonts w:ascii="宋体" w:hAnsi="宋体"/>
          <w:b/>
          <w:bCs/>
          <w:sz w:val="24"/>
          <w:szCs w:val="24"/>
        </w:rPr>
      </w:pPr>
      <w:bookmarkStart w:id="164" w:name="_Toc4839"/>
      <w:r>
        <w:rPr>
          <w:rFonts w:hint="eastAsia" w:ascii="宋体" w:hAnsi="宋体"/>
          <w:b/>
          <w:bCs/>
          <w:sz w:val="24"/>
          <w:szCs w:val="24"/>
        </w:rPr>
        <w:t>评标方法</w:t>
      </w:r>
      <w:bookmarkEnd w:id="164"/>
    </w:p>
    <w:p>
      <w:pPr>
        <w:spacing w:line="360" w:lineRule="auto"/>
        <w:ind w:firstLine="484" w:firstLineChars="202"/>
        <w:rPr>
          <w:rFonts w:ascii="宋体" w:hAnsi="宋体"/>
          <w:sz w:val="24"/>
          <w:szCs w:val="24"/>
        </w:rPr>
      </w:pPr>
      <w:r>
        <w:rPr>
          <w:rFonts w:hint="eastAsia" w:ascii="宋体" w:hAnsi="宋体"/>
          <w:sz w:val="24"/>
          <w:szCs w:val="24"/>
        </w:rPr>
        <w:t>综合评分法。</w:t>
      </w:r>
    </w:p>
    <w:p>
      <w:pPr>
        <w:keepNext/>
        <w:keepLines/>
        <w:numPr>
          <w:ilvl w:val="1"/>
          <w:numId w:val="3"/>
        </w:numPr>
        <w:spacing w:line="360" w:lineRule="auto"/>
        <w:jc w:val="left"/>
        <w:outlineLvl w:val="1"/>
        <w:rPr>
          <w:rFonts w:ascii="宋体" w:hAnsi="宋体"/>
          <w:b/>
          <w:bCs/>
          <w:sz w:val="24"/>
          <w:szCs w:val="24"/>
        </w:rPr>
      </w:pPr>
      <w:bookmarkStart w:id="165" w:name="_Toc6403"/>
      <w:r>
        <w:rPr>
          <w:rFonts w:hint="eastAsia" w:ascii="宋体" w:hAnsi="宋体"/>
          <w:b/>
          <w:bCs/>
          <w:sz w:val="24"/>
          <w:szCs w:val="24"/>
        </w:rPr>
        <w:t>评标程序</w:t>
      </w:r>
      <w:bookmarkEnd w:id="165"/>
    </w:p>
    <w:p>
      <w:pPr>
        <w:keepNext/>
        <w:keepLines/>
        <w:numPr>
          <w:ilvl w:val="2"/>
          <w:numId w:val="3"/>
        </w:numPr>
        <w:spacing w:line="360" w:lineRule="auto"/>
        <w:ind w:left="3119" w:hanging="3119"/>
        <w:outlineLvl w:val="2"/>
        <w:rPr>
          <w:rFonts w:ascii="宋体" w:hAnsi="宋体"/>
          <w:b/>
          <w:bCs/>
          <w:sz w:val="24"/>
          <w:szCs w:val="24"/>
        </w:rPr>
      </w:pPr>
      <w:r>
        <w:rPr>
          <w:rFonts w:hint="eastAsia" w:ascii="宋体" w:hAnsi="宋体"/>
          <w:b/>
          <w:bCs/>
          <w:sz w:val="24"/>
          <w:szCs w:val="24"/>
        </w:rPr>
        <w:t>符合性审查</w:t>
      </w:r>
    </w:p>
    <w:p>
      <w:pPr>
        <w:tabs>
          <w:tab w:val="left" w:pos="851"/>
        </w:tabs>
        <w:spacing w:line="360" w:lineRule="auto"/>
        <w:ind w:firstLine="484" w:firstLineChars="202"/>
        <w:rPr>
          <w:rFonts w:ascii="宋体" w:hAnsi="宋体"/>
          <w:sz w:val="24"/>
          <w:szCs w:val="24"/>
        </w:rPr>
      </w:pPr>
      <w:r>
        <w:rPr>
          <w:rFonts w:hint="eastAsia" w:ascii="宋体" w:hAnsi="宋体"/>
          <w:sz w:val="24"/>
          <w:szCs w:val="24"/>
        </w:rPr>
        <w:t>符合性审查由评标委员会依据招标文件的规定，从投标文件的有效性、完整性和对招标文件的响应程度进行审查，以确定是否对招标文件的实质性要求作出响应。在投标文件符合性审查过程中，如果出现评标委员会成员意见不一致的情况，按照少数服从多数的原则确定，但不得违背政府采购基本原则和招标文件规定。</w:t>
      </w:r>
    </w:p>
    <w:p>
      <w:pPr>
        <w:tabs>
          <w:tab w:val="left" w:pos="851"/>
        </w:tabs>
        <w:spacing w:line="360" w:lineRule="auto"/>
        <w:ind w:firstLine="484" w:firstLineChars="202"/>
        <w:rPr>
          <w:rFonts w:ascii="宋体" w:hAnsi="宋体"/>
          <w:sz w:val="28"/>
          <w:szCs w:val="28"/>
        </w:rPr>
      </w:pPr>
      <w:r>
        <w:rPr>
          <w:rFonts w:hint="eastAsia" w:ascii="宋体" w:hAnsi="宋体"/>
          <w:sz w:val="24"/>
          <w:szCs w:val="24"/>
        </w:rPr>
        <w:t>符合性审查标准见下表（按以下顺序审查）</w:t>
      </w:r>
      <w:r>
        <w:rPr>
          <w:rFonts w:hint="eastAsia" w:ascii="宋体" w:hAnsi="宋体"/>
          <w:sz w:val="28"/>
          <w:szCs w:val="28"/>
        </w:rPr>
        <w:t>：</w:t>
      </w:r>
    </w:p>
    <w:tbl>
      <w:tblPr>
        <w:tblStyle w:val="41"/>
        <w:tblW w:w="9173"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1"/>
        <w:gridCol w:w="2143"/>
        <w:gridCol w:w="62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jc w:val="center"/>
              <w:rPr>
                <w:rFonts w:ascii="宋体" w:hAnsi="宋体"/>
                <w:b/>
                <w:sz w:val="24"/>
                <w:szCs w:val="28"/>
              </w:rPr>
            </w:pPr>
            <w:r>
              <w:rPr>
                <w:rFonts w:hint="eastAsia" w:ascii="宋体" w:hAnsi="宋体"/>
                <w:b/>
                <w:sz w:val="24"/>
                <w:szCs w:val="28"/>
              </w:rPr>
              <w:t>序号</w:t>
            </w:r>
          </w:p>
        </w:tc>
        <w:tc>
          <w:tcPr>
            <w:tcW w:w="21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b/>
                <w:sz w:val="24"/>
                <w:szCs w:val="28"/>
              </w:rPr>
            </w:pPr>
            <w:r>
              <w:rPr>
                <w:rFonts w:hint="eastAsia" w:ascii="宋体" w:hAnsi="宋体"/>
                <w:b/>
                <w:sz w:val="24"/>
                <w:szCs w:val="28"/>
              </w:rPr>
              <w:t>符合性审查项</w:t>
            </w:r>
          </w:p>
        </w:tc>
        <w:tc>
          <w:tcPr>
            <w:tcW w:w="6219"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ind w:firstLine="487" w:firstLineChars="202"/>
              <w:rPr>
                <w:rFonts w:ascii="宋体" w:hAnsi="宋体"/>
                <w:sz w:val="24"/>
                <w:szCs w:val="28"/>
              </w:rPr>
            </w:pPr>
            <w:r>
              <w:rPr>
                <w:rFonts w:hint="eastAsia" w:ascii="宋体" w:hAnsi="宋体"/>
                <w:b/>
                <w:sz w:val="24"/>
                <w:szCs w:val="28"/>
              </w:rPr>
              <w:t>通过条件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tcBorders>
              <w:top w:val="single" w:color="auto" w:sz="2" w:space="0"/>
              <w:left w:val="single" w:color="auto" w:sz="2" w:space="0"/>
              <w:bottom w:val="single" w:color="auto" w:sz="2" w:space="0"/>
              <w:right w:val="single" w:color="auto" w:sz="2" w:space="0"/>
            </w:tcBorders>
            <w:vAlign w:val="center"/>
          </w:tcPr>
          <w:p>
            <w:pPr>
              <w:numPr>
                <w:ilvl w:val="0"/>
                <w:numId w:val="40"/>
              </w:numPr>
              <w:tabs>
                <w:tab w:val="left" w:pos="851"/>
              </w:tabs>
              <w:spacing w:line="360" w:lineRule="auto"/>
              <w:ind w:left="425" w:leftChars="0" w:hanging="425" w:firstLineChars="0"/>
              <w:jc w:val="center"/>
              <w:rPr>
                <w:rFonts w:ascii="宋体" w:hAnsi="宋体"/>
                <w:sz w:val="24"/>
                <w:szCs w:val="28"/>
              </w:rPr>
            </w:pPr>
          </w:p>
        </w:tc>
        <w:tc>
          <w:tcPr>
            <w:tcW w:w="21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投标文件商务</w:t>
            </w:r>
            <w:r>
              <w:rPr>
                <w:rFonts w:ascii="宋体" w:hAnsi="宋体"/>
                <w:sz w:val="24"/>
                <w:szCs w:val="28"/>
              </w:rPr>
              <w:t>技术响应文件</w:t>
            </w:r>
            <w:r>
              <w:rPr>
                <w:rFonts w:hint="eastAsia" w:ascii="宋体" w:hAnsi="宋体"/>
                <w:sz w:val="24"/>
                <w:szCs w:val="28"/>
              </w:rPr>
              <w:t>及</w:t>
            </w:r>
            <w:r>
              <w:rPr>
                <w:rFonts w:ascii="宋体" w:hAnsi="宋体"/>
                <w:sz w:val="24"/>
                <w:szCs w:val="28"/>
              </w:rPr>
              <w:t>报价要求响应文件</w:t>
            </w:r>
            <w:r>
              <w:rPr>
                <w:rFonts w:hint="eastAsia" w:ascii="宋体" w:hAnsi="宋体"/>
                <w:sz w:val="24"/>
                <w:szCs w:val="28"/>
              </w:rPr>
              <w:t>组成</w:t>
            </w:r>
          </w:p>
        </w:tc>
        <w:tc>
          <w:tcPr>
            <w:tcW w:w="6219"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符合招标文件“2.4.6投标文件的组成”规定要求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tcBorders>
              <w:top w:val="single" w:color="auto" w:sz="2" w:space="0"/>
              <w:left w:val="single" w:color="auto" w:sz="2" w:space="0"/>
              <w:bottom w:val="single" w:color="auto" w:sz="2" w:space="0"/>
              <w:right w:val="single" w:color="auto" w:sz="2" w:space="0"/>
            </w:tcBorders>
            <w:vAlign w:val="center"/>
          </w:tcPr>
          <w:p>
            <w:pPr>
              <w:numPr>
                <w:ilvl w:val="0"/>
                <w:numId w:val="40"/>
              </w:numPr>
              <w:tabs>
                <w:tab w:val="left" w:pos="851"/>
              </w:tabs>
              <w:spacing w:line="360" w:lineRule="auto"/>
              <w:ind w:left="425" w:leftChars="0" w:hanging="425" w:firstLineChars="0"/>
              <w:jc w:val="center"/>
              <w:rPr>
                <w:rFonts w:ascii="宋体" w:hAnsi="宋体"/>
                <w:sz w:val="24"/>
                <w:szCs w:val="28"/>
              </w:rPr>
            </w:pPr>
          </w:p>
        </w:tc>
        <w:tc>
          <w:tcPr>
            <w:tcW w:w="21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投标文件商务技术</w:t>
            </w:r>
            <w:r>
              <w:rPr>
                <w:rFonts w:ascii="宋体" w:hAnsi="宋体"/>
                <w:sz w:val="24"/>
                <w:szCs w:val="28"/>
              </w:rPr>
              <w:t>响应文件</w:t>
            </w:r>
            <w:r>
              <w:rPr>
                <w:rFonts w:hint="eastAsia" w:ascii="宋体" w:hAnsi="宋体"/>
                <w:sz w:val="24"/>
                <w:szCs w:val="28"/>
              </w:rPr>
              <w:t>、</w:t>
            </w:r>
            <w:r>
              <w:rPr>
                <w:rFonts w:ascii="宋体" w:hAnsi="宋体"/>
                <w:sz w:val="24"/>
                <w:szCs w:val="28"/>
              </w:rPr>
              <w:t>报价要求响应文件</w:t>
            </w:r>
            <w:r>
              <w:rPr>
                <w:rFonts w:hint="eastAsia" w:ascii="宋体" w:hAnsi="宋体"/>
                <w:sz w:val="24"/>
                <w:szCs w:val="28"/>
              </w:rPr>
              <w:t>的的计量单位、语言、报价货币、投标有效期、</w:t>
            </w:r>
            <w:r>
              <w:rPr>
                <w:rFonts w:ascii="宋体" w:hAnsi="宋体"/>
                <w:sz w:val="24"/>
                <w:szCs w:val="28"/>
              </w:rPr>
              <w:t>知识产权等</w:t>
            </w:r>
            <w:r>
              <w:rPr>
                <w:rFonts w:hint="eastAsia" w:ascii="宋体" w:hAnsi="宋体"/>
                <w:sz w:val="24"/>
                <w:szCs w:val="28"/>
              </w:rPr>
              <w:t>采购</w:t>
            </w:r>
            <w:r>
              <w:rPr>
                <w:rFonts w:ascii="宋体" w:hAnsi="宋体"/>
                <w:sz w:val="24"/>
                <w:szCs w:val="28"/>
              </w:rPr>
              <w:t>文件实质性要求或</w:t>
            </w:r>
            <w:r>
              <w:rPr>
                <w:rFonts w:hint="eastAsia" w:ascii="宋体" w:hAnsi="宋体"/>
                <w:sz w:val="24"/>
                <w:szCs w:val="28"/>
              </w:rPr>
              <w:t>是否</w:t>
            </w:r>
            <w:r>
              <w:rPr>
                <w:rFonts w:ascii="宋体" w:hAnsi="宋体"/>
                <w:sz w:val="24"/>
                <w:szCs w:val="28"/>
              </w:rPr>
              <w:t>应当作无效投标处理</w:t>
            </w:r>
          </w:p>
        </w:tc>
        <w:tc>
          <w:tcPr>
            <w:tcW w:w="6219"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计量单位、语言、报价货币、投标有效期、</w:t>
            </w:r>
            <w:r>
              <w:rPr>
                <w:rFonts w:ascii="宋体" w:hAnsi="宋体"/>
                <w:sz w:val="24"/>
                <w:szCs w:val="28"/>
              </w:rPr>
              <w:t>知识产权等</w:t>
            </w:r>
            <w:r>
              <w:rPr>
                <w:rFonts w:hint="eastAsia" w:ascii="宋体" w:hAnsi="宋体"/>
                <w:sz w:val="24"/>
                <w:szCs w:val="28"/>
              </w:rPr>
              <w:t>均符合招标文件的实质性要求以及</w:t>
            </w:r>
            <w:r>
              <w:rPr>
                <w:rFonts w:ascii="宋体" w:hAnsi="宋体"/>
                <w:sz w:val="24"/>
                <w:szCs w:val="28"/>
              </w:rPr>
              <w:t>不应当作无效投标处理</w:t>
            </w:r>
            <w:r>
              <w:rPr>
                <w:rFonts w:hint="eastAsia" w:ascii="宋体" w:hAnsi="宋体"/>
                <w:sz w:val="24"/>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tcBorders>
              <w:top w:val="single" w:color="auto" w:sz="2" w:space="0"/>
              <w:left w:val="single" w:color="auto" w:sz="2" w:space="0"/>
              <w:bottom w:val="single" w:color="auto" w:sz="2" w:space="0"/>
              <w:right w:val="single" w:color="auto" w:sz="2" w:space="0"/>
            </w:tcBorders>
            <w:vAlign w:val="center"/>
          </w:tcPr>
          <w:p>
            <w:pPr>
              <w:numPr>
                <w:ilvl w:val="0"/>
                <w:numId w:val="40"/>
              </w:numPr>
              <w:tabs>
                <w:tab w:val="left" w:pos="851"/>
              </w:tabs>
              <w:spacing w:line="360" w:lineRule="auto"/>
              <w:ind w:left="425" w:leftChars="0" w:hanging="425" w:firstLineChars="0"/>
              <w:jc w:val="center"/>
              <w:rPr>
                <w:rFonts w:ascii="宋体" w:hAnsi="宋体"/>
                <w:sz w:val="24"/>
                <w:szCs w:val="28"/>
              </w:rPr>
            </w:pPr>
          </w:p>
        </w:tc>
        <w:tc>
          <w:tcPr>
            <w:tcW w:w="21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投标报价</w:t>
            </w:r>
          </w:p>
        </w:tc>
        <w:tc>
          <w:tcPr>
            <w:tcW w:w="6219"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开标一览表、</w:t>
            </w:r>
            <w:r>
              <w:rPr>
                <w:rFonts w:ascii="宋体" w:hAnsi="宋体"/>
                <w:sz w:val="24"/>
                <w:szCs w:val="28"/>
              </w:rPr>
              <w:t>投标文件</w:t>
            </w:r>
            <w:r>
              <w:rPr>
                <w:rFonts w:hint="eastAsia" w:ascii="宋体" w:hAnsi="宋体"/>
                <w:sz w:val="24"/>
                <w:szCs w:val="28"/>
              </w:rPr>
              <w:t>【注：（1）投标报价唯一（说明：投标报价出现下列情况的，按以下原则处理，并以修正后的价格作为投标人的投标报价：①投标文件中的大写金额和小写金额不一致的，以大写金额为准，但大写金额出现文字错误，导致金额无法判断的除外；</w:t>
            </w:r>
            <w:r>
              <w:rPr>
                <w:rFonts w:hint="eastAsia" w:ascii="宋体" w:hAnsi="宋体" w:cs="宋体"/>
                <w:sz w:val="24"/>
                <w:szCs w:val="28"/>
              </w:rPr>
              <w:t>②</w:t>
            </w:r>
            <w:r>
              <w:rPr>
                <w:rFonts w:hint="eastAsia" w:ascii="宋体" w:hAnsi="宋体"/>
                <w:sz w:val="24"/>
                <w:szCs w:val="28"/>
              </w:rPr>
              <w:t>单价金额小数点或者百分比有明显错位的，以总价为准，并修改单价；</w:t>
            </w:r>
            <w:r>
              <w:rPr>
                <w:rFonts w:hint="eastAsia" w:ascii="宋体" w:hAnsi="宋体" w:cs="宋体"/>
                <w:sz w:val="24"/>
                <w:szCs w:val="28"/>
              </w:rPr>
              <w:t>③</w:t>
            </w:r>
            <w:r>
              <w:rPr>
                <w:rFonts w:hint="eastAsia" w:ascii="宋体" w:hAnsi="宋体"/>
                <w:sz w:val="24"/>
                <w:szCs w:val="28"/>
              </w:rPr>
              <w:t>总价金额与按单价汇总金额不一致的，以单价金额计算结果为准；同时出现两种以上不一致的，按照前款规定的顺序修正。修正后的投标报价经投标人以书面形式通过政府采购云平台进行确认，并加盖投标人（法定名称）电子签章，投标人逾时确认的，其投标无效。评标委员会不得未经要求投标人确认，直接将投标人投标文件做无效处理。（2）未超过招标文件规定的最高限价；（3）投标报价应包含本次招标要求的所有货物及服务的费用；（4）在评标过程中，评标委员会认为投标人投标报价明显低于其他通过符合性审查投标人的投标报价，有可能影响产品质量或者不能诚信履约的，评标委员会应当要求其在合理的时间内提供书面说明，必要时提交相关证明材料。（说明：①书面说明、相关证明材料（如涉及）加盖投标人（法定名称）章（电子签章），在评标委员会要求的时间内通过政府采购云平台进行提交；②投标人提供了书面说明、相关证明材料（如涉及），且能证明其投标报价合理性）。（</w:t>
            </w:r>
            <w:r>
              <w:rPr>
                <w:rFonts w:ascii="宋体" w:hAnsi="宋体"/>
                <w:sz w:val="24"/>
                <w:szCs w:val="28"/>
              </w:rPr>
              <w:t>5）如因断电、断网、系统故障或其他不可抗力等因素，导致系统无法使用的，由投标人按评标委员会的要求进行澄清或者说明</w:t>
            </w:r>
            <w:r>
              <w:rPr>
                <w:rFonts w:hint="eastAsia" w:ascii="宋体" w:hAnsi="宋体"/>
                <w:sz w:val="24"/>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tcBorders>
              <w:top w:val="single" w:color="auto" w:sz="2" w:space="0"/>
              <w:left w:val="single" w:color="auto" w:sz="2" w:space="0"/>
              <w:bottom w:val="single" w:color="auto" w:sz="2" w:space="0"/>
              <w:right w:val="single" w:color="auto" w:sz="2" w:space="0"/>
            </w:tcBorders>
            <w:vAlign w:val="center"/>
          </w:tcPr>
          <w:p>
            <w:pPr>
              <w:numPr>
                <w:ilvl w:val="0"/>
                <w:numId w:val="40"/>
              </w:numPr>
              <w:tabs>
                <w:tab w:val="left" w:pos="851"/>
              </w:tabs>
              <w:spacing w:line="360" w:lineRule="auto"/>
              <w:ind w:left="425" w:leftChars="0" w:hanging="425" w:firstLineChars="0"/>
              <w:jc w:val="center"/>
              <w:rPr>
                <w:rFonts w:ascii="宋体" w:hAnsi="宋体"/>
                <w:sz w:val="24"/>
                <w:szCs w:val="28"/>
              </w:rPr>
            </w:pPr>
          </w:p>
        </w:tc>
        <w:tc>
          <w:tcPr>
            <w:tcW w:w="21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第4章打★号的技术、服务、商务和其他要求</w:t>
            </w:r>
          </w:p>
        </w:tc>
        <w:tc>
          <w:tcPr>
            <w:tcW w:w="6219"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投标文件均实质性响应招标文件中加★号的技术、服务、商务和其他要求。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tcBorders>
              <w:top w:val="single" w:color="auto" w:sz="2" w:space="0"/>
              <w:left w:val="single" w:color="auto" w:sz="2" w:space="0"/>
              <w:bottom w:val="single" w:color="auto" w:sz="2" w:space="0"/>
              <w:right w:val="single" w:color="auto" w:sz="2" w:space="0"/>
            </w:tcBorders>
            <w:vAlign w:val="center"/>
          </w:tcPr>
          <w:p>
            <w:pPr>
              <w:numPr>
                <w:ilvl w:val="0"/>
                <w:numId w:val="40"/>
              </w:numPr>
              <w:tabs>
                <w:tab w:val="left" w:pos="851"/>
              </w:tabs>
              <w:spacing w:line="360" w:lineRule="auto"/>
              <w:ind w:left="425" w:leftChars="0" w:hanging="425" w:firstLineChars="0"/>
              <w:jc w:val="center"/>
              <w:rPr>
                <w:rFonts w:hint="eastAsia" w:ascii="宋体" w:hAnsi="宋体"/>
                <w:sz w:val="24"/>
                <w:szCs w:val="28"/>
              </w:rPr>
            </w:pPr>
          </w:p>
        </w:tc>
        <w:tc>
          <w:tcPr>
            <w:tcW w:w="2143" w:type="dxa"/>
            <w:tcBorders>
              <w:top w:val="single" w:color="auto" w:sz="2" w:space="0"/>
              <w:left w:val="single" w:color="auto" w:sz="2" w:space="0"/>
              <w:bottom w:val="single" w:color="auto" w:sz="2" w:space="0"/>
              <w:right w:val="single" w:color="auto" w:sz="2" w:space="0"/>
            </w:tcBorders>
            <w:vAlign w:val="center"/>
          </w:tcPr>
          <w:p>
            <w:pPr>
              <w:rPr>
                <w:rFonts w:hint="eastAsia" w:ascii="宋体" w:hAnsi="宋体"/>
                <w:b w:val="0"/>
                <w:bCs w:val="0"/>
                <w:color w:val="FF0000"/>
                <w:kern w:val="2"/>
                <w:sz w:val="24"/>
                <w:szCs w:val="24"/>
                <w:lang w:val="en-US" w:eastAsia="zh-CN" w:bidi="ar-SA"/>
              </w:rPr>
            </w:pPr>
            <w:r>
              <w:rPr>
                <w:rFonts w:hint="eastAsia" w:ascii="宋体" w:hAnsi="宋体" w:eastAsia="宋体" w:cs="Times New Roman"/>
                <w:b w:val="0"/>
                <w:color w:val="FF0000"/>
                <w:kern w:val="2"/>
                <w:sz w:val="24"/>
                <w:szCs w:val="24"/>
                <w:lang w:val="en-US" w:eastAsia="zh-CN" w:bidi="ar-SA"/>
              </w:rPr>
              <w:t>本项目采购的产品属于《关于印发节能产品政府采购品目清单的通知》（财库〔2019〕19号）品目清单范围内强制采购的产品品目（</w:t>
            </w:r>
            <w:r>
              <w:rPr>
                <w:rFonts w:hint="eastAsia" w:eastAsia="宋体" w:cs="Times New Roman"/>
                <w:b w:val="0"/>
                <w:color w:val="FF0000"/>
                <w:kern w:val="2"/>
                <w:sz w:val="24"/>
                <w:szCs w:val="24"/>
                <w:lang w:val="en-US" w:eastAsia="zh-CN" w:bidi="ar-SA"/>
              </w:rPr>
              <w:t>以下仅</w:t>
            </w:r>
            <w:r>
              <w:rPr>
                <w:rFonts w:hint="eastAsia" w:ascii="宋体" w:hAnsi="宋体" w:eastAsia="宋体" w:cs="Times New Roman"/>
                <w:b w:val="0"/>
                <w:color w:val="FF0000"/>
                <w:kern w:val="2"/>
                <w:sz w:val="24"/>
                <w:szCs w:val="24"/>
                <w:lang w:val="en-US" w:eastAsia="zh-CN" w:bidi="ar-SA"/>
              </w:rPr>
              <w:t>供参考）</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★A02010104 台式计算机</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★A02010105 便携式计算机</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★A02010107 平板式微型计算机</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★A0201060102 激光打印机</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★A0201060104 针式打印机</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★A0201060401 液晶显示器</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★A02052301 制冷压缩机（冷水机组、水源热泵机组、溴化锂吸收式冷水机组）</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★A02052305 空调机组（多联式空调（热泵）机组（制冷量&gt;14000W）、单元式空气调节机（制冷量&gt;14000W））</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★A02052309 专用制冷、空调设备（机房空调）</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★A020609 镇流器（管型荧光灯镇流器）</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★A0206180203 空调机（房间空气调节器、多联式空调（热泵）机组（制冷量≦14000W）、单元式空气调节机（制冷量≦14000W））</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★电热水器</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★普通照明用双端荧光灯</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★A020910电视设备（A02091001普通电视设备（电视机））</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★A020911 视频设备（A02091107视频监控设备（监视器））</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★A060805 便器（坐便器、蹲便器、小便器）</w:t>
            </w:r>
          </w:p>
          <w:p>
            <w:pPr>
              <w:jc w:val="left"/>
              <w:rPr>
                <w:rFonts w:hint="eastAsia" w:ascii="宋体" w:hAnsi="宋体"/>
                <w:b w:val="0"/>
                <w:bCs w:val="0"/>
                <w:color w:val="FF0000"/>
                <w:kern w:val="2"/>
                <w:sz w:val="21"/>
                <w:szCs w:val="21"/>
                <w:lang w:val="en-US" w:eastAsia="zh-CN" w:bidi="ar-SA"/>
              </w:rPr>
            </w:pPr>
            <w:r>
              <w:rPr>
                <w:rFonts w:hint="eastAsia" w:ascii="宋体" w:hAnsi="宋体"/>
                <w:b w:val="0"/>
                <w:bCs w:val="0"/>
                <w:color w:val="FF0000"/>
                <w:kern w:val="2"/>
                <w:sz w:val="21"/>
                <w:szCs w:val="21"/>
                <w:lang w:val="en-US" w:eastAsia="zh-CN" w:bidi="ar-SA"/>
              </w:rPr>
              <w:t>★A060806 水嘴</w:t>
            </w:r>
          </w:p>
          <w:p>
            <w:pPr>
              <w:tabs>
                <w:tab w:val="left" w:pos="851"/>
              </w:tabs>
              <w:spacing w:line="360" w:lineRule="auto"/>
              <w:rPr>
                <w:rFonts w:hint="eastAsia" w:ascii="宋体" w:hAnsi="宋体"/>
                <w:sz w:val="24"/>
                <w:szCs w:val="28"/>
              </w:rPr>
            </w:pPr>
            <w:r>
              <w:rPr>
                <w:rFonts w:hint="eastAsia" w:ascii="宋体" w:hAnsi="宋体"/>
                <w:b w:val="0"/>
                <w:bCs w:val="0"/>
                <w:color w:val="FF0000"/>
                <w:kern w:val="2"/>
                <w:sz w:val="24"/>
                <w:szCs w:val="24"/>
                <w:lang w:val="en-US" w:eastAsia="zh-CN" w:bidi="ar-SA"/>
              </w:rPr>
              <w:t>（如涉及）</w:t>
            </w:r>
          </w:p>
        </w:tc>
        <w:tc>
          <w:tcPr>
            <w:tcW w:w="6219"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2"/>
                <w:szCs w:val="24"/>
                <w:highlight w:val="yellow"/>
                <w:lang w:val="en-US" w:eastAsia="zh-CN"/>
              </w:rPr>
            </w:pPr>
          </w:p>
          <w:p>
            <w:pPr>
              <w:tabs>
                <w:tab w:val="left" w:pos="851"/>
              </w:tabs>
              <w:spacing w:line="360" w:lineRule="auto"/>
              <w:jc w:val="left"/>
              <w:rPr>
                <w:rFonts w:hint="eastAsia" w:ascii="宋体" w:hAnsi="宋体"/>
                <w:sz w:val="24"/>
                <w:szCs w:val="28"/>
              </w:rPr>
            </w:pPr>
            <w:r>
              <w:rPr>
                <w:rFonts w:hint="eastAsia" w:ascii="宋体" w:hAnsi="宋体"/>
                <w:sz w:val="22"/>
                <w:szCs w:val="24"/>
                <w:highlight w:val="yellow"/>
                <w:lang w:val="en-US" w:eastAsia="zh-CN"/>
              </w:rPr>
              <w:t>项目采购的产品若属于清单范围内强制采购的产品，供应商须提供产品认证证书复印件并加盖供应商单位公章。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tcBorders>
              <w:top w:val="single" w:color="auto" w:sz="2" w:space="0"/>
              <w:left w:val="single" w:color="auto" w:sz="2" w:space="0"/>
              <w:bottom w:val="single" w:color="auto" w:sz="2" w:space="0"/>
              <w:right w:val="single" w:color="auto" w:sz="2" w:space="0"/>
            </w:tcBorders>
            <w:vAlign w:val="center"/>
          </w:tcPr>
          <w:p>
            <w:pPr>
              <w:numPr>
                <w:ilvl w:val="0"/>
                <w:numId w:val="40"/>
              </w:numPr>
              <w:tabs>
                <w:tab w:val="left" w:pos="851"/>
              </w:tabs>
              <w:spacing w:line="360" w:lineRule="auto"/>
              <w:ind w:left="425" w:leftChars="0" w:hanging="425" w:firstLineChars="0"/>
              <w:jc w:val="center"/>
              <w:rPr>
                <w:rFonts w:ascii="宋体" w:hAnsi="宋体"/>
                <w:sz w:val="24"/>
                <w:szCs w:val="28"/>
              </w:rPr>
            </w:pPr>
          </w:p>
        </w:tc>
        <w:tc>
          <w:tcPr>
            <w:tcW w:w="21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进口产品</w:t>
            </w:r>
          </w:p>
        </w:tc>
        <w:tc>
          <w:tcPr>
            <w:tcW w:w="6219"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招标文件中未载明“允许采购进口产品”的产品，投标产品为国产产品。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tcBorders>
              <w:top w:val="single" w:color="auto" w:sz="2" w:space="0"/>
              <w:left w:val="single" w:color="auto" w:sz="2" w:space="0"/>
              <w:bottom w:val="single" w:color="auto" w:sz="2" w:space="0"/>
              <w:right w:val="single" w:color="auto" w:sz="2" w:space="0"/>
            </w:tcBorders>
            <w:vAlign w:val="center"/>
          </w:tcPr>
          <w:p>
            <w:pPr>
              <w:numPr>
                <w:ilvl w:val="0"/>
                <w:numId w:val="40"/>
              </w:numPr>
              <w:tabs>
                <w:tab w:val="left" w:pos="851"/>
              </w:tabs>
              <w:spacing w:line="360" w:lineRule="auto"/>
              <w:ind w:left="425" w:leftChars="0" w:hanging="425" w:firstLineChars="0"/>
              <w:jc w:val="center"/>
              <w:rPr>
                <w:rFonts w:ascii="宋体" w:hAnsi="宋体"/>
                <w:sz w:val="24"/>
                <w:szCs w:val="28"/>
              </w:rPr>
            </w:pPr>
          </w:p>
        </w:tc>
        <w:tc>
          <w:tcPr>
            <w:tcW w:w="21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不属于禁止参加投标或投标无效的投标人</w:t>
            </w:r>
          </w:p>
        </w:tc>
        <w:tc>
          <w:tcPr>
            <w:tcW w:w="6219"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（1）根据招标文件的要求不属于禁止参加投标或投标无效的投标人；</w:t>
            </w:r>
          </w:p>
          <w:p>
            <w:pPr>
              <w:tabs>
                <w:tab w:val="left" w:pos="851"/>
              </w:tabs>
              <w:spacing w:line="360" w:lineRule="auto"/>
              <w:rPr>
                <w:rFonts w:ascii="宋体" w:hAnsi="宋体"/>
                <w:sz w:val="24"/>
                <w:szCs w:val="28"/>
              </w:rPr>
            </w:pPr>
            <w:r>
              <w:rPr>
                <w:rFonts w:hint="eastAsia" w:ascii="宋体" w:hAnsi="宋体"/>
                <w:sz w:val="24"/>
                <w:szCs w:val="28"/>
              </w:rPr>
              <w:t>（2）评标委员会未发现或者未知晓投标人存在属于国家相关法律法规规定的禁止参加投标或投标无效的投标人。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tcBorders>
              <w:top w:val="single" w:color="auto" w:sz="2" w:space="0"/>
              <w:left w:val="single" w:color="auto" w:sz="2" w:space="0"/>
              <w:bottom w:val="single" w:color="auto" w:sz="2" w:space="0"/>
              <w:right w:val="single" w:color="auto" w:sz="2" w:space="0"/>
            </w:tcBorders>
            <w:vAlign w:val="center"/>
          </w:tcPr>
          <w:p>
            <w:pPr>
              <w:numPr>
                <w:ilvl w:val="0"/>
                <w:numId w:val="40"/>
              </w:numPr>
              <w:tabs>
                <w:tab w:val="left" w:pos="851"/>
              </w:tabs>
              <w:spacing w:line="360" w:lineRule="auto"/>
              <w:ind w:left="425" w:leftChars="0" w:hanging="425" w:firstLineChars="0"/>
              <w:jc w:val="center"/>
              <w:rPr>
                <w:rFonts w:ascii="宋体" w:hAnsi="宋体"/>
                <w:sz w:val="24"/>
                <w:szCs w:val="28"/>
              </w:rPr>
            </w:pPr>
          </w:p>
        </w:tc>
        <w:tc>
          <w:tcPr>
            <w:tcW w:w="21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法定代表人或主要负责人身份证复印件或护照复印件</w:t>
            </w:r>
          </w:p>
        </w:tc>
        <w:tc>
          <w:tcPr>
            <w:tcW w:w="6219"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身份证复印件或护照复印件【注：法定代表人或主要负责人身份证复印件（身份证两面均应复印，在有效期内）或护照复印件（法定代表人或主要负责人为外籍人士的，按此提供）。】。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tcBorders>
              <w:top w:val="single" w:color="auto" w:sz="2" w:space="0"/>
              <w:left w:val="single" w:color="auto" w:sz="2" w:space="0"/>
              <w:bottom w:val="single" w:color="auto" w:sz="2" w:space="0"/>
              <w:right w:val="single" w:color="auto" w:sz="2" w:space="0"/>
            </w:tcBorders>
            <w:vAlign w:val="center"/>
          </w:tcPr>
          <w:p>
            <w:pPr>
              <w:numPr>
                <w:ilvl w:val="0"/>
                <w:numId w:val="40"/>
              </w:numPr>
              <w:tabs>
                <w:tab w:val="left" w:pos="851"/>
              </w:tabs>
              <w:spacing w:line="360" w:lineRule="auto"/>
              <w:ind w:left="425" w:leftChars="0" w:hanging="425" w:firstLineChars="0"/>
              <w:jc w:val="center"/>
              <w:rPr>
                <w:rFonts w:ascii="宋体" w:hAnsi="宋体"/>
                <w:sz w:val="24"/>
                <w:szCs w:val="28"/>
              </w:rPr>
            </w:pPr>
          </w:p>
        </w:tc>
        <w:tc>
          <w:tcPr>
            <w:tcW w:w="2143"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ascii="宋体" w:hAnsi="宋体"/>
                <w:sz w:val="24"/>
                <w:szCs w:val="28"/>
              </w:rPr>
            </w:pPr>
            <w:r>
              <w:rPr>
                <w:rFonts w:hint="eastAsia" w:ascii="宋体" w:hAnsi="宋体"/>
                <w:sz w:val="24"/>
                <w:szCs w:val="28"/>
              </w:rPr>
              <w:t>除资格性审查要求的证明材料外，招标文件要求提供的其他证明材料</w:t>
            </w:r>
          </w:p>
        </w:tc>
        <w:tc>
          <w:tcPr>
            <w:tcW w:w="6219" w:type="dxa"/>
            <w:tcBorders>
              <w:top w:val="single" w:color="auto" w:sz="2" w:space="0"/>
              <w:left w:val="single" w:color="auto" w:sz="2" w:space="0"/>
              <w:bottom w:val="single" w:color="auto" w:sz="2" w:space="0"/>
              <w:right w:val="single" w:color="auto" w:sz="2" w:space="0"/>
            </w:tcBorders>
            <w:vAlign w:val="center"/>
          </w:tcPr>
          <w:p>
            <w:pPr>
              <w:tabs>
                <w:tab w:val="left" w:pos="851"/>
              </w:tabs>
              <w:spacing w:line="360" w:lineRule="auto"/>
              <w:rPr>
                <w:rFonts w:hint="eastAsia"/>
              </w:rPr>
            </w:pPr>
            <w:r>
              <w:rPr>
                <w:rFonts w:hint="eastAsia"/>
              </w:rPr>
              <w:t>第4章打★号的技术、服务、商务和其他要求</w:t>
            </w:r>
            <w:r>
              <w:rPr>
                <w:rFonts w:hint="eastAsia"/>
                <w:lang w:val="en-US" w:eastAsia="zh-CN"/>
              </w:rPr>
              <w:t xml:space="preserve"> 4.5商务要求：</w:t>
            </w:r>
          </w:p>
          <w:p>
            <w:pPr>
              <w:rPr>
                <w:rFonts w:hint="eastAsia"/>
              </w:rPr>
            </w:pPr>
            <w:r>
              <w:rPr>
                <w:rFonts w:hint="eastAsia"/>
              </w:rPr>
              <w:t>★</w:t>
            </w:r>
            <w:r>
              <w:rPr>
                <w:rFonts w:hint="eastAsia"/>
                <w:lang w:eastAsia="zh-CN"/>
              </w:rPr>
              <w:t>（一）</w:t>
            </w:r>
            <w:r>
              <w:rPr>
                <w:rFonts w:hint="eastAsia"/>
              </w:rPr>
              <w:t>所有产品必须符合国家的相关标准与要求，并在配送时按要求提供产品所涉及的《全国工业产品生产许可证》、《食品生产许可证》、《生猪定点屠宰证》和《动物防疫条件合格证》等国家强制规定材料，不得提供转基因食品或利用转基因食品原料加工的成品</w:t>
            </w:r>
            <w:r>
              <w:rPr>
                <w:rFonts w:hint="eastAsia"/>
                <w:lang w:eastAsia="zh-CN"/>
              </w:rPr>
              <w:t>。</w:t>
            </w:r>
            <w:r>
              <w:rPr>
                <w:rFonts w:hint="eastAsia"/>
                <w:lang w:val="en-US" w:eastAsia="zh-CN"/>
              </w:rPr>
              <w:t>冷链食品必须通过四川省冷链食品追溯平台“川冷链”采购，必须查验海关检疫证明、通关证明、消毒证明和核酸检测报告的“三证明一报告”，证明材料不全的，严禁采购。投</w:t>
            </w:r>
            <w:r>
              <w:rPr>
                <w:rFonts w:hint="eastAsia"/>
              </w:rPr>
              <w:t>标人所供产品达到相关食品卫生安全规定，国家有出台新的更高标准的，以新的更高标准为准，保证所供产品配送到被服务单位时的质量、卫生和安全。（投标人必须单独提供承诺函，否则作无效投标处理，格式自拟）。</w:t>
            </w:r>
          </w:p>
          <w:p>
            <w:pPr>
              <w:numPr>
                <w:ilvl w:val="0"/>
                <w:numId w:val="41"/>
              </w:numPr>
              <w:rPr>
                <w:rFonts w:hint="eastAsia"/>
                <w:lang w:eastAsia="zh-CN"/>
              </w:rPr>
            </w:pPr>
            <w:r>
              <w:rPr>
                <w:rFonts w:hint="eastAsia"/>
                <w:lang w:eastAsia="zh-CN"/>
              </w:rPr>
              <w:t>产品质量要求</w:t>
            </w:r>
          </w:p>
          <w:p>
            <w:pPr>
              <w:rPr>
                <w:rFonts w:hint="eastAsia"/>
                <w:lang w:eastAsia="zh-CN"/>
              </w:rPr>
            </w:pPr>
            <w:r>
              <w:rPr>
                <w:rFonts w:hint="eastAsia"/>
                <w:lang w:eastAsia="zh-CN"/>
              </w:rPr>
              <w:t>★</w:t>
            </w:r>
            <w:r>
              <w:rPr>
                <w:rFonts w:hint="eastAsia"/>
                <w:lang w:val="en-US" w:eastAsia="zh-CN"/>
              </w:rPr>
              <w:t>5、</w:t>
            </w:r>
            <w:r>
              <w:rPr>
                <w:rFonts w:hint="eastAsia"/>
                <w:lang w:eastAsia="zh-CN"/>
              </w:rPr>
              <w:t>配送产品符合《食品安全法》相关要求，达到相关食品卫生安全规定，国家有出台新的更高标准的，以新的更高标准为准，保证所供产品配送到指定地点时的质量、卫生和安全。未按国家相关食品卫生标准及本招标文件要求配送的食材引发的食品卫生中毒等食品安全事故，由中标供应商负完全责任。（</w:t>
            </w:r>
            <w:r>
              <w:rPr>
                <w:rFonts w:hint="eastAsia"/>
                <w:lang w:val="en-US" w:eastAsia="zh-CN"/>
              </w:rPr>
              <w:t>投标供应商</w:t>
            </w:r>
            <w:r>
              <w:rPr>
                <w:rFonts w:hint="eastAsia"/>
                <w:lang w:eastAsia="zh-CN"/>
              </w:rPr>
              <w:t>提供承诺函）</w:t>
            </w:r>
          </w:p>
          <w:p>
            <w:pPr>
              <w:rPr>
                <w:rFonts w:hint="eastAsia"/>
                <w:lang w:eastAsia="zh-CN"/>
              </w:rPr>
            </w:pPr>
            <w:r>
              <w:rPr>
                <w:rFonts w:hint="eastAsia"/>
                <w:lang w:eastAsia="zh-CN"/>
              </w:rPr>
              <w:t>（五）配送方法及要求</w:t>
            </w:r>
          </w:p>
          <w:p>
            <w:pPr>
              <w:rPr>
                <w:rFonts w:hint="eastAsia"/>
                <w:lang w:eastAsia="zh-CN"/>
              </w:rPr>
            </w:pPr>
            <w:r>
              <w:rPr>
                <w:rFonts w:hint="eastAsia"/>
                <w:lang w:val="en-US" w:eastAsia="zh-CN"/>
              </w:rPr>
              <w:t>1、</w:t>
            </w:r>
            <w:r>
              <w:rPr>
                <w:rFonts w:hint="eastAsia"/>
                <w:lang w:eastAsia="zh-CN"/>
              </w:rPr>
              <w:t>配送时间要求</w:t>
            </w:r>
          </w:p>
          <w:p>
            <w:pPr>
              <w:rPr>
                <w:rFonts w:hint="eastAsia"/>
                <w:lang w:eastAsia="zh-CN"/>
              </w:rPr>
            </w:pPr>
            <w:r>
              <w:rPr>
                <w:rFonts w:hint="eastAsia"/>
                <w:lang w:eastAsia="zh-CN"/>
              </w:rPr>
              <w:t>★（</w:t>
            </w:r>
            <w:r>
              <w:rPr>
                <w:rFonts w:hint="eastAsia"/>
                <w:lang w:val="en-US" w:eastAsia="zh-CN"/>
              </w:rPr>
              <w:t>2</w:t>
            </w:r>
            <w:r>
              <w:rPr>
                <w:rFonts w:hint="eastAsia"/>
                <w:lang w:eastAsia="zh-CN"/>
              </w:rPr>
              <w:t>）投标供应商保证配送商品质量、数量、送货时间等均符合采购人要求(下单规则：至少提前一天制定需求），紧急情况除外如遇不可抗力造成送货延误的，经采购人同意后，投标供应商应按采购人另行指定的地点和时间及时送达。（</w:t>
            </w:r>
            <w:r>
              <w:rPr>
                <w:rFonts w:hint="eastAsia"/>
                <w:lang w:val="en-US" w:eastAsia="zh-CN"/>
              </w:rPr>
              <w:t>投标供应商</w:t>
            </w:r>
            <w:r>
              <w:rPr>
                <w:rFonts w:hint="eastAsia"/>
                <w:lang w:eastAsia="zh-CN"/>
              </w:rPr>
              <w:t>提供承诺函）</w:t>
            </w:r>
          </w:p>
          <w:p>
            <w:pPr>
              <w:rPr>
                <w:rFonts w:hint="eastAsia"/>
                <w:lang w:eastAsia="zh-CN"/>
              </w:rPr>
            </w:pPr>
            <w:r>
              <w:rPr>
                <w:rFonts w:hint="eastAsia"/>
                <w:lang w:val="en-US" w:eastAsia="zh-CN"/>
              </w:rPr>
              <w:t>4、</w:t>
            </w:r>
            <w:r>
              <w:rPr>
                <w:rFonts w:hint="eastAsia"/>
                <w:lang w:eastAsia="zh-CN"/>
              </w:rPr>
              <w:t>人员配备管理方案</w:t>
            </w:r>
          </w:p>
          <w:p>
            <w:pPr>
              <w:rPr>
                <w:rFonts w:hint="eastAsia"/>
                <w:lang w:eastAsia="zh-CN"/>
              </w:rPr>
            </w:pPr>
            <w:r>
              <w:rPr>
                <w:rFonts w:hint="eastAsia"/>
                <w:lang w:eastAsia="zh-CN"/>
              </w:rPr>
              <w:t>★（1）为保证食材配送及时，保障食堂每日准时供餐，投标供应商为本项目配备至少</w:t>
            </w:r>
            <w:r>
              <w:rPr>
                <w:rFonts w:hint="eastAsia"/>
                <w:lang w:val="en-US" w:eastAsia="zh-CN"/>
              </w:rPr>
              <w:t>3</w:t>
            </w:r>
            <w:r>
              <w:rPr>
                <w:rFonts w:hint="eastAsia"/>
                <w:lang w:eastAsia="zh-CN"/>
              </w:rPr>
              <w:t>名持有有效健康证的配送人员，且为本公司员工，每次配送至少要有2名持有有效健康证的配送员，未经采购人事先许可，供应商不得擅自变动配送人员，专人专岗，定期体检；（提供承诺函）。</w:t>
            </w:r>
          </w:p>
          <w:p>
            <w:pPr>
              <w:rPr>
                <w:rFonts w:hint="eastAsia"/>
                <w:lang w:val="en-US" w:eastAsia="zh-CN"/>
              </w:rPr>
            </w:pPr>
            <w:r>
              <w:rPr>
                <w:rFonts w:hint="eastAsia"/>
                <w:lang w:val="en-US" w:eastAsia="zh-CN"/>
              </w:rPr>
              <w:t>5.其他配送要求</w:t>
            </w:r>
          </w:p>
          <w:p>
            <w:pPr>
              <w:rPr>
                <w:rFonts w:hint="eastAsia"/>
                <w:lang w:eastAsia="zh-CN"/>
              </w:rPr>
            </w:pPr>
            <w:r>
              <w:rPr>
                <w:rFonts w:hint="eastAsia"/>
                <w:lang w:eastAsia="zh-CN"/>
              </w:rPr>
              <w:t>★</w:t>
            </w:r>
            <w:r>
              <w:rPr>
                <w:rFonts w:hint="eastAsia"/>
                <w:lang w:val="en-US" w:eastAsia="zh-CN"/>
              </w:rPr>
              <w:t>（1）</w:t>
            </w:r>
            <w:r>
              <w:rPr>
                <w:rFonts w:hint="eastAsia"/>
                <w:lang w:eastAsia="zh-CN"/>
              </w:rPr>
              <w:t>承诺合同签订后在武侯区第一办公区（成都市武侯祠大街264号）附近区域内（</w:t>
            </w:r>
            <w:r>
              <w:rPr>
                <w:rFonts w:hint="eastAsia"/>
                <w:lang w:val="en-US" w:eastAsia="zh-CN"/>
              </w:rPr>
              <w:t>2</w:t>
            </w:r>
            <w:r>
              <w:rPr>
                <w:rFonts w:hint="eastAsia"/>
                <w:lang w:eastAsia="zh-CN"/>
              </w:rPr>
              <w:t>0分钟交通距离）设置自有应急配送门店(具备食品、肉类、粮油、蔬菜等应急配送能力），应急配送要求应在30分钟内予以响应并送到。（</w:t>
            </w:r>
            <w:r>
              <w:rPr>
                <w:rFonts w:hint="eastAsia"/>
                <w:lang w:val="en-US" w:eastAsia="zh-CN"/>
              </w:rPr>
              <w:t>投标供应商</w:t>
            </w:r>
            <w:r>
              <w:rPr>
                <w:rFonts w:hint="eastAsia"/>
                <w:lang w:eastAsia="zh-CN"/>
              </w:rPr>
              <w:t>提供承诺函）</w:t>
            </w:r>
          </w:p>
          <w:p>
            <w:r>
              <w:rPr>
                <w:rFonts w:hint="eastAsia"/>
                <w:lang w:eastAsia="zh-CN"/>
              </w:rPr>
              <w:t>★（</w:t>
            </w:r>
            <w:r>
              <w:rPr>
                <w:rFonts w:hint="eastAsia"/>
                <w:lang w:val="en-US" w:eastAsia="zh-CN"/>
              </w:rPr>
              <w:t>2</w:t>
            </w:r>
            <w:r>
              <w:rPr>
                <w:rFonts w:hint="eastAsia"/>
                <w:lang w:eastAsia="zh-CN"/>
              </w:rPr>
              <w:t>）以采购人实际需求及用量进行配送服务，并按甲方书面确认的实际用量进行结算，以上数据仅供供应商参考，不作为供应商报价依据。（</w:t>
            </w:r>
            <w:r>
              <w:rPr>
                <w:rFonts w:hint="eastAsia"/>
                <w:lang w:val="en-US" w:eastAsia="zh-CN"/>
              </w:rPr>
              <w:t>投标供应商</w:t>
            </w:r>
            <w:r>
              <w:rPr>
                <w:rFonts w:hint="eastAsia"/>
                <w:lang w:eastAsia="zh-CN"/>
              </w:rPr>
              <w:t>提供承诺函）</w:t>
            </w:r>
          </w:p>
        </w:tc>
      </w:tr>
    </w:tbl>
    <w:p>
      <w:pPr>
        <w:tabs>
          <w:tab w:val="left" w:pos="851"/>
        </w:tabs>
        <w:spacing w:line="360" w:lineRule="auto"/>
        <w:ind w:firstLine="480" w:firstLineChars="200"/>
        <w:rPr>
          <w:rFonts w:ascii="宋体" w:hAnsi="宋体"/>
          <w:sz w:val="24"/>
          <w:szCs w:val="24"/>
        </w:rPr>
      </w:pPr>
      <w:r>
        <w:rPr>
          <w:rFonts w:hint="eastAsia" w:ascii="宋体" w:hAnsi="宋体"/>
          <w:sz w:val="24"/>
          <w:szCs w:val="24"/>
        </w:rPr>
        <w:t>一、以上每一项结论均为“符合”的，则投标人的投标文件通过符合性审查；如有任意一项结论为“不符合”的，则投标人的投标文件按无效投标文件处理。如果评标委员会认为投标人有任意一项不通过的，应在符合性审查报告中载明不通过的具体原因。</w:t>
      </w:r>
    </w:p>
    <w:p>
      <w:pPr>
        <w:tabs>
          <w:tab w:val="left" w:pos="851"/>
        </w:tabs>
        <w:spacing w:line="360" w:lineRule="auto"/>
        <w:ind w:firstLine="484" w:firstLineChars="202"/>
        <w:rPr>
          <w:rFonts w:ascii="宋体" w:hAnsi="宋体"/>
          <w:sz w:val="24"/>
          <w:szCs w:val="24"/>
        </w:rPr>
      </w:pPr>
      <w:r>
        <w:rPr>
          <w:rFonts w:hint="eastAsia" w:ascii="宋体" w:hAnsi="宋体"/>
          <w:sz w:val="24"/>
          <w:szCs w:val="24"/>
        </w:rPr>
        <w:t>二、投标人的投标文件符合性审查时被判定为无效投标文件的，</w:t>
      </w:r>
      <w:r>
        <w:rPr>
          <w:rFonts w:hint="eastAsia" w:ascii="宋体" w:hAnsi="宋体"/>
          <w:sz w:val="24"/>
          <w:szCs w:val="24"/>
          <w:lang w:eastAsia="zh-CN"/>
        </w:rPr>
        <w:t>区政府采购中心</w:t>
      </w:r>
      <w:r>
        <w:rPr>
          <w:rFonts w:hint="eastAsia" w:ascii="宋体" w:hAnsi="宋体"/>
          <w:sz w:val="24"/>
          <w:szCs w:val="24"/>
        </w:rPr>
        <w:t>将通知投标人（以短信、现场公示、电话、 “政府采购云平台”等任一方式）。投标人如对评审结论有异议的，应及时向</w:t>
      </w:r>
      <w:r>
        <w:rPr>
          <w:rFonts w:hint="eastAsia" w:ascii="宋体" w:hAnsi="宋体"/>
          <w:sz w:val="24"/>
          <w:szCs w:val="24"/>
          <w:lang w:eastAsia="zh-CN"/>
        </w:rPr>
        <w:t>区政府采购中心</w:t>
      </w:r>
      <w:r>
        <w:rPr>
          <w:rFonts w:hint="eastAsia" w:ascii="宋体" w:hAnsi="宋体"/>
          <w:sz w:val="24"/>
          <w:szCs w:val="24"/>
        </w:rPr>
        <w:t>反馈意见。</w:t>
      </w:r>
      <w:r>
        <w:rPr>
          <w:rFonts w:hint="eastAsia" w:ascii="宋体" w:hAnsi="宋体"/>
          <w:sz w:val="24"/>
          <w:szCs w:val="24"/>
          <w:lang w:eastAsia="zh-CN"/>
        </w:rPr>
        <w:t>区政府采购中心</w:t>
      </w:r>
      <w:r>
        <w:rPr>
          <w:rFonts w:hint="eastAsia" w:ascii="宋体" w:hAnsi="宋体"/>
          <w:sz w:val="24"/>
          <w:szCs w:val="24"/>
        </w:rPr>
        <w:t>在评审结束前将收到的反馈意见及时告知评标委员会。（说明：无论投标人是否收到通知或提供反馈意见，均不影响评标委员会的评标工作，且</w:t>
      </w:r>
      <w:r>
        <w:rPr>
          <w:rFonts w:hint="eastAsia" w:ascii="宋体" w:hAnsi="宋体"/>
          <w:sz w:val="24"/>
          <w:szCs w:val="24"/>
          <w:lang w:eastAsia="zh-CN"/>
        </w:rPr>
        <w:t>区政府采购中心</w:t>
      </w:r>
      <w:r>
        <w:rPr>
          <w:rFonts w:hint="eastAsia" w:ascii="宋体" w:hAnsi="宋体"/>
          <w:sz w:val="24"/>
          <w:szCs w:val="24"/>
        </w:rPr>
        <w:t>对此将不承担任何的责任。投标人对评审结论有异议的，其反馈意见仅限于评标委员会对评审结论的正确性进行复核，避免出现评审错误。）</w:t>
      </w:r>
    </w:p>
    <w:p>
      <w:pPr>
        <w:tabs>
          <w:tab w:val="left" w:pos="851"/>
        </w:tabs>
        <w:spacing w:line="360" w:lineRule="auto"/>
        <w:ind w:firstLine="484" w:firstLineChars="202"/>
        <w:rPr>
          <w:rFonts w:ascii="宋体" w:hAnsi="宋体"/>
          <w:sz w:val="24"/>
          <w:szCs w:val="24"/>
        </w:rPr>
      </w:pPr>
      <w:r>
        <w:rPr>
          <w:rFonts w:hint="eastAsia" w:ascii="宋体" w:hAnsi="宋体"/>
          <w:sz w:val="24"/>
          <w:szCs w:val="24"/>
        </w:rPr>
        <w:t>三、通过符合性审查的供应商＜3名，本项目采购失败。</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解释、澄清有关问题</w:t>
      </w:r>
    </w:p>
    <w:p>
      <w:pPr>
        <w:numPr>
          <w:ilvl w:val="0"/>
          <w:numId w:val="42"/>
        </w:numPr>
        <w:tabs>
          <w:tab w:val="left" w:pos="1134"/>
        </w:tabs>
        <w:spacing w:line="360" w:lineRule="auto"/>
        <w:ind w:left="0" w:firstLine="525"/>
        <w:rPr>
          <w:rFonts w:ascii="宋体" w:hAnsi="宋体"/>
          <w:sz w:val="24"/>
          <w:szCs w:val="24"/>
        </w:rPr>
      </w:pPr>
      <w:r>
        <w:rPr>
          <w:rFonts w:hint="eastAsia" w:ascii="宋体" w:hAnsi="宋体"/>
          <w:sz w:val="24"/>
          <w:szCs w:val="24"/>
        </w:rPr>
        <w:t>评标过程中，评标委员会认为招标文件有关事项表述不明确或需要说明的，可以提请</w:t>
      </w:r>
      <w:r>
        <w:rPr>
          <w:rFonts w:hint="eastAsia" w:ascii="宋体" w:hAnsi="宋体"/>
          <w:sz w:val="24"/>
          <w:szCs w:val="24"/>
          <w:lang w:eastAsia="zh-CN"/>
        </w:rPr>
        <w:t>区政府采购中心</w:t>
      </w:r>
      <w:r>
        <w:rPr>
          <w:rFonts w:hint="eastAsia" w:ascii="宋体" w:hAnsi="宋体"/>
          <w:sz w:val="24"/>
          <w:szCs w:val="24"/>
        </w:rPr>
        <w:t>书面解释。</w:t>
      </w:r>
      <w:r>
        <w:rPr>
          <w:rFonts w:hint="eastAsia" w:ascii="宋体" w:hAnsi="宋体"/>
          <w:sz w:val="24"/>
          <w:szCs w:val="24"/>
          <w:lang w:eastAsia="zh-CN"/>
        </w:rPr>
        <w:t>区政府采购中心</w:t>
      </w:r>
      <w:r>
        <w:rPr>
          <w:rFonts w:hint="eastAsia" w:ascii="宋体" w:hAnsi="宋体"/>
          <w:sz w:val="24"/>
          <w:szCs w:val="24"/>
        </w:rPr>
        <w:t>的解释不得改变招标文件的原义或者影响公平、公正，解释事项如果涉及投标人权益的以有利于投标人的原则进行解释。</w:t>
      </w:r>
    </w:p>
    <w:p>
      <w:pPr>
        <w:numPr>
          <w:ilvl w:val="0"/>
          <w:numId w:val="42"/>
        </w:numPr>
        <w:tabs>
          <w:tab w:val="left" w:pos="1134"/>
        </w:tabs>
        <w:spacing w:after="200" w:line="560" w:lineRule="exact"/>
        <w:ind w:left="0" w:firstLine="525"/>
        <w:rPr>
          <w:rFonts w:ascii="宋体" w:hAnsi="宋体"/>
          <w:sz w:val="24"/>
          <w:szCs w:val="24"/>
        </w:rPr>
      </w:pPr>
      <w:r>
        <w:rPr>
          <w:rFonts w:hint="eastAsia" w:ascii="宋体" w:hAnsi="宋体"/>
          <w:sz w:val="24"/>
          <w:szCs w:val="24"/>
        </w:rPr>
        <w:t>对投标文件中含义不明确、同类问题表述不一致或者有明显文字和计算错误的内容，评标委员会应当要求投标人作出必要的澄清、说明或补正，并给予投标人必要的反馈时间。投标人应当按评标委员会的要求进行澄清、说明或者补正。投标人的澄清、说明或者补正不得超出投标文件的范围或者改变投标文件的实质性内容。澄清不影响投标文件的效力，有效的澄清材料，是投标文件的组成部分。</w:t>
      </w:r>
    </w:p>
    <w:p>
      <w:pPr>
        <w:numPr>
          <w:ilvl w:val="0"/>
          <w:numId w:val="42"/>
        </w:numPr>
        <w:tabs>
          <w:tab w:val="left" w:pos="1134"/>
        </w:tabs>
        <w:spacing w:line="360" w:lineRule="auto"/>
        <w:ind w:left="0" w:firstLine="525"/>
        <w:rPr>
          <w:rFonts w:ascii="宋体" w:hAnsi="宋体"/>
          <w:sz w:val="24"/>
          <w:szCs w:val="24"/>
        </w:rPr>
      </w:pPr>
      <w:r>
        <w:rPr>
          <w:rFonts w:hint="eastAsia" w:ascii="宋体" w:hAnsi="宋体"/>
          <w:sz w:val="24"/>
          <w:szCs w:val="24"/>
        </w:rPr>
        <w:t>澄清应当不超出投标文件的范围、不实质性改变投标文件的内容、不影响投标人的公平竞争、不导致投标文件从不响应招标文件变为响应招标文件的条件。下列内容不得澄清：</w:t>
      </w:r>
    </w:p>
    <w:p>
      <w:pPr>
        <w:numPr>
          <w:ilvl w:val="0"/>
          <w:numId w:val="43"/>
        </w:numPr>
        <w:tabs>
          <w:tab w:val="left" w:pos="1260"/>
          <w:tab w:val="clear" w:pos="846"/>
        </w:tabs>
        <w:spacing w:line="360" w:lineRule="auto"/>
        <w:ind w:left="0" w:firstLine="525"/>
        <w:rPr>
          <w:rFonts w:ascii="宋体" w:hAnsi="宋体" w:cstheme="minorBidi"/>
          <w:sz w:val="24"/>
          <w:szCs w:val="24"/>
        </w:rPr>
      </w:pPr>
      <w:r>
        <w:rPr>
          <w:rFonts w:hint="eastAsia" w:ascii="宋体" w:hAnsi="宋体" w:cstheme="minorBidi"/>
          <w:sz w:val="24"/>
          <w:szCs w:val="24"/>
        </w:rPr>
        <w:t>投标人投标文件中不响应招标文件规定的技术参数指标和商务应答；</w:t>
      </w:r>
    </w:p>
    <w:p>
      <w:pPr>
        <w:numPr>
          <w:ilvl w:val="0"/>
          <w:numId w:val="43"/>
        </w:numPr>
        <w:tabs>
          <w:tab w:val="left" w:pos="1260"/>
        </w:tabs>
        <w:spacing w:line="360" w:lineRule="auto"/>
        <w:ind w:left="0" w:firstLine="525"/>
        <w:rPr>
          <w:rFonts w:ascii="宋体" w:hAnsi="宋体" w:cstheme="minorBidi"/>
          <w:sz w:val="24"/>
          <w:szCs w:val="24"/>
        </w:rPr>
      </w:pPr>
      <w:r>
        <w:rPr>
          <w:rFonts w:hint="eastAsia" w:ascii="宋体" w:hAnsi="宋体" w:cstheme="minorBidi"/>
          <w:sz w:val="24"/>
          <w:szCs w:val="24"/>
        </w:rPr>
        <w:t>投标人投标文件中未提供的证明其是否符合招标文件资格性、符合性规定要求的相关材料。</w:t>
      </w:r>
    </w:p>
    <w:p>
      <w:pPr>
        <w:numPr>
          <w:ilvl w:val="0"/>
          <w:numId w:val="43"/>
        </w:numPr>
        <w:tabs>
          <w:tab w:val="left" w:pos="993"/>
          <w:tab w:val="left" w:pos="1260"/>
          <w:tab w:val="clear" w:pos="846"/>
        </w:tabs>
        <w:spacing w:line="360" w:lineRule="auto"/>
        <w:ind w:left="0" w:firstLine="525"/>
        <w:rPr>
          <w:rFonts w:ascii="宋体" w:hAnsi="宋体" w:cstheme="minorBidi"/>
          <w:sz w:val="24"/>
          <w:szCs w:val="24"/>
        </w:rPr>
      </w:pPr>
      <w:r>
        <w:rPr>
          <w:rFonts w:hint="eastAsia" w:ascii="宋体" w:hAnsi="宋体" w:cstheme="minorBidi"/>
          <w:sz w:val="24"/>
          <w:szCs w:val="24"/>
        </w:rPr>
        <w:t>投标人投标文件中的材料因印刷、影印等不清晰而难以辨认的。</w:t>
      </w:r>
    </w:p>
    <w:p>
      <w:pPr>
        <w:numPr>
          <w:ilvl w:val="0"/>
          <w:numId w:val="42"/>
        </w:numPr>
        <w:tabs>
          <w:tab w:val="left" w:pos="1134"/>
        </w:tabs>
        <w:spacing w:line="360" w:lineRule="auto"/>
        <w:ind w:left="0" w:firstLine="525"/>
        <w:rPr>
          <w:rFonts w:ascii="宋体" w:hAnsi="宋体"/>
          <w:sz w:val="24"/>
          <w:szCs w:val="24"/>
        </w:rPr>
      </w:pPr>
      <w:r>
        <w:rPr>
          <w:rFonts w:hint="eastAsia" w:ascii="宋体" w:hAnsi="宋体"/>
          <w:sz w:val="24"/>
          <w:szCs w:val="24"/>
        </w:rPr>
        <w:t>投标文件报价出现下列情况的，不需要投标人澄清，按以下原则处理：</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（二）大写金额和小写金额不一致的，以大写金额为准，但大写金额出现文字错误，导致金额无法判断的除外；</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（三）单价金额小数点或者百分比有明显错位的，以总价为准，并修改单价；</w:t>
      </w:r>
    </w:p>
    <w:p>
      <w:pPr>
        <w:tabs>
          <w:tab w:val="left" w:pos="1134"/>
        </w:tabs>
        <w:spacing w:line="360" w:lineRule="auto"/>
        <w:ind w:firstLine="480" w:firstLineChars="200"/>
        <w:rPr>
          <w:rFonts w:ascii="宋体" w:hAnsi="宋体"/>
          <w:sz w:val="24"/>
          <w:szCs w:val="24"/>
        </w:rPr>
      </w:pPr>
      <w:r>
        <w:rPr>
          <w:rFonts w:hint="eastAsia" w:ascii="宋体" w:hAnsi="宋体"/>
          <w:sz w:val="24"/>
          <w:szCs w:val="24"/>
        </w:rPr>
        <w:t>（四）总价金额与按单价汇总金额不一致的，以单价金额计算结果为准。</w:t>
      </w:r>
    </w:p>
    <w:p>
      <w:pPr>
        <w:spacing w:line="360" w:lineRule="auto"/>
        <w:ind w:firstLine="561"/>
        <w:rPr>
          <w:sz w:val="24"/>
          <w:szCs w:val="24"/>
        </w:rPr>
      </w:pPr>
      <w:r>
        <w:rPr>
          <w:rFonts w:hint="eastAsia"/>
          <w:sz w:val="24"/>
          <w:szCs w:val="24"/>
        </w:rPr>
        <w:t>同时出现两种以上不一致的，按照前款规定的顺序修正。修正后的报价经投标人确认后产生约束力，投标人不确认的，其投标无效。评标委员会不得未经要求投标人确认，直接将投标人投标文件做无效处理。</w:t>
      </w:r>
    </w:p>
    <w:p>
      <w:pPr>
        <w:tabs>
          <w:tab w:val="left" w:pos="720"/>
        </w:tabs>
        <w:spacing w:line="360" w:lineRule="auto"/>
        <w:ind w:firstLine="561"/>
        <w:rPr>
          <w:sz w:val="24"/>
          <w:szCs w:val="24"/>
        </w:rPr>
      </w:pPr>
      <w:r>
        <w:rPr>
          <w:rFonts w:hint="eastAsia"/>
          <w:sz w:val="24"/>
          <w:szCs w:val="24"/>
        </w:rPr>
        <w:t>五、对不同语言文本投标文件的解释发生异议的，以中文文本为准。</w:t>
      </w:r>
    </w:p>
    <w:p>
      <w:pPr>
        <w:tabs>
          <w:tab w:val="left" w:pos="720"/>
        </w:tabs>
        <w:spacing w:line="560" w:lineRule="exact"/>
        <w:ind w:firstLine="480" w:firstLineChars="200"/>
        <w:rPr>
          <w:sz w:val="24"/>
          <w:szCs w:val="24"/>
        </w:rPr>
      </w:pPr>
      <w:r>
        <w:rPr>
          <w:rFonts w:hint="eastAsia"/>
          <w:sz w:val="24"/>
          <w:szCs w:val="24"/>
        </w:rPr>
        <w:t>六、评标结束之前，投标人应随时关注系统提示，及时通过“政府采购云平台”在线响应评标委员会发出的澄清、说明或补正要求，签章并确认提交成功。逾时回复将不能提交，视为投标人自行放弃，其损失由投标人承担。</w:t>
      </w:r>
    </w:p>
    <w:p>
      <w:pPr>
        <w:tabs>
          <w:tab w:val="left" w:pos="851"/>
        </w:tabs>
        <w:spacing w:line="360" w:lineRule="auto"/>
        <w:ind w:firstLine="487" w:firstLineChars="202"/>
        <w:rPr>
          <w:rFonts w:ascii="宋体" w:hAnsi="宋体"/>
          <w:b/>
          <w:sz w:val="24"/>
          <w:szCs w:val="24"/>
        </w:rPr>
      </w:pPr>
      <w:r>
        <w:rPr>
          <w:rFonts w:hint="eastAsia" w:ascii="宋体" w:hAnsi="宋体"/>
          <w:b/>
          <w:sz w:val="24"/>
          <w:szCs w:val="24"/>
        </w:rPr>
        <w:t>评标委员会应当积极履行澄清、说明或者更正的职责，不得滥用权力。</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比较与评价</w:t>
      </w:r>
    </w:p>
    <w:p>
      <w:pPr>
        <w:tabs>
          <w:tab w:val="left" w:pos="851"/>
        </w:tabs>
        <w:spacing w:line="360" w:lineRule="auto"/>
        <w:ind w:firstLine="484" w:firstLineChars="202"/>
        <w:rPr>
          <w:rFonts w:ascii="宋体" w:hAnsi="宋体"/>
          <w:sz w:val="24"/>
          <w:szCs w:val="24"/>
        </w:rPr>
      </w:pPr>
      <w:r>
        <w:rPr>
          <w:rFonts w:hint="eastAsia" w:ascii="宋体" w:hAnsi="宋体"/>
          <w:sz w:val="24"/>
          <w:szCs w:val="24"/>
        </w:rPr>
        <w:t>按招标文件中规定的评标细则及标准，对符合性检查合格的投标文件进行商务和技术评估，综合比较和评价。</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复核</w:t>
      </w:r>
    </w:p>
    <w:p>
      <w:pPr>
        <w:tabs>
          <w:tab w:val="left" w:pos="851"/>
        </w:tabs>
        <w:spacing w:line="360" w:lineRule="auto"/>
        <w:ind w:firstLine="484" w:firstLineChars="202"/>
        <w:rPr>
          <w:rFonts w:ascii="宋体" w:hAnsi="宋体"/>
          <w:sz w:val="24"/>
          <w:szCs w:val="24"/>
        </w:rPr>
      </w:pPr>
      <w:r>
        <w:rPr>
          <w:rFonts w:hint="eastAsia" w:ascii="宋体" w:hAnsi="宋体"/>
          <w:sz w:val="24"/>
          <w:szCs w:val="24"/>
        </w:rPr>
        <w:t>评分汇总结束后，评标委员会应当进行复核，特别要对拟推荐为中标候选供应商的、报价最低的、投标文件被认定为无效的进行重点复核。</w:t>
      </w:r>
    </w:p>
    <w:p>
      <w:pPr>
        <w:tabs>
          <w:tab w:val="left" w:pos="851"/>
        </w:tabs>
        <w:spacing w:line="360" w:lineRule="auto"/>
        <w:ind w:firstLine="484" w:firstLineChars="202"/>
        <w:rPr>
          <w:rFonts w:ascii="宋体" w:hAnsi="宋体"/>
          <w:sz w:val="24"/>
          <w:szCs w:val="24"/>
        </w:rPr>
      </w:pPr>
      <w:r>
        <w:rPr>
          <w:rFonts w:hint="eastAsia" w:ascii="宋体" w:hAnsi="宋体"/>
          <w:sz w:val="24"/>
          <w:szCs w:val="24"/>
        </w:rPr>
        <w:t>评标结果汇总完成后，评标委员会拟出具评审报告前，</w:t>
      </w:r>
      <w:r>
        <w:rPr>
          <w:rFonts w:hint="eastAsia" w:cs="Arial"/>
          <w:sz w:val="24"/>
          <w:szCs w:val="24"/>
          <w:lang w:eastAsia="zh-CN"/>
        </w:rPr>
        <w:t>区政府采购中心</w:t>
      </w:r>
      <w:r>
        <w:rPr>
          <w:rFonts w:hint="eastAsia" w:ascii="宋体" w:hAnsi="宋体"/>
          <w:sz w:val="24"/>
          <w:szCs w:val="24"/>
        </w:rPr>
        <w:t>应当组织2名以上的工作人员，在采购现场监督人员的监督之下，依据有关的法律制度和采购文件对评审结果进行复核，出具复核报告。</w:t>
      </w:r>
    </w:p>
    <w:p>
      <w:pPr>
        <w:tabs>
          <w:tab w:val="left" w:pos="851"/>
        </w:tabs>
        <w:spacing w:line="360" w:lineRule="auto"/>
        <w:ind w:firstLine="480" w:firstLineChars="200"/>
        <w:rPr>
          <w:rFonts w:ascii="宋体" w:hAnsi="宋体"/>
          <w:sz w:val="24"/>
          <w:szCs w:val="24"/>
        </w:rPr>
      </w:pPr>
      <w:r>
        <w:rPr>
          <w:rFonts w:hint="eastAsia" w:ascii="宋体" w:hAnsi="宋体"/>
          <w:sz w:val="24"/>
          <w:szCs w:val="24"/>
        </w:rPr>
        <w:t>评标结果汇总完成后，除下列情形外，任何人不得修改评标结果：</w:t>
      </w:r>
    </w:p>
    <w:p>
      <w:pPr>
        <w:numPr>
          <w:ilvl w:val="0"/>
          <w:numId w:val="44"/>
        </w:numPr>
        <w:tabs>
          <w:tab w:val="left" w:pos="851"/>
          <w:tab w:val="left" w:pos="1276"/>
        </w:tabs>
        <w:spacing w:line="360" w:lineRule="auto"/>
        <w:ind w:left="0" w:firstLine="424"/>
        <w:rPr>
          <w:rFonts w:ascii="宋体" w:hAnsi="宋体" w:cstheme="minorBidi"/>
          <w:sz w:val="24"/>
          <w:szCs w:val="24"/>
        </w:rPr>
      </w:pPr>
      <w:r>
        <w:rPr>
          <w:rFonts w:hint="eastAsia" w:ascii="宋体" w:hAnsi="宋体" w:cstheme="minorBidi"/>
          <w:sz w:val="24"/>
          <w:szCs w:val="24"/>
        </w:rPr>
        <w:t>分值汇总计算错误的；</w:t>
      </w:r>
    </w:p>
    <w:p>
      <w:pPr>
        <w:numPr>
          <w:ilvl w:val="0"/>
          <w:numId w:val="44"/>
        </w:numPr>
        <w:tabs>
          <w:tab w:val="left" w:pos="851"/>
          <w:tab w:val="left" w:pos="1276"/>
        </w:tabs>
        <w:spacing w:line="360" w:lineRule="auto"/>
        <w:ind w:left="0" w:firstLine="424"/>
        <w:rPr>
          <w:rFonts w:ascii="宋体" w:hAnsi="宋体" w:cstheme="minorBidi"/>
          <w:sz w:val="24"/>
          <w:szCs w:val="24"/>
        </w:rPr>
      </w:pPr>
      <w:r>
        <w:rPr>
          <w:rFonts w:hint="eastAsia" w:ascii="宋体" w:hAnsi="宋体" w:cstheme="minorBidi"/>
          <w:sz w:val="24"/>
          <w:szCs w:val="24"/>
        </w:rPr>
        <w:t>分项评分超出评分标准范围的；</w:t>
      </w:r>
    </w:p>
    <w:p>
      <w:pPr>
        <w:numPr>
          <w:ilvl w:val="0"/>
          <w:numId w:val="44"/>
        </w:numPr>
        <w:tabs>
          <w:tab w:val="left" w:pos="851"/>
          <w:tab w:val="left" w:pos="1276"/>
          <w:tab w:val="left" w:pos="1560"/>
        </w:tabs>
        <w:spacing w:line="360" w:lineRule="auto"/>
        <w:ind w:left="0" w:firstLine="424"/>
        <w:rPr>
          <w:rFonts w:ascii="宋体" w:hAnsi="宋体" w:cstheme="minorBidi"/>
          <w:sz w:val="24"/>
          <w:szCs w:val="24"/>
        </w:rPr>
      </w:pPr>
      <w:r>
        <w:rPr>
          <w:rFonts w:hint="eastAsia" w:ascii="宋体" w:hAnsi="宋体" w:cstheme="minorBidi"/>
          <w:sz w:val="24"/>
          <w:szCs w:val="24"/>
        </w:rPr>
        <w:t>评标委员会成员对客观评审因素评分不一致的；</w:t>
      </w:r>
    </w:p>
    <w:p>
      <w:pPr>
        <w:numPr>
          <w:ilvl w:val="0"/>
          <w:numId w:val="44"/>
        </w:numPr>
        <w:tabs>
          <w:tab w:val="left" w:pos="851"/>
          <w:tab w:val="left" w:pos="1276"/>
        </w:tabs>
        <w:spacing w:line="360" w:lineRule="auto"/>
        <w:ind w:left="0" w:firstLine="426"/>
        <w:rPr>
          <w:rFonts w:ascii="宋体" w:hAnsi="宋体" w:cstheme="minorBidi"/>
          <w:sz w:val="24"/>
          <w:szCs w:val="24"/>
        </w:rPr>
      </w:pPr>
      <w:r>
        <w:rPr>
          <w:rFonts w:hint="eastAsia" w:ascii="宋体" w:hAnsi="宋体" w:cstheme="minorBidi"/>
          <w:sz w:val="24"/>
          <w:szCs w:val="24"/>
        </w:rPr>
        <w:t>经评标委员会认定评分畸高、畸低的。</w:t>
      </w:r>
    </w:p>
    <w:p>
      <w:pPr>
        <w:tabs>
          <w:tab w:val="left" w:pos="851"/>
        </w:tabs>
        <w:spacing w:line="360" w:lineRule="auto"/>
        <w:ind w:firstLine="480" w:firstLineChars="200"/>
        <w:rPr>
          <w:rFonts w:ascii="宋体" w:hAnsi="宋体"/>
          <w:sz w:val="24"/>
          <w:szCs w:val="24"/>
        </w:rPr>
      </w:pPr>
      <w:r>
        <w:rPr>
          <w:rFonts w:hint="eastAsia" w:ascii="宋体" w:hAnsi="宋体"/>
          <w:sz w:val="24"/>
          <w:szCs w:val="24"/>
        </w:rPr>
        <w:t>评标报告签署前，经复核发现存在以上情形之一的，评标委员会应当当场修改评标结果，并在评标报告中记载；评标报告签署后，采购人或者集中机构发现存在以上情形之一的，应当组织原评标委员会进行重新评审，重新评审改变评标结果的，书面报告本级财政部门。</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确定中标候选人名单</w:t>
      </w:r>
    </w:p>
    <w:p>
      <w:pPr>
        <w:tabs>
          <w:tab w:val="left" w:pos="851"/>
        </w:tabs>
        <w:spacing w:line="360" w:lineRule="auto"/>
        <w:ind w:firstLine="484" w:firstLineChars="202"/>
        <w:rPr>
          <w:rFonts w:ascii="Helvetica" w:hAnsi="Helvetica" w:cs="Helvetica"/>
          <w:kern w:val="0"/>
          <w:sz w:val="24"/>
          <w:szCs w:val="24"/>
        </w:rPr>
      </w:pPr>
      <w:r>
        <w:rPr>
          <w:rFonts w:hint="eastAsia" w:ascii="宋体" w:hAnsi="宋体"/>
          <w:sz w:val="24"/>
          <w:szCs w:val="24"/>
        </w:rPr>
        <w:t>按投标人综合得分从高到低进行排序，</w:t>
      </w:r>
      <w:r>
        <w:rPr>
          <w:rFonts w:hint="eastAsia" w:ascii="宋体" w:hAnsi="宋体"/>
          <w:sz w:val="24"/>
          <w:szCs w:val="24"/>
          <w:lang w:eastAsia="zh-CN"/>
        </w:rPr>
        <w:t>通过资格性及符合性审查的供应商在</w:t>
      </w:r>
      <w:r>
        <w:rPr>
          <w:rFonts w:hint="eastAsia" w:ascii="宋体" w:hAnsi="宋体"/>
          <w:sz w:val="24"/>
          <w:szCs w:val="24"/>
          <w:lang w:val="en-US" w:eastAsia="zh-CN"/>
        </w:rPr>
        <w:t>5家（不含）以下的，确定3名中标候选人；</w:t>
      </w:r>
      <w:r>
        <w:rPr>
          <w:rFonts w:hint="eastAsia" w:ascii="宋体" w:hAnsi="宋体"/>
          <w:sz w:val="24"/>
          <w:szCs w:val="24"/>
          <w:lang w:eastAsia="zh-CN"/>
        </w:rPr>
        <w:t>通过资格性及符合性审查的供应商在</w:t>
      </w:r>
      <w:r>
        <w:rPr>
          <w:rFonts w:hint="eastAsia" w:ascii="宋体" w:hAnsi="宋体"/>
          <w:sz w:val="24"/>
          <w:szCs w:val="24"/>
          <w:lang w:val="en-US" w:eastAsia="zh-CN"/>
        </w:rPr>
        <w:t>5（含）-10（不含）家的，确定5名中标候选人；</w:t>
      </w:r>
      <w:r>
        <w:rPr>
          <w:rFonts w:hint="eastAsia" w:ascii="宋体" w:hAnsi="宋体"/>
          <w:sz w:val="24"/>
          <w:szCs w:val="24"/>
          <w:lang w:eastAsia="zh-CN"/>
        </w:rPr>
        <w:t>通过资格性及符合性审查的供应商在</w:t>
      </w:r>
      <w:r>
        <w:rPr>
          <w:rFonts w:hint="eastAsia" w:ascii="宋体" w:hAnsi="宋体"/>
          <w:sz w:val="24"/>
          <w:szCs w:val="24"/>
          <w:lang w:val="en-US" w:eastAsia="zh-CN"/>
        </w:rPr>
        <w:t>10家（含）以上的，确定6名中标候选人</w:t>
      </w:r>
      <w:r>
        <w:rPr>
          <w:rFonts w:hint="eastAsia" w:ascii="宋体" w:hAnsi="宋体"/>
          <w:sz w:val="24"/>
          <w:szCs w:val="24"/>
        </w:rPr>
        <w:t>。综合得分相同的，按投标报价</w:t>
      </w:r>
      <w:r>
        <w:rPr>
          <w:rFonts w:hint="eastAsia" w:ascii="宋体" w:hAnsi="宋体"/>
          <w:sz w:val="24"/>
          <w:szCs w:val="24"/>
          <w:lang w:eastAsia="zh-CN"/>
        </w:rPr>
        <w:t>得分</w:t>
      </w:r>
      <w:r>
        <w:rPr>
          <w:rFonts w:hint="eastAsia" w:ascii="宋体" w:hAnsi="宋体"/>
          <w:sz w:val="24"/>
          <w:szCs w:val="24"/>
        </w:rPr>
        <w:t>由</w:t>
      </w:r>
      <w:r>
        <w:rPr>
          <w:rFonts w:hint="eastAsia" w:ascii="宋体" w:hAnsi="宋体"/>
          <w:sz w:val="24"/>
          <w:szCs w:val="24"/>
          <w:lang w:eastAsia="zh-CN"/>
        </w:rPr>
        <w:t>高</w:t>
      </w:r>
      <w:r>
        <w:rPr>
          <w:rFonts w:hint="eastAsia" w:ascii="宋体" w:hAnsi="宋体"/>
          <w:sz w:val="24"/>
          <w:szCs w:val="24"/>
        </w:rPr>
        <w:t>到</w:t>
      </w:r>
      <w:r>
        <w:rPr>
          <w:rFonts w:hint="eastAsia" w:ascii="宋体" w:hAnsi="宋体"/>
          <w:sz w:val="24"/>
          <w:szCs w:val="24"/>
          <w:lang w:eastAsia="zh-CN"/>
        </w:rPr>
        <w:t>低</w:t>
      </w:r>
      <w:r>
        <w:rPr>
          <w:rFonts w:hint="eastAsia" w:ascii="宋体" w:hAnsi="宋体"/>
          <w:sz w:val="24"/>
          <w:szCs w:val="24"/>
        </w:rPr>
        <w:t>顺序排列，得分且投标报价相同的并列。</w:t>
      </w:r>
      <w:r>
        <w:rPr>
          <w:rFonts w:hint="eastAsia" w:ascii="Helvetica" w:hAnsi="Helvetica" w:cs="Helvetica"/>
          <w:kern w:val="0"/>
          <w:sz w:val="24"/>
          <w:szCs w:val="24"/>
        </w:rPr>
        <w:t>投标文件满足招标文件全部实质性要求，且按照评审因素的量化指标评审得分最高的投标人为排名第一的中标候选人。</w:t>
      </w:r>
    </w:p>
    <w:p>
      <w:pPr>
        <w:pStyle w:val="15"/>
        <w:rPr>
          <w:rFonts w:ascii="宋体" w:hAnsi="宋体"/>
          <w:sz w:val="24"/>
          <w:szCs w:val="24"/>
        </w:rPr>
      </w:pPr>
      <w:r>
        <w:rPr>
          <w:rFonts w:hint="eastAsia" w:ascii="宋体" w:hAnsi="宋体"/>
          <w:sz w:val="24"/>
          <w:szCs w:val="24"/>
          <w:lang w:val="zh-CN"/>
        </w:rPr>
        <w:t>提供核心产品品牌都相同且通过资格检查和符合性检查的不同投标人参加同一项目投标的，按一家投标人计算，评审后得分最高的投标人获得中标候选人推荐资格；评审得分相同的，</w:t>
      </w:r>
      <w:r>
        <w:rPr>
          <w:rFonts w:hint="eastAsia" w:ascii="宋体" w:hAnsi="宋体"/>
          <w:sz w:val="24"/>
          <w:szCs w:val="24"/>
          <w:lang w:val="zh-CN" w:eastAsia="zh-CN"/>
        </w:rPr>
        <w:t>报价得分最高</w:t>
      </w:r>
      <w:r>
        <w:rPr>
          <w:rFonts w:hint="eastAsia" w:ascii="宋体" w:hAnsi="宋体"/>
          <w:sz w:val="24"/>
          <w:szCs w:val="24"/>
          <w:lang w:val="zh-CN"/>
        </w:rPr>
        <w:t>的投标人获得中标候选人推荐资格；评审得分相同且报价相同的，由评标委员会采取随机抽取的方式确定一个投标人获得中标候选人推荐资格。</w:t>
      </w:r>
    </w:p>
    <w:p>
      <w:pPr>
        <w:keepNext/>
        <w:keepLines/>
        <w:numPr>
          <w:ilvl w:val="2"/>
          <w:numId w:val="3"/>
        </w:numPr>
        <w:spacing w:before="240" w:line="360" w:lineRule="auto"/>
        <w:ind w:left="0" w:firstLine="0"/>
        <w:outlineLvl w:val="2"/>
        <w:rPr>
          <w:rFonts w:ascii="宋体" w:hAnsi="宋体"/>
          <w:b/>
          <w:bCs/>
          <w:sz w:val="24"/>
          <w:szCs w:val="24"/>
        </w:rPr>
      </w:pPr>
      <w:r>
        <w:rPr>
          <w:rFonts w:hint="eastAsia" w:ascii="宋体" w:hAnsi="宋体"/>
          <w:b/>
          <w:bCs/>
          <w:sz w:val="24"/>
          <w:szCs w:val="24"/>
        </w:rPr>
        <w:t>编写评标报告</w:t>
      </w:r>
    </w:p>
    <w:p>
      <w:pPr>
        <w:spacing w:line="360" w:lineRule="auto"/>
        <w:ind w:firstLine="480" w:firstLineChars="200"/>
        <w:rPr>
          <w:rFonts w:ascii="宋体" w:hAnsi="宋体"/>
          <w:sz w:val="24"/>
          <w:szCs w:val="24"/>
        </w:rPr>
      </w:pPr>
      <w:r>
        <w:rPr>
          <w:rFonts w:hint="eastAsia" w:ascii="宋体" w:hAnsi="宋体"/>
          <w:sz w:val="24"/>
          <w:szCs w:val="24"/>
        </w:rPr>
        <w:t>评标报告是评标委员会根据全体评标成员签字的原始评标记录和评标结果编写的报告，其主要内容包括：</w:t>
      </w:r>
    </w:p>
    <w:p>
      <w:pPr>
        <w:numPr>
          <w:ilvl w:val="0"/>
          <w:numId w:val="45"/>
        </w:numPr>
        <w:tabs>
          <w:tab w:val="left" w:pos="1155"/>
        </w:tabs>
        <w:spacing w:line="360" w:lineRule="auto"/>
        <w:ind w:left="0" w:firstLine="525"/>
        <w:rPr>
          <w:rFonts w:ascii="宋体" w:hAnsi="宋体"/>
          <w:sz w:val="24"/>
          <w:szCs w:val="24"/>
        </w:rPr>
      </w:pPr>
      <w:r>
        <w:rPr>
          <w:rFonts w:hint="eastAsia" w:ascii="宋体" w:hAnsi="宋体"/>
          <w:sz w:val="24"/>
          <w:szCs w:val="24"/>
        </w:rPr>
        <w:t>招标公告刊登的媒体名称、开标日期和地点；</w:t>
      </w:r>
    </w:p>
    <w:p>
      <w:pPr>
        <w:numPr>
          <w:ilvl w:val="0"/>
          <w:numId w:val="45"/>
        </w:numPr>
        <w:tabs>
          <w:tab w:val="left" w:pos="1155"/>
        </w:tabs>
        <w:spacing w:line="360" w:lineRule="auto"/>
        <w:ind w:left="0" w:firstLine="525"/>
        <w:rPr>
          <w:rFonts w:ascii="宋体" w:hAnsi="宋体"/>
          <w:sz w:val="24"/>
          <w:szCs w:val="24"/>
        </w:rPr>
      </w:pPr>
      <w:r>
        <w:rPr>
          <w:rFonts w:hint="eastAsia" w:ascii="宋体" w:hAnsi="宋体"/>
          <w:sz w:val="24"/>
          <w:szCs w:val="24"/>
        </w:rPr>
        <w:t>投标人名单和评标委员会成员名单；</w:t>
      </w:r>
    </w:p>
    <w:p>
      <w:pPr>
        <w:numPr>
          <w:ilvl w:val="0"/>
          <w:numId w:val="45"/>
        </w:numPr>
        <w:tabs>
          <w:tab w:val="left" w:pos="1155"/>
        </w:tabs>
        <w:spacing w:line="360" w:lineRule="auto"/>
        <w:ind w:left="0" w:firstLine="525"/>
        <w:rPr>
          <w:rFonts w:ascii="宋体" w:hAnsi="宋体"/>
          <w:sz w:val="24"/>
          <w:szCs w:val="24"/>
        </w:rPr>
      </w:pPr>
      <w:r>
        <w:rPr>
          <w:rFonts w:hint="eastAsia" w:ascii="宋体" w:hAnsi="宋体"/>
          <w:sz w:val="24"/>
          <w:szCs w:val="24"/>
        </w:rPr>
        <w:t>评标方法和标准；</w:t>
      </w:r>
    </w:p>
    <w:p>
      <w:pPr>
        <w:numPr>
          <w:ilvl w:val="0"/>
          <w:numId w:val="45"/>
        </w:numPr>
        <w:tabs>
          <w:tab w:val="left" w:pos="1155"/>
        </w:tabs>
        <w:spacing w:line="360" w:lineRule="auto"/>
        <w:ind w:left="0" w:firstLine="525"/>
        <w:rPr>
          <w:rFonts w:ascii="宋体" w:hAnsi="宋体"/>
          <w:sz w:val="24"/>
          <w:szCs w:val="24"/>
        </w:rPr>
      </w:pPr>
      <w:r>
        <w:rPr>
          <w:rFonts w:hint="eastAsia" w:ascii="宋体" w:hAnsi="宋体"/>
          <w:sz w:val="24"/>
          <w:szCs w:val="24"/>
        </w:rPr>
        <w:t>开标记录和评标情况及说明，包括投标无效投标人名单及原因；</w:t>
      </w:r>
    </w:p>
    <w:p>
      <w:pPr>
        <w:numPr>
          <w:ilvl w:val="0"/>
          <w:numId w:val="45"/>
        </w:numPr>
        <w:tabs>
          <w:tab w:val="left" w:pos="1155"/>
        </w:tabs>
        <w:spacing w:line="360" w:lineRule="auto"/>
        <w:ind w:left="0" w:firstLine="525"/>
        <w:rPr>
          <w:rFonts w:ascii="宋体" w:hAnsi="宋体"/>
          <w:sz w:val="24"/>
          <w:szCs w:val="24"/>
        </w:rPr>
      </w:pPr>
      <w:r>
        <w:rPr>
          <w:rFonts w:hint="eastAsia" w:ascii="宋体" w:hAnsi="宋体"/>
          <w:sz w:val="24"/>
          <w:szCs w:val="24"/>
        </w:rPr>
        <w:t>评标结果，确定的中标候选人名单或者经采购人委托直接确定的中标人；</w:t>
      </w:r>
    </w:p>
    <w:p>
      <w:pPr>
        <w:numPr>
          <w:ilvl w:val="0"/>
          <w:numId w:val="45"/>
        </w:numPr>
        <w:tabs>
          <w:tab w:val="left" w:pos="1155"/>
        </w:tabs>
        <w:spacing w:line="360" w:lineRule="auto"/>
        <w:ind w:left="0" w:firstLine="525"/>
        <w:rPr>
          <w:rFonts w:ascii="宋体" w:hAnsi="宋体"/>
          <w:sz w:val="24"/>
          <w:szCs w:val="24"/>
        </w:rPr>
      </w:pPr>
      <w:r>
        <w:rPr>
          <w:rFonts w:hint="eastAsia" w:ascii="宋体" w:hAnsi="宋体"/>
          <w:sz w:val="24"/>
          <w:szCs w:val="24"/>
        </w:rPr>
        <w:t>其他需要说明的情况，包括评标过程中投标人根据评标委员会要求进行的澄清、说明或者补正，评标委员会成员的更换等；</w:t>
      </w:r>
    </w:p>
    <w:p>
      <w:pPr>
        <w:numPr>
          <w:ilvl w:val="0"/>
          <w:numId w:val="45"/>
        </w:numPr>
        <w:tabs>
          <w:tab w:val="left" w:pos="1155"/>
        </w:tabs>
        <w:spacing w:line="360" w:lineRule="auto"/>
        <w:ind w:left="0" w:firstLine="525"/>
        <w:rPr>
          <w:rFonts w:ascii="宋体" w:hAnsi="宋体"/>
          <w:sz w:val="24"/>
          <w:szCs w:val="24"/>
        </w:rPr>
      </w:pPr>
      <w:r>
        <w:rPr>
          <w:rFonts w:hint="eastAsia" w:ascii="宋体" w:hAnsi="宋体"/>
          <w:sz w:val="24"/>
          <w:szCs w:val="24"/>
        </w:rPr>
        <w:t>报价最高的投标人为中标候选人的，评标委员会应当对其报价的合理性予以特别说明。</w:t>
      </w:r>
    </w:p>
    <w:p>
      <w:pPr>
        <w:tabs>
          <w:tab w:val="left" w:pos="1155"/>
        </w:tabs>
        <w:spacing w:line="360" w:lineRule="auto"/>
        <w:ind w:firstLine="448" w:firstLineChars="187"/>
        <w:rPr>
          <w:rFonts w:ascii="宋体" w:hAnsi="宋体"/>
          <w:sz w:val="24"/>
          <w:szCs w:val="24"/>
        </w:rPr>
      </w:pPr>
      <w:r>
        <w:rPr>
          <w:rFonts w:hint="eastAsia" w:ascii="宋体" w:hAnsi="宋体"/>
          <w:sz w:val="24"/>
          <w:szCs w:val="24"/>
        </w:rPr>
        <w:t>评标委员会成员应当在评标报告中签字确认，对评标过程和结果有不同意见的，应当在评标报告中写明并说明理由。签字但未写明不同意见或者未说明理由的，视同无意见。拒不签字又未另行书面说明其不同意见和理由的，视同同意评标结果。</w:t>
      </w:r>
    </w:p>
    <w:p>
      <w:pPr>
        <w:keepNext/>
        <w:keepLines/>
        <w:numPr>
          <w:ilvl w:val="1"/>
          <w:numId w:val="3"/>
        </w:numPr>
        <w:spacing w:line="360" w:lineRule="auto"/>
        <w:jc w:val="left"/>
        <w:outlineLvl w:val="1"/>
        <w:rPr>
          <w:rFonts w:ascii="宋体" w:hAnsi="宋体"/>
          <w:b/>
          <w:bCs/>
          <w:sz w:val="24"/>
          <w:szCs w:val="24"/>
        </w:rPr>
      </w:pPr>
      <w:bookmarkStart w:id="166" w:name="_Toc28681"/>
      <w:r>
        <w:rPr>
          <w:rFonts w:hint="eastAsia" w:ascii="宋体" w:hAnsi="宋体"/>
          <w:b/>
          <w:bCs/>
          <w:sz w:val="24"/>
          <w:szCs w:val="24"/>
        </w:rPr>
        <w:t>评标争议处理规则</w:t>
      </w:r>
      <w:bookmarkEnd w:id="166"/>
    </w:p>
    <w:p>
      <w:pPr>
        <w:tabs>
          <w:tab w:val="left" w:pos="1155"/>
        </w:tabs>
        <w:spacing w:line="360" w:lineRule="auto"/>
        <w:ind w:firstLine="448" w:firstLineChars="187"/>
        <w:rPr>
          <w:rFonts w:ascii="宋体" w:hAnsi="宋体"/>
          <w:sz w:val="24"/>
          <w:szCs w:val="24"/>
        </w:rPr>
      </w:pPr>
      <w:r>
        <w:rPr>
          <w:rFonts w:hint="eastAsia" w:ascii="宋体" w:hAnsi="宋体"/>
          <w:sz w:val="24"/>
          <w:szCs w:val="24"/>
        </w:rPr>
        <w:t>评标委员会在评审过程中，对于符合性审查、对投标人文件做无效投标处理及其他需要共同认定的事项存在争议的，应当以少数服从多数的原则做出结论，但不得违背法律法规和招标文件规定。</w:t>
      </w:r>
      <w:r>
        <w:rPr>
          <w:rFonts w:hint="eastAsia" w:cs="Arial"/>
          <w:sz w:val="24"/>
          <w:szCs w:val="24"/>
        </w:rPr>
        <w:t>持不同意见的评标委员会成员应当在评标报告上签署不同意见及理由，否则视为同意评标报告。</w:t>
      </w:r>
      <w:r>
        <w:rPr>
          <w:rFonts w:hint="eastAsia" w:ascii="宋体" w:hAnsi="宋体"/>
          <w:sz w:val="24"/>
          <w:szCs w:val="24"/>
        </w:rPr>
        <w:t>持不同意见的评标委员会成员认为认定过程和结果不符合法律法规或者招标文件规定的，应当及时向采购人或</w:t>
      </w:r>
      <w:r>
        <w:rPr>
          <w:rFonts w:hint="eastAsia" w:cs="Arial"/>
          <w:sz w:val="24"/>
          <w:szCs w:val="24"/>
          <w:lang w:eastAsia="zh-CN"/>
        </w:rPr>
        <w:t>区政府采购中心</w:t>
      </w:r>
      <w:r>
        <w:rPr>
          <w:rFonts w:hint="eastAsia" w:ascii="宋体" w:hAnsi="宋体"/>
          <w:sz w:val="24"/>
          <w:szCs w:val="24"/>
        </w:rPr>
        <w:t>书面反映。采购人或</w:t>
      </w:r>
      <w:r>
        <w:rPr>
          <w:rFonts w:hint="eastAsia" w:cs="Arial"/>
          <w:sz w:val="24"/>
          <w:szCs w:val="24"/>
          <w:lang w:eastAsia="zh-CN"/>
        </w:rPr>
        <w:t>区政府采购中心</w:t>
      </w:r>
      <w:r>
        <w:rPr>
          <w:rFonts w:hint="eastAsia" w:ascii="宋体" w:hAnsi="宋体"/>
          <w:sz w:val="24"/>
          <w:szCs w:val="24"/>
        </w:rPr>
        <w:t>收到书面反映后，应当书面报告采购项目同级财政部门依法处理。</w:t>
      </w:r>
    </w:p>
    <w:p>
      <w:pPr>
        <w:keepNext/>
        <w:keepLines/>
        <w:numPr>
          <w:ilvl w:val="1"/>
          <w:numId w:val="3"/>
        </w:numPr>
        <w:spacing w:line="360" w:lineRule="auto"/>
        <w:jc w:val="left"/>
        <w:outlineLvl w:val="1"/>
        <w:rPr>
          <w:rFonts w:ascii="宋体" w:hAnsi="宋体"/>
          <w:b/>
          <w:bCs/>
          <w:sz w:val="24"/>
          <w:szCs w:val="24"/>
        </w:rPr>
      </w:pPr>
      <w:bookmarkStart w:id="167" w:name="_Toc5206"/>
      <w:r>
        <w:rPr>
          <w:rFonts w:hint="eastAsia" w:ascii="宋体" w:hAnsi="宋体"/>
          <w:b/>
          <w:bCs/>
          <w:sz w:val="24"/>
          <w:szCs w:val="24"/>
        </w:rPr>
        <w:t>评标细则及标准</w:t>
      </w:r>
      <w:bookmarkEnd w:id="167"/>
    </w:p>
    <w:p>
      <w:pPr>
        <w:numPr>
          <w:ilvl w:val="0"/>
          <w:numId w:val="46"/>
        </w:numPr>
        <w:tabs>
          <w:tab w:val="left" w:pos="1155"/>
        </w:tabs>
        <w:spacing w:after="200" w:line="360" w:lineRule="auto"/>
        <w:ind w:left="0" w:firstLine="567"/>
        <w:rPr>
          <w:rFonts w:ascii="宋体" w:hAnsi="宋体"/>
          <w:sz w:val="24"/>
          <w:szCs w:val="24"/>
        </w:rPr>
      </w:pPr>
      <w:r>
        <w:rPr>
          <w:rFonts w:hint="eastAsia" w:ascii="宋体" w:hAnsi="宋体"/>
          <w:sz w:val="24"/>
          <w:szCs w:val="24"/>
        </w:rPr>
        <w:t>评标委员会只对通过初审的投标文件，根据招标文件的要求采用相同的评标程序、评分办法及标准进行评价和比较。</w:t>
      </w:r>
    </w:p>
    <w:p>
      <w:pPr>
        <w:numPr>
          <w:ilvl w:val="0"/>
          <w:numId w:val="46"/>
        </w:numPr>
        <w:tabs>
          <w:tab w:val="left" w:pos="1155"/>
        </w:tabs>
        <w:spacing w:after="200" w:line="360" w:lineRule="auto"/>
        <w:ind w:left="0" w:firstLine="567"/>
        <w:rPr>
          <w:rFonts w:ascii="宋体" w:hAnsi="宋体"/>
          <w:sz w:val="24"/>
          <w:szCs w:val="24"/>
        </w:rPr>
      </w:pPr>
      <w:r>
        <w:rPr>
          <w:rFonts w:hint="eastAsia" w:ascii="宋体" w:hAnsi="宋体"/>
          <w:sz w:val="24"/>
          <w:szCs w:val="24"/>
        </w:rPr>
        <w:t>本次综合评分的因素是：</w:t>
      </w:r>
      <w:r>
        <w:rPr>
          <w:rFonts w:hint="eastAsia" w:ascii="宋体" w:hAnsi="宋体"/>
          <w:sz w:val="24"/>
          <w:szCs w:val="24"/>
          <w:highlight w:val="yellow"/>
        </w:rPr>
        <w:t>价格、服务</w:t>
      </w:r>
      <w:r>
        <w:rPr>
          <w:rFonts w:hint="eastAsia" w:ascii="宋体" w:hAnsi="宋体"/>
          <w:sz w:val="24"/>
          <w:szCs w:val="24"/>
          <w:highlight w:val="yellow"/>
          <w:lang w:eastAsia="zh-CN"/>
        </w:rPr>
        <w:t>方案</w:t>
      </w:r>
      <w:r>
        <w:rPr>
          <w:rFonts w:hint="eastAsia" w:ascii="宋体" w:hAnsi="宋体"/>
          <w:sz w:val="24"/>
          <w:szCs w:val="24"/>
          <w:highlight w:val="yellow"/>
        </w:rPr>
        <w:t>、</w:t>
      </w:r>
      <w:r>
        <w:rPr>
          <w:rFonts w:hint="eastAsia" w:ascii="宋体" w:hAnsi="宋体"/>
          <w:sz w:val="24"/>
          <w:szCs w:val="24"/>
          <w:highlight w:val="yellow"/>
          <w:lang w:eastAsia="zh-CN"/>
        </w:rPr>
        <w:t>履约能力</w:t>
      </w:r>
      <w:r>
        <w:rPr>
          <w:rFonts w:hint="eastAsia" w:ascii="宋体" w:hAnsi="宋体"/>
          <w:sz w:val="24"/>
          <w:szCs w:val="24"/>
        </w:rPr>
        <w:t>等。</w:t>
      </w:r>
    </w:p>
    <w:p>
      <w:pPr>
        <w:numPr>
          <w:ilvl w:val="0"/>
          <w:numId w:val="46"/>
        </w:numPr>
        <w:tabs>
          <w:tab w:val="left" w:pos="1155"/>
        </w:tabs>
        <w:spacing w:after="200" w:line="360" w:lineRule="auto"/>
        <w:ind w:left="0" w:firstLine="525"/>
        <w:rPr>
          <w:rFonts w:ascii="宋体" w:hAnsi="宋体"/>
          <w:sz w:val="24"/>
          <w:szCs w:val="24"/>
        </w:rPr>
      </w:pPr>
      <w:r>
        <w:rPr>
          <w:rFonts w:hint="eastAsia" w:ascii="宋体" w:hAnsi="宋体"/>
          <w:sz w:val="24"/>
          <w:szCs w:val="24"/>
        </w:rPr>
        <w:t>评标委员会成员应依据招标文件规定的评分标准和方法独立打分。</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评分办法</w:t>
      </w:r>
    </w:p>
    <w:p>
      <w:pPr>
        <w:spacing w:line="360" w:lineRule="auto"/>
        <w:ind w:firstLine="540" w:firstLineChars="225"/>
        <w:rPr>
          <w:rFonts w:ascii="宋体" w:hAnsi="宋体"/>
          <w:sz w:val="24"/>
          <w:szCs w:val="24"/>
        </w:rPr>
      </w:pPr>
      <w:r>
        <w:rPr>
          <w:rFonts w:hint="eastAsia" w:ascii="宋体" w:hAnsi="宋体"/>
          <w:sz w:val="24"/>
          <w:szCs w:val="24"/>
        </w:rPr>
        <w:t xml:space="preserve">本次评标采用综合评分法，由评标委员会各成员独立对通过初审（资格检查和符合性检查）的投标人的投标文件进行评审和打分，    </w:t>
      </w:r>
    </w:p>
    <w:p>
      <w:pPr>
        <w:spacing w:line="360" w:lineRule="auto"/>
        <w:ind w:firstLine="540" w:firstLineChars="225"/>
        <w:rPr>
          <w:rFonts w:ascii="宋体" w:hAnsi="宋体"/>
          <w:sz w:val="24"/>
          <w:szCs w:val="24"/>
        </w:rPr>
      </w:pPr>
      <w:r>
        <w:rPr>
          <w:rFonts w:hint="eastAsia" w:ascii="宋体" w:hAnsi="宋体"/>
          <w:sz w:val="24"/>
          <w:szCs w:val="24"/>
        </w:rPr>
        <w:t>评标得分＝（A</w:t>
      </w:r>
      <w:r>
        <w:rPr>
          <w:rFonts w:hint="eastAsia" w:ascii="宋体" w:hAnsi="宋体"/>
          <w:sz w:val="24"/>
          <w:szCs w:val="24"/>
          <w:vertAlign w:val="subscript"/>
        </w:rPr>
        <w:t>1</w:t>
      </w:r>
      <w:r>
        <w:rPr>
          <w:rFonts w:hint="eastAsia" w:ascii="宋体" w:hAnsi="宋体"/>
          <w:sz w:val="24"/>
          <w:szCs w:val="24"/>
        </w:rPr>
        <w:t>＋A</w:t>
      </w:r>
      <w:r>
        <w:rPr>
          <w:rFonts w:hint="eastAsia" w:ascii="宋体" w:hAnsi="宋体"/>
          <w:sz w:val="24"/>
          <w:szCs w:val="24"/>
          <w:vertAlign w:val="subscript"/>
        </w:rPr>
        <w:t>2</w:t>
      </w:r>
      <w:r>
        <w:rPr>
          <w:rFonts w:hint="eastAsia" w:ascii="宋体" w:hAnsi="宋体"/>
          <w:sz w:val="24"/>
          <w:szCs w:val="24"/>
        </w:rPr>
        <w:t>＋……＋A</w:t>
      </w:r>
      <w:r>
        <w:rPr>
          <w:rFonts w:hint="eastAsia" w:ascii="宋体" w:hAnsi="宋体"/>
          <w:sz w:val="24"/>
          <w:szCs w:val="24"/>
          <w:vertAlign w:val="subscript"/>
        </w:rPr>
        <w:t>n</w:t>
      </w:r>
      <w:r>
        <w:rPr>
          <w:rFonts w:hint="eastAsia" w:ascii="宋体" w:hAnsi="宋体"/>
          <w:sz w:val="24"/>
          <w:szCs w:val="24"/>
        </w:rPr>
        <w:t>）/n</w:t>
      </w:r>
      <w:r>
        <w:rPr>
          <w:rFonts w:hint="eastAsia" w:ascii="宋体" w:hAnsi="宋体"/>
          <w:sz w:val="24"/>
          <w:szCs w:val="24"/>
          <w:vertAlign w:val="subscript"/>
        </w:rPr>
        <w:t>1</w:t>
      </w:r>
      <w:r>
        <w:rPr>
          <w:rFonts w:hint="eastAsia" w:ascii="宋体" w:hAnsi="宋体"/>
          <w:sz w:val="24"/>
          <w:szCs w:val="24"/>
        </w:rPr>
        <w:t>+（B</w:t>
      </w:r>
      <w:r>
        <w:rPr>
          <w:rFonts w:hint="eastAsia" w:ascii="宋体" w:hAnsi="宋体"/>
          <w:sz w:val="24"/>
          <w:szCs w:val="24"/>
          <w:vertAlign w:val="subscript"/>
        </w:rPr>
        <w:t>1</w:t>
      </w:r>
      <w:r>
        <w:rPr>
          <w:rFonts w:hint="eastAsia" w:ascii="宋体" w:hAnsi="宋体"/>
          <w:sz w:val="24"/>
          <w:szCs w:val="24"/>
        </w:rPr>
        <w:t>＋B</w:t>
      </w:r>
      <w:r>
        <w:rPr>
          <w:rFonts w:hint="eastAsia" w:ascii="宋体" w:hAnsi="宋体"/>
          <w:sz w:val="24"/>
          <w:szCs w:val="24"/>
          <w:vertAlign w:val="subscript"/>
        </w:rPr>
        <w:t>2</w:t>
      </w:r>
      <w:r>
        <w:rPr>
          <w:rFonts w:hint="eastAsia" w:ascii="宋体" w:hAnsi="宋体"/>
          <w:sz w:val="24"/>
          <w:szCs w:val="24"/>
        </w:rPr>
        <w:t>＋……＋B</w:t>
      </w:r>
      <w:r>
        <w:rPr>
          <w:rFonts w:hint="eastAsia" w:ascii="宋体" w:hAnsi="宋体"/>
          <w:sz w:val="24"/>
          <w:szCs w:val="24"/>
          <w:vertAlign w:val="subscript"/>
        </w:rPr>
        <w:t>n</w:t>
      </w:r>
      <w:r>
        <w:rPr>
          <w:rFonts w:hint="eastAsia" w:ascii="宋体" w:hAnsi="宋体"/>
          <w:sz w:val="24"/>
          <w:szCs w:val="24"/>
        </w:rPr>
        <w:t>）/ n</w:t>
      </w:r>
      <w:r>
        <w:rPr>
          <w:rFonts w:hint="eastAsia" w:ascii="宋体" w:hAnsi="宋体"/>
          <w:sz w:val="24"/>
          <w:szCs w:val="24"/>
          <w:vertAlign w:val="subscript"/>
        </w:rPr>
        <w:t>2</w:t>
      </w:r>
      <w:r>
        <w:rPr>
          <w:rFonts w:hint="eastAsia" w:ascii="宋体" w:hAnsi="宋体"/>
          <w:sz w:val="24"/>
          <w:szCs w:val="24"/>
        </w:rPr>
        <w:t>+（C</w:t>
      </w:r>
      <w:r>
        <w:rPr>
          <w:rFonts w:hint="eastAsia" w:ascii="宋体" w:hAnsi="宋体"/>
          <w:sz w:val="24"/>
          <w:szCs w:val="24"/>
          <w:vertAlign w:val="subscript"/>
        </w:rPr>
        <w:t>1</w:t>
      </w:r>
      <w:r>
        <w:rPr>
          <w:rFonts w:hint="eastAsia" w:ascii="宋体" w:hAnsi="宋体"/>
          <w:sz w:val="24"/>
          <w:szCs w:val="24"/>
        </w:rPr>
        <w:t>＋C</w:t>
      </w:r>
      <w:r>
        <w:rPr>
          <w:rFonts w:hint="eastAsia" w:ascii="宋体" w:hAnsi="宋体"/>
          <w:sz w:val="24"/>
          <w:szCs w:val="24"/>
          <w:vertAlign w:val="subscript"/>
        </w:rPr>
        <w:t>2</w:t>
      </w:r>
      <w:r>
        <w:rPr>
          <w:rFonts w:hint="eastAsia" w:ascii="宋体" w:hAnsi="宋体"/>
          <w:sz w:val="24"/>
          <w:szCs w:val="24"/>
        </w:rPr>
        <w:t>＋……＋C</w:t>
      </w:r>
      <w:r>
        <w:rPr>
          <w:rFonts w:hint="eastAsia" w:ascii="宋体" w:hAnsi="宋体"/>
          <w:sz w:val="24"/>
          <w:szCs w:val="24"/>
          <w:vertAlign w:val="subscript"/>
        </w:rPr>
        <w:t>n</w:t>
      </w:r>
      <w:r>
        <w:rPr>
          <w:rFonts w:hint="eastAsia" w:ascii="宋体" w:hAnsi="宋体"/>
          <w:sz w:val="24"/>
          <w:szCs w:val="24"/>
        </w:rPr>
        <w:t>）/ n</w:t>
      </w:r>
      <w:r>
        <w:rPr>
          <w:rFonts w:hint="eastAsia" w:ascii="宋体" w:hAnsi="宋体"/>
          <w:sz w:val="24"/>
          <w:szCs w:val="24"/>
          <w:vertAlign w:val="subscript"/>
        </w:rPr>
        <w:t>3</w:t>
      </w:r>
    </w:p>
    <w:p>
      <w:pPr>
        <w:widowControl/>
        <w:spacing w:line="360" w:lineRule="auto"/>
        <w:ind w:firstLine="480" w:firstLineChars="200"/>
        <w:rPr>
          <w:rFonts w:ascii="宋体" w:hAnsi="宋体"/>
          <w:sz w:val="24"/>
          <w:szCs w:val="24"/>
        </w:rPr>
      </w:pPr>
      <w:r>
        <w:rPr>
          <w:rFonts w:hint="eastAsia" w:ascii="宋体" w:hAnsi="宋体"/>
          <w:sz w:val="24"/>
          <w:szCs w:val="24"/>
        </w:rPr>
        <w:t>A</w:t>
      </w:r>
      <w:r>
        <w:rPr>
          <w:rFonts w:hint="eastAsia" w:ascii="宋体" w:hAnsi="宋体"/>
          <w:sz w:val="24"/>
          <w:szCs w:val="24"/>
          <w:vertAlign w:val="subscript"/>
        </w:rPr>
        <w:t>1</w:t>
      </w:r>
      <w:r>
        <w:rPr>
          <w:rFonts w:hint="eastAsia" w:ascii="宋体" w:hAnsi="宋体"/>
          <w:sz w:val="24"/>
          <w:szCs w:val="24"/>
        </w:rPr>
        <w:t>、A</w:t>
      </w:r>
      <w:r>
        <w:rPr>
          <w:rFonts w:hint="eastAsia" w:ascii="宋体" w:hAnsi="宋体"/>
          <w:sz w:val="24"/>
          <w:szCs w:val="24"/>
          <w:vertAlign w:val="subscript"/>
        </w:rPr>
        <w:t>2</w:t>
      </w:r>
      <w:r>
        <w:rPr>
          <w:rFonts w:hint="eastAsia" w:ascii="宋体" w:hAnsi="宋体"/>
          <w:sz w:val="24"/>
          <w:szCs w:val="24"/>
        </w:rPr>
        <w:t>……A</w:t>
      </w:r>
      <w:r>
        <w:rPr>
          <w:rFonts w:hint="eastAsia" w:ascii="宋体" w:hAnsi="宋体"/>
          <w:sz w:val="24"/>
          <w:szCs w:val="24"/>
          <w:vertAlign w:val="subscript"/>
        </w:rPr>
        <w:t>n</w:t>
      </w:r>
      <w:r>
        <w:rPr>
          <w:rFonts w:hint="eastAsia" w:ascii="宋体" w:hAnsi="宋体"/>
          <w:sz w:val="24"/>
          <w:szCs w:val="24"/>
        </w:rPr>
        <w:t>分别为每个</w:t>
      </w:r>
      <w:r>
        <w:rPr>
          <w:rFonts w:hint="eastAsia" w:ascii="宋体" w:hAnsi="宋体" w:cs="宋体"/>
          <w:kern w:val="0"/>
          <w:sz w:val="24"/>
          <w:szCs w:val="24"/>
        </w:rPr>
        <w:t>经济类</w:t>
      </w:r>
      <w:r>
        <w:rPr>
          <w:rFonts w:hint="eastAsia" w:ascii="宋体" w:hAnsi="宋体"/>
          <w:sz w:val="24"/>
          <w:szCs w:val="24"/>
        </w:rPr>
        <w:t>评委的打分，n</w:t>
      </w:r>
      <w:r>
        <w:rPr>
          <w:rFonts w:hint="eastAsia" w:ascii="宋体" w:hAnsi="宋体"/>
          <w:sz w:val="24"/>
          <w:szCs w:val="24"/>
          <w:vertAlign w:val="subscript"/>
        </w:rPr>
        <w:t>1</w:t>
      </w:r>
      <w:r>
        <w:rPr>
          <w:rFonts w:hint="eastAsia" w:ascii="宋体" w:hAnsi="宋体"/>
          <w:sz w:val="24"/>
          <w:szCs w:val="24"/>
        </w:rPr>
        <w:t>为</w:t>
      </w:r>
      <w:r>
        <w:rPr>
          <w:rFonts w:hint="eastAsia" w:ascii="宋体" w:hAnsi="宋体" w:cs="宋体"/>
          <w:kern w:val="0"/>
          <w:sz w:val="24"/>
          <w:szCs w:val="24"/>
        </w:rPr>
        <w:t>经济类</w:t>
      </w:r>
      <w:r>
        <w:rPr>
          <w:rFonts w:hint="eastAsia" w:ascii="宋体" w:hAnsi="宋体"/>
          <w:sz w:val="24"/>
          <w:szCs w:val="24"/>
        </w:rPr>
        <w:t>评委人数；B</w:t>
      </w:r>
      <w:r>
        <w:rPr>
          <w:rFonts w:hint="eastAsia" w:ascii="宋体" w:hAnsi="宋体"/>
          <w:sz w:val="24"/>
          <w:szCs w:val="24"/>
          <w:vertAlign w:val="subscript"/>
        </w:rPr>
        <w:t>1</w:t>
      </w:r>
      <w:r>
        <w:rPr>
          <w:rFonts w:hint="eastAsia" w:ascii="宋体" w:hAnsi="宋体"/>
          <w:sz w:val="24"/>
          <w:szCs w:val="24"/>
        </w:rPr>
        <w:t>、B</w:t>
      </w:r>
      <w:r>
        <w:rPr>
          <w:rFonts w:hint="eastAsia" w:ascii="宋体" w:hAnsi="宋体"/>
          <w:sz w:val="24"/>
          <w:szCs w:val="24"/>
          <w:vertAlign w:val="subscript"/>
        </w:rPr>
        <w:t>2</w:t>
      </w:r>
      <w:r>
        <w:rPr>
          <w:rFonts w:hint="eastAsia" w:ascii="宋体" w:hAnsi="宋体"/>
          <w:sz w:val="24"/>
          <w:szCs w:val="24"/>
        </w:rPr>
        <w:t>＋……B</w:t>
      </w:r>
      <w:r>
        <w:rPr>
          <w:rFonts w:hint="eastAsia" w:ascii="宋体" w:hAnsi="宋体"/>
          <w:sz w:val="24"/>
          <w:szCs w:val="24"/>
          <w:vertAlign w:val="subscript"/>
        </w:rPr>
        <w:t>n</w:t>
      </w:r>
      <w:r>
        <w:rPr>
          <w:rFonts w:hint="eastAsia" w:ascii="宋体" w:hAnsi="宋体"/>
          <w:sz w:val="24"/>
          <w:szCs w:val="24"/>
        </w:rPr>
        <w:t xml:space="preserve"> 分别为每个技术类评委（含采购人代表）的打分，n</w:t>
      </w:r>
      <w:r>
        <w:rPr>
          <w:rFonts w:hint="eastAsia" w:ascii="宋体" w:hAnsi="宋体"/>
          <w:sz w:val="24"/>
          <w:szCs w:val="24"/>
          <w:vertAlign w:val="subscript"/>
        </w:rPr>
        <w:t>2</w:t>
      </w:r>
      <w:r>
        <w:rPr>
          <w:rFonts w:hint="eastAsia" w:ascii="宋体" w:hAnsi="宋体"/>
          <w:sz w:val="24"/>
          <w:szCs w:val="24"/>
        </w:rPr>
        <w:t>为</w:t>
      </w:r>
      <w:r>
        <w:rPr>
          <w:rFonts w:hint="eastAsia" w:ascii="宋体" w:hAnsi="宋体" w:cs="宋体"/>
          <w:kern w:val="0"/>
          <w:sz w:val="24"/>
          <w:szCs w:val="24"/>
        </w:rPr>
        <w:t>技术类</w:t>
      </w:r>
      <w:r>
        <w:rPr>
          <w:rFonts w:hint="eastAsia" w:ascii="宋体" w:hAnsi="宋体"/>
          <w:sz w:val="24"/>
          <w:szCs w:val="24"/>
        </w:rPr>
        <w:t>评委（含采购人代表）人数；C</w:t>
      </w:r>
      <w:r>
        <w:rPr>
          <w:rFonts w:hint="eastAsia" w:ascii="宋体" w:hAnsi="宋体"/>
          <w:sz w:val="24"/>
          <w:szCs w:val="24"/>
          <w:vertAlign w:val="subscript"/>
        </w:rPr>
        <w:t>1</w:t>
      </w:r>
      <w:r>
        <w:rPr>
          <w:rFonts w:hint="eastAsia" w:ascii="宋体" w:hAnsi="宋体"/>
          <w:sz w:val="24"/>
          <w:szCs w:val="24"/>
        </w:rPr>
        <w:t>、C</w:t>
      </w:r>
      <w:r>
        <w:rPr>
          <w:rFonts w:hint="eastAsia" w:ascii="宋体" w:hAnsi="宋体"/>
          <w:sz w:val="24"/>
          <w:szCs w:val="24"/>
          <w:vertAlign w:val="subscript"/>
        </w:rPr>
        <w:t>2</w:t>
      </w:r>
      <w:r>
        <w:rPr>
          <w:rFonts w:hint="eastAsia" w:ascii="宋体" w:hAnsi="宋体"/>
          <w:sz w:val="24"/>
          <w:szCs w:val="24"/>
        </w:rPr>
        <w:t>……C</w:t>
      </w:r>
      <w:r>
        <w:rPr>
          <w:rFonts w:hint="eastAsia" w:ascii="宋体" w:hAnsi="宋体"/>
          <w:sz w:val="24"/>
          <w:szCs w:val="24"/>
          <w:vertAlign w:val="subscript"/>
        </w:rPr>
        <w:t>n</w:t>
      </w:r>
      <w:r>
        <w:rPr>
          <w:rFonts w:hint="eastAsia" w:ascii="宋体" w:hAnsi="宋体"/>
          <w:sz w:val="24"/>
          <w:szCs w:val="24"/>
        </w:rPr>
        <w:t xml:space="preserve"> 分别为评审委员会每个成员的打分，n</w:t>
      </w:r>
      <w:r>
        <w:rPr>
          <w:rFonts w:hint="eastAsia" w:ascii="宋体" w:hAnsi="宋体"/>
          <w:sz w:val="24"/>
          <w:szCs w:val="24"/>
          <w:vertAlign w:val="subscript"/>
        </w:rPr>
        <w:t>3</w:t>
      </w:r>
      <w:r>
        <w:rPr>
          <w:rFonts w:hint="eastAsia" w:ascii="宋体" w:hAnsi="宋体"/>
          <w:sz w:val="24"/>
          <w:szCs w:val="24"/>
        </w:rPr>
        <w:t>为评委人数。</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评分标准</w:t>
      </w:r>
    </w:p>
    <w:tbl>
      <w:tblPr>
        <w:tblStyle w:val="41"/>
        <w:tblW w:w="0" w:type="auto"/>
        <w:jc w:val="center"/>
        <w:tblLayout w:type="fixed"/>
        <w:tblCellMar>
          <w:top w:w="0" w:type="dxa"/>
          <w:left w:w="108" w:type="dxa"/>
          <w:bottom w:w="0" w:type="dxa"/>
          <w:right w:w="108" w:type="dxa"/>
        </w:tblCellMar>
      </w:tblPr>
      <w:tblGrid>
        <w:gridCol w:w="612"/>
        <w:gridCol w:w="1213"/>
        <w:gridCol w:w="625"/>
        <w:gridCol w:w="3682"/>
        <w:gridCol w:w="2653"/>
      </w:tblGrid>
      <w:tr>
        <w:tblPrEx>
          <w:tblCellMar>
            <w:top w:w="0" w:type="dxa"/>
            <w:left w:w="108" w:type="dxa"/>
            <w:bottom w:w="0" w:type="dxa"/>
            <w:right w:w="108" w:type="dxa"/>
          </w:tblCellMar>
        </w:tblPrEx>
        <w:trPr>
          <w:trHeight w:val="684" w:hRule="atLeast"/>
          <w:jc w:val="center"/>
        </w:trPr>
        <w:tc>
          <w:tcPr>
            <w:tcW w:w="61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spacing w:line="400" w:lineRule="exact"/>
              <w:jc w:val="center"/>
              <w:rPr>
                <w:rFonts w:hint="default" w:ascii="Times New Roman" w:hAnsi="Times New Roman" w:eastAsia="方正仿宋_GBK" w:cs="Times New Roman"/>
                <w:bCs/>
                <w:color w:val="auto"/>
                <w:sz w:val="28"/>
                <w:szCs w:val="28"/>
                <w:highlight w:val="none"/>
              </w:rPr>
            </w:pPr>
            <w:r>
              <w:rPr>
                <w:rFonts w:hint="eastAsia" w:ascii="宋体" w:hAnsi="宋体" w:cs="宋体"/>
                <w:b/>
                <w:bCs/>
                <w:sz w:val="24"/>
                <w:szCs w:val="24"/>
              </w:rPr>
              <w:t>序号</w:t>
            </w:r>
          </w:p>
        </w:tc>
        <w:tc>
          <w:tcPr>
            <w:tcW w:w="1213"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spacing w:line="400" w:lineRule="exact"/>
              <w:jc w:val="center"/>
              <w:rPr>
                <w:rFonts w:hint="default" w:ascii="Times New Roman" w:hAnsi="Times New Roman" w:eastAsia="方正仿宋_GBK" w:cs="Times New Roman"/>
                <w:bCs/>
                <w:color w:val="auto"/>
                <w:sz w:val="28"/>
                <w:szCs w:val="28"/>
                <w:highlight w:val="none"/>
              </w:rPr>
            </w:pPr>
            <w:r>
              <w:rPr>
                <w:rFonts w:hint="eastAsia" w:ascii="宋体" w:hAnsi="宋体" w:cs="宋体"/>
                <w:b/>
                <w:bCs/>
                <w:sz w:val="24"/>
                <w:szCs w:val="24"/>
              </w:rPr>
              <w:t>评分因素及权重</w:t>
            </w: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spacing w:line="400" w:lineRule="exact"/>
              <w:jc w:val="center"/>
              <w:rPr>
                <w:rFonts w:hint="default" w:ascii="Times New Roman" w:hAnsi="Times New Roman" w:eastAsia="方正仿宋_GBK" w:cs="Times New Roman"/>
                <w:bCs/>
                <w:color w:val="auto"/>
                <w:sz w:val="28"/>
                <w:szCs w:val="28"/>
                <w:highlight w:val="none"/>
              </w:rPr>
            </w:pPr>
            <w:r>
              <w:rPr>
                <w:rFonts w:hint="eastAsia" w:ascii="宋体" w:hAnsi="宋体" w:cs="宋体"/>
                <w:b/>
                <w:bCs/>
                <w:sz w:val="24"/>
                <w:szCs w:val="24"/>
              </w:rPr>
              <w:t>分值</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spacing w:line="400" w:lineRule="exact"/>
              <w:jc w:val="center"/>
              <w:rPr>
                <w:rFonts w:hint="default" w:ascii="Times New Roman" w:hAnsi="Times New Roman" w:eastAsia="方正仿宋_GBK" w:cs="Times New Roman"/>
                <w:bCs/>
                <w:color w:val="auto"/>
                <w:sz w:val="28"/>
                <w:szCs w:val="28"/>
                <w:highlight w:val="none"/>
              </w:rPr>
            </w:pPr>
            <w:r>
              <w:rPr>
                <w:rFonts w:hint="eastAsia" w:ascii="宋体" w:hAnsi="宋体" w:cs="宋体"/>
                <w:b/>
                <w:bCs/>
                <w:sz w:val="24"/>
                <w:szCs w:val="24"/>
              </w:rPr>
              <w:t>评分细则</w:t>
            </w:r>
          </w:p>
        </w:tc>
        <w:tc>
          <w:tcPr>
            <w:tcW w:w="2653" w:type="dxa"/>
            <w:tcBorders>
              <w:top w:val="single" w:color="000000" w:sz="4" w:space="0"/>
              <w:bottom w:val="single" w:color="000000" w:sz="4" w:space="0"/>
              <w:right w:val="single" w:color="000000" w:sz="4" w:space="0"/>
            </w:tcBorders>
            <w:noWrap w:val="0"/>
            <w:vAlign w:val="center"/>
          </w:tcPr>
          <w:p>
            <w:pPr>
              <w:widowControl/>
              <w:spacing w:line="400" w:lineRule="exact"/>
              <w:jc w:val="center"/>
              <w:rPr>
                <w:rFonts w:hint="default" w:ascii="Times New Roman" w:hAnsi="Times New Roman" w:eastAsia="方正仿宋_GBK" w:cs="Times New Roman"/>
                <w:bCs/>
                <w:color w:val="auto"/>
                <w:sz w:val="28"/>
                <w:szCs w:val="28"/>
                <w:highlight w:val="none"/>
              </w:rPr>
            </w:pPr>
            <w:r>
              <w:rPr>
                <w:rFonts w:hint="eastAsia" w:ascii="宋体" w:hAnsi="宋体" w:cs="宋体"/>
                <w:b/>
                <w:bCs/>
                <w:sz w:val="24"/>
                <w:szCs w:val="24"/>
              </w:rPr>
              <w:t>备注</w:t>
            </w:r>
          </w:p>
        </w:tc>
      </w:tr>
      <w:tr>
        <w:tblPrEx>
          <w:tblCellMar>
            <w:top w:w="0" w:type="dxa"/>
            <w:left w:w="108" w:type="dxa"/>
            <w:bottom w:w="0" w:type="dxa"/>
            <w:right w:w="108" w:type="dxa"/>
          </w:tblCellMar>
        </w:tblPrEx>
        <w:trPr>
          <w:trHeight w:val="350" w:hRule="atLeast"/>
          <w:jc w:val="center"/>
        </w:trPr>
        <w:tc>
          <w:tcPr>
            <w:tcW w:w="612" w:type="dxa"/>
            <w:vMerge w:val="restart"/>
            <w:tcBorders>
              <w:top w:val="single" w:color="000000" w:sz="4" w:space="0"/>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sz w:val="24"/>
                <w:szCs w:val="24"/>
              </w:rPr>
              <w:t>1</w:t>
            </w:r>
          </w:p>
        </w:tc>
        <w:tc>
          <w:tcPr>
            <w:tcW w:w="1213" w:type="dxa"/>
            <w:vMerge w:val="restart"/>
            <w:tcBorders>
              <w:top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right="-86" w:rightChars="-41"/>
              <w:jc w:val="center"/>
              <w:textAlignment w:val="auto"/>
              <w:rPr>
                <w:rFonts w:hint="eastAsia" w:ascii="仿宋" w:hAnsi="仿宋" w:eastAsia="仿宋" w:cs="仿宋"/>
                <w:sz w:val="24"/>
                <w:szCs w:val="24"/>
              </w:rPr>
            </w:pPr>
            <w:r>
              <w:rPr>
                <w:rFonts w:hint="eastAsia" w:ascii="仿宋" w:hAnsi="仿宋" w:eastAsia="仿宋" w:cs="仿宋"/>
                <w:sz w:val="24"/>
                <w:szCs w:val="24"/>
              </w:rPr>
              <w:t>报价30%</w:t>
            </w:r>
          </w:p>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(评审委员会)</w:t>
            </w: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lang w:val="en-US" w:eastAsia="zh-CN"/>
              </w:rPr>
              <w:t>6</w:t>
            </w:r>
            <w:r>
              <w:rPr>
                <w:rFonts w:hint="eastAsia" w:ascii="仿宋" w:hAnsi="仿宋" w:eastAsia="仿宋" w:cs="仿宋"/>
                <w:sz w:val="24"/>
                <w:szCs w:val="24"/>
              </w:rPr>
              <w:t>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米、面、油、奶制品、干货</w:t>
            </w:r>
            <w:r>
              <w:rPr>
                <w:rFonts w:hint="eastAsia" w:ascii="仿宋" w:hAnsi="仿宋" w:eastAsia="仿宋" w:cs="仿宋"/>
                <w:sz w:val="24"/>
                <w:szCs w:val="24"/>
                <w:lang w:eastAsia="zh-CN"/>
              </w:rPr>
              <w:t>、</w:t>
            </w:r>
            <w:r>
              <w:rPr>
                <w:rFonts w:hint="eastAsia" w:ascii="仿宋" w:hAnsi="仿宋" w:eastAsia="仿宋" w:cs="仿宋"/>
                <w:sz w:val="24"/>
                <w:szCs w:val="24"/>
              </w:rPr>
              <w:t>调料配送以有效最低投标结算率为基准结算率，投标报价得分=(基准结算率／投标结算率）×</w:t>
            </w:r>
            <w:r>
              <w:rPr>
                <w:rFonts w:hint="eastAsia" w:ascii="仿宋" w:hAnsi="仿宋" w:eastAsia="仿宋" w:cs="仿宋"/>
                <w:sz w:val="24"/>
                <w:szCs w:val="24"/>
                <w:lang w:val="en-US" w:eastAsia="zh-CN"/>
              </w:rPr>
              <w:t>6</w:t>
            </w:r>
            <w:r>
              <w:rPr>
                <w:rFonts w:hint="eastAsia" w:ascii="仿宋" w:hAnsi="仿宋" w:eastAsia="仿宋" w:cs="仿宋"/>
                <w:sz w:val="24"/>
                <w:szCs w:val="24"/>
              </w:rPr>
              <w:t>。</w:t>
            </w:r>
          </w:p>
        </w:tc>
        <w:tc>
          <w:tcPr>
            <w:tcW w:w="2653" w:type="dxa"/>
            <w:vMerge w:val="restart"/>
            <w:tcBorders>
              <w:top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1.本项目的投标报价为投标结算率。</w:t>
            </w:r>
          </w:p>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2.根据小微企业、监狱企业、残疾人福利性企业可享受10%的价格扣除，用扣除后的价格参与评审的要求，本项目以投标结算率作为投标报价，有效最低投标结算率作为基准结算率，小微企业、监狱企业、残疾人福利性企业参与评审的投标报价=其投标结算率-（其投标结算率×10%）。</w:t>
            </w:r>
          </w:p>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 xml:space="preserve">    提供中小企业声明函或残疾人福利性单位声明函加盖投标供应商公章，未提供不能享受价格扣除。</w:t>
            </w:r>
          </w:p>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rPr>
              <w:t xml:space="preserve">    残疾人福利性单位属于小型、微型企业的，不重复享受政策。</w:t>
            </w: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lang w:val="en-US" w:eastAsia="zh-CN"/>
              </w:rPr>
              <w:t>14</w:t>
            </w:r>
            <w:r>
              <w:rPr>
                <w:rFonts w:hint="eastAsia" w:ascii="仿宋" w:hAnsi="仿宋" w:eastAsia="仿宋" w:cs="仿宋"/>
                <w:sz w:val="24"/>
                <w:szCs w:val="24"/>
              </w:rPr>
              <w:t>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lang w:val="zh-CN"/>
              </w:rPr>
              <w:t>肉类、禽类、蛋类、</w:t>
            </w:r>
            <w:r>
              <w:rPr>
                <w:rFonts w:hint="eastAsia" w:ascii="仿宋" w:hAnsi="仿宋" w:eastAsia="仿宋" w:cs="仿宋"/>
                <w:sz w:val="24"/>
                <w:szCs w:val="24"/>
              </w:rPr>
              <w:t>水产类配送以有效最低投标结算率为基准结算率，投标报价得分=(基准结算率／投标结算率）×</w:t>
            </w:r>
            <w:r>
              <w:rPr>
                <w:rFonts w:hint="eastAsia" w:ascii="仿宋" w:hAnsi="仿宋" w:eastAsia="仿宋" w:cs="仿宋"/>
                <w:sz w:val="24"/>
                <w:szCs w:val="24"/>
                <w:lang w:val="en-US" w:eastAsia="zh-CN"/>
              </w:rPr>
              <w:t>14</w:t>
            </w:r>
            <w:r>
              <w:rPr>
                <w:rFonts w:hint="eastAsia" w:ascii="仿宋" w:hAnsi="仿宋" w:eastAsia="仿宋" w:cs="仿宋"/>
                <w:sz w:val="24"/>
                <w:szCs w:val="24"/>
              </w:rPr>
              <w:t>。</w:t>
            </w:r>
          </w:p>
        </w:tc>
        <w:tc>
          <w:tcPr>
            <w:tcW w:w="2653" w:type="dxa"/>
            <w:vMerge w:val="continue"/>
            <w:tcBorders>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1</w:t>
            </w:r>
            <w:r>
              <w:rPr>
                <w:rFonts w:hint="eastAsia" w:ascii="仿宋" w:hAnsi="仿宋" w:eastAsia="仿宋" w:cs="仿宋"/>
                <w:sz w:val="24"/>
                <w:szCs w:val="24"/>
                <w:lang w:val="en-US" w:eastAsia="zh-CN"/>
              </w:rPr>
              <w:t>0</w:t>
            </w:r>
            <w:r>
              <w:rPr>
                <w:rFonts w:hint="eastAsia" w:ascii="仿宋" w:hAnsi="仿宋" w:eastAsia="仿宋" w:cs="仿宋"/>
                <w:sz w:val="24"/>
                <w:szCs w:val="24"/>
              </w:rPr>
              <w:t>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水果</w:t>
            </w:r>
            <w:r>
              <w:rPr>
                <w:rFonts w:hint="eastAsia" w:ascii="仿宋" w:hAnsi="仿宋" w:eastAsia="仿宋" w:cs="仿宋"/>
                <w:sz w:val="24"/>
                <w:szCs w:val="24"/>
                <w:lang w:eastAsia="zh-CN"/>
              </w:rPr>
              <w:t>类</w:t>
            </w:r>
            <w:r>
              <w:rPr>
                <w:rFonts w:hint="eastAsia" w:ascii="仿宋" w:hAnsi="仿宋" w:eastAsia="仿宋" w:cs="仿宋"/>
                <w:sz w:val="24"/>
                <w:szCs w:val="24"/>
              </w:rPr>
              <w:t>、蔬菜</w:t>
            </w:r>
            <w:r>
              <w:rPr>
                <w:rFonts w:hint="eastAsia" w:ascii="仿宋" w:hAnsi="仿宋" w:eastAsia="仿宋" w:cs="仿宋"/>
                <w:sz w:val="24"/>
                <w:szCs w:val="24"/>
                <w:lang w:eastAsia="zh-CN"/>
              </w:rPr>
              <w:t>类</w:t>
            </w:r>
            <w:r>
              <w:rPr>
                <w:rFonts w:hint="eastAsia" w:ascii="仿宋" w:hAnsi="仿宋" w:eastAsia="仿宋" w:cs="仿宋"/>
                <w:sz w:val="24"/>
                <w:szCs w:val="24"/>
              </w:rPr>
              <w:t>配送以有效最低投标结算率为基准结算率，投标报价得分=(基准结算率／投标结算率）×1</w:t>
            </w:r>
            <w:r>
              <w:rPr>
                <w:rFonts w:hint="eastAsia" w:ascii="仿宋" w:hAnsi="仿宋" w:eastAsia="仿宋" w:cs="仿宋"/>
                <w:sz w:val="24"/>
                <w:szCs w:val="24"/>
                <w:lang w:val="en-US" w:eastAsia="zh-CN"/>
              </w:rPr>
              <w:t>0</w:t>
            </w:r>
            <w:r>
              <w:rPr>
                <w:rFonts w:hint="eastAsia" w:ascii="仿宋" w:hAnsi="仿宋" w:eastAsia="仿宋" w:cs="仿宋"/>
                <w:sz w:val="24"/>
                <w:szCs w:val="24"/>
              </w:rPr>
              <w:t>。</w:t>
            </w:r>
          </w:p>
        </w:tc>
        <w:tc>
          <w:tcPr>
            <w:tcW w:w="2653" w:type="dxa"/>
            <w:vMerge w:val="continue"/>
            <w:tcBorders>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p>
        </w:tc>
      </w:tr>
      <w:tr>
        <w:tblPrEx>
          <w:tblCellMar>
            <w:top w:w="0" w:type="dxa"/>
            <w:left w:w="108" w:type="dxa"/>
            <w:bottom w:w="0" w:type="dxa"/>
            <w:right w:w="108" w:type="dxa"/>
          </w:tblCellMar>
        </w:tblPrEx>
        <w:trPr>
          <w:trHeight w:val="350" w:hRule="atLeast"/>
          <w:jc w:val="center"/>
        </w:trPr>
        <w:tc>
          <w:tcPr>
            <w:tcW w:w="612" w:type="dxa"/>
            <w:vMerge w:val="restart"/>
            <w:tcBorders>
              <w:top w:val="single" w:color="000000" w:sz="4" w:space="0"/>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sz w:val="24"/>
                <w:szCs w:val="24"/>
              </w:rPr>
              <w:t>2</w:t>
            </w:r>
          </w:p>
        </w:tc>
        <w:tc>
          <w:tcPr>
            <w:tcW w:w="1213" w:type="dxa"/>
            <w:vMerge w:val="restart"/>
            <w:tcBorders>
              <w:top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sz w:val="24"/>
                <w:szCs w:val="24"/>
              </w:rPr>
            </w:pPr>
            <w:r>
              <w:rPr>
                <w:rFonts w:hint="eastAsia" w:ascii="仿宋" w:hAnsi="仿宋" w:eastAsia="仿宋" w:cs="仿宋"/>
                <w:sz w:val="24"/>
                <w:szCs w:val="24"/>
              </w:rPr>
              <w:t>服务方案24%</w:t>
            </w:r>
          </w:p>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（技术类评委）</w:t>
            </w: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right="-86" w:rightChars="-41"/>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食品安全方案6分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360" w:firstLineChars="15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根据投标人针对本项目制定的食品安全方案进行评分，方案包含①产品供应链管理方案、②应急处置措施、③产品质量保障等。食品安全方案完善</w:t>
            </w:r>
            <w:r>
              <w:rPr>
                <w:rFonts w:hint="eastAsia" w:ascii="仿宋" w:hAnsi="仿宋" w:eastAsia="仿宋" w:cs="仿宋"/>
                <w:sz w:val="24"/>
                <w:szCs w:val="24"/>
                <w:lang w:val="en-US" w:eastAsia="zh-CN"/>
              </w:rPr>
              <w:t>且</w:t>
            </w:r>
            <w:r>
              <w:rPr>
                <w:rFonts w:hint="eastAsia" w:ascii="仿宋" w:hAnsi="仿宋" w:eastAsia="仿宋" w:cs="仿宋"/>
                <w:sz w:val="24"/>
                <w:szCs w:val="24"/>
              </w:rPr>
              <w:t>内容清楚详细能够满足采购需求</w:t>
            </w:r>
            <w:r>
              <w:rPr>
                <w:rFonts w:hint="eastAsia" w:ascii="仿宋" w:hAnsi="仿宋" w:eastAsia="仿宋" w:cs="仿宋"/>
                <w:sz w:val="24"/>
                <w:szCs w:val="24"/>
                <w:lang w:eastAsia="zh-CN"/>
              </w:rPr>
              <w:t>，</w:t>
            </w:r>
            <w:r>
              <w:rPr>
                <w:rFonts w:hint="eastAsia" w:ascii="仿宋" w:hAnsi="仿宋" w:eastAsia="仿宋" w:cs="仿宋"/>
                <w:sz w:val="24"/>
                <w:szCs w:val="24"/>
                <w:lang w:val="en-US" w:eastAsia="zh-CN"/>
              </w:rPr>
              <w:t>得6分</w:t>
            </w:r>
            <w:r>
              <w:rPr>
                <w:rFonts w:hint="eastAsia" w:ascii="仿宋" w:hAnsi="仿宋" w:eastAsia="仿宋" w:cs="仿宋"/>
                <w:sz w:val="24"/>
                <w:szCs w:val="24"/>
              </w:rPr>
              <w:t>（</w:t>
            </w:r>
            <w:r>
              <w:rPr>
                <w:rFonts w:hint="eastAsia" w:ascii="仿宋" w:hAnsi="仿宋" w:eastAsia="仿宋" w:cs="仿宋"/>
                <w:sz w:val="24"/>
                <w:szCs w:val="24"/>
                <w:lang w:val="en-US" w:eastAsia="zh-CN"/>
              </w:rPr>
              <w:t>第4章技术、服务、商务和其他要求 4.5商务要求</w:t>
            </w:r>
            <w:r>
              <w:rPr>
                <w:rFonts w:hint="eastAsia" w:ascii="仿宋" w:hAnsi="仿宋" w:eastAsia="仿宋" w:cs="仿宋"/>
                <w:sz w:val="24"/>
                <w:szCs w:val="24"/>
              </w:rPr>
              <w:t>）每有一项缺失的扣</w:t>
            </w:r>
            <w:r>
              <w:rPr>
                <w:rFonts w:hint="eastAsia" w:ascii="仿宋" w:hAnsi="仿宋" w:eastAsia="仿宋" w:cs="仿宋"/>
                <w:sz w:val="24"/>
                <w:szCs w:val="24"/>
                <w:lang w:val="en-US" w:eastAsia="zh-CN"/>
              </w:rPr>
              <w:t>2</w:t>
            </w:r>
            <w:r>
              <w:rPr>
                <w:rFonts w:hint="eastAsia" w:ascii="仿宋" w:hAnsi="仿宋" w:eastAsia="仿宋" w:cs="仿宋"/>
                <w:sz w:val="24"/>
                <w:szCs w:val="24"/>
              </w:rPr>
              <w:t>分，每有一项缺陷的扣</w:t>
            </w:r>
            <w:r>
              <w:rPr>
                <w:rFonts w:hint="eastAsia" w:ascii="仿宋" w:hAnsi="仿宋" w:eastAsia="仿宋" w:cs="仿宋"/>
                <w:sz w:val="24"/>
                <w:szCs w:val="24"/>
                <w:lang w:val="en-US" w:eastAsia="zh-CN"/>
              </w:rPr>
              <w:t>1</w:t>
            </w:r>
            <w:r>
              <w:rPr>
                <w:rFonts w:hint="eastAsia" w:ascii="仿宋" w:hAnsi="仿宋" w:eastAsia="仿宋" w:cs="仿宋"/>
                <w:sz w:val="24"/>
                <w:szCs w:val="24"/>
              </w:rPr>
              <w:t>分，本项最多得</w:t>
            </w:r>
            <w:r>
              <w:rPr>
                <w:rFonts w:hint="eastAsia" w:ascii="仿宋" w:hAnsi="仿宋" w:eastAsia="仿宋" w:cs="仿宋"/>
                <w:sz w:val="24"/>
                <w:szCs w:val="24"/>
                <w:lang w:val="en-US" w:eastAsia="zh-CN"/>
              </w:rPr>
              <w:t>6</w:t>
            </w:r>
            <w:r>
              <w:rPr>
                <w:rFonts w:hint="eastAsia" w:ascii="仿宋" w:hAnsi="仿宋" w:eastAsia="仿宋" w:cs="仿宋"/>
                <w:sz w:val="24"/>
                <w:szCs w:val="24"/>
              </w:rPr>
              <w:t>分。（“缺陷”是指：描述有歧义或逻辑有漏洞或方案内容与</w:t>
            </w:r>
            <w:r>
              <w:rPr>
                <w:rFonts w:hint="eastAsia" w:ascii="仿宋" w:hAnsi="仿宋" w:eastAsia="仿宋" w:cs="仿宋"/>
                <w:sz w:val="24"/>
                <w:szCs w:val="24"/>
                <w:lang w:val="en-US" w:eastAsia="zh-CN"/>
              </w:rPr>
              <w:t>本项目服务要</w:t>
            </w:r>
            <w:r>
              <w:rPr>
                <w:rFonts w:hint="eastAsia" w:ascii="仿宋" w:hAnsi="仿宋" w:eastAsia="仿宋" w:cs="仿宋"/>
                <w:sz w:val="24"/>
                <w:szCs w:val="24"/>
              </w:rPr>
              <w:t>求不相符或结合不够紧密）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right w:val="single" w:color="000000" w:sz="4" w:space="0"/>
            </w:tcBorders>
            <w:noWrap w:val="0"/>
            <w:tcMar>
              <w:top w:w="0" w:type="dxa"/>
              <w:left w:w="108" w:type="dxa"/>
              <w:bottom w:w="0" w:type="dxa"/>
              <w:right w:w="108" w:type="dxa"/>
            </w:tcMar>
            <w:vAlign w:val="bottom"/>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 xml:space="preserve"> 配送方案6分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 xml:space="preserve">   根据投标人针对本项目制定的配送方案进行评分，配送方案包含①仓储管理方案②配送运输车辆、③人员配备管理方案。配送方案完善</w:t>
            </w:r>
            <w:r>
              <w:rPr>
                <w:rFonts w:hint="eastAsia" w:ascii="仿宋" w:hAnsi="仿宋" w:eastAsia="仿宋" w:cs="仿宋"/>
                <w:sz w:val="24"/>
                <w:szCs w:val="24"/>
                <w:lang w:val="en-US" w:eastAsia="zh-CN"/>
              </w:rPr>
              <w:t>且</w:t>
            </w:r>
            <w:r>
              <w:rPr>
                <w:rFonts w:hint="eastAsia" w:ascii="仿宋" w:hAnsi="仿宋" w:eastAsia="仿宋" w:cs="仿宋"/>
                <w:sz w:val="24"/>
                <w:szCs w:val="24"/>
              </w:rPr>
              <w:t>内容清楚详细能够满足采购需求</w:t>
            </w:r>
            <w:r>
              <w:rPr>
                <w:rFonts w:hint="eastAsia" w:ascii="仿宋" w:hAnsi="仿宋" w:eastAsia="仿宋" w:cs="仿宋"/>
                <w:sz w:val="24"/>
                <w:szCs w:val="24"/>
                <w:lang w:eastAsia="zh-CN"/>
              </w:rPr>
              <w:t>，</w:t>
            </w:r>
            <w:r>
              <w:rPr>
                <w:rFonts w:hint="eastAsia" w:ascii="仿宋" w:hAnsi="仿宋" w:eastAsia="仿宋" w:cs="仿宋"/>
                <w:sz w:val="24"/>
                <w:szCs w:val="24"/>
                <w:lang w:val="en-US" w:eastAsia="zh-CN"/>
              </w:rPr>
              <w:t>得6分</w:t>
            </w:r>
            <w:r>
              <w:rPr>
                <w:rFonts w:hint="eastAsia" w:ascii="仿宋" w:hAnsi="仿宋" w:eastAsia="仿宋" w:cs="仿宋"/>
                <w:sz w:val="24"/>
                <w:szCs w:val="24"/>
              </w:rPr>
              <w:t>（</w:t>
            </w:r>
            <w:r>
              <w:rPr>
                <w:rFonts w:hint="eastAsia" w:ascii="仿宋" w:hAnsi="仿宋" w:eastAsia="仿宋" w:cs="仿宋"/>
                <w:sz w:val="24"/>
                <w:szCs w:val="24"/>
                <w:lang w:val="en-US" w:eastAsia="zh-CN"/>
              </w:rPr>
              <w:t>第4章技术、服务、商务和其他要求 4.5商务要求）</w:t>
            </w:r>
            <w:r>
              <w:rPr>
                <w:rFonts w:hint="eastAsia" w:ascii="仿宋" w:hAnsi="仿宋" w:eastAsia="仿宋" w:cs="仿宋"/>
                <w:sz w:val="24"/>
                <w:szCs w:val="24"/>
              </w:rPr>
              <w:t>每有一项缺失的扣</w:t>
            </w:r>
            <w:r>
              <w:rPr>
                <w:rFonts w:hint="eastAsia" w:ascii="仿宋" w:hAnsi="仿宋" w:eastAsia="仿宋" w:cs="仿宋"/>
                <w:sz w:val="24"/>
                <w:szCs w:val="24"/>
                <w:lang w:val="en-US" w:eastAsia="zh-CN"/>
              </w:rPr>
              <w:t>2</w:t>
            </w:r>
            <w:r>
              <w:rPr>
                <w:rFonts w:hint="eastAsia" w:ascii="仿宋" w:hAnsi="仿宋" w:eastAsia="仿宋" w:cs="仿宋"/>
                <w:sz w:val="24"/>
                <w:szCs w:val="24"/>
              </w:rPr>
              <w:t>分，每有一项缺陷的扣</w:t>
            </w:r>
            <w:r>
              <w:rPr>
                <w:rFonts w:hint="eastAsia" w:ascii="仿宋" w:hAnsi="仿宋" w:eastAsia="仿宋" w:cs="仿宋"/>
                <w:sz w:val="24"/>
                <w:szCs w:val="24"/>
                <w:lang w:val="en-US" w:eastAsia="zh-CN"/>
              </w:rPr>
              <w:t>1</w:t>
            </w:r>
            <w:r>
              <w:rPr>
                <w:rFonts w:hint="eastAsia" w:ascii="仿宋" w:hAnsi="仿宋" w:eastAsia="仿宋" w:cs="仿宋"/>
                <w:sz w:val="24"/>
                <w:szCs w:val="24"/>
              </w:rPr>
              <w:t>分，本项最多得</w:t>
            </w:r>
            <w:r>
              <w:rPr>
                <w:rFonts w:hint="eastAsia" w:ascii="仿宋" w:hAnsi="仿宋" w:eastAsia="仿宋" w:cs="仿宋"/>
                <w:sz w:val="24"/>
                <w:szCs w:val="24"/>
                <w:lang w:val="en-US" w:eastAsia="zh-CN"/>
              </w:rPr>
              <w:t>6</w:t>
            </w:r>
            <w:r>
              <w:rPr>
                <w:rFonts w:hint="eastAsia" w:ascii="仿宋" w:hAnsi="仿宋" w:eastAsia="仿宋" w:cs="仿宋"/>
                <w:sz w:val="24"/>
                <w:szCs w:val="24"/>
              </w:rPr>
              <w:t>分。（“缺陷”是指：描述有歧义或逻辑有漏洞或方案内容与</w:t>
            </w:r>
            <w:r>
              <w:rPr>
                <w:rFonts w:hint="eastAsia" w:ascii="仿宋" w:hAnsi="仿宋" w:eastAsia="仿宋" w:cs="仿宋"/>
                <w:sz w:val="24"/>
                <w:szCs w:val="24"/>
                <w:lang w:val="en-US" w:eastAsia="zh-CN"/>
              </w:rPr>
              <w:t>本项目服务要</w:t>
            </w:r>
            <w:r>
              <w:rPr>
                <w:rFonts w:hint="eastAsia" w:ascii="仿宋" w:hAnsi="仿宋" w:eastAsia="仿宋" w:cs="仿宋"/>
                <w:sz w:val="24"/>
                <w:szCs w:val="24"/>
              </w:rPr>
              <w:t>求不相符或结合不够紧密）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 xml:space="preserve">    第③项须提供为本项目配备的人员系本单位员工的证明材料（包括但不限于劳动合同或社保证明或承诺函）。</w:t>
            </w: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售后服务方案6分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根据投标人针对本项目制定的售后服务方案进行评分。售后服务方案包括①提供售后服务呼叫电话和响应时间、②现场服务支持能力、③售后巡检及质保服务。售后服务方案完善</w:t>
            </w:r>
            <w:r>
              <w:rPr>
                <w:rFonts w:hint="eastAsia" w:ascii="仿宋" w:hAnsi="仿宋" w:eastAsia="仿宋" w:cs="仿宋"/>
                <w:sz w:val="24"/>
                <w:szCs w:val="24"/>
                <w:lang w:val="en-US" w:eastAsia="zh-CN"/>
              </w:rPr>
              <w:t>且</w:t>
            </w:r>
            <w:r>
              <w:rPr>
                <w:rFonts w:hint="eastAsia" w:ascii="仿宋" w:hAnsi="仿宋" w:eastAsia="仿宋" w:cs="仿宋"/>
                <w:sz w:val="24"/>
                <w:szCs w:val="24"/>
              </w:rPr>
              <w:t>内容清楚详细能够满足采购需求</w:t>
            </w:r>
            <w:r>
              <w:rPr>
                <w:rFonts w:hint="eastAsia" w:ascii="仿宋" w:hAnsi="仿宋" w:eastAsia="仿宋" w:cs="仿宋"/>
                <w:sz w:val="24"/>
                <w:szCs w:val="24"/>
                <w:lang w:eastAsia="zh-CN"/>
              </w:rPr>
              <w:t>，</w:t>
            </w:r>
            <w:r>
              <w:rPr>
                <w:rFonts w:hint="eastAsia" w:ascii="仿宋" w:hAnsi="仿宋" w:eastAsia="仿宋" w:cs="仿宋"/>
                <w:sz w:val="24"/>
                <w:szCs w:val="24"/>
                <w:lang w:val="en-US" w:eastAsia="zh-CN"/>
              </w:rPr>
              <w:t>得6分</w:t>
            </w:r>
            <w:r>
              <w:rPr>
                <w:rFonts w:hint="eastAsia" w:ascii="仿宋" w:hAnsi="仿宋" w:eastAsia="仿宋" w:cs="仿宋"/>
                <w:sz w:val="24"/>
                <w:szCs w:val="24"/>
              </w:rPr>
              <w:t>（</w:t>
            </w:r>
            <w:r>
              <w:rPr>
                <w:rFonts w:hint="eastAsia" w:ascii="仿宋" w:hAnsi="仿宋" w:eastAsia="仿宋" w:cs="仿宋"/>
                <w:sz w:val="24"/>
                <w:szCs w:val="24"/>
                <w:lang w:val="en-US" w:eastAsia="zh-CN"/>
              </w:rPr>
              <w:t>第4章技术、服务、商务和其他要求 4.5商务要求</w:t>
            </w:r>
            <w:r>
              <w:rPr>
                <w:rFonts w:hint="eastAsia" w:ascii="仿宋" w:hAnsi="仿宋" w:eastAsia="仿宋" w:cs="仿宋"/>
                <w:sz w:val="24"/>
                <w:szCs w:val="24"/>
              </w:rPr>
              <w:t>）每有一项缺失的扣</w:t>
            </w:r>
            <w:r>
              <w:rPr>
                <w:rFonts w:hint="eastAsia" w:ascii="仿宋" w:hAnsi="仿宋" w:eastAsia="仿宋" w:cs="仿宋"/>
                <w:sz w:val="24"/>
                <w:szCs w:val="24"/>
                <w:lang w:val="en-US" w:eastAsia="zh-CN"/>
              </w:rPr>
              <w:t>2</w:t>
            </w:r>
            <w:r>
              <w:rPr>
                <w:rFonts w:hint="eastAsia" w:ascii="仿宋" w:hAnsi="仿宋" w:eastAsia="仿宋" w:cs="仿宋"/>
                <w:sz w:val="24"/>
                <w:szCs w:val="24"/>
              </w:rPr>
              <w:t>分，每有一项缺陷的扣</w:t>
            </w:r>
            <w:r>
              <w:rPr>
                <w:rFonts w:hint="eastAsia" w:ascii="仿宋" w:hAnsi="仿宋" w:eastAsia="仿宋" w:cs="仿宋"/>
                <w:sz w:val="24"/>
                <w:szCs w:val="24"/>
                <w:lang w:val="en-US" w:eastAsia="zh-CN"/>
              </w:rPr>
              <w:t>1</w:t>
            </w:r>
            <w:r>
              <w:rPr>
                <w:rFonts w:hint="eastAsia" w:ascii="仿宋" w:hAnsi="仿宋" w:eastAsia="仿宋" w:cs="仿宋"/>
                <w:sz w:val="24"/>
                <w:szCs w:val="24"/>
              </w:rPr>
              <w:t>分，本项最多得</w:t>
            </w:r>
            <w:r>
              <w:rPr>
                <w:rFonts w:hint="eastAsia" w:ascii="仿宋" w:hAnsi="仿宋" w:eastAsia="仿宋" w:cs="仿宋"/>
                <w:sz w:val="24"/>
                <w:szCs w:val="24"/>
                <w:lang w:val="en-US" w:eastAsia="zh-CN"/>
              </w:rPr>
              <w:t>6</w:t>
            </w:r>
            <w:r>
              <w:rPr>
                <w:rFonts w:hint="eastAsia" w:ascii="仿宋" w:hAnsi="仿宋" w:eastAsia="仿宋" w:cs="仿宋"/>
                <w:sz w:val="24"/>
                <w:szCs w:val="24"/>
              </w:rPr>
              <w:t>分。（“缺陷”是指：描述有歧义或逻辑有漏洞或方案内容与</w:t>
            </w:r>
            <w:r>
              <w:rPr>
                <w:rFonts w:hint="eastAsia" w:ascii="仿宋" w:hAnsi="仿宋" w:eastAsia="仿宋" w:cs="仿宋"/>
                <w:sz w:val="24"/>
                <w:szCs w:val="24"/>
                <w:lang w:val="en-US" w:eastAsia="zh-CN"/>
              </w:rPr>
              <w:t>本项目服务要</w:t>
            </w:r>
            <w:r>
              <w:rPr>
                <w:rFonts w:hint="eastAsia" w:ascii="仿宋" w:hAnsi="仿宋" w:eastAsia="仿宋" w:cs="仿宋"/>
                <w:sz w:val="24"/>
                <w:szCs w:val="24"/>
              </w:rPr>
              <w:t>求不相符或结合不够紧密）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增值服务方案6分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根据投标人针对本项目制定的增值服务方案进行评分。增值方案包含且不限于①健康营养膳食建议服务、②公务用餐菜谱定制服务、③食材净菜加工服务。增值服务方案完善</w:t>
            </w:r>
            <w:r>
              <w:rPr>
                <w:rFonts w:hint="eastAsia" w:ascii="仿宋" w:hAnsi="仿宋" w:eastAsia="仿宋" w:cs="仿宋"/>
                <w:sz w:val="24"/>
                <w:szCs w:val="24"/>
                <w:lang w:val="en-US" w:eastAsia="zh-CN"/>
              </w:rPr>
              <w:t>且</w:t>
            </w:r>
            <w:r>
              <w:rPr>
                <w:rFonts w:hint="eastAsia" w:ascii="仿宋" w:hAnsi="仿宋" w:eastAsia="仿宋" w:cs="仿宋"/>
                <w:sz w:val="24"/>
                <w:szCs w:val="24"/>
              </w:rPr>
              <w:t>内容清楚详细能够满足采购需求</w:t>
            </w:r>
            <w:r>
              <w:rPr>
                <w:rFonts w:hint="eastAsia" w:ascii="仿宋" w:hAnsi="仿宋" w:eastAsia="仿宋" w:cs="仿宋"/>
                <w:sz w:val="24"/>
                <w:szCs w:val="24"/>
                <w:lang w:eastAsia="zh-CN"/>
              </w:rPr>
              <w:t>，</w:t>
            </w:r>
            <w:r>
              <w:rPr>
                <w:rFonts w:hint="eastAsia" w:ascii="仿宋" w:hAnsi="仿宋" w:eastAsia="仿宋" w:cs="仿宋"/>
                <w:sz w:val="24"/>
                <w:szCs w:val="24"/>
                <w:lang w:val="en-US" w:eastAsia="zh-CN"/>
              </w:rPr>
              <w:t>得6分</w:t>
            </w:r>
            <w:r>
              <w:rPr>
                <w:rFonts w:hint="eastAsia" w:ascii="仿宋" w:hAnsi="仿宋" w:eastAsia="仿宋" w:cs="仿宋"/>
                <w:sz w:val="24"/>
                <w:szCs w:val="24"/>
              </w:rPr>
              <w:t>（</w:t>
            </w:r>
            <w:r>
              <w:rPr>
                <w:rFonts w:hint="eastAsia" w:ascii="仿宋" w:hAnsi="仿宋" w:eastAsia="仿宋" w:cs="仿宋"/>
                <w:sz w:val="24"/>
                <w:szCs w:val="24"/>
                <w:lang w:val="en-US" w:eastAsia="zh-CN"/>
              </w:rPr>
              <w:t>第4章技术、服务、商务和其他要求 4.5商务要求</w:t>
            </w:r>
            <w:r>
              <w:rPr>
                <w:rFonts w:hint="eastAsia" w:ascii="仿宋" w:hAnsi="仿宋" w:eastAsia="仿宋" w:cs="仿宋"/>
                <w:sz w:val="24"/>
                <w:szCs w:val="24"/>
              </w:rPr>
              <w:t>）每有一项缺失的扣</w:t>
            </w:r>
            <w:r>
              <w:rPr>
                <w:rFonts w:hint="eastAsia" w:ascii="仿宋" w:hAnsi="仿宋" w:eastAsia="仿宋" w:cs="仿宋"/>
                <w:sz w:val="24"/>
                <w:szCs w:val="24"/>
                <w:lang w:val="en-US" w:eastAsia="zh-CN"/>
              </w:rPr>
              <w:t>2</w:t>
            </w:r>
            <w:r>
              <w:rPr>
                <w:rFonts w:hint="eastAsia" w:ascii="仿宋" w:hAnsi="仿宋" w:eastAsia="仿宋" w:cs="仿宋"/>
                <w:sz w:val="24"/>
                <w:szCs w:val="24"/>
              </w:rPr>
              <w:t>分，每有一项缺陷的扣</w:t>
            </w:r>
            <w:r>
              <w:rPr>
                <w:rFonts w:hint="eastAsia" w:ascii="仿宋" w:hAnsi="仿宋" w:eastAsia="仿宋" w:cs="仿宋"/>
                <w:sz w:val="24"/>
                <w:szCs w:val="24"/>
                <w:lang w:val="en-US" w:eastAsia="zh-CN"/>
              </w:rPr>
              <w:t>1</w:t>
            </w:r>
            <w:r>
              <w:rPr>
                <w:rFonts w:hint="eastAsia" w:ascii="仿宋" w:hAnsi="仿宋" w:eastAsia="仿宋" w:cs="仿宋"/>
                <w:sz w:val="24"/>
                <w:szCs w:val="24"/>
              </w:rPr>
              <w:t>分，本项最多得</w:t>
            </w:r>
            <w:r>
              <w:rPr>
                <w:rFonts w:hint="eastAsia" w:ascii="仿宋" w:hAnsi="仿宋" w:eastAsia="仿宋" w:cs="仿宋"/>
                <w:sz w:val="24"/>
                <w:szCs w:val="24"/>
                <w:lang w:val="en-US" w:eastAsia="zh-CN"/>
              </w:rPr>
              <w:t>6</w:t>
            </w:r>
            <w:r>
              <w:rPr>
                <w:rFonts w:hint="eastAsia" w:ascii="仿宋" w:hAnsi="仿宋" w:eastAsia="仿宋" w:cs="仿宋"/>
                <w:sz w:val="24"/>
                <w:szCs w:val="24"/>
              </w:rPr>
              <w:t>分。（“缺陷”是指：描述有歧义或逻辑有漏洞或方案内容与</w:t>
            </w:r>
            <w:r>
              <w:rPr>
                <w:rFonts w:hint="eastAsia" w:ascii="仿宋" w:hAnsi="仿宋" w:eastAsia="仿宋" w:cs="仿宋"/>
                <w:sz w:val="24"/>
                <w:szCs w:val="24"/>
                <w:lang w:val="en-US" w:eastAsia="zh-CN"/>
              </w:rPr>
              <w:t>本项目服务要</w:t>
            </w:r>
            <w:r>
              <w:rPr>
                <w:rFonts w:hint="eastAsia" w:ascii="仿宋" w:hAnsi="仿宋" w:eastAsia="仿宋" w:cs="仿宋"/>
                <w:sz w:val="24"/>
                <w:szCs w:val="24"/>
              </w:rPr>
              <w:t>求不相符或结合不够紧密）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p>
        </w:tc>
      </w:tr>
      <w:tr>
        <w:tblPrEx>
          <w:tblCellMar>
            <w:top w:w="0" w:type="dxa"/>
            <w:left w:w="108" w:type="dxa"/>
            <w:bottom w:w="0" w:type="dxa"/>
            <w:right w:w="108" w:type="dxa"/>
          </w:tblCellMar>
        </w:tblPrEx>
        <w:trPr>
          <w:trHeight w:val="350" w:hRule="atLeast"/>
          <w:jc w:val="center"/>
        </w:trPr>
        <w:tc>
          <w:tcPr>
            <w:tcW w:w="612" w:type="dxa"/>
            <w:vMerge w:val="restart"/>
            <w:tcBorders>
              <w:top w:val="single" w:color="000000" w:sz="4" w:space="0"/>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sz w:val="24"/>
                <w:szCs w:val="24"/>
              </w:rPr>
              <w:t>3</w:t>
            </w:r>
          </w:p>
        </w:tc>
        <w:tc>
          <w:tcPr>
            <w:tcW w:w="1213" w:type="dxa"/>
            <w:vMerge w:val="restart"/>
            <w:tcBorders>
              <w:top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sz w:val="24"/>
                <w:szCs w:val="24"/>
              </w:rPr>
            </w:pPr>
            <w:r>
              <w:rPr>
                <w:rFonts w:hint="eastAsia" w:ascii="仿宋" w:hAnsi="仿宋" w:eastAsia="仿宋" w:cs="仿宋"/>
                <w:sz w:val="24"/>
                <w:szCs w:val="24"/>
              </w:rPr>
              <w:t>履约能力</w:t>
            </w:r>
            <w:r>
              <w:rPr>
                <w:rFonts w:hint="eastAsia" w:ascii="仿宋" w:hAnsi="仿宋" w:eastAsia="仿宋" w:cs="仿宋"/>
                <w:sz w:val="24"/>
                <w:szCs w:val="24"/>
                <w:lang w:val="en-US"/>
              </w:rPr>
              <w:t>1</w:t>
            </w:r>
            <w:r>
              <w:rPr>
                <w:rFonts w:hint="eastAsia" w:ascii="仿宋" w:hAnsi="仿宋" w:eastAsia="仿宋" w:cs="仿宋"/>
                <w:sz w:val="24"/>
                <w:szCs w:val="24"/>
                <w:lang w:val="en-US" w:eastAsia="zh-CN"/>
              </w:rPr>
              <w:t>4</w:t>
            </w:r>
            <w:r>
              <w:rPr>
                <w:rFonts w:hint="eastAsia" w:ascii="仿宋" w:hAnsi="仿宋" w:eastAsia="仿宋" w:cs="仿宋"/>
                <w:sz w:val="24"/>
                <w:szCs w:val="24"/>
              </w:rPr>
              <w:t>%</w:t>
            </w:r>
          </w:p>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（评审委员会）</w:t>
            </w: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运输</w:t>
            </w:r>
            <w:r>
              <w:rPr>
                <w:rFonts w:hint="eastAsia" w:ascii="仿宋" w:hAnsi="仿宋" w:eastAsia="仿宋" w:cs="仿宋"/>
                <w:sz w:val="24"/>
                <w:szCs w:val="24"/>
                <w:lang w:eastAsia="zh-CN"/>
              </w:rPr>
              <w:t>保障</w:t>
            </w:r>
            <w:r>
              <w:rPr>
                <w:rFonts w:hint="eastAsia" w:ascii="仿宋" w:hAnsi="仿宋" w:eastAsia="仿宋" w:cs="仿宋"/>
                <w:sz w:val="24"/>
                <w:szCs w:val="24"/>
                <w:lang w:val="en-US" w:eastAsia="zh-CN"/>
              </w:rPr>
              <w:t>3</w:t>
            </w:r>
            <w:r>
              <w:rPr>
                <w:rFonts w:hint="eastAsia" w:ascii="仿宋" w:hAnsi="仿宋" w:eastAsia="仿宋" w:cs="仿宋"/>
                <w:sz w:val="24"/>
                <w:szCs w:val="24"/>
              </w:rPr>
              <w:t>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1.为本项目提供自有或租赁的配送车辆，在满足</w:t>
            </w:r>
            <w:r>
              <w:rPr>
                <w:rFonts w:hint="eastAsia" w:ascii="仿宋" w:hAnsi="仿宋" w:eastAsia="仿宋" w:cs="仿宋"/>
                <w:sz w:val="24"/>
                <w:szCs w:val="24"/>
                <w:lang w:val="en-US" w:eastAsia="zh-CN"/>
              </w:rPr>
              <w:t>1</w:t>
            </w:r>
            <w:r>
              <w:rPr>
                <w:rFonts w:hint="eastAsia" w:ascii="仿宋" w:hAnsi="仿宋" w:eastAsia="仿宋" w:cs="仿宋"/>
                <w:sz w:val="24"/>
                <w:szCs w:val="24"/>
              </w:rPr>
              <w:t>辆厢式密封配送车基础上，每增加一辆得1分，最多得</w:t>
            </w:r>
            <w:r>
              <w:rPr>
                <w:rFonts w:hint="eastAsia" w:ascii="仿宋" w:hAnsi="仿宋" w:eastAsia="仿宋" w:cs="仿宋"/>
                <w:sz w:val="24"/>
                <w:szCs w:val="24"/>
                <w:lang w:val="en-US" w:eastAsia="zh-CN"/>
              </w:rPr>
              <w:t>1</w:t>
            </w:r>
            <w:r>
              <w:rPr>
                <w:rFonts w:hint="eastAsia" w:ascii="仿宋" w:hAnsi="仿宋" w:eastAsia="仿宋" w:cs="仿宋"/>
                <w:sz w:val="24"/>
                <w:szCs w:val="24"/>
              </w:rPr>
              <w:t>分；</w:t>
            </w:r>
          </w:p>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2.为本项目提供自有或租赁的配送车辆，在满足</w:t>
            </w:r>
            <w:r>
              <w:rPr>
                <w:rFonts w:hint="eastAsia" w:ascii="仿宋" w:hAnsi="仿宋" w:eastAsia="仿宋" w:cs="仿宋"/>
                <w:sz w:val="24"/>
                <w:szCs w:val="24"/>
                <w:lang w:val="en-US" w:eastAsia="zh-CN"/>
              </w:rPr>
              <w:t>1</w:t>
            </w:r>
            <w:r>
              <w:rPr>
                <w:rFonts w:hint="eastAsia" w:ascii="仿宋" w:hAnsi="仿宋" w:eastAsia="仿宋" w:cs="仿宋"/>
                <w:sz w:val="24"/>
                <w:szCs w:val="24"/>
              </w:rPr>
              <w:t>辆冷链配送车基础上，每增加一辆得</w:t>
            </w:r>
            <w:r>
              <w:rPr>
                <w:rFonts w:hint="eastAsia" w:ascii="仿宋" w:hAnsi="仿宋" w:eastAsia="仿宋" w:cs="仿宋"/>
                <w:sz w:val="24"/>
                <w:szCs w:val="24"/>
                <w:lang w:val="en-US" w:eastAsia="zh-CN"/>
              </w:rPr>
              <w:t>1</w:t>
            </w:r>
            <w:r>
              <w:rPr>
                <w:rFonts w:hint="eastAsia" w:ascii="仿宋" w:hAnsi="仿宋" w:eastAsia="仿宋" w:cs="仿宋"/>
                <w:sz w:val="24"/>
                <w:szCs w:val="24"/>
              </w:rPr>
              <w:t>分，最多得</w:t>
            </w:r>
            <w:r>
              <w:rPr>
                <w:rFonts w:hint="eastAsia" w:ascii="仿宋" w:hAnsi="仿宋" w:eastAsia="仿宋" w:cs="仿宋"/>
                <w:sz w:val="24"/>
                <w:szCs w:val="24"/>
                <w:lang w:val="en-US" w:eastAsia="zh-CN"/>
              </w:rPr>
              <w:t>2</w:t>
            </w:r>
            <w:r>
              <w:rPr>
                <w:rFonts w:hint="eastAsia" w:ascii="仿宋" w:hAnsi="仿宋" w:eastAsia="仿宋" w:cs="仿宋"/>
                <w:sz w:val="24"/>
                <w:szCs w:val="24"/>
              </w:rPr>
              <w:t>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1.第1条须提供所有车辆照片（须能够清晰辨明该车辆车牌号码），加盖投标供应商公章；</w:t>
            </w:r>
          </w:p>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2.第2条须提供所有车辆照片（须能够体现具有温控设备并且须能够清晰辨明该车辆车牌号码），加盖投标供应商公章；</w:t>
            </w:r>
          </w:p>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3.</w:t>
            </w:r>
            <w:r>
              <w:rPr>
                <w:rFonts w:hint="eastAsia" w:ascii="仿宋" w:hAnsi="仿宋" w:eastAsia="仿宋" w:cs="仿宋"/>
                <w:sz w:val="24"/>
                <w:szCs w:val="24"/>
                <w:lang w:val="zh-CN"/>
              </w:rPr>
              <w:t>若配送车辆为自有的，须提供</w:t>
            </w:r>
            <w:r>
              <w:rPr>
                <w:rFonts w:hint="eastAsia" w:ascii="仿宋" w:hAnsi="仿宋" w:eastAsia="仿宋" w:cs="仿宋"/>
                <w:sz w:val="24"/>
                <w:szCs w:val="24"/>
              </w:rPr>
              <w:t>有效期内的行驶证复印件，加盖投标供应商公章；</w:t>
            </w:r>
            <w:r>
              <w:rPr>
                <w:rFonts w:hint="eastAsia" w:ascii="仿宋" w:hAnsi="仿宋" w:eastAsia="仿宋" w:cs="仿宋"/>
                <w:sz w:val="24"/>
                <w:szCs w:val="24"/>
                <w:lang w:val="zh-CN"/>
              </w:rPr>
              <w:t>若配送车辆为租赁的，须提供</w:t>
            </w:r>
            <w:r>
              <w:rPr>
                <w:rFonts w:hint="eastAsia" w:ascii="仿宋" w:hAnsi="仿宋" w:eastAsia="仿宋" w:cs="仿宋"/>
                <w:sz w:val="24"/>
                <w:szCs w:val="24"/>
              </w:rPr>
              <w:t>有效期内的行驶证复印件、</w:t>
            </w:r>
            <w:r>
              <w:rPr>
                <w:rFonts w:hint="eastAsia" w:ascii="仿宋" w:hAnsi="仿宋" w:eastAsia="仿宋" w:cs="仿宋"/>
                <w:sz w:val="24"/>
                <w:szCs w:val="24"/>
                <w:lang w:val="zh-CN"/>
              </w:rPr>
              <w:t>有效期内的租赁合同（租赁合同中须明确租赁车辆车牌号）及该合同执行过程中任意一次支付租赁费用的电子结算凭证或</w:t>
            </w:r>
            <w:r>
              <w:rPr>
                <w:rFonts w:hint="eastAsia" w:ascii="仿宋" w:hAnsi="仿宋" w:eastAsia="仿宋" w:cs="仿宋"/>
                <w:sz w:val="24"/>
                <w:szCs w:val="24"/>
                <w:lang w:val="en-US" w:eastAsia="zh-CN"/>
              </w:rPr>
              <w:t>内容完整清晰的</w:t>
            </w:r>
            <w:r>
              <w:rPr>
                <w:rFonts w:hint="eastAsia" w:ascii="仿宋" w:hAnsi="仿宋" w:eastAsia="仿宋" w:cs="仿宋"/>
                <w:sz w:val="24"/>
                <w:szCs w:val="24"/>
                <w:lang w:val="zh-CN"/>
              </w:rPr>
              <w:t>发票复印件，加盖投标供应商公章。</w:t>
            </w: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管理经验 2分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供应商为本项目配备的项目负责人具有食材配送、餐饮食材管理方面的管理经验在5年（不含）以上的得2分；3年（不含）-5年（含）的，得1分；1年（不含）-3年（含）的得0.5分；一年（含）以下不得分；不累计得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 xml:space="preserve">    提供项目负责人管理经验的相关证明材料</w:t>
            </w:r>
            <w:r>
              <w:rPr>
                <w:rFonts w:hint="eastAsia" w:ascii="仿宋" w:hAnsi="仿宋" w:eastAsia="仿宋" w:cs="仿宋"/>
                <w:sz w:val="24"/>
                <w:szCs w:val="24"/>
                <w:lang w:eastAsia="zh-CN"/>
              </w:rPr>
              <w:t>（本单位出具的除外）</w:t>
            </w:r>
            <w:r>
              <w:rPr>
                <w:rFonts w:hint="eastAsia" w:ascii="仿宋" w:hAnsi="仿宋" w:eastAsia="仿宋" w:cs="仿宋"/>
                <w:sz w:val="24"/>
                <w:szCs w:val="24"/>
              </w:rPr>
              <w:t>；提供本项目负责人是本公司人员的证明材料。复印件加盖投标供应商公章。</w:t>
            </w: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仓储基地3分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供应商为本项目提供6000平方米（不含）以上仓储基地得3分，3000（不含）-6000平方米（含）得2分，3000平方米（含）以下得1分，没有不得分。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numPr>
                <w:ilvl w:val="0"/>
                <w:numId w:val="47"/>
              </w:numPr>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提供仓储基地平面图、照片的复印件加盖投标供应商公章；</w:t>
            </w:r>
          </w:p>
          <w:p>
            <w:pPr>
              <w:keepNext w:val="0"/>
              <w:keepLines w:val="0"/>
              <w:pageBreakBefore w:val="0"/>
              <w:widowControl/>
              <w:numPr>
                <w:ilvl w:val="0"/>
                <w:numId w:val="47"/>
              </w:numPr>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lang w:val="zh-CN"/>
              </w:rPr>
              <w:t>若仓储基地为自主拥有的，提供产权证明复印件加盖投标供应商公章；若仓储基地为租赁的，提供有效期内的租赁合同及该合同执行过程中任意一次支付租赁费用的电子结算凭证或</w:t>
            </w:r>
            <w:r>
              <w:rPr>
                <w:rFonts w:hint="eastAsia" w:ascii="仿宋" w:hAnsi="仿宋" w:eastAsia="仿宋" w:cs="仿宋"/>
                <w:sz w:val="24"/>
                <w:szCs w:val="24"/>
                <w:lang w:val="en-US" w:eastAsia="zh-CN"/>
              </w:rPr>
              <w:t>内容完整清晰的</w:t>
            </w:r>
            <w:r>
              <w:rPr>
                <w:rFonts w:hint="eastAsia" w:ascii="仿宋" w:hAnsi="仿宋" w:eastAsia="仿宋" w:cs="仿宋"/>
                <w:sz w:val="24"/>
                <w:szCs w:val="24"/>
                <w:lang w:val="zh-CN"/>
              </w:rPr>
              <w:t>发票复印件，加盖投标供应商公章。</w:t>
            </w: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right="-86" w:rightChars="-41"/>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冷藏加工及冻库3分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供应商为本项目提供100平方米（含）以上冷藏加工及冻库得3分；50（含）-100（不含）平方米得2分；50平方米（不含）以下得1分。</w:t>
            </w:r>
          </w:p>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 xml:space="preserve">    无冷藏加工及冻库不得分。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1.提供冷藏加工及冻库平面图、照片复印件加盖投标供应商公章；</w:t>
            </w:r>
          </w:p>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2.若冷藏加工及冻库为自主拥有的，提供产权证明复印件加盖投标供应商公章；</w:t>
            </w:r>
          </w:p>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 xml:space="preserve">    3.若冷藏加工及冻库为租赁的，提供有效期内的租赁合同及该合同执行过程中任意一次支付租赁费用的电子结算凭证或</w:t>
            </w:r>
            <w:r>
              <w:rPr>
                <w:rFonts w:hint="eastAsia" w:ascii="仿宋" w:hAnsi="仿宋" w:eastAsia="仿宋" w:cs="仿宋"/>
                <w:sz w:val="24"/>
                <w:szCs w:val="24"/>
                <w:lang w:val="en-US" w:eastAsia="zh-CN"/>
              </w:rPr>
              <w:t>内容完整清晰的</w:t>
            </w:r>
            <w:r>
              <w:rPr>
                <w:rFonts w:hint="eastAsia" w:ascii="仿宋" w:hAnsi="仿宋" w:eastAsia="仿宋" w:cs="仿宋"/>
                <w:sz w:val="24"/>
                <w:szCs w:val="24"/>
              </w:rPr>
              <w:t>发票复印件，加盖投标供应商公章。</w:t>
            </w: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right="-86" w:rightChars="-41"/>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lang w:eastAsia="zh-CN"/>
              </w:rPr>
              <w:t>蔬菜</w:t>
            </w:r>
            <w:r>
              <w:rPr>
                <w:rFonts w:hint="eastAsia" w:ascii="仿宋" w:hAnsi="仿宋" w:eastAsia="仿宋" w:cs="仿宋"/>
                <w:sz w:val="24"/>
                <w:szCs w:val="24"/>
              </w:rPr>
              <w:t>种植基地3分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 xml:space="preserve">    针对本项目，投标供应商提供自有或有固定合作的蔬菜种植基地，蔬菜种植基地</w:t>
            </w:r>
            <w:r>
              <w:rPr>
                <w:rFonts w:hint="eastAsia" w:ascii="仿宋" w:hAnsi="仿宋" w:eastAsia="仿宋" w:cs="仿宋"/>
                <w:sz w:val="24"/>
                <w:szCs w:val="24"/>
                <w:lang w:eastAsia="zh-CN"/>
              </w:rPr>
              <w:t>面积在</w:t>
            </w:r>
            <w:r>
              <w:rPr>
                <w:rFonts w:hint="eastAsia" w:ascii="仿宋" w:hAnsi="仿宋" w:eastAsia="仿宋" w:cs="仿宋"/>
                <w:sz w:val="24"/>
                <w:szCs w:val="24"/>
                <w:lang w:val="en-US" w:eastAsia="zh-CN"/>
              </w:rPr>
              <w:t>2000亩</w:t>
            </w:r>
            <w:r>
              <w:rPr>
                <w:rFonts w:hint="eastAsia" w:ascii="仿宋" w:hAnsi="仿宋" w:eastAsia="仿宋" w:cs="仿宋"/>
                <w:sz w:val="24"/>
                <w:szCs w:val="24"/>
              </w:rPr>
              <w:t>（不含）以上得3分，</w:t>
            </w:r>
            <w:r>
              <w:rPr>
                <w:rFonts w:hint="eastAsia" w:ascii="仿宋" w:hAnsi="仿宋" w:eastAsia="仿宋" w:cs="仿宋"/>
                <w:sz w:val="24"/>
                <w:szCs w:val="24"/>
                <w:lang w:val="en-US" w:eastAsia="zh-CN"/>
              </w:rPr>
              <w:t>1000亩</w:t>
            </w:r>
            <w:r>
              <w:rPr>
                <w:rFonts w:hint="eastAsia" w:ascii="仿宋" w:hAnsi="仿宋" w:eastAsia="仿宋" w:cs="仿宋"/>
                <w:sz w:val="24"/>
                <w:szCs w:val="24"/>
              </w:rPr>
              <w:t>（不含）-</w:t>
            </w:r>
            <w:r>
              <w:rPr>
                <w:rFonts w:hint="eastAsia" w:ascii="仿宋" w:hAnsi="仿宋" w:eastAsia="仿宋" w:cs="仿宋"/>
                <w:sz w:val="24"/>
                <w:szCs w:val="24"/>
                <w:lang w:val="en-US" w:eastAsia="zh-CN"/>
              </w:rPr>
              <w:t>2000亩</w:t>
            </w:r>
            <w:r>
              <w:rPr>
                <w:rFonts w:hint="eastAsia" w:ascii="仿宋" w:hAnsi="仿宋" w:eastAsia="仿宋" w:cs="仿宋"/>
                <w:sz w:val="24"/>
                <w:szCs w:val="24"/>
              </w:rPr>
              <w:t>（含）得2分，</w:t>
            </w:r>
            <w:r>
              <w:rPr>
                <w:rFonts w:hint="eastAsia" w:ascii="仿宋" w:hAnsi="仿宋" w:eastAsia="仿宋" w:cs="仿宋"/>
                <w:sz w:val="24"/>
                <w:szCs w:val="24"/>
                <w:lang w:val="en-US" w:eastAsia="zh-CN"/>
              </w:rPr>
              <w:t>1000亩</w:t>
            </w:r>
            <w:r>
              <w:rPr>
                <w:rFonts w:hint="eastAsia" w:ascii="仿宋" w:hAnsi="仿宋" w:eastAsia="仿宋" w:cs="仿宋"/>
                <w:sz w:val="24"/>
                <w:szCs w:val="24"/>
              </w:rPr>
              <w:t>（含）以下得1分，没有不得分。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 xml:space="preserve">    提供基地的相关证明材料（如为固定合作须提供合作协议）复印件加盖投标供应商公章。</w:t>
            </w:r>
          </w:p>
        </w:tc>
      </w:tr>
      <w:tr>
        <w:tblPrEx>
          <w:tblCellMar>
            <w:top w:w="0" w:type="dxa"/>
            <w:left w:w="108" w:type="dxa"/>
            <w:bottom w:w="0" w:type="dxa"/>
            <w:right w:w="108" w:type="dxa"/>
          </w:tblCellMar>
        </w:tblPrEx>
        <w:trPr>
          <w:trHeight w:val="350" w:hRule="atLeast"/>
          <w:jc w:val="center"/>
        </w:trPr>
        <w:tc>
          <w:tcPr>
            <w:tcW w:w="612" w:type="dxa"/>
            <w:vMerge w:val="restart"/>
            <w:tcBorders>
              <w:top w:val="single" w:color="000000" w:sz="4" w:space="0"/>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sz w:val="24"/>
                <w:szCs w:val="24"/>
              </w:rPr>
              <w:t>4</w:t>
            </w:r>
          </w:p>
        </w:tc>
        <w:tc>
          <w:tcPr>
            <w:tcW w:w="1213" w:type="dxa"/>
            <w:vMerge w:val="restart"/>
            <w:tcBorders>
              <w:top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jc w:val="center"/>
              <w:textAlignment w:val="auto"/>
              <w:rPr>
                <w:rFonts w:hint="eastAsia" w:ascii="仿宋" w:hAnsi="仿宋" w:eastAsia="仿宋" w:cs="仿宋"/>
                <w:sz w:val="24"/>
                <w:szCs w:val="24"/>
              </w:rPr>
            </w:pPr>
            <w:r>
              <w:rPr>
                <w:rFonts w:hint="eastAsia" w:ascii="仿宋" w:hAnsi="仿宋" w:eastAsia="仿宋" w:cs="仿宋"/>
                <w:sz w:val="24"/>
                <w:szCs w:val="24"/>
                <w:lang w:eastAsia="zh-CN"/>
              </w:rPr>
              <w:t>服务能力</w:t>
            </w:r>
            <w:r>
              <w:rPr>
                <w:rFonts w:hint="eastAsia" w:ascii="仿宋" w:hAnsi="仿宋" w:eastAsia="仿宋" w:cs="仿宋"/>
                <w:sz w:val="24"/>
                <w:szCs w:val="24"/>
                <w:lang w:val="en-US" w:eastAsia="zh-CN"/>
              </w:rPr>
              <w:t>24</w:t>
            </w:r>
            <w:r>
              <w:rPr>
                <w:rFonts w:hint="eastAsia" w:ascii="仿宋" w:hAnsi="仿宋" w:eastAsia="仿宋" w:cs="仿宋"/>
                <w:sz w:val="24"/>
                <w:szCs w:val="24"/>
              </w:rPr>
              <w:t>%</w:t>
            </w:r>
          </w:p>
          <w:p>
            <w:pPr>
              <w:keepNext w:val="0"/>
              <w:keepLines w:val="0"/>
              <w:pageBreakBefore w:val="0"/>
              <w:widowControl/>
              <w:kinsoku/>
              <w:wordWrap/>
              <w:overflowPunct/>
              <w:topLinePunct w:val="0"/>
              <w:autoSpaceDE/>
              <w:autoSpaceDN/>
              <w:bidi w:val="0"/>
              <w:adjustRightInd/>
              <w:snapToGrid/>
              <w:spacing w:line="300" w:lineRule="exact"/>
              <w:ind w:left="-84" w:leftChars="-40" w:right="-86" w:rightChars="-41"/>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（评审委员会）</w:t>
            </w: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right="-86" w:rightChars="-41"/>
              <w:jc w:val="center"/>
              <w:textAlignment w:val="auto"/>
              <w:rPr>
                <w:rFonts w:hint="eastAsia" w:ascii="仿宋" w:hAnsi="仿宋" w:eastAsia="仿宋" w:cs="仿宋"/>
                <w:sz w:val="24"/>
                <w:szCs w:val="24"/>
              </w:rPr>
            </w:pPr>
            <w:r>
              <w:rPr>
                <w:rFonts w:hint="eastAsia" w:ascii="仿宋" w:hAnsi="仿宋" w:eastAsia="仿宋" w:cs="仿宋"/>
                <w:sz w:val="24"/>
                <w:szCs w:val="24"/>
              </w:rPr>
              <w:t>标准化体系认证</w:t>
            </w:r>
          </w:p>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lang w:val="en-US" w:eastAsia="zh-CN"/>
              </w:rPr>
              <w:t>8</w:t>
            </w:r>
            <w:r>
              <w:rPr>
                <w:rFonts w:hint="eastAsia" w:ascii="仿宋" w:hAnsi="仿宋" w:eastAsia="仿宋" w:cs="仿宋"/>
                <w:sz w:val="24"/>
                <w:szCs w:val="24"/>
              </w:rPr>
              <w:t>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sz w:val="24"/>
                <w:szCs w:val="24"/>
              </w:rPr>
            </w:pPr>
            <w:r>
              <w:rPr>
                <w:rFonts w:hint="eastAsia" w:ascii="仿宋" w:hAnsi="仿宋" w:eastAsia="仿宋" w:cs="仿宋"/>
                <w:sz w:val="24"/>
                <w:szCs w:val="24"/>
                <w:lang w:val="en-US" w:eastAsia="zh-CN"/>
              </w:rPr>
              <w:t xml:space="preserve">    1.</w:t>
            </w:r>
            <w:r>
              <w:rPr>
                <w:rFonts w:hint="eastAsia" w:ascii="仿宋" w:hAnsi="仿宋" w:eastAsia="仿宋" w:cs="仿宋"/>
                <w:sz w:val="24"/>
                <w:szCs w:val="24"/>
              </w:rPr>
              <w:t>投标供应商具有质量管理体系认证的得2分（在有效期内，认证范围为食品类）；</w:t>
            </w:r>
          </w:p>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sz w:val="24"/>
                <w:szCs w:val="24"/>
              </w:rPr>
            </w:pPr>
            <w:r>
              <w:rPr>
                <w:rFonts w:hint="eastAsia" w:ascii="仿宋" w:hAnsi="仿宋" w:eastAsia="仿宋" w:cs="仿宋"/>
                <w:sz w:val="24"/>
                <w:szCs w:val="24"/>
                <w:lang w:val="en-US" w:eastAsia="zh-CN"/>
              </w:rPr>
              <w:t xml:space="preserve">    2.</w:t>
            </w:r>
            <w:r>
              <w:rPr>
                <w:rFonts w:hint="eastAsia" w:ascii="仿宋" w:hAnsi="仿宋" w:eastAsia="仿宋" w:cs="仿宋"/>
                <w:sz w:val="24"/>
                <w:szCs w:val="24"/>
              </w:rPr>
              <w:t>投标供应商具有职业健康安全管理体系认证的得2分（在有效期内，认证范围为食品类）；</w:t>
            </w:r>
          </w:p>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sz w:val="24"/>
                <w:szCs w:val="24"/>
              </w:rPr>
            </w:pPr>
            <w:r>
              <w:rPr>
                <w:rFonts w:hint="eastAsia" w:ascii="仿宋" w:hAnsi="仿宋" w:eastAsia="仿宋" w:cs="仿宋"/>
                <w:sz w:val="24"/>
                <w:szCs w:val="24"/>
                <w:lang w:val="en-US" w:eastAsia="zh-CN"/>
              </w:rPr>
              <w:t xml:space="preserve">    3.</w:t>
            </w:r>
            <w:r>
              <w:rPr>
                <w:rFonts w:hint="eastAsia" w:ascii="仿宋" w:hAnsi="仿宋" w:eastAsia="仿宋" w:cs="仿宋"/>
                <w:sz w:val="24"/>
                <w:szCs w:val="24"/>
              </w:rPr>
              <w:t>投标供应商具有环境管理体系认证的得2分（在有效期内，认证范围为食品类）；</w:t>
            </w:r>
          </w:p>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lang w:val="en-US" w:eastAsia="zh-CN"/>
              </w:rPr>
              <w:t xml:space="preserve">    4.</w:t>
            </w:r>
            <w:r>
              <w:rPr>
                <w:rFonts w:hint="eastAsia" w:ascii="仿宋" w:hAnsi="仿宋" w:eastAsia="仿宋" w:cs="仿宋"/>
                <w:sz w:val="24"/>
                <w:szCs w:val="24"/>
              </w:rPr>
              <w:t>投标供应商具有食品安全管理体系认证的得2分（在有效期内，认证范围为食品类）。</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提供国家确定的认证机构出具的在有效期内的证书复印件，加盖投标人公章。</w:t>
            </w: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right="-86" w:rightChars="-41"/>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业绩</w:t>
            </w:r>
            <w:r>
              <w:rPr>
                <w:rFonts w:hint="eastAsia" w:ascii="仿宋" w:hAnsi="仿宋" w:eastAsia="仿宋" w:cs="仿宋"/>
                <w:sz w:val="24"/>
                <w:szCs w:val="24"/>
                <w:lang w:val="en-US" w:eastAsia="zh-CN"/>
              </w:rPr>
              <w:t>15</w:t>
            </w:r>
            <w:r>
              <w:rPr>
                <w:rFonts w:hint="eastAsia" w:ascii="仿宋" w:hAnsi="仿宋" w:eastAsia="仿宋" w:cs="仿宋"/>
                <w:sz w:val="24"/>
                <w:szCs w:val="24"/>
              </w:rPr>
              <w:t>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供应商提供 20</w:t>
            </w:r>
            <w:r>
              <w:rPr>
                <w:rFonts w:hint="eastAsia" w:ascii="仿宋" w:hAnsi="仿宋" w:eastAsia="仿宋" w:cs="仿宋"/>
                <w:sz w:val="24"/>
                <w:szCs w:val="24"/>
                <w:lang w:val="en-US" w:eastAsia="zh-CN"/>
              </w:rPr>
              <w:t>20</w:t>
            </w:r>
            <w:r>
              <w:rPr>
                <w:rFonts w:hint="eastAsia" w:ascii="仿宋" w:hAnsi="仿宋" w:eastAsia="仿宋" w:cs="仿宋"/>
                <w:sz w:val="24"/>
                <w:szCs w:val="24"/>
              </w:rPr>
              <w:t>年 1 月 1 日以来的</w:t>
            </w:r>
            <w:r>
              <w:rPr>
                <w:rFonts w:hint="eastAsia" w:ascii="仿宋" w:hAnsi="仿宋" w:eastAsia="仿宋" w:cs="仿宋"/>
                <w:sz w:val="24"/>
                <w:szCs w:val="24"/>
                <w:lang w:val="en-US" w:eastAsia="zh-CN"/>
              </w:rPr>
              <w:t>配送诚信服务评价为满意或非常满意的</w:t>
            </w:r>
            <w:r>
              <w:rPr>
                <w:rFonts w:hint="eastAsia" w:ascii="仿宋" w:hAnsi="仿宋" w:eastAsia="仿宋" w:cs="仿宋"/>
                <w:sz w:val="24"/>
                <w:szCs w:val="24"/>
              </w:rPr>
              <w:t xml:space="preserve">食材配送项目业绩，每提供一个得 </w:t>
            </w:r>
            <w:r>
              <w:rPr>
                <w:rFonts w:hint="eastAsia" w:ascii="仿宋" w:hAnsi="仿宋" w:eastAsia="仿宋" w:cs="仿宋"/>
                <w:sz w:val="24"/>
                <w:szCs w:val="24"/>
                <w:lang w:val="en-US" w:eastAsia="zh-CN"/>
              </w:rPr>
              <w:t>1</w:t>
            </w:r>
            <w:r>
              <w:rPr>
                <w:rFonts w:hint="eastAsia" w:ascii="仿宋" w:hAnsi="仿宋" w:eastAsia="仿宋" w:cs="仿宋"/>
                <w:sz w:val="24"/>
                <w:szCs w:val="24"/>
              </w:rPr>
              <w:t>分，最多得</w:t>
            </w:r>
            <w:r>
              <w:rPr>
                <w:rFonts w:hint="eastAsia" w:ascii="仿宋" w:hAnsi="仿宋" w:eastAsia="仿宋" w:cs="仿宋"/>
                <w:sz w:val="24"/>
                <w:szCs w:val="24"/>
                <w:lang w:val="en-US" w:eastAsia="zh-CN"/>
              </w:rPr>
              <w:t>15</w:t>
            </w:r>
            <w:r>
              <w:rPr>
                <w:rFonts w:hint="eastAsia" w:ascii="仿宋" w:hAnsi="仿宋" w:eastAsia="仿宋" w:cs="仿宋"/>
                <w:sz w:val="24"/>
                <w:szCs w:val="24"/>
              </w:rPr>
              <w:t>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lang w:val="en-US" w:eastAsia="zh-CN"/>
              </w:rPr>
              <w:t>每个业绩均须同时</w:t>
            </w:r>
            <w:r>
              <w:rPr>
                <w:rFonts w:hint="eastAsia" w:ascii="仿宋" w:hAnsi="仿宋" w:eastAsia="仿宋" w:cs="仿宋"/>
                <w:sz w:val="24"/>
                <w:szCs w:val="24"/>
              </w:rPr>
              <w:t>提供</w:t>
            </w:r>
            <w:r>
              <w:rPr>
                <w:rFonts w:hint="eastAsia" w:ascii="仿宋" w:hAnsi="仿宋" w:eastAsia="仿宋" w:cs="仿宋"/>
                <w:sz w:val="24"/>
                <w:szCs w:val="24"/>
                <w:lang w:eastAsia="zh-CN"/>
              </w:rPr>
              <w:t>项目</w:t>
            </w:r>
            <w:r>
              <w:rPr>
                <w:rFonts w:hint="eastAsia" w:ascii="仿宋" w:hAnsi="仿宋" w:eastAsia="仿宋" w:cs="仿宋"/>
                <w:sz w:val="24"/>
                <w:szCs w:val="24"/>
              </w:rPr>
              <w:t>合同复印件</w:t>
            </w:r>
            <w:r>
              <w:rPr>
                <w:rFonts w:hint="eastAsia" w:ascii="仿宋" w:hAnsi="仿宋" w:eastAsia="仿宋" w:cs="仿宋"/>
                <w:sz w:val="24"/>
                <w:szCs w:val="24"/>
                <w:lang w:eastAsia="zh-CN"/>
              </w:rPr>
              <w:t>、</w:t>
            </w:r>
            <w:r>
              <w:rPr>
                <w:rFonts w:hint="eastAsia" w:ascii="仿宋" w:hAnsi="仿宋" w:eastAsia="仿宋" w:cs="仿宋"/>
                <w:sz w:val="24"/>
                <w:szCs w:val="24"/>
              </w:rPr>
              <w:t>项目加盖客户公章的诚信满意度评价证明材料</w:t>
            </w:r>
            <w:r>
              <w:rPr>
                <w:rFonts w:hint="eastAsia" w:ascii="仿宋" w:hAnsi="仿宋" w:eastAsia="仿宋" w:cs="仿宋"/>
                <w:sz w:val="24"/>
                <w:szCs w:val="24"/>
                <w:lang w:eastAsia="zh-CN"/>
              </w:rPr>
              <w:t>、</w:t>
            </w:r>
            <w:r>
              <w:rPr>
                <w:rFonts w:hint="eastAsia" w:ascii="仿宋" w:hAnsi="仿宋" w:eastAsia="仿宋" w:cs="仿宋"/>
                <w:sz w:val="24"/>
                <w:szCs w:val="24"/>
              </w:rPr>
              <w:t>项目履行期间的任意一次结算</w:t>
            </w:r>
            <w:r>
              <w:rPr>
                <w:rFonts w:hint="eastAsia" w:ascii="仿宋" w:hAnsi="仿宋" w:eastAsia="仿宋" w:cs="仿宋"/>
                <w:sz w:val="24"/>
                <w:szCs w:val="24"/>
                <w:lang w:val="zh-CN"/>
              </w:rPr>
              <w:t>费用的银行回单</w:t>
            </w:r>
            <w:r>
              <w:rPr>
                <w:rFonts w:hint="eastAsia" w:ascii="仿宋" w:hAnsi="仿宋" w:eastAsia="仿宋" w:cs="仿宋"/>
                <w:sz w:val="24"/>
                <w:szCs w:val="24"/>
                <w:lang w:val="zh-CN" w:eastAsia="zh-CN"/>
              </w:rPr>
              <w:t>复印件，均须加盖投标</w:t>
            </w:r>
            <w:r>
              <w:rPr>
                <w:rFonts w:hint="eastAsia" w:ascii="仿宋" w:hAnsi="仿宋" w:eastAsia="仿宋" w:cs="仿宋"/>
                <w:sz w:val="24"/>
                <w:szCs w:val="24"/>
                <w:lang w:val="zh-CN"/>
              </w:rPr>
              <w:t>供应商公章。</w:t>
            </w:r>
            <w:r>
              <w:rPr>
                <w:rFonts w:hint="eastAsia" w:ascii="仿宋" w:hAnsi="仿宋" w:eastAsia="仿宋" w:cs="仿宋"/>
                <w:sz w:val="24"/>
                <w:szCs w:val="24"/>
              </w:rPr>
              <w:t>未</w:t>
            </w:r>
            <w:r>
              <w:rPr>
                <w:rFonts w:hint="eastAsia" w:ascii="仿宋" w:hAnsi="仿宋" w:eastAsia="仿宋" w:cs="仿宋"/>
                <w:sz w:val="24"/>
                <w:szCs w:val="24"/>
                <w:lang w:eastAsia="zh-CN"/>
              </w:rPr>
              <w:t>同时</w:t>
            </w:r>
            <w:r>
              <w:rPr>
                <w:rFonts w:hint="eastAsia" w:ascii="仿宋" w:hAnsi="仿宋" w:eastAsia="仿宋" w:cs="仿宋"/>
                <w:sz w:val="24"/>
                <w:szCs w:val="24"/>
              </w:rPr>
              <w:t>提供</w:t>
            </w:r>
            <w:r>
              <w:rPr>
                <w:rFonts w:hint="eastAsia" w:ascii="仿宋" w:hAnsi="仿宋" w:eastAsia="仿宋" w:cs="仿宋"/>
                <w:sz w:val="24"/>
                <w:szCs w:val="24"/>
                <w:lang w:eastAsia="zh-CN"/>
              </w:rPr>
              <w:t>上述材料的</w:t>
            </w:r>
            <w:r>
              <w:rPr>
                <w:rFonts w:hint="eastAsia" w:ascii="仿宋" w:hAnsi="仿宋" w:eastAsia="仿宋" w:cs="仿宋"/>
                <w:sz w:val="24"/>
                <w:szCs w:val="24"/>
              </w:rPr>
              <w:t>不得分。</w:t>
            </w:r>
          </w:p>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p>
        </w:tc>
      </w:tr>
      <w:tr>
        <w:tblPrEx>
          <w:tblCellMar>
            <w:top w:w="0" w:type="dxa"/>
            <w:left w:w="108" w:type="dxa"/>
            <w:bottom w:w="0" w:type="dxa"/>
            <w:right w:w="108" w:type="dxa"/>
          </w:tblCellMar>
        </w:tblPrEx>
        <w:trPr>
          <w:trHeight w:val="350" w:hRule="atLeast"/>
          <w:jc w:val="center"/>
        </w:trPr>
        <w:tc>
          <w:tcPr>
            <w:tcW w:w="612" w:type="dxa"/>
            <w:vMerge w:val="continue"/>
            <w:tcBorders>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1213" w:type="dxa"/>
            <w:vMerge w:val="continue"/>
            <w:tcBorders>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color w:val="auto"/>
                <w:sz w:val="24"/>
                <w:szCs w:val="24"/>
                <w:highlight w:val="none"/>
              </w:rPr>
            </w:pP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lang w:val="en-US" w:eastAsia="zh-CN"/>
              </w:rPr>
              <w:t>农药残留快速测试仪</w:t>
            </w:r>
            <w:r>
              <w:rPr>
                <w:rFonts w:hint="eastAsia" w:ascii="仿宋" w:hAnsi="仿宋" w:eastAsia="仿宋" w:cs="仿宋"/>
                <w:color w:val="auto"/>
                <w:sz w:val="24"/>
                <w:szCs w:val="24"/>
              </w:rPr>
              <w:t>1分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rPr>
              <w:t>投标供应商承诺中标后为本项目配备</w:t>
            </w:r>
            <w:r>
              <w:rPr>
                <w:rFonts w:hint="eastAsia" w:ascii="仿宋" w:hAnsi="仿宋" w:eastAsia="仿宋" w:cs="仿宋"/>
                <w:color w:val="auto"/>
                <w:sz w:val="24"/>
                <w:szCs w:val="24"/>
                <w:lang w:val="en-US" w:eastAsia="zh-CN"/>
              </w:rPr>
              <w:t>农药残留快速测试仪</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对每批次食材进行检测并提供检测报告</w:t>
            </w:r>
            <w:r>
              <w:rPr>
                <w:rFonts w:hint="eastAsia" w:ascii="仿宋" w:hAnsi="仿宋" w:eastAsia="仿宋" w:cs="仿宋"/>
                <w:color w:val="auto"/>
                <w:sz w:val="24"/>
                <w:szCs w:val="24"/>
                <w:lang w:eastAsia="zh-CN"/>
              </w:rPr>
              <w:t>的</w:t>
            </w:r>
            <w:r>
              <w:rPr>
                <w:rFonts w:hint="eastAsia" w:ascii="仿宋" w:hAnsi="仿宋" w:eastAsia="仿宋" w:cs="仿宋"/>
                <w:color w:val="auto"/>
                <w:sz w:val="24"/>
                <w:szCs w:val="24"/>
              </w:rPr>
              <w:t>得1分</w:t>
            </w:r>
            <w:r>
              <w:rPr>
                <w:rFonts w:hint="eastAsia" w:ascii="仿宋" w:hAnsi="仿宋" w:eastAsia="仿宋" w:cs="仿宋"/>
                <w:color w:val="auto"/>
                <w:sz w:val="24"/>
                <w:szCs w:val="24"/>
                <w:lang w:eastAsia="zh-CN"/>
              </w:rPr>
              <w:t>。</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rPr>
              <w:t xml:space="preserve">    投标文件中提供承诺函（加盖公章）</w:t>
            </w:r>
          </w:p>
        </w:tc>
      </w:tr>
      <w:tr>
        <w:tblPrEx>
          <w:tblCellMar>
            <w:top w:w="0" w:type="dxa"/>
            <w:left w:w="108" w:type="dxa"/>
            <w:bottom w:w="0" w:type="dxa"/>
            <w:right w:w="108" w:type="dxa"/>
          </w:tblCellMar>
        </w:tblPrEx>
        <w:trPr>
          <w:trHeight w:val="350" w:hRule="atLeast"/>
          <w:jc w:val="center"/>
        </w:trPr>
        <w:tc>
          <w:tcPr>
            <w:tcW w:w="61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5</w:t>
            </w:r>
          </w:p>
        </w:tc>
        <w:tc>
          <w:tcPr>
            <w:tcW w:w="1213"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jc w:val="center"/>
              <w:textAlignment w:val="auto"/>
              <w:rPr>
                <w:rFonts w:hint="eastAsia" w:ascii="仿宋" w:hAnsi="仿宋" w:eastAsia="仿宋" w:cs="仿宋"/>
                <w:sz w:val="24"/>
                <w:szCs w:val="24"/>
              </w:rPr>
            </w:pPr>
            <w:r>
              <w:rPr>
                <w:rFonts w:hint="eastAsia" w:ascii="仿宋" w:hAnsi="仿宋" w:eastAsia="仿宋" w:cs="仿宋"/>
                <w:sz w:val="24"/>
                <w:szCs w:val="24"/>
              </w:rPr>
              <w:t>技术部分6%</w:t>
            </w:r>
          </w:p>
          <w:p>
            <w:pPr>
              <w:keepNext w:val="0"/>
              <w:keepLines w:val="0"/>
              <w:pageBreakBefore w:val="0"/>
              <w:widowControl/>
              <w:kinsoku/>
              <w:wordWrap/>
              <w:overflowPunct/>
              <w:topLinePunct w:val="0"/>
              <w:autoSpaceDE/>
              <w:autoSpaceDN/>
              <w:bidi w:val="0"/>
              <w:adjustRightInd/>
              <w:snapToGrid/>
              <w:spacing w:line="300" w:lineRule="exact"/>
              <w:ind w:left="-84" w:leftChars="-40"/>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（评审委员会）</w:t>
            </w: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6分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 xml:space="preserve">    投标供应商提供针对本项目拟配送的</w:t>
            </w:r>
            <w:r>
              <w:rPr>
                <w:rFonts w:hint="eastAsia" w:ascii="仿宋" w:hAnsi="仿宋" w:eastAsia="仿宋" w:cs="仿宋"/>
                <w:sz w:val="24"/>
                <w:szCs w:val="24"/>
                <w:lang w:val="en-US" w:eastAsia="zh-CN"/>
              </w:rPr>
              <w:t>大</w:t>
            </w:r>
            <w:r>
              <w:rPr>
                <w:rFonts w:hint="eastAsia" w:ascii="仿宋" w:hAnsi="仿宋" w:eastAsia="仿宋" w:cs="仿宋"/>
                <w:sz w:val="24"/>
                <w:szCs w:val="24"/>
              </w:rPr>
              <w:t>米、</w:t>
            </w:r>
            <w:r>
              <w:rPr>
                <w:rFonts w:hint="eastAsia" w:ascii="仿宋" w:hAnsi="仿宋" w:eastAsia="仿宋" w:cs="仿宋"/>
                <w:sz w:val="24"/>
                <w:szCs w:val="24"/>
                <w:lang w:val="en-US" w:eastAsia="zh-CN"/>
              </w:rPr>
              <w:t>小麦粉</w:t>
            </w:r>
            <w:r>
              <w:rPr>
                <w:rFonts w:hint="eastAsia" w:ascii="仿宋" w:hAnsi="仿宋" w:eastAsia="仿宋" w:cs="仿宋"/>
                <w:sz w:val="24"/>
                <w:szCs w:val="24"/>
              </w:rPr>
              <w:t>、</w:t>
            </w:r>
            <w:r>
              <w:rPr>
                <w:rFonts w:hint="eastAsia" w:ascii="仿宋" w:hAnsi="仿宋" w:eastAsia="仿宋" w:cs="仿宋"/>
                <w:sz w:val="24"/>
                <w:szCs w:val="24"/>
                <w:lang w:val="en-US" w:eastAsia="zh-CN"/>
              </w:rPr>
              <w:t>菜籽</w:t>
            </w:r>
            <w:r>
              <w:rPr>
                <w:rFonts w:hint="eastAsia" w:ascii="仿宋" w:hAnsi="仿宋" w:eastAsia="仿宋" w:cs="仿宋"/>
                <w:sz w:val="24"/>
                <w:szCs w:val="24"/>
              </w:rPr>
              <w:t>油、</w:t>
            </w:r>
            <w:r>
              <w:rPr>
                <w:rFonts w:hint="eastAsia" w:ascii="仿宋" w:hAnsi="仿宋" w:eastAsia="仿宋" w:cs="仿宋"/>
                <w:sz w:val="24"/>
                <w:szCs w:val="24"/>
                <w:lang w:val="en-US" w:eastAsia="zh-CN"/>
              </w:rPr>
              <w:t>猪</w:t>
            </w:r>
            <w:r>
              <w:rPr>
                <w:rFonts w:hint="eastAsia" w:ascii="仿宋" w:hAnsi="仿宋" w:eastAsia="仿宋" w:cs="仿宋"/>
                <w:sz w:val="24"/>
                <w:szCs w:val="24"/>
              </w:rPr>
              <w:t>肉、</w:t>
            </w:r>
            <w:r>
              <w:rPr>
                <w:rFonts w:hint="eastAsia" w:ascii="仿宋" w:hAnsi="仿宋" w:eastAsia="仿宋" w:cs="仿宋"/>
                <w:sz w:val="24"/>
                <w:szCs w:val="24"/>
                <w:lang w:val="en-US" w:eastAsia="zh-CN"/>
              </w:rPr>
              <w:t>鸡</w:t>
            </w:r>
            <w:r>
              <w:rPr>
                <w:rFonts w:hint="eastAsia" w:ascii="仿宋" w:hAnsi="仿宋" w:eastAsia="仿宋" w:cs="仿宋"/>
                <w:sz w:val="24"/>
                <w:szCs w:val="24"/>
              </w:rPr>
              <w:t>蛋、水产类食材符合采购需求并具有</w:t>
            </w:r>
            <w:r>
              <w:rPr>
                <w:rFonts w:hint="eastAsia" w:ascii="仿宋" w:hAnsi="仿宋" w:eastAsia="仿宋" w:cs="仿宋"/>
                <w:sz w:val="24"/>
                <w:szCs w:val="24"/>
                <w:lang w:eastAsia="zh-CN"/>
              </w:rPr>
              <w:t>拥有食品检测</w:t>
            </w:r>
            <w:r>
              <w:rPr>
                <w:rFonts w:hint="eastAsia" w:ascii="仿宋" w:hAnsi="仿宋" w:eastAsia="仿宋" w:cs="仿宋"/>
                <w:sz w:val="24"/>
                <w:szCs w:val="24"/>
              </w:rPr>
              <w:t>资质的</w:t>
            </w:r>
            <w:r>
              <w:rPr>
                <w:rFonts w:hint="eastAsia" w:ascii="仿宋" w:hAnsi="仿宋" w:eastAsia="仿宋" w:cs="仿宋"/>
                <w:sz w:val="24"/>
                <w:szCs w:val="24"/>
                <w:lang w:val="en-US" w:eastAsia="zh-CN"/>
              </w:rPr>
              <w:t>法定检测机构出具的</w:t>
            </w:r>
            <w:r>
              <w:rPr>
                <w:rFonts w:hint="eastAsia" w:ascii="仿宋" w:hAnsi="仿宋" w:eastAsia="仿宋" w:cs="仿宋"/>
                <w:sz w:val="24"/>
                <w:szCs w:val="24"/>
              </w:rPr>
              <w:t>检测报告，每有一个种类的检测报告且检测报告结果为“合格”的得1分，最多得6分。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p>
        </w:tc>
      </w:tr>
      <w:tr>
        <w:tblPrEx>
          <w:tblCellMar>
            <w:top w:w="0" w:type="dxa"/>
            <w:left w:w="108" w:type="dxa"/>
            <w:bottom w:w="0" w:type="dxa"/>
            <w:right w:w="108" w:type="dxa"/>
          </w:tblCellMar>
        </w:tblPrEx>
        <w:trPr>
          <w:trHeight w:val="350" w:hRule="atLeast"/>
          <w:jc w:val="center"/>
        </w:trPr>
        <w:tc>
          <w:tcPr>
            <w:tcW w:w="61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6</w:t>
            </w:r>
          </w:p>
        </w:tc>
        <w:tc>
          <w:tcPr>
            <w:tcW w:w="1213"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jc w:val="center"/>
              <w:textAlignment w:val="auto"/>
              <w:rPr>
                <w:rFonts w:hint="eastAsia" w:ascii="仿宋" w:hAnsi="仿宋" w:eastAsia="仿宋" w:cs="仿宋"/>
                <w:sz w:val="24"/>
                <w:szCs w:val="24"/>
              </w:rPr>
            </w:pPr>
            <w:r>
              <w:rPr>
                <w:rFonts w:hint="eastAsia" w:ascii="仿宋" w:hAnsi="仿宋" w:eastAsia="仿宋" w:cs="仿宋"/>
                <w:sz w:val="24"/>
                <w:szCs w:val="24"/>
              </w:rPr>
              <w:t>食品安全责任险2%</w:t>
            </w:r>
          </w:p>
          <w:p>
            <w:pPr>
              <w:keepNext w:val="0"/>
              <w:keepLines w:val="0"/>
              <w:pageBreakBefore w:val="0"/>
              <w:widowControl/>
              <w:kinsoku/>
              <w:wordWrap/>
              <w:overflowPunct/>
              <w:topLinePunct w:val="0"/>
              <w:autoSpaceDE/>
              <w:autoSpaceDN/>
              <w:bidi w:val="0"/>
              <w:adjustRightInd/>
              <w:snapToGrid/>
              <w:spacing w:line="300" w:lineRule="exact"/>
              <w:ind w:left="-84" w:leftChars="-40"/>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（评审委员会）</w:t>
            </w:r>
          </w:p>
        </w:tc>
        <w:tc>
          <w:tcPr>
            <w:tcW w:w="625"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jc w:val="center"/>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2分</w:t>
            </w:r>
          </w:p>
        </w:tc>
        <w:tc>
          <w:tcPr>
            <w:tcW w:w="3682" w:type="dxa"/>
            <w:tcBorders>
              <w:top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keepNext w:val="0"/>
              <w:keepLines w:val="0"/>
              <w:pageBreakBefore w:val="0"/>
              <w:widowControl/>
              <w:kinsoku/>
              <w:wordWrap/>
              <w:overflowPunct/>
              <w:topLinePunct w:val="0"/>
              <w:autoSpaceDE/>
              <w:autoSpaceDN/>
              <w:bidi w:val="0"/>
              <w:adjustRightInd/>
              <w:snapToGrid/>
              <w:spacing w:line="300" w:lineRule="exact"/>
              <w:ind w:left="-84" w:leftChars="-40" w:firstLine="364" w:firstLineChars="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 xml:space="preserve"> 投标供应商承诺中标后为本项目提供食品安全责任险，购买食品安全责任险保障金额小于1亿元（含）的得0.5分，保障金额1亿元（</w:t>
            </w:r>
            <w:r>
              <w:rPr>
                <w:rFonts w:hint="eastAsia" w:ascii="仿宋" w:hAnsi="仿宋" w:eastAsia="仿宋" w:cs="仿宋"/>
                <w:sz w:val="24"/>
                <w:szCs w:val="24"/>
                <w:lang w:val="en-US" w:eastAsia="zh-CN"/>
              </w:rPr>
              <w:t>不</w:t>
            </w:r>
            <w:r>
              <w:rPr>
                <w:rFonts w:hint="eastAsia" w:ascii="仿宋" w:hAnsi="仿宋" w:eastAsia="仿宋" w:cs="仿宋"/>
                <w:sz w:val="24"/>
                <w:szCs w:val="24"/>
              </w:rPr>
              <w:t>含）至</w:t>
            </w:r>
            <w:r>
              <w:rPr>
                <w:rFonts w:hint="eastAsia" w:ascii="仿宋" w:hAnsi="仿宋" w:eastAsia="仿宋" w:cs="仿宋"/>
                <w:sz w:val="24"/>
                <w:szCs w:val="24"/>
                <w:lang w:val="en-US" w:eastAsia="zh-CN"/>
              </w:rPr>
              <w:t>1.5</w:t>
            </w:r>
            <w:r>
              <w:rPr>
                <w:rFonts w:hint="eastAsia" w:ascii="仿宋" w:hAnsi="仿宋" w:eastAsia="仿宋" w:cs="仿宋"/>
                <w:sz w:val="24"/>
                <w:szCs w:val="24"/>
              </w:rPr>
              <w:t>亿元（不含）的得1分，保障金额大于</w:t>
            </w:r>
            <w:r>
              <w:rPr>
                <w:rFonts w:hint="eastAsia" w:ascii="仿宋" w:hAnsi="仿宋" w:eastAsia="仿宋" w:cs="仿宋"/>
                <w:sz w:val="24"/>
                <w:szCs w:val="24"/>
                <w:lang w:val="en-US" w:eastAsia="zh-CN"/>
              </w:rPr>
              <w:t>1.5</w:t>
            </w:r>
            <w:r>
              <w:rPr>
                <w:rFonts w:hint="eastAsia" w:ascii="仿宋" w:hAnsi="仿宋" w:eastAsia="仿宋" w:cs="仿宋"/>
                <w:sz w:val="24"/>
                <w:szCs w:val="24"/>
              </w:rPr>
              <w:t>亿元（含）的得2分。</w:t>
            </w:r>
          </w:p>
        </w:tc>
        <w:tc>
          <w:tcPr>
            <w:tcW w:w="2653" w:type="dxa"/>
            <w:tcBorders>
              <w:top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spacing w:line="300" w:lineRule="exact"/>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rPr>
              <w:t>提供保单或中标后购买的承诺函。</w:t>
            </w:r>
          </w:p>
        </w:tc>
      </w:tr>
    </w:tbl>
    <w:p>
      <w:pPr>
        <w:ind w:firstLine="600" w:firstLineChars="250"/>
        <w:rPr>
          <w:rFonts w:hint="eastAsia" w:ascii="宋体" w:hAnsi="宋体"/>
          <w:sz w:val="24"/>
          <w:szCs w:val="21"/>
        </w:rPr>
      </w:pPr>
    </w:p>
    <w:p>
      <w:pPr>
        <w:ind w:firstLine="600" w:firstLineChars="250"/>
        <w:rPr>
          <w:rFonts w:hint="eastAsia" w:ascii="宋体" w:hAnsi="宋体"/>
          <w:sz w:val="24"/>
          <w:szCs w:val="21"/>
        </w:rPr>
      </w:pPr>
    </w:p>
    <w:p>
      <w:pPr>
        <w:ind w:firstLine="600" w:firstLineChars="250"/>
        <w:rPr>
          <w:rFonts w:ascii="宋体" w:hAnsi="宋体"/>
          <w:sz w:val="24"/>
          <w:szCs w:val="21"/>
        </w:rPr>
      </w:pPr>
      <w:r>
        <w:rPr>
          <w:rFonts w:hint="eastAsia" w:ascii="宋体" w:hAnsi="宋体"/>
          <w:sz w:val="24"/>
          <w:szCs w:val="21"/>
        </w:rPr>
        <w:t>说明：</w:t>
      </w:r>
    </w:p>
    <w:p>
      <w:pPr>
        <w:spacing w:line="360" w:lineRule="auto"/>
        <w:ind w:firstLine="480" w:firstLineChars="200"/>
        <w:rPr>
          <w:rFonts w:ascii="宋体" w:hAnsi="宋体"/>
          <w:sz w:val="24"/>
          <w:szCs w:val="21"/>
        </w:rPr>
      </w:pPr>
      <w:r>
        <w:rPr>
          <w:rFonts w:hint="eastAsia" w:ascii="宋体" w:hAnsi="宋体"/>
          <w:sz w:val="24"/>
          <w:szCs w:val="21"/>
        </w:rPr>
        <w:t>1、评分的取值按四舍五入法，保留小数点后两位；</w:t>
      </w:r>
    </w:p>
    <w:p>
      <w:pPr>
        <w:spacing w:line="360" w:lineRule="auto"/>
        <w:ind w:firstLine="480" w:firstLineChars="200"/>
        <w:rPr>
          <w:rFonts w:ascii="宋体" w:hAnsi="宋体"/>
          <w:sz w:val="24"/>
          <w:szCs w:val="21"/>
        </w:rPr>
      </w:pPr>
      <w:r>
        <w:rPr>
          <w:rFonts w:hint="eastAsia" w:ascii="宋体" w:hAnsi="宋体"/>
          <w:sz w:val="24"/>
          <w:szCs w:val="21"/>
        </w:rPr>
        <w:t>2、评分标准中要求提供复印件的证明材料须清晰可辨。</w:t>
      </w:r>
    </w:p>
    <w:p>
      <w:pPr>
        <w:keepNext/>
        <w:keepLines/>
        <w:numPr>
          <w:ilvl w:val="1"/>
          <w:numId w:val="3"/>
        </w:numPr>
        <w:spacing w:before="260" w:after="260" w:line="360" w:lineRule="auto"/>
        <w:jc w:val="left"/>
        <w:outlineLvl w:val="1"/>
        <w:rPr>
          <w:rFonts w:ascii="宋体" w:hAnsi="宋体"/>
          <w:b/>
          <w:bCs/>
          <w:sz w:val="24"/>
          <w:szCs w:val="24"/>
        </w:rPr>
      </w:pPr>
      <w:bookmarkStart w:id="168" w:name="_Toc15104"/>
      <w:r>
        <w:rPr>
          <w:rFonts w:hint="eastAsia" w:ascii="宋体" w:hAnsi="宋体"/>
          <w:b/>
          <w:bCs/>
          <w:sz w:val="24"/>
          <w:szCs w:val="24"/>
        </w:rPr>
        <w:t>废标</w:t>
      </w:r>
      <w:bookmarkEnd w:id="168"/>
    </w:p>
    <w:p>
      <w:pPr>
        <w:spacing w:line="360" w:lineRule="auto"/>
        <w:ind w:firstLine="480" w:firstLineChars="200"/>
        <w:rPr>
          <w:rFonts w:ascii="宋体" w:hAnsi="宋体"/>
          <w:sz w:val="24"/>
          <w:szCs w:val="24"/>
        </w:rPr>
      </w:pPr>
      <w:r>
        <w:rPr>
          <w:rFonts w:hint="eastAsia" w:ascii="宋体" w:hAnsi="宋体"/>
          <w:sz w:val="24"/>
          <w:szCs w:val="24"/>
        </w:rPr>
        <w:t>本次政府采购活动中，出现下列情形之一的，予以废标：</w:t>
      </w:r>
    </w:p>
    <w:p>
      <w:pPr>
        <w:numPr>
          <w:ilvl w:val="0"/>
          <w:numId w:val="48"/>
        </w:numPr>
        <w:tabs>
          <w:tab w:val="left" w:pos="1155"/>
        </w:tabs>
        <w:spacing w:line="360" w:lineRule="auto"/>
        <w:ind w:left="0" w:firstLine="525"/>
        <w:rPr>
          <w:rFonts w:ascii="宋体" w:hAnsi="宋体"/>
          <w:sz w:val="24"/>
          <w:szCs w:val="24"/>
        </w:rPr>
      </w:pPr>
      <w:r>
        <w:rPr>
          <w:rFonts w:hint="eastAsia" w:ascii="宋体" w:hAnsi="宋体"/>
          <w:sz w:val="24"/>
          <w:szCs w:val="24"/>
        </w:rPr>
        <w:t>符合专业条件的投标人或者对招标文件作实质响应的投标人不足三家的；</w:t>
      </w:r>
    </w:p>
    <w:p>
      <w:pPr>
        <w:numPr>
          <w:ilvl w:val="0"/>
          <w:numId w:val="48"/>
        </w:numPr>
        <w:tabs>
          <w:tab w:val="left" w:pos="1155"/>
        </w:tabs>
        <w:spacing w:line="360" w:lineRule="auto"/>
        <w:ind w:left="0" w:firstLine="525"/>
        <w:rPr>
          <w:rFonts w:ascii="宋体" w:hAnsi="宋体"/>
          <w:sz w:val="24"/>
          <w:szCs w:val="24"/>
        </w:rPr>
      </w:pPr>
      <w:r>
        <w:rPr>
          <w:rFonts w:hint="eastAsia" w:ascii="宋体" w:hAnsi="宋体"/>
          <w:sz w:val="24"/>
          <w:szCs w:val="24"/>
        </w:rPr>
        <w:t>出现影响采购公正的违法、违规行为的；</w:t>
      </w:r>
    </w:p>
    <w:p>
      <w:pPr>
        <w:numPr>
          <w:ilvl w:val="0"/>
          <w:numId w:val="48"/>
        </w:numPr>
        <w:tabs>
          <w:tab w:val="left" w:pos="1155"/>
        </w:tabs>
        <w:spacing w:line="360" w:lineRule="auto"/>
        <w:ind w:left="0" w:firstLine="525"/>
        <w:rPr>
          <w:rFonts w:ascii="宋体" w:hAnsi="宋体"/>
          <w:sz w:val="24"/>
          <w:szCs w:val="24"/>
        </w:rPr>
      </w:pPr>
      <w:r>
        <w:rPr>
          <w:rFonts w:hint="eastAsia" w:ascii="宋体" w:hAnsi="宋体"/>
          <w:sz w:val="24"/>
          <w:szCs w:val="24"/>
        </w:rPr>
        <w:t>投标人的报价均超过了采购预算，采购人不能支付的；</w:t>
      </w:r>
    </w:p>
    <w:p>
      <w:pPr>
        <w:numPr>
          <w:ilvl w:val="0"/>
          <w:numId w:val="48"/>
        </w:numPr>
        <w:tabs>
          <w:tab w:val="left" w:pos="1155"/>
        </w:tabs>
        <w:spacing w:line="360" w:lineRule="auto"/>
        <w:ind w:left="0" w:firstLine="525"/>
        <w:rPr>
          <w:rFonts w:ascii="宋体" w:hAnsi="宋体"/>
          <w:sz w:val="24"/>
          <w:szCs w:val="24"/>
        </w:rPr>
      </w:pPr>
      <w:r>
        <w:rPr>
          <w:rFonts w:hint="eastAsia" w:ascii="宋体" w:hAnsi="宋体"/>
          <w:sz w:val="24"/>
          <w:szCs w:val="24"/>
        </w:rPr>
        <w:t>因重大变故，采购任务取消的；</w:t>
      </w:r>
    </w:p>
    <w:p>
      <w:pPr>
        <w:numPr>
          <w:ilvl w:val="0"/>
          <w:numId w:val="48"/>
        </w:numPr>
        <w:tabs>
          <w:tab w:val="left" w:pos="1155"/>
        </w:tabs>
        <w:spacing w:line="360" w:lineRule="auto"/>
        <w:ind w:left="0" w:firstLine="525"/>
        <w:rPr>
          <w:rFonts w:ascii="宋体" w:hAnsi="宋体"/>
          <w:sz w:val="24"/>
          <w:szCs w:val="24"/>
        </w:rPr>
      </w:pPr>
      <w:r>
        <w:rPr>
          <w:rFonts w:hint="eastAsia" w:ascii="宋体" w:hAnsi="宋体"/>
          <w:sz w:val="24"/>
          <w:szCs w:val="24"/>
        </w:rPr>
        <w:t>废标后，</w:t>
      </w:r>
      <w:r>
        <w:rPr>
          <w:rFonts w:hint="eastAsia" w:ascii="宋体" w:hAnsi="宋体"/>
          <w:sz w:val="24"/>
          <w:szCs w:val="24"/>
          <w:lang w:eastAsia="zh-CN"/>
        </w:rPr>
        <w:t>区政府采购中心</w:t>
      </w:r>
      <w:r>
        <w:rPr>
          <w:rFonts w:hint="eastAsia" w:ascii="宋体" w:hAnsi="宋体"/>
          <w:sz w:val="24"/>
          <w:szCs w:val="24"/>
        </w:rPr>
        <w:t>将在“四川政府采购网”和“成都市公共资源交易服务中心”网站上公告。</w:t>
      </w:r>
    </w:p>
    <w:p>
      <w:pPr>
        <w:keepNext/>
        <w:keepLines/>
        <w:numPr>
          <w:ilvl w:val="1"/>
          <w:numId w:val="3"/>
        </w:numPr>
        <w:spacing w:before="260" w:after="260" w:line="360" w:lineRule="auto"/>
        <w:jc w:val="left"/>
        <w:outlineLvl w:val="1"/>
        <w:rPr>
          <w:rFonts w:ascii="宋体" w:hAnsi="宋体"/>
          <w:b/>
          <w:bCs/>
          <w:sz w:val="24"/>
          <w:szCs w:val="24"/>
        </w:rPr>
      </w:pPr>
      <w:bookmarkStart w:id="169" w:name="_Toc7490"/>
      <w:r>
        <w:rPr>
          <w:rFonts w:hint="eastAsia" w:ascii="宋体" w:hAnsi="宋体"/>
          <w:b/>
          <w:bCs/>
          <w:sz w:val="24"/>
          <w:szCs w:val="24"/>
        </w:rPr>
        <w:t>定标</w:t>
      </w:r>
      <w:bookmarkEnd w:id="169"/>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定标原则</w:t>
      </w:r>
    </w:p>
    <w:p>
      <w:pPr>
        <w:spacing w:line="560" w:lineRule="exact"/>
        <w:ind w:firstLine="480" w:firstLineChars="200"/>
        <w:rPr>
          <w:rFonts w:ascii="宋体" w:hAnsi="宋体"/>
          <w:sz w:val="24"/>
          <w:szCs w:val="24"/>
        </w:rPr>
      </w:pPr>
      <w:r>
        <w:rPr>
          <w:rFonts w:hint="eastAsia" w:ascii="宋体" w:hAnsi="宋体"/>
          <w:sz w:val="24"/>
          <w:szCs w:val="24"/>
        </w:rPr>
        <w:t>本项目根据评标委员会确定的中标候选人名单，采购人按顺序确定1名中标人。中标候选供应商并列的，</w:t>
      </w:r>
      <w:r>
        <w:rPr>
          <w:rFonts w:hint="eastAsia" w:ascii="宋体"/>
          <w:sz w:val="24"/>
          <w:szCs w:val="24"/>
        </w:rPr>
        <w:t>由采购人采取随机抽取的方式确定中标人</w:t>
      </w:r>
      <w:r>
        <w:rPr>
          <w:rFonts w:hint="eastAsia" w:ascii="宋体" w:hAnsi="宋体"/>
          <w:sz w:val="24"/>
          <w:szCs w:val="24"/>
        </w:rPr>
        <w:t>。</w:t>
      </w:r>
    </w:p>
    <w:p>
      <w:pPr>
        <w:spacing w:line="560" w:lineRule="exact"/>
        <w:ind w:firstLine="480" w:firstLineChars="200"/>
        <w:rPr>
          <w:rFonts w:ascii="宋体" w:hAnsi="宋体"/>
          <w:sz w:val="24"/>
          <w:szCs w:val="24"/>
        </w:rPr>
      </w:pPr>
      <w:r>
        <w:rPr>
          <w:rFonts w:hint="eastAsia" w:cs="Helvetica" w:asciiTheme="minorEastAsia" w:hAnsiTheme="minorEastAsia" w:eastAsiaTheme="minorEastAsia"/>
          <w:kern w:val="0"/>
          <w:sz w:val="24"/>
          <w:szCs w:val="24"/>
        </w:rPr>
        <w:t>采购人在收到评标报告</w:t>
      </w:r>
      <w:r>
        <w:rPr>
          <w:rFonts w:hint="eastAsia" w:cs="宋体" w:asciiTheme="minorEastAsia" w:hAnsiTheme="minorEastAsia" w:eastAsiaTheme="minorEastAsia"/>
          <w:kern w:val="0"/>
          <w:sz w:val="24"/>
          <w:szCs w:val="24"/>
        </w:rPr>
        <w:t>5</w:t>
      </w:r>
      <w:r>
        <w:rPr>
          <w:rFonts w:hint="eastAsia" w:cs="Helvetica" w:asciiTheme="minorEastAsia" w:hAnsiTheme="minorEastAsia" w:eastAsiaTheme="minorEastAsia"/>
          <w:kern w:val="0"/>
          <w:sz w:val="24"/>
          <w:szCs w:val="24"/>
        </w:rPr>
        <w:t>个工作日内未按评标报告推荐的中标候选人顺序确定中标人，又不能说明合法理由的，视同按评标报告推荐的顺序确定排名第一的中标候选人为中标人。</w:t>
      </w:r>
    </w:p>
    <w:p>
      <w:pPr>
        <w:keepNext/>
        <w:keepLines/>
        <w:numPr>
          <w:ilvl w:val="2"/>
          <w:numId w:val="3"/>
        </w:numPr>
        <w:spacing w:line="360" w:lineRule="auto"/>
        <w:ind w:left="0" w:firstLine="0"/>
        <w:outlineLvl w:val="2"/>
        <w:rPr>
          <w:rFonts w:ascii="宋体" w:hAnsi="宋体"/>
          <w:b/>
          <w:bCs/>
          <w:sz w:val="24"/>
          <w:szCs w:val="24"/>
        </w:rPr>
      </w:pPr>
      <w:r>
        <w:rPr>
          <w:rFonts w:hint="eastAsia" w:ascii="宋体" w:hAnsi="宋体"/>
          <w:b/>
          <w:bCs/>
          <w:sz w:val="24"/>
          <w:szCs w:val="24"/>
        </w:rPr>
        <w:t>定标程序</w:t>
      </w:r>
    </w:p>
    <w:p>
      <w:pPr>
        <w:spacing w:line="360" w:lineRule="auto"/>
        <w:ind w:firstLine="480" w:firstLineChars="200"/>
        <w:rPr>
          <w:rFonts w:ascii="宋体" w:hAnsi="宋体" w:cs="Helvetica"/>
          <w:sz w:val="24"/>
          <w:szCs w:val="24"/>
        </w:rPr>
      </w:pPr>
      <w:r>
        <w:rPr>
          <w:rFonts w:hint="eastAsia" w:ascii="宋体" w:hAnsi="宋体" w:cs="Helvetica"/>
          <w:sz w:val="24"/>
          <w:szCs w:val="24"/>
        </w:rPr>
        <w:t>一、评审委员会将评审情况写出书面报告。</w:t>
      </w:r>
    </w:p>
    <w:p>
      <w:pPr>
        <w:spacing w:line="360" w:lineRule="auto"/>
        <w:ind w:firstLine="480" w:firstLineChars="200"/>
        <w:rPr>
          <w:rFonts w:ascii="宋体" w:hAnsi="宋体" w:cs="Helvetica"/>
          <w:sz w:val="24"/>
          <w:szCs w:val="24"/>
        </w:rPr>
      </w:pPr>
      <w:r>
        <w:rPr>
          <w:rFonts w:hint="eastAsia" w:ascii="宋体" w:hAnsi="宋体" w:cs="Helvetica"/>
          <w:sz w:val="24"/>
          <w:szCs w:val="24"/>
        </w:rPr>
        <w:t>二、</w:t>
      </w:r>
      <w:r>
        <w:rPr>
          <w:rFonts w:hint="eastAsia" w:ascii="宋体" w:hAnsi="宋体" w:cs="Helvetica"/>
          <w:sz w:val="24"/>
          <w:szCs w:val="24"/>
          <w:lang w:eastAsia="zh-CN"/>
        </w:rPr>
        <w:t>区政府采购中心</w:t>
      </w:r>
      <w:r>
        <w:rPr>
          <w:rFonts w:hint="eastAsia" w:ascii="宋体" w:hAnsi="宋体" w:cs="Helvetica"/>
          <w:sz w:val="24"/>
          <w:szCs w:val="24"/>
        </w:rPr>
        <w:t>在评审结束之日起2个工作日内将评审报告送采购人。</w:t>
      </w:r>
    </w:p>
    <w:p>
      <w:pPr>
        <w:spacing w:line="360" w:lineRule="auto"/>
        <w:ind w:firstLine="480" w:firstLineChars="200"/>
        <w:rPr>
          <w:rFonts w:ascii="宋体" w:hAnsi="宋体" w:cs="Helvetica"/>
          <w:sz w:val="24"/>
          <w:szCs w:val="24"/>
        </w:rPr>
      </w:pPr>
      <w:r>
        <w:rPr>
          <w:rFonts w:hint="eastAsia" w:ascii="宋体" w:hAnsi="宋体" w:cs="Helvetica"/>
          <w:sz w:val="24"/>
          <w:szCs w:val="24"/>
        </w:rPr>
        <w:t>三、采购人在收到评审报告后3个工作日内，按照评审报告中推荐的中标（成交）候选人顺序确定中标（成交）人。采购人在确认中标人前，应到中国裁判文书网（https://wenshu.court.gov.cn）查询中标候选人及其现任法定代表人、主要负责人是否存在行贿犯罪记录。如果中标候选人及其现任法定代表人、主要负责人存在行贿犯罪记录，采购人将不确定其为中标人。</w:t>
      </w:r>
    </w:p>
    <w:p>
      <w:pPr>
        <w:spacing w:line="360" w:lineRule="auto"/>
        <w:ind w:firstLine="480" w:firstLineChars="200"/>
        <w:rPr>
          <w:rFonts w:ascii="宋体" w:hAnsi="宋体" w:cs="Helvetica"/>
          <w:sz w:val="24"/>
          <w:szCs w:val="24"/>
        </w:rPr>
      </w:pPr>
      <w:r>
        <w:rPr>
          <w:rFonts w:hint="eastAsia" w:ascii="宋体" w:hAnsi="宋体" w:cs="Helvetica"/>
          <w:sz w:val="24"/>
          <w:szCs w:val="24"/>
        </w:rPr>
        <w:t>四、根据采购人确定的中标（成交）人，</w:t>
      </w:r>
      <w:r>
        <w:rPr>
          <w:rFonts w:hint="eastAsia" w:ascii="宋体" w:hAnsi="宋体" w:cs="Helvetica"/>
          <w:sz w:val="24"/>
          <w:szCs w:val="24"/>
          <w:lang w:eastAsia="zh-CN"/>
        </w:rPr>
        <w:t>区政府采购中心</w:t>
      </w:r>
      <w:r>
        <w:rPr>
          <w:rFonts w:hint="eastAsia" w:ascii="宋体" w:hAnsi="宋体" w:cs="Helvetica"/>
          <w:sz w:val="24"/>
          <w:szCs w:val="24"/>
        </w:rPr>
        <w:t>在“四川政府采购网”和“成都市公共资源交易服务中心”网站上发布中标（成交）公告，同时向中标（成交）人发出中标（成交）通知书。</w:t>
      </w:r>
    </w:p>
    <w:p>
      <w:pPr>
        <w:spacing w:line="360" w:lineRule="auto"/>
        <w:ind w:firstLine="480" w:firstLineChars="200"/>
        <w:rPr>
          <w:rFonts w:ascii="宋体" w:hAnsi="宋体" w:cs="Helvetica"/>
          <w:sz w:val="24"/>
          <w:szCs w:val="24"/>
        </w:rPr>
      </w:pPr>
      <w:r>
        <w:rPr>
          <w:rFonts w:hint="eastAsia" w:ascii="宋体" w:hAnsi="宋体" w:cs="Helvetica"/>
          <w:sz w:val="24"/>
          <w:szCs w:val="24"/>
        </w:rPr>
        <w:t>五、采购人、</w:t>
      </w:r>
      <w:r>
        <w:rPr>
          <w:rFonts w:hint="eastAsia" w:ascii="宋体" w:hAnsi="宋体" w:cs="Helvetica"/>
          <w:sz w:val="24"/>
          <w:szCs w:val="24"/>
          <w:lang w:eastAsia="zh-CN"/>
        </w:rPr>
        <w:t>区政府采购中心</w:t>
      </w:r>
      <w:r>
        <w:rPr>
          <w:rFonts w:hint="eastAsia" w:ascii="宋体" w:hAnsi="宋体" w:cs="Helvetica"/>
          <w:sz w:val="24"/>
          <w:szCs w:val="24"/>
        </w:rPr>
        <w:t>不解释中标（成交）或未中标（成交）原因，不退回投标文件和其他投标资料。</w:t>
      </w:r>
    </w:p>
    <w:p>
      <w:pPr>
        <w:keepNext/>
        <w:keepLines/>
        <w:numPr>
          <w:ilvl w:val="1"/>
          <w:numId w:val="3"/>
        </w:numPr>
        <w:spacing w:line="360" w:lineRule="auto"/>
        <w:jc w:val="left"/>
        <w:outlineLvl w:val="1"/>
        <w:rPr>
          <w:rFonts w:ascii="宋体" w:hAnsi="宋体"/>
          <w:b/>
          <w:bCs/>
          <w:sz w:val="24"/>
          <w:szCs w:val="24"/>
        </w:rPr>
      </w:pPr>
      <w:bookmarkStart w:id="170" w:name="_Toc233"/>
      <w:r>
        <w:rPr>
          <w:rFonts w:hint="eastAsia" w:ascii="宋体" w:hAnsi="宋体"/>
          <w:b/>
          <w:bCs/>
          <w:sz w:val="24"/>
          <w:szCs w:val="24"/>
        </w:rPr>
        <w:t>评审专家在政府采购活动中承担以下义务</w:t>
      </w:r>
      <w:bookmarkEnd w:id="170"/>
    </w:p>
    <w:p>
      <w:pPr>
        <w:pStyle w:val="80"/>
        <w:numPr>
          <w:ilvl w:val="0"/>
          <w:numId w:val="49"/>
        </w:numPr>
        <w:tabs>
          <w:tab w:val="left" w:pos="284"/>
        </w:tabs>
        <w:spacing w:line="360" w:lineRule="auto"/>
        <w:ind w:left="0" w:firstLine="420" w:firstLineChars="0"/>
        <w:jc w:val="left"/>
        <w:rPr>
          <w:sz w:val="24"/>
          <w:szCs w:val="24"/>
        </w:rPr>
      </w:pPr>
      <w:r>
        <w:rPr>
          <w:rFonts w:hint="eastAsia"/>
          <w:sz w:val="24"/>
          <w:szCs w:val="24"/>
        </w:rPr>
        <w:t>遵守评审工作纪律；</w:t>
      </w:r>
    </w:p>
    <w:p>
      <w:pPr>
        <w:pStyle w:val="80"/>
        <w:numPr>
          <w:ilvl w:val="0"/>
          <w:numId w:val="49"/>
        </w:numPr>
        <w:tabs>
          <w:tab w:val="left" w:pos="284"/>
        </w:tabs>
        <w:spacing w:line="360" w:lineRule="auto"/>
        <w:ind w:left="0" w:firstLine="420" w:firstLineChars="0"/>
        <w:jc w:val="left"/>
        <w:rPr>
          <w:sz w:val="24"/>
          <w:szCs w:val="24"/>
        </w:rPr>
      </w:pPr>
      <w:r>
        <w:rPr>
          <w:rFonts w:hint="eastAsia"/>
          <w:sz w:val="24"/>
          <w:szCs w:val="24"/>
        </w:rPr>
        <w:t>按照客观、公正、审慎的原则，根据招标文件规定的评审程序、评审方法和评审标准进行独立评审；</w:t>
      </w:r>
    </w:p>
    <w:p>
      <w:pPr>
        <w:pStyle w:val="80"/>
        <w:numPr>
          <w:ilvl w:val="0"/>
          <w:numId w:val="49"/>
        </w:numPr>
        <w:tabs>
          <w:tab w:val="left" w:pos="284"/>
        </w:tabs>
        <w:spacing w:line="360" w:lineRule="auto"/>
        <w:ind w:left="0" w:firstLine="420" w:firstLineChars="0"/>
        <w:jc w:val="left"/>
        <w:rPr>
          <w:sz w:val="24"/>
          <w:szCs w:val="24"/>
        </w:rPr>
      </w:pPr>
      <w:r>
        <w:rPr>
          <w:rFonts w:hint="eastAsia"/>
          <w:sz w:val="24"/>
          <w:szCs w:val="24"/>
        </w:rPr>
        <w:t>不得泄露评审文件、评审情况和在评审过程中获悉的商业秘密；</w:t>
      </w:r>
    </w:p>
    <w:p>
      <w:pPr>
        <w:pStyle w:val="80"/>
        <w:numPr>
          <w:ilvl w:val="0"/>
          <w:numId w:val="49"/>
        </w:numPr>
        <w:tabs>
          <w:tab w:val="left" w:pos="284"/>
        </w:tabs>
        <w:spacing w:line="360" w:lineRule="auto"/>
        <w:ind w:left="0" w:firstLine="420" w:firstLineChars="0"/>
        <w:jc w:val="left"/>
        <w:rPr>
          <w:sz w:val="24"/>
          <w:szCs w:val="24"/>
        </w:rPr>
      </w:pPr>
      <w:r>
        <w:rPr>
          <w:rFonts w:hint="eastAsia"/>
          <w:sz w:val="24"/>
          <w:szCs w:val="24"/>
        </w:rPr>
        <w:t>及时向财政部门报告评审过程中发现的采购人、采购代理机构向评审专家做倾向性、误导性的解释或者说明，以及供应商行贿、提供虚假材料或者串通等违法行为；</w:t>
      </w:r>
    </w:p>
    <w:p>
      <w:pPr>
        <w:pStyle w:val="80"/>
        <w:numPr>
          <w:ilvl w:val="0"/>
          <w:numId w:val="49"/>
        </w:numPr>
        <w:tabs>
          <w:tab w:val="left" w:pos="284"/>
        </w:tabs>
        <w:spacing w:line="360" w:lineRule="auto"/>
        <w:ind w:left="0" w:firstLine="420" w:firstLineChars="0"/>
        <w:jc w:val="left"/>
        <w:rPr>
          <w:sz w:val="24"/>
          <w:szCs w:val="24"/>
        </w:rPr>
      </w:pPr>
      <w:r>
        <w:rPr>
          <w:rFonts w:hint="eastAsia"/>
          <w:sz w:val="24"/>
          <w:szCs w:val="24"/>
        </w:rPr>
        <w:t>发现招标文件内容违反国家有关强制性规定或者招标文件存在歧义、重大缺陷导致评审工作无法进行时，停止评审并向采购人或者采购代理机构书面说明情况；</w:t>
      </w:r>
    </w:p>
    <w:p>
      <w:pPr>
        <w:pStyle w:val="80"/>
        <w:numPr>
          <w:ilvl w:val="0"/>
          <w:numId w:val="49"/>
        </w:numPr>
        <w:tabs>
          <w:tab w:val="left" w:pos="284"/>
        </w:tabs>
        <w:spacing w:line="360" w:lineRule="auto"/>
        <w:ind w:left="0" w:firstLine="420" w:firstLineChars="0"/>
        <w:jc w:val="left"/>
        <w:rPr>
          <w:sz w:val="24"/>
          <w:szCs w:val="24"/>
        </w:rPr>
      </w:pPr>
      <w:r>
        <w:rPr>
          <w:rFonts w:hint="eastAsia"/>
          <w:sz w:val="24"/>
          <w:szCs w:val="24"/>
        </w:rPr>
        <w:t>及时向财政、监察等部门举报在评审过程中受到非法干预的情况；</w:t>
      </w:r>
    </w:p>
    <w:p>
      <w:pPr>
        <w:pStyle w:val="80"/>
        <w:numPr>
          <w:ilvl w:val="0"/>
          <w:numId w:val="49"/>
        </w:numPr>
        <w:tabs>
          <w:tab w:val="left" w:pos="284"/>
        </w:tabs>
        <w:spacing w:line="360" w:lineRule="auto"/>
        <w:ind w:left="0" w:firstLine="420" w:firstLineChars="0"/>
        <w:jc w:val="left"/>
        <w:rPr>
          <w:sz w:val="24"/>
          <w:szCs w:val="24"/>
        </w:rPr>
      </w:pPr>
      <w:r>
        <w:rPr>
          <w:rFonts w:hint="eastAsia"/>
          <w:sz w:val="24"/>
          <w:szCs w:val="24"/>
        </w:rPr>
        <w:t>配合答复处理供应商的询问、质疑和投诉等事项；</w:t>
      </w:r>
    </w:p>
    <w:p>
      <w:pPr>
        <w:pStyle w:val="80"/>
        <w:numPr>
          <w:ilvl w:val="0"/>
          <w:numId w:val="49"/>
        </w:numPr>
        <w:tabs>
          <w:tab w:val="left" w:pos="284"/>
        </w:tabs>
        <w:spacing w:line="360" w:lineRule="auto"/>
        <w:ind w:left="0" w:firstLine="420" w:firstLineChars="0"/>
        <w:jc w:val="left"/>
        <w:rPr>
          <w:sz w:val="24"/>
          <w:szCs w:val="24"/>
        </w:rPr>
      </w:pPr>
      <w:r>
        <w:rPr>
          <w:rFonts w:hint="eastAsia"/>
          <w:sz w:val="24"/>
          <w:szCs w:val="24"/>
        </w:rPr>
        <w:t>法律、法规和规章规定的其他义务。</w:t>
      </w:r>
    </w:p>
    <w:p>
      <w:pPr>
        <w:keepNext/>
        <w:keepLines/>
        <w:numPr>
          <w:ilvl w:val="1"/>
          <w:numId w:val="3"/>
        </w:numPr>
        <w:spacing w:before="240" w:line="360" w:lineRule="auto"/>
        <w:jc w:val="left"/>
        <w:outlineLvl w:val="1"/>
        <w:rPr>
          <w:rFonts w:ascii="宋体" w:hAnsi="宋体"/>
          <w:b/>
          <w:bCs/>
          <w:sz w:val="24"/>
          <w:szCs w:val="24"/>
        </w:rPr>
      </w:pPr>
      <w:bookmarkStart w:id="171" w:name="_Toc20258"/>
      <w:r>
        <w:rPr>
          <w:rFonts w:hint="eastAsia" w:ascii="宋体" w:hAnsi="宋体"/>
          <w:b/>
          <w:bCs/>
          <w:sz w:val="24"/>
          <w:szCs w:val="24"/>
        </w:rPr>
        <w:t>评审专家在政府采购活动中应当遵守以下工作纪律</w:t>
      </w:r>
      <w:bookmarkEnd w:id="171"/>
    </w:p>
    <w:p>
      <w:pPr>
        <w:numPr>
          <w:ilvl w:val="0"/>
          <w:numId w:val="50"/>
        </w:numPr>
        <w:tabs>
          <w:tab w:val="left" w:pos="1155"/>
          <w:tab w:val="left" w:pos="1276"/>
          <w:tab w:val="left" w:pos="1418"/>
          <w:tab w:val="left" w:pos="7665"/>
        </w:tabs>
        <w:spacing w:line="360" w:lineRule="auto"/>
        <w:ind w:left="0" w:firstLine="567"/>
        <w:jc w:val="left"/>
        <w:rPr>
          <w:rFonts w:ascii="宋体" w:hAnsi="宋体"/>
          <w:sz w:val="24"/>
          <w:szCs w:val="24"/>
        </w:rPr>
      </w:pPr>
      <w:r>
        <w:rPr>
          <w:rFonts w:hint="eastAsia" w:ascii="宋体" w:hAnsi="宋体"/>
          <w:sz w:val="24"/>
          <w:szCs w:val="24"/>
        </w:rPr>
        <w:t>不得参加与自己有《中华人民共和国政府采购法实施条例》第九条规定的利害关系的政府采购项目的评审活动。发现参加了与自己有利害关系的评审活动，须主动提出回避，退出评审；</w:t>
      </w:r>
    </w:p>
    <w:p>
      <w:pPr>
        <w:numPr>
          <w:ilvl w:val="0"/>
          <w:numId w:val="50"/>
        </w:numPr>
        <w:tabs>
          <w:tab w:val="left" w:pos="1155"/>
          <w:tab w:val="left" w:pos="1276"/>
          <w:tab w:val="left" w:pos="1418"/>
          <w:tab w:val="left" w:pos="7665"/>
        </w:tabs>
        <w:spacing w:line="360" w:lineRule="auto"/>
        <w:ind w:left="0" w:firstLine="567"/>
        <w:jc w:val="left"/>
        <w:rPr>
          <w:rFonts w:ascii="宋体" w:hAnsi="宋体"/>
          <w:sz w:val="24"/>
          <w:szCs w:val="24"/>
        </w:rPr>
      </w:pPr>
      <w:r>
        <w:rPr>
          <w:rFonts w:hint="eastAsia" w:ascii="宋体" w:hAnsi="宋体"/>
          <w:sz w:val="24"/>
          <w:szCs w:val="24"/>
        </w:rPr>
        <w:t>评审前，应当将通讯工具或者相关电子设备交由采购代理机构统一保管。进入评标区之前应将所有的通信设备存入公资交易中心指定的存放处。评审专家不得以任何方式将通信设备带入评标区，否则将被取消其当次项目的评审资格。遇特殊情况不能出席或途中遇阻不能按时参加评审或咨询的，应及时告知财政部门或者采购人或者</w:t>
      </w:r>
      <w:r>
        <w:rPr>
          <w:rFonts w:hint="eastAsia" w:ascii="宋体" w:hAnsi="宋体"/>
          <w:sz w:val="24"/>
          <w:szCs w:val="24"/>
          <w:lang w:eastAsia="zh-CN"/>
        </w:rPr>
        <w:t>区政府采购中心</w:t>
      </w:r>
      <w:r>
        <w:rPr>
          <w:rFonts w:hint="eastAsia" w:ascii="宋体" w:hAnsi="宋体"/>
          <w:sz w:val="24"/>
          <w:szCs w:val="24"/>
        </w:rPr>
        <w:t>，不得私自转托他人；</w:t>
      </w:r>
    </w:p>
    <w:p>
      <w:pPr>
        <w:numPr>
          <w:ilvl w:val="0"/>
          <w:numId w:val="50"/>
        </w:numPr>
        <w:tabs>
          <w:tab w:val="left" w:pos="1155"/>
          <w:tab w:val="left" w:pos="1276"/>
          <w:tab w:val="left" w:pos="1418"/>
          <w:tab w:val="left" w:pos="7665"/>
        </w:tabs>
        <w:spacing w:line="360" w:lineRule="auto"/>
        <w:ind w:left="0" w:firstLine="567"/>
        <w:jc w:val="left"/>
        <w:rPr>
          <w:rFonts w:ascii="宋体" w:hAnsi="宋体"/>
          <w:sz w:val="24"/>
          <w:szCs w:val="24"/>
        </w:rPr>
      </w:pPr>
      <w:r>
        <w:rPr>
          <w:rFonts w:hint="eastAsia" w:ascii="宋体" w:hAnsi="宋体"/>
          <w:sz w:val="24"/>
          <w:szCs w:val="24"/>
        </w:rPr>
        <w:t>对需要专业</w:t>
      </w:r>
      <w:r>
        <w:rPr>
          <w:rFonts w:ascii="宋体" w:hAnsi="宋体"/>
          <w:sz w:val="24"/>
          <w:szCs w:val="24"/>
        </w:rPr>
        <w:t>判断的主管评审因素不得协商评分；</w:t>
      </w:r>
    </w:p>
    <w:p>
      <w:pPr>
        <w:numPr>
          <w:ilvl w:val="0"/>
          <w:numId w:val="50"/>
        </w:numPr>
        <w:tabs>
          <w:tab w:val="left" w:pos="1155"/>
          <w:tab w:val="left" w:pos="1276"/>
          <w:tab w:val="left" w:pos="1418"/>
          <w:tab w:val="left" w:pos="7665"/>
        </w:tabs>
        <w:spacing w:line="360" w:lineRule="auto"/>
        <w:ind w:left="0" w:firstLine="567"/>
        <w:jc w:val="left"/>
        <w:rPr>
          <w:rFonts w:ascii="宋体" w:hAnsi="宋体"/>
          <w:sz w:val="24"/>
          <w:szCs w:val="24"/>
        </w:rPr>
      </w:pPr>
      <w:r>
        <w:rPr>
          <w:rFonts w:hint="eastAsia" w:ascii="宋体" w:hAnsi="宋体"/>
          <w:sz w:val="24"/>
          <w:szCs w:val="24"/>
        </w:rPr>
        <w:t>在</w:t>
      </w:r>
      <w:r>
        <w:rPr>
          <w:rFonts w:ascii="宋体" w:hAnsi="宋体"/>
          <w:sz w:val="24"/>
          <w:szCs w:val="24"/>
        </w:rPr>
        <w:t>评审过程中不得擅离职守，影响</w:t>
      </w:r>
      <w:r>
        <w:rPr>
          <w:rFonts w:hint="eastAsia" w:ascii="宋体" w:hAnsi="宋体"/>
          <w:sz w:val="24"/>
          <w:szCs w:val="24"/>
        </w:rPr>
        <w:t>评审</w:t>
      </w:r>
      <w:r>
        <w:rPr>
          <w:rFonts w:ascii="宋体" w:hAnsi="宋体"/>
          <w:sz w:val="24"/>
          <w:szCs w:val="24"/>
        </w:rPr>
        <w:t>程序</w:t>
      </w:r>
      <w:r>
        <w:rPr>
          <w:rFonts w:hint="eastAsia" w:ascii="宋体" w:hAnsi="宋体"/>
          <w:sz w:val="24"/>
          <w:szCs w:val="24"/>
        </w:rPr>
        <w:t>正常进行；</w:t>
      </w:r>
    </w:p>
    <w:p>
      <w:pPr>
        <w:numPr>
          <w:ilvl w:val="0"/>
          <w:numId w:val="50"/>
        </w:numPr>
        <w:tabs>
          <w:tab w:val="left" w:pos="1155"/>
          <w:tab w:val="left" w:pos="1276"/>
          <w:tab w:val="left" w:pos="1418"/>
          <w:tab w:val="left" w:pos="7665"/>
        </w:tabs>
        <w:spacing w:line="360" w:lineRule="auto"/>
        <w:ind w:left="0" w:firstLine="567"/>
        <w:jc w:val="left"/>
        <w:rPr>
          <w:rFonts w:ascii="宋体" w:hAnsi="宋体"/>
          <w:sz w:val="24"/>
          <w:szCs w:val="24"/>
        </w:rPr>
      </w:pPr>
      <w:r>
        <w:rPr>
          <w:rFonts w:hint="eastAsia" w:ascii="宋体" w:hAnsi="宋体"/>
          <w:sz w:val="24"/>
          <w:szCs w:val="24"/>
        </w:rPr>
        <w:t>评审过程中，不得与外界联系，因发生不可预见情况，确实需要与外界联系的，应当在监督人员监督之下办理；</w:t>
      </w:r>
    </w:p>
    <w:p>
      <w:pPr>
        <w:numPr>
          <w:ilvl w:val="0"/>
          <w:numId w:val="50"/>
        </w:numPr>
        <w:tabs>
          <w:tab w:val="left" w:pos="1155"/>
          <w:tab w:val="left" w:pos="1276"/>
          <w:tab w:val="left" w:pos="1418"/>
          <w:tab w:val="left" w:pos="7665"/>
        </w:tabs>
        <w:spacing w:line="360" w:lineRule="auto"/>
        <w:ind w:left="0" w:firstLine="567"/>
        <w:jc w:val="left"/>
        <w:rPr>
          <w:rFonts w:ascii="宋体" w:hAnsi="宋体"/>
          <w:sz w:val="24"/>
          <w:szCs w:val="24"/>
        </w:rPr>
      </w:pPr>
      <w:r>
        <w:rPr>
          <w:rFonts w:hint="eastAsia" w:ascii="宋体" w:hAnsi="宋体"/>
          <w:sz w:val="24"/>
          <w:szCs w:val="24"/>
        </w:rPr>
        <w:t>评审过程中，不得发表影响评审公正的倾向性、歧视性言论，不得征询或者接受采购人的倾向性意见，不得明示或暗示供应商在澄清时表达与其投标文件原义不同的意见，不得以招标文件没有规定的评审方法和标准作为评审的依据，不得修改或者细化评审程序、评审方法、评审因素和评审标准，不得违规撰写评审意见，不得拒绝对自己的评审意见签字确认；</w:t>
      </w:r>
    </w:p>
    <w:p>
      <w:pPr>
        <w:numPr>
          <w:ilvl w:val="0"/>
          <w:numId w:val="50"/>
        </w:numPr>
        <w:tabs>
          <w:tab w:val="left" w:pos="1155"/>
          <w:tab w:val="left" w:pos="1276"/>
          <w:tab w:val="left" w:pos="1418"/>
          <w:tab w:val="left" w:pos="7665"/>
        </w:tabs>
        <w:spacing w:line="360" w:lineRule="auto"/>
        <w:ind w:left="0" w:firstLine="567"/>
        <w:jc w:val="left"/>
        <w:rPr>
          <w:rFonts w:ascii="宋体" w:hAnsi="宋体"/>
          <w:sz w:val="24"/>
          <w:szCs w:val="24"/>
        </w:rPr>
      </w:pPr>
      <w:r>
        <w:rPr>
          <w:rFonts w:hint="eastAsia" w:ascii="宋体" w:hAnsi="宋体"/>
          <w:sz w:val="24"/>
          <w:szCs w:val="24"/>
        </w:rPr>
        <w:t>在评审过程中和评审结束后，不得记录、复制或带走任何评审资料，不得向外界透露评审内容；</w:t>
      </w:r>
    </w:p>
    <w:p>
      <w:pPr>
        <w:numPr>
          <w:ilvl w:val="0"/>
          <w:numId w:val="50"/>
        </w:numPr>
        <w:tabs>
          <w:tab w:val="left" w:pos="1155"/>
          <w:tab w:val="left" w:pos="1276"/>
          <w:tab w:val="left" w:pos="1418"/>
          <w:tab w:val="left" w:pos="7665"/>
        </w:tabs>
        <w:spacing w:line="360" w:lineRule="auto"/>
        <w:ind w:left="0" w:firstLine="567"/>
        <w:jc w:val="left"/>
        <w:rPr>
          <w:rFonts w:ascii="宋体" w:hAnsi="宋体"/>
          <w:sz w:val="24"/>
          <w:szCs w:val="24"/>
        </w:rPr>
      </w:pPr>
      <w:r>
        <w:rPr>
          <w:rFonts w:hint="eastAsia" w:ascii="宋体" w:hAnsi="宋体"/>
          <w:sz w:val="24"/>
          <w:szCs w:val="24"/>
        </w:rPr>
        <w:t>评审现场服从采购代理机构工作人员的管理，接受现场监督人员的合法监督；</w:t>
      </w:r>
    </w:p>
    <w:p>
      <w:pPr>
        <w:tabs>
          <w:tab w:val="left" w:pos="1155"/>
          <w:tab w:val="left" w:pos="1276"/>
          <w:tab w:val="left" w:pos="1418"/>
        </w:tabs>
        <w:spacing w:line="580" w:lineRule="exact"/>
        <w:ind w:firstLine="480" w:firstLineChars="200"/>
        <w:rPr>
          <w:rFonts w:ascii="宋体" w:hAnsi="宋体"/>
          <w:sz w:val="28"/>
          <w:szCs w:val="28"/>
        </w:rPr>
      </w:pPr>
      <w:r>
        <w:rPr>
          <w:rFonts w:hint="eastAsia" w:ascii="宋体" w:hAnsi="宋体"/>
          <w:sz w:val="24"/>
          <w:szCs w:val="24"/>
        </w:rPr>
        <w:t>九、遵守有关廉洁自律规定，不得私下接触供应商，不得收受供应商及有关业务单位和个人的财物或好处，不得接受采购代理机构的请托。</w:t>
      </w:r>
    </w:p>
    <w:p>
      <w:pPr>
        <w:tabs>
          <w:tab w:val="left" w:pos="1155"/>
          <w:tab w:val="left" w:pos="1276"/>
          <w:tab w:val="left" w:pos="1418"/>
        </w:tabs>
        <w:spacing w:line="580" w:lineRule="exact"/>
        <w:rPr>
          <w:rFonts w:ascii="宋体" w:hAnsi="宋体"/>
          <w:sz w:val="28"/>
          <w:szCs w:val="28"/>
        </w:rPr>
      </w:pPr>
    </w:p>
    <w:p>
      <w:pPr>
        <w:tabs>
          <w:tab w:val="left" w:pos="1155"/>
          <w:tab w:val="left" w:pos="1276"/>
          <w:tab w:val="left" w:pos="1418"/>
        </w:tabs>
        <w:spacing w:line="580" w:lineRule="exact"/>
        <w:rPr>
          <w:rFonts w:ascii="宋体" w:hAnsi="宋体"/>
          <w:sz w:val="28"/>
          <w:szCs w:val="28"/>
        </w:rPr>
      </w:pPr>
    </w:p>
    <w:p>
      <w:pPr>
        <w:tabs>
          <w:tab w:val="left" w:pos="1155"/>
          <w:tab w:val="left" w:pos="1276"/>
          <w:tab w:val="left" w:pos="1418"/>
        </w:tabs>
        <w:spacing w:line="580" w:lineRule="exact"/>
        <w:rPr>
          <w:rFonts w:ascii="宋体" w:hAnsi="宋体"/>
          <w:sz w:val="28"/>
          <w:szCs w:val="28"/>
        </w:rPr>
      </w:pPr>
    </w:p>
    <w:p>
      <w:pPr>
        <w:tabs>
          <w:tab w:val="left" w:pos="1155"/>
          <w:tab w:val="left" w:pos="1276"/>
          <w:tab w:val="left" w:pos="1418"/>
        </w:tabs>
        <w:spacing w:line="580" w:lineRule="exact"/>
        <w:rPr>
          <w:rFonts w:ascii="宋体" w:hAnsi="宋体"/>
          <w:sz w:val="28"/>
          <w:szCs w:val="28"/>
        </w:rPr>
      </w:pPr>
    </w:p>
    <w:bookmarkEnd w:id="151"/>
    <w:bookmarkEnd w:id="152"/>
    <w:p>
      <w:pPr>
        <w:pStyle w:val="3"/>
        <w:bidi w:val="0"/>
        <w:rPr>
          <w:rFonts w:ascii="宋体" w:hAnsi="宋体"/>
          <w:b/>
          <w:bCs/>
          <w:spacing w:val="-20"/>
          <w:kern w:val="44"/>
          <w:szCs w:val="32"/>
        </w:rPr>
      </w:pPr>
      <w:bookmarkStart w:id="172" w:name="_Toc28571"/>
      <w:r>
        <w:rPr>
          <w:rFonts w:hint="eastAsia" w:ascii="宋体" w:hAnsi="宋体"/>
          <w:b/>
          <w:bCs/>
          <w:spacing w:val="-20"/>
          <w:kern w:val="44"/>
          <w:sz w:val="32"/>
          <w:szCs w:val="32"/>
        </w:rPr>
        <w:t>拟签订合同</w:t>
      </w:r>
      <w:bookmarkEnd w:id="0"/>
      <w:bookmarkEnd w:id="1"/>
      <w:bookmarkEnd w:id="2"/>
      <w:bookmarkEnd w:id="3"/>
      <w:bookmarkStart w:id="173" w:name="_Toc316475677"/>
      <w:bookmarkEnd w:id="173"/>
      <w:bookmarkStart w:id="174" w:name="_Toc316475675"/>
      <w:bookmarkEnd w:id="174"/>
      <w:bookmarkStart w:id="175" w:name="_Toc316475751"/>
      <w:bookmarkEnd w:id="175"/>
      <w:bookmarkStart w:id="176" w:name="_Toc316475673"/>
      <w:bookmarkEnd w:id="176"/>
      <w:bookmarkStart w:id="177" w:name="_Toc277152522"/>
      <w:bookmarkEnd w:id="177"/>
      <w:bookmarkStart w:id="178" w:name="_Toc316475755"/>
      <w:bookmarkEnd w:id="178"/>
      <w:bookmarkStart w:id="179" w:name="_Toc316475756"/>
      <w:bookmarkEnd w:id="179"/>
      <w:bookmarkStart w:id="180" w:name="_Toc316475752"/>
      <w:bookmarkEnd w:id="180"/>
      <w:bookmarkStart w:id="181" w:name="_Toc316475757"/>
      <w:bookmarkEnd w:id="181"/>
      <w:bookmarkStart w:id="182" w:name="_Toc316475668"/>
      <w:bookmarkEnd w:id="182"/>
      <w:bookmarkStart w:id="183" w:name="_Toc316475667"/>
      <w:bookmarkEnd w:id="183"/>
      <w:bookmarkStart w:id="184" w:name="_Toc316475671"/>
      <w:bookmarkEnd w:id="184"/>
      <w:bookmarkStart w:id="185" w:name="_Toc299975392"/>
      <w:bookmarkEnd w:id="185"/>
      <w:bookmarkStart w:id="186" w:name="_Toc316475761"/>
      <w:bookmarkEnd w:id="186"/>
      <w:bookmarkStart w:id="187" w:name="_Toc316475672"/>
      <w:bookmarkEnd w:id="187"/>
      <w:bookmarkStart w:id="188" w:name="_Toc316475759"/>
      <w:bookmarkEnd w:id="188"/>
      <w:bookmarkStart w:id="189" w:name="_Toc316475674"/>
      <w:bookmarkEnd w:id="189"/>
      <w:bookmarkStart w:id="190" w:name="_Toc316475760"/>
      <w:bookmarkEnd w:id="190"/>
      <w:bookmarkStart w:id="191" w:name="_Toc316475763"/>
      <w:bookmarkEnd w:id="191"/>
      <w:bookmarkStart w:id="192" w:name="_Toc316475664"/>
      <w:bookmarkEnd w:id="192"/>
      <w:bookmarkStart w:id="193" w:name="_Toc316475758"/>
      <w:bookmarkEnd w:id="193"/>
      <w:bookmarkStart w:id="194" w:name="_Toc316475665"/>
      <w:bookmarkEnd w:id="194"/>
      <w:bookmarkStart w:id="195" w:name="_Toc299975364"/>
      <w:bookmarkEnd w:id="195"/>
      <w:bookmarkStart w:id="196" w:name="_Toc316475753"/>
      <w:bookmarkEnd w:id="196"/>
      <w:bookmarkStart w:id="197" w:name="_Toc316475670"/>
      <w:bookmarkEnd w:id="197"/>
      <w:bookmarkStart w:id="198" w:name="_Toc316475764"/>
      <w:bookmarkEnd w:id="198"/>
      <w:bookmarkStart w:id="199" w:name="_Toc316475676"/>
      <w:bookmarkEnd w:id="199"/>
      <w:bookmarkStart w:id="200" w:name="_Toc316475762"/>
      <w:bookmarkEnd w:id="200"/>
      <w:bookmarkStart w:id="201" w:name="_Toc316475666"/>
      <w:bookmarkEnd w:id="201"/>
      <w:bookmarkStart w:id="202" w:name="_Toc316475754"/>
      <w:bookmarkEnd w:id="202"/>
      <w:bookmarkStart w:id="203" w:name="_Toc316475669"/>
      <w:bookmarkEnd w:id="203"/>
      <w:bookmarkStart w:id="204" w:name="_Toc277152520"/>
      <w:bookmarkEnd w:id="204"/>
      <w:bookmarkStart w:id="205" w:name="_Toc277152521"/>
      <w:bookmarkEnd w:id="205"/>
      <w:bookmarkStart w:id="206" w:name="_Toc214858832"/>
      <w:bookmarkEnd w:id="206"/>
      <w:bookmarkStart w:id="207" w:name="_Toc277152523"/>
      <w:bookmarkEnd w:id="207"/>
      <w:bookmarkStart w:id="208" w:name="_Toc217446108"/>
      <w:bookmarkStart w:id="209" w:name="_Toc34729074"/>
      <w:bookmarkStart w:id="210" w:name="_Toc8573798"/>
      <w:r>
        <w:rPr>
          <w:rFonts w:hint="eastAsia" w:ascii="宋体" w:hAnsi="宋体"/>
          <w:b/>
          <w:bCs/>
          <w:spacing w:val="-20"/>
          <w:kern w:val="44"/>
          <w:sz w:val="32"/>
          <w:szCs w:val="32"/>
        </w:rPr>
        <w:t>文本</w:t>
      </w:r>
      <w:bookmarkEnd w:id="172"/>
      <w:r>
        <w:rPr>
          <w:rFonts w:ascii="宋体" w:hAnsi="宋体" w:cs="宋体"/>
          <w:b/>
          <w:strike/>
          <w:sz w:val="30"/>
          <w:szCs w:val="32"/>
        </w:rPr>
        <w:t xml:space="preserve"> </w:t>
      </w:r>
    </w:p>
    <w:bookmarkEnd w:id="208"/>
    <w:bookmarkEnd w:id="209"/>
    <w:bookmarkEnd w:id="210"/>
    <w:p>
      <w:pPr>
        <w:pStyle w:val="17"/>
        <w:rPr>
          <w:rFonts w:ascii="方正小标宋简体" w:eastAsia="方正小标宋简体"/>
          <w:sz w:val="36"/>
          <w:szCs w:val="36"/>
        </w:rPr>
      </w:pPr>
    </w:p>
    <w:p>
      <w:pPr>
        <w:pageBreakBefore w:val="0"/>
        <w:widowControl w:val="0"/>
        <w:kinsoku/>
        <w:wordWrap/>
        <w:overflowPunct/>
        <w:topLinePunct w:val="0"/>
        <w:autoSpaceDE/>
        <w:autoSpaceDN/>
        <w:bidi w:val="0"/>
        <w:spacing w:line="260" w:lineRule="exact"/>
        <w:jc w:val="center"/>
        <w:rPr>
          <w:rFonts w:ascii="宋体" w:hAnsi="宋体"/>
          <w:b/>
          <w:bCs/>
          <w:color w:val="auto"/>
          <w:sz w:val="21"/>
          <w:szCs w:val="21"/>
        </w:rPr>
      </w:pPr>
      <w:r>
        <w:rPr>
          <w:rFonts w:hint="eastAsia"/>
          <w:b/>
          <w:bCs/>
          <w:color w:val="auto"/>
          <w:sz w:val="21"/>
          <w:szCs w:val="21"/>
        </w:rPr>
        <w:t>农副食品，动、植物油制品配送合同</w:t>
      </w:r>
    </w:p>
    <w:p>
      <w:pPr>
        <w:pageBreakBefore w:val="0"/>
        <w:widowControl w:val="0"/>
        <w:kinsoku/>
        <w:wordWrap/>
        <w:overflowPunct/>
        <w:topLinePunct w:val="0"/>
        <w:autoSpaceDE/>
        <w:autoSpaceDN/>
        <w:bidi w:val="0"/>
        <w:spacing w:line="260" w:lineRule="exact"/>
        <w:ind w:firstLine="420" w:firstLineChars="200"/>
        <w:rPr>
          <w:rFonts w:ascii="宋体" w:hAnsi="宋体"/>
          <w:color w:val="auto"/>
          <w:sz w:val="21"/>
          <w:szCs w:val="21"/>
        </w:rPr>
      </w:pP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签订地点：</w:t>
      </w:r>
      <w:r>
        <w:rPr>
          <w:rFonts w:hint="eastAsia" w:ascii="仿宋" w:hAnsi="仿宋" w:eastAsia="仿宋" w:cs="仿宋"/>
          <w:color w:val="auto"/>
          <w:sz w:val="21"/>
          <w:szCs w:val="21"/>
          <w:lang w:val="en-US" w:eastAsia="zh-CN"/>
        </w:rPr>
        <w:t>********</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签订时间：</w:t>
      </w:r>
      <w:r>
        <w:rPr>
          <w:rFonts w:hint="eastAsia" w:ascii="仿宋" w:hAnsi="仿宋" w:eastAsia="仿宋" w:cs="仿宋"/>
          <w:color w:val="auto"/>
          <w:sz w:val="21"/>
          <w:szCs w:val="21"/>
          <w:lang w:val="en-US" w:eastAsia="zh-CN"/>
        </w:rPr>
        <w:t xml:space="preserve">    </w:t>
      </w:r>
      <w:r>
        <w:rPr>
          <w:rFonts w:hint="eastAsia" w:ascii="仿宋" w:hAnsi="仿宋" w:eastAsia="仿宋" w:cs="仿宋"/>
          <w:color w:val="auto"/>
          <w:sz w:val="21"/>
          <w:szCs w:val="21"/>
        </w:rPr>
        <w:t>年</w:t>
      </w:r>
      <w:r>
        <w:rPr>
          <w:rFonts w:hint="eastAsia" w:ascii="仿宋" w:hAnsi="仿宋" w:eastAsia="仿宋" w:cs="仿宋"/>
          <w:color w:val="auto"/>
          <w:sz w:val="21"/>
          <w:szCs w:val="21"/>
          <w:lang w:val="en-US" w:eastAsia="zh-CN"/>
        </w:rPr>
        <w:t xml:space="preserve">   </w:t>
      </w:r>
      <w:r>
        <w:rPr>
          <w:rFonts w:hint="eastAsia" w:ascii="仿宋" w:hAnsi="仿宋" w:eastAsia="仿宋" w:cs="仿宋"/>
          <w:color w:val="auto"/>
          <w:sz w:val="21"/>
          <w:szCs w:val="21"/>
        </w:rPr>
        <w:t>月    日。</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 xml:space="preserve">采购人（甲方）：成都市武侯区机关事务中心 </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中标人（乙方）：</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依据《中华人民共和国民法典》、《中华人民共和国政府采购法》与项目行业有关的法律法规，以及XXXX项目（项目编号：XXXX）的《招标文件》，乙方的《投标文件》及《中标通知书》，甲、乙双方同意签订本合同。详细技术说明及其他有关合同项目的特定信息由合同附件予以说明，合同附件及本项目的《招标文件》、《投标文件》、《中标通知书》等均为本合同的组成部分。</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第一条、</w:t>
      </w:r>
      <w:r>
        <w:rPr>
          <w:rFonts w:hint="eastAsia" w:ascii="仿宋" w:hAnsi="仿宋" w:eastAsia="仿宋" w:cs="仿宋"/>
          <w:b/>
          <w:color w:val="auto"/>
          <w:sz w:val="21"/>
          <w:szCs w:val="21"/>
        </w:rPr>
        <w:t>项目基本情况</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武侯区</w:t>
      </w:r>
      <w:r>
        <w:rPr>
          <w:rFonts w:hint="eastAsia" w:ascii="仿宋" w:hAnsi="仿宋" w:eastAsia="仿宋" w:cs="仿宋"/>
          <w:color w:val="auto"/>
          <w:sz w:val="21"/>
          <w:szCs w:val="21"/>
          <w:lang w:val="en-US" w:eastAsia="zh-CN"/>
        </w:rPr>
        <w:t>第一办公区食堂</w:t>
      </w:r>
      <w:r>
        <w:rPr>
          <w:rFonts w:hint="eastAsia" w:ascii="仿宋" w:hAnsi="仿宋" w:eastAsia="仿宋" w:cs="仿宋"/>
          <w:color w:val="auto"/>
          <w:sz w:val="21"/>
          <w:szCs w:val="21"/>
        </w:rPr>
        <w:t>位于</w:t>
      </w:r>
      <w:r>
        <w:rPr>
          <w:rFonts w:hint="eastAsia" w:ascii="仿宋" w:hAnsi="仿宋" w:eastAsia="仿宋" w:cs="仿宋"/>
          <w:color w:val="auto"/>
          <w:sz w:val="21"/>
          <w:szCs w:val="21"/>
          <w:lang w:val="en-US" w:eastAsia="zh-CN"/>
        </w:rPr>
        <w:t>武侯祠大街264号</w:t>
      </w:r>
      <w:r>
        <w:rPr>
          <w:rFonts w:hint="eastAsia" w:ascii="仿宋" w:hAnsi="仿宋" w:eastAsia="仿宋" w:cs="仿宋"/>
          <w:color w:val="auto"/>
          <w:sz w:val="21"/>
          <w:szCs w:val="21"/>
        </w:rPr>
        <w:t>，为加强对武侯区</w:t>
      </w:r>
      <w:r>
        <w:rPr>
          <w:rFonts w:hint="eastAsia" w:ascii="仿宋" w:hAnsi="仿宋" w:eastAsia="仿宋" w:cs="仿宋"/>
          <w:color w:val="auto"/>
          <w:sz w:val="21"/>
          <w:szCs w:val="21"/>
          <w:lang w:val="en-US" w:eastAsia="zh-CN"/>
        </w:rPr>
        <w:t>第一办公区</w:t>
      </w:r>
      <w:r>
        <w:rPr>
          <w:rFonts w:hint="eastAsia" w:ascii="仿宋" w:hAnsi="仿宋" w:eastAsia="仿宋" w:cs="仿宋"/>
          <w:color w:val="auto"/>
          <w:sz w:val="21"/>
          <w:szCs w:val="21"/>
        </w:rPr>
        <w:t>食堂食品原料供应的管理，进而确保食品原料的安全、及时、卫生、新鲜，保证食材品质。决定通过公开招标的形式，选取符合要求的供应商，为食堂提供有保障的食品原材料。</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第二条、</w:t>
      </w:r>
      <w:r>
        <w:rPr>
          <w:rFonts w:hint="eastAsia" w:ascii="仿宋" w:hAnsi="仿宋" w:eastAsia="仿宋" w:cs="仿宋"/>
          <w:b/>
          <w:color w:val="auto"/>
          <w:sz w:val="21"/>
          <w:szCs w:val="21"/>
        </w:rPr>
        <w:t>合同期限</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合同签订期限为</w:t>
      </w:r>
      <w:r>
        <w:rPr>
          <w:rFonts w:hint="eastAsia" w:ascii="仿宋" w:hAnsi="仿宋" w:eastAsia="仿宋" w:cs="仿宋"/>
          <w:color w:val="auto"/>
          <w:sz w:val="21"/>
          <w:szCs w:val="21"/>
          <w:lang w:val="en-US" w:eastAsia="zh-CN"/>
        </w:rPr>
        <w:t>一年</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rPr>
        <w:t>本项目预算金额为</w:t>
      </w:r>
      <w:r>
        <w:rPr>
          <w:rFonts w:hint="eastAsia" w:ascii="仿宋" w:hAnsi="仿宋" w:eastAsia="仿宋" w:cs="仿宋"/>
          <w:color w:val="auto"/>
          <w:sz w:val="21"/>
          <w:szCs w:val="21"/>
          <w:lang w:val="en-US" w:eastAsia="zh-CN"/>
        </w:rPr>
        <w:t xml:space="preserve"> </w:t>
      </w:r>
      <w:r>
        <w:rPr>
          <w:rFonts w:hint="eastAsia" w:ascii="仿宋" w:hAnsi="仿宋" w:eastAsia="仿宋" w:cs="仿宋"/>
          <w:color w:val="auto"/>
          <w:sz w:val="21"/>
          <w:szCs w:val="21"/>
        </w:rPr>
        <w:t>万元。</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服务期限为</w:t>
      </w:r>
      <w:r>
        <w:rPr>
          <w:rFonts w:hint="eastAsia" w:ascii="仿宋" w:hAnsi="仿宋" w:eastAsia="仿宋" w:cs="仿宋"/>
          <w:color w:val="auto"/>
          <w:sz w:val="21"/>
          <w:szCs w:val="21"/>
        </w:rPr>
        <w:t>为：</w:t>
      </w:r>
      <w:r>
        <w:rPr>
          <w:rFonts w:hint="eastAsia" w:ascii="仿宋" w:hAnsi="仿宋" w:eastAsia="仿宋" w:cs="仿宋"/>
          <w:color w:val="auto"/>
          <w:sz w:val="21"/>
          <w:szCs w:val="21"/>
          <w:u w:val="single"/>
        </w:rPr>
        <w:t xml:space="preserve">   </w:t>
      </w:r>
      <w:r>
        <w:rPr>
          <w:rFonts w:hint="eastAsia" w:ascii="仿宋" w:hAnsi="仿宋" w:eastAsia="仿宋" w:cs="仿宋"/>
          <w:color w:val="auto"/>
          <w:sz w:val="21"/>
          <w:szCs w:val="21"/>
          <w:u w:val="single"/>
          <w:lang w:val="en-US" w:eastAsia="zh-CN"/>
        </w:rPr>
        <w:t xml:space="preserve"> </w:t>
      </w:r>
      <w:r>
        <w:rPr>
          <w:rFonts w:hint="eastAsia" w:ascii="仿宋" w:hAnsi="仿宋" w:eastAsia="仿宋" w:cs="仿宋"/>
          <w:color w:val="auto"/>
          <w:sz w:val="21"/>
          <w:szCs w:val="21"/>
        </w:rPr>
        <w:t>年</w:t>
      </w:r>
      <w:r>
        <w:rPr>
          <w:rFonts w:hint="eastAsia" w:ascii="仿宋" w:hAnsi="仿宋" w:eastAsia="仿宋" w:cs="仿宋"/>
          <w:color w:val="auto"/>
          <w:sz w:val="21"/>
          <w:szCs w:val="21"/>
          <w:u w:val="single"/>
        </w:rPr>
        <w:t xml:space="preserve">   </w:t>
      </w:r>
      <w:r>
        <w:rPr>
          <w:rFonts w:hint="eastAsia" w:ascii="仿宋" w:hAnsi="仿宋" w:eastAsia="仿宋" w:cs="仿宋"/>
          <w:color w:val="auto"/>
          <w:sz w:val="21"/>
          <w:szCs w:val="21"/>
        </w:rPr>
        <w:t>月</w:t>
      </w:r>
      <w:r>
        <w:rPr>
          <w:rFonts w:hint="eastAsia" w:ascii="仿宋" w:hAnsi="仿宋" w:eastAsia="仿宋" w:cs="仿宋"/>
          <w:color w:val="auto"/>
          <w:sz w:val="21"/>
          <w:szCs w:val="21"/>
          <w:u w:val="single"/>
        </w:rPr>
        <w:t xml:space="preserve">    </w:t>
      </w:r>
      <w:r>
        <w:rPr>
          <w:rFonts w:hint="eastAsia" w:ascii="仿宋" w:hAnsi="仿宋" w:eastAsia="仿宋" w:cs="仿宋"/>
          <w:color w:val="auto"/>
          <w:sz w:val="21"/>
          <w:szCs w:val="21"/>
        </w:rPr>
        <w:t>日</w:t>
      </w:r>
      <w:r>
        <w:rPr>
          <w:rFonts w:hint="eastAsia" w:ascii="仿宋" w:hAnsi="仿宋" w:eastAsia="仿宋" w:cs="仿宋"/>
          <w:color w:val="auto"/>
          <w:sz w:val="21"/>
          <w:szCs w:val="21"/>
          <w:u w:val="none"/>
          <w:lang w:val="en-US" w:eastAsia="zh-CN"/>
        </w:rPr>
        <w:t>至</w:t>
      </w:r>
      <w:r>
        <w:rPr>
          <w:rFonts w:hint="eastAsia" w:ascii="仿宋" w:hAnsi="仿宋" w:eastAsia="仿宋" w:cs="仿宋"/>
          <w:color w:val="auto"/>
          <w:sz w:val="21"/>
          <w:szCs w:val="21"/>
          <w:u w:val="single"/>
        </w:rPr>
        <w:t xml:space="preserve">   </w:t>
      </w:r>
      <w:r>
        <w:rPr>
          <w:rFonts w:hint="eastAsia" w:ascii="仿宋" w:hAnsi="仿宋" w:eastAsia="仿宋" w:cs="仿宋"/>
          <w:color w:val="auto"/>
          <w:sz w:val="21"/>
          <w:szCs w:val="21"/>
          <w:u w:val="single"/>
          <w:lang w:val="en-US" w:eastAsia="zh-CN"/>
        </w:rPr>
        <w:t xml:space="preserve"> </w:t>
      </w:r>
      <w:r>
        <w:rPr>
          <w:rFonts w:hint="eastAsia" w:ascii="仿宋" w:hAnsi="仿宋" w:eastAsia="仿宋" w:cs="仿宋"/>
          <w:color w:val="auto"/>
          <w:sz w:val="21"/>
          <w:szCs w:val="21"/>
          <w:u w:val="none"/>
        </w:rPr>
        <w:t>年</w:t>
      </w:r>
      <w:r>
        <w:rPr>
          <w:rFonts w:hint="eastAsia" w:ascii="仿宋" w:hAnsi="仿宋" w:eastAsia="仿宋" w:cs="仿宋"/>
          <w:color w:val="auto"/>
          <w:sz w:val="21"/>
          <w:szCs w:val="21"/>
          <w:u w:val="single"/>
        </w:rPr>
        <w:t xml:space="preserve">   </w:t>
      </w:r>
      <w:r>
        <w:rPr>
          <w:rFonts w:hint="eastAsia" w:ascii="仿宋" w:hAnsi="仿宋" w:eastAsia="仿宋" w:cs="仿宋"/>
          <w:color w:val="auto"/>
          <w:sz w:val="21"/>
          <w:szCs w:val="21"/>
          <w:u w:val="none"/>
        </w:rPr>
        <w:t>月</w:t>
      </w:r>
      <w:r>
        <w:rPr>
          <w:rFonts w:hint="eastAsia" w:ascii="仿宋" w:hAnsi="仿宋" w:eastAsia="仿宋" w:cs="仿宋"/>
          <w:color w:val="auto"/>
          <w:sz w:val="21"/>
          <w:szCs w:val="21"/>
          <w:u w:val="single"/>
        </w:rPr>
        <w:t xml:space="preserve">    </w:t>
      </w:r>
      <w:r>
        <w:rPr>
          <w:rFonts w:hint="eastAsia" w:ascii="仿宋" w:hAnsi="仿宋" w:eastAsia="仿宋" w:cs="仿宋"/>
          <w:color w:val="auto"/>
          <w:sz w:val="21"/>
          <w:szCs w:val="21"/>
          <w:u w:val="none"/>
        </w:rPr>
        <w:t>日</w:t>
      </w:r>
      <w:r>
        <w:rPr>
          <w:rFonts w:hint="eastAsia" w:ascii="仿宋" w:hAnsi="仿宋" w:eastAsia="仿宋" w:cs="仿宋"/>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第三条、</w:t>
      </w:r>
      <w:r>
        <w:rPr>
          <w:rFonts w:hint="eastAsia" w:ascii="仿宋" w:hAnsi="仿宋" w:eastAsia="仿宋" w:cs="仿宋"/>
          <w:b/>
          <w:color w:val="auto"/>
          <w:sz w:val="21"/>
          <w:szCs w:val="21"/>
        </w:rPr>
        <w:t>服务内容与质量标准</w:t>
      </w:r>
    </w:p>
    <w:p>
      <w:pPr>
        <w:keepNext w:val="0"/>
        <w:keepLines w:val="0"/>
        <w:pageBreakBefore w:val="0"/>
        <w:widowControl w:val="0"/>
        <w:kinsoku/>
        <w:wordWrap/>
        <w:overflowPunct/>
        <w:topLinePunct w:val="0"/>
        <w:autoSpaceDE/>
        <w:autoSpaceDN/>
        <w:bidi w:val="0"/>
        <w:snapToGrid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sz w:val="21"/>
          <w:szCs w:val="21"/>
        </w:rPr>
        <w:t>为武侯区</w:t>
      </w:r>
      <w:r>
        <w:rPr>
          <w:rFonts w:hint="eastAsia" w:ascii="仿宋" w:hAnsi="仿宋" w:eastAsia="仿宋" w:cs="仿宋"/>
          <w:sz w:val="21"/>
          <w:szCs w:val="21"/>
          <w:lang w:eastAsia="zh-CN"/>
        </w:rPr>
        <w:t>第一办公区</w:t>
      </w:r>
      <w:r>
        <w:rPr>
          <w:rFonts w:hint="eastAsia" w:ascii="仿宋" w:hAnsi="仿宋" w:eastAsia="仿宋" w:cs="仿宋"/>
          <w:sz w:val="21"/>
          <w:szCs w:val="21"/>
        </w:rPr>
        <w:t>食堂提供主副食品及调料等食材的配送（具体是：米、面、油、肉类、水产类、禽蛋、奶制品、水果、蔬菜、副食、调料等）（以采购人实际需求及用量进行配送，并按实际用量进行结算）。</w:t>
      </w:r>
    </w:p>
    <w:p>
      <w:pPr>
        <w:keepNext w:val="0"/>
        <w:keepLines w:val="0"/>
        <w:pageBreakBefore w:val="0"/>
        <w:widowControl w:val="0"/>
        <w:kinsoku/>
        <w:wordWrap/>
        <w:overflowPunct/>
        <w:topLinePunct w:val="0"/>
        <w:autoSpaceDE/>
        <w:autoSpaceDN/>
        <w:bidi w:val="0"/>
        <w:snapToGrid w:val="0"/>
        <w:spacing w:line="260" w:lineRule="exact"/>
        <w:ind w:firstLine="422" w:firstLineChars="200"/>
        <w:rPr>
          <w:rFonts w:hint="eastAsia" w:ascii="仿宋" w:hAnsi="仿宋" w:eastAsia="仿宋" w:cs="仿宋"/>
          <w:color w:val="auto"/>
          <w:sz w:val="21"/>
          <w:szCs w:val="21"/>
          <w:lang w:eastAsia="zh-CN"/>
        </w:rPr>
      </w:pPr>
      <w:r>
        <w:rPr>
          <w:rFonts w:hint="eastAsia" w:ascii="仿宋" w:hAnsi="仿宋" w:eastAsia="仿宋" w:cs="仿宋"/>
          <w:b/>
          <w:bCs/>
          <w:color w:val="auto"/>
          <w:sz w:val="21"/>
          <w:szCs w:val="21"/>
          <w:lang w:val="en-US" w:eastAsia="zh-CN"/>
        </w:rPr>
        <w:t>一、</w:t>
      </w:r>
      <w:r>
        <w:rPr>
          <w:rFonts w:hint="eastAsia" w:ascii="仿宋" w:hAnsi="仿宋" w:eastAsia="仿宋" w:cs="仿宋"/>
          <w:b/>
          <w:bCs/>
          <w:color w:val="auto"/>
          <w:sz w:val="21"/>
          <w:szCs w:val="21"/>
          <w:lang w:eastAsia="zh-CN"/>
        </w:rPr>
        <w:t>采购产品质量及要求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（一）肉</w:t>
      </w:r>
      <w:r>
        <w:rPr>
          <w:rFonts w:hint="eastAsia" w:ascii="仿宋" w:hAnsi="仿宋" w:eastAsia="仿宋" w:cs="仿宋"/>
          <w:sz w:val="21"/>
          <w:szCs w:val="21"/>
          <w:lang w:eastAsia="zh-CN"/>
        </w:rPr>
        <w:t>类、</w:t>
      </w:r>
      <w:r>
        <w:rPr>
          <w:rFonts w:hint="eastAsia" w:ascii="仿宋" w:hAnsi="仿宋" w:eastAsia="仿宋" w:cs="仿宋"/>
          <w:sz w:val="21"/>
          <w:szCs w:val="21"/>
        </w:rPr>
        <w:t>禽</w:t>
      </w:r>
      <w:r>
        <w:rPr>
          <w:rFonts w:hint="eastAsia" w:ascii="仿宋" w:hAnsi="仿宋" w:eastAsia="仿宋" w:cs="仿宋"/>
          <w:sz w:val="21"/>
          <w:szCs w:val="21"/>
          <w:lang w:eastAsia="zh-CN"/>
        </w:rPr>
        <w:t>类</w:t>
      </w:r>
      <w:r>
        <w:rPr>
          <w:rFonts w:hint="eastAsia" w:ascii="仿宋" w:hAnsi="仿宋" w:eastAsia="仿宋" w:cs="仿宋"/>
          <w:sz w:val="21"/>
          <w:szCs w:val="21"/>
        </w:rPr>
        <w:t>、水产类</w:t>
      </w:r>
      <w:r>
        <w:rPr>
          <w:rFonts w:hint="eastAsia" w:ascii="仿宋" w:hAnsi="仿宋" w:eastAsia="仿宋" w:cs="仿宋"/>
          <w:sz w:val="21"/>
          <w:szCs w:val="21"/>
          <w:lang w:eastAsia="zh-CN"/>
        </w:rPr>
        <w:t>、</w:t>
      </w:r>
      <w:r>
        <w:rPr>
          <w:rFonts w:hint="eastAsia" w:ascii="仿宋" w:hAnsi="仿宋" w:eastAsia="仿宋" w:cs="仿宋"/>
          <w:sz w:val="21"/>
          <w:szCs w:val="21"/>
        </w:rPr>
        <w:t>蛋</w:t>
      </w:r>
      <w:r>
        <w:rPr>
          <w:rFonts w:hint="eastAsia" w:ascii="仿宋" w:hAnsi="仿宋" w:eastAsia="仿宋" w:cs="仿宋"/>
          <w:sz w:val="21"/>
          <w:szCs w:val="21"/>
          <w:lang w:eastAsia="zh-CN"/>
        </w:rPr>
        <w:t>类</w:t>
      </w:r>
      <w:r>
        <w:rPr>
          <w:rFonts w:hint="eastAsia" w:ascii="仿宋" w:hAnsi="仿宋" w:eastAsia="仿宋" w:cs="仿宋"/>
          <w:sz w:val="21"/>
          <w:szCs w:val="21"/>
        </w:rPr>
        <w:t>：肉</w:t>
      </w:r>
      <w:r>
        <w:rPr>
          <w:rFonts w:hint="eastAsia" w:ascii="仿宋" w:hAnsi="仿宋" w:eastAsia="仿宋" w:cs="仿宋"/>
          <w:sz w:val="21"/>
          <w:szCs w:val="21"/>
          <w:lang w:eastAsia="zh-CN"/>
        </w:rPr>
        <w:t>类</w:t>
      </w:r>
      <w:r>
        <w:rPr>
          <w:rFonts w:hint="eastAsia" w:ascii="仿宋" w:hAnsi="仿宋" w:eastAsia="仿宋" w:cs="仿宋"/>
          <w:sz w:val="21"/>
          <w:szCs w:val="21"/>
        </w:rPr>
        <w:t>包括猪、牛、羊等畜类，禽</w:t>
      </w:r>
      <w:r>
        <w:rPr>
          <w:rFonts w:hint="eastAsia" w:ascii="仿宋" w:hAnsi="仿宋" w:eastAsia="仿宋" w:cs="仿宋"/>
          <w:sz w:val="21"/>
          <w:szCs w:val="21"/>
          <w:lang w:eastAsia="zh-CN"/>
        </w:rPr>
        <w:t>类</w:t>
      </w:r>
      <w:r>
        <w:rPr>
          <w:rFonts w:hint="eastAsia" w:ascii="仿宋" w:hAnsi="仿宋" w:eastAsia="仿宋" w:cs="仿宋"/>
          <w:sz w:val="21"/>
          <w:szCs w:val="21"/>
          <w:lang w:val="en-US" w:eastAsia="zh-CN"/>
        </w:rPr>
        <w:t>包括</w:t>
      </w:r>
      <w:r>
        <w:rPr>
          <w:rFonts w:hint="eastAsia" w:ascii="仿宋" w:hAnsi="仿宋" w:eastAsia="仿宋" w:cs="仿宋"/>
          <w:sz w:val="21"/>
          <w:szCs w:val="21"/>
        </w:rPr>
        <w:t>鸡、鸭、鹅等禽类，</w:t>
      </w:r>
      <w:r>
        <w:rPr>
          <w:rFonts w:hint="eastAsia" w:ascii="仿宋" w:hAnsi="仿宋" w:eastAsia="仿宋" w:cs="仿宋"/>
          <w:sz w:val="21"/>
          <w:szCs w:val="21"/>
          <w:lang w:val="en-US" w:eastAsia="zh-CN"/>
        </w:rPr>
        <w:t>水产类包括</w:t>
      </w:r>
      <w:r>
        <w:rPr>
          <w:rFonts w:hint="eastAsia" w:ascii="仿宋" w:hAnsi="仿宋" w:eastAsia="仿宋" w:cs="仿宋"/>
          <w:sz w:val="21"/>
          <w:szCs w:val="21"/>
        </w:rPr>
        <w:t>草鱼、鲢鱼、鲫鱼等</w:t>
      </w:r>
      <w:r>
        <w:rPr>
          <w:rFonts w:hint="eastAsia" w:ascii="仿宋" w:hAnsi="仿宋" w:eastAsia="仿宋" w:cs="仿宋"/>
          <w:sz w:val="21"/>
          <w:szCs w:val="21"/>
          <w:lang w:eastAsia="zh-CN"/>
        </w:rPr>
        <w:t>，</w:t>
      </w:r>
      <w:r>
        <w:rPr>
          <w:rFonts w:hint="eastAsia" w:ascii="仿宋" w:hAnsi="仿宋" w:eastAsia="仿宋" w:cs="仿宋"/>
          <w:sz w:val="21"/>
          <w:szCs w:val="21"/>
        </w:rPr>
        <w:t>蛋类</w:t>
      </w:r>
      <w:r>
        <w:rPr>
          <w:rFonts w:hint="eastAsia" w:ascii="仿宋" w:hAnsi="仿宋" w:eastAsia="仿宋" w:cs="仿宋"/>
          <w:sz w:val="21"/>
          <w:szCs w:val="21"/>
          <w:lang w:val="en-US" w:eastAsia="zh-CN"/>
        </w:rPr>
        <w:t>包括鸡蛋、鸭蛋等</w:t>
      </w:r>
      <w:r>
        <w:rPr>
          <w:rFonts w:hint="eastAsia" w:ascii="仿宋" w:hAnsi="仿宋" w:eastAsia="仿宋" w:cs="仿宋"/>
          <w:sz w:val="21"/>
          <w:szCs w:val="21"/>
        </w:rPr>
        <w:t>。</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1、产品总体要求（技术要求）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生鲜类（数量、品类：根据采购人实际需要品种、数量提供。）</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肉</w:t>
      </w:r>
      <w:r>
        <w:rPr>
          <w:rFonts w:hint="eastAsia" w:ascii="仿宋" w:hAnsi="仿宋" w:eastAsia="仿宋" w:cs="仿宋"/>
          <w:sz w:val="21"/>
          <w:szCs w:val="21"/>
          <w:lang w:val="en-US" w:eastAsia="zh-CN"/>
        </w:rPr>
        <w:t>类、</w:t>
      </w:r>
      <w:r>
        <w:rPr>
          <w:rFonts w:hint="eastAsia" w:ascii="仿宋" w:hAnsi="仿宋" w:eastAsia="仿宋" w:cs="仿宋"/>
          <w:sz w:val="21"/>
          <w:szCs w:val="21"/>
        </w:rPr>
        <w:t>禽类</w:t>
      </w:r>
      <w:r>
        <w:rPr>
          <w:rFonts w:hint="eastAsia" w:ascii="仿宋" w:hAnsi="仿宋" w:eastAsia="仿宋" w:cs="仿宋"/>
          <w:sz w:val="21"/>
          <w:szCs w:val="21"/>
          <w:lang w:eastAsia="zh-CN"/>
        </w:rPr>
        <w:t>，</w:t>
      </w:r>
      <w:r>
        <w:rPr>
          <w:rFonts w:hint="eastAsia" w:ascii="仿宋" w:hAnsi="仿宋" w:eastAsia="仿宋" w:cs="仿宋"/>
          <w:sz w:val="21"/>
          <w:szCs w:val="21"/>
        </w:rPr>
        <w:t>符合GB</w:t>
      </w: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31650国家最新标准</w:t>
      </w:r>
      <w:r>
        <w:rPr>
          <w:rFonts w:hint="eastAsia" w:ascii="仿宋" w:hAnsi="仿宋" w:eastAsia="仿宋" w:cs="仿宋"/>
          <w:sz w:val="21"/>
          <w:szCs w:val="21"/>
          <w:lang w:val="en-US" w:eastAsia="zh-CN"/>
        </w:rPr>
        <w:t>规定，</w:t>
      </w:r>
      <w:r>
        <w:rPr>
          <w:rFonts w:hint="eastAsia" w:ascii="仿宋" w:hAnsi="仿宋" w:eastAsia="仿宋" w:cs="仿宋"/>
          <w:sz w:val="21"/>
          <w:szCs w:val="21"/>
        </w:rPr>
        <w:t>食品中兽药最大残留限量的规定。</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冷鲜肉一级，符合GB/T 9959国家最新标准规定和国家卫生、安全标准要求。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1.1无槽头肉和血刀肉；甲状腺、肾上腺、病变淋巴摘除干净；无残留毛绒，不带长短毛；不带浮毛、凝血块、胆污、粪污及其他污染物。</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1.2色泽：肌肉色泽鲜红或深红，有光泽；脂肪呈乳白色或粉白色。</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1.3弹性（组织状态）：指压后的凹陷立即恢复。</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1.4粘度：外表微干或微湿润，不粘手。</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1.5气味：具有鲜猪肉正常气味。煮沸后肉汤透明澄清，脂肪团聚于液面，具有香味。</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1.6产品符合GB/T9959国家最新标准分割鲜冻猪瘦肉，GB</w:t>
      </w: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31650国家最新标准食品中兽药最大残留限量。</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1.7国家有定点屠宰、检验检疫要求的品种，应来自于定点屠宰厂出品、有国家规定的动物产品检疫合格证明及验讫印章、肉品品质检验合格证明及验讫印章（随每批次供货时按批次提供）。鲜猪肉(当日生产)符合成都市生猪溯源体系的要求，并将溯源资料交采购人备案待查。配送时具有动检部门检疫印章和肉品品质合格印章。</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1.8猪肉要求全程冷链配送，相关检疫证书齐全完备。</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1.9羊肉、牛肉</w:t>
      </w:r>
      <w:r>
        <w:rPr>
          <w:rFonts w:hint="eastAsia" w:ascii="仿宋" w:hAnsi="仿宋" w:eastAsia="仿宋" w:cs="仿宋"/>
          <w:sz w:val="21"/>
          <w:szCs w:val="21"/>
          <w:lang w:eastAsia="zh-CN"/>
        </w:rPr>
        <w:t>、</w:t>
      </w:r>
      <w:r>
        <w:rPr>
          <w:rFonts w:hint="eastAsia" w:ascii="仿宋" w:hAnsi="仿宋" w:eastAsia="仿宋" w:cs="仿宋"/>
          <w:sz w:val="21"/>
          <w:szCs w:val="21"/>
        </w:rPr>
        <w:t>鸡肉、鸭肉等冷鲜畜禽肉的食品安全指标应符合GB 2707国家最新标准的规定,须肉面干净、无任何异味、无毛发、表皮处理清洁，大小统一、码放整齐。</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1.10水产类、海水藻类的食品安全指标应分别符合GB 2733国家最新标准、GB 19643国家最新标准的规定。</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bCs/>
          <w:sz w:val="21"/>
          <w:szCs w:val="21"/>
        </w:rPr>
      </w:pPr>
      <w:r>
        <w:rPr>
          <w:rFonts w:hint="eastAsia" w:ascii="仿宋" w:hAnsi="仿宋" w:eastAsia="仿宋" w:cs="仿宋"/>
          <w:bCs/>
          <w:sz w:val="21"/>
          <w:szCs w:val="21"/>
        </w:rPr>
        <w:t>2、</w:t>
      </w:r>
      <w:r>
        <w:rPr>
          <w:rFonts w:hint="eastAsia" w:ascii="仿宋" w:hAnsi="仿宋" w:eastAsia="仿宋" w:cs="仿宋"/>
          <w:sz w:val="21"/>
          <w:szCs w:val="21"/>
        </w:rPr>
        <w:t>猪肉</w:t>
      </w:r>
      <w:r>
        <w:rPr>
          <w:rFonts w:hint="eastAsia" w:ascii="仿宋" w:hAnsi="仿宋" w:eastAsia="仿宋" w:cs="仿宋"/>
          <w:bCs/>
          <w:sz w:val="21"/>
          <w:szCs w:val="21"/>
        </w:rPr>
        <w:t>。</w:t>
      </w:r>
      <w:r>
        <w:rPr>
          <w:rFonts w:hint="eastAsia" w:ascii="仿宋" w:hAnsi="仿宋" w:eastAsia="仿宋" w:cs="仿宋"/>
          <w:color w:val="000000"/>
          <w:sz w:val="21"/>
          <w:szCs w:val="21"/>
        </w:rPr>
        <w:t>当天屠宰且不能是冻肉（特殊情况下取得采购人认可后方可送冻肉），</w:t>
      </w:r>
      <w:r>
        <w:rPr>
          <w:rFonts w:hint="eastAsia" w:ascii="仿宋" w:hAnsi="仿宋" w:eastAsia="仿宋" w:cs="仿宋"/>
          <w:sz w:val="21"/>
          <w:szCs w:val="21"/>
        </w:rPr>
        <w:t>应符合GB/T 9959国家最新标准，成都市生猪溯源体系的要求并有产地动物卫生监督机构出具的检疫（或检测）合格证明和动物产品检疫（或检测）合格验讫印章以及生猪定点屠宰厂肉品品质检验合格验讫印章。</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bCs/>
          <w:sz w:val="21"/>
          <w:szCs w:val="21"/>
        </w:rPr>
      </w:pPr>
      <w:r>
        <w:rPr>
          <w:rFonts w:hint="eastAsia" w:ascii="仿宋" w:hAnsi="仿宋" w:eastAsia="仿宋" w:cs="仿宋"/>
          <w:bCs/>
          <w:sz w:val="21"/>
          <w:szCs w:val="21"/>
        </w:rPr>
        <w:t>3、</w:t>
      </w:r>
      <w:r>
        <w:rPr>
          <w:rFonts w:hint="eastAsia" w:ascii="仿宋" w:hAnsi="仿宋" w:eastAsia="仿宋" w:cs="仿宋"/>
          <w:sz w:val="21"/>
          <w:szCs w:val="21"/>
        </w:rPr>
        <w:t>鸡蛋。</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3.1</w:t>
      </w:r>
      <w:r>
        <w:rPr>
          <w:rFonts w:hint="eastAsia" w:ascii="仿宋" w:hAnsi="仿宋" w:eastAsia="仿宋" w:cs="仿宋"/>
          <w:sz w:val="21"/>
          <w:szCs w:val="21"/>
        </w:rPr>
        <w:t>每枚净重不得少于50g，汞含量符合GB</w:t>
      </w: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2749国家最新标准，其他理化指标符合GB</w:t>
      </w: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2749国家最新标准。须有动物检疫合格证，包装规范，应采用符合国家食品安全标准要求的包装材料。</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3.2</w:t>
      </w:r>
      <w:r>
        <w:rPr>
          <w:rFonts w:hint="eastAsia" w:ascii="仿宋" w:hAnsi="仿宋" w:eastAsia="仿宋" w:cs="仿宋"/>
          <w:sz w:val="21"/>
          <w:szCs w:val="21"/>
        </w:rPr>
        <w:t>色泽：具有禽蛋固有的色泽。</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3.3</w:t>
      </w:r>
      <w:r>
        <w:rPr>
          <w:rFonts w:hint="eastAsia" w:ascii="仿宋" w:hAnsi="仿宋" w:eastAsia="仿宋" w:cs="仿宋"/>
          <w:sz w:val="21"/>
          <w:szCs w:val="21"/>
        </w:rPr>
        <w:t>组织形状：蛋壳清洁、无破裂，打开后蛋黄凸起、完整、有韧性，蛋白澄清透明、稀稠分明。</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3.4</w:t>
      </w:r>
      <w:r>
        <w:rPr>
          <w:rFonts w:hint="eastAsia" w:ascii="仿宋" w:hAnsi="仿宋" w:eastAsia="仿宋" w:cs="仿宋"/>
          <w:sz w:val="21"/>
          <w:szCs w:val="21"/>
        </w:rPr>
        <w:t>气味：具有产品固有的气味，无异味。</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3.5</w:t>
      </w:r>
      <w:r>
        <w:rPr>
          <w:rFonts w:hint="eastAsia" w:ascii="仿宋" w:hAnsi="仿宋" w:eastAsia="仿宋" w:cs="仿宋"/>
          <w:sz w:val="21"/>
          <w:szCs w:val="21"/>
        </w:rPr>
        <w:t>杂质：无杂质，内容物不得有血块或其他鸡组织异物。</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sz w:val="21"/>
          <w:szCs w:val="21"/>
        </w:rPr>
        <w:t>鲜蛋的感官指标不低于国家有关食品质量标准的二级指标要求，应保证新鲜；散装生鲜禽蛋应有动物产品检疫（或检测）合格证明或出县境动物产品检疫（或检测）合格证明，外地生鲜禽蛋应有其所在地农业部门的检疫（或检测）合格证明或检疫（或检测）验讫标识。保证新鲜、清洁、无破损；外壳坚固完整，色泽自然有光泽；包装应采用符合国家卫生标准要求的包装材料。</w:t>
      </w:r>
    </w:p>
    <w:p>
      <w:pPr>
        <w:keepNext w:val="0"/>
        <w:keepLines w:val="0"/>
        <w:pageBreakBefore w:val="0"/>
        <w:widowControl w:val="0"/>
        <w:kinsoku/>
        <w:wordWrap/>
        <w:overflowPunct/>
        <w:topLinePunct w:val="0"/>
        <w:autoSpaceDE/>
        <w:autoSpaceDN/>
        <w:bidi w:val="0"/>
        <w:spacing w:line="260" w:lineRule="exact"/>
        <w:ind w:firstLine="422" w:firstLineChars="200"/>
        <w:rPr>
          <w:rFonts w:hint="eastAsia" w:ascii="仿宋" w:hAnsi="仿宋" w:eastAsia="仿宋" w:cs="仿宋"/>
          <w:color w:val="auto"/>
          <w:sz w:val="21"/>
          <w:szCs w:val="21"/>
        </w:rPr>
      </w:pPr>
      <w:r>
        <w:rPr>
          <w:rFonts w:hint="eastAsia" w:ascii="仿宋" w:hAnsi="仿宋" w:eastAsia="仿宋" w:cs="仿宋"/>
          <w:b/>
          <w:bCs/>
          <w:color w:val="auto"/>
          <w:sz w:val="21"/>
          <w:szCs w:val="21"/>
        </w:rPr>
        <w:t>（二）蔬菜类</w:t>
      </w:r>
      <w:r>
        <w:rPr>
          <w:rFonts w:hint="eastAsia" w:ascii="仿宋" w:hAnsi="仿宋" w:eastAsia="仿宋" w:cs="仿宋"/>
          <w:b/>
          <w:bCs/>
          <w:color w:val="auto"/>
          <w:sz w:val="21"/>
          <w:szCs w:val="21"/>
          <w:lang w:eastAsia="zh-CN"/>
        </w:rPr>
        <w:t>：</w:t>
      </w:r>
      <w:r>
        <w:rPr>
          <w:rFonts w:hint="eastAsia" w:ascii="仿宋" w:hAnsi="仿宋" w:eastAsia="仿宋" w:cs="仿宋"/>
          <w:color w:val="auto"/>
          <w:sz w:val="21"/>
          <w:szCs w:val="21"/>
        </w:rPr>
        <w:t>主要包括土豆、萝卜、白菜、花菜、佛手瓜、冬瓜、茄子、豇豆、青豆等叶菜类、茎菜类、根菜类、果菜类、花菜等。</w:t>
      </w:r>
    </w:p>
    <w:p>
      <w:pPr>
        <w:keepNext w:val="0"/>
        <w:keepLines w:val="0"/>
        <w:pageBreakBefore w:val="0"/>
        <w:widowControl w:val="0"/>
        <w:kinsoku/>
        <w:wordWrap/>
        <w:overflowPunct/>
        <w:topLinePunct w:val="0"/>
        <w:autoSpaceDE/>
        <w:autoSpaceDN/>
        <w:bidi w:val="0"/>
        <w:adjustRightInd/>
        <w:snapToGrid/>
        <w:spacing w:line="260" w:lineRule="exact"/>
        <w:ind w:firstLine="420" w:firstLineChars="200"/>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1、产品总体要求（技术要求）</w:t>
      </w:r>
    </w:p>
    <w:p>
      <w:pPr>
        <w:keepNext w:val="0"/>
        <w:keepLines w:val="0"/>
        <w:pageBreakBefore w:val="0"/>
        <w:widowControl w:val="0"/>
        <w:kinsoku/>
        <w:wordWrap/>
        <w:overflowPunct/>
        <w:topLinePunct w:val="0"/>
        <w:autoSpaceDE/>
        <w:autoSpaceDN/>
        <w:bidi w:val="0"/>
        <w:adjustRightInd/>
        <w:snapToGrid/>
        <w:spacing w:line="260" w:lineRule="exact"/>
        <w:ind w:firstLine="420" w:firstLineChars="200"/>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1.1蔬菜（数量、品类：根据采购人实际需要品种、数量提供。）</w:t>
      </w:r>
    </w:p>
    <w:p>
      <w:pPr>
        <w:keepNext w:val="0"/>
        <w:keepLines w:val="0"/>
        <w:pageBreakBefore w:val="0"/>
        <w:widowControl w:val="0"/>
        <w:kinsoku/>
        <w:wordWrap/>
        <w:overflowPunct/>
        <w:topLinePunct w:val="0"/>
        <w:autoSpaceDE/>
        <w:autoSpaceDN/>
        <w:bidi w:val="0"/>
        <w:adjustRightInd/>
        <w:snapToGrid/>
        <w:spacing w:line="260" w:lineRule="exact"/>
        <w:ind w:firstLine="420" w:firstLineChars="200"/>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1.2叶菜类：鲜嫩，无枯黄叶，无花斑叶，无烂叶；叶茎完整无折断，基部不老化，干爽无水；无裂口损伤，表面无泥土及其它杂物，无农药残留。</w:t>
      </w:r>
    </w:p>
    <w:p>
      <w:pPr>
        <w:keepNext w:val="0"/>
        <w:keepLines w:val="0"/>
        <w:pageBreakBefore w:val="0"/>
        <w:widowControl w:val="0"/>
        <w:kinsoku/>
        <w:wordWrap/>
        <w:overflowPunct/>
        <w:topLinePunct w:val="0"/>
        <w:autoSpaceDE/>
        <w:autoSpaceDN/>
        <w:bidi w:val="0"/>
        <w:adjustRightInd/>
        <w:snapToGrid/>
        <w:spacing w:line="260" w:lineRule="exact"/>
        <w:ind w:firstLine="420" w:firstLineChars="200"/>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1.3根茎类：个体均匀，根形完整，无畸形，无泥土，无虫蛀和机械伤，无腐烂，无断折断裂，不萎蔫变软，不发芽，不变绿，不空心，不糠心，不黑心，弹击有实心感，无农药残留。</w:t>
      </w:r>
    </w:p>
    <w:p>
      <w:pPr>
        <w:keepNext w:val="0"/>
        <w:keepLines w:val="0"/>
        <w:pageBreakBefore w:val="0"/>
        <w:widowControl w:val="0"/>
        <w:kinsoku/>
        <w:wordWrap/>
        <w:overflowPunct/>
        <w:topLinePunct w:val="0"/>
        <w:autoSpaceDE/>
        <w:autoSpaceDN/>
        <w:bidi w:val="0"/>
        <w:adjustRightInd/>
        <w:snapToGrid/>
        <w:spacing w:line="260" w:lineRule="exact"/>
        <w:ind w:firstLine="420" w:firstLineChars="200"/>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1.4芽苗类：鲜嫩、无老叶、无花斑黄叶，根部切口新鲜，茎叶完整，无腐烂现象，无农药残留。</w:t>
      </w:r>
    </w:p>
    <w:p>
      <w:pPr>
        <w:keepNext w:val="0"/>
        <w:keepLines w:val="0"/>
        <w:pageBreakBefore w:val="0"/>
        <w:widowControl w:val="0"/>
        <w:kinsoku/>
        <w:wordWrap/>
        <w:overflowPunct/>
        <w:topLinePunct w:val="0"/>
        <w:autoSpaceDE/>
        <w:autoSpaceDN/>
        <w:bidi w:val="0"/>
        <w:adjustRightInd/>
        <w:snapToGrid/>
        <w:spacing w:line="260" w:lineRule="exact"/>
        <w:ind w:firstLine="420" w:firstLineChars="200"/>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1.5菌类：色泽与其品种相适应，气味正常；无腐烂及虫蛀株，无发霉，无失水枯萎， 朵片完整，手轻捏不能有水渗出为宜。</w:t>
      </w:r>
    </w:p>
    <w:p>
      <w:pPr>
        <w:keepNext w:val="0"/>
        <w:keepLines w:val="0"/>
        <w:pageBreakBefore w:val="0"/>
        <w:widowControl w:val="0"/>
        <w:kinsoku/>
        <w:wordWrap/>
        <w:overflowPunct/>
        <w:topLinePunct w:val="0"/>
        <w:autoSpaceDE/>
        <w:autoSpaceDN/>
        <w:bidi w:val="0"/>
        <w:adjustRightInd/>
        <w:snapToGrid/>
        <w:spacing w:line="260" w:lineRule="exact"/>
        <w:ind w:firstLine="420" w:firstLineChars="200"/>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1.6所投产品必须符合GB 2763国家最新标准和安全标准及GB 2762国家最新标准食品中污染物限量标准。所列产品标准如国家有调整的，应以调整后的最新标准为准。农药残留及重金属不得超标，不得含有国家全面禁止使用的农药成份。</w:t>
      </w:r>
    </w:p>
    <w:p>
      <w:pPr>
        <w:keepNext w:val="0"/>
        <w:keepLines w:val="0"/>
        <w:pageBreakBefore w:val="0"/>
        <w:widowControl w:val="0"/>
        <w:kinsoku/>
        <w:wordWrap/>
        <w:overflowPunct/>
        <w:topLinePunct w:val="0"/>
        <w:autoSpaceDE/>
        <w:autoSpaceDN/>
        <w:bidi w:val="0"/>
        <w:adjustRightInd/>
        <w:snapToGrid/>
        <w:spacing w:line="260" w:lineRule="exact"/>
        <w:ind w:firstLine="420" w:firstLineChars="200"/>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1.7原菜须保证菜面干净、无明显泥土、码放整齐、无破损、不得过熟或欠熟；净菜须保证菜面完全干净、无泥土、按统一标准加工、码放整齐，并按相关规定配送前采样送检，并提供具有农药、杀虫剂等残留检测合格的报告。</w:t>
      </w:r>
    </w:p>
    <w:p>
      <w:pPr>
        <w:keepNext w:val="0"/>
        <w:keepLines w:val="0"/>
        <w:pageBreakBefore w:val="0"/>
        <w:widowControl w:val="0"/>
        <w:kinsoku/>
        <w:wordWrap/>
        <w:overflowPunct/>
        <w:topLinePunct w:val="0"/>
        <w:autoSpaceDE/>
        <w:autoSpaceDN/>
        <w:bidi w:val="0"/>
        <w:spacing w:line="260" w:lineRule="exact"/>
        <w:ind w:firstLine="422" w:firstLineChars="200"/>
        <w:rPr>
          <w:rFonts w:hint="eastAsia" w:ascii="仿宋" w:hAnsi="仿宋" w:eastAsia="仿宋" w:cs="仿宋"/>
          <w:color w:val="auto"/>
          <w:sz w:val="21"/>
          <w:szCs w:val="21"/>
        </w:rPr>
      </w:pPr>
      <w:r>
        <w:rPr>
          <w:rFonts w:hint="eastAsia" w:ascii="仿宋" w:hAnsi="仿宋" w:eastAsia="仿宋" w:cs="仿宋"/>
          <w:b/>
          <w:bCs/>
          <w:color w:val="auto"/>
          <w:sz w:val="21"/>
          <w:szCs w:val="21"/>
        </w:rPr>
        <w:t>（三）干杂类</w:t>
      </w:r>
      <w:r>
        <w:rPr>
          <w:rFonts w:hint="eastAsia" w:ascii="仿宋" w:hAnsi="仿宋" w:eastAsia="仿宋" w:cs="仿宋"/>
          <w:color w:val="auto"/>
          <w:sz w:val="21"/>
          <w:szCs w:val="21"/>
        </w:rPr>
        <w:t>。主要包括米、面、油、奶制品、干货</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rPr>
        <w:t>调料等一切干杂辅料类</w:t>
      </w:r>
      <w:r>
        <w:rPr>
          <w:rFonts w:hint="eastAsia" w:ascii="仿宋" w:hAnsi="仿宋" w:eastAsia="仿宋" w:cs="仿宋"/>
          <w:color w:val="auto"/>
          <w:sz w:val="21"/>
          <w:szCs w:val="21"/>
          <w:lang w:eastAsia="zh-CN"/>
        </w:rPr>
        <w:t>。</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1、产品总体要求（技术要求）</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1.1干杂类（数量、品类：根据采购人实际需要品种、数量提供。）</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1.2不得含有二氧化硫及重金属元素和非法使用添加剂；农药残留不得超标，须优质、无感观异常。符合国家最新质量标准和安全标准。</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1.3</w:t>
      </w:r>
      <w:r>
        <w:rPr>
          <w:rFonts w:hint="eastAsia" w:ascii="仿宋" w:hAnsi="仿宋" w:eastAsia="仿宋" w:cs="仿宋"/>
          <w:color w:val="auto"/>
          <w:sz w:val="21"/>
          <w:szCs w:val="21"/>
          <w:lang w:val="en-US" w:eastAsia="zh-CN"/>
        </w:rPr>
        <w:t>所有</w:t>
      </w:r>
      <w:r>
        <w:rPr>
          <w:rFonts w:hint="eastAsia" w:ascii="仿宋" w:hAnsi="仿宋" w:eastAsia="仿宋" w:cs="仿宋"/>
          <w:color w:val="auto"/>
          <w:sz w:val="21"/>
          <w:szCs w:val="21"/>
        </w:rPr>
        <w:t>配送</w:t>
      </w:r>
      <w:r>
        <w:rPr>
          <w:rFonts w:hint="eastAsia" w:ascii="仿宋" w:hAnsi="仿宋" w:eastAsia="仿宋" w:cs="仿宋"/>
          <w:color w:val="auto"/>
          <w:sz w:val="21"/>
          <w:szCs w:val="21"/>
          <w:lang w:val="en-US" w:eastAsia="zh-CN"/>
        </w:rPr>
        <w:t>产品必须有明确的</w:t>
      </w:r>
      <w:r>
        <w:rPr>
          <w:rFonts w:hint="eastAsia" w:ascii="仿宋" w:hAnsi="仿宋" w:eastAsia="仿宋" w:cs="仿宋"/>
          <w:color w:val="auto"/>
          <w:sz w:val="21"/>
          <w:szCs w:val="21"/>
        </w:rPr>
        <w:t>种类、品牌、规格，</w:t>
      </w:r>
      <w:r>
        <w:rPr>
          <w:rFonts w:hint="eastAsia" w:ascii="仿宋" w:hAnsi="仿宋" w:eastAsia="仿宋" w:cs="仿宋"/>
          <w:color w:val="auto"/>
          <w:sz w:val="21"/>
          <w:szCs w:val="21"/>
          <w:lang w:val="en-US" w:eastAsia="zh-CN"/>
        </w:rPr>
        <w:t>净含量、</w:t>
      </w:r>
      <w:r>
        <w:rPr>
          <w:rFonts w:hint="eastAsia" w:ascii="仿宋" w:hAnsi="仿宋" w:eastAsia="仿宋" w:cs="仿宋"/>
          <w:color w:val="auto"/>
          <w:sz w:val="21"/>
          <w:szCs w:val="21"/>
        </w:rPr>
        <w:t>生产日期</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保质期等</w:t>
      </w:r>
      <w:r>
        <w:rPr>
          <w:rFonts w:hint="eastAsia" w:ascii="仿宋" w:hAnsi="仿宋" w:eastAsia="仿宋" w:cs="仿宋"/>
          <w:color w:val="auto"/>
          <w:sz w:val="21"/>
          <w:szCs w:val="21"/>
        </w:rPr>
        <w:t>，包装完整、无任何破损、无挤压、无破碎、无异味、无任何表面附着物或衍生物。</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1.4 产品符合国家质量安全检验标准、随货有该批次产品质量检测合格证、包装完好无损、外观无霉变、无斑点、无腐烂变质，有该物品独有的气味、无异味。有效期须在保质期二分之一天数之内，凭出厂合格证与检验员章确认质量，具有相关产品检验报告，在保质期内有SC标记。</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1.5食用盐：精制盐，加碘，符合国家最新或行业标准。白色，味咸，无异味，无明显与盐无关的外来异物。食品添加剂与营养强化剂的质量应符合相应的标准和有关要求。</w:t>
      </w:r>
      <w:r>
        <w:rPr>
          <w:rFonts w:hint="eastAsia" w:ascii="仿宋" w:hAnsi="仿宋" w:eastAsia="仿宋" w:cs="仿宋"/>
          <w:b/>
          <w:bCs/>
          <w:color w:val="auto"/>
          <w:sz w:val="21"/>
          <w:szCs w:val="21"/>
        </w:rPr>
        <w:t>食用盐由各省级市场监督管理</w:t>
      </w:r>
      <w:r>
        <w:rPr>
          <w:rFonts w:hint="eastAsia" w:ascii="仿宋" w:hAnsi="仿宋" w:eastAsia="仿宋" w:cs="仿宋"/>
          <w:b/>
          <w:bCs/>
          <w:color w:val="auto"/>
          <w:sz w:val="21"/>
          <w:szCs w:val="21"/>
          <w:lang w:eastAsia="zh-CN"/>
        </w:rPr>
        <w:t>部门</w:t>
      </w:r>
      <w:r>
        <w:rPr>
          <w:rFonts w:hint="eastAsia" w:ascii="仿宋" w:hAnsi="仿宋" w:eastAsia="仿宋" w:cs="仿宋"/>
          <w:b/>
          <w:bCs/>
          <w:color w:val="auto"/>
          <w:sz w:val="21"/>
          <w:szCs w:val="21"/>
        </w:rPr>
        <w:t>批准</w:t>
      </w:r>
      <w:r>
        <w:rPr>
          <w:rFonts w:hint="eastAsia" w:ascii="仿宋" w:hAnsi="仿宋" w:eastAsia="仿宋" w:cs="仿宋"/>
          <w:b/>
          <w:bCs/>
          <w:color w:val="auto"/>
          <w:sz w:val="21"/>
          <w:szCs w:val="21"/>
          <w:lang w:eastAsia="zh-CN"/>
        </w:rPr>
        <w:t>的</w:t>
      </w:r>
      <w:r>
        <w:rPr>
          <w:rFonts w:hint="eastAsia" w:ascii="仿宋" w:hAnsi="仿宋" w:eastAsia="仿宋" w:cs="仿宋"/>
          <w:b/>
          <w:bCs/>
          <w:color w:val="auto"/>
          <w:sz w:val="21"/>
          <w:szCs w:val="21"/>
        </w:rPr>
        <w:t>定点企业进行生产</w:t>
      </w:r>
      <w:r>
        <w:rPr>
          <w:rFonts w:hint="eastAsia" w:ascii="仿宋" w:hAnsi="仿宋" w:eastAsia="仿宋" w:cs="仿宋"/>
          <w:color w:val="auto"/>
          <w:sz w:val="21"/>
          <w:szCs w:val="21"/>
        </w:rPr>
        <w:t>。</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1.6菜籽油</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菜籽油为非转基因食用植物油，食用油的食品安全指标应符合GB 2716国家最新标准的规定， 其中：成品菜籽油的质量指标不低于 GB/T 1536 国家最新标准的二级压榨成品菜籽油的技术要求。食品中污染物限量标准应符合国家标准GB 2762国家最新标准、GB 2761国家最新标准规定或国家卫生、食品安全最新标准，即预包装原料必须为原公司（厂）生产的全新产品，符合国家相关规定的质量标准、环保标准、技术参数和规格要求并达到采购方对食材的要求，特殊食品必须符合国家有关特殊标准和规定。不得提供假冒伪劣、有毒有害食品。</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桶装，每桶一次性密封装。</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包装符合GB/T 17374国家最新标准。</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保质期不少于12个月。</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在油桶的肩部刻有清晰的生产日期。</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在油桶上印有清晰地生产日期。油桶上注明产品名称、配料、加工原料、净含量、厂名、厂址、保质期、联系方式、质量等级、生产工艺、营养成分表、生产许可证号、贮存条件、原料原产地。</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1.7大米</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①不低于GB/T 1354国家最新标准一级定等指标的技术要求；</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②国标二级籼稻大米（产品与标注情况一致）；</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③袋装；</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④包装符合GB/T 17109国家最新标准 粮食销售包装标准；</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⑤保质期不少于 6 个月；</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⑥生产日期标注在独立的纸制生产合格证上并固定于袋口封装线上，在未拆封包装袋之前完全能清晰看清生产日期。外包装上注明产品名称、原料、产地、净含量、厂名、厂址、生产日期、保质期、产品标准号、联系方式、质量等级、营养成分表、生产许可证编号、贮存条件；</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⑦生产日期标注在独立的生产合格证上并固定于袋口封装线上；在未拆封包装袋之前完全能清楚看清生产日期。</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1.8面粉及面制品</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①</w:t>
      </w:r>
      <w:r>
        <w:rPr>
          <w:rFonts w:hint="eastAsia" w:ascii="仿宋" w:hAnsi="仿宋" w:eastAsia="仿宋" w:cs="仿宋"/>
          <w:sz w:val="21"/>
          <w:szCs w:val="21"/>
          <w:lang w:eastAsia="zh-CN"/>
        </w:rPr>
        <w:t>特制一等粉：</w:t>
      </w:r>
      <w:r>
        <w:rPr>
          <w:rFonts w:hint="eastAsia" w:ascii="仿宋" w:hAnsi="仿宋" w:eastAsia="仿宋" w:cs="仿宋"/>
          <w:sz w:val="21"/>
          <w:szCs w:val="21"/>
        </w:rPr>
        <w:t>符合国家最新或行业标准。②</w:t>
      </w:r>
      <w:r>
        <w:rPr>
          <w:rFonts w:hint="eastAsia" w:ascii="仿宋" w:hAnsi="仿宋" w:eastAsia="仿宋" w:cs="仿宋"/>
          <w:sz w:val="21"/>
          <w:szCs w:val="21"/>
          <w:lang w:eastAsia="zh-CN"/>
        </w:rPr>
        <w:t>特制二等粉：</w:t>
      </w:r>
      <w:r>
        <w:rPr>
          <w:rFonts w:hint="eastAsia" w:ascii="仿宋" w:hAnsi="仿宋" w:eastAsia="仿宋" w:cs="仿宋"/>
          <w:sz w:val="21"/>
          <w:szCs w:val="21"/>
        </w:rPr>
        <w:t>质量指标不低于 GB/T 1355国家最新标准的特制二等指标的技术要求。</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③面粉色泽呈乳白色或淡黄色，不发暗，无杂质，无粗粒感，流散性好，不结块，有自然的麦香味。</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④袋装；</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⑤保质期不少于 6 个月；</w:t>
      </w:r>
    </w:p>
    <w:p>
      <w:pPr>
        <w:keepNext w:val="0"/>
        <w:keepLines w:val="0"/>
        <w:pageBreakBefore w:val="0"/>
        <w:widowControl w:val="0"/>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sz w:val="21"/>
          <w:szCs w:val="21"/>
        </w:rPr>
        <w:t>⑥生产日期标注在独立的纸制生产合格证上并固定于袋口封装线上，在未拆封包装袋之前完全能清晰看清生产日期。外包装上注明产品名称、原料、产地、净含量、厂名、厂址、生产日期、保质期、产品标准号、联系方式、质量等级、营养成分表、生产许可证编号、贮存条件</w:t>
      </w:r>
      <w:r>
        <w:rPr>
          <w:rFonts w:hint="eastAsia" w:ascii="仿宋" w:hAnsi="仿宋" w:eastAsia="仿宋" w:cs="仿宋"/>
          <w:sz w:val="21"/>
          <w:szCs w:val="21"/>
          <w:lang w:eastAsia="zh-CN"/>
        </w:rPr>
        <w:t>。</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1.7项、1.8项要求的食品原料的食品安全指标应符合相应食品安全国家标准的规定，分等分级的质量指标不低于国家有关食品质量标准的中位数水平，如质量或规格等级划分为 1、2、3、4、5 或大（L）、 中（M）、小（S）的，应选择 1、2 或大（L）、中（M）等级。食品原料的包装应完整、清洁、无破损，包装有关食品名称、生产日期、保质期限、质量等级、生产经营者等标识内容应与其内装物一致。预包装类食品原料应具有SC标记。其中：成品粮（大米、小麦粉或面粉）的食品安全指标应符合 GB 2715国家最新标准的规定。</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1.9奶制品</w:t>
      </w:r>
      <w:r>
        <w:rPr>
          <w:rFonts w:hint="eastAsia" w:ascii="仿宋" w:hAnsi="仿宋" w:eastAsia="仿宋" w:cs="仿宋"/>
          <w:sz w:val="21"/>
          <w:szCs w:val="21"/>
        </w:rPr>
        <w:t>：符合 GB 25190国家最新标准《食品安全国家标准 灭菌乳》及 GB 7718国家最新标准《食品安全国家标准 预包装食品标签通则》或国家卫生、食品安全最新标准。每批货均需提供盒装奶生产厂家出具的《质检报告》。外观呈乳白色或微黄色，具有乳固有的香味，呈均匀一致液体，无凝块、无沉淀、无正常视力可见异物。</w:t>
      </w:r>
    </w:p>
    <w:p>
      <w:pPr>
        <w:keepNext w:val="0"/>
        <w:keepLines w:val="0"/>
        <w:pageBreakBefore w:val="0"/>
        <w:widowControl w:val="0"/>
        <w:kinsoku/>
        <w:wordWrap/>
        <w:overflowPunct/>
        <w:topLinePunct w:val="0"/>
        <w:autoSpaceDE/>
        <w:autoSpaceDN/>
        <w:bidi w:val="0"/>
        <w:snapToGrid w:val="0"/>
        <w:spacing w:line="260" w:lineRule="exact"/>
        <w:ind w:firstLine="422" w:firstLineChars="200"/>
        <w:textAlignment w:val="auto"/>
        <w:rPr>
          <w:rFonts w:hint="eastAsia" w:ascii="仿宋" w:hAnsi="仿宋" w:eastAsia="仿宋" w:cs="仿宋"/>
          <w:color w:val="000000"/>
          <w:sz w:val="21"/>
          <w:szCs w:val="21"/>
        </w:rPr>
      </w:pPr>
      <w:r>
        <w:rPr>
          <w:rFonts w:hint="eastAsia" w:ascii="仿宋" w:hAnsi="仿宋" w:eastAsia="仿宋" w:cs="仿宋"/>
          <w:b/>
          <w:bCs/>
          <w:color w:val="auto"/>
          <w:sz w:val="21"/>
          <w:szCs w:val="21"/>
        </w:rPr>
        <w:t>（</w:t>
      </w:r>
      <w:r>
        <w:rPr>
          <w:rFonts w:hint="eastAsia" w:ascii="仿宋" w:hAnsi="仿宋" w:eastAsia="仿宋" w:cs="仿宋"/>
          <w:b/>
          <w:bCs/>
          <w:color w:val="auto"/>
          <w:sz w:val="21"/>
          <w:szCs w:val="21"/>
          <w:lang w:eastAsia="zh-CN"/>
        </w:rPr>
        <w:t>四</w:t>
      </w:r>
      <w:r>
        <w:rPr>
          <w:rFonts w:hint="eastAsia" w:ascii="仿宋" w:hAnsi="仿宋" w:eastAsia="仿宋" w:cs="仿宋"/>
          <w:b/>
          <w:bCs/>
          <w:color w:val="auto"/>
          <w:sz w:val="21"/>
          <w:szCs w:val="21"/>
        </w:rPr>
        <w:t>）水果类</w:t>
      </w:r>
      <w:r>
        <w:rPr>
          <w:rFonts w:hint="eastAsia" w:ascii="仿宋" w:hAnsi="仿宋" w:eastAsia="仿宋" w:cs="仿宋"/>
          <w:color w:val="auto"/>
          <w:sz w:val="21"/>
          <w:szCs w:val="21"/>
        </w:rPr>
        <w:t>：</w:t>
      </w:r>
      <w:r>
        <w:rPr>
          <w:rFonts w:hint="eastAsia" w:ascii="仿宋" w:hAnsi="仿宋" w:eastAsia="仿宋" w:cs="仿宋"/>
          <w:sz w:val="21"/>
          <w:szCs w:val="21"/>
        </w:rPr>
        <w:t>水果类必须保证果型匀称，色泽均匀，无干疤、斑点、裂口、腐烂，口感好</w:t>
      </w:r>
      <w:r>
        <w:rPr>
          <w:rFonts w:hint="eastAsia" w:ascii="仿宋" w:hAnsi="仿宋" w:eastAsia="仿宋" w:cs="仿宋"/>
          <w:color w:val="000000"/>
          <w:sz w:val="21"/>
          <w:szCs w:val="21"/>
        </w:rPr>
        <w:t>。水果必须保证其新鲜度，残余农药含量不能超过国家有关标准。由水果引发的食物中毒等安全事故，由中标供应商负全责。</w:t>
      </w:r>
    </w:p>
    <w:p>
      <w:pPr>
        <w:keepNext w:val="0"/>
        <w:keepLines w:val="0"/>
        <w:pageBreakBefore w:val="0"/>
        <w:widowControl w:val="0"/>
        <w:kinsoku/>
        <w:wordWrap/>
        <w:overflowPunct/>
        <w:topLinePunct w:val="0"/>
        <w:autoSpaceDE/>
        <w:autoSpaceDN/>
        <w:bidi w:val="0"/>
        <w:snapToGrid w:val="0"/>
        <w:spacing w:line="260" w:lineRule="exact"/>
        <w:ind w:firstLine="422" w:firstLineChars="200"/>
        <w:rPr>
          <w:rFonts w:hint="eastAsia" w:ascii="仿宋" w:hAnsi="仿宋" w:eastAsia="仿宋" w:cs="仿宋"/>
          <w:b/>
          <w:bCs/>
          <w:color w:val="auto"/>
          <w:sz w:val="21"/>
          <w:szCs w:val="21"/>
        </w:rPr>
      </w:pPr>
      <w:r>
        <w:rPr>
          <w:rFonts w:hint="eastAsia" w:ascii="仿宋" w:hAnsi="仿宋" w:eastAsia="仿宋" w:cs="仿宋"/>
          <w:b/>
          <w:bCs/>
          <w:color w:val="auto"/>
          <w:sz w:val="21"/>
          <w:szCs w:val="21"/>
        </w:rPr>
        <w:t>（</w:t>
      </w:r>
      <w:r>
        <w:rPr>
          <w:rFonts w:hint="eastAsia" w:ascii="仿宋" w:hAnsi="仿宋" w:eastAsia="仿宋" w:cs="仿宋"/>
          <w:b/>
          <w:bCs/>
          <w:color w:val="auto"/>
          <w:sz w:val="21"/>
          <w:szCs w:val="21"/>
          <w:lang w:eastAsia="zh-CN"/>
        </w:rPr>
        <w:t>五</w:t>
      </w:r>
      <w:r>
        <w:rPr>
          <w:rFonts w:hint="eastAsia" w:ascii="仿宋" w:hAnsi="仿宋" w:eastAsia="仿宋" w:cs="仿宋"/>
          <w:b/>
          <w:bCs/>
          <w:color w:val="auto"/>
          <w:sz w:val="21"/>
          <w:szCs w:val="21"/>
        </w:rPr>
        <w:t>）食品安全要求：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以上所有产品必须符合国家的相关标准与要求，并在配送时按要求提供产品所涉及的《全国工业产品生产许可证》、《食品生产许可证》、《生猪定点屠宰证》和《动物防疫条件合格证》等国家强制规定材料，不得提供转基因食品或利用转基因食品原料加工的成品</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冷链食品必须通过四川省冷链食品追溯平台“川冷链”采购，必须查验海关检疫证明、通关证明、消毒证明和核酸检测报告的“三证明一报告”，证明材料不全的，严禁采购。</w:t>
      </w:r>
      <w:r>
        <w:rPr>
          <w:rFonts w:hint="eastAsia" w:ascii="仿宋" w:hAnsi="仿宋" w:eastAsia="仿宋" w:cs="仿宋"/>
          <w:color w:val="auto"/>
          <w:sz w:val="21"/>
          <w:szCs w:val="21"/>
        </w:rPr>
        <w:t>投标人所供产品达到相关食品卫生安全规定，国家有出台新的更高标准的，以新的更高标准为准，保证所供产品配送到被服务单位时的质量、卫生和安全。</w:t>
      </w:r>
    </w:p>
    <w:p>
      <w:pPr>
        <w:keepNext w:val="0"/>
        <w:keepLines w:val="0"/>
        <w:pageBreakBefore w:val="0"/>
        <w:widowControl w:val="0"/>
        <w:kinsoku/>
        <w:wordWrap/>
        <w:overflowPunct/>
        <w:topLinePunct w:val="0"/>
        <w:autoSpaceDE/>
        <w:autoSpaceDN/>
        <w:bidi w:val="0"/>
        <w:snapToGrid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2、产品供应链管理要求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1</w:t>
      </w:r>
      <w:r>
        <w:rPr>
          <w:rFonts w:hint="eastAsia" w:ascii="仿宋" w:hAnsi="仿宋" w:eastAsia="仿宋" w:cs="仿宋"/>
          <w:sz w:val="21"/>
          <w:szCs w:val="21"/>
          <w:lang w:eastAsia="zh-CN"/>
        </w:rPr>
        <w:t>）</w:t>
      </w:r>
      <w:r>
        <w:rPr>
          <w:rFonts w:hint="eastAsia" w:ascii="仿宋" w:hAnsi="仿宋" w:eastAsia="仿宋" w:cs="仿宋"/>
          <w:sz w:val="21"/>
          <w:szCs w:val="21"/>
        </w:rPr>
        <w:t>采购时应制定并完善供应商档案表，包括供应商的名称、供货能力、质量保证能力、产品质量情况、供货情况等方面的资料，严格审验供货商的许可证、合格证等证明文件，并分类建立档案，确保食品能追根溯源；</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2</w:t>
      </w:r>
      <w:r>
        <w:rPr>
          <w:rFonts w:hint="eastAsia" w:ascii="仿宋" w:hAnsi="仿宋" w:eastAsia="仿宋" w:cs="仿宋"/>
          <w:sz w:val="21"/>
          <w:szCs w:val="21"/>
          <w:lang w:eastAsia="zh-CN"/>
        </w:rPr>
        <w:t>）</w:t>
      </w:r>
      <w:r>
        <w:rPr>
          <w:rFonts w:hint="eastAsia" w:ascii="仿宋" w:hAnsi="仿宋" w:eastAsia="仿宋" w:cs="仿宋"/>
          <w:sz w:val="21"/>
          <w:szCs w:val="21"/>
        </w:rPr>
        <w:t>建立稳定的产品供应商</w:t>
      </w:r>
      <w:r>
        <w:rPr>
          <w:rFonts w:hint="eastAsia" w:ascii="仿宋" w:hAnsi="仿宋" w:eastAsia="仿宋" w:cs="仿宋"/>
          <w:sz w:val="21"/>
          <w:szCs w:val="21"/>
          <w:lang w:eastAsia="zh-CN"/>
        </w:rPr>
        <w:t>渠道</w:t>
      </w:r>
      <w:r>
        <w:rPr>
          <w:rFonts w:hint="eastAsia" w:ascii="仿宋" w:hAnsi="仿宋" w:eastAsia="仿宋" w:cs="仿宋"/>
          <w:sz w:val="21"/>
          <w:szCs w:val="21"/>
        </w:rPr>
        <w:t>；</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3</w:t>
      </w:r>
      <w:r>
        <w:rPr>
          <w:rFonts w:hint="eastAsia" w:ascii="仿宋" w:hAnsi="仿宋" w:eastAsia="仿宋" w:cs="仿宋"/>
          <w:sz w:val="21"/>
          <w:szCs w:val="21"/>
          <w:lang w:eastAsia="zh-CN"/>
        </w:rPr>
        <w:t>）</w:t>
      </w:r>
      <w:r>
        <w:rPr>
          <w:rFonts w:hint="eastAsia" w:ascii="仿宋" w:hAnsi="仿宋" w:eastAsia="仿宋" w:cs="仿宋"/>
          <w:sz w:val="21"/>
          <w:szCs w:val="21"/>
        </w:rPr>
        <w:t>根据食材配送项目的特性，制定供应商指标体系，并对其进行筛选评级，对不达标的，解除长期或短期合作关系；</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4</w:t>
      </w:r>
      <w:r>
        <w:rPr>
          <w:rFonts w:hint="eastAsia" w:ascii="仿宋" w:hAnsi="仿宋" w:eastAsia="仿宋" w:cs="仿宋"/>
          <w:sz w:val="21"/>
          <w:szCs w:val="21"/>
          <w:lang w:eastAsia="zh-CN"/>
        </w:rPr>
        <w:t>）</w:t>
      </w:r>
      <w:r>
        <w:rPr>
          <w:rFonts w:hint="eastAsia" w:ascii="仿宋" w:hAnsi="仿宋" w:eastAsia="仿宋" w:cs="仿宋"/>
          <w:sz w:val="21"/>
          <w:szCs w:val="21"/>
        </w:rPr>
        <w:t>每次购入食品，如实记录食品的进货日期、名称、规格、数量、生产批号、保质期、供货商联系方式等内容；</w:t>
      </w:r>
    </w:p>
    <w:p>
      <w:pPr>
        <w:keepNext w:val="0"/>
        <w:keepLines w:val="0"/>
        <w:pageBreakBefore w:val="0"/>
        <w:widowControl w:val="0"/>
        <w:kinsoku/>
        <w:wordWrap/>
        <w:overflowPunct/>
        <w:topLinePunct w:val="0"/>
        <w:autoSpaceDE/>
        <w:autoSpaceDN/>
        <w:bidi w:val="0"/>
        <w:snapToGrid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5</w:t>
      </w:r>
      <w:r>
        <w:rPr>
          <w:rFonts w:hint="eastAsia" w:ascii="仿宋" w:hAnsi="仿宋" w:eastAsia="仿宋" w:cs="仿宋"/>
          <w:sz w:val="21"/>
          <w:szCs w:val="21"/>
          <w:lang w:eastAsia="zh-CN"/>
        </w:rPr>
        <w:t>）</w:t>
      </w:r>
      <w:r>
        <w:rPr>
          <w:rFonts w:hint="eastAsia" w:ascii="仿宋" w:hAnsi="仿宋" w:eastAsia="仿宋" w:cs="仿宋"/>
          <w:sz w:val="21"/>
          <w:szCs w:val="21"/>
        </w:rPr>
        <w:t>食品储存仓库要做好温度湿度控制和防四害处理。</w:t>
      </w:r>
    </w:p>
    <w:p>
      <w:pPr>
        <w:keepNext w:val="0"/>
        <w:keepLines w:val="0"/>
        <w:pageBreakBefore w:val="0"/>
        <w:widowControl w:val="0"/>
        <w:kinsoku/>
        <w:wordWrap/>
        <w:overflowPunct/>
        <w:topLinePunct w:val="0"/>
        <w:autoSpaceDE/>
        <w:autoSpaceDN/>
        <w:bidi w:val="0"/>
        <w:snapToGrid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3、应急处置措施要求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（1）</w:t>
      </w:r>
      <w:r>
        <w:rPr>
          <w:rFonts w:hint="eastAsia" w:ascii="仿宋" w:hAnsi="仿宋" w:eastAsia="仿宋" w:cs="仿宋"/>
          <w:sz w:val="21"/>
          <w:szCs w:val="21"/>
        </w:rPr>
        <w:t>成立为本项目配备的食品安全突发事件预防与处置小组，切实加强组织领导，对食品安全事件的预防常抓不懈；</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（2）</w:t>
      </w:r>
      <w:r>
        <w:rPr>
          <w:rFonts w:hint="eastAsia" w:ascii="仿宋" w:hAnsi="仿宋" w:eastAsia="仿宋" w:cs="仿宋"/>
          <w:sz w:val="21"/>
          <w:szCs w:val="21"/>
        </w:rPr>
        <w:t>建立食品安全突发事件值班制度，设置并公示突发事件报告或投诉电话，尤其是在食品安全事故多发季节，要重点落实；</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（3）</w:t>
      </w:r>
      <w:r>
        <w:rPr>
          <w:rFonts w:hint="eastAsia" w:ascii="仿宋" w:hAnsi="仿宋" w:eastAsia="仿宋" w:cs="仿宋"/>
          <w:sz w:val="21"/>
          <w:szCs w:val="21"/>
        </w:rPr>
        <w:t>若发生食品安全事件应立即启动安全应急预案，封存可能导致食品安全事故的食品及其原料，配合调查；</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（4）</w:t>
      </w:r>
      <w:r>
        <w:rPr>
          <w:rFonts w:hint="eastAsia" w:ascii="仿宋" w:hAnsi="仿宋" w:eastAsia="仿宋" w:cs="仿宋"/>
          <w:sz w:val="21"/>
          <w:szCs w:val="21"/>
        </w:rPr>
        <w:t>验收时发现不合格食品，乙方应当在一小时内完成货品更换，临时接待在</w:t>
      </w:r>
      <w:r>
        <w:rPr>
          <w:rFonts w:hint="eastAsia" w:ascii="仿宋" w:hAnsi="仿宋" w:eastAsia="仿宋" w:cs="仿宋"/>
          <w:sz w:val="21"/>
          <w:szCs w:val="21"/>
          <w:lang w:val="en-US" w:eastAsia="zh-CN"/>
        </w:rPr>
        <w:t>采购人</w:t>
      </w:r>
      <w:r>
        <w:rPr>
          <w:rFonts w:hint="eastAsia" w:ascii="仿宋" w:hAnsi="仿宋" w:eastAsia="仿宋" w:cs="仿宋"/>
          <w:sz w:val="21"/>
          <w:szCs w:val="21"/>
        </w:rPr>
        <w:t>规定时间内送达，特殊紧急情况30分钟内响应并送达</w:t>
      </w:r>
      <w:r>
        <w:rPr>
          <w:rFonts w:hint="eastAsia" w:ascii="仿宋" w:hAnsi="仿宋" w:eastAsia="仿宋" w:cs="仿宋"/>
          <w:sz w:val="21"/>
          <w:szCs w:val="21"/>
          <w:lang w:eastAsia="zh-CN"/>
        </w:rPr>
        <w:t>。</w:t>
      </w:r>
    </w:p>
    <w:p>
      <w:pPr>
        <w:keepNext w:val="0"/>
        <w:keepLines w:val="0"/>
        <w:pageBreakBefore w:val="0"/>
        <w:widowControl w:val="0"/>
        <w:kinsoku/>
        <w:wordWrap/>
        <w:overflowPunct/>
        <w:topLinePunct w:val="0"/>
        <w:autoSpaceDE/>
        <w:autoSpaceDN/>
        <w:bidi w:val="0"/>
        <w:snapToGrid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4、产品质量保障要求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（1）</w:t>
      </w:r>
      <w:r>
        <w:rPr>
          <w:rFonts w:hint="eastAsia" w:ascii="仿宋" w:hAnsi="仿宋" w:eastAsia="仿宋" w:cs="仿宋"/>
          <w:sz w:val="21"/>
          <w:szCs w:val="21"/>
        </w:rPr>
        <w:t>每日配送的食材应提供检验报告，动物提供检疫合格证，蔬菜提供农残检测报告，其他食品按采购人要求提供厂家品牌产品并随附检验报告；</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（2）</w:t>
      </w:r>
      <w:r>
        <w:rPr>
          <w:rFonts w:hint="eastAsia" w:ascii="仿宋" w:hAnsi="仿宋" w:eastAsia="仿宋" w:cs="仿宋"/>
          <w:sz w:val="21"/>
          <w:szCs w:val="21"/>
        </w:rPr>
        <w:t>对畜禽肉进行水分速测，检测是否为注水肉，若供应商已做水分速测，需提供书面速测报告，验收员核实后需保存每次收货供应商提供的速测报告；</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（3）</w:t>
      </w:r>
      <w:r>
        <w:rPr>
          <w:rFonts w:hint="eastAsia" w:ascii="仿宋" w:hAnsi="仿宋" w:eastAsia="仿宋" w:cs="仿宋"/>
          <w:sz w:val="21"/>
          <w:szCs w:val="21"/>
        </w:rPr>
        <w:t>要求供应商对肉类食材进行瘦肉精检测，需提供书面检测报告，验收员核实后需保存每次收货供应商提供的报告；</w:t>
      </w:r>
    </w:p>
    <w:p>
      <w:pPr>
        <w:pageBreakBefore w:val="0"/>
        <w:widowControl w:val="0"/>
        <w:kinsoku/>
        <w:wordWrap/>
        <w:overflowPunct/>
        <w:topLinePunct w:val="0"/>
        <w:autoSpaceDE/>
        <w:autoSpaceDN/>
        <w:bidi w:val="0"/>
        <w:snapToGrid w:val="0"/>
        <w:spacing w:line="260" w:lineRule="exact"/>
        <w:ind w:firstLine="420" w:firstLineChars="200"/>
        <w:rPr>
          <w:rFonts w:hint="eastAsia"/>
          <w:sz w:val="21"/>
          <w:szCs w:val="21"/>
        </w:rPr>
      </w:pPr>
      <w:r>
        <w:rPr>
          <w:rFonts w:hint="eastAsia" w:ascii="仿宋" w:hAnsi="仿宋" w:eastAsia="仿宋" w:cs="仿宋"/>
          <w:color w:val="000000"/>
          <w:sz w:val="21"/>
          <w:szCs w:val="21"/>
          <w:lang w:val="en-US" w:eastAsia="zh-CN"/>
        </w:rPr>
        <w:t>（4）</w:t>
      </w:r>
      <w:r>
        <w:rPr>
          <w:rFonts w:hint="eastAsia" w:ascii="仿宋" w:hAnsi="仿宋" w:eastAsia="仿宋" w:cs="仿宋"/>
          <w:color w:val="000000"/>
          <w:sz w:val="21"/>
          <w:szCs w:val="21"/>
        </w:rPr>
        <w:t>配送的蔬菜肉类需具有追踪溯源标识或记录记载，并可实现追踪溯源；</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val="en-US" w:eastAsia="zh-CN"/>
        </w:rPr>
        <w:t>（5）</w:t>
      </w:r>
      <w:r>
        <w:rPr>
          <w:rFonts w:hint="eastAsia" w:ascii="仿宋" w:hAnsi="仿宋" w:eastAsia="仿宋" w:cs="仿宋"/>
          <w:sz w:val="21"/>
          <w:szCs w:val="21"/>
        </w:rPr>
        <w:t>配送产品符合《食品安全法》相关要求，达到相关食品卫生安全规定，国家有出台新的更高标准的，以新的更高标准为准，保证所供产品配送到指定地点时的质量、卫生和安全。未按国家相关食品卫生标准及本招标文件要求配送的食材引发的食品卫生中毒等食品安全事故，由中标供应商负完全责任。</w:t>
      </w:r>
    </w:p>
    <w:p>
      <w:pPr>
        <w:keepNext w:val="0"/>
        <w:keepLines w:val="0"/>
        <w:pageBreakBefore w:val="0"/>
        <w:widowControl w:val="0"/>
        <w:kinsoku/>
        <w:wordWrap/>
        <w:overflowPunct/>
        <w:topLinePunct w:val="0"/>
        <w:autoSpaceDE/>
        <w:autoSpaceDN/>
        <w:bidi w:val="0"/>
        <w:snapToGrid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sz w:val="21"/>
          <w:szCs w:val="21"/>
          <w:lang w:val="en-US" w:eastAsia="zh-CN"/>
        </w:rPr>
        <w:t>（6）</w:t>
      </w:r>
      <w:r>
        <w:rPr>
          <w:rFonts w:hint="eastAsia" w:ascii="仿宋" w:hAnsi="仿宋" w:eastAsia="仿宋" w:cs="仿宋"/>
          <w:color w:val="000000"/>
          <w:sz w:val="21"/>
          <w:szCs w:val="21"/>
        </w:rPr>
        <w:t>预包装</w:t>
      </w:r>
      <w:r>
        <w:rPr>
          <w:rFonts w:hint="eastAsia" w:ascii="仿宋" w:hAnsi="仿宋" w:eastAsia="仿宋" w:cs="仿宋"/>
          <w:sz w:val="21"/>
          <w:szCs w:val="21"/>
        </w:rPr>
        <w:t>食品须符合《预包装食品标签通则》（最新国家标准）保证规格品种完全符合采购方要求，包装规格、口味、种类齐全。保质期在3天以内的，必须是送货当天生</w:t>
      </w:r>
      <w:r>
        <w:rPr>
          <w:rFonts w:hint="eastAsia" w:ascii="仿宋" w:hAnsi="仿宋" w:eastAsia="仿宋" w:cs="仿宋"/>
          <w:color w:val="000000"/>
          <w:sz w:val="21"/>
          <w:szCs w:val="21"/>
        </w:rPr>
        <w:t>产的货品；保质期在7天以内的，送货日不超过生产日两日；保质期在6个月以内的，送货日至保质期到期日的天数必须大于保质期天数的三分之二；6个月以上的，送货日至保质期到期日的天数必须大于保质期天数的二分之一，凭出厂合格证与检验员章确认质量。</w:t>
      </w:r>
    </w:p>
    <w:p>
      <w:pPr>
        <w:keepNext w:val="0"/>
        <w:keepLines w:val="0"/>
        <w:pageBreakBefore w:val="0"/>
        <w:widowControl w:val="0"/>
        <w:kinsoku/>
        <w:wordWrap/>
        <w:overflowPunct/>
        <w:topLinePunct w:val="0"/>
        <w:autoSpaceDE/>
        <w:autoSpaceDN/>
        <w:bidi w:val="0"/>
        <w:snapToGrid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二</w:t>
      </w:r>
      <w:r>
        <w:rPr>
          <w:rFonts w:hint="eastAsia" w:ascii="仿宋" w:hAnsi="仿宋" w:eastAsia="仿宋" w:cs="仿宋"/>
          <w:b/>
          <w:color w:val="auto"/>
          <w:sz w:val="21"/>
          <w:szCs w:val="21"/>
        </w:rPr>
        <w:t>、配送方法及要求：</w:t>
      </w:r>
    </w:p>
    <w:p>
      <w:pPr>
        <w:keepNext w:val="0"/>
        <w:keepLines w:val="0"/>
        <w:pageBreakBefore w:val="0"/>
        <w:widowControl w:val="0"/>
        <w:kinsoku/>
        <w:wordWrap/>
        <w:overflowPunct/>
        <w:topLinePunct w:val="0"/>
        <w:autoSpaceDE/>
        <w:autoSpaceDN/>
        <w:bidi w:val="0"/>
        <w:snapToGrid w:val="0"/>
        <w:spacing w:line="260" w:lineRule="exact"/>
        <w:ind w:firstLine="422" w:firstLineChars="200"/>
        <w:textAlignment w:val="auto"/>
        <w:rPr>
          <w:rFonts w:hint="eastAsia" w:ascii="仿宋" w:hAnsi="仿宋" w:eastAsia="仿宋" w:cs="仿宋"/>
          <w:b/>
          <w:sz w:val="21"/>
          <w:szCs w:val="21"/>
        </w:rPr>
      </w:pPr>
      <w:r>
        <w:rPr>
          <w:rFonts w:hint="eastAsia" w:ascii="仿宋" w:hAnsi="仿宋" w:eastAsia="仿宋" w:cs="仿宋"/>
          <w:b/>
          <w:sz w:val="21"/>
          <w:szCs w:val="21"/>
          <w:lang w:val="en-US" w:eastAsia="zh-CN"/>
        </w:rPr>
        <w:t>1、</w:t>
      </w:r>
      <w:r>
        <w:rPr>
          <w:rFonts w:hint="eastAsia" w:ascii="仿宋" w:hAnsi="仿宋" w:eastAsia="仿宋" w:cs="仿宋"/>
          <w:b/>
          <w:sz w:val="21"/>
          <w:szCs w:val="21"/>
        </w:rPr>
        <w:t>配送时间要求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1</w:t>
      </w:r>
      <w:r>
        <w:rPr>
          <w:rFonts w:hint="eastAsia" w:ascii="仿宋" w:hAnsi="仿宋" w:eastAsia="仿宋" w:cs="仿宋"/>
          <w:sz w:val="21"/>
          <w:szCs w:val="21"/>
          <w:lang w:eastAsia="zh-CN"/>
        </w:rPr>
        <w:t>）</w:t>
      </w:r>
      <w:r>
        <w:rPr>
          <w:rFonts w:hint="eastAsia" w:ascii="仿宋" w:hAnsi="仿宋" w:eastAsia="仿宋" w:cs="仿宋"/>
          <w:sz w:val="21"/>
          <w:szCs w:val="21"/>
        </w:rPr>
        <w:t>每天早餐食材可提前一天送到，午餐</w:t>
      </w: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晚餐</w:t>
      </w:r>
      <w:r>
        <w:rPr>
          <w:rFonts w:hint="eastAsia" w:ascii="仿宋" w:hAnsi="仿宋" w:eastAsia="仿宋" w:cs="仿宋"/>
          <w:sz w:val="21"/>
          <w:szCs w:val="21"/>
        </w:rPr>
        <w:t>食材应在当天上午7:00以前送到（送达时间以采购方要求为准）。临时</w:t>
      </w:r>
      <w:r>
        <w:rPr>
          <w:rFonts w:hint="eastAsia" w:ascii="仿宋" w:hAnsi="仿宋" w:eastAsia="仿宋" w:cs="仿宋"/>
          <w:sz w:val="21"/>
          <w:szCs w:val="21"/>
          <w:lang w:val="en-US" w:eastAsia="zh-CN"/>
        </w:rPr>
        <w:t>公务</w:t>
      </w:r>
      <w:r>
        <w:rPr>
          <w:rFonts w:hint="eastAsia" w:ascii="仿宋" w:hAnsi="仿宋" w:eastAsia="仿宋" w:cs="仿宋"/>
          <w:sz w:val="21"/>
          <w:szCs w:val="21"/>
        </w:rPr>
        <w:t>接待，应急配送要求应在甲方发出</w:t>
      </w:r>
      <w:r>
        <w:rPr>
          <w:rFonts w:hint="eastAsia" w:ascii="仿宋" w:hAnsi="仿宋" w:eastAsia="仿宋" w:cs="仿宋"/>
          <w:sz w:val="21"/>
          <w:szCs w:val="21"/>
          <w:lang w:val="en-US" w:eastAsia="zh-CN"/>
        </w:rPr>
        <w:t>需求</w:t>
      </w:r>
      <w:r>
        <w:rPr>
          <w:rFonts w:hint="eastAsia" w:ascii="仿宋" w:hAnsi="仿宋" w:eastAsia="仿宋" w:cs="仿宋"/>
          <w:sz w:val="21"/>
          <w:szCs w:val="21"/>
        </w:rPr>
        <w:t>后30分钟内予以响应并送到。</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2</w:t>
      </w:r>
      <w:r>
        <w:rPr>
          <w:rFonts w:hint="eastAsia" w:ascii="仿宋" w:hAnsi="仿宋" w:eastAsia="仿宋" w:cs="仿宋"/>
          <w:sz w:val="21"/>
          <w:szCs w:val="21"/>
          <w:lang w:eastAsia="zh-CN"/>
        </w:rPr>
        <w:t>）</w:t>
      </w:r>
      <w:r>
        <w:rPr>
          <w:rFonts w:hint="eastAsia" w:ascii="仿宋" w:hAnsi="仿宋" w:eastAsia="仿宋" w:cs="仿宋"/>
          <w:sz w:val="21"/>
          <w:szCs w:val="21"/>
        </w:rPr>
        <w:t>投标供应商保证配送商品质量、数量、送货时间等均符合采购人要求(下单规则</w:t>
      </w:r>
      <w:r>
        <w:rPr>
          <w:rFonts w:hint="eastAsia" w:ascii="仿宋" w:hAnsi="仿宋" w:eastAsia="仿宋" w:cs="仿宋"/>
          <w:sz w:val="21"/>
          <w:szCs w:val="21"/>
          <w:lang w:eastAsia="zh-CN"/>
        </w:rPr>
        <w:t>：</w:t>
      </w:r>
      <w:r>
        <w:rPr>
          <w:rFonts w:hint="eastAsia" w:ascii="仿宋" w:hAnsi="仿宋" w:eastAsia="仿宋" w:cs="仿宋"/>
          <w:sz w:val="21"/>
          <w:szCs w:val="21"/>
        </w:rPr>
        <w:t>至少提前一天制定需求），紧急情况除外如遇不可抗力造成送货延误的，经采购人同意后，投标供应商应按采购人另行指定的地点和时间及时送达。</w:t>
      </w:r>
    </w:p>
    <w:p>
      <w:pPr>
        <w:keepNext w:val="0"/>
        <w:keepLines w:val="0"/>
        <w:pageBreakBefore w:val="0"/>
        <w:widowControl w:val="0"/>
        <w:kinsoku/>
        <w:wordWrap/>
        <w:overflowPunct/>
        <w:topLinePunct w:val="0"/>
        <w:autoSpaceDE/>
        <w:autoSpaceDN/>
        <w:bidi w:val="0"/>
        <w:snapToGrid w:val="0"/>
        <w:spacing w:line="260" w:lineRule="exact"/>
        <w:ind w:firstLine="422" w:firstLineChars="200"/>
        <w:textAlignment w:val="auto"/>
        <w:rPr>
          <w:rFonts w:hint="eastAsia" w:ascii="仿宋" w:hAnsi="仿宋" w:eastAsia="仿宋" w:cs="仿宋"/>
          <w:b/>
          <w:sz w:val="21"/>
          <w:szCs w:val="21"/>
        </w:rPr>
      </w:pPr>
      <w:r>
        <w:rPr>
          <w:rFonts w:hint="eastAsia" w:ascii="仿宋" w:hAnsi="仿宋" w:eastAsia="仿宋" w:cs="仿宋"/>
          <w:b/>
          <w:sz w:val="21"/>
          <w:szCs w:val="21"/>
          <w:lang w:val="en-US" w:eastAsia="zh-CN"/>
        </w:rPr>
        <w:t>2、</w:t>
      </w:r>
      <w:r>
        <w:rPr>
          <w:rFonts w:hint="eastAsia" w:ascii="仿宋" w:hAnsi="仿宋" w:eastAsia="仿宋" w:cs="仿宋"/>
          <w:b/>
          <w:sz w:val="21"/>
          <w:szCs w:val="21"/>
        </w:rPr>
        <w:t>配送</w:t>
      </w:r>
      <w:r>
        <w:rPr>
          <w:rFonts w:hint="eastAsia" w:ascii="仿宋" w:hAnsi="仿宋" w:eastAsia="仿宋" w:cs="仿宋"/>
          <w:b/>
          <w:sz w:val="21"/>
          <w:szCs w:val="21"/>
          <w:lang w:eastAsia="zh-CN"/>
        </w:rPr>
        <w:t>车辆</w:t>
      </w:r>
      <w:r>
        <w:rPr>
          <w:rFonts w:hint="eastAsia" w:ascii="仿宋" w:hAnsi="仿宋" w:eastAsia="仿宋" w:cs="仿宋"/>
          <w:b/>
          <w:sz w:val="21"/>
          <w:szCs w:val="21"/>
        </w:rPr>
        <w:t>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(1)投标供应商针对本项目至少配备</w:t>
      </w:r>
      <w:r>
        <w:rPr>
          <w:rFonts w:hint="eastAsia" w:ascii="仿宋" w:hAnsi="仿宋" w:eastAsia="仿宋" w:cs="仿宋"/>
          <w:sz w:val="21"/>
          <w:szCs w:val="21"/>
          <w:lang w:val="en-US" w:eastAsia="zh-CN"/>
        </w:rPr>
        <w:t>1</w:t>
      </w:r>
      <w:r>
        <w:rPr>
          <w:rFonts w:hint="eastAsia" w:ascii="仿宋" w:hAnsi="仿宋" w:eastAsia="仿宋" w:cs="仿宋"/>
          <w:sz w:val="21"/>
          <w:szCs w:val="21"/>
        </w:rPr>
        <w:t>辆厢式密封配送车</w:t>
      </w:r>
      <w:r>
        <w:rPr>
          <w:rFonts w:hint="eastAsia" w:ascii="仿宋" w:hAnsi="仿宋" w:eastAsia="仿宋" w:cs="仿宋"/>
          <w:sz w:val="21"/>
          <w:szCs w:val="21"/>
          <w:lang w:val="en-US" w:eastAsia="zh-CN"/>
        </w:rPr>
        <w:t>和1</w:t>
      </w:r>
      <w:r>
        <w:rPr>
          <w:rFonts w:hint="eastAsia" w:ascii="仿宋" w:hAnsi="仿宋" w:eastAsia="仿宋" w:cs="仿宋"/>
          <w:sz w:val="21"/>
          <w:szCs w:val="21"/>
        </w:rPr>
        <w:t>辆厢式冷链配送车，且车辆固定专门为本项目使用，配送车辆应符合相关卫生要求，做到每日清洗、消毒并做好消毒记录。</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w:t>
      </w:r>
      <w:r>
        <w:rPr>
          <w:rFonts w:hint="eastAsia" w:ascii="仿宋" w:hAnsi="仿宋" w:eastAsia="仿宋" w:cs="仿宋"/>
          <w:sz w:val="21"/>
          <w:szCs w:val="21"/>
          <w:lang w:val="en-US" w:eastAsia="zh-CN"/>
        </w:rPr>
        <w:t>2</w:t>
      </w:r>
      <w:r>
        <w:rPr>
          <w:rFonts w:hint="eastAsia" w:ascii="仿宋" w:hAnsi="仿宋" w:eastAsia="仿宋" w:cs="仿宋"/>
          <w:sz w:val="21"/>
          <w:szCs w:val="21"/>
        </w:rPr>
        <w:t>）配送车辆要向采购人报备，不经采购人书面同意，不允许更换配送车辆，专车专送，不得与其他单位配送食品混装，配送前对车辆进行卫生清理与消毒并做好消毒记录；</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w:t>
      </w:r>
      <w:r>
        <w:rPr>
          <w:rFonts w:hint="eastAsia" w:ascii="仿宋" w:hAnsi="仿宋" w:eastAsia="仿宋" w:cs="仿宋"/>
          <w:sz w:val="21"/>
          <w:szCs w:val="21"/>
          <w:lang w:val="en-US" w:eastAsia="zh-CN"/>
        </w:rPr>
        <w:t>3</w:t>
      </w:r>
      <w:r>
        <w:rPr>
          <w:rFonts w:hint="eastAsia" w:ascii="仿宋" w:hAnsi="仿宋" w:eastAsia="仿宋" w:cs="仿宋"/>
          <w:sz w:val="21"/>
          <w:szCs w:val="21"/>
        </w:rPr>
        <w:t>）配送车辆需符合生鲜配送、冷藏配送的要求</w:t>
      </w:r>
      <w:r>
        <w:rPr>
          <w:rFonts w:hint="eastAsia" w:ascii="仿宋" w:hAnsi="仿宋" w:eastAsia="仿宋" w:cs="仿宋"/>
          <w:sz w:val="21"/>
          <w:szCs w:val="21"/>
          <w:lang w:eastAsia="zh-CN"/>
        </w:rPr>
        <w:t>，</w:t>
      </w:r>
      <w:r>
        <w:rPr>
          <w:rFonts w:hint="eastAsia" w:ascii="仿宋" w:hAnsi="仿宋" w:eastAsia="仿宋" w:cs="仿宋"/>
          <w:sz w:val="21"/>
          <w:szCs w:val="21"/>
        </w:rPr>
        <w:t>不得用面包车、货拉拉等不符合标准的车辆；</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w:t>
      </w:r>
      <w:r>
        <w:rPr>
          <w:rFonts w:hint="eastAsia" w:ascii="仿宋" w:hAnsi="仿宋" w:eastAsia="仿宋" w:cs="仿宋"/>
          <w:sz w:val="21"/>
          <w:szCs w:val="21"/>
          <w:lang w:val="en-US" w:eastAsia="zh-CN"/>
        </w:rPr>
        <w:t>4</w:t>
      </w:r>
      <w:r>
        <w:rPr>
          <w:rFonts w:hint="eastAsia" w:ascii="仿宋" w:hAnsi="仿宋" w:eastAsia="仿宋" w:cs="仿宋"/>
          <w:sz w:val="21"/>
          <w:szCs w:val="21"/>
        </w:rPr>
        <w:t>）冷链食品</w:t>
      </w:r>
      <w:r>
        <w:rPr>
          <w:rFonts w:hint="eastAsia" w:ascii="仿宋" w:hAnsi="仿宋" w:eastAsia="仿宋" w:cs="仿宋"/>
          <w:sz w:val="21"/>
          <w:szCs w:val="21"/>
          <w:lang w:eastAsia="zh-CN"/>
        </w:rPr>
        <w:t>须</w:t>
      </w:r>
      <w:r>
        <w:rPr>
          <w:rFonts w:hint="eastAsia" w:ascii="仿宋" w:hAnsi="仿宋" w:eastAsia="仿宋" w:cs="仿宋"/>
          <w:sz w:val="21"/>
          <w:szCs w:val="21"/>
        </w:rPr>
        <w:t>配备冷链配送专用车，并随车提供每日蔬菜、水果农残检测报告和肉类的动物检疫合格证明；</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w:t>
      </w:r>
      <w:r>
        <w:rPr>
          <w:rFonts w:hint="eastAsia" w:ascii="仿宋" w:hAnsi="仿宋" w:eastAsia="仿宋" w:cs="仿宋"/>
          <w:sz w:val="21"/>
          <w:szCs w:val="21"/>
          <w:lang w:val="en-US" w:eastAsia="zh-CN"/>
        </w:rPr>
        <w:t>5</w:t>
      </w:r>
      <w:r>
        <w:rPr>
          <w:rFonts w:hint="eastAsia" w:ascii="仿宋" w:hAnsi="仿宋" w:eastAsia="仿宋" w:cs="仿宋"/>
          <w:sz w:val="21"/>
          <w:szCs w:val="21"/>
        </w:rPr>
        <w:t>）配送车辆上食品不与其他产品混装、不挤压</w:t>
      </w:r>
      <w:r>
        <w:rPr>
          <w:rFonts w:hint="eastAsia" w:ascii="仿宋" w:hAnsi="仿宋" w:eastAsia="仿宋" w:cs="仿宋"/>
          <w:sz w:val="21"/>
          <w:szCs w:val="21"/>
          <w:lang w:eastAsia="zh-CN"/>
        </w:rPr>
        <w:t>。</w:t>
      </w:r>
    </w:p>
    <w:p>
      <w:pPr>
        <w:keepNext w:val="0"/>
        <w:keepLines w:val="0"/>
        <w:pageBreakBefore w:val="0"/>
        <w:widowControl w:val="0"/>
        <w:kinsoku/>
        <w:wordWrap/>
        <w:overflowPunct/>
        <w:topLinePunct w:val="0"/>
        <w:autoSpaceDE/>
        <w:autoSpaceDN/>
        <w:bidi w:val="0"/>
        <w:snapToGrid w:val="0"/>
        <w:spacing w:line="260" w:lineRule="exact"/>
        <w:ind w:firstLine="422" w:firstLineChars="200"/>
        <w:textAlignment w:val="auto"/>
        <w:rPr>
          <w:rFonts w:hint="eastAsia" w:ascii="仿宋" w:hAnsi="仿宋" w:eastAsia="仿宋" w:cs="仿宋"/>
          <w:b/>
          <w:sz w:val="21"/>
          <w:szCs w:val="21"/>
        </w:rPr>
      </w:pPr>
      <w:r>
        <w:rPr>
          <w:rFonts w:hint="eastAsia" w:ascii="仿宋" w:hAnsi="仿宋" w:eastAsia="仿宋" w:cs="仿宋"/>
          <w:b/>
          <w:sz w:val="21"/>
          <w:szCs w:val="21"/>
          <w:lang w:val="en-US" w:eastAsia="zh-CN"/>
        </w:rPr>
        <w:t>3、</w:t>
      </w:r>
      <w:r>
        <w:rPr>
          <w:rFonts w:hint="eastAsia" w:ascii="仿宋" w:hAnsi="仿宋" w:eastAsia="仿宋" w:cs="仿宋"/>
          <w:b/>
          <w:sz w:val="21"/>
          <w:szCs w:val="21"/>
        </w:rPr>
        <w:t>仓储管理</w:t>
      </w:r>
      <w:r>
        <w:rPr>
          <w:rFonts w:hint="eastAsia" w:ascii="仿宋" w:hAnsi="仿宋" w:eastAsia="仿宋" w:cs="仿宋"/>
          <w:b/>
          <w:sz w:val="21"/>
          <w:szCs w:val="21"/>
          <w:lang w:eastAsia="zh-CN"/>
        </w:rPr>
        <w:t>制度</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（1）投标供应商应建立严格的专人验收登记制度，详细记载购入产品的种类、数量和时间，勤进勤出，先进先出，定期清仓检查，防止食品过期、变质、霉变、生虫，及时清理不符合食品安全要求的食品；</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（2）食材配送方需对自己的仓储场地与供应商的仓储场地不定期检查，并形成检查报告存档，甲方将不定期抽查；</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（3）食材配送方仓储场地需符合食品仓储要求，保持库房温度湿度和卫生情况；</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4）针对不同类别的食材采取分类、分架、隔墙、隔地存放管理，各类食品有明显标识，易于查找，有异味或易潮食品应密封保存或分库存放，易腐食品要及时冷藏或冷冻保存；食品与非食品分库存放，不得与洗化用品和日杂用品等混放</w:t>
      </w:r>
      <w:r>
        <w:rPr>
          <w:rFonts w:hint="eastAsia" w:ascii="仿宋" w:hAnsi="仿宋" w:eastAsia="仿宋" w:cs="仿宋"/>
          <w:sz w:val="21"/>
          <w:szCs w:val="21"/>
          <w:lang w:eastAsia="zh-CN"/>
        </w:rPr>
        <w:t>。</w:t>
      </w:r>
    </w:p>
    <w:p>
      <w:pPr>
        <w:keepNext w:val="0"/>
        <w:keepLines w:val="0"/>
        <w:pageBreakBefore w:val="0"/>
        <w:widowControl w:val="0"/>
        <w:kinsoku/>
        <w:wordWrap/>
        <w:overflowPunct/>
        <w:topLinePunct w:val="0"/>
        <w:autoSpaceDE/>
        <w:autoSpaceDN/>
        <w:bidi w:val="0"/>
        <w:snapToGrid w:val="0"/>
        <w:spacing w:line="260" w:lineRule="exact"/>
        <w:ind w:firstLine="422" w:firstLineChars="200"/>
        <w:textAlignment w:val="auto"/>
        <w:rPr>
          <w:rFonts w:hint="eastAsia" w:ascii="仿宋" w:hAnsi="仿宋" w:eastAsia="仿宋" w:cs="仿宋"/>
          <w:b/>
          <w:sz w:val="21"/>
          <w:szCs w:val="21"/>
        </w:rPr>
      </w:pPr>
      <w:r>
        <w:rPr>
          <w:rFonts w:hint="eastAsia" w:ascii="仿宋" w:hAnsi="仿宋" w:eastAsia="仿宋" w:cs="仿宋"/>
          <w:b/>
          <w:sz w:val="21"/>
          <w:szCs w:val="21"/>
          <w:lang w:val="en-US" w:eastAsia="zh-CN"/>
        </w:rPr>
        <w:t>4、</w:t>
      </w:r>
      <w:r>
        <w:rPr>
          <w:rFonts w:hint="eastAsia" w:ascii="仿宋" w:hAnsi="仿宋" w:eastAsia="仿宋" w:cs="仿宋"/>
          <w:b/>
          <w:sz w:val="21"/>
          <w:szCs w:val="21"/>
        </w:rPr>
        <w:t>人员配备管理方案</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（1）为保证食材配送及时，保障食堂每日准时供餐，投标供应商为本项目配备</w:t>
      </w:r>
      <w:r>
        <w:rPr>
          <w:rFonts w:hint="eastAsia" w:ascii="仿宋" w:hAnsi="仿宋" w:eastAsia="仿宋" w:cs="仿宋"/>
          <w:sz w:val="21"/>
          <w:szCs w:val="21"/>
          <w:lang w:eastAsia="zh-CN"/>
        </w:rPr>
        <w:t>至少</w:t>
      </w:r>
      <w:r>
        <w:rPr>
          <w:rFonts w:hint="eastAsia" w:ascii="仿宋" w:hAnsi="仿宋" w:eastAsia="仿宋" w:cs="仿宋"/>
          <w:sz w:val="21"/>
          <w:szCs w:val="21"/>
          <w:lang w:val="en-US" w:eastAsia="zh-CN"/>
        </w:rPr>
        <w:t>3</w:t>
      </w:r>
      <w:r>
        <w:rPr>
          <w:rFonts w:hint="eastAsia" w:ascii="仿宋" w:hAnsi="仿宋" w:eastAsia="仿宋" w:cs="仿宋"/>
          <w:sz w:val="21"/>
          <w:szCs w:val="21"/>
        </w:rPr>
        <w:t>名持有有效健康证</w:t>
      </w:r>
      <w:r>
        <w:rPr>
          <w:rFonts w:hint="eastAsia" w:ascii="仿宋" w:hAnsi="仿宋" w:eastAsia="仿宋" w:cs="仿宋"/>
          <w:sz w:val="21"/>
          <w:szCs w:val="21"/>
          <w:lang w:eastAsia="zh-CN"/>
        </w:rPr>
        <w:t>的</w:t>
      </w:r>
      <w:r>
        <w:rPr>
          <w:rFonts w:hint="eastAsia" w:ascii="仿宋" w:hAnsi="仿宋" w:eastAsia="仿宋" w:cs="仿宋"/>
          <w:sz w:val="21"/>
          <w:szCs w:val="21"/>
        </w:rPr>
        <w:t>配送人员</w:t>
      </w:r>
      <w:r>
        <w:rPr>
          <w:rFonts w:hint="eastAsia" w:ascii="仿宋" w:hAnsi="仿宋" w:eastAsia="仿宋" w:cs="仿宋"/>
          <w:sz w:val="21"/>
          <w:szCs w:val="21"/>
          <w:lang w:eastAsia="zh-CN"/>
        </w:rPr>
        <w:t>，且</w:t>
      </w:r>
      <w:r>
        <w:rPr>
          <w:rFonts w:hint="eastAsia" w:ascii="仿宋" w:hAnsi="仿宋" w:eastAsia="仿宋" w:cs="仿宋"/>
          <w:sz w:val="21"/>
          <w:szCs w:val="21"/>
        </w:rPr>
        <w:t>为本公司员工，每次配送至少要有2名持有</w:t>
      </w:r>
      <w:r>
        <w:rPr>
          <w:rFonts w:hint="eastAsia" w:ascii="仿宋" w:hAnsi="仿宋" w:eastAsia="仿宋" w:cs="仿宋"/>
          <w:sz w:val="21"/>
          <w:szCs w:val="21"/>
          <w:lang w:eastAsia="zh-CN"/>
        </w:rPr>
        <w:t>有效</w:t>
      </w:r>
      <w:r>
        <w:rPr>
          <w:rFonts w:hint="eastAsia" w:ascii="仿宋" w:hAnsi="仿宋" w:eastAsia="仿宋" w:cs="仿宋"/>
          <w:sz w:val="21"/>
          <w:szCs w:val="21"/>
        </w:rPr>
        <w:t>健康证</w:t>
      </w:r>
      <w:r>
        <w:rPr>
          <w:rFonts w:hint="eastAsia" w:ascii="仿宋" w:hAnsi="仿宋" w:eastAsia="仿宋" w:cs="仿宋"/>
          <w:sz w:val="21"/>
          <w:szCs w:val="21"/>
          <w:lang w:eastAsia="zh-CN"/>
        </w:rPr>
        <w:t>的</w:t>
      </w:r>
      <w:r>
        <w:rPr>
          <w:rFonts w:hint="eastAsia" w:ascii="仿宋" w:hAnsi="仿宋" w:eastAsia="仿宋" w:cs="仿宋"/>
          <w:sz w:val="21"/>
          <w:szCs w:val="21"/>
        </w:rPr>
        <w:t>配送员，未经采购人事先许可，供应商不得擅自变动配送人员</w:t>
      </w:r>
      <w:r>
        <w:rPr>
          <w:rFonts w:hint="eastAsia" w:ascii="仿宋" w:hAnsi="仿宋" w:eastAsia="仿宋" w:cs="仿宋"/>
          <w:sz w:val="21"/>
          <w:szCs w:val="21"/>
          <w:lang w:eastAsia="zh-CN"/>
        </w:rPr>
        <w:t>，</w:t>
      </w:r>
      <w:r>
        <w:rPr>
          <w:rFonts w:hint="eastAsia" w:ascii="仿宋" w:hAnsi="仿宋" w:eastAsia="仿宋" w:cs="仿宋"/>
          <w:sz w:val="21"/>
          <w:szCs w:val="21"/>
        </w:rPr>
        <w:t>专人专岗，定期体检；</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（2）食材配送员必须穿戴整洁的工作衣帽，每日消毒，具有基本的食品安全常识，了解食品卫生相关的法律法规；</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lang w:eastAsia="zh-CN"/>
        </w:rPr>
      </w:pPr>
      <w:r>
        <w:rPr>
          <w:rFonts w:hint="eastAsia" w:ascii="仿宋" w:hAnsi="仿宋" w:eastAsia="仿宋" w:cs="仿宋"/>
          <w:sz w:val="21"/>
          <w:szCs w:val="21"/>
        </w:rPr>
        <w:t>（3）加强对食材配送员的培训，装卸食品原料、成品、半成品时，食品不能接触地面，也不能随意堆放在马路边</w:t>
      </w:r>
      <w:r>
        <w:rPr>
          <w:rFonts w:hint="eastAsia" w:ascii="仿宋" w:hAnsi="仿宋" w:eastAsia="仿宋" w:cs="仿宋"/>
          <w:sz w:val="21"/>
          <w:szCs w:val="21"/>
          <w:lang w:eastAsia="zh-CN"/>
        </w:rPr>
        <w:t>；</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（4）投标供应商须为本项目确定一名项目负责人。投标供应商与采购人均需安排专人负责联系（手机号码、短信、微信），并确认产品需求量、加工要求（如有）、配送时间及配送要求。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b/>
          <w:bCs/>
          <w:sz w:val="21"/>
          <w:szCs w:val="21"/>
        </w:rPr>
      </w:pPr>
      <w:r>
        <w:rPr>
          <w:rFonts w:hint="eastAsia" w:ascii="仿宋" w:hAnsi="仿宋" w:eastAsia="仿宋" w:cs="仿宋"/>
          <w:sz w:val="21"/>
          <w:szCs w:val="21"/>
        </w:rPr>
        <w:t>（5）投标供应商具备各项应急措施，有明确应急联系人（手机号码、短信、微信），保证在各种市场变化及遇突发事件下，能保证货品数量、质量并能及时满足食堂食品及原材料供应。</w:t>
      </w:r>
    </w:p>
    <w:p>
      <w:pPr>
        <w:keepNext w:val="0"/>
        <w:keepLines w:val="0"/>
        <w:pageBreakBefore w:val="0"/>
        <w:widowControl w:val="0"/>
        <w:kinsoku/>
        <w:wordWrap/>
        <w:overflowPunct/>
        <w:topLinePunct w:val="0"/>
        <w:autoSpaceDE/>
        <w:autoSpaceDN/>
        <w:bidi w:val="0"/>
        <w:snapToGrid w:val="0"/>
        <w:spacing w:line="260" w:lineRule="exact"/>
        <w:ind w:firstLine="422" w:firstLineChars="200"/>
        <w:textAlignment w:val="auto"/>
        <w:rPr>
          <w:rFonts w:hint="eastAsia" w:ascii="仿宋" w:hAnsi="仿宋" w:eastAsia="仿宋" w:cs="仿宋"/>
          <w:b/>
          <w:color w:val="000000"/>
          <w:sz w:val="21"/>
          <w:szCs w:val="21"/>
          <w:lang w:val="en-US" w:eastAsia="zh-CN"/>
        </w:rPr>
      </w:pPr>
      <w:r>
        <w:rPr>
          <w:rFonts w:hint="eastAsia" w:ascii="仿宋" w:hAnsi="仿宋" w:eastAsia="仿宋" w:cs="仿宋"/>
          <w:b/>
          <w:color w:val="000000"/>
          <w:sz w:val="21"/>
          <w:szCs w:val="21"/>
          <w:lang w:val="en-US" w:eastAsia="zh-CN"/>
        </w:rPr>
        <w:t>5.其他配送要求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color w:val="000000"/>
          <w:sz w:val="21"/>
          <w:szCs w:val="21"/>
        </w:rPr>
      </w:pPr>
      <w:r>
        <w:rPr>
          <w:rFonts w:hint="eastAsia" w:ascii="仿宋" w:hAnsi="仿宋" w:eastAsia="仿宋" w:cs="仿宋"/>
          <w:color w:val="000000"/>
          <w:sz w:val="21"/>
          <w:szCs w:val="21"/>
          <w:lang w:val="en-US" w:eastAsia="zh-CN"/>
        </w:rPr>
        <w:t>（1）</w:t>
      </w:r>
      <w:r>
        <w:rPr>
          <w:rFonts w:hint="eastAsia" w:ascii="仿宋" w:hAnsi="仿宋" w:eastAsia="仿宋" w:cs="仿宋"/>
          <w:color w:val="000000"/>
          <w:sz w:val="21"/>
          <w:szCs w:val="21"/>
        </w:rPr>
        <w:t>承诺合同签订后在武侯区</w:t>
      </w:r>
      <w:r>
        <w:rPr>
          <w:rFonts w:hint="eastAsia" w:ascii="仿宋" w:hAnsi="仿宋" w:eastAsia="仿宋" w:cs="仿宋"/>
          <w:color w:val="000000"/>
          <w:sz w:val="21"/>
          <w:szCs w:val="21"/>
          <w:lang w:eastAsia="zh-CN"/>
        </w:rPr>
        <w:t>第一办公区</w:t>
      </w:r>
      <w:r>
        <w:rPr>
          <w:rFonts w:hint="eastAsia" w:ascii="仿宋" w:hAnsi="仿宋" w:eastAsia="仿宋" w:cs="仿宋"/>
          <w:color w:val="000000"/>
          <w:sz w:val="21"/>
          <w:szCs w:val="21"/>
        </w:rPr>
        <w:t>（成都市</w:t>
      </w:r>
      <w:r>
        <w:rPr>
          <w:rFonts w:hint="eastAsia" w:ascii="仿宋" w:hAnsi="仿宋" w:eastAsia="仿宋" w:cs="仿宋"/>
          <w:color w:val="000000"/>
          <w:sz w:val="21"/>
          <w:szCs w:val="21"/>
          <w:lang w:eastAsia="zh-CN"/>
        </w:rPr>
        <w:t>武侯祠大街264</w:t>
      </w:r>
      <w:r>
        <w:rPr>
          <w:rFonts w:hint="eastAsia" w:ascii="仿宋" w:hAnsi="仿宋" w:eastAsia="仿宋" w:cs="仿宋"/>
          <w:color w:val="000000"/>
          <w:sz w:val="21"/>
          <w:szCs w:val="21"/>
        </w:rPr>
        <w:t>号）附近区域内（</w:t>
      </w:r>
      <w:r>
        <w:rPr>
          <w:rFonts w:hint="eastAsia" w:ascii="仿宋" w:hAnsi="仿宋" w:eastAsia="仿宋" w:cs="仿宋"/>
          <w:color w:val="000000"/>
          <w:sz w:val="21"/>
          <w:szCs w:val="21"/>
          <w:lang w:val="en-US" w:eastAsia="zh-CN"/>
        </w:rPr>
        <w:t>2</w:t>
      </w:r>
      <w:r>
        <w:rPr>
          <w:rFonts w:hint="eastAsia" w:ascii="仿宋" w:hAnsi="仿宋" w:eastAsia="仿宋" w:cs="仿宋"/>
          <w:color w:val="000000"/>
          <w:sz w:val="21"/>
          <w:szCs w:val="21"/>
        </w:rPr>
        <w:t>0分钟交通距离）设置自有应急配送门店(具备食品、肉类、粮油、蔬菜等应急配送能力），应急配送要求应在30分钟内予以响应并送到。</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color w:val="000000"/>
          <w:sz w:val="21"/>
          <w:szCs w:val="21"/>
        </w:rPr>
      </w:pPr>
      <w:r>
        <w:rPr>
          <w:rFonts w:hint="eastAsia" w:ascii="仿宋" w:hAnsi="仿宋" w:eastAsia="仿宋" w:cs="仿宋"/>
          <w:color w:val="000000"/>
          <w:sz w:val="21"/>
          <w:szCs w:val="21"/>
          <w:lang w:eastAsia="zh-CN"/>
        </w:rPr>
        <w:t>（</w:t>
      </w:r>
      <w:r>
        <w:rPr>
          <w:rFonts w:hint="eastAsia" w:ascii="仿宋" w:hAnsi="仿宋" w:eastAsia="仿宋" w:cs="仿宋"/>
          <w:color w:val="000000"/>
          <w:sz w:val="21"/>
          <w:szCs w:val="21"/>
          <w:lang w:val="en-US" w:eastAsia="zh-CN"/>
        </w:rPr>
        <w:t>2</w:t>
      </w:r>
      <w:r>
        <w:rPr>
          <w:rFonts w:hint="eastAsia" w:ascii="仿宋" w:hAnsi="仿宋" w:eastAsia="仿宋" w:cs="仿宋"/>
          <w:color w:val="000000"/>
          <w:sz w:val="21"/>
          <w:szCs w:val="21"/>
          <w:lang w:eastAsia="zh-CN"/>
        </w:rPr>
        <w:t>）</w:t>
      </w:r>
      <w:r>
        <w:rPr>
          <w:rFonts w:hint="eastAsia" w:ascii="仿宋" w:hAnsi="仿宋" w:eastAsia="仿宋" w:cs="仿宋"/>
          <w:color w:val="000000"/>
          <w:sz w:val="21"/>
          <w:szCs w:val="21"/>
        </w:rPr>
        <w:t>以采购人实际需求及用量进行配送服务，并按甲方书面确认的实际用量进行结算，以上数据仅供供应商参考，不作为供应商报价依据。</w:t>
      </w:r>
    </w:p>
    <w:p>
      <w:pPr>
        <w:keepNext w:val="0"/>
        <w:keepLines w:val="0"/>
        <w:pageBreakBefore w:val="0"/>
        <w:widowControl w:val="0"/>
        <w:kinsoku/>
        <w:wordWrap/>
        <w:overflowPunct/>
        <w:topLinePunct w:val="0"/>
        <w:autoSpaceDE/>
        <w:autoSpaceDN/>
        <w:bidi w:val="0"/>
        <w:snapToGrid w:val="0"/>
        <w:spacing w:line="260" w:lineRule="exact"/>
        <w:ind w:firstLine="422" w:firstLineChars="200"/>
        <w:textAlignment w:val="auto"/>
        <w:rPr>
          <w:rFonts w:hint="eastAsia" w:ascii="仿宋" w:hAnsi="仿宋" w:eastAsia="仿宋" w:cs="仿宋"/>
          <w:color w:val="000000"/>
          <w:sz w:val="21"/>
          <w:szCs w:val="21"/>
        </w:rPr>
      </w:pPr>
      <w:r>
        <w:rPr>
          <w:rFonts w:hint="eastAsia" w:ascii="仿宋" w:hAnsi="仿宋" w:eastAsia="仿宋" w:cs="仿宋"/>
          <w:b/>
          <w:color w:val="000000"/>
          <w:sz w:val="21"/>
          <w:szCs w:val="21"/>
        </w:rPr>
        <w:t>（六）验收标准</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lang w:eastAsia="zh-CN"/>
        </w:rPr>
      </w:pPr>
      <w:r>
        <w:rPr>
          <w:rFonts w:hint="eastAsia" w:ascii="仿宋" w:hAnsi="仿宋" w:eastAsia="仿宋" w:cs="仿宋"/>
          <w:sz w:val="21"/>
          <w:szCs w:val="21"/>
          <w:lang w:eastAsia="zh-CN"/>
        </w:rPr>
        <w:t>验收时间：送达随即验收。</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验收方式：</w:t>
      </w:r>
      <w:r>
        <w:rPr>
          <w:rFonts w:hint="eastAsia" w:ascii="仿宋" w:hAnsi="仿宋" w:eastAsia="仿宋" w:cs="仿宋"/>
          <w:sz w:val="21"/>
          <w:szCs w:val="21"/>
        </w:rPr>
        <w:t>按照采购产品质量及要求的规定开袋逐一检查。验收人员对不合格货品有权要求无条件进行退货、换货。</w:t>
      </w:r>
    </w:p>
    <w:p>
      <w:pPr>
        <w:keepNext w:val="0"/>
        <w:keepLines w:val="0"/>
        <w:pageBreakBefore w:val="0"/>
        <w:widowControl w:val="0"/>
        <w:kinsoku/>
        <w:wordWrap/>
        <w:overflowPunct/>
        <w:topLinePunct w:val="0"/>
        <w:autoSpaceDE/>
        <w:autoSpaceDN/>
        <w:bidi w:val="0"/>
        <w:snapToGrid w:val="0"/>
        <w:spacing w:line="260" w:lineRule="exact"/>
        <w:ind w:firstLine="422" w:firstLineChars="200"/>
        <w:textAlignment w:val="auto"/>
        <w:rPr>
          <w:rFonts w:hint="eastAsia" w:ascii="仿宋" w:hAnsi="仿宋" w:eastAsia="仿宋" w:cs="仿宋"/>
          <w:b/>
          <w:sz w:val="21"/>
          <w:szCs w:val="21"/>
        </w:rPr>
      </w:pPr>
      <w:r>
        <w:rPr>
          <w:rFonts w:hint="eastAsia" w:ascii="仿宋" w:hAnsi="仿宋" w:eastAsia="仿宋" w:cs="仿宋"/>
          <w:b/>
          <w:sz w:val="21"/>
          <w:szCs w:val="21"/>
          <w:lang w:eastAsia="zh-CN"/>
        </w:rPr>
        <w:t>（七）</w:t>
      </w:r>
      <w:r>
        <w:rPr>
          <w:rFonts w:hint="eastAsia" w:ascii="仿宋" w:hAnsi="仿宋" w:eastAsia="仿宋" w:cs="仿宋"/>
          <w:b/>
          <w:sz w:val="21"/>
          <w:szCs w:val="21"/>
        </w:rPr>
        <w:t>售后服务要求</w:t>
      </w:r>
    </w:p>
    <w:p>
      <w:pPr>
        <w:keepNext w:val="0"/>
        <w:keepLines w:val="0"/>
        <w:pageBreakBefore w:val="0"/>
        <w:widowControl w:val="0"/>
        <w:kinsoku/>
        <w:wordWrap/>
        <w:overflowPunct/>
        <w:topLinePunct w:val="0"/>
        <w:autoSpaceDE/>
        <w:autoSpaceDN/>
        <w:bidi w:val="0"/>
        <w:adjustRightInd w:val="0"/>
        <w:snapToGrid w:val="0"/>
        <w:spacing w:line="260" w:lineRule="exact"/>
        <w:ind w:firstLine="420" w:firstLineChars="200"/>
        <w:jc w:val="left"/>
        <w:textAlignment w:val="auto"/>
        <w:rPr>
          <w:rFonts w:hint="eastAsia" w:ascii="仿宋" w:hAnsi="仿宋" w:eastAsia="仿宋" w:cs="仿宋"/>
          <w:sz w:val="21"/>
          <w:szCs w:val="21"/>
        </w:rPr>
      </w:pPr>
      <w:r>
        <w:rPr>
          <w:rFonts w:hint="eastAsia" w:ascii="仿宋" w:hAnsi="仿宋" w:eastAsia="仿宋" w:cs="仿宋"/>
          <w:sz w:val="21"/>
          <w:szCs w:val="21"/>
        </w:rPr>
        <w:t>1、提供售后服务呼叫电话和响应时间</w:t>
      </w:r>
    </w:p>
    <w:p>
      <w:pPr>
        <w:keepNext w:val="0"/>
        <w:keepLines w:val="0"/>
        <w:pageBreakBefore w:val="0"/>
        <w:widowControl w:val="0"/>
        <w:kinsoku/>
        <w:wordWrap/>
        <w:overflowPunct/>
        <w:topLinePunct w:val="0"/>
        <w:autoSpaceDE/>
        <w:autoSpaceDN/>
        <w:bidi w:val="0"/>
        <w:adjustRightInd w:val="0"/>
        <w:snapToGrid w:val="0"/>
        <w:spacing w:line="260" w:lineRule="exact"/>
        <w:ind w:firstLine="420" w:firstLineChars="200"/>
        <w:jc w:val="left"/>
        <w:textAlignment w:val="auto"/>
        <w:rPr>
          <w:rFonts w:hint="eastAsia" w:ascii="仿宋" w:hAnsi="仿宋" w:eastAsia="仿宋" w:cs="仿宋"/>
          <w:sz w:val="21"/>
          <w:szCs w:val="21"/>
        </w:rPr>
      </w:pPr>
      <w:r>
        <w:rPr>
          <w:rFonts w:hint="eastAsia" w:ascii="仿宋" w:hAnsi="仿宋" w:eastAsia="仿宋" w:cs="仿宋"/>
          <w:sz w:val="21"/>
          <w:szCs w:val="21"/>
        </w:rPr>
        <w:t>（1）设置专人专线，且保持电话24小时畅通，有人接听；</w:t>
      </w:r>
    </w:p>
    <w:p>
      <w:pPr>
        <w:keepNext w:val="0"/>
        <w:keepLines w:val="0"/>
        <w:pageBreakBefore w:val="0"/>
        <w:widowControl w:val="0"/>
        <w:kinsoku/>
        <w:wordWrap/>
        <w:overflowPunct/>
        <w:topLinePunct w:val="0"/>
        <w:autoSpaceDE/>
        <w:autoSpaceDN/>
        <w:bidi w:val="0"/>
        <w:adjustRightInd w:val="0"/>
        <w:snapToGrid w:val="0"/>
        <w:spacing w:line="260" w:lineRule="exact"/>
        <w:ind w:firstLine="420" w:firstLineChars="200"/>
        <w:jc w:val="left"/>
        <w:textAlignment w:val="auto"/>
        <w:rPr>
          <w:rFonts w:hint="eastAsia" w:ascii="仿宋" w:hAnsi="仿宋" w:eastAsia="仿宋" w:cs="仿宋"/>
          <w:sz w:val="21"/>
          <w:szCs w:val="21"/>
        </w:rPr>
      </w:pPr>
      <w:r>
        <w:rPr>
          <w:rFonts w:hint="eastAsia" w:ascii="仿宋" w:hAnsi="仿宋" w:eastAsia="仿宋" w:cs="仿宋"/>
          <w:sz w:val="21"/>
          <w:szCs w:val="21"/>
        </w:rPr>
        <w:t>（2）当遇突发情况时，需在30分钟内做出响应并提出解决方案；</w:t>
      </w:r>
    </w:p>
    <w:p>
      <w:pPr>
        <w:keepNext w:val="0"/>
        <w:keepLines w:val="0"/>
        <w:pageBreakBefore w:val="0"/>
        <w:widowControl w:val="0"/>
        <w:kinsoku/>
        <w:wordWrap/>
        <w:overflowPunct/>
        <w:topLinePunct w:val="0"/>
        <w:autoSpaceDE/>
        <w:autoSpaceDN/>
        <w:bidi w:val="0"/>
        <w:adjustRightInd w:val="0"/>
        <w:snapToGrid w:val="0"/>
        <w:spacing w:line="260" w:lineRule="exact"/>
        <w:ind w:firstLine="420" w:firstLineChars="200"/>
        <w:jc w:val="left"/>
        <w:textAlignment w:val="auto"/>
        <w:rPr>
          <w:rFonts w:hint="eastAsia" w:ascii="仿宋" w:hAnsi="仿宋" w:eastAsia="仿宋" w:cs="仿宋"/>
          <w:sz w:val="21"/>
          <w:szCs w:val="21"/>
        </w:rPr>
      </w:pPr>
      <w:r>
        <w:rPr>
          <w:rFonts w:hint="eastAsia" w:ascii="仿宋" w:hAnsi="仿宋" w:eastAsia="仿宋" w:cs="仿宋"/>
          <w:sz w:val="21"/>
          <w:szCs w:val="21"/>
        </w:rPr>
        <w:t>（3）若遇重大事故，应立即安排人员到现场配合调查工作，并做好事后总结；</w:t>
      </w:r>
    </w:p>
    <w:p>
      <w:pPr>
        <w:keepNext w:val="0"/>
        <w:keepLines w:val="0"/>
        <w:pageBreakBefore w:val="0"/>
        <w:widowControl w:val="0"/>
        <w:kinsoku/>
        <w:wordWrap/>
        <w:overflowPunct/>
        <w:topLinePunct w:val="0"/>
        <w:autoSpaceDE/>
        <w:autoSpaceDN/>
        <w:bidi w:val="0"/>
        <w:adjustRightInd w:val="0"/>
        <w:snapToGrid w:val="0"/>
        <w:spacing w:line="260" w:lineRule="exact"/>
        <w:ind w:firstLine="420" w:firstLineChars="200"/>
        <w:jc w:val="left"/>
        <w:textAlignment w:val="auto"/>
        <w:rPr>
          <w:rFonts w:hint="eastAsia" w:ascii="仿宋" w:hAnsi="仿宋" w:eastAsia="仿宋" w:cs="仿宋"/>
          <w:sz w:val="21"/>
          <w:szCs w:val="21"/>
        </w:rPr>
      </w:pPr>
      <w:r>
        <w:rPr>
          <w:rFonts w:hint="eastAsia" w:ascii="仿宋" w:hAnsi="仿宋" w:eastAsia="仿宋" w:cs="仿宋"/>
          <w:sz w:val="21"/>
          <w:szCs w:val="21"/>
        </w:rPr>
        <w:t>2、现场服务支持能力</w:t>
      </w:r>
    </w:p>
    <w:p>
      <w:pPr>
        <w:keepNext w:val="0"/>
        <w:keepLines w:val="0"/>
        <w:pageBreakBefore w:val="0"/>
        <w:widowControl w:val="0"/>
        <w:kinsoku/>
        <w:wordWrap/>
        <w:overflowPunct/>
        <w:topLinePunct w:val="0"/>
        <w:autoSpaceDE/>
        <w:autoSpaceDN/>
        <w:bidi w:val="0"/>
        <w:adjustRightInd w:val="0"/>
        <w:snapToGrid w:val="0"/>
        <w:spacing w:line="260" w:lineRule="exact"/>
        <w:ind w:firstLine="420" w:firstLineChars="200"/>
        <w:jc w:val="left"/>
        <w:textAlignment w:val="auto"/>
        <w:rPr>
          <w:rFonts w:hint="eastAsia" w:ascii="仿宋" w:hAnsi="仿宋" w:eastAsia="仿宋" w:cs="仿宋"/>
          <w:sz w:val="21"/>
          <w:szCs w:val="21"/>
        </w:rPr>
      </w:pPr>
      <w:r>
        <w:rPr>
          <w:rFonts w:hint="eastAsia" w:ascii="仿宋" w:hAnsi="仿宋" w:eastAsia="仿宋" w:cs="仿宋"/>
          <w:sz w:val="21"/>
          <w:szCs w:val="21"/>
        </w:rPr>
        <w:t>（1）如遇突发情况，需紧急加送时，能在30分钟内加送到指定地点；</w:t>
      </w:r>
    </w:p>
    <w:p>
      <w:pPr>
        <w:keepNext w:val="0"/>
        <w:keepLines w:val="0"/>
        <w:pageBreakBefore w:val="0"/>
        <w:widowControl w:val="0"/>
        <w:kinsoku/>
        <w:wordWrap/>
        <w:overflowPunct/>
        <w:topLinePunct w:val="0"/>
        <w:autoSpaceDE/>
        <w:autoSpaceDN/>
        <w:bidi w:val="0"/>
        <w:adjustRightInd w:val="0"/>
        <w:snapToGrid w:val="0"/>
        <w:spacing w:line="260" w:lineRule="exact"/>
        <w:ind w:firstLine="420" w:firstLineChars="200"/>
        <w:jc w:val="left"/>
        <w:textAlignment w:val="auto"/>
        <w:rPr>
          <w:rFonts w:hint="eastAsia" w:ascii="仿宋" w:hAnsi="仿宋" w:eastAsia="仿宋" w:cs="仿宋"/>
          <w:sz w:val="21"/>
          <w:szCs w:val="21"/>
        </w:rPr>
      </w:pPr>
      <w:r>
        <w:rPr>
          <w:rFonts w:hint="eastAsia" w:ascii="仿宋" w:hAnsi="仿宋" w:eastAsia="仿宋" w:cs="仿宋"/>
          <w:sz w:val="21"/>
          <w:szCs w:val="21"/>
        </w:rPr>
        <w:t>（2）遇重大接待，中标人需保持有工作人员在现场，随时做好服务支持；</w:t>
      </w:r>
    </w:p>
    <w:p>
      <w:pPr>
        <w:keepNext w:val="0"/>
        <w:keepLines w:val="0"/>
        <w:pageBreakBefore w:val="0"/>
        <w:widowControl w:val="0"/>
        <w:kinsoku/>
        <w:wordWrap/>
        <w:overflowPunct/>
        <w:topLinePunct w:val="0"/>
        <w:autoSpaceDE/>
        <w:autoSpaceDN/>
        <w:bidi w:val="0"/>
        <w:adjustRightInd w:val="0"/>
        <w:snapToGrid w:val="0"/>
        <w:spacing w:line="260" w:lineRule="exact"/>
        <w:ind w:firstLine="420" w:firstLineChars="200"/>
        <w:jc w:val="left"/>
        <w:textAlignment w:val="auto"/>
        <w:rPr>
          <w:rFonts w:hint="eastAsia" w:ascii="仿宋" w:hAnsi="仿宋" w:eastAsia="仿宋" w:cs="仿宋"/>
          <w:sz w:val="21"/>
          <w:szCs w:val="21"/>
        </w:rPr>
      </w:pPr>
      <w:r>
        <w:rPr>
          <w:rFonts w:hint="eastAsia" w:ascii="仿宋" w:hAnsi="仿宋" w:eastAsia="仿宋" w:cs="仿宋"/>
          <w:sz w:val="21"/>
          <w:szCs w:val="21"/>
        </w:rPr>
        <w:t>（3）不定期对甲方干部职工进行新鲜健康食材选取的宣传科普；</w:t>
      </w:r>
    </w:p>
    <w:p>
      <w:pPr>
        <w:keepNext w:val="0"/>
        <w:keepLines w:val="0"/>
        <w:pageBreakBefore w:val="0"/>
        <w:widowControl w:val="0"/>
        <w:kinsoku/>
        <w:wordWrap/>
        <w:overflowPunct/>
        <w:topLinePunct w:val="0"/>
        <w:autoSpaceDE/>
        <w:autoSpaceDN/>
        <w:bidi w:val="0"/>
        <w:adjustRightInd w:val="0"/>
        <w:snapToGrid w:val="0"/>
        <w:spacing w:line="260" w:lineRule="exact"/>
        <w:ind w:firstLine="420" w:firstLineChars="200"/>
        <w:jc w:val="left"/>
        <w:textAlignment w:val="auto"/>
        <w:rPr>
          <w:rFonts w:hint="eastAsia" w:ascii="仿宋" w:hAnsi="仿宋" w:eastAsia="仿宋" w:cs="仿宋"/>
          <w:sz w:val="21"/>
          <w:szCs w:val="21"/>
        </w:rPr>
      </w:pPr>
      <w:r>
        <w:rPr>
          <w:rFonts w:hint="eastAsia" w:ascii="仿宋" w:hAnsi="仿宋" w:eastAsia="仿宋" w:cs="仿宋"/>
          <w:sz w:val="21"/>
          <w:szCs w:val="21"/>
        </w:rPr>
        <w:t>（4）配合采购人验货，紧急情况下帮助采购人进行食材初加工；</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3、售后巡检及质保服务</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（1）中标人对食材质量负全责，若出现食材残损无法食用或规格不一，如水果大小</w:t>
      </w:r>
      <w:r>
        <w:rPr>
          <w:rFonts w:hint="eastAsia" w:ascii="仿宋" w:hAnsi="仿宋" w:eastAsia="仿宋" w:cs="仿宋"/>
          <w:sz w:val="21"/>
          <w:szCs w:val="21"/>
          <w:lang w:val="en-US" w:eastAsia="zh-CN"/>
        </w:rPr>
        <w:t>规</w:t>
      </w:r>
      <w:r>
        <w:rPr>
          <w:rFonts w:hint="eastAsia" w:ascii="仿宋" w:hAnsi="仿宋" w:eastAsia="仿宋" w:cs="仿宋"/>
          <w:sz w:val="21"/>
          <w:szCs w:val="21"/>
        </w:rPr>
        <w:t>格不一，相差较大的，应及时更换，否则采购人可拒收或不支付该次货款；</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（2）定期对配送工作进行总结，对配送中出现的问题进行整改；</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（3）加强交流沟通，及时反馈相关信息，对发现的问题及时整改；</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（4）每月向采购人报送月工作总结，内容不能千篇一律，要及时反映最新的工作动向；</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（5）主动向采购人了解当日食材质量，做好后期调整完善；</w:t>
      </w:r>
    </w:p>
    <w:p>
      <w:pPr>
        <w:keepNext w:val="0"/>
        <w:keepLines w:val="0"/>
        <w:pageBreakBefore w:val="0"/>
        <w:widowControl w:val="0"/>
        <w:kinsoku/>
        <w:wordWrap/>
        <w:overflowPunct/>
        <w:topLinePunct w:val="0"/>
        <w:autoSpaceDE/>
        <w:autoSpaceDN/>
        <w:bidi w:val="0"/>
        <w:adjustRightInd w:val="0"/>
        <w:snapToGrid w:val="0"/>
        <w:spacing w:line="260" w:lineRule="exact"/>
        <w:ind w:firstLine="422" w:firstLineChars="200"/>
        <w:jc w:val="left"/>
        <w:textAlignment w:val="auto"/>
        <w:rPr>
          <w:rFonts w:hint="eastAsia" w:ascii="仿宋" w:hAnsi="仿宋" w:eastAsia="仿宋" w:cs="仿宋"/>
          <w:b/>
          <w:sz w:val="21"/>
          <w:szCs w:val="21"/>
        </w:rPr>
      </w:pPr>
      <w:r>
        <w:rPr>
          <w:rFonts w:hint="eastAsia" w:ascii="仿宋" w:hAnsi="仿宋" w:eastAsia="仿宋" w:cs="仿宋"/>
          <w:b/>
          <w:sz w:val="21"/>
          <w:szCs w:val="21"/>
          <w:lang w:eastAsia="zh-CN"/>
        </w:rPr>
        <w:t>（八）</w:t>
      </w:r>
      <w:r>
        <w:rPr>
          <w:rFonts w:hint="eastAsia" w:ascii="仿宋" w:hAnsi="仿宋" w:eastAsia="仿宋" w:cs="仿宋"/>
          <w:b/>
          <w:sz w:val="21"/>
          <w:szCs w:val="21"/>
        </w:rPr>
        <w:t>增值服务要求</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1、提供健康营养膳食建议服务</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（1）为采购人配备营养师，根据季节进行菜品搭配、荤素搭配，应季特色菜品更新；</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（2）做好合理菜谱建议，做到老少皆宜、清淡及重口味搭配、油炸及非油炸搭配；</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（3）根据地方区域（外地），适合的口味及特色进行搭配；</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2、公务用餐菜谱定制服务</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（1）根据季节、区域及人数，制定合理的公务用餐菜谱，注意营养搭配、荤素搭配，推荐应季、健康新鲜的肉类、蔬菜、水果；</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（2）主动加强与采购人沟通，了解公务用餐菜谱情况，根据反馈及时调整完善；</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（3）加强与食堂工作人员沟通，提升菜品质量，针对菜品数量进行规划，避免浪费；</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3、食材净菜加工服务</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（1）如采购人有需求，提供数量与质量达到采购人要求的净菜品类；</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（2）如遇处理程序较为复杂的食材时，配合采购人对食材进行深加工；</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（3）水产类食材现场宰杀处理；</w:t>
      </w:r>
    </w:p>
    <w:p>
      <w:pPr>
        <w:keepNext w:val="0"/>
        <w:keepLines w:val="0"/>
        <w:pageBreakBefore w:val="0"/>
        <w:widowControl w:val="0"/>
        <w:kinsoku/>
        <w:wordWrap/>
        <w:overflowPunct/>
        <w:topLinePunct w:val="0"/>
        <w:autoSpaceDE/>
        <w:autoSpaceDN/>
        <w:bidi w:val="0"/>
        <w:snapToGrid w:val="0"/>
        <w:spacing w:line="260" w:lineRule="exact"/>
        <w:ind w:firstLine="420" w:firstLineChars="200"/>
        <w:rPr>
          <w:rFonts w:hint="eastAsia" w:ascii="仿宋" w:hAnsi="仿宋" w:eastAsia="仿宋" w:cs="仿宋"/>
          <w:sz w:val="21"/>
          <w:szCs w:val="21"/>
        </w:rPr>
      </w:pPr>
      <w:r>
        <w:rPr>
          <w:rFonts w:hint="eastAsia" w:ascii="仿宋" w:hAnsi="仿宋" w:eastAsia="仿宋" w:cs="仿宋"/>
          <w:sz w:val="21"/>
          <w:szCs w:val="21"/>
        </w:rPr>
        <w:t>（4）对易损伤类水果进行分装。</w:t>
      </w:r>
    </w:p>
    <w:p>
      <w:pPr>
        <w:pStyle w:val="18"/>
        <w:tabs>
          <w:tab w:val="left" w:pos="0"/>
        </w:tabs>
        <w:rPr>
          <w:rFonts w:hint="eastAsia" w:ascii="仿宋" w:hAnsi="仿宋" w:eastAsia="仿宋" w:cs="仿宋"/>
          <w:b/>
          <w:bCs/>
          <w:kern w:val="2"/>
          <w:sz w:val="21"/>
          <w:szCs w:val="21"/>
          <w:lang w:val="en-US" w:eastAsia="zh-CN" w:bidi="ar-SA"/>
        </w:rPr>
      </w:pPr>
      <w:r>
        <w:rPr>
          <w:rFonts w:hint="eastAsia" w:ascii="仿宋" w:hAnsi="仿宋" w:eastAsia="仿宋" w:cs="仿宋"/>
          <w:b/>
          <w:bCs/>
          <w:kern w:val="2"/>
          <w:sz w:val="21"/>
          <w:szCs w:val="21"/>
          <w:lang w:val="en-US" w:eastAsia="zh-CN" w:bidi="ar-SA"/>
        </w:rPr>
        <w:t>（九）投标供应商须执行如下各项制度</w:t>
      </w:r>
    </w:p>
    <w:p>
      <w:pPr>
        <w:pStyle w:val="18"/>
        <w:tabs>
          <w:tab w:val="left" w:pos="0"/>
        </w:tabs>
        <w:jc w:val="center"/>
        <w:rPr>
          <w:rFonts w:hint="eastAsia" w:ascii="仿宋" w:hAnsi="仿宋" w:eastAsia="仿宋" w:cs="仿宋"/>
          <w:b/>
          <w:bCs/>
          <w:kern w:val="2"/>
          <w:sz w:val="21"/>
          <w:szCs w:val="21"/>
          <w:lang w:val="en-US" w:eastAsia="zh-CN" w:bidi="ar-SA"/>
        </w:rPr>
      </w:pPr>
      <w:r>
        <w:rPr>
          <w:rFonts w:hint="eastAsia" w:ascii="仿宋" w:hAnsi="仿宋" w:eastAsia="仿宋" w:cs="仿宋"/>
          <w:b/>
          <w:bCs/>
          <w:kern w:val="2"/>
          <w:sz w:val="21"/>
          <w:szCs w:val="21"/>
          <w:lang w:val="en-US" w:eastAsia="zh-CN" w:bidi="ar-SA"/>
        </w:rPr>
        <w:t>《食品配送管理制度》</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1、配送人员应该严格按照武侯区机关事务中心要求的时间提前赶到各个点位，不得迟到。应按要求提前清点货物和检查货品的质量。严禁腐烂变质的生鲜货物；</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2、配送人员应该保证已到达单位货物的安全性和完整性，不能让货物受到损失和丢失，如有损失照价赔偿。在月度食材配送综合测评表中扣除相应分数；</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3、配送人员应文明配送，不得作出破坏食材的行为；</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4、配送的蔬菜肉类需具有追踪溯源标识或记录记载，并可实现追踪溯源，配送的食品全部都要有相应的防尘、防污染措施，避免外露；</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5、配送车辆应符合相关卫生要求，做到每日清洗、消毒并做好消毒记录，严格配送时的卫生要求，车上食品不混装、不挤压；</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6、配送时严格清查配送物品的品种、数量等应与订餐明细相符。</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7、该项目配送负责人要对其所负责点位全权负责处理日常事务。</w:t>
      </w:r>
    </w:p>
    <w:p>
      <w:pPr>
        <w:pStyle w:val="18"/>
        <w:tabs>
          <w:tab w:val="left" w:pos="0"/>
        </w:tabs>
        <w:rPr>
          <w:rFonts w:hint="eastAsia" w:ascii="仿宋" w:hAnsi="仿宋" w:eastAsia="仿宋" w:cs="仿宋"/>
          <w:kern w:val="2"/>
          <w:sz w:val="21"/>
          <w:szCs w:val="21"/>
          <w:lang w:val="en-US" w:eastAsia="zh-CN" w:bidi="ar-SA"/>
        </w:rPr>
      </w:pPr>
    </w:p>
    <w:p>
      <w:pPr>
        <w:pStyle w:val="18"/>
        <w:tabs>
          <w:tab w:val="left" w:pos="0"/>
        </w:tabs>
        <w:jc w:val="center"/>
        <w:rPr>
          <w:rFonts w:hint="eastAsia" w:ascii="仿宋" w:hAnsi="仿宋" w:eastAsia="仿宋" w:cs="仿宋"/>
          <w:b/>
          <w:bCs/>
          <w:kern w:val="2"/>
          <w:sz w:val="21"/>
          <w:szCs w:val="21"/>
          <w:lang w:val="en-US" w:eastAsia="zh-CN" w:bidi="ar-SA"/>
        </w:rPr>
      </w:pPr>
      <w:r>
        <w:rPr>
          <w:rFonts w:hint="eastAsia" w:ascii="仿宋" w:hAnsi="仿宋" w:eastAsia="仿宋" w:cs="仿宋"/>
          <w:b/>
          <w:bCs/>
          <w:kern w:val="2"/>
          <w:sz w:val="21"/>
          <w:szCs w:val="21"/>
          <w:lang w:val="en-US" w:eastAsia="zh-CN" w:bidi="ar-SA"/>
        </w:rPr>
        <w:t>《蔬果农药检测制度》</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1、为确保进入配送的蔬菜安全卫生，按照国家的有关规定，结合实际情况，制定蔬菜农药残留农药检测制度；</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2、检测人员上岗前必须经过专业培训；检测前清洗双手，着装整洁；检测过程中必须严格按照检测技术要求规范操作，确保检测的准确性；</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3、实行蔬菜农药残留抽检制度，每天随机抽取进入配送的蔬菜样品（具体抽取数量依据实际自行确定），对农药残留情况进行检测，并对每批检测结果进行记录，建立档案。存档记录原则上应保存1个月以上；</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4、样品检测时如发现农残超标，应立即重新复检二次。如全部不合格则判定为该样品速检不合格，及时进行处理，应该退给分装者的退给分装者，应该销毁处理的及时销毁处理，如果情节严重的，应该及时报告当地食品药品监督管理行政主管部门。</w:t>
      </w:r>
    </w:p>
    <w:p>
      <w:pPr>
        <w:pStyle w:val="18"/>
        <w:tabs>
          <w:tab w:val="left" w:pos="0"/>
        </w:tabs>
        <w:rPr>
          <w:rFonts w:hint="eastAsia" w:ascii="仿宋" w:hAnsi="仿宋" w:eastAsia="仿宋" w:cs="仿宋"/>
          <w:kern w:val="2"/>
          <w:sz w:val="21"/>
          <w:szCs w:val="21"/>
          <w:lang w:val="en-US" w:eastAsia="zh-CN" w:bidi="ar-SA"/>
        </w:rPr>
      </w:pPr>
    </w:p>
    <w:p>
      <w:pPr>
        <w:pStyle w:val="18"/>
        <w:tabs>
          <w:tab w:val="left" w:pos="0"/>
        </w:tabs>
        <w:jc w:val="center"/>
        <w:rPr>
          <w:rFonts w:hint="eastAsia" w:ascii="仿宋" w:hAnsi="仿宋" w:eastAsia="仿宋" w:cs="仿宋"/>
          <w:b/>
          <w:bCs/>
          <w:kern w:val="2"/>
          <w:sz w:val="21"/>
          <w:szCs w:val="21"/>
          <w:lang w:val="en-US" w:eastAsia="zh-CN" w:bidi="ar-SA"/>
        </w:rPr>
      </w:pPr>
      <w:r>
        <w:rPr>
          <w:rFonts w:hint="eastAsia" w:ascii="仿宋" w:hAnsi="仿宋" w:eastAsia="仿宋" w:cs="仿宋"/>
          <w:b/>
          <w:bCs/>
          <w:kern w:val="2"/>
          <w:sz w:val="21"/>
          <w:szCs w:val="21"/>
          <w:lang w:val="en-US" w:eastAsia="zh-CN" w:bidi="ar-SA"/>
        </w:rPr>
        <w:t>《场地、车辆、消毒保洁管理制度》</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1、主副食品分库存放，非食品及个人生活用品不得进入食品库房，严禁在食品库内存放杀虫剂、洗涤剂、消毒剂等有毒、有害物品；</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2、做好库房和车辆的防霉、防蝇、防虫、防鼠工作。库房和车辆内不得有霉斑、鼠迹、苍蝇、蟑螂、蜘蛛网等，仓库和车辆内定期清扫，保持仓库、货架清洁卫生。经常开窗或用机械设备通风，保持干燥，对配送车辆进行定期清洗，并做好相关记录；</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3、按原料、半成品、成品的性质将食品分类分架存放，有明显标志、有一定间距，隔墙离地10厘米以上，离地平台或层架。</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4、肉类、水产类、禽蛋等易腐食品应分别冷藏贮存。用于保存食品的冷藏设备，要保持清洁、及时除霜、定期消毒、并贴有明显标识，配有温度显示装置。生食品、熟食品、半成品分柜存放，杜绝生熟混放。</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5、严格执行冷藏冷冻设备检查维修制度，定期进行设备检修，保证冷藏设施正常运转，温度显示装置良好。</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6、严格执行出入库登记及食品卫生质量检查验收制度。</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（1）入库前，首先对所购食品进行检查，对不符合食品卫生要求者，不签收。</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（2）做好食品数量、质量、进发货登记；做到先进先出，易坏先用。验收记录应妥善保存、以备查考。按签标示的贮存条件保存食品。</w:t>
      </w:r>
    </w:p>
    <w:p>
      <w:pPr>
        <w:pStyle w:val="18"/>
        <w:tabs>
          <w:tab w:val="left" w:pos="0"/>
        </w:tabs>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 xml:space="preserve">  7、做好库房防鼠、防蝇、防蟑螂工作。</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第四条、</w:t>
      </w:r>
      <w:r>
        <w:rPr>
          <w:rFonts w:hint="eastAsia" w:ascii="仿宋" w:hAnsi="仿宋" w:eastAsia="仿宋" w:cs="仿宋"/>
          <w:b/>
          <w:color w:val="auto"/>
          <w:sz w:val="21"/>
          <w:szCs w:val="21"/>
        </w:rPr>
        <w:t>服务费用及支付方式</w:t>
      </w:r>
    </w:p>
    <w:p>
      <w:pPr>
        <w:keepNext w:val="0"/>
        <w:keepLines w:val="0"/>
        <w:pageBreakBefore w:val="0"/>
        <w:widowControl w:val="0"/>
        <w:kinsoku/>
        <w:wordWrap/>
        <w:overflowPunct/>
        <w:topLinePunct w:val="0"/>
        <w:autoSpaceDE/>
        <w:autoSpaceDN/>
        <w:bidi w:val="0"/>
        <w:snapToGrid w:val="0"/>
        <w:spacing w:line="260" w:lineRule="exact"/>
        <w:ind w:firstLine="422" w:firstLineChars="200"/>
        <w:textAlignment w:val="auto"/>
        <w:rPr>
          <w:rFonts w:hint="eastAsia" w:ascii="仿宋" w:hAnsi="仿宋" w:eastAsia="仿宋" w:cs="仿宋"/>
          <w:b/>
          <w:bCs/>
          <w:color w:val="000000"/>
          <w:sz w:val="21"/>
          <w:szCs w:val="21"/>
        </w:rPr>
      </w:pPr>
      <w:r>
        <w:rPr>
          <w:rFonts w:hint="eastAsia" w:ascii="仿宋" w:hAnsi="仿宋" w:eastAsia="仿宋" w:cs="仿宋"/>
          <w:b/>
          <w:bCs/>
          <w:color w:val="000000"/>
          <w:sz w:val="21"/>
          <w:szCs w:val="21"/>
          <w:lang w:val="en-US" w:eastAsia="zh-CN"/>
        </w:rPr>
        <w:t>1.</w:t>
      </w:r>
      <w:r>
        <w:rPr>
          <w:rFonts w:hint="eastAsia" w:ascii="仿宋" w:hAnsi="仿宋" w:eastAsia="仿宋" w:cs="仿宋"/>
          <w:b/>
          <w:bCs/>
          <w:color w:val="000000"/>
          <w:sz w:val="21"/>
          <w:szCs w:val="21"/>
        </w:rPr>
        <w:t>货款结算</w:t>
      </w:r>
    </w:p>
    <w:p>
      <w:pPr>
        <w:keepNext w:val="0"/>
        <w:keepLines w:val="0"/>
        <w:pageBreakBefore w:val="0"/>
        <w:widowControl w:val="0"/>
        <w:kinsoku/>
        <w:wordWrap/>
        <w:overflowPunct/>
        <w:topLinePunct w:val="0"/>
        <w:autoSpaceDE/>
        <w:autoSpaceDN/>
        <w:bidi w:val="0"/>
        <w:spacing w:line="260" w:lineRule="exact"/>
        <w:ind w:firstLine="420" w:firstLineChars="200"/>
        <w:jc w:val="left"/>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1</w:t>
      </w:r>
      <w:r>
        <w:rPr>
          <w:rFonts w:hint="eastAsia" w:ascii="仿宋" w:hAnsi="仿宋" w:eastAsia="仿宋" w:cs="仿宋"/>
          <w:sz w:val="21"/>
          <w:szCs w:val="21"/>
          <w:lang w:eastAsia="zh-CN"/>
        </w:rPr>
        <w:t>）</w:t>
      </w:r>
      <w:r>
        <w:rPr>
          <w:rFonts w:hint="eastAsia" w:ascii="仿宋" w:hAnsi="仿宋" w:eastAsia="仿宋" w:cs="仿宋"/>
          <w:sz w:val="21"/>
          <w:szCs w:val="21"/>
        </w:rPr>
        <w:t>货款实行按月结算，当月支付上月货款，货款系包含商品本身、商品包装费、交货所需的运输费用、保险费用及其他因商品采购事宜而产生的所有含税费用。采购人与中标人共同核实本月实际供货清单，并结合月度考评结果确定后，由中标人出具完整合法有效的发票。采购人在收到中标人开具的发票后15个工作日内以转账的方式支付到中标人银行账户。采购人逾期付款，则每日按当月应付货款金额的1‰向乙方偿付违约金。</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2</w:t>
      </w:r>
      <w:r>
        <w:rPr>
          <w:rFonts w:hint="eastAsia" w:ascii="仿宋" w:hAnsi="仿宋" w:eastAsia="仿宋" w:cs="仿宋"/>
          <w:sz w:val="21"/>
          <w:szCs w:val="21"/>
          <w:lang w:eastAsia="zh-CN"/>
        </w:rPr>
        <w:t>）</w:t>
      </w:r>
      <w:r>
        <w:rPr>
          <w:rFonts w:hint="eastAsia" w:ascii="仿宋" w:hAnsi="仿宋" w:eastAsia="仿宋" w:cs="仿宋"/>
          <w:sz w:val="21"/>
          <w:szCs w:val="21"/>
        </w:rPr>
        <w:t>米、面、油、奶制品、干货</w:t>
      </w:r>
      <w:r>
        <w:rPr>
          <w:rFonts w:hint="eastAsia" w:ascii="仿宋" w:hAnsi="仿宋" w:eastAsia="仿宋" w:cs="仿宋"/>
          <w:sz w:val="21"/>
          <w:szCs w:val="21"/>
          <w:lang w:eastAsia="zh-CN"/>
        </w:rPr>
        <w:t>、</w:t>
      </w:r>
      <w:r>
        <w:rPr>
          <w:rFonts w:hint="eastAsia" w:ascii="仿宋" w:hAnsi="仿宋" w:eastAsia="仿宋" w:cs="仿宋"/>
          <w:sz w:val="21"/>
          <w:szCs w:val="21"/>
        </w:rPr>
        <w:t>调料配送结算首先以成都市发改委每月发布的市场综合零售价乘以90%作为结算基础价,成都市发改委未发布的品种以武侯区机关事务中心市场调价乘以90%作为结算基础价，结算基础价乘以投标结算率再乘以数量进行结算。</w:t>
      </w:r>
      <w:r>
        <w:rPr>
          <w:rFonts w:hint="eastAsia" w:ascii="仿宋" w:hAnsi="仿宋" w:eastAsia="仿宋" w:cs="仿宋"/>
          <w:b/>
          <w:sz w:val="21"/>
          <w:szCs w:val="21"/>
        </w:rPr>
        <w:t>即结算公式为：（市场综合零售价、市场调价）×90%×投标结算率×数量=实际结算价。</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肉类、禽类、蛋</w:t>
      </w:r>
      <w:r>
        <w:rPr>
          <w:rFonts w:hint="eastAsia" w:ascii="仿宋" w:hAnsi="仿宋" w:eastAsia="仿宋" w:cs="仿宋"/>
          <w:sz w:val="21"/>
          <w:szCs w:val="21"/>
        </w:rPr>
        <w:t>类、水产类配送结算首先以成都市发改委每月发布的市场综合零售价乘以88%作为结算基础价,成都市发改委未发布的品种以武侯区机关事务中心市场调价乘以88%作为结算基础价，结算基础价乘以投标结算率再乘以数量进行结算。</w:t>
      </w:r>
      <w:r>
        <w:rPr>
          <w:rFonts w:hint="eastAsia" w:ascii="仿宋" w:hAnsi="仿宋" w:eastAsia="仿宋" w:cs="仿宋"/>
          <w:b/>
          <w:sz w:val="21"/>
          <w:szCs w:val="21"/>
        </w:rPr>
        <w:t>即结算公式为：（市场综合零售价、市场调价）×88%×投标结算率×数量=实际结算价。</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b/>
          <w:sz w:val="21"/>
          <w:szCs w:val="21"/>
        </w:rPr>
      </w:pPr>
      <w:r>
        <w:rPr>
          <w:rFonts w:hint="eastAsia" w:ascii="仿宋" w:hAnsi="仿宋" w:eastAsia="仿宋" w:cs="仿宋"/>
          <w:sz w:val="21"/>
          <w:szCs w:val="21"/>
        </w:rPr>
        <w:t>水果</w:t>
      </w:r>
      <w:r>
        <w:rPr>
          <w:rFonts w:hint="eastAsia" w:ascii="仿宋" w:hAnsi="仿宋" w:eastAsia="仿宋" w:cs="仿宋"/>
          <w:sz w:val="21"/>
          <w:szCs w:val="21"/>
          <w:lang w:eastAsia="zh-CN"/>
        </w:rPr>
        <w:t>类</w:t>
      </w:r>
      <w:r>
        <w:rPr>
          <w:rFonts w:hint="eastAsia" w:ascii="仿宋" w:hAnsi="仿宋" w:eastAsia="仿宋" w:cs="仿宋"/>
          <w:sz w:val="21"/>
          <w:szCs w:val="21"/>
        </w:rPr>
        <w:t>、蔬菜</w:t>
      </w:r>
      <w:r>
        <w:rPr>
          <w:rFonts w:hint="eastAsia" w:ascii="仿宋" w:hAnsi="仿宋" w:eastAsia="仿宋" w:cs="仿宋"/>
          <w:sz w:val="21"/>
          <w:szCs w:val="21"/>
          <w:lang w:eastAsia="zh-CN"/>
        </w:rPr>
        <w:t>类</w:t>
      </w:r>
      <w:r>
        <w:rPr>
          <w:rFonts w:hint="eastAsia" w:ascii="仿宋" w:hAnsi="仿宋" w:eastAsia="仿宋" w:cs="仿宋"/>
          <w:sz w:val="21"/>
          <w:szCs w:val="21"/>
        </w:rPr>
        <w:t>配送结算首先以成都市发改委每月发布的市场综合零售价乘以80%作为结算基础价,成都市发改委未发布的品种以武侯区机关事务中心市场调价乘以80%作为结算基础价，结算基础价乘以投标结算率再乘以数量进行结算。</w:t>
      </w:r>
      <w:r>
        <w:rPr>
          <w:rFonts w:hint="eastAsia" w:ascii="仿宋" w:hAnsi="仿宋" w:eastAsia="仿宋" w:cs="仿宋"/>
          <w:b/>
          <w:sz w:val="21"/>
          <w:szCs w:val="21"/>
        </w:rPr>
        <w:t>即结算公式为：（市场综合零售价、市场调价）×80%×投标结算率×数量=实际结算价。</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3</w:t>
      </w:r>
      <w:r>
        <w:rPr>
          <w:rFonts w:hint="eastAsia" w:ascii="仿宋" w:hAnsi="仿宋" w:eastAsia="仿宋" w:cs="仿宋"/>
          <w:sz w:val="21"/>
          <w:szCs w:val="21"/>
          <w:lang w:eastAsia="zh-CN"/>
        </w:rPr>
        <w:t>）</w:t>
      </w:r>
      <w:r>
        <w:rPr>
          <w:rFonts w:hint="eastAsia" w:ascii="仿宋" w:hAnsi="仿宋" w:eastAsia="仿宋" w:cs="仿宋"/>
          <w:sz w:val="21"/>
          <w:szCs w:val="21"/>
        </w:rPr>
        <w:t>按采购人需求购买的熟食按购入价格据实结算。</w:t>
      </w:r>
    </w:p>
    <w:p>
      <w:pPr>
        <w:pStyle w:val="17"/>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4</w:t>
      </w:r>
      <w:r>
        <w:rPr>
          <w:rFonts w:hint="eastAsia" w:ascii="仿宋" w:hAnsi="仿宋" w:eastAsia="仿宋" w:cs="仿宋"/>
          <w:sz w:val="21"/>
          <w:szCs w:val="21"/>
          <w:lang w:eastAsia="zh-CN"/>
        </w:rPr>
        <w:t>）</w:t>
      </w:r>
      <w:r>
        <w:rPr>
          <w:rFonts w:hint="eastAsia" w:ascii="仿宋" w:hAnsi="仿宋" w:eastAsia="仿宋" w:cs="仿宋"/>
          <w:sz w:val="21"/>
          <w:szCs w:val="21"/>
        </w:rPr>
        <w:t>投标人优先将我区农产品战略合作地及其他贫困地区农产品纳入采购范围，按购入价格据实结算。</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5</w:t>
      </w:r>
      <w:r>
        <w:rPr>
          <w:rFonts w:hint="eastAsia" w:ascii="仿宋" w:hAnsi="仿宋" w:eastAsia="仿宋" w:cs="仿宋"/>
          <w:sz w:val="21"/>
          <w:szCs w:val="21"/>
          <w:lang w:eastAsia="zh-CN"/>
        </w:rPr>
        <w:t>）</w:t>
      </w:r>
      <w:r>
        <w:rPr>
          <w:rFonts w:hint="eastAsia" w:ascii="仿宋" w:hAnsi="仿宋" w:eastAsia="仿宋" w:cs="仿宋"/>
          <w:sz w:val="21"/>
          <w:szCs w:val="21"/>
        </w:rPr>
        <w:t>如需称重计量的，双方共同校对计量称，所供食材的数量以</w:t>
      </w:r>
      <w:r>
        <w:rPr>
          <w:rFonts w:hint="eastAsia" w:ascii="仿宋" w:hAnsi="仿宋" w:eastAsia="仿宋" w:cs="仿宋"/>
          <w:sz w:val="21"/>
          <w:szCs w:val="21"/>
          <w:lang w:val="en-US" w:eastAsia="zh-CN"/>
        </w:rPr>
        <w:t>采购人</w:t>
      </w:r>
      <w:r>
        <w:rPr>
          <w:rFonts w:hint="eastAsia" w:ascii="仿宋" w:hAnsi="仿宋" w:eastAsia="仿宋" w:cs="仿宋"/>
          <w:sz w:val="21"/>
          <w:szCs w:val="21"/>
        </w:rPr>
        <w:t>过磅为准，并由</w:t>
      </w:r>
      <w:r>
        <w:rPr>
          <w:rFonts w:hint="eastAsia" w:ascii="仿宋" w:hAnsi="仿宋" w:eastAsia="仿宋" w:cs="仿宋"/>
          <w:sz w:val="21"/>
          <w:szCs w:val="21"/>
          <w:lang w:val="en-US" w:eastAsia="zh-CN"/>
        </w:rPr>
        <w:t>采购人</w:t>
      </w:r>
      <w:r>
        <w:rPr>
          <w:rFonts w:hint="eastAsia" w:ascii="仿宋" w:hAnsi="仿宋" w:eastAsia="仿宋" w:cs="仿宋"/>
          <w:sz w:val="21"/>
          <w:szCs w:val="21"/>
        </w:rPr>
        <w:t>验收人员签字确认。由</w:t>
      </w:r>
      <w:r>
        <w:rPr>
          <w:rFonts w:hint="eastAsia" w:ascii="仿宋" w:hAnsi="仿宋" w:eastAsia="仿宋" w:cs="仿宋"/>
          <w:sz w:val="21"/>
          <w:szCs w:val="21"/>
          <w:lang w:val="en-US" w:eastAsia="zh-CN"/>
        </w:rPr>
        <w:t>采购人</w:t>
      </w:r>
      <w:r>
        <w:rPr>
          <w:rFonts w:hint="eastAsia" w:ascii="仿宋" w:hAnsi="仿宋" w:eastAsia="仿宋" w:cs="仿宋"/>
          <w:sz w:val="21"/>
          <w:szCs w:val="21"/>
        </w:rPr>
        <w:t>验收人员签字确认的数量即视为双方均认可的数量。</w:t>
      </w:r>
    </w:p>
    <w:p>
      <w:pPr>
        <w:keepNext w:val="0"/>
        <w:keepLines w:val="0"/>
        <w:pageBreakBefore w:val="0"/>
        <w:widowControl w:val="0"/>
        <w:kinsoku/>
        <w:wordWrap/>
        <w:overflowPunct/>
        <w:topLinePunct w:val="0"/>
        <w:autoSpaceDE/>
        <w:autoSpaceDN/>
        <w:bidi w:val="0"/>
        <w:snapToGrid w:val="0"/>
        <w:spacing w:line="260" w:lineRule="exact"/>
        <w:ind w:firstLine="422" w:firstLineChars="200"/>
        <w:textAlignment w:val="auto"/>
        <w:rPr>
          <w:rFonts w:hint="eastAsia" w:ascii="仿宋" w:hAnsi="仿宋" w:eastAsia="仿宋" w:cs="仿宋"/>
          <w:b/>
          <w:bCs/>
          <w:sz w:val="21"/>
          <w:szCs w:val="21"/>
        </w:rPr>
      </w:pPr>
      <w:r>
        <w:rPr>
          <w:rFonts w:hint="eastAsia" w:ascii="仿宋" w:hAnsi="仿宋" w:eastAsia="仿宋" w:cs="仿宋"/>
          <w:b/>
          <w:bCs/>
          <w:sz w:val="21"/>
          <w:szCs w:val="21"/>
          <w:lang w:val="en-US" w:eastAsia="zh-CN"/>
        </w:rPr>
        <w:t>2.</w:t>
      </w:r>
      <w:r>
        <w:rPr>
          <w:rFonts w:hint="eastAsia" w:ascii="仿宋" w:hAnsi="仿宋" w:eastAsia="仿宋" w:cs="仿宋"/>
          <w:b/>
          <w:bCs/>
          <w:sz w:val="21"/>
          <w:szCs w:val="21"/>
        </w:rPr>
        <w:t>考核时间及处罚</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实行</w:t>
      </w:r>
      <w:r>
        <w:rPr>
          <w:rFonts w:hint="eastAsia" w:ascii="仿宋" w:hAnsi="仿宋" w:eastAsia="仿宋" w:cs="仿宋"/>
          <w:sz w:val="21"/>
          <w:szCs w:val="21"/>
        </w:rPr>
        <w:t>日常抽查和月考评相结合的综合考核标准。</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1</w:t>
      </w:r>
      <w:r>
        <w:rPr>
          <w:rFonts w:hint="eastAsia" w:ascii="仿宋" w:hAnsi="仿宋" w:eastAsia="仿宋" w:cs="仿宋"/>
          <w:sz w:val="21"/>
          <w:szCs w:val="21"/>
          <w:lang w:eastAsia="zh-CN"/>
        </w:rPr>
        <w:t>）</w:t>
      </w:r>
      <w:r>
        <w:rPr>
          <w:rFonts w:hint="eastAsia" w:ascii="仿宋" w:hAnsi="仿宋" w:eastAsia="仿宋" w:cs="仿宋"/>
          <w:sz w:val="21"/>
          <w:szCs w:val="21"/>
        </w:rPr>
        <w:t>日常考评</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①根据各项服务日常检查和处罚标准对日常食堂食材配送服务质量进行的考核</w:t>
      </w:r>
      <w:r>
        <w:rPr>
          <w:rFonts w:hint="eastAsia" w:ascii="仿宋" w:hAnsi="仿宋" w:eastAsia="仿宋" w:cs="仿宋"/>
          <w:sz w:val="21"/>
          <w:szCs w:val="21"/>
          <w:lang w:eastAsia="zh-CN"/>
        </w:rPr>
        <w:t>，</w:t>
      </w:r>
      <w:r>
        <w:rPr>
          <w:rFonts w:hint="eastAsia" w:ascii="仿宋" w:hAnsi="仿宋" w:eastAsia="仿宋" w:cs="仿宋"/>
          <w:sz w:val="21"/>
          <w:szCs w:val="21"/>
        </w:rPr>
        <w:t>采购人将按各项服务标准严格管理；②由采购人将检查结果进行汇总，以备在每月食材费用支付时扣除。</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2</w:t>
      </w:r>
      <w:r>
        <w:rPr>
          <w:rFonts w:hint="eastAsia" w:ascii="仿宋" w:hAnsi="仿宋" w:eastAsia="仿宋" w:cs="仿宋"/>
          <w:sz w:val="21"/>
          <w:szCs w:val="21"/>
          <w:lang w:eastAsia="zh-CN"/>
        </w:rPr>
        <w:t>）</w:t>
      </w:r>
      <w:r>
        <w:rPr>
          <w:rFonts w:hint="eastAsia" w:ascii="仿宋" w:hAnsi="仿宋" w:eastAsia="仿宋" w:cs="仿宋"/>
          <w:sz w:val="21"/>
          <w:szCs w:val="21"/>
        </w:rPr>
        <w:t>月考评</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①月考核作为支付当月服务费的主要依据，由采购人根据服务公司的服务质量和服务态度进行综评打分，按考核打分档次支付当月食材费。</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②单项方面工作被点名或通报批评，本月考核结果扣</w:t>
      </w:r>
      <w:r>
        <w:rPr>
          <w:rFonts w:hint="eastAsia" w:ascii="仿宋" w:hAnsi="仿宋" w:eastAsia="仿宋" w:cs="仿宋"/>
          <w:sz w:val="21"/>
          <w:szCs w:val="21"/>
          <w:lang w:val="en-US" w:eastAsia="zh-CN"/>
        </w:rPr>
        <w:t>5</w:t>
      </w:r>
      <w:r>
        <w:rPr>
          <w:rFonts w:hint="eastAsia" w:ascii="仿宋" w:hAnsi="仿宋" w:eastAsia="仿宋" w:cs="仿宋"/>
          <w:sz w:val="21"/>
          <w:szCs w:val="21"/>
        </w:rPr>
        <w:t>分；</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③</w:t>
      </w:r>
      <w:r>
        <w:rPr>
          <w:rFonts w:hint="eastAsia" w:ascii="仿宋" w:hAnsi="仿宋" w:eastAsia="仿宋" w:cs="仿宋"/>
          <w:sz w:val="21"/>
          <w:szCs w:val="21"/>
          <w:lang w:val="zh-CN"/>
        </w:rPr>
        <w:t>根据《食堂食材配送验收清单》考评打分结果计算出月考核评分</w:t>
      </w:r>
      <w:r>
        <w:rPr>
          <w:rFonts w:hint="eastAsia" w:ascii="仿宋" w:hAnsi="仿宋" w:eastAsia="仿宋" w:cs="仿宋"/>
          <w:sz w:val="21"/>
          <w:szCs w:val="21"/>
        </w:rPr>
        <w:t>。当月得分95分（含）以上的，当月的费用按合同金额全额向中标供应商支付；当月综合平均得分95分（不含）—90分（含），支付当月费用时在合同金额中从95分起计，按每扣0.5分扣除当月费用1000元后支付，扣除不满0.5分的按照0.5分计算扣除（如94.8分，按照94.5分计，扣除当月费用1000元）；当月综合平均得分90分（不含）—80分（含），支付费用时在合同金额中扣除10000元后，从90分起计，按当月每扣0.5分扣除当月费用1500元后支付，扣除不满0.5分的按照0.5分计算扣除当月费用（如84.2分，按照84分计，扣除当月费用28000元）；当月综合平均得分检查结果为80分（不含）以下，则扣发当月费用的50%。若月考核评定低于90分，则中标供应商须就服务工作方面的问题向采购人提供整改报告。</w:t>
      </w:r>
    </w:p>
    <w:p>
      <w:pPr>
        <w:keepNext w:val="0"/>
        <w:keepLines w:val="0"/>
        <w:pageBreakBefore w:val="0"/>
        <w:widowControl w:val="0"/>
        <w:kinsoku/>
        <w:wordWrap/>
        <w:overflowPunct/>
        <w:topLinePunct w:val="0"/>
        <w:autoSpaceDE/>
        <w:autoSpaceDN/>
        <w:bidi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color w:val="auto"/>
          <w:sz w:val="21"/>
          <w:szCs w:val="21"/>
        </w:rPr>
        <w:t>④</w:t>
      </w:r>
      <w:r>
        <w:rPr>
          <w:rFonts w:hint="eastAsia" w:ascii="仿宋" w:hAnsi="仿宋" w:eastAsia="仿宋" w:cs="仿宋"/>
          <w:sz w:val="21"/>
          <w:szCs w:val="21"/>
        </w:rPr>
        <w:t>每年度月考核中累计有三个月月得分低于90分，视为年度考核不合格，采购人有权要求终止合同，由中标供应商承担违约和赔偿责任。</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3</w:t>
      </w:r>
      <w:r>
        <w:rPr>
          <w:rFonts w:hint="eastAsia" w:ascii="仿宋" w:hAnsi="仿宋" w:eastAsia="仿宋" w:cs="仿宋"/>
          <w:sz w:val="21"/>
          <w:szCs w:val="21"/>
          <w:lang w:eastAsia="zh-CN"/>
        </w:rPr>
        <w:t>）</w:t>
      </w:r>
      <w:r>
        <w:rPr>
          <w:rFonts w:hint="eastAsia" w:ascii="仿宋" w:hAnsi="仿宋" w:eastAsia="仿宋" w:cs="仿宋"/>
          <w:sz w:val="21"/>
          <w:szCs w:val="21"/>
        </w:rPr>
        <w:t>责任追究制度</w:t>
      </w:r>
    </w:p>
    <w:p>
      <w:pPr>
        <w:keepNext w:val="0"/>
        <w:keepLines w:val="0"/>
        <w:pageBreakBefore w:val="0"/>
        <w:widowControl w:val="0"/>
        <w:kinsoku/>
        <w:wordWrap/>
        <w:overflowPunct/>
        <w:topLinePunct w:val="0"/>
        <w:autoSpaceDE/>
        <w:autoSpaceDN/>
        <w:bidi w:val="0"/>
        <w:snapToGrid w:val="0"/>
        <w:spacing w:line="260" w:lineRule="exact"/>
        <w:ind w:firstLine="420" w:firstLineChars="200"/>
        <w:textAlignment w:val="auto"/>
        <w:rPr>
          <w:rFonts w:hint="eastAsia" w:ascii="仿宋" w:hAnsi="仿宋" w:eastAsia="仿宋" w:cs="仿宋"/>
          <w:sz w:val="21"/>
          <w:szCs w:val="21"/>
        </w:rPr>
      </w:pPr>
      <w:r>
        <w:rPr>
          <w:rFonts w:hint="eastAsia" w:ascii="仿宋" w:hAnsi="仿宋" w:eastAsia="仿宋" w:cs="仿宋"/>
          <w:sz w:val="21"/>
          <w:szCs w:val="21"/>
        </w:rPr>
        <w:t>采购人将定期或不定期地对配送工作进行督查。对投标供应商提供不合格产品或不按要求配送，影响正常就餐的，给予警告；情节严重的取消配送资格，因配送产品引发的食品安全事故或造成责任事故的取消供应商配送资格，并将追究其法律责任。</w:t>
      </w:r>
    </w:p>
    <w:p>
      <w:pPr>
        <w:keepNext w:val="0"/>
        <w:keepLines w:val="0"/>
        <w:pageBreakBefore w:val="0"/>
        <w:widowControl w:val="0"/>
        <w:kinsoku/>
        <w:wordWrap/>
        <w:overflowPunct/>
        <w:topLinePunct w:val="0"/>
        <w:autoSpaceDE/>
        <w:autoSpaceDN/>
        <w:bidi w:val="0"/>
        <w:snapToGrid w:val="0"/>
        <w:spacing w:line="260" w:lineRule="exact"/>
        <w:ind w:firstLine="420" w:firstLineChars="20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4.履约方式</w:t>
      </w:r>
    </w:p>
    <w:p>
      <w:pPr>
        <w:keepNext w:val="0"/>
        <w:keepLines w:val="0"/>
        <w:pageBreakBefore w:val="0"/>
        <w:widowControl w:val="0"/>
        <w:kinsoku/>
        <w:wordWrap/>
        <w:overflowPunct/>
        <w:topLinePunct w:val="0"/>
        <w:autoSpaceDE/>
        <w:autoSpaceDN/>
        <w:bidi w:val="0"/>
        <w:snapToGrid w:val="0"/>
        <w:spacing w:line="260" w:lineRule="exact"/>
        <w:ind w:firstLine="420" w:firstLineChars="200"/>
        <w:jc w:val="left"/>
        <w:rPr>
          <w:rFonts w:hint="eastAsia" w:ascii="仿宋" w:hAnsi="仿宋" w:eastAsia="仿宋" w:cs="仿宋"/>
          <w:color w:val="auto"/>
          <w:sz w:val="21"/>
          <w:szCs w:val="21"/>
        </w:rPr>
      </w:pPr>
      <w:r>
        <w:rPr>
          <w:rFonts w:hint="eastAsia" w:ascii="仿宋" w:hAnsi="仿宋" w:eastAsia="仿宋" w:cs="仿宋"/>
          <w:color w:val="auto"/>
          <w:sz w:val="21"/>
          <w:szCs w:val="21"/>
        </w:rPr>
        <w:t>本项目服务期限为1年，履约保证金为</w:t>
      </w:r>
      <w:r>
        <w:rPr>
          <w:rFonts w:hint="eastAsia" w:ascii="仿宋" w:hAnsi="仿宋" w:eastAsia="仿宋" w:cs="仿宋"/>
          <w:color w:val="auto"/>
          <w:sz w:val="21"/>
          <w:szCs w:val="21"/>
          <w:lang w:val="en-US" w:eastAsia="zh-CN"/>
        </w:rPr>
        <w:t>25</w:t>
      </w:r>
      <w:r>
        <w:rPr>
          <w:rFonts w:hint="eastAsia" w:ascii="仿宋" w:hAnsi="仿宋" w:eastAsia="仿宋" w:cs="仿宋"/>
          <w:color w:val="auto"/>
          <w:sz w:val="21"/>
          <w:szCs w:val="21"/>
        </w:rPr>
        <w:t>万元，履约保证金在合同有效期满，中标供应商按合同约定履约，无食材服务质量和重大的安全责任事故并且采购人在收到中标人开具的退还履约保证金凭证后，15个工作日内无息退还，因中标供应商原因所产生的违约金、损害赔偿、整改费用等费用，采购人均可直接从履约保证金中予以扣除。采购人在收到中标人开具的退还履约保证金凭证后15个工作日内以转账的方式支付到中标人银行账户，采购人逾期付款，则每日按本合同</w:t>
      </w:r>
      <w:r>
        <w:rPr>
          <w:rFonts w:hint="eastAsia" w:ascii="仿宋" w:hAnsi="仿宋" w:eastAsia="仿宋" w:cs="仿宋"/>
          <w:color w:val="auto"/>
          <w:sz w:val="21"/>
          <w:szCs w:val="21"/>
          <w:lang w:eastAsia="zh-CN"/>
        </w:rPr>
        <w:t>履约保证金</w:t>
      </w:r>
      <w:r>
        <w:rPr>
          <w:rFonts w:hint="eastAsia" w:ascii="仿宋" w:hAnsi="仿宋" w:eastAsia="仿宋" w:cs="仿宋"/>
          <w:color w:val="auto"/>
          <w:sz w:val="21"/>
          <w:szCs w:val="21"/>
        </w:rPr>
        <w:t>的1‰向乙方偿付违约金。</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第五条、</w:t>
      </w:r>
      <w:r>
        <w:rPr>
          <w:rFonts w:hint="eastAsia" w:ascii="仿宋" w:hAnsi="仿宋" w:eastAsia="仿宋" w:cs="仿宋"/>
          <w:b/>
          <w:color w:val="auto"/>
          <w:sz w:val="21"/>
          <w:szCs w:val="21"/>
        </w:rPr>
        <w:t>甲方的权利和义务</w:t>
      </w:r>
    </w:p>
    <w:p>
      <w:pPr>
        <w:keepNext w:val="0"/>
        <w:keepLines w:val="0"/>
        <w:pageBreakBefore w:val="0"/>
        <w:widowControl w:val="0"/>
        <w:numPr>
          <w:ilvl w:val="0"/>
          <w:numId w:val="0"/>
        </w:numPr>
        <w:kinsoku/>
        <w:wordWrap/>
        <w:overflowPunct/>
        <w:topLinePunct w:val="0"/>
        <w:autoSpaceDE/>
        <w:autoSpaceDN/>
        <w:bidi w:val="0"/>
        <w:spacing w:line="260" w:lineRule="exact"/>
        <w:ind w:firstLine="420" w:firstLineChars="200"/>
        <w:rPr>
          <w:rFonts w:hint="eastAsia" w:ascii="仿宋" w:hAnsi="仿宋" w:eastAsia="仿宋" w:cs="仿宋"/>
          <w:bCs/>
          <w:color w:val="auto"/>
          <w:sz w:val="21"/>
          <w:szCs w:val="21"/>
          <w:lang w:eastAsia="zh-CN"/>
        </w:rPr>
      </w:pPr>
      <w:r>
        <w:rPr>
          <w:rFonts w:hint="eastAsia" w:ascii="仿宋" w:hAnsi="仿宋" w:eastAsia="仿宋" w:cs="仿宋"/>
          <w:bCs/>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第六条、</w:t>
      </w:r>
      <w:r>
        <w:rPr>
          <w:rFonts w:hint="eastAsia" w:ascii="仿宋" w:hAnsi="仿宋" w:eastAsia="仿宋" w:cs="仿宋"/>
          <w:b/>
          <w:color w:val="auto"/>
          <w:sz w:val="21"/>
          <w:szCs w:val="21"/>
        </w:rPr>
        <w:t>乙方的权利和义务</w:t>
      </w:r>
    </w:p>
    <w:p>
      <w:pPr>
        <w:keepNext w:val="0"/>
        <w:keepLines w:val="0"/>
        <w:pageBreakBefore w:val="0"/>
        <w:widowControl w:val="0"/>
        <w:numPr>
          <w:ilvl w:val="0"/>
          <w:numId w:val="0"/>
        </w:numPr>
        <w:kinsoku/>
        <w:wordWrap/>
        <w:overflowPunct/>
        <w:topLinePunct w:val="0"/>
        <w:autoSpaceDE/>
        <w:autoSpaceDN/>
        <w:bidi w:val="0"/>
        <w:spacing w:line="260" w:lineRule="exact"/>
        <w:ind w:firstLine="420" w:firstLineChars="200"/>
        <w:rPr>
          <w:rFonts w:hint="eastAsia" w:ascii="仿宋" w:hAnsi="仿宋" w:eastAsia="仿宋" w:cs="仿宋"/>
          <w:bCs/>
          <w:color w:val="auto"/>
          <w:sz w:val="21"/>
          <w:szCs w:val="21"/>
          <w:lang w:eastAsia="zh-CN"/>
        </w:rPr>
      </w:pPr>
      <w:r>
        <w:rPr>
          <w:rFonts w:hint="eastAsia" w:ascii="仿宋" w:hAnsi="仿宋" w:eastAsia="仿宋" w:cs="仿宋"/>
          <w:bCs/>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第七条、</w:t>
      </w:r>
      <w:r>
        <w:rPr>
          <w:rFonts w:hint="eastAsia" w:ascii="仿宋" w:hAnsi="仿宋" w:eastAsia="仿宋" w:cs="仿宋"/>
          <w:b/>
          <w:color w:val="auto"/>
          <w:sz w:val="21"/>
          <w:szCs w:val="21"/>
        </w:rPr>
        <w:t>违约责任</w:t>
      </w:r>
    </w:p>
    <w:p>
      <w:pPr>
        <w:keepNext w:val="0"/>
        <w:keepLines w:val="0"/>
        <w:pageBreakBefore w:val="0"/>
        <w:widowControl w:val="0"/>
        <w:numPr>
          <w:ilvl w:val="0"/>
          <w:numId w:val="0"/>
        </w:numPr>
        <w:kinsoku/>
        <w:wordWrap/>
        <w:overflowPunct/>
        <w:topLinePunct w:val="0"/>
        <w:autoSpaceDE/>
        <w:autoSpaceDN/>
        <w:bidi w:val="0"/>
        <w:spacing w:line="260" w:lineRule="exact"/>
        <w:ind w:firstLine="420" w:firstLineChars="200"/>
        <w:rPr>
          <w:rFonts w:hint="eastAsia" w:ascii="仿宋" w:hAnsi="仿宋" w:eastAsia="仿宋" w:cs="仿宋"/>
          <w:bCs/>
          <w:color w:val="auto"/>
          <w:sz w:val="21"/>
          <w:szCs w:val="21"/>
          <w:lang w:eastAsia="zh-CN"/>
        </w:rPr>
      </w:pPr>
      <w:r>
        <w:rPr>
          <w:rFonts w:hint="eastAsia" w:ascii="仿宋" w:hAnsi="仿宋" w:eastAsia="仿宋" w:cs="仿宋"/>
          <w:bCs/>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第八条、</w:t>
      </w:r>
      <w:r>
        <w:rPr>
          <w:rFonts w:hint="eastAsia" w:ascii="仿宋" w:hAnsi="仿宋" w:eastAsia="仿宋" w:cs="仿宋"/>
          <w:b/>
          <w:color w:val="auto"/>
          <w:sz w:val="21"/>
          <w:szCs w:val="21"/>
        </w:rPr>
        <w:t>不可抗力事件处理</w:t>
      </w:r>
    </w:p>
    <w:p>
      <w:pPr>
        <w:keepNext w:val="0"/>
        <w:keepLines w:val="0"/>
        <w:pageBreakBefore w:val="0"/>
        <w:widowControl w:val="0"/>
        <w:numPr>
          <w:ilvl w:val="0"/>
          <w:numId w:val="0"/>
        </w:numPr>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第九条、</w:t>
      </w:r>
      <w:r>
        <w:rPr>
          <w:rFonts w:hint="eastAsia" w:ascii="仿宋" w:hAnsi="仿宋" w:eastAsia="仿宋" w:cs="仿宋"/>
          <w:b/>
          <w:color w:val="auto"/>
          <w:sz w:val="21"/>
          <w:szCs w:val="21"/>
        </w:rPr>
        <w:t>解决合同纠纷的方式</w:t>
      </w:r>
    </w:p>
    <w:p>
      <w:pPr>
        <w:keepNext w:val="0"/>
        <w:keepLines w:val="0"/>
        <w:pageBreakBefore w:val="0"/>
        <w:widowControl w:val="0"/>
        <w:tabs>
          <w:tab w:val="left" w:pos="0"/>
        </w:tabs>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1、在执行本合同中发生的或与本合同有关的争端，双方应通过友好协商解决，经协商不能达成协议时，应提交成都仲裁委员会按照其现行有效的仲裁规则进行仲裁。</w:t>
      </w:r>
    </w:p>
    <w:p>
      <w:pPr>
        <w:keepNext w:val="0"/>
        <w:keepLines w:val="0"/>
        <w:pageBreakBefore w:val="0"/>
        <w:widowControl w:val="0"/>
        <w:tabs>
          <w:tab w:val="left" w:pos="0"/>
        </w:tabs>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 xml:space="preserve">2、在仲裁期间，除正在进行仲裁部分外，合同其他部分继续执行。  </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第十条、</w:t>
      </w:r>
      <w:r>
        <w:rPr>
          <w:rFonts w:hint="eastAsia" w:ascii="仿宋" w:hAnsi="仿宋" w:eastAsia="仿宋" w:cs="仿宋"/>
          <w:b/>
          <w:color w:val="auto"/>
          <w:sz w:val="21"/>
          <w:szCs w:val="21"/>
        </w:rPr>
        <w:t>合同生效及其他</w:t>
      </w:r>
    </w:p>
    <w:p>
      <w:pPr>
        <w:pStyle w:val="231"/>
        <w:keepNext w:val="0"/>
        <w:keepLines w:val="0"/>
        <w:pageBreakBefore w:val="0"/>
        <w:widowControl w:val="0"/>
        <w:kinsoku/>
        <w:wordWrap/>
        <w:overflowPunct/>
        <w:topLinePunct w:val="0"/>
        <w:autoSpaceDE/>
        <w:autoSpaceDN/>
        <w:bidi w:val="0"/>
        <w:spacing w:line="260" w:lineRule="exact"/>
        <w:ind w:left="0" w:leftChars="0"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1、合同经双方法定代表人（或授权代表签字），</w:t>
      </w:r>
      <w:r>
        <w:rPr>
          <w:rFonts w:hint="eastAsia" w:ascii="仿宋" w:hAnsi="仿宋" w:eastAsia="仿宋" w:cs="仿宋"/>
          <w:color w:val="auto"/>
          <w:sz w:val="21"/>
          <w:szCs w:val="21"/>
          <w:lang w:val="en-US" w:eastAsia="zh-Hans"/>
        </w:rPr>
        <w:t>或</w:t>
      </w:r>
      <w:r>
        <w:rPr>
          <w:rFonts w:hint="eastAsia" w:ascii="仿宋" w:hAnsi="仿宋" w:eastAsia="仿宋" w:cs="仿宋"/>
          <w:color w:val="auto"/>
          <w:sz w:val="21"/>
          <w:szCs w:val="21"/>
        </w:rPr>
        <w:t>加盖单位公章后生效。</w:t>
      </w:r>
    </w:p>
    <w:p>
      <w:pPr>
        <w:pStyle w:val="231"/>
        <w:keepNext w:val="0"/>
        <w:keepLines w:val="0"/>
        <w:pageBreakBefore w:val="0"/>
        <w:widowControl w:val="0"/>
        <w:kinsoku/>
        <w:wordWrap/>
        <w:overflowPunct/>
        <w:topLinePunct w:val="0"/>
        <w:autoSpaceDE/>
        <w:autoSpaceDN/>
        <w:bidi w:val="0"/>
        <w:spacing w:line="260" w:lineRule="exact"/>
        <w:ind w:left="0" w:leftChars="0"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2、合同执行中涉及采购资金和采购内容修改或补充的，须经政府采购监管部门审批，并依法签订书面补充协议报政府采购监督管理部门备案，方可作为主合同不可分割的一部分，该书面补充协议与本合同具有同等法律效力。</w:t>
      </w:r>
    </w:p>
    <w:p>
      <w:pPr>
        <w:pStyle w:val="231"/>
        <w:keepNext w:val="0"/>
        <w:keepLines w:val="0"/>
        <w:pageBreakBefore w:val="0"/>
        <w:widowControl w:val="0"/>
        <w:kinsoku/>
        <w:wordWrap/>
        <w:overflowPunct/>
        <w:topLinePunct w:val="0"/>
        <w:autoSpaceDE/>
        <w:autoSpaceDN/>
        <w:bidi w:val="0"/>
        <w:spacing w:line="260" w:lineRule="exact"/>
        <w:ind w:left="0" w:leftChars="0"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rPr>
        <w:t>3、本合同一式</w:t>
      </w:r>
      <w:r>
        <w:rPr>
          <w:rFonts w:hint="eastAsia" w:ascii="仿宋" w:hAnsi="仿宋" w:eastAsia="仿宋" w:cs="仿宋"/>
          <w:color w:val="auto"/>
          <w:sz w:val="21"/>
          <w:szCs w:val="21"/>
          <w:lang w:val="en-US" w:eastAsia="zh-CN"/>
        </w:rPr>
        <w:t>6</w:t>
      </w:r>
      <w:r>
        <w:rPr>
          <w:rFonts w:hint="eastAsia" w:ascii="仿宋" w:hAnsi="仿宋" w:eastAsia="仿宋" w:cs="仿宋"/>
          <w:color w:val="auto"/>
          <w:sz w:val="21"/>
          <w:szCs w:val="21"/>
        </w:rPr>
        <w:t>份，自双方签字并加盖公章之日起起效。甲方</w:t>
      </w: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份，乙方</w:t>
      </w:r>
      <w:r>
        <w:rPr>
          <w:rFonts w:hint="eastAsia" w:ascii="仿宋" w:hAnsi="仿宋" w:eastAsia="仿宋" w:cs="仿宋"/>
          <w:color w:val="auto"/>
          <w:sz w:val="21"/>
          <w:szCs w:val="21"/>
          <w:lang w:val="en-US" w:eastAsia="zh-CN"/>
        </w:rPr>
        <w:t>1</w:t>
      </w:r>
      <w:r>
        <w:rPr>
          <w:rFonts w:hint="eastAsia" w:ascii="仿宋" w:hAnsi="仿宋" w:eastAsia="仿宋" w:cs="仿宋"/>
          <w:color w:val="auto"/>
          <w:sz w:val="21"/>
          <w:szCs w:val="21"/>
        </w:rPr>
        <w:t>份，政府采购代理机构</w:t>
      </w:r>
      <w:r>
        <w:rPr>
          <w:rFonts w:hint="eastAsia" w:ascii="仿宋" w:hAnsi="仿宋" w:eastAsia="仿宋" w:cs="仿宋"/>
          <w:color w:val="auto"/>
          <w:sz w:val="21"/>
          <w:szCs w:val="21"/>
          <w:lang w:val="en-US" w:eastAsia="zh-CN"/>
        </w:rPr>
        <w:t>1</w:t>
      </w:r>
      <w:r>
        <w:rPr>
          <w:rFonts w:hint="eastAsia" w:ascii="仿宋" w:hAnsi="仿宋" w:eastAsia="仿宋" w:cs="仿宋"/>
          <w:color w:val="auto"/>
          <w:sz w:val="21"/>
          <w:szCs w:val="21"/>
        </w:rPr>
        <w:t>份，同级财政部门备案</w:t>
      </w:r>
      <w:r>
        <w:rPr>
          <w:rFonts w:hint="eastAsia" w:ascii="仿宋" w:hAnsi="仿宋" w:eastAsia="仿宋" w:cs="仿宋"/>
          <w:color w:val="auto"/>
          <w:sz w:val="21"/>
          <w:szCs w:val="21"/>
          <w:lang w:val="en-US" w:eastAsia="zh-CN"/>
        </w:rPr>
        <w:t>1</w:t>
      </w:r>
      <w:r>
        <w:rPr>
          <w:rFonts w:hint="eastAsia" w:ascii="仿宋" w:hAnsi="仿宋" w:eastAsia="仿宋" w:cs="仿宋"/>
          <w:color w:val="auto"/>
          <w:sz w:val="21"/>
          <w:szCs w:val="21"/>
        </w:rPr>
        <w:t>份，具有同等法律效力。</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第十一条、</w:t>
      </w:r>
      <w:r>
        <w:rPr>
          <w:rFonts w:hint="eastAsia" w:ascii="仿宋" w:hAnsi="仿宋" w:eastAsia="仿宋" w:cs="仿宋"/>
          <w:b/>
          <w:color w:val="auto"/>
          <w:sz w:val="21"/>
          <w:szCs w:val="21"/>
        </w:rPr>
        <w:t>通知条款</w:t>
      </w:r>
    </w:p>
    <w:p>
      <w:pPr>
        <w:keepNext w:val="0"/>
        <w:keepLines w:val="0"/>
        <w:pageBreakBefore w:val="0"/>
        <w:widowControl w:val="0"/>
        <w:tabs>
          <w:tab w:val="left" w:pos="1521"/>
        </w:tabs>
        <w:kinsoku/>
        <w:wordWrap/>
        <w:overflowPunct/>
        <w:topLinePunct w:val="0"/>
        <w:autoSpaceDE/>
        <w:autoSpaceDN/>
        <w:bidi w:val="0"/>
        <w:spacing w:line="260" w:lineRule="exact"/>
        <w:ind w:firstLine="420" w:firstLineChars="200"/>
        <w:rPr>
          <w:rFonts w:hint="eastAsia" w:ascii="仿宋" w:hAnsi="仿宋" w:eastAsia="仿宋" w:cs="仿宋"/>
          <w:color w:val="auto"/>
          <w:sz w:val="21"/>
          <w:szCs w:val="21"/>
        </w:rPr>
      </w:pPr>
      <w:r>
        <w:rPr>
          <w:rFonts w:hint="eastAsia" w:ascii="仿宋" w:hAnsi="仿宋" w:eastAsia="仿宋" w:cs="仿宋"/>
          <w:bCs/>
          <w:color w:val="auto"/>
          <w:sz w:val="21"/>
          <w:szCs w:val="21"/>
        </w:rPr>
        <w:t>本合同约定甲、乙双方的联系地址、联系人若发生变更，应在变更之日起3日内书面告知另一方，否则对另一方不发生变更效力。在本合同执行中需要双方认可的资料、通知和违约情况均以书面形式通过本合同载明的地址送达，该地址同时作为司法送达的有效地址。</w:t>
      </w:r>
    </w:p>
    <w:p>
      <w:pPr>
        <w:keepNext w:val="0"/>
        <w:keepLines w:val="0"/>
        <w:pageBreakBefore w:val="0"/>
        <w:widowControl w:val="0"/>
        <w:numPr>
          <w:ilvl w:val="0"/>
          <w:numId w:val="0"/>
        </w:numPr>
        <w:kinsoku/>
        <w:wordWrap/>
        <w:overflowPunct/>
        <w:topLinePunct w:val="0"/>
        <w:autoSpaceDE/>
        <w:autoSpaceDN/>
        <w:bidi w:val="0"/>
        <w:spacing w:line="260" w:lineRule="exact"/>
        <w:ind w:firstLine="422" w:firstLineChars="200"/>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第十二条、</w:t>
      </w:r>
      <w:r>
        <w:rPr>
          <w:rFonts w:hint="eastAsia" w:ascii="仿宋" w:hAnsi="仿宋" w:eastAsia="仿宋" w:cs="仿宋"/>
          <w:b/>
          <w:color w:val="auto"/>
          <w:sz w:val="21"/>
          <w:szCs w:val="21"/>
        </w:rPr>
        <w:t>附件</w:t>
      </w:r>
    </w:p>
    <w:p>
      <w:pPr>
        <w:pStyle w:val="231"/>
        <w:keepNext w:val="0"/>
        <w:keepLines w:val="0"/>
        <w:pageBreakBefore w:val="0"/>
        <w:widowControl w:val="0"/>
        <w:kinsoku/>
        <w:wordWrap/>
        <w:overflowPunct/>
        <w:topLinePunct w:val="0"/>
        <w:autoSpaceDE/>
        <w:autoSpaceDN/>
        <w:bidi w:val="0"/>
        <w:spacing w:line="260" w:lineRule="exact"/>
        <w:ind w:left="0" w:leftChars="0"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1、项目招标</w:t>
      </w:r>
      <w:r>
        <w:rPr>
          <w:rFonts w:hint="eastAsia" w:ascii="仿宋" w:hAnsi="仿宋" w:eastAsia="仿宋" w:cs="仿宋"/>
          <w:color w:val="auto"/>
          <w:sz w:val="21"/>
          <w:szCs w:val="21"/>
        </w:rPr>
        <w:t>文件</w:t>
      </w:r>
    </w:p>
    <w:p>
      <w:pPr>
        <w:pStyle w:val="231"/>
        <w:keepNext w:val="0"/>
        <w:keepLines w:val="0"/>
        <w:pageBreakBefore w:val="0"/>
        <w:widowControl w:val="0"/>
        <w:kinsoku/>
        <w:wordWrap/>
        <w:overflowPunct/>
        <w:topLinePunct w:val="0"/>
        <w:autoSpaceDE/>
        <w:autoSpaceDN/>
        <w:bidi w:val="0"/>
        <w:spacing w:line="260" w:lineRule="exact"/>
        <w:ind w:left="0" w:leftChars="0"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2</w:t>
      </w:r>
      <w:r>
        <w:rPr>
          <w:rFonts w:hint="eastAsia" w:ascii="仿宋" w:hAnsi="仿宋" w:eastAsia="仿宋" w:cs="仿宋"/>
          <w:color w:val="auto"/>
          <w:sz w:val="21"/>
          <w:szCs w:val="21"/>
        </w:rPr>
        <w:t>、项目投标文件</w:t>
      </w:r>
    </w:p>
    <w:p>
      <w:pPr>
        <w:pStyle w:val="231"/>
        <w:keepNext w:val="0"/>
        <w:keepLines w:val="0"/>
        <w:pageBreakBefore w:val="0"/>
        <w:widowControl w:val="0"/>
        <w:kinsoku/>
        <w:wordWrap/>
        <w:overflowPunct/>
        <w:topLinePunct w:val="0"/>
        <w:autoSpaceDE/>
        <w:autoSpaceDN/>
        <w:bidi w:val="0"/>
        <w:spacing w:line="260" w:lineRule="exact"/>
        <w:ind w:left="0" w:leftChars="0"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、中标通知书</w:t>
      </w:r>
    </w:p>
    <w:p>
      <w:pPr>
        <w:pStyle w:val="231"/>
        <w:keepNext w:val="0"/>
        <w:keepLines w:val="0"/>
        <w:pageBreakBefore w:val="0"/>
        <w:widowControl w:val="0"/>
        <w:kinsoku/>
        <w:wordWrap/>
        <w:overflowPunct/>
        <w:topLinePunct w:val="0"/>
        <w:autoSpaceDE/>
        <w:autoSpaceDN/>
        <w:bidi w:val="0"/>
        <w:spacing w:line="260" w:lineRule="exact"/>
        <w:ind w:left="0" w:leftChars="0"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4、</w:t>
      </w:r>
      <w:r>
        <w:rPr>
          <w:rFonts w:hint="eastAsia" w:ascii="仿宋" w:hAnsi="仿宋" w:eastAsia="仿宋" w:cs="仿宋"/>
          <w:color w:val="auto"/>
          <w:sz w:val="21"/>
          <w:szCs w:val="21"/>
        </w:rPr>
        <w:t>廉洁共建承诺书</w:t>
      </w:r>
    </w:p>
    <w:p>
      <w:pPr>
        <w:pStyle w:val="231"/>
        <w:keepNext w:val="0"/>
        <w:keepLines w:val="0"/>
        <w:pageBreakBefore w:val="0"/>
        <w:widowControl w:val="0"/>
        <w:kinsoku/>
        <w:wordWrap/>
        <w:overflowPunct/>
        <w:topLinePunct w:val="0"/>
        <w:autoSpaceDE/>
        <w:autoSpaceDN/>
        <w:bidi w:val="0"/>
        <w:spacing w:line="260" w:lineRule="exact"/>
        <w:ind w:left="0" w:leftChars="0" w:firstLine="420" w:firstLineChars="200"/>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5、</w:t>
      </w:r>
      <w:r>
        <w:rPr>
          <w:rFonts w:hint="eastAsia" w:ascii="仿宋" w:hAnsi="仿宋" w:eastAsia="仿宋" w:cs="仿宋"/>
          <w:color w:val="auto"/>
          <w:sz w:val="21"/>
          <w:szCs w:val="21"/>
        </w:rPr>
        <w:t>食材配送日常验收清单</w:t>
      </w:r>
    </w:p>
    <w:p>
      <w:pPr>
        <w:spacing w:line="460" w:lineRule="exact"/>
        <w:rPr>
          <w:rFonts w:ascii="仿宋" w:hAnsi="仿宋" w:eastAsia="仿宋"/>
          <w:sz w:val="32"/>
          <w:szCs w:val="32"/>
        </w:rPr>
      </w:pPr>
    </w:p>
    <w:p>
      <w:pPr>
        <w:spacing w:line="460" w:lineRule="exact"/>
        <w:rPr>
          <w:rFonts w:ascii="仿宋" w:hAnsi="仿宋" w:eastAsia="仿宋"/>
          <w:sz w:val="32"/>
          <w:szCs w:val="32"/>
        </w:rPr>
      </w:pPr>
    </w:p>
    <w:p>
      <w:pPr>
        <w:spacing w:line="460" w:lineRule="exact"/>
        <w:rPr>
          <w:rFonts w:ascii="仿宋" w:hAnsi="仿宋" w:eastAsia="仿宋"/>
          <w:sz w:val="32"/>
          <w:szCs w:val="32"/>
        </w:rPr>
      </w:pPr>
    </w:p>
    <w:p>
      <w:pPr>
        <w:spacing w:line="460" w:lineRule="exact"/>
        <w:rPr>
          <w:rFonts w:ascii="仿宋" w:hAnsi="仿宋" w:eastAsia="仿宋"/>
          <w:sz w:val="32"/>
          <w:szCs w:val="32"/>
        </w:rPr>
      </w:pPr>
    </w:p>
    <w:p>
      <w:pPr>
        <w:spacing w:line="460" w:lineRule="exact"/>
        <w:rPr>
          <w:rFonts w:ascii="仿宋" w:hAnsi="仿宋" w:eastAsia="仿宋"/>
          <w:sz w:val="32"/>
          <w:szCs w:val="32"/>
        </w:rPr>
      </w:pPr>
    </w:p>
    <w:p>
      <w:pPr>
        <w:spacing w:line="460" w:lineRule="exact"/>
        <w:rPr>
          <w:rFonts w:ascii="仿宋" w:hAnsi="仿宋" w:eastAsia="仿宋"/>
          <w:sz w:val="32"/>
          <w:szCs w:val="32"/>
        </w:rPr>
      </w:pPr>
    </w:p>
    <w:p>
      <w:pPr>
        <w:spacing w:line="460" w:lineRule="exact"/>
        <w:rPr>
          <w:rFonts w:ascii="仿宋" w:hAnsi="仿宋" w:eastAsia="仿宋"/>
          <w:sz w:val="32"/>
          <w:szCs w:val="32"/>
        </w:rPr>
      </w:pPr>
    </w:p>
    <w:p>
      <w:pPr>
        <w:spacing w:line="460" w:lineRule="exact"/>
        <w:rPr>
          <w:rFonts w:ascii="仿宋" w:hAnsi="仿宋" w:eastAsia="仿宋"/>
          <w:sz w:val="32"/>
          <w:szCs w:val="32"/>
        </w:rPr>
      </w:pPr>
    </w:p>
    <w:p>
      <w:pPr>
        <w:spacing w:line="460" w:lineRule="exact"/>
        <w:rPr>
          <w:rFonts w:ascii="仿宋" w:hAnsi="仿宋" w:eastAsia="仿宋"/>
          <w:sz w:val="32"/>
          <w:szCs w:val="32"/>
        </w:rPr>
      </w:pPr>
    </w:p>
    <w:p>
      <w:pPr>
        <w:spacing w:line="460" w:lineRule="exact"/>
        <w:rPr>
          <w:rFonts w:ascii="仿宋" w:hAnsi="仿宋" w:eastAsia="仿宋"/>
          <w:sz w:val="32"/>
          <w:szCs w:val="32"/>
        </w:rPr>
      </w:pPr>
    </w:p>
    <w:p>
      <w:pPr>
        <w:spacing w:line="460" w:lineRule="exact"/>
        <w:rPr>
          <w:rFonts w:ascii="仿宋" w:hAnsi="仿宋" w:eastAsia="仿宋"/>
          <w:sz w:val="32"/>
          <w:szCs w:val="32"/>
        </w:rPr>
      </w:pPr>
    </w:p>
    <w:p>
      <w:pPr>
        <w:widowControl/>
        <w:jc w:val="left"/>
        <w:rPr>
          <w:rFonts w:ascii="宋体" w:hAnsi="宋体" w:cs="Tahoma"/>
          <w:b/>
          <w:sz w:val="30"/>
          <w:szCs w:val="30"/>
        </w:rPr>
      </w:pPr>
      <w:r>
        <w:rPr>
          <w:rFonts w:ascii="宋体" w:hAnsi="宋体" w:cs="Tahoma"/>
          <w:b/>
          <w:sz w:val="30"/>
          <w:szCs w:val="30"/>
        </w:rPr>
        <w:br w:type="page"/>
      </w:r>
    </w:p>
    <w:p>
      <w:pPr>
        <w:rPr>
          <w:rFonts w:ascii="宋体" w:hAnsi="宋体" w:cs="Tahoma"/>
          <w:b/>
          <w:sz w:val="30"/>
          <w:szCs w:val="30"/>
        </w:rPr>
      </w:pPr>
      <w:r>
        <w:rPr>
          <w:rFonts w:hint="eastAsia" w:ascii="宋体" w:hAnsi="宋体" w:cs="Tahoma"/>
          <w:b/>
          <w:sz w:val="30"/>
          <w:szCs w:val="30"/>
        </w:rPr>
        <w:t>附件</w:t>
      </w:r>
    </w:p>
    <w:p>
      <w:r>
        <w:drawing>
          <wp:inline distT="0" distB="0" distL="0" distR="0">
            <wp:extent cx="5267325" cy="745807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p>
      <w:r>
        <w:drawing>
          <wp:inline distT="0" distB="0" distL="0" distR="0">
            <wp:extent cx="5267325" cy="74580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p>
      <w:r>
        <w:drawing>
          <wp:inline distT="0" distB="0" distL="0" distR="0">
            <wp:extent cx="5276850" cy="745807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p>
      <w:r>
        <w:drawing>
          <wp:inline distT="0" distB="0" distL="0" distR="0">
            <wp:extent cx="5267325" cy="74580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p>
      <w:r>
        <w:drawing>
          <wp:inline distT="0" distB="0" distL="0" distR="0">
            <wp:extent cx="5276850" cy="745807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p>
      <w:r>
        <w:drawing>
          <wp:inline distT="0" distB="0" distL="0" distR="0">
            <wp:extent cx="5267325" cy="745807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p>
      <w:r>
        <w:drawing>
          <wp:inline distT="0" distB="0" distL="0" distR="0">
            <wp:extent cx="5276850" cy="74580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p>
      <w:r>
        <w:drawing>
          <wp:inline distT="0" distB="0" distL="0" distR="0">
            <wp:extent cx="5276850" cy="74580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p>
      <w:r>
        <w:drawing>
          <wp:inline distT="0" distB="0" distL="0" distR="0">
            <wp:extent cx="5267325" cy="745807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p>
      <w:r>
        <w:drawing>
          <wp:inline distT="0" distB="0" distL="0" distR="0">
            <wp:extent cx="5267325" cy="745807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p>
      <w:r>
        <w:drawing>
          <wp:inline distT="0" distB="0" distL="0" distR="0">
            <wp:extent cx="5267325" cy="74580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p>
      <w:r>
        <w:drawing>
          <wp:inline distT="0" distB="0" distL="0" distR="0">
            <wp:extent cx="5276850" cy="74580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p>
      <w:r>
        <w:drawing>
          <wp:inline distT="0" distB="0" distL="0" distR="0">
            <wp:extent cx="5267325" cy="745807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p>
      <w:r>
        <w:drawing>
          <wp:inline distT="0" distB="0" distL="0" distR="0">
            <wp:extent cx="5267325" cy="745807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p/>
    <w:p/>
    <w:p>
      <w:r>
        <w:drawing>
          <wp:inline distT="0" distB="0" distL="0" distR="0">
            <wp:extent cx="5267325" cy="745807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p/>
    <w:p/>
    <w:p/>
    <w:p>
      <w:r>
        <w:drawing>
          <wp:inline distT="0" distB="0" distL="0" distR="0">
            <wp:extent cx="5219700" cy="64484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5219700" cy="6448425"/>
                    </a:xfrm>
                    <a:prstGeom prst="rect">
                      <a:avLst/>
                    </a:prstGeom>
                    <a:noFill/>
                    <a:ln>
                      <a:noFill/>
                    </a:ln>
                  </pic:spPr>
                </pic:pic>
              </a:graphicData>
            </a:graphic>
          </wp:inline>
        </w:drawing>
      </w:r>
    </w:p>
    <w:p>
      <w:r>
        <w:drawing>
          <wp:inline distT="0" distB="0" distL="0" distR="0">
            <wp:extent cx="5219700" cy="63817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5219700" cy="6381750"/>
                    </a:xfrm>
                    <a:prstGeom prst="rect">
                      <a:avLst/>
                    </a:prstGeom>
                    <a:noFill/>
                    <a:ln>
                      <a:noFill/>
                    </a:ln>
                  </pic:spPr>
                </pic:pic>
              </a:graphicData>
            </a:graphic>
          </wp:inline>
        </w:drawing>
      </w:r>
    </w:p>
    <w:p>
      <w:r>
        <w:drawing>
          <wp:inline distT="0" distB="0" distL="0" distR="0">
            <wp:extent cx="7439025" cy="5248275"/>
            <wp:effectExtent l="0" t="1104900" r="0" b="10763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rot="5400000">
                      <a:off x="0" y="0"/>
                      <a:ext cx="7439025" cy="5248275"/>
                    </a:xfrm>
                    <a:prstGeom prst="rect">
                      <a:avLst/>
                    </a:prstGeom>
                    <a:noFill/>
                    <a:ln>
                      <a:noFill/>
                    </a:ln>
                  </pic:spPr>
                </pic:pic>
              </a:graphicData>
            </a:graphic>
          </wp:inline>
        </w:drawing>
      </w:r>
    </w:p>
    <w:p>
      <w:r>
        <w:drawing>
          <wp:inline distT="0" distB="0" distL="0" distR="0">
            <wp:extent cx="5276850" cy="57816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5276850" cy="5781675"/>
                    </a:xfrm>
                    <a:prstGeom prst="rect">
                      <a:avLst/>
                    </a:prstGeom>
                    <a:noFill/>
                    <a:ln>
                      <a:noFill/>
                    </a:ln>
                  </pic:spPr>
                </pic:pic>
              </a:graphicData>
            </a:graphic>
          </wp:inline>
        </w:drawing>
      </w:r>
    </w:p>
    <w:p/>
    <w:p/>
    <w:p/>
    <w:p/>
    <w:p/>
    <w:sectPr>
      <w:footerReference r:id="rId3" w:type="default"/>
      <w:pgSz w:w="12240" w:h="15840"/>
      <w:pgMar w:top="1440" w:right="1800" w:bottom="1440" w:left="1800"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Narrow">
    <w:panose1 w:val="020B0606020202030204"/>
    <w:charset w:val="00"/>
    <w:family w:val="swiss"/>
    <w:pitch w:val="default"/>
    <w:sig w:usb0="00000287" w:usb1="00000800" w:usb2="00000000" w:usb3="00000000" w:csb0="2000009F" w:csb1="DFD70000"/>
  </w:font>
  <w:font w:name="楷体_GB2312">
    <w:panose1 w:val="02010609030101010101"/>
    <w:charset w:val="86"/>
    <w:family w:val="modern"/>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10006FF" w:usb1="4000205B" w:usb2="00000010" w:usb3="00000000" w:csb0="2000019F" w:csb1="00000000"/>
  </w:font>
  <w:font w:name="Times New (W1)">
    <w:altName w:val="Segoe Print"/>
    <w:panose1 w:val="00000000000000000000"/>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Arial (W1)">
    <w:altName w:val="Arial"/>
    <w:panose1 w:val="00000000000000000000"/>
    <w:charset w:val="00"/>
    <w:family w:val="swiss"/>
    <w:pitch w:val="default"/>
    <w:sig w:usb0="00000000" w:usb1="00000000" w:usb2="00000008" w:usb3="00000000" w:csb0="000001FF" w:csb1="00000000"/>
  </w:font>
  <w:font w:name="隶书">
    <w:panose1 w:val="0201050906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Helvetica">
    <w:altName w:val="Arial"/>
    <w:panose1 w:val="020B0604020202020204"/>
    <w:charset w:val="00"/>
    <w:family w:val="swiss"/>
    <w:pitch w:val="default"/>
    <w:sig w:usb0="00000000" w:usb1="00000000" w:usb2="00000009" w:usb3="00000000" w:csb0="000001FF" w:csb1="00000000"/>
  </w:font>
  <w:font w:name="方正小标宋简体">
    <w:panose1 w:val="03000509000000000000"/>
    <w:charset w:val="86"/>
    <w:family w:val="auto"/>
    <w:pitch w:val="default"/>
    <w:sig w:usb0="00000001" w:usb1="080E0000" w:usb2="00000000" w:usb3="00000000" w:csb0="00040000" w:csb1="00000000"/>
  </w:font>
  <w:font w:name="方正仿宋_GBK">
    <w:panose1 w:val="03000509000000000000"/>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64514241"/>
    </w:sdtPr>
    <w:sdtContent>
      <w:p>
        <w:pPr>
          <w:pStyle w:val="28"/>
          <w:ind w:firstLine="480"/>
          <w:jc w:val="center"/>
        </w:pPr>
        <w:r>
          <w:fldChar w:fldCharType="begin"/>
        </w:r>
        <w:r>
          <w:instrText xml:space="preserve">PAGE   \* MERGEFORMAT</w:instrText>
        </w:r>
        <w:r>
          <w:fldChar w:fldCharType="separate"/>
        </w:r>
        <w:r>
          <w:rPr>
            <w:lang w:val="zh-CN"/>
          </w:rPr>
          <w:t>49</w:t>
        </w:r>
        <w:r>
          <w:fldChar w:fldCharType="end"/>
        </w:r>
      </w:p>
    </w:sdtContent>
  </w:sdt>
  <w:p>
    <w:pPr>
      <w:pStyle w:val="2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678A504"/>
    <w:multiLevelType w:val="singleLevel"/>
    <w:tmpl w:val="C678A504"/>
    <w:lvl w:ilvl="0" w:tentative="0">
      <w:start w:val="1"/>
      <w:numFmt w:val="decimal"/>
      <w:suff w:val="space"/>
      <w:lvlText w:val="%1."/>
      <w:lvlJc w:val="left"/>
      <w:pPr>
        <w:ind w:left="701" w:leftChars="0" w:firstLine="0" w:firstLineChars="0"/>
      </w:pPr>
      <w:rPr>
        <w:rFonts w:hint="default"/>
        <w:sz w:val="24"/>
        <w:szCs w:val="24"/>
      </w:rPr>
    </w:lvl>
  </w:abstractNum>
  <w:abstractNum w:abstractNumId="1">
    <w:nsid w:val="D8F84640"/>
    <w:multiLevelType w:val="singleLevel"/>
    <w:tmpl w:val="D8F84640"/>
    <w:lvl w:ilvl="0" w:tentative="0">
      <w:start w:val="4"/>
      <w:numFmt w:val="chineseCounting"/>
      <w:suff w:val="nothing"/>
      <w:lvlText w:val="（%1）"/>
      <w:lvlJc w:val="left"/>
      <w:rPr>
        <w:rFonts w:hint="eastAsia"/>
      </w:rPr>
    </w:lvl>
  </w:abstractNum>
  <w:abstractNum w:abstractNumId="2">
    <w:nsid w:val="00000009"/>
    <w:multiLevelType w:val="multilevel"/>
    <w:tmpl w:val="00000009"/>
    <w:lvl w:ilvl="0" w:tentative="0">
      <w:start w:val="1"/>
      <w:numFmt w:val="chineseCountingThousand"/>
      <w:lvlText w:val="%1、"/>
      <w:lvlJc w:val="left"/>
      <w:pPr>
        <w:ind w:left="1271" w:hanging="420"/>
      </w:pPr>
    </w:lvl>
    <w:lvl w:ilvl="1" w:tentative="0">
      <w:start w:val="1"/>
      <w:numFmt w:val="japaneseCounting"/>
      <w:lvlText w:val="（%2）"/>
      <w:lvlJc w:val="left"/>
      <w:pPr>
        <w:ind w:left="1830" w:hanging="885"/>
      </w:pPr>
      <w:rPr>
        <w:lang w:val="en-US"/>
      </w:rPr>
    </w:lvl>
    <w:lvl w:ilvl="2" w:tentative="0">
      <w:start w:val="1"/>
      <w:numFmt w:val="lowerRoman"/>
      <w:lvlText w:val="%3."/>
      <w:lvlJc w:val="right"/>
      <w:pPr>
        <w:ind w:left="1785" w:hanging="420"/>
      </w:pPr>
    </w:lvl>
    <w:lvl w:ilvl="3" w:tentative="0">
      <w:start w:val="1"/>
      <w:numFmt w:val="decimal"/>
      <w:lvlText w:val="%4."/>
      <w:lvlJc w:val="left"/>
      <w:pPr>
        <w:ind w:left="2205" w:hanging="420"/>
      </w:pPr>
    </w:lvl>
    <w:lvl w:ilvl="4" w:tentative="0">
      <w:start w:val="1"/>
      <w:numFmt w:val="lowerLetter"/>
      <w:lvlText w:val="%5)"/>
      <w:lvlJc w:val="left"/>
      <w:pPr>
        <w:ind w:left="2625" w:hanging="420"/>
      </w:pPr>
    </w:lvl>
    <w:lvl w:ilvl="5" w:tentative="0">
      <w:start w:val="1"/>
      <w:numFmt w:val="lowerRoman"/>
      <w:lvlText w:val="%6."/>
      <w:lvlJc w:val="right"/>
      <w:pPr>
        <w:ind w:left="3045" w:hanging="420"/>
      </w:pPr>
    </w:lvl>
    <w:lvl w:ilvl="6" w:tentative="0">
      <w:start w:val="1"/>
      <w:numFmt w:val="decimal"/>
      <w:lvlText w:val="%7."/>
      <w:lvlJc w:val="left"/>
      <w:pPr>
        <w:ind w:left="3465" w:hanging="420"/>
      </w:pPr>
    </w:lvl>
    <w:lvl w:ilvl="7" w:tentative="0">
      <w:start w:val="1"/>
      <w:numFmt w:val="lowerLetter"/>
      <w:lvlText w:val="%8)"/>
      <w:lvlJc w:val="left"/>
      <w:pPr>
        <w:ind w:left="3885" w:hanging="420"/>
      </w:pPr>
    </w:lvl>
    <w:lvl w:ilvl="8" w:tentative="0">
      <w:start w:val="1"/>
      <w:numFmt w:val="lowerRoman"/>
      <w:lvlText w:val="%9."/>
      <w:lvlJc w:val="right"/>
      <w:pPr>
        <w:ind w:left="4305" w:hanging="420"/>
      </w:pPr>
    </w:lvl>
  </w:abstractNum>
  <w:abstractNum w:abstractNumId="3">
    <w:nsid w:val="00000018"/>
    <w:multiLevelType w:val="multilevel"/>
    <w:tmpl w:val="00000018"/>
    <w:lvl w:ilvl="0" w:tentative="0">
      <w:start w:val="1"/>
      <w:numFmt w:val="chineseCountingThousand"/>
      <w:lvlText w:val="%1、"/>
      <w:lvlJc w:val="left"/>
      <w:pPr>
        <w:ind w:left="966" w:hanging="420"/>
      </w:pPr>
    </w:lvl>
    <w:lvl w:ilvl="1" w:tentative="0">
      <w:start w:val="1"/>
      <w:numFmt w:val="lowerLetter"/>
      <w:lvlText w:val="%2)"/>
      <w:lvlJc w:val="left"/>
      <w:pPr>
        <w:ind w:left="1833" w:hanging="420"/>
      </w:pPr>
    </w:lvl>
    <w:lvl w:ilvl="2" w:tentative="0">
      <w:start w:val="1"/>
      <w:numFmt w:val="lowerRoman"/>
      <w:lvlText w:val="%3."/>
      <w:lvlJc w:val="right"/>
      <w:pPr>
        <w:ind w:left="2253" w:hanging="420"/>
      </w:pPr>
    </w:lvl>
    <w:lvl w:ilvl="3" w:tentative="0">
      <w:start w:val="1"/>
      <w:numFmt w:val="decimal"/>
      <w:lvlText w:val="%4."/>
      <w:lvlJc w:val="left"/>
      <w:pPr>
        <w:ind w:left="2673" w:hanging="420"/>
      </w:pPr>
    </w:lvl>
    <w:lvl w:ilvl="4" w:tentative="0">
      <w:start w:val="1"/>
      <w:numFmt w:val="lowerLetter"/>
      <w:lvlText w:val="%5)"/>
      <w:lvlJc w:val="left"/>
      <w:pPr>
        <w:ind w:left="3093" w:hanging="420"/>
      </w:pPr>
    </w:lvl>
    <w:lvl w:ilvl="5" w:tentative="0">
      <w:start w:val="1"/>
      <w:numFmt w:val="lowerRoman"/>
      <w:lvlText w:val="%6."/>
      <w:lvlJc w:val="right"/>
      <w:pPr>
        <w:ind w:left="3513" w:hanging="420"/>
      </w:pPr>
    </w:lvl>
    <w:lvl w:ilvl="6" w:tentative="0">
      <w:start w:val="1"/>
      <w:numFmt w:val="decimal"/>
      <w:lvlText w:val="%7."/>
      <w:lvlJc w:val="left"/>
      <w:pPr>
        <w:ind w:left="3933" w:hanging="420"/>
      </w:pPr>
    </w:lvl>
    <w:lvl w:ilvl="7" w:tentative="0">
      <w:start w:val="1"/>
      <w:numFmt w:val="lowerLetter"/>
      <w:lvlText w:val="%8)"/>
      <w:lvlJc w:val="left"/>
      <w:pPr>
        <w:ind w:left="4353" w:hanging="420"/>
      </w:pPr>
    </w:lvl>
    <w:lvl w:ilvl="8" w:tentative="0">
      <w:start w:val="1"/>
      <w:numFmt w:val="lowerRoman"/>
      <w:lvlText w:val="%9."/>
      <w:lvlJc w:val="right"/>
      <w:pPr>
        <w:ind w:left="4773" w:hanging="420"/>
      </w:pPr>
    </w:lvl>
  </w:abstractNum>
  <w:abstractNum w:abstractNumId="4">
    <w:nsid w:val="0000001F"/>
    <w:multiLevelType w:val="multilevel"/>
    <w:tmpl w:val="0000001F"/>
    <w:lvl w:ilvl="0" w:tentative="0">
      <w:start w:val="1"/>
      <w:numFmt w:val="chineseCountingThousand"/>
      <w:lvlText w:val="%1、"/>
      <w:lvlJc w:val="left"/>
      <w:pPr>
        <w:ind w:left="980" w:hanging="420"/>
      </w:pPr>
    </w:lvl>
    <w:lvl w:ilvl="1" w:tentative="0">
      <w:start w:val="1"/>
      <w:numFmt w:val="decimal"/>
      <w:lvlText w:val="（%2）"/>
      <w:lvlJc w:val="left"/>
      <w:pPr>
        <w:ind w:left="1700" w:hanging="7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5">
    <w:nsid w:val="00000021"/>
    <w:multiLevelType w:val="multilevel"/>
    <w:tmpl w:val="00000021"/>
    <w:lvl w:ilvl="0" w:tentative="0">
      <w:start w:val="1"/>
      <w:numFmt w:val="chineseCountingThousand"/>
      <w:lvlText w:val="(%1)"/>
      <w:lvlJc w:val="left"/>
      <w:pPr>
        <w:ind w:left="980" w:hanging="420"/>
      </w:pPr>
    </w:lvl>
    <w:lvl w:ilvl="1" w:tentative="0">
      <w:start w:val="1"/>
      <w:numFmt w:val="chineseCountingThousand"/>
      <w:lvlText w:val="(%2)"/>
      <w:lvlJc w:val="left"/>
      <w:pPr>
        <w:ind w:left="198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6">
    <w:nsid w:val="00000022"/>
    <w:multiLevelType w:val="multilevel"/>
    <w:tmpl w:val="00000022"/>
    <w:lvl w:ilvl="0" w:tentative="0">
      <w:start w:val="1"/>
      <w:numFmt w:val="decimal"/>
      <w:lvlText w:val="第%1章"/>
      <w:lvlJc w:val="left"/>
      <w:pPr>
        <w:tabs>
          <w:tab w:val="left" w:pos="2630"/>
        </w:tabs>
        <w:ind w:left="2630" w:hanging="425"/>
      </w:pPr>
      <w:rPr>
        <w:rFonts w:hint="eastAsia" w:ascii="宋体" w:hAnsi="宋体" w:eastAsia="宋体" w:cs="Times New Roman"/>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tentative="0">
      <w:start w:val="1"/>
      <w:numFmt w:val="decimal"/>
      <w:suff w:val="space"/>
      <w:lvlText w:val="%1.%2."/>
      <w:lvlJc w:val="left"/>
      <w:pPr>
        <w:ind w:left="4538" w:hanging="567"/>
      </w:pPr>
      <w:rPr>
        <w:rFonts w:hint="default" w:ascii="Times New Roman" w:hAnsi="Times New Roman" w:eastAsia="宋体" w:cs="Times New Roman"/>
        <w:b/>
        <w:i w:val="0"/>
        <w:sz w:val="28"/>
        <w:szCs w:val="28"/>
      </w:rPr>
    </w:lvl>
    <w:lvl w:ilvl="2" w:tentative="0">
      <w:start w:val="1"/>
      <w:numFmt w:val="decimal"/>
      <w:lvlText w:val="%1.%2.%3."/>
      <w:lvlJc w:val="left"/>
      <w:pPr>
        <w:tabs>
          <w:tab w:val="left" w:pos="709"/>
        </w:tabs>
        <w:ind w:left="709" w:hanging="709"/>
      </w:pPr>
      <w:rPr>
        <w:rFonts w:hint="default" w:ascii="Times New Roman" w:hAnsi="Times New Roman" w:cs="Times New Roman"/>
      </w:rPr>
    </w:lvl>
    <w:lvl w:ilvl="3" w:tentative="0">
      <w:start w:val="1"/>
      <w:numFmt w:val="decimal"/>
      <w:lvlText w:val="%1.%2.%3.%4."/>
      <w:lvlJc w:val="left"/>
      <w:pPr>
        <w:tabs>
          <w:tab w:val="left" w:pos="1779"/>
        </w:tabs>
        <w:ind w:left="1779" w:hanging="851"/>
      </w:pPr>
      <w:rPr>
        <w:rFonts w:hint="default" w:ascii="Times New Roman" w:hAnsi="Times New Roman" w:cs="Times New Roman"/>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tentative="0">
      <w:start w:val="1"/>
      <w:numFmt w:val="decimal"/>
      <w:pStyle w:val="6"/>
      <w:lvlText w:val="%1.%2.%3.%4.%5."/>
      <w:lvlJc w:val="left"/>
      <w:pPr>
        <w:tabs>
          <w:tab w:val="left" w:pos="1560"/>
        </w:tabs>
        <w:ind w:left="1560" w:hanging="992"/>
      </w:pPr>
      <w:rPr>
        <w:rFonts w:hint="default" w:ascii="Times New Roman" w:hAnsi="Times New Roman" w:eastAsia="宋体" w:cs="Times New Roman"/>
        <w:b/>
        <w:i w:val="0"/>
        <w:sz w:val="28"/>
        <w:szCs w:val="28"/>
      </w:rPr>
    </w:lvl>
    <w:lvl w:ilvl="5" w:tentative="0">
      <w:start w:val="1"/>
      <w:numFmt w:val="decimal"/>
      <w:pStyle w:val="7"/>
      <w:lvlText w:val="%1.%2.%3.%4.%5.%6."/>
      <w:lvlJc w:val="left"/>
      <w:pPr>
        <w:tabs>
          <w:tab w:val="left" w:pos="1702"/>
        </w:tabs>
        <w:ind w:left="1702" w:hanging="1134"/>
      </w:pPr>
      <w:rPr>
        <w:rFonts w:cs="Times New Roman"/>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6" w:tentative="0">
      <w:start w:val="1"/>
      <w:numFmt w:val="decimal"/>
      <w:lvlText w:val="%1.%2.%3.%4.%5.%6.%7."/>
      <w:lvlJc w:val="left"/>
      <w:pPr>
        <w:tabs>
          <w:tab w:val="left" w:pos="1844"/>
        </w:tabs>
        <w:ind w:left="1844" w:hanging="1276"/>
      </w:pPr>
    </w:lvl>
    <w:lvl w:ilvl="7" w:tentative="0">
      <w:start w:val="1"/>
      <w:numFmt w:val="decimal"/>
      <w:lvlText w:val="%1.%2.%3.%4.%5.%6.%7.%8."/>
      <w:lvlJc w:val="left"/>
      <w:pPr>
        <w:tabs>
          <w:tab w:val="left" w:pos="1986"/>
        </w:tabs>
        <w:ind w:left="1986" w:hanging="1418"/>
      </w:pPr>
    </w:lvl>
    <w:lvl w:ilvl="8" w:tentative="0">
      <w:start w:val="1"/>
      <w:numFmt w:val="decimal"/>
      <w:lvlText w:val="%1.%2.%3.%4.%5.%6.%7.%8.%9."/>
      <w:lvlJc w:val="left"/>
      <w:pPr>
        <w:tabs>
          <w:tab w:val="left" w:pos="2127"/>
        </w:tabs>
        <w:ind w:left="2127" w:hanging="1559"/>
      </w:pPr>
    </w:lvl>
  </w:abstractNum>
  <w:abstractNum w:abstractNumId="7">
    <w:nsid w:val="00000024"/>
    <w:multiLevelType w:val="multilevel"/>
    <w:tmpl w:val="00000024"/>
    <w:lvl w:ilvl="0" w:tentative="0">
      <w:start w:val="1"/>
      <w:numFmt w:val="decimal"/>
      <w:lvlText w:val="%1."/>
      <w:lvlJc w:val="left"/>
      <w:pPr>
        <w:ind w:left="958" w:hanging="420"/>
      </w:pPr>
    </w:lvl>
    <w:lvl w:ilvl="1" w:tentative="0">
      <w:start w:val="1"/>
      <w:numFmt w:val="chineseCountingThousand"/>
      <w:lvlText w:val="%2、"/>
      <w:lvlJc w:val="left"/>
      <w:pPr>
        <w:ind w:left="1130" w:hanging="420"/>
      </w:pPr>
    </w:lvl>
    <w:lvl w:ilvl="2" w:tentative="0">
      <w:start w:val="1"/>
      <w:numFmt w:val="lowerRoman"/>
      <w:lvlText w:val="%3."/>
      <w:lvlJc w:val="right"/>
      <w:pPr>
        <w:ind w:left="1798" w:hanging="420"/>
      </w:pPr>
    </w:lvl>
    <w:lvl w:ilvl="3" w:tentative="0">
      <w:start w:val="1"/>
      <w:numFmt w:val="decimal"/>
      <w:lvlText w:val="%4."/>
      <w:lvlJc w:val="left"/>
      <w:pPr>
        <w:ind w:left="2218" w:hanging="420"/>
      </w:pPr>
    </w:lvl>
    <w:lvl w:ilvl="4" w:tentative="0">
      <w:start w:val="1"/>
      <w:numFmt w:val="lowerLetter"/>
      <w:lvlText w:val="%5)"/>
      <w:lvlJc w:val="left"/>
      <w:pPr>
        <w:ind w:left="2638" w:hanging="420"/>
      </w:pPr>
    </w:lvl>
    <w:lvl w:ilvl="5" w:tentative="0">
      <w:start w:val="1"/>
      <w:numFmt w:val="lowerRoman"/>
      <w:lvlText w:val="%6."/>
      <w:lvlJc w:val="right"/>
      <w:pPr>
        <w:ind w:left="3058" w:hanging="420"/>
      </w:pPr>
    </w:lvl>
    <w:lvl w:ilvl="6" w:tentative="0">
      <w:start w:val="1"/>
      <w:numFmt w:val="decimal"/>
      <w:lvlText w:val="%7."/>
      <w:lvlJc w:val="left"/>
      <w:pPr>
        <w:ind w:left="3478" w:hanging="420"/>
      </w:pPr>
    </w:lvl>
    <w:lvl w:ilvl="7" w:tentative="0">
      <w:start w:val="1"/>
      <w:numFmt w:val="lowerLetter"/>
      <w:lvlText w:val="%8)"/>
      <w:lvlJc w:val="left"/>
      <w:pPr>
        <w:ind w:left="3898" w:hanging="420"/>
      </w:pPr>
    </w:lvl>
    <w:lvl w:ilvl="8" w:tentative="0">
      <w:start w:val="1"/>
      <w:numFmt w:val="lowerRoman"/>
      <w:lvlText w:val="%9."/>
      <w:lvlJc w:val="right"/>
      <w:pPr>
        <w:ind w:left="4318" w:hanging="420"/>
      </w:pPr>
    </w:lvl>
  </w:abstractNum>
  <w:abstractNum w:abstractNumId="8">
    <w:nsid w:val="00000027"/>
    <w:multiLevelType w:val="multilevel"/>
    <w:tmpl w:val="00000027"/>
    <w:lvl w:ilvl="0" w:tentative="0">
      <w:start w:val="1"/>
      <w:numFmt w:val="decimal"/>
      <w:lvlText w:val="%1."/>
      <w:lvlJc w:val="left"/>
      <w:pPr>
        <w:ind w:left="980" w:hanging="420"/>
      </w:pPr>
    </w:lvl>
    <w:lvl w:ilvl="1" w:tentative="0">
      <w:start w:val="1"/>
      <w:numFmt w:val="chineseCountingThousand"/>
      <w:lvlText w:val="%2、"/>
      <w:lvlJc w:val="left"/>
      <w:pPr>
        <w:ind w:left="988" w:hanging="420"/>
      </w:pPr>
      <w:rPr>
        <w:lang w:val="en-US"/>
      </w:r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9">
    <w:nsid w:val="00000029"/>
    <w:multiLevelType w:val="multilevel"/>
    <w:tmpl w:val="00000029"/>
    <w:lvl w:ilvl="0" w:tentative="0">
      <w:start w:val="1"/>
      <w:numFmt w:val="decimal"/>
      <w:lvlText w:val="%1."/>
      <w:lvlJc w:val="left"/>
      <w:pPr>
        <w:ind w:left="1271" w:hanging="420"/>
      </w:pPr>
      <w:rPr>
        <w:b w:val="0"/>
        <w:sz w:val="24"/>
        <w:szCs w:val="24"/>
      </w:rPr>
    </w:lvl>
    <w:lvl w:ilvl="1" w:tentative="0">
      <w:start w:val="1"/>
      <w:numFmt w:val="decimal"/>
      <w:lvlText w:val="%2、"/>
      <w:lvlJc w:val="left"/>
      <w:pPr>
        <w:ind w:left="360" w:hanging="360"/>
      </w:pPr>
      <w:rPr>
        <w:rFonts w:ascii="Times New Roman" w:hAnsi="Times New Roman" w:eastAsia="Times New Roman" w:cs="Times New Roman"/>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0000002B"/>
    <w:multiLevelType w:val="multilevel"/>
    <w:tmpl w:val="0000002B"/>
    <w:lvl w:ilvl="0" w:tentative="0">
      <w:start w:val="1"/>
      <w:numFmt w:val="chineseCountingThousand"/>
      <w:lvlText w:val="%1、"/>
      <w:lvlJc w:val="left"/>
      <w:pPr>
        <w:ind w:left="988" w:hanging="420"/>
      </w:pPr>
    </w:lvl>
    <w:lvl w:ilvl="1" w:tentative="0">
      <w:start w:val="1"/>
      <w:numFmt w:val="lowerLetter"/>
      <w:lvlText w:val="%2)"/>
      <w:lvlJc w:val="left"/>
      <w:pPr>
        <w:ind w:left="1389" w:hanging="420"/>
      </w:pPr>
    </w:lvl>
    <w:lvl w:ilvl="2" w:tentative="0">
      <w:start w:val="1"/>
      <w:numFmt w:val="lowerRoman"/>
      <w:lvlText w:val="%3."/>
      <w:lvlJc w:val="right"/>
      <w:pPr>
        <w:ind w:left="1809" w:hanging="420"/>
      </w:pPr>
    </w:lvl>
    <w:lvl w:ilvl="3" w:tentative="0">
      <w:start w:val="1"/>
      <w:numFmt w:val="decimal"/>
      <w:lvlText w:val="%4."/>
      <w:lvlJc w:val="left"/>
      <w:pPr>
        <w:ind w:left="2229" w:hanging="420"/>
      </w:pPr>
    </w:lvl>
    <w:lvl w:ilvl="4" w:tentative="0">
      <w:start w:val="1"/>
      <w:numFmt w:val="lowerLetter"/>
      <w:lvlText w:val="%5)"/>
      <w:lvlJc w:val="left"/>
      <w:pPr>
        <w:ind w:left="2649" w:hanging="420"/>
      </w:pPr>
    </w:lvl>
    <w:lvl w:ilvl="5" w:tentative="0">
      <w:start w:val="1"/>
      <w:numFmt w:val="lowerRoman"/>
      <w:lvlText w:val="%6."/>
      <w:lvlJc w:val="right"/>
      <w:pPr>
        <w:ind w:left="3069" w:hanging="420"/>
      </w:pPr>
    </w:lvl>
    <w:lvl w:ilvl="6" w:tentative="0">
      <w:start w:val="1"/>
      <w:numFmt w:val="decimal"/>
      <w:lvlText w:val="%7."/>
      <w:lvlJc w:val="left"/>
      <w:pPr>
        <w:ind w:left="3489" w:hanging="420"/>
      </w:pPr>
    </w:lvl>
    <w:lvl w:ilvl="7" w:tentative="0">
      <w:start w:val="1"/>
      <w:numFmt w:val="lowerLetter"/>
      <w:lvlText w:val="%8)"/>
      <w:lvlJc w:val="left"/>
      <w:pPr>
        <w:ind w:left="3909" w:hanging="420"/>
      </w:pPr>
    </w:lvl>
    <w:lvl w:ilvl="8" w:tentative="0">
      <w:start w:val="1"/>
      <w:numFmt w:val="lowerRoman"/>
      <w:lvlText w:val="%9."/>
      <w:lvlJc w:val="right"/>
      <w:pPr>
        <w:ind w:left="4329" w:hanging="420"/>
      </w:pPr>
    </w:lvl>
  </w:abstractNum>
  <w:abstractNum w:abstractNumId="11">
    <w:nsid w:val="0000002E"/>
    <w:multiLevelType w:val="multilevel"/>
    <w:tmpl w:val="0000002E"/>
    <w:lvl w:ilvl="0" w:tentative="0">
      <w:start w:val="1"/>
      <w:numFmt w:val="decimal"/>
      <w:pStyle w:val="3"/>
      <w:lvlText w:val="第%1章"/>
      <w:lvlJc w:val="left"/>
      <w:pPr>
        <w:ind w:left="3118" w:hanging="425"/>
      </w:pPr>
      <w:rPr>
        <w:rFonts w:hint="default" w:ascii="Times New Roman" w:hAnsi="Times New Roman" w:eastAsia="宋体" w:cs="Times New Roman"/>
        <w:b/>
        <w:i w:val="0"/>
        <w:sz w:val="32"/>
        <w:szCs w:val="32"/>
      </w:rPr>
    </w:lvl>
    <w:lvl w:ilvl="1" w:tentative="0">
      <w:start w:val="1"/>
      <w:numFmt w:val="decimal"/>
      <w:pStyle w:val="2"/>
      <w:suff w:val="nothing"/>
      <w:lvlText w:val="%1.%2"/>
      <w:lvlJc w:val="left"/>
      <w:pPr>
        <w:ind w:left="567" w:hanging="567"/>
      </w:pPr>
      <w:rPr>
        <w:rFonts w:hint="default" w:ascii="Times New Roman" w:hAnsi="Times New Roman" w:eastAsia="宋体" w:cs="Times New Roman"/>
        <w:b/>
        <w:i w:val="0"/>
        <w:color w:val="auto"/>
        <w:sz w:val="28"/>
        <w:szCs w:val="28"/>
      </w:rPr>
    </w:lvl>
    <w:lvl w:ilvl="2" w:tentative="0">
      <w:start w:val="1"/>
      <w:numFmt w:val="decimal"/>
      <w:pStyle w:val="4"/>
      <w:suff w:val="space"/>
      <w:lvlText w:val="%1.%2.%3"/>
      <w:lvlJc w:val="left"/>
      <w:pPr>
        <w:ind w:left="567" w:hanging="567"/>
      </w:pPr>
      <w:rPr>
        <w:rFonts w:hint="default" w:ascii="Times New Roman" w:hAnsi="Times New Roman" w:eastAsia="宋体" w:cs="Times New Roman"/>
        <w:b/>
        <w:i w:val="0"/>
        <w:sz w:val="28"/>
      </w:rPr>
    </w:lvl>
    <w:lvl w:ilvl="3" w:tentative="0">
      <w:start w:val="1"/>
      <w:numFmt w:val="decimal"/>
      <w:pStyle w:val="5"/>
      <w:suff w:val="nothing"/>
      <w:lvlText w:val="%1.%2.%3.%4"/>
      <w:lvlJc w:val="left"/>
      <w:pPr>
        <w:ind w:left="708" w:hanging="708"/>
      </w:pPr>
      <w:rPr>
        <w:rFonts w:hint="default" w:ascii="Times New Roman" w:hAnsi="Times New Roman" w:eastAsia="宋体" w:cs="Times New Roman"/>
        <w:b/>
        <w:i w:val="0"/>
        <w:sz w:val="28"/>
      </w:rPr>
    </w:lvl>
    <w:lvl w:ilvl="4" w:tentative="0">
      <w:start w:val="1"/>
      <w:numFmt w:val="decimal"/>
      <w:lvlText w:val="%1.%2.%3.%4.%5"/>
      <w:lvlJc w:val="left"/>
      <w:pPr>
        <w:ind w:left="2409" w:hanging="850"/>
      </w:pPr>
      <w:rPr>
        <w:rFonts w:hint="default" w:ascii="Times New Roman" w:hAnsi="Times New Roman" w:cs="Times New Roman"/>
      </w:rPr>
    </w:lvl>
    <w:lvl w:ilvl="5" w:tentative="0">
      <w:start w:val="1"/>
      <w:numFmt w:val="decimal"/>
      <w:lvlText w:val="%1.%2.%3.%4.%5.%6"/>
      <w:lvlJc w:val="left"/>
      <w:pPr>
        <w:ind w:left="3118" w:hanging="1134"/>
      </w:pPr>
    </w:lvl>
    <w:lvl w:ilvl="6" w:tentative="0">
      <w:start w:val="1"/>
      <w:numFmt w:val="decimal"/>
      <w:lvlText w:val="%1.%2.%3.%4.%5.%6.%7"/>
      <w:lvlJc w:val="left"/>
      <w:pPr>
        <w:ind w:left="3685" w:hanging="1276"/>
      </w:pPr>
    </w:lvl>
    <w:lvl w:ilvl="7" w:tentative="0">
      <w:start w:val="1"/>
      <w:numFmt w:val="decimal"/>
      <w:lvlText w:val="%1.%2.%3.%4.%5.%6.%7.%8"/>
      <w:lvlJc w:val="left"/>
      <w:pPr>
        <w:ind w:left="4252" w:hanging="1418"/>
      </w:pPr>
    </w:lvl>
    <w:lvl w:ilvl="8" w:tentative="0">
      <w:start w:val="1"/>
      <w:numFmt w:val="decimal"/>
      <w:lvlText w:val="%1.%2.%3.%4.%5.%6.%7.%8.%9"/>
      <w:lvlJc w:val="left"/>
      <w:pPr>
        <w:ind w:left="4960" w:hanging="1700"/>
      </w:pPr>
    </w:lvl>
  </w:abstractNum>
  <w:abstractNum w:abstractNumId="12">
    <w:nsid w:val="00000031"/>
    <w:multiLevelType w:val="multilevel"/>
    <w:tmpl w:val="00000031"/>
    <w:lvl w:ilvl="0" w:tentative="0">
      <w:start w:val="1"/>
      <w:numFmt w:val="chineseCountingThousand"/>
      <w:lvlText w:val="%1、"/>
      <w:lvlJc w:val="left"/>
      <w:pPr>
        <w:ind w:left="966" w:hanging="420"/>
      </w:p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13">
    <w:nsid w:val="0000003B"/>
    <w:multiLevelType w:val="multilevel"/>
    <w:tmpl w:val="0000003B"/>
    <w:lvl w:ilvl="0" w:tentative="0">
      <w:start w:val="1"/>
      <w:numFmt w:val="chineseCountingThousand"/>
      <w:lvlText w:val="%1、"/>
      <w:lvlJc w:val="left"/>
      <w:pPr>
        <w:ind w:left="720" w:hanging="720"/>
      </w:pPr>
      <w:rPr>
        <w:strike w:val="0"/>
        <w:dstrike w:val="0"/>
        <w:color w:val="000000"/>
        <w:u w:val="no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0000003E"/>
    <w:multiLevelType w:val="multilevel"/>
    <w:tmpl w:val="0000003E"/>
    <w:lvl w:ilvl="0" w:tentative="0">
      <w:start w:val="1"/>
      <w:numFmt w:val="chineseCountingThousand"/>
      <w:suff w:val="nothing"/>
      <w:lvlText w:val="%1、"/>
      <w:lvlJc w:val="left"/>
      <w:pPr>
        <w:ind w:left="2126" w:hanging="420"/>
      </w:pPr>
      <w:rPr>
        <w:b/>
        <w:i w:val="0"/>
        <w:lang w:val="en-US"/>
      </w:rPr>
    </w:lvl>
    <w:lvl w:ilvl="1" w:tentative="0">
      <w:start w:val="1"/>
      <w:numFmt w:val="decimal"/>
      <w:lvlText w:val="%2、"/>
      <w:lvlJc w:val="left"/>
      <w:pPr>
        <w:ind w:left="2122" w:hanging="1125"/>
      </w:pPr>
    </w:lvl>
    <w:lvl w:ilvl="2" w:tentative="0">
      <w:start w:val="1"/>
      <w:numFmt w:val="lowerRoman"/>
      <w:lvlText w:val="%3."/>
      <w:lvlJc w:val="right"/>
      <w:pPr>
        <w:ind w:left="2400" w:hanging="420"/>
      </w:pPr>
    </w:lvl>
    <w:lvl w:ilvl="3" w:tentative="0">
      <w:start w:val="1"/>
      <w:numFmt w:val="decimal"/>
      <w:lvlText w:val="%4."/>
      <w:lvlJc w:val="left"/>
      <w:pPr>
        <w:ind w:left="2820" w:hanging="420"/>
      </w:pPr>
    </w:lvl>
    <w:lvl w:ilvl="4" w:tentative="0">
      <w:start w:val="1"/>
      <w:numFmt w:val="lowerLetter"/>
      <w:lvlText w:val="%5)"/>
      <w:lvlJc w:val="left"/>
      <w:pPr>
        <w:ind w:left="3240" w:hanging="420"/>
      </w:pPr>
    </w:lvl>
    <w:lvl w:ilvl="5" w:tentative="0">
      <w:start w:val="1"/>
      <w:numFmt w:val="lowerRoman"/>
      <w:lvlText w:val="%6."/>
      <w:lvlJc w:val="right"/>
      <w:pPr>
        <w:ind w:left="3660" w:hanging="420"/>
      </w:pPr>
    </w:lvl>
    <w:lvl w:ilvl="6" w:tentative="0">
      <w:start w:val="1"/>
      <w:numFmt w:val="decimal"/>
      <w:lvlText w:val="%7."/>
      <w:lvlJc w:val="left"/>
      <w:pPr>
        <w:ind w:left="4080" w:hanging="420"/>
      </w:pPr>
    </w:lvl>
    <w:lvl w:ilvl="7" w:tentative="0">
      <w:start w:val="1"/>
      <w:numFmt w:val="lowerLetter"/>
      <w:lvlText w:val="%8)"/>
      <w:lvlJc w:val="left"/>
      <w:pPr>
        <w:ind w:left="4500" w:hanging="420"/>
      </w:pPr>
    </w:lvl>
    <w:lvl w:ilvl="8" w:tentative="0">
      <w:start w:val="1"/>
      <w:numFmt w:val="lowerRoman"/>
      <w:lvlText w:val="%9."/>
      <w:lvlJc w:val="right"/>
      <w:pPr>
        <w:ind w:left="4920" w:hanging="420"/>
      </w:pPr>
    </w:lvl>
  </w:abstractNum>
  <w:abstractNum w:abstractNumId="15">
    <w:nsid w:val="00000041"/>
    <w:multiLevelType w:val="multilevel"/>
    <w:tmpl w:val="00000041"/>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00000043"/>
    <w:multiLevelType w:val="multilevel"/>
    <w:tmpl w:val="00000043"/>
    <w:lvl w:ilvl="0" w:tentative="0">
      <w:start w:val="1"/>
      <w:numFmt w:val="chineseCountingThousand"/>
      <w:lvlText w:val="%1、"/>
      <w:lvlJc w:val="left"/>
      <w:pPr>
        <w:ind w:left="1413" w:hanging="420"/>
      </w:pPr>
      <w:rPr>
        <w:color w:val="auto"/>
        <w:sz w:val="28"/>
        <w:szCs w:val="28"/>
      </w:rPr>
    </w:lvl>
    <w:lvl w:ilvl="1" w:tentative="0">
      <w:start w:val="1"/>
      <w:numFmt w:val="decimal"/>
      <w:isLgl/>
      <w:lvlText w:val="%1.%2"/>
      <w:lvlJc w:val="left"/>
      <w:pPr>
        <w:ind w:left="1669" w:hanging="960"/>
      </w:pPr>
    </w:lvl>
    <w:lvl w:ilvl="2" w:tentative="0">
      <w:start w:val="1"/>
      <w:numFmt w:val="decimal"/>
      <w:isLgl/>
      <w:lvlText w:val="%1.%2.%3"/>
      <w:lvlJc w:val="left"/>
      <w:pPr>
        <w:ind w:left="1669" w:hanging="960"/>
      </w:pPr>
    </w:lvl>
    <w:lvl w:ilvl="3" w:tentative="0">
      <w:start w:val="1"/>
      <w:numFmt w:val="decimal"/>
      <w:isLgl/>
      <w:lvlText w:val="%1.%2.%3.%4"/>
      <w:lvlJc w:val="left"/>
      <w:pPr>
        <w:ind w:left="1789" w:hanging="1080"/>
      </w:pPr>
    </w:lvl>
    <w:lvl w:ilvl="4" w:tentative="0">
      <w:start w:val="1"/>
      <w:numFmt w:val="decimal"/>
      <w:isLgl/>
      <w:lvlText w:val="%1.%2.%3.%4.%5"/>
      <w:lvlJc w:val="left"/>
      <w:pPr>
        <w:ind w:left="1789" w:hanging="1080"/>
      </w:pPr>
    </w:lvl>
    <w:lvl w:ilvl="5" w:tentative="0">
      <w:start w:val="1"/>
      <w:numFmt w:val="decimal"/>
      <w:isLgl/>
      <w:lvlText w:val="%1.%2.%3.%4.%5.%6"/>
      <w:lvlJc w:val="left"/>
      <w:pPr>
        <w:ind w:left="2149" w:hanging="1440"/>
      </w:pPr>
    </w:lvl>
    <w:lvl w:ilvl="6" w:tentative="0">
      <w:start w:val="1"/>
      <w:numFmt w:val="decimal"/>
      <w:isLgl/>
      <w:lvlText w:val="%1.%2.%3.%4.%5.%6.%7"/>
      <w:lvlJc w:val="left"/>
      <w:pPr>
        <w:ind w:left="2509" w:hanging="1800"/>
      </w:pPr>
    </w:lvl>
    <w:lvl w:ilvl="7" w:tentative="0">
      <w:start w:val="1"/>
      <w:numFmt w:val="decimal"/>
      <w:isLgl/>
      <w:lvlText w:val="%1.%2.%3.%4.%5.%6.%7.%8"/>
      <w:lvlJc w:val="left"/>
      <w:pPr>
        <w:ind w:left="2509" w:hanging="1800"/>
      </w:pPr>
    </w:lvl>
    <w:lvl w:ilvl="8" w:tentative="0">
      <w:start w:val="1"/>
      <w:numFmt w:val="decimal"/>
      <w:isLgl/>
      <w:lvlText w:val="%1.%2.%3.%4.%5.%6.%7.%8.%9"/>
      <w:lvlJc w:val="left"/>
      <w:pPr>
        <w:ind w:left="2869" w:hanging="2160"/>
      </w:pPr>
    </w:lvl>
  </w:abstractNum>
  <w:abstractNum w:abstractNumId="17">
    <w:nsid w:val="035F7FE3"/>
    <w:multiLevelType w:val="multilevel"/>
    <w:tmpl w:val="035F7FE3"/>
    <w:lvl w:ilvl="0" w:tentative="0">
      <w:start w:val="1"/>
      <w:numFmt w:val="japaneseCounting"/>
      <w:lvlText w:val="%1、"/>
      <w:lvlJc w:val="left"/>
      <w:pPr>
        <w:ind w:left="1429" w:hanging="720"/>
      </w:pPr>
      <w:rPr>
        <w:rFonts w:hint="default"/>
        <w:color w:val="auto"/>
      </w:rPr>
    </w:lvl>
    <w:lvl w:ilvl="1" w:tentative="0">
      <w:start w:val="1"/>
      <w:numFmt w:val="lowerLetter"/>
      <w:lvlText w:val="%2)"/>
      <w:lvlJc w:val="left"/>
      <w:pPr>
        <w:ind w:left="1550" w:hanging="420"/>
      </w:pPr>
    </w:lvl>
    <w:lvl w:ilvl="2" w:tentative="0">
      <w:start w:val="1"/>
      <w:numFmt w:val="lowerRoman"/>
      <w:lvlText w:val="%3."/>
      <w:lvlJc w:val="right"/>
      <w:pPr>
        <w:ind w:left="1970" w:hanging="420"/>
      </w:pPr>
    </w:lvl>
    <w:lvl w:ilvl="3" w:tentative="0">
      <w:start w:val="1"/>
      <w:numFmt w:val="decimal"/>
      <w:lvlText w:val="%4."/>
      <w:lvlJc w:val="left"/>
      <w:pPr>
        <w:ind w:left="2390" w:hanging="420"/>
      </w:pPr>
    </w:lvl>
    <w:lvl w:ilvl="4" w:tentative="0">
      <w:start w:val="1"/>
      <w:numFmt w:val="lowerLetter"/>
      <w:lvlText w:val="%5)"/>
      <w:lvlJc w:val="left"/>
      <w:pPr>
        <w:ind w:left="2810" w:hanging="420"/>
      </w:pPr>
    </w:lvl>
    <w:lvl w:ilvl="5" w:tentative="0">
      <w:start w:val="1"/>
      <w:numFmt w:val="lowerRoman"/>
      <w:lvlText w:val="%6."/>
      <w:lvlJc w:val="right"/>
      <w:pPr>
        <w:ind w:left="3230" w:hanging="420"/>
      </w:pPr>
    </w:lvl>
    <w:lvl w:ilvl="6" w:tentative="0">
      <w:start w:val="1"/>
      <w:numFmt w:val="decimal"/>
      <w:lvlText w:val="%7."/>
      <w:lvlJc w:val="left"/>
      <w:pPr>
        <w:ind w:left="3650" w:hanging="420"/>
      </w:pPr>
    </w:lvl>
    <w:lvl w:ilvl="7" w:tentative="0">
      <w:start w:val="1"/>
      <w:numFmt w:val="lowerLetter"/>
      <w:lvlText w:val="%8)"/>
      <w:lvlJc w:val="left"/>
      <w:pPr>
        <w:ind w:left="4070" w:hanging="420"/>
      </w:pPr>
    </w:lvl>
    <w:lvl w:ilvl="8" w:tentative="0">
      <w:start w:val="1"/>
      <w:numFmt w:val="lowerRoman"/>
      <w:lvlText w:val="%9."/>
      <w:lvlJc w:val="right"/>
      <w:pPr>
        <w:ind w:left="4490" w:hanging="420"/>
      </w:pPr>
    </w:lvl>
  </w:abstractNum>
  <w:abstractNum w:abstractNumId="18">
    <w:nsid w:val="06AF180E"/>
    <w:multiLevelType w:val="multilevel"/>
    <w:tmpl w:val="06AF180E"/>
    <w:lvl w:ilvl="0" w:tentative="0">
      <w:start w:val="1"/>
      <w:numFmt w:val="japaneseCounting"/>
      <w:lvlText w:val="（%1）"/>
      <w:lvlJc w:val="left"/>
      <w:pPr>
        <w:ind w:left="1421" w:hanging="855"/>
      </w:pPr>
    </w:lvl>
    <w:lvl w:ilvl="1" w:tentative="0">
      <w:start w:val="1"/>
      <w:numFmt w:val="lowerLetter"/>
      <w:lvlText w:val="%2)"/>
      <w:lvlJc w:val="left"/>
      <w:pPr>
        <w:ind w:left="1406" w:hanging="420"/>
      </w:pPr>
    </w:lvl>
    <w:lvl w:ilvl="2" w:tentative="0">
      <w:start w:val="1"/>
      <w:numFmt w:val="lowerRoman"/>
      <w:lvlText w:val="%3."/>
      <w:lvlJc w:val="right"/>
      <w:pPr>
        <w:ind w:left="1826" w:hanging="420"/>
      </w:pPr>
    </w:lvl>
    <w:lvl w:ilvl="3" w:tentative="0">
      <w:start w:val="1"/>
      <w:numFmt w:val="decimal"/>
      <w:lvlText w:val="%4."/>
      <w:lvlJc w:val="left"/>
      <w:pPr>
        <w:ind w:left="2246" w:hanging="420"/>
      </w:pPr>
    </w:lvl>
    <w:lvl w:ilvl="4" w:tentative="0">
      <w:start w:val="1"/>
      <w:numFmt w:val="lowerLetter"/>
      <w:lvlText w:val="%5)"/>
      <w:lvlJc w:val="left"/>
      <w:pPr>
        <w:ind w:left="2666" w:hanging="420"/>
      </w:pPr>
    </w:lvl>
    <w:lvl w:ilvl="5" w:tentative="0">
      <w:start w:val="1"/>
      <w:numFmt w:val="lowerRoman"/>
      <w:lvlText w:val="%6."/>
      <w:lvlJc w:val="right"/>
      <w:pPr>
        <w:ind w:left="3086" w:hanging="420"/>
      </w:pPr>
    </w:lvl>
    <w:lvl w:ilvl="6" w:tentative="0">
      <w:start w:val="1"/>
      <w:numFmt w:val="decimal"/>
      <w:lvlText w:val="%7."/>
      <w:lvlJc w:val="left"/>
      <w:pPr>
        <w:ind w:left="3506" w:hanging="420"/>
      </w:pPr>
    </w:lvl>
    <w:lvl w:ilvl="7" w:tentative="0">
      <w:start w:val="1"/>
      <w:numFmt w:val="lowerLetter"/>
      <w:lvlText w:val="%8)"/>
      <w:lvlJc w:val="left"/>
      <w:pPr>
        <w:ind w:left="3926" w:hanging="420"/>
      </w:pPr>
    </w:lvl>
    <w:lvl w:ilvl="8" w:tentative="0">
      <w:start w:val="1"/>
      <w:numFmt w:val="lowerRoman"/>
      <w:lvlText w:val="%9."/>
      <w:lvlJc w:val="right"/>
      <w:pPr>
        <w:ind w:left="4346" w:hanging="420"/>
      </w:pPr>
    </w:lvl>
  </w:abstractNum>
  <w:abstractNum w:abstractNumId="19">
    <w:nsid w:val="06C3165F"/>
    <w:multiLevelType w:val="multilevel"/>
    <w:tmpl w:val="06C3165F"/>
    <w:lvl w:ilvl="0" w:tentative="0">
      <w:start w:val="5"/>
      <w:numFmt w:val="japaneseCounting"/>
      <w:lvlText w:val="（%1）"/>
      <w:lvlJc w:val="left"/>
      <w:pPr>
        <w:ind w:left="1179" w:hanging="855"/>
      </w:pPr>
      <w:rPr>
        <w:rFonts w:cs="Helvetica"/>
        <w:color w:val="FF0000"/>
      </w:rPr>
    </w:lvl>
    <w:lvl w:ilvl="1" w:tentative="0">
      <w:start w:val="1"/>
      <w:numFmt w:val="chineseCountingThousand"/>
      <w:lvlText w:val="(%2)"/>
      <w:lvlJc w:val="left"/>
      <w:pPr>
        <w:ind w:left="1164" w:hanging="420"/>
      </w:pPr>
    </w:lvl>
    <w:lvl w:ilvl="2" w:tentative="0">
      <w:start w:val="2"/>
      <w:numFmt w:val="japaneseCounting"/>
      <w:lvlText w:val="（%3）"/>
      <w:lvlJc w:val="left"/>
      <w:pPr>
        <w:ind w:left="2019" w:hanging="855"/>
      </w:pPr>
      <w:rPr>
        <w:lang w:val="en-US"/>
      </w:rPr>
    </w:lvl>
    <w:lvl w:ilvl="3" w:tentative="0">
      <w:start w:val="3"/>
      <w:numFmt w:val="japaneseCounting"/>
      <w:lvlText w:val="%4、"/>
      <w:lvlJc w:val="left"/>
      <w:pPr>
        <w:ind w:left="2304" w:hanging="720"/>
      </w:pPr>
    </w:lvl>
    <w:lvl w:ilvl="4" w:tentative="0">
      <w:start w:val="1"/>
      <w:numFmt w:val="lowerLetter"/>
      <w:lvlText w:val="%5)"/>
      <w:lvlJc w:val="left"/>
      <w:pPr>
        <w:ind w:left="2424" w:hanging="420"/>
      </w:pPr>
    </w:lvl>
    <w:lvl w:ilvl="5" w:tentative="0">
      <w:start w:val="1"/>
      <w:numFmt w:val="lowerRoman"/>
      <w:lvlText w:val="%6."/>
      <w:lvlJc w:val="right"/>
      <w:pPr>
        <w:ind w:left="2844" w:hanging="420"/>
      </w:pPr>
    </w:lvl>
    <w:lvl w:ilvl="6" w:tentative="0">
      <w:start w:val="1"/>
      <w:numFmt w:val="decimal"/>
      <w:lvlText w:val="%7."/>
      <w:lvlJc w:val="left"/>
      <w:pPr>
        <w:ind w:left="3264" w:hanging="420"/>
      </w:pPr>
    </w:lvl>
    <w:lvl w:ilvl="7" w:tentative="0">
      <w:start w:val="1"/>
      <w:numFmt w:val="lowerLetter"/>
      <w:lvlText w:val="%8)"/>
      <w:lvlJc w:val="left"/>
      <w:pPr>
        <w:ind w:left="3684" w:hanging="420"/>
      </w:pPr>
    </w:lvl>
    <w:lvl w:ilvl="8" w:tentative="0">
      <w:start w:val="1"/>
      <w:numFmt w:val="lowerRoman"/>
      <w:lvlText w:val="%9."/>
      <w:lvlJc w:val="right"/>
      <w:pPr>
        <w:ind w:left="4104" w:hanging="420"/>
      </w:pPr>
    </w:lvl>
  </w:abstractNum>
  <w:abstractNum w:abstractNumId="20">
    <w:nsid w:val="0B7C44A9"/>
    <w:multiLevelType w:val="multilevel"/>
    <w:tmpl w:val="0B7C44A9"/>
    <w:lvl w:ilvl="0" w:tentative="0">
      <w:start w:val="1"/>
      <w:numFmt w:val="japaneseCounting"/>
      <w:lvlText w:val="%1、"/>
      <w:lvlJc w:val="left"/>
      <w:pPr>
        <w:ind w:left="1266" w:hanging="720"/>
      </w:pPr>
      <w:rPr>
        <w:rFonts w:hint="default"/>
      </w:rPr>
    </w:lvl>
    <w:lvl w:ilvl="1" w:tentative="0">
      <w:start w:val="1"/>
      <w:numFmt w:val="lowerLetter"/>
      <w:lvlText w:val="%2)"/>
      <w:lvlJc w:val="left"/>
      <w:pPr>
        <w:ind w:left="1386" w:hanging="420"/>
      </w:pPr>
    </w:lvl>
    <w:lvl w:ilvl="2" w:tentative="0">
      <w:start w:val="1"/>
      <w:numFmt w:val="lowerRoman"/>
      <w:lvlText w:val="%3."/>
      <w:lvlJc w:val="right"/>
      <w:pPr>
        <w:ind w:left="1806" w:hanging="420"/>
      </w:pPr>
    </w:lvl>
    <w:lvl w:ilvl="3" w:tentative="0">
      <w:start w:val="1"/>
      <w:numFmt w:val="decimal"/>
      <w:lvlText w:val="%4."/>
      <w:lvlJc w:val="left"/>
      <w:pPr>
        <w:ind w:left="2226" w:hanging="420"/>
      </w:pPr>
    </w:lvl>
    <w:lvl w:ilvl="4" w:tentative="0">
      <w:start w:val="1"/>
      <w:numFmt w:val="lowerLetter"/>
      <w:lvlText w:val="%5)"/>
      <w:lvlJc w:val="left"/>
      <w:pPr>
        <w:ind w:left="2646" w:hanging="420"/>
      </w:pPr>
    </w:lvl>
    <w:lvl w:ilvl="5" w:tentative="0">
      <w:start w:val="1"/>
      <w:numFmt w:val="lowerRoman"/>
      <w:lvlText w:val="%6."/>
      <w:lvlJc w:val="right"/>
      <w:pPr>
        <w:ind w:left="3066" w:hanging="420"/>
      </w:pPr>
    </w:lvl>
    <w:lvl w:ilvl="6" w:tentative="0">
      <w:start w:val="1"/>
      <w:numFmt w:val="decimal"/>
      <w:lvlText w:val="%7."/>
      <w:lvlJc w:val="left"/>
      <w:pPr>
        <w:ind w:left="3486" w:hanging="420"/>
      </w:pPr>
    </w:lvl>
    <w:lvl w:ilvl="7" w:tentative="0">
      <w:start w:val="1"/>
      <w:numFmt w:val="lowerLetter"/>
      <w:lvlText w:val="%8)"/>
      <w:lvlJc w:val="left"/>
      <w:pPr>
        <w:ind w:left="3906" w:hanging="420"/>
      </w:pPr>
    </w:lvl>
    <w:lvl w:ilvl="8" w:tentative="0">
      <w:start w:val="1"/>
      <w:numFmt w:val="lowerRoman"/>
      <w:lvlText w:val="%9."/>
      <w:lvlJc w:val="right"/>
      <w:pPr>
        <w:ind w:left="4326" w:hanging="420"/>
      </w:pPr>
    </w:lvl>
  </w:abstractNum>
  <w:abstractNum w:abstractNumId="21">
    <w:nsid w:val="0D6B6379"/>
    <w:multiLevelType w:val="multilevel"/>
    <w:tmpl w:val="0D6B6379"/>
    <w:lvl w:ilvl="0" w:tentative="0">
      <w:start w:val="1"/>
      <w:numFmt w:val="chineseCountingThousand"/>
      <w:lvlText w:val="%1、"/>
      <w:lvlJc w:val="left"/>
      <w:pPr>
        <w:ind w:left="1838" w:hanging="420"/>
      </w:pPr>
    </w:lvl>
    <w:lvl w:ilvl="1" w:tentative="0">
      <w:start w:val="1"/>
      <w:numFmt w:val="lowerLetter"/>
      <w:lvlText w:val="%2)"/>
      <w:lvlJc w:val="left"/>
      <w:pPr>
        <w:ind w:left="2258" w:hanging="420"/>
      </w:pPr>
    </w:lvl>
    <w:lvl w:ilvl="2" w:tentative="0">
      <w:start w:val="1"/>
      <w:numFmt w:val="lowerRoman"/>
      <w:lvlText w:val="%3."/>
      <w:lvlJc w:val="right"/>
      <w:pPr>
        <w:ind w:left="2678" w:hanging="420"/>
      </w:pPr>
    </w:lvl>
    <w:lvl w:ilvl="3" w:tentative="0">
      <w:start w:val="1"/>
      <w:numFmt w:val="decimal"/>
      <w:lvlText w:val="%4."/>
      <w:lvlJc w:val="left"/>
      <w:pPr>
        <w:ind w:left="3098" w:hanging="420"/>
      </w:pPr>
    </w:lvl>
    <w:lvl w:ilvl="4" w:tentative="0">
      <w:start w:val="1"/>
      <w:numFmt w:val="lowerLetter"/>
      <w:lvlText w:val="%5)"/>
      <w:lvlJc w:val="left"/>
      <w:pPr>
        <w:ind w:left="3518" w:hanging="420"/>
      </w:pPr>
    </w:lvl>
    <w:lvl w:ilvl="5" w:tentative="0">
      <w:start w:val="1"/>
      <w:numFmt w:val="lowerRoman"/>
      <w:lvlText w:val="%6."/>
      <w:lvlJc w:val="right"/>
      <w:pPr>
        <w:ind w:left="3938" w:hanging="420"/>
      </w:pPr>
    </w:lvl>
    <w:lvl w:ilvl="6" w:tentative="0">
      <w:start w:val="1"/>
      <w:numFmt w:val="decimal"/>
      <w:lvlText w:val="%7."/>
      <w:lvlJc w:val="left"/>
      <w:pPr>
        <w:ind w:left="4358" w:hanging="420"/>
      </w:pPr>
    </w:lvl>
    <w:lvl w:ilvl="7" w:tentative="0">
      <w:start w:val="1"/>
      <w:numFmt w:val="lowerLetter"/>
      <w:lvlText w:val="%8)"/>
      <w:lvlJc w:val="left"/>
      <w:pPr>
        <w:ind w:left="4778" w:hanging="420"/>
      </w:pPr>
    </w:lvl>
    <w:lvl w:ilvl="8" w:tentative="0">
      <w:start w:val="1"/>
      <w:numFmt w:val="lowerRoman"/>
      <w:lvlText w:val="%9."/>
      <w:lvlJc w:val="right"/>
      <w:pPr>
        <w:ind w:left="5198" w:hanging="420"/>
      </w:pPr>
    </w:lvl>
  </w:abstractNum>
  <w:abstractNum w:abstractNumId="22">
    <w:nsid w:val="17A6C306"/>
    <w:multiLevelType w:val="singleLevel"/>
    <w:tmpl w:val="17A6C306"/>
    <w:lvl w:ilvl="0" w:tentative="0">
      <w:start w:val="1"/>
      <w:numFmt w:val="decimal"/>
      <w:lvlText w:val="%1."/>
      <w:lvlJc w:val="left"/>
      <w:pPr>
        <w:ind w:left="425" w:hanging="425"/>
      </w:pPr>
      <w:rPr>
        <w:rFonts w:hint="default"/>
      </w:rPr>
    </w:lvl>
  </w:abstractNum>
  <w:abstractNum w:abstractNumId="23">
    <w:nsid w:val="1A032D52"/>
    <w:multiLevelType w:val="multilevel"/>
    <w:tmpl w:val="1A032D52"/>
    <w:lvl w:ilvl="0" w:tentative="0">
      <w:start w:val="1"/>
      <w:numFmt w:val="chineseCountingThousand"/>
      <w:lvlText w:val="%1、"/>
      <w:lvlJc w:val="left"/>
      <w:pPr>
        <w:ind w:left="1413" w:hanging="420"/>
      </w:pPr>
    </w:lvl>
    <w:lvl w:ilvl="1" w:tentative="0">
      <w:start w:val="1"/>
      <w:numFmt w:val="lowerLetter"/>
      <w:lvlText w:val="%2)"/>
      <w:lvlJc w:val="left"/>
      <w:pPr>
        <w:tabs>
          <w:tab w:val="left" w:pos="847"/>
        </w:tabs>
        <w:ind w:left="847" w:hanging="420"/>
      </w:pPr>
    </w:lvl>
    <w:lvl w:ilvl="2" w:tentative="0">
      <w:start w:val="1"/>
      <w:numFmt w:val="lowerRoman"/>
      <w:lvlText w:val="%3."/>
      <w:lvlJc w:val="right"/>
      <w:pPr>
        <w:tabs>
          <w:tab w:val="left" w:pos="1267"/>
        </w:tabs>
        <w:ind w:left="1267" w:hanging="420"/>
      </w:pPr>
    </w:lvl>
    <w:lvl w:ilvl="3" w:tentative="0">
      <w:start w:val="1"/>
      <w:numFmt w:val="decimal"/>
      <w:lvlText w:val="%4."/>
      <w:lvlJc w:val="left"/>
      <w:pPr>
        <w:tabs>
          <w:tab w:val="left" w:pos="1687"/>
        </w:tabs>
        <w:ind w:left="1687" w:hanging="420"/>
      </w:pPr>
    </w:lvl>
    <w:lvl w:ilvl="4" w:tentative="0">
      <w:start w:val="1"/>
      <w:numFmt w:val="lowerLetter"/>
      <w:lvlText w:val="%5)"/>
      <w:lvlJc w:val="left"/>
      <w:pPr>
        <w:tabs>
          <w:tab w:val="left" w:pos="2107"/>
        </w:tabs>
        <w:ind w:left="2107" w:hanging="420"/>
      </w:pPr>
    </w:lvl>
    <w:lvl w:ilvl="5" w:tentative="0">
      <w:start w:val="1"/>
      <w:numFmt w:val="lowerRoman"/>
      <w:lvlText w:val="%6."/>
      <w:lvlJc w:val="right"/>
      <w:pPr>
        <w:tabs>
          <w:tab w:val="left" w:pos="2527"/>
        </w:tabs>
        <w:ind w:left="2527" w:hanging="420"/>
      </w:pPr>
    </w:lvl>
    <w:lvl w:ilvl="6" w:tentative="0">
      <w:start w:val="1"/>
      <w:numFmt w:val="decimal"/>
      <w:lvlText w:val="%7."/>
      <w:lvlJc w:val="left"/>
      <w:pPr>
        <w:tabs>
          <w:tab w:val="left" w:pos="2947"/>
        </w:tabs>
        <w:ind w:left="2947" w:hanging="420"/>
      </w:pPr>
    </w:lvl>
    <w:lvl w:ilvl="7" w:tentative="0">
      <w:start w:val="1"/>
      <w:numFmt w:val="lowerLetter"/>
      <w:lvlText w:val="%8)"/>
      <w:lvlJc w:val="left"/>
      <w:pPr>
        <w:tabs>
          <w:tab w:val="left" w:pos="3367"/>
        </w:tabs>
        <w:ind w:left="3367" w:hanging="420"/>
      </w:pPr>
    </w:lvl>
    <w:lvl w:ilvl="8" w:tentative="0">
      <w:start w:val="1"/>
      <w:numFmt w:val="lowerRoman"/>
      <w:lvlText w:val="%9."/>
      <w:lvlJc w:val="right"/>
      <w:pPr>
        <w:tabs>
          <w:tab w:val="left" w:pos="3787"/>
        </w:tabs>
        <w:ind w:left="3787" w:hanging="420"/>
      </w:pPr>
    </w:lvl>
  </w:abstractNum>
  <w:abstractNum w:abstractNumId="24">
    <w:nsid w:val="1DA62241"/>
    <w:multiLevelType w:val="multilevel"/>
    <w:tmpl w:val="1DA62241"/>
    <w:lvl w:ilvl="0" w:tentative="0">
      <w:start w:val="1"/>
      <w:numFmt w:val="chineseCountingThousand"/>
      <w:lvlText w:val="(%1)"/>
      <w:lvlJc w:val="left"/>
      <w:pPr>
        <w:ind w:left="986" w:hanging="420"/>
      </w:pPr>
    </w:lvl>
    <w:lvl w:ilvl="1" w:tentative="0">
      <w:start w:val="1"/>
      <w:numFmt w:val="lowerLetter"/>
      <w:lvlText w:val="%2)"/>
      <w:lvlJc w:val="left"/>
      <w:pPr>
        <w:ind w:left="1406" w:hanging="420"/>
      </w:pPr>
    </w:lvl>
    <w:lvl w:ilvl="2" w:tentative="0">
      <w:start w:val="1"/>
      <w:numFmt w:val="lowerRoman"/>
      <w:lvlText w:val="%3."/>
      <w:lvlJc w:val="right"/>
      <w:pPr>
        <w:ind w:left="1826" w:hanging="420"/>
      </w:pPr>
    </w:lvl>
    <w:lvl w:ilvl="3" w:tentative="0">
      <w:start w:val="1"/>
      <w:numFmt w:val="decimal"/>
      <w:lvlText w:val="%4."/>
      <w:lvlJc w:val="left"/>
      <w:pPr>
        <w:ind w:left="2246" w:hanging="420"/>
      </w:pPr>
    </w:lvl>
    <w:lvl w:ilvl="4" w:tentative="0">
      <w:start w:val="1"/>
      <w:numFmt w:val="lowerLetter"/>
      <w:lvlText w:val="%5)"/>
      <w:lvlJc w:val="left"/>
      <w:pPr>
        <w:ind w:left="2666" w:hanging="420"/>
      </w:pPr>
    </w:lvl>
    <w:lvl w:ilvl="5" w:tentative="0">
      <w:start w:val="1"/>
      <w:numFmt w:val="lowerRoman"/>
      <w:lvlText w:val="%6."/>
      <w:lvlJc w:val="right"/>
      <w:pPr>
        <w:ind w:left="3086" w:hanging="420"/>
      </w:pPr>
    </w:lvl>
    <w:lvl w:ilvl="6" w:tentative="0">
      <w:start w:val="1"/>
      <w:numFmt w:val="decimal"/>
      <w:lvlText w:val="%7."/>
      <w:lvlJc w:val="left"/>
      <w:pPr>
        <w:ind w:left="3506" w:hanging="420"/>
      </w:pPr>
    </w:lvl>
    <w:lvl w:ilvl="7" w:tentative="0">
      <w:start w:val="1"/>
      <w:numFmt w:val="lowerLetter"/>
      <w:lvlText w:val="%8)"/>
      <w:lvlJc w:val="left"/>
      <w:pPr>
        <w:ind w:left="3926" w:hanging="420"/>
      </w:pPr>
    </w:lvl>
    <w:lvl w:ilvl="8" w:tentative="0">
      <w:start w:val="1"/>
      <w:numFmt w:val="lowerRoman"/>
      <w:lvlText w:val="%9."/>
      <w:lvlJc w:val="right"/>
      <w:pPr>
        <w:ind w:left="4346" w:hanging="420"/>
      </w:pPr>
    </w:lvl>
  </w:abstractNum>
  <w:abstractNum w:abstractNumId="25">
    <w:nsid w:val="1F2A386E"/>
    <w:multiLevelType w:val="multilevel"/>
    <w:tmpl w:val="1F2A386E"/>
    <w:lvl w:ilvl="0" w:tentative="0">
      <w:start w:val="1"/>
      <w:numFmt w:val="chineseCountingThousand"/>
      <w:lvlText w:val="%1、"/>
      <w:lvlJc w:val="left"/>
      <w:pPr>
        <w:ind w:left="988" w:hanging="420"/>
      </w:pPr>
    </w:lvl>
    <w:lvl w:ilvl="1" w:tentative="0">
      <w:start w:val="1"/>
      <w:numFmt w:val="lowerLetter"/>
      <w:lvlText w:val="%2)"/>
      <w:lvlJc w:val="left"/>
      <w:pPr>
        <w:ind w:left="1550" w:hanging="420"/>
      </w:pPr>
    </w:lvl>
    <w:lvl w:ilvl="2" w:tentative="0">
      <w:start w:val="1"/>
      <w:numFmt w:val="lowerRoman"/>
      <w:lvlText w:val="%3."/>
      <w:lvlJc w:val="right"/>
      <w:pPr>
        <w:ind w:left="1970" w:hanging="420"/>
      </w:pPr>
    </w:lvl>
    <w:lvl w:ilvl="3" w:tentative="0">
      <w:start w:val="1"/>
      <w:numFmt w:val="decimal"/>
      <w:lvlText w:val="%4."/>
      <w:lvlJc w:val="left"/>
      <w:pPr>
        <w:ind w:left="2390" w:hanging="420"/>
      </w:pPr>
    </w:lvl>
    <w:lvl w:ilvl="4" w:tentative="0">
      <w:start w:val="1"/>
      <w:numFmt w:val="lowerLetter"/>
      <w:lvlText w:val="%5)"/>
      <w:lvlJc w:val="left"/>
      <w:pPr>
        <w:ind w:left="2810" w:hanging="420"/>
      </w:pPr>
    </w:lvl>
    <w:lvl w:ilvl="5" w:tentative="0">
      <w:start w:val="1"/>
      <w:numFmt w:val="lowerRoman"/>
      <w:lvlText w:val="%6."/>
      <w:lvlJc w:val="right"/>
      <w:pPr>
        <w:ind w:left="3230" w:hanging="420"/>
      </w:pPr>
    </w:lvl>
    <w:lvl w:ilvl="6" w:tentative="0">
      <w:start w:val="1"/>
      <w:numFmt w:val="decimal"/>
      <w:lvlText w:val="%7."/>
      <w:lvlJc w:val="left"/>
      <w:pPr>
        <w:ind w:left="3650" w:hanging="420"/>
      </w:pPr>
    </w:lvl>
    <w:lvl w:ilvl="7" w:tentative="0">
      <w:start w:val="1"/>
      <w:numFmt w:val="lowerLetter"/>
      <w:lvlText w:val="%8)"/>
      <w:lvlJc w:val="left"/>
      <w:pPr>
        <w:ind w:left="4070" w:hanging="420"/>
      </w:pPr>
    </w:lvl>
    <w:lvl w:ilvl="8" w:tentative="0">
      <w:start w:val="1"/>
      <w:numFmt w:val="lowerRoman"/>
      <w:lvlText w:val="%9."/>
      <w:lvlJc w:val="right"/>
      <w:pPr>
        <w:ind w:left="4490" w:hanging="420"/>
      </w:pPr>
    </w:lvl>
  </w:abstractNum>
  <w:abstractNum w:abstractNumId="26">
    <w:nsid w:val="27B0359A"/>
    <w:multiLevelType w:val="multilevel"/>
    <w:tmpl w:val="27B0359A"/>
    <w:lvl w:ilvl="0" w:tentative="0">
      <w:start w:val="1"/>
      <w:numFmt w:val="japaneseCounting"/>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28267C73"/>
    <w:multiLevelType w:val="multilevel"/>
    <w:tmpl w:val="28267C73"/>
    <w:lvl w:ilvl="0" w:tentative="0">
      <w:start w:val="1"/>
      <w:numFmt w:val="chineseCountingThousand"/>
      <w:lvlText w:val="%1、"/>
      <w:lvlJc w:val="left"/>
      <w:pPr>
        <w:ind w:left="840" w:hanging="420"/>
      </w:pPr>
    </w:lvl>
    <w:lvl w:ilvl="1" w:tentative="0">
      <w:start w:val="1"/>
      <w:numFmt w:val="lowerLetter"/>
      <w:lvlText w:val="%2)"/>
      <w:lvlJc w:val="left"/>
      <w:pPr>
        <w:tabs>
          <w:tab w:val="left" w:pos="274"/>
        </w:tabs>
        <w:ind w:left="274" w:hanging="420"/>
      </w:pPr>
    </w:lvl>
    <w:lvl w:ilvl="2" w:tentative="0">
      <w:start w:val="1"/>
      <w:numFmt w:val="lowerRoman"/>
      <w:lvlText w:val="%3."/>
      <w:lvlJc w:val="right"/>
      <w:pPr>
        <w:tabs>
          <w:tab w:val="left" w:pos="694"/>
        </w:tabs>
        <w:ind w:left="694" w:hanging="420"/>
      </w:pPr>
    </w:lvl>
    <w:lvl w:ilvl="3" w:tentative="0">
      <w:start w:val="1"/>
      <w:numFmt w:val="decimal"/>
      <w:lvlText w:val="%4."/>
      <w:lvlJc w:val="left"/>
      <w:pPr>
        <w:tabs>
          <w:tab w:val="left" w:pos="1114"/>
        </w:tabs>
        <w:ind w:left="1114" w:hanging="420"/>
      </w:pPr>
    </w:lvl>
    <w:lvl w:ilvl="4" w:tentative="0">
      <w:start w:val="1"/>
      <w:numFmt w:val="lowerLetter"/>
      <w:lvlText w:val="%5)"/>
      <w:lvlJc w:val="left"/>
      <w:pPr>
        <w:tabs>
          <w:tab w:val="left" w:pos="1534"/>
        </w:tabs>
        <w:ind w:left="1534" w:hanging="420"/>
      </w:pPr>
    </w:lvl>
    <w:lvl w:ilvl="5" w:tentative="0">
      <w:start w:val="1"/>
      <w:numFmt w:val="lowerRoman"/>
      <w:lvlText w:val="%6."/>
      <w:lvlJc w:val="right"/>
      <w:pPr>
        <w:tabs>
          <w:tab w:val="left" w:pos="1954"/>
        </w:tabs>
        <w:ind w:left="1954" w:hanging="420"/>
      </w:pPr>
    </w:lvl>
    <w:lvl w:ilvl="6" w:tentative="0">
      <w:start w:val="1"/>
      <w:numFmt w:val="decimal"/>
      <w:lvlText w:val="%7."/>
      <w:lvlJc w:val="left"/>
      <w:pPr>
        <w:tabs>
          <w:tab w:val="left" w:pos="2374"/>
        </w:tabs>
        <w:ind w:left="2374" w:hanging="420"/>
      </w:pPr>
    </w:lvl>
    <w:lvl w:ilvl="7" w:tentative="0">
      <w:start w:val="1"/>
      <w:numFmt w:val="lowerLetter"/>
      <w:lvlText w:val="%8)"/>
      <w:lvlJc w:val="left"/>
      <w:pPr>
        <w:tabs>
          <w:tab w:val="left" w:pos="2794"/>
        </w:tabs>
        <w:ind w:left="2794" w:hanging="420"/>
      </w:pPr>
    </w:lvl>
    <w:lvl w:ilvl="8" w:tentative="0">
      <w:start w:val="1"/>
      <w:numFmt w:val="lowerRoman"/>
      <w:lvlText w:val="%9."/>
      <w:lvlJc w:val="right"/>
      <w:pPr>
        <w:tabs>
          <w:tab w:val="left" w:pos="3214"/>
        </w:tabs>
        <w:ind w:left="3214" w:hanging="420"/>
      </w:pPr>
    </w:lvl>
  </w:abstractNum>
  <w:abstractNum w:abstractNumId="28">
    <w:nsid w:val="2B883668"/>
    <w:multiLevelType w:val="multilevel"/>
    <w:tmpl w:val="2B883668"/>
    <w:lvl w:ilvl="0" w:tentative="0">
      <w:start w:val="1"/>
      <w:numFmt w:val="chineseCountingThousand"/>
      <w:lvlText w:val="(%1)"/>
      <w:lvlJc w:val="left"/>
      <w:pPr>
        <w:ind w:left="2972"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3424055C"/>
    <w:multiLevelType w:val="multilevel"/>
    <w:tmpl w:val="3424055C"/>
    <w:lvl w:ilvl="0" w:tentative="0">
      <w:start w:val="1"/>
      <w:numFmt w:val="japaneseCounting"/>
      <w:lvlText w:val="%1、"/>
      <w:lvlJc w:val="left"/>
      <w:pPr>
        <w:ind w:left="988" w:hanging="420"/>
      </w:pPr>
      <w:rPr>
        <w:rFonts w:ascii="宋体" w:hAnsi="宋体" w:eastAsia="宋体" w:cs="Times New Roman"/>
        <w:sz w:val="28"/>
        <w:szCs w:val="28"/>
      </w:rPr>
    </w:lvl>
    <w:lvl w:ilvl="1" w:tentative="0">
      <w:start w:val="1"/>
      <w:numFmt w:val="lowerLetter"/>
      <w:lvlText w:val="%2)"/>
      <w:lvlJc w:val="left"/>
      <w:pPr>
        <w:ind w:left="415" w:hanging="420"/>
      </w:pPr>
    </w:lvl>
    <w:lvl w:ilvl="2" w:tentative="0">
      <w:start w:val="1"/>
      <w:numFmt w:val="lowerRoman"/>
      <w:lvlText w:val="%3."/>
      <w:lvlJc w:val="right"/>
      <w:pPr>
        <w:ind w:left="835" w:hanging="420"/>
      </w:pPr>
    </w:lvl>
    <w:lvl w:ilvl="3" w:tentative="0">
      <w:start w:val="1"/>
      <w:numFmt w:val="decimal"/>
      <w:lvlText w:val="%4."/>
      <w:lvlJc w:val="left"/>
      <w:pPr>
        <w:ind w:left="1255" w:hanging="420"/>
      </w:pPr>
    </w:lvl>
    <w:lvl w:ilvl="4" w:tentative="0">
      <w:start w:val="1"/>
      <w:numFmt w:val="lowerLetter"/>
      <w:lvlText w:val="%5)"/>
      <w:lvlJc w:val="left"/>
      <w:pPr>
        <w:ind w:left="1675" w:hanging="420"/>
      </w:pPr>
    </w:lvl>
    <w:lvl w:ilvl="5" w:tentative="0">
      <w:start w:val="1"/>
      <w:numFmt w:val="lowerRoman"/>
      <w:lvlText w:val="%6."/>
      <w:lvlJc w:val="right"/>
      <w:pPr>
        <w:ind w:left="2095" w:hanging="420"/>
      </w:pPr>
    </w:lvl>
    <w:lvl w:ilvl="6" w:tentative="0">
      <w:start w:val="1"/>
      <w:numFmt w:val="decimal"/>
      <w:lvlText w:val="%7."/>
      <w:lvlJc w:val="left"/>
      <w:pPr>
        <w:ind w:left="2515" w:hanging="420"/>
      </w:pPr>
    </w:lvl>
    <w:lvl w:ilvl="7" w:tentative="0">
      <w:start w:val="1"/>
      <w:numFmt w:val="lowerLetter"/>
      <w:lvlText w:val="%8)"/>
      <w:lvlJc w:val="left"/>
      <w:pPr>
        <w:ind w:left="2935" w:hanging="420"/>
      </w:pPr>
    </w:lvl>
    <w:lvl w:ilvl="8" w:tentative="0">
      <w:start w:val="1"/>
      <w:numFmt w:val="lowerRoman"/>
      <w:lvlText w:val="%9."/>
      <w:lvlJc w:val="right"/>
      <w:pPr>
        <w:ind w:left="3355" w:hanging="420"/>
      </w:pPr>
    </w:lvl>
  </w:abstractNum>
  <w:abstractNum w:abstractNumId="30">
    <w:nsid w:val="34D50379"/>
    <w:multiLevelType w:val="multilevel"/>
    <w:tmpl w:val="34D50379"/>
    <w:lvl w:ilvl="0" w:tentative="0">
      <w:start w:val="1"/>
      <w:numFmt w:val="decimal"/>
      <w:lvlText w:val="%1."/>
      <w:lvlJc w:val="left"/>
      <w:pPr>
        <w:ind w:left="840" w:hanging="420"/>
      </w:pPr>
    </w:lvl>
    <w:lvl w:ilvl="1" w:tentative="0">
      <w:start w:val="1"/>
      <w:numFmt w:val="decimal"/>
      <w:lvlText w:val="%2）"/>
      <w:lvlJc w:val="left"/>
      <w:pPr>
        <w:ind w:left="1560" w:hanging="720"/>
      </w:pPr>
      <w:rPr>
        <w:b w:val="0"/>
        <w:color w:val="000000"/>
      </w:rPr>
    </w:lvl>
    <w:lvl w:ilvl="2" w:tentative="0">
      <w:start w:val="1"/>
      <w:numFmt w:val="chineseCountingThousand"/>
      <w:lvlText w:val="%3、"/>
      <w:lvlJc w:val="left"/>
      <w:pPr>
        <w:ind w:left="60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1">
    <w:nsid w:val="4ACE7CA3"/>
    <w:multiLevelType w:val="multilevel"/>
    <w:tmpl w:val="4ACE7CA3"/>
    <w:lvl w:ilvl="0" w:tentative="0">
      <w:start w:val="1"/>
      <w:numFmt w:val="decimal"/>
      <w:lvlText w:val="%1."/>
      <w:lvlJc w:val="left"/>
      <w:pPr>
        <w:ind w:left="700" w:hanging="420"/>
      </w:pPr>
    </w:lvl>
    <w:lvl w:ilvl="1" w:tentative="0">
      <w:start w:val="1"/>
      <w:numFmt w:val="lowerLetter"/>
      <w:lvlText w:val="%2)"/>
      <w:lvlJc w:val="left"/>
      <w:pPr>
        <w:ind w:left="1120" w:hanging="420"/>
      </w:pPr>
    </w:lvl>
    <w:lvl w:ilvl="2" w:tentative="0">
      <w:start w:val="1"/>
      <w:numFmt w:val="lowerRoman"/>
      <w:lvlText w:val="%3."/>
      <w:lvlJc w:val="right"/>
      <w:pPr>
        <w:ind w:left="1540" w:hanging="420"/>
      </w:pPr>
    </w:lvl>
    <w:lvl w:ilvl="3" w:tentative="0">
      <w:start w:val="1"/>
      <w:numFmt w:val="decimal"/>
      <w:lvlText w:val="%4."/>
      <w:lvlJc w:val="left"/>
      <w:pPr>
        <w:ind w:left="1960" w:hanging="420"/>
      </w:pPr>
    </w:lvl>
    <w:lvl w:ilvl="4" w:tentative="0">
      <w:start w:val="1"/>
      <w:numFmt w:val="lowerLetter"/>
      <w:lvlText w:val="%5)"/>
      <w:lvlJc w:val="left"/>
      <w:pPr>
        <w:ind w:left="2380" w:hanging="420"/>
      </w:pPr>
    </w:lvl>
    <w:lvl w:ilvl="5" w:tentative="0">
      <w:start w:val="1"/>
      <w:numFmt w:val="lowerRoman"/>
      <w:lvlText w:val="%6."/>
      <w:lvlJc w:val="right"/>
      <w:pPr>
        <w:ind w:left="2800" w:hanging="420"/>
      </w:pPr>
    </w:lvl>
    <w:lvl w:ilvl="6" w:tentative="0">
      <w:start w:val="1"/>
      <w:numFmt w:val="decimal"/>
      <w:lvlText w:val="%7."/>
      <w:lvlJc w:val="left"/>
      <w:pPr>
        <w:ind w:left="3220" w:hanging="420"/>
      </w:pPr>
    </w:lvl>
    <w:lvl w:ilvl="7" w:tentative="0">
      <w:start w:val="1"/>
      <w:numFmt w:val="lowerLetter"/>
      <w:lvlText w:val="%8)"/>
      <w:lvlJc w:val="left"/>
      <w:pPr>
        <w:ind w:left="3640" w:hanging="420"/>
      </w:pPr>
    </w:lvl>
    <w:lvl w:ilvl="8" w:tentative="0">
      <w:start w:val="1"/>
      <w:numFmt w:val="lowerRoman"/>
      <w:lvlText w:val="%9."/>
      <w:lvlJc w:val="right"/>
      <w:pPr>
        <w:ind w:left="4060" w:hanging="420"/>
      </w:pPr>
    </w:lvl>
  </w:abstractNum>
  <w:abstractNum w:abstractNumId="32">
    <w:nsid w:val="4C1635C4"/>
    <w:multiLevelType w:val="multilevel"/>
    <w:tmpl w:val="4C1635C4"/>
    <w:lvl w:ilvl="0" w:tentative="0">
      <w:start w:val="1"/>
      <w:numFmt w:val="chineseCountingThousand"/>
      <w:lvlText w:val="%1、"/>
      <w:lvlJc w:val="left"/>
      <w:pPr>
        <w:ind w:left="840" w:hanging="420"/>
      </w:pPr>
    </w:lvl>
    <w:lvl w:ilvl="1" w:tentative="0">
      <w:start w:val="1"/>
      <w:numFmt w:val="lowerLetter"/>
      <w:lvlText w:val="%2)"/>
      <w:lvlJc w:val="left"/>
      <w:pPr>
        <w:tabs>
          <w:tab w:val="left" w:pos="274"/>
        </w:tabs>
        <w:ind w:left="274" w:hanging="420"/>
      </w:pPr>
    </w:lvl>
    <w:lvl w:ilvl="2" w:tentative="0">
      <w:start w:val="1"/>
      <w:numFmt w:val="lowerRoman"/>
      <w:lvlText w:val="%3."/>
      <w:lvlJc w:val="right"/>
      <w:pPr>
        <w:tabs>
          <w:tab w:val="left" w:pos="694"/>
        </w:tabs>
        <w:ind w:left="694" w:hanging="420"/>
      </w:pPr>
    </w:lvl>
    <w:lvl w:ilvl="3" w:tentative="0">
      <w:start w:val="1"/>
      <w:numFmt w:val="decimal"/>
      <w:lvlText w:val="%4."/>
      <w:lvlJc w:val="left"/>
      <w:pPr>
        <w:tabs>
          <w:tab w:val="left" w:pos="1114"/>
        </w:tabs>
        <w:ind w:left="1114" w:hanging="420"/>
      </w:pPr>
    </w:lvl>
    <w:lvl w:ilvl="4" w:tentative="0">
      <w:start w:val="1"/>
      <w:numFmt w:val="lowerLetter"/>
      <w:lvlText w:val="%5)"/>
      <w:lvlJc w:val="left"/>
      <w:pPr>
        <w:tabs>
          <w:tab w:val="left" w:pos="1534"/>
        </w:tabs>
        <w:ind w:left="1534" w:hanging="420"/>
      </w:pPr>
    </w:lvl>
    <w:lvl w:ilvl="5" w:tentative="0">
      <w:start w:val="1"/>
      <w:numFmt w:val="lowerRoman"/>
      <w:lvlText w:val="%6."/>
      <w:lvlJc w:val="right"/>
      <w:pPr>
        <w:tabs>
          <w:tab w:val="left" w:pos="1954"/>
        </w:tabs>
        <w:ind w:left="1954" w:hanging="420"/>
      </w:pPr>
    </w:lvl>
    <w:lvl w:ilvl="6" w:tentative="0">
      <w:start w:val="1"/>
      <w:numFmt w:val="decimal"/>
      <w:lvlText w:val="%7."/>
      <w:lvlJc w:val="left"/>
      <w:pPr>
        <w:tabs>
          <w:tab w:val="left" w:pos="2374"/>
        </w:tabs>
        <w:ind w:left="2374" w:hanging="420"/>
      </w:pPr>
    </w:lvl>
    <w:lvl w:ilvl="7" w:tentative="0">
      <w:start w:val="1"/>
      <w:numFmt w:val="lowerLetter"/>
      <w:lvlText w:val="%8)"/>
      <w:lvlJc w:val="left"/>
      <w:pPr>
        <w:tabs>
          <w:tab w:val="left" w:pos="2794"/>
        </w:tabs>
        <w:ind w:left="2794" w:hanging="420"/>
      </w:pPr>
    </w:lvl>
    <w:lvl w:ilvl="8" w:tentative="0">
      <w:start w:val="1"/>
      <w:numFmt w:val="lowerRoman"/>
      <w:lvlText w:val="%9."/>
      <w:lvlJc w:val="right"/>
      <w:pPr>
        <w:tabs>
          <w:tab w:val="left" w:pos="3214"/>
        </w:tabs>
        <w:ind w:left="3214" w:hanging="420"/>
      </w:pPr>
    </w:lvl>
  </w:abstractNum>
  <w:abstractNum w:abstractNumId="33">
    <w:nsid w:val="4C72071B"/>
    <w:multiLevelType w:val="multilevel"/>
    <w:tmpl w:val="4C72071B"/>
    <w:lvl w:ilvl="0" w:tentative="0">
      <w:start w:val="1"/>
      <w:numFmt w:val="chineseCountingThousand"/>
      <w:lvlText w:val="%1、"/>
      <w:lvlJc w:val="left"/>
      <w:pPr>
        <w:ind w:left="420" w:hanging="420"/>
      </w:pPr>
      <w:rPr>
        <w:sz w:val="28"/>
      </w:rPr>
    </w:lvl>
    <w:lvl w:ilvl="1" w:tentative="0">
      <w:start w:val="1"/>
      <w:numFmt w:val="lowerLetter"/>
      <w:lvlText w:val="%2)"/>
      <w:lvlJc w:val="left"/>
      <w:pPr>
        <w:ind w:left="1406" w:hanging="420"/>
      </w:pPr>
    </w:lvl>
    <w:lvl w:ilvl="2" w:tentative="0">
      <w:start w:val="1"/>
      <w:numFmt w:val="lowerRoman"/>
      <w:lvlText w:val="%3."/>
      <w:lvlJc w:val="right"/>
      <w:pPr>
        <w:ind w:left="1826" w:hanging="420"/>
      </w:pPr>
    </w:lvl>
    <w:lvl w:ilvl="3" w:tentative="0">
      <w:start w:val="1"/>
      <w:numFmt w:val="decimal"/>
      <w:lvlText w:val="%4."/>
      <w:lvlJc w:val="left"/>
      <w:pPr>
        <w:ind w:left="2246" w:hanging="420"/>
      </w:pPr>
    </w:lvl>
    <w:lvl w:ilvl="4" w:tentative="0">
      <w:start w:val="1"/>
      <w:numFmt w:val="lowerLetter"/>
      <w:lvlText w:val="%5)"/>
      <w:lvlJc w:val="left"/>
      <w:pPr>
        <w:ind w:left="2666" w:hanging="420"/>
      </w:pPr>
    </w:lvl>
    <w:lvl w:ilvl="5" w:tentative="0">
      <w:start w:val="1"/>
      <w:numFmt w:val="lowerRoman"/>
      <w:lvlText w:val="%6."/>
      <w:lvlJc w:val="right"/>
      <w:pPr>
        <w:ind w:left="3086" w:hanging="420"/>
      </w:pPr>
    </w:lvl>
    <w:lvl w:ilvl="6" w:tentative="0">
      <w:start w:val="1"/>
      <w:numFmt w:val="decimal"/>
      <w:lvlText w:val="%7."/>
      <w:lvlJc w:val="left"/>
      <w:pPr>
        <w:ind w:left="3506" w:hanging="420"/>
      </w:pPr>
    </w:lvl>
    <w:lvl w:ilvl="7" w:tentative="0">
      <w:start w:val="1"/>
      <w:numFmt w:val="lowerLetter"/>
      <w:lvlText w:val="%8)"/>
      <w:lvlJc w:val="left"/>
      <w:pPr>
        <w:ind w:left="3926" w:hanging="420"/>
      </w:pPr>
    </w:lvl>
    <w:lvl w:ilvl="8" w:tentative="0">
      <w:start w:val="1"/>
      <w:numFmt w:val="lowerRoman"/>
      <w:lvlText w:val="%9."/>
      <w:lvlJc w:val="right"/>
      <w:pPr>
        <w:ind w:left="4346" w:hanging="420"/>
      </w:pPr>
    </w:lvl>
  </w:abstractNum>
  <w:abstractNum w:abstractNumId="34">
    <w:nsid w:val="4FB51517"/>
    <w:multiLevelType w:val="singleLevel"/>
    <w:tmpl w:val="4FB51517"/>
    <w:lvl w:ilvl="0" w:tentative="0">
      <w:start w:val="1"/>
      <w:numFmt w:val="decimal"/>
      <w:lvlText w:val="%1."/>
      <w:lvlJc w:val="left"/>
      <w:pPr>
        <w:ind w:left="425" w:hanging="425"/>
      </w:pPr>
      <w:rPr>
        <w:rFonts w:hint="default"/>
      </w:rPr>
    </w:lvl>
  </w:abstractNum>
  <w:abstractNum w:abstractNumId="35">
    <w:nsid w:val="50841406"/>
    <w:multiLevelType w:val="multilevel"/>
    <w:tmpl w:val="50841406"/>
    <w:lvl w:ilvl="0" w:tentative="0">
      <w:start w:val="1"/>
      <w:numFmt w:val="japaneseCounting"/>
      <w:lvlText w:val="%1、"/>
      <w:lvlJc w:val="left"/>
      <w:pPr>
        <w:ind w:left="5965" w:hanging="720"/>
      </w:pPr>
      <w:rPr>
        <w:rFonts w:hint="default" w:ascii="宋体" w:hAnsi="宋体" w:eastAsia="宋体"/>
        <w:b w:val="0"/>
        <w:sz w:val="28"/>
        <w:szCs w:val="28"/>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36">
    <w:nsid w:val="50F471D7"/>
    <w:multiLevelType w:val="multilevel"/>
    <w:tmpl w:val="50F471D7"/>
    <w:lvl w:ilvl="0" w:tentative="0">
      <w:start w:val="1"/>
      <w:numFmt w:val="chineseCountingThousand"/>
      <w:suff w:val="nothing"/>
      <w:lvlText w:val="%1、"/>
      <w:lvlJc w:val="left"/>
      <w:pPr>
        <w:ind w:left="1270" w:hanging="420"/>
      </w:pPr>
      <w:rPr>
        <w:b/>
      </w:rPr>
    </w:lvl>
    <w:lvl w:ilvl="1" w:tentative="0">
      <w:start w:val="1"/>
      <w:numFmt w:val="chineseCountingThousand"/>
      <w:lvlText w:val="(%2)"/>
      <w:lvlJc w:val="left"/>
      <w:pPr>
        <w:tabs>
          <w:tab w:val="left" w:pos="1130"/>
        </w:tabs>
        <w:ind w:left="1130" w:hanging="420"/>
      </w:pPr>
      <w:rPr>
        <w:b w:val="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7">
    <w:nsid w:val="53F22A82"/>
    <w:multiLevelType w:val="multilevel"/>
    <w:tmpl w:val="53F22A82"/>
    <w:lvl w:ilvl="0" w:tentative="0">
      <w:start w:val="1"/>
      <w:numFmt w:val="chineseCountingThousand"/>
      <w:lvlText w:val="(%1)"/>
      <w:lvlJc w:val="left"/>
      <w:pPr>
        <w:ind w:left="900" w:hanging="420"/>
      </w:pPr>
      <w:rPr>
        <w:sz w:val="28"/>
        <w:szCs w:val="28"/>
      </w:rPr>
    </w:lvl>
    <w:lvl w:ilvl="1" w:tentative="0">
      <w:start w:val="1"/>
      <w:numFmt w:val="chineseCountingThousand"/>
      <w:lvlText w:val="(%2)"/>
      <w:lvlJc w:val="left"/>
      <w:pPr>
        <w:ind w:left="1320" w:hanging="420"/>
      </w:pPr>
      <w:rPr>
        <w:sz w:val="28"/>
        <w:szCs w:val="28"/>
      </w:rPr>
    </w:lvl>
    <w:lvl w:ilvl="2" w:tentative="0">
      <w:start w:val="1"/>
      <w:numFmt w:val="decimalEnclosedCircle"/>
      <w:lvlText w:val="%3"/>
      <w:lvlJc w:val="left"/>
      <w:pPr>
        <w:ind w:left="1680" w:hanging="360"/>
      </w:pPr>
      <w:rPr>
        <w:rFonts w:hint="eastAsia" w:ascii="宋体" w:hAnsi="Times New Roman" w:eastAsia="宋体" w:cs="Times New Roman"/>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8">
    <w:nsid w:val="6049BFBE"/>
    <w:multiLevelType w:val="singleLevel"/>
    <w:tmpl w:val="6049BFBE"/>
    <w:lvl w:ilvl="0" w:tentative="0">
      <w:start w:val="1"/>
      <w:numFmt w:val="decimal"/>
      <w:suff w:val="nothing"/>
      <w:lvlText w:val="%1."/>
      <w:lvlJc w:val="left"/>
    </w:lvl>
  </w:abstractNum>
  <w:abstractNum w:abstractNumId="39">
    <w:nsid w:val="60642B38"/>
    <w:multiLevelType w:val="multilevel"/>
    <w:tmpl w:val="60642B38"/>
    <w:lvl w:ilvl="0" w:tentative="0">
      <w:start w:val="1"/>
      <w:numFmt w:val="chineseCountingThousand"/>
      <w:lvlText w:val="%1、"/>
      <w:lvlJc w:val="left"/>
      <w:pPr>
        <w:ind w:left="840" w:hanging="420"/>
      </w:pPr>
    </w:lvl>
    <w:lvl w:ilvl="1" w:tentative="0">
      <w:start w:val="1"/>
      <w:numFmt w:val="lowerLetter"/>
      <w:lvlText w:val="%2)"/>
      <w:lvlJc w:val="left"/>
      <w:pPr>
        <w:tabs>
          <w:tab w:val="left" w:pos="274"/>
        </w:tabs>
        <w:ind w:left="274" w:hanging="420"/>
      </w:pPr>
    </w:lvl>
    <w:lvl w:ilvl="2" w:tentative="0">
      <w:start w:val="1"/>
      <w:numFmt w:val="lowerRoman"/>
      <w:lvlText w:val="%3."/>
      <w:lvlJc w:val="right"/>
      <w:pPr>
        <w:tabs>
          <w:tab w:val="left" w:pos="694"/>
        </w:tabs>
        <w:ind w:left="694" w:hanging="420"/>
      </w:pPr>
    </w:lvl>
    <w:lvl w:ilvl="3" w:tentative="0">
      <w:start w:val="1"/>
      <w:numFmt w:val="decimal"/>
      <w:lvlText w:val="%4."/>
      <w:lvlJc w:val="left"/>
      <w:pPr>
        <w:tabs>
          <w:tab w:val="left" w:pos="1114"/>
        </w:tabs>
        <w:ind w:left="1114" w:hanging="420"/>
      </w:pPr>
    </w:lvl>
    <w:lvl w:ilvl="4" w:tentative="0">
      <w:start w:val="1"/>
      <w:numFmt w:val="lowerLetter"/>
      <w:lvlText w:val="%5)"/>
      <w:lvlJc w:val="left"/>
      <w:pPr>
        <w:tabs>
          <w:tab w:val="left" w:pos="1534"/>
        </w:tabs>
        <w:ind w:left="1534" w:hanging="420"/>
      </w:pPr>
    </w:lvl>
    <w:lvl w:ilvl="5" w:tentative="0">
      <w:start w:val="1"/>
      <w:numFmt w:val="lowerRoman"/>
      <w:lvlText w:val="%6."/>
      <w:lvlJc w:val="right"/>
      <w:pPr>
        <w:tabs>
          <w:tab w:val="left" w:pos="1954"/>
        </w:tabs>
        <w:ind w:left="1954" w:hanging="420"/>
      </w:pPr>
    </w:lvl>
    <w:lvl w:ilvl="6" w:tentative="0">
      <w:start w:val="1"/>
      <w:numFmt w:val="decimal"/>
      <w:lvlText w:val="%7."/>
      <w:lvlJc w:val="left"/>
      <w:pPr>
        <w:tabs>
          <w:tab w:val="left" w:pos="2374"/>
        </w:tabs>
        <w:ind w:left="2374" w:hanging="420"/>
      </w:pPr>
    </w:lvl>
    <w:lvl w:ilvl="7" w:tentative="0">
      <w:start w:val="1"/>
      <w:numFmt w:val="lowerLetter"/>
      <w:lvlText w:val="%8)"/>
      <w:lvlJc w:val="left"/>
      <w:pPr>
        <w:tabs>
          <w:tab w:val="left" w:pos="2794"/>
        </w:tabs>
        <w:ind w:left="2794" w:hanging="420"/>
      </w:pPr>
    </w:lvl>
    <w:lvl w:ilvl="8" w:tentative="0">
      <w:start w:val="1"/>
      <w:numFmt w:val="lowerRoman"/>
      <w:lvlText w:val="%9."/>
      <w:lvlJc w:val="right"/>
      <w:pPr>
        <w:tabs>
          <w:tab w:val="left" w:pos="3214"/>
        </w:tabs>
        <w:ind w:left="3214" w:hanging="420"/>
      </w:pPr>
    </w:lvl>
  </w:abstractNum>
  <w:abstractNum w:abstractNumId="40">
    <w:nsid w:val="617229B6"/>
    <w:multiLevelType w:val="multilevel"/>
    <w:tmpl w:val="617229B6"/>
    <w:lvl w:ilvl="0" w:tentative="0">
      <w:start w:val="1"/>
      <w:numFmt w:val="chineseCountingThousand"/>
      <w:lvlText w:val="%1、"/>
      <w:lvlJc w:val="left"/>
      <w:pPr>
        <w:ind w:left="966" w:hanging="420"/>
      </w:pPr>
      <w:rPr>
        <w:color w:val="auto"/>
      </w:rPr>
    </w:lvl>
    <w:lvl w:ilvl="1" w:tentative="0">
      <w:start w:val="1"/>
      <w:numFmt w:val="lowerLetter"/>
      <w:lvlText w:val="%2)"/>
      <w:lvlJc w:val="left"/>
      <w:pPr>
        <w:ind w:left="1386" w:hanging="420"/>
      </w:pPr>
    </w:lvl>
    <w:lvl w:ilvl="2" w:tentative="0">
      <w:start w:val="1"/>
      <w:numFmt w:val="lowerRoman"/>
      <w:lvlText w:val="%3."/>
      <w:lvlJc w:val="right"/>
      <w:pPr>
        <w:ind w:left="1806" w:hanging="420"/>
      </w:pPr>
    </w:lvl>
    <w:lvl w:ilvl="3" w:tentative="0">
      <w:start w:val="1"/>
      <w:numFmt w:val="decimal"/>
      <w:lvlText w:val="%4."/>
      <w:lvlJc w:val="left"/>
      <w:pPr>
        <w:ind w:left="2226" w:hanging="420"/>
      </w:pPr>
    </w:lvl>
    <w:lvl w:ilvl="4" w:tentative="0">
      <w:start w:val="1"/>
      <w:numFmt w:val="lowerLetter"/>
      <w:lvlText w:val="%5)"/>
      <w:lvlJc w:val="left"/>
      <w:pPr>
        <w:ind w:left="2646" w:hanging="420"/>
      </w:pPr>
    </w:lvl>
    <w:lvl w:ilvl="5" w:tentative="0">
      <w:start w:val="1"/>
      <w:numFmt w:val="lowerRoman"/>
      <w:lvlText w:val="%6."/>
      <w:lvlJc w:val="right"/>
      <w:pPr>
        <w:ind w:left="3066" w:hanging="420"/>
      </w:pPr>
    </w:lvl>
    <w:lvl w:ilvl="6" w:tentative="0">
      <w:start w:val="1"/>
      <w:numFmt w:val="decimal"/>
      <w:lvlText w:val="%7."/>
      <w:lvlJc w:val="left"/>
      <w:pPr>
        <w:ind w:left="3486" w:hanging="420"/>
      </w:pPr>
    </w:lvl>
    <w:lvl w:ilvl="7" w:tentative="0">
      <w:start w:val="1"/>
      <w:numFmt w:val="lowerLetter"/>
      <w:lvlText w:val="%8)"/>
      <w:lvlJc w:val="left"/>
      <w:pPr>
        <w:ind w:left="3906" w:hanging="420"/>
      </w:pPr>
    </w:lvl>
    <w:lvl w:ilvl="8" w:tentative="0">
      <w:start w:val="1"/>
      <w:numFmt w:val="lowerRoman"/>
      <w:lvlText w:val="%9."/>
      <w:lvlJc w:val="right"/>
      <w:pPr>
        <w:ind w:left="4326" w:hanging="420"/>
      </w:pPr>
    </w:lvl>
  </w:abstractNum>
  <w:abstractNum w:abstractNumId="41">
    <w:nsid w:val="61FA781F"/>
    <w:multiLevelType w:val="multilevel"/>
    <w:tmpl w:val="61FA781F"/>
    <w:lvl w:ilvl="0" w:tentative="0">
      <w:start w:val="1"/>
      <w:numFmt w:val="chineseCountingThousand"/>
      <w:lvlText w:val="%1、"/>
      <w:lvlJc w:val="left"/>
      <w:pPr>
        <w:ind w:left="840" w:hanging="420"/>
      </w:pPr>
    </w:lvl>
    <w:lvl w:ilvl="1" w:tentative="0">
      <w:start w:val="1"/>
      <w:numFmt w:val="lowerLetter"/>
      <w:lvlText w:val="%2)"/>
      <w:lvlJc w:val="left"/>
      <w:pPr>
        <w:tabs>
          <w:tab w:val="left" w:pos="274"/>
        </w:tabs>
        <w:ind w:left="274" w:hanging="420"/>
      </w:pPr>
    </w:lvl>
    <w:lvl w:ilvl="2" w:tentative="0">
      <w:start w:val="1"/>
      <w:numFmt w:val="lowerRoman"/>
      <w:lvlText w:val="%3."/>
      <w:lvlJc w:val="right"/>
      <w:pPr>
        <w:tabs>
          <w:tab w:val="left" w:pos="694"/>
        </w:tabs>
        <w:ind w:left="694" w:hanging="420"/>
      </w:pPr>
    </w:lvl>
    <w:lvl w:ilvl="3" w:tentative="0">
      <w:start w:val="1"/>
      <w:numFmt w:val="decimal"/>
      <w:lvlText w:val="%4."/>
      <w:lvlJc w:val="left"/>
      <w:pPr>
        <w:tabs>
          <w:tab w:val="left" w:pos="1114"/>
        </w:tabs>
        <w:ind w:left="1114" w:hanging="420"/>
      </w:pPr>
    </w:lvl>
    <w:lvl w:ilvl="4" w:tentative="0">
      <w:start w:val="1"/>
      <w:numFmt w:val="lowerLetter"/>
      <w:lvlText w:val="%5)"/>
      <w:lvlJc w:val="left"/>
      <w:pPr>
        <w:tabs>
          <w:tab w:val="left" w:pos="1534"/>
        </w:tabs>
        <w:ind w:left="1534" w:hanging="420"/>
      </w:pPr>
    </w:lvl>
    <w:lvl w:ilvl="5" w:tentative="0">
      <w:start w:val="1"/>
      <w:numFmt w:val="lowerRoman"/>
      <w:lvlText w:val="%6."/>
      <w:lvlJc w:val="right"/>
      <w:pPr>
        <w:tabs>
          <w:tab w:val="left" w:pos="1954"/>
        </w:tabs>
        <w:ind w:left="1954" w:hanging="420"/>
      </w:pPr>
    </w:lvl>
    <w:lvl w:ilvl="6" w:tentative="0">
      <w:start w:val="1"/>
      <w:numFmt w:val="decimal"/>
      <w:lvlText w:val="%7."/>
      <w:lvlJc w:val="left"/>
      <w:pPr>
        <w:tabs>
          <w:tab w:val="left" w:pos="2374"/>
        </w:tabs>
        <w:ind w:left="2374" w:hanging="420"/>
      </w:pPr>
    </w:lvl>
    <w:lvl w:ilvl="7" w:tentative="0">
      <w:start w:val="1"/>
      <w:numFmt w:val="lowerLetter"/>
      <w:lvlText w:val="%8)"/>
      <w:lvlJc w:val="left"/>
      <w:pPr>
        <w:tabs>
          <w:tab w:val="left" w:pos="2794"/>
        </w:tabs>
        <w:ind w:left="2794" w:hanging="420"/>
      </w:pPr>
    </w:lvl>
    <w:lvl w:ilvl="8" w:tentative="0">
      <w:start w:val="1"/>
      <w:numFmt w:val="lowerRoman"/>
      <w:lvlText w:val="%9."/>
      <w:lvlJc w:val="right"/>
      <w:pPr>
        <w:tabs>
          <w:tab w:val="left" w:pos="3214"/>
        </w:tabs>
        <w:ind w:left="3214" w:hanging="420"/>
      </w:pPr>
    </w:lvl>
  </w:abstractNum>
  <w:abstractNum w:abstractNumId="42">
    <w:nsid w:val="638064AA"/>
    <w:multiLevelType w:val="multilevel"/>
    <w:tmpl w:val="638064AA"/>
    <w:lvl w:ilvl="0" w:tentative="0">
      <w:start w:val="1"/>
      <w:numFmt w:val="japaneseCounting"/>
      <w:lvlText w:val="%1、"/>
      <w:lvlJc w:val="left"/>
      <w:pPr>
        <w:ind w:left="2282" w:hanging="1005"/>
      </w:pPr>
      <w:rPr>
        <w:lang w:val="en-US"/>
      </w:rPr>
    </w:lvl>
    <w:lvl w:ilvl="1" w:tentative="0">
      <w:start w:val="1"/>
      <w:numFmt w:val="chineseCountingThousand"/>
      <w:lvlText w:val="(%2)"/>
      <w:lvlJc w:val="left"/>
      <w:pPr>
        <w:ind w:left="987" w:hanging="420"/>
      </w:pPr>
    </w:lvl>
    <w:lvl w:ilvl="2" w:tentative="0">
      <w:start w:val="1"/>
      <w:numFmt w:val="lowerRoman"/>
      <w:lvlText w:val="%3."/>
      <w:lvlJc w:val="right"/>
      <w:pPr>
        <w:ind w:left="1826" w:hanging="420"/>
      </w:pPr>
    </w:lvl>
    <w:lvl w:ilvl="3" w:tentative="0">
      <w:start w:val="1"/>
      <w:numFmt w:val="decimal"/>
      <w:lvlText w:val="%4."/>
      <w:lvlJc w:val="left"/>
      <w:pPr>
        <w:ind w:left="2246" w:hanging="420"/>
      </w:pPr>
    </w:lvl>
    <w:lvl w:ilvl="4" w:tentative="0">
      <w:start w:val="1"/>
      <w:numFmt w:val="lowerLetter"/>
      <w:lvlText w:val="%5)"/>
      <w:lvlJc w:val="left"/>
      <w:pPr>
        <w:ind w:left="2666" w:hanging="420"/>
      </w:pPr>
    </w:lvl>
    <w:lvl w:ilvl="5" w:tentative="0">
      <w:start w:val="1"/>
      <w:numFmt w:val="lowerRoman"/>
      <w:lvlText w:val="%6."/>
      <w:lvlJc w:val="right"/>
      <w:pPr>
        <w:ind w:left="3086" w:hanging="420"/>
      </w:pPr>
    </w:lvl>
    <w:lvl w:ilvl="6" w:tentative="0">
      <w:start w:val="1"/>
      <w:numFmt w:val="decimal"/>
      <w:lvlText w:val="%7."/>
      <w:lvlJc w:val="left"/>
      <w:pPr>
        <w:ind w:left="3506" w:hanging="420"/>
      </w:pPr>
    </w:lvl>
    <w:lvl w:ilvl="7" w:tentative="0">
      <w:start w:val="1"/>
      <w:numFmt w:val="lowerLetter"/>
      <w:lvlText w:val="%8)"/>
      <w:lvlJc w:val="left"/>
      <w:pPr>
        <w:ind w:left="3926" w:hanging="420"/>
      </w:pPr>
    </w:lvl>
    <w:lvl w:ilvl="8" w:tentative="0">
      <w:start w:val="1"/>
      <w:numFmt w:val="lowerRoman"/>
      <w:lvlText w:val="%9."/>
      <w:lvlJc w:val="right"/>
      <w:pPr>
        <w:ind w:left="4346" w:hanging="420"/>
      </w:pPr>
    </w:lvl>
  </w:abstractNum>
  <w:abstractNum w:abstractNumId="43">
    <w:nsid w:val="6F5B4150"/>
    <w:multiLevelType w:val="multilevel"/>
    <w:tmpl w:val="6F5B4150"/>
    <w:lvl w:ilvl="0" w:tentative="0">
      <w:start w:val="1"/>
      <w:numFmt w:val="chineseCountingThousand"/>
      <w:lvlText w:val="%1、"/>
      <w:lvlJc w:val="left"/>
      <w:pPr>
        <w:ind w:left="846" w:hanging="420"/>
      </w:pPr>
      <w:rPr>
        <w:rFonts w:hint="eastAsia"/>
        <w:b/>
        <w:sz w:val="24"/>
        <w:szCs w:val="24"/>
      </w:rPr>
    </w:lvl>
    <w:lvl w:ilvl="1" w:tentative="0">
      <w:start w:val="1"/>
      <w:numFmt w:val="lowerLetter"/>
      <w:lvlText w:val="%2)"/>
      <w:lvlJc w:val="left"/>
      <w:pPr>
        <w:ind w:left="-3289" w:hanging="420"/>
      </w:pPr>
    </w:lvl>
    <w:lvl w:ilvl="2" w:tentative="0">
      <w:start w:val="1"/>
      <w:numFmt w:val="lowerRoman"/>
      <w:lvlText w:val="%3."/>
      <w:lvlJc w:val="right"/>
      <w:pPr>
        <w:ind w:left="-2869" w:hanging="420"/>
      </w:pPr>
    </w:lvl>
    <w:lvl w:ilvl="3" w:tentative="0">
      <w:start w:val="1"/>
      <w:numFmt w:val="decimal"/>
      <w:lvlText w:val="%4."/>
      <w:lvlJc w:val="left"/>
      <w:pPr>
        <w:ind w:left="-2449" w:hanging="420"/>
      </w:pPr>
    </w:lvl>
    <w:lvl w:ilvl="4" w:tentative="0">
      <w:start w:val="1"/>
      <w:numFmt w:val="lowerLetter"/>
      <w:lvlText w:val="%5)"/>
      <w:lvlJc w:val="left"/>
      <w:pPr>
        <w:ind w:left="-2029" w:hanging="420"/>
      </w:pPr>
    </w:lvl>
    <w:lvl w:ilvl="5" w:tentative="0">
      <w:start w:val="1"/>
      <w:numFmt w:val="lowerRoman"/>
      <w:lvlText w:val="%6."/>
      <w:lvlJc w:val="right"/>
      <w:pPr>
        <w:ind w:left="-1609" w:hanging="420"/>
      </w:pPr>
    </w:lvl>
    <w:lvl w:ilvl="6" w:tentative="0">
      <w:start w:val="1"/>
      <w:numFmt w:val="decimal"/>
      <w:lvlText w:val="%7."/>
      <w:lvlJc w:val="left"/>
      <w:pPr>
        <w:ind w:left="-1189" w:hanging="420"/>
      </w:pPr>
    </w:lvl>
    <w:lvl w:ilvl="7" w:tentative="0">
      <w:start w:val="1"/>
      <w:numFmt w:val="lowerLetter"/>
      <w:lvlText w:val="%8)"/>
      <w:lvlJc w:val="left"/>
      <w:pPr>
        <w:ind w:left="-769" w:hanging="420"/>
      </w:pPr>
    </w:lvl>
    <w:lvl w:ilvl="8" w:tentative="0">
      <w:start w:val="1"/>
      <w:numFmt w:val="lowerRoman"/>
      <w:lvlText w:val="%9."/>
      <w:lvlJc w:val="right"/>
      <w:pPr>
        <w:ind w:left="-349" w:hanging="420"/>
      </w:pPr>
    </w:lvl>
  </w:abstractNum>
  <w:abstractNum w:abstractNumId="44">
    <w:nsid w:val="716F767A"/>
    <w:multiLevelType w:val="multilevel"/>
    <w:tmpl w:val="716F767A"/>
    <w:lvl w:ilvl="0" w:tentative="0">
      <w:start w:val="1"/>
      <w:numFmt w:val="chineseCountingThousand"/>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45">
    <w:nsid w:val="75656F13"/>
    <w:multiLevelType w:val="multilevel"/>
    <w:tmpl w:val="75656F13"/>
    <w:lvl w:ilvl="0" w:tentative="0">
      <w:start w:val="1"/>
      <w:numFmt w:val="chineseCountingThousand"/>
      <w:lvlText w:val="(%1)"/>
      <w:lvlJc w:val="left"/>
      <w:pPr>
        <w:tabs>
          <w:tab w:val="left" w:pos="846"/>
        </w:tabs>
        <w:ind w:left="846" w:hanging="420"/>
      </w:pPr>
    </w:lvl>
    <w:lvl w:ilvl="1" w:tentative="0">
      <w:start w:val="1"/>
      <w:numFmt w:val="lowerLetter"/>
      <w:lvlText w:val="%2)"/>
      <w:lvlJc w:val="left"/>
      <w:pPr>
        <w:ind w:left="1406" w:hanging="420"/>
      </w:pPr>
    </w:lvl>
    <w:lvl w:ilvl="2" w:tentative="0">
      <w:start w:val="1"/>
      <w:numFmt w:val="lowerRoman"/>
      <w:lvlText w:val="%3."/>
      <w:lvlJc w:val="right"/>
      <w:pPr>
        <w:ind w:left="1826" w:hanging="420"/>
      </w:pPr>
    </w:lvl>
    <w:lvl w:ilvl="3" w:tentative="0">
      <w:start w:val="1"/>
      <w:numFmt w:val="decimal"/>
      <w:lvlText w:val="%4."/>
      <w:lvlJc w:val="left"/>
      <w:pPr>
        <w:ind w:left="2246" w:hanging="420"/>
      </w:pPr>
    </w:lvl>
    <w:lvl w:ilvl="4" w:tentative="0">
      <w:start w:val="1"/>
      <w:numFmt w:val="lowerLetter"/>
      <w:lvlText w:val="%5)"/>
      <w:lvlJc w:val="left"/>
      <w:pPr>
        <w:ind w:left="2666" w:hanging="420"/>
      </w:pPr>
    </w:lvl>
    <w:lvl w:ilvl="5" w:tentative="0">
      <w:start w:val="1"/>
      <w:numFmt w:val="lowerRoman"/>
      <w:lvlText w:val="%6."/>
      <w:lvlJc w:val="right"/>
      <w:pPr>
        <w:ind w:left="3086" w:hanging="420"/>
      </w:pPr>
    </w:lvl>
    <w:lvl w:ilvl="6" w:tentative="0">
      <w:start w:val="1"/>
      <w:numFmt w:val="decimal"/>
      <w:lvlText w:val="%7."/>
      <w:lvlJc w:val="left"/>
      <w:pPr>
        <w:ind w:left="3506" w:hanging="420"/>
      </w:pPr>
    </w:lvl>
    <w:lvl w:ilvl="7" w:tentative="0">
      <w:start w:val="1"/>
      <w:numFmt w:val="lowerLetter"/>
      <w:lvlText w:val="%8)"/>
      <w:lvlJc w:val="left"/>
      <w:pPr>
        <w:ind w:left="3926" w:hanging="420"/>
      </w:pPr>
    </w:lvl>
    <w:lvl w:ilvl="8" w:tentative="0">
      <w:start w:val="1"/>
      <w:numFmt w:val="lowerRoman"/>
      <w:lvlText w:val="%9."/>
      <w:lvlJc w:val="right"/>
      <w:pPr>
        <w:ind w:left="4346" w:hanging="420"/>
      </w:pPr>
    </w:lvl>
  </w:abstractNum>
  <w:abstractNum w:abstractNumId="46">
    <w:nsid w:val="789D00AF"/>
    <w:multiLevelType w:val="multilevel"/>
    <w:tmpl w:val="789D00AF"/>
    <w:lvl w:ilvl="0" w:tentative="0">
      <w:start w:val="1"/>
      <w:numFmt w:val="chineseCountingThousand"/>
      <w:lvlText w:val="(%1)"/>
      <w:lvlJc w:val="left"/>
      <w:pPr>
        <w:ind w:left="972" w:hanging="420"/>
      </w:pPr>
      <w:rPr>
        <w:b w:val="0"/>
      </w:rPr>
    </w:lvl>
    <w:lvl w:ilvl="1" w:tentative="0">
      <w:start w:val="1"/>
      <w:numFmt w:val="lowerLetter"/>
      <w:lvlText w:val="%2)"/>
      <w:lvlJc w:val="left"/>
      <w:pPr>
        <w:ind w:left="1392" w:hanging="420"/>
      </w:pPr>
    </w:lvl>
    <w:lvl w:ilvl="2" w:tentative="0">
      <w:start w:val="1"/>
      <w:numFmt w:val="lowerRoman"/>
      <w:lvlText w:val="%3."/>
      <w:lvlJc w:val="right"/>
      <w:pPr>
        <w:ind w:left="1812" w:hanging="420"/>
      </w:pPr>
    </w:lvl>
    <w:lvl w:ilvl="3" w:tentative="0">
      <w:start w:val="1"/>
      <w:numFmt w:val="decimal"/>
      <w:lvlText w:val="%4."/>
      <w:lvlJc w:val="left"/>
      <w:pPr>
        <w:ind w:left="2232" w:hanging="420"/>
      </w:pPr>
    </w:lvl>
    <w:lvl w:ilvl="4" w:tentative="0">
      <w:start w:val="1"/>
      <w:numFmt w:val="lowerLetter"/>
      <w:lvlText w:val="%5)"/>
      <w:lvlJc w:val="left"/>
      <w:pPr>
        <w:ind w:left="2652" w:hanging="420"/>
      </w:pPr>
    </w:lvl>
    <w:lvl w:ilvl="5" w:tentative="0">
      <w:start w:val="1"/>
      <w:numFmt w:val="lowerRoman"/>
      <w:lvlText w:val="%6."/>
      <w:lvlJc w:val="right"/>
      <w:pPr>
        <w:ind w:left="3072" w:hanging="420"/>
      </w:pPr>
    </w:lvl>
    <w:lvl w:ilvl="6" w:tentative="0">
      <w:start w:val="1"/>
      <w:numFmt w:val="decimal"/>
      <w:lvlText w:val="%7."/>
      <w:lvlJc w:val="left"/>
      <w:pPr>
        <w:ind w:left="3492" w:hanging="420"/>
      </w:pPr>
    </w:lvl>
    <w:lvl w:ilvl="7" w:tentative="0">
      <w:start w:val="1"/>
      <w:numFmt w:val="lowerLetter"/>
      <w:lvlText w:val="%8)"/>
      <w:lvlJc w:val="left"/>
      <w:pPr>
        <w:ind w:left="3912" w:hanging="420"/>
      </w:pPr>
    </w:lvl>
    <w:lvl w:ilvl="8" w:tentative="0">
      <w:start w:val="1"/>
      <w:numFmt w:val="lowerRoman"/>
      <w:lvlText w:val="%9."/>
      <w:lvlJc w:val="right"/>
      <w:pPr>
        <w:ind w:left="4332" w:hanging="420"/>
      </w:pPr>
    </w:lvl>
  </w:abstractNum>
  <w:abstractNum w:abstractNumId="47">
    <w:nsid w:val="7B511F5D"/>
    <w:multiLevelType w:val="multilevel"/>
    <w:tmpl w:val="7B511F5D"/>
    <w:lvl w:ilvl="0" w:tentative="0">
      <w:start w:val="1"/>
      <w:numFmt w:val="japaneseCounting"/>
      <w:lvlText w:val="%1、"/>
      <w:lvlJc w:val="left"/>
      <w:pPr>
        <w:ind w:left="1140" w:hanging="720"/>
      </w:pPr>
      <w:rPr>
        <w:rFonts w:hint="default"/>
        <w:lang w:val="en-US"/>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8">
    <w:nsid w:val="7F511D7D"/>
    <w:multiLevelType w:val="multilevel"/>
    <w:tmpl w:val="7F511D7D"/>
    <w:lvl w:ilvl="0" w:tentative="0">
      <w:start w:val="1"/>
      <w:numFmt w:val="chineseCountingThousand"/>
      <w:lvlText w:val="%1、"/>
      <w:lvlJc w:val="left"/>
      <w:pPr>
        <w:ind w:left="988" w:hanging="420"/>
      </w:pPr>
      <w:rPr>
        <w:sz w:val="28"/>
        <w:szCs w:val="28"/>
      </w:rPr>
    </w:lvl>
    <w:lvl w:ilvl="1" w:tentative="0">
      <w:start w:val="1"/>
      <w:numFmt w:val="decimal"/>
      <w:isLgl/>
      <w:lvlText w:val="%1.%2"/>
      <w:lvlJc w:val="left"/>
      <w:pPr>
        <w:ind w:left="1528" w:hanging="960"/>
      </w:pPr>
    </w:lvl>
    <w:lvl w:ilvl="2" w:tentative="0">
      <w:start w:val="1"/>
      <w:numFmt w:val="decimal"/>
      <w:isLgl/>
      <w:lvlText w:val="%1.%2.%3"/>
      <w:lvlJc w:val="left"/>
      <w:pPr>
        <w:ind w:left="1528" w:hanging="960"/>
      </w:pPr>
    </w:lvl>
    <w:lvl w:ilvl="3" w:tentative="0">
      <w:start w:val="1"/>
      <w:numFmt w:val="decimal"/>
      <w:isLgl/>
      <w:lvlText w:val="%1.%2.%3.%4"/>
      <w:lvlJc w:val="left"/>
      <w:pPr>
        <w:ind w:left="1648" w:hanging="1080"/>
      </w:pPr>
    </w:lvl>
    <w:lvl w:ilvl="4" w:tentative="0">
      <w:start w:val="1"/>
      <w:numFmt w:val="decimal"/>
      <w:isLgl/>
      <w:lvlText w:val="%1.%2.%3.%4.%5"/>
      <w:lvlJc w:val="left"/>
      <w:pPr>
        <w:ind w:left="1648" w:hanging="1080"/>
      </w:pPr>
    </w:lvl>
    <w:lvl w:ilvl="5" w:tentative="0">
      <w:start w:val="1"/>
      <w:numFmt w:val="decimal"/>
      <w:isLgl/>
      <w:lvlText w:val="%1.%2.%3.%4.%5.%6"/>
      <w:lvlJc w:val="left"/>
      <w:pPr>
        <w:ind w:left="2008" w:hanging="1440"/>
      </w:pPr>
    </w:lvl>
    <w:lvl w:ilvl="6" w:tentative="0">
      <w:start w:val="1"/>
      <w:numFmt w:val="decimal"/>
      <w:isLgl/>
      <w:lvlText w:val="%1.%2.%3.%4.%5.%6.%7"/>
      <w:lvlJc w:val="left"/>
      <w:pPr>
        <w:ind w:left="2368" w:hanging="1800"/>
      </w:pPr>
    </w:lvl>
    <w:lvl w:ilvl="7" w:tentative="0">
      <w:start w:val="1"/>
      <w:numFmt w:val="decimal"/>
      <w:isLgl/>
      <w:lvlText w:val="%1.%2.%3.%4.%5.%6.%7.%8"/>
      <w:lvlJc w:val="left"/>
      <w:pPr>
        <w:ind w:left="2368" w:hanging="1800"/>
      </w:pPr>
    </w:lvl>
    <w:lvl w:ilvl="8" w:tentative="0">
      <w:start w:val="1"/>
      <w:numFmt w:val="decimal"/>
      <w:isLgl/>
      <w:lvlText w:val="%1.%2.%3.%4.%5.%6.%7.%8.%9"/>
      <w:lvlJc w:val="left"/>
      <w:pPr>
        <w:ind w:left="2728" w:hanging="2160"/>
      </w:pPr>
    </w:lvl>
  </w:abstractNum>
  <w:num w:numId="1">
    <w:abstractNumId w:val="11"/>
  </w:num>
  <w:num w:numId="2">
    <w:abstractNumId w:val="6"/>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1"/>
  </w:num>
  <w:num w:numId="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lvlOverride w:ilvl="0">
      <w:startOverride w:val="5"/>
    </w:lvlOverride>
    <w:lvlOverride w:ilvl="1">
      <w:startOverride w:val="1"/>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num>
  <w:num w:numId="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0"/>
  </w:num>
  <w:num w:numId="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5"/>
  </w:num>
  <w:num w:numId="35">
    <w:abstractNumId w:val="34"/>
  </w:num>
  <w:num w:numId="36">
    <w:abstractNumId w:val="26"/>
  </w:num>
  <w:num w:numId="37">
    <w:abstractNumId w:val="0"/>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num>
  <w:num w:numId="41">
    <w:abstractNumId w:val="1"/>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8"/>
  </w:num>
  <w:num w:numId="4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7"/>
  </w:num>
  <w:num w:numId="50">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16D4"/>
    <w:rsid w:val="000014AD"/>
    <w:rsid w:val="00012151"/>
    <w:rsid w:val="00012626"/>
    <w:rsid w:val="000141F6"/>
    <w:rsid w:val="00014A41"/>
    <w:rsid w:val="000175B6"/>
    <w:rsid w:val="0001799E"/>
    <w:rsid w:val="000243B4"/>
    <w:rsid w:val="00027377"/>
    <w:rsid w:val="00030E31"/>
    <w:rsid w:val="00034235"/>
    <w:rsid w:val="0003441E"/>
    <w:rsid w:val="000352C7"/>
    <w:rsid w:val="00036D45"/>
    <w:rsid w:val="00037CCE"/>
    <w:rsid w:val="000403DE"/>
    <w:rsid w:val="000514D3"/>
    <w:rsid w:val="000518B7"/>
    <w:rsid w:val="00051C10"/>
    <w:rsid w:val="000556AE"/>
    <w:rsid w:val="00056BC2"/>
    <w:rsid w:val="00060F5A"/>
    <w:rsid w:val="00061B1F"/>
    <w:rsid w:val="00062ED3"/>
    <w:rsid w:val="000647D6"/>
    <w:rsid w:val="00064CC8"/>
    <w:rsid w:val="00070B72"/>
    <w:rsid w:val="00071C77"/>
    <w:rsid w:val="00072223"/>
    <w:rsid w:val="0007245D"/>
    <w:rsid w:val="00072790"/>
    <w:rsid w:val="00072B3D"/>
    <w:rsid w:val="000740B8"/>
    <w:rsid w:val="00075226"/>
    <w:rsid w:val="00076099"/>
    <w:rsid w:val="0008183B"/>
    <w:rsid w:val="0008351A"/>
    <w:rsid w:val="0008396B"/>
    <w:rsid w:val="00090CEC"/>
    <w:rsid w:val="00091409"/>
    <w:rsid w:val="00094004"/>
    <w:rsid w:val="00094BF4"/>
    <w:rsid w:val="00096806"/>
    <w:rsid w:val="00096E03"/>
    <w:rsid w:val="00097F27"/>
    <w:rsid w:val="000A04C0"/>
    <w:rsid w:val="000A0A88"/>
    <w:rsid w:val="000A1D1F"/>
    <w:rsid w:val="000A2F7D"/>
    <w:rsid w:val="000A6A86"/>
    <w:rsid w:val="000B0566"/>
    <w:rsid w:val="000B0BDD"/>
    <w:rsid w:val="000B6BFA"/>
    <w:rsid w:val="000C011B"/>
    <w:rsid w:val="000C156C"/>
    <w:rsid w:val="000C4591"/>
    <w:rsid w:val="000C52E5"/>
    <w:rsid w:val="000C5DBD"/>
    <w:rsid w:val="000C7E06"/>
    <w:rsid w:val="000D18C0"/>
    <w:rsid w:val="000D261C"/>
    <w:rsid w:val="000D28CC"/>
    <w:rsid w:val="000D344A"/>
    <w:rsid w:val="000D4993"/>
    <w:rsid w:val="000E7E9D"/>
    <w:rsid w:val="000F0E67"/>
    <w:rsid w:val="000F472C"/>
    <w:rsid w:val="000F60AD"/>
    <w:rsid w:val="001032A8"/>
    <w:rsid w:val="001050C6"/>
    <w:rsid w:val="0010588D"/>
    <w:rsid w:val="00105E67"/>
    <w:rsid w:val="001073E5"/>
    <w:rsid w:val="00107411"/>
    <w:rsid w:val="00111D9C"/>
    <w:rsid w:val="0011368F"/>
    <w:rsid w:val="00117416"/>
    <w:rsid w:val="001178B2"/>
    <w:rsid w:val="00117E9F"/>
    <w:rsid w:val="00120CE7"/>
    <w:rsid w:val="00121DB8"/>
    <w:rsid w:val="00122BD7"/>
    <w:rsid w:val="00122D97"/>
    <w:rsid w:val="001237A6"/>
    <w:rsid w:val="00123A95"/>
    <w:rsid w:val="001262A7"/>
    <w:rsid w:val="00127207"/>
    <w:rsid w:val="00132C64"/>
    <w:rsid w:val="00134BA8"/>
    <w:rsid w:val="001408B7"/>
    <w:rsid w:val="00140D68"/>
    <w:rsid w:val="00144FDB"/>
    <w:rsid w:val="00145269"/>
    <w:rsid w:val="001471FF"/>
    <w:rsid w:val="00153AED"/>
    <w:rsid w:val="00153CE6"/>
    <w:rsid w:val="00155145"/>
    <w:rsid w:val="00165FD4"/>
    <w:rsid w:val="00167216"/>
    <w:rsid w:val="00182644"/>
    <w:rsid w:val="00183A95"/>
    <w:rsid w:val="001861B9"/>
    <w:rsid w:val="001902FC"/>
    <w:rsid w:val="00192DEE"/>
    <w:rsid w:val="001973E2"/>
    <w:rsid w:val="001A11CD"/>
    <w:rsid w:val="001A16D4"/>
    <w:rsid w:val="001A268E"/>
    <w:rsid w:val="001A7C04"/>
    <w:rsid w:val="001B0B26"/>
    <w:rsid w:val="001B33BD"/>
    <w:rsid w:val="001B63D8"/>
    <w:rsid w:val="001B6694"/>
    <w:rsid w:val="001C04F2"/>
    <w:rsid w:val="001C6504"/>
    <w:rsid w:val="001C7B91"/>
    <w:rsid w:val="001D0739"/>
    <w:rsid w:val="001D38C2"/>
    <w:rsid w:val="001D57E6"/>
    <w:rsid w:val="001D7B13"/>
    <w:rsid w:val="001E2114"/>
    <w:rsid w:val="001E369C"/>
    <w:rsid w:val="001E3E2B"/>
    <w:rsid w:val="001E567F"/>
    <w:rsid w:val="001E7BDE"/>
    <w:rsid w:val="001E7D2D"/>
    <w:rsid w:val="001F412D"/>
    <w:rsid w:val="00201F03"/>
    <w:rsid w:val="0020244C"/>
    <w:rsid w:val="00205832"/>
    <w:rsid w:val="00234BAB"/>
    <w:rsid w:val="0023546D"/>
    <w:rsid w:val="002359E9"/>
    <w:rsid w:val="0024454D"/>
    <w:rsid w:val="00250119"/>
    <w:rsid w:val="002527EB"/>
    <w:rsid w:val="0025426D"/>
    <w:rsid w:val="002572A3"/>
    <w:rsid w:val="0026057E"/>
    <w:rsid w:val="00266214"/>
    <w:rsid w:val="00274FCE"/>
    <w:rsid w:val="00277630"/>
    <w:rsid w:val="00281AF2"/>
    <w:rsid w:val="0028299F"/>
    <w:rsid w:val="00284814"/>
    <w:rsid w:val="00290A5C"/>
    <w:rsid w:val="00290E1D"/>
    <w:rsid w:val="00291F58"/>
    <w:rsid w:val="002923EA"/>
    <w:rsid w:val="0029432D"/>
    <w:rsid w:val="0029763D"/>
    <w:rsid w:val="002A0908"/>
    <w:rsid w:val="002A21E7"/>
    <w:rsid w:val="002A4E91"/>
    <w:rsid w:val="002A6C35"/>
    <w:rsid w:val="002A6CBC"/>
    <w:rsid w:val="002A734D"/>
    <w:rsid w:val="002A7579"/>
    <w:rsid w:val="002B1ABE"/>
    <w:rsid w:val="002B2470"/>
    <w:rsid w:val="002B30CF"/>
    <w:rsid w:val="002B46A8"/>
    <w:rsid w:val="002B5F08"/>
    <w:rsid w:val="002B6C18"/>
    <w:rsid w:val="002B729A"/>
    <w:rsid w:val="002B7FDA"/>
    <w:rsid w:val="002C022D"/>
    <w:rsid w:val="002C0CB9"/>
    <w:rsid w:val="002C184B"/>
    <w:rsid w:val="002C758B"/>
    <w:rsid w:val="002D1454"/>
    <w:rsid w:val="002D219C"/>
    <w:rsid w:val="002D23E6"/>
    <w:rsid w:val="002D37C4"/>
    <w:rsid w:val="002E18B1"/>
    <w:rsid w:val="002F2C78"/>
    <w:rsid w:val="002F4288"/>
    <w:rsid w:val="003048DB"/>
    <w:rsid w:val="00305022"/>
    <w:rsid w:val="00305EB7"/>
    <w:rsid w:val="00306F8F"/>
    <w:rsid w:val="00310E45"/>
    <w:rsid w:val="00311377"/>
    <w:rsid w:val="00312404"/>
    <w:rsid w:val="003136FF"/>
    <w:rsid w:val="00315FD1"/>
    <w:rsid w:val="003160DE"/>
    <w:rsid w:val="00317FDF"/>
    <w:rsid w:val="00321B72"/>
    <w:rsid w:val="003259DB"/>
    <w:rsid w:val="00325D4A"/>
    <w:rsid w:val="00330931"/>
    <w:rsid w:val="00345ACC"/>
    <w:rsid w:val="003466A1"/>
    <w:rsid w:val="0035095F"/>
    <w:rsid w:val="00351C5C"/>
    <w:rsid w:val="00352CC6"/>
    <w:rsid w:val="00363C38"/>
    <w:rsid w:val="0036589D"/>
    <w:rsid w:val="003671A2"/>
    <w:rsid w:val="00367A2C"/>
    <w:rsid w:val="00370BBF"/>
    <w:rsid w:val="003713D7"/>
    <w:rsid w:val="0037446E"/>
    <w:rsid w:val="00376071"/>
    <w:rsid w:val="003772F0"/>
    <w:rsid w:val="0037775B"/>
    <w:rsid w:val="00377878"/>
    <w:rsid w:val="00380680"/>
    <w:rsid w:val="0038110B"/>
    <w:rsid w:val="003826D1"/>
    <w:rsid w:val="00384BF6"/>
    <w:rsid w:val="003854BD"/>
    <w:rsid w:val="00385B50"/>
    <w:rsid w:val="003872B9"/>
    <w:rsid w:val="0039004F"/>
    <w:rsid w:val="00392220"/>
    <w:rsid w:val="00392669"/>
    <w:rsid w:val="003973AA"/>
    <w:rsid w:val="003A464B"/>
    <w:rsid w:val="003B0EED"/>
    <w:rsid w:val="003B254C"/>
    <w:rsid w:val="003B3D08"/>
    <w:rsid w:val="003B4E95"/>
    <w:rsid w:val="003C1755"/>
    <w:rsid w:val="003C22B2"/>
    <w:rsid w:val="003C2DEB"/>
    <w:rsid w:val="003C7DC4"/>
    <w:rsid w:val="003D0335"/>
    <w:rsid w:val="003D3695"/>
    <w:rsid w:val="003D5D1A"/>
    <w:rsid w:val="003E0EC4"/>
    <w:rsid w:val="003E352F"/>
    <w:rsid w:val="003E6168"/>
    <w:rsid w:val="003F19C0"/>
    <w:rsid w:val="003F231B"/>
    <w:rsid w:val="003F2B24"/>
    <w:rsid w:val="003F449C"/>
    <w:rsid w:val="003F7831"/>
    <w:rsid w:val="004023F4"/>
    <w:rsid w:val="004030C8"/>
    <w:rsid w:val="004044F7"/>
    <w:rsid w:val="0040550B"/>
    <w:rsid w:val="004110CF"/>
    <w:rsid w:val="004132E6"/>
    <w:rsid w:val="00414D00"/>
    <w:rsid w:val="00414E09"/>
    <w:rsid w:val="0041672F"/>
    <w:rsid w:val="00416936"/>
    <w:rsid w:val="004216B6"/>
    <w:rsid w:val="00421A24"/>
    <w:rsid w:val="00421AC8"/>
    <w:rsid w:val="004417D5"/>
    <w:rsid w:val="00444A4E"/>
    <w:rsid w:val="00450758"/>
    <w:rsid w:val="00453E3D"/>
    <w:rsid w:val="00454540"/>
    <w:rsid w:val="00454B38"/>
    <w:rsid w:val="00455E6A"/>
    <w:rsid w:val="00461D47"/>
    <w:rsid w:val="00462D79"/>
    <w:rsid w:val="0046315B"/>
    <w:rsid w:val="004642AB"/>
    <w:rsid w:val="00470E36"/>
    <w:rsid w:val="00473B52"/>
    <w:rsid w:val="00490EB1"/>
    <w:rsid w:val="00492416"/>
    <w:rsid w:val="004937FB"/>
    <w:rsid w:val="00496BF2"/>
    <w:rsid w:val="00497D96"/>
    <w:rsid w:val="004A33F2"/>
    <w:rsid w:val="004A46B7"/>
    <w:rsid w:val="004A7164"/>
    <w:rsid w:val="004B5BC1"/>
    <w:rsid w:val="004C0629"/>
    <w:rsid w:val="004C21C1"/>
    <w:rsid w:val="004C2617"/>
    <w:rsid w:val="004C5B86"/>
    <w:rsid w:val="004C749A"/>
    <w:rsid w:val="004D1459"/>
    <w:rsid w:val="004D4127"/>
    <w:rsid w:val="004D4BD8"/>
    <w:rsid w:val="004D5161"/>
    <w:rsid w:val="004D51B2"/>
    <w:rsid w:val="004D57C1"/>
    <w:rsid w:val="004D7D74"/>
    <w:rsid w:val="004E6249"/>
    <w:rsid w:val="004E629C"/>
    <w:rsid w:val="004E69F1"/>
    <w:rsid w:val="004F5AA1"/>
    <w:rsid w:val="004F5C26"/>
    <w:rsid w:val="004F5F12"/>
    <w:rsid w:val="004F77EB"/>
    <w:rsid w:val="00501B1F"/>
    <w:rsid w:val="00503FAD"/>
    <w:rsid w:val="0050597D"/>
    <w:rsid w:val="00512A0A"/>
    <w:rsid w:val="00516E36"/>
    <w:rsid w:val="00516FA0"/>
    <w:rsid w:val="00520369"/>
    <w:rsid w:val="005211D0"/>
    <w:rsid w:val="00521CCA"/>
    <w:rsid w:val="00525240"/>
    <w:rsid w:val="005267BB"/>
    <w:rsid w:val="0053002C"/>
    <w:rsid w:val="005357F0"/>
    <w:rsid w:val="00540B6F"/>
    <w:rsid w:val="0054101C"/>
    <w:rsid w:val="005416D4"/>
    <w:rsid w:val="005416FA"/>
    <w:rsid w:val="00543F8F"/>
    <w:rsid w:val="0054431E"/>
    <w:rsid w:val="005503FB"/>
    <w:rsid w:val="00552345"/>
    <w:rsid w:val="0055261B"/>
    <w:rsid w:val="00553FA1"/>
    <w:rsid w:val="005551E8"/>
    <w:rsid w:val="0056629C"/>
    <w:rsid w:val="00570B90"/>
    <w:rsid w:val="00570C5A"/>
    <w:rsid w:val="005814A1"/>
    <w:rsid w:val="00591B1A"/>
    <w:rsid w:val="0059252D"/>
    <w:rsid w:val="005A0A72"/>
    <w:rsid w:val="005A0D32"/>
    <w:rsid w:val="005A3BB6"/>
    <w:rsid w:val="005A4C6D"/>
    <w:rsid w:val="005A635F"/>
    <w:rsid w:val="005A70E8"/>
    <w:rsid w:val="005B4FC8"/>
    <w:rsid w:val="005C0053"/>
    <w:rsid w:val="005C0EE2"/>
    <w:rsid w:val="005C2371"/>
    <w:rsid w:val="005C432F"/>
    <w:rsid w:val="005C6364"/>
    <w:rsid w:val="005D2B6B"/>
    <w:rsid w:val="005E19F0"/>
    <w:rsid w:val="005E295C"/>
    <w:rsid w:val="005E5BCB"/>
    <w:rsid w:val="005F120B"/>
    <w:rsid w:val="005F16CC"/>
    <w:rsid w:val="005F43EC"/>
    <w:rsid w:val="005F6D42"/>
    <w:rsid w:val="00602082"/>
    <w:rsid w:val="006026DE"/>
    <w:rsid w:val="006065F6"/>
    <w:rsid w:val="00612ABE"/>
    <w:rsid w:val="00626E71"/>
    <w:rsid w:val="00627080"/>
    <w:rsid w:val="006308A5"/>
    <w:rsid w:val="00631D06"/>
    <w:rsid w:val="00632023"/>
    <w:rsid w:val="006320B8"/>
    <w:rsid w:val="006378C1"/>
    <w:rsid w:val="006423D5"/>
    <w:rsid w:val="00642C40"/>
    <w:rsid w:val="0064767E"/>
    <w:rsid w:val="00647A70"/>
    <w:rsid w:val="00647AC9"/>
    <w:rsid w:val="0065074A"/>
    <w:rsid w:val="00653F0D"/>
    <w:rsid w:val="006548AC"/>
    <w:rsid w:val="00654DD5"/>
    <w:rsid w:val="006557AD"/>
    <w:rsid w:val="00656604"/>
    <w:rsid w:val="0066243E"/>
    <w:rsid w:val="00662E72"/>
    <w:rsid w:val="006646C6"/>
    <w:rsid w:val="00666707"/>
    <w:rsid w:val="006670AD"/>
    <w:rsid w:val="00671874"/>
    <w:rsid w:val="00671E18"/>
    <w:rsid w:val="00673782"/>
    <w:rsid w:val="00675258"/>
    <w:rsid w:val="0067612D"/>
    <w:rsid w:val="00676662"/>
    <w:rsid w:val="00680663"/>
    <w:rsid w:val="00680AEF"/>
    <w:rsid w:val="0068137A"/>
    <w:rsid w:val="00682DAD"/>
    <w:rsid w:val="0068568B"/>
    <w:rsid w:val="00685F5A"/>
    <w:rsid w:val="006872FD"/>
    <w:rsid w:val="0068756E"/>
    <w:rsid w:val="0069089A"/>
    <w:rsid w:val="006909B9"/>
    <w:rsid w:val="0069285A"/>
    <w:rsid w:val="00696759"/>
    <w:rsid w:val="006A39DB"/>
    <w:rsid w:val="006A601C"/>
    <w:rsid w:val="006A764C"/>
    <w:rsid w:val="006A767F"/>
    <w:rsid w:val="006B177B"/>
    <w:rsid w:val="006B5446"/>
    <w:rsid w:val="006B7235"/>
    <w:rsid w:val="006C0C79"/>
    <w:rsid w:val="006C352A"/>
    <w:rsid w:val="006C5F89"/>
    <w:rsid w:val="006C7481"/>
    <w:rsid w:val="006D0175"/>
    <w:rsid w:val="006D0667"/>
    <w:rsid w:val="006D3D22"/>
    <w:rsid w:val="006D6737"/>
    <w:rsid w:val="006E3106"/>
    <w:rsid w:val="006E3F62"/>
    <w:rsid w:val="006E4F22"/>
    <w:rsid w:val="006E6EFB"/>
    <w:rsid w:val="006E7141"/>
    <w:rsid w:val="006F02B4"/>
    <w:rsid w:val="006F0597"/>
    <w:rsid w:val="006F50E4"/>
    <w:rsid w:val="006F6EA6"/>
    <w:rsid w:val="006F7414"/>
    <w:rsid w:val="006F7952"/>
    <w:rsid w:val="00700B80"/>
    <w:rsid w:val="00702EBA"/>
    <w:rsid w:val="00705675"/>
    <w:rsid w:val="00705EED"/>
    <w:rsid w:val="007101E0"/>
    <w:rsid w:val="00712A0B"/>
    <w:rsid w:val="00715456"/>
    <w:rsid w:val="0071625D"/>
    <w:rsid w:val="00717BA9"/>
    <w:rsid w:val="00717DA5"/>
    <w:rsid w:val="00721223"/>
    <w:rsid w:val="00726D1D"/>
    <w:rsid w:val="00730EE6"/>
    <w:rsid w:val="00735501"/>
    <w:rsid w:val="00740A2F"/>
    <w:rsid w:val="007513A7"/>
    <w:rsid w:val="00751480"/>
    <w:rsid w:val="00752CD1"/>
    <w:rsid w:val="0075340E"/>
    <w:rsid w:val="007540E4"/>
    <w:rsid w:val="007560BF"/>
    <w:rsid w:val="007571C9"/>
    <w:rsid w:val="00757DEB"/>
    <w:rsid w:val="007639DD"/>
    <w:rsid w:val="00764320"/>
    <w:rsid w:val="0076642E"/>
    <w:rsid w:val="00767EFE"/>
    <w:rsid w:val="00770A0A"/>
    <w:rsid w:val="007712B8"/>
    <w:rsid w:val="007715F6"/>
    <w:rsid w:val="007719E0"/>
    <w:rsid w:val="00773D82"/>
    <w:rsid w:val="0077555F"/>
    <w:rsid w:val="00776951"/>
    <w:rsid w:val="00780C5B"/>
    <w:rsid w:val="00783451"/>
    <w:rsid w:val="00783E48"/>
    <w:rsid w:val="00786497"/>
    <w:rsid w:val="00791666"/>
    <w:rsid w:val="00793530"/>
    <w:rsid w:val="00795F4E"/>
    <w:rsid w:val="007A0A96"/>
    <w:rsid w:val="007A2038"/>
    <w:rsid w:val="007A4A3A"/>
    <w:rsid w:val="007A6EF2"/>
    <w:rsid w:val="007B038E"/>
    <w:rsid w:val="007B0CFC"/>
    <w:rsid w:val="007B1777"/>
    <w:rsid w:val="007B4D7C"/>
    <w:rsid w:val="007B560F"/>
    <w:rsid w:val="007B5FB7"/>
    <w:rsid w:val="007B6E0E"/>
    <w:rsid w:val="007C6002"/>
    <w:rsid w:val="007C7BFC"/>
    <w:rsid w:val="007C7CBC"/>
    <w:rsid w:val="007D2E1D"/>
    <w:rsid w:val="007D4EB4"/>
    <w:rsid w:val="007D5868"/>
    <w:rsid w:val="007D58FF"/>
    <w:rsid w:val="007D5C21"/>
    <w:rsid w:val="007D610F"/>
    <w:rsid w:val="007D64B2"/>
    <w:rsid w:val="007D6D58"/>
    <w:rsid w:val="007D7265"/>
    <w:rsid w:val="007D7BDB"/>
    <w:rsid w:val="007E2A9E"/>
    <w:rsid w:val="007E45B9"/>
    <w:rsid w:val="007E5548"/>
    <w:rsid w:val="007F07FA"/>
    <w:rsid w:val="007F77C7"/>
    <w:rsid w:val="00802C18"/>
    <w:rsid w:val="00806E5E"/>
    <w:rsid w:val="008079EB"/>
    <w:rsid w:val="00807CC4"/>
    <w:rsid w:val="00812716"/>
    <w:rsid w:val="00813F8F"/>
    <w:rsid w:val="00815525"/>
    <w:rsid w:val="00815E39"/>
    <w:rsid w:val="00816B68"/>
    <w:rsid w:val="00821EFD"/>
    <w:rsid w:val="00822E8B"/>
    <w:rsid w:val="00827831"/>
    <w:rsid w:val="00827890"/>
    <w:rsid w:val="0083164D"/>
    <w:rsid w:val="008318C0"/>
    <w:rsid w:val="00832F16"/>
    <w:rsid w:val="008344E1"/>
    <w:rsid w:val="00836B86"/>
    <w:rsid w:val="00837091"/>
    <w:rsid w:val="008409EE"/>
    <w:rsid w:val="0084516F"/>
    <w:rsid w:val="008465E3"/>
    <w:rsid w:val="00846A31"/>
    <w:rsid w:val="00846BBB"/>
    <w:rsid w:val="00851A19"/>
    <w:rsid w:val="0085377B"/>
    <w:rsid w:val="00855DF8"/>
    <w:rsid w:val="008602E5"/>
    <w:rsid w:val="0086235F"/>
    <w:rsid w:val="00863FFA"/>
    <w:rsid w:val="00864349"/>
    <w:rsid w:val="00865690"/>
    <w:rsid w:val="0087013A"/>
    <w:rsid w:val="00872610"/>
    <w:rsid w:val="0087328A"/>
    <w:rsid w:val="00880B9B"/>
    <w:rsid w:val="008854E1"/>
    <w:rsid w:val="00887597"/>
    <w:rsid w:val="00890872"/>
    <w:rsid w:val="00894014"/>
    <w:rsid w:val="00894C03"/>
    <w:rsid w:val="00894FD9"/>
    <w:rsid w:val="00895FBF"/>
    <w:rsid w:val="008A0693"/>
    <w:rsid w:val="008A31B9"/>
    <w:rsid w:val="008A50AC"/>
    <w:rsid w:val="008B6096"/>
    <w:rsid w:val="008B6379"/>
    <w:rsid w:val="008B68D8"/>
    <w:rsid w:val="008C269A"/>
    <w:rsid w:val="008C2BE7"/>
    <w:rsid w:val="008C411C"/>
    <w:rsid w:val="008C6003"/>
    <w:rsid w:val="008D0437"/>
    <w:rsid w:val="008D1E2A"/>
    <w:rsid w:val="008D2A3B"/>
    <w:rsid w:val="008D3722"/>
    <w:rsid w:val="008D3F9F"/>
    <w:rsid w:val="008D41D3"/>
    <w:rsid w:val="008E1246"/>
    <w:rsid w:val="008E258A"/>
    <w:rsid w:val="008E4B69"/>
    <w:rsid w:val="008E53F9"/>
    <w:rsid w:val="008E7EAE"/>
    <w:rsid w:val="008F1247"/>
    <w:rsid w:val="008F254C"/>
    <w:rsid w:val="008F2A0D"/>
    <w:rsid w:val="008F3853"/>
    <w:rsid w:val="008F38AF"/>
    <w:rsid w:val="008F3A2D"/>
    <w:rsid w:val="008F5E19"/>
    <w:rsid w:val="008F6FA3"/>
    <w:rsid w:val="009018B3"/>
    <w:rsid w:val="009035B3"/>
    <w:rsid w:val="00905839"/>
    <w:rsid w:val="00907431"/>
    <w:rsid w:val="0091012C"/>
    <w:rsid w:val="009147A4"/>
    <w:rsid w:val="00915485"/>
    <w:rsid w:val="00917355"/>
    <w:rsid w:val="009248FC"/>
    <w:rsid w:val="00925230"/>
    <w:rsid w:val="0092585C"/>
    <w:rsid w:val="00926676"/>
    <w:rsid w:val="0093403E"/>
    <w:rsid w:val="009364CF"/>
    <w:rsid w:val="009379FF"/>
    <w:rsid w:val="0094146B"/>
    <w:rsid w:val="0094201C"/>
    <w:rsid w:val="009443DF"/>
    <w:rsid w:val="00946CAF"/>
    <w:rsid w:val="009500FF"/>
    <w:rsid w:val="009511AB"/>
    <w:rsid w:val="00951219"/>
    <w:rsid w:val="0095172F"/>
    <w:rsid w:val="00952677"/>
    <w:rsid w:val="0096104E"/>
    <w:rsid w:val="009613B3"/>
    <w:rsid w:val="009618DB"/>
    <w:rsid w:val="00962C7D"/>
    <w:rsid w:val="00963F27"/>
    <w:rsid w:val="00964DFB"/>
    <w:rsid w:val="00965E96"/>
    <w:rsid w:val="00966327"/>
    <w:rsid w:val="00970DEA"/>
    <w:rsid w:val="00971325"/>
    <w:rsid w:val="009725D8"/>
    <w:rsid w:val="00977951"/>
    <w:rsid w:val="00982626"/>
    <w:rsid w:val="009872DB"/>
    <w:rsid w:val="009903DE"/>
    <w:rsid w:val="00995C7B"/>
    <w:rsid w:val="009971B8"/>
    <w:rsid w:val="0099791D"/>
    <w:rsid w:val="009A248F"/>
    <w:rsid w:val="009A501D"/>
    <w:rsid w:val="009A5678"/>
    <w:rsid w:val="009A5DBB"/>
    <w:rsid w:val="009A68F5"/>
    <w:rsid w:val="009B06A5"/>
    <w:rsid w:val="009B58AF"/>
    <w:rsid w:val="009C1154"/>
    <w:rsid w:val="009C37CA"/>
    <w:rsid w:val="009C3BA2"/>
    <w:rsid w:val="009C63C3"/>
    <w:rsid w:val="009C746B"/>
    <w:rsid w:val="009D10AD"/>
    <w:rsid w:val="009D6AF5"/>
    <w:rsid w:val="009D6D5B"/>
    <w:rsid w:val="009E01C8"/>
    <w:rsid w:val="009E0372"/>
    <w:rsid w:val="009E1570"/>
    <w:rsid w:val="009E19A0"/>
    <w:rsid w:val="009E313A"/>
    <w:rsid w:val="009E6146"/>
    <w:rsid w:val="009E63B9"/>
    <w:rsid w:val="009F12ED"/>
    <w:rsid w:val="009F170B"/>
    <w:rsid w:val="009F496E"/>
    <w:rsid w:val="009F4FB1"/>
    <w:rsid w:val="009F6780"/>
    <w:rsid w:val="00A0119E"/>
    <w:rsid w:val="00A022D3"/>
    <w:rsid w:val="00A06B09"/>
    <w:rsid w:val="00A10B6D"/>
    <w:rsid w:val="00A1129D"/>
    <w:rsid w:val="00A1335D"/>
    <w:rsid w:val="00A1339A"/>
    <w:rsid w:val="00A1574E"/>
    <w:rsid w:val="00A16AA7"/>
    <w:rsid w:val="00A17799"/>
    <w:rsid w:val="00A2013E"/>
    <w:rsid w:val="00A23726"/>
    <w:rsid w:val="00A25B6F"/>
    <w:rsid w:val="00A2615C"/>
    <w:rsid w:val="00A301C6"/>
    <w:rsid w:val="00A31667"/>
    <w:rsid w:val="00A3316D"/>
    <w:rsid w:val="00A35765"/>
    <w:rsid w:val="00A36E25"/>
    <w:rsid w:val="00A37352"/>
    <w:rsid w:val="00A37E17"/>
    <w:rsid w:val="00A420B4"/>
    <w:rsid w:val="00A44395"/>
    <w:rsid w:val="00A4562E"/>
    <w:rsid w:val="00A5327E"/>
    <w:rsid w:val="00A56FA5"/>
    <w:rsid w:val="00A60A57"/>
    <w:rsid w:val="00A61713"/>
    <w:rsid w:val="00A6408C"/>
    <w:rsid w:val="00A66C61"/>
    <w:rsid w:val="00A7094C"/>
    <w:rsid w:val="00A70B4C"/>
    <w:rsid w:val="00A71E38"/>
    <w:rsid w:val="00A72ADA"/>
    <w:rsid w:val="00A861B6"/>
    <w:rsid w:val="00A86A02"/>
    <w:rsid w:val="00A906C8"/>
    <w:rsid w:val="00A93303"/>
    <w:rsid w:val="00A96C4B"/>
    <w:rsid w:val="00AA09CA"/>
    <w:rsid w:val="00AA408C"/>
    <w:rsid w:val="00AA5D51"/>
    <w:rsid w:val="00AA660C"/>
    <w:rsid w:val="00AA75E6"/>
    <w:rsid w:val="00AB1127"/>
    <w:rsid w:val="00AB2105"/>
    <w:rsid w:val="00AC5310"/>
    <w:rsid w:val="00AC5977"/>
    <w:rsid w:val="00AD00F2"/>
    <w:rsid w:val="00AD24B5"/>
    <w:rsid w:val="00AD2E49"/>
    <w:rsid w:val="00AD2FF1"/>
    <w:rsid w:val="00AD6BF9"/>
    <w:rsid w:val="00AE18E6"/>
    <w:rsid w:val="00AE1F28"/>
    <w:rsid w:val="00AE5199"/>
    <w:rsid w:val="00AE5F10"/>
    <w:rsid w:val="00AF224B"/>
    <w:rsid w:val="00AF54C6"/>
    <w:rsid w:val="00B0162A"/>
    <w:rsid w:val="00B02E10"/>
    <w:rsid w:val="00B04827"/>
    <w:rsid w:val="00B0526D"/>
    <w:rsid w:val="00B06C4F"/>
    <w:rsid w:val="00B0755F"/>
    <w:rsid w:val="00B13683"/>
    <w:rsid w:val="00B14099"/>
    <w:rsid w:val="00B204D2"/>
    <w:rsid w:val="00B21170"/>
    <w:rsid w:val="00B22954"/>
    <w:rsid w:val="00B25536"/>
    <w:rsid w:val="00B25CE7"/>
    <w:rsid w:val="00B302DC"/>
    <w:rsid w:val="00B30EB5"/>
    <w:rsid w:val="00B32191"/>
    <w:rsid w:val="00B33E98"/>
    <w:rsid w:val="00B348EB"/>
    <w:rsid w:val="00B37B36"/>
    <w:rsid w:val="00B37BCF"/>
    <w:rsid w:val="00B41925"/>
    <w:rsid w:val="00B41E9C"/>
    <w:rsid w:val="00B42AB8"/>
    <w:rsid w:val="00B5326F"/>
    <w:rsid w:val="00B560A1"/>
    <w:rsid w:val="00B563AD"/>
    <w:rsid w:val="00B572D0"/>
    <w:rsid w:val="00B6069C"/>
    <w:rsid w:val="00B6125A"/>
    <w:rsid w:val="00B65B90"/>
    <w:rsid w:val="00B673F4"/>
    <w:rsid w:val="00B71718"/>
    <w:rsid w:val="00B722EA"/>
    <w:rsid w:val="00B74038"/>
    <w:rsid w:val="00B74D61"/>
    <w:rsid w:val="00B76C9B"/>
    <w:rsid w:val="00B76E20"/>
    <w:rsid w:val="00B77062"/>
    <w:rsid w:val="00B777DE"/>
    <w:rsid w:val="00B8140B"/>
    <w:rsid w:val="00B82721"/>
    <w:rsid w:val="00B82C8D"/>
    <w:rsid w:val="00B82F9F"/>
    <w:rsid w:val="00B85368"/>
    <w:rsid w:val="00B93DEB"/>
    <w:rsid w:val="00B950DF"/>
    <w:rsid w:val="00B958F4"/>
    <w:rsid w:val="00B95A28"/>
    <w:rsid w:val="00BB0E10"/>
    <w:rsid w:val="00BB26A8"/>
    <w:rsid w:val="00BB2867"/>
    <w:rsid w:val="00BB6E19"/>
    <w:rsid w:val="00BC0A36"/>
    <w:rsid w:val="00BC0EDC"/>
    <w:rsid w:val="00BC541F"/>
    <w:rsid w:val="00BC6085"/>
    <w:rsid w:val="00BD2D6B"/>
    <w:rsid w:val="00BD3681"/>
    <w:rsid w:val="00BD3F1F"/>
    <w:rsid w:val="00BD454B"/>
    <w:rsid w:val="00BE69B4"/>
    <w:rsid w:val="00BE6BF6"/>
    <w:rsid w:val="00BE6E81"/>
    <w:rsid w:val="00BE74CE"/>
    <w:rsid w:val="00BF2384"/>
    <w:rsid w:val="00BF4B00"/>
    <w:rsid w:val="00BF6056"/>
    <w:rsid w:val="00C0374B"/>
    <w:rsid w:val="00C03BB4"/>
    <w:rsid w:val="00C04B7B"/>
    <w:rsid w:val="00C056BB"/>
    <w:rsid w:val="00C07C25"/>
    <w:rsid w:val="00C11711"/>
    <w:rsid w:val="00C11B19"/>
    <w:rsid w:val="00C25C2B"/>
    <w:rsid w:val="00C276A7"/>
    <w:rsid w:val="00C30B81"/>
    <w:rsid w:val="00C30FA1"/>
    <w:rsid w:val="00C342A0"/>
    <w:rsid w:val="00C34EB0"/>
    <w:rsid w:val="00C3661B"/>
    <w:rsid w:val="00C36B4E"/>
    <w:rsid w:val="00C4016E"/>
    <w:rsid w:val="00C51A6C"/>
    <w:rsid w:val="00C53932"/>
    <w:rsid w:val="00C53A4A"/>
    <w:rsid w:val="00C54448"/>
    <w:rsid w:val="00C63AC3"/>
    <w:rsid w:val="00C640C6"/>
    <w:rsid w:val="00C6592B"/>
    <w:rsid w:val="00C6699D"/>
    <w:rsid w:val="00C6761E"/>
    <w:rsid w:val="00C70E74"/>
    <w:rsid w:val="00C737F6"/>
    <w:rsid w:val="00C74116"/>
    <w:rsid w:val="00C74732"/>
    <w:rsid w:val="00C75E07"/>
    <w:rsid w:val="00C7624C"/>
    <w:rsid w:val="00C76867"/>
    <w:rsid w:val="00C76A2E"/>
    <w:rsid w:val="00C77B1C"/>
    <w:rsid w:val="00C80668"/>
    <w:rsid w:val="00C839FA"/>
    <w:rsid w:val="00C8763F"/>
    <w:rsid w:val="00C905A4"/>
    <w:rsid w:val="00C91820"/>
    <w:rsid w:val="00C9549E"/>
    <w:rsid w:val="00C956B1"/>
    <w:rsid w:val="00C9618B"/>
    <w:rsid w:val="00C9791A"/>
    <w:rsid w:val="00CA06D6"/>
    <w:rsid w:val="00CA07B5"/>
    <w:rsid w:val="00CA43C7"/>
    <w:rsid w:val="00CA51D8"/>
    <w:rsid w:val="00CA7F71"/>
    <w:rsid w:val="00CB1CD9"/>
    <w:rsid w:val="00CB466B"/>
    <w:rsid w:val="00CB4B67"/>
    <w:rsid w:val="00CB5AF7"/>
    <w:rsid w:val="00CB66A1"/>
    <w:rsid w:val="00CC0110"/>
    <w:rsid w:val="00CC18DF"/>
    <w:rsid w:val="00CC42AC"/>
    <w:rsid w:val="00CC6032"/>
    <w:rsid w:val="00CD3CBF"/>
    <w:rsid w:val="00CD7AFB"/>
    <w:rsid w:val="00CE0807"/>
    <w:rsid w:val="00CE448D"/>
    <w:rsid w:val="00CE7A61"/>
    <w:rsid w:val="00CF0E3B"/>
    <w:rsid w:val="00CF2815"/>
    <w:rsid w:val="00CF6E09"/>
    <w:rsid w:val="00CF77E0"/>
    <w:rsid w:val="00D0028F"/>
    <w:rsid w:val="00D0518C"/>
    <w:rsid w:val="00D06718"/>
    <w:rsid w:val="00D10FD7"/>
    <w:rsid w:val="00D174F9"/>
    <w:rsid w:val="00D2197A"/>
    <w:rsid w:val="00D222B2"/>
    <w:rsid w:val="00D23120"/>
    <w:rsid w:val="00D238EE"/>
    <w:rsid w:val="00D26E08"/>
    <w:rsid w:val="00D27B26"/>
    <w:rsid w:val="00D30A36"/>
    <w:rsid w:val="00D312B2"/>
    <w:rsid w:val="00D32468"/>
    <w:rsid w:val="00D344B3"/>
    <w:rsid w:val="00D3706A"/>
    <w:rsid w:val="00D37995"/>
    <w:rsid w:val="00D4311A"/>
    <w:rsid w:val="00D43DE9"/>
    <w:rsid w:val="00D547DC"/>
    <w:rsid w:val="00D55190"/>
    <w:rsid w:val="00D56AEA"/>
    <w:rsid w:val="00D60085"/>
    <w:rsid w:val="00D60C6A"/>
    <w:rsid w:val="00D62941"/>
    <w:rsid w:val="00D6306E"/>
    <w:rsid w:val="00D65C74"/>
    <w:rsid w:val="00D65DE5"/>
    <w:rsid w:val="00D67E2D"/>
    <w:rsid w:val="00D73F77"/>
    <w:rsid w:val="00D7670A"/>
    <w:rsid w:val="00D813E5"/>
    <w:rsid w:val="00D82056"/>
    <w:rsid w:val="00D90D1E"/>
    <w:rsid w:val="00D90FFF"/>
    <w:rsid w:val="00D966C9"/>
    <w:rsid w:val="00D96BE0"/>
    <w:rsid w:val="00DA0594"/>
    <w:rsid w:val="00DA15E2"/>
    <w:rsid w:val="00DA21FB"/>
    <w:rsid w:val="00DA31EC"/>
    <w:rsid w:val="00DA5A85"/>
    <w:rsid w:val="00DA6808"/>
    <w:rsid w:val="00DB01BF"/>
    <w:rsid w:val="00DB04A7"/>
    <w:rsid w:val="00DB0F4C"/>
    <w:rsid w:val="00DB0F75"/>
    <w:rsid w:val="00DB23B4"/>
    <w:rsid w:val="00DB2A92"/>
    <w:rsid w:val="00DB3CB7"/>
    <w:rsid w:val="00DB7E76"/>
    <w:rsid w:val="00DC25C4"/>
    <w:rsid w:val="00DC2865"/>
    <w:rsid w:val="00DC6537"/>
    <w:rsid w:val="00DD0BC6"/>
    <w:rsid w:val="00DD151D"/>
    <w:rsid w:val="00DD164F"/>
    <w:rsid w:val="00DD433A"/>
    <w:rsid w:val="00DD517A"/>
    <w:rsid w:val="00DD56D5"/>
    <w:rsid w:val="00DD5D55"/>
    <w:rsid w:val="00DD7A21"/>
    <w:rsid w:val="00DD7C85"/>
    <w:rsid w:val="00DE02EF"/>
    <w:rsid w:val="00DE15D1"/>
    <w:rsid w:val="00DE1E00"/>
    <w:rsid w:val="00DE2A7B"/>
    <w:rsid w:val="00DE3808"/>
    <w:rsid w:val="00DE5380"/>
    <w:rsid w:val="00DE56DF"/>
    <w:rsid w:val="00DF186F"/>
    <w:rsid w:val="00DF1C26"/>
    <w:rsid w:val="00DF42F7"/>
    <w:rsid w:val="00DF7968"/>
    <w:rsid w:val="00E075CA"/>
    <w:rsid w:val="00E12BCD"/>
    <w:rsid w:val="00E20E5A"/>
    <w:rsid w:val="00E21A0D"/>
    <w:rsid w:val="00E22362"/>
    <w:rsid w:val="00E223ED"/>
    <w:rsid w:val="00E26769"/>
    <w:rsid w:val="00E30E70"/>
    <w:rsid w:val="00E32899"/>
    <w:rsid w:val="00E403D2"/>
    <w:rsid w:val="00E41B13"/>
    <w:rsid w:val="00E4348E"/>
    <w:rsid w:val="00E4569B"/>
    <w:rsid w:val="00E46B93"/>
    <w:rsid w:val="00E47528"/>
    <w:rsid w:val="00E47DFE"/>
    <w:rsid w:val="00E507A9"/>
    <w:rsid w:val="00E52228"/>
    <w:rsid w:val="00E537F6"/>
    <w:rsid w:val="00E55917"/>
    <w:rsid w:val="00E56964"/>
    <w:rsid w:val="00E57FF3"/>
    <w:rsid w:val="00E632F3"/>
    <w:rsid w:val="00E641A0"/>
    <w:rsid w:val="00E659CF"/>
    <w:rsid w:val="00E66D58"/>
    <w:rsid w:val="00E731B9"/>
    <w:rsid w:val="00E76DB4"/>
    <w:rsid w:val="00E803F1"/>
    <w:rsid w:val="00E8051E"/>
    <w:rsid w:val="00E80555"/>
    <w:rsid w:val="00E80DD4"/>
    <w:rsid w:val="00E83BF7"/>
    <w:rsid w:val="00E867D7"/>
    <w:rsid w:val="00E879F0"/>
    <w:rsid w:val="00E9016E"/>
    <w:rsid w:val="00E91619"/>
    <w:rsid w:val="00E9213F"/>
    <w:rsid w:val="00E967CD"/>
    <w:rsid w:val="00E96C70"/>
    <w:rsid w:val="00EA21BC"/>
    <w:rsid w:val="00EA35CE"/>
    <w:rsid w:val="00EA3CAF"/>
    <w:rsid w:val="00EA55D7"/>
    <w:rsid w:val="00EA67F1"/>
    <w:rsid w:val="00EB043D"/>
    <w:rsid w:val="00EB5195"/>
    <w:rsid w:val="00EB5D94"/>
    <w:rsid w:val="00EC0B24"/>
    <w:rsid w:val="00EC2852"/>
    <w:rsid w:val="00EC2D59"/>
    <w:rsid w:val="00EC398D"/>
    <w:rsid w:val="00EC66DD"/>
    <w:rsid w:val="00EC6CA9"/>
    <w:rsid w:val="00EC7450"/>
    <w:rsid w:val="00ED2F68"/>
    <w:rsid w:val="00ED3BC1"/>
    <w:rsid w:val="00ED3E86"/>
    <w:rsid w:val="00ED4D69"/>
    <w:rsid w:val="00EE04B8"/>
    <w:rsid w:val="00EE42A3"/>
    <w:rsid w:val="00EE69A5"/>
    <w:rsid w:val="00EF0045"/>
    <w:rsid w:val="00EF130A"/>
    <w:rsid w:val="00EF17B6"/>
    <w:rsid w:val="00EF22E3"/>
    <w:rsid w:val="00EF495D"/>
    <w:rsid w:val="00EF4C3C"/>
    <w:rsid w:val="00EF6688"/>
    <w:rsid w:val="00F02E91"/>
    <w:rsid w:val="00F03058"/>
    <w:rsid w:val="00F03927"/>
    <w:rsid w:val="00F06054"/>
    <w:rsid w:val="00F23178"/>
    <w:rsid w:val="00F23671"/>
    <w:rsid w:val="00F240BF"/>
    <w:rsid w:val="00F244AE"/>
    <w:rsid w:val="00F25130"/>
    <w:rsid w:val="00F31564"/>
    <w:rsid w:val="00F400F6"/>
    <w:rsid w:val="00F41AEA"/>
    <w:rsid w:val="00F42C83"/>
    <w:rsid w:val="00F47CDF"/>
    <w:rsid w:val="00F50729"/>
    <w:rsid w:val="00F64A84"/>
    <w:rsid w:val="00F67ACB"/>
    <w:rsid w:val="00F73E18"/>
    <w:rsid w:val="00F81726"/>
    <w:rsid w:val="00F81C60"/>
    <w:rsid w:val="00F8328F"/>
    <w:rsid w:val="00F90655"/>
    <w:rsid w:val="00FA03F9"/>
    <w:rsid w:val="00FA0C5C"/>
    <w:rsid w:val="00FA20B7"/>
    <w:rsid w:val="00FA2CAE"/>
    <w:rsid w:val="00FA6039"/>
    <w:rsid w:val="00FA639C"/>
    <w:rsid w:val="00FB19EE"/>
    <w:rsid w:val="00FB2B3C"/>
    <w:rsid w:val="00FB2C5D"/>
    <w:rsid w:val="00FB3DE3"/>
    <w:rsid w:val="00FB63F2"/>
    <w:rsid w:val="00FB6571"/>
    <w:rsid w:val="00FC27FC"/>
    <w:rsid w:val="00FC3E65"/>
    <w:rsid w:val="00FC554B"/>
    <w:rsid w:val="00FC6936"/>
    <w:rsid w:val="00FC6C3D"/>
    <w:rsid w:val="00FD0DF8"/>
    <w:rsid w:val="00FD4714"/>
    <w:rsid w:val="00FD5FB7"/>
    <w:rsid w:val="00FD6888"/>
    <w:rsid w:val="00FE02F4"/>
    <w:rsid w:val="00FE47B2"/>
    <w:rsid w:val="00FF4125"/>
    <w:rsid w:val="00FF75D6"/>
    <w:rsid w:val="01082C1C"/>
    <w:rsid w:val="01FF64A0"/>
    <w:rsid w:val="02683D9C"/>
    <w:rsid w:val="02B0060C"/>
    <w:rsid w:val="02F10B3B"/>
    <w:rsid w:val="037615D4"/>
    <w:rsid w:val="04480F26"/>
    <w:rsid w:val="06DE1FCC"/>
    <w:rsid w:val="08290CCA"/>
    <w:rsid w:val="09100240"/>
    <w:rsid w:val="0B5E6E48"/>
    <w:rsid w:val="0CEC5C4E"/>
    <w:rsid w:val="0E791ACD"/>
    <w:rsid w:val="0FCF11B5"/>
    <w:rsid w:val="105B1C27"/>
    <w:rsid w:val="11855AB8"/>
    <w:rsid w:val="12375365"/>
    <w:rsid w:val="13894BD4"/>
    <w:rsid w:val="14C0145A"/>
    <w:rsid w:val="1573694A"/>
    <w:rsid w:val="19A42785"/>
    <w:rsid w:val="19BE37B1"/>
    <w:rsid w:val="19D35DC9"/>
    <w:rsid w:val="1A095B1C"/>
    <w:rsid w:val="1A790E39"/>
    <w:rsid w:val="1B13400B"/>
    <w:rsid w:val="1B581442"/>
    <w:rsid w:val="1C4158E2"/>
    <w:rsid w:val="1C797159"/>
    <w:rsid w:val="1C8925B5"/>
    <w:rsid w:val="1DF57486"/>
    <w:rsid w:val="1EFD344E"/>
    <w:rsid w:val="200619B3"/>
    <w:rsid w:val="20442937"/>
    <w:rsid w:val="20B00A53"/>
    <w:rsid w:val="219F3351"/>
    <w:rsid w:val="22C0005B"/>
    <w:rsid w:val="23262187"/>
    <w:rsid w:val="237A6EA7"/>
    <w:rsid w:val="24EB0EF7"/>
    <w:rsid w:val="25813F3F"/>
    <w:rsid w:val="25D95047"/>
    <w:rsid w:val="263207B7"/>
    <w:rsid w:val="27EC7731"/>
    <w:rsid w:val="28A36F3A"/>
    <w:rsid w:val="28D74C6C"/>
    <w:rsid w:val="290977AB"/>
    <w:rsid w:val="2A2F422E"/>
    <w:rsid w:val="2B2F6016"/>
    <w:rsid w:val="2B67049F"/>
    <w:rsid w:val="2C0478DE"/>
    <w:rsid w:val="2DBF7EF3"/>
    <w:rsid w:val="2E03776D"/>
    <w:rsid w:val="2E28403B"/>
    <w:rsid w:val="2F203538"/>
    <w:rsid w:val="2F555DEF"/>
    <w:rsid w:val="30CA6A32"/>
    <w:rsid w:val="32F565AA"/>
    <w:rsid w:val="333B5205"/>
    <w:rsid w:val="340003E3"/>
    <w:rsid w:val="345C4C66"/>
    <w:rsid w:val="368C70EA"/>
    <w:rsid w:val="3825367C"/>
    <w:rsid w:val="38DD44FA"/>
    <w:rsid w:val="390729F0"/>
    <w:rsid w:val="3AF22C42"/>
    <w:rsid w:val="3B42422F"/>
    <w:rsid w:val="3BD90E59"/>
    <w:rsid w:val="3BF2621D"/>
    <w:rsid w:val="3C2E5D95"/>
    <w:rsid w:val="3D577AFF"/>
    <w:rsid w:val="3E2D199D"/>
    <w:rsid w:val="3E9168E1"/>
    <w:rsid w:val="3EDC3F9E"/>
    <w:rsid w:val="3FC45AED"/>
    <w:rsid w:val="41371038"/>
    <w:rsid w:val="41396844"/>
    <w:rsid w:val="41E91E62"/>
    <w:rsid w:val="4412230A"/>
    <w:rsid w:val="44963158"/>
    <w:rsid w:val="44AF662F"/>
    <w:rsid w:val="455F4D57"/>
    <w:rsid w:val="45915CA2"/>
    <w:rsid w:val="46CE4F61"/>
    <w:rsid w:val="46DE2AC4"/>
    <w:rsid w:val="490C4C58"/>
    <w:rsid w:val="49207183"/>
    <w:rsid w:val="49307B69"/>
    <w:rsid w:val="49D874A8"/>
    <w:rsid w:val="4A7F62D0"/>
    <w:rsid w:val="4A9378A7"/>
    <w:rsid w:val="4BDE5600"/>
    <w:rsid w:val="4E690D59"/>
    <w:rsid w:val="4E925073"/>
    <w:rsid w:val="4EBF104B"/>
    <w:rsid w:val="514A136D"/>
    <w:rsid w:val="518C2659"/>
    <w:rsid w:val="542C5CA1"/>
    <w:rsid w:val="55C66B4D"/>
    <w:rsid w:val="561400F5"/>
    <w:rsid w:val="585D5900"/>
    <w:rsid w:val="593E4F17"/>
    <w:rsid w:val="59A04067"/>
    <w:rsid w:val="5A1733FE"/>
    <w:rsid w:val="5BC3667D"/>
    <w:rsid w:val="5CDC447F"/>
    <w:rsid w:val="5EBD1A66"/>
    <w:rsid w:val="60401EBA"/>
    <w:rsid w:val="6138523A"/>
    <w:rsid w:val="62952E78"/>
    <w:rsid w:val="62A774E8"/>
    <w:rsid w:val="63FF44D2"/>
    <w:rsid w:val="64755C3C"/>
    <w:rsid w:val="6B8148C3"/>
    <w:rsid w:val="6C28108A"/>
    <w:rsid w:val="6C7D1163"/>
    <w:rsid w:val="6CA2619A"/>
    <w:rsid w:val="6E0C5020"/>
    <w:rsid w:val="6FEF212E"/>
    <w:rsid w:val="70254BDF"/>
    <w:rsid w:val="70A91FD2"/>
    <w:rsid w:val="7152379B"/>
    <w:rsid w:val="718838E6"/>
    <w:rsid w:val="71903AD3"/>
    <w:rsid w:val="71BC3A02"/>
    <w:rsid w:val="72270599"/>
    <w:rsid w:val="72703F0A"/>
    <w:rsid w:val="730A69AB"/>
    <w:rsid w:val="73D23A69"/>
    <w:rsid w:val="73F70EE8"/>
    <w:rsid w:val="74245A33"/>
    <w:rsid w:val="768855C8"/>
    <w:rsid w:val="78E63056"/>
    <w:rsid w:val="791630D0"/>
    <w:rsid w:val="79867B84"/>
    <w:rsid w:val="7B71300D"/>
    <w:rsid w:val="7CA96C0F"/>
    <w:rsid w:val="7CB30C26"/>
    <w:rsid w:val="7D0356D5"/>
    <w:rsid w:val="7D0A3391"/>
    <w:rsid w:val="7DA84959"/>
    <w:rsid w:val="7E7431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0" w:semiHidden="0" w:name="toc 3"/>
    <w:lsdException w:qFormat="1" w:uiPriority="0" w:semiHidden="0" w:name="toc 4"/>
    <w:lsdException w:qFormat="1" w:uiPriority="0" w:semiHidden="0" w:name="toc 5"/>
    <w:lsdException w:qFormat="1" w:uiPriority="0" w:semiHidden="0" w:name="toc 6"/>
    <w:lsdException w:qFormat="1" w:uiPriority="0" w:semiHidden="0" w:name="toc 7"/>
    <w:lsdException w:qFormat="1" w:uiPriority="0" w:semiHidden="0" w:name="toc 8"/>
    <w:lsdException w:qFormat="1" w:uiPriority="0" w:semiHidden="0" w:name="toc 9"/>
    <w:lsdException w:qFormat="1" w:uiPriority="0" w:semiHidden="0" w:name="Normal Indent"/>
    <w:lsdException w:qFormat="1" w:uiPriority="0" w:semiHidden="0"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qFormat="1" w:uiPriority="0" w:semiHidden="0"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0"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iPriority="0" w:semiHidden="0" w:name="Date"/>
    <w:lsdException w:qFormat="1" w:uiPriority="0" w:semiHidden="0" w:name="Body Text First Indent"/>
    <w:lsdException w:uiPriority="99" w:name="Body Text First Indent 2"/>
    <w:lsdException w:uiPriority="99" w:name="Note Heading"/>
    <w:lsdException w:qFormat="1" w:uiPriority="0" w:semiHidden="0" w:name="Body Text 2"/>
    <w:lsdException w:qFormat="1" w:uiPriority="0" w:semiHidden="0" w:name="Body Text 3"/>
    <w:lsdException w:qFormat="1" w:uiPriority="0" w:semiHidden="0" w:name="Body Text Indent 2"/>
    <w:lsdException w:qFormat="1" w:uiPriority="0" w:semiHidden="0" w:name="Body Text Indent 3"/>
    <w:lsdException w:qFormat="1" w:uiPriority="0" w:semiHidden="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0" w:semiHidden="0" w:name="Document Map"/>
    <w:lsdException w:qFormat="1"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bidi="ar-SA"/>
    </w:rPr>
  </w:style>
  <w:style w:type="paragraph" w:styleId="3">
    <w:name w:val="heading 1"/>
    <w:basedOn w:val="1"/>
    <w:next w:val="1"/>
    <w:link w:val="49"/>
    <w:qFormat/>
    <w:uiPriority w:val="0"/>
    <w:pPr>
      <w:keepNext/>
      <w:keepLines/>
      <w:numPr>
        <w:ilvl w:val="0"/>
        <w:numId w:val="1"/>
      </w:numPr>
      <w:spacing w:before="340" w:after="330" w:line="400" w:lineRule="exact"/>
      <w:jc w:val="center"/>
      <w:outlineLvl w:val="0"/>
    </w:pPr>
    <w:rPr>
      <w:rFonts w:ascii="宋体" w:hAnsi="宋体" w:cs="宋体"/>
      <w:b/>
      <w:bCs/>
      <w:spacing w:val="-20"/>
      <w:kern w:val="44"/>
      <w:sz w:val="32"/>
      <w:szCs w:val="32"/>
    </w:rPr>
  </w:style>
  <w:style w:type="paragraph" w:styleId="2">
    <w:name w:val="heading 2"/>
    <w:basedOn w:val="1"/>
    <w:next w:val="1"/>
    <w:link w:val="50"/>
    <w:unhideWhenUsed/>
    <w:qFormat/>
    <w:uiPriority w:val="0"/>
    <w:pPr>
      <w:keepNext/>
      <w:keepLines/>
      <w:numPr>
        <w:ilvl w:val="1"/>
        <w:numId w:val="1"/>
      </w:numPr>
      <w:spacing w:before="260" w:after="260" w:line="360" w:lineRule="auto"/>
      <w:jc w:val="left"/>
      <w:outlineLvl w:val="1"/>
    </w:pPr>
    <w:rPr>
      <w:rFonts w:ascii="宋体" w:hAnsi="宋体" w:cs="宋体"/>
      <w:b/>
      <w:bCs/>
      <w:sz w:val="28"/>
      <w:szCs w:val="28"/>
    </w:rPr>
  </w:style>
  <w:style w:type="paragraph" w:styleId="4">
    <w:name w:val="heading 3"/>
    <w:basedOn w:val="1"/>
    <w:next w:val="1"/>
    <w:link w:val="51"/>
    <w:unhideWhenUsed/>
    <w:qFormat/>
    <w:uiPriority w:val="0"/>
    <w:pPr>
      <w:keepNext/>
      <w:keepLines/>
      <w:numPr>
        <w:ilvl w:val="2"/>
        <w:numId w:val="1"/>
      </w:numPr>
      <w:spacing w:line="360" w:lineRule="auto"/>
      <w:outlineLvl w:val="2"/>
    </w:pPr>
    <w:rPr>
      <w:rFonts w:ascii="宋体" w:hAnsi="宋体" w:cs="宋体"/>
      <w:b/>
      <w:bCs/>
      <w:color w:val="000000"/>
      <w:kern w:val="0"/>
      <w:sz w:val="28"/>
      <w:szCs w:val="28"/>
    </w:rPr>
  </w:style>
  <w:style w:type="paragraph" w:styleId="5">
    <w:name w:val="heading 4"/>
    <w:basedOn w:val="1"/>
    <w:next w:val="1"/>
    <w:link w:val="52"/>
    <w:unhideWhenUsed/>
    <w:qFormat/>
    <w:uiPriority w:val="9"/>
    <w:pPr>
      <w:keepNext/>
      <w:keepLines/>
      <w:numPr>
        <w:ilvl w:val="3"/>
        <w:numId w:val="1"/>
      </w:numPr>
      <w:spacing w:before="120" w:after="120" w:line="360" w:lineRule="auto"/>
      <w:jc w:val="left"/>
      <w:outlineLvl w:val="3"/>
    </w:pPr>
    <w:rPr>
      <w:rFonts w:ascii="Arial" w:hAnsi="Arial"/>
      <w:b/>
      <w:bCs/>
      <w:kern w:val="0"/>
      <w:sz w:val="28"/>
      <w:szCs w:val="28"/>
    </w:rPr>
  </w:style>
  <w:style w:type="paragraph" w:styleId="6">
    <w:name w:val="heading 5"/>
    <w:basedOn w:val="1"/>
    <w:next w:val="1"/>
    <w:link w:val="53"/>
    <w:unhideWhenUsed/>
    <w:qFormat/>
    <w:uiPriority w:val="0"/>
    <w:pPr>
      <w:numPr>
        <w:ilvl w:val="4"/>
        <w:numId w:val="2"/>
      </w:numPr>
      <w:tabs>
        <w:tab w:val="left" w:pos="1134"/>
      </w:tabs>
      <w:spacing w:before="280" w:after="290" w:line="360" w:lineRule="auto"/>
      <w:outlineLvl w:val="4"/>
    </w:pPr>
    <w:rPr>
      <w:rFonts w:cs="宋体"/>
      <w:b/>
      <w:bCs/>
      <w:kern w:val="0"/>
      <w:sz w:val="28"/>
      <w:szCs w:val="28"/>
    </w:rPr>
  </w:style>
  <w:style w:type="paragraph" w:styleId="7">
    <w:name w:val="heading 6"/>
    <w:basedOn w:val="1"/>
    <w:next w:val="1"/>
    <w:link w:val="54"/>
    <w:unhideWhenUsed/>
    <w:qFormat/>
    <w:uiPriority w:val="0"/>
    <w:pPr>
      <w:keepNext/>
      <w:keepLines/>
      <w:numPr>
        <w:ilvl w:val="5"/>
        <w:numId w:val="2"/>
      </w:numPr>
      <w:spacing w:before="240" w:after="64" w:line="314" w:lineRule="auto"/>
      <w:outlineLvl w:val="5"/>
    </w:pPr>
    <w:rPr>
      <w:rFonts w:ascii="Arial" w:hAnsi="Arial"/>
      <w:b/>
      <w:bCs/>
      <w:kern w:val="0"/>
      <w:sz w:val="28"/>
      <w:szCs w:val="18"/>
    </w:rPr>
  </w:style>
  <w:style w:type="paragraph" w:styleId="8">
    <w:name w:val="heading 7"/>
    <w:basedOn w:val="1"/>
    <w:next w:val="1"/>
    <w:link w:val="55"/>
    <w:unhideWhenUsed/>
    <w:qFormat/>
    <w:uiPriority w:val="0"/>
    <w:pPr>
      <w:keepNext/>
      <w:widowControl/>
      <w:tabs>
        <w:tab w:val="left" w:pos="3600"/>
      </w:tabs>
      <w:spacing w:after="120"/>
      <w:jc w:val="left"/>
      <w:outlineLvl w:val="6"/>
    </w:pPr>
    <w:rPr>
      <w:rFonts w:ascii="Arial Narrow" w:hAnsi="Arial Narrow"/>
      <w:b/>
      <w:bCs/>
      <w:iCs/>
      <w:kern w:val="0"/>
      <w:sz w:val="20"/>
      <w:szCs w:val="24"/>
      <w:lang w:eastAsia="en-US"/>
    </w:rPr>
  </w:style>
  <w:style w:type="paragraph" w:styleId="9">
    <w:name w:val="heading 8"/>
    <w:basedOn w:val="1"/>
    <w:next w:val="1"/>
    <w:link w:val="56"/>
    <w:unhideWhenUsed/>
    <w:qFormat/>
    <w:uiPriority w:val="0"/>
    <w:pPr>
      <w:keepNext/>
      <w:keepLines/>
      <w:spacing w:before="240" w:after="64" w:line="314" w:lineRule="auto"/>
      <w:outlineLvl w:val="7"/>
    </w:pPr>
    <w:rPr>
      <w:rFonts w:ascii="Arial" w:hAnsi="Arial" w:eastAsia="黑体"/>
      <w:kern w:val="0"/>
      <w:sz w:val="24"/>
      <w:szCs w:val="24"/>
    </w:rPr>
  </w:style>
  <w:style w:type="paragraph" w:styleId="10">
    <w:name w:val="heading 9"/>
    <w:basedOn w:val="1"/>
    <w:next w:val="1"/>
    <w:link w:val="57"/>
    <w:unhideWhenUsed/>
    <w:qFormat/>
    <w:uiPriority w:val="0"/>
    <w:pPr>
      <w:keepNext/>
      <w:keepLines/>
      <w:spacing w:before="240" w:after="64" w:line="314" w:lineRule="auto"/>
      <w:outlineLvl w:val="8"/>
    </w:pPr>
    <w:rPr>
      <w:rFonts w:ascii="Arial" w:hAnsi="Arial" w:eastAsia="黑体"/>
      <w:kern w:val="0"/>
      <w:sz w:val="20"/>
      <w:szCs w:val="21"/>
    </w:rPr>
  </w:style>
  <w:style w:type="character" w:default="1" w:styleId="43">
    <w:name w:val="Default Paragraph Font"/>
    <w:unhideWhenUsed/>
    <w:qFormat/>
    <w:uiPriority w:val="1"/>
  </w:style>
  <w:style w:type="table" w:default="1" w:styleId="41">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0"/>
    <w:pPr>
      <w:ind w:left="2520" w:leftChars="1200"/>
    </w:pPr>
    <w:rPr>
      <w:rFonts w:ascii="Times New Roman" w:hAnsi="Times New Roman"/>
      <w:szCs w:val="24"/>
    </w:rPr>
  </w:style>
  <w:style w:type="paragraph" w:styleId="12">
    <w:name w:val="Normal Indent"/>
    <w:basedOn w:val="1"/>
    <w:link w:val="58"/>
    <w:unhideWhenUsed/>
    <w:qFormat/>
    <w:uiPriority w:val="0"/>
    <w:pPr>
      <w:spacing w:after="180" w:line="307" w:lineRule="auto"/>
      <w:ind w:firstLine="420"/>
    </w:pPr>
    <w:rPr>
      <w:rFonts w:asciiTheme="minorHAnsi" w:hAnsiTheme="minorHAnsi" w:eastAsiaTheme="minorEastAsia" w:cstheme="minorBidi"/>
    </w:rPr>
  </w:style>
  <w:style w:type="paragraph" w:styleId="13">
    <w:name w:val="caption"/>
    <w:basedOn w:val="1"/>
    <w:next w:val="1"/>
    <w:unhideWhenUsed/>
    <w:qFormat/>
    <w:uiPriority w:val="0"/>
    <w:pPr>
      <w:spacing w:before="152" w:after="160" w:line="360" w:lineRule="auto"/>
    </w:pPr>
    <w:rPr>
      <w:rFonts w:ascii="Arial" w:hAnsi="Arial" w:eastAsia="黑体" w:cs="Arial"/>
      <w:sz w:val="20"/>
      <w:szCs w:val="20"/>
    </w:rPr>
  </w:style>
  <w:style w:type="paragraph" w:styleId="14">
    <w:name w:val="Document Map"/>
    <w:basedOn w:val="1"/>
    <w:link w:val="73"/>
    <w:unhideWhenUsed/>
    <w:qFormat/>
    <w:uiPriority w:val="0"/>
    <w:pPr>
      <w:shd w:val="clear" w:color="auto" w:fill="000080"/>
    </w:pPr>
    <w:rPr>
      <w:rFonts w:ascii="Times New Roman" w:hAnsi="Times New Roman"/>
      <w:kern w:val="0"/>
      <w:sz w:val="18"/>
      <w:szCs w:val="18"/>
    </w:rPr>
  </w:style>
  <w:style w:type="paragraph" w:styleId="15">
    <w:name w:val="annotation text"/>
    <w:basedOn w:val="1"/>
    <w:next w:val="1"/>
    <w:link w:val="60"/>
    <w:unhideWhenUsed/>
    <w:qFormat/>
    <w:uiPriority w:val="0"/>
    <w:pPr>
      <w:jc w:val="left"/>
    </w:pPr>
    <w:rPr>
      <w:rFonts w:ascii="Times New Roman" w:hAnsi="Times New Roman"/>
      <w:kern w:val="0"/>
      <w:sz w:val="18"/>
      <w:szCs w:val="18"/>
    </w:rPr>
  </w:style>
  <w:style w:type="paragraph" w:styleId="16">
    <w:name w:val="Body Text 3"/>
    <w:basedOn w:val="1"/>
    <w:link w:val="70"/>
    <w:unhideWhenUsed/>
    <w:qFormat/>
    <w:uiPriority w:val="0"/>
    <w:pPr>
      <w:jc w:val="center"/>
    </w:pPr>
    <w:rPr>
      <w:rFonts w:ascii="Times New Roman" w:hAnsi="Times New Roman" w:eastAsia="黑体"/>
      <w:sz w:val="44"/>
      <w:szCs w:val="24"/>
    </w:rPr>
  </w:style>
  <w:style w:type="paragraph" w:styleId="17">
    <w:name w:val="Body Text"/>
    <w:basedOn w:val="1"/>
    <w:next w:val="18"/>
    <w:link w:val="63"/>
    <w:unhideWhenUsed/>
    <w:qFormat/>
    <w:uiPriority w:val="0"/>
    <w:pPr>
      <w:spacing w:after="120"/>
    </w:pPr>
  </w:style>
  <w:style w:type="paragraph" w:styleId="18">
    <w:name w:val="Body Text First Indent"/>
    <w:basedOn w:val="17"/>
    <w:link w:val="68"/>
    <w:unhideWhenUsed/>
    <w:qFormat/>
    <w:uiPriority w:val="0"/>
    <w:pPr>
      <w:ind w:firstLine="420" w:firstLineChars="100"/>
    </w:pPr>
    <w:rPr>
      <w:rFonts w:ascii="Times New Roman" w:hAnsi="Times New Roman"/>
      <w:kern w:val="0"/>
      <w:sz w:val="18"/>
      <w:szCs w:val="18"/>
    </w:rPr>
  </w:style>
  <w:style w:type="paragraph" w:styleId="19">
    <w:name w:val="Body Text Indent"/>
    <w:basedOn w:val="1"/>
    <w:link w:val="65"/>
    <w:unhideWhenUsed/>
    <w:qFormat/>
    <w:uiPriority w:val="0"/>
    <w:pPr>
      <w:spacing w:after="120"/>
      <w:ind w:left="420" w:leftChars="200"/>
    </w:pPr>
    <w:rPr>
      <w:rFonts w:ascii="Times New Roman" w:hAnsi="Times New Roman"/>
      <w:kern w:val="0"/>
      <w:sz w:val="20"/>
      <w:szCs w:val="24"/>
    </w:rPr>
  </w:style>
  <w:style w:type="paragraph" w:styleId="20">
    <w:name w:val="Block Text"/>
    <w:basedOn w:val="1"/>
    <w:unhideWhenUsed/>
    <w:qFormat/>
    <w:uiPriority w:val="0"/>
    <w:pPr>
      <w:ind w:left="-540" w:leftChars="-257" w:right="-334" w:rightChars="-159" w:firstLine="540" w:firstLineChars="180"/>
    </w:pPr>
    <w:rPr>
      <w:rFonts w:ascii="Times New Roman" w:hAnsi="Times New Roman"/>
      <w:sz w:val="30"/>
      <w:szCs w:val="24"/>
    </w:rPr>
  </w:style>
  <w:style w:type="paragraph" w:styleId="21">
    <w:name w:val="toc 5"/>
    <w:basedOn w:val="1"/>
    <w:next w:val="1"/>
    <w:unhideWhenUsed/>
    <w:qFormat/>
    <w:uiPriority w:val="0"/>
    <w:pPr>
      <w:ind w:left="1680" w:leftChars="800"/>
    </w:pPr>
    <w:rPr>
      <w:rFonts w:ascii="Times New Roman" w:hAnsi="Times New Roman"/>
      <w:sz w:val="18"/>
      <w:szCs w:val="18"/>
    </w:rPr>
  </w:style>
  <w:style w:type="paragraph" w:styleId="22">
    <w:name w:val="toc 3"/>
    <w:basedOn w:val="1"/>
    <w:next w:val="1"/>
    <w:unhideWhenUsed/>
    <w:qFormat/>
    <w:uiPriority w:val="0"/>
    <w:pPr>
      <w:tabs>
        <w:tab w:val="left" w:pos="709"/>
        <w:tab w:val="left" w:pos="993"/>
        <w:tab w:val="right" w:leader="dot" w:pos="8364"/>
      </w:tabs>
      <w:ind w:left="360"/>
      <w:jc w:val="left"/>
    </w:pPr>
    <w:rPr>
      <w:rFonts w:ascii="Times New Roman" w:hAnsi="Times New Roman" w:eastAsia="楷体_GB2312"/>
      <w:iCs/>
      <w:sz w:val="20"/>
      <w:szCs w:val="20"/>
    </w:rPr>
  </w:style>
  <w:style w:type="paragraph" w:styleId="23">
    <w:name w:val="Plain Text"/>
    <w:basedOn w:val="1"/>
    <w:link w:val="74"/>
    <w:unhideWhenUsed/>
    <w:qFormat/>
    <w:uiPriority w:val="0"/>
    <w:rPr>
      <w:rFonts w:ascii="宋体" w:hAnsi="Courier New"/>
      <w:kern w:val="0"/>
      <w:sz w:val="20"/>
      <w:szCs w:val="18"/>
    </w:rPr>
  </w:style>
  <w:style w:type="paragraph" w:styleId="24">
    <w:name w:val="toc 8"/>
    <w:basedOn w:val="1"/>
    <w:next w:val="1"/>
    <w:unhideWhenUsed/>
    <w:qFormat/>
    <w:uiPriority w:val="0"/>
    <w:pPr>
      <w:ind w:left="2940" w:leftChars="1400"/>
    </w:pPr>
    <w:rPr>
      <w:rFonts w:ascii="Times New Roman" w:hAnsi="Times New Roman"/>
      <w:szCs w:val="24"/>
    </w:rPr>
  </w:style>
  <w:style w:type="paragraph" w:styleId="25">
    <w:name w:val="Date"/>
    <w:basedOn w:val="1"/>
    <w:next w:val="1"/>
    <w:link w:val="67"/>
    <w:unhideWhenUsed/>
    <w:qFormat/>
    <w:uiPriority w:val="0"/>
    <w:pPr>
      <w:ind w:left="100" w:leftChars="2500"/>
    </w:pPr>
    <w:rPr>
      <w:rFonts w:ascii="Times New Roman" w:hAnsi="Times New Roman"/>
      <w:kern w:val="0"/>
      <w:sz w:val="24"/>
      <w:szCs w:val="24"/>
    </w:rPr>
  </w:style>
  <w:style w:type="paragraph" w:styleId="26">
    <w:name w:val="Body Text Indent 2"/>
    <w:basedOn w:val="1"/>
    <w:link w:val="71"/>
    <w:unhideWhenUsed/>
    <w:qFormat/>
    <w:uiPriority w:val="0"/>
    <w:pPr>
      <w:spacing w:after="120" w:line="480" w:lineRule="auto"/>
      <w:ind w:left="420" w:leftChars="200"/>
    </w:pPr>
  </w:style>
  <w:style w:type="paragraph" w:styleId="27">
    <w:name w:val="Balloon Text"/>
    <w:basedOn w:val="1"/>
    <w:link w:val="77"/>
    <w:unhideWhenUsed/>
    <w:qFormat/>
    <w:uiPriority w:val="99"/>
    <w:rPr>
      <w:rFonts w:ascii="Times New Roman" w:hAnsi="Times New Roman"/>
      <w:kern w:val="0"/>
      <w:sz w:val="18"/>
      <w:szCs w:val="18"/>
    </w:rPr>
  </w:style>
  <w:style w:type="paragraph" w:styleId="28">
    <w:name w:val="footer"/>
    <w:basedOn w:val="1"/>
    <w:link w:val="62"/>
    <w:unhideWhenUsed/>
    <w:qFormat/>
    <w:uiPriority w:val="99"/>
    <w:pPr>
      <w:tabs>
        <w:tab w:val="center" w:pos="4153"/>
        <w:tab w:val="right" w:pos="8306"/>
      </w:tabs>
      <w:snapToGrid w:val="0"/>
      <w:jc w:val="left"/>
    </w:pPr>
    <w:rPr>
      <w:kern w:val="0"/>
      <w:sz w:val="18"/>
      <w:szCs w:val="18"/>
    </w:rPr>
  </w:style>
  <w:style w:type="paragraph" w:styleId="29">
    <w:name w:val="header"/>
    <w:basedOn w:val="1"/>
    <w:link w:val="6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30">
    <w:name w:val="toc 1"/>
    <w:basedOn w:val="1"/>
    <w:next w:val="1"/>
    <w:unhideWhenUsed/>
    <w:qFormat/>
    <w:uiPriority w:val="39"/>
    <w:pPr>
      <w:tabs>
        <w:tab w:val="left" w:pos="709"/>
        <w:tab w:val="right" w:leader="dot" w:pos="8364"/>
      </w:tabs>
      <w:spacing w:before="120" w:after="120"/>
      <w:jc w:val="left"/>
    </w:pPr>
    <w:rPr>
      <w:rFonts w:ascii="华文中宋" w:hAnsi="华文中宋" w:eastAsia="华文中宋"/>
      <w:bCs/>
      <w:caps/>
      <w:sz w:val="20"/>
      <w:szCs w:val="20"/>
    </w:rPr>
  </w:style>
  <w:style w:type="paragraph" w:styleId="31">
    <w:name w:val="toc 4"/>
    <w:basedOn w:val="1"/>
    <w:next w:val="1"/>
    <w:unhideWhenUsed/>
    <w:qFormat/>
    <w:uiPriority w:val="0"/>
    <w:pPr>
      <w:ind w:left="1260" w:leftChars="600"/>
    </w:pPr>
    <w:rPr>
      <w:rFonts w:ascii="Times New Roman" w:hAnsi="Times New Roman"/>
      <w:sz w:val="18"/>
      <w:szCs w:val="18"/>
    </w:rPr>
  </w:style>
  <w:style w:type="paragraph" w:styleId="32">
    <w:name w:val="Subtitle"/>
    <w:basedOn w:val="1"/>
    <w:next w:val="1"/>
    <w:link w:val="66"/>
    <w:qFormat/>
    <w:uiPriority w:val="0"/>
    <w:pPr>
      <w:spacing w:before="240" w:after="60" w:line="312" w:lineRule="auto"/>
      <w:jc w:val="center"/>
      <w:outlineLvl w:val="1"/>
    </w:pPr>
    <w:rPr>
      <w:rFonts w:ascii="Cambria" w:hAnsi="Cambria"/>
      <w:b/>
      <w:bCs/>
      <w:kern w:val="28"/>
      <w:sz w:val="32"/>
      <w:szCs w:val="32"/>
    </w:rPr>
  </w:style>
  <w:style w:type="paragraph" w:styleId="33">
    <w:name w:val="footnote text"/>
    <w:basedOn w:val="1"/>
    <w:link w:val="59"/>
    <w:unhideWhenUsed/>
    <w:qFormat/>
    <w:uiPriority w:val="0"/>
    <w:pPr>
      <w:snapToGrid w:val="0"/>
      <w:jc w:val="left"/>
    </w:pPr>
    <w:rPr>
      <w:sz w:val="18"/>
      <w:szCs w:val="18"/>
    </w:rPr>
  </w:style>
  <w:style w:type="paragraph" w:styleId="34">
    <w:name w:val="toc 6"/>
    <w:basedOn w:val="1"/>
    <w:next w:val="1"/>
    <w:unhideWhenUsed/>
    <w:qFormat/>
    <w:uiPriority w:val="0"/>
    <w:pPr>
      <w:ind w:left="2100" w:leftChars="1000"/>
    </w:pPr>
    <w:rPr>
      <w:rFonts w:ascii="Times New Roman" w:hAnsi="Times New Roman"/>
      <w:szCs w:val="24"/>
    </w:rPr>
  </w:style>
  <w:style w:type="paragraph" w:styleId="35">
    <w:name w:val="Body Text Indent 3"/>
    <w:basedOn w:val="1"/>
    <w:link w:val="72"/>
    <w:unhideWhenUsed/>
    <w:qFormat/>
    <w:uiPriority w:val="0"/>
    <w:pPr>
      <w:spacing w:line="360" w:lineRule="auto"/>
      <w:ind w:left="153" w:leftChars="85" w:firstLine="560" w:firstLineChars="200"/>
    </w:pPr>
    <w:rPr>
      <w:rFonts w:ascii="宋体" w:hAnsi="宋体"/>
      <w:kern w:val="0"/>
      <w:sz w:val="28"/>
      <w:szCs w:val="28"/>
    </w:rPr>
  </w:style>
  <w:style w:type="paragraph" w:styleId="36">
    <w:name w:val="toc 2"/>
    <w:basedOn w:val="1"/>
    <w:next w:val="1"/>
    <w:unhideWhenUsed/>
    <w:qFormat/>
    <w:uiPriority w:val="39"/>
    <w:pPr>
      <w:tabs>
        <w:tab w:val="left" w:pos="620"/>
        <w:tab w:val="right" w:leader="dot" w:pos="8364"/>
      </w:tabs>
      <w:ind w:left="180"/>
      <w:jc w:val="left"/>
    </w:pPr>
    <w:rPr>
      <w:rFonts w:ascii="华文中宋" w:hAnsi="华文中宋" w:eastAsia="华文中宋"/>
      <w:smallCaps/>
      <w:sz w:val="20"/>
      <w:szCs w:val="20"/>
    </w:rPr>
  </w:style>
  <w:style w:type="paragraph" w:styleId="37">
    <w:name w:val="toc 9"/>
    <w:basedOn w:val="1"/>
    <w:next w:val="1"/>
    <w:unhideWhenUsed/>
    <w:qFormat/>
    <w:uiPriority w:val="0"/>
    <w:pPr>
      <w:ind w:left="3360" w:leftChars="1600"/>
    </w:pPr>
    <w:rPr>
      <w:rFonts w:ascii="Times New Roman" w:hAnsi="Times New Roman"/>
      <w:szCs w:val="24"/>
    </w:rPr>
  </w:style>
  <w:style w:type="paragraph" w:styleId="38">
    <w:name w:val="Body Text 2"/>
    <w:basedOn w:val="1"/>
    <w:link w:val="69"/>
    <w:unhideWhenUsed/>
    <w:qFormat/>
    <w:uiPriority w:val="0"/>
    <w:pPr>
      <w:spacing w:after="120" w:line="480" w:lineRule="auto"/>
    </w:pPr>
    <w:rPr>
      <w:rFonts w:ascii="Times New Roman" w:hAnsi="Times New Roman"/>
      <w:kern w:val="0"/>
      <w:sz w:val="18"/>
      <w:szCs w:val="18"/>
    </w:rPr>
  </w:style>
  <w:style w:type="paragraph" w:styleId="39">
    <w:name w:val="Normal (Web)"/>
    <w:basedOn w:val="1"/>
    <w:unhideWhenUsed/>
    <w:qFormat/>
    <w:uiPriority w:val="0"/>
    <w:pPr>
      <w:widowControl/>
      <w:spacing w:before="100" w:beforeAutospacing="1" w:after="100" w:afterAutospacing="1"/>
      <w:jc w:val="left"/>
    </w:pPr>
    <w:rPr>
      <w:rFonts w:ascii="宋体" w:hAnsi="宋体"/>
      <w:color w:val="000000"/>
      <w:kern w:val="0"/>
      <w:sz w:val="24"/>
      <w:szCs w:val="24"/>
    </w:rPr>
  </w:style>
  <w:style w:type="paragraph" w:styleId="40">
    <w:name w:val="annotation subject"/>
    <w:basedOn w:val="15"/>
    <w:next w:val="15"/>
    <w:link w:val="76"/>
    <w:unhideWhenUsed/>
    <w:qFormat/>
    <w:uiPriority w:val="99"/>
    <w:rPr>
      <w:rFonts w:ascii="Calibri" w:hAnsi="Calibri"/>
      <w:b/>
      <w:bCs/>
      <w:kern w:val="2"/>
      <w:sz w:val="21"/>
      <w:szCs w:val="22"/>
    </w:rPr>
  </w:style>
  <w:style w:type="table" w:styleId="42">
    <w:name w:val="Table Grid"/>
    <w:basedOn w:val="41"/>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4">
    <w:name w:val="FollowedHyperlink"/>
    <w:basedOn w:val="43"/>
    <w:unhideWhenUsed/>
    <w:qFormat/>
    <w:uiPriority w:val="99"/>
    <w:rPr>
      <w:color w:val="800080" w:themeColor="followedHyperlink"/>
      <w:u w:val="single"/>
      <w14:textFill>
        <w14:solidFill>
          <w14:schemeClr w14:val="folHlink"/>
        </w14:solidFill>
      </w14:textFill>
    </w:rPr>
  </w:style>
  <w:style w:type="character" w:styleId="45">
    <w:name w:val="Hyperlink"/>
    <w:unhideWhenUsed/>
    <w:qFormat/>
    <w:uiPriority w:val="99"/>
    <w:rPr>
      <w:color w:val="0000FF"/>
      <w:u w:val="single"/>
    </w:rPr>
  </w:style>
  <w:style w:type="character" w:styleId="46">
    <w:name w:val="annotation reference"/>
    <w:unhideWhenUsed/>
    <w:qFormat/>
    <w:uiPriority w:val="0"/>
    <w:rPr>
      <w:sz w:val="21"/>
      <w:szCs w:val="21"/>
    </w:rPr>
  </w:style>
  <w:style w:type="character" w:styleId="47">
    <w:name w:val="footnote reference"/>
    <w:unhideWhenUsed/>
    <w:qFormat/>
    <w:uiPriority w:val="0"/>
    <w:rPr>
      <w:vertAlign w:val="superscript"/>
    </w:rPr>
  </w:style>
  <w:style w:type="character" w:styleId="48">
    <w:name w:val="HTML Sample"/>
    <w:basedOn w:val="43"/>
    <w:semiHidden/>
    <w:unhideWhenUsed/>
    <w:qFormat/>
    <w:uiPriority w:val="99"/>
    <w:rPr>
      <w:rFonts w:ascii="Courier New" w:hAnsi="Courier New"/>
    </w:rPr>
  </w:style>
  <w:style w:type="character" w:customStyle="1" w:styleId="49">
    <w:name w:val="标题 1 字符"/>
    <w:basedOn w:val="43"/>
    <w:link w:val="3"/>
    <w:qFormat/>
    <w:uiPriority w:val="0"/>
    <w:rPr>
      <w:rFonts w:ascii="宋体" w:hAnsi="宋体" w:cs="宋体"/>
      <w:b/>
      <w:bCs/>
      <w:spacing w:val="-20"/>
      <w:kern w:val="44"/>
      <w:sz w:val="32"/>
      <w:szCs w:val="32"/>
    </w:rPr>
  </w:style>
  <w:style w:type="character" w:customStyle="1" w:styleId="50">
    <w:name w:val="标题 2 字符"/>
    <w:basedOn w:val="43"/>
    <w:link w:val="2"/>
    <w:qFormat/>
    <w:uiPriority w:val="0"/>
    <w:rPr>
      <w:rFonts w:ascii="宋体" w:hAnsi="宋体" w:cs="宋体"/>
      <w:b/>
      <w:bCs/>
      <w:kern w:val="2"/>
      <w:sz w:val="28"/>
      <w:szCs w:val="28"/>
    </w:rPr>
  </w:style>
  <w:style w:type="character" w:customStyle="1" w:styleId="51">
    <w:name w:val="标题 3 字符"/>
    <w:basedOn w:val="43"/>
    <w:link w:val="4"/>
    <w:qFormat/>
    <w:uiPriority w:val="0"/>
    <w:rPr>
      <w:rFonts w:ascii="宋体" w:hAnsi="宋体" w:cs="宋体"/>
      <w:b/>
      <w:bCs/>
      <w:color w:val="000000"/>
      <w:sz w:val="28"/>
      <w:szCs w:val="28"/>
    </w:rPr>
  </w:style>
  <w:style w:type="character" w:customStyle="1" w:styleId="52">
    <w:name w:val="标题 4 字符"/>
    <w:basedOn w:val="43"/>
    <w:link w:val="5"/>
    <w:qFormat/>
    <w:uiPriority w:val="9"/>
    <w:rPr>
      <w:rFonts w:ascii="Arial" w:hAnsi="Arial"/>
      <w:b/>
      <w:bCs/>
      <w:sz w:val="28"/>
      <w:szCs w:val="28"/>
    </w:rPr>
  </w:style>
  <w:style w:type="character" w:customStyle="1" w:styleId="53">
    <w:name w:val="标题 5 字符"/>
    <w:basedOn w:val="43"/>
    <w:link w:val="6"/>
    <w:qFormat/>
    <w:uiPriority w:val="0"/>
    <w:rPr>
      <w:rFonts w:ascii="Calibri" w:hAnsi="Calibri" w:cs="宋体"/>
      <w:b/>
      <w:bCs/>
      <w:sz w:val="28"/>
      <w:szCs w:val="28"/>
    </w:rPr>
  </w:style>
  <w:style w:type="character" w:customStyle="1" w:styleId="54">
    <w:name w:val="标题 6 字符"/>
    <w:basedOn w:val="43"/>
    <w:link w:val="7"/>
    <w:qFormat/>
    <w:uiPriority w:val="0"/>
    <w:rPr>
      <w:rFonts w:ascii="Arial" w:hAnsi="Arial"/>
      <w:b/>
      <w:bCs/>
      <w:sz w:val="28"/>
      <w:szCs w:val="18"/>
    </w:rPr>
  </w:style>
  <w:style w:type="character" w:customStyle="1" w:styleId="55">
    <w:name w:val="标题 7 字符"/>
    <w:basedOn w:val="43"/>
    <w:link w:val="8"/>
    <w:semiHidden/>
    <w:qFormat/>
    <w:uiPriority w:val="0"/>
    <w:rPr>
      <w:rFonts w:ascii="Arial Narrow" w:hAnsi="Arial Narrow" w:eastAsia="宋体" w:cs="Times New Roman"/>
      <w:b/>
      <w:bCs/>
      <w:iCs/>
      <w:kern w:val="0"/>
      <w:sz w:val="20"/>
      <w:szCs w:val="24"/>
      <w:lang w:eastAsia="en-US"/>
    </w:rPr>
  </w:style>
  <w:style w:type="character" w:customStyle="1" w:styleId="56">
    <w:name w:val="标题 8 字符"/>
    <w:basedOn w:val="43"/>
    <w:link w:val="9"/>
    <w:semiHidden/>
    <w:qFormat/>
    <w:uiPriority w:val="0"/>
    <w:rPr>
      <w:rFonts w:ascii="Arial" w:hAnsi="Arial" w:eastAsia="黑体" w:cs="Times New Roman"/>
      <w:kern w:val="0"/>
      <w:sz w:val="24"/>
      <w:szCs w:val="24"/>
    </w:rPr>
  </w:style>
  <w:style w:type="character" w:customStyle="1" w:styleId="57">
    <w:name w:val="标题 9 字符"/>
    <w:basedOn w:val="43"/>
    <w:link w:val="10"/>
    <w:semiHidden/>
    <w:qFormat/>
    <w:uiPriority w:val="0"/>
    <w:rPr>
      <w:rFonts w:ascii="Arial" w:hAnsi="Arial" w:eastAsia="黑体" w:cs="Times New Roman"/>
      <w:kern w:val="0"/>
      <w:sz w:val="20"/>
      <w:szCs w:val="21"/>
    </w:rPr>
  </w:style>
  <w:style w:type="character" w:customStyle="1" w:styleId="58">
    <w:name w:val="正文缩进 字符"/>
    <w:link w:val="12"/>
    <w:qFormat/>
    <w:locked/>
    <w:uiPriority w:val="0"/>
  </w:style>
  <w:style w:type="character" w:customStyle="1" w:styleId="59">
    <w:name w:val="脚注文本 字符"/>
    <w:basedOn w:val="43"/>
    <w:link w:val="33"/>
    <w:qFormat/>
    <w:uiPriority w:val="0"/>
    <w:rPr>
      <w:rFonts w:ascii="Calibri" w:hAnsi="Calibri" w:eastAsia="宋体" w:cs="Times New Roman"/>
      <w:sz w:val="18"/>
      <w:szCs w:val="18"/>
    </w:rPr>
  </w:style>
  <w:style w:type="character" w:customStyle="1" w:styleId="60">
    <w:name w:val="批注文字 字符"/>
    <w:basedOn w:val="43"/>
    <w:link w:val="15"/>
    <w:qFormat/>
    <w:uiPriority w:val="99"/>
    <w:rPr>
      <w:rFonts w:ascii="Times New Roman" w:hAnsi="Times New Roman" w:eastAsia="宋体" w:cs="Times New Roman"/>
      <w:kern w:val="0"/>
      <w:sz w:val="18"/>
      <w:szCs w:val="18"/>
    </w:rPr>
  </w:style>
  <w:style w:type="character" w:customStyle="1" w:styleId="61">
    <w:name w:val="页眉 字符"/>
    <w:basedOn w:val="43"/>
    <w:link w:val="29"/>
    <w:qFormat/>
    <w:uiPriority w:val="99"/>
    <w:rPr>
      <w:rFonts w:ascii="Calibri" w:hAnsi="Calibri" w:eastAsia="宋体" w:cs="Times New Roman"/>
      <w:kern w:val="0"/>
      <w:sz w:val="18"/>
      <w:szCs w:val="18"/>
    </w:rPr>
  </w:style>
  <w:style w:type="character" w:customStyle="1" w:styleId="62">
    <w:name w:val="页脚 字符"/>
    <w:basedOn w:val="43"/>
    <w:link w:val="28"/>
    <w:qFormat/>
    <w:uiPriority w:val="99"/>
    <w:rPr>
      <w:rFonts w:ascii="Calibri" w:hAnsi="Calibri" w:eastAsia="宋体" w:cs="Times New Roman"/>
      <w:kern w:val="0"/>
      <w:sz w:val="18"/>
      <w:szCs w:val="18"/>
    </w:rPr>
  </w:style>
  <w:style w:type="character" w:customStyle="1" w:styleId="63">
    <w:name w:val="正文文本 字符"/>
    <w:basedOn w:val="43"/>
    <w:link w:val="17"/>
    <w:qFormat/>
    <w:locked/>
    <w:uiPriority w:val="0"/>
    <w:rPr>
      <w:rFonts w:ascii="Calibri" w:hAnsi="Calibri" w:eastAsia="宋体" w:cs="Times New Roman"/>
    </w:rPr>
  </w:style>
  <w:style w:type="character" w:customStyle="1" w:styleId="64">
    <w:name w:val="正文文本 Char"/>
    <w:basedOn w:val="43"/>
    <w:qFormat/>
    <w:uiPriority w:val="0"/>
    <w:rPr>
      <w:rFonts w:ascii="Calibri" w:hAnsi="Calibri" w:eastAsia="宋体" w:cs="Times New Roman"/>
    </w:rPr>
  </w:style>
  <w:style w:type="character" w:customStyle="1" w:styleId="65">
    <w:name w:val="正文文本缩进 字符"/>
    <w:basedOn w:val="43"/>
    <w:link w:val="19"/>
    <w:qFormat/>
    <w:uiPriority w:val="0"/>
    <w:rPr>
      <w:rFonts w:ascii="Times New Roman" w:hAnsi="Times New Roman" w:eastAsia="宋体" w:cs="Times New Roman"/>
      <w:kern w:val="0"/>
      <w:sz w:val="20"/>
      <w:szCs w:val="24"/>
    </w:rPr>
  </w:style>
  <w:style w:type="character" w:customStyle="1" w:styleId="66">
    <w:name w:val="副标题 字符"/>
    <w:basedOn w:val="43"/>
    <w:link w:val="32"/>
    <w:qFormat/>
    <w:uiPriority w:val="0"/>
    <w:rPr>
      <w:rFonts w:ascii="Cambria" w:hAnsi="Cambria" w:eastAsia="宋体" w:cs="Times New Roman"/>
      <w:b/>
      <w:bCs/>
      <w:kern w:val="28"/>
      <w:sz w:val="32"/>
      <w:szCs w:val="32"/>
    </w:rPr>
  </w:style>
  <w:style w:type="character" w:customStyle="1" w:styleId="67">
    <w:name w:val="日期 字符"/>
    <w:basedOn w:val="43"/>
    <w:link w:val="25"/>
    <w:qFormat/>
    <w:uiPriority w:val="0"/>
    <w:rPr>
      <w:rFonts w:ascii="Times New Roman" w:hAnsi="Times New Roman" w:eastAsia="宋体" w:cs="Times New Roman"/>
      <w:kern w:val="0"/>
      <w:sz w:val="24"/>
      <w:szCs w:val="24"/>
    </w:rPr>
  </w:style>
  <w:style w:type="character" w:customStyle="1" w:styleId="68">
    <w:name w:val="正文首行缩进 字符"/>
    <w:basedOn w:val="64"/>
    <w:link w:val="18"/>
    <w:qFormat/>
    <w:uiPriority w:val="0"/>
    <w:rPr>
      <w:rFonts w:ascii="Times New Roman" w:hAnsi="Times New Roman" w:eastAsia="宋体" w:cs="Times New Roman"/>
      <w:kern w:val="0"/>
      <w:sz w:val="18"/>
      <w:szCs w:val="18"/>
    </w:rPr>
  </w:style>
  <w:style w:type="character" w:customStyle="1" w:styleId="69">
    <w:name w:val="正文文本 2 字符"/>
    <w:basedOn w:val="43"/>
    <w:link w:val="38"/>
    <w:qFormat/>
    <w:uiPriority w:val="0"/>
    <w:rPr>
      <w:rFonts w:ascii="Times New Roman" w:hAnsi="Times New Roman" w:eastAsia="宋体" w:cs="Times New Roman"/>
      <w:kern w:val="0"/>
      <w:sz w:val="18"/>
      <w:szCs w:val="18"/>
    </w:rPr>
  </w:style>
  <w:style w:type="character" w:customStyle="1" w:styleId="70">
    <w:name w:val="正文文本 3 字符"/>
    <w:basedOn w:val="43"/>
    <w:link w:val="16"/>
    <w:qFormat/>
    <w:uiPriority w:val="0"/>
    <w:rPr>
      <w:rFonts w:ascii="Times New Roman" w:hAnsi="Times New Roman" w:eastAsia="黑体" w:cs="Times New Roman"/>
      <w:sz w:val="44"/>
      <w:szCs w:val="24"/>
    </w:rPr>
  </w:style>
  <w:style w:type="character" w:customStyle="1" w:styleId="71">
    <w:name w:val="正文文本缩进 2 字符"/>
    <w:basedOn w:val="43"/>
    <w:link w:val="26"/>
    <w:qFormat/>
    <w:uiPriority w:val="0"/>
    <w:rPr>
      <w:rFonts w:ascii="Calibri" w:hAnsi="Calibri" w:eastAsia="宋体" w:cs="Times New Roman"/>
    </w:rPr>
  </w:style>
  <w:style w:type="character" w:customStyle="1" w:styleId="72">
    <w:name w:val="正文文本缩进 3 字符"/>
    <w:basedOn w:val="43"/>
    <w:link w:val="35"/>
    <w:qFormat/>
    <w:uiPriority w:val="0"/>
    <w:rPr>
      <w:rFonts w:ascii="宋体" w:hAnsi="宋体" w:eastAsia="宋体" w:cs="Times New Roman"/>
      <w:kern w:val="0"/>
      <w:sz w:val="28"/>
      <w:szCs w:val="28"/>
    </w:rPr>
  </w:style>
  <w:style w:type="character" w:customStyle="1" w:styleId="73">
    <w:name w:val="文档结构图 字符"/>
    <w:basedOn w:val="43"/>
    <w:link w:val="14"/>
    <w:qFormat/>
    <w:uiPriority w:val="0"/>
    <w:rPr>
      <w:rFonts w:ascii="Times New Roman" w:hAnsi="Times New Roman" w:eastAsia="宋体" w:cs="Times New Roman"/>
      <w:kern w:val="0"/>
      <w:sz w:val="18"/>
      <w:szCs w:val="18"/>
      <w:shd w:val="clear" w:color="auto" w:fill="000080"/>
    </w:rPr>
  </w:style>
  <w:style w:type="character" w:customStyle="1" w:styleId="74">
    <w:name w:val="纯文本 字符"/>
    <w:link w:val="23"/>
    <w:qFormat/>
    <w:locked/>
    <w:uiPriority w:val="0"/>
    <w:rPr>
      <w:rFonts w:ascii="宋体" w:hAnsi="Courier New" w:eastAsia="宋体" w:cs="Times New Roman"/>
      <w:kern w:val="0"/>
      <w:sz w:val="20"/>
      <w:szCs w:val="18"/>
    </w:rPr>
  </w:style>
  <w:style w:type="character" w:customStyle="1" w:styleId="75">
    <w:name w:val="纯文本 Char"/>
    <w:basedOn w:val="43"/>
    <w:qFormat/>
    <w:uiPriority w:val="0"/>
    <w:rPr>
      <w:rFonts w:ascii="宋体" w:hAnsi="Courier New" w:eastAsia="宋体" w:cs="Courier New"/>
      <w:szCs w:val="21"/>
    </w:rPr>
  </w:style>
  <w:style w:type="character" w:customStyle="1" w:styleId="76">
    <w:name w:val="批注主题 字符"/>
    <w:basedOn w:val="60"/>
    <w:link w:val="40"/>
    <w:qFormat/>
    <w:uiPriority w:val="99"/>
    <w:rPr>
      <w:rFonts w:ascii="Calibri" w:hAnsi="Calibri" w:eastAsia="宋体" w:cs="Times New Roman"/>
      <w:b/>
      <w:bCs/>
      <w:kern w:val="0"/>
      <w:sz w:val="18"/>
      <w:szCs w:val="18"/>
    </w:rPr>
  </w:style>
  <w:style w:type="character" w:customStyle="1" w:styleId="77">
    <w:name w:val="批注框文本 字符"/>
    <w:basedOn w:val="43"/>
    <w:link w:val="27"/>
    <w:qFormat/>
    <w:uiPriority w:val="99"/>
    <w:rPr>
      <w:rFonts w:ascii="Times New Roman" w:hAnsi="Times New Roman" w:eastAsia="宋体" w:cs="Times New Roman"/>
      <w:kern w:val="0"/>
      <w:sz w:val="18"/>
      <w:szCs w:val="18"/>
    </w:rPr>
  </w:style>
  <w:style w:type="paragraph" w:customStyle="1" w:styleId="78">
    <w:name w:val="无间隔1"/>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79">
    <w:name w:val="列出段落 字符"/>
    <w:link w:val="80"/>
    <w:qFormat/>
    <w:locked/>
    <w:uiPriority w:val="99"/>
    <w:rPr>
      <w:rFonts w:ascii="Calibri" w:hAnsi="Calibri"/>
    </w:rPr>
  </w:style>
  <w:style w:type="paragraph" w:customStyle="1" w:styleId="80">
    <w:name w:val="列出段落1"/>
    <w:basedOn w:val="1"/>
    <w:link w:val="79"/>
    <w:qFormat/>
    <w:uiPriority w:val="99"/>
    <w:pPr>
      <w:ind w:firstLine="420" w:firstLineChars="200"/>
    </w:pPr>
    <w:rPr>
      <w:rFonts w:eastAsiaTheme="minorEastAsia" w:cstheme="minorBidi"/>
    </w:rPr>
  </w:style>
  <w:style w:type="character" w:customStyle="1" w:styleId="81">
    <w:name w:val="彩色列表 - 强调文字颜色 1 Char"/>
    <w:link w:val="82"/>
    <w:qFormat/>
    <w:locked/>
    <w:uiPriority w:val="0"/>
    <w:rPr>
      <w:rFonts w:ascii="Calibri" w:hAnsi="Calibri"/>
    </w:rPr>
  </w:style>
  <w:style w:type="paragraph" w:customStyle="1" w:styleId="82">
    <w:name w:val="彩色列表 - 强调文字颜色 11"/>
    <w:basedOn w:val="1"/>
    <w:link w:val="81"/>
    <w:qFormat/>
    <w:uiPriority w:val="0"/>
    <w:pPr>
      <w:ind w:firstLine="420" w:firstLineChars="200"/>
    </w:pPr>
    <w:rPr>
      <w:rFonts w:eastAsiaTheme="minorEastAsia" w:cstheme="minorBidi"/>
    </w:rPr>
  </w:style>
  <w:style w:type="paragraph" w:customStyle="1" w:styleId="83">
    <w:name w:val="样式 右侧:  1 字符1"/>
    <w:basedOn w:val="1"/>
    <w:qFormat/>
    <w:uiPriority w:val="0"/>
    <w:pPr>
      <w:ind w:left="240" w:leftChars="100" w:right="240" w:rightChars="100"/>
    </w:pPr>
    <w:rPr>
      <w:rFonts w:ascii="Times New Roman" w:hAnsi="Times New Roman" w:eastAsia="仿宋_GB2312" w:cs="宋体"/>
      <w:sz w:val="28"/>
      <w:szCs w:val="20"/>
    </w:rPr>
  </w:style>
  <w:style w:type="paragraph" w:customStyle="1" w:styleId="84">
    <w:name w:val="MM Title"/>
    <w:basedOn w:val="1"/>
    <w:qFormat/>
    <w:uiPriority w:val="0"/>
    <w:pPr>
      <w:spacing w:before="240" w:after="60"/>
      <w:jc w:val="center"/>
      <w:outlineLvl w:val="0"/>
    </w:pPr>
    <w:rPr>
      <w:rFonts w:ascii="Arial" w:hAnsi="Arial" w:cs="Arial"/>
      <w:b/>
      <w:bCs/>
      <w:sz w:val="32"/>
      <w:szCs w:val="32"/>
    </w:rPr>
  </w:style>
  <w:style w:type="paragraph" w:customStyle="1" w:styleId="85">
    <w:name w:val="正文格式"/>
    <w:basedOn w:val="1"/>
    <w:qFormat/>
    <w:uiPriority w:val="0"/>
    <w:pPr>
      <w:widowControl/>
      <w:adjustRightInd w:val="0"/>
      <w:snapToGrid w:val="0"/>
      <w:spacing w:beforeLines="25" w:line="360" w:lineRule="auto"/>
      <w:ind w:firstLine="480" w:firstLineChars="200"/>
    </w:pPr>
    <w:rPr>
      <w:rFonts w:ascii="宋体" w:hAnsi="宋体"/>
      <w:bCs/>
      <w:color w:val="000000"/>
      <w:kern w:val="0"/>
      <w:sz w:val="24"/>
      <w:szCs w:val="24"/>
    </w:rPr>
  </w:style>
  <w:style w:type="paragraph" w:customStyle="1" w:styleId="86">
    <w:name w:val="默认段落字体 Para Char Char Char1 Char"/>
    <w:basedOn w:val="1"/>
    <w:next w:val="1"/>
    <w:qFormat/>
    <w:uiPriority w:val="0"/>
    <w:pPr>
      <w:spacing w:line="240" w:lineRule="atLeast"/>
      <w:ind w:left="420" w:firstLine="420"/>
      <w:jc w:val="left"/>
    </w:pPr>
    <w:rPr>
      <w:rFonts w:ascii="Times New Roman" w:hAnsi="Times New Roman"/>
      <w:kern w:val="0"/>
      <w:szCs w:val="21"/>
    </w:rPr>
  </w:style>
  <w:style w:type="paragraph" w:customStyle="1" w:styleId="87">
    <w:name w:val="gb_master正文"/>
    <w:basedOn w:val="1"/>
    <w:qFormat/>
    <w:uiPriority w:val="0"/>
    <w:pPr>
      <w:ind w:firstLine="200" w:firstLineChars="200"/>
    </w:pPr>
    <w:rPr>
      <w:rFonts w:ascii="Times New Roman" w:hAnsi="Times New Roman"/>
      <w:szCs w:val="24"/>
    </w:rPr>
  </w:style>
  <w:style w:type="paragraph" w:customStyle="1" w:styleId="88">
    <w:name w:val="p0"/>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89">
    <w:name w:val="无间隔11"/>
    <w:qFormat/>
    <w:uiPriority w:val="0"/>
    <w:pPr>
      <w:widowControl w:val="0"/>
      <w:spacing w:line="300" w:lineRule="auto"/>
      <w:jc w:val="center"/>
    </w:pPr>
    <w:rPr>
      <w:rFonts w:ascii="宋体" w:hAnsi="宋体" w:eastAsia="宋体" w:cs="Times New Roman"/>
      <w:kern w:val="2"/>
      <w:sz w:val="24"/>
      <w:szCs w:val="21"/>
      <w:lang w:val="en-US" w:eastAsia="zh-CN" w:bidi="ar-SA"/>
    </w:rPr>
  </w:style>
  <w:style w:type="paragraph" w:customStyle="1" w:styleId="90">
    <w:name w:val="Char2 Char Char Char"/>
    <w:basedOn w:val="1"/>
    <w:qFormat/>
    <w:uiPriority w:val="0"/>
    <w:rPr>
      <w:rFonts w:ascii="仿宋_GB2312" w:hAnsi="Times New Roman"/>
      <w:b/>
      <w:sz w:val="30"/>
      <w:szCs w:val="32"/>
    </w:rPr>
  </w:style>
  <w:style w:type="paragraph" w:customStyle="1" w:styleId="91">
    <w:name w:val="样式 样式 样式 标题 2 + 宋体 五号 非加粗 黑色 + 段前: 6 磅 段后: 0 磅 行距: 单倍行距 + 段前: 12..."/>
    <w:basedOn w:val="1"/>
    <w:qFormat/>
    <w:uiPriority w:val="0"/>
    <w:pPr>
      <w:keepNext/>
      <w:keepLines/>
      <w:tabs>
        <w:tab w:val="left" w:pos="1124"/>
      </w:tabs>
      <w:adjustRightInd w:val="0"/>
      <w:spacing w:before="240"/>
      <w:ind w:left="1124" w:hanging="420"/>
      <w:jc w:val="left"/>
      <w:outlineLvl w:val="1"/>
    </w:pPr>
    <w:rPr>
      <w:rFonts w:ascii="宋体" w:hAnsi="宋体" w:cs="宋体"/>
      <w:color w:val="000000"/>
      <w:kern w:val="0"/>
      <w:szCs w:val="20"/>
    </w:rPr>
  </w:style>
  <w:style w:type="paragraph" w:customStyle="1" w:styleId="9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4"/>
      <w:szCs w:val="24"/>
    </w:rPr>
  </w:style>
  <w:style w:type="paragraph" w:customStyle="1" w:styleId="93">
    <w:name w:val="默认段落字体 Para Char"/>
    <w:basedOn w:val="1"/>
    <w:qFormat/>
    <w:uiPriority w:val="0"/>
    <w:rPr>
      <w:rFonts w:ascii="Tahoma" w:hAnsi="Tahoma"/>
      <w:sz w:val="24"/>
      <w:szCs w:val="20"/>
    </w:rPr>
  </w:style>
  <w:style w:type="paragraph" w:customStyle="1" w:styleId="94">
    <w:name w:val="Char Char Char Char Char Char Char 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95">
    <w:name w:val="样式 行距: 1.5 倍行距 左  3.42 字符"/>
    <w:basedOn w:val="1"/>
    <w:qFormat/>
    <w:uiPriority w:val="0"/>
    <w:pPr>
      <w:spacing w:line="360" w:lineRule="auto"/>
      <w:ind w:left="200" w:leftChars="200" w:firstLine="200" w:firstLineChars="200"/>
    </w:pPr>
    <w:rPr>
      <w:rFonts w:ascii="Times New Roman" w:hAnsi="Times New Roman" w:cs="宋体"/>
      <w:szCs w:val="20"/>
    </w:rPr>
  </w:style>
  <w:style w:type="paragraph" w:customStyle="1" w:styleId="96">
    <w:name w:val="样式 正文缩进 + (中文) 仿宋_GB2312 小四 Char"/>
    <w:basedOn w:val="12"/>
    <w:qFormat/>
    <w:uiPriority w:val="0"/>
    <w:pPr>
      <w:spacing w:after="0" w:line="360" w:lineRule="auto"/>
      <w:ind w:firstLine="480" w:firstLineChars="200"/>
    </w:pPr>
    <w:rPr>
      <w:rFonts w:ascii="宋体" w:hAnsi="宋体"/>
      <w:sz w:val="24"/>
      <w:szCs w:val="24"/>
    </w:rPr>
  </w:style>
  <w:style w:type="paragraph" w:customStyle="1" w:styleId="97">
    <w:name w:val="表格文字"/>
    <w:basedOn w:val="1"/>
    <w:qFormat/>
    <w:uiPriority w:val="0"/>
    <w:pPr>
      <w:spacing w:beforeLines="25"/>
    </w:pPr>
    <w:rPr>
      <w:rFonts w:ascii="Times New (W1)" w:hAnsi="Times New (W1)"/>
      <w:spacing w:val="10"/>
      <w:szCs w:val="24"/>
    </w:rPr>
  </w:style>
  <w:style w:type="paragraph" w:customStyle="1" w:styleId="98">
    <w:name w:val="文章正文"/>
    <w:basedOn w:val="1"/>
    <w:qFormat/>
    <w:uiPriority w:val="0"/>
    <w:pPr>
      <w:spacing w:line="360" w:lineRule="auto"/>
      <w:ind w:firstLine="420"/>
    </w:pPr>
    <w:rPr>
      <w:rFonts w:ascii="Times New Roman" w:hAnsi="Times New Roman"/>
      <w:sz w:val="24"/>
      <w:szCs w:val="24"/>
    </w:rPr>
  </w:style>
  <w:style w:type="paragraph" w:customStyle="1" w:styleId="99">
    <w:name w:val="标书正文:  0.74 厘米"/>
    <w:basedOn w:val="1"/>
    <w:qFormat/>
    <w:uiPriority w:val="0"/>
    <w:pPr>
      <w:snapToGrid w:val="0"/>
      <w:spacing w:line="360" w:lineRule="auto"/>
      <w:ind w:firstLine="420"/>
    </w:pPr>
    <w:rPr>
      <w:rFonts w:ascii="Times New Roman" w:hAnsi="Times New Roman"/>
      <w:sz w:val="24"/>
      <w:szCs w:val="18"/>
    </w:rPr>
  </w:style>
  <w:style w:type="paragraph" w:customStyle="1" w:styleId="100">
    <w:name w:val="默认段落字体 Para Char Char"/>
    <w:basedOn w:val="1"/>
    <w:qFormat/>
    <w:uiPriority w:val="0"/>
    <w:rPr>
      <w:rFonts w:ascii="Times New Roman" w:hAnsi="Times New Roman"/>
      <w:szCs w:val="24"/>
    </w:rPr>
  </w:style>
  <w:style w:type="paragraph" w:customStyle="1" w:styleId="101">
    <w:name w:val="MM Topic 6"/>
    <w:basedOn w:val="7"/>
    <w:qFormat/>
    <w:uiPriority w:val="0"/>
    <w:pPr>
      <w:tabs>
        <w:tab w:val="left" w:pos="3260"/>
        <w:tab w:val="clear" w:pos="1702"/>
      </w:tabs>
      <w:ind w:left="0" w:firstLine="0"/>
    </w:pPr>
    <w:rPr>
      <w:rFonts w:eastAsia="黑体"/>
    </w:rPr>
  </w:style>
  <w:style w:type="paragraph" w:customStyle="1" w:styleId="102">
    <w:name w:val="Char1 Char Char Char"/>
    <w:basedOn w:val="1"/>
    <w:next w:val="1"/>
    <w:qFormat/>
    <w:uiPriority w:val="0"/>
    <w:pPr>
      <w:spacing w:line="240" w:lineRule="atLeast"/>
      <w:ind w:left="420" w:firstLine="420"/>
      <w:jc w:val="left"/>
    </w:pPr>
    <w:rPr>
      <w:rFonts w:ascii="Times New Roman" w:hAnsi="Times New Roman"/>
      <w:kern w:val="0"/>
      <w:szCs w:val="21"/>
    </w:rPr>
  </w:style>
  <w:style w:type="paragraph" w:customStyle="1" w:styleId="103">
    <w:name w:val="样式 首行缩进:  2 字符"/>
    <w:basedOn w:val="1"/>
    <w:qFormat/>
    <w:uiPriority w:val="0"/>
    <w:pPr>
      <w:spacing w:line="400" w:lineRule="exact"/>
      <w:ind w:firstLine="200" w:firstLineChars="200"/>
    </w:pPr>
    <w:rPr>
      <w:rFonts w:ascii="Times New Roman" w:hAnsi="Times New Roman" w:cs="宋体"/>
      <w:sz w:val="24"/>
      <w:szCs w:val="24"/>
    </w:rPr>
  </w:style>
  <w:style w:type="paragraph" w:customStyle="1" w:styleId="104">
    <w:name w:val="Char1"/>
    <w:basedOn w:val="1"/>
    <w:next w:val="1"/>
    <w:qFormat/>
    <w:uiPriority w:val="0"/>
    <w:pPr>
      <w:spacing w:line="240" w:lineRule="atLeast"/>
      <w:ind w:left="420" w:firstLine="420"/>
      <w:jc w:val="left"/>
    </w:pPr>
    <w:rPr>
      <w:rFonts w:ascii="Times New Roman" w:hAnsi="Times New Roman"/>
      <w:kern w:val="0"/>
      <w:szCs w:val="21"/>
    </w:rPr>
  </w:style>
  <w:style w:type="paragraph" w:customStyle="1" w:styleId="105">
    <w:name w:val="标题 5 + 首行缩进:  2 字符"/>
    <w:basedOn w:val="6"/>
    <w:next w:val="19"/>
    <w:qFormat/>
    <w:uiPriority w:val="0"/>
    <w:pPr>
      <w:tabs>
        <w:tab w:val="left" w:pos="992"/>
        <w:tab w:val="clear" w:pos="1134"/>
      </w:tabs>
      <w:snapToGrid w:val="0"/>
      <w:spacing w:before="0" w:beforeLines="50" w:after="0" w:afterLines="50"/>
      <w:ind w:left="3570" w:firstLine="482" w:firstLineChars="200"/>
    </w:pPr>
    <w:rPr>
      <w:rFonts w:cs="Times New Roman"/>
      <w:color w:val="000000"/>
      <w:szCs w:val="20"/>
    </w:rPr>
  </w:style>
  <w:style w:type="paragraph" w:customStyle="1" w:styleId="106">
    <w:name w:val="Char2 Char Char Char Char Char Char"/>
    <w:basedOn w:val="1"/>
    <w:qFormat/>
    <w:uiPriority w:val="0"/>
    <w:rPr>
      <w:rFonts w:ascii="仿宋_GB2312" w:hAnsi="Times New Roman"/>
      <w:b/>
      <w:sz w:val="30"/>
      <w:szCs w:val="32"/>
    </w:rPr>
  </w:style>
  <w:style w:type="paragraph" w:customStyle="1" w:styleId="107">
    <w:name w:val="MM Topic 2"/>
    <w:basedOn w:val="2"/>
    <w:qFormat/>
    <w:uiPriority w:val="0"/>
    <w:pPr>
      <w:numPr>
        <w:ilvl w:val="0"/>
        <w:numId w:val="0"/>
      </w:numPr>
      <w:tabs>
        <w:tab w:val="left" w:pos="992"/>
      </w:tabs>
    </w:pPr>
    <w:rPr>
      <w:rFonts w:cs="Times New Roman"/>
    </w:rPr>
  </w:style>
  <w:style w:type="paragraph" w:customStyle="1" w:styleId="108">
    <w:name w:val="Style Style4 + First line:  2 ch Before:  0.5 line After:  0.5 li..."/>
    <w:basedOn w:val="1"/>
    <w:qFormat/>
    <w:uiPriority w:val="0"/>
    <w:pPr>
      <w:spacing w:beforeLines="50" w:line="276" w:lineRule="auto"/>
      <w:ind w:firstLine="480" w:firstLineChars="200"/>
    </w:pPr>
    <w:rPr>
      <w:rFonts w:ascii="Arial" w:hAnsi="Arial"/>
      <w:sz w:val="24"/>
      <w:szCs w:val="20"/>
    </w:rPr>
  </w:style>
  <w:style w:type="paragraph" w:customStyle="1" w:styleId="109">
    <w:name w:val="正文 首行缩进:  2 字符 Char Char"/>
    <w:basedOn w:val="1"/>
    <w:qFormat/>
    <w:uiPriority w:val="0"/>
    <w:pPr>
      <w:spacing w:line="360" w:lineRule="auto"/>
      <w:ind w:firstLine="480"/>
    </w:pPr>
    <w:rPr>
      <w:rFonts w:ascii="Times New Roman" w:hAnsi="Times New Roman" w:cs="宋体"/>
      <w:sz w:val="24"/>
      <w:szCs w:val="20"/>
    </w:rPr>
  </w:style>
  <w:style w:type="paragraph" w:customStyle="1" w:styleId="110">
    <w:name w:val="MM Topic 8"/>
    <w:basedOn w:val="9"/>
    <w:qFormat/>
    <w:uiPriority w:val="0"/>
    <w:pPr>
      <w:tabs>
        <w:tab w:val="left" w:pos="4394"/>
      </w:tabs>
    </w:pPr>
  </w:style>
  <w:style w:type="paragraph" w:customStyle="1" w:styleId="111">
    <w:name w:val="Char1 Char Char Char Char Char Char"/>
    <w:basedOn w:val="1"/>
    <w:qFormat/>
    <w:uiPriority w:val="0"/>
    <w:rPr>
      <w:rFonts w:ascii="Tahoma" w:hAnsi="Tahoma"/>
      <w:sz w:val="24"/>
      <w:szCs w:val="20"/>
    </w:rPr>
  </w:style>
  <w:style w:type="paragraph" w:customStyle="1" w:styleId="112">
    <w:name w:val="RFI Heading 3rd Level"/>
    <w:basedOn w:val="1"/>
    <w:qFormat/>
    <w:uiPriority w:val="0"/>
    <w:pPr>
      <w:widowControl/>
      <w:tabs>
        <w:tab w:val="left" w:pos="720"/>
      </w:tabs>
      <w:ind w:left="720" w:hanging="720"/>
      <w:jc w:val="left"/>
    </w:pPr>
    <w:rPr>
      <w:rFonts w:ascii="Arial (W1)" w:hAnsi="Arial (W1)"/>
      <w:color w:val="000000"/>
      <w:kern w:val="0"/>
      <w:sz w:val="24"/>
      <w:szCs w:val="24"/>
      <w:lang w:val="en-GB" w:eastAsia="en-US"/>
    </w:rPr>
  </w:style>
  <w:style w:type="paragraph" w:customStyle="1" w:styleId="113">
    <w:name w:val="样式 小四2"/>
    <w:basedOn w:val="1"/>
    <w:qFormat/>
    <w:uiPriority w:val="0"/>
    <w:rPr>
      <w:rFonts w:ascii="宋体" w:hAnsi="宋体"/>
      <w:sz w:val="24"/>
      <w:szCs w:val="24"/>
    </w:rPr>
  </w:style>
  <w:style w:type="paragraph" w:customStyle="1" w:styleId="114">
    <w:name w:val="正文1"/>
    <w:qFormat/>
    <w:uiPriority w:val="0"/>
    <w:pPr>
      <w:widowControl w:val="0"/>
      <w:adjustRightInd w:val="0"/>
      <w:spacing w:line="312" w:lineRule="atLeast"/>
      <w:jc w:val="both"/>
    </w:pPr>
    <w:rPr>
      <w:rFonts w:ascii="宋体" w:hAnsi="Times New Roman" w:eastAsia="宋体" w:cs="Times New Roman"/>
      <w:sz w:val="34"/>
      <w:lang w:val="en-US" w:eastAsia="zh-CN" w:bidi="ar-SA"/>
    </w:rPr>
  </w:style>
  <w:style w:type="paragraph" w:customStyle="1" w:styleId="115">
    <w:name w:val="Char Char1"/>
    <w:basedOn w:val="1"/>
    <w:next w:val="1"/>
    <w:qFormat/>
    <w:uiPriority w:val="0"/>
    <w:pPr>
      <w:spacing w:line="240" w:lineRule="atLeast"/>
      <w:ind w:left="420" w:firstLine="420"/>
      <w:jc w:val="left"/>
    </w:pPr>
    <w:rPr>
      <w:rFonts w:ascii="楷体_GB2312" w:hAnsi="宋体" w:eastAsia="楷体_GB2312"/>
      <w:bCs/>
      <w:color w:val="000000"/>
      <w:kern w:val="0"/>
      <w:sz w:val="28"/>
      <w:szCs w:val="28"/>
    </w:rPr>
  </w:style>
  <w:style w:type="paragraph" w:customStyle="1" w:styleId="116">
    <w:name w:val="1 Char"/>
    <w:basedOn w:val="1"/>
    <w:qFormat/>
    <w:uiPriority w:val="0"/>
    <w:pPr>
      <w:widowControl/>
      <w:spacing w:after="160" w:line="240" w:lineRule="exact"/>
      <w:jc w:val="left"/>
    </w:pPr>
    <w:rPr>
      <w:rFonts w:ascii="Tahoma" w:hAnsi="Tahoma" w:eastAsia="Times New Roman"/>
      <w:kern w:val="0"/>
      <w:sz w:val="24"/>
      <w:szCs w:val="24"/>
      <w:lang w:eastAsia="en-US"/>
    </w:rPr>
  </w:style>
  <w:style w:type="paragraph" w:customStyle="1" w:styleId="117">
    <w:name w:val="09正文_wh"/>
    <w:qFormat/>
    <w:uiPriority w:val="0"/>
    <w:pPr>
      <w:spacing w:line="300" w:lineRule="auto"/>
      <w:ind w:firstLine="200" w:firstLineChars="200"/>
      <w:jc w:val="both"/>
    </w:pPr>
    <w:rPr>
      <w:rFonts w:ascii="Times New Roman" w:hAnsi="Times New Roman" w:eastAsia="宋体" w:cs="Times New Roman"/>
      <w:kern w:val="2"/>
      <w:sz w:val="28"/>
      <w:szCs w:val="24"/>
      <w:lang w:val="en-US" w:eastAsia="zh-CN" w:bidi="ar-SA"/>
    </w:rPr>
  </w:style>
  <w:style w:type="paragraph" w:customStyle="1" w:styleId="118">
    <w:name w:val="文章正文 Char Char1"/>
    <w:basedOn w:val="1"/>
    <w:qFormat/>
    <w:uiPriority w:val="0"/>
    <w:pPr>
      <w:spacing w:line="360" w:lineRule="auto"/>
      <w:ind w:firstLine="420"/>
    </w:pPr>
    <w:rPr>
      <w:rFonts w:ascii="Times New Roman" w:hAnsi="Times New Roman"/>
      <w:sz w:val="24"/>
      <w:szCs w:val="24"/>
    </w:rPr>
  </w:style>
  <w:style w:type="paragraph" w:customStyle="1" w:styleId="119">
    <w:name w:val="标题2-1"/>
    <w:basedOn w:val="1"/>
    <w:qFormat/>
    <w:uiPriority w:val="0"/>
    <w:pPr>
      <w:tabs>
        <w:tab w:val="left" w:pos="0"/>
      </w:tabs>
      <w:autoSpaceDE w:val="0"/>
      <w:autoSpaceDN w:val="0"/>
      <w:adjustRightInd w:val="0"/>
      <w:spacing w:beforeLines="50"/>
      <w:jc w:val="left"/>
      <w:outlineLvl w:val="1"/>
    </w:pPr>
    <w:rPr>
      <w:rFonts w:ascii="Arial" w:hAnsi="宋体" w:cs="Arial"/>
      <w:b/>
      <w:bCs/>
      <w:color w:val="292929"/>
      <w:kern w:val="0"/>
      <w:sz w:val="28"/>
      <w:szCs w:val="28"/>
    </w:rPr>
  </w:style>
  <w:style w:type="paragraph" w:customStyle="1" w:styleId="120">
    <w:name w:val="样式"/>
    <w:link w:val="121"/>
    <w:qFormat/>
    <w:uiPriority w:val="99"/>
    <w:pPr>
      <w:widowControl w:val="0"/>
      <w:autoSpaceDE w:val="0"/>
      <w:autoSpaceDN w:val="0"/>
      <w:adjustRightInd w:val="0"/>
    </w:pPr>
    <w:rPr>
      <w:rFonts w:ascii="宋体" w:hAnsi="宋体" w:eastAsia="宋体" w:cs="宋体"/>
      <w:sz w:val="24"/>
      <w:szCs w:val="24"/>
      <w:lang w:val="en-US" w:eastAsia="zh-CN" w:bidi="ar-SA"/>
    </w:rPr>
  </w:style>
  <w:style w:type="character" w:customStyle="1" w:styleId="121">
    <w:name w:val="样式 Char Char"/>
    <w:link w:val="120"/>
    <w:qFormat/>
    <w:locked/>
    <w:uiPriority w:val="0"/>
    <w:rPr>
      <w:rFonts w:ascii="宋体" w:hAnsi="宋体" w:eastAsia="宋体" w:cs="宋体"/>
      <w:kern w:val="0"/>
      <w:sz w:val="24"/>
      <w:szCs w:val="24"/>
    </w:rPr>
  </w:style>
  <w:style w:type="paragraph" w:customStyle="1" w:styleId="122">
    <w:name w:val="图"/>
    <w:basedOn w:val="1"/>
    <w:qFormat/>
    <w:uiPriority w:val="0"/>
    <w:pPr>
      <w:widowControl/>
      <w:adjustRightInd w:val="0"/>
      <w:snapToGrid w:val="0"/>
      <w:jc w:val="center"/>
    </w:pPr>
    <w:rPr>
      <w:rFonts w:ascii="宋体" w:hAnsi="宋体"/>
      <w:bCs/>
      <w:szCs w:val="24"/>
    </w:rPr>
  </w:style>
  <w:style w:type="paragraph" w:customStyle="1" w:styleId="123">
    <w:name w:val="Char1 Char Char Char Char Char Char1"/>
    <w:basedOn w:val="1"/>
    <w:qFormat/>
    <w:uiPriority w:val="0"/>
    <w:rPr>
      <w:rFonts w:ascii="Tahoma" w:hAnsi="Tahoma"/>
      <w:sz w:val="24"/>
      <w:szCs w:val="20"/>
    </w:rPr>
  </w:style>
  <w:style w:type="paragraph" w:customStyle="1" w:styleId="124">
    <w:name w:val="zw1"/>
    <w:basedOn w:val="1"/>
    <w:qFormat/>
    <w:uiPriority w:val="0"/>
    <w:pPr>
      <w:widowControl/>
      <w:spacing w:line="360" w:lineRule="auto"/>
      <w:ind w:firstLine="480" w:firstLineChars="200"/>
    </w:pPr>
    <w:rPr>
      <w:rFonts w:ascii="Times New Roman" w:hAnsi="Times New Roman"/>
      <w:kern w:val="0"/>
      <w:sz w:val="24"/>
      <w:szCs w:val="20"/>
    </w:rPr>
  </w:style>
  <w:style w:type="paragraph" w:customStyle="1" w:styleId="125">
    <w:name w:val="Char Char Char Char Char Char Char"/>
    <w:basedOn w:val="1"/>
    <w:qFormat/>
    <w:uiPriority w:val="0"/>
    <w:pPr>
      <w:widowControl/>
      <w:snapToGrid w:val="0"/>
      <w:spacing w:line="240" w:lineRule="exact"/>
      <w:jc w:val="left"/>
    </w:pPr>
    <w:rPr>
      <w:rFonts w:ascii="Verdana" w:hAnsi="Verdana"/>
      <w:kern w:val="0"/>
      <w:sz w:val="20"/>
      <w:szCs w:val="20"/>
      <w:lang w:eastAsia="en-US"/>
    </w:rPr>
  </w:style>
  <w:style w:type="paragraph" w:customStyle="1" w:styleId="126">
    <w:name w:val="MM Topic 1"/>
    <w:basedOn w:val="3"/>
    <w:qFormat/>
    <w:uiPriority w:val="0"/>
    <w:pPr>
      <w:tabs>
        <w:tab w:val="left" w:pos="425"/>
      </w:tabs>
    </w:pPr>
    <w:rPr>
      <w:rFonts w:cs="Times New Roman"/>
      <w:sz w:val="44"/>
    </w:rPr>
  </w:style>
  <w:style w:type="paragraph" w:customStyle="1" w:styleId="127">
    <w:name w:val="样式 标题 5 + 倾斜"/>
    <w:basedOn w:val="6"/>
    <w:qFormat/>
    <w:uiPriority w:val="0"/>
    <w:pPr>
      <w:widowControl/>
      <w:tabs>
        <w:tab w:val="left" w:pos="992"/>
        <w:tab w:val="clear" w:pos="1134"/>
      </w:tabs>
      <w:overflowPunct w:val="0"/>
      <w:autoSpaceDE w:val="0"/>
      <w:autoSpaceDN w:val="0"/>
      <w:adjustRightInd w:val="0"/>
      <w:snapToGrid w:val="0"/>
      <w:spacing w:before="100" w:beforeAutospacing="1" w:after="100" w:afterAutospacing="1" w:line="288" w:lineRule="auto"/>
      <w:ind w:left="0" w:firstLine="0"/>
      <w:jc w:val="left"/>
    </w:pPr>
    <w:rPr>
      <w:rFonts w:ascii="Arial" w:hAnsi="Arial" w:cs="Times New Roman"/>
      <w:bCs w:val="0"/>
      <w:iCs/>
      <w:color w:val="000000"/>
    </w:rPr>
  </w:style>
  <w:style w:type="paragraph" w:customStyle="1" w:styleId="128">
    <w:name w:val="我的正文"/>
    <w:basedOn w:val="1"/>
    <w:qFormat/>
    <w:uiPriority w:val="0"/>
    <w:pPr>
      <w:spacing w:line="360" w:lineRule="auto"/>
      <w:ind w:firstLine="420" w:firstLineChars="200"/>
    </w:pPr>
    <w:rPr>
      <w:rFonts w:ascii="宋体" w:hAnsi="宋体"/>
      <w:szCs w:val="24"/>
    </w:rPr>
  </w:style>
  <w:style w:type="paragraph" w:customStyle="1" w:styleId="129">
    <w:name w:val="MM Topic 7"/>
    <w:basedOn w:val="8"/>
    <w:qFormat/>
    <w:uiPriority w:val="0"/>
    <w:pPr>
      <w:keepLines/>
      <w:widowControl w:val="0"/>
      <w:tabs>
        <w:tab w:val="left" w:pos="3827"/>
        <w:tab w:val="clear" w:pos="3600"/>
      </w:tabs>
      <w:spacing w:before="240" w:after="64" w:line="314" w:lineRule="auto"/>
      <w:jc w:val="both"/>
    </w:pPr>
    <w:rPr>
      <w:rFonts w:ascii="Times New Roman" w:hAnsi="Times New Roman"/>
      <w:iCs w:val="0"/>
      <w:kern w:val="2"/>
      <w:sz w:val="24"/>
      <w:lang w:eastAsia="zh-CN"/>
    </w:rPr>
  </w:style>
  <w:style w:type="paragraph" w:customStyle="1" w:styleId="130">
    <w:name w:val="标书（正文）"/>
    <w:basedOn w:val="1"/>
    <w:qFormat/>
    <w:uiPriority w:val="0"/>
    <w:pPr>
      <w:spacing w:line="360" w:lineRule="auto"/>
      <w:ind w:firstLine="560" w:firstLineChars="200"/>
    </w:pPr>
    <w:rPr>
      <w:rFonts w:ascii="宋体" w:hAnsi="宋体"/>
      <w:kern w:val="10"/>
      <w:sz w:val="28"/>
      <w:szCs w:val="28"/>
    </w:rPr>
  </w:style>
  <w:style w:type="paragraph" w:customStyle="1" w:styleId="131">
    <w:name w:val="样式 标题 3 + (西文) 仿宋_GB2312 (中文) 仿宋_GB2312 四号"/>
    <w:basedOn w:val="4"/>
    <w:qFormat/>
    <w:uiPriority w:val="0"/>
    <w:pPr>
      <w:numPr>
        <w:ilvl w:val="0"/>
        <w:numId w:val="0"/>
      </w:numPr>
      <w:tabs>
        <w:tab w:val="left" w:pos="-1991"/>
      </w:tabs>
      <w:snapToGrid w:val="0"/>
      <w:spacing w:beforeLines="50" w:line="410" w:lineRule="auto"/>
      <w:ind w:right="180" w:rightChars="100"/>
    </w:pPr>
    <w:rPr>
      <w:rFonts w:ascii="仿宋_GB2312" w:hAnsi="仿宋_GB2312" w:eastAsia="仿宋_GB2312" w:cs="Times New Roman"/>
      <w:color w:val="auto"/>
    </w:rPr>
  </w:style>
  <w:style w:type="paragraph" w:customStyle="1" w:styleId="132">
    <w:name w:val="论文正文"/>
    <w:basedOn w:val="1"/>
    <w:qFormat/>
    <w:uiPriority w:val="0"/>
    <w:pPr>
      <w:spacing w:line="360" w:lineRule="auto"/>
      <w:ind w:firstLine="700" w:firstLineChars="250"/>
    </w:pPr>
    <w:rPr>
      <w:rFonts w:ascii="宋体" w:hAnsi="宋体"/>
      <w:bCs/>
      <w:sz w:val="28"/>
      <w:szCs w:val="28"/>
    </w:rPr>
  </w:style>
  <w:style w:type="paragraph" w:customStyle="1" w:styleId="133">
    <w:name w:val="样式1"/>
    <w:basedOn w:val="1"/>
    <w:qFormat/>
    <w:uiPriority w:val="0"/>
    <w:rPr>
      <w:rFonts w:ascii="Times New Roman" w:hAnsi="Times New Roman" w:eastAsia="隶书"/>
      <w:i/>
      <w:dstrike/>
      <w:sz w:val="28"/>
      <w:szCs w:val="18"/>
    </w:rPr>
  </w:style>
  <w:style w:type="paragraph" w:customStyle="1" w:styleId="134">
    <w:name w:val="表格"/>
    <w:basedOn w:val="1"/>
    <w:qFormat/>
    <w:uiPriority w:val="0"/>
    <w:pPr>
      <w:spacing w:line="400" w:lineRule="exact"/>
    </w:pPr>
    <w:rPr>
      <w:rFonts w:ascii="Times New Roman" w:hAnsi="Times New Roman"/>
      <w:sz w:val="24"/>
      <w:szCs w:val="24"/>
    </w:rPr>
  </w:style>
  <w:style w:type="paragraph" w:customStyle="1" w:styleId="135">
    <w:name w:val="彩色底纹 - 强调文字颜色 11"/>
    <w:qFormat/>
    <w:uiPriority w:val="0"/>
    <w:rPr>
      <w:rFonts w:ascii="Calibri" w:hAnsi="Calibri" w:eastAsia="宋体" w:cs="Times New Roman"/>
      <w:kern w:val="2"/>
      <w:sz w:val="21"/>
      <w:szCs w:val="22"/>
      <w:lang w:val="en-US" w:eastAsia="zh-CN" w:bidi="ar-SA"/>
    </w:rPr>
  </w:style>
  <w:style w:type="paragraph" w:customStyle="1" w:styleId="136">
    <w:name w:val="Char"/>
    <w:basedOn w:val="1"/>
    <w:next w:val="1"/>
    <w:qFormat/>
    <w:uiPriority w:val="0"/>
    <w:pPr>
      <w:spacing w:line="240" w:lineRule="atLeast"/>
      <w:ind w:left="420" w:firstLine="420"/>
      <w:jc w:val="left"/>
    </w:pPr>
    <w:rPr>
      <w:rFonts w:ascii="Times New Roman" w:hAnsi="Times New Roman"/>
      <w:kern w:val="0"/>
      <w:szCs w:val="21"/>
    </w:rPr>
  </w:style>
  <w:style w:type="paragraph" w:customStyle="1" w:styleId="137">
    <w:name w:val="Char Char Char Char Char Char Char Char Char Char Char Char Char"/>
    <w:basedOn w:val="14"/>
    <w:qFormat/>
    <w:uiPriority w:val="0"/>
    <w:rPr>
      <w:rFonts w:ascii="Tahoma" w:hAnsi="Tahoma"/>
      <w:sz w:val="24"/>
      <w:szCs w:val="24"/>
    </w:rPr>
  </w:style>
  <w:style w:type="paragraph" w:customStyle="1" w:styleId="138">
    <w:name w:val="MM Topic 3"/>
    <w:basedOn w:val="4"/>
    <w:qFormat/>
    <w:uiPriority w:val="0"/>
    <w:pPr>
      <w:numPr>
        <w:ilvl w:val="0"/>
        <w:numId w:val="0"/>
      </w:numPr>
      <w:tabs>
        <w:tab w:val="left" w:pos="1418"/>
      </w:tabs>
    </w:pPr>
    <w:rPr>
      <w:rFonts w:cs="Times New Roman"/>
    </w:rPr>
  </w:style>
  <w:style w:type="paragraph" w:customStyle="1" w:styleId="139">
    <w:name w:val="样式 仿宋_GB2312 小四 左侧:  0.63 厘米"/>
    <w:basedOn w:val="1"/>
    <w:qFormat/>
    <w:uiPriority w:val="0"/>
    <w:pPr>
      <w:spacing w:before="120" w:after="120" w:line="360" w:lineRule="auto"/>
      <w:ind w:left="357" w:firstLine="200" w:firstLineChars="200"/>
    </w:pPr>
    <w:rPr>
      <w:rFonts w:ascii="仿宋_GB2312" w:hAnsi="仿宋_GB2312" w:eastAsia="仿宋_GB2312" w:cs="宋体"/>
      <w:sz w:val="24"/>
      <w:szCs w:val="20"/>
    </w:rPr>
  </w:style>
  <w:style w:type="paragraph" w:customStyle="1" w:styleId="140">
    <w:name w:val="样式 宋体 小四 行距: 1.5 倍行距"/>
    <w:basedOn w:val="1"/>
    <w:qFormat/>
    <w:uiPriority w:val="0"/>
    <w:pPr>
      <w:tabs>
        <w:tab w:val="left" w:pos="5190"/>
      </w:tabs>
      <w:spacing w:before="100" w:beforeAutospacing="1" w:after="100" w:afterAutospacing="1" w:line="288" w:lineRule="auto"/>
      <w:ind w:firstLine="480"/>
    </w:pPr>
    <w:rPr>
      <w:rFonts w:ascii="宋体" w:hAnsi="宋体"/>
      <w:bCs/>
      <w:sz w:val="24"/>
      <w:szCs w:val="24"/>
    </w:rPr>
  </w:style>
  <w:style w:type="paragraph" w:customStyle="1" w:styleId="141">
    <w:name w:val="Char Char Char Char"/>
    <w:basedOn w:val="1"/>
    <w:qFormat/>
    <w:uiPriority w:val="0"/>
    <w:rPr>
      <w:rFonts w:ascii="Tahoma" w:hAnsi="Tahoma"/>
      <w:sz w:val="24"/>
      <w:szCs w:val="20"/>
    </w:rPr>
  </w:style>
  <w:style w:type="paragraph" w:customStyle="1" w:styleId="142">
    <w:name w:val="Style8"/>
    <w:basedOn w:val="1"/>
    <w:qFormat/>
    <w:uiPriority w:val="0"/>
    <w:pPr>
      <w:tabs>
        <w:tab w:val="left" w:pos="1304"/>
      </w:tabs>
      <w:spacing w:beforeLines="50" w:line="276" w:lineRule="auto"/>
      <w:ind w:left="1304" w:hanging="397"/>
    </w:pPr>
    <w:rPr>
      <w:rFonts w:ascii="Arial" w:hAnsi="Arial"/>
      <w:sz w:val="24"/>
      <w:szCs w:val="24"/>
    </w:rPr>
  </w:style>
  <w:style w:type="paragraph" w:customStyle="1" w:styleId="143">
    <w:name w:val="MM Topic 9"/>
    <w:basedOn w:val="10"/>
    <w:qFormat/>
    <w:uiPriority w:val="0"/>
    <w:pPr>
      <w:tabs>
        <w:tab w:val="left" w:pos="5102"/>
      </w:tabs>
    </w:pPr>
  </w:style>
  <w:style w:type="paragraph" w:customStyle="1" w:styleId="144">
    <w:name w:val="MM Topic 5"/>
    <w:basedOn w:val="6"/>
    <w:qFormat/>
    <w:uiPriority w:val="0"/>
    <w:pPr>
      <w:tabs>
        <w:tab w:val="left" w:pos="2551"/>
        <w:tab w:val="clear" w:pos="1134"/>
        <w:tab w:val="clear" w:pos="1560"/>
      </w:tabs>
      <w:ind w:left="0" w:firstLine="0"/>
    </w:pPr>
    <w:rPr>
      <w:rFonts w:cs="Times New Roman"/>
    </w:rPr>
  </w:style>
  <w:style w:type="paragraph" w:customStyle="1" w:styleId="145">
    <w:name w:val="大纲正文"/>
    <w:basedOn w:val="1"/>
    <w:qFormat/>
    <w:uiPriority w:val="0"/>
    <w:pPr>
      <w:spacing w:line="360" w:lineRule="auto"/>
      <w:ind w:firstLine="480" w:firstLineChars="200"/>
    </w:pPr>
    <w:rPr>
      <w:rFonts w:ascii="Times New Roman" w:hAnsi="Times New Roman"/>
      <w:sz w:val="24"/>
      <w:szCs w:val="20"/>
    </w:rPr>
  </w:style>
  <w:style w:type="paragraph" w:customStyle="1" w:styleId="146">
    <w:name w:val="MM Topic 4"/>
    <w:basedOn w:val="5"/>
    <w:qFormat/>
    <w:uiPriority w:val="0"/>
    <w:pPr>
      <w:tabs>
        <w:tab w:val="left" w:pos="1984"/>
      </w:tabs>
      <w:ind w:left="0" w:firstLine="0"/>
    </w:pPr>
  </w:style>
  <w:style w:type="paragraph" w:customStyle="1" w:styleId="147">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48">
    <w:name w:val="样式 小四 首行缩进:  0.74 厘米"/>
    <w:basedOn w:val="1"/>
    <w:qFormat/>
    <w:uiPriority w:val="0"/>
    <w:pPr>
      <w:spacing w:before="100" w:beforeAutospacing="1" w:after="100" w:afterAutospacing="1" w:line="300" w:lineRule="auto"/>
      <w:ind w:firstLine="420" w:firstLineChars="175"/>
    </w:pPr>
    <w:rPr>
      <w:rFonts w:ascii="宋体" w:hAnsi="宋体"/>
      <w:sz w:val="24"/>
      <w:szCs w:val="24"/>
    </w:rPr>
  </w:style>
  <w:style w:type="paragraph" w:customStyle="1" w:styleId="149">
    <w:name w:val="样式 标题 2H2第一章 标题 2Heading 2 HiddenHeading 2 CCBSheading 2h2..."/>
    <w:basedOn w:val="2"/>
    <w:qFormat/>
    <w:uiPriority w:val="0"/>
    <w:pPr>
      <w:tabs>
        <w:tab w:val="left" w:pos="-2493"/>
      </w:tabs>
    </w:pPr>
    <w:rPr>
      <w:rFonts w:cs="Times New Roman"/>
      <w:szCs w:val="20"/>
    </w:rPr>
  </w:style>
  <w:style w:type="paragraph" w:customStyle="1" w:styleId="150">
    <w:name w:val="正文首行缩进两字符"/>
    <w:basedOn w:val="1"/>
    <w:qFormat/>
    <w:uiPriority w:val="0"/>
    <w:pPr>
      <w:spacing w:line="360" w:lineRule="auto"/>
      <w:ind w:firstLine="200" w:firstLineChars="200"/>
    </w:pPr>
    <w:rPr>
      <w:rFonts w:ascii="Times New Roman" w:hAnsi="Times New Roman"/>
      <w:szCs w:val="24"/>
    </w:rPr>
  </w:style>
  <w:style w:type="paragraph" w:customStyle="1" w:styleId="151">
    <w:name w:val="列出段落2"/>
    <w:basedOn w:val="1"/>
    <w:qFormat/>
    <w:uiPriority w:val="0"/>
    <w:pPr>
      <w:ind w:firstLine="420" w:firstLineChars="200"/>
    </w:pPr>
  </w:style>
  <w:style w:type="paragraph" w:customStyle="1" w:styleId="152">
    <w:name w:val="列出段落4"/>
    <w:basedOn w:val="1"/>
    <w:qFormat/>
    <w:uiPriority w:val="34"/>
    <w:pPr>
      <w:ind w:firstLine="420" w:firstLineChars="200"/>
    </w:pPr>
    <w:rPr>
      <w:rFonts w:ascii="Times New Roman" w:hAnsi="Times New Roman"/>
      <w:szCs w:val="24"/>
    </w:rPr>
  </w:style>
  <w:style w:type="paragraph" w:customStyle="1" w:styleId="153">
    <w:name w:val="列出段落11"/>
    <w:basedOn w:val="1"/>
    <w:qFormat/>
    <w:uiPriority w:val="0"/>
    <w:pPr>
      <w:ind w:firstLine="420" w:firstLineChars="200"/>
    </w:pPr>
  </w:style>
  <w:style w:type="paragraph" w:customStyle="1" w:styleId="154">
    <w:name w:val="修订1"/>
    <w:qFormat/>
    <w:uiPriority w:val="99"/>
    <w:rPr>
      <w:rFonts w:ascii="Calibri" w:hAnsi="Calibri" w:eastAsia="宋体" w:cs="Times New Roman"/>
      <w:kern w:val="2"/>
      <w:sz w:val="21"/>
      <w:szCs w:val="22"/>
      <w:lang w:val="en-US" w:eastAsia="zh-CN" w:bidi="ar-SA"/>
    </w:rPr>
  </w:style>
  <w:style w:type="paragraph" w:customStyle="1" w:styleId="155">
    <w:name w:val="彩色列表 - 强调文字颜色 12"/>
    <w:basedOn w:val="1"/>
    <w:qFormat/>
    <w:uiPriority w:val="0"/>
    <w:pPr>
      <w:ind w:firstLine="420" w:firstLineChars="200"/>
    </w:pPr>
  </w:style>
  <w:style w:type="paragraph" w:customStyle="1" w:styleId="156">
    <w:name w:val="Default"/>
    <w:qFormat/>
    <w:uiPriority w:val="99"/>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157">
    <w:name w:val="列出段落3"/>
    <w:basedOn w:val="1"/>
    <w:qFormat/>
    <w:uiPriority w:val="34"/>
    <w:pPr>
      <w:widowControl/>
      <w:ind w:firstLine="420" w:firstLineChars="200"/>
      <w:jc w:val="left"/>
    </w:pPr>
    <w:rPr>
      <w:rFonts w:ascii="Times New Roman" w:hAnsi="Times New Roman"/>
      <w:kern w:val="0"/>
      <w:sz w:val="24"/>
      <w:szCs w:val="24"/>
    </w:rPr>
  </w:style>
  <w:style w:type="paragraph" w:customStyle="1" w:styleId="158">
    <w:name w:val="列项——（一级）"/>
    <w:qFormat/>
    <w:uiPriority w:val="0"/>
    <w:pPr>
      <w:widowControl w:val="0"/>
      <w:ind w:left="833" w:hanging="408"/>
      <w:jc w:val="both"/>
    </w:pPr>
    <w:rPr>
      <w:rFonts w:ascii="宋体" w:hAnsi="Times New Roman" w:eastAsia="宋体" w:cs="Times New Roman"/>
      <w:sz w:val="21"/>
      <w:lang w:val="en-US" w:eastAsia="zh-CN" w:bidi="ar-SA"/>
    </w:rPr>
  </w:style>
  <w:style w:type="character" w:customStyle="1" w:styleId="159">
    <w:name w:val="0-CD Char"/>
    <w:link w:val="160"/>
    <w:qFormat/>
    <w:locked/>
    <w:uiPriority w:val="0"/>
    <w:rPr>
      <w:rFonts w:ascii="宋体" w:hAnsi="宋体" w:eastAsia="宋体"/>
      <w:sz w:val="28"/>
      <w:szCs w:val="24"/>
    </w:rPr>
  </w:style>
  <w:style w:type="paragraph" w:customStyle="1" w:styleId="160">
    <w:name w:val="0-CD"/>
    <w:basedOn w:val="1"/>
    <w:link w:val="159"/>
    <w:qFormat/>
    <w:uiPriority w:val="0"/>
    <w:pPr>
      <w:spacing w:line="360" w:lineRule="auto"/>
      <w:ind w:firstLine="708" w:firstLineChars="253"/>
      <w:jc w:val="left"/>
    </w:pPr>
    <w:rPr>
      <w:rFonts w:ascii="宋体" w:hAnsi="宋体" w:cstheme="minorBidi"/>
      <w:sz w:val="28"/>
      <w:szCs w:val="24"/>
    </w:rPr>
  </w:style>
  <w:style w:type="character" w:customStyle="1" w:styleId="161">
    <w:name w:val="Char Char8"/>
    <w:qFormat/>
    <w:uiPriority w:val="0"/>
    <w:rPr>
      <w:rFonts w:hint="eastAsia" w:ascii="宋体" w:hAnsi="宋体" w:eastAsia="宋体"/>
      <w:kern w:val="2"/>
      <w:sz w:val="28"/>
      <w:szCs w:val="28"/>
    </w:rPr>
  </w:style>
  <w:style w:type="character" w:customStyle="1" w:styleId="162">
    <w:name w:val="Char Char5"/>
    <w:qFormat/>
    <w:uiPriority w:val="0"/>
    <w:rPr>
      <w:kern w:val="2"/>
      <w:sz w:val="21"/>
      <w:szCs w:val="24"/>
    </w:rPr>
  </w:style>
  <w:style w:type="character" w:customStyle="1" w:styleId="163">
    <w:name w:val="列出段落 Char Char"/>
    <w:qFormat/>
    <w:uiPriority w:val="0"/>
    <w:rPr>
      <w:rFonts w:hint="default" w:ascii="Calibri" w:hAnsi="Calibri" w:cs="Calibri"/>
      <w:kern w:val="2"/>
      <w:sz w:val="21"/>
      <w:szCs w:val="22"/>
    </w:rPr>
  </w:style>
  <w:style w:type="character" w:customStyle="1" w:styleId="164">
    <w:name w:val="正文文本 Char Char"/>
    <w:qFormat/>
    <w:uiPriority w:val="0"/>
    <w:rPr>
      <w:kern w:val="2"/>
      <w:sz w:val="21"/>
      <w:szCs w:val="24"/>
    </w:rPr>
  </w:style>
  <w:style w:type="character" w:customStyle="1" w:styleId="165">
    <w:name w:val="Char Char11"/>
    <w:qFormat/>
    <w:uiPriority w:val="0"/>
    <w:rPr>
      <w:rFonts w:hint="default" w:ascii="Arial Narrow" w:hAnsi="Arial Narrow"/>
      <w:b/>
      <w:bCs/>
      <w:iCs/>
      <w:szCs w:val="24"/>
      <w:lang w:eastAsia="en-US"/>
    </w:rPr>
  </w:style>
  <w:style w:type="character" w:customStyle="1" w:styleId="166">
    <w:name w:val="标书（正文） Char Char"/>
    <w:qFormat/>
    <w:uiPriority w:val="0"/>
    <w:rPr>
      <w:rFonts w:hint="eastAsia" w:ascii="宋体" w:hAnsi="宋体" w:eastAsia="宋体"/>
      <w:b/>
      <w:kern w:val="10"/>
      <w:sz w:val="21"/>
      <w:szCs w:val="21"/>
      <w:lang w:val="en-US" w:eastAsia="zh-CN" w:bidi="ar-SA"/>
    </w:rPr>
  </w:style>
  <w:style w:type="character" w:customStyle="1" w:styleId="167">
    <w:name w:val="line2"/>
    <w:basedOn w:val="43"/>
    <w:qFormat/>
    <w:uiPriority w:val="0"/>
  </w:style>
  <w:style w:type="character" w:customStyle="1" w:styleId="168">
    <w:name w:val="Char Char10"/>
    <w:qFormat/>
    <w:uiPriority w:val="0"/>
    <w:rPr>
      <w:kern w:val="2"/>
      <w:sz w:val="24"/>
      <w:szCs w:val="24"/>
    </w:rPr>
  </w:style>
  <w:style w:type="character" w:customStyle="1" w:styleId="169">
    <w:name w:val="MM Topic 4 Char Char"/>
    <w:qFormat/>
    <w:uiPriority w:val="0"/>
    <w:rPr>
      <w:rFonts w:hint="default" w:ascii="Arial" w:hAnsi="Arial" w:cs="Arial"/>
      <w:b/>
      <w:bCs/>
      <w:kern w:val="2"/>
      <w:sz w:val="28"/>
      <w:szCs w:val="28"/>
    </w:rPr>
  </w:style>
  <w:style w:type="character" w:customStyle="1" w:styleId="170">
    <w:name w:val="标书正文:  0.74 厘米 Char Char"/>
    <w:qFormat/>
    <w:uiPriority w:val="0"/>
    <w:rPr>
      <w:kern w:val="2"/>
      <w:sz w:val="24"/>
    </w:rPr>
  </w:style>
  <w:style w:type="character" w:customStyle="1" w:styleId="171">
    <w:name w:val="访问过的超链接1"/>
    <w:qFormat/>
    <w:uiPriority w:val="99"/>
    <w:rPr>
      <w:color w:val="800080"/>
      <w:u w:val="single"/>
    </w:rPr>
  </w:style>
  <w:style w:type="character" w:customStyle="1" w:styleId="172">
    <w:name w:val="标题 3 Char Char Char"/>
    <w:qFormat/>
    <w:uiPriority w:val="0"/>
    <w:rPr>
      <w:rFonts w:hint="eastAsia" w:ascii="宋体" w:hAnsi="宋体" w:eastAsia="宋体"/>
      <w:b/>
      <w:kern w:val="2"/>
      <w:sz w:val="32"/>
      <w:lang w:val="en-US" w:eastAsia="zh-CN" w:bidi="ar-SA"/>
    </w:rPr>
  </w:style>
  <w:style w:type="character" w:customStyle="1" w:styleId="173">
    <w:name w:val="（符号）邀请函中一、"/>
    <w:qFormat/>
    <w:uiPriority w:val="0"/>
    <w:rPr>
      <w:rFonts w:hint="eastAsia" w:ascii="黑体" w:hAnsi="黑体" w:eastAsia="黑体"/>
      <w:b/>
      <w:bCs/>
      <w:sz w:val="24"/>
    </w:rPr>
  </w:style>
  <w:style w:type="character" w:customStyle="1" w:styleId="174">
    <w:name w:val="tt Char"/>
    <w:qFormat/>
    <w:uiPriority w:val="0"/>
    <w:rPr>
      <w:rFonts w:hint="default" w:ascii="Arial" w:hAnsi="Arial" w:eastAsia="黑体" w:cs="Arial"/>
      <w:kern w:val="2"/>
      <w:sz w:val="21"/>
      <w:szCs w:val="21"/>
    </w:rPr>
  </w:style>
  <w:style w:type="character" w:customStyle="1" w:styleId="175">
    <w:name w:val="Char Char9"/>
    <w:qFormat/>
    <w:uiPriority w:val="0"/>
    <w:rPr>
      <w:kern w:val="2"/>
      <w:sz w:val="18"/>
      <w:szCs w:val="18"/>
    </w:rPr>
  </w:style>
  <w:style w:type="character" w:customStyle="1" w:styleId="176">
    <w:name w:val="MM Topic 3 Char Char"/>
    <w:qFormat/>
    <w:uiPriority w:val="0"/>
    <w:rPr>
      <w:rFonts w:hint="eastAsia" w:ascii="宋体" w:hAnsi="宋体" w:eastAsia="宋体"/>
      <w:b/>
      <w:bCs/>
      <w:color w:val="000000"/>
      <w:kern w:val="2"/>
      <w:sz w:val="28"/>
      <w:szCs w:val="28"/>
    </w:rPr>
  </w:style>
  <w:style w:type="character" w:customStyle="1" w:styleId="177">
    <w:name w:val="样式 小四2 Char Char"/>
    <w:qFormat/>
    <w:uiPriority w:val="0"/>
    <w:rPr>
      <w:rFonts w:hint="eastAsia" w:ascii="宋体" w:hAnsi="宋体" w:eastAsia="宋体"/>
      <w:kern w:val="2"/>
      <w:sz w:val="24"/>
      <w:szCs w:val="24"/>
    </w:rPr>
  </w:style>
  <w:style w:type="character" w:customStyle="1" w:styleId="178">
    <w:name w:val="Char Char7"/>
    <w:qFormat/>
    <w:uiPriority w:val="0"/>
    <w:rPr>
      <w:kern w:val="2"/>
      <w:sz w:val="18"/>
      <w:szCs w:val="18"/>
    </w:rPr>
  </w:style>
  <w:style w:type="character" w:customStyle="1" w:styleId="179">
    <w:name w:val="Char Char3"/>
    <w:qFormat/>
    <w:uiPriority w:val="0"/>
    <w:rPr>
      <w:b/>
      <w:bCs/>
      <w:kern w:val="2"/>
      <w:sz w:val="18"/>
      <w:szCs w:val="18"/>
    </w:rPr>
  </w:style>
  <w:style w:type="character" w:customStyle="1" w:styleId="180">
    <w:name w:val="apple-style-span"/>
    <w:basedOn w:val="43"/>
    <w:qFormat/>
    <w:uiPriority w:val="0"/>
  </w:style>
  <w:style w:type="character" w:customStyle="1" w:styleId="181">
    <w:name w:val="Char Char4"/>
    <w:qFormat/>
    <w:uiPriority w:val="0"/>
    <w:rPr>
      <w:kern w:val="2"/>
      <w:sz w:val="18"/>
      <w:szCs w:val="18"/>
    </w:rPr>
  </w:style>
  <w:style w:type="character" w:customStyle="1" w:styleId="182">
    <w:name w:val="副标题 Char1"/>
    <w:qFormat/>
    <w:uiPriority w:val="11"/>
    <w:rPr>
      <w:rFonts w:hint="default" w:ascii="Cambria" w:hAnsi="Cambria" w:cs="Times New Roman"/>
      <w:b/>
      <w:bCs/>
      <w:kern w:val="28"/>
      <w:sz w:val="32"/>
      <w:szCs w:val="32"/>
    </w:rPr>
  </w:style>
  <w:style w:type="character" w:customStyle="1" w:styleId="183">
    <w:name w:val="small"/>
    <w:basedOn w:val="43"/>
    <w:qFormat/>
    <w:uiPriority w:val="0"/>
  </w:style>
  <w:style w:type="character" w:customStyle="1" w:styleId="184">
    <w:name w:val="Legal Level 1.1.1. Char"/>
    <w:qFormat/>
    <w:uiPriority w:val="0"/>
    <w:rPr>
      <w:rFonts w:hint="default" w:ascii="Arial" w:hAnsi="Arial" w:eastAsia="黑体" w:cs="Arial"/>
      <w:kern w:val="2"/>
      <w:sz w:val="24"/>
      <w:szCs w:val="24"/>
    </w:rPr>
  </w:style>
  <w:style w:type="character" w:customStyle="1" w:styleId="185">
    <w:name w:val="文章正文 Char Char"/>
    <w:qFormat/>
    <w:uiPriority w:val="0"/>
    <w:rPr>
      <w:rFonts w:hint="eastAsia" w:ascii="宋体" w:hAnsi="宋体" w:eastAsia="宋体"/>
      <w:kern w:val="2"/>
      <w:sz w:val="24"/>
      <w:szCs w:val="24"/>
      <w:lang w:val="en-US" w:eastAsia="zh-CN" w:bidi="ar-SA"/>
    </w:rPr>
  </w:style>
  <w:style w:type="character" w:customStyle="1" w:styleId="186">
    <w:name w:val="正文文本 Char1"/>
    <w:qFormat/>
    <w:uiPriority w:val="0"/>
    <w:rPr>
      <w:rFonts w:hint="default" w:ascii="Times New Roman" w:hAnsi="Times New Roman" w:eastAsia="宋体" w:cs="Times New Roman"/>
      <w:kern w:val="0"/>
      <w:sz w:val="18"/>
      <w:szCs w:val="18"/>
    </w:rPr>
  </w:style>
  <w:style w:type="character" w:customStyle="1" w:styleId="187">
    <w:name w:val="CD正文 Char Char"/>
    <w:qFormat/>
    <w:uiPriority w:val="0"/>
    <w:rPr>
      <w:rFonts w:hint="eastAsia" w:ascii="宋体" w:hAnsi="宋体" w:eastAsia="宋体"/>
      <w:kern w:val="2"/>
      <w:sz w:val="30"/>
      <w:szCs w:val="28"/>
      <w:lang w:val="en-US" w:eastAsia="zh-CN" w:bidi="ar-SA"/>
    </w:rPr>
  </w:style>
  <w:style w:type="character" w:customStyle="1" w:styleId="188">
    <w:name w:val="Char Char2"/>
    <w:qFormat/>
    <w:uiPriority w:val="0"/>
    <w:rPr>
      <w:kern w:val="2"/>
      <w:sz w:val="18"/>
      <w:szCs w:val="18"/>
    </w:rPr>
  </w:style>
  <w:style w:type="character" w:customStyle="1" w:styleId="189">
    <w:name w:val="标题 1 Char1"/>
    <w:qFormat/>
    <w:uiPriority w:val="0"/>
    <w:rPr>
      <w:b/>
      <w:bCs/>
      <w:kern w:val="44"/>
      <w:sz w:val="44"/>
      <w:szCs w:val="44"/>
    </w:rPr>
  </w:style>
  <w:style w:type="character" w:customStyle="1" w:styleId="190">
    <w:name w:val="表正文 Char1"/>
    <w:qFormat/>
    <w:uiPriority w:val="0"/>
    <w:rPr>
      <w:rFonts w:hint="eastAsia" w:ascii="宋体" w:hAnsi="宋体" w:eastAsia="宋体"/>
      <w:kern w:val="2"/>
      <w:sz w:val="21"/>
      <w:lang w:val="en-US" w:eastAsia="zh-CN" w:bidi="ar-SA"/>
    </w:rPr>
  </w:style>
  <w:style w:type="character" w:customStyle="1" w:styleId="191">
    <w:name w:val="Char Char Char"/>
    <w:qFormat/>
    <w:uiPriority w:val="0"/>
    <w:rPr>
      <w:rFonts w:hint="eastAsia" w:ascii="宋体" w:hAnsi="宋体" w:eastAsia="宋体"/>
      <w:kern w:val="2"/>
      <w:sz w:val="18"/>
      <w:szCs w:val="18"/>
      <w:lang w:val="en-US" w:eastAsia="zh-CN" w:bidi="ar-SA"/>
    </w:rPr>
  </w:style>
  <w:style w:type="character" w:customStyle="1" w:styleId="192">
    <w:name w:val="Char Char6"/>
    <w:qFormat/>
    <w:uiPriority w:val="0"/>
    <w:rPr>
      <w:kern w:val="2"/>
      <w:sz w:val="21"/>
      <w:szCs w:val="24"/>
    </w:rPr>
  </w:style>
  <w:style w:type="character" w:customStyle="1" w:styleId="193">
    <w:name w:val="正文缩进 Char"/>
    <w:qFormat/>
    <w:uiPriority w:val="0"/>
    <w:rPr>
      <w:kern w:val="2"/>
      <w:sz w:val="21"/>
      <w:lang w:val="zh-CN" w:eastAsia="zh-CN"/>
    </w:rPr>
  </w:style>
  <w:style w:type="character" w:customStyle="1" w:styleId="194">
    <w:name w:val="font11"/>
    <w:basedOn w:val="43"/>
    <w:qFormat/>
    <w:uiPriority w:val="0"/>
    <w:rPr>
      <w:rFonts w:hint="eastAsia" w:ascii="宋体" w:hAnsi="宋体" w:eastAsia="宋体" w:cs="宋体"/>
      <w:b/>
      <w:color w:val="000000"/>
      <w:sz w:val="22"/>
      <w:szCs w:val="22"/>
      <w:u w:val="none"/>
    </w:rPr>
  </w:style>
  <w:style w:type="character" w:customStyle="1" w:styleId="195">
    <w:name w:val="font01"/>
    <w:basedOn w:val="43"/>
    <w:qFormat/>
    <w:uiPriority w:val="0"/>
    <w:rPr>
      <w:rFonts w:hint="eastAsia" w:ascii="宋体" w:hAnsi="宋体" w:eastAsia="宋体" w:cs="宋体"/>
      <w:color w:val="000000"/>
      <w:sz w:val="22"/>
      <w:szCs w:val="22"/>
      <w:u w:val="none"/>
    </w:rPr>
  </w:style>
  <w:style w:type="character" w:customStyle="1" w:styleId="196">
    <w:name w:val="页脚 Char1"/>
    <w:basedOn w:val="43"/>
    <w:qFormat/>
    <w:uiPriority w:val="99"/>
    <w:rPr>
      <w:sz w:val="18"/>
      <w:szCs w:val="18"/>
    </w:rPr>
  </w:style>
  <w:style w:type="character" w:customStyle="1" w:styleId="197">
    <w:name w:val="批注文字 Char2"/>
    <w:qFormat/>
    <w:uiPriority w:val="0"/>
    <w:rPr>
      <w:rFonts w:hint="eastAsia" w:ascii="宋体" w:hAnsi="宋体" w:eastAsia="宋体"/>
      <w:sz w:val="18"/>
      <w:szCs w:val="18"/>
    </w:rPr>
  </w:style>
  <w:style w:type="character" w:customStyle="1" w:styleId="198">
    <w:name w:val="列出段落 Char1"/>
    <w:qFormat/>
    <w:uiPriority w:val="34"/>
    <w:rPr>
      <w:rFonts w:hint="default" w:ascii="Calibri" w:hAnsi="Calibri"/>
      <w:kern w:val="2"/>
      <w:sz w:val="21"/>
      <w:szCs w:val="22"/>
    </w:rPr>
  </w:style>
  <w:style w:type="paragraph" w:customStyle="1" w:styleId="199">
    <w:name w:val="CD正文"/>
    <w:basedOn w:val="98"/>
    <w:qFormat/>
    <w:uiPriority w:val="0"/>
  </w:style>
  <w:style w:type="paragraph" w:customStyle="1" w:styleId="200">
    <w:name w:val="项目符号：一级"/>
    <w:basedOn w:val="85"/>
    <w:next w:val="85"/>
    <w:qFormat/>
    <w:uiPriority w:val="0"/>
  </w:style>
  <w:style w:type="paragraph" w:customStyle="1" w:styleId="201">
    <w:name w:val="修订2"/>
    <w:semiHidden/>
    <w:qFormat/>
    <w:uiPriority w:val="99"/>
    <w:rPr>
      <w:rFonts w:ascii="Calibri" w:hAnsi="Calibri" w:eastAsia="宋体" w:cs="Times New Roman"/>
      <w:kern w:val="2"/>
      <w:sz w:val="21"/>
      <w:szCs w:val="22"/>
      <w:lang w:val="en-US" w:eastAsia="zh-CN" w:bidi="ar-SA"/>
    </w:rPr>
  </w:style>
  <w:style w:type="paragraph" w:customStyle="1" w:styleId="202">
    <w:name w:val="修订21"/>
    <w:semiHidden/>
    <w:qFormat/>
    <w:uiPriority w:val="99"/>
    <w:rPr>
      <w:rFonts w:ascii="Calibri" w:hAnsi="Calibri" w:eastAsia="宋体" w:cs="Times New Roman"/>
      <w:kern w:val="2"/>
      <w:sz w:val="21"/>
      <w:szCs w:val="22"/>
      <w:lang w:val="en-US" w:eastAsia="zh-CN" w:bidi="ar-SA"/>
    </w:rPr>
  </w:style>
  <w:style w:type="paragraph" w:customStyle="1" w:styleId="203">
    <w:name w:val="List Paragraph1"/>
    <w:basedOn w:val="1"/>
    <w:semiHidden/>
    <w:qFormat/>
    <w:uiPriority w:val="0"/>
    <w:pPr>
      <w:ind w:firstLine="420" w:firstLineChars="200"/>
    </w:pPr>
    <w:rPr>
      <w:rFonts w:ascii="Times New Roman" w:hAnsi="Times New Roman"/>
      <w:szCs w:val="24"/>
    </w:rPr>
  </w:style>
  <w:style w:type="paragraph" w:customStyle="1" w:styleId="204">
    <w:name w:val="修订3"/>
    <w:semiHidden/>
    <w:qFormat/>
    <w:uiPriority w:val="99"/>
    <w:rPr>
      <w:rFonts w:ascii="Calibri" w:hAnsi="Calibri" w:eastAsia="宋体" w:cs="Times New Roman"/>
      <w:kern w:val="2"/>
      <w:sz w:val="21"/>
      <w:szCs w:val="22"/>
      <w:lang w:val="en-US" w:eastAsia="zh-CN" w:bidi="ar-SA"/>
    </w:rPr>
  </w:style>
  <w:style w:type="paragraph" w:customStyle="1" w:styleId="205">
    <w:name w:val="Normal Indent1"/>
    <w:basedOn w:val="1"/>
    <w:semiHidden/>
    <w:qFormat/>
    <w:uiPriority w:val="99"/>
    <w:pPr>
      <w:spacing w:line="360" w:lineRule="auto"/>
      <w:ind w:firstLine="200" w:firstLineChars="200"/>
    </w:pPr>
    <w:rPr>
      <w:sz w:val="24"/>
      <w:szCs w:val="24"/>
    </w:rPr>
  </w:style>
  <w:style w:type="character" w:customStyle="1" w:styleId="206">
    <w:name w:val="占位符文本1"/>
    <w:basedOn w:val="43"/>
    <w:semiHidden/>
    <w:qFormat/>
    <w:uiPriority w:val="99"/>
    <w:rPr>
      <w:color w:val="808080"/>
    </w:rPr>
  </w:style>
  <w:style w:type="character" w:customStyle="1" w:styleId="207">
    <w:name w:val="font61"/>
    <w:qFormat/>
    <w:uiPriority w:val="0"/>
    <w:rPr>
      <w:rFonts w:hint="eastAsia" w:ascii="仿宋_GB2312" w:eastAsia="仿宋_GB2312" w:cs="仿宋_GB2312"/>
      <w:color w:val="000000"/>
      <w:sz w:val="24"/>
      <w:szCs w:val="24"/>
      <w:u w:val="none"/>
    </w:rPr>
  </w:style>
  <w:style w:type="character" w:customStyle="1" w:styleId="208">
    <w:name w:val="日期 Char1"/>
    <w:basedOn w:val="43"/>
    <w:semiHidden/>
    <w:qFormat/>
    <w:uiPriority w:val="99"/>
    <w:rPr>
      <w:rFonts w:hint="default" w:ascii="Calibri" w:hAnsi="Calibri" w:eastAsia="宋体" w:cs="Times New Roman"/>
    </w:rPr>
  </w:style>
  <w:style w:type="character" w:customStyle="1" w:styleId="209">
    <w:name w:val="副标题 Char2"/>
    <w:basedOn w:val="43"/>
    <w:qFormat/>
    <w:uiPriority w:val="11"/>
    <w:rPr>
      <w:rFonts w:hint="default" w:eastAsia="宋体" w:asciiTheme="majorHAnsi" w:hAnsiTheme="majorHAnsi" w:cstheme="majorBidi"/>
      <w:b/>
      <w:bCs/>
      <w:kern w:val="28"/>
      <w:sz w:val="32"/>
      <w:szCs w:val="32"/>
    </w:rPr>
  </w:style>
  <w:style w:type="character" w:customStyle="1" w:styleId="210">
    <w:name w:val="正文文本缩进 3 Char1"/>
    <w:basedOn w:val="43"/>
    <w:semiHidden/>
    <w:qFormat/>
    <w:uiPriority w:val="99"/>
    <w:rPr>
      <w:rFonts w:hint="default" w:ascii="Calibri" w:hAnsi="Calibri" w:eastAsia="宋体" w:cs="Times New Roman"/>
      <w:sz w:val="16"/>
      <w:szCs w:val="16"/>
    </w:rPr>
  </w:style>
  <w:style w:type="character" w:customStyle="1" w:styleId="211">
    <w:name w:val="批注框文本 Char1"/>
    <w:basedOn w:val="43"/>
    <w:semiHidden/>
    <w:qFormat/>
    <w:uiPriority w:val="99"/>
    <w:rPr>
      <w:rFonts w:hint="default" w:ascii="Calibri" w:hAnsi="Calibri" w:eastAsia="宋体" w:cs="Times New Roman"/>
      <w:sz w:val="18"/>
      <w:szCs w:val="18"/>
    </w:rPr>
  </w:style>
  <w:style w:type="character" w:customStyle="1" w:styleId="212">
    <w:name w:val="纯文本 Char2"/>
    <w:basedOn w:val="43"/>
    <w:qFormat/>
    <w:uiPriority w:val="99"/>
    <w:rPr>
      <w:rFonts w:hint="eastAsia" w:ascii="宋体" w:hAnsi="Courier New" w:eastAsia="宋体" w:cs="Courier New"/>
      <w:szCs w:val="21"/>
    </w:rPr>
  </w:style>
  <w:style w:type="character" w:customStyle="1" w:styleId="213">
    <w:name w:val="正文文本缩进 2 Char1"/>
    <w:basedOn w:val="43"/>
    <w:semiHidden/>
    <w:qFormat/>
    <w:uiPriority w:val="99"/>
    <w:rPr>
      <w:rFonts w:hint="default" w:ascii="Calibri" w:hAnsi="Calibri" w:eastAsia="宋体" w:cs="Times New Roman"/>
    </w:rPr>
  </w:style>
  <w:style w:type="character" w:customStyle="1" w:styleId="214">
    <w:name w:val="正文文本缩进 Char1"/>
    <w:basedOn w:val="43"/>
    <w:semiHidden/>
    <w:qFormat/>
    <w:uiPriority w:val="99"/>
    <w:rPr>
      <w:rFonts w:hint="default" w:ascii="Calibri" w:hAnsi="Calibri" w:eastAsia="宋体" w:cs="Times New Roman"/>
    </w:rPr>
  </w:style>
  <w:style w:type="character" w:customStyle="1" w:styleId="215">
    <w:name w:val="正文文本 2 Char1"/>
    <w:basedOn w:val="43"/>
    <w:semiHidden/>
    <w:qFormat/>
    <w:uiPriority w:val="99"/>
    <w:rPr>
      <w:rFonts w:hint="default" w:ascii="Calibri" w:hAnsi="Calibri" w:eastAsia="宋体" w:cs="Times New Roman"/>
    </w:rPr>
  </w:style>
  <w:style w:type="character" w:customStyle="1" w:styleId="216">
    <w:name w:val="正文文本 Char3"/>
    <w:basedOn w:val="43"/>
    <w:qFormat/>
    <w:locked/>
    <w:uiPriority w:val="0"/>
    <w:rPr>
      <w:rFonts w:ascii="Calibri" w:hAnsi="Calibri" w:eastAsia="宋体"/>
      <w:kern w:val="2"/>
      <w:sz w:val="21"/>
      <w:szCs w:val="22"/>
    </w:rPr>
  </w:style>
  <w:style w:type="character" w:customStyle="1" w:styleId="217">
    <w:name w:val="正文首行缩进 Char1"/>
    <w:basedOn w:val="216"/>
    <w:semiHidden/>
    <w:qFormat/>
    <w:uiPriority w:val="99"/>
    <w:rPr>
      <w:rFonts w:ascii="Calibri" w:hAnsi="Calibri" w:eastAsia="宋体"/>
      <w:kern w:val="2"/>
      <w:sz w:val="21"/>
      <w:szCs w:val="22"/>
    </w:rPr>
  </w:style>
  <w:style w:type="character" w:customStyle="1" w:styleId="218">
    <w:name w:val="批注文字 Char1"/>
    <w:basedOn w:val="43"/>
    <w:semiHidden/>
    <w:qFormat/>
    <w:uiPriority w:val="0"/>
    <w:rPr>
      <w:rFonts w:hint="default" w:ascii="Calibri" w:hAnsi="Calibri" w:eastAsia="宋体" w:cs="Times New Roman"/>
    </w:rPr>
  </w:style>
  <w:style w:type="character" w:customStyle="1" w:styleId="219">
    <w:name w:val="正文文本 3 Char1"/>
    <w:basedOn w:val="43"/>
    <w:semiHidden/>
    <w:qFormat/>
    <w:uiPriority w:val="99"/>
    <w:rPr>
      <w:rFonts w:hint="default" w:ascii="Calibri" w:hAnsi="Calibri" w:eastAsia="宋体" w:cs="Times New Roman"/>
      <w:sz w:val="16"/>
      <w:szCs w:val="16"/>
    </w:rPr>
  </w:style>
  <w:style w:type="character" w:customStyle="1" w:styleId="220">
    <w:name w:val="文档结构图 Char1"/>
    <w:basedOn w:val="43"/>
    <w:semiHidden/>
    <w:qFormat/>
    <w:uiPriority w:val="99"/>
    <w:rPr>
      <w:rFonts w:hint="eastAsia" w:ascii="宋体" w:hAnsi="Calibri" w:eastAsia="宋体" w:cs="Times New Roman"/>
      <w:sz w:val="18"/>
      <w:szCs w:val="18"/>
    </w:rPr>
  </w:style>
  <w:style w:type="character" w:customStyle="1" w:styleId="221">
    <w:name w:val="font21"/>
    <w:qFormat/>
    <w:uiPriority w:val="0"/>
    <w:rPr>
      <w:rFonts w:hint="eastAsia" w:ascii="仿宋_GB2312" w:eastAsia="仿宋_GB2312" w:cs="仿宋_GB2312"/>
      <w:color w:val="000000"/>
      <w:sz w:val="24"/>
      <w:szCs w:val="24"/>
      <w:u w:val="none"/>
    </w:rPr>
  </w:style>
  <w:style w:type="paragraph" w:customStyle="1" w:styleId="222">
    <w:name w:val="正文_58"/>
    <w:qFormat/>
    <w:uiPriority w:val="0"/>
    <w:pPr>
      <w:widowControl w:val="0"/>
      <w:jc w:val="both"/>
    </w:pPr>
    <w:rPr>
      <w:rFonts w:ascii="Calibri" w:hAnsi="Calibri" w:eastAsia="宋体" w:cs="Times New Roman"/>
      <w:kern w:val="2"/>
      <w:sz w:val="21"/>
      <w:szCs w:val="22"/>
      <w:lang w:val="en-US" w:eastAsia="zh-CN" w:bidi="ar-SA"/>
    </w:rPr>
  </w:style>
  <w:style w:type="paragraph" w:customStyle="1" w:styleId="223">
    <w:name w:val="Table Paragraph"/>
    <w:basedOn w:val="1"/>
    <w:qFormat/>
    <w:uiPriority w:val="1"/>
    <w:rPr>
      <w:rFonts w:ascii="宋体" w:hAnsi="宋体" w:cs="宋体"/>
      <w:lang w:eastAsia="en-US" w:bidi="en-US"/>
    </w:rPr>
  </w:style>
  <w:style w:type="character" w:customStyle="1" w:styleId="224">
    <w:name w:val="font41"/>
    <w:qFormat/>
    <w:uiPriority w:val="0"/>
    <w:rPr>
      <w:rFonts w:hint="default" w:ascii="Calibri" w:hAnsi="Calibri" w:cs="Calibri"/>
      <w:color w:val="000000"/>
      <w:sz w:val="20"/>
      <w:szCs w:val="20"/>
      <w:u w:val="none"/>
    </w:rPr>
  </w:style>
  <w:style w:type="character" w:customStyle="1" w:styleId="225">
    <w:name w:val="NormalCharacter"/>
    <w:qFormat/>
    <w:uiPriority w:val="0"/>
  </w:style>
  <w:style w:type="character" w:customStyle="1" w:styleId="226">
    <w:name w:val="sugg-loading"/>
    <w:basedOn w:val="43"/>
    <w:qFormat/>
    <w:uiPriority w:val="0"/>
  </w:style>
  <w:style w:type="paragraph" w:styleId="227">
    <w:name w:val="List Paragraph"/>
    <w:basedOn w:val="1"/>
    <w:qFormat/>
    <w:uiPriority w:val="99"/>
    <w:pPr>
      <w:ind w:firstLine="420" w:firstLineChars="200"/>
    </w:pPr>
  </w:style>
  <w:style w:type="character" w:customStyle="1" w:styleId="228">
    <w:name w:val="正文文本 Char4"/>
    <w:basedOn w:val="43"/>
    <w:qFormat/>
    <w:locked/>
    <w:uiPriority w:val="99"/>
    <w:rPr>
      <w:rFonts w:ascii="Calibri" w:hAnsi="Calibri" w:eastAsia="宋体" w:cs="Times New Roman"/>
    </w:rPr>
  </w:style>
  <w:style w:type="character" w:customStyle="1" w:styleId="229">
    <w:name w:val="列出段落 字符1"/>
    <w:qFormat/>
    <w:uiPriority w:val="34"/>
    <w:rPr>
      <w:sz w:val="24"/>
      <w:szCs w:val="24"/>
    </w:rPr>
  </w:style>
  <w:style w:type="paragraph" w:customStyle="1" w:styleId="230">
    <w:name w:val="列出段落111"/>
    <w:basedOn w:val="1"/>
    <w:qFormat/>
    <w:uiPriority w:val="99"/>
    <w:pPr>
      <w:widowControl/>
      <w:ind w:firstLine="420" w:firstLineChars="200"/>
      <w:jc w:val="left"/>
    </w:pPr>
    <w:rPr>
      <w:rFonts w:ascii="Times New Roman" w:hAnsi="Times New Roman"/>
      <w:kern w:val="0"/>
      <w:sz w:val="24"/>
      <w:szCs w:val="24"/>
      <w:lang w:val="zh-CN"/>
    </w:rPr>
  </w:style>
  <w:style w:type="paragraph" w:customStyle="1" w:styleId="231">
    <w:name w:val="列出段落{858D7CFB-ED40-4347-BF05-701D383B685F}{858D7CFB-ED40-4347-BF05-701D383B685F}"/>
    <w:basedOn w:val="1"/>
    <w:qFormat/>
    <w:uiPriority w:val="0"/>
    <w:pPr>
      <w:ind w:firstLine="420" w:firstLineChars="200"/>
    </w:pPr>
    <w:rPr>
      <w:kern w:val="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334CCDC-75AA-4D3B-AF3C-4C53D5B813A7}">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107</Pages>
  <Words>56231</Words>
  <Characters>58746</Characters>
  <Lines>233</Lines>
  <Paragraphs>65</Paragraphs>
  <TotalTime>8</TotalTime>
  <ScaleCrop>false</ScaleCrop>
  <LinksUpToDate>false</LinksUpToDate>
  <CharactersWithSpaces>59501</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2021-10-08T09:06:00Z</dcterms:created>
  <dc:creator>高文豪</dc:creator>
  <cp:lastModifiedBy>50141</cp:lastModifiedBy>
  <cp:lastPrinted>2022-02-24T07:28:00Z</cp:lastPrinted>
  <dcterms:modified xsi:type="dcterms:W3CDTF">2022-03-01T01:44:27Z</dcterms:modified>
  <cp:revision>66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16B5CA6511C34F73B8F080E64963CC25</vt:lpwstr>
  </property>
</Properties>
</file>