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华文中宋" w:hAnsi="华文中宋" w:eastAsia="华文中宋"/>
          <w:spacing w:val="20"/>
          <w:sz w:val="24"/>
          <w:szCs w:val="24"/>
        </w:rPr>
      </w:pPr>
    </w:p>
    <w:p>
      <w:pPr>
        <w:spacing w:line="360" w:lineRule="auto"/>
        <w:rPr>
          <w:rFonts w:ascii="华文中宋" w:hAnsi="华文中宋" w:eastAsia="华文中宋"/>
          <w:spacing w:val="20"/>
          <w:sz w:val="24"/>
          <w:szCs w:val="24"/>
        </w:rPr>
      </w:pPr>
    </w:p>
    <w:p>
      <w:pPr>
        <w:spacing w:line="360" w:lineRule="auto"/>
        <w:jc w:val="center"/>
        <w:rPr>
          <w:rFonts w:ascii="华文中宋" w:hAnsi="华文中宋" w:eastAsia="华文中宋"/>
          <w:spacing w:val="-20"/>
          <w:sz w:val="96"/>
          <w:szCs w:val="96"/>
        </w:rPr>
      </w:pPr>
      <w:r>
        <w:rPr>
          <w:rFonts w:hint="eastAsia" w:ascii="华文中宋" w:hAnsi="华文中宋" w:eastAsia="华文中宋"/>
          <w:spacing w:val="-20"/>
          <w:sz w:val="96"/>
          <w:szCs w:val="96"/>
        </w:rPr>
        <w:t>竞争性磋商文件</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hint="eastAsia" w:ascii="华文中宋" w:hAnsi="华文中宋" w:eastAsia="华文中宋"/>
          <w:spacing w:val="20"/>
          <w:sz w:val="32"/>
          <w:szCs w:val="32"/>
          <w:lang w:eastAsia="zh-CN"/>
        </w:rPr>
      </w:pPr>
      <w:r>
        <w:rPr>
          <w:rFonts w:hint="eastAsia" w:ascii="华文中宋" w:hAnsi="华文中宋" w:eastAsia="华文中宋"/>
          <w:spacing w:val="20"/>
          <w:sz w:val="32"/>
          <w:szCs w:val="32"/>
        </w:rPr>
        <w:t>项目名称：</w:t>
      </w:r>
      <w:r>
        <w:rPr>
          <w:rFonts w:hint="eastAsia" w:ascii="华文中宋" w:hAnsi="华文中宋" w:eastAsia="华文中宋"/>
          <w:spacing w:val="20"/>
          <w:sz w:val="32"/>
          <w:szCs w:val="32"/>
          <w:lang w:eastAsia="zh-CN"/>
        </w:rPr>
        <w:t>成都市弟维小学照明设备采购项目(二次）</w:t>
      </w:r>
    </w:p>
    <w:p>
      <w:pPr>
        <w:spacing w:line="360" w:lineRule="auto"/>
        <w:ind w:left="2191" w:leftChars="236" w:hanging="1695" w:hangingChars="471"/>
        <w:rPr>
          <w:rFonts w:hint="eastAsia" w:ascii="华文中宋" w:hAnsi="华文中宋" w:eastAsia="华文中宋"/>
          <w:spacing w:val="20"/>
          <w:sz w:val="32"/>
          <w:szCs w:val="32"/>
        </w:rPr>
      </w:pPr>
      <w:r>
        <w:rPr>
          <w:rFonts w:hint="eastAsia" w:ascii="华文中宋" w:hAnsi="华文中宋" w:eastAsia="华文中宋"/>
          <w:spacing w:val="20"/>
          <w:sz w:val="32"/>
          <w:szCs w:val="32"/>
        </w:rPr>
        <w:t>项目编号：武侯政采（2021）A0145号-1</w:t>
      </w: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2191" w:leftChars="236" w:hanging="1695" w:hangingChars="471"/>
        <w:rPr>
          <w:rFonts w:ascii="华文中宋" w:hAnsi="华文中宋" w:eastAsia="华文中宋"/>
          <w:spacing w:val="20"/>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ind w:left="1908" w:leftChars="223" w:hanging="1440" w:hangingChars="450"/>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360" w:lineRule="auto"/>
        <w:rPr>
          <w:rFonts w:ascii="华文中宋" w:hAnsi="华文中宋" w:eastAsia="华文中宋"/>
          <w:sz w:val="32"/>
          <w:szCs w:val="32"/>
        </w:rPr>
      </w:pPr>
    </w:p>
    <w:p>
      <w:pPr>
        <w:spacing w:line="560" w:lineRule="exact"/>
        <w:jc w:val="center"/>
        <w:rPr>
          <w:rFonts w:hint="eastAsia" w:ascii="华文中宋" w:hAnsi="华文中宋" w:eastAsia="华文中宋"/>
          <w:spacing w:val="20"/>
          <w:sz w:val="32"/>
          <w:szCs w:val="32"/>
        </w:rPr>
      </w:pPr>
      <w:r>
        <w:rPr>
          <w:rFonts w:hint="eastAsia" w:ascii="华文中宋" w:hAnsi="华文中宋" w:eastAsia="华文中宋"/>
          <w:spacing w:val="20"/>
          <w:sz w:val="32"/>
          <w:szCs w:val="32"/>
        </w:rPr>
        <w:t>成都市弟维小学</w:t>
      </w:r>
    </w:p>
    <w:p>
      <w:pPr>
        <w:spacing w:line="560" w:lineRule="exact"/>
        <w:jc w:val="center"/>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成都市武侯区政府采购中心共同编制</w:t>
      </w:r>
    </w:p>
    <w:p>
      <w:pPr>
        <w:tabs>
          <w:tab w:val="center" w:pos="4153"/>
          <w:tab w:val="right" w:pos="8306"/>
        </w:tabs>
        <w:spacing w:line="360" w:lineRule="auto"/>
        <w:jc w:val="center"/>
        <w:rPr>
          <w:rFonts w:ascii="华文中宋" w:hAnsi="华文中宋" w:eastAsia="华文中宋"/>
          <w:bCs/>
          <w:sz w:val="32"/>
          <w:szCs w:val="32"/>
        </w:rPr>
      </w:pPr>
      <w:r>
        <w:rPr>
          <w:rFonts w:hint="eastAsia" w:ascii="华文中宋" w:hAnsi="华文中宋" w:eastAsia="华文中宋"/>
          <w:bCs/>
          <w:sz w:val="32"/>
          <w:szCs w:val="32"/>
        </w:rPr>
        <w:t>二○二</w:t>
      </w:r>
      <w:r>
        <w:rPr>
          <w:rFonts w:hint="eastAsia" w:ascii="华文中宋" w:hAnsi="华文中宋" w:eastAsia="华文中宋"/>
          <w:bCs/>
          <w:sz w:val="32"/>
          <w:szCs w:val="32"/>
          <w:lang w:eastAsia="zh-CN"/>
        </w:rPr>
        <w:t>二</w:t>
      </w:r>
      <w:r>
        <w:rPr>
          <w:rFonts w:hint="eastAsia" w:ascii="华文中宋" w:hAnsi="华文中宋" w:eastAsia="华文中宋"/>
          <w:bCs/>
          <w:sz w:val="32"/>
          <w:szCs w:val="32"/>
        </w:rPr>
        <w:t>年</w:t>
      </w:r>
      <w:r>
        <w:rPr>
          <w:rFonts w:hint="eastAsia" w:ascii="华文中宋" w:hAnsi="华文中宋" w:eastAsia="华文中宋"/>
          <w:bCs/>
          <w:sz w:val="32"/>
          <w:szCs w:val="32"/>
          <w:lang w:eastAsia="zh-CN"/>
        </w:rPr>
        <w:t>一</w:t>
      </w:r>
      <w:r>
        <w:rPr>
          <w:rFonts w:hint="eastAsia" w:ascii="华文中宋" w:hAnsi="华文中宋" w:eastAsia="华文中宋"/>
          <w:bCs/>
          <w:sz w:val="32"/>
          <w:szCs w:val="32"/>
        </w:rPr>
        <w:t>月</w:t>
      </w:r>
    </w:p>
    <w:p>
      <w:pPr>
        <w:tabs>
          <w:tab w:val="center" w:pos="4153"/>
          <w:tab w:val="right" w:pos="8306"/>
        </w:tabs>
        <w:spacing w:line="360" w:lineRule="auto"/>
        <w:jc w:val="center"/>
        <w:rPr>
          <w:rFonts w:ascii="宋体" w:hAnsi="宋体"/>
          <w:b/>
          <w:bCs/>
          <w:sz w:val="32"/>
          <w:szCs w:val="32"/>
        </w:rPr>
      </w:pPr>
      <w:r>
        <w:rPr>
          <w:rFonts w:hint="eastAsia" w:ascii="华文中宋" w:hAnsi="华文中宋" w:eastAsia="华文中宋"/>
          <w:bCs/>
          <w:sz w:val="32"/>
          <w:szCs w:val="32"/>
        </w:rPr>
        <w:br w:type="page"/>
      </w:r>
      <w:r>
        <w:rPr>
          <w:rFonts w:hint="eastAsia" w:ascii="宋体" w:hAnsi="宋体"/>
          <w:b/>
          <w:bCs/>
          <w:sz w:val="32"/>
          <w:szCs w:val="32"/>
        </w:rPr>
        <w:t>目 录</w:t>
      </w:r>
    </w:p>
    <w:p>
      <w:pPr>
        <w:pStyle w:val="30"/>
        <w:rPr>
          <w:rFonts w:asciiTheme="minorHAnsi" w:hAnsiTheme="minorHAnsi" w:eastAsiaTheme="minorEastAsia" w:cstheme="minorBidi"/>
          <w:bCs w:val="0"/>
          <w:caps w:val="0"/>
          <w:sz w:val="21"/>
          <w:szCs w:val="22"/>
        </w:rPr>
      </w:pPr>
      <w:r>
        <w:rPr>
          <w:rFonts w:hint="eastAsia" w:ascii="宋体" w:hAnsi="宋体"/>
          <w:sz w:val="36"/>
          <w:szCs w:val="36"/>
        </w:rPr>
        <w:fldChar w:fldCharType="begin"/>
      </w:r>
      <w:r>
        <w:rPr>
          <w:rFonts w:hint="eastAsia" w:ascii="宋体" w:hAnsi="宋体"/>
          <w:sz w:val="36"/>
          <w:szCs w:val="36"/>
        </w:rPr>
        <w:instrText xml:space="preserve">TOC \o "1-2" \h \z \u</w:instrText>
      </w:r>
      <w:r>
        <w:rPr>
          <w:rFonts w:hint="eastAsia" w:ascii="宋体" w:hAnsi="宋体"/>
          <w:sz w:val="36"/>
          <w:szCs w:val="36"/>
        </w:rPr>
        <w:fldChar w:fldCharType="separate"/>
      </w:r>
      <w:r>
        <w:rPr>
          <w:sz w:val="20"/>
          <w:szCs w:val="20"/>
        </w:rPr>
        <w:fldChar w:fldCharType="begin"/>
      </w:r>
      <w:r>
        <w:rPr>
          <w:sz w:val="20"/>
          <w:szCs w:val="20"/>
        </w:rPr>
        <w:instrText xml:space="preserve"> HYPERLINK \l "_Toc79742117" </w:instrText>
      </w:r>
      <w:r>
        <w:rPr>
          <w:sz w:val="20"/>
          <w:szCs w:val="20"/>
        </w:rPr>
        <w:fldChar w:fldCharType="separate"/>
      </w:r>
      <w:r>
        <w:rPr>
          <w:rStyle w:val="47"/>
          <w:rFonts w:hint="eastAsia" w:ascii="Times New Roman" w:hAnsi="Times New Roman"/>
          <w:sz w:val="20"/>
          <w:szCs w:val="20"/>
        </w:rPr>
        <w:t>第1章</w:t>
      </w:r>
      <w:r>
        <w:rPr>
          <w:rFonts w:asciiTheme="minorHAnsi" w:hAnsiTheme="minorHAnsi" w:eastAsiaTheme="minorEastAsia" w:cstheme="minorBidi"/>
          <w:bCs w:val="0"/>
          <w:caps w:val="0"/>
          <w:sz w:val="21"/>
          <w:szCs w:val="22"/>
        </w:rPr>
        <w:tab/>
      </w:r>
      <w:r>
        <w:rPr>
          <w:rStyle w:val="47"/>
          <w:rFonts w:hint="eastAsia"/>
          <w:sz w:val="20"/>
          <w:szCs w:val="20"/>
        </w:rPr>
        <w:t>竞争性磋商邀请</w:t>
      </w:r>
      <w:r>
        <w:rPr>
          <w:sz w:val="20"/>
          <w:szCs w:val="20"/>
        </w:rPr>
        <w:tab/>
      </w:r>
      <w:r>
        <w:rPr>
          <w:sz w:val="20"/>
          <w:szCs w:val="20"/>
        </w:rPr>
        <w:fldChar w:fldCharType="begin"/>
      </w:r>
      <w:r>
        <w:rPr>
          <w:sz w:val="20"/>
          <w:szCs w:val="20"/>
        </w:rPr>
        <w:instrText xml:space="preserve"> PAGEREF _Toc79742117 \h </w:instrText>
      </w:r>
      <w:r>
        <w:rPr>
          <w:sz w:val="20"/>
          <w:szCs w:val="20"/>
        </w:rPr>
        <w:fldChar w:fldCharType="separate"/>
      </w:r>
      <w:r>
        <w:rPr>
          <w:sz w:val="20"/>
          <w:szCs w:val="20"/>
        </w:rPr>
        <w:t>3</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"_Toc79742118" </w:instrText>
      </w:r>
      <w:r>
        <w:rPr>
          <w:sz w:val="20"/>
          <w:szCs w:val="20"/>
        </w:rPr>
        <w:fldChar w:fldCharType="separate"/>
      </w:r>
      <w:r>
        <w:rPr>
          <w:rStyle w:val="47"/>
          <w:rFonts w:hint="eastAsia" w:ascii="Times New Roman" w:hAnsi="Times New Roman"/>
          <w:sz w:val="20"/>
          <w:szCs w:val="20"/>
        </w:rPr>
        <w:t>第2章</w:t>
      </w:r>
      <w:r>
        <w:rPr>
          <w:rFonts w:asciiTheme="minorHAnsi" w:hAnsiTheme="minorHAnsi" w:eastAsiaTheme="minorEastAsia" w:cstheme="minorBidi"/>
          <w:bCs w:val="0"/>
          <w:caps w:val="0"/>
          <w:sz w:val="21"/>
          <w:szCs w:val="22"/>
        </w:rPr>
        <w:tab/>
      </w:r>
      <w:r>
        <w:rPr>
          <w:rStyle w:val="47"/>
          <w:rFonts w:hint="eastAsia"/>
          <w:sz w:val="20"/>
          <w:szCs w:val="20"/>
        </w:rPr>
        <w:t>供应商须知</w:t>
      </w:r>
      <w:r>
        <w:rPr>
          <w:sz w:val="20"/>
          <w:szCs w:val="20"/>
        </w:rPr>
        <w:tab/>
      </w:r>
      <w:r>
        <w:rPr>
          <w:sz w:val="20"/>
          <w:szCs w:val="20"/>
        </w:rPr>
        <w:fldChar w:fldCharType="begin"/>
      </w:r>
      <w:r>
        <w:rPr>
          <w:sz w:val="20"/>
          <w:szCs w:val="20"/>
        </w:rPr>
        <w:instrText xml:space="preserve"> PAGEREF _Toc79742118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"_Toc79742119" </w:instrText>
      </w:r>
      <w:r>
        <w:rPr>
          <w:sz w:val="20"/>
          <w:szCs w:val="20"/>
        </w:rPr>
        <w:fldChar w:fldCharType="separate"/>
      </w:r>
      <w:r>
        <w:rPr>
          <w:rStyle w:val="47"/>
          <w:rFonts w:ascii="Times New Roman" w:hAnsi="Times New Roman"/>
          <w:sz w:val="20"/>
          <w:szCs w:val="20"/>
        </w:rPr>
        <w:t>2.1</w:t>
      </w:r>
      <w:r>
        <w:rPr>
          <w:rStyle w:val="47"/>
          <w:rFonts w:hint="eastAsia"/>
          <w:sz w:val="20"/>
          <w:szCs w:val="20"/>
        </w:rPr>
        <w:t xml:space="preserve"> 供应商须知前附表</w:t>
      </w:r>
      <w:r>
        <w:rPr>
          <w:sz w:val="20"/>
          <w:szCs w:val="20"/>
        </w:rPr>
        <w:tab/>
      </w:r>
      <w:r>
        <w:rPr>
          <w:sz w:val="20"/>
          <w:szCs w:val="20"/>
        </w:rPr>
        <w:fldChar w:fldCharType="begin"/>
      </w:r>
      <w:r>
        <w:rPr>
          <w:sz w:val="20"/>
          <w:szCs w:val="20"/>
        </w:rPr>
        <w:instrText xml:space="preserve"> PAGEREF _Toc79742119 \h </w:instrText>
      </w:r>
      <w:r>
        <w:rPr>
          <w:sz w:val="20"/>
          <w:szCs w:val="20"/>
        </w:rPr>
        <w:fldChar w:fldCharType="separate"/>
      </w:r>
      <w:r>
        <w:rPr>
          <w:sz w:val="20"/>
          <w:szCs w:val="20"/>
        </w:rPr>
        <w:t>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"_Toc79742120" </w:instrText>
      </w:r>
      <w:r>
        <w:rPr>
          <w:sz w:val="20"/>
          <w:szCs w:val="20"/>
        </w:rPr>
        <w:fldChar w:fldCharType="separate"/>
      </w:r>
      <w:r>
        <w:rPr>
          <w:rStyle w:val="47"/>
          <w:rFonts w:ascii="Times New Roman" w:hAnsi="Times New Roman"/>
          <w:sz w:val="20"/>
          <w:szCs w:val="20"/>
        </w:rPr>
        <w:t>2.2</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_Toc79742120 \h </w:instrText>
      </w:r>
      <w:r>
        <w:rPr>
          <w:sz w:val="20"/>
          <w:szCs w:val="20"/>
        </w:rPr>
        <w:fldChar w:fldCharType="separate"/>
      </w:r>
      <w:r>
        <w:rPr>
          <w:sz w:val="20"/>
          <w:szCs w:val="20"/>
        </w:rPr>
        <w:t>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"_Toc79742121" </w:instrText>
      </w:r>
      <w:r>
        <w:rPr>
          <w:sz w:val="20"/>
          <w:szCs w:val="20"/>
        </w:rPr>
        <w:fldChar w:fldCharType="separate"/>
      </w:r>
      <w:r>
        <w:rPr>
          <w:rStyle w:val="47"/>
          <w:rFonts w:ascii="Times New Roman" w:hAnsi="Times New Roman"/>
          <w:sz w:val="20"/>
          <w:szCs w:val="20"/>
        </w:rPr>
        <w:t>2.3</w:t>
      </w:r>
      <w:r>
        <w:rPr>
          <w:rStyle w:val="47"/>
          <w:rFonts w:hint="eastAsia"/>
          <w:sz w:val="20"/>
          <w:szCs w:val="20"/>
        </w:rPr>
        <w:t xml:space="preserve"> 磋商文件</w:t>
      </w:r>
      <w:r>
        <w:rPr>
          <w:sz w:val="20"/>
          <w:szCs w:val="20"/>
        </w:rPr>
        <w:tab/>
      </w:r>
      <w:r>
        <w:rPr>
          <w:sz w:val="20"/>
          <w:szCs w:val="20"/>
        </w:rPr>
        <w:fldChar w:fldCharType="begin"/>
      </w:r>
      <w:r>
        <w:rPr>
          <w:sz w:val="20"/>
          <w:szCs w:val="20"/>
        </w:rPr>
        <w:instrText xml:space="preserve"> PAGEREF _Toc79742121 \h </w:instrText>
      </w:r>
      <w:r>
        <w:rPr>
          <w:sz w:val="20"/>
          <w:szCs w:val="20"/>
        </w:rPr>
        <w:fldChar w:fldCharType="separate"/>
      </w:r>
      <w:r>
        <w:rPr>
          <w:sz w:val="20"/>
          <w:szCs w:val="20"/>
        </w:rPr>
        <w:t>10</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"_Toc79742122" </w:instrText>
      </w:r>
      <w:r>
        <w:rPr>
          <w:sz w:val="20"/>
          <w:szCs w:val="20"/>
        </w:rPr>
        <w:fldChar w:fldCharType="separate"/>
      </w:r>
      <w:r>
        <w:rPr>
          <w:rStyle w:val="47"/>
          <w:rFonts w:ascii="Times New Roman" w:hAnsi="Times New Roman"/>
          <w:sz w:val="20"/>
          <w:szCs w:val="20"/>
        </w:rPr>
        <w:t>2.4</w:t>
      </w:r>
      <w:r>
        <w:rPr>
          <w:rStyle w:val="47"/>
          <w:rFonts w:hint="eastAsia"/>
          <w:sz w:val="20"/>
          <w:szCs w:val="20"/>
        </w:rPr>
        <w:t xml:space="preserve"> 响应文件</w:t>
      </w:r>
      <w:r>
        <w:rPr>
          <w:sz w:val="20"/>
          <w:szCs w:val="20"/>
        </w:rPr>
        <w:tab/>
      </w:r>
      <w:r>
        <w:rPr>
          <w:sz w:val="20"/>
          <w:szCs w:val="20"/>
        </w:rPr>
        <w:fldChar w:fldCharType="begin"/>
      </w:r>
      <w:r>
        <w:rPr>
          <w:sz w:val="20"/>
          <w:szCs w:val="20"/>
        </w:rPr>
        <w:instrText xml:space="preserve"> PAGEREF _Toc79742122 \h </w:instrText>
      </w:r>
      <w:r>
        <w:rPr>
          <w:sz w:val="20"/>
          <w:szCs w:val="20"/>
        </w:rPr>
        <w:fldChar w:fldCharType="separate"/>
      </w:r>
      <w:r>
        <w:rPr>
          <w:sz w:val="20"/>
          <w:szCs w:val="20"/>
        </w:rPr>
        <w:t>11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"_Toc79742123" </w:instrText>
      </w:r>
      <w:r>
        <w:rPr>
          <w:sz w:val="20"/>
          <w:szCs w:val="20"/>
        </w:rPr>
        <w:fldChar w:fldCharType="separate"/>
      </w:r>
      <w:r>
        <w:rPr>
          <w:rStyle w:val="47"/>
          <w:rFonts w:ascii="Times New Roman" w:hAnsi="Times New Roman"/>
          <w:sz w:val="20"/>
          <w:szCs w:val="20"/>
        </w:rPr>
        <w:t>2.5</w:t>
      </w:r>
      <w:r>
        <w:rPr>
          <w:rStyle w:val="47"/>
          <w:rFonts w:hint="eastAsia"/>
          <w:sz w:val="20"/>
          <w:szCs w:val="20"/>
        </w:rPr>
        <w:t xml:space="preserve"> 磋商开启活动程序</w:t>
      </w:r>
      <w:r>
        <w:rPr>
          <w:sz w:val="20"/>
          <w:szCs w:val="20"/>
        </w:rPr>
        <w:tab/>
      </w:r>
      <w:r>
        <w:rPr>
          <w:sz w:val="20"/>
          <w:szCs w:val="20"/>
        </w:rPr>
        <w:fldChar w:fldCharType="begin"/>
      </w:r>
      <w:r>
        <w:rPr>
          <w:sz w:val="20"/>
          <w:szCs w:val="20"/>
        </w:rPr>
        <w:instrText xml:space="preserve"> PAGEREF _Toc79742123 \h </w:instrText>
      </w:r>
      <w:r>
        <w:rPr>
          <w:sz w:val="20"/>
          <w:szCs w:val="20"/>
        </w:rPr>
        <w:fldChar w:fldCharType="separate"/>
      </w:r>
      <w:r>
        <w:rPr>
          <w:sz w:val="20"/>
          <w:szCs w:val="20"/>
        </w:rPr>
        <w:t>15</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"_Toc79742124" </w:instrText>
      </w:r>
      <w:r>
        <w:rPr>
          <w:sz w:val="20"/>
          <w:szCs w:val="20"/>
        </w:rPr>
        <w:fldChar w:fldCharType="separate"/>
      </w:r>
      <w:r>
        <w:rPr>
          <w:rStyle w:val="47"/>
          <w:rFonts w:ascii="Times New Roman" w:hAnsi="Times New Roman"/>
          <w:sz w:val="20"/>
          <w:szCs w:val="20"/>
        </w:rPr>
        <w:t>2.6</w:t>
      </w:r>
      <w:r>
        <w:rPr>
          <w:rStyle w:val="47"/>
          <w:rFonts w:hint="eastAsia"/>
          <w:sz w:val="20"/>
          <w:szCs w:val="20"/>
        </w:rPr>
        <w:t xml:space="preserve"> 资格审查和评审</w:t>
      </w:r>
      <w:r>
        <w:rPr>
          <w:sz w:val="20"/>
          <w:szCs w:val="20"/>
        </w:rPr>
        <w:tab/>
      </w:r>
      <w:r>
        <w:rPr>
          <w:sz w:val="20"/>
          <w:szCs w:val="20"/>
        </w:rPr>
        <w:fldChar w:fldCharType="begin"/>
      </w:r>
      <w:r>
        <w:rPr>
          <w:sz w:val="20"/>
          <w:szCs w:val="20"/>
        </w:rPr>
        <w:instrText xml:space="preserve"> PAGEREF _Toc79742124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"_Toc79742125" </w:instrText>
      </w:r>
      <w:r>
        <w:rPr>
          <w:sz w:val="20"/>
          <w:szCs w:val="20"/>
        </w:rPr>
        <w:fldChar w:fldCharType="separate"/>
      </w:r>
      <w:r>
        <w:rPr>
          <w:rStyle w:val="47"/>
          <w:rFonts w:ascii="Times New Roman" w:hAnsi="Times New Roman"/>
          <w:sz w:val="20"/>
          <w:szCs w:val="20"/>
        </w:rPr>
        <w:t>2.7</w:t>
      </w:r>
      <w:r>
        <w:rPr>
          <w:rStyle w:val="47"/>
          <w:rFonts w:hint="eastAsia"/>
          <w:sz w:val="20"/>
          <w:szCs w:val="20"/>
        </w:rPr>
        <w:t xml:space="preserve"> 成交通知书</w:t>
      </w:r>
      <w:r>
        <w:rPr>
          <w:sz w:val="20"/>
          <w:szCs w:val="20"/>
        </w:rPr>
        <w:tab/>
      </w:r>
      <w:r>
        <w:rPr>
          <w:sz w:val="20"/>
          <w:szCs w:val="20"/>
        </w:rPr>
        <w:fldChar w:fldCharType="begin"/>
      </w:r>
      <w:r>
        <w:rPr>
          <w:sz w:val="20"/>
          <w:szCs w:val="20"/>
        </w:rPr>
        <w:instrText xml:space="preserve"> PAGEREF _Toc79742125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"_Toc79742126" </w:instrText>
      </w:r>
      <w:r>
        <w:rPr>
          <w:sz w:val="20"/>
          <w:szCs w:val="20"/>
        </w:rPr>
        <w:fldChar w:fldCharType="separate"/>
      </w:r>
      <w:r>
        <w:rPr>
          <w:rStyle w:val="47"/>
          <w:rFonts w:ascii="Times New Roman" w:hAnsi="Times New Roman"/>
          <w:sz w:val="20"/>
          <w:szCs w:val="20"/>
        </w:rPr>
        <w:t>2.8</w:t>
      </w:r>
      <w:r>
        <w:rPr>
          <w:rStyle w:val="47"/>
          <w:rFonts w:hint="eastAsia"/>
          <w:sz w:val="20"/>
          <w:szCs w:val="20"/>
        </w:rPr>
        <w:t xml:space="preserve"> 签订及履行合同和验收</w:t>
      </w:r>
      <w:r>
        <w:rPr>
          <w:sz w:val="20"/>
          <w:szCs w:val="20"/>
        </w:rPr>
        <w:tab/>
      </w:r>
      <w:r>
        <w:rPr>
          <w:sz w:val="20"/>
          <w:szCs w:val="20"/>
        </w:rPr>
        <w:fldChar w:fldCharType="begin"/>
      </w:r>
      <w:r>
        <w:rPr>
          <w:sz w:val="20"/>
          <w:szCs w:val="20"/>
        </w:rPr>
        <w:instrText xml:space="preserve"> PAGEREF _Toc79742126 \h </w:instrText>
      </w:r>
      <w:r>
        <w:rPr>
          <w:sz w:val="20"/>
          <w:szCs w:val="20"/>
        </w:rPr>
        <w:fldChar w:fldCharType="separate"/>
      </w:r>
      <w:r>
        <w:rPr>
          <w:sz w:val="20"/>
          <w:szCs w:val="20"/>
        </w:rPr>
        <w:t>16</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"_Toc79742127" </w:instrText>
      </w:r>
      <w:r>
        <w:rPr>
          <w:sz w:val="20"/>
          <w:szCs w:val="20"/>
        </w:rPr>
        <w:fldChar w:fldCharType="separate"/>
      </w:r>
      <w:r>
        <w:rPr>
          <w:rStyle w:val="47"/>
          <w:rFonts w:ascii="Times New Roman" w:hAnsi="Times New Roman"/>
          <w:sz w:val="20"/>
          <w:szCs w:val="20"/>
        </w:rPr>
        <w:t>2.9</w:t>
      </w:r>
      <w:r>
        <w:rPr>
          <w:rStyle w:val="47"/>
          <w:rFonts w:hint="eastAsia"/>
          <w:sz w:val="20"/>
          <w:szCs w:val="20"/>
        </w:rPr>
        <w:t xml:space="preserve"> 竞争性磋商工作纪律及要求</w:t>
      </w:r>
      <w:r>
        <w:rPr>
          <w:sz w:val="20"/>
          <w:szCs w:val="20"/>
        </w:rPr>
        <w:tab/>
      </w:r>
      <w:r>
        <w:rPr>
          <w:sz w:val="20"/>
          <w:szCs w:val="20"/>
        </w:rPr>
        <w:fldChar w:fldCharType="begin"/>
      </w:r>
      <w:r>
        <w:rPr>
          <w:sz w:val="20"/>
          <w:szCs w:val="20"/>
        </w:rPr>
        <w:instrText xml:space="preserve"> PAGEREF _Toc79742127 \h </w:instrText>
      </w:r>
      <w:r>
        <w:rPr>
          <w:sz w:val="20"/>
          <w:szCs w:val="20"/>
        </w:rPr>
        <w:fldChar w:fldCharType="separate"/>
      </w:r>
      <w:r>
        <w:rPr>
          <w:sz w:val="20"/>
          <w:szCs w:val="20"/>
        </w:rPr>
        <w:t>18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"_Toc79742128" </w:instrText>
      </w:r>
      <w:r>
        <w:rPr>
          <w:sz w:val="20"/>
          <w:szCs w:val="20"/>
        </w:rPr>
        <w:fldChar w:fldCharType="separate"/>
      </w:r>
      <w:r>
        <w:rPr>
          <w:rStyle w:val="47"/>
          <w:rFonts w:ascii="Times New Roman" w:hAnsi="Times New Roman"/>
          <w:sz w:val="20"/>
          <w:szCs w:val="20"/>
        </w:rPr>
        <w:t>2.10</w:t>
      </w:r>
      <w:r>
        <w:rPr>
          <w:rStyle w:val="47"/>
          <w:rFonts w:hint="eastAsia"/>
          <w:sz w:val="20"/>
          <w:szCs w:val="20"/>
        </w:rPr>
        <w:t xml:space="preserve"> 询问、质疑和投诉</w:t>
      </w:r>
      <w:r>
        <w:rPr>
          <w:sz w:val="20"/>
          <w:szCs w:val="20"/>
        </w:rPr>
        <w:tab/>
      </w:r>
      <w:r>
        <w:rPr>
          <w:sz w:val="20"/>
          <w:szCs w:val="20"/>
        </w:rPr>
        <w:fldChar w:fldCharType="begin"/>
      </w:r>
      <w:r>
        <w:rPr>
          <w:sz w:val="20"/>
          <w:szCs w:val="20"/>
        </w:rPr>
        <w:instrText xml:space="preserve"> PAGEREF _Toc79742128 \h </w:instrText>
      </w:r>
      <w:r>
        <w:rPr>
          <w:sz w:val="20"/>
          <w:szCs w:val="20"/>
        </w:rPr>
        <w:fldChar w:fldCharType="separate"/>
      </w:r>
      <w:r>
        <w:rPr>
          <w:sz w:val="20"/>
          <w:szCs w:val="20"/>
        </w:rPr>
        <w:t>19</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"_Toc79742129" </w:instrText>
      </w:r>
      <w:r>
        <w:rPr>
          <w:sz w:val="20"/>
          <w:szCs w:val="20"/>
        </w:rPr>
        <w:fldChar w:fldCharType="separate"/>
      </w:r>
      <w:r>
        <w:rPr>
          <w:rStyle w:val="47"/>
          <w:rFonts w:ascii="Times New Roman" w:hAnsi="Times New Roman"/>
          <w:sz w:val="20"/>
          <w:szCs w:val="20"/>
        </w:rPr>
        <w:t>2.11</w:t>
      </w:r>
      <w:r>
        <w:rPr>
          <w:rStyle w:val="47"/>
          <w:rFonts w:hint="eastAsia"/>
          <w:sz w:val="20"/>
          <w:szCs w:val="20"/>
        </w:rPr>
        <w:t xml:space="preserve"> 其他</w:t>
      </w:r>
      <w:r>
        <w:rPr>
          <w:sz w:val="20"/>
          <w:szCs w:val="20"/>
        </w:rPr>
        <w:tab/>
      </w:r>
      <w:r>
        <w:rPr>
          <w:sz w:val="20"/>
          <w:szCs w:val="20"/>
        </w:rPr>
        <w:fldChar w:fldCharType="begin"/>
      </w:r>
      <w:r>
        <w:rPr>
          <w:sz w:val="20"/>
          <w:szCs w:val="20"/>
        </w:rPr>
        <w:instrText xml:space="preserve"> PAGEREF _Toc79742129 \h </w:instrText>
      </w:r>
      <w:r>
        <w:rPr>
          <w:sz w:val="20"/>
          <w:szCs w:val="20"/>
        </w:rPr>
        <w:fldChar w:fldCharType="separate"/>
      </w:r>
      <w:r>
        <w:rPr>
          <w:sz w:val="20"/>
          <w:szCs w:val="20"/>
        </w:rPr>
        <w:t>20</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"_Toc79742130" </w:instrText>
      </w:r>
      <w:r>
        <w:rPr>
          <w:sz w:val="20"/>
          <w:szCs w:val="20"/>
        </w:rPr>
        <w:fldChar w:fldCharType="separate"/>
      </w:r>
      <w:r>
        <w:rPr>
          <w:rStyle w:val="47"/>
          <w:rFonts w:hint="eastAsia" w:ascii="Times New Roman" w:hAnsi="Times New Roman"/>
          <w:sz w:val="20"/>
          <w:szCs w:val="20"/>
        </w:rPr>
        <w:t>第3章</w:t>
      </w:r>
      <w:r>
        <w:rPr>
          <w:rFonts w:asciiTheme="minorHAnsi" w:hAnsiTheme="minorHAnsi" w:eastAsiaTheme="minorEastAsia" w:cstheme="minorBidi"/>
          <w:bCs w:val="0"/>
          <w:caps w:val="0"/>
          <w:sz w:val="21"/>
          <w:szCs w:val="22"/>
        </w:rPr>
        <w:tab/>
      </w:r>
      <w:r>
        <w:rPr>
          <w:rStyle w:val="47"/>
          <w:rFonts w:hint="eastAsia"/>
          <w:sz w:val="20"/>
          <w:szCs w:val="20"/>
        </w:rPr>
        <w:t>响应文件格式</w:t>
      </w:r>
      <w:r>
        <w:rPr>
          <w:sz w:val="20"/>
          <w:szCs w:val="20"/>
        </w:rPr>
        <w:tab/>
      </w:r>
      <w:r>
        <w:rPr>
          <w:sz w:val="20"/>
          <w:szCs w:val="20"/>
        </w:rPr>
        <w:fldChar w:fldCharType="begin"/>
      </w:r>
      <w:r>
        <w:rPr>
          <w:sz w:val="20"/>
          <w:szCs w:val="20"/>
        </w:rPr>
        <w:instrText xml:space="preserve"> PAGEREF _Toc79742130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"_Toc79742131" </w:instrText>
      </w:r>
      <w:r>
        <w:rPr>
          <w:sz w:val="20"/>
          <w:szCs w:val="20"/>
        </w:rPr>
        <w:fldChar w:fldCharType="separate"/>
      </w:r>
      <w:r>
        <w:rPr>
          <w:rStyle w:val="47"/>
          <w:rFonts w:ascii="Times New Roman" w:hAnsi="Times New Roman"/>
          <w:sz w:val="20"/>
          <w:szCs w:val="20"/>
        </w:rPr>
        <w:t>3.1</w:t>
      </w:r>
      <w:r>
        <w:rPr>
          <w:rStyle w:val="47"/>
          <w:rFonts w:hint="eastAsia"/>
          <w:sz w:val="20"/>
          <w:szCs w:val="20"/>
        </w:rPr>
        <w:t xml:space="preserve"> 资格性响应文件格式</w:t>
      </w:r>
      <w:r>
        <w:rPr>
          <w:sz w:val="20"/>
          <w:szCs w:val="20"/>
        </w:rPr>
        <w:tab/>
      </w:r>
      <w:r>
        <w:rPr>
          <w:sz w:val="20"/>
          <w:szCs w:val="20"/>
        </w:rPr>
        <w:fldChar w:fldCharType="begin"/>
      </w:r>
      <w:r>
        <w:rPr>
          <w:sz w:val="20"/>
          <w:szCs w:val="20"/>
        </w:rPr>
        <w:instrText xml:space="preserve"> PAGEREF _Toc79742131 \h </w:instrText>
      </w:r>
      <w:r>
        <w:rPr>
          <w:sz w:val="20"/>
          <w:szCs w:val="20"/>
        </w:rPr>
        <w:fldChar w:fldCharType="separate"/>
      </w:r>
      <w:r>
        <w:rPr>
          <w:sz w:val="20"/>
          <w:szCs w:val="20"/>
        </w:rPr>
        <w:t>21</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"_Toc79742132" </w:instrText>
      </w:r>
      <w:r>
        <w:rPr>
          <w:sz w:val="20"/>
          <w:szCs w:val="20"/>
        </w:rPr>
        <w:fldChar w:fldCharType="separate"/>
      </w:r>
      <w:r>
        <w:rPr>
          <w:rStyle w:val="47"/>
          <w:rFonts w:ascii="Times New Roman" w:hAnsi="Times New Roman"/>
          <w:sz w:val="20"/>
          <w:szCs w:val="20"/>
        </w:rPr>
        <w:t>3.2</w:t>
      </w:r>
      <w:r>
        <w:rPr>
          <w:rStyle w:val="47"/>
          <w:rFonts w:hint="eastAsia"/>
          <w:sz w:val="20"/>
          <w:szCs w:val="20"/>
        </w:rPr>
        <w:t xml:space="preserve"> 技术、商务性响应文件格式</w:t>
      </w:r>
      <w:r>
        <w:rPr>
          <w:sz w:val="20"/>
          <w:szCs w:val="20"/>
        </w:rPr>
        <w:tab/>
      </w:r>
      <w:r>
        <w:rPr>
          <w:sz w:val="20"/>
          <w:szCs w:val="20"/>
        </w:rPr>
        <w:fldChar w:fldCharType="begin"/>
      </w:r>
      <w:r>
        <w:rPr>
          <w:sz w:val="20"/>
          <w:szCs w:val="20"/>
        </w:rPr>
        <w:instrText xml:space="preserve"> PAGEREF _Toc79742132 \h </w:instrText>
      </w:r>
      <w:r>
        <w:rPr>
          <w:sz w:val="20"/>
          <w:szCs w:val="20"/>
        </w:rPr>
        <w:fldChar w:fldCharType="separate"/>
      </w:r>
      <w:r>
        <w:rPr>
          <w:sz w:val="20"/>
          <w:szCs w:val="20"/>
        </w:rPr>
        <w:t>29</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"_Toc79742133" </w:instrText>
      </w:r>
      <w:r>
        <w:rPr>
          <w:sz w:val="20"/>
          <w:szCs w:val="20"/>
        </w:rPr>
        <w:fldChar w:fldCharType="separate"/>
      </w:r>
      <w:r>
        <w:rPr>
          <w:rStyle w:val="47"/>
          <w:rFonts w:hint="eastAsia" w:ascii="Times New Roman" w:hAnsi="Times New Roman"/>
          <w:sz w:val="20"/>
          <w:szCs w:val="20"/>
        </w:rPr>
        <w:t>第4章</w:t>
      </w:r>
      <w:r>
        <w:rPr>
          <w:rFonts w:asciiTheme="minorHAnsi" w:hAnsiTheme="minorHAnsi" w:eastAsiaTheme="minorEastAsia" w:cstheme="minorBidi"/>
          <w:bCs w:val="0"/>
          <w:caps w:val="0"/>
          <w:sz w:val="21"/>
          <w:szCs w:val="22"/>
        </w:rPr>
        <w:tab/>
      </w:r>
      <w:r>
        <w:rPr>
          <w:rStyle w:val="47"/>
          <w:rFonts w:hint="eastAsia"/>
          <w:sz w:val="20"/>
          <w:szCs w:val="20"/>
        </w:rPr>
        <w:t>技术、商务、服务及其他要求</w:t>
      </w:r>
      <w:r>
        <w:rPr>
          <w:sz w:val="20"/>
          <w:szCs w:val="20"/>
        </w:rPr>
        <w:tab/>
      </w:r>
      <w:r>
        <w:rPr>
          <w:sz w:val="20"/>
          <w:szCs w:val="20"/>
        </w:rPr>
        <w:fldChar w:fldCharType="begin"/>
      </w:r>
      <w:r>
        <w:rPr>
          <w:sz w:val="20"/>
          <w:szCs w:val="20"/>
        </w:rPr>
        <w:instrText xml:space="preserve"> PAGEREF _Toc79742133 \h </w:instrText>
      </w:r>
      <w:r>
        <w:rPr>
          <w:sz w:val="20"/>
          <w:szCs w:val="20"/>
        </w:rPr>
        <w:fldChar w:fldCharType="separate"/>
      </w:r>
      <w:r>
        <w:rPr>
          <w:sz w:val="20"/>
          <w:szCs w:val="20"/>
        </w:rPr>
        <w:t>37</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"_Toc79742134" </w:instrText>
      </w:r>
      <w:r>
        <w:rPr>
          <w:sz w:val="20"/>
          <w:szCs w:val="20"/>
        </w:rPr>
        <w:fldChar w:fldCharType="separate"/>
      </w:r>
      <w:r>
        <w:rPr>
          <w:rStyle w:val="47"/>
          <w:rFonts w:hint="eastAsia" w:ascii="Times New Roman" w:hAnsi="Times New Roman"/>
          <w:sz w:val="20"/>
          <w:szCs w:val="20"/>
        </w:rPr>
        <w:t>第5章</w:t>
      </w:r>
      <w:r>
        <w:rPr>
          <w:rFonts w:asciiTheme="minorHAnsi" w:hAnsiTheme="minorHAnsi" w:eastAsiaTheme="minorEastAsia" w:cstheme="minorBidi"/>
          <w:bCs w:val="0"/>
          <w:caps w:val="0"/>
          <w:sz w:val="21"/>
          <w:szCs w:val="22"/>
        </w:rPr>
        <w:tab/>
      </w:r>
      <w:r>
        <w:rPr>
          <w:rStyle w:val="47"/>
          <w:rFonts w:hint="eastAsia"/>
          <w:sz w:val="20"/>
          <w:szCs w:val="20"/>
        </w:rPr>
        <w:t>磋商办法</w:t>
      </w:r>
      <w:r>
        <w:rPr>
          <w:sz w:val="20"/>
          <w:szCs w:val="20"/>
        </w:rPr>
        <w:tab/>
      </w:r>
      <w:r>
        <w:rPr>
          <w:sz w:val="20"/>
          <w:szCs w:val="20"/>
        </w:rPr>
        <w:fldChar w:fldCharType="begin"/>
      </w:r>
      <w:r>
        <w:rPr>
          <w:sz w:val="20"/>
          <w:szCs w:val="20"/>
        </w:rPr>
        <w:instrText xml:space="preserve"> PAGEREF _Toc79742134 \h </w:instrText>
      </w:r>
      <w:r>
        <w:rPr>
          <w:sz w:val="20"/>
          <w:szCs w:val="20"/>
        </w:rPr>
        <w:fldChar w:fldCharType="separate"/>
      </w:r>
      <w:r>
        <w:rPr>
          <w:sz w:val="20"/>
          <w:szCs w:val="20"/>
        </w:rPr>
        <w:t>47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"_Toc79742135" </w:instrText>
      </w:r>
      <w:r>
        <w:rPr>
          <w:sz w:val="20"/>
          <w:szCs w:val="20"/>
        </w:rPr>
        <w:fldChar w:fldCharType="separate"/>
      </w:r>
      <w:r>
        <w:rPr>
          <w:rStyle w:val="47"/>
          <w:rFonts w:ascii="Times New Roman" w:hAnsi="Times New Roman"/>
          <w:sz w:val="20"/>
          <w:szCs w:val="20"/>
        </w:rPr>
        <w:t>5.1</w:t>
      </w:r>
      <w:r>
        <w:rPr>
          <w:rStyle w:val="47"/>
          <w:rFonts w:hint="eastAsia"/>
          <w:sz w:val="20"/>
          <w:szCs w:val="20"/>
        </w:rPr>
        <w:t xml:space="preserve"> 总则</w:t>
      </w:r>
      <w:r>
        <w:rPr>
          <w:sz w:val="20"/>
          <w:szCs w:val="20"/>
        </w:rPr>
        <w:tab/>
      </w:r>
      <w:r>
        <w:rPr>
          <w:sz w:val="20"/>
          <w:szCs w:val="20"/>
        </w:rPr>
        <w:fldChar w:fldCharType="begin"/>
      </w:r>
      <w:r>
        <w:rPr>
          <w:sz w:val="20"/>
          <w:szCs w:val="20"/>
        </w:rPr>
        <w:instrText xml:space="preserve"> PAGEREF _Toc79742135 \h </w:instrText>
      </w:r>
      <w:r>
        <w:rPr>
          <w:sz w:val="20"/>
          <w:szCs w:val="20"/>
        </w:rPr>
        <w:fldChar w:fldCharType="separate"/>
      </w:r>
      <w:r>
        <w:rPr>
          <w:sz w:val="20"/>
          <w:szCs w:val="20"/>
        </w:rPr>
        <w:t>47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"_Toc79742136" </w:instrText>
      </w:r>
      <w:r>
        <w:rPr>
          <w:sz w:val="20"/>
          <w:szCs w:val="20"/>
        </w:rPr>
        <w:fldChar w:fldCharType="separate"/>
      </w:r>
      <w:r>
        <w:rPr>
          <w:rStyle w:val="47"/>
          <w:rFonts w:ascii="Times New Roman" w:hAnsi="Times New Roman"/>
          <w:sz w:val="20"/>
          <w:szCs w:val="20"/>
        </w:rPr>
        <w:t>5.2</w:t>
      </w:r>
      <w:r>
        <w:rPr>
          <w:rStyle w:val="47"/>
          <w:rFonts w:hint="eastAsia"/>
          <w:sz w:val="20"/>
          <w:szCs w:val="20"/>
        </w:rPr>
        <w:t xml:space="preserve"> 评审程序</w:t>
      </w:r>
      <w:r>
        <w:rPr>
          <w:sz w:val="20"/>
          <w:szCs w:val="20"/>
        </w:rPr>
        <w:tab/>
      </w:r>
      <w:r>
        <w:rPr>
          <w:sz w:val="20"/>
          <w:szCs w:val="20"/>
        </w:rPr>
        <w:fldChar w:fldCharType="begin"/>
      </w:r>
      <w:r>
        <w:rPr>
          <w:sz w:val="20"/>
          <w:szCs w:val="20"/>
        </w:rPr>
        <w:instrText xml:space="preserve"> PAGEREF _Toc79742136 \h </w:instrText>
      </w:r>
      <w:r>
        <w:rPr>
          <w:sz w:val="20"/>
          <w:szCs w:val="20"/>
        </w:rPr>
        <w:fldChar w:fldCharType="separate"/>
      </w:r>
      <w:r>
        <w:rPr>
          <w:sz w:val="20"/>
          <w:szCs w:val="20"/>
        </w:rPr>
        <w:t>48</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"_Toc79742137" </w:instrText>
      </w:r>
      <w:r>
        <w:rPr>
          <w:sz w:val="20"/>
          <w:szCs w:val="20"/>
        </w:rPr>
        <w:fldChar w:fldCharType="separate"/>
      </w:r>
      <w:r>
        <w:rPr>
          <w:rStyle w:val="47"/>
          <w:rFonts w:ascii="Times New Roman" w:hAnsi="Times New Roman"/>
          <w:sz w:val="20"/>
          <w:szCs w:val="20"/>
        </w:rPr>
        <w:t>5.3</w:t>
      </w:r>
      <w:r>
        <w:rPr>
          <w:rStyle w:val="47"/>
          <w:rFonts w:hint="eastAsia"/>
          <w:sz w:val="20"/>
          <w:szCs w:val="20"/>
        </w:rPr>
        <w:t xml:space="preserve"> 磋商异议处理</w:t>
      </w:r>
      <w:r>
        <w:rPr>
          <w:sz w:val="20"/>
          <w:szCs w:val="20"/>
        </w:rPr>
        <w:tab/>
      </w:r>
      <w:r>
        <w:rPr>
          <w:sz w:val="20"/>
          <w:szCs w:val="20"/>
        </w:rPr>
        <w:fldChar w:fldCharType="begin"/>
      </w:r>
      <w:r>
        <w:rPr>
          <w:sz w:val="20"/>
          <w:szCs w:val="20"/>
        </w:rPr>
        <w:instrText xml:space="preserve"> PAGEREF _Toc79742137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"_Toc79742138" </w:instrText>
      </w:r>
      <w:r>
        <w:rPr>
          <w:sz w:val="20"/>
          <w:szCs w:val="20"/>
        </w:rPr>
        <w:fldChar w:fldCharType="separate"/>
      </w:r>
      <w:r>
        <w:rPr>
          <w:rStyle w:val="47"/>
          <w:rFonts w:ascii="Times New Roman" w:hAnsi="Times New Roman"/>
          <w:sz w:val="20"/>
          <w:szCs w:val="20"/>
        </w:rPr>
        <w:t>5.4</w:t>
      </w:r>
      <w:r>
        <w:rPr>
          <w:rStyle w:val="47"/>
          <w:rFonts w:hint="eastAsia"/>
          <w:sz w:val="20"/>
          <w:szCs w:val="20"/>
        </w:rPr>
        <w:t xml:space="preserve"> 评审办法和标准</w:t>
      </w:r>
      <w:r>
        <w:rPr>
          <w:sz w:val="20"/>
          <w:szCs w:val="20"/>
        </w:rPr>
        <w:tab/>
      </w:r>
      <w:r>
        <w:rPr>
          <w:sz w:val="20"/>
          <w:szCs w:val="20"/>
        </w:rPr>
        <w:fldChar w:fldCharType="begin"/>
      </w:r>
      <w:r>
        <w:rPr>
          <w:sz w:val="20"/>
          <w:szCs w:val="20"/>
        </w:rPr>
        <w:instrText xml:space="preserve"> PAGEREF _Toc79742138 \h </w:instrText>
      </w:r>
      <w:r>
        <w:rPr>
          <w:sz w:val="20"/>
          <w:szCs w:val="20"/>
        </w:rPr>
        <w:fldChar w:fldCharType="separate"/>
      </w:r>
      <w:r>
        <w:rPr>
          <w:sz w:val="20"/>
          <w:szCs w:val="20"/>
        </w:rPr>
        <w:t>57</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"_Toc79742139" </w:instrText>
      </w:r>
      <w:r>
        <w:rPr>
          <w:sz w:val="20"/>
          <w:szCs w:val="20"/>
        </w:rPr>
        <w:fldChar w:fldCharType="separate"/>
      </w:r>
      <w:r>
        <w:rPr>
          <w:rStyle w:val="47"/>
          <w:rFonts w:ascii="Times New Roman" w:hAnsi="Times New Roman"/>
          <w:sz w:val="20"/>
          <w:szCs w:val="20"/>
        </w:rPr>
        <w:t>5.5</w:t>
      </w:r>
      <w:r>
        <w:rPr>
          <w:rStyle w:val="47"/>
          <w:rFonts w:hint="eastAsia"/>
          <w:sz w:val="20"/>
          <w:szCs w:val="20"/>
        </w:rPr>
        <w:t xml:space="preserve"> 采购失败情形</w:t>
      </w:r>
      <w:r>
        <w:rPr>
          <w:sz w:val="20"/>
          <w:szCs w:val="20"/>
        </w:rPr>
        <w:tab/>
      </w:r>
      <w:r>
        <w:rPr>
          <w:sz w:val="20"/>
          <w:szCs w:val="20"/>
        </w:rPr>
        <w:fldChar w:fldCharType="begin"/>
      </w:r>
      <w:r>
        <w:rPr>
          <w:sz w:val="20"/>
          <w:szCs w:val="20"/>
        </w:rPr>
        <w:instrText xml:space="preserve"> PAGEREF _Toc79742139 \h </w:instrText>
      </w:r>
      <w:r>
        <w:rPr>
          <w:sz w:val="20"/>
          <w:szCs w:val="20"/>
        </w:rPr>
        <w:fldChar w:fldCharType="separate"/>
      </w:r>
      <w:r>
        <w:rPr>
          <w:sz w:val="20"/>
          <w:szCs w:val="20"/>
        </w:rPr>
        <w:t>64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"_Toc79742140" </w:instrText>
      </w:r>
      <w:r>
        <w:rPr>
          <w:sz w:val="20"/>
          <w:szCs w:val="20"/>
        </w:rPr>
        <w:fldChar w:fldCharType="separate"/>
      </w:r>
      <w:r>
        <w:rPr>
          <w:rStyle w:val="47"/>
          <w:rFonts w:ascii="Times New Roman" w:hAnsi="Times New Roman"/>
          <w:sz w:val="20"/>
          <w:szCs w:val="20"/>
        </w:rPr>
        <w:t>5.6</w:t>
      </w:r>
      <w:r>
        <w:rPr>
          <w:rStyle w:val="47"/>
          <w:rFonts w:hint="eastAsia"/>
          <w:sz w:val="20"/>
          <w:szCs w:val="20"/>
        </w:rPr>
        <w:t xml:space="preserve"> 确定成交供应商</w:t>
      </w:r>
      <w:r>
        <w:rPr>
          <w:sz w:val="20"/>
          <w:szCs w:val="20"/>
        </w:rPr>
        <w:tab/>
      </w:r>
      <w:r>
        <w:rPr>
          <w:sz w:val="20"/>
          <w:szCs w:val="20"/>
        </w:rPr>
        <w:fldChar w:fldCharType="begin"/>
      </w:r>
      <w:r>
        <w:rPr>
          <w:sz w:val="20"/>
          <w:szCs w:val="20"/>
        </w:rPr>
        <w:instrText xml:space="preserve"> PAGEREF _Toc79742140 \h </w:instrText>
      </w:r>
      <w:r>
        <w:rPr>
          <w:sz w:val="20"/>
          <w:szCs w:val="20"/>
        </w:rPr>
        <w:fldChar w:fldCharType="separate"/>
      </w:r>
      <w:r>
        <w:rPr>
          <w:sz w:val="20"/>
          <w:szCs w:val="20"/>
        </w:rPr>
        <w:t>64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"_Toc79742141" </w:instrText>
      </w:r>
      <w:r>
        <w:rPr>
          <w:sz w:val="20"/>
          <w:szCs w:val="20"/>
        </w:rPr>
        <w:fldChar w:fldCharType="separate"/>
      </w:r>
      <w:r>
        <w:rPr>
          <w:rStyle w:val="47"/>
          <w:rFonts w:ascii="Times New Roman" w:hAnsi="Times New Roman"/>
          <w:sz w:val="20"/>
          <w:szCs w:val="20"/>
        </w:rPr>
        <w:t>5.7</w:t>
      </w:r>
      <w:r>
        <w:rPr>
          <w:rStyle w:val="47"/>
          <w:rFonts w:hint="eastAsia"/>
          <w:sz w:val="20"/>
          <w:szCs w:val="20"/>
        </w:rPr>
        <w:t xml:space="preserve"> 磋商小组成员义务</w:t>
      </w:r>
      <w:r>
        <w:rPr>
          <w:sz w:val="20"/>
          <w:szCs w:val="20"/>
        </w:rPr>
        <w:tab/>
      </w:r>
      <w:r>
        <w:rPr>
          <w:sz w:val="20"/>
          <w:szCs w:val="20"/>
        </w:rPr>
        <w:fldChar w:fldCharType="begin"/>
      </w:r>
      <w:r>
        <w:rPr>
          <w:sz w:val="20"/>
          <w:szCs w:val="20"/>
        </w:rPr>
        <w:instrText xml:space="preserve"> PAGEREF _Toc79742141 \h </w:instrText>
      </w:r>
      <w:r>
        <w:rPr>
          <w:sz w:val="20"/>
          <w:szCs w:val="20"/>
        </w:rPr>
        <w:fldChar w:fldCharType="separate"/>
      </w:r>
      <w:r>
        <w:rPr>
          <w:sz w:val="20"/>
          <w:szCs w:val="20"/>
        </w:rPr>
        <w:t>64</w:t>
      </w:r>
      <w:r>
        <w:rPr>
          <w:sz w:val="20"/>
          <w:szCs w:val="20"/>
        </w:rPr>
        <w:fldChar w:fldCharType="end"/>
      </w:r>
      <w:r>
        <w:rPr>
          <w:sz w:val="20"/>
          <w:szCs w:val="20"/>
        </w:rPr>
        <w:fldChar w:fldCharType="end"/>
      </w:r>
    </w:p>
    <w:p>
      <w:pPr>
        <w:pStyle w:val="36"/>
        <w:rPr>
          <w:rFonts w:asciiTheme="minorHAnsi" w:hAnsiTheme="minorHAnsi" w:eastAsiaTheme="minorEastAsia" w:cstheme="minorBidi"/>
          <w:smallCaps w:val="0"/>
          <w:sz w:val="21"/>
          <w:szCs w:val="22"/>
        </w:rPr>
      </w:pPr>
      <w:r>
        <w:rPr>
          <w:sz w:val="20"/>
          <w:szCs w:val="20"/>
        </w:rPr>
        <w:fldChar w:fldCharType="begin"/>
      </w:r>
      <w:r>
        <w:rPr>
          <w:sz w:val="20"/>
          <w:szCs w:val="20"/>
        </w:rPr>
        <w:instrText xml:space="preserve"> HYPERLINK \l "_Toc79742142" </w:instrText>
      </w:r>
      <w:r>
        <w:rPr>
          <w:sz w:val="20"/>
          <w:szCs w:val="20"/>
        </w:rPr>
        <w:fldChar w:fldCharType="separate"/>
      </w:r>
      <w:r>
        <w:rPr>
          <w:rStyle w:val="47"/>
          <w:rFonts w:ascii="Times New Roman" w:hAnsi="Times New Roman"/>
          <w:sz w:val="20"/>
          <w:szCs w:val="20"/>
        </w:rPr>
        <w:t>5.8</w:t>
      </w:r>
      <w:r>
        <w:rPr>
          <w:rStyle w:val="47"/>
          <w:rFonts w:hint="eastAsia"/>
          <w:sz w:val="20"/>
          <w:szCs w:val="20"/>
        </w:rPr>
        <w:t xml:space="preserve"> 磋商纪律</w:t>
      </w:r>
      <w:r>
        <w:rPr>
          <w:sz w:val="20"/>
          <w:szCs w:val="20"/>
        </w:rPr>
        <w:tab/>
      </w:r>
      <w:r>
        <w:rPr>
          <w:sz w:val="20"/>
          <w:szCs w:val="20"/>
        </w:rPr>
        <w:fldChar w:fldCharType="begin"/>
      </w:r>
      <w:r>
        <w:rPr>
          <w:sz w:val="20"/>
          <w:szCs w:val="20"/>
        </w:rPr>
        <w:instrText xml:space="preserve"> PAGEREF _Toc79742142 \h </w:instrText>
      </w:r>
      <w:r>
        <w:rPr>
          <w:sz w:val="20"/>
          <w:szCs w:val="20"/>
        </w:rPr>
        <w:fldChar w:fldCharType="separate"/>
      </w:r>
      <w:r>
        <w:rPr>
          <w:sz w:val="20"/>
          <w:szCs w:val="20"/>
        </w:rPr>
        <w:t>65</w:t>
      </w:r>
      <w:r>
        <w:rPr>
          <w:sz w:val="20"/>
          <w:szCs w:val="20"/>
        </w:rPr>
        <w:fldChar w:fldCharType="end"/>
      </w:r>
      <w:r>
        <w:rPr>
          <w:sz w:val="20"/>
          <w:szCs w:val="20"/>
        </w:rPr>
        <w:fldChar w:fldCharType="end"/>
      </w:r>
    </w:p>
    <w:p>
      <w:pPr>
        <w:pStyle w:val="30"/>
        <w:rPr>
          <w:rFonts w:asciiTheme="minorHAnsi" w:hAnsiTheme="minorHAnsi" w:eastAsiaTheme="minorEastAsia" w:cstheme="minorBidi"/>
          <w:bCs w:val="0"/>
          <w:caps w:val="0"/>
          <w:sz w:val="21"/>
          <w:szCs w:val="22"/>
        </w:rPr>
      </w:pPr>
      <w:r>
        <w:rPr>
          <w:sz w:val="20"/>
          <w:szCs w:val="20"/>
        </w:rPr>
        <w:fldChar w:fldCharType="begin"/>
      </w:r>
      <w:r>
        <w:rPr>
          <w:sz w:val="20"/>
          <w:szCs w:val="20"/>
        </w:rPr>
        <w:instrText xml:space="preserve"> HYPERLINK \l "_Toc79742143" </w:instrText>
      </w:r>
      <w:r>
        <w:rPr>
          <w:sz w:val="20"/>
          <w:szCs w:val="20"/>
        </w:rPr>
        <w:fldChar w:fldCharType="separate"/>
      </w:r>
      <w:r>
        <w:rPr>
          <w:rStyle w:val="47"/>
          <w:rFonts w:hint="eastAsia" w:ascii="Times New Roman" w:hAnsi="Times New Roman"/>
          <w:sz w:val="20"/>
          <w:szCs w:val="20"/>
        </w:rPr>
        <w:t>第6章</w:t>
      </w:r>
      <w:r>
        <w:rPr>
          <w:rFonts w:asciiTheme="minorHAnsi" w:hAnsiTheme="minorHAnsi" w:eastAsiaTheme="minorEastAsia" w:cstheme="minorBidi"/>
          <w:bCs w:val="0"/>
          <w:caps w:val="0"/>
          <w:sz w:val="21"/>
          <w:szCs w:val="22"/>
        </w:rPr>
        <w:tab/>
      </w:r>
      <w:r>
        <w:rPr>
          <w:rStyle w:val="47"/>
          <w:rFonts w:hint="eastAsia"/>
          <w:sz w:val="20"/>
          <w:szCs w:val="20"/>
        </w:rPr>
        <w:t>合同草案条款</w:t>
      </w:r>
      <w:r>
        <w:rPr>
          <w:sz w:val="20"/>
          <w:szCs w:val="20"/>
        </w:rPr>
        <w:tab/>
      </w:r>
      <w:r>
        <w:rPr>
          <w:sz w:val="20"/>
          <w:szCs w:val="20"/>
        </w:rPr>
        <w:fldChar w:fldCharType="begin"/>
      </w:r>
      <w:r>
        <w:rPr>
          <w:sz w:val="20"/>
          <w:szCs w:val="20"/>
        </w:rPr>
        <w:instrText xml:space="preserve"> PAGEREF _Toc79742143 \h </w:instrText>
      </w:r>
      <w:r>
        <w:rPr>
          <w:sz w:val="20"/>
          <w:szCs w:val="20"/>
        </w:rPr>
        <w:fldChar w:fldCharType="separate"/>
      </w:r>
      <w:r>
        <w:rPr>
          <w:sz w:val="20"/>
          <w:szCs w:val="20"/>
        </w:rPr>
        <w:t>66</w:t>
      </w:r>
      <w:r>
        <w:rPr>
          <w:sz w:val="20"/>
          <w:szCs w:val="20"/>
        </w:rPr>
        <w:fldChar w:fldCharType="end"/>
      </w:r>
      <w:r>
        <w:rPr>
          <w:sz w:val="20"/>
          <w:szCs w:val="20"/>
        </w:rPr>
        <w:fldChar w:fldCharType="end"/>
      </w:r>
    </w:p>
    <w:p>
      <w:pPr>
        <w:pStyle w:val="30"/>
        <w:spacing w:line="300" w:lineRule="exact"/>
        <w:rPr>
          <w:rFonts w:ascii="宋体" w:hAnsi="宋体"/>
          <w:b/>
          <w:bCs w:val="0"/>
          <w:sz w:val="32"/>
          <w:szCs w:val="32"/>
        </w:rPr>
      </w:pPr>
      <w:r>
        <w:rPr>
          <w:rFonts w:hint="eastAsia" w:ascii="宋体" w:hAnsi="宋体"/>
          <w:bCs w:val="0"/>
          <w:sz w:val="20"/>
          <w:szCs w:val="36"/>
        </w:rPr>
        <w:fldChar w:fldCharType="end"/>
      </w:r>
    </w:p>
    <w:p>
      <w:pPr>
        <w:rPr>
          <w:rFonts w:ascii="宋体" w:hAnsi="宋体"/>
          <w:caps/>
          <w:sz w:val="32"/>
          <w:szCs w:val="32"/>
        </w:rPr>
        <w:sectPr>
          <w:footerReference r:id="rId3" w:type="default"/>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0" w:name="_Toc79742117"/>
      <w:bookmarkStart w:id="1" w:name="_Toc58943323"/>
      <w:r>
        <w:rPr>
          <w:rFonts w:hint="eastAsia"/>
          <w:sz w:val="28"/>
          <w:szCs w:val="28"/>
        </w:rPr>
        <w:t>竞争性磋商邀请</w:t>
      </w:r>
      <w:bookmarkEnd w:id="0"/>
      <w:bookmarkEnd w:id="1"/>
    </w:p>
    <w:p>
      <w:pPr>
        <w:spacing w:line="360" w:lineRule="auto"/>
        <w:ind w:left="-124" w:leftChars="-59" w:right="-21" w:rightChars="-10"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成都市武侯区政府采购中心(以下简称“区政府采购中心”) 受</w:t>
      </w:r>
      <w:r>
        <w:rPr>
          <w:rFonts w:hint="eastAsia" w:ascii="宋体" w:hAnsi="宋体"/>
          <w:color w:val="000000" w:themeColor="text1"/>
          <w:sz w:val="24"/>
          <w:szCs w:val="24"/>
          <w:u w:val="single"/>
          <w14:textFill>
            <w14:solidFill>
              <w14:schemeClr w14:val="tx1"/>
            </w14:solidFill>
          </w14:textFill>
        </w:rPr>
        <w:t>成都市弟维小学</w:t>
      </w:r>
      <w:r>
        <w:rPr>
          <w:rFonts w:hint="eastAsia" w:ascii="宋体" w:hAnsi="宋体"/>
          <w:color w:val="000000" w:themeColor="text1"/>
          <w:sz w:val="24"/>
          <w:szCs w:val="24"/>
          <w14:textFill>
            <w14:solidFill>
              <w14:schemeClr w14:val="tx1"/>
            </w14:solidFill>
          </w14:textFill>
        </w:rPr>
        <w:t>委托,拟对</w:t>
      </w:r>
      <w:r>
        <w:rPr>
          <w:rFonts w:hint="eastAsia" w:ascii="宋体" w:hAnsi="宋体"/>
          <w:color w:val="000000" w:themeColor="text1"/>
          <w:sz w:val="24"/>
          <w:szCs w:val="24"/>
          <w:u w:val="single"/>
          <w:lang w:eastAsia="zh-CN"/>
          <w14:textFill>
            <w14:solidFill>
              <w14:schemeClr w14:val="tx1"/>
            </w14:solidFill>
          </w14:textFill>
        </w:rPr>
        <w:t>成都市弟维小学照明设备采购项目(二次）</w:t>
      </w:r>
      <w:r>
        <w:rPr>
          <w:rFonts w:hint="eastAsia" w:ascii="宋体" w:hAnsi="宋体"/>
          <w:color w:val="000000" w:themeColor="text1"/>
          <w:sz w:val="24"/>
          <w:szCs w:val="24"/>
          <w14:textFill>
            <w14:solidFill>
              <w14:schemeClr w14:val="tx1"/>
            </w14:solidFill>
          </w14:textFill>
        </w:rPr>
        <w:t>采用竞争性磋商采购方式进行采购，欢迎供应商参加该项目的竞争性磋商。</w:t>
      </w:r>
    </w:p>
    <w:p>
      <w:pPr>
        <w:widowControl/>
        <w:numPr>
          <w:ilvl w:val="0"/>
          <w:numId w:val="6"/>
        </w:numPr>
        <w:spacing w:after="200" w:line="360" w:lineRule="auto"/>
        <w:ind w:left="0" w:firstLine="567"/>
        <w:jc w:val="lef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w:t>
      </w:r>
      <w:r>
        <w:rPr>
          <w:rFonts w:hint="eastAsia" w:ascii="宋体" w:hAnsi="宋体"/>
          <w:color w:val="000000" w:themeColor="text1"/>
          <w:sz w:val="24"/>
          <w:szCs w:val="24"/>
          <w14:textFill>
            <w14:solidFill>
              <w14:schemeClr w14:val="tx1"/>
            </w14:solidFill>
          </w14:textFill>
        </w:rPr>
        <w:t xml:space="preserve">：武侯政采（2021）A0145号-1                                                                                                                                                                                                                                                                       </w:t>
      </w:r>
    </w:p>
    <w:p>
      <w:pPr>
        <w:widowControl/>
        <w:numPr>
          <w:ilvl w:val="0"/>
          <w:numId w:val="6"/>
        </w:numPr>
        <w:spacing w:after="200" w:line="360" w:lineRule="auto"/>
        <w:ind w:left="0" w:firstLine="567"/>
        <w:rPr>
          <w:rFonts w:ascii="宋体" w:hAnsi="宋体"/>
          <w:sz w:val="24"/>
          <w:szCs w:val="24"/>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color w:val="000000" w:themeColor="text1"/>
          <w:sz w:val="24"/>
          <w:szCs w:val="24"/>
          <w14:textFill>
            <w14:solidFill>
              <w14:schemeClr w14:val="tx1"/>
            </w14:solidFill>
          </w14:textFill>
        </w:rPr>
        <w:t>：</w:t>
      </w:r>
      <w:r>
        <w:rPr>
          <w:rFonts w:hint="eastAsia" w:ascii="宋体" w:hAnsi="宋体"/>
          <w:b/>
          <w:bCs/>
          <w:color w:val="000000" w:themeColor="text1"/>
          <w:sz w:val="24"/>
          <w:szCs w:val="24"/>
          <w:lang w:eastAsia="zh-CN"/>
          <w14:textFill>
            <w14:solidFill>
              <w14:schemeClr w14:val="tx1"/>
            </w14:solidFill>
          </w14:textFill>
        </w:rPr>
        <w:t>成都市弟维小学照明设备采购项目(二次）</w:t>
      </w:r>
    </w:p>
    <w:p>
      <w:pPr>
        <w:widowControl/>
        <w:numPr>
          <w:ilvl w:val="0"/>
          <w:numId w:val="7"/>
        </w:numPr>
        <w:spacing w:after="200" w:line="360" w:lineRule="auto"/>
        <w:ind w:left="0" w:firstLine="567"/>
        <w:rPr>
          <w:rFonts w:ascii="宋体" w:hAnsi="宋体"/>
          <w:sz w:val="22"/>
          <w:szCs w:val="22"/>
        </w:rPr>
      </w:pPr>
      <w:r>
        <w:rPr>
          <w:rFonts w:hint="eastAsia" w:ascii="宋体" w:hAnsi="宋体"/>
          <w:b/>
          <w:color w:val="000000" w:themeColor="text1"/>
          <w:sz w:val="24"/>
          <w:szCs w:val="24"/>
          <w14:textFill>
            <w14:solidFill>
              <w14:schemeClr w14:val="tx1"/>
            </w14:solidFill>
          </w14:textFill>
        </w:rPr>
        <w:t>资金来源、预算金额及最高限价：</w:t>
      </w:r>
      <w:r>
        <w:rPr>
          <w:rFonts w:hint="eastAsia" w:ascii="宋体" w:hAnsi="宋体"/>
          <w:sz w:val="24"/>
          <w:szCs w:val="24"/>
        </w:rPr>
        <w:t>财政性资金，政府采购实施计划备案表号：</w:t>
      </w:r>
      <w:r>
        <w:rPr>
          <w:rFonts w:hint="eastAsia" w:ascii="宋体" w:hAnsi="宋体"/>
          <w:sz w:val="24"/>
          <w:szCs w:val="24"/>
          <w:lang w:eastAsia="zh-CN"/>
        </w:rPr>
        <w:t>（</w:t>
      </w:r>
      <w:r>
        <w:rPr>
          <w:rFonts w:hint="eastAsia" w:ascii="宋体" w:hAnsi="宋体"/>
          <w:sz w:val="24"/>
          <w:szCs w:val="24"/>
          <w:lang w:val="en-US" w:eastAsia="zh-CN"/>
        </w:rPr>
        <w:t>2021</w:t>
      </w:r>
      <w:r>
        <w:rPr>
          <w:rFonts w:hint="eastAsia" w:ascii="宋体" w:hAnsi="宋体"/>
          <w:sz w:val="24"/>
          <w:szCs w:val="24"/>
          <w:lang w:eastAsia="zh-CN"/>
        </w:rPr>
        <w:t>）</w:t>
      </w:r>
      <w:r>
        <w:rPr>
          <w:rFonts w:hint="eastAsia" w:ascii="宋体" w:hAnsi="宋体"/>
          <w:sz w:val="24"/>
          <w:szCs w:val="24"/>
          <w:lang w:val="en-US" w:eastAsia="zh-CN"/>
        </w:rPr>
        <w:t>1929</w:t>
      </w:r>
      <w:r>
        <w:rPr>
          <w:rFonts w:hint="eastAsia" w:ascii="宋体" w:hAnsi="宋体"/>
          <w:sz w:val="24"/>
          <w:szCs w:val="24"/>
        </w:rPr>
        <w:t>号；预算品目：</w:t>
      </w:r>
      <w:r>
        <w:rPr>
          <w:rFonts w:hint="eastAsia" w:ascii="宋体" w:hAnsi="宋体"/>
          <w:sz w:val="24"/>
          <w:szCs w:val="24"/>
          <w:lang w:val="en-US" w:eastAsia="zh-CN"/>
        </w:rPr>
        <w:tab/>
      </w:r>
      <w:r>
        <w:rPr>
          <w:rFonts w:hint="eastAsia" w:ascii="宋体" w:hAnsi="宋体"/>
          <w:sz w:val="24"/>
          <w:szCs w:val="24"/>
          <w:lang w:val="en-US" w:eastAsia="zh-CN"/>
        </w:rPr>
        <w:t>A020619照明设备</w:t>
      </w:r>
      <w:r>
        <w:rPr>
          <w:rFonts w:hint="eastAsia" w:ascii="宋体" w:hAnsi="宋体"/>
          <w:sz w:val="24"/>
          <w:szCs w:val="24"/>
        </w:rPr>
        <w:t>；预算金额：</w:t>
      </w:r>
      <w:r>
        <w:rPr>
          <w:rFonts w:hint="eastAsia" w:ascii="宋体" w:hAnsi="宋体"/>
          <w:sz w:val="24"/>
          <w:szCs w:val="24"/>
          <w:lang w:val="en-US" w:eastAsia="zh-CN"/>
        </w:rPr>
        <w:t>57.8万</w:t>
      </w:r>
      <w:r>
        <w:rPr>
          <w:rFonts w:hint="eastAsia" w:ascii="宋体" w:hAnsi="宋体"/>
          <w:sz w:val="24"/>
          <w:szCs w:val="24"/>
        </w:rPr>
        <w:t>元；最高限价：</w:t>
      </w:r>
      <w:r>
        <w:rPr>
          <w:rFonts w:hint="eastAsia" w:ascii="宋体" w:hAnsi="宋体"/>
          <w:sz w:val="24"/>
          <w:szCs w:val="24"/>
          <w:lang w:val="en-US" w:eastAsia="zh-CN"/>
        </w:rPr>
        <w:t>56.64万</w:t>
      </w:r>
      <w:r>
        <w:rPr>
          <w:rFonts w:hint="eastAsia" w:ascii="宋体" w:hAnsi="宋体"/>
          <w:sz w:val="24"/>
          <w:szCs w:val="24"/>
        </w:rPr>
        <w:t>元；</w:t>
      </w:r>
      <w:r>
        <w:rPr>
          <w:rFonts w:hint="eastAsia" w:ascii="宋体" w:hAnsi="宋体"/>
          <w:sz w:val="24"/>
          <w:szCs w:val="24"/>
          <w:lang w:eastAsia="zh-CN"/>
        </w:rPr>
        <w:t>采购标的对应的中小企业划分标准所属行业：</w:t>
      </w:r>
      <w:r>
        <w:rPr>
          <w:rFonts w:hint="eastAsia" w:ascii="宋体" w:hAnsi="宋体"/>
          <w:sz w:val="24"/>
          <w:szCs w:val="24"/>
          <w:u w:val="single"/>
          <w:lang w:val="en-US" w:eastAsia="zh-CN"/>
        </w:rPr>
        <w:t xml:space="preserve">工业 </w:t>
      </w:r>
      <w:r>
        <w:rPr>
          <w:rFonts w:hint="eastAsia" w:ascii="宋体" w:hAnsi="宋体"/>
          <w:sz w:val="24"/>
          <w:szCs w:val="24"/>
        </w:rPr>
        <w:t>。</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符合《政府采购法》第二十二条第一款规定的条件；</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b/>
          <w:bCs/>
          <w:sz w:val="24"/>
          <w:szCs w:val="24"/>
          <w:highlight w:val="yellow"/>
        </w:rPr>
        <w:t>本项目为专门面向中小企业采购项目</w:t>
      </w:r>
      <w:r>
        <w:rPr>
          <w:rFonts w:hint="eastAsia" w:ascii="宋体" w:hAnsi="宋体"/>
          <w:b/>
          <w:bCs/>
          <w:sz w:val="24"/>
          <w:szCs w:val="24"/>
        </w:rPr>
        <w:t>，供应商提供的货物全部由符合政策要求的中小企业制造。（说明：监狱企业、残疾人福利性单位视同小型、微型企业）</w:t>
      </w:r>
      <w:r>
        <w:rPr>
          <w:rFonts w:hint="eastAsia" w:ascii="宋体" w:hAnsi="宋体"/>
          <w:sz w:val="24"/>
          <w:szCs w:val="24"/>
        </w:rPr>
        <w:t>；</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r>
        <w:rPr>
          <w:rFonts w:ascii="宋体" w:hAnsi="宋体"/>
          <w:sz w:val="24"/>
          <w:szCs w:val="24"/>
        </w:rPr>
        <w:t xml:space="preserve"> </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在行贿犯罪信息查询期限内，供应商及其现任法定代表人、主要负责人没有行贿犯罪记录；</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未处于被行政部门禁止参与政府采购活动的期限内；</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不属于国家相关法律法规规定的其他禁止参加政府采购活动的供应商；</w:t>
      </w:r>
    </w:p>
    <w:p>
      <w:pPr>
        <w:keepNext w:val="0"/>
        <w:keepLines w:val="0"/>
        <w:pageBreakBefore w:val="0"/>
        <w:widowControl w:val="0"/>
        <w:numPr>
          <w:ilvl w:val="1"/>
          <w:numId w:val="8"/>
        </w:numPr>
        <w:tabs>
          <w:tab w:val="left" w:pos="851"/>
          <w:tab w:val="left" w:pos="993"/>
        </w:tabs>
        <w:kinsoku/>
        <w:wordWrap/>
        <w:overflowPunct/>
        <w:topLinePunct w:val="0"/>
        <w:autoSpaceDE/>
        <w:autoSpaceDN/>
        <w:bidi w:val="0"/>
        <w:adjustRightInd/>
        <w:snapToGrid/>
        <w:spacing w:before="157" w:beforeLines="50" w:after="157" w:afterLines="50" w:line="400" w:lineRule="exact"/>
        <w:ind w:left="0" w:firstLine="567"/>
        <w:textAlignment w:val="auto"/>
        <w:rPr>
          <w:rFonts w:ascii="宋体" w:hAnsi="宋体"/>
          <w:sz w:val="24"/>
          <w:szCs w:val="24"/>
        </w:rPr>
      </w:pPr>
      <w:r>
        <w:rPr>
          <w:rFonts w:hint="eastAsia" w:ascii="宋体" w:hAnsi="宋体"/>
          <w:sz w:val="24"/>
          <w:szCs w:val="24"/>
        </w:rPr>
        <w:t>本项目不接受供应商以联合体的形式参加</w:t>
      </w:r>
    </w:p>
    <w:p>
      <w:pPr>
        <w:widowControl/>
        <w:numPr>
          <w:ilvl w:val="0"/>
          <w:numId w:val="6"/>
        </w:numPr>
        <w:spacing w:after="200" w:line="360" w:lineRule="auto"/>
        <w:ind w:left="0" w:firstLine="567"/>
        <w:rPr>
          <w:rFonts w:ascii="宋体" w:hAnsi="宋体"/>
          <w:b/>
          <w:sz w:val="24"/>
          <w:szCs w:val="24"/>
        </w:rPr>
      </w:pPr>
      <w:r>
        <w:rPr>
          <w:rFonts w:hint="eastAsia" w:ascii="宋体" w:hAnsi="宋体"/>
          <w:b/>
          <w:sz w:val="24"/>
          <w:szCs w:val="24"/>
        </w:rPr>
        <w:t>采购项目技术、服务、商务和报价要求</w:t>
      </w:r>
    </w:p>
    <w:p>
      <w:pPr>
        <w:widowControl/>
        <w:numPr>
          <w:ilvl w:val="0"/>
          <w:numId w:val="9"/>
        </w:numPr>
        <w:tabs>
          <w:tab w:val="left" w:pos="851"/>
        </w:tabs>
        <w:spacing w:after="200" w:line="360" w:lineRule="auto"/>
        <w:jc w:val="left"/>
        <w:rPr>
          <w:rFonts w:ascii="宋体" w:hAnsi="宋体"/>
          <w:sz w:val="24"/>
          <w:szCs w:val="24"/>
        </w:rPr>
      </w:pPr>
      <w:r>
        <w:rPr>
          <w:rFonts w:hint="eastAsia" w:ascii="宋体" w:hAnsi="宋体"/>
          <w:sz w:val="24"/>
          <w:szCs w:val="24"/>
        </w:rPr>
        <w:t>采购内容</w:t>
      </w:r>
    </w:p>
    <w:p>
      <w:pPr>
        <w:tabs>
          <w:tab w:val="left" w:pos="851"/>
        </w:tabs>
        <w:spacing w:line="360" w:lineRule="auto"/>
        <w:ind w:firstLine="480" w:firstLineChars="200"/>
        <w:rPr>
          <w:rFonts w:hint="eastAsia" w:ascii="仿宋" w:hAnsi="仿宋" w:eastAsia="仿宋"/>
          <w:bCs/>
          <w:sz w:val="24"/>
          <w:lang w:eastAsia="zh-CN"/>
        </w:rPr>
      </w:pPr>
      <w:r>
        <w:rPr>
          <w:rFonts w:hint="eastAsia" w:ascii="仿宋" w:hAnsi="仿宋" w:eastAsia="仿宋"/>
          <w:bCs/>
          <w:sz w:val="24"/>
        </w:rPr>
        <w:t>为落实 《成都市儿童青少年近视综合防控工作行动方案》，根据《成都市教育局等三部门关于印发成都市中小学（幼儿园）光环境提升工程实施方案的通知》要求，做好学校光环境提升工程相关工作，现拟对校园灯光设备进行改造。包含各类教室21间，各类功能室（含阅览室）13间</w:t>
      </w:r>
      <w:r>
        <w:rPr>
          <w:rFonts w:hint="eastAsia" w:ascii="仿宋" w:hAnsi="仿宋" w:eastAsia="仿宋"/>
          <w:bCs/>
          <w:sz w:val="24"/>
          <w:lang w:eastAsia="zh-CN"/>
        </w:rPr>
        <w:t>。</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具体采购内容见磋商文件</w:t>
      </w:r>
      <w:r>
        <w:rPr>
          <w:rFonts w:ascii="宋体" w:hAnsi="宋体"/>
          <w:sz w:val="24"/>
          <w:szCs w:val="24"/>
        </w:rPr>
        <w:t xml:space="preserve"> </w:t>
      </w:r>
      <w:r>
        <w:rPr>
          <w:rFonts w:hint="eastAsia" w:ascii="宋体" w:hAnsi="宋体"/>
          <w:sz w:val="24"/>
          <w:szCs w:val="24"/>
        </w:rPr>
        <w:t>“第</w:t>
      </w:r>
      <w:r>
        <w:rPr>
          <w:rFonts w:ascii="宋体" w:hAnsi="宋体"/>
          <w:sz w:val="24"/>
          <w:szCs w:val="24"/>
        </w:rPr>
        <w:t>4章项目技术、服务、商务及其他要求”。</w:t>
      </w:r>
    </w:p>
    <w:p>
      <w:pPr>
        <w:widowControl/>
        <w:numPr>
          <w:ilvl w:val="0"/>
          <w:numId w:val="9"/>
        </w:numPr>
        <w:tabs>
          <w:tab w:val="left" w:pos="851"/>
        </w:tabs>
        <w:spacing w:after="200" w:line="360" w:lineRule="auto"/>
        <w:jc w:val="left"/>
        <w:rPr>
          <w:rFonts w:ascii="宋体" w:hAnsi="宋体"/>
          <w:sz w:val="24"/>
          <w:szCs w:val="24"/>
        </w:rPr>
      </w:pPr>
      <w:r>
        <w:rPr>
          <w:rFonts w:hint="eastAsia" w:ascii="宋体" w:hAnsi="宋体"/>
          <w:sz w:val="24"/>
          <w:szCs w:val="24"/>
        </w:rPr>
        <w:t>技术、服务要求</w:t>
      </w:r>
    </w:p>
    <w:p>
      <w:pPr>
        <w:spacing w:line="360" w:lineRule="auto"/>
        <w:ind w:firstLine="480" w:firstLineChars="200"/>
        <w:rPr>
          <w:rFonts w:ascii="宋体" w:hAnsi="宋体"/>
          <w:sz w:val="24"/>
          <w:szCs w:val="24"/>
        </w:rPr>
      </w:pPr>
      <w:r>
        <w:rPr>
          <w:rFonts w:hint="eastAsia" w:ascii="宋体" w:hAnsi="宋体"/>
          <w:sz w:val="24"/>
          <w:szCs w:val="24"/>
        </w:rPr>
        <w:t>见磋商文件</w:t>
      </w:r>
      <w:r>
        <w:rPr>
          <w:rFonts w:ascii="宋体" w:hAnsi="宋体"/>
          <w:sz w:val="24"/>
          <w:szCs w:val="24"/>
        </w:rPr>
        <w:t xml:space="preserve"> </w:t>
      </w:r>
      <w:r>
        <w:rPr>
          <w:rFonts w:hint="eastAsia" w:ascii="宋体" w:hAnsi="宋体"/>
          <w:sz w:val="24"/>
          <w:szCs w:val="24"/>
        </w:rPr>
        <w:t>“第</w:t>
      </w:r>
      <w:r>
        <w:rPr>
          <w:rFonts w:ascii="宋体" w:hAnsi="宋体"/>
          <w:sz w:val="24"/>
          <w:szCs w:val="24"/>
        </w:rPr>
        <w:t>4章项目技术、服务、商务及其他要求”。</w:t>
      </w:r>
    </w:p>
    <w:p>
      <w:pPr>
        <w:widowControl/>
        <w:numPr>
          <w:ilvl w:val="0"/>
          <w:numId w:val="9"/>
        </w:numPr>
        <w:tabs>
          <w:tab w:val="left" w:pos="851"/>
        </w:tabs>
        <w:spacing w:after="200" w:line="360" w:lineRule="auto"/>
        <w:jc w:val="left"/>
        <w:rPr>
          <w:rFonts w:ascii="宋体" w:hAnsi="宋体"/>
          <w:sz w:val="24"/>
          <w:szCs w:val="24"/>
        </w:rPr>
      </w:pPr>
      <w:r>
        <w:rPr>
          <w:rFonts w:hint="eastAsia" w:ascii="宋体" w:hAnsi="宋体"/>
          <w:sz w:val="24"/>
          <w:szCs w:val="24"/>
        </w:rPr>
        <w:t>报价要求</w:t>
      </w:r>
    </w:p>
    <w:p>
      <w:pPr>
        <w:spacing w:line="360" w:lineRule="auto"/>
        <w:ind w:firstLine="482" w:firstLineChars="201"/>
        <w:rPr>
          <w:rFonts w:ascii="宋体" w:hAnsi="宋体"/>
          <w:sz w:val="24"/>
          <w:szCs w:val="24"/>
        </w:rPr>
      </w:pPr>
      <w:r>
        <w:rPr>
          <w:rFonts w:hint="eastAsia" w:ascii="宋体" w:hAnsi="宋体"/>
          <w:sz w:val="24"/>
          <w:szCs w:val="24"/>
        </w:rPr>
        <w:t>供应商按磋商文件要求进行报价。</w:t>
      </w:r>
    </w:p>
    <w:p>
      <w:pPr>
        <w:widowControl/>
        <w:numPr>
          <w:ilvl w:val="0"/>
          <w:numId w:val="6"/>
        </w:numPr>
        <w:spacing w:after="200" w:line="360" w:lineRule="auto"/>
        <w:ind w:left="0" w:firstLine="567"/>
        <w:rPr>
          <w:rFonts w:ascii="宋体" w:hAnsi="宋体"/>
          <w:sz w:val="24"/>
          <w:szCs w:val="24"/>
        </w:rPr>
      </w:pPr>
      <w:r>
        <w:rPr>
          <w:rFonts w:hint="eastAsia" w:ascii="宋体" w:hAnsi="宋体"/>
          <w:b/>
          <w:sz w:val="24"/>
          <w:szCs w:val="24"/>
        </w:rPr>
        <w:t>磋商文件获取时间</w:t>
      </w:r>
    </w:p>
    <w:p>
      <w:pPr>
        <w:spacing w:line="360" w:lineRule="auto"/>
        <w:ind w:firstLine="480" w:firstLineChars="200"/>
        <w:rPr>
          <w:rFonts w:ascii="宋体" w:hAnsi="宋体"/>
          <w:sz w:val="24"/>
          <w:szCs w:val="24"/>
        </w:rPr>
      </w:pPr>
      <w:r>
        <w:rPr>
          <w:rFonts w:hint="eastAsia" w:ascii="宋体" w:hAnsi="宋体"/>
          <w:sz w:val="24"/>
          <w:szCs w:val="24"/>
        </w:rPr>
        <w:t>（一）磋商文件获取时间：202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日至</w:t>
      </w:r>
      <w:r>
        <w:rPr>
          <w:rFonts w:hint="eastAsia" w:ascii="宋体" w:hAnsi="宋体"/>
          <w:sz w:val="24"/>
          <w:szCs w:val="24"/>
          <w:lang w:val="en-US" w:eastAsia="zh-CN"/>
        </w:rPr>
        <w:t>2022年1月19</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（二）公告期限：202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日至</w:t>
      </w:r>
      <w:r>
        <w:rPr>
          <w:rFonts w:hint="eastAsia" w:ascii="宋体" w:hAnsi="宋体"/>
          <w:sz w:val="24"/>
          <w:szCs w:val="24"/>
          <w:lang w:val="en-US" w:eastAsia="zh-CN"/>
        </w:rPr>
        <w:t>2022年1月19</w:t>
      </w:r>
      <w:r>
        <w:rPr>
          <w:rFonts w:hint="eastAsia" w:ascii="宋体" w:hAnsi="宋体"/>
          <w:sz w:val="24"/>
          <w:szCs w:val="24"/>
        </w:rPr>
        <w:t>日。</w:t>
      </w:r>
    </w:p>
    <w:p>
      <w:pPr>
        <w:widowControl/>
        <w:numPr>
          <w:ilvl w:val="0"/>
          <w:numId w:val="6"/>
        </w:numPr>
        <w:spacing w:after="200" w:line="360" w:lineRule="auto"/>
        <w:ind w:left="0" w:firstLine="567"/>
        <w:rPr>
          <w:rFonts w:ascii="宋体" w:hAnsi="宋体"/>
          <w:b/>
          <w:sz w:val="24"/>
          <w:szCs w:val="21"/>
        </w:rPr>
      </w:pPr>
      <w:r>
        <w:rPr>
          <w:rFonts w:hint="eastAsia" w:ascii="宋体" w:hAnsi="宋体"/>
          <w:b/>
          <w:sz w:val="24"/>
          <w:szCs w:val="24"/>
        </w:rPr>
        <w:t>磋商</w:t>
      </w:r>
      <w:r>
        <w:rPr>
          <w:rFonts w:hint="eastAsia" w:ascii="宋体" w:hAnsi="宋体"/>
          <w:b/>
          <w:sz w:val="24"/>
          <w:szCs w:val="21"/>
        </w:rPr>
        <w:t>文件获取方式</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供应商有意向参加本项目采购的，应在成都市公共资源交易服务中心“政府采购云平台（</w:t>
      </w:r>
      <w:r>
        <w:rPr>
          <w:rFonts w:ascii="宋体" w:hAnsi="宋体"/>
          <w:sz w:val="24"/>
          <w:szCs w:val="24"/>
        </w:rPr>
        <w:t>www.zcygov.cn）</w:t>
      </w:r>
      <w:r>
        <w:rPr>
          <w:rFonts w:hint="eastAsia" w:ascii="宋体" w:hAnsi="宋体"/>
          <w:sz w:val="24"/>
          <w:szCs w:val="24"/>
        </w:rPr>
        <w:t>”获取采购文件。登录政府采购云平台</w:t>
      </w:r>
      <w:r>
        <w:rPr>
          <w:rFonts w:ascii="宋体" w:hAnsi="宋体"/>
          <w:sz w:val="24"/>
          <w:szCs w:val="24"/>
        </w:rPr>
        <w:t>(www.zcygov.cn)—我的工作台—项目采购—获取采购文件—申请获取采购文件。</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提示：</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1）本项目采购文件免费获取。</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2）成都市公共资源交易服务中心门户网站上采购公告附件内的采购文件仅供下载阅览使用，供应商只有在“政府采购云平台”完成获取采购文件申请并下载采购文件后才视作依法参与本项目。如未在“政府采购云平台”内完成相关流程，导致相关行为无效等后果的责任自负。</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3）首次登录</w:t>
      </w:r>
      <w:r>
        <w:rPr>
          <w:rFonts w:hint="eastAsia" w:ascii="宋体" w:hAnsi="宋体"/>
          <w:sz w:val="24"/>
          <w:szCs w:val="24"/>
        </w:rPr>
        <w:t>政府采购云平台</w:t>
      </w:r>
      <w:r>
        <w:rPr>
          <w:rFonts w:ascii="宋体" w:hAnsi="宋体"/>
          <w:sz w:val="24"/>
          <w:szCs w:val="24"/>
        </w:rPr>
        <w:t xml:space="preserve">(www.zcygov.cn)的新用户, </w:t>
      </w:r>
      <w:r>
        <w:rPr>
          <w:rFonts w:hint="eastAsia" w:ascii="宋体" w:hAnsi="宋体"/>
          <w:sz w:val="24"/>
          <w:szCs w:val="24"/>
        </w:rPr>
        <w:t>应先点击网页左上角切换至“成都市本级”，再点击“供应商入驻”，注册成功后即可登录。</w:t>
      </w:r>
    </w:p>
    <w:p>
      <w:pPr>
        <w:widowControl/>
        <w:tabs>
          <w:tab w:val="left" w:pos="1134"/>
        </w:tabs>
        <w:spacing w:after="200" w:line="400" w:lineRule="exact"/>
        <w:ind w:firstLine="484" w:firstLineChars="202"/>
        <w:jc w:val="left"/>
        <w:rPr>
          <w:rFonts w:ascii="宋体" w:hAnsi="宋体"/>
          <w:sz w:val="24"/>
          <w:szCs w:val="24"/>
        </w:rPr>
      </w:pPr>
      <w:r>
        <w:rPr>
          <w:rFonts w:hint="eastAsia" w:ascii="宋体" w:hAnsi="宋体"/>
          <w:sz w:val="24"/>
          <w:szCs w:val="24"/>
        </w:rPr>
        <w:t>（</w:t>
      </w:r>
      <w:r>
        <w:rPr>
          <w:rFonts w:ascii="宋体" w:hAnsi="宋体"/>
          <w:sz w:val="24"/>
          <w:szCs w:val="24"/>
        </w:rPr>
        <w:t>4）本项目为电子化采购项目，供应商参与本项目全过程中凡涉及系统操作请详见《成都市全流程电子化采购系统操作指南——供应商版》（操作指南请登录政府采购云平台后，点击“前台大厅—操作指南—供应商”处下载查看）。</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磋商文件获取地点</w:t>
      </w:r>
      <w:r>
        <w:rPr>
          <w:rFonts w:hint="eastAsia" w:ascii="宋体" w:hAnsi="宋体"/>
          <w:sz w:val="24"/>
          <w:szCs w:val="24"/>
        </w:rPr>
        <w:t>：登录政府采购云平台（www.zcygov.cn）获取。</w:t>
      </w:r>
    </w:p>
    <w:p>
      <w:pPr>
        <w:widowControl/>
        <w:numPr>
          <w:ilvl w:val="0"/>
          <w:numId w:val="6"/>
        </w:numPr>
        <w:spacing w:after="200" w:line="400" w:lineRule="exact"/>
        <w:ind w:left="0" w:firstLine="487" w:firstLineChars="202"/>
        <w:rPr>
          <w:rFonts w:ascii="宋体" w:hAnsi="宋体"/>
          <w:sz w:val="24"/>
          <w:szCs w:val="24"/>
        </w:rPr>
      </w:pPr>
      <w:r>
        <w:rPr>
          <w:rFonts w:hint="eastAsia" w:ascii="宋体" w:hAnsi="宋体"/>
          <w:b/>
          <w:sz w:val="24"/>
          <w:szCs w:val="24"/>
          <w:lang w:eastAsia="zh-CN"/>
        </w:rPr>
        <w:t>首次</w:t>
      </w:r>
      <w:r>
        <w:rPr>
          <w:rFonts w:hint="eastAsia" w:ascii="宋体" w:hAnsi="宋体"/>
          <w:b/>
          <w:sz w:val="24"/>
          <w:szCs w:val="24"/>
        </w:rPr>
        <w:t>响应文件提交截止时间、方式及开启时间（北京时间）</w:t>
      </w:r>
    </w:p>
    <w:p>
      <w:pPr>
        <w:spacing w:line="400" w:lineRule="exact"/>
        <w:ind w:firstLine="484" w:firstLineChars="202"/>
        <w:rPr>
          <w:rFonts w:ascii="宋体" w:hAnsi="宋体"/>
          <w:sz w:val="24"/>
          <w:szCs w:val="24"/>
        </w:rPr>
      </w:pPr>
      <w:r>
        <w:rPr>
          <w:rFonts w:hint="eastAsia" w:ascii="宋体" w:hAnsi="宋体"/>
          <w:sz w:val="24"/>
          <w:szCs w:val="24"/>
        </w:rPr>
        <w:t>（一）首次提交响应文件截止时间及开启时间：202</w:t>
      </w:r>
      <w:r>
        <w:rPr>
          <w:rFonts w:hint="eastAsia" w:ascii="宋体" w:hAnsi="宋体"/>
          <w:sz w:val="24"/>
          <w:szCs w:val="24"/>
          <w:lang w:val="en-US" w:eastAsia="zh-CN"/>
        </w:rPr>
        <w:t>2</w:t>
      </w:r>
      <w:r>
        <w:rPr>
          <w:rFonts w:hint="eastAsia" w:ascii="宋体" w:hAnsi="宋体"/>
          <w:sz w:val="24"/>
          <w:szCs w:val="24"/>
        </w:rPr>
        <w:t>年</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日上午</w:t>
      </w:r>
      <w:r>
        <w:rPr>
          <w:rFonts w:hint="eastAsia" w:ascii="宋体" w:hAnsi="宋体"/>
          <w:sz w:val="24"/>
          <w:szCs w:val="24"/>
          <w:lang w:val="en-US" w:eastAsia="zh-CN"/>
        </w:rPr>
        <w:t>10:00</w:t>
      </w:r>
      <w:r>
        <w:rPr>
          <w:rFonts w:hint="eastAsia" w:ascii="宋体" w:hAnsi="宋体"/>
          <w:sz w:val="24"/>
          <w:szCs w:val="24"/>
        </w:rPr>
        <w:t>。</w:t>
      </w:r>
    </w:p>
    <w:p>
      <w:pPr>
        <w:spacing w:line="400" w:lineRule="exact"/>
        <w:ind w:firstLine="480" w:firstLineChars="200"/>
        <w:rPr>
          <w:rFonts w:hint="eastAsia" w:ascii="宋体" w:hAnsi="宋体"/>
          <w:sz w:val="24"/>
          <w:szCs w:val="24"/>
        </w:rPr>
      </w:pPr>
      <w:r>
        <w:rPr>
          <w:rFonts w:hint="eastAsia" w:ascii="宋体" w:hAnsi="宋体"/>
          <w:sz w:val="24"/>
          <w:szCs w:val="24"/>
        </w:rPr>
        <w:t>（二）首次响应文件提交方式、地点：提交截止时间前，供应商应将加密的首次响应文件提交至“政府采购云平台” （www.zcygov.cn）对应项目（包件）。</w:t>
      </w:r>
    </w:p>
    <w:p>
      <w:pPr>
        <w:widowControl/>
        <w:numPr>
          <w:ilvl w:val="0"/>
          <w:numId w:val="0"/>
        </w:numPr>
        <w:spacing w:after="200" w:line="400" w:lineRule="exact"/>
        <w:ind w:left="7" w:leftChars="0" w:firstLine="559" w:firstLineChars="233"/>
        <w:rPr>
          <w:rFonts w:ascii="宋体" w:hAnsi="宋体"/>
          <w:sz w:val="24"/>
          <w:szCs w:val="24"/>
        </w:rPr>
      </w:pPr>
      <w:r>
        <w:rPr>
          <w:rFonts w:hint="eastAsia" w:ascii="宋体" w:hAnsi="宋体"/>
          <w:sz w:val="24"/>
          <w:szCs w:val="24"/>
        </w:rPr>
        <w:t>本项目只接受供应商加密并提交至“政府采购云平台” （www.zcygov.cn）的响应文件。</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递交响应文件地点及磋商地点</w:t>
      </w:r>
    </w:p>
    <w:p>
      <w:pPr>
        <w:widowControl/>
        <w:spacing w:after="200" w:line="400" w:lineRule="exact"/>
        <w:ind w:left="567"/>
        <w:rPr>
          <w:rFonts w:ascii="宋体" w:hAnsi="宋体"/>
          <w:sz w:val="24"/>
          <w:szCs w:val="24"/>
        </w:rPr>
      </w:pPr>
      <w:r>
        <w:rPr>
          <w:rFonts w:hint="eastAsia" w:ascii="宋体" w:hAnsi="宋体"/>
          <w:sz w:val="24"/>
          <w:szCs w:val="24"/>
        </w:rPr>
        <w:t>本项目为不见面磋商。</w:t>
      </w:r>
    </w:p>
    <w:p>
      <w:pPr>
        <w:widowControl/>
        <w:spacing w:after="200" w:line="400" w:lineRule="exact"/>
        <w:ind w:left="567"/>
        <w:rPr>
          <w:rFonts w:ascii="宋体" w:hAnsi="宋体"/>
          <w:sz w:val="24"/>
          <w:szCs w:val="24"/>
        </w:rPr>
      </w:pPr>
      <w:r>
        <w:rPr>
          <w:rFonts w:hint="eastAsia" w:ascii="宋体" w:hAnsi="宋体"/>
          <w:sz w:val="24"/>
          <w:szCs w:val="24"/>
        </w:rPr>
        <w:t>磋商地点：政府采购云平台开标大厅。</w:t>
      </w:r>
    </w:p>
    <w:p>
      <w:pPr>
        <w:widowControl/>
        <w:numPr>
          <w:ilvl w:val="0"/>
          <w:numId w:val="6"/>
        </w:numPr>
        <w:spacing w:after="200" w:line="400" w:lineRule="exact"/>
        <w:ind w:left="0" w:firstLine="567"/>
        <w:rPr>
          <w:rFonts w:ascii="宋体" w:hAnsi="宋体"/>
          <w:sz w:val="24"/>
          <w:szCs w:val="24"/>
        </w:rPr>
      </w:pPr>
      <w:r>
        <w:rPr>
          <w:rFonts w:hint="eastAsia" w:ascii="宋体" w:hAnsi="宋体"/>
          <w:b/>
          <w:sz w:val="24"/>
          <w:szCs w:val="24"/>
        </w:rPr>
        <w:t>政府采购合同信用融资</w:t>
      </w:r>
    </w:p>
    <w:p>
      <w:pPr>
        <w:spacing w:line="400" w:lineRule="exact"/>
        <w:ind w:firstLine="480" w:firstLineChars="200"/>
        <w:rPr>
          <w:rFonts w:ascii="宋体" w:hAnsi="宋体"/>
          <w:sz w:val="24"/>
          <w:szCs w:val="24"/>
        </w:rPr>
      </w:pPr>
      <w:r>
        <w:rPr>
          <w:rFonts w:ascii="宋体" w:hAnsi="宋体"/>
          <w:sz w:val="24"/>
          <w:szCs w:val="24"/>
        </w:rPr>
        <w:t>本项目支持成交中小企业凭借政府采购合同向相关金融机构申请信用融资。具体内容详见《成都市财政局中国人民银行成都分行营业管理部关于印发〈成都市中小企业政府采购信用融资暂行办法〉和〈成都市级支持中小企业政府采购信用融资实施方案〉的通知》（成财采〔2019〕17号）、《成都市财政局关于增补“蓉采贷”政策合作银行及做好相关工作的通知》（成财采发〔2020〕20号）、《成都市武侯区财政局关于印发〈成都市武侯区支持中小企业政府采购融资实施方案〉的通知》（成武财采〔2019〕6号）。</w:t>
      </w:r>
    </w:p>
    <w:p>
      <w:pPr>
        <w:widowControl/>
        <w:numPr>
          <w:ilvl w:val="0"/>
          <w:numId w:val="6"/>
        </w:numPr>
        <w:spacing w:after="200" w:line="400" w:lineRule="exact"/>
        <w:ind w:left="0" w:firstLine="567"/>
        <w:rPr>
          <w:rFonts w:ascii="宋体" w:hAnsi="宋体"/>
          <w:b/>
          <w:sz w:val="24"/>
          <w:szCs w:val="24"/>
        </w:rPr>
      </w:pPr>
      <w:r>
        <w:rPr>
          <w:rFonts w:hint="eastAsia" w:ascii="宋体" w:hAnsi="宋体"/>
          <w:b/>
          <w:sz w:val="24"/>
          <w:szCs w:val="24"/>
        </w:rPr>
        <w:t>联系人及联系电话</w:t>
      </w:r>
    </w:p>
    <w:p>
      <w:pPr>
        <w:spacing w:line="400" w:lineRule="exact"/>
        <w:ind w:firstLine="420" w:firstLineChars="150"/>
        <w:rPr>
          <w:rFonts w:ascii="宋体" w:hAnsi="宋体"/>
          <w:b/>
          <w:color w:val="FF0000"/>
          <w:sz w:val="24"/>
          <w:szCs w:val="24"/>
        </w:rPr>
      </w:pPr>
      <w:r>
        <w:rPr>
          <w:rFonts w:hint="eastAsia" w:ascii="华文中宋" w:hAnsi="华文中宋" w:eastAsia="华文中宋"/>
          <w:spacing w:val="20"/>
          <w:sz w:val="24"/>
          <w:szCs w:val="24"/>
        </w:rPr>
        <w:t>采购人：成都市弟维小学</w:t>
      </w:r>
    </w:p>
    <w:p>
      <w:pPr>
        <w:spacing w:line="400" w:lineRule="exact"/>
        <w:ind w:firstLine="604" w:firstLineChars="252"/>
        <w:rPr>
          <w:rFonts w:ascii="宋体" w:hAnsi="宋体"/>
          <w:sz w:val="24"/>
          <w:szCs w:val="24"/>
        </w:rPr>
      </w:pPr>
      <w:r>
        <w:rPr>
          <w:rFonts w:hint="eastAsia" w:ascii="宋体" w:hAnsi="宋体"/>
          <w:sz w:val="24"/>
          <w:szCs w:val="24"/>
        </w:rPr>
        <w:t>地  址：</w:t>
      </w:r>
      <w:r>
        <w:rPr>
          <w:rFonts w:ascii="宋体" w:hAnsi="宋体" w:eastAsia="宋体" w:cs="宋体"/>
          <w:sz w:val="24"/>
          <w:szCs w:val="24"/>
        </w:rPr>
        <w:t>成都市武侯区玉林街道黉门街25号弟维小学</w:t>
      </w:r>
    </w:p>
    <w:p>
      <w:pPr>
        <w:spacing w:line="400" w:lineRule="exact"/>
        <w:ind w:firstLine="604" w:firstLineChars="252"/>
        <w:rPr>
          <w:rFonts w:ascii="宋体" w:hAnsi="宋体"/>
          <w:sz w:val="24"/>
          <w:szCs w:val="24"/>
        </w:rPr>
      </w:pPr>
      <w:r>
        <w:rPr>
          <w:rFonts w:hint="eastAsia" w:ascii="宋体" w:hAnsi="宋体"/>
          <w:sz w:val="24"/>
          <w:szCs w:val="24"/>
        </w:rPr>
        <w:t>邮  编：610041</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 xml:space="preserve">联系人： </w:t>
      </w:r>
      <w:r>
        <w:rPr>
          <w:rFonts w:hint="eastAsia" w:ascii="宋体" w:hAnsi="宋体"/>
          <w:sz w:val="24"/>
          <w:szCs w:val="24"/>
          <w:lang w:eastAsia="zh-CN"/>
        </w:rPr>
        <w:t>刘懿</w:t>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028-85551339-305</w:t>
      </w:r>
    </w:p>
    <w:p>
      <w:pPr>
        <w:spacing w:line="400" w:lineRule="exact"/>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400" w:lineRule="exact"/>
        <w:ind w:firstLine="484" w:firstLineChars="202"/>
        <w:rPr>
          <w:rFonts w:ascii="宋体" w:hAnsi="宋体"/>
          <w:sz w:val="22"/>
          <w:szCs w:val="22"/>
        </w:rPr>
      </w:pPr>
      <w:r>
        <w:rPr>
          <w:rFonts w:hint="eastAsia" w:ascii="宋体" w:hAnsi="宋体"/>
          <w:sz w:val="24"/>
          <w:szCs w:val="24"/>
        </w:rPr>
        <w:t xml:space="preserve"> 地  址：</w:t>
      </w:r>
      <w:r>
        <w:rPr>
          <w:rFonts w:hint="eastAsia" w:ascii="宋体" w:hAnsi="宋体"/>
          <w:sz w:val="22"/>
          <w:szCs w:val="22"/>
          <w:lang w:eastAsia="zh-CN"/>
        </w:rPr>
        <w:t>成都市武侯区武科西五路360号武侯区市民中心2栋5单元 5楼</w:t>
      </w:r>
    </w:p>
    <w:p>
      <w:pPr>
        <w:spacing w:line="400" w:lineRule="exact"/>
        <w:ind w:firstLine="484" w:firstLineChars="202"/>
        <w:rPr>
          <w:rFonts w:ascii="宋体" w:hAnsi="宋体"/>
          <w:sz w:val="24"/>
          <w:szCs w:val="24"/>
        </w:rPr>
      </w:pPr>
      <w:r>
        <w:rPr>
          <w:rFonts w:hint="eastAsia" w:ascii="宋体" w:hAnsi="宋体"/>
          <w:sz w:val="24"/>
          <w:szCs w:val="24"/>
        </w:rPr>
        <w:t xml:space="preserve"> 邮  编：610041</w:t>
      </w:r>
    </w:p>
    <w:p>
      <w:pPr>
        <w:spacing w:line="400" w:lineRule="exact"/>
        <w:ind w:firstLine="604" w:firstLineChars="252"/>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黄芙娜</w:t>
      </w:r>
    </w:p>
    <w:p>
      <w:pPr>
        <w:spacing w:line="400" w:lineRule="exact"/>
        <w:ind w:firstLine="604" w:firstLineChars="252"/>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082-85557213</w:t>
      </w:r>
    </w:p>
    <w:p>
      <w:pPr>
        <w:spacing w:line="400" w:lineRule="exact"/>
        <w:ind w:firstLine="607" w:firstLineChars="252"/>
        <w:rPr>
          <w:rFonts w:ascii="宋体" w:hAnsi="宋体"/>
          <w:sz w:val="24"/>
          <w:szCs w:val="24"/>
        </w:rPr>
      </w:pPr>
      <w:r>
        <w:rPr>
          <w:rFonts w:hint="eastAsia" w:ascii="宋体" w:hAnsi="宋体"/>
          <w:b/>
          <w:sz w:val="24"/>
          <w:szCs w:val="24"/>
        </w:rPr>
        <w:t>技术支持电话：</w:t>
      </w:r>
      <w:r>
        <w:rPr>
          <w:rFonts w:ascii="宋体" w:hAnsi="宋体"/>
          <w:sz w:val="24"/>
          <w:szCs w:val="24"/>
        </w:rPr>
        <w:t>400-881-7190</w:t>
      </w:r>
    </w:p>
    <w:p>
      <w:pPr>
        <w:spacing w:line="400" w:lineRule="exact"/>
        <w:ind w:firstLine="482" w:firstLineChars="200"/>
        <w:rPr>
          <w:rFonts w:ascii="宋体" w:hAnsi="宋体"/>
          <w:b/>
          <w:sz w:val="24"/>
          <w:szCs w:val="24"/>
        </w:rPr>
      </w:pPr>
      <w:bookmarkStart w:id="2" w:name="_Toc58943324"/>
      <w:bookmarkStart w:id="3" w:name="_Toc391885334"/>
      <w:bookmarkStart w:id="4" w:name="_Toc287623638"/>
      <w:bookmarkStart w:id="5" w:name="_Toc381263230"/>
      <w:r>
        <w:rPr>
          <w:rFonts w:hint="eastAsia" w:ascii="宋体" w:hAnsi="宋体"/>
          <w:b/>
          <w:sz w:val="24"/>
          <w:szCs w:val="24"/>
        </w:rPr>
        <w:t>集中采购监督机构：成都市武侯区财政局</w:t>
      </w:r>
    </w:p>
    <w:p>
      <w:pPr>
        <w:spacing w:line="400" w:lineRule="exact"/>
        <w:ind w:firstLine="480" w:firstLineChars="200"/>
        <w:rPr>
          <w:rFonts w:hint="eastAsia" w:ascii="宋体" w:hAnsi="宋体"/>
          <w:sz w:val="22"/>
          <w:szCs w:val="22"/>
          <w:lang w:eastAsia="zh-CN"/>
        </w:rPr>
      </w:pPr>
      <w:r>
        <w:rPr>
          <w:rFonts w:hint="eastAsia" w:ascii="宋体" w:hAnsi="宋体"/>
          <w:sz w:val="24"/>
          <w:szCs w:val="24"/>
        </w:rPr>
        <w:t>地 址：</w:t>
      </w:r>
      <w:r>
        <w:rPr>
          <w:rFonts w:hint="eastAsia" w:ascii="宋体" w:hAnsi="宋体"/>
          <w:sz w:val="22"/>
          <w:szCs w:val="22"/>
          <w:lang w:eastAsia="zh-CN"/>
        </w:rPr>
        <w:t>成都市武侯区武科西五路360号武侯区市民中心2栋5单元801室</w:t>
      </w:r>
    </w:p>
    <w:p>
      <w:pPr>
        <w:tabs>
          <w:tab w:val="left" w:pos="900"/>
        </w:tabs>
        <w:spacing w:line="400" w:lineRule="exact"/>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tabs>
          <w:tab w:val="left" w:pos="900"/>
        </w:tabs>
        <w:spacing w:line="360" w:lineRule="auto"/>
        <w:ind w:firstLine="480" w:firstLineChars="200"/>
        <w:rPr>
          <w:rFonts w:ascii="宋体" w:hAnsi="宋体" w:cstheme="minorBidi"/>
          <w:sz w:val="24"/>
          <w:szCs w:val="24"/>
        </w:rPr>
      </w:pPr>
    </w:p>
    <w:p>
      <w:pPr>
        <w:tabs>
          <w:tab w:val="left" w:pos="900"/>
        </w:tabs>
        <w:spacing w:line="360" w:lineRule="auto"/>
        <w:ind w:firstLine="480" w:firstLineChars="200"/>
        <w:rPr>
          <w:rFonts w:ascii="宋体" w:hAnsi="宋体" w:cstheme="minorBidi"/>
          <w:sz w:val="24"/>
          <w:szCs w:val="24"/>
        </w:rPr>
      </w:pPr>
    </w:p>
    <w:p>
      <w:pPr>
        <w:pStyle w:val="4"/>
        <w:widowControl/>
        <w:numPr>
          <w:ilvl w:val="0"/>
          <w:numId w:val="5"/>
        </w:numPr>
        <w:spacing w:before="0" w:after="0" w:line="360" w:lineRule="auto"/>
        <w:ind w:left="0" w:firstLine="0"/>
        <w:rPr>
          <w:sz w:val="28"/>
          <w:szCs w:val="28"/>
        </w:rPr>
        <w:sectPr>
          <w:pgSz w:w="11906" w:h="16838"/>
          <w:pgMar w:top="1134" w:right="1274" w:bottom="1440" w:left="1418" w:header="851" w:footer="992" w:gutter="0"/>
          <w:cols w:space="720" w:num="1"/>
          <w:docGrid w:type="lines" w:linePitch="312" w:charSpace="0"/>
        </w:sectPr>
      </w:pPr>
      <w:bookmarkStart w:id="6" w:name="_Toc79742118"/>
    </w:p>
    <w:p>
      <w:pPr>
        <w:pStyle w:val="4"/>
        <w:widowControl/>
        <w:numPr>
          <w:ilvl w:val="0"/>
          <w:numId w:val="5"/>
        </w:numPr>
        <w:spacing w:before="0" w:after="0" w:line="360" w:lineRule="auto"/>
        <w:ind w:left="0" w:firstLine="0"/>
        <w:rPr>
          <w:sz w:val="28"/>
          <w:szCs w:val="28"/>
        </w:rPr>
      </w:pPr>
      <w:r>
        <w:rPr>
          <w:rFonts w:hint="eastAsia"/>
          <w:sz w:val="28"/>
          <w:szCs w:val="28"/>
        </w:rPr>
        <w:t>供应商须知</w:t>
      </w:r>
      <w:bookmarkEnd w:id="2"/>
      <w:bookmarkEnd w:id="3"/>
      <w:bookmarkEnd w:id="6"/>
    </w:p>
    <w:p>
      <w:pPr>
        <w:pStyle w:val="5"/>
        <w:numPr>
          <w:ilvl w:val="1"/>
          <w:numId w:val="5"/>
        </w:numPr>
        <w:tabs>
          <w:tab w:val="left" w:pos="426"/>
          <w:tab w:val="left" w:pos="567"/>
        </w:tabs>
        <w:spacing w:before="0" w:after="200"/>
        <w:ind w:left="851" w:hanging="851"/>
        <w:jc w:val="both"/>
        <w:rPr>
          <w:sz w:val="24"/>
          <w:szCs w:val="24"/>
        </w:rPr>
      </w:pPr>
      <w:bookmarkStart w:id="7" w:name="_Toc79742119"/>
      <w:bookmarkStart w:id="8" w:name="_Toc58943325"/>
      <w:r>
        <w:rPr>
          <w:rFonts w:hint="eastAsia"/>
          <w:sz w:val="24"/>
          <w:szCs w:val="24"/>
        </w:rPr>
        <w:t>供应商须知前附表</w:t>
      </w:r>
      <w:bookmarkEnd w:id="7"/>
      <w:bookmarkEnd w:id="8"/>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82"/>
        <w:gridCol w:w="1736"/>
        <w:gridCol w:w="709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1" w:hRule="exact"/>
          <w:jc w:val="center"/>
        </w:trPr>
        <w:tc>
          <w:tcPr>
            <w:tcW w:w="682" w:type="dxa"/>
            <w:tcBorders>
              <w:top w:val="single" w:color="auto" w:sz="18" w:space="0"/>
              <w:left w:val="single" w:color="auto" w:sz="18" w:space="0"/>
              <w:bottom w:val="single" w:color="auto" w:sz="8" w:space="0"/>
              <w:right w:val="single" w:color="auto" w:sz="8" w:space="0"/>
            </w:tcBorders>
            <w:vAlign w:val="center"/>
          </w:tcPr>
          <w:p>
            <w:pPr>
              <w:snapToGrid w:val="0"/>
              <w:spacing w:line="360" w:lineRule="auto"/>
              <w:jc w:val="center"/>
              <w:rPr>
                <w:rFonts w:ascii="宋体" w:hAnsi="宋体"/>
                <w:b/>
                <w:sz w:val="24"/>
                <w:szCs w:val="24"/>
              </w:rPr>
            </w:pPr>
            <w:r>
              <w:rPr>
                <w:rFonts w:hint="eastAsia" w:ascii="宋体" w:hAnsi="宋体"/>
                <w:b/>
                <w:sz w:val="24"/>
                <w:szCs w:val="24"/>
                <w:lang w:val="zh-CN"/>
              </w:rPr>
              <w:t>序号</w:t>
            </w:r>
          </w:p>
        </w:tc>
        <w:tc>
          <w:tcPr>
            <w:tcW w:w="1736" w:type="dxa"/>
            <w:tcBorders>
              <w:top w:val="single" w:color="auto" w:sz="18" w:space="0"/>
              <w:left w:val="single" w:color="auto" w:sz="8" w:space="0"/>
              <w:bottom w:val="single" w:color="auto" w:sz="8" w:space="0"/>
              <w:right w:val="single" w:color="auto" w:sz="8" w:space="0"/>
            </w:tcBorders>
            <w:vAlign w:val="center"/>
          </w:tcPr>
          <w:p>
            <w:pPr>
              <w:pStyle w:val="121"/>
              <w:spacing w:line="360" w:lineRule="auto"/>
              <w:ind w:left="420" w:hanging="165"/>
              <w:rPr>
                <w:b/>
                <w:kern w:val="2"/>
                <w:sz w:val="24"/>
                <w:szCs w:val="24"/>
                <w:lang w:val="zh-CN"/>
              </w:rPr>
            </w:pPr>
            <w:r>
              <w:rPr>
                <w:rFonts w:hint="eastAsia"/>
                <w:b/>
                <w:kern w:val="2"/>
                <w:sz w:val="24"/>
                <w:szCs w:val="24"/>
                <w:lang w:val="zh-CN"/>
              </w:rPr>
              <w:t>应知事项</w:t>
            </w:r>
          </w:p>
        </w:tc>
        <w:tc>
          <w:tcPr>
            <w:tcW w:w="7092" w:type="dxa"/>
            <w:tcBorders>
              <w:top w:val="single" w:color="auto" w:sz="18" w:space="0"/>
              <w:left w:val="single" w:color="auto" w:sz="8" w:space="0"/>
              <w:bottom w:val="single" w:color="auto" w:sz="8" w:space="0"/>
              <w:right w:val="single" w:color="auto" w:sz="18" w:space="0"/>
            </w:tcBorders>
            <w:vAlign w:val="center"/>
          </w:tcPr>
          <w:p>
            <w:pPr>
              <w:pStyle w:val="121"/>
              <w:spacing w:line="360" w:lineRule="auto"/>
              <w:ind w:firstLine="562"/>
              <w:jc w:val="center"/>
              <w:rPr>
                <w:b/>
                <w:kern w:val="2"/>
                <w:sz w:val="24"/>
                <w:szCs w:val="24"/>
                <w:lang w:val="zh-CN"/>
              </w:rPr>
            </w:pPr>
            <w:r>
              <w:rPr>
                <w:rFonts w:hint="eastAsia"/>
                <w:b/>
                <w:kern w:val="2"/>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sz w:val="24"/>
                <w:szCs w:val="24"/>
              </w:rPr>
            </w:pPr>
            <w:r>
              <w:rPr>
                <w:rFonts w:hint="eastAsia" w:ascii="宋体" w:hAnsi="宋体" w:cs="宋体"/>
                <w:sz w:val="24"/>
                <w:szCs w:val="24"/>
                <w:lang w:val="zh-CN"/>
              </w:rPr>
              <w:t>采购预算</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ascii="宋体" w:hAnsi="宋体"/>
                <w:b/>
                <w:sz w:val="24"/>
                <w:szCs w:val="24"/>
              </w:rPr>
            </w:pPr>
            <w:r>
              <w:rPr>
                <w:rFonts w:hint="eastAsia" w:ascii="宋体" w:hAnsi="宋体"/>
                <w:b/>
                <w:sz w:val="24"/>
                <w:szCs w:val="24"/>
              </w:rPr>
              <w:t>人民币</w:t>
            </w:r>
            <w:r>
              <w:rPr>
                <w:rFonts w:hint="eastAsia" w:ascii="宋体" w:hAnsi="宋体"/>
                <w:b/>
                <w:sz w:val="24"/>
                <w:szCs w:val="24"/>
                <w:u w:val="single"/>
                <w:lang w:val="en-US" w:eastAsia="zh-CN"/>
              </w:rPr>
              <w:t>57.8</w:t>
            </w:r>
            <w:r>
              <w:rPr>
                <w:rFonts w:hint="eastAsia" w:ascii="宋体" w:hAnsi="宋体"/>
                <w:b/>
                <w:sz w:val="24"/>
                <w:szCs w:val="24"/>
              </w:rPr>
              <w:t>万元</w:t>
            </w:r>
            <w:r>
              <w:rPr>
                <w:rFonts w:hint="eastAsia"/>
                <w:b/>
                <w:sz w:val="24"/>
                <w:szCs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0"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最高限价</w:t>
            </w:r>
          </w:p>
        </w:tc>
        <w:tc>
          <w:tcPr>
            <w:tcW w:w="7092" w:type="dxa"/>
            <w:tcBorders>
              <w:top w:val="single" w:color="auto" w:sz="8" w:space="0"/>
              <w:left w:val="single" w:color="auto" w:sz="8" w:space="0"/>
              <w:bottom w:val="single" w:color="auto" w:sz="8" w:space="0"/>
              <w:right w:val="single" w:color="auto" w:sz="18" w:space="0"/>
            </w:tcBorders>
            <w:vAlign w:val="center"/>
          </w:tcPr>
          <w:p>
            <w:pPr>
              <w:rPr>
                <w:rFonts w:hint="eastAsia" w:ascii="宋体" w:hAnsi="宋体"/>
                <w:color w:val="FF0000"/>
                <w:sz w:val="24"/>
                <w:szCs w:val="24"/>
                <w:highlight w:val="yellow"/>
              </w:rPr>
            </w:pPr>
            <w:r>
              <w:rPr>
                <w:rFonts w:hint="eastAsia" w:ascii="宋体" w:hAnsi="宋体"/>
                <w:color w:val="FF0000"/>
                <w:sz w:val="24"/>
                <w:szCs w:val="24"/>
                <w:highlight w:val="yellow"/>
                <w:lang w:val="en-US" w:eastAsia="zh-CN"/>
              </w:rPr>
              <w:t>1.</w:t>
            </w:r>
            <w:r>
              <w:rPr>
                <w:rFonts w:hint="eastAsia" w:ascii="宋体" w:hAnsi="宋体"/>
                <w:color w:val="FF0000"/>
                <w:sz w:val="24"/>
                <w:szCs w:val="24"/>
                <w:highlight w:val="yellow"/>
                <w:lang w:eastAsia="zh-CN"/>
              </w:rPr>
              <w:t>单价</w:t>
            </w:r>
            <w:r>
              <w:rPr>
                <w:rFonts w:ascii="宋体" w:hAnsi="宋体"/>
                <w:color w:val="FF0000"/>
                <w:sz w:val="24"/>
                <w:szCs w:val="24"/>
                <w:highlight w:val="yellow"/>
              </w:rPr>
              <w:t>最高限价</w:t>
            </w:r>
            <w:r>
              <w:rPr>
                <w:rFonts w:hint="eastAsia" w:ascii="宋体" w:hAnsi="宋体"/>
                <w:color w:val="FF0000"/>
                <w:sz w:val="24"/>
                <w:szCs w:val="24"/>
                <w:highlight w:val="yellow"/>
              </w:rPr>
              <w:t>详见</w:t>
            </w:r>
            <w:r>
              <w:rPr>
                <w:rFonts w:hint="eastAsia" w:ascii="宋体" w:hAnsi="宋体"/>
                <w:color w:val="FF0000"/>
                <w:sz w:val="24"/>
                <w:szCs w:val="24"/>
                <w:highlight w:val="yellow"/>
                <w:lang w:eastAsia="zh-CN"/>
              </w:rPr>
              <w:t>采购</w:t>
            </w:r>
            <w:r>
              <w:rPr>
                <w:rFonts w:hint="eastAsia" w:ascii="宋体" w:hAnsi="宋体"/>
                <w:color w:val="FF0000"/>
                <w:sz w:val="24"/>
                <w:szCs w:val="24"/>
                <w:highlight w:val="yellow"/>
              </w:rPr>
              <w:t>文件第</w:t>
            </w:r>
            <w:r>
              <w:rPr>
                <w:rFonts w:hint="eastAsia" w:ascii="宋体" w:hAnsi="宋体"/>
                <w:color w:val="FF0000"/>
                <w:sz w:val="24"/>
                <w:szCs w:val="24"/>
                <w:highlight w:val="yellow"/>
                <w:lang w:val="en-US" w:eastAsia="zh-CN"/>
              </w:rPr>
              <w:t>4</w:t>
            </w:r>
            <w:r>
              <w:rPr>
                <w:rFonts w:hint="eastAsia" w:ascii="宋体" w:hAnsi="宋体"/>
                <w:color w:val="FF0000"/>
                <w:sz w:val="24"/>
                <w:szCs w:val="24"/>
                <w:highlight w:val="yellow"/>
              </w:rPr>
              <w:t>章</w:t>
            </w:r>
          </w:p>
          <w:p>
            <w:pPr>
              <w:rPr>
                <w:rFonts w:hint="eastAsia" w:ascii="宋体" w:hAnsi="宋体" w:eastAsia="宋体"/>
                <w:color w:val="FF0000"/>
                <w:sz w:val="24"/>
                <w:szCs w:val="24"/>
                <w:highlight w:val="yellow"/>
                <w:lang w:eastAsia="zh-CN"/>
              </w:rPr>
            </w:pPr>
            <w:r>
              <w:rPr>
                <w:rFonts w:hint="eastAsia" w:ascii="宋体" w:hAnsi="宋体"/>
                <w:color w:val="FF0000"/>
                <w:sz w:val="24"/>
                <w:szCs w:val="24"/>
                <w:highlight w:val="yellow"/>
                <w:lang w:val="en-US" w:eastAsia="zh-CN"/>
              </w:rPr>
              <w:t>2.任意一项</w:t>
            </w:r>
            <w:r>
              <w:rPr>
                <w:rFonts w:hint="eastAsia" w:ascii="宋体" w:hAnsi="宋体"/>
                <w:color w:val="FF0000"/>
                <w:sz w:val="24"/>
                <w:szCs w:val="24"/>
                <w:highlight w:val="yellow"/>
                <w:lang w:eastAsia="zh-CN"/>
              </w:rPr>
              <w:t>单价报价</w:t>
            </w:r>
            <w:r>
              <w:rPr>
                <w:rFonts w:hint="eastAsia" w:ascii="宋体" w:hAnsi="宋体"/>
                <w:color w:val="FF0000"/>
                <w:sz w:val="24"/>
                <w:szCs w:val="24"/>
                <w:highlight w:val="yellow"/>
              </w:rPr>
              <w:t>超过</w:t>
            </w:r>
            <w:r>
              <w:rPr>
                <w:rFonts w:hint="eastAsia" w:ascii="宋体" w:hAnsi="宋体"/>
                <w:color w:val="FF0000"/>
                <w:sz w:val="24"/>
                <w:szCs w:val="24"/>
                <w:highlight w:val="yellow"/>
                <w:lang w:eastAsia="zh-CN"/>
              </w:rPr>
              <w:t>产品单价</w:t>
            </w:r>
            <w:r>
              <w:rPr>
                <w:rFonts w:hint="eastAsia" w:ascii="宋体" w:hAnsi="宋体"/>
                <w:color w:val="FF0000"/>
                <w:sz w:val="24"/>
                <w:szCs w:val="24"/>
                <w:highlight w:val="yellow"/>
              </w:rPr>
              <w:t>最高限价的为无效</w:t>
            </w:r>
            <w:r>
              <w:rPr>
                <w:rFonts w:hint="eastAsia" w:ascii="宋体" w:hAnsi="宋体"/>
                <w:color w:val="FF0000"/>
                <w:sz w:val="24"/>
                <w:szCs w:val="24"/>
                <w:highlight w:val="yellow"/>
                <w:lang w:eastAsia="zh-CN"/>
              </w:rPr>
              <w:t>响应</w:t>
            </w:r>
          </w:p>
          <w:p>
            <w:pPr>
              <w:pStyle w:val="121"/>
              <w:spacing w:line="360" w:lineRule="auto"/>
              <w:ind w:left="9"/>
              <w:rPr>
                <w:kern w:val="2"/>
                <w:sz w:val="24"/>
                <w:szCs w:val="24"/>
                <w:lang w:val="zh-CN"/>
              </w:rPr>
            </w:pPr>
            <w:r>
              <w:rPr>
                <w:rFonts w:hint="eastAsia" w:ascii="宋体" w:hAnsi="宋体"/>
                <w:color w:val="FF0000"/>
                <w:sz w:val="24"/>
                <w:szCs w:val="24"/>
                <w:highlight w:val="yellow"/>
                <w:lang w:val="en-US" w:eastAsia="zh-CN"/>
              </w:rPr>
              <w:t>3.</w:t>
            </w:r>
            <w:r>
              <w:rPr>
                <w:rFonts w:hint="eastAsia" w:ascii="宋体" w:hAnsi="宋体"/>
                <w:color w:val="FF0000"/>
                <w:sz w:val="24"/>
                <w:szCs w:val="24"/>
                <w:highlight w:val="yellow"/>
                <w:lang w:eastAsia="zh-CN"/>
              </w:rPr>
              <w:t>本项</w:t>
            </w:r>
            <w:r>
              <w:rPr>
                <w:rFonts w:hint="eastAsia" w:ascii="宋体" w:hAnsi="宋体" w:eastAsia="宋体" w:cs="宋体"/>
                <w:color w:val="FF0000"/>
                <w:sz w:val="24"/>
                <w:szCs w:val="24"/>
                <w:highlight w:val="yellow"/>
                <w:lang w:val="en-US" w:eastAsia="zh-CN"/>
              </w:rPr>
              <w:t>目</w:t>
            </w:r>
            <w:r>
              <w:rPr>
                <w:rFonts w:hint="eastAsia" w:ascii="宋体" w:hAnsi="宋体" w:eastAsia="宋体" w:cs="宋体"/>
                <w:color w:val="FF0000"/>
                <w:sz w:val="24"/>
                <w:szCs w:val="24"/>
                <w:highlight w:val="yellow"/>
                <w:lang w:val="zh-CN" w:eastAsia="zh-CN"/>
              </w:rPr>
              <w:t>最高</w:t>
            </w:r>
            <w:r>
              <w:rPr>
                <w:rFonts w:hint="eastAsia" w:ascii="宋体" w:hAnsi="宋体" w:eastAsia="宋体" w:cs="宋体"/>
                <w:color w:val="FF0000"/>
                <w:sz w:val="24"/>
                <w:szCs w:val="24"/>
                <w:highlight w:val="yellow"/>
                <w:lang w:val="en-US" w:eastAsia="zh-CN"/>
              </w:rPr>
              <w:t>限价56.64万</w:t>
            </w:r>
            <w:r>
              <w:rPr>
                <w:rFonts w:hint="eastAsia" w:ascii="宋体" w:hAnsi="宋体" w:eastAsia="宋体" w:cs="宋体"/>
                <w:color w:val="FF0000"/>
                <w:sz w:val="24"/>
                <w:szCs w:val="24"/>
                <w:highlight w:val="yellow"/>
                <w:lang w:val="zh-CN" w:eastAsia="zh-CN"/>
              </w:rPr>
              <w:t>元。供应商最后报价高于最高限价的，其响应文件将按无效响应文件处理。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采购方式</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1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评审方法</w:t>
            </w:r>
          </w:p>
        </w:tc>
        <w:tc>
          <w:tcPr>
            <w:tcW w:w="7092" w:type="dxa"/>
            <w:tcBorders>
              <w:top w:val="single" w:color="auto" w:sz="8" w:space="0"/>
              <w:left w:val="single" w:color="auto" w:sz="8" w:space="0"/>
              <w:bottom w:val="single" w:color="auto" w:sz="8" w:space="0"/>
              <w:right w:val="single" w:color="auto" w:sz="18" w:space="0"/>
            </w:tcBorders>
            <w:vAlign w:val="center"/>
          </w:tcPr>
          <w:p>
            <w:pPr>
              <w:pStyle w:val="121"/>
              <w:spacing w:line="360" w:lineRule="auto"/>
              <w:jc w:val="both"/>
              <w:rPr>
                <w:kern w:val="2"/>
                <w:sz w:val="24"/>
                <w:szCs w:val="24"/>
                <w:lang w:val="zh-CN"/>
              </w:rPr>
            </w:pPr>
            <w:r>
              <w:rPr>
                <w:rFonts w:hint="eastAsia"/>
                <w:kern w:val="2"/>
                <w:sz w:val="24"/>
                <w:szCs w:val="24"/>
                <w:lang w:val="zh-CN"/>
              </w:rPr>
              <w:t>综合评分法(详见第5章)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pStyle w:val="121"/>
              <w:spacing w:line="360" w:lineRule="auto"/>
              <w:rPr>
                <w:kern w:val="2"/>
                <w:sz w:val="24"/>
                <w:szCs w:val="24"/>
                <w:lang w:val="zh-CN"/>
              </w:rPr>
            </w:pPr>
            <w:r>
              <w:rPr>
                <w:rFonts w:hint="eastAsia"/>
                <w:kern w:val="2"/>
                <w:sz w:val="24"/>
                <w:szCs w:val="24"/>
                <w:lang w:val="zh-CN"/>
              </w:rPr>
              <w:t>低于成本价不正当竞争预防措施</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在评审过程中，磋商小组认为供应商最后报价明显低于其他通过符合性审查供应商的最后报价，有可能影响服务质量或者不能诚信履约的，磋商小组应当要求其在合理的时间内提供书面说明，必要时提交相关证明材料。供应商提交的书面说明、相关证明材料（如涉及），应当加盖供应商（法定名称）电子签章，在磋商小组要求的时间内通过政府采购云平台进行递交，否则无效。如因断电、断网、系统故障或其他不可抗力等因素，导致系统无法使用的，由供应商按磋商小组的要求进行澄清或者说明。供应商不能证明其报价合理性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rPr>
                <w:rFonts w:hint="eastAsia" w:ascii="宋体" w:hAnsi="宋体"/>
                <w:color w:val="000000"/>
                <w:sz w:val="24"/>
                <w:szCs w:val="24"/>
              </w:rPr>
            </w:pPr>
            <w:r>
              <w:rPr>
                <w:rFonts w:ascii="宋体" w:hAnsi="宋体"/>
                <w:color w:val="000000"/>
                <w:sz w:val="24"/>
                <w:szCs w:val="24"/>
              </w:rPr>
              <w:t>政府采购节能</w:t>
            </w:r>
            <w:r>
              <w:rPr>
                <w:rFonts w:hint="eastAsia" w:ascii="宋体" w:hAnsi="宋体"/>
                <w:color w:val="000000"/>
                <w:sz w:val="24"/>
                <w:szCs w:val="24"/>
              </w:rPr>
              <w:t>、</w:t>
            </w:r>
            <w:r>
              <w:rPr>
                <w:rFonts w:ascii="宋体" w:hAnsi="宋体"/>
                <w:color w:val="000000"/>
                <w:sz w:val="24"/>
                <w:szCs w:val="24"/>
              </w:rPr>
              <w:t>环保产品</w:t>
            </w:r>
            <w:r>
              <w:rPr>
                <w:rFonts w:hint="eastAsia" w:ascii="宋体" w:hAnsi="宋体"/>
                <w:color w:val="000000"/>
                <w:sz w:val="24"/>
                <w:szCs w:val="24"/>
              </w:rPr>
              <w:t>、</w:t>
            </w:r>
            <w:r>
              <w:rPr>
                <w:rFonts w:ascii="宋体" w:hAnsi="宋体"/>
                <w:color w:val="000000"/>
                <w:sz w:val="24"/>
                <w:szCs w:val="24"/>
              </w:rPr>
              <w:t>无线局域网</w:t>
            </w:r>
            <w:r>
              <w:rPr>
                <w:rFonts w:hint="eastAsia" w:ascii="宋体" w:hAnsi="宋体"/>
                <w:color w:val="000000"/>
                <w:sz w:val="24"/>
                <w:szCs w:val="24"/>
              </w:rPr>
              <w:t>（如涉及）</w:t>
            </w:r>
          </w:p>
          <w:p>
            <w:pPr>
              <w:pStyle w:val="121"/>
              <w:spacing w:line="360" w:lineRule="auto"/>
              <w:rPr>
                <w:rFonts w:hint="eastAsia"/>
                <w:kern w:val="2"/>
                <w:sz w:val="24"/>
                <w:szCs w:val="24"/>
                <w:lang w:val="zh-CN"/>
              </w:rPr>
            </w:pPr>
          </w:p>
        </w:tc>
        <w:tc>
          <w:tcPr>
            <w:tcW w:w="7092" w:type="dxa"/>
            <w:tcBorders>
              <w:top w:val="single" w:color="auto" w:sz="8" w:space="0"/>
              <w:left w:val="single" w:color="auto" w:sz="8" w:space="0"/>
              <w:bottom w:val="single" w:color="auto" w:sz="8" w:space="0"/>
              <w:right w:val="single" w:color="auto" w:sz="18" w:space="0"/>
            </w:tcBorders>
            <w:vAlign w:val="center"/>
          </w:tcPr>
          <w:p>
            <w:pPr>
              <w:numPr>
                <w:ilvl w:val="0"/>
                <w:numId w:val="0"/>
              </w:num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lang w:eastAsia="zh-CN"/>
              </w:rPr>
              <w:t>节能、环保产品政府采购政策：</w:t>
            </w:r>
          </w:p>
          <w:p>
            <w:pPr>
              <w:rPr>
                <w:rFonts w:hint="eastAsia" w:ascii="宋体" w:hAnsi="宋体" w:cs="宋体"/>
                <w:color w:val="000000"/>
                <w:kern w:val="0"/>
                <w:sz w:val="24"/>
                <w:szCs w:val="24"/>
                <w:lang w:eastAsia="zh-CN"/>
              </w:rPr>
            </w:pPr>
            <w:r>
              <w:rPr>
                <w:rFonts w:hint="eastAsia" w:ascii="宋体" w:hAnsi="宋体" w:cs="宋体"/>
                <w:color w:val="000000"/>
                <w:sz w:val="28"/>
                <w:szCs w:val="28"/>
                <w:lang w:val="en-US" w:eastAsia="zh-CN"/>
              </w:rPr>
              <w:t xml:space="preserve">  </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根据《财政部</w:t>
            </w:r>
            <w:r>
              <w:rPr>
                <w:rFonts w:hint="eastAsia" w:ascii="宋体" w:hAnsi="宋体" w:cs="宋体"/>
                <w:color w:val="000000"/>
                <w:kern w:val="0"/>
                <w:sz w:val="24"/>
                <w:szCs w:val="24"/>
                <w:lang w:val="en-US" w:eastAsia="zh-CN"/>
              </w:rPr>
              <w:t xml:space="preserve">  发展改革委 生态环境部 市场监管总局关于调整优化节能产品、环境标志产品政府采购执行机制的通知</w:t>
            </w:r>
            <w:r>
              <w:rPr>
                <w:rFonts w:hint="eastAsia" w:ascii="宋体" w:hAnsi="宋体" w:cs="宋体"/>
                <w:color w:val="000000"/>
                <w:kern w:val="0"/>
                <w:sz w:val="24"/>
                <w:szCs w:val="24"/>
                <w:lang w:eastAsia="zh-CN"/>
              </w:rPr>
              <w:t>》（财库</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2019</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9号</w:t>
            </w:r>
            <w:r>
              <w:rPr>
                <w:rFonts w:hint="eastAsia" w:ascii="宋体" w:hAnsi="宋体" w:cs="宋体"/>
                <w:color w:val="000000"/>
                <w:kern w:val="0"/>
                <w:sz w:val="24"/>
                <w:szCs w:val="24"/>
                <w:lang w:eastAsia="zh-CN"/>
              </w:rPr>
              <w:t>）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 xml:space="preserve">   </w:t>
            </w:r>
            <w:r>
              <w:rPr>
                <w:rFonts w:hint="eastAsia" w:ascii="宋体" w:hAnsi="宋体" w:cs="宋体"/>
                <w:color w:val="FF0000"/>
                <w:kern w:val="0"/>
                <w:sz w:val="24"/>
                <w:szCs w:val="24"/>
                <w:highlight w:val="yellow"/>
                <w:lang w:eastAsia="zh-CN"/>
              </w:rPr>
              <w:t>本项目采购的产品属于品目清单范围内强制采购的，供应商应按上述要求提供产品认证证书复印件并加盖供应商单位公章，否则响应文件无效。（实质性要求）</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本项目采购的产品属于品目清单范围内优先采购的，按照第</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eastAsia="zh-CN"/>
              </w:rPr>
              <w:t>章评分的规则进行加分。</w:t>
            </w:r>
          </w:p>
          <w:p>
            <w:pP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numPr>
                <w:ilvl w:val="0"/>
                <w:numId w:val="0"/>
              </w:num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无线局域网产品政府采购政策：</w:t>
            </w:r>
          </w:p>
          <w:p>
            <w:pPr>
              <w:rPr>
                <w:rFonts w:hint="eastAsia" w:ascii="宋体" w:hAnsi="宋体" w:cs="宋体"/>
                <w:color w:val="000000"/>
                <w:kern w:val="0"/>
                <w:sz w:val="24"/>
                <w:szCs w:val="24"/>
              </w:rPr>
            </w:pPr>
            <w:r>
              <w:rPr>
                <w:rFonts w:hint="eastAsia" w:ascii="宋体" w:hAnsi="宋体" w:cs="宋体"/>
                <w:color w:val="000000"/>
                <w:sz w:val="28"/>
                <w:szCs w:val="28"/>
                <w:lang w:val="en-US" w:eastAsia="zh-CN"/>
              </w:rPr>
              <w:t xml:space="preserve">   </w:t>
            </w:r>
            <w:r>
              <w:rPr>
                <w:rFonts w:ascii="宋体" w:hAnsi="宋体" w:cs="宋体"/>
                <w:color w:val="000000"/>
                <w:kern w:val="0"/>
                <w:sz w:val="24"/>
                <w:szCs w:val="24"/>
              </w:rPr>
              <w:t xml:space="preserve">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w:t>
            </w:r>
            <w:r>
              <w:rPr>
                <w:rFonts w:hint="eastAsia" w:ascii="宋体" w:hAnsi="宋体" w:cs="宋体"/>
                <w:color w:val="000000"/>
                <w:kern w:val="0"/>
                <w:sz w:val="24"/>
                <w:szCs w:val="24"/>
                <w:lang w:eastAsia="zh-CN"/>
              </w:rPr>
              <w:t>供应商提供的</w:t>
            </w:r>
            <w:r>
              <w:rPr>
                <w:rFonts w:ascii="宋体" w:hAnsi="宋体" w:cs="宋体"/>
                <w:color w:val="000000"/>
                <w:kern w:val="0"/>
                <w:sz w:val="24"/>
                <w:szCs w:val="24"/>
              </w:rPr>
              <w:t>产品须符合无线局域网 GB15629.11</w:t>
            </w:r>
            <w:r>
              <w:rPr>
                <w:rFonts w:hint="eastAsia" w:ascii="宋体" w:hAnsi="宋体" w:cs="宋体"/>
                <w:color w:val="000000"/>
                <w:kern w:val="0"/>
                <w:sz w:val="24"/>
                <w:szCs w:val="24"/>
              </w:rPr>
              <w:t>系列国家标准的相关要求。</w:t>
            </w:r>
            <w:r>
              <w:rPr>
                <w:rFonts w:hint="eastAsia" w:ascii="宋体" w:hAnsi="宋体" w:cs="宋体"/>
                <w:color w:val="000000"/>
                <w:kern w:val="0"/>
                <w:sz w:val="24"/>
                <w:szCs w:val="24"/>
                <w:lang w:eastAsia="zh-CN"/>
              </w:rPr>
              <w:t>（实质性要求）</w:t>
            </w:r>
          </w:p>
          <w:p>
            <w:pPr>
              <w:tabs>
                <w:tab w:val="left" w:pos="7665"/>
              </w:tabs>
              <w:snapToGrid w:val="0"/>
              <w:rPr>
                <w:rFonts w:hint="eastAsia" w:ascii="宋体" w:hAnsi="宋体"/>
                <w:sz w:val="24"/>
                <w:szCs w:val="24"/>
              </w:rPr>
            </w:pP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lang w:eastAsia="zh-CN"/>
              </w:rPr>
              <w:t>本项目采购的产品属于中国政府采购网公布的《无线局域网认证产品政府采购清单》的，将按照第</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eastAsia="zh-CN"/>
              </w:rPr>
              <w:t>章评分标准的规则进行加分。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682"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ind w:right="210" w:rightChars="100"/>
              <w:rPr>
                <w:sz w:val="24"/>
                <w:szCs w:val="24"/>
                <w:lang w:val="zh-CN"/>
              </w:rPr>
            </w:pPr>
            <w:r>
              <w:rPr>
                <w:rFonts w:hint="eastAsia"/>
                <w:kern w:val="2"/>
                <w:sz w:val="24"/>
                <w:szCs w:val="24"/>
                <w:lang w:val="zh-CN"/>
              </w:rPr>
              <w:t>小微企业价格扣除（监狱企业、残疾人福利性单位视同小微企业）</w:t>
            </w:r>
          </w:p>
        </w:tc>
        <w:tc>
          <w:tcPr>
            <w:tcW w:w="7092" w:type="dxa"/>
            <w:tcBorders>
              <w:top w:val="single" w:color="auto" w:sz="4" w:space="0"/>
              <w:left w:val="single" w:color="auto" w:sz="8" w:space="0"/>
              <w:bottom w:val="single" w:color="auto" w:sz="4" w:space="0"/>
              <w:right w:val="single" w:color="auto" w:sz="18" w:space="0"/>
            </w:tcBorders>
            <w:vAlign w:val="center"/>
          </w:tcPr>
          <w:p>
            <w:pPr>
              <w:tabs>
                <w:tab w:val="left" w:pos="7665"/>
              </w:tabs>
              <w:autoSpaceDE w:val="0"/>
              <w:autoSpaceDN w:val="0"/>
              <w:adjustRightInd w:val="0"/>
              <w:snapToGrid w:val="0"/>
              <w:ind w:right="210" w:rightChars="100"/>
              <w:rPr>
                <w:rFonts w:ascii="宋体" w:hAnsi="宋体" w:cs="宋体"/>
                <w:sz w:val="24"/>
                <w:szCs w:val="24"/>
              </w:rPr>
            </w:pPr>
            <w:r>
              <w:rPr>
                <w:rFonts w:hint="eastAsia" w:ascii="宋体" w:hAnsi="宋体" w:cs="宋体"/>
                <w:b/>
                <w:sz w:val="24"/>
                <w:szCs w:val="24"/>
              </w:rPr>
              <w:t>本项目专门面向中小</w:t>
            </w:r>
            <w:r>
              <w:rPr>
                <w:rFonts w:ascii="宋体" w:hAnsi="宋体" w:cs="宋体"/>
                <w:b/>
                <w:sz w:val="24"/>
                <w:szCs w:val="24"/>
              </w:rPr>
              <w:t>企业，不进行价格扣除</w:t>
            </w:r>
            <w:r>
              <w:rPr>
                <w:rFonts w:ascii="宋体" w:hAnsi="宋体" w:cs="宋体"/>
                <w:sz w:val="24"/>
                <w:szCs w:val="24"/>
              </w:rPr>
              <w:t>。</w:t>
            </w:r>
          </w:p>
          <w:p>
            <w:pPr>
              <w:tabs>
                <w:tab w:val="left" w:pos="7665"/>
              </w:tabs>
              <w:autoSpaceDE w:val="0"/>
              <w:autoSpaceDN w:val="0"/>
              <w:adjustRightInd w:val="0"/>
              <w:snapToGrid w:val="0"/>
              <w:ind w:right="210" w:rightChars="100"/>
              <w:rPr>
                <w:rFonts w:ascii="宋体" w:hAnsi="宋体"/>
                <w:sz w:val="24"/>
                <w:szCs w:val="24"/>
              </w:rPr>
            </w:pPr>
            <w:r>
              <w:rPr>
                <w:rFonts w:ascii="宋体" w:hAnsi="宋体" w:eastAsia="宋体" w:cs="宋体"/>
                <w:sz w:val="24"/>
                <w:szCs w:val="24"/>
                <w:highlight w:val="yellow"/>
              </w:rPr>
              <w:t>供应商填写《中小企业声明函》，应</w:t>
            </w:r>
            <w:r>
              <w:rPr>
                <w:rFonts w:hint="eastAsia" w:ascii="宋体" w:hAnsi="宋体" w:cs="宋体"/>
                <w:sz w:val="24"/>
                <w:szCs w:val="24"/>
                <w:highlight w:val="yellow"/>
                <w:lang w:eastAsia="zh-CN"/>
              </w:rPr>
              <w:t>当</w:t>
            </w:r>
            <w:r>
              <w:rPr>
                <w:rFonts w:ascii="宋体" w:hAnsi="宋体" w:eastAsia="宋体" w:cs="宋体"/>
                <w:sz w:val="24"/>
                <w:szCs w:val="24"/>
                <w:highlight w:val="yellow"/>
              </w:rPr>
              <w:t>把标的物的所有产品（磋商文件涵盖）一一写明，如虚假填写，将承担法律责任。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2" w:hRule="atLeast"/>
          <w:jc w:val="center"/>
        </w:trPr>
        <w:tc>
          <w:tcPr>
            <w:tcW w:w="682" w:type="dxa"/>
            <w:tcBorders>
              <w:top w:val="single" w:color="auto" w:sz="4"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4" w:space="0"/>
              <w:left w:val="single" w:color="auto" w:sz="8" w:space="0"/>
              <w:bottom w:val="single" w:color="auto" w:sz="8" w:space="0"/>
              <w:right w:val="single" w:color="auto" w:sz="8" w:space="0"/>
            </w:tcBorders>
            <w:vAlign w:val="center"/>
          </w:tcPr>
          <w:p>
            <w:pPr>
              <w:pStyle w:val="121"/>
              <w:spacing w:line="360" w:lineRule="auto"/>
              <w:jc w:val="both"/>
              <w:rPr>
                <w:kern w:val="2"/>
                <w:sz w:val="24"/>
                <w:szCs w:val="24"/>
                <w:lang w:val="zh-CN"/>
              </w:rPr>
            </w:pPr>
            <w:r>
              <w:rPr>
                <w:rFonts w:hint="eastAsia"/>
                <w:kern w:val="2"/>
                <w:sz w:val="24"/>
                <w:szCs w:val="24"/>
                <w:lang w:val="zh-CN"/>
              </w:rPr>
              <w:t>磋商保证金</w:t>
            </w:r>
          </w:p>
        </w:tc>
        <w:tc>
          <w:tcPr>
            <w:tcW w:w="7092" w:type="dxa"/>
            <w:tcBorders>
              <w:top w:val="single" w:color="auto" w:sz="4" w:space="0"/>
              <w:left w:val="single" w:color="auto" w:sz="8" w:space="0"/>
              <w:bottom w:val="single" w:color="auto" w:sz="8" w:space="0"/>
              <w:right w:val="single" w:color="auto" w:sz="18" w:space="0"/>
            </w:tcBorders>
            <w:vAlign w:val="center"/>
          </w:tcPr>
          <w:p>
            <w:pPr>
              <w:spacing w:line="360" w:lineRule="auto"/>
              <w:rPr>
                <w:rFonts w:ascii="宋体" w:hAnsi="宋体"/>
                <w:b/>
                <w:sz w:val="24"/>
                <w:szCs w:val="24"/>
              </w:rPr>
            </w:pPr>
            <w:r>
              <w:rPr>
                <w:rFonts w:hint="eastAsia" w:ascii="宋体" w:hAnsi="宋体"/>
                <w:b/>
                <w:sz w:val="24"/>
                <w:szCs w:val="24"/>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sz w:val="24"/>
                <w:szCs w:val="24"/>
                <w:lang w:val="zh-CN"/>
              </w:rPr>
            </w:pPr>
            <w:r>
              <w:rPr>
                <w:rFonts w:hint="eastAsia" w:ascii="宋体" w:hAnsi="宋体" w:cs="宋体"/>
                <w:sz w:val="24"/>
                <w:szCs w:val="24"/>
                <w:lang w:val="zh-CN"/>
              </w:rPr>
              <w:t>履约保证金</w:t>
            </w:r>
          </w:p>
        </w:tc>
        <w:tc>
          <w:tcPr>
            <w:tcW w:w="7092"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b/>
                <w:sz w:val="24"/>
                <w:szCs w:val="24"/>
                <w:lang w:val="zh-CN"/>
              </w:rPr>
            </w:pPr>
            <w:r>
              <w:rPr>
                <w:rFonts w:hint="eastAsia" w:ascii="宋体" w:hAnsi="宋体" w:cs="宋体"/>
                <w:b/>
                <w:sz w:val="24"/>
                <w:szCs w:val="24"/>
                <w:highlight w:val="none"/>
                <w:lang w:val="zh-CN"/>
              </w:rPr>
              <w:t>详见磋商</w:t>
            </w:r>
            <w:r>
              <w:rPr>
                <w:rFonts w:ascii="宋体" w:hAnsi="宋体" w:cs="宋体"/>
                <w:b/>
                <w:sz w:val="24"/>
                <w:szCs w:val="24"/>
                <w:highlight w:val="none"/>
                <w:lang w:val="zh-CN"/>
              </w:rPr>
              <w:t>文件</w:t>
            </w:r>
            <w:r>
              <w:rPr>
                <w:rFonts w:hint="eastAsia" w:ascii="宋体" w:hAnsi="宋体" w:cs="宋体"/>
                <w:b/>
                <w:sz w:val="24"/>
                <w:szCs w:val="24"/>
                <w:highlight w:val="none"/>
                <w:lang w:val="zh-CN"/>
              </w:rPr>
              <w:t>2.</w:t>
            </w:r>
            <w:r>
              <w:rPr>
                <w:rFonts w:hint="eastAsia" w:ascii="宋体" w:hAnsi="宋体" w:cs="宋体"/>
                <w:b/>
                <w:sz w:val="24"/>
                <w:szCs w:val="24"/>
                <w:highlight w:val="none"/>
                <w:lang w:val="en-US" w:eastAsia="zh-CN"/>
              </w:rPr>
              <w:t>8</w:t>
            </w:r>
            <w:r>
              <w:rPr>
                <w:rFonts w:hint="eastAsia" w:ascii="宋体" w:hAnsi="宋体" w:cs="宋体"/>
                <w:b/>
                <w:sz w:val="24"/>
                <w:szCs w:val="24"/>
                <w:highlight w:val="none"/>
                <w:lang w:val="zh-CN"/>
              </w:rPr>
              <w:t>.4。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响应文件的制作、签章和加密</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响应文件的递交</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1</w:t>
            </w:r>
          </w:p>
          <w:p>
            <w:pPr>
              <w:tabs>
                <w:tab w:val="left" w:pos="7665"/>
              </w:tabs>
              <w:snapToGrid w:val="0"/>
              <w:rPr>
                <w:rFonts w:ascii="宋体" w:hAnsi="宋体"/>
                <w:sz w:val="24"/>
                <w:szCs w:val="24"/>
              </w:rPr>
            </w:pPr>
            <w:r>
              <w:rPr>
                <w:rFonts w:hint="eastAsia" w:ascii="宋体" w:hAnsi="宋体"/>
                <w:sz w:val="24"/>
                <w:szCs w:val="24"/>
              </w:rPr>
              <w:t>注：</w:t>
            </w:r>
            <w:r>
              <w:rPr>
                <w:rFonts w:ascii="宋体" w:hAnsi="宋体"/>
                <w:sz w:val="24"/>
                <w:szCs w:val="24"/>
              </w:rPr>
              <w:t>在</w:t>
            </w:r>
            <w:r>
              <w:rPr>
                <w:rFonts w:hint="eastAsia" w:ascii="宋体" w:hAnsi="宋体"/>
                <w:sz w:val="24"/>
                <w:szCs w:val="24"/>
              </w:rPr>
              <w:t>递交</w:t>
            </w:r>
            <w:r>
              <w:rPr>
                <w:rFonts w:ascii="宋体" w:hAnsi="宋体"/>
                <w:sz w:val="24"/>
                <w:szCs w:val="24"/>
              </w:rPr>
              <w:t>响应文件</w:t>
            </w:r>
            <w:r>
              <w:rPr>
                <w:rFonts w:hint="eastAsia" w:ascii="宋体" w:hAnsi="宋体"/>
                <w:sz w:val="24"/>
                <w:szCs w:val="24"/>
              </w:rPr>
              <w:t>截止时间前，供应商使用</w:t>
            </w:r>
            <w:r>
              <w:rPr>
                <w:rFonts w:ascii="宋体" w:hAnsi="宋体"/>
                <w:sz w:val="24"/>
                <w:szCs w:val="24"/>
              </w:rPr>
              <w:t>CA证书</w:t>
            </w:r>
            <w:r>
              <w:rPr>
                <w:rFonts w:hint="eastAsia" w:ascii="宋体" w:hAnsi="宋体"/>
                <w:sz w:val="24"/>
                <w:szCs w:val="24"/>
              </w:rPr>
              <w:t>将响应文件上传至政府</w:t>
            </w:r>
            <w:r>
              <w:rPr>
                <w:rFonts w:ascii="宋体" w:hAnsi="宋体"/>
                <w:sz w:val="24"/>
                <w:szCs w:val="24"/>
              </w:rPr>
              <w:t>采购</w:t>
            </w:r>
            <w:r>
              <w:rPr>
                <w:rFonts w:hint="eastAsia" w:ascii="宋体" w:hAnsi="宋体"/>
                <w:sz w:val="24"/>
                <w:szCs w:val="24"/>
              </w:rPr>
              <w:t>云平台，上传前须对响应文件是否有电子签章等进行核对。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sz w:val="24"/>
                <w:szCs w:val="24"/>
              </w:rPr>
            </w:pPr>
            <w:r>
              <w:rPr>
                <w:rFonts w:hint="eastAsia" w:ascii="宋体" w:hAnsi="宋体"/>
                <w:sz w:val="24"/>
                <w:szCs w:val="24"/>
              </w:rPr>
              <w:t>响应文件的补充、修改和撤回</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详见供应商须知2.4.1</w:t>
            </w:r>
            <w:r>
              <w:rPr>
                <w:rFonts w:ascii="宋体" w:hAnsi="宋体"/>
                <w:sz w:val="24"/>
                <w:szCs w:val="24"/>
              </w:rPr>
              <w:t>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w:t>
            </w:r>
            <w:r>
              <w:rPr>
                <w:rFonts w:ascii="宋体" w:hAnsi="宋体"/>
                <w:color w:val="000000" w:themeColor="text1"/>
                <w:sz w:val="24"/>
                <w:szCs w:val="24"/>
                <w14:textFill>
                  <w14:solidFill>
                    <w14:schemeClr w14:val="tx1"/>
                  </w14:solidFill>
                </w14:textFill>
              </w:rPr>
              <w:t>活动</w:t>
            </w:r>
            <w:r>
              <w:rPr>
                <w:rFonts w:hint="eastAsia" w:ascii="宋体" w:hAnsi="宋体"/>
                <w:color w:val="000000" w:themeColor="text1"/>
                <w:sz w:val="24"/>
                <w:szCs w:val="24"/>
                <w14:textFill>
                  <w14:solidFill>
                    <w14:schemeClr w14:val="tx1"/>
                  </w14:solidFill>
                </w14:textFill>
              </w:rPr>
              <w:t>开启程序</w:t>
            </w:r>
          </w:p>
        </w:tc>
        <w:tc>
          <w:tcPr>
            <w:tcW w:w="7092" w:type="dxa"/>
            <w:tcBorders>
              <w:top w:val="single" w:color="auto" w:sz="8" w:space="0"/>
              <w:left w:val="single" w:color="auto" w:sz="8" w:space="0"/>
              <w:bottom w:val="single" w:color="auto" w:sz="8" w:space="0"/>
              <w:right w:val="single" w:color="auto" w:sz="18" w:space="0"/>
            </w:tcBorders>
            <w:vAlign w:val="center"/>
          </w:tcPr>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详见供应商须知</w:t>
            </w:r>
            <w:r>
              <w:rPr>
                <w:rFonts w:ascii="宋体" w:hAnsi="宋体"/>
                <w:b/>
                <w:color w:val="000000" w:themeColor="text1"/>
                <w:sz w:val="24"/>
                <w:szCs w:val="24"/>
                <w14:textFill>
                  <w14:solidFill>
                    <w14:schemeClr w14:val="tx1"/>
                  </w14:solidFill>
                </w14:textFill>
              </w:rPr>
              <w:t>2.5</w:t>
            </w:r>
            <w:r>
              <w:rPr>
                <w:rFonts w:hint="eastAsia" w:ascii="宋体" w:hAnsi="宋体"/>
                <w:b/>
                <w:color w:val="000000" w:themeColor="text1"/>
                <w:sz w:val="24"/>
                <w:szCs w:val="24"/>
                <w14:textFill>
                  <w14:solidFill>
                    <w14:schemeClr w14:val="tx1"/>
                  </w14:solidFill>
                </w14:textFill>
              </w:rPr>
              <w:t>。</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响应文件解密：开启解密后，供应商应在系统提示的解密开始时间后</w:t>
            </w:r>
            <w:r>
              <w:rPr>
                <w:rFonts w:ascii="宋体" w:hAnsi="宋体"/>
                <w:b/>
                <w:color w:val="000000" w:themeColor="text1"/>
                <w:sz w:val="24"/>
                <w:szCs w:val="24"/>
                <w14:textFill>
                  <w14:solidFill>
                    <w14:schemeClr w14:val="tx1"/>
                  </w14:solidFill>
                </w14:textFill>
              </w:rPr>
              <w:t>60</w:t>
            </w:r>
            <w:r>
              <w:rPr>
                <w:rFonts w:hint="eastAsia" w:ascii="宋体" w:hAnsi="宋体"/>
                <w:b/>
                <w:color w:val="000000" w:themeColor="text1"/>
                <w:sz w:val="24"/>
                <w:szCs w:val="24"/>
                <w14:textFill>
                  <w14:solidFill>
                    <w14:schemeClr w14:val="tx1"/>
                  </w14:solidFill>
                </w14:textFill>
              </w:rPr>
              <w:t>分钟内，使用对响应文件进行加密的CA证书在线完成对供应商递交至政府采购云平台的响应文件的解密。</w:t>
            </w:r>
          </w:p>
          <w:p>
            <w:pPr>
              <w:snapToGrid w:val="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供应商电脑终端等硬件设备和软件系统配置：供应商电脑终端等硬件设备和软件系统配置应符合开标大厅供应商电脑终端配置要求并运行正常，供应商承担因未尽职责产生的不利后果。</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74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240" w:lineRule="exact"/>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olor w:val="000000" w:themeColor="text1"/>
                <w:sz w:val="24"/>
                <w:szCs w:val="24"/>
                <w14:textFill>
                  <w14:solidFill>
                    <w14:schemeClr w14:val="tx1"/>
                  </w14:solidFill>
                </w14:textFill>
              </w:rPr>
            </w:pPr>
            <w:r>
              <w:rPr>
                <w:rFonts w:hint="eastAsia" w:ascii="宋体" w:hAnsi="宋体"/>
                <w:sz w:val="24"/>
                <w:szCs w:val="24"/>
              </w:rPr>
              <w:t>对磋商文件中供应商参加本次政府采购活动应当具备的条件、项目技术、服务、商务及其他要求</w:t>
            </w:r>
            <w:r>
              <w:rPr>
                <w:rFonts w:ascii="宋体" w:hAnsi="宋体"/>
                <w:sz w:val="24"/>
                <w:szCs w:val="24"/>
              </w:rPr>
              <w:t>,评审办法和标准,以及关于资格审查的询问、质疑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对磋商文件中的其他内容、采购过程及成交结果的询问、质疑</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向区政府采购中心提出，并由区政府采购中心按相关规定作出答复（详见供应商须知2.10）。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color w:val="000000" w:themeColor="text1"/>
                <w:sz w:val="24"/>
                <w:szCs w:val="24"/>
                <w14:textFill>
                  <w14:solidFill>
                    <w14:schemeClr w14:val="tx1"/>
                  </w14:solidFill>
                </w14:textFill>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供应商投诉</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投诉受理单位：本项目同级财政部门，即成都市武侯区财政局。</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地 址：成都市武侯区武科西五路360号武侯区市民中心2栋5单元801室</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联系电话：028-85558345</w:t>
            </w:r>
          </w:p>
          <w:p>
            <w:pPr>
              <w:tabs>
                <w:tab w:val="left" w:pos="7665"/>
              </w:tabs>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14:textFill>
                  <w14:solidFill>
                    <w14:schemeClr w14:val="tx1"/>
                  </w14:solidFill>
                </w14:textFill>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spacing w:line="360" w:lineRule="auto"/>
              <w:rPr>
                <w:rFonts w:ascii="宋体" w:hAnsi="宋体"/>
                <w:sz w:val="24"/>
                <w:szCs w:val="24"/>
              </w:rPr>
            </w:pPr>
            <w:r>
              <w:rPr>
                <w:rFonts w:hint="eastAsia" w:ascii="宋体" w:hAnsi="宋体"/>
                <w:sz w:val="24"/>
                <w:szCs w:val="24"/>
              </w:rPr>
              <w:t>响应文件有效期</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递交响应文件的截止之日起</w:t>
            </w:r>
            <w:r>
              <w:rPr>
                <w:rFonts w:ascii="宋体" w:hAnsi="宋体"/>
                <w:sz w:val="24"/>
                <w:szCs w:val="24"/>
              </w:rPr>
              <w:t xml:space="preserve"> 120</w:t>
            </w:r>
            <w:r>
              <w:rPr>
                <w:rFonts w:hint="eastAsia" w:ascii="宋体" w:hAnsi="宋体"/>
                <w:sz w:val="24"/>
                <w:szCs w:val="24"/>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cs="宋体"/>
                <w:sz w:val="24"/>
                <w:szCs w:val="24"/>
                <w:lang w:val="zh-CN"/>
              </w:rPr>
            </w:pPr>
            <w:r>
              <w:rPr>
                <w:rFonts w:hint="eastAsia" w:ascii="宋体" w:hAnsi="宋体" w:cs="宋体"/>
                <w:sz w:val="24"/>
                <w:szCs w:val="24"/>
                <w:lang w:val="zh-CN"/>
              </w:rPr>
              <w:t>评审情况公告</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所有供应商资格性审查情况、响应文件符合性审查情况、采用综合评分法时的得分情况、评审结果等将在“成都市公共资源交易服务中心网”、“四川政府采购网”采购结果公告栏中予以公告。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cs="宋体"/>
                <w:sz w:val="24"/>
                <w:szCs w:val="24"/>
                <w:lang w:val="zh-CN"/>
              </w:rPr>
              <w:t>成交通知书领取</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成交公告在四川政府采购网公告后，成交供应商自行登录政府采购云平台下载成交通知书。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sz w:val="24"/>
                <w:szCs w:val="24"/>
              </w:rPr>
            </w:pPr>
            <w:r>
              <w:rPr>
                <w:rFonts w:hint="eastAsia" w:ascii="宋体" w:hAnsi="宋体"/>
                <w:sz w:val="24"/>
                <w:szCs w:val="24"/>
              </w:rPr>
              <w:t>合同签订地点</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sz w:val="24"/>
                <w:szCs w:val="24"/>
              </w:rPr>
            </w:pPr>
            <w:r>
              <w:rPr>
                <w:rFonts w:hint="eastAsia" w:ascii="宋体" w:hAnsi="宋体"/>
                <w:sz w:val="24"/>
                <w:szCs w:val="24"/>
              </w:rPr>
              <w:t>政府采购合同公告、备案</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政府采购合同签订之日起2个工作日内，采购人将在四川政府采购网公告政府采购合同；疫情防控期间，采购人原则</w:t>
            </w:r>
            <w:r>
              <w:rPr>
                <w:rFonts w:ascii="宋体" w:hAnsi="宋体"/>
                <w:sz w:val="24"/>
                <w:szCs w:val="24"/>
              </w:rPr>
              <w:t>上在5个工作日内</w:t>
            </w:r>
            <w:r>
              <w:rPr>
                <w:rFonts w:hint="eastAsia" w:ascii="宋体" w:hAnsi="宋体"/>
                <w:sz w:val="24"/>
                <w:szCs w:val="24"/>
              </w:rPr>
              <w:t>与</w:t>
            </w:r>
            <w:r>
              <w:rPr>
                <w:rFonts w:ascii="宋体" w:hAnsi="宋体"/>
                <w:sz w:val="24"/>
                <w:szCs w:val="24"/>
              </w:rPr>
              <w:t>供应商签订政府采购合同</w:t>
            </w:r>
            <w:r>
              <w:rPr>
                <w:rFonts w:hint="eastAsia" w:ascii="宋体" w:hAnsi="宋体"/>
                <w:sz w:val="24"/>
                <w:szCs w:val="24"/>
              </w:rPr>
              <w:t>及向本采购项目同级财政部门（即成都市</w:t>
            </w:r>
            <w:r>
              <w:rPr>
                <w:rFonts w:hint="eastAsia" w:ascii="宋体" w:hAnsi="宋体"/>
                <w:sz w:val="24"/>
                <w:szCs w:val="24"/>
                <w:lang w:eastAsia="zh-CN"/>
              </w:rPr>
              <w:t>武侯区</w:t>
            </w:r>
            <w:r>
              <w:rPr>
                <w:rFonts w:hint="eastAsia" w:ascii="宋体" w:hAnsi="宋体"/>
                <w:sz w:val="24"/>
                <w:szCs w:val="24"/>
              </w:rPr>
              <w:t>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682" w:type="dxa"/>
            <w:tcBorders>
              <w:top w:val="single" w:color="auto" w:sz="8" w:space="0"/>
              <w:left w:val="single" w:color="auto" w:sz="18" w:space="0"/>
              <w:bottom w:val="single" w:color="auto" w:sz="8" w:space="0"/>
              <w:right w:val="single" w:color="auto" w:sz="8" w:space="0"/>
            </w:tcBorders>
            <w:vAlign w:val="center"/>
          </w:tcPr>
          <w:p>
            <w:pPr>
              <w:numPr>
                <w:ilvl w:val="0"/>
                <w:numId w:val="10"/>
              </w:numPr>
              <w:snapToGrid w:val="0"/>
              <w:spacing w:after="200" w:line="360" w:lineRule="auto"/>
              <w:ind w:left="420"/>
              <w:jc w:val="center"/>
              <w:rPr>
                <w:rFonts w:ascii="宋体" w:hAnsi="宋体"/>
                <w:sz w:val="24"/>
                <w:szCs w:val="24"/>
              </w:rPr>
            </w:pPr>
          </w:p>
        </w:tc>
        <w:tc>
          <w:tcPr>
            <w:tcW w:w="173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hint="eastAsia" w:ascii="宋体" w:hAnsi="宋体"/>
                <w:sz w:val="24"/>
                <w:szCs w:val="24"/>
              </w:rPr>
            </w:pPr>
            <w:r>
              <w:rPr>
                <w:rFonts w:hint="eastAsia" w:ascii="宋体" w:hAnsi="宋体"/>
                <w:sz w:val="24"/>
                <w:szCs w:val="24"/>
              </w:rPr>
              <w:t>进口产品（如采购内容中涉及货物采购的）</w:t>
            </w:r>
          </w:p>
        </w:tc>
        <w:tc>
          <w:tcPr>
            <w:tcW w:w="7092"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rPr>
                <w:rFonts w:hint="eastAsia" w:ascii="宋体" w:hAnsi="宋体"/>
                <w:sz w:val="24"/>
                <w:szCs w:val="24"/>
              </w:rPr>
            </w:pPr>
            <w:r>
              <w:rPr>
                <w:rFonts w:hint="eastAsia" w:ascii="宋体" w:hAnsi="宋体"/>
                <w:sz w:val="24"/>
                <w:szCs w:val="24"/>
              </w:rPr>
              <w:t>磋商文件中未载明“允许采购进口产品”的产品，拒绝进口产品的报价。磋商文件中载明“允许采购进口产品”的产品，允许国产产品参与竞争。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682" w:type="dxa"/>
            <w:tcBorders>
              <w:top w:val="single" w:color="auto" w:sz="4" w:space="0"/>
              <w:left w:val="single" w:color="auto" w:sz="18" w:space="0"/>
              <w:bottom w:val="single" w:color="auto" w:sz="4" w:space="0"/>
              <w:right w:val="single" w:color="auto" w:sz="8" w:space="0"/>
            </w:tcBorders>
            <w:vAlign w:val="center"/>
          </w:tcPr>
          <w:p>
            <w:pPr>
              <w:numPr>
                <w:ilvl w:val="0"/>
                <w:numId w:val="10"/>
              </w:numPr>
              <w:snapToGrid w:val="0"/>
              <w:spacing w:after="200" w:line="360" w:lineRule="auto"/>
              <w:ind w:left="0" w:firstLine="0"/>
              <w:jc w:val="center"/>
              <w:rPr>
                <w:rFonts w:ascii="宋体" w:hAnsi="宋体"/>
                <w:sz w:val="24"/>
                <w:szCs w:val="24"/>
              </w:rPr>
            </w:pPr>
          </w:p>
        </w:tc>
        <w:tc>
          <w:tcPr>
            <w:tcW w:w="8828"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rPr>
                <w:rFonts w:ascii="宋体" w:hAnsi="宋体"/>
                <w:sz w:val="24"/>
                <w:szCs w:val="24"/>
              </w:rPr>
            </w:pPr>
            <w:r>
              <w:rPr>
                <w:rFonts w:hint="eastAsia" w:ascii="宋体" w:hAnsi="宋体"/>
                <w:sz w:val="24"/>
                <w:szCs w:val="24"/>
              </w:rPr>
              <w:t>采购人可以要求参加本项目采购的供应商提供有关资质证明文件和业绩情况，并根据《中华人民共和国政府采购法》规定的供应商条件和采购项目对供应商的特定要求，对供应商的资格进行审查。</w:t>
            </w:r>
          </w:p>
        </w:tc>
      </w:tr>
    </w:tbl>
    <w:p>
      <w:pPr>
        <w:pStyle w:val="5"/>
        <w:numPr>
          <w:ilvl w:val="1"/>
          <w:numId w:val="5"/>
        </w:numPr>
        <w:tabs>
          <w:tab w:val="left" w:pos="426"/>
          <w:tab w:val="left" w:pos="567"/>
        </w:tabs>
        <w:spacing w:before="0" w:after="200"/>
        <w:ind w:left="1985" w:hanging="1985"/>
        <w:jc w:val="both"/>
        <w:rPr>
          <w:sz w:val="24"/>
          <w:szCs w:val="24"/>
        </w:rPr>
      </w:pPr>
      <w:bookmarkStart w:id="9" w:name="_Toc494095619"/>
      <w:bookmarkEnd w:id="9"/>
      <w:bookmarkStart w:id="10" w:name="_Toc494356973"/>
      <w:bookmarkEnd w:id="10"/>
      <w:bookmarkStart w:id="11" w:name="_Toc79742120"/>
      <w:bookmarkStart w:id="12" w:name="_Toc58943326"/>
      <w:r>
        <w:rPr>
          <w:rFonts w:hint="eastAsia"/>
          <w:sz w:val="24"/>
          <w:szCs w:val="24"/>
        </w:rPr>
        <w:t>总则</w:t>
      </w:r>
      <w:bookmarkEnd w:id="11"/>
      <w:bookmarkEnd w:id="12"/>
    </w:p>
    <w:p>
      <w:pPr>
        <w:pStyle w:val="6"/>
        <w:numPr>
          <w:ilvl w:val="2"/>
          <w:numId w:val="5"/>
        </w:numPr>
        <w:spacing w:after="200"/>
        <w:ind w:left="0" w:firstLine="0"/>
        <w:rPr>
          <w:color w:val="auto"/>
          <w:sz w:val="24"/>
          <w:szCs w:val="24"/>
        </w:rPr>
      </w:pPr>
      <w:r>
        <w:rPr>
          <w:rFonts w:hint="eastAsia"/>
          <w:color w:val="auto"/>
          <w:sz w:val="24"/>
          <w:szCs w:val="24"/>
        </w:rPr>
        <w:t>适用范围</w:t>
      </w:r>
      <w:bookmarkEnd w:id="4"/>
      <w:bookmarkEnd w:id="5"/>
    </w:p>
    <w:p>
      <w:pPr>
        <w:numPr>
          <w:ilvl w:val="0"/>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本</w:t>
      </w:r>
      <w:r>
        <w:rPr>
          <w:rFonts w:hint="eastAsia" w:ascii="宋体" w:hAnsi="宋体"/>
          <w:color w:val="000000" w:themeColor="text1"/>
          <w:sz w:val="24"/>
          <w:szCs w:val="24"/>
          <w14:textFill>
            <w14:solidFill>
              <w14:schemeClr w14:val="tx1"/>
            </w14:solidFill>
          </w14:textFill>
        </w:rPr>
        <w:t>磋商文件仅适用于本竞争性磋商邀请中所叙述项目的采购。</w:t>
      </w:r>
    </w:p>
    <w:p>
      <w:pPr>
        <w:numPr>
          <w:ilvl w:val="0"/>
          <w:numId w:val="11"/>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本磋商文件的最终解释权属于采购人与区政府采购中心。磋商文件中供应商参加本次政府采购活动应当具备的条件，项目技术</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服务、商务及其他要求以及评审办法及标准由采购人负责解释。磋商文件其他内容由区政府采购中心负责解释。</w:t>
      </w:r>
    </w:p>
    <w:p>
      <w:pPr>
        <w:pStyle w:val="6"/>
        <w:numPr>
          <w:ilvl w:val="2"/>
          <w:numId w:val="5"/>
        </w:numPr>
        <w:spacing w:after="200"/>
        <w:ind w:left="0" w:firstLine="0"/>
        <w:rPr>
          <w:color w:val="auto"/>
          <w:sz w:val="24"/>
          <w:szCs w:val="24"/>
        </w:rPr>
      </w:pPr>
      <w:bookmarkStart w:id="13" w:name="_Toc287623639"/>
      <w:r>
        <w:rPr>
          <w:rFonts w:hint="eastAsia"/>
          <w:color w:val="auto"/>
          <w:sz w:val="24"/>
          <w:szCs w:val="24"/>
        </w:rPr>
        <w:t>有关定义</w:t>
      </w:r>
      <w:bookmarkEnd w:id="13"/>
    </w:p>
    <w:p>
      <w:pPr>
        <w:numPr>
          <w:ilvl w:val="0"/>
          <w:numId w:val="12"/>
        </w:numPr>
        <w:tabs>
          <w:tab w:val="left" w:pos="1130"/>
          <w:tab w:val="left" w:pos="1200"/>
        </w:tabs>
        <w:spacing w:after="200" w:line="360" w:lineRule="exact"/>
        <w:ind w:left="420" w:leftChars="0" w:firstLine="140" w:firstLineChars="0"/>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sz w:val="24"/>
          <w:szCs w:val="24"/>
          <w:u w:val="single"/>
        </w:rPr>
        <w:t>成都市弟维小学</w:t>
      </w:r>
      <w:r>
        <w:rPr>
          <w:rFonts w:hint="eastAsia" w:ascii="宋体" w:hAnsi="宋体"/>
          <w:color w:val="000000" w:themeColor="text1"/>
          <w:sz w:val="24"/>
          <w:szCs w:val="24"/>
          <w14:textFill>
            <w14:solidFill>
              <w14:schemeClr w14:val="tx1"/>
            </w14:solidFill>
          </w14:textFill>
        </w:rPr>
        <w:t>。</w:t>
      </w:r>
    </w:p>
    <w:p>
      <w:pPr>
        <w:numPr>
          <w:ilvl w:val="0"/>
          <w:numId w:val="12"/>
        </w:numPr>
        <w:tabs>
          <w:tab w:val="left" w:pos="709"/>
          <w:tab w:val="left" w:pos="1130"/>
          <w:tab w:val="left" w:pos="1200"/>
          <w:tab w:val="clear" w:pos="420"/>
        </w:tabs>
        <w:spacing w:after="200" w:line="360" w:lineRule="exact"/>
        <w:ind w:left="0" w:firstLine="567"/>
        <w:rPr>
          <w:rFonts w:ascii="宋体" w:hAnsi="宋体"/>
          <w:sz w:val="24"/>
          <w:szCs w:val="24"/>
        </w:rPr>
      </w:pPr>
      <w:r>
        <w:rPr>
          <w:rFonts w:hint="eastAsia" w:ascii="宋体" w:hAnsi="宋体"/>
          <w:sz w:val="24"/>
          <w:szCs w:val="24"/>
        </w:rPr>
        <w:t>“供应商”系指按照竞争性磋商文件“竞争性磋商邀请”中第六、七、八条规定获取了采购文件拟参加竞争性磋商和向采购人提供服务的供应商。“乙方”系指本项目的成交供应商。</w:t>
      </w:r>
    </w:p>
    <w:p>
      <w:pPr>
        <w:numPr>
          <w:ilvl w:val="0"/>
          <w:numId w:val="12"/>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本磋商文件各部分规定的期间以时、日、月、年计算。期间开始的时和日，不计算在期间内，从次日开始计算。期间届满的最后一天是法定节假日的，以法定节假日后的第一日为期间届满的日期。</w:t>
      </w:r>
    </w:p>
    <w:p>
      <w:pPr>
        <w:numPr>
          <w:ilvl w:val="0"/>
          <w:numId w:val="12"/>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磋商文件中所称的“以上”、“以下”、“内”、“以内”，包括本数；所称的“不足”，不包括本数。</w:t>
      </w:r>
    </w:p>
    <w:p>
      <w:pPr>
        <w:numPr>
          <w:ilvl w:val="0"/>
          <w:numId w:val="12"/>
        </w:numPr>
        <w:tabs>
          <w:tab w:val="left" w:pos="1130"/>
          <w:tab w:val="left" w:pos="1200"/>
        </w:tabs>
        <w:spacing w:after="200" w:line="360" w:lineRule="exact"/>
        <w:ind w:left="0" w:firstLine="513" w:firstLineChars="214"/>
        <w:rPr>
          <w:rFonts w:ascii="宋体" w:hAnsi="宋体"/>
          <w:sz w:val="24"/>
          <w:szCs w:val="24"/>
        </w:rPr>
      </w:pPr>
      <w:r>
        <w:rPr>
          <w:rFonts w:hint="eastAsia" w:ascii="宋体" w:hAnsi="宋体"/>
          <w:sz w:val="24"/>
          <w:szCs w:val="24"/>
        </w:rPr>
        <w:t>重大违法记录是指供应商因违法经营受到刑事处罚或者责令停产停业、吊销许可证或者执照、较大数额罚款等行政处罚。</w:t>
      </w:r>
    </w:p>
    <w:p>
      <w:pPr>
        <w:numPr>
          <w:ilvl w:val="0"/>
          <w:numId w:val="12"/>
        </w:numPr>
        <w:tabs>
          <w:tab w:val="left" w:pos="1130"/>
          <w:tab w:val="left" w:pos="1200"/>
          <w:tab w:val="left" w:pos="1843"/>
        </w:tabs>
        <w:spacing w:after="200" w:line="360" w:lineRule="exact"/>
        <w:ind w:left="0" w:firstLine="513" w:firstLineChars="214"/>
        <w:rPr>
          <w:rFonts w:ascii="宋体" w:hAnsi="宋体"/>
          <w:sz w:val="24"/>
          <w:szCs w:val="24"/>
        </w:rPr>
      </w:pPr>
      <w:r>
        <w:rPr>
          <w:rFonts w:hint="eastAsia" w:ascii="宋体" w:hAnsi="宋体"/>
          <w:sz w:val="24"/>
          <w:szCs w:val="24"/>
        </w:rPr>
        <w:t>本</w:t>
      </w:r>
      <w:r>
        <w:rPr>
          <w:rFonts w:ascii="宋体" w:hAnsi="宋体"/>
          <w:sz w:val="24"/>
          <w:szCs w:val="24"/>
        </w:rPr>
        <w:t>项目重大违法记录中的较大数额罚款的具体金额标准：若行政主管部门对较大数额罚款金额标准有明文规定的，以行业行政主管部门规定的较大数额罚款金额标准为准；若行政主管部门对较大数额罚款金额标准未明文规定的，以作出行政处罚机关当地的行政处罚罚款听证标准金额为准。</w:t>
      </w:r>
    </w:p>
    <w:p>
      <w:pPr>
        <w:pStyle w:val="81"/>
        <w:numPr>
          <w:ilvl w:val="0"/>
          <w:numId w:val="12"/>
        </w:numPr>
        <w:tabs>
          <w:tab w:val="left" w:pos="0"/>
          <w:tab w:val="clear" w:pos="420"/>
        </w:tabs>
        <w:spacing w:line="360" w:lineRule="exact"/>
        <w:ind w:left="0" w:firstLine="567" w:firstLineChars="0"/>
        <w:rPr>
          <w:rFonts w:ascii="宋体" w:hAnsi="宋体" w:eastAsia="宋体" w:cs="Times New Roman"/>
          <w:sz w:val="24"/>
          <w:szCs w:val="24"/>
        </w:rPr>
      </w:pPr>
      <w:r>
        <w:rPr>
          <w:rFonts w:hint="eastAsia" w:ascii="宋体" w:hAnsi="宋体" w:eastAsia="宋体" w:cs="Times New Roman"/>
          <w:sz w:val="24"/>
          <w:szCs w:val="24"/>
        </w:rPr>
        <w:t>不见面磋商是指</w:t>
      </w:r>
      <w:r>
        <w:rPr>
          <w:rFonts w:hint="eastAsia" w:ascii="宋体" w:hAnsi="宋体" w:eastAsia="宋体" w:cs="Times New Roman"/>
          <w:color w:val="000000" w:themeColor="text1"/>
          <w:sz w:val="24"/>
          <w:szCs w:val="24"/>
          <w14:textFill>
            <w14:solidFill>
              <w14:schemeClr w14:val="tx1"/>
            </w14:solidFill>
          </w14:textFill>
        </w:rPr>
        <w:t>，区政府采购中心依</w:t>
      </w:r>
      <w:r>
        <w:rPr>
          <w:rFonts w:hint="eastAsia" w:ascii="宋体" w:hAnsi="宋体" w:eastAsia="宋体" w:cs="Times New Roman"/>
          <w:sz w:val="24"/>
          <w:szCs w:val="24"/>
        </w:rPr>
        <w:t>托政府采购云平台组织磋商活动，供应商在线参与磋商的一种组织形式。</w:t>
      </w:r>
    </w:p>
    <w:p>
      <w:pPr>
        <w:pStyle w:val="6"/>
        <w:numPr>
          <w:ilvl w:val="2"/>
          <w:numId w:val="5"/>
        </w:numPr>
        <w:spacing w:after="200"/>
        <w:ind w:left="0" w:firstLine="0"/>
        <w:rPr>
          <w:color w:val="auto"/>
          <w:sz w:val="24"/>
          <w:szCs w:val="24"/>
        </w:rPr>
      </w:pPr>
      <w:r>
        <w:rPr>
          <w:rFonts w:hint="eastAsia"/>
          <w:color w:val="auto"/>
          <w:sz w:val="24"/>
          <w:szCs w:val="24"/>
        </w:rPr>
        <w:t>合格的供应商</w:t>
      </w:r>
    </w:p>
    <w:p>
      <w:pPr>
        <w:tabs>
          <w:tab w:val="left" w:pos="1134"/>
        </w:tabs>
        <w:spacing w:line="3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合格的供应商应具备以下条件：</w:t>
      </w:r>
    </w:p>
    <w:p>
      <w:pPr>
        <w:numPr>
          <w:ilvl w:val="1"/>
          <w:numId w:val="13"/>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符合“竞争性磋商邀请”第四条规定的条件；</w:t>
      </w:r>
    </w:p>
    <w:p>
      <w:pPr>
        <w:numPr>
          <w:ilvl w:val="1"/>
          <w:numId w:val="13"/>
        </w:numPr>
        <w:tabs>
          <w:tab w:val="left" w:pos="1134"/>
        </w:tabs>
        <w:spacing w:after="200" w:line="360" w:lineRule="exact"/>
        <w:ind w:left="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按照竞争性磋商文件“竞争性磋商邀请”中第六、七、八条规定获取了采购文件。</w:t>
      </w:r>
    </w:p>
    <w:p>
      <w:pPr>
        <w:pStyle w:val="6"/>
        <w:numPr>
          <w:ilvl w:val="2"/>
          <w:numId w:val="5"/>
        </w:numPr>
        <w:spacing w:after="200"/>
        <w:ind w:left="0" w:firstLine="0"/>
        <w:rPr>
          <w:color w:val="auto"/>
          <w:sz w:val="24"/>
          <w:szCs w:val="24"/>
        </w:rPr>
      </w:pPr>
      <w:bookmarkStart w:id="14" w:name="_Toc287623640"/>
      <w:bookmarkStart w:id="15" w:name="_Toc320698717"/>
      <w:r>
        <w:rPr>
          <w:rFonts w:hint="eastAsia"/>
          <w:color w:val="auto"/>
          <w:sz w:val="24"/>
          <w:szCs w:val="24"/>
        </w:rPr>
        <w:t>参加竞争性磋商的费用</w:t>
      </w:r>
      <w:bookmarkEnd w:id="14"/>
    </w:p>
    <w:p>
      <w:pPr>
        <w:tabs>
          <w:tab w:val="left" w:pos="7665"/>
        </w:tabs>
        <w:spacing w:line="360" w:lineRule="auto"/>
        <w:ind w:firstLine="567"/>
        <w:rPr>
          <w:rFonts w:ascii="宋体" w:hAnsi="宋体"/>
          <w:sz w:val="24"/>
          <w:szCs w:val="24"/>
        </w:rPr>
      </w:pPr>
      <w:r>
        <w:rPr>
          <w:rFonts w:hint="eastAsia" w:ascii="宋体" w:hAnsi="宋体"/>
          <w:sz w:val="24"/>
          <w:szCs w:val="24"/>
        </w:rPr>
        <w:t>供应商应自行承担参加竞争性磋商采购活动的全部费用。</w:t>
      </w:r>
    </w:p>
    <w:p>
      <w:pPr>
        <w:pStyle w:val="6"/>
        <w:numPr>
          <w:ilvl w:val="2"/>
          <w:numId w:val="5"/>
        </w:numPr>
        <w:spacing w:after="200"/>
        <w:ind w:left="0" w:firstLine="0"/>
        <w:rPr>
          <w:color w:val="auto"/>
          <w:sz w:val="24"/>
          <w:szCs w:val="24"/>
        </w:rPr>
      </w:pPr>
      <w:r>
        <w:rPr>
          <w:rFonts w:hint="eastAsia"/>
          <w:color w:val="auto"/>
          <w:sz w:val="24"/>
          <w:szCs w:val="24"/>
        </w:rPr>
        <w:t>充分、公平竞争保障措施</w:t>
      </w:r>
    </w:p>
    <w:p>
      <w:pPr>
        <w:numPr>
          <w:ilvl w:val="1"/>
          <w:numId w:val="14"/>
        </w:numPr>
        <w:tabs>
          <w:tab w:val="left" w:pos="1134"/>
        </w:tabs>
        <w:spacing w:after="200" w:line="400" w:lineRule="exact"/>
        <w:ind w:left="0" w:firstLine="568"/>
        <w:rPr>
          <w:rFonts w:ascii="宋体" w:hAnsi="宋体"/>
          <w:sz w:val="24"/>
          <w:szCs w:val="24"/>
        </w:rPr>
      </w:pPr>
      <w:r>
        <w:rPr>
          <w:rFonts w:hint="eastAsia" w:ascii="宋体" w:hAnsi="宋体"/>
          <w:sz w:val="24"/>
          <w:szCs w:val="24"/>
        </w:rPr>
        <w:t>单位负责人为同一人或者存在直接控股、管理关系的相关供应商，不得参加同一项目的磋商采购</w:t>
      </w:r>
      <w:r>
        <w:rPr>
          <w:rFonts w:ascii="宋体" w:hAnsi="宋体"/>
          <w:sz w:val="24"/>
          <w:szCs w:val="24"/>
        </w:rPr>
        <w:t>活动</w:t>
      </w:r>
      <w:r>
        <w:rPr>
          <w:rFonts w:hint="eastAsia" w:ascii="宋体" w:hAnsi="宋体"/>
          <w:sz w:val="24"/>
          <w:szCs w:val="24"/>
        </w:rPr>
        <w:t>。</w:t>
      </w:r>
    </w:p>
    <w:p>
      <w:pPr>
        <w:numPr>
          <w:ilvl w:val="1"/>
          <w:numId w:val="14"/>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sz w:val="24"/>
          <w:szCs w:val="24"/>
        </w:rPr>
        <w:t>在确定采购需求、编制采购文件过程中提供咨询论证，其提供的咨询论证意见成为采购文件中规定的供应商资格条件、技术、服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pStyle w:val="5"/>
        <w:numPr>
          <w:ilvl w:val="1"/>
          <w:numId w:val="5"/>
        </w:numPr>
        <w:tabs>
          <w:tab w:val="left" w:pos="426"/>
          <w:tab w:val="left" w:pos="567"/>
        </w:tabs>
        <w:spacing w:before="0" w:after="200"/>
        <w:ind w:left="1985" w:hanging="1985"/>
        <w:jc w:val="both"/>
        <w:rPr>
          <w:sz w:val="24"/>
          <w:szCs w:val="24"/>
        </w:rPr>
      </w:pPr>
      <w:bookmarkStart w:id="16" w:name="_Toc79742121"/>
      <w:bookmarkStart w:id="17" w:name="_Toc58943327"/>
      <w:r>
        <w:rPr>
          <w:rFonts w:hint="eastAsia"/>
          <w:sz w:val="24"/>
          <w:szCs w:val="24"/>
        </w:rPr>
        <w:t>磋商文件</w:t>
      </w:r>
      <w:bookmarkEnd w:id="16"/>
      <w:bookmarkEnd w:id="17"/>
    </w:p>
    <w:p>
      <w:pPr>
        <w:pStyle w:val="6"/>
        <w:numPr>
          <w:ilvl w:val="2"/>
          <w:numId w:val="5"/>
        </w:numPr>
        <w:spacing w:after="200"/>
        <w:ind w:left="0" w:firstLine="0"/>
        <w:rPr>
          <w:color w:val="auto"/>
          <w:sz w:val="24"/>
          <w:szCs w:val="24"/>
        </w:rPr>
      </w:pPr>
      <w:r>
        <w:rPr>
          <w:rFonts w:hint="eastAsia"/>
          <w:color w:val="auto"/>
          <w:sz w:val="24"/>
          <w:szCs w:val="24"/>
        </w:rPr>
        <w:t>磋商文件的构成</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文件是供应商准备响应文件和参加磋商的依据，同时也是评审的重要依据。竞争性磋商文件用以阐明采购项目所需的资质、技术、服务及报价等要求、磋商程序、有关规定和注意事项以及合同草案条款等。本磋商文件包括以下内容：</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（一）竞争性磋商邀请；</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（二）供应商须知；</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（三）响应文件格式；</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（四）技术、服务、商务及其他要求；</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（五）磋商办法；</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（六）合同草案条款。</w:t>
      </w:r>
    </w:p>
    <w:p>
      <w:pPr>
        <w:tabs>
          <w:tab w:val="left" w:pos="1134"/>
        </w:tabs>
        <w:spacing w:line="400" w:lineRule="exact"/>
        <w:ind w:firstLine="480" w:firstLineChars="200"/>
        <w:rPr>
          <w:rFonts w:ascii="宋体" w:hAnsi="宋体"/>
          <w:sz w:val="20"/>
          <w:szCs w:val="21"/>
        </w:rPr>
      </w:pPr>
      <w:r>
        <w:rPr>
          <w:rFonts w:hint="eastAsia" w:ascii="宋体" w:hAnsi="宋体"/>
          <w:sz w:val="24"/>
          <w:szCs w:val="24"/>
        </w:rPr>
        <w:t>二、</w:t>
      </w:r>
      <w:bookmarkEnd w:id="15"/>
      <w:r>
        <w:rPr>
          <w:rFonts w:hint="eastAsia" w:ascii="宋体" w:hAnsi="宋体"/>
          <w:sz w:val="24"/>
          <w:szCs w:val="24"/>
        </w:rPr>
        <w:t>供应商应认真阅读和充分理解竞争性磋商文件中所有的事项、格式条款和规范要求。按照磋商文件的要求提供响应文件，并保证所提供的全部资料的合法性、真实性和有效性，一经发现有虚假行为的，将取消其参加磋商或成交资格，并承担相应的法律责任。供应商没有对竞争性磋商文件全面做出实质性响应所产生的风险由供应商承担。</w:t>
      </w:r>
    </w:p>
    <w:p>
      <w:pPr>
        <w:pStyle w:val="6"/>
        <w:numPr>
          <w:ilvl w:val="2"/>
          <w:numId w:val="5"/>
        </w:numPr>
        <w:spacing w:after="200"/>
        <w:ind w:left="0" w:firstLine="0"/>
        <w:rPr>
          <w:color w:val="auto"/>
          <w:sz w:val="24"/>
          <w:szCs w:val="24"/>
        </w:rPr>
      </w:pPr>
      <w:bookmarkStart w:id="18" w:name="_Toc183582211"/>
      <w:bookmarkStart w:id="19" w:name="_Toc183682348"/>
      <w:bookmarkStart w:id="20" w:name="_Toc217446040"/>
      <w:r>
        <w:rPr>
          <w:rFonts w:hint="eastAsia"/>
          <w:color w:val="auto"/>
          <w:sz w:val="24"/>
          <w:szCs w:val="24"/>
        </w:rPr>
        <w:t>磋商文件的澄清</w:t>
      </w:r>
      <w:bookmarkEnd w:id="18"/>
      <w:bookmarkEnd w:id="19"/>
      <w:r>
        <w:rPr>
          <w:rFonts w:hint="eastAsia"/>
          <w:color w:val="auto"/>
          <w:sz w:val="24"/>
          <w:szCs w:val="24"/>
        </w:rPr>
        <w:t>和修改</w:t>
      </w:r>
      <w:bookmarkEnd w:id="20"/>
    </w:p>
    <w:p>
      <w:pPr>
        <w:numPr>
          <w:ilvl w:val="0"/>
          <w:numId w:val="15"/>
        </w:numPr>
        <w:tabs>
          <w:tab w:val="left" w:pos="1134"/>
        </w:tabs>
        <w:spacing w:after="200" w:line="400" w:lineRule="exact"/>
        <w:ind w:left="0" w:firstLine="560"/>
        <w:rPr>
          <w:rFonts w:ascii="宋体" w:hAnsi="宋体"/>
          <w:sz w:val="24"/>
          <w:szCs w:val="24"/>
        </w:rPr>
      </w:pPr>
      <w:r>
        <w:rPr>
          <w:rFonts w:hint="eastAsia" w:ascii="宋体" w:hAnsi="宋体"/>
          <w:sz w:val="24"/>
          <w:szCs w:val="24"/>
        </w:rPr>
        <w:t>在递交响应文件截止时间前，采购人或者</w:t>
      </w:r>
      <w:r>
        <w:rPr>
          <w:rFonts w:hint="eastAsia" w:cs="Arial"/>
          <w:color w:val="000000" w:themeColor="text1"/>
          <w:sz w:val="24"/>
          <w:szCs w:val="24"/>
          <w14:textFill>
            <w14:solidFill>
              <w14:schemeClr w14:val="tx1"/>
            </w14:solidFill>
          </w14:textFill>
        </w:rPr>
        <w:t>区政府采购中心</w:t>
      </w:r>
      <w:r>
        <w:rPr>
          <w:rFonts w:hint="eastAsia" w:ascii="宋体" w:hAnsi="宋体"/>
          <w:color w:val="000000" w:themeColor="text1"/>
          <w:sz w:val="24"/>
          <w:szCs w:val="24"/>
          <w14:textFill>
            <w14:solidFill>
              <w14:schemeClr w14:val="tx1"/>
            </w14:solidFill>
          </w14:textFill>
        </w:rPr>
        <w:t>可</w:t>
      </w:r>
      <w:r>
        <w:rPr>
          <w:rFonts w:hint="eastAsia" w:ascii="宋体" w:hAnsi="宋体"/>
          <w:sz w:val="24"/>
          <w:szCs w:val="24"/>
        </w:rPr>
        <w:t>以对已发出的磋商文件进行必要的澄清或者修改。</w:t>
      </w:r>
    </w:p>
    <w:p>
      <w:pPr>
        <w:numPr>
          <w:ilvl w:val="0"/>
          <w:numId w:val="15"/>
        </w:numPr>
        <w:tabs>
          <w:tab w:val="left" w:pos="1134"/>
        </w:tabs>
        <w:spacing w:after="200" w:line="400" w:lineRule="exact"/>
        <w:ind w:left="0" w:firstLine="567"/>
        <w:rPr>
          <w:rFonts w:ascii="宋体" w:hAnsi="宋体"/>
          <w:sz w:val="24"/>
          <w:szCs w:val="24"/>
        </w:rPr>
      </w:pPr>
      <w:bookmarkStart w:id="21" w:name="_Toc320698720"/>
      <w:r>
        <w:rPr>
          <w:rFonts w:hint="eastAsia" w:ascii="宋体" w:hAnsi="宋体"/>
          <w:sz w:val="24"/>
          <w:szCs w:val="24"/>
        </w:rPr>
        <w:t>澄清或者修改的内容</w:t>
      </w:r>
      <w:r>
        <w:rPr>
          <w:rFonts w:hint="eastAsia" w:ascii="宋体" w:hAnsi="宋体"/>
          <w:color w:val="000000" w:themeColor="text1"/>
          <w:sz w:val="24"/>
          <w:szCs w:val="24"/>
          <w14:textFill>
            <w14:solidFill>
              <w14:schemeClr w14:val="tx1"/>
            </w14:solidFill>
          </w14:textFill>
        </w:rPr>
        <w:t>，区政府采购中心将</w:t>
      </w:r>
      <w:r>
        <w:rPr>
          <w:rFonts w:hint="eastAsia" w:ascii="宋体" w:hAnsi="宋体"/>
          <w:sz w:val="24"/>
          <w:szCs w:val="24"/>
        </w:rPr>
        <w:t>在“四川政府采购”和“成都市公共资源交易服务中心”网站上发布澄清公告，同时通过政府采购云平台将澄清或者修改的内容告知所有已</w:t>
      </w:r>
      <w:r>
        <w:rPr>
          <w:rFonts w:ascii="宋体" w:hAnsi="宋体"/>
          <w:sz w:val="24"/>
          <w:szCs w:val="24"/>
        </w:rPr>
        <w:t>获取</w:t>
      </w:r>
      <w:r>
        <w:rPr>
          <w:rFonts w:hint="eastAsia" w:ascii="宋体" w:hAnsi="宋体"/>
          <w:sz w:val="24"/>
          <w:szCs w:val="24"/>
        </w:rPr>
        <w:t>采购</w:t>
      </w:r>
      <w:r>
        <w:rPr>
          <w:rFonts w:ascii="宋体" w:hAnsi="宋体"/>
          <w:sz w:val="24"/>
          <w:szCs w:val="24"/>
        </w:rPr>
        <w:t>文件的</w:t>
      </w:r>
      <w:r>
        <w:rPr>
          <w:rFonts w:hint="eastAsia" w:ascii="宋体" w:hAnsi="宋体"/>
          <w:sz w:val="24"/>
          <w:szCs w:val="24"/>
        </w:rPr>
        <w:t>潜在供应商（供应商通过账号或CA证书登录云平台查看），该澄清或者修改的内容为磋商文件的组成部分。</w:t>
      </w:r>
    </w:p>
    <w:p>
      <w:pPr>
        <w:numPr>
          <w:ilvl w:val="0"/>
          <w:numId w:val="15"/>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澄清或者修改的内容可能影</w:t>
      </w:r>
      <w:r>
        <w:rPr>
          <w:rFonts w:hint="eastAsia" w:ascii="宋体" w:hAnsi="宋体"/>
          <w:color w:val="000000" w:themeColor="text1"/>
          <w:sz w:val="24"/>
          <w:szCs w:val="24"/>
          <w14:textFill>
            <w14:solidFill>
              <w14:schemeClr w14:val="tx1"/>
            </w14:solidFill>
          </w14:textFill>
        </w:rPr>
        <w:t>响响应文件编制的，区政府采购中心应当在提交首次响应文件截止时间至少5日前，通过政府采购云平台通知所有已获取采购文件的潜在供应商；不足5日的，采购人或区政府采购中心应当顺延提交首次响应文件截止时间。</w:t>
      </w:r>
    </w:p>
    <w:p>
      <w:pPr>
        <w:pStyle w:val="5"/>
        <w:numPr>
          <w:ilvl w:val="1"/>
          <w:numId w:val="5"/>
        </w:numPr>
        <w:tabs>
          <w:tab w:val="left" w:pos="426"/>
          <w:tab w:val="left" w:pos="567"/>
        </w:tabs>
        <w:spacing w:before="0" w:after="200"/>
        <w:ind w:left="1985" w:hanging="1985"/>
        <w:jc w:val="both"/>
        <w:rPr>
          <w:sz w:val="24"/>
          <w:szCs w:val="24"/>
        </w:rPr>
      </w:pPr>
      <w:bookmarkStart w:id="22" w:name="_Toc58943328"/>
      <w:bookmarkStart w:id="23" w:name="_Toc79742122"/>
      <w:r>
        <w:rPr>
          <w:rFonts w:hint="eastAsia"/>
          <w:sz w:val="24"/>
          <w:szCs w:val="24"/>
        </w:rPr>
        <w:t>响应文件</w:t>
      </w:r>
      <w:bookmarkEnd w:id="21"/>
      <w:bookmarkEnd w:id="22"/>
      <w:bookmarkEnd w:id="23"/>
    </w:p>
    <w:p>
      <w:pPr>
        <w:pStyle w:val="6"/>
        <w:numPr>
          <w:ilvl w:val="2"/>
          <w:numId w:val="5"/>
        </w:numPr>
        <w:spacing w:after="200"/>
        <w:ind w:left="0" w:firstLine="0"/>
        <w:rPr>
          <w:color w:val="auto"/>
          <w:sz w:val="24"/>
          <w:szCs w:val="24"/>
        </w:rPr>
      </w:pPr>
      <w:bookmarkStart w:id="24" w:name="_Toc320698721"/>
      <w:r>
        <w:rPr>
          <w:rFonts w:hint="eastAsia"/>
          <w:color w:val="auto"/>
          <w:sz w:val="24"/>
          <w:szCs w:val="24"/>
        </w:rPr>
        <w:t>响应文件的语言</w:t>
      </w:r>
      <w:bookmarkEnd w:id="24"/>
    </w:p>
    <w:p>
      <w:pPr>
        <w:tabs>
          <w:tab w:val="left" w:pos="1134"/>
        </w:tabs>
        <w:spacing w:line="400" w:lineRule="exact"/>
        <w:ind w:firstLine="480" w:firstLineChars="200"/>
        <w:rPr>
          <w:rFonts w:ascii="宋体" w:hAnsi="宋体"/>
          <w:sz w:val="24"/>
          <w:szCs w:val="24"/>
        </w:rPr>
      </w:pPr>
      <w:r>
        <w:rPr>
          <w:rFonts w:hint="eastAsia" w:ascii="宋体" w:hAnsi="宋体"/>
          <w:sz w:val="24"/>
          <w:szCs w:val="24"/>
        </w:rPr>
        <w:t>一、供应商提交的响应文件以及供应商与磋商小组在评审过程中的所有来往书面文件均须使用中文。响应文件中如附有外文资料，主要部分要对应翻译成中文并附在相关外文资料后面。</w:t>
      </w:r>
    </w:p>
    <w:p>
      <w:pPr>
        <w:tabs>
          <w:tab w:val="left" w:pos="1134"/>
        </w:tabs>
        <w:spacing w:line="400" w:lineRule="exact"/>
        <w:ind w:firstLine="480" w:firstLineChars="200"/>
        <w:rPr>
          <w:rFonts w:ascii="宋体" w:hAnsi="宋体"/>
          <w:sz w:val="24"/>
          <w:szCs w:val="24"/>
        </w:rPr>
      </w:pPr>
      <w:r>
        <w:rPr>
          <w:rFonts w:hint="eastAsia" w:ascii="宋体" w:hAnsi="宋体"/>
          <w:sz w:val="24"/>
          <w:szCs w:val="24"/>
        </w:rPr>
        <w:t>二、翻译的中文资料与外文资料如果出现差异和矛盾时，以中文为准。涉嫌提供虚假材料的按照相关法律法规处理。</w:t>
      </w:r>
    </w:p>
    <w:p>
      <w:pPr>
        <w:spacing w:line="400" w:lineRule="exact"/>
        <w:ind w:firstLine="480" w:firstLineChars="200"/>
        <w:rPr>
          <w:rFonts w:ascii="宋体" w:hAnsi="宋体"/>
          <w:sz w:val="24"/>
          <w:szCs w:val="24"/>
        </w:rPr>
      </w:pPr>
      <w:r>
        <w:rPr>
          <w:rFonts w:hint="eastAsia" w:ascii="宋体" w:hAnsi="宋体"/>
          <w:sz w:val="24"/>
          <w:szCs w:val="24"/>
        </w:rPr>
        <w:t>三、如因未翻译而造成对供应商的不利后果，由供应商承担。</w:t>
      </w:r>
    </w:p>
    <w:p>
      <w:pPr>
        <w:pStyle w:val="6"/>
        <w:numPr>
          <w:ilvl w:val="2"/>
          <w:numId w:val="5"/>
        </w:numPr>
        <w:spacing w:after="200"/>
        <w:ind w:left="0" w:firstLine="0"/>
        <w:rPr>
          <w:color w:val="auto"/>
          <w:sz w:val="24"/>
          <w:szCs w:val="24"/>
        </w:rPr>
      </w:pPr>
      <w:r>
        <w:rPr>
          <w:rFonts w:hint="eastAsia"/>
          <w:color w:val="auto"/>
          <w:sz w:val="24"/>
          <w:szCs w:val="24"/>
        </w:rPr>
        <w:t>计量单位</w:t>
      </w:r>
    </w:p>
    <w:p>
      <w:pPr>
        <w:tabs>
          <w:tab w:val="left" w:pos="1200"/>
        </w:tabs>
        <w:spacing w:line="400" w:lineRule="exact"/>
        <w:ind w:firstLine="480" w:firstLineChars="200"/>
        <w:rPr>
          <w:rFonts w:ascii="宋体" w:hAnsi="宋体"/>
          <w:sz w:val="24"/>
          <w:szCs w:val="24"/>
        </w:rPr>
      </w:pPr>
      <w:r>
        <w:rPr>
          <w:rFonts w:hint="eastAsia" w:ascii="宋体" w:hAnsi="宋体"/>
          <w:sz w:val="24"/>
          <w:szCs w:val="24"/>
        </w:rPr>
        <w:t>除磋商文件中另有规定外，本次采购项目所有合同项下的响应均采用国家法定的计量单位。</w:t>
      </w:r>
    </w:p>
    <w:p>
      <w:pPr>
        <w:pStyle w:val="6"/>
        <w:numPr>
          <w:ilvl w:val="2"/>
          <w:numId w:val="5"/>
        </w:numPr>
        <w:spacing w:after="200"/>
        <w:ind w:left="0" w:firstLine="0"/>
        <w:rPr>
          <w:color w:val="auto"/>
          <w:sz w:val="24"/>
          <w:szCs w:val="24"/>
        </w:rPr>
      </w:pPr>
      <w:bookmarkStart w:id="25" w:name="_Toc320698723"/>
      <w:r>
        <w:rPr>
          <w:rFonts w:hint="eastAsia"/>
          <w:color w:val="auto"/>
          <w:sz w:val="24"/>
          <w:szCs w:val="24"/>
        </w:rPr>
        <w:t>联合体</w:t>
      </w:r>
      <w:bookmarkEnd w:id="25"/>
    </w:p>
    <w:p>
      <w:pPr>
        <w:tabs>
          <w:tab w:val="left" w:pos="1200"/>
        </w:tabs>
        <w:spacing w:line="360" w:lineRule="auto"/>
        <w:ind w:firstLine="484" w:firstLineChars="202"/>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供应商以联合体的形式参加。</w:t>
      </w:r>
    </w:p>
    <w:p>
      <w:pPr>
        <w:pStyle w:val="6"/>
        <w:numPr>
          <w:ilvl w:val="2"/>
          <w:numId w:val="5"/>
        </w:numPr>
        <w:spacing w:after="200"/>
        <w:ind w:left="0" w:firstLine="0"/>
        <w:rPr>
          <w:color w:val="auto"/>
          <w:sz w:val="24"/>
          <w:szCs w:val="24"/>
        </w:rPr>
      </w:pPr>
      <w:bookmarkStart w:id="26" w:name="_Toc217446047"/>
      <w:r>
        <w:rPr>
          <w:rFonts w:hint="eastAsia"/>
          <w:color w:val="auto"/>
          <w:sz w:val="24"/>
          <w:szCs w:val="24"/>
        </w:rPr>
        <w:t>知识产权</w:t>
      </w:r>
      <w:bookmarkEnd w:id="26"/>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一</w:t>
      </w:r>
      <w:r>
        <w:rPr>
          <w:rFonts w:cs="Times New Roman"/>
          <w:kern w:val="2"/>
          <w:sz w:val="24"/>
          <w:szCs w:val="24"/>
        </w:rPr>
        <w:t>、</w:t>
      </w:r>
      <w:r>
        <w:rPr>
          <w:rFonts w:hint="eastAsia" w:cs="Times New Roman"/>
          <w:kern w:val="2"/>
          <w:sz w:val="24"/>
          <w:szCs w:val="24"/>
        </w:rPr>
        <w:t>供应商应保证在本项目中使用的任何技术、产品和服务（含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pStyle w:val="121"/>
        <w:spacing w:line="400" w:lineRule="exact"/>
        <w:ind w:firstLine="480" w:firstLineChars="200"/>
        <w:jc w:val="both"/>
        <w:rPr>
          <w:rFonts w:cs="Times New Roman"/>
          <w:kern w:val="2"/>
          <w:sz w:val="24"/>
          <w:szCs w:val="24"/>
        </w:rPr>
      </w:pPr>
      <w:r>
        <w:rPr>
          <w:rFonts w:hint="eastAsia" w:cs="Times New Roman"/>
          <w:kern w:val="2"/>
          <w:sz w:val="24"/>
          <w:szCs w:val="24"/>
        </w:rPr>
        <w:t>二</w:t>
      </w:r>
      <w:r>
        <w:rPr>
          <w:rFonts w:cs="Times New Roman"/>
          <w:kern w:val="2"/>
          <w:sz w:val="24"/>
          <w:szCs w:val="24"/>
        </w:rPr>
        <w:t>、</w:t>
      </w:r>
      <w:r>
        <w:rPr>
          <w:rFonts w:hint="eastAsia" w:cs="Times New Roman"/>
          <w:kern w:val="2"/>
          <w:sz w:val="24"/>
          <w:szCs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1134"/>
        </w:tabs>
        <w:spacing w:after="200" w:line="400" w:lineRule="exact"/>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w:t>
      </w:r>
      <w:r>
        <w:rPr>
          <w:rFonts w:hint="eastAsia" w:ascii="宋体" w:hAnsi="宋体"/>
          <w:sz w:val="24"/>
          <w:szCs w:val="24"/>
        </w:rPr>
        <w:t>如采用供应商所不拥有的知识产权，则在报价中必须包括合法获取使用该知识产权的相关费用。</w:t>
      </w:r>
    </w:p>
    <w:p>
      <w:pPr>
        <w:pStyle w:val="6"/>
        <w:numPr>
          <w:ilvl w:val="2"/>
          <w:numId w:val="5"/>
        </w:numPr>
        <w:spacing w:after="200"/>
        <w:ind w:left="0" w:firstLine="0"/>
        <w:rPr>
          <w:color w:val="auto"/>
          <w:sz w:val="24"/>
          <w:szCs w:val="24"/>
        </w:rPr>
      </w:pPr>
      <w:bookmarkStart w:id="27" w:name="_Toc320698724"/>
      <w:bookmarkStart w:id="28" w:name="_Toc320698725"/>
      <w:r>
        <w:rPr>
          <w:rFonts w:hint="eastAsia"/>
          <w:color w:val="auto"/>
          <w:sz w:val="24"/>
          <w:szCs w:val="24"/>
        </w:rPr>
        <w:t>响应文件的组成</w:t>
      </w:r>
      <w:bookmarkEnd w:id="27"/>
    </w:p>
    <w:p>
      <w:pPr>
        <w:tabs>
          <w:tab w:val="left" w:pos="1200"/>
        </w:tabs>
        <w:spacing w:line="400" w:lineRule="exact"/>
        <w:ind w:firstLine="484" w:firstLineChars="202"/>
        <w:rPr>
          <w:rFonts w:ascii="宋体" w:hAnsi="宋体"/>
          <w:sz w:val="24"/>
          <w:szCs w:val="24"/>
        </w:rPr>
      </w:pPr>
      <w:r>
        <w:rPr>
          <w:rFonts w:hint="eastAsia" w:ascii="宋体" w:hAnsi="宋体"/>
          <w:sz w:val="24"/>
          <w:szCs w:val="24"/>
        </w:rPr>
        <w:t>供应商应按照磋商文件的规定和要求编制响应文件。供应商编写的响应文件应包括下列部分：</w:t>
      </w:r>
    </w:p>
    <w:p>
      <w:pPr>
        <w:spacing w:line="400" w:lineRule="exact"/>
        <w:ind w:firstLine="484" w:firstLineChars="202"/>
        <w:rPr>
          <w:rFonts w:ascii="宋体" w:hAnsi="宋体"/>
          <w:sz w:val="24"/>
          <w:szCs w:val="24"/>
        </w:rPr>
      </w:pPr>
      <w:r>
        <w:rPr>
          <w:rFonts w:hint="eastAsia" w:ascii="宋体" w:hAnsi="宋体"/>
          <w:sz w:val="24"/>
          <w:szCs w:val="24"/>
        </w:rPr>
        <w:t>一、资格性响应文件：用于磋商小组资格性审查；</w:t>
      </w:r>
    </w:p>
    <w:p>
      <w:pPr>
        <w:spacing w:line="400" w:lineRule="exact"/>
        <w:ind w:firstLine="484" w:firstLineChars="202"/>
        <w:rPr>
          <w:rFonts w:ascii="宋体" w:hAnsi="宋体"/>
          <w:sz w:val="24"/>
          <w:szCs w:val="24"/>
        </w:rPr>
      </w:pPr>
      <w:r>
        <w:rPr>
          <w:rFonts w:hint="eastAsia" w:ascii="宋体" w:hAnsi="宋体"/>
          <w:sz w:val="24"/>
          <w:szCs w:val="24"/>
        </w:rPr>
        <w:t>二、技术、商务性响应文件：用于供应商与磋商小组磋商；</w:t>
      </w:r>
    </w:p>
    <w:p>
      <w:pPr>
        <w:spacing w:line="400" w:lineRule="exact"/>
        <w:ind w:firstLine="484" w:firstLineChars="202"/>
        <w:rPr>
          <w:rFonts w:ascii="宋体" w:hAnsi="宋体"/>
          <w:sz w:val="24"/>
          <w:szCs w:val="24"/>
        </w:rPr>
      </w:pPr>
      <w:r>
        <w:rPr>
          <w:rFonts w:hint="eastAsia" w:ascii="宋体" w:hAnsi="宋体"/>
          <w:sz w:val="24"/>
          <w:szCs w:val="24"/>
        </w:rPr>
        <w:t>三、最后报价文件（按磋商小组的要求提供最后报价）。</w:t>
      </w:r>
    </w:p>
    <w:p>
      <w:pPr>
        <w:pStyle w:val="6"/>
        <w:numPr>
          <w:ilvl w:val="3"/>
          <w:numId w:val="5"/>
        </w:numPr>
        <w:spacing w:after="200"/>
        <w:ind w:left="1843" w:hanging="1843"/>
        <w:rPr>
          <w:color w:val="auto"/>
          <w:sz w:val="24"/>
          <w:szCs w:val="24"/>
        </w:rPr>
      </w:pPr>
      <w:r>
        <w:rPr>
          <w:rFonts w:hint="eastAsia"/>
          <w:color w:val="auto"/>
          <w:sz w:val="24"/>
          <w:szCs w:val="24"/>
        </w:rPr>
        <w:t>资格性响应文件</w:t>
      </w:r>
      <w:bookmarkEnd w:id="28"/>
    </w:p>
    <w:p>
      <w:pPr>
        <w:spacing w:line="400" w:lineRule="exact"/>
        <w:ind w:firstLine="480" w:firstLineChars="200"/>
        <w:rPr>
          <w:rFonts w:ascii="宋体" w:hAnsi="宋体"/>
          <w:sz w:val="24"/>
          <w:szCs w:val="24"/>
        </w:rPr>
      </w:pPr>
      <w:r>
        <w:rPr>
          <w:rFonts w:hint="eastAsia" w:ascii="宋体" w:hAnsi="宋体"/>
          <w:sz w:val="24"/>
          <w:szCs w:val="24"/>
        </w:rPr>
        <w:t>资格性响应文件由以下部分组成：</w:t>
      </w:r>
    </w:p>
    <w:p>
      <w:pPr>
        <w:pStyle w:val="150"/>
        <w:numPr>
          <w:ilvl w:val="0"/>
          <w:numId w:val="16"/>
        </w:numPr>
        <w:tabs>
          <w:tab w:val="left" w:pos="1134"/>
        </w:tabs>
        <w:spacing w:after="200" w:line="400" w:lineRule="exact"/>
        <w:ind w:left="0" w:firstLine="560"/>
        <w:rPr>
          <w:rFonts w:ascii="宋体" w:hAnsi="宋体"/>
          <w:sz w:val="24"/>
          <w:szCs w:val="24"/>
        </w:rPr>
      </w:pPr>
      <w:r>
        <w:rPr>
          <w:rFonts w:hint="eastAsia" w:ascii="宋体" w:hAnsi="宋体"/>
          <w:sz w:val="24"/>
          <w:szCs w:val="24"/>
        </w:rPr>
        <w:t>供应商申明函；</w:t>
      </w:r>
    </w:p>
    <w:p>
      <w:pPr>
        <w:pStyle w:val="150"/>
        <w:numPr>
          <w:ilvl w:val="0"/>
          <w:numId w:val="16"/>
        </w:numPr>
        <w:tabs>
          <w:tab w:val="left" w:pos="1134"/>
        </w:tabs>
        <w:spacing w:after="200" w:line="400" w:lineRule="exact"/>
        <w:ind w:left="0" w:firstLine="560"/>
        <w:rPr>
          <w:rFonts w:ascii="宋体" w:hAnsi="宋体"/>
          <w:sz w:val="24"/>
          <w:szCs w:val="24"/>
        </w:rPr>
      </w:pPr>
      <w:r>
        <w:rPr>
          <w:rFonts w:hint="eastAsia" w:ascii="宋体" w:hAnsi="宋体"/>
          <w:sz w:val="24"/>
          <w:szCs w:val="24"/>
        </w:rPr>
        <w:t>声明；</w:t>
      </w:r>
    </w:p>
    <w:p>
      <w:pPr>
        <w:pStyle w:val="150"/>
        <w:numPr>
          <w:ilvl w:val="0"/>
          <w:numId w:val="16"/>
        </w:numPr>
        <w:tabs>
          <w:tab w:val="left" w:pos="1134"/>
        </w:tabs>
        <w:spacing w:after="200" w:line="400" w:lineRule="exact"/>
        <w:ind w:left="0" w:firstLine="560"/>
        <w:rPr>
          <w:rFonts w:ascii="宋体" w:hAnsi="宋体"/>
          <w:sz w:val="24"/>
          <w:szCs w:val="24"/>
        </w:rPr>
      </w:pPr>
      <w:r>
        <w:rPr>
          <w:rFonts w:hint="eastAsia" w:ascii="宋体" w:hAnsi="宋体"/>
          <w:sz w:val="24"/>
          <w:szCs w:val="24"/>
        </w:rPr>
        <w:t>中小企业声明函（说明：提供了《残疾人福利性单位声明函》或监狱企业证明文件复印件的无需提供）；</w:t>
      </w:r>
    </w:p>
    <w:p>
      <w:pPr>
        <w:pStyle w:val="150"/>
        <w:numPr>
          <w:ilvl w:val="0"/>
          <w:numId w:val="16"/>
        </w:numPr>
        <w:tabs>
          <w:tab w:val="left" w:pos="1134"/>
        </w:tabs>
        <w:spacing w:after="200" w:line="400" w:lineRule="exact"/>
        <w:ind w:left="0" w:firstLine="560"/>
        <w:rPr>
          <w:rFonts w:ascii="宋体" w:hAnsi="宋体"/>
          <w:sz w:val="24"/>
          <w:szCs w:val="24"/>
        </w:rPr>
      </w:pPr>
      <w:r>
        <w:rPr>
          <w:rFonts w:hint="eastAsia" w:ascii="宋体" w:hAnsi="宋体"/>
          <w:sz w:val="24"/>
          <w:szCs w:val="24"/>
        </w:rPr>
        <w:t>残疾人福利性单位声明函（说明：提供了《中小企业声明函》或监狱企业证明文件复印件的无需提供）</w:t>
      </w:r>
      <w:r>
        <w:rPr>
          <w:rFonts w:hint="eastAsia" w:ascii="宋体" w:hAnsi="宋体"/>
          <w:sz w:val="24"/>
          <w:szCs w:val="24"/>
          <w:lang w:eastAsia="zh-CN"/>
        </w:rPr>
        <w:t>；</w:t>
      </w:r>
    </w:p>
    <w:p>
      <w:pPr>
        <w:pStyle w:val="150"/>
        <w:numPr>
          <w:ilvl w:val="0"/>
          <w:numId w:val="16"/>
        </w:numPr>
        <w:tabs>
          <w:tab w:val="left" w:pos="1134"/>
        </w:tabs>
        <w:spacing w:after="200" w:line="400" w:lineRule="exact"/>
        <w:ind w:left="0" w:firstLine="560"/>
        <w:rPr>
          <w:rFonts w:ascii="宋体" w:hAnsi="宋体"/>
          <w:sz w:val="24"/>
          <w:szCs w:val="22"/>
        </w:rPr>
      </w:pPr>
      <w:r>
        <w:rPr>
          <w:rFonts w:hint="eastAsia" w:ascii="宋体" w:hAnsi="宋体"/>
          <w:sz w:val="24"/>
          <w:szCs w:val="22"/>
        </w:rPr>
        <w:t>法定代表人或主要</w:t>
      </w:r>
      <w:r>
        <w:rPr>
          <w:rFonts w:ascii="宋体" w:hAnsi="宋体"/>
          <w:sz w:val="24"/>
          <w:szCs w:val="22"/>
        </w:rPr>
        <w:t>负责人</w:t>
      </w:r>
      <w:r>
        <w:rPr>
          <w:rFonts w:hint="eastAsia" w:ascii="宋体" w:hAnsi="宋体"/>
          <w:sz w:val="24"/>
          <w:szCs w:val="22"/>
        </w:rPr>
        <w:t>身份证明书以及法定代表人或主要负责人身份证复印件（身份证两面均应复印）或护照复印件（说明：（</w:t>
      </w:r>
      <w:r>
        <w:rPr>
          <w:rFonts w:ascii="宋体" w:hAnsi="宋体"/>
          <w:sz w:val="24"/>
          <w:szCs w:val="22"/>
        </w:rPr>
        <w:t>1）供应商的</w:t>
      </w:r>
      <w:r>
        <w:rPr>
          <w:rFonts w:hint="eastAsia" w:ascii="宋体" w:hAnsi="宋体"/>
          <w:sz w:val="24"/>
          <w:szCs w:val="22"/>
        </w:rPr>
        <w:t>法定代表人或主要</w:t>
      </w:r>
      <w:r>
        <w:rPr>
          <w:rFonts w:ascii="宋体" w:hAnsi="宋体"/>
          <w:sz w:val="24"/>
          <w:szCs w:val="22"/>
        </w:rPr>
        <w:t>负责人</w:t>
      </w:r>
      <w:r>
        <w:rPr>
          <w:rFonts w:hint="eastAsia" w:ascii="宋体" w:hAnsi="宋体"/>
          <w:sz w:val="24"/>
          <w:szCs w:val="22"/>
        </w:rPr>
        <w:t>为外籍人士的，则提供护照复印件；（</w:t>
      </w:r>
      <w:r>
        <w:rPr>
          <w:rFonts w:ascii="宋体" w:hAnsi="宋体"/>
          <w:sz w:val="24"/>
          <w:szCs w:val="22"/>
        </w:rPr>
        <w:t>2）</w:t>
      </w:r>
      <w:r>
        <w:rPr>
          <w:rFonts w:hint="eastAsia" w:ascii="宋体" w:hAnsi="宋体"/>
          <w:b/>
          <w:bCs/>
          <w:sz w:val="24"/>
          <w:szCs w:val="22"/>
          <w:lang w:val="zh-CN"/>
        </w:rPr>
        <w:t>主要</w:t>
      </w:r>
      <w:r>
        <w:rPr>
          <w:rFonts w:ascii="宋体" w:hAnsi="宋体"/>
          <w:b/>
          <w:bCs/>
          <w:sz w:val="24"/>
          <w:szCs w:val="22"/>
          <w:lang w:val="zh-CN"/>
        </w:rPr>
        <w:t>负责人为供应商提供的其</w:t>
      </w:r>
      <w:r>
        <w:rPr>
          <w:rFonts w:hint="eastAsia" w:ascii="宋体" w:hAnsi="宋体"/>
          <w:b/>
          <w:bCs/>
          <w:sz w:val="24"/>
          <w:szCs w:val="22"/>
          <w:lang w:val="zh-CN"/>
        </w:rPr>
        <w:t>具有独立承担民事责任能力的</w:t>
      </w:r>
      <w:r>
        <w:rPr>
          <w:rFonts w:ascii="宋体" w:hAnsi="宋体"/>
          <w:b/>
          <w:bCs/>
          <w:sz w:val="24"/>
          <w:szCs w:val="22"/>
          <w:lang w:val="zh-CN"/>
        </w:rPr>
        <w:t>证明材料中</w:t>
      </w:r>
      <w:r>
        <w:rPr>
          <w:rFonts w:hint="eastAsia" w:ascii="宋体" w:hAnsi="宋体"/>
          <w:b/>
          <w:bCs/>
          <w:sz w:val="24"/>
          <w:szCs w:val="22"/>
          <w:lang w:val="zh-CN"/>
        </w:rPr>
        <w:t>的</w:t>
      </w:r>
      <w:r>
        <w:rPr>
          <w:rFonts w:ascii="宋体" w:hAnsi="宋体"/>
          <w:b/>
          <w:bCs/>
          <w:sz w:val="24"/>
          <w:szCs w:val="22"/>
          <w:lang w:val="zh-CN"/>
        </w:rPr>
        <w:t>主要</w:t>
      </w:r>
      <w:r>
        <w:rPr>
          <w:rFonts w:hint="eastAsia" w:ascii="宋体" w:hAnsi="宋体"/>
          <w:b/>
          <w:bCs/>
          <w:sz w:val="24"/>
          <w:szCs w:val="22"/>
          <w:lang w:val="zh-CN"/>
        </w:rPr>
        <w:t>负责</w:t>
      </w:r>
      <w:r>
        <w:rPr>
          <w:rFonts w:ascii="宋体" w:hAnsi="宋体"/>
          <w:b/>
          <w:bCs/>
          <w:sz w:val="24"/>
          <w:szCs w:val="22"/>
          <w:lang w:val="zh-CN"/>
        </w:rPr>
        <w:t>人员</w:t>
      </w:r>
      <w:r>
        <w:rPr>
          <w:rFonts w:hint="eastAsia" w:ascii="宋体" w:hAnsi="宋体"/>
          <w:sz w:val="24"/>
          <w:szCs w:val="22"/>
        </w:rPr>
        <w:t>。</w:t>
      </w:r>
      <w:r>
        <w:rPr>
          <w:rFonts w:hint="eastAsia" w:ascii="宋体" w:hAnsi="宋体"/>
          <w:sz w:val="24"/>
          <w:szCs w:val="22"/>
          <w:lang w:eastAsia="zh-CN"/>
        </w:rPr>
        <w:t>）；</w:t>
      </w:r>
    </w:p>
    <w:p>
      <w:pPr>
        <w:pStyle w:val="150"/>
        <w:numPr>
          <w:ilvl w:val="0"/>
          <w:numId w:val="16"/>
        </w:numPr>
        <w:tabs>
          <w:tab w:val="left" w:pos="1134"/>
        </w:tabs>
        <w:spacing w:after="200" w:line="400" w:lineRule="exact"/>
        <w:ind w:left="0" w:firstLine="560"/>
        <w:rPr>
          <w:rFonts w:ascii="宋体" w:hAnsi="宋体"/>
          <w:sz w:val="24"/>
          <w:szCs w:val="22"/>
        </w:rPr>
      </w:pPr>
      <w:r>
        <w:rPr>
          <w:rFonts w:hint="eastAsia" w:ascii="宋体" w:hAnsi="宋体"/>
          <w:sz w:val="24"/>
          <w:szCs w:val="22"/>
        </w:rPr>
        <w:t>供应商应提交的其他相关资格证明材料：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（一）由省级以上监狱管理局、戒毒管理局（含新疆生产建设兵团）出具的供应商属于监狱企业的证明文件复印件（说明：提供了《中小企业声明函》或《残疾人福利性单位声明函》的不需提供）；</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r>
        <w:rPr>
          <w:rFonts w:ascii="宋体" w:hAnsi="宋体"/>
          <w:b/>
          <w:sz w:val="24"/>
          <w:szCs w:val="24"/>
        </w:rPr>
        <w:t xml:space="preserve"> </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（三）采购人对供应商履行合同所必须的设备和专业技术能力无特殊要求，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供应商可不提供证明材料；</w:t>
      </w:r>
    </w:p>
    <w:p>
      <w:pPr>
        <w:pStyle w:val="150"/>
        <w:numPr>
          <w:ilvl w:val="0"/>
          <w:numId w:val="0"/>
        </w:numPr>
        <w:tabs>
          <w:tab w:val="left" w:pos="1134"/>
        </w:tabs>
        <w:spacing w:after="200" w:line="400" w:lineRule="exact"/>
        <w:ind w:leftChars="200"/>
        <w:rPr>
          <w:rFonts w:ascii="宋体" w:hAnsi="宋体"/>
          <w:sz w:val="24"/>
          <w:szCs w:val="22"/>
        </w:rPr>
      </w:pPr>
      <w:r>
        <w:rPr>
          <w:rFonts w:hint="eastAsia" w:ascii="宋体" w:hAnsi="宋体"/>
          <w:b/>
          <w:sz w:val="24"/>
          <w:szCs w:val="24"/>
        </w:rPr>
        <w:t>（四）采购人对法律、行政法规规定的其他条件无其他特殊要求，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供应商可不提供证明材料</w:t>
      </w:r>
      <w:r>
        <w:rPr>
          <w:rFonts w:hint="eastAsia" w:ascii="宋体" w:hAnsi="宋体"/>
          <w:b/>
          <w:sz w:val="28"/>
          <w:szCs w:val="28"/>
        </w:rPr>
        <w:t>。</w:t>
      </w:r>
    </w:p>
    <w:p>
      <w:pPr>
        <w:pStyle w:val="6"/>
        <w:numPr>
          <w:ilvl w:val="3"/>
          <w:numId w:val="5"/>
        </w:numPr>
        <w:spacing w:after="200"/>
        <w:ind w:left="1843" w:hanging="1843"/>
        <w:rPr>
          <w:color w:val="000000" w:themeColor="text1"/>
          <w:sz w:val="24"/>
          <w:szCs w:val="24"/>
          <w14:textFill>
            <w14:solidFill>
              <w14:schemeClr w14:val="tx1"/>
            </w14:solidFill>
          </w14:textFill>
        </w:rPr>
      </w:pPr>
      <w:bookmarkStart w:id="29" w:name="_Toc320698726"/>
      <w:r>
        <w:rPr>
          <w:rFonts w:hint="eastAsia"/>
          <w:color w:val="000000" w:themeColor="text1"/>
          <w:sz w:val="24"/>
          <w:szCs w:val="24"/>
          <w14:textFill>
            <w14:solidFill>
              <w14:schemeClr w14:val="tx1"/>
            </w14:solidFill>
          </w14:textFill>
        </w:rPr>
        <w:t>技术、商务性响应文件</w:t>
      </w:r>
      <w:bookmarkEnd w:id="29"/>
    </w:p>
    <w:p>
      <w:pPr>
        <w:pStyle w:val="2"/>
        <w:widowControl/>
        <w:numPr>
          <w:ilvl w:val="0"/>
          <w:numId w:val="17"/>
        </w:numPr>
        <w:tabs>
          <w:tab w:val="left" w:pos="1134"/>
        </w:tabs>
        <w:spacing w:after="0" w:line="400" w:lineRule="exact"/>
        <w:ind w:left="0" w:firstLine="567"/>
        <w:jc w:val="left"/>
        <w:rPr>
          <w:rFonts w:ascii="宋体" w:hAnsi="宋体"/>
          <w:sz w:val="24"/>
          <w:szCs w:val="22"/>
        </w:rPr>
      </w:pPr>
      <w:bookmarkStart w:id="30" w:name="_Toc320698727"/>
      <w:r>
        <w:rPr>
          <w:rFonts w:hint="eastAsia" w:ascii="宋体" w:hAnsi="宋体"/>
          <w:sz w:val="24"/>
          <w:szCs w:val="22"/>
        </w:rPr>
        <w:t>报价表；</w:t>
      </w:r>
    </w:p>
    <w:p>
      <w:pPr>
        <w:pStyle w:val="2"/>
        <w:widowControl/>
        <w:numPr>
          <w:ilvl w:val="0"/>
          <w:numId w:val="17"/>
        </w:numPr>
        <w:tabs>
          <w:tab w:val="left" w:pos="1134"/>
        </w:tabs>
        <w:spacing w:after="0" w:line="400" w:lineRule="exact"/>
        <w:jc w:val="left"/>
        <w:rPr>
          <w:rFonts w:ascii="宋体" w:hAnsi="宋体"/>
          <w:sz w:val="24"/>
          <w:szCs w:val="22"/>
        </w:rPr>
      </w:pPr>
      <w:r>
        <w:rPr>
          <w:rFonts w:hint="eastAsia" w:ascii="宋体" w:hAnsi="宋体"/>
          <w:sz w:val="24"/>
          <w:szCs w:val="22"/>
        </w:rPr>
        <w:t>技术参数响应表</w:t>
      </w:r>
    </w:p>
    <w:p>
      <w:pPr>
        <w:pStyle w:val="2"/>
        <w:widowControl/>
        <w:numPr>
          <w:ilvl w:val="0"/>
          <w:numId w:val="17"/>
        </w:numPr>
        <w:tabs>
          <w:tab w:val="left" w:pos="1134"/>
        </w:tabs>
        <w:spacing w:after="0" w:line="400" w:lineRule="exact"/>
        <w:jc w:val="left"/>
        <w:rPr>
          <w:rFonts w:ascii="宋体" w:hAnsi="宋体"/>
          <w:sz w:val="24"/>
          <w:szCs w:val="22"/>
        </w:rPr>
      </w:pPr>
      <w:r>
        <w:rPr>
          <w:rFonts w:hint="eastAsia" w:ascii="宋体" w:hAnsi="宋体"/>
          <w:sz w:val="24"/>
          <w:szCs w:val="22"/>
        </w:rPr>
        <w:t>商务、服务应答表；</w:t>
      </w:r>
    </w:p>
    <w:p>
      <w:pPr>
        <w:pStyle w:val="2"/>
        <w:widowControl/>
        <w:numPr>
          <w:ilvl w:val="0"/>
          <w:numId w:val="17"/>
        </w:numPr>
        <w:tabs>
          <w:tab w:val="left" w:pos="1134"/>
        </w:tabs>
        <w:spacing w:after="0" w:line="400" w:lineRule="exact"/>
        <w:ind w:left="0" w:firstLine="567"/>
        <w:jc w:val="left"/>
        <w:rPr>
          <w:rFonts w:ascii="宋体" w:hAnsi="宋体"/>
          <w:sz w:val="24"/>
          <w:szCs w:val="22"/>
        </w:rPr>
      </w:pPr>
      <w:r>
        <w:rPr>
          <w:rFonts w:hint="eastAsia" w:ascii="宋体" w:hAnsi="宋体"/>
          <w:sz w:val="24"/>
          <w:szCs w:val="22"/>
        </w:rPr>
        <w:t>承诺函；</w:t>
      </w:r>
    </w:p>
    <w:p>
      <w:pPr>
        <w:pStyle w:val="2"/>
        <w:widowControl/>
        <w:numPr>
          <w:ilvl w:val="0"/>
          <w:numId w:val="17"/>
        </w:numPr>
        <w:tabs>
          <w:tab w:val="left" w:pos="1134"/>
        </w:tabs>
        <w:spacing w:after="0" w:line="400" w:lineRule="exact"/>
        <w:ind w:left="0" w:firstLine="567"/>
        <w:jc w:val="left"/>
      </w:pPr>
      <w:r>
        <w:rPr>
          <w:rFonts w:hint="eastAsia" w:ascii="宋体" w:hAnsi="宋体"/>
          <w:sz w:val="24"/>
          <w:szCs w:val="22"/>
        </w:rPr>
        <w:t>供应商基本情况表；</w:t>
      </w:r>
    </w:p>
    <w:p>
      <w:pPr>
        <w:pStyle w:val="6"/>
        <w:numPr>
          <w:ilvl w:val="3"/>
          <w:numId w:val="5"/>
        </w:numPr>
        <w:spacing w:after="200"/>
        <w:ind w:left="1843" w:hanging="1843"/>
        <w:rPr>
          <w:color w:val="auto"/>
          <w:sz w:val="24"/>
          <w:szCs w:val="24"/>
        </w:rPr>
      </w:pPr>
      <w:r>
        <w:rPr>
          <w:rFonts w:hint="eastAsia"/>
          <w:color w:val="auto"/>
          <w:sz w:val="24"/>
          <w:szCs w:val="24"/>
        </w:rPr>
        <w:t>最后报价文件</w:t>
      </w:r>
    </w:p>
    <w:p>
      <w:pPr>
        <w:pStyle w:val="199"/>
        <w:spacing w:line="400" w:lineRule="exact"/>
        <w:ind w:firstLine="550"/>
        <w:rPr>
          <w:b/>
          <w:sz w:val="22"/>
          <w:szCs w:val="22"/>
        </w:rPr>
      </w:pPr>
      <w:r>
        <w:rPr>
          <w:rFonts w:hint="eastAsia" w:ascii="宋体" w:hAnsi="宋体"/>
          <w:sz w:val="24"/>
          <w:szCs w:val="22"/>
        </w:rPr>
        <w:t>参加最后报价的供应商按磋商小组的要求在政府采购云平台中提供最后报价，报价应是包括磋商文件规定的全部相应内容的报价。</w:t>
      </w:r>
    </w:p>
    <w:p>
      <w:pPr>
        <w:pStyle w:val="6"/>
        <w:numPr>
          <w:ilvl w:val="2"/>
          <w:numId w:val="5"/>
        </w:numPr>
        <w:spacing w:after="200"/>
        <w:ind w:left="0" w:firstLine="0"/>
        <w:rPr>
          <w:color w:val="auto"/>
          <w:sz w:val="24"/>
          <w:szCs w:val="24"/>
        </w:rPr>
      </w:pPr>
      <w:r>
        <w:rPr>
          <w:rFonts w:hint="eastAsia"/>
          <w:color w:val="auto"/>
          <w:sz w:val="24"/>
          <w:szCs w:val="24"/>
        </w:rPr>
        <w:t>响应文件格式</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一、供应商应按照竞争性磋商文件第3章中“响应文件格式”填写相关内容。</w:t>
      </w:r>
    </w:p>
    <w:p>
      <w:pPr>
        <w:pStyle w:val="2"/>
        <w:tabs>
          <w:tab w:val="left" w:pos="1134"/>
        </w:tabs>
        <w:spacing w:after="0" w:line="400" w:lineRule="exact"/>
        <w:ind w:firstLine="484" w:firstLineChars="202"/>
        <w:rPr>
          <w:rFonts w:ascii="宋体" w:hAnsi="宋体"/>
          <w:bCs/>
          <w:sz w:val="24"/>
          <w:szCs w:val="24"/>
        </w:rPr>
      </w:pPr>
      <w:r>
        <w:rPr>
          <w:rFonts w:hint="eastAsia" w:ascii="宋体" w:hAnsi="宋体"/>
          <w:bCs/>
          <w:sz w:val="24"/>
          <w:szCs w:val="24"/>
        </w:rPr>
        <w:t>二、对于没有格式要求的响应文件由供应商自行编写。</w:t>
      </w:r>
    </w:p>
    <w:p>
      <w:pPr>
        <w:pStyle w:val="6"/>
        <w:numPr>
          <w:ilvl w:val="2"/>
          <w:numId w:val="5"/>
        </w:numPr>
        <w:spacing w:after="200"/>
        <w:ind w:left="0" w:firstLine="0"/>
        <w:rPr>
          <w:color w:val="auto"/>
          <w:sz w:val="24"/>
          <w:szCs w:val="24"/>
        </w:rPr>
      </w:pPr>
      <w:r>
        <w:rPr>
          <w:rFonts w:hint="eastAsia"/>
          <w:color w:val="auto"/>
          <w:sz w:val="24"/>
          <w:szCs w:val="24"/>
        </w:rPr>
        <w:t>报价</w:t>
      </w:r>
    </w:p>
    <w:p>
      <w:pPr>
        <w:spacing w:line="400" w:lineRule="exact"/>
        <w:ind w:firstLine="480" w:firstLineChars="200"/>
        <w:rPr>
          <w:rFonts w:ascii="宋体" w:hAnsi="宋体"/>
          <w:bCs/>
          <w:sz w:val="24"/>
          <w:szCs w:val="24"/>
        </w:rPr>
      </w:pPr>
      <w:r>
        <w:rPr>
          <w:rFonts w:hint="eastAsia" w:ascii="宋体" w:hAnsi="宋体"/>
          <w:bCs/>
          <w:sz w:val="24"/>
          <w:szCs w:val="24"/>
        </w:rPr>
        <w:t>一</w:t>
      </w:r>
      <w:r>
        <w:rPr>
          <w:rFonts w:ascii="宋体" w:hAnsi="宋体"/>
          <w:bCs/>
          <w:sz w:val="24"/>
          <w:szCs w:val="24"/>
        </w:rPr>
        <w:t>、</w:t>
      </w:r>
      <w:r>
        <w:rPr>
          <w:rFonts w:hint="eastAsia" w:ascii="宋体" w:hAnsi="宋体"/>
          <w:bCs/>
          <w:sz w:val="24"/>
          <w:szCs w:val="24"/>
        </w:rPr>
        <w:t>供应商所有报价一律以人民币报价。</w:t>
      </w:r>
    </w:p>
    <w:p>
      <w:pPr>
        <w:tabs>
          <w:tab w:val="left" w:pos="1134"/>
        </w:tabs>
        <w:spacing w:after="200" w:line="400" w:lineRule="exact"/>
        <w:ind w:firstLine="480" w:firstLineChars="200"/>
        <w:rPr>
          <w:rFonts w:ascii="宋体" w:hAnsi="宋体"/>
          <w:sz w:val="24"/>
          <w:szCs w:val="24"/>
        </w:rPr>
      </w:pPr>
      <w:r>
        <w:rPr>
          <w:rFonts w:hint="eastAsia" w:ascii="宋体" w:hAnsi="宋体"/>
          <w:bCs/>
          <w:sz w:val="24"/>
          <w:szCs w:val="24"/>
        </w:rPr>
        <w:t>二</w:t>
      </w:r>
      <w:r>
        <w:rPr>
          <w:rFonts w:ascii="宋体" w:hAnsi="宋体"/>
          <w:bCs/>
          <w:sz w:val="24"/>
          <w:szCs w:val="24"/>
        </w:rPr>
        <w:t>、</w:t>
      </w:r>
      <w:r>
        <w:rPr>
          <w:rFonts w:hint="eastAsia" w:ascii="宋体" w:hAnsi="宋体"/>
          <w:bCs/>
          <w:sz w:val="24"/>
          <w:szCs w:val="24"/>
        </w:rPr>
        <w:t>供应商的报价是其响应本项目要求的全部工作内容的价格体现，包括供应商完成本项目所需的一切费用。</w:t>
      </w:r>
      <w:bookmarkEnd w:id="30"/>
      <w:bookmarkStart w:id="31" w:name="_Toc320698728"/>
    </w:p>
    <w:p>
      <w:pPr>
        <w:numPr>
          <w:ilvl w:val="2"/>
          <w:numId w:val="5"/>
        </w:numPr>
        <w:tabs>
          <w:tab w:val="left" w:pos="1134"/>
        </w:tabs>
        <w:spacing w:after="200" w:line="360" w:lineRule="auto"/>
        <w:ind w:left="0" w:firstLine="0"/>
        <w:rPr>
          <w:rFonts w:ascii="宋体" w:hAnsi="宋体" w:cs="宋体"/>
          <w:b/>
          <w:bCs/>
          <w:kern w:val="0"/>
          <w:sz w:val="24"/>
          <w:szCs w:val="24"/>
        </w:rPr>
      </w:pPr>
      <w:r>
        <w:rPr>
          <w:rFonts w:hint="eastAsia" w:ascii="宋体" w:hAnsi="宋体" w:cs="宋体"/>
          <w:b/>
          <w:bCs/>
          <w:kern w:val="0"/>
          <w:sz w:val="24"/>
          <w:szCs w:val="24"/>
        </w:rPr>
        <w:t>磋商保证金</w:t>
      </w:r>
    </w:p>
    <w:p>
      <w:pPr>
        <w:spacing w:line="360" w:lineRule="auto"/>
        <w:ind w:firstLine="480" w:firstLineChars="200"/>
        <w:rPr>
          <w:rFonts w:ascii="宋体" w:hAnsi="宋体"/>
          <w:bCs/>
          <w:sz w:val="24"/>
          <w:szCs w:val="24"/>
        </w:rPr>
      </w:pPr>
      <w:r>
        <w:rPr>
          <w:rFonts w:hint="eastAsia" w:ascii="宋体" w:hAnsi="宋体"/>
          <w:bCs/>
          <w:sz w:val="24"/>
          <w:szCs w:val="24"/>
        </w:rPr>
        <w:t>本项目不收取磋商保证金。</w:t>
      </w:r>
    </w:p>
    <w:p>
      <w:pPr>
        <w:pStyle w:val="6"/>
        <w:numPr>
          <w:ilvl w:val="2"/>
          <w:numId w:val="5"/>
        </w:numPr>
        <w:spacing w:after="200"/>
        <w:ind w:left="0" w:firstLine="0"/>
        <w:rPr>
          <w:color w:val="auto"/>
          <w:sz w:val="24"/>
          <w:szCs w:val="24"/>
        </w:rPr>
      </w:pPr>
      <w:r>
        <w:rPr>
          <w:rFonts w:hint="eastAsia"/>
          <w:color w:val="auto"/>
          <w:sz w:val="24"/>
          <w:szCs w:val="24"/>
        </w:rPr>
        <w:t>响应文件有效期</w:t>
      </w:r>
      <w:bookmarkEnd w:id="31"/>
    </w:p>
    <w:p>
      <w:pPr>
        <w:pStyle w:val="81"/>
        <w:widowControl/>
        <w:numPr>
          <w:ilvl w:val="0"/>
          <w:numId w:val="18"/>
        </w:numPr>
        <w:tabs>
          <w:tab w:val="left" w:pos="1134"/>
        </w:tabs>
        <w:spacing w:after="200" w:line="400" w:lineRule="exact"/>
        <w:ind w:left="0" w:firstLine="566" w:firstLineChars="0"/>
        <w:jc w:val="distribute"/>
        <w:rPr>
          <w:rFonts w:ascii="宋体" w:hAnsi="宋体" w:eastAsia="宋体"/>
          <w:sz w:val="24"/>
          <w:szCs w:val="24"/>
        </w:rPr>
      </w:pPr>
      <w:r>
        <w:rPr>
          <w:rFonts w:hint="eastAsia" w:ascii="宋体" w:hAnsi="宋体" w:eastAsia="宋体"/>
          <w:sz w:val="24"/>
          <w:szCs w:val="24"/>
        </w:rPr>
        <w:t>响应文件有效期为递交响应文件截止之日起</w:t>
      </w:r>
      <w:r>
        <w:rPr>
          <w:rFonts w:hint="eastAsia" w:ascii="宋体" w:hAnsi="宋体" w:eastAsia="宋体"/>
          <w:sz w:val="24"/>
          <w:szCs w:val="24"/>
          <w:u w:val="single"/>
        </w:rPr>
        <w:t>120</w:t>
      </w:r>
      <w:r>
        <w:rPr>
          <w:rFonts w:hint="eastAsia" w:ascii="宋体" w:hAnsi="宋体" w:eastAsia="宋体"/>
          <w:sz w:val="24"/>
          <w:szCs w:val="24"/>
        </w:rPr>
        <w:t>天。响应文件有效期短于此规定期限或不作响应的，其响应文件将按无效响应文件处理。</w:t>
      </w:r>
    </w:p>
    <w:p>
      <w:pPr>
        <w:pStyle w:val="81"/>
        <w:widowControl/>
        <w:numPr>
          <w:ilvl w:val="0"/>
          <w:numId w:val="18"/>
        </w:numPr>
        <w:tabs>
          <w:tab w:val="left" w:pos="1134"/>
        </w:tabs>
        <w:spacing w:after="200" w:line="400" w:lineRule="exact"/>
        <w:ind w:left="0" w:firstLine="566" w:firstLineChars="0"/>
        <w:rPr>
          <w:rFonts w:ascii="宋体" w:hAnsi="宋体" w:eastAsia="宋体"/>
          <w:sz w:val="24"/>
          <w:szCs w:val="24"/>
        </w:rPr>
      </w:pPr>
      <w:r>
        <w:rPr>
          <w:rFonts w:hint="eastAsia" w:ascii="宋体" w:hAnsi="宋体" w:eastAsia="宋体"/>
          <w:sz w:val="24"/>
          <w:szCs w:val="24"/>
        </w:rPr>
        <w:t>特殊情况下，采购人可于响应文件有效期满之前要求供应商同意延长有效期，要求与答复均应为书面形式。供应商可以拒绝上述要求。供应商同意延长响应文件有效期的，不得修改其响应文件。</w:t>
      </w:r>
    </w:p>
    <w:p>
      <w:pPr>
        <w:pStyle w:val="6"/>
        <w:numPr>
          <w:ilvl w:val="2"/>
          <w:numId w:val="5"/>
        </w:numPr>
        <w:spacing w:after="200" w:line="400" w:lineRule="exact"/>
        <w:ind w:left="0" w:firstLine="0"/>
        <w:rPr>
          <w:color w:val="auto"/>
          <w:sz w:val="24"/>
          <w:szCs w:val="24"/>
        </w:rPr>
      </w:pPr>
      <w:bookmarkStart w:id="32" w:name="_Toc320698729"/>
      <w:bookmarkStart w:id="33" w:name="_Toc320698730"/>
      <w:r>
        <w:rPr>
          <w:rFonts w:hint="eastAsia"/>
          <w:color w:val="auto"/>
          <w:sz w:val="24"/>
          <w:szCs w:val="24"/>
        </w:rPr>
        <w:t>响应文件的制作</w:t>
      </w:r>
      <w:r>
        <w:rPr>
          <w:color w:val="auto"/>
          <w:sz w:val="24"/>
          <w:szCs w:val="24"/>
        </w:rPr>
        <w:t>、</w:t>
      </w:r>
      <w:r>
        <w:rPr>
          <w:rFonts w:hint="eastAsia"/>
          <w:color w:val="auto"/>
          <w:sz w:val="24"/>
          <w:szCs w:val="24"/>
        </w:rPr>
        <w:t>签章和加密</w:t>
      </w:r>
    </w:p>
    <w:p>
      <w:pPr>
        <w:spacing w:line="400" w:lineRule="exact"/>
        <w:ind w:firstLine="480" w:firstLineChars="200"/>
        <w:rPr>
          <w:rFonts w:ascii="宋体" w:hAnsi="宋体"/>
          <w:sz w:val="24"/>
          <w:szCs w:val="24"/>
        </w:rPr>
      </w:pPr>
      <w:r>
        <w:rPr>
          <w:rFonts w:hint="eastAsia" w:ascii="宋体" w:hAnsi="宋体"/>
          <w:sz w:val="24"/>
          <w:szCs w:val="24"/>
        </w:rPr>
        <w:t>一、响应文件应根据磋商文件的要求进行制作。（说明：1、响应文件中要求提供复印件证明材料的，包含提供原件的影印件或复印件。2、要求提供复印件的证明材料须清晰可辨。）</w:t>
      </w:r>
    </w:p>
    <w:p>
      <w:pPr>
        <w:spacing w:line="400" w:lineRule="exact"/>
        <w:ind w:firstLine="480" w:firstLineChars="200"/>
        <w:rPr>
          <w:rFonts w:ascii="宋体" w:hAnsi="宋体"/>
          <w:sz w:val="24"/>
          <w:szCs w:val="24"/>
        </w:rPr>
      </w:pPr>
      <w:r>
        <w:rPr>
          <w:rFonts w:hint="eastAsia" w:ascii="宋体" w:hAnsi="宋体"/>
          <w:sz w:val="24"/>
          <w:szCs w:val="24"/>
        </w:rPr>
        <w:t>二、响应文件制作详情：</w:t>
      </w:r>
    </w:p>
    <w:p>
      <w:pPr>
        <w:spacing w:line="400" w:lineRule="exact"/>
        <w:ind w:firstLine="480" w:firstLineChars="200"/>
        <w:rPr>
          <w:rFonts w:hint="eastAsia" w:ascii="宋体" w:hAnsi="宋体"/>
          <w:sz w:val="24"/>
          <w:szCs w:val="24"/>
        </w:rPr>
      </w:pPr>
      <w:r>
        <w:rPr>
          <w:rFonts w:hint="eastAsia" w:ascii="宋体" w:hAnsi="宋体"/>
          <w:sz w:val="24"/>
          <w:szCs w:val="24"/>
        </w:rPr>
        <w:t>1、本项目实行电子采购。供应商应先安装“政采云投标客户端”（下载地址1：前往成都市公共资源交易服务中心门户网站（https://www.cdggzy.com/）—业务办理—下载专区—政府采购下载专区下载“政采云投标客户端”；下载地址2：https://customer.zcygov.cn/CA-driver-download?utm=web-ca-front.3ddc8fbb.0.0.3a16b7402a4511ec900b6349b129e0db。供应商人应按响应文件要求，通过“政采云投标客户端”制作、加密并提交响应文件。</w:t>
      </w:r>
    </w:p>
    <w:p>
      <w:pPr>
        <w:spacing w:line="40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b/>
          <w:sz w:val="24"/>
          <w:szCs w:val="24"/>
        </w:rPr>
        <w:t>响应文件应加盖有供应商（法定名称）的电子签章，不得使用供应商专用章（如经济合同章、投标专用章等）或下属单位印章代替</w:t>
      </w:r>
      <w:r>
        <w:rPr>
          <w:rFonts w:hint="eastAsia" w:ascii="宋体" w:hAnsi="宋体"/>
          <w:sz w:val="24"/>
          <w:szCs w:val="24"/>
        </w:rPr>
        <w:t>。</w:t>
      </w:r>
    </w:p>
    <w:p>
      <w:pPr>
        <w:pStyle w:val="2"/>
        <w:ind w:left="0" w:leftChars="0" w:firstLine="547" w:firstLineChars="228"/>
        <w:rPr>
          <w:rFonts w:hint="eastAsia" w:ascii="宋体" w:hAnsi="宋体"/>
          <w:sz w:val="24"/>
          <w:szCs w:val="24"/>
        </w:rPr>
      </w:pPr>
      <w:r>
        <w:rPr>
          <w:rFonts w:hint="eastAsia" w:ascii="宋体" w:hAnsi="宋体"/>
          <w:sz w:val="24"/>
          <w:szCs w:val="24"/>
        </w:rPr>
        <w:t>3、供应商应使用本企业CA数字证书对响应文件进行加密。</w:t>
      </w:r>
    </w:p>
    <w:p>
      <w:pPr>
        <w:pStyle w:val="2"/>
        <w:ind w:left="0" w:leftChars="0" w:firstLine="547" w:firstLineChars="228"/>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、磋商文件有修改的，供应商须重新下载修改后的磋商文件（修改后的磋商文件在更正公告中下载），并根据修改后的磋商文件制作、撤回修改，并递交响应文件。</w:t>
      </w:r>
    </w:p>
    <w:p>
      <w:pPr>
        <w:spacing w:line="400" w:lineRule="exact"/>
        <w:ind w:firstLine="480" w:firstLineChars="200"/>
        <w:rPr>
          <w:rFonts w:ascii="宋体" w:hAnsi="宋体"/>
          <w:sz w:val="24"/>
          <w:szCs w:val="24"/>
        </w:rPr>
      </w:pPr>
      <w:r>
        <w:rPr>
          <w:rFonts w:hint="eastAsia" w:ascii="宋体" w:hAnsi="宋体"/>
          <w:sz w:val="24"/>
          <w:szCs w:val="24"/>
          <w:lang w:val="en-US" w:eastAsia="zh-CN"/>
        </w:rPr>
        <w:t>5</w:t>
      </w:r>
      <w:r>
        <w:rPr>
          <w:rFonts w:ascii="宋体" w:hAnsi="宋体"/>
          <w:sz w:val="24"/>
          <w:szCs w:val="24"/>
        </w:rPr>
        <w:t xml:space="preserve">、使用“政府采购云平台”（含政采云电子交易客户端）需要提前申领CA数字证书及电子签章，请自行前往四川CA、天威CA </w:t>
      </w:r>
      <w:r>
        <w:rPr>
          <w:rFonts w:hint="eastAsia" w:ascii="宋体" w:hAnsi="宋体"/>
          <w:sz w:val="24"/>
          <w:szCs w:val="24"/>
        </w:rPr>
        <w:t>、</w:t>
      </w:r>
      <w:r>
        <w:rPr>
          <w:rFonts w:ascii="宋体" w:hAnsi="宋体"/>
          <w:sz w:val="24"/>
          <w:szCs w:val="24"/>
        </w:rPr>
        <w:t>CFCA服务点办理</w:t>
      </w:r>
      <w:r>
        <w:rPr>
          <w:rFonts w:hint="eastAsia" w:ascii="宋体" w:hAnsi="宋体"/>
          <w:sz w:val="24"/>
          <w:szCs w:val="24"/>
        </w:rPr>
        <w:t>，供应商只需办理其中一家</w:t>
      </w:r>
      <w:r>
        <w:rPr>
          <w:rFonts w:ascii="宋体" w:hAnsi="宋体"/>
          <w:sz w:val="24"/>
          <w:szCs w:val="24"/>
        </w:rPr>
        <w:t>CA数字证书及签章（提示：办理时请说明参与成都市政府采购项目）。供应商应及时完成在“政府采购云平台”的CA账号绑定，确保顺利参与电子采购。</w:t>
      </w:r>
    </w:p>
    <w:p>
      <w:pPr>
        <w:spacing w:line="400" w:lineRule="exact"/>
        <w:ind w:firstLine="480" w:firstLineChars="200"/>
        <w:rPr>
          <w:sz w:val="24"/>
          <w:szCs w:val="24"/>
        </w:rPr>
      </w:pPr>
      <w:r>
        <w:rPr>
          <w:sz w:val="24"/>
          <w:szCs w:val="24"/>
        </w:rPr>
        <w:t>6、政府采购云平台所支持的CA证书及签章：四川CA及金格签章，天威CA（金润版）及金润签章，CFCA及金格签章。</w:t>
      </w:r>
    </w:p>
    <w:p>
      <w:pPr>
        <w:spacing w:line="400" w:lineRule="exact"/>
        <w:ind w:firstLine="480" w:firstLineChars="200"/>
        <w:rPr>
          <w:sz w:val="24"/>
          <w:szCs w:val="24"/>
        </w:rPr>
      </w:pPr>
      <w:r>
        <w:rPr>
          <w:sz w:val="24"/>
          <w:szCs w:val="24"/>
        </w:rPr>
        <w:t>7、政府采购云平台技术支持：（1）钉钉群号：34165101（注：本群有3家CA办理人员加入）；如遇钉钉群满，请加钉钉群号：33782435（注：只</w:t>
      </w:r>
      <w:r>
        <w:rPr>
          <w:rFonts w:hint="eastAsia"/>
          <w:sz w:val="24"/>
          <w:szCs w:val="24"/>
        </w:rPr>
        <w:t>加其中一个即可）。（</w:t>
      </w:r>
      <w:r>
        <w:rPr>
          <w:sz w:val="24"/>
          <w:szCs w:val="24"/>
        </w:rPr>
        <w:t>2）统一热线电话：4008817190</w:t>
      </w:r>
    </w:p>
    <w:p>
      <w:pPr>
        <w:spacing w:line="400" w:lineRule="exact"/>
        <w:ind w:firstLine="480" w:firstLineChars="200"/>
        <w:rPr>
          <w:rFonts w:hint="eastAsia" w:ascii="宋体" w:hAnsi="宋体" w:eastAsia="宋体"/>
          <w:sz w:val="24"/>
          <w:szCs w:val="24"/>
          <w:lang w:eastAsia="zh-CN"/>
        </w:rPr>
      </w:pPr>
      <w:r>
        <w:rPr>
          <w:sz w:val="24"/>
          <w:szCs w:val="24"/>
        </w:rPr>
        <w:t>8、CA技术支持：四川CA：400-0281130；天威CA： 028-86694886、1592864708；CFCA：028-65785326、18033549468</w:t>
      </w:r>
      <w:r>
        <w:rPr>
          <w:rFonts w:hint="eastAsia"/>
          <w:sz w:val="24"/>
          <w:szCs w:val="24"/>
          <w:lang w:eastAsia="zh-CN"/>
        </w:rPr>
        <w:t>。</w:t>
      </w:r>
    </w:p>
    <w:p>
      <w:pPr>
        <w:pStyle w:val="6"/>
        <w:spacing w:line="400" w:lineRule="exact"/>
        <w:rPr>
          <w:color w:val="auto"/>
          <w:sz w:val="24"/>
          <w:szCs w:val="24"/>
        </w:rPr>
      </w:pPr>
      <w:r>
        <w:rPr>
          <w:rFonts w:hint="eastAsia"/>
          <w:color w:val="auto"/>
          <w:sz w:val="24"/>
          <w:szCs w:val="24"/>
        </w:rPr>
        <w:t>响应文件的递交</w:t>
      </w:r>
    </w:p>
    <w:p>
      <w:pPr>
        <w:numPr>
          <w:ilvl w:val="0"/>
          <w:numId w:val="19"/>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供应商应当在响应文件递交截止时间前，将生成的已加密的响应文件成功递交至“政府采购云平台”。</w:t>
      </w:r>
    </w:p>
    <w:p>
      <w:pPr>
        <w:numPr>
          <w:ilvl w:val="0"/>
          <w:numId w:val="19"/>
        </w:numPr>
        <w:tabs>
          <w:tab w:val="left" w:pos="1134"/>
        </w:tabs>
        <w:spacing w:line="400" w:lineRule="exact"/>
        <w:ind w:left="0" w:firstLine="567"/>
        <w:rPr>
          <w:rFonts w:ascii="宋体" w:hAnsi="宋体"/>
          <w:bCs/>
          <w:color w:val="000000" w:themeColor="text1"/>
          <w:sz w:val="24"/>
          <w:szCs w:val="24"/>
          <w14:textFill>
            <w14:solidFill>
              <w14:schemeClr w14:val="tx1"/>
            </w14:solidFill>
          </w14:textFill>
        </w:rPr>
      </w:pPr>
      <w:r>
        <w:rPr>
          <w:rFonts w:hint="eastAsia" w:ascii="宋体" w:hAnsi="宋体"/>
          <w:bCs/>
          <w:sz w:val="24"/>
          <w:szCs w:val="24"/>
        </w:rPr>
        <w:t>因磋商文件的修改推迟响应文件递交截止时间的，供应商</w:t>
      </w:r>
      <w:r>
        <w:rPr>
          <w:rFonts w:hint="eastAsia" w:ascii="宋体" w:hAnsi="宋体"/>
          <w:bCs/>
          <w:color w:val="000000" w:themeColor="text1"/>
          <w:sz w:val="24"/>
          <w:szCs w:val="24"/>
          <w14:textFill>
            <w14:solidFill>
              <w14:schemeClr w14:val="tx1"/>
            </w14:solidFill>
          </w14:textFill>
        </w:rPr>
        <w:t>按区政府采购中心在“四川政府采购网”和“成都市公共资源交易服务中心”网站上发布的澄清公告中修改的时间</w:t>
      </w:r>
      <w:r>
        <w:rPr>
          <w:rFonts w:hint="eastAsia" w:ascii="宋体" w:hAnsi="宋体"/>
          <w:bCs/>
          <w:color w:val="000000" w:themeColor="text1"/>
          <w:sz w:val="24"/>
          <w:szCs w:val="24"/>
          <w:lang w:eastAsia="zh-CN"/>
          <w14:textFill>
            <w14:solidFill>
              <w14:schemeClr w14:val="tx1"/>
            </w14:solidFill>
          </w14:textFill>
        </w:rPr>
        <w:t>提交</w:t>
      </w:r>
      <w:r>
        <w:rPr>
          <w:rFonts w:hint="eastAsia" w:ascii="宋体" w:hAnsi="宋体"/>
          <w:bCs/>
          <w:color w:val="000000" w:themeColor="text1"/>
          <w:sz w:val="24"/>
          <w:szCs w:val="24"/>
          <w14:textFill>
            <w14:solidFill>
              <w14:schemeClr w14:val="tx1"/>
            </w14:solidFill>
          </w14:textFill>
        </w:rPr>
        <w:t>。</w:t>
      </w:r>
    </w:p>
    <w:p>
      <w:pPr>
        <w:numPr>
          <w:ilvl w:val="0"/>
          <w:numId w:val="19"/>
        </w:numPr>
        <w:tabs>
          <w:tab w:val="left" w:pos="1134"/>
        </w:tabs>
        <w:spacing w:line="400" w:lineRule="exact"/>
        <w:ind w:left="0" w:firstLine="567"/>
        <w:rPr>
          <w:rFonts w:ascii="宋体" w:hAnsi="宋体"/>
          <w:bCs/>
          <w:sz w:val="24"/>
          <w:szCs w:val="24"/>
        </w:rPr>
      </w:pPr>
      <w:r>
        <w:rPr>
          <w:rFonts w:hint="eastAsia" w:ascii="宋体" w:hAnsi="宋体"/>
          <w:bCs/>
          <w:sz w:val="24"/>
          <w:szCs w:val="24"/>
        </w:rPr>
        <w:t>供应商应充分考虑</w:t>
      </w:r>
      <w:r>
        <w:rPr>
          <w:rFonts w:hint="eastAsia" w:ascii="宋体" w:hAnsi="宋体"/>
          <w:bCs/>
          <w:sz w:val="24"/>
          <w:szCs w:val="24"/>
          <w:lang w:eastAsia="zh-CN"/>
        </w:rPr>
        <w:t>提交</w:t>
      </w:r>
      <w:r>
        <w:rPr>
          <w:rFonts w:hint="eastAsia" w:ascii="宋体" w:hAnsi="宋体"/>
          <w:bCs/>
          <w:sz w:val="24"/>
          <w:szCs w:val="24"/>
        </w:rPr>
        <w:t>响应文件的不可预见因素，未在</w:t>
      </w:r>
      <w:r>
        <w:rPr>
          <w:rFonts w:hint="eastAsia" w:ascii="宋体" w:hAnsi="宋体"/>
          <w:bCs/>
          <w:sz w:val="24"/>
          <w:szCs w:val="24"/>
          <w:lang w:eastAsia="zh-CN"/>
        </w:rPr>
        <w:t>提交首次</w:t>
      </w:r>
      <w:r>
        <w:rPr>
          <w:rFonts w:ascii="宋体" w:hAnsi="宋体"/>
          <w:bCs/>
          <w:sz w:val="24"/>
          <w:szCs w:val="24"/>
        </w:rPr>
        <w:t>响应文件</w:t>
      </w:r>
      <w:r>
        <w:rPr>
          <w:rFonts w:hint="eastAsia" w:ascii="宋体" w:hAnsi="宋体"/>
          <w:bCs/>
          <w:sz w:val="24"/>
          <w:szCs w:val="24"/>
        </w:rPr>
        <w:t>截止时间前完成</w:t>
      </w:r>
      <w:r>
        <w:rPr>
          <w:rFonts w:hint="eastAsia" w:ascii="宋体" w:hAnsi="宋体"/>
          <w:bCs/>
          <w:sz w:val="24"/>
          <w:szCs w:val="24"/>
          <w:lang w:eastAsia="zh-CN"/>
        </w:rPr>
        <w:t>提交</w:t>
      </w:r>
      <w:r>
        <w:rPr>
          <w:rFonts w:hint="eastAsia" w:ascii="宋体" w:hAnsi="宋体"/>
          <w:bCs/>
          <w:sz w:val="24"/>
          <w:szCs w:val="24"/>
        </w:rPr>
        <w:t>的，在</w:t>
      </w:r>
      <w:r>
        <w:rPr>
          <w:rFonts w:hint="eastAsia" w:ascii="宋体" w:hAnsi="宋体"/>
          <w:bCs/>
          <w:sz w:val="24"/>
          <w:szCs w:val="24"/>
          <w:lang w:eastAsia="zh-CN"/>
        </w:rPr>
        <w:t>提交首次</w:t>
      </w:r>
      <w:r>
        <w:rPr>
          <w:rFonts w:ascii="宋体" w:hAnsi="宋体"/>
          <w:bCs/>
          <w:sz w:val="24"/>
          <w:szCs w:val="24"/>
        </w:rPr>
        <w:t>响应文件</w:t>
      </w:r>
      <w:r>
        <w:rPr>
          <w:rFonts w:hint="eastAsia" w:ascii="宋体" w:hAnsi="宋体"/>
          <w:bCs/>
          <w:sz w:val="24"/>
          <w:szCs w:val="24"/>
        </w:rPr>
        <w:t>截止时间后将无法</w:t>
      </w:r>
      <w:r>
        <w:rPr>
          <w:rFonts w:hint="eastAsia" w:ascii="宋体" w:hAnsi="宋体"/>
          <w:bCs/>
          <w:sz w:val="24"/>
          <w:szCs w:val="24"/>
          <w:lang w:eastAsia="zh-CN"/>
        </w:rPr>
        <w:t>提交</w:t>
      </w:r>
      <w:r>
        <w:rPr>
          <w:rFonts w:hint="eastAsia" w:ascii="宋体" w:hAnsi="宋体"/>
          <w:bCs/>
          <w:sz w:val="24"/>
          <w:szCs w:val="24"/>
        </w:rPr>
        <w:t>。</w:t>
      </w:r>
    </w:p>
    <w:p>
      <w:pPr>
        <w:pStyle w:val="6"/>
        <w:spacing w:line="400" w:lineRule="exact"/>
        <w:rPr>
          <w:color w:val="auto"/>
          <w:sz w:val="24"/>
          <w:szCs w:val="24"/>
        </w:rPr>
      </w:pPr>
      <w:r>
        <w:rPr>
          <w:rFonts w:hint="eastAsia"/>
          <w:color w:val="auto"/>
          <w:sz w:val="24"/>
          <w:szCs w:val="24"/>
        </w:rPr>
        <w:t>响应文件的补充、修改和撤回</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首次响应文件</w:t>
      </w:r>
      <w:r>
        <w:rPr>
          <w:rFonts w:hint="eastAsia" w:ascii="宋体" w:hAnsi="宋体"/>
          <w:sz w:val="24"/>
          <w:szCs w:val="24"/>
        </w:rPr>
        <w:t>截止时间之前，供应商可对已提交的响应文件进行补充、修改。补充或者修改响应文件的，应当先撤回已提交的响应文件，在“政采云投标客户端”补充、修改响应文件并签章、加密后重新提交。撤回响应文件进行补充、修改，在提交首次响应文件截止时间前未重新提交的，视为撤回响应文件。</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响应文件截止时间之后，供应商不得对其提交的响应文件做任何补充、修改。</w:t>
      </w:r>
    </w:p>
    <w:p>
      <w:pPr>
        <w:numPr>
          <w:ilvl w:val="0"/>
          <w:numId w:val="20"/>
        </w:numPr>
        <w:tabs>
          <w:tab w:val="left" w:pos="1134"/>
        </w:tabs>
        <w:spacing w:line="360" w:lineRule="auto"/>
        <w:ind w:left="0" w:firstLine="567"/>
        <w:rPr>
          <w:rFonts w:ascii="宋体" w:hAnsi="宋体"/>
          <w:sz w:val="24"/>
          <w:szCs w:val="24"/>
        </w:rPr>
      </w:pPr>
      <w:r>
        <w:rPr>
          <w:rFonts w:hint="eastAsia" w:ascii="宋体" w:hAnsi="宋体"/>
          <w:sz w:val="24"/>
          <w:szCs w:val="24"/>
        </w:rPr>
        <w:t>在提交</w:t>
      </w:r>
      <w:r>
        <w:rPr>
          <w:rFonts w:ascii="宋体" w:hAnsi="宋体"/>
          <w:sz w:val="24"/>
          <w:szCs w:val="24"/>
        </w:rPr>
        <w:t>首次</w:t>
      </w:r>
      <w:r>
        <w:rPr>
          <w:rFonts w:hint="eastAsia" w:ascii="宋体" w:hAnsi="宋体"/>
          <w:sz w:val="24"/>
          <w:szCs w:val="24"/>
        </w:rPr>
        <w:t>响应文件截止时间之前，供应商可对已提交的响应文件进行撤回。在提交</w:t>
      </w:r>
      <w:r>
        <w:rPr>
          <w:rFonts w:ascii="宋体" w:hAnsi="宋体"/>
          <w:sz w:val="24"/>
          <w:szCs w:val="24"/>
        </w:rPr>
        <w:t>首次</w:t>
      </w:r>
      <w:r>
        <w:rPr>
          <w:rFonts w:hint="eastAsia" w:ascii="宋体" w:hAnsi="宋体"/>
          <w:sz w:val="24"/>
          <w:szCs w:val="24"/>
        </w:rPr>
        <w:t>响应文件截止时间之后，供应商不得撤回响应文件。</w:t>
      </w:r>
    </w:p>
    <w:p>
      <w:pPr>
        <w:pStyle w:val="6"/>
        <w:spacing w:line="400" w:lineRule="exact"/>
        <w:rPr>
          <w:color w:val="auto"/>
          <w:sz w:val="24"/>
          <w:szCs w:val="24"/>
        </w:rPr>
      </w:pPr>
      <w:r>
        <w:rPr>
          <w:rFonts w:hint="eastAsia"/>
          <w:color w:val="auto"/>
          <w:sz w:val="24"/>
          <w:szCs w:val="24"/>
        </w:rPr>
        <w:t>响应文件的解密</w:t>
      </w:r>
    </w:p>
    <w:p>
      <w:pPr>
        <w:tabs>
          <w:tab w:val="left" w:pos="1134"/>
        </w:tabs>
        <w:spacing w:before="120" w:line="400" w:lineRule="exact"/>
        <w:ind w:firstLine="484" w:firstLineChars="202"/>
        <w:rPr>
          <w:rFonts w:ascii="宋体" w:hAnsi="宋体"/>
          <w:bCs/>
          <w:sz w:val="24"/>
          <w:szCs w:val="24"/>
        </w:rPr>
      </w:pPr>
      <w:r>
        <w:rPr>
          <w:rFonts w:hint="eastAsia" w:ascii="宋体" w:hAnsi="宋体"/>
          <w:bCs/>
          <w:sz w:val="24"/>
          <w:szCs w:val="24"/>
        </w:rPr>
        <w:t>供应商</w:t>
      </w:r>
      <w:r>
        <w:rPr>
          <w:rFonts w:hint="eastAsia" w:ascii="宋体" w:hAnsi="宋体"/>
          <w:sz w:val="24"/>
          <w:szCs w:val="24"/>
        </w:rPr>
        <w:t>登录政府采购</w:t>
      </w:r>
      <w:r>
        <w:rPr>
          <w:rFonts w:hint="eastAsia" w:ascii="宋体" w:hAnsi="宋体"/>
          <w:color w:val="000000" w:themeColor="text1"/>
          <w:sz w:val="24"/>
          <w:szCs w:val="24"/>
          <w14:textFill>
            <w14:solidFill>
              <w14:schemeClr w14:val="tx1"/>
            </w14:solidFill>
          </w14:textFill>
        </w:rPr>
        <w:t>云平台，点击“项目采购—开标评标”模块，找到对应项目，进入“开标大厅”，</w:t>
      </w:r>
      <w:r>
        <w:rPr>
          <w:rFonts w:hint="eastAsia" w:ascii="宋体" w:hAnsi="宋体"/>
          <w:color w:val="000000" w:themeColor="text1"/>
          <w:sz w:val="24"/>
          <w:szCs w:val="24"/>
          <w:lang w:eastAsia="zh-CN"/>
          <w14:textFill>
            <w14:solidFill>
              <w14:schemeClr w14:val="tx1"/>
            </w14:solidFill>
          </w14:textFill>
        </w:rPr>
        <w:t>等待</w:t>
      </w:r>
      <w:r>
        <w:rPr>
          <w:rFonts w:hint="eastAsia" w:ascii="宋体" w:hAnsi="宋体"/>
          <w:color w:val="000000" w:themeColor="text1"/>
          <w:sz w:val="24"/>
          <w:szCs w:val="24"/>
          <w14:textFill>
            <w14:solidFill>
              <w14:schemeClr w14:val="tx1"/>
            </w14:solidFill>
          </w14:textFill>
        </w:rPr>
        <w:t>区政府采购中心开启解密后，</w:t>
      </w:r>
      <w:r>
        <w:rPr>
          <w:rFonts w:hint="eastAsia" w:ascii="宋体" w:hAnsi="宋体" w:cs="宋体"/>
          <w:color w:val="000000" w:themeColor="text1"/>
          <w:sz w:val="24"/>
          <w:szCs w:val="24"/>
          <w14:textFill>
            <w14:solidFill>
              <w14:schemeClr w14:val="tx1"/>
            </w14:solidFill>
          </w14:textFill>
        </w:rPr>
        <w:t>供应商应在60分钟内，使用加密该响应文件的CA数字证书在线完成响应文件的解密。</w:t>
      </w:r>
      <w:r>
        <w:rPr>
          <w:rFonts w:hint="eastAsia" w:ascii="宋体" w:hAnsi="宋体"/>
          <w:bCs/>
          <w:color w:val="000000" w:themeColor="text1"/>
          <w:sz w:val="24"/>
          <w:szCs w:val="24"/>
          <w14:textFill>
            <w14:solidFill>
              <w14:schemeClr w14:val="tx1"/>
            </w14:solidFill>
          </w14:textFill>
        </w:rPr>
        <w:t>除因</w:t>
      </w:r>
      <w:r>
        <w:rPr>
          <w:rFonts w:hint="eastAsia" w:ascii="宋体" w:hAnsi="宋体"/>
          <w:color w:val="000000" w:themeColor="text1"/>
          <w:sz w:val="24"/>
          <w:szCs w:val="24"/>
          <w14:textFill>
            <w14:solidFill>
              <w14:schemeClr w14:val="tx1"/>
            </w14:solidFill>
          </w14:textFill>
        </w:rPr>
        <w:t>区政府采购中心</w:t>
      </w:r>
      <w:r>
        <w:rPr>
          <w:rFonts w:hint="eastAsia" w:ascii="宋体" w:hAnsi="宋体"/>
          <w:bCs/>
          <w:color w:val="000000" w:themeColor="text1"/>
          <w:sz w:val="24"/>
          <w:szCs w:val="24"/>
          <w14:textFill>
            <w14:solidFill>
              <w14:schemeClr w14:val="tx1"/>
            </w14:solidFill>
          </w14:textFill>
        </w:rPr>
        <w:t>断电、断网、</w:t>
      </w:r>
      <w:r>
        <w:rPr>
          <w:rFonts w:hint="eastAsia" w:ascii="宋体" w:hAnsi="宋体"/>
          <w:bCs/>
          <w:sz w:val="24"/>
          <w:szCs w:val="24"/>
        </w:rPr>
        <w:t>系统故障或其他不可抗力等因素，导致系统无法使用外，供应商在规定的解密时间内，未成功解密的响应文件将视为无效响应文件。</w:t>
      </w:r>
    </w:p>
    <w:p>
      <w:pPr>
        <w:pStyle w:val="5"/>
        <w:tabs>
          <w:tab w:val="left" w:pos="426"/>
        </w:tabs>
        <w:spacing w:before="0" w:after="0" w:line="400" w:lineRule="exact"/>
        <w:ind w:left="0" w:firstLine="0"/>
        <w:jc w:val="both"/>
        <w:rPr>
          <w:sz w:val="24"/>
          <w:szCs w:val="24"/>
        </w:rPr>
      </w:pPr>
      <w:bookmarkStart w:id="34" w:name="_Toc183582232"/>
      <w:bookmarkStart w:id="35" w:name="_Toc217446057"/>
      <w:bookmarkStart w:id="36" w:name="_Toc79742123"/>
      <w:bookmarkStart w:id="37" w:name="_Toc183682369"/>
      <w:bookmarkStart w:id="38" w:name="_Toc73447467"/>
      <w:r>
        <w:rPr>
          <w:rFonts w:hint="eastAsia"/>
          <w:sz w:val="24"/>
          <w:szCs w:val="24"/>
        </w:rPr>
        <w:t>磋商</w:t>
      </w:r>
      <w:r>
        <w:rPr>
          <w:sz w:val="24"/>
          <w:szCs w:val="24"/>
        </w:rPr>
        <w:t>开启活动</w:t>
      </w:r>
      <w:r>
        <w:rPr>
          <w:rFonts w:hint="eastAsia"/>
          <w:sz w:val="24"/>
          <w:szCs w:val="24"/>
        </w:rPr>
        <w:t>程序</w:t>
      </w:r>
      <w:bookmarkEnd w:id="34"/>
      <w:bookmarkEnd w:id="35"/>
      <w:bookmarkEnd w:id="36"/>
      <w:bookmarkEnd w:id="37"/>
      <w:bookmarkEnd w:id="38"/>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lang w:eastAsia="zh-CN"/>
        </w:rPr>
        <w:t>提</w:t>
      </w:r>
      <w:r>
        <w:rPr>
          <w:rFonts w:hint="eastAsia" w:ascii="宋体" w:hAnsi="宋体" w:eastAsia="宋体" w:cs="宋体"/>
          <w:b/>
          <w:sz w:val="24"/>
          <w:szCs w:val="24"/>
        </w:rPr>
        <w:t>交响应文件的供应商不足三家的，不予继续开展磋商采购</w:t>
      </w:r>
      <w:r>
        <w:rPr>
          <w:rFonts w:ascii="宋体" w:hAnsi="宋体" w:eastAsia="宋体" w:cs="宋体"/>
          <w:b/>
          <w:sz w:val="24"/>
          <w:szCs w:val="24"/>
        </w:rPr>
        <w:t>活动</w:t>
      </w:r>
      <w:r>
        <w:rPr>
          <w:rFonts w:hint="eastAsia" w:ascii="宋体" w:hAnsi="宋体" w:eastAsia="宋体" w:cs="宋体"/>
          <w:b/>
          <w:sz w:val="24"/>
          <w:szCs w:val="24"/>
        </w:rPr>
        <w:t>。</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准备工作。供应商需在开标当日、递交施工响应文件截止时间前登录“政府采购云平台”，通过“开标大厅”参与开标。登录政府采购云平台(www.zcygov.cn)—我的工作台—项目采购—开标评标—开标大厅[找到对应项目（包件）]。提示：供应商未按时登录不见面开标系统，错过开标解密时间的，由供应商自行承担不利后果。</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解密响应文件</w:t>
      </w:r>
      <w:r>
        <w:rPr>
          <w:rFonts w:hint="eastAsia" w:ascii="宋体" w:hAnsi="宋体" w:eastAsia="宋体" w:cs="宋体"/>
          <w:b/>
          <w:color w:val="000000" w:themeColor="text1"/>
          <w:sz w:val="24"/>
          <w:szCs w:val="24"/>
          <w14:textFill>
            <w14:solidFill>
              <w14:schemeClr w14:val="tx1"/>
            </w14:solidFill>
          </w14:textFill>
        </w:rPr>
        <w:t>。待区政府采购中心开启解密后，供应商进行线上解密。除因区政府采购中心断电</w:t>
      </w:r>
      <w:r>
        <w:rPr>
          <w:rFonts w:hint="eastAsia" w:ascii="宋体" w:hAnsi="宋体" w:eastAsia="宋体" w:cs="宋体"/>
          <w:b/>
          <w:sz w:val="24"/>
          <w:szCs w:val="24"/>
        </w:rPr>
        <w:t>、断网、系统故障或其他不可抗力等因素，导致系统无法使用外，供应商在规定的解密时间内，未成功解密的响应文件将视为无效响应文件。</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确认。所有供应商</w:t>
      </w:r>
      <w:r>
        <w:rPr>
          <w:rFonts w:ascii="宋体" w:hAnsi="宋体" w:eastAsia="宋体" w:cs="宋体"/>
          <w:b/>
          <w:sz w:val="24"/>
          <w:szCs w:val="24"/>
        </w:rPr>
        <w:t>响应文件</w:t>
      </w:r>
      <w:r>
        <w:rPr>
          <w:rFonts w:hint="eastAsia" w:ascii="宋体" w:hAnsi="宋体" w:eastAsia="宋体" w:cs="宋体"/>
          <w:b/>
          <w:sz w:val="24"/>
          <w:szCs w:val="24"/>
        </w:rPr>
        <w:t>均完成解密或者解密时间截止（以发生在先的时间为准），由“政府采购云平台”系统展示供应商名称、响应文件解密情况等内容。</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供应商对过程和记录有异议，以及认为采购</w:t>
      </w:r>
      <w:r>
        <w:rPr>
          <w:rFonts w:hint="eastAsia" w:ascii="宋体" w:hAnsi="宋体" w:eastAsia="宋体" w:cs="宋体"/>
          <w:b/>
          <w:color w:val="000000" w:themeColor="text1"/>
          <w:sz w:val="24"/>
          <w:szCs w:val="24"/>
          <w14:textFill>
            <w14:solidFill>
              <w14:schemeClr w14:val="tx1"/>
            </w14:solidFill>
          </w14:textFill>
        </w:rPr>
        <w:t>人、区政府采购中心相关工作人员有需要回避的情形的，及时向工作人员提出询问或者回避申请。采购人、区政府采购中心对供应商提出的询问或者</w:t>
      </w:r>
      <w:r>
        <w:rPr>
          <w:rFonts w:hint="eastAsia" w:ascii="宋体" w:hAnsi="宋体" w:eastAsia="宋体" w:cs="宋体"/>
          <w:b/>
          <w:sz w:val="24"/>
          <w:szCs w:val="24"/>
        </w:rPr>
        <w:t>回避申请应当及时处理。</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政府采购云平台运行基本环境要求：电脑应安装并顺利运行64位win7以上操作系统，谷歌浏览器；正确的CA及签章驱动等；能流畅访问互联网</w:t>
      </w:r>
      <w:r>
        <w:rPr>
          <w:rFonts w:hint="eastAsia" w:ascii="宋体" w:hAnsi="宋体" w:eastAsia="宋体" w:cs="宋体"/>
          <w:b/>
          <w:sz w:val="24"/>
          <w:szCs w:val="24"/>
          <w:lang w:eastAsia="zh-CN"/>
        </w:rPr>
        <w:t>。</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8"/>
          <w:szCs w:val="28"/>
        </w:rPr>
      </w:pPr>
      <w:r>
        <w:rPr>
          <w:rFonts w:hint="eastAsia" w:ascii="宋体" w:hAnsi="宋体" w:eastAsia="宋体" w:cs="宋体"/>
          <w:b/>
          <w:sz w:val="24"/>
          <w:szCs w:val="24"/>
        </w:rPr>
        <w:t>供应商电脑终端等硬件设备和软件系统配置：供应商电脑终端等硬件设备和软件系统配置应符合电子投标（含不见面开标大厅）供应商电脑终端配置要求并运行正常，供应商承担因未尽职责产生的不利后果。因</w:t>
      </w:r>
      <w:r>
        <w:rPr>
          <w:rFonts w:hint="eastAsia" w:ascii="宋体" w:hAnsi="宋体" w:eastAsia="宋体" w:cs="宋体"/>
          <w:b/>
          <w:sz w:val="24"/>
          <w:szCs w:val="24"/>
          <w:lang w:eastAsia="zh-CN"/>
        </w:rPr>
        <w:t>区政府采购</w:t>
      </w:r>
      <w:r>
        <w:rPr>
          <w:rFonts w:hint="eastAsia" w:ascii="宋体" w:hAnsi="宋体" w:eastAsia="宋体" w:cs="宋体"/>
          <w:b/>
          <w:sz w:val="24"/>
          <w:szCs w:val="24"/>
        </w:rPr>
        <w:t>中心断电、断网、系统故障或其他不可抗力等因素导致不见面开标系统无法正常运行的，磋商开启活动中止或延迟，待系统恢复正常后继续进行。</w:t>
      </w:r>
    </w:p>
    <w:p>
      <w:pPr>
        <w:pStyle w:val="81"/>
        <w:numPr>
          <w:ilvl w:val="0"/>
          <w:numId w:val="21"/>
        </w:numPr>
        <w:tabs>
          <w:tab w:val="left" w:pos="1134"/>
        </w:tabs>
        <w:spacing w:before="120" w:after="200" w:line="400" w:lineRule="exact"/>
        <w:ind w:left="0" w:right="210" w:firstLine="567" w:firstLineChars="0"/>
        <w:rPr>
          <w:rFonts w:ascii="宋体" w:hAnsi="宋体" w:eastAsia="宋体" w:cs="宋体"/>
          <w:b/>
          <w:sz w:val="24"/>
          <w:szCs w:val="24"/>
        </w:rPr>
      </w:pPr>
      <w:r>
        <w:rPr>
          <w:rFonts w:hint="eastAsia" w:ascii="宋体" w:hAnsi="宋体" w:eastAsia="宋体" w:cs="宋体"/>
          <w:b/>
          <w:sz w:val="24"/>
          <w:szCs w:val="24"/>
        </w:rPr>
        <w:t>磋商活动开启过程中，各方主体均应遵守互联网有关规定，不得发表与交易活动无关的言论。</w:t>
      </w:r>
      <w:bookmarkEnd w:id="32"/>
      <w:bookmarkEnd w:id="33"/>
    </w:p>
    <w:p>
      <w:pPr>
        <w:pStyle w:val="5"/>
        <w:tabs>
          <w:tab w:val="left" w:pos="426"/>
        </w:tabs>
        <w:spacing w:before="0" w:after="0" w:line="400" w:lineRule="exact"/>
        <w:ind w:left="0" w:firstLine="0"/>
        <w:jc w:val="both"/>
        <w:rPr>
          <w:sz w:val="24"/>
          <w:szCs w:val="24"/>
        </w:rPr>
      </w:pPr>
      <w:bookmarkStart w:id="39" w:name="_Toc494356977"/>
      <w:bookmarkEnd w:id="39"/>
      <w:bookmarkStart w:id="40" w:name="_Toc494095623"/>
      <w:bookmarkEnd w:id="40"/>
      <w:bookmarkStart w:id="41" w:name="_Toc73447468"/>
      <w:bookmarkStart w:id="42" w:name="_Toc79742124"/>
      <w:bookmarkStart w:id="43" w:name="_Toc58943329"/>
      <w:r>
        <w:rPr>
          <w:rFonts w:hint="eastAsia"/>
          <w:sz w:val="24"/>
          <w:szCs w:val="24"/>
        </w:rPr>
        <w:t>资格审查</w:t>
      </w:r>
      <w:r>
        <w:rPr>
          <w:sz w:val="24"/>
          <w:szCs w:val="24"/>
        </w:rPr>
        <w:t>和评审</w:t>
      </w:r>
      <w:bookmarkEnd w:id="41"/>
      <w:bookmarkEnd w:id="42"/>
    </w:p>
    <w:p>
      <w:pPr>
        <w:numPr>
          <w:ilvl w:val="0"/>
          <w:numId w:val="22"/>
        </w:numPr>
        <w:tabs>
          <w:tab w:val="left" w:pos="1134"/>
        </w:tabs>
        <w:spacing w:line="400" w:lineRule="exact"/>
        <w:ind w:left="0" w:firstLine="540"/>
        <w:rPr>
          <w:rFonts w:ascii="宋体" w:hAnsi="宋体"/>
          <w:sz w:val="24"/>
          <w:szCs w:val="24"/>
        </w:rPr>
      </w:pPr>
      <w:r>
        <w:rPr>
          <w:rFonts w:hint="eastAsia" w:ascii="宋体" w:hAnsi="宋体"/>
          <w:sz w:val="24"/>
          <w:szCs w:val="24"/>
        </w:rPr>
        <w:t>资格审查详见采购文件第五章。</w:t>
      </w:r>
    </w:p>
    <w:p>
      <w:pPr>
        <w:numPr>
          <w:ilvl w:val="0"/>
          <w:numId w:val="22"/>
        </w:numPr>
        <w:tabs>
          <w:tab w:val="left" w:pos="1134"/>
        </w:tabs>
        <w:spacing w:line="400" w:lineRule="exact"/>
        <w:ind w:left="0" w:firstLine="567"/>
        <w:rPr>
          <w:rFonts w:ascii="宋体" w:hAnsi="宋体"/>
          <w:sz w:val="24"/>
          <w:szCs w:val="24"/>
        </w:rPr>
      </w:pPr>
      <w:r>
        <w:rPr>
          <w:rFonts w:hint="eastAsia" w:ascii="宋体" w:hAnsi="宋体"/>
          <w:sz w:val="24"/>
          <w:szCs w:val="24"/>
        </w:rPr>
        <w:t>磋商小组的组建及其评审工作按照有关法律制度和本文件第五章的规定进行。</w:t>
      </w:r>
    </w:p>
    <w:p>
      <w:pPr>
        <w:pStyle w:val="5"/>
        <w:numPr>
          <w:ilvl w:val="1"/>
          <w:numId w:val="5"/>
        </w:numPr>
        <w:tabs>
          <w:tab w:val="left" w:pos="426"/>
          <w:tab w:val="left" w:pos="567"/>
        </w:tabs>
        <w:spacing w:before="0" w:after="200" w:line="400" w:lineRule="exact"/>
        <w:ind w:left="1985" w:hanging="1985"/>
        <w:jc w:val="both"/>
        <w:rPr>
          <w:sz w:val="24"/>
          <w:szCs w:val="24"/>
        </w:rPr>
      </w:pPr>
      <w:bookmarkStart w:id="44" w:name="_Toc79742125"/>
      <w:r>
        <w:rPr>
          <w:rFonts w:hint="eastAsia"/>
          <w:sz w:val="24"/>
          <w:szCs w:val="24"/>
        </w:rPr>
        <w:t>成交通知书</w:t>
      </w:r>
      <w:bookmarkEnd w:id="43"/>
      <w:bookmarkEnd w:id="44"/>
    </w:p>
    <w:p>
      <w:pPr>
        <w:spacing w:line="400" w:lineRule="exact"/>
        <w:ind w:right="210" w:firstLine="480" w:firstLineChars="200"/>
        <w:rPr>
          <w:rFonts w:ascii="宋体" w:hAnsi="宋体"/>
          <w:sz w:val="24"/>
          <w:szCs w:val="24"/>
        </w:rPr>
      </w:pPr>
      <w:r>
        <w:rPr>
          <w:rFonts w:hint="eastAsia" w:ascii="宋体" w:hAnsi="宋体"/>
          <w:sz w:val="24"/>
          <w:szCs w:val="24"/>
        </w:rPr>
        <w:t>一、成交通知书为采购人签订政府采购合同的依据，是合同的有效组成部分。若出现政府采购法律法规、规章制度规定的成交无效情形的，将以公告形式宣布发出的成交通知书无效，成交通知书将自动失效，并依法重新确定成交供应商或者重新开展采购活动。</w:t>
      </w:r>
    </w:p>
    <w:p>
      <w:pPr>
        <w:spacing w:line="400" w:lineRule="exact"/>
        <w:ind w:firstLine="480" w:firstLineChars="200"/>
        <w:rPr>
          <w:rFonts w:ascii="宋体" w:hAnsi="宋体"/>
          <w:sz w:val="24"/>
          <w:szCs w:val="24"/>
        </w:rPr>
      </w:pPr>
      <w:r>
        <w:rPr>
          <w:rFonts w:hint="eastAsia" w:ascii="宋体" w:hAnsi="宋体"/>
          <w:sz w:val="24"/>
          <w:szCs w:val="24"/>
        </w:rPr>
        <w:t>二、成交通知书对采购人和成交供应商均具有法律效力。</w:t>
      </w:r>
    </w:p>
    <w:p>
      <w:pPr>
        <w:spacing w:line="400" w:lineRule="exact"/>
        <w:ind w:firstLine="480" w:firstLineChars="200"/>
        <w:rPr>
          <w:sz w:val="20"/>
          <w:szCs w:val="21"/>
        </w:rPr>
      </w:pPr>
      <w:r>
        <w:rPr>
          <w:rFonts w:hint="eastAsia" w:ascii="宋体" w:hAnsi="宋体"/>
          <w:sz w:val="24"/>
          <w:szCs w:val="24"/>
          <w:lang w:val="zh-CN"/>
        </w:rPr>
        <w:t>三、</w:t>
      </w:r>
      <w:r>
        <w:rPr>
          <w:rFonts w:hint="eastAsia" w:ascii="宋体" w:hAnsi="宋体"/>
          <w:sz w:val="24"/>
          <w:szCs w:val="24"/>
        </w:rPr>
        <w:t>成交公告在四川政府采购网上公告后，成交供应商自行登录政府采购云平台下载成交通知书。</w:t>
      </w:r>
    </w:p>
    <w:p>
      <w:pPr>
        <w:pStyle w:val="5"/>
        <w:numPr>
          <w:ilvl w:val="1"/>
          <w:numId w:val="5"/>
        </w:numPr>
        <w:tabs>
          <w:tab w:val="left" w:pos="426"/>
          <w:tab w:val="left" w:pos="567"/>
        </w:tabs>
        <w:spacing w:before="0" w:after="200"/>
        <w:ind w:left="1985" w:hanging="1985"/>
        <w:jc w:val="both"/>
        <w:rPr>
          <w:sz w:val="24"/>
          <w:szCs w:val="24"/>
        </w:rPr>
      </w:pPr>
      <w:bookmarkStart w:id="45" w:name="_Toc79742126"/>
      <w:bookmarkStart w:id="46" w:name="_Toc58943330"/>
      <w:bookmarkStart w:id="47" w:name="_Toc287623650"/>
      <w:r>
        <w:rPr>
          <w:rFonts w:hint="eastAsia"/>
          <w:sz w:val="24"/>
          <w:szCs w:val="24"/>
        </w:rPr>
        <w:t>签订及履行合同和验收</w:t>
      </w:r>
      <w:bookmarkEnd w:id="45"/>
      <w:bookmarkEnd w:id="46"/>
    </w:p>
    <w:p>
      <w:pPr>
        <w:pStyle w:val="6"/>
        <w:numPr>
          <w:ilvl w:val="2"/>
          <w:numId w:val="5"/>
        </w:numPr>
        <w:spacing w:after="200" w:line="400" w:lineRule="exact"/>
        <w:ind w:left="0" w:firstLine="0"/>
        <w:rPr>
          <w:color w:val="auto"/>
          <w:sz w:val="24"/>
          <w:szCs w:val="24"/>
        </w:rPr>
      </w:pPr>
      <w:r>
        <w:rPr>
          <w:rFonts w:hint="eastAsia"/>
          <w:color w:val="auto"/>
          <w:sz w:val="24"/>
          <w:szCs w:val="24"/>
        </w:rPr>
        <w:t>签订合同</w:t>
      </w:r>
      <w:bookmarkEnd w:id="47"/>
    </w:p>
    <w:p>
      <w:pPr>
        <w:widowControl/>
        <w:numPr>
          <w:ilvl w:val="0"/>
          <w:numId w:val="23"/>
        </w:numPr>
        <w:tabs>
          <w:tab w:val="left" w:pos="1134"/>
        </w:tabs>
        <w:snapToGrid w:val="0"/>
        <w:spacing w:after="200" w:line="400" w:lineRule="exact"/>
        <w:ind w:left="0" w:firstLine="567"/>
        <w:jc w:val="left"/>
        <w:rPr>
          <w:rFonts w:ascii="宋体" w:hAnsi="宋体" w:cs="宋体"/>
          <w:sz w:val="24"/>
          <w:szCs w:val="24"/>
        </w:rPr>
      </w:pPr>
      <w:bookmarkStart w:id="48" w:name="_Toc217446069"/>
      <w:r>
        <w:rPr>
          <w:rFonts w:hint="eastAsia" w:ascii="宋体" w:hAnsi="宋体" w:cs="宋体"/>
          <w:sz w:val="24"/>
          <w:szCs w:val="24"/>
        </w:rPr>
        <w:t>疫情防控期间，采购人原则上应在成交通知书发出之日起5个工作日内与成交供应商签订采购合同。因成交供应商的原因在成交通知书发出之日起30日内逾期未与采购人签订采购合同或者成交供应商拒绝与采购人签订合同的，采购人可以按照评审报告推荐的成交候选供应商名单排序，确定下一候选供应商为成交供应商，也可以重新开展政府采购活动</w:t>
      </w:r>
      <w:r>
        <w:rPr>
          <w:rFonts w:hint="eastAsia" w:ascii="宋体" w:hAnsi="宋体"/>
          <w:sz w:val="24"/>
          <w:szCs w:val="24"/>
        </w:rPr>
        <w:t>。</w:t>
      </w:r>
    </w:p>
    <w:p>
      <w:pPr>
        <w:widowControl/>
        <w:numPr>
          <w:ilvl w:val="0"/>
          <w:numId w:val="23"/>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cs="宋体"/>
          <w:sz w:val="24"/>
          <w:szCs w:val="24"/>
        </w:rPr>
        <w:t>采购人不得向成交供应商提出任何不合理的要求作为签订合同的条件，不得与成交供应商私下订立背离合同实质性内容的任何协议，所签订的合同不得对磋商文件和成交供应商响应文件作实质性修改。</w:t>
      </w:r>
    </w:p>
    <w:p>
      <w:pPr>
        <w:widowControl/>
        <w:numPr>
          <w:ilvl w:val="0"/>
          <w:numId w:val="23"/>
        </w:numPr>
        <w:tabs>
          <w:tab w:val="left" w:pos="1134"/>
        </w:tabs>
        <w:snapToGrid w:val="0"/>
        <w:spacing w:after="200" w:line="400" w:lineRule="exact"/>
        <w:ind w:left="0" w:firstLine="567"/>
        <w:jc w:val="left"/>
        <w:rPr>
          <w:rFonts w:ascii="宋体" w:hAnsi="宋体" w:cs="宋体"/>
          <w:i/>
          <w:sz w:val="24"/>
          <w:szCs w:val="24"/>
        </w:rPr>
      </w:pPr>
      <w:r>
        <w:rPr>
          <w:rFonts w:hint="eastAsia" w:ascii="宋体" w:hAnsi="宋体" w:cs="宋体"/>
          <w:sz w:val="24"/>
          <w:szCs w:val="24"/>
        </w:rPr>
        <w:t>磋商文件、响应文件、成交通知书等均成为有法律约束力的合同组成内容。</w:t>
      </w:r>
    </w:p>
    <w:p>
      <w:pPr>
        <w:widowControl/>
        <w:numPr>
          <w:ilvl w:val="0"/>
          <w:numId w:val="23"/>
        </w:numPr>
        <w:tabs>
          <w:tab w:val="left" w:pos="1134"/>
        </w:tabs>
        <w:snapToGrid w:val="0"/>
        <w:spacing w:after="200" w:line="400" w:lineRule="exact"/>
        <w:ind w:left="0" w:firstLine="567"/>
        <w:jc w:val="left"/>
        <w:rPr>
          <w:rFonts w:ascii="宋体" w:hAnsi="宋体" w:cs="宋体"/>
          <w:sz w:val="24"/>
          <w:szCs w:val="24"/>
        </w:rPr>
      </w:pPr>
      <w:r>
        <w:rPr>
          <w:rFonts w:hint="eastAsia" w:ascii="宋体" w:hAnsi="宋体"/>
          <w:sz w:val="24"/>
          <w:szCs w:val="24"/>
        </w:rPr>
        <w:t>询问或者质疑事项可能影响成交结果的，采购人应当暂停签订合同，已经签订合同的，应当中止履行合同。</w:t>
      </w:r>
    </w:p>
    <w:p>
      <w:pPr>
        <w:pStyle w:val="6"/>
        <w:numPr>
          <w:ilvl w:val="2"/>
          <w:numId w:val="5"/>
        </w:numPr>
        <w:spacing w:after="200" w:line="400" w:lineRule="exact"/>
        <w:ind w:left="0" w:firstLine="0"/>
        <w:rPr>
          <w:color w:val="auto"/>
          <w:sz w:val="24"/>
          <w:szCs w:val="24"/>
        </w:rPr>
      </w:pPr>
      <w:bookmarkStart w:id="49" w:name="_Toc217446066"/>
      <w:r>
        <w:rPr>
          <w:rFonts w:hint="eastAsia"/>
          <w:color w:val="auto"/>
          <w:sz w:val="24"/>
          <w:szCs w:val="24"/>
        </w:rPr>
        <w:t>合同分包</w:t>
      </w:r>
      <w:bookmarkEnd w:id="49"/>
      <w:r>
        <w:rPr>
          <w:rFonts w:hint="eastAsia"/>
          <w:color w:val="auto"/>
          <w:sz w:val="24"/>
          <w:szCs w:val="24"/>
        </w:rPr>
        <w:t>和转包</w:t>
      </w:r>
    </w:p>
    <w:p>
      <w:pPr>
        <w:pStyle w:val="6"/>
        <w:numPr>
          <w:ilvl w:val="3"/>
          <w:numId w:val="5"/>
        </w:numPr>
        <w:spacing w:after="200" w:line="400" w:lineRule="exact"/>
        <w:ind w:left="709"/>
        <w:rPr>
          <w:color w:val="auto"/>
          <w:sz w:val="24"/>
          <w:szCs w:val="24"/>
        </w:rPr>
      </w:pPr>
      <w:r>
        <w:rPr>
          <w:rFonts w:hint="eastAsia"/>
          <w:color w:val="auto"/>
          <w:sz w:val="24"/>
          <w:szCs w:val="24"/>
        </w:rPr>
        <w:t>合同分包</w:t>
      </w:r>
    </w:p>
    <w:p>
      <w:pPr>
        <w:spacing w:line="400" w:lineRule="exact"/>
        <w:ind w:firstLine="495"/>
        <w:rPr>
          <w:rFonts w:ascii="宋体" w:hAnsi="宋体"/>
          <w:sz w:val="24"/>
          <w:szCs w:val="24"/>
        </w:rPr>
      </w:pPr>
      <w:r>
        <w:rPr>
          <w:rFonts w:hint="eastAsia" w:ascii="宋体" w:hAnsi="宋体"/>
          <w:sz w:val="24"/>
          <w:szCs w:val="24"/>
        </w:rPr>
        <w:t>本项目</w:t>
      </w:r>
      <w:r>
        <w:rPr>
          <w:rFonts w:hint="eastAsia" w:ascii="宋体" w:hAnsi="宋体"/>
          <w:sz w:val="24"/>
          <w:szCs w:val="24"/>
          <w:highlight w:val="yellow"/>
          <w:lang w:eastAsia="zh-CN"/>
        </w:rPr>
        <w:t>不</w:t>
      </w:r>
      <w:r>
        <w:rPr>
          <w:rFonts w:hint="eastAsia" w:ascii="宋体" w:hAnsi="宋体"/>
          <w:sz w:val="24"/>
          <w:szCs w:val="24"/>
          <w:highlight w:val="yellow"/>
        </w:rPr>
        <w:t>允许</w:t>
      </w:r>
      <w:r>
        <w:rPr>
          <w:rFonts w:hint="eastAsia" w:ascii="宋体" w:hAnsi="宋体"/>
          <w:sz w:val="24"/>
          <w:szCs w:val="24"/>
        </w:rPr>
        <w:t>分包。</w:t>
      </w:r>
    </w:p>
    <w:p>
      <w:pPr>
        <w:pStyle w:val="6"/>
        <w:numPr>
          <w:ilvl w:val="3"/>
          <w:numId w:val="5"/>
        </w:numPr>
        <w:spacing w:after="200" w:line="400" w:lineRule="exact"/>
        <w:ind w:left="709"/>
        <w:rPr>
          <w:strike/>
          <w:color w:val="auto"/>
          <w:sz w:val="24"/>
          <w:szCs w:val="24"/>
        </w:rPr>
      </w:pPr>
      <w:r>
        <w:rPr>
          <w:rFonts w:hint="eastAsia"/>
          <w:color w:val="auto"/>
          <w:sz w:val="24"/>
          <w:szCs w:val="24"/>
        </w:rPr>
        <w:t>合同转包</w:t>
      </w:r>
    </w:p>
    <w:p>
      <w:pPr>
        <w:spacing w:line="400" w:lineRule="exact"/>
        <w:ind w:firstLine="480" w:firstLineChars="200"/>
        <w:rPr>
          <w:rFonts w:ascii="宋体" w:hAnsi="宋体" w:cs="宋体"/>
          <w:sz w:val="24"/>
          <w:szCs w:val="24"/>
        </w:rPr>
      </w:pPr>
      <w:r>
        <w:rPr>
          <w:rFonts w:hint="eastAsia" w:ascii="宋体" w:hAnsi="宋体"/>
          <w:sz w:val="24"/>
          <w:szCs w:val="24"/>
        </w:rPr>
        <w:t>一、严禁成交供应商将本项目转包。本项目所称转包，是指</w:t>
      </w:r>
      <w:r>
        <w:rPr>
          <w:rFonts w:hint="eastAsia" w:ascii="宋体" w:hAnsi="宋体" w:cs="宋体"/>
          <w:sz w:val="24"/>
          <w:szCs w:val="24"/>
        </w:rPr>
        <w:t>将本项目转给他人或者将本项目全部肢解以后以分包的名义分别转给他人的行为。</w:t>
      </w:r>
    </w:p>
    <w:p>
      <w:pPr>
        <w:spacing w:line="400" w:lineRule="exact"/>
        <w:ind w:firstLine="495"/>
        <w:rPr>
          <w:rFonts w:ascii="宋体" w:hAnsi="宋体"/>
          <w:sz w:val="24"/>
          <w:szCs w:val="24"/>
        </w:rPr>
      </w:pPr>
      <w:r>
        <w:rPr>
          <w:rFonts w:hint="eastAsia" w:ascii="宋体" w:hAnsi="宋体"/>
          <w:sz w:val="24"/>
          <w:szCs w:val="24"/>
        </w:rPr>
        <w:t>二、成交供应商转包的，视同拒绝履行政府采购合同，将依法追究法律责任。</w:t>
      </w:r>
    </w:p>
    <w:p>
      <w:pPr>
        <w:pStyle w:val="6"/>
        <w:numPr>
          <w:ilvl w:val="2"/>
          <w:numId w:val="5"/>
        </w:numPr>
        <w:spacing w:after="200" w:line="400" w:lineRule="exact"/>
        <w:ind w:left="0" w:firstLine="0"/>
        <w:rPr>
          <w:color w:val="auto"/>
          <w:sz w:val="24"/>
          <w:szCs w:val="24"/>
        </w:rPr>
      </w:pPr>
      <w:bookmarkStart w:id="50" w:name="_Toc217446067"/>
      <w:r>
        <w:rPr>
          <w:rFonts w:hint="eastAsia"/>
          <w:color w:val="auto"/>
          <w:sz w:val="24"/>
          <w:szCs w:val="24"/>
        </w:rPr>
        <w:t>采购人增加合同标的的权</w:t>
      </w:r>
      <w:bookmarkEnd w:id="50"/>
      <w:r>
        <w:rPr>
          <w:rFonts w:hint="eastAsia"/>
          <w:color w:val="auto"/>
          <w:sz w:val="24"/>
          <w:szCs w:val="24"/>
        </w:rPr>
        <w:t>利</w:t>
      </w:r>
    </w:p>
    <w:p>
      <w:pPr>
        <w:spacing w:line="400" w:lineRule="exact"/>
        <w:ind w:firstLine="567"/>
        <w:rPr>
          <w:rFonts w:ascii="宋体" w:hAnsi="宋体"/>
          <w:sz w:val="24"/>
          <w:szCs w:val="24"/>
        </w:rPr>
      </w:pPr>
      <w:r>
        <w:rPr>
          <w:rFonts w:hint="eastAsia" w:ascii="宋体" w:hAnsi="宋体"/>
          <w:sz w:val="24"/>
          <w:szCs w:val="24"/>
        </w:rPr>
        <w:t>采购合同履行过程中，采购人需要追加与合同标的相同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服务的名称、价格、履约方式、验收标准等必须与原政府采购合同一致。</w:t>
      </w:r>
    </w:p>
    <w:p>
      <w:pPr>
        <w:pStyle w:val="6"/>
        <w:numPr>
          <w:ilvl w:val="2"/>
          <w:numId w:val="5"/>
        </w:numPr>
        <w:spacing w:after="200" w:line="400" w:lineRule="exact"/>
        <w:ind w:left="0" w:firstLine="0"/>
        <w:rPr>
          <w:color w:val="auto"/>
          <w:sz w:val="24"/>
          <w:szCs w:val="24"/>
        </w:rPr>
      </w:pPr>
      <w:bookmarkStart w:id="51" w:name="_Toc217446068"/>
      <w:r>
        <w:rPr>
          <w:rFonts w:hint="eastAsia"/>
          <w:color w:val="auto"/>
          <w:sz w:val="24"/>
          <w:szCs w:val="24"/>
        </w:rPr>
        <w:t>履约保证金</w:t>
      </w:r>
      <w:bookmarkEnd w:id="51"/>
    </w:p>
    <w:p>
      <w:pPr>
        <w:spacing w:line="400" w:lineRule="exact"/>
        <w:ind w:firstLine="482" w:firstLineChars="200"/>
        <w:rPr>
          <w:rFonts w:ascii="宋体" w:hAnsi="宋体"/>
          <w:b/>
          <w:sz w:val="24"/>
          <w:szCs w:val="21"/>
        </w:rPr>
      </w:pPr>
      <w:r>
        <w:rPr>
          <w:rFonts w:hint="eastAsia" w:ascii="宋体" w:hAnsi="宋体"/>
          <w:b/>
          <w:sz w:val="24"/>
          <w:szCs w:val="24"/>
        </w:rPr>
        <w:t>本项目</w:t>
      </w:r>
      <w:r>
        <w:rPr>
          <w:rFonts w:hint="eastAsia" w:ascii="宋体" w:hAnsi="宋体"/>
          <w:b/>
          <w:sz w:val="24"/>
          <w:szCs w:val="24"/>
          <w:highlight w:val="yellow"/>
          <w:lang w:eastAsia="zh-CN"/>
        </w:rPr>
        <w:t>不</w:t>
      </w:r>
      <w:r>
        <w:rPr>
          <w:rFonts w:hint="eastAsia" w:ascii="宋体" w:hAnsi="宋体"/>
          <w:b/>
          <w:sz w:val="24"/>
          <w:szCs w:val="24"/>
          <w:highlight w:val="yellow"/>
        </w:rPr>
        <w:t>收取</w:t>
      </w:r>
      <w:r>
        <w:rPr>
          <w:rFonts w:hint="eastAsia" w:ascii="宋体" w:hAnsi="宋体"/>
          <w:b/>
          <w:sz w:val="24"/>
          <w:szCs w:val="24"/>
        </w:rPr>
        <w:t>履约保证金。</w:t>
      </w:r>
    </w:p>
    <w:p>
      <w:pPr>
        <w:pStyle w:val="6"/>
        <w:numPr>
          <w:ilvl w:val="2"/>
          <w:numId w:val="5"/>
        </w:numPr>
        <w:spacing w:after="200" w:line="400" w:lineRule="exact"/>
        <w:ind w:left="0" w:firstLine="0"/>
        <w:rPr>
          <w:color w:val="auto"/>
          <w:sz w:val="24"/>
          <w:szCs w:val="24"/>
        </w:rPr>
      </w:pPr>
      <w:r>
        <w:rPr>
          <w:rFonts w:hint="eastAsia"/>
          <w:color w:val="auto"/>
          <w:sz w:val="24"/>
          <w:szCs w:val="24"/>
        </w:rPr>
        <w:t>合同公告</w:t>
      </w:r>
    </w:p>
    <w:p>
      <w:pPr>
        <w:spacing w:line="400" w:lineRule="exact"/>
        <w:ind w:firstLine="480" w:firstLineChars="200"/>
        <w:rPr>
          <w:rFonts w:ascii="宋体" w:hAnsi="宋体"/>
          <w:sz w:val="24"/>
          <w:szCs w:val="24"/>
        </w:rPr>
      </w:pPr>
      <w:r>
        <w:rPr>
          <w:rFonts w:hint="eastAsia" w:ascii="宋体" w:hAnsi="宋体"/>
          <w:sz w:val="24"/>
          <w:szCs w:val="24"/>
        </w:rPr>
        <w:t>采购人应当自政府采购合同签订之日起2个工作日内，将政府采购合同在四川政府采购网公告，但政府采购合同中涉及国家秘密、商业秘密的内容除外。</w:t>
      </w:r>
    </w:p>
    <w:p>
      <w:pPr>
        <w:pStyle w:val="6"/>
        <w:numPr>
          <w:ilvl w:val="2"/>
          <w:numId w:val="5"/>
        </w:numPr>
        <w:spacing w:after="200" w:line="400" w:lineRule="exact"/>
        <w:ind w:left="0" w:firstLine="0"/>
        <w:rPr>
          <w:color w:val="auto"/>
          <w:sz w:val="24"/>
          <w:szCs w:val="24"/>
        </w:rPr>
      </w:pPr>
      <w:r>
        <w:rPr>
          <w:rFonts w:hint="eastAsia"/>
          <w:color w:val="auto"/>
          <w:sz w:val="24"/>
          <w:szCs w:val="24"/>
        </w:rPr>
        <w:t>合同备案</w:t>
      </w:r>
    </w:p>
    <w:p>
      <w:pPr>
        <w:spacing w:line="400" w:lineRule="exact"/>
        <w:ind w:firstLine="480" w:firstLineChars="200"/>
        <w:rPr>
          <w:rFonts w:ascii="宋体" w:hAnsi="宋体"/>
          <w:sz w:val="24"/>
          <w:szCs w:val="24"/>
        </w:rPr>
      </w:pPr>
      <w:r>
        <w:rPr>
          <w:rFonts w:hint="eastAsia" w:ascii="宋体" w:hAnsi="宋体"/>
          <w:sz w:val="24"/>
          <w:szCs w:val="24"/>
        </w:rPr>
        <w:t>采购人应当将政府采购合同副本自签订（双方当事人均已签字盖章）之日起七个工作日报同级财政部门备案。</w:t>
      </w:r>
    </w:p>
    <w:bookmarkEnd w:id="48"/>
    <w:p>
      <w:pPr>
        <w:pStyle w:val="6"/>
        <w:numPr>
          <w:ilvl w:val="2"/>
          <w:numId w:val="5"/>
        </w:numPr>
        <w:spacing w:after="200" w:line="400" w:lineRule="exact"/>
        <w:ind w:left="0" w:firstLine="0"/>
        <w:rPr>
          <w:color w:val="auto"/>
          <w:sz w:val="24"/>
          <w:szCs w:val="24"/>
        </w:rPr>
      </w:pPr>
      <w:bookmarkStart w:id="52" w:name="_Toc217446070"/>
      <w:r>
        <w:rPr>
          <w:rFonts w:hint="eastAsia"/>
          <w:color w:val="auto"/>
          <w:sz w:val="24"/>
          <w:szCs w:val="24"/>
        </w:rPr>
        <w:t>履行合同</w:t>
      </w:r>
    </w:p>
    <w:p>
      <w:pPr>
        <w:numPr>
          <w:ilvl w:val="0"/>
          <w:numId w:val="24"/>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合同一经签订，双方应严格履行合同规定的义务。</w:t>
      </w:r>
    </w:p>
    <w:p>
      <w:pPr>
        <w:numPr>
          <w:ilvl w:val="0"/>
          <w:numId w:val="24"/>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在合同履行过程中，如发生合同纠纷，合同双方应按照《中华人民</w:t>
      </w:r>
      <w:r>
        <w:rPr>
          <w:rFonts w:ascii="宋体" w:hAnsi="宋体"/>
          <w:sz w:val="24"/>
          <w:szCs w:val="24"/>
        </w:rPr>
        <w:t>共和国民法典</w:t>
      </w:r>
      <w:r>
        <w:rPr>
          <w:rFonts w:hint="eastAsia" w:ascii="宋体" w:hAnsi="宋体"/>
          <w:sz w:val="24"/>
          <w:szCs w:val="24"/>
        </w:rPr>
        <w:t>》及合同条款的有关规定进行处理。</w:t>
      </w:r>
    </w:p>
    <w:p>
      <w:pPr>
        <w:pStyle w:val="6"/>
        <w:numPr>
          <w:ilvl w:val="2"/>
          <w:numId w:val="5"/>
        </w:numPr>
        <w:spacing w:after="200" w:line="400" w:lineRule="exact"/>
        <w:ind w:left="0" w:firstLine="0"/>
        <w:rPr>
          <w:color w:val="auto"/>
          <w:sz w:val="24"/>
          <w:szCs w:val="24"/>
        </w:rPr>
      </w:pPr>
      <w:r>
        <w:rPr>
          <w:rFonts w:hint="eastAsia"/>
          <w:color w:val="auto"/>
          <w:sz w:val="24"/>
          <w:szCs w:val="24"/>
        </w:rPr>
        <w:t>验收</w:t>
      </w:r>
      <w:bookmarkEnd w:id="52"/>
      <w:r>
        <w:rPr>
          <w:rFonts w:hint="eastAsia"/>
          <w:color w:val="auto"/>
          <w:sz w:val="24"/>
          <w:szCs w:val="24"/>
          <w:lang w:eastAsia="zh-CN"/>
        </w:rPr>
        <w:t>考核</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严格按照国家相关法律法规的要求组织验收或考核，采购预算金额大的采购项目、政府向社会公共提供的公共服务项目、采购人和实际使用人或者受益者分离、有质疑投诉举报的的采购项目，可以邀请国家认可的第三方检测机构或者集采机构参与履约验收工作。</w:t>
      </w:r>
    </w:p>
    <w:p>
      <w:pPr>
        <w:pStyle w:val="6"/>
        <w:numPr>
          <w:ilvl w:val="2"/>
          <w:numId w:val="5"/>
        </w:numPr>
        <w:spacing w:after="200" w:line="400" w:lineRule="exact"/>
        <w:ind w:left="0" w:firstLine="0"/>
        <w:rPr>
          <w:color w:val="auto"/>
          <w:sz w:val="24"/>
          <w:szCs w:val="24"/>
        </w:rPr>
      </w:pPr>
      <w:r>
        <w:rPr>
          <w:rFonts w:hint="eastAsia"/>
          <w:color w:val="auto"/>
          <w:sz w:val="24"/>
          <w:szCs w:val="24"/>
        </w:rPr>
        <w:t>资金支付</w:t>
      </w:r>
    </w:p>
    <w:p>
      <w:pPr>
        <w:pStyle w:val="26"/>
        <w:spacing w:line="400" w:lineRule="exact"/>
        <w:ind w:left="0" w:leftChars="0" w:firstLine="484" w:firstLineChars="202"/>
        <w:rPr>
          <w:rFonts w:ascii="宋体" w:hAnsi="宋体"/>
          <w:sz w:val="24"/>
          <w:szCs w:val="24"/>
        </w:rPr>
      </w:pPr>
      <w:r>
        <w:rPr>
          <w:rFonts w:hint="eastAsia" w:ascii="宋体" w:hAnsi="宋体"/>
          <w:sz w:val="24"/>
          <w:szCs w:val="24"/>
        </w:rPr>
        <w:t>采购人按财政部门有关规定及采购合同的约定进行支付。</w:t>
      </w:r>
    </w:p>
    <w:p>
      <w:pPr>
        <w:pStyle w:val="5"/>
        <w:numPr>
          <w:ilvl w:val="1"/>
          <w:numId w:val="5"/>
        </w:numPr>
        <w:tabs>
          <w:tab w:val="left" w:pos="426"/>
          <w:tab w:val="left" w:pos="567"/>
        </w:tabs>
        <w:spacing w:before="0" w:after="200" w:line="400" w:lineRule="exact"/>
        <w:ind w:left="1985" w:hanging="1985"/>
        <w:jc w:val="both"/>
        <w:rPr>
          <w:sz w:val="24"/>
          <w:szCs w:val="24"/>
        </w:rPr>
      </w:pPr>
      <w:bookmarkStart w:id="53" w:name="_Toc79742127"/>
      <w:bookmarkStart w:id="54" w:name="_Toc58943331"/>
      <w:r>
        <w:rPr>
          <w:rFonts w:hint="eastAsia"/>
          <w:sz w:val="24"/>
          <w:szCs w:val="24"/>
        </w:rPr>
        <w:t>竞争性磋商工作纪律及要求</w:t>
      </w:r>
      <w:bookmarkEnd w:id="53"/>
      <w:bookmarkEnd w:id="54"/>
    </w:p>
    <w:p>
      <w:pPr>
        <w:pStyle w:val="6"/>
        <w:numPr>
          <w:ilvl w:val="2"/>
          <w:numId w:val="5"/>
        </w:numPr>
        <w:spacing w:after="200" w:line="400" w:lineRule="exact"/>
        <w:ind w:left="0" w:firstLine="0"/>
        <w:rPr>
          <w:color w:val="auto"/>
          <w:sz w:val="24"/>
          <w:szCs w:val="24"/>
        </w:rPr>
      </w:pPr>
      <w:bookmarkStart w:id="55" w:name="_Toc217446075"/>
      <w:r>
        <w:rPr>
          <w:rFonts w:hint="eastAsia"/>
          <w:color w:val="auto"/>
          <w:sz w:val="24"/>
          <w:szCs w:val="24"/>
        </w:rPr>
        <w:t>供应商不得具有的情形</w:t>
      </w:r>
      <w:bookmarkEnd w:id="55"/>
    </w:p>
    <w:p>
      <w:pPr>
        <w:pStyle w:val="14"/>
        <w:spacing w:line="400" w:lineRule="exact"/>
        <w:ind w:firstLine="560"/>
        <w:rPr>
          <w:rFonts w:ascii="宋体" w:hAnsi="宋体"/>
          <w:sz w:val="24"/>
          <w:szCs w:val="24"/>
        </w:rPr>
      </w:pPr>
      <w:r>
        <w:rPr>
          <w:rFonts w:hint="eastAsia" w:ascii="宋体" w:hAnsi="宋体"/>
          <w:sz w:val="24"/>
          <w:szCs w:val="24"/>
        </w:rPr>
        <w:t>供应商参加本项目采购不得有下列情形：</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有下列情形之一的，视为供应商串通参加本次竞争性磋商采购活动：</w:t>
      </w:r>
    </w:p>
    <w:p>
      <w:pPr>
        <w:tabs>
          <w:tab w:val="left" w:pos="1134"/>
        </w:tabs>
        <w:spacing w:line="400" w:lineRule="exact"/>
        <w:ind w:left="538"/>
        <w:rPr>
          <w:rFonts w:ascii="宋体" w:hAnsi="宋体"/>
          <w:sz w:val="24"/>
          <w:szCs w:val="24"/>
        </w:rPr>
      </w:pPr>
      <w:r>
        <w:rPr>
          <w:rFonts w:hint="eastAsia" w:ascii="宋体" w:hAnsi="宋体"/>
          <w:sz w:val="24"/>
          <w:szCs w:val="24"/>
        </w:rPr>
        <w:t>（一）不同供应商的响应文件由同一单位或者个人编制；</w:t>
      </w:r>
    </w:p>
    <w:p>
      <w:pPr>
        <w:tabs>
          <w:tab w:val="left" w:pos="1134"/>
        </w:tabs>
        <w:spacing w:line="400" w:lineRule="exact"/>
        <w:ind w:left="538"/>
        <w:rPr>
          <w:rFonts w:ascii="宋体" w:hAnsi="宋体"/>
          <w:sz w:val="24"/>
          <w:szCs w:val="24"/>
        </w:rPr>
      </w:pPr>
      <w:r>
        <w:rPr>
          <w:rFonts w:hint="eastAsia" w:ascii="宋体" w:hAnsi="宋体"/>
          <w:sz w:val="24"/>
          <w:szCs w:val="24"/>
        </w:rPr>
        <w:t>（二）不同供应商委托同一单位或者个人办理磋商事宜；</w:t>
      </w:r>
    </w:p>
    <w:p>
      <w:pPr>
        <w:tabs>
          <w:tab w:val="left" w:pos="1134"/>
        </w:tabs>
        <w:spacing w:line="400" w:lineRule="exact"/>
        <w:ind w:firstLine="460" w:firstLineChars="192"/>
        <w:rPr>
          <w:rFonts w:ascii="宋体" w:hAnsi="宋体"/>
          <w:sz w:val="24"/>
          <w:szCs w:val="24"/>
        </w:rPr>
      </w:pPr>
      <w:r>
        <w:rPr>
          <w:rFonts w:hint="eastAsia" w:ascii="宋体" w:hAnsi="宋体"/>
          <w:sz w:val="24"/>
          <w:szCs w:val="24"/>
        </w:rPr>
        <w:t>（三）不同供应商的响应文件载明的项目管理成员或者联系人员为同一人；</w:t>
      </w:r>
    </w:p>
    <w:p>
      <w:pPr>
        <w:tabs>
          <w:tab w:val="left" w:pos="1134"/>
        </w:tabs>
        <w:spacing w:line="400" w:lineRule="exact"/>
        <w:ind w:left="538"/>
        <w:rPr>
          <w:rFonts w:ascii="宋体" w:hAnsi="宋体"/>
          <w:sz w:val="24"/>
          <w:szCs w:val="24"/>
        </w:rPr>
      </w:pPr>
      <w:r>
        <w:rPr>
          <w:rFonts w:hint="eastAsia" w:ascii="宋体" w:hAnsi="宋体"/>
          <w:sz w:val="24"/>
          <w:szCs w:val="24"/>
        </w:rPr>
        <w:t>（四）不同供应商的响应文件异常一致或者最后报价呈规律性差异；</w:t>
      </w:r>
    </w:p>
    <w:p>
      <w:pPr>
        <w:tabs>
          <w:tab w:val="left" w:pos="1134"/>
        </w:tabs>
        <w:spacing w:line="400" w:lineRule="exact"/>
        <w:ind w:left="538"/>
        <w:rPr>
          <w:rFonts w:ascii="宋体" w:hAnsi="宋体"/>
          <w:sz w:val="24"/>
          <w:szCs w:val="24"/>
        </w:rPr>
      </w:pPr>
      <w:r>
        <w:rPr>
          <w:rFonts w:hint="eastAsia" w:ascii="宋体" w:hAnsi="宋体"/>
          <w:sz w:val="24"/>
          <w:szCs w:val="24"/>
        </w:rPr>
        <w:t>（五）不同供应商的响应文件相互混装；</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提供虚假材料谋取成交；</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采取不正当手段诋毁、排挤其他供应商；</w:t>
      </w:r>
    </w:p>
    <w:p>
      <w:pPr>
        <w:numPr>
          <w:ilvl w:val="1"/>
          <w:numId w:val="25"/>
        </w:numPr>
        <w:tabs>
          <w:tab w:val="left" w:pos="1134"/>
        </w:tabs>
        <w:spacing w:after="200" w:line="400" w:lineRule="exact"/>
        <w:ind w:left="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与采购</w:t>
      </w:r>
      <w:r>
        <w:rPr>
          <w:rFonts w:hint="eastAsia" w:ascii="宋体" w:hAnsi="宋体"/>
          <w:color w:val="000000" w:themeColor="text1"/>
          <w:sz w:val="24"/>
          <w:szCs w:val="24"/>
          <w14:textFill>
            <w14:solidFill>
              <w14:schemeClr w14:val="tx1"/>
            </w14:solidFill>
          </w14:textFill>
        </w:rPr>
        <w:t>人或区政府采购中心、其他供应商恶意串通；</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color w:val="000000" w:themeColor="text1"/>
          <w:sz w:val="24"/>
          <w:szCs w:val="24"/>
          <w14:textFill>
            <w14:solidFill>
              <w14:schemeClr w14:val="tx1"/>
            </w14:solidFill>
          </w14:textFill>
        </w:rPr>
        <w:t>向采购人或区政府采购中心、磋商小组</w:t>
      </w:r>
      <w:r>
        <w:rPr>
          <w:rFonts w:hint="eastAsia" w:ascii="宋体" w:hAnsi="宋体"/>
          <w:sz w:val="24"/>
          <w:szCs w:val="24"/>
        </w:rPr>
        <w:t>成员行贿或者提供其他不正当利益；</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成交后无正当理由拒不与采购人签订政府采购合同；</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未按照采购文件确定的事项签订政府采购合同；</w:t>
      </w:r>
    </w:p>
    <w:p>
      <w:pPr>
        <w:numPr>
          <w:ilvl w:val="1"/>
          <w:numId w:val="25"/>
        </w:numPr>
        <w:tabs>
          <w:tab w:val="left" w:pos="1134"/>
        </w:tabs>
        <w:spacing w:after="200" w:line="400" w:lineRule="exact"/>
        <w:ind w:left="0" w:firstLine="567"/>
        <w:rPr>
          <w:rFonts w:ascii="宋体" w:hAnsi="宋体"/>
          <w:sz w:val="24"/>
          <w:szCs w:val="24"/>
        </w:rPr>
      </w:pPr>
      <w:r>
        <w:rPr>
          <w:rFonts w:hint="eastAsia" w:ascii="宋体" w:hAnsi="宋体"/>
          <w:sz w:val="24"/>
          <w:szCs w:val="24"/>
        </w:rPr>
        <w:t>将政府采购合同转包或者违规分包；</w:t>
      </w:r>
    </w:p>
    <w:p>
      <w:pPr>
        <w:numPr>
          <w:ilvl w:val="255"/>
          <w:numId w:val="0"/>
        </w:numPr>
        <w:tabs>
          <w:tab w:val="left" w:pos="1134"/>
        </w:tabs>
        <w:spacing w:after="200" w:line="400" w:lineRule="exact"/>
        <w:ind w:left="567"/>
        <w:rPr>
          <w:rFonts w:ascii="宋体" w:hAnsi="宋体"/>
          <w:sz w:val="24"/>
          <w:szCs w:val="24"/>
        </w:rPr>
      </w:pPr>
      <w:r>
        <w:rPr>
          <w:rFonts w:hint="eastAsia" w:ascii="宋体" w:hAnsi="宋体"/>
          <w:sz w:val="24"/>
          <w:szCs w:val="24"/>
        </w:rPr>
        <w:t>九、擅自变更、中止或者终止政府采购合同；</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十、拒绝有关部门的监督检查或者向监督检查部门提供虚假情况；</w:t>
      </w:r>
    </w:p>
    <w:p>
      <w:pPr>
        <w:numPr>
          <w:ilvl w:val="255"/>
          <w:numId w:val="0"/>
        </w:numPr>
        <w:tabs>
          <w:tab w:val="left" w:pos="1134"/>
          <w:tab w:val="left" w:pos="1418"/>
        </w:tabs>
        <w:spacing w:after="200" w:line="400" w:lineRule="exact"/>
        <w:ind w:left="567"/>
        <w:rPr>
          <w:rFonts w:ascii="宋体" w:hAnsi="宋体"/>
          <w:sz w:val="24"/>
          <w:szCs w:val="24"/>
        </w:rPr>
      </w:pPr>
      <w:r>
        <w:rPr>
          <w:rFonts w:hint="eastAsia" w:ascii="宋体" w:hAnsi="宋体"/>
          <w:sz w:val="24"/>
          <w:szCs w:val="24"/>
        </w:rPr>
        <w:t>十一、法律法规规定的其他禁止情形。</w:t>
      </w:r>
    </w:p>
    <w:p>
      <w:pPr>
        <w:pStyle w:val="14"/>
        <w:spacing w:line="400" w:lineRule="exact"/>
        <w:ind w:firstLine="487" w:firstLineChars="202"/>
        <w:rPr>
          <w:rFonts w:ascii="宋体" w:hAnsi="宋体" w:eastAsia="宋体"/>
          <w:sz w:val="24"/>
          <w:szCs w:val="24"/>
        </w:rPr>
      </w:pPr>
      <w:r>
        <w:rPr>
          <w:rFonts w:hint="eastAsia" w:ascii="宋体" w:hAnsi="宋体" w:eastAsia="宋体"/>
          <w:b/>
          <w:sz w:val="24"/>
          <w:szCs w:val="24"/>
        </w:rPr>
        <w:t>供应商有上述情形的，按照规定追究法律责任，</w:t>
      </w:r>
      <w:r>
        <w:rPr>
          <w:rFonts w:ascii="宋体" w:hAnsi="宋体" w:eastAsia="宋体"/>
          <w:b/>
          <w:sz w:val="24"/>
          <w:szCs w:val="24"/>
        </w:rPr>
        <w:t>具备上</w:t>
      </w:r>
      <w:r>
        <w:rPr>
          <w:rFonts w:hint="eastAsia" w:ascii="宋体" w:hAnsi="宋体" w:eastAsia="宋体"/>
          <w:b/>
          <w:sz w:val="24"/>
          <w:szCs w:val="24"/>
        </w:rPr>
        <w:t>述</w:t>
      </w:r>
      <w:r>
        <w:rPr>
          <w:rFonts w:ascii="宋体" w:hAnsi="宋体" w:eastAsia="宋体"/>
          <w:b/>
          <w:sz w:val="24"/>
          <w:szCs w:val="24"/>
        </w:rPr>
        <w:t>“</w:t>
      </w:r>
      <w:r>
        <w:rPr>
          <w:rFonts w:hint="eastAsia" w:ascii="宋体" w:hAnsi="宋体" w:eastAsia="宋体"/>
          <w:b/>
          <w:sz w:val="24"/>
          <w:szCs w:val="24"/>
        </w:rPr>
        <w:t>一</w:t>
      </w:r>
      <w:r>
        <w:rPr>
          <w:rFonts w:ascii="宋体" w:hAnsi="宋体" w:eastAsia="宋体"/>
          <w:b/>
          <w:sz w:val="24"/>
          <w:szCs w:val="24"/>
        </w:rPr>
        <w:t>”</w:t>
      </w:r>
      <w:r>
        <w:rPr>
          <w:rFonts w:hint="eastAsia" w:ascii="宋体" w:hAnsi="宋体" w:eastAsia="宋体"/>
          <w:b/>
          <w:sz w:val="24"/>
          <w:szCs w:val="24"/>
        </w:rPr>
        <w:t>至</w:t>
      </w:r>
      <w:r>
        <w:rPr>
          <w:rFonts w:ascii="宋体" w:hAnsi="宋体" w:eastAsia="宋体"/>
          <w:b/>
          <w:sz w:val="24"/>
          <w:szCs w:val="24"/>
        </w:rPr>
        <w:t>“</w:t>
      </w:r>
      <w:r>
        <w:rPr>
          <w:rFonts w:hint="eastAsia" w:ascii="宋体" w:hAnsi="宋体" w:eastAsia="宋体"/>
          <w:b/>
          <w:sz w:val="24"/>
          <w:szCs w:val="24"/>
        </w:rPr>
        <w:t>九</w:t>
      </w:r>
      <w:r>
        <w:rPr>
          <w:rFonts w:ascii="宋体" w:hAnsi="宋体" w:eastAsia="宋体"/>
          <w:b/>
          <w:sz w:val="24"/>
          <w:szCs w:val="24"/>
        </w:rPr>
        <w:t>”</w:t>
      </w:r>
      <w:r>
        <w:rPr>
          <w:rFonts w:hint="eastAsia" w:ascii="宋体" w:hAnsi="宋体" w:eastAsia="宋体"/>
          <w:b/>
          <w:sz w:val="24"/>
          <w:szCs w:val="24"/>
        </w:rPr>
        <w:t>条</w:t>
      </w:r>
      <w:r>
        <w:rPr>
          <w:rFonts w:ascii="宋体" w:hAnsi="宋体" w:eastAsia="宋体"/>
          <w:b/>
          <w:sz w:val="24"/>
          <w:szCs w:val="24"/>
        </w:rPr>
        <w:t>情形之一的，其响应文件无效，</w:t>
      </w:r>
      <w:r>
        <w:rPr>
          <w:rFonts w:hint="eastAsia" w:ascii="宋体" w:hAnsi="宋体" w:eastAsia="宋体"/>
          <w:b/>
          <w:sz w:val="24"/>
          <w:szCs w:val="24"/>
        </w:rPr>
        <w:t>或</w:t>
      </w:r>
      <w:r>
        <w:rPr>
          <w:rFonts w:ascii="宋体" w:hAnsi="宋体" w:eastAsia="宋体"/>
          <w:b/>
          <w:sz w:val="24"/>
          <w:szCs w:val="24"/>
        </w:rPr>
        <w:t>取消被</w:t>
      </w:r>
      <w:r>
        <w:rPr>
          <w:rFonts w:hint="eastAsia" w:ascii="宋体" w:hAnsi="宋体" w:eastAsia="宋体"/>
          <w:b/>
          <w:sz w:val="24"/>
          <w:szCs w:val="24"/>
        </w:rPr>
        <w:t>确认为</w:t>
      </w:r>
      <w:r>
        <w:rPr>
          <w:rFonts w:ascii="宋体" w:hAnsi="宋体" w:eastAsia="宋体"/>
          <w:b/>
          <w:sz w:val="24"/>
          <w:szCs w:val="24"/>
        </w:rPr>
        <w:t>成交供应商的资格或认定成交无效。</w:t>
      </w:r>
    </w:p>
    <w:p>
      <w:pPr>
        <w:pStyle w:val="6"/>
        <w:numPr>
          <w:ilvl w:val="2"/>
          <w:numId w:val="5"/>
        </w:numPr>
        <w:spacing w:after="200" w:line="400" w:lineRule="exact"/>
        <w:ind w:left="0" w:firstLine="0"/>
        <w:rPr>
          <w:color w:val="auto"/>
          <w:sz w:val="24"/>
          <w:szCs w:val="24"/>
        </w:rPr>
      </w:pPr>
      <w:r>
        <w:rPr>
          <w:rFonts w:hint="eastAsia"/>
          <w:color w:val="auto"/>
          <w:sz w:val="24"/>
          <w:szCs w:val="24"/>
        </w:rPr>
        <w:t>回避</w:t>
      </w:r>
    </w:p>
    <w:p>
      <w:pPr>
        <w:pStyle w:val="39"/>
        <w:shd w:val="clear" w:color="auto" w:fill="FFFFFF"/>
        <w:spacing w:before="0" w:beforeAutospacing="0" w:after="0" w:afterAutospacing="0" w:line="400" w:lineRule="exact"/>
        <w:ind w:firstLine="484" w:firstLineChars="202"/>
        <w:jc w:val="both"/>
        <w:rPr>
          <w:rFonts w:cs="Helvetica"/>
          <w:color w:val="auto"/>
          <w:sz w:val="24"/>
          <w:szCs w:val="24"/>
        </w:rPr>
      </w:pPr>
      <w:r>
        <w:rPr>
          <w:rFonts w:hint="eastAsia" w:cs="Helvetica"/>
          <w:color w:val="auto"/>
          <w:sz w:val="24"/>
          <w:szCs w:val="24"/>
        </w:rPr>
        <w:t>在政府采购活动中，采购人员（</w:t>
      </w:r>
      <w:r>
        <w:rPr>
          <w:rFonts w:hint="eastAsia"/>
          <w:color w:val="auto"/>
          <w:sz w:val="24"/>
          <w:szCs w:val="24"/>
        </w:rPr>
        <w:t>如采购人内部负责采购项目的具体经办工作人员和直接分管采购项目的负责人，以及采购代理机构负责采购项目的具体经办工作人员和直接分管采购活动的负责人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4"/>
          <w:szCs w:val="24"/>
        </w:rPr>
        <w:t>）及相关人员（如</w:t>
      </w:r>
      <w:r>
        <w:rPr>
          <w:rFonts w:cs="Helvetica"/>
          <w:color w:val="auto"/>
          <w:sz w:val="24"/>
          <w:szCs w:val="24"/>
        </w:rPr>
        <w:t>磋商小组组成人员</w:t>
      </w:r>
      <w:r>
        <w:rPr>
          <w:rFonts w:hint="eastAsia" w:cs="Helvetica"/>
          <w:color w:val="auto"/>
          <w:sz w:val="24"/>
          <w:szCs w:val="24"/>
        </w:rPr>
        <w:t>）与供应商有下列利害关系之一的，应当回避：</w:t>
      </w:r>
    </w:p>
    <w:p>
      <w:pPr>
        <w:pStyle w:val="39"/>
        <w:shd w:val="clear" w:color="auto" w:fill="FFFFFF"/>
        <w:spacing w:before="0" w:beforeAutospacing="0" w:after="0" w:afterAutospacing="0" w:line="400" w:lineRule="exact"/>
        <w:ind w:firstLine="480" w:firstLineChars="200"/>
        <w:rPr>
          <w:rFonts w:cs="Helvetica"/>
          <w:color w:val="auto"/>
          <w:sz w:val="24"/>
          <w:szCs w:val="24"/>
        </w:rPr>
      </w:pPr>
      <w:r>
        <w:rPr>
          <w:rFonts w:hint="eastAsia" w:cs="Helvetica"/>
          <w:color w:val="auto"/>
          <w:sz w:val="24"/>
          <w:szCs w:val="24"/>
        </w:rPr>
        <w:t>（一）参加采购活动前3年内与供应商存在劳动关系；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（二）参加采购活动前3年内担任供应商的董事、监事；</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（三）参加采购活动前3年内是供应商的控股股东或者实际控制人；</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（四）与供应商的法定代表人或者负责人有夫妻、直系血亲、三代以内旁系血亲或者近姻亲关系；</w:t>
      </w:r>
    </w:p>
    <w:p>
      <w:pPr>
        <w:pStyle w:val="39"/>
        <w:shd w:val="clear" w:color="auto" w:fill="FFFFFF"/>
        <w:spacing w:before="0" w:beforeAutospacing="0" w:after="0" w:afterAutospacing="0" w:line="400" w:lineRule="exact"/>
        <w:rPr>
          <w:rFonts w:cs="Helvetica"/>
          <w:color w:val="auto"/>
          <w:sz w:val="24"/>
          <w:szCs w:val="24"/>
        </w:rPr>
      </w:pPr>
      <w:r>
        <w:rPr>
          <w:rFonts w:hint="eastAsia" w:cs="Helvetica"/>
          <w:color w:val="auto"/>
          <w:sz w:val="24"/>
          <w:szCs w:val="24"/>
        </w:rPr>
        <w:t>　　（五）与供应商有其他可能影响政府采购活动公平、公正进行的关系。</w:t>
      </w:r>
    </w:p>
    <w:p>
      <w:pPr>
        <w:spacing w:line="400" w:lineRule="exact"/>
        <w:ind w:firstLine="480" w:firstLineChars="200"/>
        <w:rPr>
          <w:rFonts w:cs="Helvetica"/>
          <w:sz w:val="24"/>
          <w:szCs w:val="24"/>
        </w:rPr>
      </w:pPr>
      <w:r>
        <w:rPr>
          <w:rFonts w:hint="eastAsia" w:cs="Helvetica"/>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
        <w:numPr>
          <w:ilvl w:val="1"/>
          <w:numId w:val="5"/>
        </w:numPr>
        <w:tabs>
          <w:tab w:val="left" w:pos="426"/>
          <w:tab w:val="left" w:pos="567"/>
        </w:tabs>
        <w:spacing w:before="0" w:after="200" w:line="400" w:lineRule="exact"/>
        <w:ind w:left="1985" w:hanging="1985"/>
        <w:jc w:val="both"/>
        <w:rPr>
          <w:sz w:val="24"/>
          <w:szCs w:val="24"/>
        </w:rPr>
      </w:pPr>
      <w:bookmarkStart w:id="56" w:name="_Toc405886181"/>
      <w:bookmarkStart w:id="57" w:name="_Toc58943332"/>
      <w:bookmarkStart w:id="58" w:name="_Toc79742128"/>
      <w:r>
        <w:rPr>
          <w:rFonts w:hint="eastAsia"/>
          <w:sz w:val="24"/>
          <w:szCs w:val="24"/>
        </w:rPr>
        <w:t>询问、质疑</w:t>
      </w:r>
      <w:bookmarkEnd w:id="56"/>
      <w:r>
        <w:rPr>
          <w:rFonts w:hint="eastAsia"/>
          <w:sz w:val="24"/>
          <w:szCs w:val="24"/>
        </w:rPr>
        <w:t>和投诉</w:t>
      </w:r>
      <w:bookmarkEnd w:id="57"/>
      <w:bookmarkEnd w:id="58"/>
    </w:p>
    <w:p>
      <w:pPr>
        <w:pStyle w:val="26"/>
        <w:numPr>
          <w:ilvl w:val="0"/>
          <w:numId w:val="26"/>
        </w:numPr>
        <w:tabs>
          <w:tab w:val="left" w:pos="1134"/>
        </w:tabs>
        <w:spacing w:after="0" w:line="400" w:lineRule="exact"/>
        <w:ind w:left="0" w:leftChars="0" w:firstLine="567"/>
        <w:rPr>
          <w:rFonts w:ascii="宋体" w:hAnsi="宋体" w:cs="宋体"/>
          <w:sz w:val="24"/>
          <w:szCs w:val="24"/>
        </w:rPr>
      </w:pPr>
      <w:r>
        <w:rPr>
          <w:rFonts w:hint="eastAsia" w:ascii="宋体" w:hAnsi="宋体" w:cs="宋体"/>
          <w:sz w:val="24"/>
          <w:szCs w:val="24"/>
        </w:rPr>
        <w:t>供应商认为磋商文件、磋商过程和成交结果使自己的合法权益受到损害的，可以依法进行质疑。</w:t>
      </w:r>
    </w:p>
    <w:p>
      <w:pPr>
        <w:pStyle w:val="81"/>
        <w:widowControl/>
        <w:numPr>
          <w:ilvl w:val="0"/>
          <w:numId w:val="26"/>
        </w:numPr>
        <w:tabs>
          <w:tab w:val="left" w:pos="1134"/>
        </w:tabs>
        <w:spacing w:before="156" w:line="400" w:lineRule="exact"/>
        <w:ind w:left="0" w:firstLine="484" w:firstLineChars="202"/>
        <w:jc w:val="left"/>
        <w:rPr>
          <w:rFonts w:ascii="宋体" w:hAnsi="宋体" w:eastAsia="宋体"/>
          <w:sz w:val="24"/>
          <w:szCs w:val="24"/>
        </w:rPr>
      </w:pPr>
      <w:r>
        <w:rPr>
          <w:rFonts w:hint="eastAsia" w:ascii="宋体" w:hAnsi="宋体" w:eastAsia="宋体"/>
          <w:sz w:val="24"/>
          <w:szCs w:val="24"/>
        </w:rPr>
        <w:t>询问、质疑、投诉的接收和处理严格按照《中华人民共和国政府采购法》《中华人民共和国政府采购法实施条例》和《政府采购质疑和投诉办法》（财政部94号令）的规定办理。</w:t>
      </w:r>
    </w:p>
    <w:p>
      <w:pPr>
        <w:pStyle w:val="26"/>
        <w:numPr>
          <w:ilvl w:val="0"/>
          <w:numId w:val="26"/>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供应商询问、质疑的对象</w:t>
      </w:r>
    </w:p>
    <w:p>
      <w:pPr>
        <w:pStyle w:val="26"/>
        <w:numPr>
          <w:ilvl w:val="1"/>
          <w:numId w:val="27"/>
        </w:numPr>
        <w:tabs>
          <w:tab w:val="left" w:pos="1134"/>
        </w:tabs>
        <w:spacing w:line="400" w:lineRule="exact"/>
        <w:ind w:left="0" w:leftChars="0" w:firstLine="567"/>
        <w:rPr>
          <w:rFonts w:ascii="宋体" w:hAnsi="宋体"/>
          <w:sz w:val="24"/>
          <w:szCs w:val="24"/>
        </w:rPr>
      </w:pPr>
      <w:r>
        <w:rPr>
          <w:rFonts w:hint="eastAsia" w:ascii="宋体" w:hAnsi="宋体"/>
          <w:sz w:val="24"/>
          <w:szCs w:val="24"/>
        </w:rPr>
        <w:t>供应商对磋商文件中供应商参加本次政府采购活动应当具备的条件，项目技术、服务、商务及其他要求，评审办法</w:t>
      </w:r>
      <w:r>
        <w:rPr>
          <w:rFonts w:ascii="宋体" w:hAnsi="宋体"/>
          <w:sz w:val="24"/>
          <w:szCs w:val="24"/>
        </w:rPr>
        <w:t>和</w:t>
      </w:r>
      <w:r>
        <w:rPr>
          <w:rFonts w:hint="eastAsia" w:ascii="宋体" w:hAnsi="宋体"/>
          <w:sz w:val="24"/>
          <w:szCs w:val="24"/>
        </w:rPr>
        <w:t>标准提出询问或质疑的，向采购人提出；</w:t>
      </w:r>
    </w:p>
    <w:p>
      <w:pPr>
        <w:pStyle w:val="26"/>
        <w:numPr>
          <w:ilvl w:val="1"/>
          <w:numId w:val="27"/>
        </w:numPr>
        <w:tabs>
          <w:tab w:val="left" w:pos="1134"/>
        </w:tabs>
        <w:spacing w:line="400" w:lineRule="exact"/>
        <w:ind w:left="0" w:leftChars="0" w:firstLine="567"/>
        <w:rPr>
          <w:rFonts w:ascii="宋体" w:hAnsi="宋体"/>
          <w:color w:val="000000" w:themeColor="text1"/>
          <w:sz w:val="24"/>
          <w:szCs w:val="24"/>
          <w14:textFill>
            <w14:solidFill>
              <w14:schemeClr w14:val="tx1"/>
            </w14:solidFill>
          </w14:textFill>
        </w:rPr>
      </w:pPr>
      <w:r>
        <w:rPr>
          <w:rFonts w:hint="eastAsia" w:ascii="宋体" w:hAnsi="宋体"/>
          <w:sz w:val="24"/>
          <w:szCs w:val="24"/>
        </w:rPr>
        <w:t>供应商对除上述磋商文件中的其他内容、采购过程及成交结果提出询问、质疑的，</w:t>
      </w:r>
      <w:r>
        <w:rPr>
          <w:rFonts w:hint="eastAsia" w:ascii="宋体" w:hAnsi="宋体"/>
          <w:color w:val="000000" w:themeColor="text1"/>
          <w:sz w:val="24"/>
          <w:szCs w:val="24"/>
          <w14:textFill>
            <w14:solidFill>
              <w14:schemeClr w14:val="tx1"/>
            </w14:solidFill>
          </w14:textFill>
        </w:rPr>
        <w:t>向区政府采购中心提出。</w:t>
      </w:r>
    </w:p>
    <w:p>
      <w:pPr>
        <w:pStyle w:val="26"/>
        <w:numPr>
          <w:ilvl w:val="0"/>
          <w:numId w:val="26"/>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供应商提出的询问，应当明确询问事项，如以书面形式提出的，应由供应商法定代表人签字并加盖公章。</w:t>
      </w:r>
    </w:p>
    <w:p>
      <w:pPr>
        <w:pStyle w:val="26"/>
        <w:numPr>
          <w:ilvl w:val="0"/>
          <w:numId w:val="26"/>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供应商可通过“政府采购云平台”，或现场向采购人或</w:t>
      </w:r>
      <w:r>
        <w:rPr>
          <w:rFonts w:hint="eastAsia" w:ascii="宋体" w:hAnsi="宋体"/>
          <w:sz w:val="24"/>
          <w:szCs w:val="24"/>
          <w:lang w:eastAsia="zh-CN"/>
        </w:rPr>
        <w:t>区政府采购</w:t>
      </w:r>
      <w:r>
        <w:rPr>
          <w:rFonts w:hint="eastAsia" w:ascii="宋体" w:hAnsi="宋体"/>
          <w:sz w:val="24"/>
          <w:szCs w:val="24"/>
        </w:rPr>
        <w:t>中心提交质疑资料</w:t>
      </w:r>
      <w:r>
        <w:rPr>
          <w:rFonts w:hint="eastAsia" w:ascii="宋体" w:hAnsi="宋体"/>
          <w:sz w:val="24"/>
          <w:szCs w:val="24"/>
          <w:lang w:eastAsia="zh-CN"/>
        </w:rPr>
        <w:t>。</w:t>
      </w:r>
    </w:p>
    <w:p>
      <w:pPr>
        <w:pStyle w:val="26"/>
        <w:numPr>
          <w:ilvl w:val="0"/>
          <w:numId w:val="26"/>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pStyle w:val="26"/>
        <w:numPr>
          <w:ilvl w:val="0"/>
          <w:numId w:val="26"/>
        </w:numPr>
        <w:tabs>
          <w:tab w:val="left" w:pos="1134"/>
        </w:tabs>
        <w:spacing w:after="0" w:line="400" w:lineRule="exact"/>
        <w:ind w:left="0" w:leftChars="0" w:firstLine="567"/>
        <w:rPr>
          <w:rFonts w:ascii="宋体" w:hAnsi="宋体"/>
          <w:sz w:val="24"/>
          <w:szCs w:val="24"/>
        </w:rPr>
      </w:pPr>
      <w:r>
        <w:rPr>
          <w:rFonts w:hint="eastAsia" w:ascii="宋体" w:hAnsi="宋体"/>
          <w:sz w:val="24"/>
          <w:szCs w:val="24"/>
        </w:rPr>
        <w:t>供应商提出质疑时应当准备的资料</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ascii="宋体" w:hAnsi="宋体" w:eastAsia="宋体"/>
          <w:sz w:val="24"/>
          <w:szCs w:val="24"/>
        </w:rPr>
        <w:t>质疑书</w:t>
      </w:r>
      <w:r>
        <w:rPr>
          <w:rFonts w:hint="eastAsia" w:ascii="宋体" w:hAnsi="宋体" w:eastAsia="宋体"/>
          <w:sz w:val="24"/>
          <w:szCs w:val="24"/>
        </w:rPr>
        <w:t>1</w:t>
      </w:r>
      <w:r>
        <w:rPr>
          <w:rFonts w:ascii="宋体" w:hAnsi="宋体" w:eastAsia="宋体"/>
          <w:sz w:val="24"/>
          <w:szCs w:val="24"/>
        </w:rPr>
        <w:t>份</w:t>
      </w:r>
      <w:r>
        <w:rPr>
          <w:rFonts w:hint="eastAsia" w:ascii="宋体" w:hAnsi="宋体" w:eastAsia="宋体"/>
          <w:sz w:val="24"/>
          <w:szCs w:val="24"/>
        </w:rPr>
        <w:t>（加盖公章）；</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委托代理人办理质疑事宜的，需提供法定代表人授权委托书1份（加盖公章）；</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营业执照或法人证书复印件1份；</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lang w:eastAsia="zh-CN"/>
        </w:rPr>
        <w:t>或主要负责人</w:t>
      </w:r>
      <w:r>
        <w:rPr>
          <w:rFonts w:hint="eastAsia" w:ascii="宋体" w:hAnsi="宋体" w:eastAsia="宋体"/>
          <w:sz w:val="24"/>
          <w:szCs w:val="24"/>
        </w:rPr>
        <w:t>身份证复印件1份；</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委托代理人身份证复印件1份（委托代理人办理质疑事宜的需提供）；</w:t>
      </w:r>
    </w:p>
    <w:p>
      <w:pPr>
        <w:pStyle w:val="81"/>
        <w:numPr>
          <w:ilvl w:val="1"/>
          <w:numId w:val="28"/>
        </w:numPr>
        <w:tabs>
          <w:tab w:val="left" w:pos="1134"/>
        </w:tabs>
        <w:spacing w:before="156" w:after="200" w:line="400" w:lineRule="exact"/>
        <w:ind w:left="0" w:firstLine="567" w:firstLineChars="0"/>
        <w:rPr>
          <w:rFonts w:ascii="宋体" w:hAnsi="宋体" w:eastAsia="宋体"/>
          <w:sz w:val="24"/>
          <w:szCs w:val="24"/>
        </w:rPr>
      </w:pPr>
      <w:r>
        <w:rPr>
          <w:rFonts w:hint="eastAsia" w:ascii="宋体" w:hAnsi="宋体" w:eastAsia="宋体"/>
          <w:sz w:val="24"/>
          <w:szCs w:val="24"/>
        </w:rPr>
        <w:t>针对质疑事项必要的证明材料。</w:t>
      </w:r>
    </w:p>
    <w:p>
      <w:pPr>
        <w:pStyle w:val="26"/>
        <w:tabs>
          <w:tab w:val="left" w:pos="1134"/>
        </w:tabs>
        <w:spacing w:after="200" w:line="400" w:lineRule="exact"/>
        <w:ind w:left="0" w:leftChars="0" w:firstLine="600" w:firstLineChars="250"/>
        <w:rPr>
          <w:sz w:val="20"/>
          <w:szCs w:val="21"/>
        </w:rPr>
      </w:pPr>
      <w:r>
        <w:rPr>
          <w:rFonts w:hint="eastAsia" w:ascii="宋体" w:hAnsi="宋体"/>
          <w:sz w:val="24"/>
          <w:szCs w:val="24"/>
        </w:rPr>
        <w:t>供应商对采购人、集中采购机构的质疑答复不满意，或者采购人、集中采购机构未在规定期限内作出答复的，供应商可以在答复期满后15个工作日内向同级财政部门提起投诉。</w:t>
      </w:r>
      <w:bookmarkStart w:id="59" w:name="_Toc376425021"/>
      <w:bookmarkEnd w:id="59"/>
      <w:bookmarkStart w:id="60" w:name="_Toc77688481"/>
      <w:bookmarkEnd w:id="60"/>
      <w:bookmarkStart w:id="61" w:name="_Toc77688483"/>
      <w:bookmarkEnd w:id="61"/>
      <w:bookmarkStart w:id="62" w:name="_Toc77688482"/>
      <w:bookmarkEnd w:id="62"/>
    </w:p>
    <w:p>
      <w:pPr>
        <w:pStyle w:val="5"/>
        <w:numPr>
          <w:ilvl w:val="1"/>
          <w:numId w:val="5"/>
        </w:numPr>
        <w:tabs>
          <w:tab w:val="left" w:pos="426"/>
          <w:tab w:val="left" w:pos="567"/>
        </w:tabs>
        <w:spacing w:before="0" w:after="200" w:line="400" w:lineRule="exact"/>
        <w:ind w:left="1985" w:hanging="1985"/>
        <w:jc w:val="both"/>
        <w:rPr>
          <w:sz w:val="24"/>
          <w:szCs w:val="24"/>
        </w:rPr>
      </w:pPr>
      <w:bookmarkStart w:id="63" w:name="_Toc58943334"/>
      <w:bookmarkStart w:id="64" w:name="_Toc79742129"/>
      <w:r>
        <w:rPr>
          <w:rFonts w:hint="eastAsia"/>
          <w:sz w:val="24"/>
          <w:szCs w:val="24"/>
        </w:rPr>
        <w:t>其他</w:t>
      </w:r>
      <w:bookmarkEnd w:id="63"/>
      <w:bookmarkEnd w:id="64"/>
    </w:p>
    <w:p>
      <w:pPr>
        <w:tabs>
          <w:tab w:val="left" w:pos="1134"/>
        </w:tabs>
        <w:spacing w:line="400" w:lineRule="exact"/>
        <w:ind w:firstLine="484" w:firstLineChars="202"/>
        <w:rPr>
          <w:rFonts w:ascii="宋体" w:hAnsi="宋体"/>
          <w:sz w:val="24"/>
          <w:szCs w:val="24"/>
        </w:rPr>
      </w:pPr>
      <w:r>
        <w:rPr>
          <w:rFonts w:hint="eastAsia" w:ascii="宋体" w:hAnsi="宋体"/>
          <w:sz w:val="24"/>
          <w:szCs w:val="24"/>
        </w:rPr>
        <w:t>采购人可以要求参加政府采购的供应商提供有关资质证明文件和业绩情况，并根据《中华人民共和国政府采购法》规定的供应商条件和采购项目对供应商的特定要求，对供应商的资格进行审查。</w:t>
      </w:r>
    </w:p>
    <w:p>
      <w:pPr>
        <w:spacing w:line="360" w:lineRule="auto"/>
        <w:rPr>
          <w:rFonts w:ascii="宋体" w:hAnsi="宋体"/>
          <w:sz w:val="24"/>
          <w:szCs w:val="24"/>
        </w:rPr>
        <w:sectPr>
          <w:pgSz w:w="11906" w:h="16838"/>
          <w:pgMar w:top="1134" w:right="1274" w:bottom="1440" w:left="1418" w:header="851" w:footer="992" w:gutter="0"/>
          <w:cols w:space="720" w:num="1"/>
          <w:docGrid w:type="lines" w:linePitch="312" w:charSpace="0"/>
        </w:sectPr>
      </w:pPr>
    </w:p>
    <w:p>
      <w:pPr>
        <w:pStyle w:val="4"/>
        <w:widowControl/>
        <w:numPr>
          <w:ilvl w:val="0"/>
          <w:numId w:val="5"/>
        </w:numPr>
        <w:spacing w:before="0" w:after="0" w:line="360" w:lineRule="auto"/>
        <w:ind w:left="0" w:firstLine="0"/>
        <w:rPr>
          <w:sz w:val="28"/>
          <w:szCs w:val="28"/>
        </w:rPr>
      </w:pPr>
      <w:bookmarkStart w:id="65" w:name="_Toc238581781"/>
      <w:bookmarkStart w:id="66" w:name="_Toc58943335"/>
      <w:bookmarkStart w:id="67" w:name="_Toc79742130"/>
      <w:r>
        <w:rPr>
          <w:rFonts w:hint="eastAsia"/>
          <w:sz w:val="28"/>
          <w:szCs w:val="28"/>
        </w:rPr>
        <w:t>响应</w:t>
      </w:r>
      <w:bookmarkEnd w:id="65"/>
      <w:r>
        <w:rPr>
          <w:rFonts w:hint="eastAsia"/>
          <w:sz w:val="28"/>
          <w:szCs w:val="28"/>
        </w:rPr>
        <w:t>文件格式</w:t>
      </w:r>
      <w:bookmarkEnd w:id="66"/>
      <w:bookmarkEnd w:id="67"/>
    </w:p>
    <w:p>
      <w:pPr>
        <w:pStyle w:val="5"/>
        <w:numPr>
          <w:ilvl w:val="1"/>
          <w:numId w:val="5"/>
        </w:numPr>
        <w:tabs>
          <w:tab w:val="left" w:pos="426"/>
          <w:tab w:val="left" w:pos="567"/>
        </w:tabs>
        <w:spacing w:before="0" w:after="200"/>
        <w:ind w:left="1985" w:hanging="1985"/>
        <w:jc w:val="both"/>
        <w:rPr>
          <w:sz w:val="24"/>
          <w:szCs w:val="24"/>
        </w:rPr>
      </w:pPr>
      <w:bookmarkStart w:id="68" w:name="_Toc58943336"/>
      <w:bookmarkStart w:id="69" w:name="_Toc79742131"/>
      <w:r>
        <w:rPr>
          <w:rFonts w:hint="eastAsia"/>
          <w:sz w:val="24"/>
          <w:szCs w:val="24"/>
        </w:rPr>
        <w:t>资格性响应文件格式</w:t>
      </w:r>
      <w:bookmarkEnd w:id="68"/>
      <w:bookmarkEnd w:id="69"/>
    </w:p>
    <w:p>
      <w:pPr>
        <w:pStyle w:val="6"/>
        <w:numPr>
          <w:ilvl w:val="2"/>
          <w:numId w:val="5"/>
        </w:numPr>
        <w:tabs>
          <w:tab w:val="left" w:pos="709"/>
        </w:tabs>
        <w:spacing w:after="200"/>
        <w:ind w:left="709" w:hanging="709"/>
        <w:rPr>
          <w:color w:val="auto"/>
          <w:sz w:val="24"/>
          <w:szCs w:val="24"/>
        </w:rPr>
      </w:pPr>
      <w:bookmarkStart w:id="70" w:name="_Toc320698761"/>
      <w:r>
        <w:rPr>
          <w:rFonts w:hint="eastAsia"/>
          <w:color w:val="auto"/>
          <w:sz w:val="24"/>
          <w:szCs w:val="24"/>
        </w:rPr>
        <w:t>资格性响应文件封面格式</w:t>
      </w:r>
      <w:bookmarkEnd w:id="70"/>
    </w:p>
    <w:p>
      <w:pPr>
        <w:jc w:val="center"/>
        <w:rPr>
          <w:rFonts w:ascii="宋体" w:hAnsi="宋体"/>
          <w:sz w:val="72"/>
          <w:szCs w:val="72"/>
        </w:rPr>
      </w:pPr>
    </w:p>
    <w:p>
      <w:pPr>
        <w:jc w:val="center"/>
        <w:rPr>
          <w:rFonts w:ascii="宋体" w:hAnsi="宋体"/>
          <w:sz w:val="72"/>
          <w:szCs w:val="72"/>
        </w:rPr>
      </w:pPr>
      <w:r>
        <w:rPr>
          <w:rFonts w:hint="eastAsia" w:ascii="宋体" w:hAnsi="宋体"/>
          <w:sz w:val="72"/>
          <w:szCs w:val="72"/>
        </w:rPr>
        <w:t>资格性响应文件</w:t>
      </w:r>
    </w:p>
    <w:p>
      <w:pPr>
        <w:spacing w:line="360" w:lineRule="auto"/>
        <w:ind w:firstLine="280" w:firstLineChars="100"/>
        <w:rPr>
          <w:rFonts w:ascii="宋体" w:hAnsi="宋体"/>
          <w:sz w:val="28"/>
          <w:szCs w:val="28"/>
        </w:rPr>
      </w:pPr>
    </w:p>
    <w:p>
      <w:pPr>
        <w:spacing w:line="360" w:lineRule="auto"/>
        <w:ind w:left="1655" w:leftChars="151" w:hanging="1338" w:hangingChars="476"/>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项目名称：xxxxxxxxxx</w:t>
      </w:r>
    </w:p>
    <w:p>
      <w:pPr>
        <w:spacing w:line="360" w:lineRule="auto"/>
        <w:ind w:firstLine="281" w:firstLineChars="1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 XXXX</w:t>
      </w:r>
    </w:p>
    <w:p>
      <w:pPr>
        <w:spacing w:line="360" w:lineRule="auto"/>
        <w:ind w:firstLine="280" w:firstLineChars="100"/>
        <w:rPr>
          <w:rFonts w:ascii="宋体" w:hAnsi="宋体"/>
          <w:sz w:val="28"/>
          <w:szCs w:val="28"/>
        </w:rPr>
      </w:pPr>
    </w:p>
    <w:p>
      <w:pPr>
        <w:spacing w:line="360" w:lineRule="auto"/>
        <w:ind w:firstLine="280" w:firstLineChars="100"/>
        <w:rPr>
          <w:rFonts w:ascii="宋体" w:hAnsi="宋体"/>
          <w:sz w:val="28"/>
          <w:szCs w:val="28"/>
        </w:rPr>
      </w:pPr>
    </w:p>
    <w:p>
      <w:pPr>
        <w:pStyle w:val="2"/>
        <w:rPr>
          <w:rFonts w:ascii="宋体" w:hAnsi="宋体"/>
          <w:sz w:val="20"/>
          <w:szCs w:val="21"/>
        </w:rPr>
      </w:pPr>
    </w:p>
    <w:p>
      <w:pPr>
        <w:spacing w:line="360" w:lineRule="auto"/>
        <w:ind w:firstLine="280" w:firstLineChars="100"/>
        <w:rPr>
          <w:rFonts w:ascii="宋体" w:hAnsi="宋体"/>
          <w:sz w:val="28"/>
          <w:szCs w:val="28"/>
          <w:u w:val="single"/>
        </w:rPr>
      </w:pPr>
      <w:r>
        <w:rPr>
          <w:rFonts w:hint="eastAsia" w:ascii="宋体" w:hAnsi="宋体"/>
          <w:sz w:val="28"/>
          <w:szCs w:val="28"/>
        </w:rPr>
        <w:t>供应商名称：</w:t>
      </w:r>
      <w:r>
        <w:rPr>
          <w:rFonts w:hint="eastAsia" w:ascii="宋体" w:hAnsi="宋体"/>
          <w:sz w:val="28"/>
          <w:szCs w:val="28"/>
          <w:u w:val="single"/>
        </w:rPr>
        <w:t xml:space="preserve">   XXXXXXXXXX    </w:t>
      </w:r>
    </w:p>
    <w:p>
      <w:pPr>
        <w:tabs>
          <w:tab w:val="left" w:pos="993"/>
        </w:tabs>
        <w:spacing w:line="360" w:lineRule="auto"/>
        <w:ind w:firstLine="548" w:firstLineChars="196"/>
        <w:rPr>
          <w:rFonts w:ascii="宋体" w:hAnsi="宋体"/>
          <w:b/>
          <w:sz w:val="24"/>
          <w:szCs w:val="24"/>
        </w:rPr>
      </w:pPr>
      <w:r>
        <w:rPr>
          <w:rFonts w:hint="eastAsia" w:ascii="宋体" w:hAnsi="宋体"/>
          <w:sz w:val="28"/>
          <w:szCs w:val="28"/>
        </w:rPr>
        <w:t xml:space="preserve">日 期： </w:t>
      </w:r>
      <w:r>
        <w:rPr>
          <w:rFonts w:ascii="宋体" w:hAnsi="宋体"/>
          <w:sz w:val="28"/>
          <w:szCs w:val="28"/>
        </w:rPr>
        <w:t>XX</w:t>
      </w:r>
      <w:r>
        <w:rPr>
          <w:rFonts w:hint="eastAsia" w:ascii="宋体" w:hAnsi="宋体"/>
          <w:sz w:val="28"/>
          <w:szCs w:val="28"/>
        </w:rPr>
        <w:t>年XX月XX日</w:t>
      </w: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tabs>
          <w:tab w:val="left" w:pos="993"/>
        </w:tabs>
        <w:spacing w:line="360" w:lineRule="auto"/>
        <w:ind w:firstLine="472" w:firstLineChars="196"/>
        <w:rPr>
          <w:rFonts w:ascii="宋体" w:hAnsi="宋体"/>
          <w:b/>
          <w:sz w:val="24"/>
          <w:szCs w:val="24"/>
        </w:rPr>
      </w:pPr>
    </w:p>
    <w:p>
      <w:pPr>
        <w:rPr>
          <w:rFonts w:ascii="宋体" w:hAnsi="宋体"/>
          <w:b/>
          <w:sz w:val="24"/>
          <w:szCs w:val="24"/>
        </w:rPr>
      </w:pPr>
      <w:r>
        <w:rPr>
          <w:rFonts w:ascii="宋体" w:hAnsi="宋体"/>
          <w:b/>
          <w:sz w:val="24"/>
          <w:szCs w:val="24"/>
        </w:rPr>
        <w:br w:type="page"/>
      </w:r>
    </w:p>
    <w:p>
      <w:pPr>
        <w:pStyle w:val="2"/>
      </w:pP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供应商申明函</w:t>
      </w:r>
    </w:p>
    <w:p>
      <w:pPr>
        <w:spacing w:line="360" w:lineRule="auto"/>
        <w:rPr>
          <w:rFonts w:ascii="宋体" w:hAnsi="宋体"/>
          <w:sz w:val="24"/>
          <w:szCs w:val="24"/>
        </w:rPr>
      </w:pPr>
      <w:bookmarkStart w:id="71" w:name="_Toc238581782"/>
      <w:r>
        <w:rPr>
          <w:rFonts w:hint="eastAsia" w:ascii="宋体" w:hAnsi="宋体"/>
          <w:sz w:val="24"/>
          <w:szCs w:val="24"/>
        </w:rPr>
        <w:t>成都市武侯区政府采购中心</w:t>
      </w:r>
      <w:bookmarkEnd w:id="71"/>
      <w:r>
        <w:rPr>
          <w:rFonts w:hint="eastAsia" w:ascii="宋体" w:hAnsi="宋体"/>
          <w:sz w:val="24"/>
          <w:szCs w:val="24"/>
        </w:rPr>
        <w:t>：</w:t>
      </w:r>
    </w:p>
    <w:p>
      <w:pPr>
        <w:pStyle w:val="26"/>
        <w:spacing w:line="360" w:lineRule="auto"/>
        <w:ind w:left="0" w:leftChars="0" w:firstLine="484" w:firstLineChars="202"/>
        <w:rPr>
          <w:rFonts w:ascii="宋体" w:hAnsi="宋体"/>
          <w:bCs/>
          <w:sz w:val="24"/>
          <w:szCs w:val="24"/>
        </w:rPr>
      </w:pPr>
      <w:r>
        <w:rPr>
          <w:rFonts w:hint="eastAsia" w:ascii="宋体" w:hAnsi="宋体"/>
          <w:bCs/>
          <w:sz w:val="24"/>
          <w:szCs w:val="24"/>
        </w:rPr>
        <w:t>我方全面研究了</w:t>
      </w:r>
      <w:r>
        <w:rPr>
          <w:rFonts w:hint="eastAsia" w:ascii="宋体" w:hAnsi="宋体"/>
          <w:bCs/>
          <w:color w:val="000000" w:themeColor="text1"/>
          <w:sz w:val="24"/>
          <w:szCs w:val="24"/>
          <w:u w:val="single"/>
          <w14:textFill>
            <w14:solidFill>
              <w14:schemeClr w14:val="tx1"/>
            </w14:solidFill>
          </w14:textFill>
        </w:rPr>
        <w:t xml:space="preserve">XXXX </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（采购项目编号：</w:t>
      </w:r>
      <w:r>
        <w:rPr>
          <w:rFonts w:hint="eastAsia" w:ascii="宋体" w:hAnsi="宋体"/>
          <w:b/>
          <w:color w:val="000000" w:themeColor="text1"/>
          <w:sz w:val="24"/>
          <w:szCs w:val="24"/>
          <w:u w:val="single"/>
          <w14:textFill>
            <w14:solidFill>
              <w14:schemeClr w14:val="tx1"/>
            </w14:solidFill>
          </w14:textFill>
        </w:rPr>
        <w:t xml:space="preserve"> XXXX</w:t>
      </w:r>
      <w:r>
        <w:rPr>
          <w:rFonts w:hint="eastAsia" w:ascii="宋体" w:hAnsi="宋体"/>
          <w:b/>
          <w:bCs/>
          <w:color w:val="000000" w:themeColor="text1"/>
          <w:sz w:val="24"/>
          <w:szCs w:val="24"/>
          <w14:textFill>
            <w14:solidFill>
              <w14:schemeClr w14:val="tx1"/>
            </w14:solidFill>
          </w14:textFill>
        </w:rPr>
        <w:t>）</w:t>
      </w:r>
      <w:r>
        <w:rPr>
          <w:rFonts w:hint="eastAsia" w:ascii="宋体" w:hAnsi="宋体"/>
          <w:bCs/>
          <w:sz w:val="24"/>
          <w:szCs w:val="24"/>
        </w:rPr>
        <w:t>的磋商文件，决定参加贵单位组织的本项目的磋商。我方郑重承诺：</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我方自愿按照磋商文件规定的各项要求向采购人提供所需服务，</w:t>
      </w:r>
      <w:r>
        <w:rPr>
          <w:rFonts w:hint="eastAsia" w:ascii="宋体" w:hAnsi="宋体"/>
          <w:b/>
          <w:sz w:val="24"/>
          <w:szCs w:val="24"/>
        </w:rPr>
        <w:t>最后报价以政府采购云平台中递交的最后报价为准</w:t>
      </w:r>
      <w:r>
        <w:rPr>
          <w:rFonts w:hint="eastAsia" w:ascii="宋体" w:hAnsi="宋体"/>
          <w:sz w:val="24"/>
          <w:szCs w:val="24"/>
        </w:rPr>
        <w:t>。</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如果我方成为本项目的成交供应商，我方将严格履行合同规定的责任和义务，否则将承担由此产生的一切责任。</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我方已知晓全部磋商文件的内容，包括修改文件（如有）以及全部相关资料和有关附件，并对上述文件均无异议。</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响应文件有效期为从递交响应文件截止之日起120天。</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我方愿意提供贵中心可能另外要求的，与本项目有关的文件资料，并保证我方已提供和将要提供的文件资料是合法、真实、准确的，并对此承担一切法律后果。</w:t>
      </w:r>
    </w:p>
    <w:p>
      <w:pPr>
        <w:numPr>
          <w:ilvl w:val="1"/>
          <w:numId w:val="29"/>
        </w:numPr>
        <w:tabs>
          <w:tab w:val="left" w:pos="1134"/>
        </w:tabs>
        <w:spacing w:after="200" w:line="360" w:lineRule="auto"/>
        <w:ind w:left="0" w:firstLine="567"/>
        <w:rPr>
          <w:rFonts w:ascii="宋体" w:hAnsi="宋体"/>
          <w:sz w:val="24"/>
          <w:szCs w:val="24"/>
        </w:rPr>
      </w:pPr>
      <w:r>
        <w:rPr>
          <w:rFonts w:hint="eastAsia" w:ascii="宋体" w:hAnsi="宋体"/>
          <w:sz w:val="24"/>
          <w:szCs w:val="24"/>
        </w:rPr>
        <w:t>我单位联系方式：</w:t>
      </w:r>
    </w:p>
    <w:p>
      <w:pPr>
        <w:pStyle w:val="26"/>
        <w:spacing w:line="240" w:lineRule="atLeast"/>
        <w:ind w:firstLine="444" w:firstLineChars="202"/>
        <w:rPr>
          <w:rFonts w:ascii="宋体" w:hAnsi="宋体"/>
          <w:sz w:val="22"/>
          <w:szCs w:val="24"/>
          <w:u w:val="single"/>
        </w:rPr>
      </w:pPr>
      <w:r>
        <w:rPr>
          <w:rFonts w:hint="eastAsia" w:ascii="宋体" w:hAnsi="宋体"/>
          <w:sz w:val="22"/>
          <w:szCs w:val="24"/>
        </w:rPr>
        <w:t>地    址：</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传    真：</w:t>
      </w:r>
      <w:r>
        <w:rPr>
          <w:rFonts w:hint="eastAsia" w:ascii="宋体" w:hAnsi="宋体"/>
          <w:sz w:val="22"/>
          <w:szCs w:val="24"/>
          <w:u w:val="single"/>
        </w:rPr>
        <w:t>XXXX</w:t>
      </w:r>
    </w:p>
    <w:p>
      <w:pPr>
        <w:pStyle w:val="26"/>
        <w:spacing w:line="240" w:lineRule="atLeast"/>
        <w:ind w:firstLine="444" w:firstLineChars="202"/>
        <w:rPr>
          <w:rFonts w:ascii="宋体" w:hAnsi="宋体"/>
          <w:sz w:val="22"/>
          <w:szCs w:val="24"/>
          <w:u w:val="single"/>
        </w:rPr>
      </w:pPr>
      <w:r>
        <w:rPr>
          <w:rFonts w:hint="eastAsia" w:ascii="宋体" w:hAnsi="宋体"/>
          <w:sz w:val="22"/>
          <w:szCs w:val="24"/>
        </w:rPr>
        <w:t>邮政编码：</w:t>
      </w:r>
      <w:r>
        <w:rPr>
          <w:rFonts w:hint="eastAsia" w:ascii="宋体" w:hAnsi="宋体"/>
          <w:sz w:val="22"/>
          <w:szCs w:val="24"/>
          <w:u w:val="single"/>
        </w:rPr>
        <w:t>XXXX</w:t>
      </w:r>
    </w:p>
    <w:p>
      <w:pPr>
        <w:pStyle w:val="26"/>
        <w:spacing w:line="240" w:lineRule="atLeast"/>
        <w:ind w:firstLine="440" w:firstLineChars="200"/>
        <w:rPr>
          <w:rFonts w:ascii="宋体" w:hAnsi="宋体"/>
          <w:bCs/>
          <w:sz w:val="22"/>
          <w:szCs w:val="24"/>
        </w:rPr>
      </w:pPr>
      <w:r>
        <w:rPr>
          <w:rFonts w:hint="eastAsia" w:ascii="宋体" w:hAnsi="宋体"/>
          <w:bCs/>
          <w:sz w:val="22"/>
          <w:szCs w:val="24"/>
        </w:rPr>
        <w:t>供应商名称：</w:t>
      </w:r>
      <w:r>
        <w:rPr>
          <w:rFonts w:hint="eastAsia" w:ascii="宋体" w:hAnsi="宋体"/>
          <w:bCs/>
          <w:sz w:val="22"/>
          <w:szCs w:val="24"/>
          <w:u w:val="single"/>
        </w:rPr>
        <w:t>XXXXXXXXXX</w:t>
      </w:r>
    </w:p>
    <w:p>
      <w:pPr>
        <w:pStyle w:val="26"/>
        <w:spacing w:line="240" w:lineRule="atLeast"/>
        <w:ind w:firstLine="330" w:firstLineChars="150"/>
        <w:jc w:val="left"/>
        <w:rPr>
          <w:rFonts w:ascii="宋体" w:hAnsi="宋体"/>
          <w:sz w:val="22"/>
          <w:szCs w:val="24"/>
        </w:rPr>
      </w:pPr>
      <w:r>
        <w:rPr>
          <w:rFonts w:hint="eastAsia" w:ascii="宋体" w:hAnsi="宋体"/>
          <w:sz w:val="22"/>
          <w:szCs w:val="24"/>
        </w:rPr>
        <w:t>日      期：XX年XX月XX日</w:t>
      </w:r>
    </w:p>
    <w:p>
      <w:pPr>
        <w:pStyle w:val="26"/>
        <w:spacing w:line="240" w:lineRule="atLeast"/>
        <w:ind w:firstLine="444" w:firstLineChars="202"/>
        <w:rPr>
          <w:rFonts w:ascii="宋体" w:hAnsi="宋体"/>
          <w:sz w:val="22"/>
          <w:szCs w:val="24"/>
        </w:rPr>
      </w:pPr>
      <w:bookmarkStart w:id="72" w:name="_Toc119296788"/>
      <w:bookmarkStart w:id="73" w:name="_Toc119203988"/>
      <w:bookmarkStart w:id="74" w:name="_Toc146903609"/>
      <w:bookmarkStart w:id="75" w:name="_Toc52184753"/>
      <w:bookmarkStart w:id="76" w:name="_Toc119295087"/>
    </w:p>
    <w:bookmarkEnd w:id="72"/>
    <w:bookmarkEnd w:id="73"/>
    <w:bookmarkEnd w:id="74"/>
    <w:bookmarkEnd w:id="75"/>
    <w:bookmarkEnd w:id="76"/>
    <w:p>
      <w:pPr>
        <w:spacing w:line="360" w:lineRule="auto"/>
        <w:rPr>
          <w:rFonts w:ascii="宋体" w:hAnsi="宋体"/>
          <w:bCs/>
          <w:sz w:val="24"/>
          <w:szCs w:val="24"/>
        </w:rPr>
        <w:sectPr>
          <w:pgSz w:w="11906" w:h="16838"/>
          <w:pgMar w:top="1134" w:right="1274" w:bottom="1440" w:left="1418" w:header="851" w:footer="992" w:gutter="0"/>
          <w:cols w:space="720" w:num="1"/>
          <w:docGrid w:type="lines" w:linePitch="312" w:charSpace="0"/>
        </w:sectPr>
      </w:pPr>
    </w:p>
    <w:p>
      <w:pPr>
        <w:pStyle w:val="6"/>
        <w:numPr>
          <w:ilvl w:val="2"/>
          <w:numId w:val="5"/>
        </w:numPr>
        <w:tabs>
          <w:tab w:val="left" w:pos="709"/>
        </w:tabs>
        <w:spacing w:after="200"/>
        <w:ind w:left="709" w:hanging="709"/>
        <w:rPr>
          <w:color w:val="auto"/>
          <w:sz w:val="24"/>
          <w:szCs w:val="24"/>
        </w:rPr>
      </w:pPr>
      <w:bookmarkStart w:id="77" w:name="_Toc320698765"/>
      <w:r>
        <w:rPr>
          <w:rFonts w:hint="eastAsia"/>
          <w:color w:val="auto"/>
          <w:sz w:val="24"/>
          <w:szCs w:val="24"/>
        </w:rPr>
        <w:t>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致：成都市武侯区政府采购中心</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我单位作为</w:t>
      </w:r>
      <w:r>
        <w:rPr>
          <w:rFonts w:hint="eastAsia" w:ascii="宋体" w:hAnsi="宋体"/>
          <w:bCs/>
          <w:sz w:val="24"/>
          <w:szCs w:val="24"/>
          <w:u w:val="single"/>
        </w:rPr>
        <w:t>X</w:t>
      </w:r>
      <w:r>
        <w:rPr>
          <w:rFonts w:hint="eastAsia" w:ascii="宋体" w:hAnsi="宋体"/>
          <w:bCs/>
          <w:color w:val="000000" w:themeColor="text1"/>
          <w:sz w:val="24"/>
          <w:szCs w:val="24"/>
          <w:u w:val="single"/>
          <w14:textFill>
            <w14:solidFill>
              <w14:schemeClr w14:val="tx1"/>
            </w14:solidFill>
          </w14:textFill>
        </w:rPr>
        <w:t>X</w:t>
      </w:r>
      <w:r>
        <w:rPr>
          <w:rFonts w:hint="eastAsia" w:ascii="宋体" w:hAnsi="宋体"/>
          <w:b/>
          <w:color w:val="000000" w:themeColor="text1"/>
          <w:sz w:val="24"/>
          <w:szCs w:val="28"/>
          <w:u w:val="single"/>
          <w14:textFill>
            <w14:solidFill>
              <w14:schemeClr w14:val="tx1"/>
            </w14:solidFill>
          </w14:textFill>
        </w:rPr>
        <w:t>项目</w:t>
      </w:r>
      <w:r>
        <w:rPr>
          <w:rFonts w:hint="eastAsia" w:ascii="宋体" w:hAnsi="宋体"/>
          <w:b/>
          <w:bCs/>
          <w:color w:val="000000" w:themeColor="text1"/>
          <w:sz w:val="24"/>
          <w:szCs w:val="24"/>
          <w:u w:val="single"/>
          <w14:textFill>
            <w14:solidFill>
              <w14:schemeClr w14:val="tx1"/>
            </w14:solidFill>
          </w14:textFill>
        </w:rPr>
        <w:t>（项目编号：</w:t>
      </w:r>
      <w:r>
        <w:rPr>
          <w:rFonts w:hint="eastAsia" w:ascii="宋体" w:hAnsi="宋体"/>
          <w:b/>
          <w:color w:val="000000" w:themeColor="text1"/>
          <w:sz w:val="24"/>
          <w:szCs w:val="24"/>
          <w:u w:val="single"/>
          <w14:textFill>
            <w14:solidFill>
              <w14:schemeClr w14:val="tx1"/>
            </w14:solidFill>
          </w14:textFill>
        </w:rPr>
        <w:t>武侯政采（202</w:t>
      </w:r>
      <w:r>
        <w:rPr>
          <w:rFonts w:hint="eastAsia" w:ascii="宋体" w:hAnsi="宋体"/>
          <w:b/>
          <w:color w:val="000000" w:themeColor="text1"/>
          <w:sz w:val="24"/>
          <w:szCs w:val="24"/>
          <w:u w:val="single"/>
          <w:lang w:val="en-US" w:eastAsia="zh-CN"/>
          <w14:textFill>
            <w14:solidFill>
              <w14:schemeClr w14:val="tx1"/>
            </w14:solidFill>
          </w14:textFill>
        </w:rPr>
        <w:t>x</w:t>
      </w:r>
      <w:r>
        <w:rPr>
          <w:rFonts w:hint="eastAsia" w:ascii="宋体" w:hAnsi="宋体"/>
          <w:b/>
          <w:color w:val="000000" w:themeColor="text1"/>
          <w:sz w:val="24"/>
          <w:szCs w:val="24"/>
          <w:u w:val="single"/>
          <w14:textFill>
            <w14:solidFill>
              <w14:schemeClr w14:val="tx1"/>
            </w14:solidFill>
          </w14:textFill>
        </w:rPr>
        <w:t>）A</w:t>
      </w:r>
      <w:r>
        <w:rPr>
          <w:rFonts w:hint="eastAsia" w:ascii="宋体" w:hAnsi="宋体"/>
          <w:b/>
          <w:color w:val="000000" w:themeColor="text1"/>
          <w:sz w:val="24"/>
          <w:szCs w:val="24"/>
          <w:u w:val="single"/>
          <w:lang w:val="en-US" w:eastAsia="zh-CN"/>
          <w14:textFill>
            <w14:solidFill>
              <w14:schemeClr w14:val="tx1"/>
            </w14:solidFill>
          </w14:textFill>
        </w:rPr>
        <w:t>xxx</w:t>
      </w:r>
      <w:r>
        <w:rPr>
          <w:rFonts w:hint="eastAsia" w:ascii="宋体" w:hAnsi="宋体"/>
          <w:b/>
          <w:color w:val="000000" w:themeColor="text1"/>
          <w:sz w:val="24"/>
          <w:szCs w:val="24"/>
          <w:u w:val="single"/>
          <w14:textFill>
            <w14:solidFill>
              <w14:schemeClr w14:val="tx1"/>
            </w14:solidFill>
          </w14:textFill>
        </w:rPr>
        <w:t>号</w:t>
      </w:r>
      <w:r>
        <w:rPr>
          <w:rFonts w:hint="eastAsia" w:ascii="宋体" w:hAnsi="宋体"/>
          <w:b/>
          <w:bCs/>
          <w:color w:val="000000" w:themeColor="text1"/>
          <w:sz w:val="24"/>
          <w:szCs w:val="24"/>
          <w14:textFill>
            <w14:solidFill>
              <w14:schemeClr w14:val="tx1"/>
            </w14:solidFill>
          </w14:textFill>
        </w:rPr>
        <w:t>）</w:t>
      </w:r>
      <w:r>
        <w:rPr>
          <w:rFonts w:hint="eastAsia" w:ascii="宋体" w:hAnsi="宋体"/>
          <w:sz w:val="24"/>
          <w:szCs w:val="24"/>
        </w:rPr>
        <w:t>的供应商，在此郑重声明：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一、我单位参加政府采购活动前三年内，在经营活动中</w:t>
      </w:r>
      <w:r>
        <w:rPr>
          <w:rFonts w:hint="eastAsia" w:ascii="宋体" w:hAnsi="宋体"/>
          <w:b/>
          <w:sz w:val="24"/>
          <w:szCs w:val="24"/>
          <w:u w:val="single"/>
        </w:rPr>
        <w:t>（说明：填写“没有”或“有”）</w:t>
      </w:r>
      <w:r>
        <w:rPr>
          <w:rFonts w:hint="eastAsia" w:ascii="宋体" w:hAnsi="宋体"/>
          <w:sz w:val="24"/>
          <w:szCs w:val="24"/>
        </w:rPr>
        <w:t>重大违法记录。</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二、我单位</w:t>
      </w:r>
      <w:r>
        <w:rPr>
          <w:rFonts w:hint="eastAsia" w:ascii="宋体" w:hAnsi="宋体"/>
          <w:b/>
          <w:sz w:val="24"/>
          <w:szCs w:val="24"/>
          <w:u w:val="single"/>
        </w:rPr>
        <w:t>（说明：填写“具有”或“不具有”）</w:t>
      </w:r>
      <w:r>
        <w:rPr>
          <w:rFonts w:hint="eastAsia" w:ascii="宋体" w:hAnsi="宋体"/>
          <w:sz w:val="24"/>
          <w:szCs w:val="24"/>
        </w:rPr>
        <w:t>良好的商业信誉。</w:t>
      </w:r>
    </w:p>
    <w:p>
      <w:pPr>
        <w:pStyle w:val="3"/>
        <w:spacing w:line="560" w:lineRule="exact"/>
        <w:ind w:firstLine="480" w:firstLineChars="200"/>
        <w:rPr>
          <w:rFonts w:ascii="宋体" w:hAnsi="宋体"/>
          <w:sz w:val="28"/>
          <w:szCs w:val="28"/>
        </w:rPr>
      </w:pPr>
      <w:r>
        <w:rPr>
          <w:rFonts w:hint="eastAsia" w:ascii="宋体" w:hAnsi="宋体"/>
          <w:sz w:val="24"/>
          <w:szCs w:val="24"/>
        </w:rPr>
        <w:t>三</w:t>
      </w:r>
      <w:r>
        <w:rPr>
          <w:rFonts w:ascii="宋体" w:hAnsi="宋体"/>
          <w:sz w:val="24"/>
          <w:szCs w:val="24"/>
        </w:rPr>
        <w:t>、</w:t>
      </w:r>
      <w:r>
        <w:rPr>
          <w:rFonts w:hint="eastAsia" w:ascii="宋体" w:hAnsi="宋体"/>
          <w:sz w:val="24"/>
          <w:szCs w:val="24"/>
        </w:rPr>
        <w:t>参加本项目采购活动的</w:t>
      </w:r>
      <w:r>
        <w:rPr>
          <w:rFonts w:ascii="宋体" w:hAnsi="宋体"/>
          <w:sz w:val="24"/>
          <w:szCs w:val="24"/>
        </w:rPr>
        <w:t>供应商中，</w:t>
      </w:r>
      <w:r>
        <w:rPr>
          <w:rFonts w:hint="eastAsia" w:ascii="宋体" w:hAnsi="宋体"/>
          <w:b/>
          <w:sz w:val="24"/>
          <w:szCs w:val="24"/>
          <w:u w:val="single"/>
        </w:rPr>
        <w:t>（说明：填写“无供应商”或“（一）供应商名称１；（二）供应商名称２；（三）……”）</w:t>
      </w:r>
      <w:r>
        <w:rPr>
          <w:rFonts w:hint="eastAsia" w:ascii="宋体" w:hAnsi="宋体"/>
          <w:sz w:val="24"/>
          <w:szCs w:val="24"/>
        </w:rPr>
        <w:t>与我单位负责人为同一人或者存在直接控股、管理关系。</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四、在行贿犯罪信息查询期限内，我单位及我单位现任法定代表人、主要负责人</w:t>
      </w:r>
      <w:r>
        <w:rPr>
          <w:rFonts w:hint="eastAsia" w:ascii="宋体" w:hAnsi="宋体"/>
          <w:b/>
          <w:sz w:val="24"/>
          <w:szCs w:val="24"/>
          <w:u w:val="single"/>
        </w:rPr>
        <w:t>（说明：填写“没有”或“有”）</w:t>
      </w:r>
      <w:r>
        <w:rPr>
          <w:rFonts w:hint="eastAsia" w:ascii="宋体" w:hAnsi="宋体"/>
          <w:sz w:val="24"/>
          <w:szCs w:val="24"/>
        </w:rPr>
        <w:t>行贿犯罪记录。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五、我单位</w:t>
      </w:r>
      <w:r>
        <w:rPr>
          <w:rFonts w:hint="eastAsia" w:ascii="宋体" w:hAnsi="宋体"/>
          <w:b/>
          <w:sz w:val="24"/>
          <w:szCs w:val="24"/>
          <w:u w:val="single"/>
        </w:rPr>
        <w:t>（说明：填写“未被列入”或“被列入”）</w:t>
      </w:r>
      <w:r>
        <w:rPr>
          <w:rFonts w:hint="eastAsia" w:ascii="宋体" w:hAnsi="宋体"/>
          <w:sz w:val="24"/>
          <w:szCs w:val="24"/>
        </w:rPr>
        <w:t>失信被执行人、重大税收违法案件当事人名单。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我单位</w:t>
      </w:r>
      <w:r>
        <w:rPr>
          <w:rFonts w:hint="eastAsia" w:ascii="宋体" w:hAnsi="宋体"/>
          <w:b/>
          <w:sz w:val="24"/>
          <w:szCs w:val="24"/>
          <w:u w:val="single"/>
        </w:rPr>
        <w:t>（说明：填写“未被列入”或“被列入”）</w:t>
      </w:r>
      <w:r>
        <w:rPr>
          <w:rFonts w:hint="eastAsia" w:ascii="宋体" w:hAnsi="宋体"/>
          <w:sz w:val="24"/>
          <w:szCs w:val="24"/>
        </w:rPr>
        <w:t>政府采购严重违法失信行为记录名单。</w:t>
      </w:r>
    </w:p>
    <w:p>
      <w:pPr>
        <w:tabs>
          <w:tab w:val="left" w:pos="1260"/>
        </w:tabs>
        <w:spacing w:line="360" w:lineRule="auto"/>
        <w:ind w:firstLine="480" w:firstLineChars="200"/>
        <w:rPr>
          <w:rFonts w:ascii="宋体" w:hAnsi="宋体"/>
          <w:bCs/>
          <w:sz w:val="24"/>
          <w:szCs w:val="24"/>
        </w:rPr>
      </w:pPr>
      <w:r>
        <w:rPr>
          <w:rFonts w:hint="eastAsia" w:ascii="宋体" w:hAnsi="宋体"/>
          <w:sz w:val="24"/>
          <w:szCs w:val="24"/>
        </w:rPr>
        <w:t>六、我单位</w:t>
      </w:r>
      <w:r>
        <w:rPr>
          <w:rFonts w:hint="eastAsia" w:ascii="宋体" w:hAnsi="宋体"/>
          <w:b/>
          <w:sz w:val="24"/>
          <w:szCs w:val="24"/>
          <w:u w:val="single"/>
        </w:rPr>
        <w:t>（说明：填写“未处于”或“处于”）</w:t>
      </w:r>
      <w:r>
        <w:rPr>
          <w:rFonts w:hint="eastAsia" w:ascii="宋体" w:hAnsi="宋体"/>
          <w:bCs/>
          <w:sz w:val="24"/>
          <w:szCs w:val="24"/>
        </w:rPr>
        <w:t>被行政部门禁止参与政府采购活动的期限内。</w:t>
      </w:r>
    </w:p>
    <w:p>
      <w:pPr>
        <w:tabs>
          <w:tab w:val="left" w:pos="1260"/>
        </w:tabs>
        <w:spacing w:line="360" w:lineRule="auto"/>
        <w:ind w:firstLine="480" w:firstLineChars="200"/>
        <w:rPr>
          <w:rFonts w:ascii="宋体" w:hAnsi="宋体"/>
          <w:sz w:val="24"/>
          <w:szCs w:val="21"/>
        </w:rPr>
      </w:pPr>
      <w:r>
        <w:rPr>
          <w:rFonts w:hint="eastAsia" w:ascii="宋体" w:hAnsi="宋体"/>
          <w:sz w:val="24"/>
          <w:szCs w:val="21"/>
        </w:rPr>
        <w:t>七</w:t>
      </w:r>
      <w:r>
        <w:rPr>
          <w:rFonts w:ascii="宋体" w:hAnsi="宋体"/>
          <w:sz w:val="24"/>
          <w:szCs w:val="21"/>
        </w:rPr>
        <w:t>、</w:t>
      </w:r>
      <w:r>
        <w:rPr>
          <w:rFonts w:hint="eastAsia" w:ascii="宋体" w:hAnsi="宋体"/>
          <w:sz w:val="24"/>
          <w:szCs w:val="21"/>
        </w:rPr>
        <w:t>我单位</w:t>
      </w:r>
      <w:r>
        <w:rPr>
          <w:rFonts w:hint="eastAsia" w:ascii="宋体" w:hAnsi="宋体"/>
          <w:b/>
          <w:sz w:val="24"/>
          <w:szCs w:val="21"/>
          <w:u w:val="single"/>
        </w:rPr>
        <w:t>（说明：填写“具有”或“不具有”）</w:t>
      </w:r>
      <w:r>
        <w:rPr>
          <w:rFonts w:hint="eastAsia" w:ascii="宋体" w:hAnsi="宋体"/>
          <w:sz w:val="24"/>
          <w:szCs w:val="21"/>
        </w:rPr>
        <w:t>健全的</w:t>
      </w:r>
      <w:r>
        <w:rPr>
          <w:rFonts w:ascii="宋体" w:hAnsi="宋体"/>
          <w:sz w:val="24"/>
          <w:szCs w:val="21"/>
        </w:rPr>
        <w:t>财务会计制度</w:t>
      </w:r>
      <w:r>
        <w:rPr>
          <w:rFonts w:hint="eastAsia" w:ascii="宋体" w:hAnsi="宋体"/>
          <w:sz w:val="24"/>
          <w:szCs w:val="21"/>
        </w:rPr>
        <w:t>。</w:t>
      </w:r>
    </w:p>
    <w:p>
      <w:pPr>
        <w:pStyle w:val="2"/>
        <w:ind w:firstLine="480" w:firstLineChars="200"/>
        <w:rPr>
          <w:rFonts w:ascii="宋体" w:hAnsi="宋体"/>
          <w:bCs/>
          <w:sz w:val="24"/>
          <w:szCs w:val="24"/>
        </w:rPr>
      </w:pPr>
      <w:r>
        <w:rPr>
          <w:rFonts w:hint="eastAsia" w:ascii="宋体" w:hAnsi="宋体"/>
          <w:bCs/>
          <w:sz w:val="24"/>
          <w:szCs w:val="24"/>
        </w:rPr>
        <w:t>八</w:t>
      </w:r>
      <w:r>
        <w:rPr>
          <w:rFonts w:ascii="宋体" w:hAnsi="宋体"/>
          <w:bCs/>
          <w:sz w:val="24"/>
          <w:szCs w:val="24"/>
        </w:rPr>
        <w:t>、</w:t>
      </w:r>
      <w:r>
        <w:rPr>
          <w:rFonts w:hint="eastAsia"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依法缴纳社会</w:t>
      </w:r>
      <w:r>
        <w:rPr>
          <w:rFonts w:ascii="宋体" w:hAnsi="宋体"/>
          <w:bCs/>
          <w:sz w:val="24"/>
          <w:szCs w:val="24"/>
        </w:rPr>
        <w:t>保障资金的良好记录。</w:t>
      </w:r>
    </w:p>
    <w:p>
      <w:pPr>
        <w:pStyle w:val="2"/>
        <w:ind w:firstLine="480" w:firstLineChars="200"/>
        <w:rPr>
          <w:rFonts w:ascii="宋体" w:hAnsi="宋体"/>
          <w:bCs/>
          <w:sz w:val="24"/>
          <w:szCs w:val="24"/>
        </w:rPr>
      </w:pPr>
      <w:r>
        <w:rPr>
          <w:rFonts w:hint="eastAsia" w:ascii="宋体" w:hAnsi="宋体"/>
          <w:bCs/>
          <w:sz w:val="24"/>
          <w:szCs w:val="24"/>
        </w:rPr>
        <w:t>九</w:t>
      </w:r>
      <w:r>
        <w:rPr>
          <w:rFonts w:ascii="宋体" w:hAnsi="宋体"/>
          <w:bCs/>
          <w:sz w:val="24"/>
          <w:szCs w:val="24"/>
        </w:rPr>
        <w:t>、我单位</w:t>
      </w:r>
      <w:r>
        <w:rPr>
          <w:rFonts w:hint="eastAsia" w:ascii="宋体" w:hAnsi="宋体"/>
          <w:b/>
          <w:bCs/>
          <w:sz w:val="24"/>
          <w:szCs w:val="24"/>
          <w:u w:val="single"/>
        </w:rPr>
        <w:t>（说明：填写“有”或“无”）</w:t>
      </w:r>
      <w:r>
        <w:rPr>
          <w:rFonts w:hint="eastAsia" w:ascii="宋体" w:hAnsi="宋体"/>
          <w:bCs/>
          <w:sz w:val="24"/>
          <w:szCs w:val="24"/>
        </w:rPr>
        <w:t>依法缴纳税收</w:t>
      </w:r>
      <w:r>
        <w:rPr>
          <w:rFonts w:ascii="宋体" w:hAnsi="宋体"/>
          <w:bCs/>
          <w:sz w:val="24"/>
          <w:szCs w:val="24"/>
        </w:rPr>
        <w:t>的良好记录。</w:t>
      </w:r>
    </w:p>
    <w:p>
      <w:pPr>
        <w:tabs>
          <w:tab w:val="left" w:pos="1260"/>
        </w:tabs>
        <w:spacing w:line="360" w:lineRule="auto"/>
        <w:ind w:firstLine="480" w:firstLineChars="200"/>
        <w:rPr>
          <w:rFonts w:ascii="宋体" w:hAnsi="宋体"/>
          <w:sz w:val="24"/>
          <w:szCs w:val="24"/>
        </w:rPr>
      </w:pPr>
      <w:r>
        <w:rPr>
          <w:rFonts w:hint="eastAsia" w:ascii="宋体" w:hAnsi="宋体"/>
          <w:sz w:val="24"/>
          <w:szCs w:val="24"/>
        </w:rPr>
        <w:t>特此声明。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tabs>
          <w:tab w:val="left" w:pos="1260"/>
        </w:tabs>
        <w:spacing w:line="560" w:lineRule="exact"/>
        <w:ind w:firstLine="480" w:firstLineChars="200"/>
        <w:rPr>
          <w:rFonts w:ascii="宋体" w:hAnsi="宋体"/>
          <w:sz w:val="24"/>
          <w:szCs w:val="24"/>
          <w:u w:val="single"/>
        </w:rPr>
      </w:pPr>
      <w:r>
        <w:rPr>
          <w:rFonts w:hint="eastAsia" w:ascii="宋体" w:hAnsi="宋体"/>
          <w:sz w:val="24"/>
          <w:szCs w:val="24"/>
        </w:rPr>
        <w:t>日    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说明：</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1.对声明中第一条的说明：如供应商在参加政府采购活动前三年内，在经营活动中有重大违法记录的，应填写“有”，供应商响应</w:t>
      </w:r>
      <w:r>
        <w:rPr>
          <w:rFonts w:ascii="宋体" w:hAnsi="宋体"/>
          <w:sz w:val="24"/>
          <w:szCs w:val="24"/>
        </w:rPr>
        <w:t>文件</w:t>
      </w:r>
      <w:r>
        <w:rPr>
          <w:rFonts w:hint="eastAsia" w:ascii="宋体" w:hAnsi="宋体"/>
          <w:sz w:val="24"/>
          <w:szCs w:val="24"/>
        </w:rPr>
        <w:t>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2. 对声明中第三条的说明：单位负责人为同一人或者存在直接控股、管理关系的不同供应商，不得参加同一合同项下的政府采购活动；</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3.对声明中第四条的说明：在行贿犯罪信息查询期限内，供应商根据中国裁判文书网（https://wenshu.court.gov.cn）查询结果，如果供应商及其现任法定代表人、主要负责人有行贿犯罪记录的，供应商应填写“有”，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4.对声明中第五条的说明：供应商如被列入失信被执行人、重大税收违法案件当事人名单，应填写“被列入”，供应商响应文件将被认定为无效；供应商如被列入政府采购严重违法失信行为记录名单，应填写“被列入”，供应商响应文件将被认定为无效；</w:t>
      </w:r>
    </w:p>
    <w:p>
      <w:pPr>
        <w:tabs>
          <w:tab w:val="left" w:pos="1260"/>
        </w:tabs>
        <w:spacing w:line="560" w:lineRule="exact"/>
        <w:ind w:firstLine="480" w:firstLineChars="200"/>
        <w:rPr>
          <w:rFonts w:ascii="宋体" w:hAnsi="宋体"/>
          <w:sz w:val="24"/>
          <w:szCs w:val="24"/>
        </w:rPr>
      </w:pPr>
      <w:r>
        <w:rPr>
          <w:rFonts w:hint="eastAsia" w:ascii="宋体" w:hAnsi="宋体"/>
          <w:sz w:val="24"/>
          <w:szCs w:val="24"/>
        </w:rPr>
        <w:t>5.对声明中第六条的说明：如供应商处于被行政部门禁止参加政府采购活动期限内的，该声明填“处于”，供应商响应文件将被认定为无效；</w:t>
      </w:r>
    </w:p>
    <w:p>
      <w:pPr>
        <w:spacing w:line="360" w:lineRule="auto"/>
        <w:ind w:firstLine="480" w:firstLineChars="200"/>
        <w:rPr>
          <w:rFonts w:ascii="宋体" w:hAnsi="宋体"/>
          <w:sz w:val="24"/>
          <w:szCs w:val="24"/>
        </w:rPr>
      </w:pPr>
      <w:r>
        <w:rPr>
          <w:rFonts w:ascii="宋体" w:hAnsi="宋体"/>
          <w:sz w:val="24"/>
          <w:szCs w:val="24"/>
        </w:rPr>
        <w:t>6.对声明中第七条的说明：供应商不具有健全的财务会计制度的，应填写“</w:t>
      </w:r>
      <w:r>
        <w:rPr>
          <w:rFonts w:hint="eastAsia" w:ascii="宋体" w:hAnsi="宋体"/>
          <w:sz w:val="24"/>
          <w:szCs w:val="24"/>
        </w:rPr>
        <w:t>不具有</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将被认定为无效；</w:t>
      </w:r>
    </w:p>
    <w:p>
      <w:pPr>
        <w:spacing w:line="360" w:lineRule="auto"/>
        <w:ind w:firstLine="480" w:firstLineChars="200"/>
        <w:rPr>
          <w:rFonts w:ascii="宋体" w:hAnsi="宋体"/>
          <w:sz w:val="24"/>
          <w:szCs w:val="24"/>
        </w:rPr>
      </w:pPr>
      <w:r>
        <w:rPr>
          <w:rFonts w:ascii="宋体" w:hAnsi="宋体"/>
          <w:sz w:val="24"/>
          <w:szCs w:val="24"/>
        </w:rPr>
        <w:t>7、对声明中第八条的说明：如供应</w:t>
      </w:r>
      <w:r>
        <w:rPr>
          <w:rFonts w:hint="eastAsia" w:ascii="宋体" w:hAnsi="宋体"/>
          <w:sz w:val="24"/>
          <w:szCs w:val="24"/>
        </w:rPr>
        <w:t>商无依法缴纳社会</w:t>
      </w:r>
      <w:r>
        <w:rPr>
          <w:rFonts w:ascii="宋体" w:hAnsi="宋体"/>
          <w:sz w:val="24"/>
          <w:szCs w:val="24"/>
        </w:rPr>
        <w:t>保障资金的良好记录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8、对声明中第九条的说明：如供应</w:t>
      </w:r>
      <w:r>
        <w:rPr>
          <w:rFonts w:hint="eastAsia" w:ascii="宋体" w:hAnsi="宋体"/>
          <w:sz w:val="24"/>
          <w:szCs w:val="24"/>
        </w:rPr>
        <w:t>商无依法缴纳税收</w:t>
      </w:r>
      <w:r>
        <w:rPr>
          <w:rFonts w:ascii="宋体" w:hAnsi="宋体"/>
          <w:sz w:val="24"/>
          <w:szCs w:val="24"/>
        </w:rPr>
        <w:t>的良好记录</w:t>
      </w:r>
      <w:r>
        <w:rPr>
          <w:rFonts w:hint="eastAsia" w:ascii="宋体" w:hAnsi="宋体"/>
          <w:sz w:val="24"/>
          <w:szCs w:val="24"/>
        </w:rPr>
        <w:t>，</w:t>
      </w:r>
      <w:r>
        <w:rPr>
          <w:rFonts w:ascii="宋体" w:hAnsi="宋体"/>
          <w:sz w:val="24"/>
          <w:szCs w:val="24"/>
        </w:rPr>
        <w:t>应填写“</w:t>
      </w:r>
      <w:r>
        <w:rPr>
          <w:rFonts w:hint="eastAsia" w:ascii="宋体" w:hAnsi="宋体"/>
          <w:sz w:val="24"/>
          <w:szCs w:val="24"/>
        </w:rPr>
        <w:t>无</w:t>
      </w:r>
      <w:r>
        <w:rPr>
          <w:rFonts w:ascii="宋体" w:hAnsi="宋体"/>
          <w:sz w:val="24"/>
          <w:szCs w:val="24"/>
        </w:rPr>
        <w:t>”</w:t>
      </w:r>
      <w:r>
        <w:rPr>
          <w:rFonts w:hint="eastAsia" w:ascii="宋体" w:hAnsi="宋体"/>
          <w:sz w:val="24"/>
          <w:szCs w:val="24"/>
        </w:rPr>
        <w:t>，供应商响应</w:t>
      </w:r>
      <w:r>
        <w:rPr>
          <w:rFonts w:ascii="宋体" w:hAnsi="宋体"/>
          <w:sz w:val="24"/>
          <w:szCs w:val="24"/>
        </w:rPr>
        <w:t>文件</w:t>
      </w:r>
      <w:r>
        <w:rPr>
          <w:rFonts w:hint="eastAsia" w:ascii="宋体" w:hAnsi="宋体"/>
          <w:sz w:val="24"/>
          <w:szCs w:val="24"/>
        </w:rPr>
        <w:t>将被认定为</w:t>
      </w:r>
      <w:r>
        <w:rPr>
          <w:rFonts w:ascii="宋体" w:hAnsi="宋体"/>
          <w:sz w:val="24"/>
          <w:szCs w:val="24"/>
        </w:rPr>
        <w:t>无效</w:t>
      </w:r>
      <w:r>
        <w:rPr>
          <w:rFonts w:hint="eastAsia" w:ascii="宋体" w:hAnsi="宋体"/>
          <w:sz w:val="24"/>
          <w:szCs w:val="24"/>
        </w:rPr>
        <w:t>。</w:t>
      </w:r>
    </w:p>
    <w:p>
      <w:pPr>
        <w:spacing w:line="360" w:lineRule="auto"/>
        <w:ind w:firstLine="400" w:firstLineChars="200"/>
        <w:rPr>
          <w:rFonts w:ascii="宋体" w:hAnsi="宋体"/>
          <w:sz w:val="20"/>
          <w:szCs w:val="21"/>
        </w:rPr>
      </w:pPr>
    </w:p>
    <w:p>
      <w:pPr>
        <w:snapToGrid w:val="0"/>
        <w:spacing w:line="360" w:lineRule="auto"/>
        <w:ind w:right="-624" w:rightChars="-297"/>
        <w:rPr>
          <w:rFonts w:ascii="宋体" w:hAnsi="宋体"/>
          <w:sz w:val="22"/>
          <w:szCs w:val="22"/>
        </w:rPr>
      </w:pPr>
    </w:p>
    <w:p>
      <w:pPr>
        <w:rPr>
          <w:rFonts w:ascii="宋体" w:hAnsi="宋体"/>
          <w:sz w:val="20"/>
          <w:szCs w:val="21"/>
        </w:rPr>
      </w:pPr>
      <w:r>
        <w:rPr>
          <w:rFonts w:ascii="宋体" w:hAnsi="宋体"/>
          <w:sz w:val="20"/>
          <w:szCs w:val="21"/>
        </w:rPr>
        <w:br w:type="page"/>
      </w:r>
    </w:p>
    <w:p>
      <w:pPr>
        <w:pStyle w:val="6"/>
        <w:numPr>
          <w:ilvl w:val="2"/>
          <w:numId w:val="5"/>
        </w:numPr>
        <w:tabs>
          <w:tab w:val="left" w:pos="709"/>
        </w:tabs>
        <w:spacing w:after="200"/>
        <w:ind w:left="1135" w:hanging="1135"/>
        <w:rPr>
          <w:color w:val="auto"/>
          <w:sz w:val="24"/>
          <w:szCs w:val="24"/>
        </w:rPr>
      </w:pPr>
      <w:r>
        <w:rPr>
          <w:rFonts w:hint="eastAsia"/>
          <w:color w:val="auto"/>
          <w:sz w:val="24"/>
          <w:szCs w:val="24"/>
        </w:rPr>
        <w:t>中小企业声明函</w:t>
      </w:r>
    </w:p>
    <w:p>
      <w:pPr>
        <w:spacing w:line="440" w:lineRule="exact"/>
        <w:ind w:firstLine="496" w:firstLineChars="196"/>
        <w:jc w:val="center"/>
        <w:rPr>
          <w:rFonts w:ascii="宋体" w:hAnsi="宋体"/>
          <w:b/>
          <w:sz w:val="24"/>
          <w:szCs w:val="24"/>
        </w:rPr>
      </w:pPr>
      <w:r>
        <w:rPr>
          <w:rFonts w:hint="eastAsia" w:ascii="宋体" w:hAnsi="宋体"/>
          <w:b/>
          <w:spacing w:val="6"/>
          <w:sz w:val="24"/>
          <w:szCs w:val="24"/>
        </w:rPr>
        <w:t>中小企业声明函</w:t>
      </w:r>
    </w:p>
    <w:p>
      <w:pPr>
        <w:spacing w:line="480" w:lineRule="exact"/>
        <w:ind w:firstLine="561"/>
        <w:rPr>
          <w:rFonts w:ascii="宋体" w:hAnsi="宋体"/>
          <w:sz w:val="24"/>
          <w:szCs w:val="24"/>
        </w:rPr>
      </w:pPr>
      <w:r>
        <w:rPr>
          <w:rFonts w:hint="eastAsia" w:ascii="宋体" w:hAnsi="宋体"/>
          <w:sz w:val="24"/>
          <w:szCs w:val="24"/>
        </w:rPr>
        <w:t>本公司郑重声明，根据《政府采购促进中小企业发展管理办法》（财库﹝2020﹞46 号）的规定，本公司参加</w:t>
      </w:r>
      <w:r>
        <w:rPr>
          <w:rFonts w:hint="eastAsia" w:ascii="宋体" w:hAnsi="宋体"/>
          <w:b/>
          <w:sz w:val="24"/>
          <w:szCs w:val="24"/>
          <w:u w:val="single"/>
        </w:rPr>
        <w:t>XX</w:t>
      </w:r>
      <w:r>
        <w:rPr>
          <w:rFonts w:hint="eastAsia" w:ascii="宋体" w:hAnsi="宋体"/>
          <w:sz w:val="24"/>
          <w:szCs w:val="24"/>
        </w:rPr>
        <w:t>（单位名称）的</w:t>
      </w:r>
      <w:r>
        <w:rPr>
          <w:rFonts w:hint="eastAsia" w:ascii="宋体" w:hAnsi="宋体"/>
          <w:b/>
          <w:sz w:val="24"/>
          <w:szCs w:val="24"/>
          <w:u w:val="single"/>
        </w:rPr>
        <w:t>XX</w:t>
      </w:r>
      <w:r>
        <w:rPr>
          <w:rFonts w:hint="eastAsia" w:ascii="宋体" w:hAnsi="宋体"/>
          <w:sz w:val="24"/>
          <w:szCs w:val="24"/>
        </w:rPr>
        <w:t>（项目名称）采购活动，</w:t>
      </w:r>
      <w:r>
        <w:rPr>
          <w:rFonts w:hint="eastAsia" w:ascii="宋体" w:hAnsi="宋体"/>
          <w:b/>
          <w:sz w:val="24"/>
          <w:szCs w:val="24"/>
        </w:rPr>
        <w:t>提供的</w:t>
      </w:r>
      <w:r>
        <w:rPr>
          <w:rFonts w:hint="eastAsia" w:ascii="宋体" w:hAnsi="宋体"/>
          <w:b/>
          <w:sz w:val="24"/>
          <w:szCs w:val="24"/>
          <w:highlight w:val="yellow"/>
        </w:rPr>
        <w:t>货物</w:t>
      </w:r>
      <w:r>
        <w:rPr>
          <w:rFonts w:hint="eastAsia" w:ascii="宋体" w:hAnsi="宋体"/>
          <w:b/>
          <w:sz w:val="24"/>
          <w:szCs w:val="24"/>
        </w:rPr>
        <w:t>全部由符合政策要求的中小企业制造。</w:t>
      </w:r>
      <w:r>
        <w:rPr>
          <w:rFonts w:hint="eastAsia" w:ascii="宋体" w:hAnsi="宋体"/>
          <w:sz w:val="24"/>
          <w:szCs w:val="24"/>
        </w:rPr>
        <w:t>相关企业的具体情况如下：</w:t>
      </w:r>
    </w:p>
    <w:p>
      <w:pPr>
        <w:spacing w:line="480" w:lineRule="exact"/>
        <w:ind w:firstLine="561"/>
        <w:rPr>
          <w:rFonts w:ascii="宋体" w:hAnsi="宋体"/>
          <w:sz w:val="24"/>
          <w:szCs w:val="24"/>
        </w:rPr>
      </w:pPr>
      <w:r>
        <w:rPr>
          <w:rFonts w:hint="eastAsia" w:ascii="宋体" w:hAnsi="宋体"/>
          <w:sz w:val="24"/>
          <w:szCs w:val="24"/>
        </w:rPr>
        <w:t xml:space="preserve"> 1.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 xml:space="preserve">2. </w:t>
      </w:r>
      <w:r>
        <w:rPr>
          <w:rFonts w:hint="eastAsia" w:ascii="宋体" w:hAnsi="宋体"/>
          <w:sz w:val="24"/>
          <w:szCs w:val="24"/>
          <w:u w:val="single"/>
        </w:rPr>
        <w:t>___XXXX____</w:t>
      </w:r>
      <w:r>
        <w:rPr>
          <w:rFonts w:hint="eastAsia" w:ascii="宋体" w:hAnsi="宋体"/>
          <w:sz w:val="24"/>
          <w:szCs w:val="24"/>
        </w:rPr>
        <w:t>（标的名称），属于</w:t>
      </w:r>
      <w:r>
        <w:rPr>
          <w:rFonts w:hint="eastAsia" w:ascii="宋体" w:hAnsi="宋体"/>
          <w:sz w:val="24"/>
          <w:szCs w:val="24"/>
          <w:u w:val="single"/>
        </w:rPr>
        <w:t>___XXXX____</w:t>
      </w:r>
      <w:r>
        <w:rPr>
          <w:rFonts w:hint="eastAsia" w:ascii="宋体" w:hAnsi="宋体"/>
          <w:sz w:val="24"/>
          <w:szCs w:val="24"/>
        </w:rPr>
        <w:t>（采购文件中明确的所属行业）行业；制造商为</w:t>
      </w:r>
      <w:r>
        <w:rPr>
          <w:rFonts w:hint="eastAsia" w:ascii="宋体" w:hAnsi="宋体"/>
          <w:sz w:val="24"/>
          <w:szCs w:val="24"/>
          <w:u w:val="single"/>
        </w:rPr>
        <w:t>___XXXX__</w:t>
      </w:r>
      <w:r>
        <w:rPr>
          <w:rFonts w:hint="eastAsia" w:ascii="宋体" w:hAnsi="宋体"/>
          <w:sz w:val="24"/>
          <w:szCs w:val="24"/>
        </w:rPr>
        <w:t>（企业名称），从业人员</w:t>
      </w:r>
      <w:r>
        <w:rPr>
          <w:rFonts w:hint="eastAsia" w:ascii="宋体" w:hAnsi="宋体"/>
          <w:sz w:val="24"/>
          <w:szCs w:val="24"/>
          <w:u w:val="single"/>
        </w:rPr>
        <w:t>___XXXX___</w:t>
      </w:r>
      <w:r>
        <w:rPr>
          <w:rFonts w:hint="eastAsia" w:ascii="宋体" w:hAnsi="宋体"/>
          <w:sz w:val="24"/>
          <w:szCs w:val="24"/>
        </w:rPr>
        <w:t>人，营业收入为</w:t>
      </w:r>
      <w:r>
        <w:rPr>
          <w:rFonts w:hint="eastAsia" w:ascii="宋体" w:hAnsi="宋体"/>
          <w:sz w:val="24"/>
          <w:szCs w:val="24"/>
          <w:u w:val="single"/>
        </w:rPr>
        <w:t>__XXXX__</w:t>
      </w:r>
      <w:r>
        <w:rPr>
          <w:rFonts w:hint="eastAsia" w:ascii="宋体" w:hAnsi="宋体"/>
          <w:sz w:val="24"/>
          <w:szCs w:val="24"/>
        </w:rPr>
        <w:t>万元，资产总额为</w:t>
      </w:r>
      <w:r>
        <w:rPr>
          <w:rFonts w:hint="eastAsia" w:ascii="宋体" w:hAnsi="宋体"/>
          <w:sz w:val="24"/>
          <w:szCs w:val="24"/>
          <w:u w:val="single"/>
        </w:rPr>
        <w:t>___XXXX___</w:t>
      </w:r>
      <w:r>
        <w:rPr>
          <w:rFonts w:hint="eastAsia" w:ascii="宋体" w:hAnsi="宋体"/>
          <w:sz w:val="24"/>
          <w:szCs w:val="24"/>
        </w:rPr>
        <w:t>万元</w:t>
      </w:r>
      <w:r>
        <w:rPr>
          <w:rFonts w:hint="eastAsia" w:ascii="宋体" w:hAnsi="宋体"/>
          <w:sz w:val="24"/>
          <w:szCs w:val="24"/>
          <w:vertAlign w:val="superscript"/>
        </w:rPr>
        <w:t>1</w:t>
      </w:r>
      <w:r>
        <w:rPr>
          <w:rFonts w:hint="eastAsia" w:ascii="宋体" w:hAnsi="宋体"/>
          <w:sz w:val="24"/>
          <w:szCs w:val="24"/>
        </w:rPr>
        <w:t>，属于</w:t>
      </w:r>
      <w:r>
        <w:rPr>
          <w:rFonts w:hint="eastAsia" w:ascii="宋体" w:hAnsi="宋体"/>
          <w:sz w:val="24"/>
          <w:szCs w:val="24"/>
          <w:u w:val="single"/>
        </w:rPr>
        <w:t>___XXXX__</w:t>
      </w:r>
      <w:r>
        <w:rPr>
          <w:rFonts w:hint="eastAsia" w:ascii="宋体" w:hAnsi="宋体"/>
          <w:sz w:val="24"/>
          <w:szCs w:val="24"/>
        </w:rPr>
        <w:t>（中型企业、小型企业、微型企业）。</w:t>
      </w:r>
    </w:p>
    <w:p>
      <w:pPr>
        <w:spacing w:line="480" w:lineRule="exact"/>
        <w:ind w:firstLine="561"/>
        <w:rPr>
          <w:rFonts w:ascii="宋体" w:hAnsi="宋体"/>
          <w:sz w:val="24"/>
          <w:szCs w:val="24"/>
        </w:rPr>
      </w:pPr>
      <w:r>
        <w:rPr>
          <w:rFonts w:hint="eastAsia" w:ascii="宋体" w:hAnsi="宋体"/>
          <w:sz w:val="24"/>
          <w:szCs w:val="24"/>
        </w:rPr>
        <w:t>…………</w:t>
      </w:r>
    </w:p>
    <w:p>
      <w:pPr>
        <w:spacing w:line="480" w:lineRule="exact"/>
        <w:ind w:firstLine="561"/>
        <w:rPr>
          <w:rFonts w:ascii="宋体" w:hAnsi="宋体"/>
          <w:sz w:val="24"/>
          <w:szCs w:val="24"/>
        </w:rPr>
      </w:pPr>
      <w:r>
        <w:rPr>
          <w:rFonts w:hint="eastAsia" w:ascii="宋体" w:hAnsi="宋体"/>
          <w:sz w:val="24"/>
          <w:szCs w:val="24"/>
        </w:rPr>
        <w:t>以上企业，不属于大企业的分支机构，不存在控股股东 为大企业的情形，也不存在与大企业的负责人为同一人的情形。</w:t>
      </w:r>
    </w:p>
    <w:p>
      <w:pPr>
        <w:spacing w:line="480" w:lineRule="exact"/>
        <w:ind w:firstLine="561"/>
        <w:rPr>
          <w:rFonts w:ascii="宋体" w:hAnsi="宋体"/>
          <w:sz w:val="24"/>
          <w:szCs w:val="24"/>
        </w:rPr>
      </w:pPr>
      <w:r>
        <w:rPr>
          <w:rFonts w:hint="eastAsia" w:ascii="宋体" w:hAnsi="宋体"/>
          <w:sz w:val="24"/>
          <w:szCs w:val="24"/>
        </w:rPr>
        <w:t>本企业对上述声明内容的真实性负责。如有虚假，将依法承担相应责任。</w:t>
      </w:r>
    </w:p>
    <w:p>
      <w:pPr>
        <w:spacing w:line="480" w:lineRule="exact"/>
        <w:ind w:right="280" w:firstLine="561"/>
        <w:jc w:val="right"/>
        <w:rPr>
          <w:rFonts w:ascii="宋体" w:hAnsi="宋体"/>
          <w:sz w:val="24"/>
          <w:szCs w:val="24"/>
        </w:rPr>
      </w:pPr>
      <w:r>
        <w:rPr>
          <w:rFonts w:hint="eastAsia" w:ascii="宋体" w:hAnsi="宋体"/>
          <w:sz w:val="24"/>
          <w:szCs w:val="24"/>
        </w:rPr>
        <w:t>企业名称：</w:t>
      </w:r>
      <w:r>
        <w:rPr>
          <w:rFonts w:hint="eastAsia" w:ascii="宋体" w:hAnsi="宋体"/>
          <w:sz w:val="24"/>
          <w:szCs w:val="24"/>
          <w:u w:val="single"/>
        </w:rPr>
        <w:t>___XXXX____</w:t>
      </w:r>
    </w:p>
    <w:p>
      <w:pPr>
        <w:spacing w:line="480" w:lineRule="exact"/>
        <w:ind w:firstLine="561"/>
        <w:rPr>
          <w:rFonts w:ascii="宋体" w:hAnsi="宋体"/>
          <w:sz w:val="24"/>
          <w:szCs w:val="24"/>
        </w:rPr>
      </w:pPr>
      <w:r>
        <w:rPr>
          <w:rFonts w:hint="eastAsia" w:ascii="宋体" w:hAnsi="宋体"/>
          <w:sz w:val="24"/>
          <w:szCs w:val="24"/>
        </w:rPr>
        <w:t xml:space="preserve">                                日 期：202X年XX月XX日</w:t>
      </w:r>
    </w:p>
    <w:p>
      <w:pPr>
        <w:pStyle w:val="81"/>
        <w:tabs>
          <w:tab w:val="left" w:pos="567"/>
          <w:tab w:val="left" w:pos="709"/>
          <w:tab w:val="left" w:pos="851"/>
        </w:tabs>
        <w:spacing w:line="520" w:lineRule="exact"/>
        <w:ind w:firstLine="0" w:firstLineChars="0"/>
        <w:rPr>
          <w:rFonts w:ascii="宋体" w:hAnsi="宋体" w:eastAsia="宋体"/>
          <w:b/>
          <w:sz w:val="24"/>
          <w:szCs w:val="24"/>
        </w:rPr>
      </w:pPr>
    </w:p>
    <w:p>
      <w:pPr>
        <w:pStyle w:val="81"/>
        <w:tabs>
          <w:tab w:val="left" w:pos="567"/>
          <w:tab w:val="left" w:pos="709"/>
          <w:tab w:val="left" w:pos="851"/>
        </w:tabs>
        <w:spacing w:line="520" w:lineRule="exact"/>
        <w:ind w:firstLine="0" w:firstLineChars="0"/>
        <w:rPr>
          <w:rFonts w:hint="eastAsia" w:ascii="宋体" w:hAnsi="宋体" w:eastAsia="宋体"/>
          <w:b/>
          <w:sz w:val="24"/>
          <w:szCs w:val="24"/>
          <w:lang w:val="en-US" w:eastAsia="zh-CN"/>
        </w:rPr>
      </w:pPr>
      <w:r>
        <w:rPr>
          <w:rFonts w:hint="eastAsia" w:ascii="宋体" w:hAnsi="宋体" w:eastAsia="宋体"/>
          <w:b/>
          <w:sz w:val="24"/>
          <w:szCs w:val="24"/>
        </w:rPr>
        <w:t>说明：</w:t>
      </w:r>
      <w:r>
        <w:rPr>
          <w:rFonts w:hint="eastAsia" w:ascii="宋体" w:hAnsi="宋体" w:eastAsia="宋体"/>
          <w:b/>
          <w:sz w:val="24"/>
          <w:szCs w:val="24"/>
          <w:vertAlign w:val="superscript"/>
        </w:rPr>
        <w:t>1</w:t>
      </w:r>
      <w:r>
        <w:rPr>
          <w:rFonts w:hint="eastAsia" w:ascii="宋体" w:hAnsi="宋体" w:eastAsia="宋体"/>
          <w:b/>
          <w:sz w:val="24"/>
          <w:szCs w:val="24"/>
        </w:rPr>
        <w:t>从业人员、营业收入、资产总额填报上一年度数据，无上一年度数据的新成立企业可不填报。</w:t>
      </w:r>
      <w:r>
        <w:rPr>
          <w:rFonts w:hint="eastAsia" w:ascii="宋体" w:hAnsi="宋体" w:eastAsia="宋体"/>
          <w:b/>
          <w:sz w:val="24"/>
          <w:szCs w:val="24"/>
        </w:rPr>
        <w:br w:type="textWrapping"/>
      </w:r>
      <w:r>
        <w:rPr>
          <w:rFonts w:hint="eastAsia" w:ascii="宋体" w:hAnsi="宋体" w:eastAsia="宋体"/>
          <w:b/>
          <w:sz w:val="24"/>
          <w:szCs w:val="24"/>
          <w:lang w:val="en-US" w:eastAsia="zh-CN"/>
        </w:rPr>
        <w:t xml:space="preserve">   </w:t>
      </w:r>
    </w:p>
    <w:p>
      <w:pPr>
        <w:pStyle w:val="81"/>
        <w:tabs>
          <w:tab w:val="left" w:pos="567"/>
          <w:tab w:val="left" w:pos="709"/>
          <w:tab w:val="left" w:pos="851"/>
        </w:tabs>
        <w:spacing w:line="520" w:lineRule="exact"/>
        <w:ind w:left="0" w:leftChars="0" w:firstLine="0" w:firstLineChars="0"/>
        <w:rPr>
          <w:rFonts w:hint="eastAsia" w:ascii="宋体" w:hAnsi="宋体" w:eastAsia="宋体"/>
          <w:b/>
          <w:sz w:val="24"/>
          <w:szCs w:val="24"/>
          <w:lang w:val="en-US" w:eastAsia="zh-CN"/>
        </w:rPr>
      </w:pPr>
      <w:r>
        <w:rPr>
          <w:rFonts w:hint="eastAsia" w:ascii="宋体" w:hAnsi="宋体" w:eastAsia="宋体"/>
          <w:b/>
          <w:sz w:val="24"/>
          <w:szCs w:val="24"/>
          <w:lang w:eastAsia="zh-CN"/>
        </w:rPr>
        <w:t>注：</w:t>
      </w:r>
      <w:r>
        <w:rPr>
          <w:rFonts w:hint="default" w:ascii="宋体" w:hAnsi="宋体" w:eastAsia="宋体"/>
          <w:b/>
          <w:sz w:val="24"/>
          <w:szCs w:val="24"/>
        </w:rPr>
        <w:t>提供了《残疾人福利性单位声明函》或监狱企业证明文件复印件的不需提供</w:t>
      </w:r>
      <w:r>
        <w:rPr>
          <w:rFonts w:hint="eastAsia" w:ascii="宋体" w:hAnsi="宋体" w:eastAsia="宋体"/>
          <w:b/>
          <w:sz w:val="24"/>
          <w:szCs w:val="24"/>
          <w:lang w:eastAsia="zh-CN"/>
        </w:rPr>
        <w:t>。</w:t>
      </w:r>
    </w:p>
    <w:p>
      <w:pPr>
        <w:rPr>
          <w:rFonts w:ascii="宋体" w:hAnsi="宋体" w:eastAsia="宋体"/>
          <w:b/>
          <w:sz w:val="24"/>
          <w:szCs w:val="24"/>
        </w:rPr>
      </w:pPr>
      <w:r>
        <w:rPr>
          <w:rFonts w:ascii="宋体" w:hAnsi="宋体" w:eastAsia="宋体"/>
          <w:b/>
          <w:sz w:val="24"/>
          <w:szCs w:val="24"/>
        </w:rPr>
        <w:br w:type="page"/>
      </w:r>
    </w:p>
    <w:p>
      <w:pPr>
        <w:pStyle w:val="6"/>
        <w:numPr>
          <w:ilvl w:val="2"/>
          <w:numId w:val="5"/>
        </w:numPr>
        <w:tabs>
          <w:tab w:val="left" w:pos="709"/>
        </w:tabs>
        <w:spacing w:after="200"/>
        <w:ind w:left="1135" w:hanging="1135"/>
        <w:rPr>
          <w:color w:val="auto"/>
          <w:sz w:val="24"/>
          <w:szCs w:val="24"/>
        </w:rPr>
      </w:pPr>
      <w:r>
        <w:rPr>
          <w:rFonts w:hint="eastAsia"/>
          <w:color w:val="auto"/>
          <w:sz w:val="24"/>
          <w:szCs w:val="24"/>
        </w:rPr>
        <w:t>残疾人福利性单位声明函</w:t>
      </w:r>
    </w:p>
    <w:p>
      <w:pPr>
        <w:spacing w:line="500" w:lineRule="exact"/>
        <w:jc w:val="center"/>
        <w:rPr>
          <w:rFonts w:ascii="宋体" w:hAnsi="宋体"/>
          <w:b/>
          <w:spacing w:val="6"/>
          <w:sz w:val="24"/>
          <w:szCs w:val="24"/>
        </w:rPr>
      </w:pPr>
      <w:r>
        <w:rPr>
          <w:rFonts w:hint="eastAsia" w:ascii="宋体" w:hAnsi="宋体"/>
          <w:b/>
          <w:spacing w:val="6"/>
          <w:sz w:val="24"/>
          <w:szCs w:val="24"/>
        </w:rPr>
        <w:t>残疾人福利性单位声明函</w:t>
      </w:r>
    </w:p>
    <w:p>
      <w:pPr>
        <w:spacing w:line="440" w:lineRule="exact"/>
        <w:rPr>
          <w:rFonts w:ascii="仿宋_GB2312" w:eastAsia="仿宋_GB2312"/>
          <w:b/>
          <w:spacing w:val="6"/>
          <w:sz w:val="28"/>
          <w:szCs w:val="28"/>
        </w:rPr>
      </w:pP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4"/>
          <w:szCs w:val="24"/>
          <w:u w:val="single"/>
        </w:rPr>
        <w:t>XX</w:t>
      </w:r>
      <w:r>
        <w:rPr>
          <w:rFonts w:hint="eastAsia" w:ascii="宋体" w:hAnsi="宋体"/>
          <w:spacing w:val="6"/>
          <w:sz w:val="24"/>
          <w:szCs w:val="24"/>
        </w:rPr>
        <w:t>单位</w:t>
      </w:r>
      <w:r>
        <w:rPr>
          <w:rFonts w:ascii="宋体" w:hAnsi="宋体"/>
          <w:spacing w:val="6"/>
          <w:sz w:val="24"/>
          <w:szCs w:val="24"/>
        </w:rPr>
        <w:t>的</w:t>
      </w:r>
      <w:r>
        <w:rPr>
          <w:rFonts w:hint="eastAsia" w:ascii="宋体" w:hAnsi="宋体"/>
          <w:b/>
          <w:sz w:val="24"/>
          <w:szCs w:val="24"/>
          <w:u w:val="single"/>
        </w:rPr>
        <w:t>XX</w:t>
      </w:r>
      <w:r>
        <w:rPr>
          <w:rFonts w:hint="eastAsia" w:ascii="宋体" w:hAnsi="宋体"/>
          <w:spacing w:val="6"/>
          <w:sz w:val="24"/>
          <w:szCs w:val="24"/>
        </w:rPr>
        <w:t>采购活动提供本单位制造的货物，或者提供其他残疾人福利性单位制造的货物（不包括使用非残疾人福利性单位注册商标的货物）。</w:t>
      </w:r>
    </w:p>
    <w:p>
      <w:pPr>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overflowPunct w:val="0"/>
        <w:spacing w:line="520"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ind w:firstLine="480" w:firstLineChars="200"/>
        <w:rPr>
          <w:rFonts w:ascii="Times New Roman" w:hAnsi="Times New Roman" w:eastAsia="仿宋_GB2312"/>
          <w:bCs/>
          <w:sz w:val="24"/>
          <w:szCs w:val="24"/>
        </w:rPr>
      </w:pPr>
    </w:p>
    <w:p>
      <w:pPr>
        <w:overflowPunct w:val="0"/>
        <w:spacing w:line="546" w:lineRule="exact"/>
        <w:rPr>
          <w:rFonts w:ascii="Times New Roman" w:hAnsi="Times New Roman" w:eastAsia="仿宋_GB2312"/>
          <w:bCs/>
          <w:sz w:val="24"/>
          <w:szCs w:val="24"/>
        </w:rPr>
      </w:pPr>
    </w:p>
    <w:p>
      <w:pPr>
        <w:tabs>
          <w:tab w:val="left" w:pos="3969"/>
        </w:tabs>
        <w:spacing w:line="500" w:lineRule="exact"/>
        <w:ind w:right="-58" w:firstLine="504" w:firstLineChars="200"/>
        <w:jc w:val="left"/>
        <w:rPr>
          <w:rFonts w:ascii="宋体" w:hAnsi="宋体"/>
          <w:spacing w:val="6"/>
          <w:sz w:val="24"/>
          <w:szCs w:val="24"/>
        </w:rPr>
      </w:pPr>
      <w:r>
        <w:rPr>
          <w:rFonts w:hint="eastAsia" w:ascii="宋体" w:hAnsi="宋体"/>
          <w:spacing w:val="6"/>
          <w:sz w:val="24"/>
          <w:szCs w:val="24"/>
        </w:rPr>
        <w:t>单位名称：</w:t>
      </w:r>
      <w:r>
        <w:rPr>
          <w:rFonts w:ascii="宋体" w:hAnsi="宋体"/>
          <w:sz w:val="24"/>
          <w:szCs w:val="24"/>
          <w:u w:val="single"/>
        </w:rPr>
        <w:t>XXXX</w:t>
      </w:r>
    </w:p>
    <w:p>
      <w:pPr>
        <w:tabs>
          <w:tab w:val="left" w:pos="3969"/>
        </w:tabs>
        <w:spacing w:line="500" w:lineRule="exact"/>
        <w:ind w:right="-58" w:firstLine="504" w:firstLineChars="200"/>
        <w:jc w:val="left"/>
        <w:rPr>
          <w:sz w:val="24"/>
          <w:szCs w:val="24"/>
        </w:rPr>
      </w:pPr>
      <w:r>
        <w:rPr>
          <w:rFonts w:hint="eastAsia" w:ascii="宋体" w:hAnsi="宋体"/>
          <w:spacing w:val="6"/>
          <w:sz w:val="24"/>
          <w:szCs w:val="24"/>
        </w:rPr>
        <w:t>日期：</w:t>
      </w:r>
      <w:r>
        <w:rPr>
          <w:rFonts w:ascii="宋体" w:hAnsi="宋体"/>
          <w:sz w:val="24"/>
          <w:szCs w:val="24"/>
        </w:rPr>
        <w:t>20</w:t>
      </w:r>
      <w:r>
        <w:rPr>
          <w:rFonts w:ascii="宋体" w:hAnsi="宋体"/>
          <w:sz w:val="24"/>
          <w:szCs w:val="24"/>
          <w:u w:val="single"/>
        </w:rPr>
        <w:t>XX</w:t>
      </w:r>
      <w:r>
        <w:rPr>
          <w:rFonts w:ascii="宋体" w:hAnsi="宋体"/>
          <w:sz w:val="24"/>
          <w:szCs w:val="24"/>
        </w:rPr>
        <w:t>年</w:t>
      </w:r>
      <w:r>
        <w:rPr>
          <w:rFonts w:ascii="宋体" w:hAnsi="宋体"/>
          <w:sz w:val="24"/>
          <w:szCs w:val="24"/>
          <w:u w:val="single"/>
        </w:rPr>
        <w:t>XX</w:t>
      </w:r>
      <w:r>
        <w:rPr>
          <w:rFonts w:ascii="宋体" w:hAnsi="宋体"/>
          <w:sz w:val="24"/>
          <w:szCs w:val="24"/>
        </w:rPr>
        <w:t>月</w:t>
      </w:r>
      <w:r>
        <w:rPr>
          <w:rFonts w:ascii="宋体" w:hAnsi="宋体"/>
          <w:sz w:val="24"/>
          <w:szCs w:val="24"/>
          <w:u w:val="single"/>
        </w:rPr>
        <w:t>XX</w:t>
      </w:r>
      <w:r>
        <w:rPr>
          <w:rFonts w:ascii="宋体" w:hAnsi="宋体"/>
          <w:sz w:val="24"/>
          <w:szCs w:val="24"/>
        </w:rPr>
        <w:t>日</w:t>
      </w:r>
    </w:p>
    <w:p>
      <w:pPr>
        <w:ind w:firstLine="563"/>
        <w:rPr>
          <w:rFonts w:ascii="宋体" w:hAnsi="宋体"/>
          <w:b/>
          <w:kern w:val="0"/>
          <w:sz w:val="24"/>
          <w:szCs w:val="24"/>
        </w:rPr>
      </w:pPr>
    </w:p>
    <w:p>
      <w:pPr>
        <w:tabs>
          <w:tab w:val="left" w:pos="1260"/>
        </w:tabs>
        <w:spacing w:line="560" w:lineRule="exact"/>
        <w:ind w:firstLine="482" w:firstLineChars="200"/>
        <w:rPr>
          <w:rFonts w:ascii="宋体" w:hAnsi="宋体"/>
          <w:b/>
          <w:sz w:val="24"/>
          <w:szCs w:val="24"/>
        </w:rPr>
      </w:pPr>
      <w:r>
        <w:rPr>
          <w:rFonts w:hint="eastAsia" w:ascii="宋体" w:hAnsi="宋体"/>
          <w:b/>
          <w:sz w:val="24"/>
          <w:szCs w:val="24"/>
        </w:rPr>
        <w:t>说明</w:t>
      </w:r>
      <w:r>
        <w:rPr>
          <w:rFonts w:ascii="宋体" w:hAnsi="宋体"/>
          <w:b/>
          <w:sz w:val="24"/>
          <w:szCs w:val="24"/>
        </w:rPr>
        <w:t>：</w:t>
      </w:r>
      <w:r>
        <w:rPr>
          <w:rFonts w:hint="eastAsia" w:ascii="宋体" w:hAnsi="宋体"/>
          <w:b/>
          <w:sz w:val="24"/>
          <w:szCs w:val="24"/>
        </w:rPr>
        <w:t>提供了《中小</w:t>
      </w:r>
      <w:r>
        <w:rPr>
          <w:rFonts w:ascii="宋体" w:hAnsi="宋体"/>
          <w:b/>
          <w:sz w:val="24"/>
          <w:szCs w:val="24"/>
        </w:rPr>
        <w:t>企业声明函</w:t>
      </w:r>
      <w:r>
        <w:rPr>
          <w:rFonts w:hint="eastAsia" w:ascii="宋体" w:hAnsi="宋体"/>
          <w:b/>
          <w:sz w:val="24"/>
          <w:szCs w:val="24"/>
        </w:rPr>
        <w:t>》或监狱企业证明文件复印件的无需提供。</w:t>
      </w:r>
    </w:p>
    <w:p>
      <w:pPr>
        <w:tabs>
          <w:tab w:val="left" w:pos="1260"/>
        </w:tabs>
        <w:spacing w:line="560" w:lineRule="exact"/>
        <w:ind w:firstLine="482" w:firstLineChars="200"/>
        <w:rPr>
          <w:rFonts w:ascii="宋体" w:hAnsi="宋体"/>
          <w:b/>
          <w:sz w:val="24"/>
          <w:szCs w:val="24"/>
        </w:rPr>
      </w:pPr>
    </w:p>
    <w:p>
      <w:pPr>
        <w:tabs>
          <w:tab w:val="left" w:pos="1260"/>
        </w:tabs>
        <w:spacing w:line="560" w:lineRule="exact"/>
        <w:ind w:firstLine="482" w:firstLineChars="200"/>
        <w:rPr>
          <w:rFonts w:ascii="宋体" w:hAnsi="宋体"/>
          <w:b/>
          <w:sz w:val="24"/>
          <w:szCs w:val="24"/>
        </w:rPr>
      </w:pPr>
    </w:p>
    <w:p>
      <w:pPr>
        <w:rPr>
          <w:rFonts w:ascii="宋体" w:hAnsi="宋体"/>
          <w:b/>
          <w:sz w:val="24"/>
          <w:szCs w:val="24"/>
        </w:rPr>
      </w:pPr>
      <w:r>
        <w:rPr>
          <w:rFonts w:ascii="宋体" w:hAnsi="宋体"/>
          <w:b/>
          <w:sz w:val="24"/>
          <w:szCs w:val="24"/>
        </w:rPr>
        <w:br w:type="page"/>
      </w:r>
    </w:p>
    <w:p>
      <w:pPr>
        <w:pStyle w:val="6"/>
        <w:numPr>
          <w:ilvl w:val="2"/>
          <w:numId w:val="5"/>
        </w:numPr>
        <w:tabs>
          <w:tab w:val="left" w:pos="709"/>
        </w:tabs>
        <w:spacing w:after="200"/>
        <w:ind w:left="1135" w:hanging="1135"/>
        <w:rPr>
          <w:color w:val="auto"/>
        </w:rPr>
      </w:pPr>
      <w:r>
        <w:rPr>
          <w:rFonts w:hint="eastAsia"/>
          <w:color w:val="auto"/>
        </w:rPr>
        <w:t>法定代表人或主要负责人身份证明书</w:t>
      </w:r>
    </w:p>
    <w:p>
      <w:pPr>
        <w:rPr>
          <w:sz w:val="20"/>
          <w:szCs w:val="21"/>
        </w:rPr>
      </w:pPr>
    </w:p>
    <w:p>
      <w:pPr>
        <w:tabs>
          <w:tab w:val="left" w:pos="6300"/>
        </w:tabs>
        <w:spacing w:line="360" w:lineRule="auto"/>
        <w:ind w:firstLine="573"/>
        <w:rPr>
          <w:rFonts w:ascii="宋体" w:hAnsi="宋体"/>
          <w:sz w:val="28"/>
          <w:szCs w:val="28"/>
          <w:lang w:val="zh-CN"/>
        </w:rPr>
      </w:pPr>
      <w:r>
        <w:rPr>
          <w:rFonts w:ascii="宋体" w:hAnsi="宋体"/>
          <w:sz w:val="28"/>
          <w:szCs w:val="28"/>
          <w:u w:val="single"/>
          <w:lang w:val="zh-CN"/>
        </w:rPr>
        <w:t xml:space="preserve">       （</w:t>
      </w:r>
      <w:r>
        <w:rPr>
          <w:rFonts w:hint="eastAsia" w:ascii="宋体" w:hAnsi="宋体"/>
          <w:sz w:val="28"/>
          <w:szCs w:val="28"/>
          <w:u w:val="single"/>
        </w:rPr>
        <w:t>法定代表人或</w:t>
      </w:r>
      <w:r>
        <w:rPr>
          <w:rFonts w:ascii="宋体" w:hAnsi="宋体"/>
          <w:sz w:val="28"/>
          <w:szCs w:val="28"/>
          <w:u w:val="single"/>
        </w:rPr>
        <w:t>主要负责人</w:t>
      </w:r>
      <w:r>
        <w:rPr>
          <w:rFonts w:hint="eastAsia" w:ascii="宋体" w:hAnsi="宋体"/>
          <w:sz w:val="28"/>
          <w:szCs w:val="28"/>
          <w:u w:val="single"/>
          <w:lang w:val="zh-CN"/>
        </w:rPr>
        <w:t>姓名）</w:t>
      </w:r>
      <w:r>
        <w:rPr>
          <w:rFonts w:ascii="宋体" w:hAnsi="宋体"/>
          <w:sz w:val="28"/>
          <w:szCs w:val="28"/>
          <w:u w:val="single"/>
          <w:lang w:val="zh-CN"/>
        </w:rPr>
        <w:t xml:space="preserve">       </w:t>
      </w:r>
      <w:r>
        <w:rPr>
          <w:rFonts w:hint="eastAsia" w:ascii="宋体" w:hAnsi="宋体"/>
          <w:sz w:val="28"/>
          <w:szCs w:val="28"/>
          <w:lang w:val="zh-CN"/>
        </w:rPr>
        <w:t>在</w:t>
      </w:r>
      <w:r>
        <w:rPr>
          <w:rFonts w:ascii="宋体" w:hAnsi="宋体"/>
          <w:sz w:val="28"/>
          <w:szCs w:val="28"/>
          <w:u w:val="single"/>
          <w:lang w:val="zh-CN"/>
        </w:rPr>
        <w:t xml:space="preserve">       （供应商名称）       </w:t>
      </w:r>
      <w:r>
        <w:rPr>
          <w:rFonts w:hint="eastAsia" w:ascii="宋体" w:hAnsi="宋体"/>
          <w:sz w:val="28"/>
          <w:szCs w:val="28"/>
          <w:lang w:val="zh-CN"/>
        </w:rPr>
        <w:t>处任</w:t>
      </w:r>
      <w:r>
        <w:rPr>
          <w:rFonts w:ascii="宋体" w:hAnsi="宋体"/>
          <w:sz w:val="28"/>
          <w:szCs w:val="28"/>
          <w:u w:val="single"/>
          <w:lang w:val="zh-CN"/>
        </w:rPr>
        <w:t xml:space="preserve">       （职务名称）       </w:t>
      </w:r>
      <w:r>
        <w:rPr>
          <w:rFonts w:hint="eastAsia" w:ascii="宋体" w:hAnsi="宋体"/>
          <w:sz w:val="28"/>
          <w:szCs w:val="28"/>
          <w:lang w:val="zh-CN"/>
        </w:rPr>
        <w:t>职务，是</w:t>
      </w:r>
      <w:r>
        <w:rPr>
          <w:rFonts w:ascii="宋体" w:hAnsi="宋体"/>
          <w:sz w:val="28"/>
          <w:szCs w:val="28"/>
          <w:u w:val="single"/>
          <w:lang w:val="zh-CN"/>
        </w:rPr>
        <w:t xml:space="preserve">       （供应商名称）       </w:t>
      </w:r>
      <w:r>
        <w:rPr>
          <w:rFonts w:hint="eastAsia" w:ascii="宋体" w:hAnsi="宋体"/>
          <w:sz w:val="28"/>
          <w:szCs w:val="28"/>
          <w:lang w:val="zh-CN"/>
        </w:rPr>
        <w:t>的（</w:t>
      </w:r>
      <w:r>
        <w:rPr>
          <w:rFonts w:hint="eastAsia" w:ascii="宋体" w:hAnsi="宋体"/>
          <w:sz w:val="28"/>
          <w:szCs w:val="28"/>
        </w:rPr>
        <w:t>法定代表人或</w:t>
      </w:r>
      <w:r>
        <w:rPr>
          <w:rFonts w:ascii="宋体" w:hAnsi="宋体"/>
          <w:sz w:val="28"/>
          <w:szCs w:val="28"/>
        </w:rPr>
        <w:t>主要负责人</w:t>
      </w:r>
      <w:r>
        <w:rPr>
          <w:rFonts w:hint="eastAsia" w:ascii="宋体" w:hAnsi="宋体"/>
          <w:sz w:val="28"/>
          <w:szCs w:val="28"/>
          <w:lang w:val="zh-CN"/>
        </w:rPr>
        <w:t>）。</w:t>
      </w:r>
    </w:p>
    <w:p>
      <w:pPr>
        <w:tabs>
          <w:tab w:val="left" w:pos="6300"/>
        </w:tabs>
        <w:spacing w:line="360" w:lineRule="auto"/>
        <w:ind w:firstLine="573"/>
        <w:rPr>
          <w:rFonts w:ascii="宋体" w:hAnsi="宋体"/>
          <w:sz w:val="24"/>
          <w:szCs w:val="24"/>
          <w:lang w:val="zh-CN"/>
        </w:rPr>
      </w:pPr>
      <w:r>
        <w:rPr>
          <w:rFonts w:hint="eastAsia" w:ascii="宋体" w:hAnsi="宋体"/>
          <w:sz w:val="24"/>
          <w:szCs w:val="24"/>
          <w:lang w:val="zh-CN"/>
        </w:rPr>
        <w:t>特此证明。</w:t>
      </w: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tabs>
          <w:tab w:val="left" w:pos="6300"/>
        </w:tabs>
        <w:spacing w:line="360" w:lineRule="auto"/>
        <w:ind w:firstLine="573"/>
        <w:rPr>
          <w:rFonts w:ascii="宋体" w:hAnsi="宋体"/>
          <w:sz w:val="24"/>
          <w:szCs w:val="24"/>
          <w:lang w:val="zh-CN"/>
        </w:rPr>
      </w:pPr>
    </w:p>
    <w:p>
      <w:pPr>
        <w:spacing w:line="360" w:lineRule="auto"/>
        <w:rPr>
          <w:rFonts w:ascii="宋体" w:hAnsi="宋体"/>
          <w:sz w:val="24"/>
          <w:szCs w:val="24"/>
          <w:lang w:val="zh-CN"/>
        </w:rPr>
      </w:pPr>
      <w:r>
        <w:rPr>
          <w:rFonts w:hint="eastAsia" w:ascii="宋体" w:hAnsi="宋体"/>
          <w:sz w:val="24"/>
          <w:szCs w:val="24"/>
          <w:lang w:val="zh-CN"/>
        </w:rPr>
        <w:t>供应商名称：</w:t>
      </w:r>
      <w:r>
        <w:rPr>
          <w:rFonts w:hint="eastAsia" w:ascii="宋体" w:hAnsi="宋体"/>
          <w:sz w:val="24"/>
          <w:szCs w:val="24"/>
          <w:u w:val="single"/>
          <w:lang w:val="zh-CN"/>
        </w:rPr>
        <w:t>XXXX</w:t>
      </w:r>
    </w:p>
    <w:p>
      <w:pPr>
        <w:spacing w:line="500" w:lineRule="exact"/>
        <w:ind w:right="560"/>
        <w:rPr>
          <w:rFonts w:ascii="宋体" w:hAnsi="宋体"/>
          <w:sz w:val="24"/>
          <w:szCs w:val="24"/>
        </w:rPr>
      </w:pPr>
      <w:r>
        <w:rPr>
          <w:rFonts w:hint="eastAsia" w:ascii="宋体" w:hAnsi="宋体"/>
          <w:sz w:val="24"/>
          <w:szCs w:val="24"/>
        </w:rPr>
        <w:t>日      期：202</w:t>
      </w:r>
      <w:r>
        <w:rPr>
          <w:rFonts w:hint="eastAsia" w:ascii="宋体" w:hAnsi="宋体"/>
          <w:sz w:val="24"/>
          <w:szCs w:val="24"/>
          <w:u w:val="single"/>
          <w:lang w:val="zh-CN"/>
        </w:rPr>
        <w:t>X</w:t>
      </w:r>
      <w:r>
        <w:rPr>
          <w:rFonts w:hint="eastAsia" w:ascii="宋体" w:hAnsi="宋体"/>
          <w:sz w:val="24"/>
          <w:szCs w:val="24"/>
        </w:rPr>
        <w:t>年</w:t>
      </w:r>
      <w:r>
        <w:rPr>
          <w:rFonts w:hint="eastAsia" w:ascii="宋体" w:hAnsi="宋体"/>
          <w:sz w:val="24"/>
          <w:szCs w:val="24"/>
          <w:u w:val="single"/>
          <w:lang w:val="zh-CN"/>
        </w:rPr>
        <w:t>XX</w:t>
      </w:r>
      <w:r>
        <w:rPr>
          <w:rFonts w:hint="eastAsia" w:ascii="宋体" w:hAnsi="宋体"/>
          <w:sz w:val="24"/>
          <w:szCs w:val="24"/>
        </w:rPr>
        <w:t>月</w:t>
      </w:r>
      <w:r>
        <w:rPr>
          <w:rFonts w:hint="eastAsia" w:ascii="宋体" w:hAnsi="宋体"/>
          <w:sz w:val="24"/>
          <w:szCs w:val="24"/>
          <w:u w:val="single"/>
          <w:lang w:val="zh-CN"/>
        </w:rPr>
        <w:t>XX</w:t>
      </w:r>
      <w:r>
        <w:rPr>
          <w:rFonts w:hint="eastAsia" w:ascii="宋体" w:hAnsi="宋体"/>
          <w:sz w:val="24"/>
          <w:szCs w:val="24"/>
        </w:rPr>
        <w:t>日</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r>
        <w:rPr>
          <w:rFonts w:hint="eastAsia" w:ascii="宋体" w:hAnsi="宋体"/>
          <w:b/>
          <w:sz w:val="24"/>
          <w:szCs w:val="24"/>
          <w:lang w:val="zh-CN"/>
        </w:rPr>
        <w:t>说明：</w:t>
      </w:r>
      <w:r>
        <w:rPr>
          <w:rFonts w:hint="eastAsia" w:ascii="宋体" w:hAnsi="宋体"/>
          <w:b/>
          <w:sz w:val="28"/>
          <w:szCs w:val="28"/>
          <w:lang w:val="zh-CN"/>
        </w:rPr>
        <w:t>（</w:t>
      </w:r>
      <w:r>
        <w:rPr>
          <w:rFonts w:ascii="宋体" w:hAnsi="宋体"/>
          <w:b/>
          <w:sz w:val="28"/>
          <w:szCs w:val="28"/>
          <w:lang w:val="zh-CN"/>
        </w:rPr>
        <w:t>1）上述证明文件在资格性响应文件中附有法定代表人</w:t>
      </w:r>
      <w:r>
        <w:rPr>
          <w:rFonts w:hint="eastAsia" w:ascii="宋体" w:hAnsi="宋体"/>
          <w:b/>
          <w:sz w:val="28"/>
          <w:szCs w:val="28"/>
          <w:lang w:val="zh-CN"/>
        </w:rPr>
        <w:t>或</w:t>
      </w:r>
      <w:r>
        <w:rPr>
          <w:rFonts w:ascii="宋体" w:hAnsi="宋体"/>
          <w:b/>
          <w:sz w:val="28"/>
          <w:szCs w:val="28"/>
          <w:lang w:val="zh-CN"/>
        </w:rPr>
        <w:t>主要负责人</w:t>
      </w:r>
      <w:r>
        <w:rPr>
          <w:rFonts w:hint="eastAsia" w:ascii="宋体" w:hAnsi="宋体"/>
          <w:b/>
          <w:sz w:val="28"/>
          <w:szCs w:val="28"/>
          <w:lang w:val="zh-CN"/>
        </w:rPr>
        <w:t>身份证复印件（身份证两面均应复印）或护照复印件（供应商的法定代表人或</w:t>
      </w:r>
      <w:r>
        <w:rPr>
          <w:rFonts w:ascii="宋体" w:hAnsi="宋体"/>
          <w:b/>
          <w:sz w:val="28"/>
          <w:szCs w:val="28"/>
          <w:lang w:val="zh-CN"/>
        </w:rPr>
        <w:t>主要负责人</w:t>
      </w:r>
      <w:r>
        <w:rPr>
          <w:rFonts w:hint="eastAsia" w:ascii="宋体" w:hAnsi="宋体"/>
          <w:b/>
          <w:sz w:val="28"/>
          <w:szCs w:val="28"/>
          <w:lang w:val="zh-CN"/>
        </w:rPr>
        <w:t>为外籍人士的，则提供护照复印件）时才能生效；（</w:t>
      </w:r>
      <w:r>
        <w:rPr>
          <w:rFonts w:ascii="宋体" w:hAnsi="宋体"/>
          <w:b/>
          <w:sz w:val="28"/>
          <w:szCs w:val="28"/>
          <w:lang w:val="zh-CN"/>
        </w:rPr>
        <w:t>2）主要负责人为供应商提供的其</w:t>
      </w:r>
      <w:r>
        <w:rPr>
          <w:rFonts w:hint="eastAsia" w:ascii="宋体" w:hAnsi="宋体"/>
          <w:b/>
          <w:sz w:val="28"/>
          <w:szCs w:val="28"/>
          <w:lang w:val="zh-CN"/>
        </w:rPr>
        <w:t>具有独立承担民事责任能力的</w:t>
      </w:r>
      <w:r>
        <w:rPr>
          <w:rFonts w:ascii="宋体" w:hAnsi="宋体"/>
          <w:b/>
          <w:sz w:val="28"/>
          <w:szCs w:val="28"/>
          <w:lang w:val="zh-CN"/>
        </w:rPr>
        <w:t>证明材料中</w:t>
      </w:r>
      <w:r>
        <w:rPr>
          <w:rFonts w:hint="eastAsia" w:ascii="宋体" w:hAnsi="宋体"/>
          <w:b/>
          <w:sz w:val="28"/>
          <w:szCs w:val="28"/>
          <w:lang w:val="zh-CN"/>
        </w:rPr>
        <w:t>的</w:t>
      </w:r>
      <w:r>
        <w:rPr>
          <w:rFonts w:ascii="宋体" w:hAnsi="宋体"/>
          <w:b/>
          <w:sz w:val="28"/>
          <w:szCs w:val="28"/>
          <w:lang w:val="zh-CN"/>
        </w:rPr>
        <w:t>主要</w:t>
      </w:r>
      <w:r>
        <w:rPr>
          <w:rFonts w:hint="eastAsia" w:ascii="宋体" w:hAnsi="宋体"/>
          <w:b/>
          <w:sz w:val="28"/>
          <w:szCs w:val="28"/>
          <w:lang w:val="zh-CN"/>
        </w:rPr>
        <w:t>负责</w:t>
      </w:r>
      <w:r>
        <w:rPr>
          <w:rFonts w:ascii="宋体" w:hAnsi="宋体"/>
          <w:b/>
          <w:sz w:val="28"/>
          <w:szCs w:val="28"/>
          <w:lang w:val="zh-CN"/>
        </w:rPr>
        <w:t>人员</w:t>
      </w:r>
      <w:r>
        <w:rPr>
          <w:rFonts w:hint="eastAsia" w:ascii="宋体" w:hAnsi="宋体"/>
          <w:b/>
          <w:sz w:val="24"/>
          <w:szCs w:val="24"/>
          <w:lang w:val="zh-CN"/>
        </w:rPr>
        <w:t>。</w:t>
      </w:r>
    </w:p>
    <w:p>
      <w:pPr>
        <w:spacing w:line="360" w:lineRule="auto"/>
        <w:ind w:firstLine="487" w:firstLineChars="202"/>
        <w:rPr>
          <w:rFonts w:ascii="宋体" w:hAnsi="宋体"/>
          <w:b/>
          <w:sz w:val="24"/>
          <w:szCs w:val="24"/>
          <w:lang w:val="zh-CN"/>
        </w:rPr>
      </w:pPr>
    </w:p>
    <w:p>
      <w:pPr>
        <w:spacing w:line="360" w:lineRule="auto"/>
        <w:ind w:firstLine="487" w:firstLineChars="202"/>
        <w:rPr>
          <w:rFonts w:ascii="宋体" w:hAnsi="宋体"/>
          <w:b/>
          <w:sz w:val="24"/>
          <w:szCs w:val="24"/>
          <w:lang w:val="zh-CN"/>
        </w:rPr>
      </w:pPr>
    </w:p>
    <w:p>
      <w:r>
        <w:rPr>
          <w:rFonts w:ascii="宋体" w:hAnsi="宋体"/>
          <w:b/>
          <w:sz w:val="24"/>
          <w:szCs w:val="24"/>
          <w:lang w:val="zh-CN"/>
        </w:rPr>
        <w:br w:type="page"/>
      </w:r>
    </w:p>
    <w:p>
      <w:pPr>
        <w:pStyle w:val="6"/>
        <w:numPr>
          <w:ilvl w:val="2"/>
          <w:numId w:val="5"/>
        </w:numPr>
        <w:tabs>
          <w:tab w:val="left" w:pos="709"/>
        </w:tabs>
        <w:spacing w:after="200"/>
        <w:ind w:left="709" w:hanging="709"/>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供应商应提交的其他相关资格证明材料：</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（一）营业执照或法人登记证或其他能够证明</w:t>
      </w:r>
      <w:r>
        <w:rPr>
          <w:rFonts w:ascii="宋体" w:hAnsi="宋体"/>
          <w:b/>
          <w:sz w:val="24"/>
          <w:szCs w:val="24"/>
        </w:rPr>
        <w:t>供应商具有独立承担民事责任能力的</w:t>
      </w:r>
      <w:r>
        <w:rPr>
          <w:rFonts w:hint="eastAsia" w:ascii="宋体" w:hAnsi="宋体"/>
          <w:b/>
          <w:sz w:val="24"/>
          <w:szCs w:val="24"/>
        </w:rPr>
        <w:t>相关证明材料复印件；</w:t>
      </w:r>
    </w:p>
    <w:p>
      <w:pPr>
        <w:tabs>
          <w:tab w:val="left" w:pos="1134"/>
        </w:tabs>
        <w:spacing w:line="360" w:lineRule="auto"/>
        <w:ind w:firstLine="472" w:firstLineChars="196"/>
        <w:rPr>
          <w:rFonts w:ascii="宋体" w:hAnsi="宋体"/>
          <w:b/>
          <w:sz w:val="24"/>
          <w:szCs w:val="24"/>
        </w:rPr>
      </w:pPr>
      <w:r>
        <w:rPr>
          <w:rFonts w:hint="eastAsia" w:ascii="宋体" w:hAnsi="宋体"/>
          <w:b/>
          <w:sz w:val="24"/>
          <w:szCs w:val="24"/>
        </w:rPr>
        <w:t>（二）采购人对供应商履行合同所必须的设备和专业技术能力无特殊要求，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可不提供证明材料；</w:t>
      </w:r>
    </w:p>
    <w:p>
      <w:pPr>
        <w:adjustRightInd w:val="0"/>
        <w:spacing w:line="360" w:lineRule="auto"/>
        <w:ind w:firstLine="484" w:firstLineChars="201"/>
        <w:rPr>
          <w:rFonts w:ascii="宋体" w:hAnsi="宋体"/>
          <w:b/>
          <w:sz w:val="24"/>
          <w:szCs w:val="24"/>
        </w:rPr>
      </w:pPr>
      <w:r>
        <w:rPr>
          <w:rFonts w:hint="eastAsia" w:ascii="宋体" w:hAnsi="宋体"/>
          <w:b/>
          <w:sz w:val="24"/>
          <w:szCs w:val="24"/>
        </w:rPr>
        <w:t>（三）采购人对法律、行政法规规定的其他条件无特殊要求，</w:t>
      </w:r>
      <w:r>
        <w:rPr>
          <w:rFonts w:hint="eastAsia" w:ascii="宋体" w:hAnsi="宋体"/>
          <w:b/>
          <w:sz w:val="24"/>
          <w:szCs w:val="24"/>
          <w:lang w:eastAsia="zh-CN"/>
        </w:rPr>
        <w:t>供应商</w:t>
      </w:r>
      <w:r>
        <w:rPr>
          <w:rFonts w:hint="eastAsia" w:ascii="宋体" w:hAnsi="宋体"/>
          <w:b/>
          <w:sz w:val="24"/>
          <w:szCs w:val="24"/>
        </w:rPr>
        <w:t>具有有效的营业执照或法人证书</w:t>
      </w:r>
      <w:r>
        <w:rPr>
          <w:rFonts w:hint="eastAsia" w:ascii="宋体" w:hAnsi="宋体"/>
          <w:b/>
          <w:sz w:val="24"/>
          <w:szCs w:val="24"/>
          <w:lang w:eastAsia="zh-CN"/>
        </w:rPr>
        <w:t>，</w:t>
      </w:r>
      <w:r>
        <w:rPr>
          <w:rFonts w:hint="eastAsia" w:ascii="宋体" w:hAnsi="宋体"/>
          <w:b/>
          <w:sz w:val="24"/>
          <w:szCs w:val="24"/>
        </w:rPr>
        <w:t>供应商可不提供其他证明材料；</w:t>
      </w:r>
    </w:p>
    <w:p>
      <w:pPr>
        <w:ind w:left="0" w:leftChars="0" w:firstLine="566" w:firstLineChars="235"/>
      </w:pPr>
      <w:r>
        <w:rPr>
          <w:rFonts w:hint="eastAsia" w:ascii="宋体" w:hAnsi="宋体"/>
          <w:b/>
          <w:sz w:val="24"/>
          <w:szCs w:val="24"/>
        </w:rPr>
        <w:t>（四）由省级以上监狱管理局、戒毒管理局（含新疆生产建设兵团）出具的供应商属于监狱企业的证明文件复印件（说明：提供了《中小企业声明函》或《残疾人福利性单位声明函》的不需提供）</w:t>
      </w:r>
      <w:r>
        <w:rPr>
          <w:rFonts w:hint="eastAsia" w:ascii="宋体" w:hAnsi="宋体"/>
          <w:b/>
          <w:sz w:val="28"/>
          <w:szCs w:val="28"/>
        </w:rPr>
        <w:t>。</w:t>
      </w:r>
    </w:p>
    <w:p>
      <w:pPr>
        <w:rPr>
          <w:color w:val="000000" w:themeColor="text1"/>
          <w:sz w:val="20"/>
          <w:szCs w:val="21"/>
          <w14:textFill>
            <w14:solidFill>
              <w14:schemeClr w14:val="tx1"/>
            </w14:solidFill>
          </w14:textFill>
        </w:rPr>
      </w:pPr>
      <w:r>
        <w:rPr>
          <w:color w:val="000000" w:themeColor="text1"/>
          <w:sz w:val="20"/>
          <w:szCs w:val="21"/>
          <w14:textFill>
            <w14:solidFill>
              <w14:schemeClr w14:val="tx1"/>
            </w14:solidFill>
          </w14:textFill>
        </w:rPr>
        <w:br w:type="page"/>
      </w:r>
    </w:p>
    <w:p>
      <w:pPr>
        <w:pStyle w:val="2"/>
      </w:pPr>
    </w:p>
    <w:p>
      <w:pPr>
        <w:pStyle w:val="5"/>
        <w:numPr>
          <w:ilvl w:val="1"/>
          <w:numId w:val="5"/>
        </w:numPr>
        <w:tabs>
          <w:tab w:val="left" w:pos="426"/>
          <w:tab w:val="left" w:pos="567"/>
        </w:tabs>
        <w:spacing w:before="0" w:after="200"/>
        <w:ind w:left="1985" w:hanging="1985"/>
        <w:jc w:val="both"/>
        <w:rPr>
          <w:sz w:val="24"/>
          <w:szCs w:val="24"/>
        </w:rPr>
      </w:pPr>
      <w:bookmarkStart w:id="78" w:name="_Toc58943337"/>
      <w:bookmarkStart w:id="79" w:name="_Toc79742132"/>
      <w:bookmarkStart w:id="80" w:name="_Toc448403805"/>
      <w:r>
        <w:rPr>
          <w:rFonts w:hint="eastAsia"/>
          <w:sz w:val="24"/>
          <w:szCs w:val="24"/>
        </w:rPr>
        <w:t>技术、商务性响应文件格式</w:t>
      </w:r>
      <w:bookmarkEnd w:id="78"/>
      <w:bookmarkEnd w:id="79"/>
      <w:bookmarkEnd w:id="80"/>
    </w:p>
    <w:p>
      <w:pPr>
        <w:pStyle w:val="6"/>
        <w:numPr>
          <w:ilvl w:val="2"/>
          <w:numId w:val="5"/>
        </w:numPr>
        <w:tabs>
          <w:tab w:val="left" w:pos="709"/>
        </w:tabs>
        <w:spacing w:after="200"/>
        <w:ind w:left="1135" w:hanging="1135"/>
        <w:jc w:val="left"/>
        <w:rPr>
          <w:color w:val="auto"/>
          <w:sz w:val="24"/>
          <w:szCs w:val="24"/>
        </w:rPr>
      </w:pPr>
      <w:r>
        <w:rPr>
          <w:rFonts w:hint="eastAsia"/>
          <w:color w:val="auto"/>
          <w:sz w:val="24"/>
          <w:szCs w:val="24"/>
        </w:rPr>
        <w:t>技术、商务性响应文件封面格式</w:t>
      </w: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p>
    <w:p>
      <w:pPr>
        <w:spacing w:line="360" w:lineRule="auto"/>
        <w:jc w:val="center"/>
        <w:rPr>
          <w:rFonts w:ascii="宋体" w:hAnsi="宋体"/>
          <w:spacing w:val="78"/>
          <w:sz w:val="72"/>
          <w:szCs w:val="96"/>
        </w:rPr>
      </w:pPr>
      <w:r>
        <w:rPr>
          <w:rFonts w:hint="eastAsia" w:ascii="宋体" w:hAnsi="宋体"/>
          <w:spacing w:val="78"/>
          <w:sz w:val="52"/>
          <w:szCs w:val="96"/>
        </w:rPr>
        <w:t>技术、商务性响应文件</w:t>
      </w:r>
    </w:p>
    <w:p>
      <w:pPr>
        <w:rPr>
          <w:sz w:val="20"/>
          <w:szCs w:val="21"/>
        </w:rPr>
      </w:pPr>
    </w:p>
    <w:p>
      <w:pPr>
        <w:rPr>
          <w:sz w:val="20"/>
          <w:szCs w:val="21"/>
        </w:rPr>
      </w:pPr>
    </w:p>
    <w:p>
      <w:pPr>
        <w:rPr>
          <w:sz w:val="20"/>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jc w:val="center"/>
        <w:rPr>
          <w:rFonts w:ascii="宋体" w:hAnsi="宋体"/>
          <w:bCs/>
          <w:sz w:val="32"/>
          <w:szCs w:val="21"/>
        </w:rPr>
      </w:pPr>
    </w:p>
    <w:p>
      <w:pPr>
        <w:spacing w:line="360" w:lineRule="auto"/>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项目名称：XX</w:t>
      </w:r>
    </w:p>
    <w:p>
      <w:pPr>
        <w:spacing w:line="360" w:lineRule="auto"/>
        <w:rPr>
          <w:rFonts w:ascii="宋体" w:hAnsi="宋体"/>
          <w:b/>
          <w:color w:val="000000" w:themeColor="text1"/>
          <w:sz w:val="28"/>
          <w:szCs w:val="28"/>
          <w:u w:val="single"/>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    项目编号：武侯政采（202</w:t>
      </w:r>
      <w:r>
        <w:rPr>
          <w:rFonts w:hint="eastAsia" w:ascii="宋体" w:hAnsi="宋体"/>
          <w:b/>
          <w:bCs/>
          <w:color w:val="000000" w:themeColor="text1"/>
          <w:sz w:val="28"/>
          <w:szCs w:val="28"/>
          <w:lang w:val="en-US" w:eastAsia="zh-CN"/>
          <w14:textFill>
            <w14:solidFill>
              <w14:schemeClr w14:val="tx1"/>
            </w14:solidFill>
          </w14:textFill>
        </w:rPr>
        <w:t>x</w:t>
      </w:r>
      <w:r>
        <w:rPr>
          <w:rFonts w:hint="eastAsia" w:ascii="宋体" w:hAnsi="宋体"/>
          <w:b/>
          <w:bCs/>
          <w:color w:val="000000" w:themeColor="text1"/>
          <w:sz w:val="28"/>
          <w:szCs w:val="28"/>
          <w14:textFill>
            <w14:solidFill>
              <w14:schemeClr w14:val="tx1"/>
            </w14:solidFill>
          </w14:textFill>
        </w:rPr>
        <w:t>）A</w:t>
      </w:r>
      <w:r>
        <w:rPr>
          <w:rFonts w:hint="eastAsia" w:ascii="宋体" w:hAnsi="宋体"/>
          <w:b/>
          <w:bCs/>
          <w:color w:val="000000" w:themeColor="text1"/>
          <w:sz w:val="28"/>
          <w:szCs w:val="28"/>
          <w:lang w:val="en-US" w:eastAsia="zh-CN"/>
          <w14:textFill>
            <w14:solidFill>
              <w14:schemeClr w14:val="tx1"/>
            </w14:solidFill>
          </w14:textFill>
        </w:rPr>
        <w:t>xxxx</w:t>
      </w:r>
      <w:r>
        <w:rPr>
          <w:rFonts w:hint="eastAsia" w:ascii="宋体" w:hAnsi="宋体"/>
          <w:b/>
          <w:bCs/>
          <w:color w:val="000000" w:themeColor="text1"/>
          <w:sz w:val="28"/>
          <w:szCs w:val="28"/>
          <w14:textFill>
            <w14:solidFill>
              <w14:schemeClr w14:val="tx1"/>
            </w14:solidFill>
          </w14:textFill>
        </w:rPr>
        <w:t>号</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ind w:firstLine="551" w:firstLineChars="196"/>
        <w:rPr>
          <w:rFonts w:ascii="宋体" w:hAnsi="宋体"/>
          <w:b/>
          <w:bCs/>
          <w:sz w:val="28"/>
          <w:szCs w:val="28"/>
        </w:rPr>
      </w:pPr>
      <w:r>
        <w:rPr>
          <w:rFonts w:hint="eastAsia" w:ascii="宋体" w:hAnsi="宋体"/>
          <w:b/>
          <w:bCs/>
          <w:sz w:val="28"/>
          <w:szCs w:val="28"/>
        </w:rPr>
        <w:t>供应商名称：XXXX</w:t>
      </w:r>
    </w:p>
    <w:p>
      <w:pPr>
        <w:spacing w:line="360" w:lineRule="auto"/>
        <w:ind w:firstLine="495" w:firstLineChars="176"/>
        <w:rPr>
          <w:rFonts w:ascii="宋体" w:hAnsi="宋体"/>
          <w:b/>
          <w:bCs/>
          <w:sz w:val="28"/>
          <w:szCs w:val="28"/>
        </w:rPr>
      </w:pPr>
      <w:r>
        <w:rPr>
          <w:rFonts w:hint="eastAsia" w:ascii="宋体" w:hAnsi="宋体"/>
          <w:b/>
          <w:bCs/>
          <w:sz w:val="28"/>
          <w:szCs w:val="28"/>
        </w:rPr>
        <w:t>日      期：202X年XX月XX日</w:t>
      </w:r>
    </w:p>
    <w:p>
      <w:pPr>
        <w:rPr>
          <w:rFonts w:ascii="宋体" w:hAnsi="宋体"/>
          <w:b/>
          <w:sz w:val="24"/>
          <w:szCs w:val="24"/>
        </w:rPr>
      </w:pPr>
      <w:r>
        <w:rPr>
          <w:rFonts w:ascii="宋体" w:hAnsi="宋体"/>
          <w:b/>
          <w:sz w:val="24"/>
          <w:szCs w:val="24"/>
        </w:rPr>
        <w:br w:type="page"/>
      </w:r>
    </w:p>
    <w:bookmarkEnd w:id="77"/>
    <w:p>
      <w:pPr>
        <w:pStyle w:val="6"/>
        <w:numPr>
          <w:ilvl w:val="2"/>
          <w:numId w:val="5"/>
        </w:numPr>
        <w:tabs>
          <w:tab w:val="left" w:pos="709"/>
        </w:tabs>
        <w:spacing w:after="200"/>
        <w:ind w:left="709" w:hanging="709"/>
        <w:rPr>
          <w:bCs w:val="0"/>
          <w:color w:val="auto"/>
          <w:sz w:val="24"/>
          <w:szCs w:val="24"/>
        </w:rPr>
      </w:pPr>
      <w:bookmarkStart w:id="81" w:name="_Toc320698766"/>
      <w:bookmarkStart w:id="82" w:name="_Toc386099146"/>
      <w:r>
        <w:rPr>
          <w:rFonts w:hint="eastAsia"/>
          <w:bCs w:val="0"/>
          <w:color w:val="auto"/>
          <w:sz w:val="24"/>
          <w:szCs w:val="24"/>
        </w:rPr>
        <w:t>报价表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bCs/>
          <w:color w:val="000000" w:themeColor="text1"/>
          <w:sz w:val="28"/>
          <w:szCs w:val="28"/>
          <w14:textFill>
            <w14:solidFill>
              <w14:schemeClr w14:val="tx1"/>
            </w14:solidFill>
          </w14:textFill>
        </w:rPr>
        <w:t>XXXX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322" w:tblpY="525"/>
        <w:tblOverlap w:val="never"/>
        <w:tblW w:w="10424" w:type="dxa"/>
        <w:tblInd w:w="0" w:type="dxa"/>
        <w:tblLayout w:type="fixed"/>
        <w:tblCellMar>
          <w:top w:w="0" w:type="dxa"/>
          <w:left w:w="0" w:type="dxa"/>
          <w:bottom w:w="0" w:type="dxa"/>
          <w:right w:w="0" w:type="dxa"/>
        </w:tblCellMar>
      </w:tblPr>
      <w:tblGrid>
        <w:gridCol w:w="523"/>
        <w:gridCol w:w="1245"/>
        <w:gridCol w:w="1620"/>
        <w:gridCol w:w="675"/>
        <w:gridCol w:w="736"/>
        <w:gridCol w:w="1125"/>
        <w:gridCol w:w="1065"/>
        <w:gridCol w:w="1256"/>
        <w:gridCol w:w="1305"/>
        <w:gridCol w:w="874"/>
      </w:tblGrid>
      <w:tr>
        <w:tblPrEx>
          <w:tblCellMar>
            <w:top w:w="0" w:type="dxa"/>
            <w:left w:w="0" w:type="dxa"/>
            <w:bottom w:w="0" w:type="dxa"/>
            <w:right w:w="0" w:type="dxa"/>
          </w:tblCellMar>
        </w:tblPrEx>
        <w:trPr>
          <w:trHeight w:val="93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序号</w:t>
            </w: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产品名称</w:t>
            </w: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制造商家、品牌（如有）及规格型号</w:t>
            </w: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数量</w:t>
            </w: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单位</w:t>
            </w: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单价</w:t>
            </w:r>
          </w:p>
          <w:p>
            <w:pPr>
              <w:snapToGrid w:val="0"/>
              <w:jc w:val="center"/>
              <w:rPr>
                <w:color w:val="000000"/>
                <w:sz w:val="22"/>
                <w:szCs w:val="21"/>
              </w:rPr>
            </w:pPr>
            <w:r>
              <w:rPr>
                <w:rFonts w:hint="eastAsia"/>
                <w:color w:val="000000"/>
                <w:sz w:val="22"/>
                <w:szCs w:val="21"/>
              </w:rPr>
              <w:t>（元）</w:t>
            </w: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总价</w:t>
            </w:r>
          </w:p>
          <w:p>
            <w:pPr>
              <w:snapToGrid w:val="0"/>
              <w:jc w:val="center"/>
              <w:rPr>
                <w:color w:val="000000"/>
                <w:sz w:val="22"/>
                <w:szCs w:val="21"/>
              </w:rPr>
            </w:pPr>
            <w:r>
              <w:rPr>
                <w:rFonts w:hint="eastAsia"/>
                <w:color w:val="000000"/>
                <w:sz w:val="22"/>
                <w:szCs w:val="21"/>
              </w:rPr>
              <w:t>（元）</w:t>
            </w: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jc w:val="center"/>
              <w:rPr>
                <w:color w:val="000000"/>
                <w:sz w:val="22"/>
                <w:szCs w:val="21"/>
              </w:rPr>
            </w:pPr>
            <w:r>
              <w:rPr>
                <w:rFonts w:hint="eastAsia"/>
                <w:color w:val="000000"/>
                <w:sz w:val="22"/>
                <w:szCs w:val="21"/>
              </w:rPr>
              <w:t>项目完成时间</w:t>
            </w: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是否属于</w:t>
            </w:r>
          </w:p>
          <w:p>
            <w:pPr>
              <w:snapToGrid w:val="0"/>
              <w:ind w:left="355" w:hanging="355"/>
              <w:jc w:val="center"/>
              <w:rPr>
                <w:color w:val="000000"/>
                <w:sz w:val="22"/>
                <w:szCs w:val="21"/>
              </w:rPr>
            </w:pPr>
            <w:r>
              <w:rPr>
                <w:rFonts w:hint="eastAsia"/>
                <w:color w:val="000000"/>
                <w:sz w:val="22"/>
                <w:szCs w:val="21"/>
              </w:rPr>
              <w:t>进口产品</w:t>
            </w: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ind w:left="355" w:hanging="355"/>
              <w:jc w:val="center"/>
              <w:rPr>
                <w:color w:val="000000"/>
                <w:sz w:val="22"/>
                <w:szCs w:val="21"/>
              </w:rPr>
            </w:pPr>
            <w:r>
              <w:rPr>
                <w:rFonts w:hint="eastAsia"/>
                <w:color w:val="000000"/>
                <w:sz w:val="22"/>
                <w:szCs w:val="21"/>
              </w:rPr>
              <w:t>备注</w:t>
            </w:r>
          </w:p>
        </w:tc>
      </w:tr>
      <w:tr>
        <w:tblPrEx>
          <w:tblCellMar>
            <w:top w:w="0" w:type="dxa"/>
            <w:left w:w="0" w:type="dxa"/>
            <w:bottom w:w="0" w:type="dxa"/>
            <w:right w:w="0" w:type="dxa"/>
          </w:tblCellMar>
        </w:tblPrEx>
        <w:trPr>
          <w:trHeight w:val="72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680"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45"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snapToGrid w:val="0"/>
              <w:rPr>
                <w:color w:val="000000"/>
                <w:sz w:val="22"/>
                <w:szCs w:val="21"/>
              </w:rPr>
            </w:pPr>
          </w:p>
        </w:tc>
        <w:tc>
          <w:tcPr>
            <w:tcW w:w="162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6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73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1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2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13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c>
          <w:tcPr>
            <w:tcW w:w="8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rPr>
                <w:color w:val="000000"/>
                <w:sz w:val="22"/>
                <w:szCs w:val="21"/>
              </w:rPr>
            </w:pPr>
          </w:p>
        </w:tc>
      </w:tr>
      <w:tr>
        <w:tblPrEx>
          <w:tblCellMar>
            <w:top w:w="0" w:type="dxa"/>
            <w:left w:w="0" w:type="dxa"/>
            <w:bottom w:w="0" w:type="dxa"/>
            <w:right w:w="0" w:type="dxa"/>
          </w:tblCellMar>
        </w:tblPrEx>
        <w:trPr>
          <w:trHeight w:val="1643" w:hRule="atLeast"/>
        </w:trPr>
        <w:tc>
          <w:tcPr>
            <w:tcW w:w="1768" w:type="dxa"/>
            <w:gridSpan w:val="2"/>
            <w:tcBorders>
              <w:top w:val="single" w:color="000000" w:sz="4" w:space="0"/>
              <w:left w:val="single" w:color="000000" w:sz="4" w:space="0"/>
              <w:bottom w:val="single" w:color="000000" w:sz="4" w:space="0"/>
              <w:right w:val="single" w:color="auto" w:sz="4" w:space="0"/>
            </w:tcBorders>
            <w:vAlign w:val="center"/>
          </w:tcPr>
          <w:p>
            <w:pPr>
              <w:snapToGrid w:val="0"/>
              <w:rPr>
                <w:color w:val="000000"/>
                <w:sz w:val="22"/>
                <w:szCs w:val="21"/>
              </w:rPr>
            </w:pPr>
            <w:r>
              <w:rPr>
                <w:rFonts w:hint="eastAsia"/>
                <w:color w:val="000000"/>
                <w:sz w:val="22"/>
                <w:szCs w:val="21"/>
              </w:rPr>
              <w:t>合计金额：</w:t>
            </w:r>
          </w:p>
        </w:tc>
        <w:tc>
          <w:tcPr>
            <w:tcW w:w="8656" w:type="dxa"/>
            <w:gridSpan w:val="8"/>
            <w:tcBorders>
              <w:top w:val="single" w:color="000000" w:sz="4" w:space="0"/>
              <w:left w:val="single" w:color="auto" w:sz="4" w:space="0"/>
              <w:bottom w:val="single" w:color="000000" w:sz="4" w:space="0"/>
              <w:right w:val="single" w:color="000000" w:sz="4" w:space="0"/>
            </w:tcBorders>
            <w:vAlign w:val="center"/>
          </w:tcPr>
          <w:p>
            <w:pPr>
              <w:spacing w:line="400" w:lineRule="exact"/>
              <w:jc w:val="left"/>
              <w:rPr>
                <w:rFonts w:ascii="宋体" w:hAnsi="宋体"/>
                <w:sz w:val="22"/>
                <w:szCs w:val="22"/>
              </w:rPr>
            </w:pPr>
          </w:p>
          <w:p>
            <w:pPr>
              <w:spacing w:line="400" w:lineRule="exact"/>
              <w:jc w:val="left"/>
              <w:rPr>
                <w:rFonts w:ascii="宋体" w:hAnsi="宋体"/>
                <w:sz w:val="22"/>
                <w:szCs w:val="22"/>
                <w:u w:val="single"/>
              </w:rPr>
            </w:pPr>
            <w:r>
              <w:rPr>
                <w:rFonts w:hint="eastAsia" w:ascii="宋体" w:hAnsi="宋体"/>
                <w:sz w:val="22"/>
                <w:szCs w:val="22"/>
              </w:rPr>
              <w:t>小写：</w:t>
            </w:r>
            <w:r>
              <w:rPr>
                <w:rFonts w:hint="eastAsia" w:ascii="宋体" w:hAnsi="宋体"/>
                <w:sz w:val="22"/>
                <w:szCs w:val="22"/>
                <w:u w:val="single"/>
              </w:rPr>
              <w:t xml:space="preserve">                 </w:t>
            </w:r>
            <w:r>
              <w:rPr>
                <w:rFonts w:hint="eastAsia"/>
                <w:color w:val="000000"/>
                <w:sz w:val="22"/>
                <w:szCs w:val="21"/>
                <w:u w:val="single"/>
              </w:rPr>
              <w:t>元</w:t>
            </w:r>
            <w:r>
              <w:rPr>
                <w:rFonts w:hint="eastAsia" w:ascii="宋体" w:hAnsi="宋体"/>
                <w:sz w:val="22"/>
                <w:szCs w:val="22"/>
                <w:u w:val="single"/>
              </w:rPr>
              <w:t xml:space="preserve">     </w:t>
            </w:r>
          </w:p>
          <w:p>
            <w:pPr>
              <w:pStyle w:val="81"/>
              <w:rPr>
                <w:sz w:val="20"/>
                <w:szCs w:val="21"/>
              </w:rPr>
            </w:pPr>
          </w:p>
          <w:p>
            <w:pPr>
              <w:spacing w:line="400" w:lineRule="exact"/>
              <w:jc w:val="left"/>
              <w:rPr>
                <w:rFonts w:ascii="宋体" w:hAnsi="宋体"/>
                <w:sz w:val="22"/>
                <w:szCs w:val="22"/>
                <w:u w:val="single"/>
              </w:rPr>
            </w:pPr>
            <w:r>
              <w:rPr>
                <w:rFonts w:hint="eastAsia" w:ascii="宋体" w:hAnsi="宋体"/>
                <w:sz w:val="22"/>
                <w:szCs w:val="22"/>
              </w:rPr>
              <w:t>大写：</w:t>
            </w:r>
            <w:r>
              <w:rPr>
                <w:rFonts w:hint="eastAsia" w:ascii="宋体" w:hAnsi="宋体"/>
                <w:sz w:val="22"/>
                <w:szCs w:val="22"/>
                <w:u w:val="single"/>
              </w:rPr>
              <w:t xml:space="preserve">   </w:t>
            </w:r>
            <w:r>
              <w:rPr>
                <w:rFonts w:hint="eastAsia"/>
                <w:color w:val="000000"/>
                <w:sz w:val="22"/>
                <w:szCs w:val="21"/>
                <w:u w:val="single"/>
              </w:rPr>
              <w:t xml:space="preserve">亿    仟  佰    拾   万  仟  佰  拾  元   角   分 </w:t>
            </w:r>
            <w:r>
              <w:rPr>
                <w:rFonts w:hint="eastAsia" w:ascii="宋体" w:hAnsi="宋体"/>
                <w:sz w:val="22"/>
                <w:szCs w:val="22"/>
                <w:u w:val="single"/>
              </w:rPr>
              <w:t xml:space="preserve">                  </w:t>
            </w:r>
          </w:p>
          <w:p>
            <w:pPr>
              <w:spacing w:line="400" w:lineRule="exact"/>
              <w:rPr>
                <w:rFonts w:ascii="宋体" w:hAnsi="宋体"/>
                <w:sz w:val="22"/>
                <w:szCs w:val="22"/>
                <w:u w:val="single"/>
              </w:rPr>
            </w:pPr>
          </w:p>
          <w:p>
            <w:pPr>
              <w:snapToGrid w:val="0"/>
              <w:rPr>
                <w:color w:val="000000"/>
                <w:sz w:val="22"/>
                <w:szCs w:val="21"/>
              </w:rPr>
            </w:pPr>
            <w:r>
              <w:rPr>
                <w:rFonts w:hint="eastAsia"/>
                <w:color w:val="000000"/>
                <w:sz w:val="22"/>
                <w:szCs w:val="21"/>
              </w:rPr>
              <w:t xml:space="preserve"> </w:t>
            </w:r>
          </w:p>
        </w:tc>
      </w:tr>
    </w:tbl>
    <w:p>
      <w:pPr>
        <w:spacing w:line="360" w:lineRule="auto"/>
        <w:rPr>
          <w:rFonts w:ascii="宋体" w:hAnsi="宋体"/>
          <w:b/>
          <w:sz w:val="24"/>
          <w:szCs w:val="24"/>
          <w:u w:val="single"/>
        </w:rPr>
      </w:pPr>
    </w:p>
    <w:p>
      <w:pPr>
        <w:tabs>
          <w:tab w:val="left" w:pos="1134"/>
        </w:tabs>
        <w:spacing w:line="560" w:lineRule="exact"/>
        <w:ind w:firstLine="364" w:firstLineChars="152"/>
        <w:rPr>
          <w:rFonts w:ascii="宋体" w:hAnsi="宋体"/>
          <w:sz w:val="24"/>
          <w:szCs w:val="24"/>
        </w:rPr>
      </w:pPr>
    </w:p>
    <w:p>
      <w:pPr>
        <w:ind w:firstLine="400" w:firstLineChars="200"/>
        <w:rPr>
          <w:rFonts w:ascii="宋体" w:hAnsi="宋体" w:cs="宋体"/>
          <w:sz w:val="20"/>
          <w:szCs w:val="21"/>
        </w:rPr>
      </w:pPr>
    </w:p>
    <w:p>
      <w:pPr>
        <w:pStyle w:val="199"/>
        <w:ind w:firstLine="482" w:firstLineChars="200"/>
        <w:rPr>
          <w:b/>
          <w:sz w:val="24"/>
          <w:szCs w:val="22"/>
        </w:rPr>
      </w:pPr>
      <w:r>
        <w:rPr>
          <w:rFonts w:hint="eastAsia"/>
          <w:b/>
          <w:sz w:val="24"/>
          <w:szCs w:val="22"/>
        </w:rPr>
        <w:t>说明：1、报价应是包括磋商文件规定的全部响应内容的报价。</w:t>
      </w:r>
    </w:p>
    <w:p>
      <w:pPr>
        <w:tabs>
          <w:tab w:val="left" w:pos="1134"/>
        </w:tabs>
        <w:spacing w:line="560" w:lineRule="exact"/>
        <w:ind w:firstLine="366" w:firstLineChars="152"/>
        <w:rPr>
          <w:rFonts w:ascii="宋体" w:hAnsi="宋体"/>
          <w:b/>
          <w:bCs/>
          <w:sz w:val="24"/>
          <w:szCs w:val="21"/>
        </w:rPr>
      </w:pPr>
      <w:r>
        <w:rPr>
          <w:rFonts w:hint="eastAsia" w:ascii="宋体" w:hAnsi="宋体"/>
          <w:b/>
          <w:sz w:val="24"/>
          <w:szCs w:val="24"/>
        </w:rPr>
        <w:t>2、报价以供应商在政府采购云平台开标一览表中填写的报价为准。</w:t>
      </w: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pStyle w:val="199"/>
        <w:ind w:firstLine="482" w:firstLineChars="200"/>
        <w:rPr>
          <w:b/>
          <w:sz w:val="24"/>
          <w:szCs w:val="22"/>
        </w:rPr>
      </w:pPr>
    </w:p>
    <w:p>
      <w:pPr>
        <w:rPr>
          <w:b/>
          <w:sz w:val="24"/>
          <w:szCs w:val="22"/>
        </w:rPr>
      </w:pPr>
      <w:r>
        <w:rPr>
          <w:b/>
          <w:sz w:val="24"/>
          <w:szCs w:val="22"/>
        </w:rPr>
        <w:br w:type="page"/>
      </w:r>
    </w:p>
    <w:p>
      <w:pPr>
        <w:pStyle w:val="6"/>
        <w:tabs>
          <w:tab w:val="left" w:pos="709"/>
        </w:tabs>
        <w:ind w:left="709" w:hanging="709"/>
        <w:rPr>
          <w:color w:val="auto"/>
          <w:sz w:val="24"/>
          <w:szCs w:val="24"/>
        </w:rPr>
      </w:pPr>
      <w:r>
        <w:rPr>
          <w:rFonts w:hint="eastAsia"/>
          <w:sz w:val="22"/>
          <w:szCs w:val="24"/>
        </w:rPr>
        <w:t>技术参数响应表</w:t>
      </w:r>
    </w:p>
    <w:p>
      <w:pPr>
        <w:spacing w:line="36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项目名称：</w:t>
      </w:r>
      <w:r>
        <w:rPr>
          <w:rFonts w:hint="eastAsia" w:ascii="宋体" w:hAnsi="宋体"/>
          <w:b/>
          <w:color w:val="000000" w:themeColor="text1"/>
          <w:spacing w:val="-20"/>
          <w:sz w:val="24"/>
          <w:szCs w:val="24"/>
          <w:u w:val="single"/>
          <w14:textFill>
            <w14:solidFill>
              <w14:schemeClr w14:val="tx1"/>
            </w14:solidFill>
          </w14:textFill>
        </w:rPr>
        <w:t>XX</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p>
      <w:pPr>
        <w:pStyle w:val="2"/>
        <w:rPr>
          <w:sz w:val="20"/>
          <w:szCs w:val="21"/>
        </w:rPr>
      </w:pP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251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序号</w:t>
            </w:r>
          </w:p>
        </w:tc>
        <w:tc>
          <w:tcPr>
            <w:tcW w:w="224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文件要求</w:t>
            </w:r>
          </w:p>
        </w:tc>
        <w:tc>
          <w:tcPr>
            <w:tcW w:w="251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响应应答</w:t>
            </w:r>
          </w:p>
        </w:tc>
        <w:tc>
          <w:tcPr>
            <w:tcW w:w="1276"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偏离情况</w:t>
            </w:r>
          </w:p>
        </w:tc>
        <w:tc>
          <w:tcPr>
            <w:tcW w:w="1276" w:type="dxa"/>
          </w:tcPr>
          <w:p>
            <w:pPr>
              <w:spacing w:line="360" w:lineRule="auto"/>
              <w:jc w:val="center"/>
              <w:rPr>
                <w:rFonts w:ascii="方正小标宋简体" w:hAnsi="宋体" w:eastAsia="方正小标宋简体"/>
                <w:sz w:val="20"/>
                <w:szCs w:val="20"/>
              </w:rPr>
            </w:pPr>
            <w:r>
              <w:rPr>
                <w:rFonts w:hint="eastAsia" w:ascii="方正小标宋简体" w:eastAsia="方正小标宋简体"/>
                <w:sz w:val="16"/>
                <w:szCs w:val="16"/>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vAlign w:val="center"/>
          </w:tcPr>
          <w:p>
            <w:pPr>
              <w:spacing w:line="360" w:lineRule="auto"/>
              <w:ind w:left="277" w:hanging="264" w:hangingChars="132"/>
              <w:jc w:val="center"/>
              <w:rPr>
                <w:rFonts w:ascii="方正小标宋简体" w:hAnsi="宋体" w:eastAsia="方正小标宋简体"/>
                <w:sz w:val="20"/>
                <w:szCs w:val="20"/>
              </w:rPr>
            </w:pPr>
          </w:p>
        </w:tc>
        <w:tc>
          <w:tcPr>
            <w:tcW w:w="1276" w:type="dxa"/>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92"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2240" w:type="dxa"/>
            <w:vAlign w:val="center"/>
          </w:tcPr>
          <w:p>
            <w:pPr>
              <w:spacing w:line="360" w:lineRule="auto"/>
              <w:jc w:val="center"/>
              <w:rPr>
                <w:rFonts w:ascii="方正小标宋简体" w:hAnsi="宋体" w:eastAsia="方正小标宋简体"/>
                <w:sz w:val="20"/>
                <w:szCs w:val="20"/>
              </w:rPr>
            </w:pPr>
          </w:p>
        </w:tc>
        <w:tc>
          <w:tcPr>
            <w:tcW w:w="2512" w:type="dxa"/>
            <w:vAlign w:val="center"/>
          </w:tcPr>
          <w:p>
            <w:pPr>
              <w:spacing w:line="360" w:lineRule="auto"/>
              <w:jc w:val="center"/>
              <w:rPr>
                <w:rFonts w:ascii="方正小标宋简体" w:hAnsi="宋体" w:eastAsia="方正小标宋简体"/>
                <w:sz w:val="20"/>
                <w:szCs w:val="20"/>
              </w:rPr>
            </w:pPr>
          </w:p>
        </w:tc>
        <w:tc>
          <w:tcPr>
            <w:tcW w:w="1276" w:type="dxa"/>
            <w:vAlign w:val="center"/>
          </w:tcPr>
          <w:p>
            <w:pPr>
              <w:spacing w:line="360" w:lineRule="auto"/>
              <w:jc w:val="center"/>
              <w:rPr>
                <w:rFonts w:ascii="方正小标宋简体" w:hAnsi="宋体" w:eastAsia="方正小标宋简体"/>
                <w:sz w:val="20"/>
                <w:szCs w:val="20"/>
              </w:rPr>
            </w:pPr>
          </w:p>
        </w:tc>
        <w:tc>
          <w:tcPr>
            <w:tcW w:w="1276" w:type="dxa"/>
          </w:tcPr>
          <w:p>
            <w:pPr>
              <w:spacing w:line="360" w:lineRule="auto"/>
              <w:jc w:val="center"/>
              <w:rPr>
                <w:rFonts w:ascii="方正小标宋简体" w:hAnsi="宋体" w:eastAsia="方正小标宋简体"/>
                <w:sz w:val="20"/>
                <w:szCs w:val="20"/>
              </w:rPr>
            </w:pPr>
          </w:p>
        </w:tc>
      </w:tr>
    </w:tbl>
    <w:p>
      <w:pPr>
        <w:pStyle w:val="199"/>
        <w:ind w:firstLine="422" w:firstLineChars="176"/>
        <w:rPr>
          <w:sz w:val="24"/>
          <w:szCs w:val="22"/>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pStyle w:val="199"/>
        <w:ind w:firstLine="422" w:firstLineChars="176"/>
        <w:rPr>
          <w:sz w:val="24"/>
          <w:szCs w:val="22"/>
        </w:rPr>
      </w:pPr>
    </w:p>
    <w:p>
      <w:pPr>
        <w:pStyle w:val="199"/>
        <w:ind w:firstLine="422" w:firstLineChars="176"/>
        <w:rPr>
          <w:sz w:val="24"/>
          <w:szCs w:val="22"/>
        </w:rPr>
      </w:pPr>
    </w:p>
    <w:p>
      <w:pPr>
        <w:rPr>
          <w:sz w:val="24"/>
          <w:szCs w:val="22"/>
        </w:rPr>
      </w:pPr>
      <w:r>
        <w:rPr>
          <w:sz w:val="24"/>
          <w:szCs w:val="22"/>
        </w:rPr>
        <w:br w:type="page"/>
      </w:r>
    </w:p>
    <w:bookmarkEnd w:id="81"/>
    <w:bookmarkEnd w:id="82"/>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商务</w:t>
      </w:r>
      <w:r>
        <w:rPr>
          <w:rFonts w:hint="eastAsia"/>
          <w:bCs w:val="0"/>
          <w:sz w:val="24"/>
          <w:szCs w:val="24"/>
        </w:rPr>
        <w:t>、</w:t>
      </w:r>
      <w:r>
        <w:rPr>
          <w:rFonts w:hint="eastAsia"/>
          <w:bCs w:val="0"/>
          <w:color w:val="000000" w:themeColor="text1"/>
          <w:sz w:val="24"/>
          <w:szCs w:val="24"/>
          <w14:textFill>
            <w14:solidFill>
              <w14:schemeClr w14:val="tx1"/>
            </w14:solidFill>
          </w14:textFill>
        </w:rPr>
        <w:t>服务应答表</w:t>
      </w:r>
    </w:p>
    <w:tbl>
      <w:tblPr>
        <w:tblStyle w:val="41"/>
        <w:tblpPr w:leftFromText="180" w:rightFromText="180" w:vertAnchor="text" w:horzAnchor="page" w:tblpX="1417" w:tblpY="553"/>
        <w:tblOverlap w:val="never"/>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680"/>
        <w:gridCol w:w="2775"/>
        <w:gridCol w:w="217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9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序号</w:t>
            </w:r>
          </w:p>
        </w:tc>
        <w:tc>
          <w:tcPr>
            <w:tcW w:w="1680"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文件要求</w:t>
            </w:r>
          </w:p>
        </w:tc>
        <w:tc>
          <w:tcPr>
            <w:tcW w:w="27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响应应答</w:t>
            </w:r>
          </w:p>
        </w:tc>
        <w:tc>
          <w:tcPr>
            <w:tcW w:w="2175" w:type="dxa"/>
            <w:vAlign w:val="center"/>
          </w:tcPr>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hAnsi="宋体" w:eastAsia="方正小标宋简体"/>
                <w:color w:val="000000" w:themeColor="text1"/>
                <w:sz w:val="20"/>
                <w:szCs w:val="20"/>
                <w14:textFill>
                  <w14:solidFill>
                    <w14:schemeClr w14:val="tx1"/>
                  </w14:solidFill>
                </w14:textFill>
              </w:rPr>
              <w:t>偏离情况</w:t>
            </w:r>
          </w:p>
        </w:tc>
        <w:tc>
          <w:tcPr>
            <w:tcW w:w="1507" w:type="dxa"/>
            <w:vAlign w:val="center"/>
          </w:tcPr>
          <w:p>
            <w:pPr>
              <w:spacing w:line="500" w:lineRule="exact"/>
              <w:jc w:val="center"/>
              <w:rPr>
                <w:color w:val="000000" w:themeColor="text1"/>
                <w:sz w:val="22"/>
                <w:szCs w:val="21"/>
                <w14:textFill>
                  <w14:solidFill>
                    <w14:schemeClr w14:val="tx1"/>
                  </w14:solidFill>
                </w14:textFill>
              </w:rPr>
            </w:pPr>
            <w:r>
              <w:rPr>
                <w:rFonts w:hint="eastAsia"/>
                <w:color w:val="000000" w:themeColor="text1"/>
                <w:sz w:val="22"/>
                <w:szCs w:val="21"/>
                <w14:textFill>
                  <w14:solidFill>
                    <w14:schemeClr w14:val="tx1"/>
                  </w14:solidFill>
                </w14:textFill>
              </w:rPr>
              <w:t>备注</w:t>
            </w:r>
          </w:p>
          <w:p>
            <w:pPr>
              <w:spacing w:line="360" w:lineRule="auto"/>
              <w:jc w:val="center"/>
              <w:rPr>
                <w:rFonts w:ascii="方正小标宋简体" w:hAnsi="宋体" w:eastAsia="方正小标宋简体"/>
                <w:color w:val="000000" w:themeColor="text1"/>
                <w:sz w:val="20"/>
                <w:szCs w:val="20"/>
                <w14:textFill>
                  <w14:solidFill>
                    <w14:schemeClr w14:val="tx1"/>
                  </w14:solidFill>
                </w14:textFill>
              </w:rPr>
            </w:pPr>
            <w:r>
              <w:rPr>
                <w:rFonts w:hint="eastAsia" w:ascii="方正小标宋简体" w:eastAsia="方正小标宋简体"/>
                <w:color w:val="000000" w:themeColor="text1"/>
                <w:sz w:val="16"/>
                <w:szCs w:val="16"/>
                <w14:textFill>
                  <w14:solidFill>
                    <w14:schemeClr w14:val="tx1"/>
                  </w14:solidFill>
                </w14:textFill>
              </w:rPr>
              <w:t>支撑材料所在页码（1.仅部分需提供；2.相应条款没有支撑材料的请填写“/”）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1</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2</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ind w:left="277" w:hanging="264" w:hangingChars="132"/>
              <w:jc w:val="center"/>
              <w:rPr>
                <w:rFonts w:ascii="方正小标宋简体" w:hAnsi="宋体" w:eastAsia="方正小标宋简体"/>
                <w:sz w:val="20"/>
                <w:szCs w:val="20"/>
              </w:rPr>
            </w:pPr>
          </w:p>
        </w:tc>
        <w:tc>
          <w:tcPr>
            <w:tcW w:w="2175" w:type="dxa"/>
            <w:vAlign w:val="center"/>
          </w:tcPr>
          <w:p>
            <w:pPr>
              <w:spacing w:line="360" w:lineRule="auto"/>
              <w:ind w:left="277" w:hanging="264" w:hangingChars="132"/>
              <w:jc w:val="center"/>
              <w:rPr>
                <w:rFonts w:ascii="方正小标宋简体" w:hAnsi="宋体" w:eastAsia="方正小标宋简体"/>
                <w:sz w:val="20"/>
                <w:szCs w:val="20"/>
              </w:rPr>
            </w:pPr>
          </w:p>
        </w:tc>
        <w:tc>
          <w:tcPr>
            <w:tcW w:w="1507" w:type="dxa"/>
            <w:vAlign w:val="center"/>
          </w:tcPr>
          <w:p>
            <w:pPr>
              <w:spacing w:line="360" w:lineRule="auto"/>
              <w:ind w:left="277" w:hanging="264" w:hangingChars="132"/>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3</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4</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5</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0" w:type="dxa"/>
            <w:vAlign w:val="center"/>
          </w:tcPr>
          <w:p>
            <w:pPr>
              <w:spacing w:line="360" w:lineRule="auto"/>
              <w:jc w:val="center"/>
              <w:rPr>
                <w:rFonts w:ascii="方正小标宋简体" w:hAnsi="宋体" w:eastAsia="方正小标宋简体"/>
                <w:sz w:val="20"/>
                <w:szCs w:val="20"/>
              </w:rPr>
            </w:pPr>
            <w:r>
              <w:rPr>
                <w:rFonts w:hint="eastAsia" w:ascii="方正小标宋简体" w:hAnsi="宋体" w:eastAsia="方正小标宋简体"/>
                <w:sz w:val="20"/>
                <w:szCs w:val="20"/>
              </w:rPr>
              <w:t>…</w:t>
            </w:r>
          </w:p>
        </w:tc>
        <w:tc>
          <w:tcPr>
            <w:tcW w:w="1680" w:type="dxa"/>
            <w:vAlign w:val="center"/>
          </w:tcPr>
          <w:p>
            <w:pPr>
              <w:spacing w:line="360" w:lineRule="auto"/>
              <w:jc w:val="center"/>
              <w:rPr>
                <w:rFonts w:ascii="方正小标宋简体" w:hAnsi="宋体" w:eastAsia="方正小标宋简体"/>
                <w:sz w:val="20"/>
                <w:szCs w:val="20"/>
              </w:rPr>
            </w:pPr>
          </w:p>
        </w:tc>
        <w:tc>
          <w:tcPr>
            <w:tcW w:w="2775" w:type="dxa"/>
            <w:vAlign w:val="center"/>
          </w:tcPr>
          <w:p>
            <w:pPr>
              <w:spacing w:line="360" w:lineRule="auto"/>
              <w:jc w:val="center"/>
              <w:rPr>
                <w:rFonts w:ascii="方正小标宋简体" w:hAnsi="宋体" w:eastAsia="方正小标宋简体"/>
                <w:sz w:val="20"/>
                <w:szCs w:val="20"/>
              </w:rPr>
            </w:pPr>
          </w:p>
        </w:tc>
        <w:tc>
          <w:tcPr>
            <w:tcW w:w="2175" w:type="dxa"/>
            <w:vAlign w:val="center"/>
          </w:tcPr>
          <w:p>
            <w:pPr>
              <w:spacing w:line="360" w:lineRule="auto"/>
              <w:jc w:val="center"/>
              <w:rPr>
                <w:rFonts w:ascii="方正小标宋简体" w:hAnsi="宋体" w:eastAsia="方正小标宋简体"/>
                <w:sz w:val="20"/>
                <w:szCs w:val="20"/>
              </w:rPr>
            </w:pPr>
          </w:p>
        </w:tc>
        <w:tc>
          <w:tcPr>
            <w:tcW w:w="1507" w:type="dxa"/>
            <w:vAlign w:val="center"/>
          </w:tcPr>
          <w:p>
            <w:pPr>
              <w:spacing w:line="360" w:lineRule="auto"/>
              <w:jc w:val="center"/>
              <w:rPr>
                <w:rFonts w:ascii="方正小标宋简体" w:hAnsi="宋体" w:eastAsia="方正小标宋简体"/>
                <w:sz w:val="20"/>
                <w:szCs w:val="20"/>
              </w:rPr>
            </w:pPr>
          </w:p>
        </w:tc>
      </w:tr>
    </w:tbl>
    <w:p>
      <w:pPr>
        <w:pStyle w:val="2"/>
        <w:rPr>
          <w:sz w:val="20"/>
          <w:szCs w:val="21"/>
        </w:rPr>
      </w:pPr>
    </w:p>
    <w:p>
      <w:pPr>
        <w:pStyle w:val="2"/>
        <w:rPr>
          <w:sz w:val="20"/>
          <w:szCs w:val="21"/>
        </w:rPr>
      </w:pPr>
    </w:p>
    <w:p>
      <w:pPr>
        <w:spacing w:line="360" w:lineRule="auto"/>
        <w:rPr>
          <w:rFonts w:hint="eastAsia"/>
          <w:sz w:val="24"/>
        </w:rPr>
      </w:pPr>
      <w:r>
        <w:rPr>
          <w:rFonts w:hint="eastAsia"/>
          <w:sz w:val="24"/>
        </w:rPr>
        <w:t>注：1、</w:t>
      </w:r>
      <w:r>
        <w:rPr>
          <w:rFonts w:hint="eastAsia" w:ascii="Times New Roman" w:hAnsi="Times New Roman"/>
          <w:sz w:val="24"/>
        </w:rPr>
        <w:t xml:space="preserve"> 此表必须编入</w:t>
      </w:r>
      <w:r>
        <w:rPr>
          <w:rFonts w:hint="eastAsia" w:ascii="Times New Roman" w:hAnsi="Times New Roman"/>
          <w:sz w:val="24"/>
          <w:lang w:eastAsia="zh-CN"/>
        </w:rPr>
        <w:t>响应</w:t>
      </w:r>
      <w:r>
        <w:rPr>
          <w:rFonts w:hint="eastAsia" w:ascii="Times New Roman" w:hAnsi="Times New Roman"/>
          <w:sz w:val="24"/>
        </w:rPr>
        <w:t>文件中，若</w:t>
      </w:r>
      <w:r>
        <w:rPr>
          <w:rFonts w:hint="eastAsia" w:ascii="Times New Roman" w:hAnsi="Times New Roman"/>
          <w:sz w:val="24"/>
          <w:lang w:eastAsia="zh-CN"/>
        </w:rPr>
        <w:t>商务、服务</w:t>
      </w:r>
      <w:r>
        <w:rPr>
          <w:rFonts w:hint="eastAsia" w:ascii="Times New Roman" w:hAnsi="Times New Roman"/>
          <w:sz w:val="24"/>
        </w:rPr>
        <w:t>无偏离，可不填写内容。</w:t>
      </w:r>
      <w:r>
        <w:rPr>
          <w:rFonts w:hint="eastAsia"/>
          <w:sz w:val="24"/>
        </w:rPr>
        <w:t>否则供应商必须根据第</w:t>
      </w:r>
      <w:r>
        <w:rPr>
          <w:rFonts w:hint="eastAsia"/>
          <w:sz w:val="24"/>
          <w:lang w:eastAsia="zh-CN"/>
        </w:rPr>
        <w:t>四</w:t>
      </w:r>
      <w:r>
        <w:rPr>
          <w:rFonts w:hint="eastAsia"/>
          <w:sz w:val="24"/>
        </w:rPr>
        <w:t>章商务要求逐一据实填写，虚假应答将取消其响应或成交资格。如第</w:t>
      </w:r>
      <w:r>
        <w:rPr>
          <w:rFonts w:hint="eastAsia"/>
          <w:sz w:val="24"/>
          <w:lang w:eastAsia="zh-CN"/>
        </w:rPr>
        <w:t>四</w:t>
      </w:r>
      <w:r>
        <w:rPr>
          <w:rFonts w:hint="eastAsia"/>
          <w:sz w:val="24"/>
        </w:rPr>
        <w:t>章有要求证明材料的，还需提供对应证明材料。</w:t>
      </w:r>
    </w:p>
    <w:p>
      <w:pPr>
        <w:spacing w:line="360" w:lineRule="auto"/>
        <w:rPr>
          <w:rFonts w:ascii="宋体" w:hAnsi="宋体"/>
          <w:sz w:val="24"/>
          <w:szCs w:val="24"/>
        </w:rPr>
      </w:pPr>
      <w:r>
        <w:rPr>
          <w:rFonts w:hint="eastAsia"/>
          <w:sz w:val="24"/>
          <w:lang w:val="en-US" w:eastAsia="zh-CN"/>
        </w:rPr>
        <w:t>2、</w:t>
      </w:r>
      <w:r>
        <w:rPr>
          <w:rFonts w:hint="eastAsia"/>
          <w:sz w:val="24"/>
        </w:rPr>
        <w:t>偏离情况一列填写“无偏离”或“负偏离”或“正偏离”</w:t>
      </w:r>
      <w:r>
        <w:rPr>
          <w:rFonts w:hint="eastAsia" w:ascii="宋体" w:hAnsi="宋体"/>
          <w:sz w:val="24"/>
          <w:szCs w:val="24"/>
        </w:rPr>
        <w:t>。</w:t>
      </w:r>
    </w:p>
    <w:p>
      <w:pPr>
        <w:numPr>
          <w:ilvl w:val="0"/>
          <w:numId w:val="0"/>
        </w:numPr>
        <w:spacing w:line="360" w:lineRule="auto"/>
        <w:rPr>
          <w:rFonts w:hint="eastAsia"/>
          <w:sz w:val="24"/>
        </w:rPr>
      </w:pPr>
      <w:r>
        <w:rPr>
          <w:rFonts w:hint="eastAsia"/>
          <w:sz w:val="24"/>
          <w:lang w:val="en-US" w:eastAsia="zh-CN"/>
        </w:rPr>
        <w:t>3、</w:t>
      </w:r>
      <w:r>
        <w:rPr>
          <w:rFonts w:hint="eastAsia"/>
          <w:sz w:val="24"/>
        </w:rPr>
        <w:t>.</w:t>
      </w:r>
      <w:bookmarkStart w:id="83" w:name="_Hlk527459744"/>
      <w:r>
        <w:rPr>
          <w:rFonts w:hint="eastAsia"/>
          <w:sz w:val="24"/>
        </w:rPr>
        <w:t>若此表篇幅不足，由供应商自行添加。</w:t>
      </w:r>
      <w:bookmarkEnd w:id="83"/>
    </w:p>
    <w:p>
      <w:pPr>
        <w:numPr>
          <w:ilvl w:val="0"/>
          <w:numId w:val="0"/>
        </w:numPr>
        <w:spacing w:line="360" w:lineRule="auto"/>
        <w:rPr>
          <w:rFonts w:hint="eastAsia"/>
          <w:sz w:val="24"/>
        </w:rPr>
      </w:pPr>
    </w:p>
    <w:p>
      <w:pPr>
        <w:spacing w:line="360" w:lineRule="auto"/>
        <w:ind w:firstLine="364" w:firstLineChars="152"/>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XXXX</w:t>
      </w:r>
    </w:p>
    <w:p>
      <w:pPr>
        <w:spacing w:line="360" w:lineRule="auto"/>
        <w:ind w:firstLine="364" w:firstLineChars="152"/>
        <w:rPr>
          <w:rFonts w:ascii="宋体" w:hAnsi="宋体"/>
          <w:sz w:val="24"/>
          <w:szCs w:val="21"/>
        </w:rPr>
      </w:pPr>
      <w:r>
        <w:rPr>
          <w:rFonts w:hint="eastAsia" w:ascii="宋体" w:hAnsi="宋体"/>
          <w:sz w:val="24"/>
          <w:szCs w:val="24"/>
        </w:rPr>
        <w:t>日期：202</w:t>
      </w:r>
      <w:r>
        <w:rPr>
          <w:rFonts w:hint="eastAsia" w:ascii="宋体" w:hAnsi="宋体"/>
          <w:sz w:val="24"/>
          <w:szCs w:val="24"/>
          <w:u w:val="single"/>
        </w:rPr>
        <w:t>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w:t>
      </w:r>
    </w:p>
    <w:p>
      <w:pPr>
        <w:rPr>
          <w:sz w:val="20"/>
          <w:szCs w:val="21"/>
        </w:rPr>
      </w:pPr>
      <w:r>
        <w:rPr>
          <w:sz w:val="20"/>
          <w:szCs w:val="21"/>
        </w:rPr>
        <w:br w:type="page"/>
      </w:r>
    </w:p>
    <w:p>
      <w:pPr>
        <w:pStyle w:val="3"/>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承诺函</w:t>
      </w:r>
    </w:p>
    <w:p>
      <w:pPr>
        <w:snapToGrid w:val="0"/>
        <w:spacing w:line="560" w:lineRule="exact"/>
        <w:rPr>
          <w:rFonts w:ascii="宋体" w:hAnsi="宋体"/>
          <w:b/>
          <w:sz w:val="24"/>
          <w:szCs w:val="24"/>
        </w:rPr>
      </w:pPr>
      <w:r>
        <w:rPr>
          <w:rFonts w:hint="eastAsia" w:ascii="宋体" w:hAnsi="宋体"/>
          <w:b/>
          <w:sz w:val="24"/>
          <w:szCs w:val="24"/>
        </w:rPr>
        <w:t>项目名称：</w:t>
      </w:r>
      <w:r>
        <w:rPr>
          <w:rFonts w:hint="eastAsia" w:ascii="宋体" w:hAnsi="宋体"/>
          <w:b/>
          <w:sz w:val="24"/>
          <w:szCs w:val="24"/>
          <w:u w:val="single"/>
        </w:rPr>
        <w:t>XX</w:t>
      </w:r>
    </w:p>
    <w:p>
      <w:pPr>
        <w:snapToGrid w:val="0"/>
        <w:spacing w:line="560" w:lineRule="exact"/>
        <w:rPr>
          <w:rFonts w:ascii="宋体" w:hAnsi="宋体"/>
          <w:b/>
          <w:sz w:val="24"/>
          <w:szCs w:val="24"/>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r>
        <w:rPr>
          <w:rFonts w:hint="eastAsia" w:ascii="宋体" w:hAnsi="宋体"/>
          <w:b/>
          <w:sz w:val="24"/>
          <w:szCs w:val="24"/>
        </w:rPr>
        <w:t>号</w:t>
      </w:r>
    </w:p>
    <w:p>
      <w:pPr>
        <w:snapToGrid w:val="0"/>
        <w:spacing w:line="560" w:lineRule="exact"/>
        <w:ind w:firstLine="480" w:firstLineChars="200"/>
        <w:rPr>
          <w:rFonts w:ascii="宋体" w:hAnsi="宋体"/>
          <w:sz w:val="24"/>
          <w:szCs w:val="21"/>
        </w:rPr>
      </w:pPr>
      <w:r>
        <w:rPr>
          <w:rFonts w:hint="eastAsia" w:ascii="宋体" w:hAnsi="宋体"/>
          <w:sz w:val="24"/>
          <w:szCs w:val="21"/>
        </w:rPr>
        <w:t>我单位作为参加XX采购项目的竞争性磋商的供应商，在此郑重承诺：</w:t>
      </w:r>
    </w:p>
    <w:p>
      <w:pPr>
        <w:pStyle w:val="207"/>
        <w:numPr>
          <w:ilvl w:val="0"/>
          <w:numId w:val="30"/>
        </w:numPr>
        <w:tabs>
          <w:tab w:val="left" w:pos="1134"/>
        </w:tabs>
        <w:snapToGrid w:val="0"/>
        <w:spacing w:before="60" w:after="200" w:line="560" w:lineRule="exact"/>
        <w:ind w:left="0" w:right="210" w:firstLine="567" w:firstLineChars="0"/>
        <w:rPr>
          <w:rFonts w:ascii="宋体" w:hAnsi="宋体"/>
          <w:sz w:val="24"/>
          <w:szCs w:val="24"/>
        </w:rPr>
      </w:pPr>
      <w:r>
        <w:rPr>
          <w:rFonts w:hint="eastAsia" w:ascii="宋体" w:hAnsi="宋体"/>
          <w:sz w:val="24"/>
          <w:szCs w:val="24"/>
        </w:rPr>
        <w:t>为本项目提供的所有产品、辅材中</w:t>
      </w:r>
      <w:r>
        <w:rPr>
          <w:rFonts w:ascii="宋体" w:hAnsi="宋体" w:cs="宋体"/>
          <w:kern w:val="0"/>
          <w:sz w:val="24"/>
          <w:szCs w:val="24"/>
        </w:rPr>
        <w:t>属于《国家强制性产品认证目录》范围内产品的，均通过国家强制性产品认证并取得认证证书。</w:t>
      </w:r>
    </w:p>
    <w:p>
      <w:pPr>
        <w:pStyle w:val="207"/>
        <w:numPr>
          <w:ilvl w:val="0"/>
          <w:numId w:val="30"/>
        </w:numPr>
        <w:tabs>
          <w:tab w:val="left" w:pos="1134"/>
        </w:tabs>
        <w:snapToGrid w:val="0"/>
        <w:spacing w:before="60" w:after="200" w:line="560" w:lineRule="exact"/>
        <w:ind w:left="0" w:right="210" w:firstLine="567" w:firstLineChars="0"/>
        <w:rPr>
          <w:rFonts w:ascii="宋体" w:hAnsi="宋体" w:cs="宋体"/>
          <w:kern w:val="0"/>
          <w:sz w:val="24"/>
          <w:szCs w:val="24"/>
        </w:rPr>
      </w:pPr>
      <w:r>
        <w:rPr>
          <w:rFonts w:hint="eastAsia" w:ascii="宋体" w:hAnsi="宋体"/>
          <w:sz w:val="24"/>
          <w:szCs w:val="24"/>
        </w:rPr>
        <w:t>为本项目提供的所有产品、辅材符合现行的强制性国家相关标准、行业标准。</w:t>
      </w:r>
    </w:p>
    <w:p>
      <w:pPr>
        <w:pStyle w:val="207"/>
        <w:numPr>
          <w:ilvl w:val="0"/>
          <w:numId w:val="30"/>
        </w:numPr>
        <w:tabs>
          <w:tab w:val="left" w:pos="1134"/>
        </w:tabs>
        <w:snapToGrid w:val="0"/>
        <w:spacing w:before="60" w:after="200" w:line="560" w:lineRule="exact"/>
        <w:ind w:left="0" w:right="210" w:firstLine="567" w:firstLineChars="0"/>
        <w:rPr>
          <w:rFonts w:hint="default" w:ascii="宋体" w:hAnsi="宋体" w:eastAsia="宋体"/>
          <w:sz w:val="24"/>
          <w:szCs w:val="24"/>
          <w:lang w:val="en-US" w:eastAsia="zh-CN"/>
        </w:rPr>
      </w:pPr>
      <w:r>
        <w:rPr>
          <w:rFonts w:hint="eastAsia" w:ascii="宋体" w:hAnsi="宋体"/>
          <w:sz w:val="24"/>
          <w:szCs w:val="24"/>
          <w:lang w:val="en-US" w:eastAsia="zh-CN"/>
        </w:rPr>
        <w:t>本项目其他需要承诺的事项(如有此处可自行添加）</w:t>
      </w:r>
      <w:r>
        <w:rPr>
          <w:rFonts w:hint="eastAsia" w:ascii="宋体" w:hAnsi="宋体"/>
          <w:sz w:val="24"/>
          <w:szCs w:val="24"/>
          <w:u w:val="single"/>
          <w:lang w:val="en-US" w:eastAsia="zh-CN"/>
        </w:rPr>
        <w:t xml:space="preserve">            </w:t>
      </w:r>
    </w:p>
    <w:p>
      <w:pPr>
        <w:snapToGrid w:val="0"/>
        <w:spacing w:line="560" w:lineRule="exact"/>
        <w:ind w:firstLine="480" w:firstLineChars="200"/>
        <w:rPr>
          <w:sz w:val="20"/>
          <w:szCs w:val="21"/>
        </w:rPr>
      </w:pPr>
      <w:r>
        <w:rPr>
          <w:rFonts w:hint="eastAsia" w:ascii="宋体" w:hAnsi="宋体"/>
          <w:sz w:val="24"/>
          <w:szCs w:val="24"/>
        </w:rPr>
        <w:t>特此承诺。</w:t>
      </w:r>
    </w:p>
    <w:p>
      <w:pPr>
        <w:snapToGrid w:val="0"/>
        <w:spacing w:line="560" w:lineRule="exact"/>
        <w:ind w:firstLine="480" w:firstLineChars="200"/>
        <w:rPr>
          <w:rFonts w:ascii="宋体" w:hAnsi="宋体"/>
          <w:sz w:val="24"/>
          <w:szCs w:val="24"/>
        </w:rPr>
      </w:pPr>
    </w:p>
    <w:p>
      <w:pPr>
        <w:snapToGrid w:val="0"/>
        <w:spacing w:line="560" w:lineRule="exact"/>
        <w:ind w:firstLine="480" w:firstLineChars="200"/>
        <w:rPr>
          <w:rFonts w:ascii="宋体" w:hAnsi="宋体"/>
          <w:sz w:val="24"/>
          <w:szCs w:val="24"/>
        </w:rPr>
      </w:pPr>
    </w:p>
    <w:p>
      <w:pPr>
        <w:spacing w:after="120" w:line="560" w:lineRule="exact"/>
        <w:ind w:left="420" w:leftChars="200"/>
        <w:rPr>
          <w:rFonts w:ascii="宋体" w:hAnsi="宋体"/>
          <w:bCs/>
          <w:sz w:val="24"/>
          <w:szCs w:val="24"/>
        </w:rPr>
      </w:pPr>
      <w:r>
        <w:rPr>
          <w:rFonts w:hint="eastAsia" w:ascii="宋体" w:hAnsi="宋体"/>
          <w:bCs/>
          <w:sz w:val="24"/>
          <w:szCs w:val="24"/>
          <w:lang w:eastAsia="zh-CN"/>
        </w:rPr>
        <w:t>供应商</w:t>
      </w:r>
      <w:r>
        <w:rPr>
          <w:rFonts w:hint="eastAsia" w:ascii="宋体" w:hAnsi="宋体"/>
          <w:bCs/>
          <w:sz w:val="24"/>
          <w:szCs w:val="24"/>
        </w:rPr>
        <w:t>名称：</w:t>
      </w:r>
      <w:r>
        <w:rPr>
          <w:rFonts w:hint="eastAsia" w:ascii="宋体" w:hAnsi="宋体"/>
          <w:bCs/>
          <w:sz w:val="24"/>
          <w:szCs w:val="24"/>
          <w:u w:val="single"/>
        </w:rPr>
        <w:t>XXXX</w:t>
      </w:r>
    </w:p>
    <w:p>
      <w:pPr>
        <w:adjustRightInd w:val="0"/>
        <w:spacing w:line="560" w:lineRule="exact"/>
        <w:ind w:firstLine="360" w:firstLineChars="150"/>
        <w:rPr>
          <w:rFonts w:ascii="宋体" w:hAnsi="宋体"/>
          <w:bCs/>
          <w:sz w:val="24"/>
          <w:szCs w:val="21"/>
        </w:rPr>
      </w:pPr>
      <w:r>
        <w:rPr>
          <w:rFonts w:hint="eastAsia" w:ascii="宋体" w:hAnsi="宋体"/>
          <w:sz w:val="24"/>
          <w:szCs w:val="21"/>
        </w:rPr>
        <w:t>日期：</w:t>
      </w:r>
      <w:r>
        <w:rPr>
          <w:rFonts w:hint="eastAsia" w:ascii="宋体" w:hAnsi="宋体"/>
          <w:bCs/>
          <w:sz w:val="24"/>
          <w:szCs w:val="21"/>
          <w:lang w:eastAsia="zh-CN"/>
        </w:rPr>
        <w:t>2022</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pPr>
        <w:rPr>
          <w:rFonts w:ascii="宋体" w:hAnsi="宋体"/>
          <w:bCs/>
          <w:sz w:val="24"/>
          <w:szCs w:val="21"/>
        </w:rPr>
      </w:pPr>
      <w:r>
        <w:rPr>
          <w:rFonts w:ascii="宋体" w:hAnsi="宋体"/>
          <w:bCs/>
          <w:sz w:val="24"/>
          <w:szCs w:val="21"/>
        </w:rPr>
        <w:br w:type="page"/>
      </w:r>
    </w:p>
    <w:p>
      <w:pPr>
        <w:pStyle w:val="2"/>
        <w:rPr>
          <w:sz w:val="20"/>
          <w:szCs w:val="21"/>
        </w:rPr>
      </w:pPr>
    </w:p>
    <w:p>
      <w:pPr>
        <w:pStyle w:val="6"/>
        <w:tabs>
          <w:tab w:val="left" w:pos="709"/>
        </w:tabs>
        <w:ind w:left="709" w:hanging="709"/>
        <w:rPr>
          <w:color w:val="auto"/>
          <w:sz w:val="24"/>
          <w:szCs w:val="24"/>
        </w:rPr>
      </w:pPr>
      <w:r>
        <w:rPr>
          <w:rFonts w:hint="eastAsia"/>
          <w:color w:val="auto"/>
          <w:sz w:val="24"/>
          <w:szCs w:val="24"/>
        </w:rPr>
        <w:t>供应商本项目管理、技术、服务人员情况表</w:t>
      </w:r>
    </w:p>
    <w:p>
      <w:pPr>
        <w:spacing w:line="360" w:lineRule="auto"/>
        <w:rPr>
          <w:rFonts w:ascii="宋体" w:hAnsi="宋体"/>
          <w:b/>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w:t>
      </w:r>
      <w:r>
        <w:rPr>
          <w:rFonts w:hint="eastAsia" w:ascii="宋体" w:hAnsi="宋体"/>
          <w:b/>
          <w:color w:val="000000" w:themeColor="text1"/>
          <w:spacing w:val="-20"/>
          <w:sz w:val="24"/>
          <w:szCs w:val="24"/>
          <w14:textFill>
            <w14:solidFill>
              <w14:schemeClr w14:val="tx1"/>
            </w14:solidFill>
          </w14:textFill>
        </w:rPr>
        <w:t>目名称：</w:t>
      </w:r>
      <w:r>
        <w:rPr>
          <w:rFonts w:hint="eastAsia" w:ascii="宋体" w:hAnsi="宋体"/>
          <w:b/>
          <w:color w:val="000000" w:themeColor="text1"/>
          <w:sz w:val="24"/>
          <w:szCs w:val="24"/>
          <w:u w:val="single"/>
          <w14:textFill>
            <w14:solidFill>
              <w14:schemeClr w14:val="tx1"/>
            </w14:solidFill>
          </w14:textFill>
        </w:rPr>
        <w:t>XXX</w:t>
      </w:r>
    </w:p>
    <w:p>
      <w:pPr>
        <w:rPr>
          <w:color w:val="000000" w:themeColor="text1"/>
          <w:sz w:val="20"/>
          <w:szCs w:val="21"/>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项目编号：武侯政采（202</w:t>
      </w:r>
      <w:r>
        <w:rPr>
          <w:rFonts w:hint="eastAsia" w:ascii="宋体" w:hAnsi="宋体"/>
          <w:b/>
          <w:color w:val="000000" w:themeColor="text1"/>
          <w:sz w:val="24"/>
          <w:szCs w:val="24"/>
          <w:lang w:val="en-US" w:eastAsia="zh-CN"/>
          <w14:textFill>
            <w14:solidFill>
              <w14:schemeClr w14:val="tx1"/>
            </w14:solidFill>
          </w14:textFill>
        </w:rPr>
        <w:t>x</w:t>
      </w:r>
      <w:r>
        <w:rPr>
          <w:rFonts w:hint="eastAsia" w:ascii="宋体" w:hAnsi="宋体"/>
          <w:b/>
          <w:color w:val="000000" w:themeColor="text1"/>
          <w:sz w:val="24"/>
          <w:szCs w:val="24"/>
          <w14:textFill>
            <w14:solidFill>
              <w14:schemeClr w14:val="tx1"/>
            </w14:solidFill>
          </w14:textFill>
        </w:rPr>
        <w:t>）A</w:t>
      </w:r>
      <w:r>
        <w:rPr>
          <w:rFonts w:hint="eastAsia" w:ascii="宋体" w:hAnsi="宋体"/>
          <w:b/>
          <w:color w:val="000000" w:themeColor="text1"/>
          <w:sz w:val="24"/>
          <w:szCs w:val="24"/>
          <w:lang w:val="en-US" w:eastAsia="zh-CN"/>
          <w14:textFill>
            <w14:solidFill>
              <w14:schemeClr w14:val="tx1"/>
            </w14:solidFill>
          </w14:textFill>
        </w:rPr>
        <w:t>xxxx</w:t>
      </w:r>
      <w:r>
        <w:rPr>
          <w:rFonts w:hint="eastAsia" w:ascii="宋体" w:hAnsi="宋体"/>
          <w:b/>
          <w:color w:val="000000" w:themeColor="text1"/>
          <w:sz w:val="24"/>
          <w:szCs w:val="24"/>
          <w14:textFill>
            <w14:solidFill>
              <w14:schemeClr w14:val="tx1"/>
            </w14:solidFill>
          </w14:textFill>
        </w:rPr>
        <w:t>号</w:t>
      </w:r>
    </w:p>
    <w:tbl>
      <w:tblPr>
        <w:tblStyle w:val="41"/>
        <w:tblpPr w:leftFromText="180" w:rightFromText="180" w:vertAnchor="text" w:horzAnchor="page" w:tblpX="1373" w:tblpY="449"/>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005"/>
        <w:gridCol w:w="1134"/>
        <w:gridCol w:w="992"/>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类别</w:t>
            </w:r>
          </w:p>
        </w:tc>
        <w:tc>
          <w:tcPr>
            <w:tcW w:w="1005" w:type="dxa"/>
            <w:vMerge w:val="restart"/>
            <w:vAlign w:val="center"/>
          </w:tcPr>
          <w:p>
            <w:pPr>
              <w:spacing w:line="360" w:lineRule="auto"/>
              <w:jc w:val="center"/>
              <w:rPr>
                <w:rFonts w:ascii="宋体" w:hAnsi="宋体"/>
                <w:sz w:val="22"/>
                <w:szCs w:val="21"/>
              </w:rPr>
            </w:pPr>
            <w:r>
              <w:rPr>
                <w:rFonts w:hint="eastAsia" w:ascii="宋体" w:hAnsi="宋体"/>
                <w:sz w:val="22"/>
                <w:szCs w:val="21"/>
              </w:rPr>
              <w:t>职务</w:t>
            </w:r>
          </w:p>
        </w:tc>
        <w:tc>
          <w:tcPr>
            <w:tcW w:w="1134" w:type="dxa"/>
            <w:vMerge w:val="restart"/>
            <w:vAlign w:val="center"/>
          </w:tcPr>
          <w:p>
            <w:pPr>
              <w:spacing w:line="360" w:lineRule="auto"/>
              <w:jc w:val="center"/>
              <w:rPr>
                <w:rFonts w:ascii="宋体" w:hAnsi="宋体"/>
                <w:sz w:val="22"/>
                <w:szCs w:val="21"/>
              </w:rPr>
            </w:pPr>
            <w:r>
              <w:rPr>
                <w:rFonts w:hint="eastAsia" w:ascii="宋体" w:hAnsi="宋体"/>
                <w:sz w:val="22"/>
                <w:szCs w:val="21"/>
              </w:rPr>
              <w:t>姓名</w:t>
            </w:r>
          </w:p>
        </w:tc>
        <w:tc>
          <w:tcPr>
            <w:tcW w:w="992" w:type="dxa"/>
            <w:vMerge w:val="restart"/>
            <w:vAlign w:val="center"/>
          </w:tcPr>
          <w:p>
            <w:pPr>
              <w:spacing w:line="360" w:lineRule="auto"/>
              <w:jc w:val="center"/>
              <w:rPr>
                <w:rFonts w:ascii="宋体" w:hAnsi="宋体"/>
                <w:sz w:val="22"/>
                <w:szCs w:val="21"/>
              </w:rPr>
            </w:pPr>
            <w:r>
              <w:rPr>
                <w:rFonts w:hint="eastAsia" w:ascii="宋体" w:hAnsi="宋体"/>
                <w:sz w:val="22"/>
                <w:szCs w:val="21"/>
              </w:rPr>
              <w:t>职称</w:t>
            </w:r>
          </w:p>
        </w:tc>
        <w:tc>
          <w:tcPr>
            <w:tcW w:w="1276" w:type="dxa"/>
            <w:vMerge w:val="restart"/>
            <w:vAlign w:val="center"/>
          </w:tcPr>
          <w:p>
            <w:pPr>
              <w:spacing w:line="360" w:lineRule="auto"/>
              <w:jc w:val="center"/>
              <w:rPr>
                <w:rFonts w:ascii="宋体" w:hAnsi="宋体"/>
                <w:sz w:val="22"/>
                <w:szCs w:val="21"/>
              </w:rPr>
            </w:pPr>
            <w:r>
              <w:rPr>
                <w:rFonts w:hint="eastAsia" w:ascii="宋体" w:hAnsi="宋体"/>
                <w:sz w:val="22"/>
                <w:szCs w:val="21"/>
              </w:rPr>
              <w:t>常住地</w:t>
            </w:r>
          </w:p>
        </w:tc>
        <w:tc>
          <w:tcPr>
            <w:tcW w:w="4394" w:type="dxa"/>
            <w:gridSpan w:val="4"/>
            <w:vAlign w:val="center"/>
          </w:tcPr>
          <w:p>
            <w:pPr>
              <w:spacing w:line="360" w:lineRule="auto"/>
              <w:jc w:val="center"/>
              <w:rPr>
                <w:rFonts w:ascii="宋体" w:hAnsi="宋体"/>
                <w:sz w:val="22"/>
                <w:szCs w:val="21"/>
              </w:rPr>
            </w:pPr>
            <w:r>
              <w:rPr>
                <w:rFonts w:hint="eastAsia" w:ascii="宋体" w:hAnsi="宋体"/>
                <w:sz w:val="22"/>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spacing w:line="360" w:lineRule="auto"/>
              <w:rPr>
                <w:rFonts w:ascii="宋体" w:hAnsi="宋体"/>
                <w:sz w:val="22"/>
                <w:szCs w:val="21"/>
              </w:rPr>
            </w:pPr>
          </w:p>
        </w:tc>
        <w:tc>
          <w:tcPr>
            <w:tcW w:w="1005" w:type="dxa"/>
            <w:vMerge w:val="continue"/>
            <w:vAlign w:val="center"/>
          </w:tcPr>
          <w:p>
            <w:pPr>
              <w:spacing w:line="360" w:lineRule="auto"/>
              <w:rPr>
                <w:rFonts w:ascii="宋体" w:hAnsi="宋体"/>
                <w:sz w:val="22"/>
                <w:szCs w:val="21"/>
              </w:rPr>
            </w:pPr>
          </w:p>
        </w:tc>
        <w:tc>
          <w:tcPr>
            <w:tcW w:w="1134" w:type="dxa"/>
            <w:vMerge w:val="continue"/>
            <w:vAlign w:val="center"/>
          </w:tcPr>
          <w:p>
            <w:pPr>
              <w:spacing w:line="360" w:lineRule="auto"/>
              <w:rPr>
                <w:rFonts w:ascii="宋体" w:hAnsi="宋体"/>
                <w:sz w:val="22"/>
                <w:szCs w:val="21"/>
              </w:rPr>
            </w:pPr>
          </w:p>
        </w:tc>
        <w:tc>
          <w:tcPr>
            <w:tcW w:w="992" w:type="dxa"/>
            <w:vMerge w:val="continue"/>
            <w:vAlign w:val="center"/>
          </w:tcPr>
          <w:p>
            <w:pPr>
              <w:spacing w:line="360" w:lineRule="auto"/>
              <w:rPr>
                <w:rFonts w:ascii="宋体" w:hAnsi="宋体"/>
                <w:sz w:val="22"/>
                <w:szCs w:val="21"/>
              </w:rPr>
            </w:pPr>
          </w:p>
        </w:tc>
        <w:tc>
          <w:tcPr>
            <w:tcW w:w="1276" w:type="dxa"/>
            <w:vMerge w:val="continue"/>
            <w:vAlign w:val="center"/>
          </w:tcPr>
          <w:p>
            <w:pPr>
              <w:spacing w:line="360" w:lineRule="auto"/>
              <w:rPr>
                <w:rFonts w:ascii="宋体" w:hAnsi="宋体"/>
                <w:sz w:val="22"/>
                <w:szCs w:val="21"/>
              </w:rPr>
            </w:pP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证书</w:t>
            </w:r>
          </w:p>
          <w:p>
            <w:pPr>
              <w:spacing w:line="360" w:lineRule="auto"/>
              <w:jc w:val="center"/>
              <w:rPr>
                <w:rFonts w:ascii="宋体" w:hAnsi="宋体"/>
                <w:sz w:val="22"/>
                <w:szCs w:val="21"/>
              </w:rPr>
            </w:pPr>
            <w:r>
              <w:rPr>
                <w:rFonts w:hint="eastAsia" w:ascii="宋体" w:hAnsi="宋体"/>
                <w:sz w:val="22"/>
                <w:szCs w:val="21"/>
              </w:rPr>
              <w:t>名称</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级别</w:t>
            </w:r>
          </w:p>
        </w:tc>
        <w:tc>
          <w:tcPr>
            <w:tcW w:w="1134" w:type="dxa"/>
            <w:vAlign w:val="center"/>
          </w:tcPr>
          <w:p>
            <w:pPr>
              <w:spacing w:line="360" w:lineRule="auto"/>
              <w:jc w:val="center"/>
              <w:rPr>
                <w:rFonts w:ascii="宋体" w:hAnsi="宋体"/>
                <w:sz w:val="22"/>
                <w:szCs w:val="21"/>
              </w:rPr>
            </w:pPr>
            <w:r>
              <w:rPr>
                <w:rFonts w:hint="eastAsia" w:ascii="宋体" w:hAnsi="宋体"/>
                <w:sz w:val="22"/>
                <w:szCs w:val="21"/>
              </w:rPr>
              <w:t>证号</w:t>
            </w:r>
          </w:p>
        </w:tc>
        <w:tc>
          <w:tcPr>
            <w:tcW w:w="992" w:type="dxa"/>
            <w:vAlign w:val="center"/>
          </w:tcPr>
          <w:p>
            <w:pPr>
              <w:spacing w:line="360" w:lineRule="auto"/>
              <w:jc w:val="center"/>
              <w:rPr>
                <w:rFonts w:ascii="宋体" w:hAnsi="宋体"/>
                <w:sz w:val="22"/>
                <w:szCs w:val="21"/>
              </w:rPr>
            </w:pPr>
            <w:r>
              <w:rPr>
                <w:rFonts w:hint="eastAsia" w:ascii="宋体" w:hAnsi="宋体"/>
                <w:sz w:val="2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管理</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c>
          <w:tcPr>
            <w:tcW w:w="1276"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1134" w:type="dxa"/>
          </w:tcPr>
          <w:p>
            <w:pPr>
              <w:spacing w:line="360" w:lineRule="auto"/>
              <w:jc w:val="center"/>
              <w:rPr>
                <w:rFonts w:ascii="宋体" w:hAnsi="宋体"/>
                <w:sz w:val="22"/>
                <w:szCs w:val="21"/>
              </w:rPr>
            </w:pPr>
          </w:p>
        </w:tc>
        <w:tc>
          <w:tcPr>
            <w:tcW w:w="992" w:type="dxa"/>
          </w:tcPr>
          <w:p>
            <w:pPr>
              <w:spacing w:line="360" w:lineRule="auto"/>
              <w:jc w:val="center"/>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46" w:type="dxa"/>
            <w:vMerge w:val="continue"/>
            <w:vAlign w:val="center"/>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技术</w:t>
            </w:r>
          </w:p>
          <w:p>
            <w:pPr>
              <w:spacing w:line="360" w:lineRule="auto"/>
              <w:jc w:val="center"/>
              <w:rPr>
                <w:rFonts w:ascii="宋体" w:hAnsi="宋体"/>
                <w:sz w:val="22"/>
                <w:szCs w:val="21"/>
              </w:rPr>
            </w:pPr>
            <w:r>
              <w:rPr>
                <w:rFonts w:hint="eastAsia" w:ascii="宋体" w:hAnsi="宋体"/>
                <w:sz w:val="22"/>
                <w:szCs w:val="21"/>
              </w:rPr>
              <w:t>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6" w:type="dxa"/>
            <w:vMerge w:val="continue"/>
            <w:vAlign w:val="center"/>
          </w:tcPr>
          <w:p>
            <w:pPr>
              <w:spacing w:line="360" w:lineRule="auto"/>
              <w:jc w:val="center"/>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6" w:type="dxa"/>
            <w:vMerge w:val="restart"/>
            <w:vAlign w:val="center"/>
          </w:tcPr>
          <w:p>
            <w:pPr>
              <w:spacing w:line="360" w:lineRule="auto"/>
              <w:jc w:val="center"/>
              <w:rPr>
                <w:rFonts w:ascii="宋体" w:hAnsi="宋体"/>
                <w:sz w:val="22"/>
                <w:szCs w:val="21"/>
              </w:rPr>
            </w:pPr>
            <w:r>
              <w:rPr>
                <w:rFonts w:hint="eastAsia" w:ascii="宋体" w:hAnsi="宋体"/>
                <w:sz w:val="22"/>
                <w:szCs w:val="21"/>
              </w:rPr>
              <w:t>售后服务人员</w:t>
            </w: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6" w:type="dxa"/>
            <w:vMerge w:val="continue"/>
          </w:tcPr>
          <w:p>
            <w:pPr>
              <w:spacing w:line="360" w:lineRule="auto"/>
              <w:rPr>
                <w:rFonts w:ascii="宋体" w:hAnsi="宋体"/>
                <w:sz w:val="22"/>
                <w:szCs w:val="21"/>
              </w:rPr>
            </w:pPr>
          </w:p>
        </w:tc>
        <w:tc>
          <w:tcPr>
            <w:tcW w:w="1005"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c>
          <w:tcPr>
            <w:tcW w:w="1276"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1134" w:type="dxa"/>
          </w:tcPr>
          <w:p>
            <w:pPr>
              <w:spacing w:line="360" w:lineRule="auto"/>
              <w:rPr>
                <w:rFonts w:ascii="宋体" w:hAnsi="宋体"/>
                <w:sz w:val="22"/>
                <w:szCs w:val="21"/>
              </w:rPr>
            </w:pPr>
          </w:p>
        </w:tc>
        <w:tc>
          <w:tcPr>
            <w:tcW w:w="992" w:type="dxa"/>
          </w:tcPr>
          <w:p>
            <w:pPr>
              <w:spacing w:line="360" w:lineRule="auto"/>
              <w:rPr>
                <w:rFonts w:ascii="宋体" w:hAnsi="宋体"/>
                <w:sz w:val="22"/>
                <w:szCs w:val="21"/>
              </w:rPr>
            </w:pPr>
          </w:p>
        </w:tc>
      </w:tr>
    </w:tbl>
    <w:p>
      <w:pPr>
        <w:rPr>
          <w:sz w:val="20"/>
          <w:szCs w:val="21"/>
        </w:rPr>
      </w:pPr>
    </w:p>
    <w:p>
      <w:pPr>
        <w:rPr>
          <w:sz w:val="20"/>
          <w:szCs w:val="21"/>
        </w:rPr>
      </w:pPr>
    </w:p>
    <w:p>
      <w:pPr>
        <w:rPr>
          <w:sz w:val="20"/>
          <w:szCs w:val="21"/>
        </w:rPr>
      </w:pPr>
    </w:p>
    <w:p>
      <w:pPr>
        <w:pStyle w:val="26"/>
        <w:spacing w:line="360" w:lineRule="auto"/>
        <w:ind w:left="0" w:leftChars="0"/>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rPr>
          <w:sz w:val="20"/>
          <w:szCs w:val="21"/>
        </w:rPr>
      </w:pPr>
    </w:p>
    <w:p>
      <w:pPr>
        <w:rPr>
          <w:sz w:val="20"/>
          <w:szCs w:val="21"/>
        </w:rPr>
      </w:pPr>
    </w:p>
    <w:p>
      <w:pPr>
        <w:rPr>
          <w:b/>
          <w:sz w:val="24"/>
          <w:szCs w:val="21"/>
        </w:rPr>
      </w:pPr>
      <w:r>
        <w:rPr>
          <w:rFonts w:hint="eastAsia"/>
          <w:b/>
          <w:sz w:val="24"/>
          <w:szCs w:val="21"/>
        </w:rPr>
        <w:t>说明：以上表格格式行数可自行增减。</w:t>
      </w:r>
    </w:p>
    <w:p>
      <w:pPr>
        <w:rPr>
          <w:sz w:val="20"/>
          <w:szCs w:val="21"/>
        </w:rPr>
      </w:pPr>
      <w:r>
        <w:rPr>
          <w:sz w:val="20"/>
          <w:szCs w:val="21"/>
        </w:rPr>
        <w:br w:type="page"/>
      </w:r>
    </w:p>
    <w:p>
      <w:pPr>
        <w:pStyle w:val="6"/>
        <w:numPr>
          <w:ilvl w:val="2"/>
          <w:numId w:val="5"/>
        </w:numPr>
        <w:tabs>
          <w:tab w:val="left" w:pos="709"/>
        </w:tabs>
        <w:spacing w:after="200"/>
        <w:ind w:left="709" w:hanging="709"/>
        <w:rPr>
          <w:color w:val="auto"/>
          <w:sz w:val="24"/>
          <w:szCs w:val="24"/>
        </w:rPr>
      </w:pPr>
      <w:r>
        <w:rPr>
          <w:rFonts w:hint="eastAsia"/>
          <w:color w:val="auto"/>
          <w:sz w:val="24"/>
          <w:szCs w:val="24"/>
        </w:rPr>
        <w:t>供应商基本情况表</w:t>
      </w:r>
    </w:p>
    <w:tbl>
      <w:tblPr>
        <w:tblStyle w:val="41"/>
        <w:tblW w:w="852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992"/>
        <w:gridCol w:w="935"/>
        <w:gridCol w:w="1248"/>
        <w:gridCol w:w="8"/>
        <w:gridCol w:w="1318"/>
        <w:gridCol w:w="489"/>
        <w:gridCol w:w="683"/>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供应商名称</w:t>
            </w:r>
          </w:p>
        </w:tc>
        <w:tc>
          <w:tcPr>
            <w:tcW w:w="6740"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注册地址</w:t>
            </w:r>
          </w:p>
        </w:tc>
        <w:tc>
          <w:tcPr>
            <w:tcW w:w="318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联系方式</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联系人</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780"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 w:val="20"/>
                <w:szCs w:val="20"/>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传真</w:t>
            </w:r>
          </w:p>
        </w:tc>
        <w:tc>
          <w:tcPr>
            <w:tcW w:w="218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单位性质</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1"/>
              </w:rPr>
              <w:t>法定代表人（或</w:t>
            </w:r>
            <w:r>
              <w:rPr>
                <w:rFonts w:ascii="宋体" w:hAnsi="宋体"/>
                <w:sz w:val="20"/>
                <w:szCs w:val="21"/>
              </w:rPr>
              <w:t>负责人</w:t>
            </w:r>
            <w:r>
              <w:rPr>
                <w:rFonts w:hint="eastAsia" w:ascii="宋体" w:hAnsi="宋体"/>
                <w:sz w:val="20"/>
                <w:szCs w:val="21"/>
              </w:rPr>
              <w:t>）</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780"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技术负责人</w:t>
            </w:r>
          </w:p>
        </w:tc>
        <w:tc>
          <w:tcPr>
            <w:tcW w:w="99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780"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财务负责人</w:t>
            </w:r>
          </w:p>
        </w:tc>
        <w:tc>
          <w:tcPr>
            <w:tcW w:w="99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姓名</w:t>
            </w:r>
          </w:p>
        </w:tc>
        <w:tc>
          <w:tcPr>
            <w:tcW w:w="93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成立时间</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sz w:val="20"/>
                <w:szCs w:val="20"/>
              </w:rPr>
            </w:pPr>
            <w:r>
              <w:rPr>
                <w:rFonts w:hint="eastAsia" w:ascii="宋体" w:hAnsi="宋体"/>
                <w:sz w:val="20"/>
                <w:szCs w:val="20"/>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企业资质等级</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其中</w:t>
            </w: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项目经理</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统一</w:t>
            </w:r>
            <w:r>
              <w:rPr>
                <w:rFonts w:ascii="宋体" w:hAnsi="宋体"/>
                <w:sz w:val="20"/>
                <w:szCs w:val="20"/>
              </w:rPr>
              <w:t>社会</w:t>
            </w:r>
            <w:r>
              <w:rPr>
                <w:rFonts w:hint="eastAsia" w:ascii="宋体" w:hAnsi="宋体"/>
                <w:sz w:val="20"/>
                <w:szCs w:val="20"/>
              </w:rPr>
              <w:t>信用</w:t>
            </w:r>
            <w:r>
              <w:rPr>
                <w:rFonts w:ascii="宋体" w:hAnsi="宋体"/>
                <w:sz w:val="20"/>
                <w:szCs w:val="20"/>
              </w:rPr>
              <w:t>代码</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高级职称人员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注册资金</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中级职称人员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开户银行</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初级职称人员</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账号</w:t>
            </w:r>
          </w:p>
        </w:tc>
        <w:tc>
          <w:tcPr>
            <w:tcW w:w="19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 w:val="20"/>
                <w:szCs w:val="20"/>
              </w:rPr>
            </w:pPr>
          </w:p>
        </w:tc>
        <w:tc>
          <w:tcPr>
            <w:tcW w:w="18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技工</w:t>
            </w:r>
          </w:p>
        </w:tc>
        <w:tc>
          <w:tcPr>
            <w:tcW w:w="1750"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6" w:hRule="atLeast"/>
          <w:jc w:val="center"/>
        </w:trPr>
        <w:tc>
          <w:tcPr>
            <w:tcW w:w="178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经营范围</w:t>
            </w:r>
          </w:p>
        </w:tc>
        <w:tc>
          <w:tcPr>
            <w:tcW w:w="6740"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 w:val="20"/>
                <w:szCs w:val="2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780"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 w:val="20"/>
                <w:szCs w:val="20"/>
              </w:rPr>
            </w:pPr>
            <w:r>
              <w:rPr>
                <w:rFonts w:hint="eastAsia" w:ascii="宋体" w:hAnsi="宋体"/>
                <w:sz w:val="20"/>
                <w:szCs w:val="20"/>
              </w:rPr>
              <w:t>备注</w:t>
            </w:r>
          </w:p>
        </w:tc>
        <w:tc>
          <w:tcPr>
            <w:tcW w:w="6740"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 w:val="20"/>
                <w:szCs w:val="20"/>
              </w:rPr>
            </w:pPr>
          </w:p>
        </w:tc>
      </w:tr>
    </w:tbl>
    <w:p>
      <w:pPr>
        <w:pStyle w:val="26"/>
        <w:spacing w:line="360" w:lineRule="auto"/>
        <w:ind w:firstLine="247" w:firstLineChars="103"/>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pStyle w:val="26"/>
        <w:spacing w:line="360" w:lineRule="auto"/>
        <w:ind w:firstLine="247" w:firstLineChars="103"/>
        <w:rPr>
          <w:rFonts w:ascii="宋体" w:hAnsi="宋体"/>
          <w:bCs/>
          <w:sz w:val="24"/>
          <w:szCs w:val="24"/>
        </w:rPr>
      </w:pPr>
      <w:r>
        <w:rPr>
          <w:rFonts w:hint="eastAsia" w:ascii="宋体" w:hAnsi="宋体"/>
          <w:sz w:val="24"/>
          <w:szCs w:val="21"/>
        </w:rPr>
        <w:t>日期：202</w:t>
      </w:r>
      <w:r>
        <w:rPr>
          <w:rFonts w:hint="eastAsia" w:ascii="宋体" w:hAnsi="宋体"/>
          <w:bCs/>
          <w:sz w:val="24"/>
          <w:szCs w:val="21"/>
          <w:u w:val="single"/>
        </w:rPr>
        <w:t>X</w:t>
      </w:r>
      <w:r>
        <w:rPr>
          <w:rFonts w:hint="eastAsia" w:ascii="宋体" w:hAnsi="宋体"/>
          <w:bCs/>
          <w:sz w:val="24"/>
          <w:szCs w:val="21"/>
        </w:rPr>
        <w:t>年</w:t>
      </w:r>
      <w:r>
        <w:rPr>
          <w:rFonts w:hint="eastAsia" w:ascii="宋体" w:hAnsi="宋体"/>
          <w:bCs/>
          <w:sz w:val="24"/>
          <w:szCs w:val="21"/>
          <w:u w:val="single"/>
        </w:rPr>
        <w:t>XX</w:t>
      </w:r>
      <w:r>
        <w:rPr>
          <w:rFonts w:hint="eastAsia" w:ascii="宋体" w:hAnsi="宋体"/>
          <w:bCs/>
          <w:sz w:val="24"/>
          <w:szCs w:val="21"/>
        </w:rPr>
        <w:t>月</w:t>
      </w:r>
      <w:r>
        <w:rPr>
          <w:rFonts w:hint="eastAsia" w:ascii="宋体" w:hAnsi="宋体"/>
          <w:bCs/>
          <w:sz w:val="24"/>
          <w:szCs w:val="21"/>
          <w:u w:val="single"/>
        </w:rPr>
        <w:t>XX</w:t>
      </w:r>
      <w:r>
        <w:rPr>
          <w:rFonts w:hint="eastAsia" w:ascii="宋体" w:hAnsi="宋体"/>
          <w:bCs/>
          <w:sz w:val="24"/>
          <w:szCs w:val="21"/>
        </w:rPr>
        <w:t>日</w:t>
      </w:r>
    </w:p>
    <w:p>
      <w:r>
        <w:br w:type="page"/>
      </w:r>
    </w:p>
    <w:p>
      <w:pPr>
        <w:pStyle w:val="3"/>
      </w:pPr>
    </w:p>
    <w:p>
      <w:pPr>
        <w:pStyle w:val="6"/>
        <w:tabs>
          <w:tab w:val="left" w:pos="709"/>
        </w:tabs>
        <w:ind w:left="709" w:hanging="709"/>
        <w:rPr>
          <w:bCs w:val="0"/>
          <w:color w:val="000000" w:themeColor="text1"/>
          <w:sz w:val="24"/>
          <w:szCs w:val="24"/>
          <w14:textFill>
            <w14:solidFill>
              <w14:schemeClr w14:val="tx1"/>
            </w14:solidFill>
          </w14:textFill>
        </w:rPr>
      </w:pPr>
      <w:r>
        <w:rPr>
          <w:rFonts w:hint="eastAsia"/>
          <w:bCs w:val="0"/>
          <w:color w:val="000000" w:themeColor="text1"/>
          <w:sz w:val="24"/>
          <w:szCs w:val="24"/>
          <w14:textFill>
            <w14:solidFill>
              <w14:schemeClr w14:val="tx1"/>
            </w14:solidFill>
          </w14:textFill>
        </w:rPr>
        <w:t>其他表格（如涉及）</w:t>
      </w:r>
    </w:p>
    <w:p>
      <w:pPr>
        <w:spacing w:line="360" w:lineRule="auto"/>
        <w:rPr>
          <w:rFonts w:ascii="宋体" w:hAnsi="宋体"/>
          <w:b/>
          <w:sz w:val="24"/>
          <w:szCs w:val="24"/>
          <w:u w:val="single"/>
        </w:rPr>
      </w:pPr>
      <w:r>
        <w:rPr>
          <w:rFonts w:hint="eastAsia" w:ascii="宋体" w:hAnsi="宋体"/>
          <w:b/>
          <w:sz w:val="24"/>
          <w:szCs w:val="24"/>
        </w:rPr>
        <w:t>项</w:t>
      </w:r>
      <w:r>
        <w:rPr>
          <w:rFonts w:hint="eastAsia" w:ascii="宋体" w:hAnsi="宋体"/>
          <w:b/>
          <w:spacing w:val="-20"/>
          <w:sz w:val="24"/>
          <w:szCs w:val="24"/>
        </w:rPr>
        <w:t>目名称：</w:t>
      </w:r>
      <w:r>
        <w:rPr>
          <w:rFonts w:hint="eastAsia" w:ascii="宋体" w:hAnsi="宋体"/>
          <w:b/>
          <w:sz w:val="24"/>
          <w:szCs w:val="24"/>
          <w:u w:val="single"/>
        </w:rPr>
        <w:t>XX</w:t>
      </w:r>
    </w:p>
    <w:p>
      <w:pPr>
        <w:spacing w:line="360" w:lineRule="auto"/>
        <w:rPr>
          <w:rFonts w:ascii="宋体" w:hAnsi="宋体"/>
          <w:b/>
          <w:sz w:val="24"/>
          <w:szCs w:val="24"/>
          <w:u w:val="single"/>
        </w:rPr>
      </w:pPr>
      <w:r>
        <w:rPr>
          <w:rFonts w:hint="eastAsia" w:ascii="宋体" w:hAnsi="宋体"/>
          <w:b/>
          <w:sz w:val="24"/>
          <w:szCs w:val="24"/>
        </w:rPr>
        <w:t>项目编号：武侯政采（202</w:t>
      </w:r>
      <w:r>
        <w:rPr>
          <w:rFonts w:hint="eastAsia" w:ascii="宋体" w:hAnsi="宋体"/>
          <w:b/>
          <w:sz w:val="24"/>
          <w:szCs w:val="24"/>
          <w:lang w:val="en-US" w:eastAsia="zh-CN"/>
        </w:rPr>
        <w:t>x</w:t>
      </w:r>
      <w:r>
        <w:rPr>
          <w:rFonts w:hint="eastAsia" w:ascii="宋体" w:hAnsi="宋体"/>
          <w:b/>
          <w:sz w:val="24"/>
          <w:szCs w:val="24"/>
        </w:rPr>
        <w:t>）A</w:t>
      </w:r>
      <w:r>
        <w:rPr>
          <w:rFonts w:hint="eastAsia" w:ascii="宋体" w:hAnsi="宋体"/>
          <w:b/>
          <w:sz w:val="24"/>
          <w:szCs w:val="24"/>
          <w:lang w:val="en-US" w:eastAsia="zh-CN"/>
        </w:rPr>
        <w:t>xxxx</w:t>
      </w:r>
    </w:p>
    <w:tbl>
      <w:tblPr>
        <w:tblStyle w:val="41"/>
        <w:tblW w:w="9449" w:type="dxa"/>
        <w:tblInd w:w="-574" w:type="dxa"/>
        <w:tblLayout w:type="fixed"/>
        <w:tblCellMar>
          <w:top w:w="0" w:type="dxa"/>
          <w:left w:w="108" w:type="dxa"/>
          <w:bottom w:w="0" w:type="dxa"/>
          <w:right w:w="108" w:type="dxa"/>
        </w:tblCellMar>
      </w:tblPr>
      <w:tblGrid>
        <w:gridCol w:w="841"/>
        <w:gridCol w:w="841"/>
        <w:gridCol w:w="1392"/>
        <w:gridCol w:w="1160"/>
        <w:gridCol w:w="1417"/>
        <w:gridCol w:w="1276"/>
        <w:gridCol w:w="1559"/>
        <w:gridCol w:w="963"/>
      </w:tblGrid>
      <w:tr>
        <w:tblPrEx>
          <w:tblCellMar>
            <w:top w:w="0" w:type="dxa"/>
            <w:left w:w="108" w:type="dxa"/>
            <w:bottom w:w="0" w:type="dxa"/>
            <w:right w:w="108" w:type="dxa"/>
          </w:tblCellMar>
        </w:tblPrEx>
        <w:trPr>
          <w:trHeight w:val="1140" w:hRule="atLeast"/>
        </w:trPr>
        <w:tc>
          <w:tcPr>
            <w:tcW w:w="841" w:type="dxa"/>
            <w:tcBorders>
              <w:top w:val="single" w:color="auto" w:sz="8" w:space="0"/>
              <w:left w:val="single" w:color="auto" w:sz="8" w:space="0"/>
              <w:bottom w:val="single" w:color="auto" w:sz="8" w:space="0"/>
              <w:right w:val="single" w:color="auto" w:sz="8" w:space="0"/>
            </w:tcBorders>
          </w:tcPr>
          <w:p>
            <w:pPr>
              <w:spacing w:line="400" w:lineRule="exact"/>
              <w:jc w:val="center"/>
              <w:rPr>
                <w:rFonts w:ascii="宋体" w:hAnsi="宋体"/>
                <w:b/>
                <w:sz w:val="20"/>
                <w:szCs w:val="21"/>
              </w:rPr>
            </w:pPr>
          </w:p>
          <w:p>
            <w:pPr>
              <w:spacing w:line="400" w:lineRule="exact"/>
              <w:jc w:val="center"/>
              <w:rPr>
                <w:rFonts w:ascii="宋体" w:hAnsi="宋体"/>
                <w:b/>
                <w:sz w:val="20"/>
                <w:szCs w:val="21"/>
              </w:rPr>
            </w:pPr>
            <w:r>
              <w:rPr>
                <w:rFonts w:hint="eastAsia" w:ascii="宋体" w:hAnsi="宋体"/>
                <w:b/>
                <w:sz w:val="20"/>
                <w:szCs w:val="21"/>
              </w:rPr>
              <w:t>序号</w:t>
            </w:r>
          </w:p>
        </w:tc>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392"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160"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417"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276"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1559"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c>
          <w:tcPr>
            <w:tcW w:w="963" w:type="dxa"/>
            <w:tcBorders>
              <w:top w:val="single" w:color="auto" w:sz="8" w:space="0"/>
              <w:left w:val="nil"/>
              <w:bottom w:val="single" w:color="auto" w:sz="8" w:space="0"/>
              <w:right w:val="single" w:color="auto" w:sz="8" w:space="0"/>
            </w:tcBorders>
            <w:shd w:val="clear" w:color="auto" w:fill="auto"/>
            <w:vAlign w:val="center"/>
          </w:tcPr>
          <w:p>
            <w:pPr>
              <w:spacing w:line="400" w:lineRule="exact"/>
              <w:jc w:val="center"/>
              <w:rPr>
                <w:rFonts w:ascii="宋体" w:hAnsi="宋体"/>
                <w:b/>
                <w:sz w:val="20"/>
                <w:szCs w:val="21"/>
              </w:rPr>
            </w:pP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trHeight w:val="698" w:hRule="atLeast"/>
        </w:trPr>
        <w:tc>
          <w:tcPr>
            <w:tcW w:w="841" w:type="dxa"/>
            <w:tcBorders>
              <w:top w:val="nil"/>
              <w:left w:val="single" w:color="auto" w:sz="8" w:space="0"/>
              <w:bottom w:val="single" w:color="auto" w:sz="8" w:space="0"/>
              <w:right w:val="single" w:color="auto" w:sz="8" w:space="0"/>
            </w:tcBorders>
          </w:tcPr>
          <w:p>
            <w:pPr>
              <w:rPr>
                <w:rFonts w:ascii="宋体" w:hAnsi="宋体" w:cs="宋体"/>
                <w:sz w:val="24"/>
                <w:szCs w:val="24"/>
              </w:rPr>
            </w:pPr>
          </w:p>
        </w:tc>
        <w:tc>
          <w:tcPr>
            <w:tcW w:w="841"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392"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p>
        </w:tc>
        <w:tc>
          <w:tcPr>
            <w:tcW w:w="1160"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417"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1559"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c>
          <w:tcPr>
            <w:tcW w:w="963" w:type="dxa"/>
            <w:tcBorders>
              <w:top w:val="nil"/>
              <w:left w:val="nil"/>
              <w:bottom w:val="single" w:color="auto" w:sz="8" w:space="0"/>
              <w:right w:val="single" w:color="auto" w:sz="8" w:space="0"/>
            </w:tcBorders>
            <w:shd w:val="clear" w:color="auto" w:fill="auto"/>
            <w:vAlign w:val="center"/>
          </w:tcPr>
          <w:p>
            <w:pPr>
              <w:rPr>
                <w:rFonts w:ascii="宋体" w:hAnsi="宋体" w:cs="宋体"/>
                <w:sz w:val="24"/>
                <w:szCs w:val="24"/>
              </w:rPr>
            </w:pPr>
            <w:r>
              <w:rPr>
                <w:rFonts w:hint="eastAsia" w:ascii="宋体" w:hAnsi="宋体" w:cs="宋体"/>
                <w:sz w:val="24"/>
                <w:szCs w:val="24"/>
              </w:rPr>
              <w:t>　</w:t>
            </w:r>
          </w:p>
        </w:tc>
      </w:tr>
    </w:tbl>
    <w:p>
      <w:pPr>
        <w:spacing w:line="360" w:lineRule="auto"/>
        <w:rPr>
          <w:sz w:val="20"/>
          <w:szCs w:val="21"/>
        </w:rPr>
      </w:pPr>
    </w:p>
    <w:p>
      <w:pPr>
        <w:spacing w:line="360" w:lineRule="auto"/>
        <w:rPr>
          <w:sz w:val="20"/>
          <w:szCs w:val="21"/>
        </w:rPr>
      </w:pPr>
    </w:p>
    <w:p>
      <w:pPr>
        <w:pStyle w:val="26"/>
        <w:spacing w:line="360" w:lineRule="auto"/>
        <w:rPr>
          <w:rFonts w:ascii="宋体" w:hAnsi="宋体"/>
          <w:bCs/>
          <w:sz w:val="24"/>
          <w:szCs w:val="24"/>
        </w:rPr>
      </w:pPr>
      <w:r>
        <w:rPr>
          <w:rFonts w:hint="eastAsia" w:ascii="宋体" w:hAnsi="宋体"/>
          <w:bCs/>
          <w:sz w:val="24"/>
          <w:szCs w:val="24"/>
        </w:rPr>
        <w:t>供应商名称：</w:t>
      </w:r>
      <w:r>
        <w:rPr>
          <w:rFonts w:hint="eastAsia" w:ascii="宋体" w:hAnsi="宋体"/>
          <w:bCs/>
          <w:sz w:val="24"/>
          <w:szCs w:val="24"/>
          <w:u w:val="single"/>
        </w:rPr>
        <w:t xml:space="preserve"> XXXXXX</w:t>
      </w:r>
    </w:p>
    <w:p>
      <w:pPr>
        <w:adjustRightInd w:val="0"/>
        <w:spacing w:line="400" w:lineRule="exact"/>
        <w:ind w:firstLine="240" w:firstLineChars="100"/>
        <w:rPr>
          <w:rFonts w:ascii="宋体" w:hAnsi="宋体"/>
          <w:bCs/>
          <w:sz w:val="24"/>
          <w:szCs w:val="24"/>
        </w:rPr>
      </w:pPr>
      <w:r>
        <w:rPr>
          <w:rFonts w:ascii="宋体" w:hAnsi="宋体"/>
          <w:sz w:val="24"/>
          <w:szCs w:val="21"/>
        </w:rPr>
        <w:t>日期：</w:t>
      </w:r>
      <w:r>
        <w:rPr>
          <w:rFonts w:hint="eastAsia" w:ascii="宋体" w:hAnsi="宋体"/>
          <w:sz w:val="24"/>
          <w:szCs w:val="21"/>
        </w:rPr>
        <w:t>202</w:t>
      </w:r>
      <w:r>
        <w:rPr>
          <w:rFonts w:ascii="宋体" w:hAnsi="宋体"/>
          <w:bCs/>
          <w:sz w:val="24"/>
          <w:szCs w:val="21"/>
          <w:u w:val="single"/>
        </w:rPr>
        <w:t>X</w:t>
      </w:r>
      <w:r>
        <w:rPr>
          <w:rFonts w:hint="eastAsia" w:ascii="宋体" w:hAnsi="宋体"/>
          <w:bCs/>
          <w:sz w:val="24"/>
          <w:szCs w:val="21"/>
        </w:rPr>
        <w:t>年XX月XX日</w:t>
      </w:r>
    </w:p>
    <w:p>
      <w:pPr>
        <w:spacing w:line="360" w:lineRule="auto"/>
        <w:rPr>
          <w:sz w:val="20"/>
          <w:szCs w:val="21"/>
        </w:rPr>
      </w:pPr>
    </w:p>
    <w:p>
      <w:pPr>
        <w:spacing w:line="360" w:lineRule="auto"/>
        <w:rPr>
          <w:sz w:val="20"/>
          <w:szCs w:val="21"/>
          <w:lang w:val="zh-CN"/>
        </w:rPr>
      </w:pPr>
      <w:r>
        <w:rPr>
          <w:rFonts w:hint="eastAsia" w:ascii="宋体" w:hAnsi="宋体"/>
          <w:b/>
          <w:sz w:val="24"/>
          <w:szCs w:val="24"/>
          <w:lang w:val="zh-CN"/>
        </w:rPr>
        <w:t>说明</w:t>
      </w:r>
      <w:r>
        <w:rPr>
          <w:rFonts w:ascii="宋体" w:hAnsi="宋体"/>
          <w:b/>
          <w:sz w:val="24"/>
          <w:szCs w:val="24"/>
          <w:lang w:val="zh-CN"/>
        </w:rPr>
        <w:t>：</w:t>
      </w:r>
    </w:p>
    <w:p>
      <w:pPr>
        <w:pStyle w:val="199"/>
        <w:ind w:firstLine="0"/>
        <w:rPr>
          <w:sz w:val="22"/>
          <w:szCs w:val="22"/>
        </w:rPr>
      </w:pPr>
      <w:r>
        <w:rPr>
          <w:b/>
          <w:sz w:val="24"/>
          <w:szCs w:val="22"/>
        </w:rPr>
        <w:t>1</w:t>
      </w:r>
      <w:r>
        <w:rPr>
          <w:rFonts w:hint="eastAsia"/>
          <w:b/>
          <w:sz w:val="24"/>
          <w:szCs w:val="22"/>
        </w:rPr>
        <w:t>、以上表格格式行数可自行增减。</w:t>
      </w:r>
    </w:p>
    <w:p>
      <w:pPr>
        <w:pStyle w:val="199"/>
        <w:ind w:firstLine="0"/>
        <w:rPr>
          <w:rFonts w:ascii="宋体" w:hAnsi="宋体"/>
          <w:b/>
          <w:sz w:val="24"/>
          <w:szCs w:val="22"/>
        </w:rPr>
      </w:pPr>
      <w:r>
        <w:rPr>
          <w:b/>
          <w:sz w:val="24"/>
          <w:szCs w:val="22"/>
        </w:rPr>
        <w:t>2</w:t>
      </w:r>
      <w:r>
        <w:rPr>
          <w:rFonts w:hint="eastAsia"/>
          <w:b/>
          <w:sz w:val="24"/>
          <w:szCs w:val="22"/>
        </w:rPr>
        <w:t>、未提供服务团队人员业绩一览表的，不予</w:t>
      </w:r>
      <w:r>
        <w:rPr>
          <w:b/>
          <w:sz w:val="24"/>
          <w:szCs w:val="22"/>
        </w:rPr>
        <w:t>加分</w:t>
      </w:r>
      <w:r>
        <w:rPr>
          <w:rFonts w:hint="eastAsia"/>
          <w:b/>
          <w:sz w:val="24"/>
          <w:szCs w:val="22"/>
        </w:rPr>
        <w:t>，但不影响供应商响应文件的有效性。</w:t>
      </w:r>
    </w:p>
    <w:p>
      <w:pPr>
        <w:pStyle w:val="4"/>
        <w:widowControl/>
        <w:numPr>
          <w:ilvl w:val="0"/>
          <w:numId w:val="5"/>
        </w:numPr>
        <w:spacing w:line="360" w:lineRule="auto"/>
        <w:ind w:left="0" w:firstLine="0"/>
        <w:rPr>
          <w:color w:val="FF0000"/>
          <w:sz w:val="28"/>
          <w:szCs w:val="28"/>
        </w:rPr>
        <w:sectPr>
          <w:footerReference r:id="rId4" w:type="default"/>
          <w:pgSz w:w="11906" w:h="16838"/>
          <w:pgMar w:top="1440" w:right="1800" w:bottom="1440" w:left="1800" w:header="851" w:footer="992" w:gutter="0"/>
          <w:cols w:space="425" w:num="1"/>
          <w:docGrid w:type="lines" w:linePitch="312" w:charSpace="0"/>
        </w:sectPr>
      </w:pPr>
      <w:bookmarkStart w:id="84" w:name="_Toc58943339"/>
    </w:p>
    <w:p>
      <w:pPr>
        <w:pStyle w:val="4"/>
        <w:widowControl/>
        <w:numPr>
          <w:ilvl w:val="0"/>
          <w:numId w:val="5"/>
        </w:numPr>
        <w:spacing w:line="360" w:lineRule="auto"/>
        <w:ind w:left="0" w:firstLine="0"/>
        <w:rPr>
          <w:color w:val="000000" w:themeColor="text1"/>
          <w:sz w:val="28"/>
          <w:szCs w:val="28"/>
          <w14:textFill>
            <w14:solidFill>
              <w14:schemeClr w14:val="tx1"/>
            </w14:solidFill>
          </w14:textFill>
        </w:rPr>
      </w:pPr>
      <w:bookmarkStart w:id="85" w:name="_Toc79742133"/>
      <w:r>
        <w:rPr>
          <w:rFonts w:hint="eastAsia"/>
          <w:color w:val="000000" w:themeColor="text1"/>
          <w:sz w:val="28"/>
          <w:szCs w:val="28"/>
          <w14:textFill>
            <w14:solidFill>
              <w14:schemeClr w14:val="tx1"/>
            </w14:solidFill>
          </w14:textFill>
        </w:rPr>
        <w:t>技术、商务、服务及其他要求</w:t>
      </w:r>
      <w:bookmarkEnd w:id="84"/>
      <w:bookmarkEnd w:id="85"/>
    </w:p>
    <w:p>
      <w:pPr>
        <w:bidi w:val="0"/>
        <w:rPr>
          <w:b/>
          <w:bCs/>
        </w:rPr>
      </w:pPr>
      <w:r>
        <w:rPr>
          <w:rFonts w:hint="eastAsia"/>
          <w:b/>
          <w:bCs/>
          <w:lang w:eastAsia="zh-CN"/>
        </w:rPr>
        <w:t>供应商</w:t>
      </w:r>
      <w:r>
        <w:rPr>
          <w:rFonts w:hint="eastAsia"/>
          <w:b/>
          <w:bCs/>
        </w:rPr>
        <w:t>资格、资质性及其他类似效力要求</w:t>
      </w:r>
    </w:p>
    <w:p>
      <w:pPr>
        <w:pStyle w:val="150"/>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pPr>
        <w:pStyle w:val="150"/>
        <w:spacing w:line="420" w:lineRule="exact"/>
        <w:ind w:firstLine="480"/>
        <w:rPr>
          <w:rFonts w:ascii="仿宋" w:hAnsi="仿宋" w:eastAsia="仿宋"/>
          <w:sz w:val="24"/>
        </w:rPr>
      </w:pPr>
      <w:r>
        <w:rPr>
          <w:rFonts w:hint="eastAsia" w:ascii="仿宋" w:hAnsi="仿宋" w:eastAsia="仿宋"/>
          <w:sz w:val="24"/>
        </w:rPr>
        <w:t>1、</w:t>
      </w:r>
      <w:r>
        <w:rPr>
          <w:rFonts w:hint="eastAsia" w:ascii="仿宋" w:hAnsi="仿宋" w:eastAsia="仿宋" w:cs="宋体"/>
          <w:sz w:val="24"/>
        </w:rPr>
        <w:t>满足《中华人民共和国政府采购法》第二十二条规定</w:t>
      </w:r>
      <w:r>
        <w:rPr>
          <w:rFonts w:ascii="仿宋" w:hAnsi="仿宋" w:eastAsia="仿宋" w:cs="宋体"/>
          <w:sz w:val="24"/>
        </w:rPr>
        <w:t>；</w:t>
      </w:r>
    </w:p>
    <w:p>
      <w:pPr>
        <w:pStyle w:val="17"/>
        <w:ind w:left="0" w:leftChars="0" w:firstLine="499" w:firstLineChars="208"/>
        <w:rPr>
          <w:rFonts w:hint="eastAsia" w:eastAsia="宋体"/>
          <w:lang w:eastAsia="zh-CN"/>
        </w:rPr>
      </w:pPr>
      <w:r>
        <w:rPr>
          <w:rFonts w:hint="eastAsia" w:ascii="仿宋" w:hAnsi="仿宋" w:eastAsia="仿宋"/>
          <w:sz w:val="24"/>
        </w:rPr>
        <w:t>2、</w:t>
      </w:r>
      <w:r>
        <w:rPr>
          <w:rFonts w:hint="eastAsia" w:ascii="仿宋" w:hAnsi="仿宋" w:eastAsia="仿宋" w:cs="宋体"/>
          <w:sz w:val="24"/>
        </w:rPr>
        <w:t>落实政府采购政策需满足的资格要求：</w:t>
      </w:r>
      <w:r>
        <w:rPr>
          <w:rFonts w:hint="eastAsia"/>
          <w:lang w:eastAsia="zh-CN"/>
        </w:rPr>
        <w:t>本项目专门面向中小企业采购</w:t>
      </w:r>
    </w:p>
    <w:p>
      <w:pPr>
        <w:tabs>
          <w:tab w:val="left" w:pos="7665"/>
        </w:tabs>
        <w:spacing w:line="400" w:lineRule="exact"/>
        <w:ind w:firstLine="480" w:firstLineChars="200"/>
        <w:rPr>
          <w:rFonts w:ascii="仿宋" w:hAnsi="仿宋" w:eastAsia="仿宋" w:cs="宋体"/>
          <w:sz w:val="24"/>
        </w:rPr>
      </w:pPr>
      <w:r>
        <w:rPr>
          <w:rFonts w:ascii="仿宋" w:hAnsi="仿宋" w:eastAsia="仿宋"/>
          <w:sz w:val="24"/>
        </w:rPr>
        <w:t>3</w:t>
      </w:r>
      <w:r>
        <w:rPr>
          <w:rFonts w:hint="eastAsia" w:ascii="仿宋" w:hAnsi="仿宋" w:eastAsia="仿宋"/>
          <w:sz w:val="24"/>
        </w:rPr>
        <w:t>、</w:t>
      </w:r>
      <w:r>
        <w:rPr>
          <w:rFonts w:hint="eastAsia" w:ascii="仿宋" w:hAnsi="仿宋" w:eastAsia="仿宋" w:cs="宋体"/>
          <w:sz w:val="24"/>
        </w:rPr>
        <w:t>本项目的特定资格要求：无。</w:t>
      </w:r>
    </w:p>
    <w:p>
      <w:pPr>
        <w:pStyle w:val="150"/>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pPr>
        <w:pStyle w:val="150"/>
        <w:spacing w:line="420" w:lineRule="exact"/>
        <w:ind w:firstLine="0" w:firstLineChars="0"/>
        <w:rPr>
          <w:rFonts w:hint="eastAsia" w:ascii="仿宋" w:hAnsi="仿宋" w:eastAsia="仿宋"/>
          <w:b/>
          <w:sz w:val="24"/>
          <w:lang w:eastAsia="zh-CN"/>
        </w:rPr>
      </w:pPr>
      <w:r>
        <w:rPr>
          <w:rFonts w:hint="eastAsia" w:ascii="仿宋" w:hAnsi="仿宋" w:eastAsia="仿宋"/>
          <w:b/>
          <w:bCs/>
          <w:sz w:val="24"/>
        </w:rPr>
        <w:t>（三）其他类似效力要求：</w:t>
      </w:r>
      <w:r>
        <w:rPr>
          <w:rFonts w:hint="eastAsia" w:ascii="仿宋" w:hAnsi="仿宋" w:eastAsia="仿宋"/>
          <w:b w:val="0"/>
          <w:bCs w:val="0"/>
          <w:sz w:val="24"/>
          <w:szCs w:val="24"/>
          <w:lang w:eastAsia="zh-CN"/>
        </w:rPr>
        <w:t>无</w:t>
      </w:r>
    </w:p>
    <w:p>
      <w:pPr>
        <w:bidi w:val="0"/>
        <w:rPr>
          <w:rFonts w:ascii="仿宋" w:hAnsi="仿宋" w:eastAsia="仿宋"/>
          <w:sz w:val="24"/>
          <w:szCs w:val="24"/>
        </w:rPr>
      </w:pPr>
      <w:bookmarkStart w:id="86" w:name="_Toc217446094"/>
      <w:r>
        <w:rPr>
          <w:rFonts w:hint="eastAsia" w:ascii="仿宋" w:hAnsi="仿宋" w:eastAsia="仿宋"/>
          <w:b/>
          <w:bCs/>
          <w:sz w:val="24"/>
          <w:szCs w:val="24"/>
        </w:rPr>
        <w:t>前提：本章中标注“★”的条款为本项目的实质性条款，</w:t>
      </w:r>
      <w:r>
        <w:rPr>
          <w:rFonts w:hint="eastAsia" w:ascii="仿宋" w:hAnsi="仿宋" w:eastAsia="仿宋"/>
          <w:b/>
          <w:bCs/>
          <w:sz w:val="24"/>
          <w:szCs w:val="24"/>
          <w:lang w:eastAsia="zh-CN"/>
        </w:rPr>
        <w:t>供应商</w:t>
      </w:r>
      <w:r>
        <w:rPr>
          <w:rFonts w:hint="eastAsia" w:ascii="仿宋" w:hAnsi="仿宋" w:eastAsia="仿宋"/>
          <w:b/>
          <w:bCs/>
          <w:sz w:val="24"/>
          <w:szCs w:val="24"/>
        </w:rPr>
        <w:t>不满足的，将按照无效</w:t>
      </w:r>
      <w:r>
        <w:rPr>
          <w:rFonts w:hint="eastAsia" w:ascii="仿宋" w:hAnsi="仿宋" w:eastAsia="仿宋"/>
          <w:b/>
          <w:bCs/>
          <w:sz w:val="24"/>
          <w:szCs w:val="24"/>
          <w:lang w:eastAsia="zh-CN"/>
        </w:rPr>
        <w:t>响应</w:t>
      </w:r>
      <w:r>
        <w:rPr>
          <w:rFonts w:hint="eastAsia" w:ascii="仿宋" w:hAnsi="仿宋" w:eastAsia="仿宋"/>
          <w:b/>
          <w:bCs/>
          <w:sz w:val="24"/>
          <w:szCs w:val="24"/>
        </w:rPr>
        <w:t>处理</w:t>
      </w:r>
      <w:r>
        <w:rPr>
          <w:rFonts w:hint="eastAsia" w:ascii="仿宋" w:hAnsi="仿宋" w:eastAsia="仿宋"/>
          <w:sz w:val="24"/>
          <w:szCs w:val="24"/>
        </w:rPr>
        <w:t>。</w:t>
      </w:r>
    </w:p>
    <w:p>
      <w:pPr>
        <w:bidi w:val="0"/>
        <w:rPr>
          <w:rFonts w:hint="eastAsia" w:ascii="仿宋" w:hAnsi="仿宋" w:eastAsia="仿宋"/>
          <w:b/>
          <w:bCs/>
          <w:sz w:val="24"/>
          <w:szCs w:val="24"/>
        </w:rPr>
      </w:pPr>
      <w:r>
        <w:rPr>
          <w:rFonts w:hint="eastAsia" w:ascii="仿宋" w:hAnsi="仿宋" w:eastAsia="仿宋"/>
          <w:sz w:val="28"/>
          <w:szCs w:val="28"/>
        </w:rPr>
        <w:t>一、</w:t>
      </w:r>
      <w:r>
        <w:rPr>
          <w:rFonts w:hint="eastAsia"/>
          <w:b/>
          <w:bCs/>
          <w:sz w:val="28"/>
          <w:szCs w:val="32"/>
        </w:rPr>
        <w:t>项目概述</w:t>
      </w:r>
      <w:bookmarkEnd w:id="86"/>
    </w:p>
    <w:p>
      <w:pPr>
        <w:pStyle w:val="14"/>
        <w:spacing w:line="400" w:lineRule="exact"/>
        <w:ind w:firstLine="0" w:firstLineChars="0"/>
        <w:rPr>
          <w:rFonts w:ascii="仿宋" w:hAnsi="仿宋" w:eastAsia="仿宋"/>
          <w:bCs/>
          <w:sz w:val="24"/>
        </w:rPr>
      </w:pPr>
      <w:r>
        <w:rPr>
          <w:rFonts w:hint="eastAsia" w:ascii="仿宋" w:hAnsi="仿宋" w:eastAsia="仿宋"/>
          <w:bCs/>
          <w:sz w:val="24"/>
        </w:rPr>
        <w:t>【一】项目</w:t>
      </w:r>
      <w:r>
        <w:rPr>
          <w:rFonts w:ascii="仿宋" w:hAnsi="仿宋" w:eastAsia="仿宋"/>
          <w:bCs/>
          <w:sz w:val="24"/>
        </w:rPr>
        <w:t>概况</w:t>
      </w:r>
      <w:r>
        <w:rPr>
          <w:rFonts w:hint="eastAsia" w:ascii="仿宋" w:hAnsi="仿宋" w:eastAsia="仿宋"/>
          <w:bCs/>
          <w:sz w:val="24"/>
        </w:rPr>
        <w:t>：</w:t>
      </w:r>
    </w:p>
    <w:p>
      <w:pPr>
        <w:pStyle w:val="14"/>
        <w:spacing w:line="400" w:lineRule="exact"/>
        <w:ind w:firstLine="480"/>
        <w:rPr>
          <w:rFonts w:ascii="仿宋" w:hAnsi="仿宋" w:eastAsia="仿宋"/>
          <w:bCs/>
          <w:color w:val="FF0000"/>
          <w:sz w:val="24"/>
        </w:rPr>
      </w:pPr>
      <w:r>
        <w:rPr>
          <w:rFonts w:hint="eastAsia" w:ascii="仿宋" w:hAnsi="仿宋" w:eastAsia="仿宋"/>
          <w:bCs/>
          <w:sz w:val="24"/>
        </w:rPr>
        <w:t>为落实 《成都市儿童青少年近视综合防控工作行动方案》，根据《成都市教育局等三部门关于印发成都市中小学（幼儿园）光环境提升工程实施方案的通知》要求，做好学校光环境提升工程相关工作，现拟对校园灯光设备进行改造。包含各类教室21间，各类功能室（含阅览室）13间。</w:t>
      </w:r>
    </w:p>
    <w:p>
      <w:pPr>
        <w:pStyle w:val="14"/>
        <w:spacing w:line="400" w:lineRule="exact"/>
        <w:ind w:firstLine="199" w:firstLineChars="83"/>
        <w:rPr>
          <w:rFonts w:ascii="仿宋" w:hAnsi="仿宋" w:eastAsia="仿宋"/>
          <w:bCs/>
          <w:sz w:val="24"/>
        </w:rPr>
      </w:pPr>
      <w:r>
        <w:rPr>
          <w:rFonts w:hint="eastAsia" w:ascii="仿宋" w:hAnsi="仿宋" w:eastAsia="仿宋"/>
          <w:bCs/>
          <w:sz w:val="24"/>
        </w:rPr>
        <w:t>【二】采购清单</w:t>
      </w:r>
    </w:p>
    <w:tbl>
      <w:tblPr>
        <w:tblStyle w:val="4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417"/>
        <w:gridCol w:w="241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序号</w:t>
            </w:r>
          </w:p>
        </w:tc>
        <w:tc>
          <w:tcPr>
            <w:tcW w:w="1843"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标的名称</w:t>
            </w:r>
          </w:p>
        </w:tc>
        <w:tc>
          <w:tcPr>
            <w:tcW w:w="1417"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highlight w:val="yellow"/>
                <w:lang w:val="en-US" w:eastAsia="zh-CN"/>
              </w:rPr>
              <w:t>预估</w:t>
            </w:r>
            <w:r>
              <w:rPr>
                <w:rFonts w:hint="eastAsia" w:ascii="仿宋" w:hAnsi="仿宋" w:eastAsia="仿宋" w:cs="宋体"/>
                <w:sz w:val="24"/>
                <w:highlight w:val="yellow"/>
              </w:rPr>
              <w:t>数量</w:t>
            </w:r>
            <w:r>
              <w:rPr>
                <w:rFonts w:hint="eastAsia" w:ascii="仿宋" w:hAnsi="仿宋" w:eastAsia="仿宋" w:cs="宋体"/>
                <w:sz w:val="24"/>
              </w:rPr>
              <w:t>（套）</w:t>
            </w:r>
          </w:p>
        </w:tc>
        <w:tc>
          <w:tcPr>
            <w:tcW w:w="2410"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单价最高限价（元）</w:t>
            </w:r>
          </w:p>
        </w:tc>
        <w:tc>
          <w:tcPr>
            <w:tcW w:w="1780" w:type="dxa"/>
            <w:vAlign w:val="center"/>
          </w:tcPr>
          <w:p>
            <w:pPr>
              <w:pStyle w:val="2"/>
              <w:jc w:val="center"/>
              <w:rPr>
                <w:rFonts w:ascii="仿宋" w:hAnsi="仿宋" w:eastAsia="仿宋" w:cs="宋体"/>
                <w:sz w:val="24"/>
              </w:rPr>
            </w:pPr>
            <w:r>
              <w:rPr>
                <w:rFonts w:hint="eastAsia" w:ascii="仿宋" w:hAnsi="仿宋" w:eastAsia="仿宋" w:cs="宋体"/>
                <w:sz w:val="24"/>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1</w:t>
            </w:r>
          </w:p>
        </w:tc>
        <w:tc>
          <w:tcPr>
            <w:tcW w:w="1843"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LED教室灯</w:t>
            </w:r>
          </w:p>
        </w:tc>
        <w:tc>
          <w:tcPr>
            <w:tcW w:w="1417" w:type="dxa"/>
            <w:shd w:val="clear" w:color="auto" w:fill="auto"/>
            <w:vAlign w:val="center"/>
          </w:tcPr>
          <w:p>
            <w:pPr>
              <w:pStyle w:val="2"/>
              <w:jc w:val="center"/>
              <w:rPr>
                <w:rFonts w:ascii="仿宋" w:hAnsi="仿宋" w:eastAsia="仿宋" w:cs="宋体"/>
                <w:sz w:val="24"/>
                <w:highlight w:val="yellow"/>
              </w:rPr>
            </w:pPr>
            <w:r>
              <w:rPr>
                <w:rFonts w:ascii="仿宋" w:hAnsi="仿宋" w:eastAsia="仿宋" w:cs="宋体"/>
                <w:sz w:val="24"/>
                <w:highlight w:val="yellow"/>
              </w:rPr>
              <w:t>342</w:t>
            </w:r>
          </w:p>
        </w:tc>
        <w:tc>
          <w:tcPr>
            <w:tcW w:w="2410"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1200</w:t>
            </w:r>
          </w:p>
        </w:tc>
        <w:tc>
          <w:tcPr>
            <w:tcW w:w="1780" w:type="dxa"/>
            <w:vAlign w:val="center"/>
          </w:tcPr>
          <w:p>
            <w:pPr>
              <w:pStyle w:val="2"/>
              <w:jc w:val="center"/>
              <w:rPr>
                <w:rFonts w:ascii="仿宋" w:hAnsi="仿宋" w:eastAsia="仿宋" w:cs="宋体"/>
                <w:sz w:val="24"/>
              </w:rPr>
            </w:pPr>
            <w:r>
              <w:rPr>
                <w:rFonts w:hint="eastAsia" w:ascii="仿宋" w:hAnsi="仿宋" w:eastAsia="仿宋" w:cs="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2</w:t>
            </w:r>
          </w:p>
        </w:tc>
        <w:tc>
          <w:tcPr>
            <w:tcW w:w="1843"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LED黑板灯</w:t>
            </w:r>
          </w:p>
        </w:tc>
        <w:tc>
          <w:tcPr>
            <w:tcW w:w="1417" w:type="dxa"/>
            <w:shd w:val="clear" w:color="auto" w:fill="auto"/>
            <w:vAlign w:val="center"/>
          </w:tcPr>
          <w:p>
            <w:pPr>
              <w:pStyle w:val="2"/>
              <w:jc w:val="center"/>
              <w:rPr>
                <w:rFonts w:ascii="仿宋" w:hAnsi="仿宋" w:eastAsia="仿宋" w:cs="宋体"/>
                <w:sz w:val="24"/>
                <w:highlight w:val="yellow"/>
              </w:rPr>
            </w:pPr>
            <w:r>
              <w:rPr>
                <w:rFonts w:ascii="仿宋" w:hAnsi="仿宋" w:eastAsia="仿宋" w:cs="宋体"/>
                <w:sz w:val="24"/>
                <w:highlight w:val="yellow"/>
              </w:rPr>
              <w:t>102</w:t>
            </w:r>
          </w:p>
        </w:tc>
        <w:tc>
          <w:tcPr>
            <w:tcW w:w="2410"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1000</w:t>
            </w:r>
          </w:p>
        </w:tc>
        <w:tc>
          <w:tcPr>
            <w:tcW w:w="1780" w:type="dxa"/>
          </w:tcPr>
          <w:p>
            <w:pPr>
              <w:pStyle w:val="2"/>
              <w:jc w:val="center"/>
              <w:rPr>
                <w:rFonts w:ascii="仿宋" w:hAnsi="仿宋" w:eastAsia="仿宋" w:cs="宋体"/>
                <w:sz w:val="24"/>
              </w:rPr>
            </w:pPr>
            <w:r>
              <w:rPr>
                <w:rFonts w:hint="eastAsia" w:ascii="仿宋" w:hAnsi="仿宋" w:eastAsia="仿宋" w:cs="宋体"/>
                <w:sz w:val="24"/>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6"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3</w:t>
            </w:r>
          </w:p>
        </w:tc>
        <w:tc>
          <w:tcPr>
            <w:tcW w:w="1843"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LED面板灯</w:t>
            </w:r>
          </w:p>
        </w:tc>
        <w:tc>
          <w:tcPr>
            <w:tcW w:w="1417" w:type="dxa"/>
            <w:shd w:val="clear" w:color="auto" w:fill="auto"/>
            <w:vAlign w:val="center"/>
          </w:tcPr>
          <w:p>
            <w:pPr>
              <w:pStyle w:val="2"/>
              <w:jc w:val="center"/>
              <w:rPr>
                <w:rFonts w:ascii="仿宋" w:hAnsi="仿宋" w:eastAsia="仿宋" w:cs="宋体"/>
                <w:sz w:val="24"/>
                <w:highlight w:val="yellow"/>
              </w:rPr>
            </w:pPr>
            <w:r>
              <w:rPr>
                <w:rFonts w:ascii="仿宋" w:hAnsi="仿宋" w:eastAsia="仿宋" w:cs="宋体"/>
                <w:sz w:val="24"/>
                <w:highlight w:val="yellow"/>
              </w:rPr>
              <w:t>120</w:t>
            </w:r>
          </w:p>
        </w:tc>
        <w:tc>
          <w:tcPr>
            <w:tcW w:w="2410" w:type="dxa"/>
            <w:shd w:val="clear" w:color="auto" w:fill="auto"/>
            <w:vAlign w:val="center"/>
          </w:tcPr>
          <w:p>
            <w:pPr>
              <w:pStyle w:val="2"/>
              <w:jc w:val="center"/>
              <w:rPr>
                <w:rFonts w:ascii="仿宋" w:hAnsi="仿宋" w:eastAsia="仿宋" w:cs="宋体"/>
                <w:sz w:val="24"/>
              </w:rPr>
            </w:pPr>
            <w:r>
              <w:rPr>
                <w:rFonts w:hint="eastAsia" w:ascii="仿宋" w:hAnsi="仿宋" w:eastAsia="仿宋" w:cs="宋体"/>
                <w:sz w:val="24"/>
              </w:rPr>
              <w:t>450</w:t>
            </w:r>
          </w:p>
        </w:tc>
        <w:tc>
          <w:tcPr>
            <w:tcW w:w="1780" w:type="dxa"/>
          </w:tcPr>
          <w:p>
            <w:pPr>
              <w:pStyle w:val="2"/>
              <w:jc w:val="center"/>
              <w:rPr>
                <w:rFonts w:ascii="仿宋" w:hAnsi="仿宋" w:eastAsia="仿宋" w:cs="宋体"/>
                <w:sz w:val="24"/>
              </w:rPr>
            </w:pPr>
            <w:r>
              <w:rPr>
                <w:rFonts w:hint="eastAsia" w:ascii="仿宋" w:hAnsi="仿宋" w:eastAsia="仿宋" w:cs="宋体"/>
                <w:sz w:val="24"/>
              </w:rPr>
              <w:t>工业</w:t>
            </w:r>
          </w:p>
        </w:tc>
      </w:tr>
    </w:tbl>
    <w:p>
      <w:pPr>
        <w:pStyle w:val="14"/>
        <w:spacing w:line="400" w:lineRule="exact"/>
        <w:ind w:firstLineChars="83"/>
        <w:rPr>
          <w:rFonts w:ascii="仿宋" w:hAnsi="仿宋" w:eastAsia="仿宋"/>
          <w:b/>
          <w:sz w:val="24"/>
        </w:rPr>
      </w:pPr>
      <w:r>
        <w:rPr>
          <w:rFonts w:hint="eastAsia" w:ascii="仿宋" w:hAnsi="仿宋" w:eastAsia="仿宋"/>
          <w:b/>
          <w:sz w:val="24"/>
        </w:rPr>
        <w:t>说明：因学校办学需要，功能室和教室数量可能会产生调整变化，因此本项目以固定单价方式签订采购合同，货款按照实际安装灯具的数量及种类进行结算，LED教室灯及LED黑板灯、LED面板灯不限于安装位置，应以保证学校房间的视觉环境符合《成都市中小学健康教室视觉环境规范建设指南》。但不得超过政府采购预算。</w:t>
      </w:r>
    </w:p>
    <w:p>
      <w:pPr>
        <w:pStyle w:val="14"/>
        <w:spacing w:line="400" w:lineRule="exact"/>
        <w:ind w:firstLine="199" w:firstLineChars="83"/>
        <w:rPr>
          <w:rFonts w:ascii="方正小标宋_GBK" w:hAnsi="方正小标宋_GBK" w:eastAsia="仿宋" w:cs="方正小标宋_GBK"/>
        </w:rPr>
      </w:pPr>
      <w:r>
        <w:rPr>
          <w:rFonts w:hint="eastAsia" w:ascii="仿宋" w:hAnsi="仿宋" w:eastAsia="仿宋"/>
          <w:bCs/>
          <w:sz w:val="24"/>
        </w:rPr>
        <w:t>【三】采购要求</w:t>
      </w:r>
    </w:p>
    <w:p>
      <w:pPr>
        <w:spacing w:line="360" w:lineRule="exact"/>
        <w:ind w:firstLine="560"/>
        <w:rPr>
          <w:rFonts w:hint="default" w:ascii="仿宋" w:hAnsi="仿宋" w:eastAsia="仿宋" w:cstheme="minorBidi"/>
          <w:bCs/>
          <w:sz w:val="24"/>
          <w:szCs w:val="24"/>
          <w:highlight w:val="yellow"/>
          <w:lang w:val="en-US" w:eastAsia="zh-CN"/>
        </w:rPr>
      </w:pPr>
      <w:r>
        <w:rPr>
          <w:rFonts w:hint="eastAsia" w:ascii="仿宋" w:hAnsi="仿宋" w:eastAsia="仿宋" w:cstheme="minorBidi"/>
          <w:bCs/>
          <w:sz w:val="24"/>
          <w:szCs w:val="24"/>
          <w:highlight w:val="yellow"/>
        </w:rPr>
        <w:t>预算资金:</w:t>
      </w:r>
      <w:r>
        <w:rPr>
          <w:rFonts w:hint="eastAsia" w:ascii="仿宋" w:hAnsi="仿宋" w:eastAsia="仿宋" w:cstheme="minorBidi"/>
          <w:bCs/>
          <w:sz w:val="24"/>
          <w:szCs w:val="24"/>
          <w:highlight w:val="yellow"/>
          <w:lang w:val="en-US" w:eastAsia="zh-CN"/>
        </w:rPr>
        <w:t>5</w:t>
      </w:r>
      <w:r>
        <w:rPr>
          <w:rFonts w:ascii="仿宋" w:hAnsi="仿宋" w:eastAsia="仿宋" w:cstheme="minorBidi"/>
          <w:bCs/>
          <w:sz w:val="24"/>
          <w:szCs w:val="24"/>
          <w:highlight w:val="yellow"/>
        </w:rPr>
        <w:t>7.8</w:t>
      </w:r>
      <w:r>
        <w:rPr>
          <w:rFonts w:hint="eastAsia" w:ascii="仿宋" w:hAnsi="仿宋" w:eastAsia="仿宋" w:cstheme="minorBidi"/>
          <w:bCs/>
          <w:sz w:val="24"/>
          <w:szCs w:val="24"/>
          <w:highlight w:val="yellow"/>
        </w:rPr>
        <w:t xml:space="preserve">万元 </w:t>
      </w:r>
      <w:r>
        <w:rPr>
          <w:rFonts w:hint="eastAsia" w:ascii="仿宋" w:hAnsi="仿宋" w:eastAsia="仿宋" w:cstheme="minorBidi"/>
          <w:bCs/>
          <w:sz w:val="24"/>
          <w:szCs w:val="24"/>
          <w:highlight w:val="yellow"/>
          <w:lang w:eastAsia="zh-CN"/>
        </w:rPr>
        <w:t>，</w:t>
      </w:r>
      <w:r>
        <w:rPr>
          <w:rFonts w:hint="eastAsia" w:ascii="仿宋" w:hAnsi="仿宋" w:eastAsia="仿宋" w:cstheme="minorBidi"/>
          <w:bCs/>
          <w:sz w:val="24"/>
          <w:szCs w:val="24"/>
          <w:highlight w:val="yellow"/>
          <w:lang w:val="en-US" w:eastAsia="zh-CN"/>
        </w:rPr>
        <w:t>总价最高限价：56.64万元</w:t>
      </w:r>
    </w:p>
    <w:p>
      <w:pPr>
        <w:spacing w:line="360" w:lineRule="exact"/>
        <w:ind w:firstLine="560"/>
        <w:rPr>
          <w:rFonts w:ascii="仿宋" w:hAnsi="仿宋" w:eastAsia="仿宋" w:cstheme="minorBidi"/>
          <w:bCs/>
          <w:sz w:val="24"/>
          <w:szCs w:val="24"/>
          <w:highlight w:val="yellow"/>
        </w:rPr>
      </w:pPr>
      <w:r>
        <w:rPr>
          <w:rFonts w:hint="eastAsia" w:ascii="仿宋" w:hAnsi="仿宋" w:eastAsia="仿宋" w:cstheme="minorBidi"/>
          <w:bCs/>
          <w:sz w:val="24"/>
          <w:szCs w:val="24"/>
          <w:highlight w:val="yellow"/>
        </w:rPr>
        <w:t>1、本项目为固定单价采购项目，结算按照实际安装的灯具套数进行结算；</w:t>
      </w:r>
    </w:p>
    <w:p>
      <w:pPr>
        <w:spacing w:line="360" w:lineRule="exact"/>
        <w:ind w:firstLine="560"/>
        <w:rPr>
          <w:rFonts w:ascii="仿宋" w:hAnsi="仿宋" w:eastAsia="仿宋" w:cstheme="minorBidi"/>
          <w:bCs/>
          <w:sz w:val="24"/>
          <w:szCs w:val="24"/>
          <w:highlight w:val="yellow"/>
        </w:rPr>
      </w:pPr>
      <w:r>
        <w:rPr>
          <w:rFonts w:hint="eastAsia" w:ascii="仿宋" w:hAnsi="仿宋" w:eastAsia="仿宋" w:cstheme="minorBidi"/>
          <w:bCs/>
          <w:sz w:val="24"/>
          <w:szCs w:val="24"/>
          <w:highlight w:val="yellow"/>
        </w:rPr>
        <w:t>2、供应商的报价超过采购文件中单价最高限价</w:t>
      </w:r>
      <w:r>
        <w:rPr>
          <w:rFonts w:hint="eastAsia" w:ascii="仿宋" w:hAnsi="仿宋" w:eastAsia="仿宋" w:cstheme="minorBidi"/>
          <w:bCs/>
          <w:sz w:val="24"/>
          <w:szCs w:val="24"/>
          <w:highlight w:val="yellow"/>
          <w:lang w:val="en-US" w:eastAsia="zh-CN"/>
        </w:rPr>
        <w:t>或总价最高限价</w:t>
      </w:r>
      <w:r>
        <w:rPr>
          <w:rFonts w:hint="eastAsia" w:ascii="仿宋" w:hAnsi="仿宋" w:eastAsia="仿宋" w:cstheme="minorBidi"/>
          <w:bCs/>
          <w:sz w:val="24"/>
          <w:szCs w:val="24"/>
          <w:highlight w:val="yellow"/>
        </w:rPr>
        <w:t>的，其投标文件作为无效投标处理。（单价最高限价*数量即为本次项目预算额度内的总价最高限价）</w:t>
      </w:r>
    </w:p>
    <w:p>
      <w:pPr>
        <w:bidi w:val="0"/>
        <w:rPr>
          <w:rFonts w:hint="eastAsia" w:ascii="仿宋" w:hAnsi="仿宋" w:eastAsia="仿宋"/>
          <w:sz w:val="28"/>
          <w:szCs w:val="28"/>
        </w:rPr>
      </w:pPr>
      <w:r>
        <w:rPr>
          <w:rFonts w:hint="eastAsia" w:ascii="仿宋" w:hAnsi="仿宋" w:eastAsia="仿宋"/>
          <w:sz w:val="28"/>
          <w:szCs w:val="28"/>
          <w:lang w:eastAsia="zh-CN"/>
        </w:rPr>
        <w:t>二、</w:t>
      </w:r>
      <w:r>
        <w:rPr>
          <w:rFonts w:hint="eastAsia" w:ascii="仿宋" w:hAnsi="仿宋" w:eastAsia="仿宋"/>
          <w:sz w:val="28"/>
          <w:szCs w:val="28"/>
        </w:rPr>
        <w:t>技术参数及要求（磋商过程中可实质性变动的事项）</w:t>
      </w:r>
    </w:p>
    <w:tbl>
      <w:tblPr>
        <w:tblStyle w:val="41"/>
        <w:tblW w:w="93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80"/>
        <w:gridCol w:w="7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vAlign w:val="center"/>
          </w:tcPr>
          <w:p>
            <w:pPr>
              <w:contextualSpacing/>
              <w:jc w:val="center"/>
              <w:rPr>
                <w:rFonts w:ascii="仿宋" w:hAnsi="仿宋" w:eastAsia="仿宋"/>
                <w:b/>
                <w:bCs/>
                <w:szCs w:val="21"/>
              </w:rPr>
            </w:pPr>
            <w:r>
              <w:rPr>
                <w:rFonts w:ascii="仿宋" w:hAnsi="仿宋" w:eastAsia="仿宋"/>
                <w:b/>
                <w:bCs/>
                <w:szCs w:val="21"/>
              </w:rPr>
              <w:t>序号</w:t>
            </w:r>
          </w:p>
        </w:tc>
        <w:tc>
          <w:tcPr>
            <w:tcW w:w="1480" w:type="dxa"/>
            <w:shd w:val="clear" w:color="auto" w:fill="auto"/>
            <w:vAlign w:val="center"/>
          </w:tcPr>
          <w:p>
            <w:pPr>
              <w:contextualSpacing/>
              <w:jc w:val="center"/>
              <w:rPr>
                <w:rFonts w:ascii="仿宋" w:hAnsi="仿宋" w:eastAsia="仿宋"/>
                <w:b/>
                <w:bCs/>
                <w:szCs w:val="21"/>
              </w:rPr>
            </w:pPr>
            <w:r>
              <w:rPr>
                <w:rFonts w:ascii="仿宋" w:hAnsi="仿宋" w:eastAsia="仿宋"/>
                <w:b/>
                <w:bCs/>
                <w:szCs w:val="21"/>
              </w:rPr>
              <w:t>产品名称</w:t>
            </w:r>
          </w:p>
        </w:tc>
        <w:tc>
          <w:tcPr>
            <w:tcW w:w="7036" w:type="dxa"/>
            <w:shd w:val="clear" w:color="auto" w:fill="auto"/>
            <w:vAlign w:val="center"/>
          </w:tcPr>
          <w:p>
            <w:pPr>
              <w:contextualSpacing/>
              <w:jc w:val="center"/>
              <w:rPr>
                <w:rFonts w:ascii="仿宋" w:hAnsi="仿宋" w:eastAsia="仿宋"/>
                <w:b/>
                <w:bCs/>
                <w:szCs w:val="21"/>
              </w:rPr>
            </w:pPr>
            <w:r>
              <w:rPr>
                <w:rFonts w:ascii="仿宋" w:hAnsi="仿宋" w:eastAsia="仿宋"/>
                <w:b/>
                <w:bCs/>
                <w:szCs w:val="21"/>
              </w:rPr>
              <w:t>技术参数</w:t>
            </w:r>
            <w:r>
              <w:rPr>
                <w:rFonts w:hint="eastAsia" w:ascii="仿宋" w:hAnsi="仿宋" w:eastAsia="仿宋"/>
                <w:b/>
                <w:bCs/>
                <w:szCs w:val="21"/>
              </w:rPr>
              <w:t>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1</w:t>
            </w:r>
          </w:p>
        </w:tc>
        <w:tc>
          <w:tcPr>
            <w:tcW w:w="1480"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LED教室灯</w:t>
            </w:r>
          </w:p>
        </w:tc>
        <w:tc>
          <w:tcPr>
            <w:tcW w:w="7036" w:type="dxa"/>
            <w:shd w:val="clear" w:color="auto" w:fill="auto"/>
          </w:tcPr>
          <w:p>
            <w:pPr>
              <w:contextualSpacing/>
              <w:jc w:val="left"/>
              <w:rPr>
                <w:rStyle w:val="284"/>
                <w:rFonts w:hint="default" w:ascii="仿宋" w:hAnsi="仿宋" w:eastAsia="仿宋"/>
                <w:color w:val="auto"/>
                <w:sz w:val="21"/>
                <w:szCs w:val="21"/>
              </w:rPr>
            </w:pPr>
            <w:r>
              <w:rPr>
                <w:rStyle w:val="284"/>
                <w:rFonts w:hint="default" w:ascii="仿宋" w:hAnsi="仿宋" w:eastAsia="仿宋"/>
                <w:color w:val="auto"/>
                <w:sz w:val="21"/>
                <w:szCs w:val="21"/>
              </w:rPr>
              <w:t>1、</w:t>
            </w:r>
            <w:r>
              <w:rPr>
                <w:rFonts w:hint="eastAsia" w:ascii="仿宋" w:hAnsi="仿宋" w:eastAsia="仿宋" w:cs="Arial"/>
                <w:szCs w:val="21"/>
              </w:rPr>
              <w:t>一体式LED灯具；尺寸长度≥1200mm；</w:t>
            </w:r>
            <w:r>
              <w:rPr>
                <w:rFonts w:ascii="仿宋" w:hAnsi="仿宋" w:eastAsia="仿宋" w:cs="Arial"/>
                <w:szCs w:val="21"/>
              </w:rPr>
              <w:t>灯</w:t>
            </w:r>
            <w:r>
              <w:rPr>
                <w:rStyle w:val="284"/>
                <w:rFonts w:hint="default" w:ascii="仿宋" w:hAnsi="仿宋" w:eastAsia="仿宋"/>
                <w:color w:val="auto"/>
                <w:sz w:val="21"/>
                <w:szCs w:val="21"/>
              </w:rPr>
              <w:t>具的壳体应采用≥0.04mm铝型材等轻型、坚固金属材料，并经喷涂或氧化处理，具备防锈功能；</w:t>
            </w:r>
          </w:p>
          <w:p>
            <w:pPr>
              <w:contextualSpacing/>
              <w:jc w:val="left"/>
              <w:rPr>
                <w:rFonts w:ascii="仿宋" w:hAnsi="仿宋" w:eastAsia="仿宋" w:cs="Arial"/>
                <w:szCs w:val="21"/>
              </w:rPr>
            </w:pPr>
            <w:r>
              <w:rPr>
                <w:rFonts w:hint="eastAsia" w:ascii="仿宋" w:hAnsi="仿宋" w:eastAsia="仿宋"/>
                <w:szCs w:val="21"/>
              </w:rPr>
              <w:t>2、照明功率密度</w:t>
            </w:r>
            <w:r>
              <w:rPr>
                <w:rFonts w:hint="eastAsia" w:ascii="仿宋" w:hAnsi="仿宋" w:eastAsia="仿宋" w:cs="Arial"/>
                <w:szCs w:val="21"/>
              </w:rPr>
              <w:t>≤9W/㎡；</w:t>
            </w:r>
          </w:p>
          <w:p>
            <w:pPr>
              <w:contextualSpacing/>
              <w:rPr>
                <w:rFonts w:ascii="仿宋" w:hAnsi="仿宋" w:eastAsia="仿宋" w:cs="Arial"/>
                <w:szCs w:val="21"/>
              </w:rPr>
            </w:pPr>
            <w:r>
              <w:rPr>
                <w:rFonts w:hint="eastAsia" w:ascii="仿宋" w:hAnsi="仿宋" w:eastAsia="仿宋"/>
                <w:szCs w:val="21"/>
              </w:rPr>
              <w:t>3、</w:t>
            </w:r>
            <w:r>
              <w:rPr>
                <w:rFonts w:hint="eastAsia" w:ascii="仿宋" w:hAnsi="仿宋" w:eastAsia="仿宋" w:cs="Arial"/>
                <w:szCs w:val="21"/>
              </w:rPr>
              <w:t>寿命≥25000小时；</w:t>
            </w:r>
          </w:p>
          <w:p>
            <w:pPr>
              <w:contextualSpacing/>
              <w:jc w:val="left"/>
              <w:rPr>
                <w:rFonts w:ascii="仿宋" w:hAnsi="仿宋" w:eastAsia="仿宋" w:cs="Arial"/>
                <w:szCs w:val="21"/>
              </w:rPr>
            </w:pPr>
            <w:r>
              <w:rPr>
                <w:rFonts w:hint="eastAsia" w:ascii="仿宋" w:hAnsi="仿宋" w:eastAsia="仿宋"/>
                <w:szCs w:val="21"/>
              </w:rPr>
              <w:t>4、</w:t>
            </w:r>
            <w:r>
              <w:rPr>
                <w:rStyle w:val="284"/>
                <w:rFonts w:hint="default" w:ascii="仿宋" w:hAnsi="仿宋" w:eastAsia="仿宋"/>
                <w:color w:val="auto"/>
                <w:sz w:val="21"/>
                <w:szCs w:val="21"/>
              </w:rPr>
              <w:t>维持平均照度≥300lx</w:t>
            </w:r>
            <w:r>
              <w:rPr>
                <w:rFonts w:hint="eastAsia" w:ascii="仿宋" w:hAnsi="仿宋" w:eastAsia="仿宋" w:cs="Arial"/>
                <w:szCs w:val="21"/>
              </w:rPr>
              <w:t>；</w:t>
            </w:r>
            <w:r>
              <w:rPr>
                <w:rFonts w:ascii="仿宋" w:hAnsi="仿宋" w:eastAsia="仿宋" w:cs="Arial"/>
                <w:szCs w:val="21"/>
              </w:rPr>
              <w:br w:type="textWrapping"/>
            </w:r>
            <w:r>
              <w:rPr>
                <w:rStyle w:val="284"/>
                <w:rFonts w:hint="default" w:ascii="仿宋" w:hAnsi="仿宋" w:eastAsia="仿宋"/>
                <w:color w:val="auto"/>
                <w:sz w:val="21"/>
                <w:szCs w:val="21"/>
              </w:rPr>
              <w:t>5、均匀度≥0.7</w:t>
            </w:r>
            <w:r>
              <w:rPr>
                <w:rFonts w:hint="eastAsia" w:ascii="仿宋" w:hAnsi="仿宋" w:eastAsia="仿宋" w:cs="Arial"/>
                <w:szCs w:val="21"/>
              </w:rPr>
              <w:t>；</w:t>
            </w:r>
            <w:r>
              <w:rPr>
                <w:rFonts w:ascii="仿宋" w:hAnsi="仿宋" w:eastAsia="仿宋" w:cs="Arial"/>
                <w:szCs w:val="21"/>
              </w:rPr>
              <w:br w:type="textWrapping"/>
            </w:r>
            <w:r>
              <w:rPr>
                <w:rFonts w:hint="eastAsia" w:ascii="仿宋" w:hAnsi="仿宋" w:eastAsia="仿宋" w:cs="Arial"/>
                <w:szCs w:val="21"/>
              </w:rPr>
              <w:t>6</w:t>
            </w:r>
            <w:r>
              <w:rPr>
                <w:rFonts w:hint="eastAsia" w:ascii="仿宋" w:hAnsi="仿宋" w:eastAsia="仿宋"/>
                <w:szCs w:val="21"/>
              </w:rPr>
              <w:t>、统一眩光值≤16</w:t>
            </w:r>
            <w:r>
              <w:rPr>
                <w:rFonts w:hint="eastAsia" w:ascii="仿宋" w:hAnsi="仿宋" w:eastAsia="仿宋" w:cs="Arial"/>
                <w:szCs w:val="21"/>
              </w:rPr>
              <w:t>；</w:t>
            </w:r>
          </w:p>
          <w:p>
            <w:pPr>
              <w:contextualSpacing/>
              <w:jc w:val="left"/>
              <w:rPr>
                <w:rFonts w:ascii="仿宋" w:hAnsi="仿宋" w:eastAsia="仿宋" w:cs="Arial"/>
                <w:szCs w:val="21"/>
              </w:rPr>
            </w:pPr>
            <w:r>
              <w:rPr>
                <w:rFonts w:hint="eastAsia" w:ascii="仿宋" w:hAnsi="仿宋" w:eastAsia="仿宋"/>
                <w:szCs w:val="21"/>
              </w:rPr>
              <w:t>7、</w:t>
            </w:r>
            <w:r>
              <w:rPr>
                <w:rFonts w:hint="eastAsia" w:ascii="仿宋" w:hAnsi="仿宋" w:eastAsia="仿宋" w:cs="Arial"/>
                <w:szCs w:val="21"/>
              </w:rPr>
              <w:t>LED教室灯色温满足3300K——5300K；</w:t>
            </w:r>
          </w:p>
          <w:p>
            <w:pPr>
              <w:contextualSpacing/>
              <w:rPr>
                <w:rFonts w:ascii="仿宋" w:hAnsi="仿宋" w:eastAsia="仿宋" w:cs="Arial"/>
                <w:szCs w:val="21"/>
              </w:rPr>
            </w:pPr>
            <w:r>
              <w:rPr>
                <w:rFonts w:hint="eastAsia" w:ascii="仿宋" w:hAnsi="仿宋" w:eastAsia="仿宋" w:cs="Arial"/>
                <w:szCs w:val="21"/>
              </w:rPr>
              <w:t>8、LED教室灯显色指数满足Ra≥80；</w:t>
            </w:r>
          </w:p>
          <w:p>
            <w:pPr>
              <w:contextualSpacing/>
              <w:rPr>
                <w:rFonts w:ascii="仿宋" w:hAnsi="仿宋" w:eastAsia="仿宋" w:cs="Arial"/>
                <w:szCs w:val="21"/>
              </w:rPr>
            </w:pPr>
            <w:r>
              <w:rPr>
                <w:rFonts w:hint="eastAsia" w:ascii="仿宋" w:hAnsi="仿宋" w:eastAsia="仿宋" w:cs="Arial"/>
                <w:szCs w:val="21"/>
              </w:rPr>
              <w:t>9、LED教室灯频闪质量特征认证结果为无显著影响或无频闪危害；</w:t>
            </w:r>
          </w:p>
          <w:p>
            <w:pPr>
              <w:contextualSpacing/>
              <w:rPr>
                <w:rFonts w:ascii="仿宋" w:hAnsi="仿宋" w:eastAsia="仿宋" w:cs="Arial"/>
                <w:szCs w:val="21"/>
              </w:rPr>
            </w:pPr>
            <w:r>
              <w:rPr>
                <w:rFonts w:hint="eastAsia" w:ascii="仿宋" w:hAnsi="仿宋" w:eastAsia="仿宋" w:cs="Arial"/>
                <w:szCs w:val="21"/>
              </w:rPr>
              <w:t>10、LED教室灯蓝光危害等级为RG0（0类危险）；</w:t>
            </w:r>
          </w:p>
          <w:p>
            <w:pPr>
              <w:contextualSpacing/>
              <w:rPr>
                <w:rFonts w:ascii="仿宋" w:hAnsi="仿宋" w:eastAsia="仿宋"/>
                <w:szCs w:val="21"/>
              </w:rPr>
            </w:pPr>
            <w:r>
              <w:rPr>
                <w:rFonts w:hint="eastAsia" w:ascii="仿宋" w:hAnsi="仿宋" w:eastAsia="仿宋"/>
                <w:szCs w:val="21"/>
              </w:rPr>
              <w:t>11、</w:t>
            </w:r>
            <w:r>
              <w:rPr>
                <w:rFonts w:hint="eastAsia" w:ascii="仿宋" w:hAnsi="仿宋" w:eastAsia="仿宋" w:cs="Arial"/>
                <w:szCs w:val="21"/>
              </w:rPr>
              <w:t>LED教室灯密封防尘满足IP40或以上等级要求；</w:t>
            </w:r>
            <w:r>
              <w:rPr>
                <w:rFonts w:ascii="仿宋" w:hAnsi="仿宋" w:eastAsia="仿宋" w:cs="Arial"/>
                <w:szCs w:val="21"/>
              </w:rPr>
              <w:br w:type="textWrapping"/>
            </w:r>
            <w:r>
              <w:rPr>
                <w:rFonts w:hint="eastAsia" w:ascii="仿宋" w:hAnsi="仿宋" w:eastAsia="仿宋"/>
                <w:szCs w:val="21"/>
              </w:rPr>
              <w:t>说明：第2至11项技术参数需</w:t>
            </w:r>
            <w:r>
              <w:rPr>
                <w:rFonts w:hint="eastAsia" w:ascii="仿宋" w:hAnsi="仿宋" w:eastAsia="仿宋" w:cs="Arial"/>
                <w:szCs w:val="21"/>
              </w:rPr>
              <w:t>提供国家认可的第三方检测机构出具封面带有CMA标志的完整检测报告复印件，加盖</w:t>
            </w:r>
            <w:r>
              <w:rPr>
                <w:rFonts w:hint="eastAsia" w:ascii="仿宋" w:hAnsi="仿宋" w:eastAsia="仿宋" w:cs="Arial"/>
                <w:szCs w:val="21"/>
                <w:lang w:eastAsia="zh-CN"/>
              </w:rPr>
              <w:t>供应商公章</w:t>
            </w:r>
            <w:r>
              <w:rPr>
                <w:rFonts w:hint="eastAsia" w:ascii="仿宋" w:hAnsi="仿宋" w:eastAsia="仿宋" w:cs="Arial"/>
                <w:szCs w:val="21"/>
              </w:rPr>
              <w:t>，签订采购合同时提供检测报告原件。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2</w:t>
            </w:r>
          </w:p>
        </w:tc>
        <w:tc>
          <w:tcPr>
            <w:tcW w:w="1480"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LED黑板灯</w:t>
            </w:r>
          </w:p>
        </w:tc>
        <w:tc>
          <w:tcPr>
            <w:tcW w:w="7036" w:type="dxa"/>
            <w:shd w:val="clear" w:color="auto" w:fill="auto"/>
          </w:tcPr>
          <w:p>
            <w:pPr>
              <w:contextualSpacing/>
              <w:jc w:val="left"/>
              <w:rPr>
                <w:rStyle w:val="284"/>
                <w:rFonts w:hint="default" w:ascii="仿宋" w:hAnsi="仿宋" w:eastAsia="仿宋"/>
                <w:color w:val="auto"/>
                <w:sz w:val="21"/>
                <w:szCs w:val="21"/>
              </w:rPr>
            </w:pPr>
            <w:r>
              <w:rPr>
                <w:rStyle w:val="284"/>
                <w:rFonts w:hint="default" w:ascii="仿宋" w:hAnsi="仿宋" w:eastAsia="仿宋"/>
                <w:color w:val="auto"/>
                <w:sz w:val="21"/>
                <w:szCs w:val="21"/>
              </w:rPr>
              <w:t>1、</w:t>
            </w:r>
            <w:r>
              <w:rPr>
                <w:rFonts w:hint="eastAsia" w:ascii="仿宋" w:hAnsi="仿宋" w:eastAsia="仿宋" w:cs="Arial"/>
                <w:szCs w:val="21"/>
              </w:rPr>
              <w:t>一体式LED灯具；尺寸长度≥1200mm；</w:t>
            </w:r>
            <w:r>
              <w:rPr>
                <w:rFonts w:ascii="仿宋" w:hAnsi="仿宋" w:eastAsia="仿宋" w:cs="Arial"/>
                <w:szCs w:val="21"/>
              </w:rPr>
              <w:t>灯</w:t>
            </w:r>
            <w:r>
              <w:rPr>
                <w:rStyle w:val="284"/>
                <w:rFonts w:hint="default" w:ascii="仿宋" w:hAnsi="仿宋" w:eastAsia="仿宋"/>
                <w:color w:val="auto"/>
                <w:sz w:val="21"/>
                <w:szCs w:val="21"/>
              </w:rPr>
              <w:t>具的壳体应采用≥0.04mm铝型材等轻型、坚固金属材料，并经喷涂处理，具备防锈功能；</w:t>
            </w:r>
          </w:p>
          <w:p>
            <w:pPr>
              <w:contextualSpacing/>
              <w:rPr>
                <w:rFonts w:ascii="仿宋" w:hAnsi="仿宋" w:eastAsia="仿宋" w:cs="Arial"/>
                <w:szCs w:val="21"/>
              </w:rPr>
            </w:pPr>
            <w:r>
              <w:rPr>
                <w:rFonts w:hint="eastAsia" w:ascii="仿宋" w:hAnsi="仿宋" w:eastAsia="仿宋"/>
                <w:szCs w:val="21"/>
              </w:rPr>
              <w:t>2、</w:t>
            </w:r>
            <w:r>
              <w:rPr>
                <w:rFonts w:hint="eastAsia" w:ascii="仿宋" w:hAnsi="仿宋" w:eastAsia="仿宋" w:cs="Arial"/>
                <w:szCs w:val="21"/>
              </w:rPr>
              <w:t>寿命≥25000小时；</w:t>
            </w:r>
          </w:p>
          <w:p>
            <w:pPr>
              <w:contextualSpacing/>
              <w:jc w:val="left"/>
              <w:rPr>
                <w:rFonts w:ascii="仿宋" w:hAnsi="仿宋" w:eastAsia="仿宋" w:cs="Arial"/>
                <w:szCs w:val="21"/>
              </w:rPr>
            </w:pPr>
            <w:r>
              <w:rPr>
                <w:rFonts w:hint="eastAsia" w:ascii="仿宋" w:hAnsi="仿宋" w:eastAsia="仿宋"/>
                <w:szCs w:val="21"/>
              </w:rPr>
              <w:t>3、</w:t>
            </w:r>
            <w:r>
              <w:rPr>
                <w:rStyle w:val="284"/>
                <w:rFonts w:hint="default" w:ascii="仿宋" w:hAnsi="仿宋" w:eastAsia="仿宋"/>
                <w:color w:val="auto"/>
                <w:sz w:val="21"/>
                <w:szCs w:val="21"/>
              </w:rPr>
              <w:t>维持平均照度≥500lx</w:t>
            </w:r>
            <w:r>
              <w:rPr>
                <w:rFonts w:hint="eastAsia" w:ascii="仿宋" w:hAnsi="仿宋" w:eastAsia="仿宋" w:cs="Arial"/>
                <w:szCs w:val="21"/>
              </w:rPr>
              <w:t>；</w:t>
            </w:r>
          </w:p>
          <w:p>
            <w:pPr>
              <w:contextualSpacing/>
              <w:jc w:val="left"/>
              <w:rPr>
                <w:rFonts w:ascii="仿宋" w:hAnsi="仿宋" w:eastAsia="仿宋" w:cs="Arial"/>
                <w:szCs w:val="21"/>
              </w:rPr>
            </w:pPr>
            <w:r>
              <w:rPr>
                <w:rStyle w:val="284"/>
                <w:rFonts w:hint="default" w:ascii="仿宋" w:hAnsi="仿宋" w:eastAsia="仿宋"/>
                <w:color w:val="auto"/>
                <w:sz w:val="21"/>
                <w:szCs w:val="21"/>
              </w:rPr>
              <w:t>4、均匀度≥0.8；</w:t>
            </w:r>
          </w:p>
          <w:p>
            <w:pPr>
              <w:contextualSpacing/>
              <w:jc w:val="left"/>
              <w:rPr>
                <w:rFonts w:ascii="仿宋" w:hAnsi="仿宋" w:eastAsia="仿宋" w:cs="Arial"/>
                <w:szCs w:val="21"/>
              </w:rPr>
            </w:pPr>
            <w:r>
              <w:rPr>
                <w:rFonts w:hint="eastAsia" w:ascii="仿宋" w:hAnsi="仿宋" w:eastAsia="仿宋"/>
                <w:szCs w:val="21"/>
              </w:rPr>
              <w:t>5、LED黑板灯</w:t>
            </w:r>
            <w:r>
              <w:rPr>
                <w:rFonts w:hint="eastAsia" w:ascii="仿宋" w:hAnsi="仿宋" w:eastAsia="仿宋" w:cs="Arial"/>
                <w:szCs w:val="21"/>
              </w:rPr>
              <w:t>色温满足3300-5300K；</w:t>
            </w:r>
          </w:p>
          <w:p>
            <w:pPr>
              <w:contextualSpacing/>
              <w:jc w:val="left"/>
              <w:rPr>
                <w:rFonts w:ascii="仿宋" w:hAnsi="仿宋" w:eastAsia="仿宋" w:cs="Arial"/>
                <w:szCs w:val="21"/>
              </w:rPr>
            </w:pPr>
            <w:r>
              <w:rPr>
                <w:rFonts w:hint="eastAsia" w:ascii="仿宋" w:hAnsi="仿宋" w:eastAsia="仿宋" w:cs="Arial"/>
                <w:szCs w:val="21"/>
              </w:rPr>
              <w:t>6、</w:t>
            </w:r>
            <w:r>
              <w:rPr>
                <w:rFonts w:hint="eastAsia" w:ascii="仿宋" w:hAnsi="仿宋" w:eastAsia="仿宋"/>
                <w:szCs w:val="21"/>
              </w:rPr>
              <w:t>LED黑板灯</w:t>
            </w:r>
            <w:r>
              <w:rPr>
                <w:rFonts w:hint="eastAsia" w:ascii="仿宋" w:hAnsi="仿宋" w:eastAsia="仿宋" w:cs="Arial"/>
                <w:szCs w:val="21"/>
              </w:rPr>
              <w:t>显色满足Ra≥80；</w:t>
            </w:r>
          </w:p>
          <w:p>
            <w:pPr>
              <w:contextualSpacing/>
              <w:rPr>
                <w:rFonts w:ascii="仿宋" w:hAnsi="仿宋" w:eastAsia="仿宋" w:cs="Arial"/>
                <w:szCs w:val="21"/>
              </w:rPr>
            </w:pPr>
            <w:r>
              <w:rPr>
                <w:rFonts w:hint="eastAsia" w:ascii="仿宋" w:hAnsi="仿宋" w:eastAsia="仿宋" w:cs="Arial"/>
                <w:szCs w:val="21"/>
              </w:rPr>
              <w:t>7、LED</w:t>
            </w:r>
            <w:r>
              <w:rPr>
                <w:rFonts w:hint="eastAsia" w:ascii="仿宋" w:hAnsi="仿宋" w:eastAsia="仿宋"/>
                <w:szCs w:val="21"/>
              </w:rPr>
              <w:t>黑板</w:t>
            </w:r>
            <w:r>
              <w:rPr>
                <w:rFonts w:hint="eastAsia" w:ascii="仿宋" w:hAnsi="仿宋" w:eastAsia="仿宋" w:cs="Arial"/>
                <w:szCs w:val="21"/>
              </w:rPr>
              <w:t>灯频闪质量特征认证结果为无显著影响或无频闪危害；</w:t>
            </w:r>
          </w:p>
          <w:p>
            <w:pPr>
              <w:contextualSpacing/>
              <w:rPr>
                <w:rFonts w:ascii="仿宋" w:hAnsi="仿宋" w:eastAsia="仿宋" w:cs="Arial"/>
                <w:szCs w:val="21"/>
              </w:rPr>
            </w:pPr>
            <w:r>
              <w:rPr>
                <w:rFonts w:hint="eastAsia" w:ascii="仿宋" w:hAnsi="仿宋" w:eastAsia="仿宋" w:cs="Arial"/>
                <w:szCs w:val="21"/>
              </w:rPr>
              <w:t>8、</w:t>
            </w:r>
            <w:r>
              <w:rPr>
                <w:rFonts w:hint="eastAsia" w:ascii="仿宋" w:hAnsi="仿宋" w:eastAsia="仿宋"/>
                <w:szCs w:val="21"/>
              </w:rPr>
              <w:t>LED黑板灯</w:t>
            </w:r>
            <w:r>
              <w:rPr>
                <w:rFonts w:hint="eastAsia" w:ascii="仿宋" w:hAnsi="仿宋" w:eastAsia="仿宋" w:cs="Arial"/>
                <w:szCs w:val="21"/>
              </w:rPr>
              <w:t>蓝光危害等级为RG0（0类危险）；</w:t>
            </w:r>
          </w:p>
          <w:p>
            <w:pPr>
              <w:contextualSpacing/>
              <w:rPr>
                <w:rFonts w:ascii="仿宋" w:hAnsi="仿宋" w:eastAsia="仿宋" w:cs="Arial"/>
                <w:szCs w:val="21"/>
              </w:rPr>
            </w:pPr>
            <w:r>
              <w:rPr>
                <w:rFonts w:hint="eastAsia" w:ascii="仿宋" w:hAnsi="仿宋" w:eastAsia="仿宋"/>
                <w:szCs w:val="21"/>
              </w:rPr>
              <w:t>9、</w:t>
            </w:r>
            <w:r>
              <w:rPr>
                <w:rFonts w:hint="eastAsia" w:ascii="仿宋" w:hAnsi="仿宋" w:eastAsia="仿宋" w:cs="Arial"/>
                <w:szCs w:val="21"/>
              </w:rPr>
              <w:t>LED黑板灯密封防尘满足IP40或以上等级要求；</w:t>
            </w:r>
          </w:p>
          <w:p>
            <w:pPr>
              <w:pStyle w:val="17"/>
              <w:rPr>
                <w:rFonts w:ascii="仿宋" w:hAnsi="仿宋" w:eastAsia="仿宋"/>
                <w:szCs w:val="21"/>
              </w:rPr>
            </w:pPr>
            <w:r>
              <w:rPr>
                <w:rFonts w:hint="eastAsia" w:ascii="仿宋" w:hAnsi="仿宋" w:eastAsia="仿宋" w:cs="Arial"/>
                <w:szCs w:val="21"/>
              </w:rPr>
              <w:t>说明：第2至9项技术参数需提供国家认可的第三方检测机构出具封面带有CMA及CNAS标志的完整检测报告复印件，加盖</w:t>
            </w:r>
            <w:r>
              <w:rPr>
                <w:rFonts w:hint="eastAsia" w:ascii="仿宋" w:hAnsi="仿宋" w:eastAsia="仿宋" w:cs="Arial"/>
                <w:szCs w:val="21"/>
                <w:lang w:eastAsia="zh-CN"/>
              </w:rPr>
              <w:t>供应商公章</w:t>
            </w:r>
            <w:r>
              <w:rPr>
                <w:rFonts w:hint="eastAsia" w:ascii="仿宋" w:hAnsi="仿宋" w:eastAsia="仿宋" w:cs="Arial"/>
                <w:szCs w:val="21"/>
              </w:rPr>
              <w:t>，签订采购合同时提供检测报告原件。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3</w:t>
            </w:r>
          </w:p>
        </w:tc>
        <w:tc>
          <w:tcPr>
            <w:tcW w:w="1480" w:type="dxa"/>
            <w:shd w:val="clear" w:color="auto" w:fill="auto"/>
            <w:vAlign w:val="center"/>
          </w:tcPr>
          <w:p>
            <w:pPr>
              <w:contextualSpacing/>
              <w:jc w:val="center"/>
              <w:rPr>
                <w:rFonts w:ascii="仿宋" w:hAnsi="仿宋" w:eastAsia="仿宋"/>
                <w:szCs w:val="21"/>
              </w:rPr>
            </w:pPr>
            <w:r>
              <w:rPr>
                <w:rFonts w:hint="eastAsia" w:ascii="仿宋" w:hAnsi="仿宋" w:eastAsia="仿宋" w:cs="Arial"/>
                <w:szCs w:val="21"/>
              </w:rPr>
              <w:t>LED面板灯</w:t>
            </w:r>
          </w:p>
        </w:tc>
        <w:tc>
          <w:tcPr>
            <w:tcW w:w="7036" w:type="dxa"/>
            <w:shd w:val="clear" w:color="auto" w:fill="auto"/>
          </w:tcPr>
          <w:p>
            <w:pPr>
              <w:contextualSpacing/>
              <w:jc w:val="left"/>
              <w:rPr>
                <w:rStyle w:val="284"/>
                <w:rFonts w:hint="default" w:ascii="仿宋" w:hAnsi="仿宋" w:eastAsia="仿宋"/>
                <w:color w:val="auto"/>
                <w:sz w:val="21"/>
                <w:szCs w:val="21"/>
              </w:rPr>
            </w:pPr>
            <w:r>
              <w:rPr>
                <w:rStyle w:val="284"/>
                <w:rFonts w:hint="default" w:ascii="仿宋" w:hAnsi="仿宋" w:eastAsia="仿宋"/>
                <w:color w:val="auto"/>
                <w:sz w:val="21"/>
                <w:szCs w:val="21"/>
              </w:rPr>
              <w:t>1、</w:t>
            </w:r>
            <w:r>
              <w:rPr>
                <w:rFonts w:hint="eastAsia" w:ascii="仿宋" w:hAnsi="仿宋" w:eastAsia="仿宋" w:cs="Arial"/>
                <w:szCs w:val="21"/>
              </w:rPr>
              <w:t>一体式LED灯具；尺寸长度≥600mm；</w:t>
            </w:r>
            <w:r>
              <w:rPr>
                <w:rFonts w:ascii="仿宋" w:hAnsi="仿宋" w:eastAsia="仿宋" w:cs="Arial"/>
                <w:szCs w:val="21"/>
              </w:rPr>
              <w:t>灯</w:t>
            </w:r>
            <w:r>
              <w:rPr>
                <w:rStyle w:val="284"/>
                <w:rFonts w:hint="default" w:ascii="仿宋" w:hAnsi="仿宋" w:eastAsia="仿宋"/>
                <w:color w:val="auto"/>
                <w:sz w:val="21"/>
                <w:szCs w:val="21"/>
              </w:rPr>
              <w:t>具的壳体应采用≥0.04mm铝型材等轻型、坚固金属材料，并经喷涂处理，具备防锈功能；</w:t>
            </w:r>
          </w:p>
          <w:p>
            <w:pPr>
              <w:contextualSpacing/>
              <w:jc w:val="left"/>
              <w:rPr>
                <w:rFonts w:ascii="仿宋" w:hAnsi="仿宋" w:eastAsia="仿宋" w:cs="Arial"/>
                <w:szCs w:val="21"/>
              </w:rPr>
            </w:pPr>
            <w:r>
              <w:rPr>
                <w:rFonts w:hint="eastAsia" w:ascii="仿宋" w:hAnsi="仿宋" w:eastAsia="仿宋"/>
                <w:szCs w:val="21"/>
              </w:rPr>
              <w:t>2、照明功率密度</w:t>
            </w:r>
            <w:r>
              <w:rPr>
                <w:rFonts w:hint="eastAsia" w:ascii="仿宋" w:hAnsi="仿宋" w:eastAsia="仿宋" w:cs="Arial"/>
                <w:szCs w:val="21"/>
              </w:rPr>
              <w:t>≤9W/㎡；</w:t>
            </w:r>
          </w:p>
          <w:p>
            <w:pPr>
              <w:contextualSpacing/>
              <w:rPr>
                <w:rFonts w:ascii="仿宋" w:hAnsi="仿宋" w:eastAsia="仿宋" w:cs="Arial"/>
                <w:szCs w:val="21"/>
              </w:rPr>
            </w:pPr>
            <w:r>
              <w:rPr>
                <w:rFonts w:hint="eastAsia" w:ascii="仿宋" w:hAnsi="仿宋" w:eastAsia="仿宋"/>
                <w:szCs w:val="21"/>
              </w:rPr>
              <w:t>3、</w:t>
            </w:r>
            <w:r>
              <w:rPr>
                <w:rFonts w:hint="eastAsia" w:ascii="仿宋" w:hAnsi="仿宋" w:eastAsia="仿宋" w:cs="Arial"/>
                <w:szCs w:val="21"/>
              </w:rPr>
              <w:t>寿命≥25000小时；</w:t>
            </w:r>
          </w:p>
          <w:p>
            <w:pPr>
              <w:contextualSpacing/>
              <w:jc w:val="left"/>
              <w:rPr>
                <w:rFonts w:ascii="仿宋" w:hAnsi="仿宋" w:eastAsia="仿宋" w:cs="Arial"/>
                <w:szCs w:val="21"/>
              </w:rPr>
            </w:pPr>
            <w:r>
              <w:rPr>
                <w:rFonts w:hint="eastAsia" w:ascii="仿宋" w:hAnsi="仿宋" w:eastAsia="仿宋"/>
                <w:szCs w:val="21"/>
              </w:rPr>
              <w:t>4、</w:t>
            </w:r>
            <w:r>
              <w:rPr>
                <w:rStyle w:val="284"/>
                <w:rFonts w:hint="default" w:ascii="仿宋" w:hAnsi="仿宋" w:eastAsia="仿宋"/>
                <w:color w:val="auto"/>
                <w:sz w:val="21"/>
                <w:szCs w:val="21"/>
              </w:rPr>
              <w:t>维持平均照度≥300lx；</w:t>
            </w:r>
            <w:r>
              <w:rPr>
                <w:rStyle w:val="284"/>
                <w:rFonts w:hint="default" w:ascii="仿宋" w:hAnsi="仿宋" w:eastAsia="仿宋"/>
                <w:color w:val="auto"/>
                <w:sz w:val="21"/>
                <w:szCs w:val="21"/>
              </w:rPr>
              <w:br w:type="textWrapping"/>
            </w:r>
            <w:r>
              <w:rPr>
                <w:rStyle w:val="284"/>
                <w:rFonts w:hint="default" w:ascii="仿宋" w:hAnsi="仿宋" w:eastAsia="仿宋"/>
                <w:color w:val="auto"/>
                <w:sz w:val="21"/>
                <w:szCs w:val="21"/>
              </w:rPr>
              <w:t>5、均匀度≥0.7；</w:t>
            </w:r>
            <w:r>
              <w:rPr>
                <w:rStyle w:val="284"/>
                <w:rFonts w:hint="default" w:ascii="仿宋" w:hAnsi="仿宋" w:eastAsia="仿宋"/>
                <w:color w:val="auto"/>
                <w:sz w:val="21"/>
                <w:szCs w:val="21"/>
              </w:rPr>
              <w:br w:type="textWrapping"/>
            </w:r>
            <w:r>
              <w:rPr>
                <w:rFonts w:hint="eastAsia" w:ascii="仿宋" w:hAnsi="仿宋" w:eastAsia="仿宋" w:cs="Arial"/>
                <w:szCs w:val="21"/>
              </w:rPr>
              <w:t>6</w:t>
            </w:r>
            <w:r>
              <w:rPr>
                <w:rFonts w:hint="eastAsia" w:ascii="仿宋" w:hAnsi="仿宋" w:eastAsia="仿宋"/>
                <w:szCs w:val="21"/>
              </w:rPr>
              <w:t>、统一眩光值≤16；</w:t>
            </w:r>
          </w:p>
          <w:p>
            <w:pPr>
              <w:contextualSpacing/>
              <w:jc w:val="left"/>
              <w:rPr>
                <w:rFonts w:ascii="仿宋" w:hAnsi="仿宋" w:eastAsia="仿宋" w:cs="Arial"/>
                <w:szCs w:val="21"/>
              </w:rPr>
            </w:pPr>
            <w:r>
              <w:rPr>
                <w:rFonts w:hint="eastAsia" w:ascii="仿宋" w:hAnsi="仿宋" w:eastAsia="仿宋"/>
                <w:szCs w:val="21"/>
              </w:rPr>
              <w:t>7、</w:t>
            </w:r>
            <w:r>
              <w:rPr>
                <w:rFonts w:hint="eastAsia" w:ascii="仿宋" w:hAnsi="仿宋" w:eastAsia="仿宋" w:cs="Arial"/>
                <w:szCs w:val="21"/>
              </w:rPr>
              <w:t>LED面板灯色温满足3300K——5300K；</w:t>
            </w:r>
          </w:p>
          <w:p>
            <w:pPr>
              <w:contextualSpacing/>
              <w:rPr>
                <w:rFonts w:ascii="仿宋" w:hAnsi="仿宋" w:eastAsia="仿宋" w:cs="Arial"/>
                <w:szCs w:val="21"/>
              </w:rPr>
            </w:pPr>
            <w:r>
              <w:rPr>
                <w:rFonts w:hint="eastAsia" w:ascii="仿宋" w:hAnsi="仿宋" w:eastAsia="仿宋" w:cs="Arial"/>
                <w:szCs w:val="21"/>
              </w:rPr>
              <w:t>8、LED面板灯显色指数满足Ra≥80；</w:t>
            </w:r>
          </w:p>
          <w:p>
            <w:pPr>
              <w:contextualSpacing/>
              <w:rPr>
                <w:rFonts w:ascii="仿宋" w:hAnsi="仿宋" w:eastAsia="仿宋" w:cs="Arial"/>
                <w:szCs w:val="21"/>
              </w:rPr>
            </w:pPr>
            <w:r>
              <w:rPr>
                <w:rFonts w:hint="eastAsia" w:ascii="仿宋" w:hAnsi="仿宋" w:eastAsia="仿宋" w:cs="Arial"/>
                <w:szCs w:val="21"/>
              </w:rPr>
              <w:t>9、LED面板灯频闪质量特征认证结果为无显著影响或无频闪危害；</w:t>
            </w:r>
          </w:p>
          <w:p>
            <w:pPr>
              <w:pStyle w:val="17"/>
              <w:rPr>
                <w:rFonts w:ascii="仿宋" w:hAnsi="仿宋" w:eastAsia="仿宋"/>
                <w:szCs w:val="21"/>
              </w:rPr>
            </w:pPr>
            <w:r>
              <w:rPr>
                <w:rFonts w:hint="eastAsia" w:ascii="仿宋" w:hAnsi="仿宋" w:eastAsia="仿宋" w:cs="Arial"/>
                <w:szCs w:val="21"/>
              </w:rPr>
              <w:t>10、LED面板灯蓝光危害等级为RG0（0类危险）；</w:t>
            </w:r>
            <w:r>
              <w:rPr>
                <w:rFonts w:ascii="仿宋" w:hAnsi="仿宋" w:eastAsia="仿宋" w:cs="Arial"/>
                <w:szCs w:val="21"/>
              </w:rPr>
              <w:br w:type="textWrapping"/>
            </w:r>
            <w:r>
              <w:rPr>
                <w:rFonts w:hint="eastAsia" w:ascii="仿宋" w:hAnsi="仿宋" w:eastAsia="仿宋"/>
                <w:szCs w:val="21"/>
              </w:rPr>
              <w:t>11、</w:t>
            </w:r>
            <w:r>
              <w:rPr>
                <w:rFonts w:hint="eastAsia" w:ascii="仿宋" w:hAnsi="仿宋" w:eastAsia="仿宋" w:cs="Arial"/>
                <w:szCs w:val="21"/>
              </w:rPr>
              <w:t>LED面板灯密封防尘满足IP40或以上等级要求；</w:t>
            </w:r>
            <w:r>
              <w:rPr>
                <w:rFonts w:ascii="仿宋" w:hAnsi="仿宋" w:eastAsia="仿宋" w:cs="Arial"/>
                <w:szCs w:val="21"/>
              </w:rPr>
              <w:br w:type="textWrapping"/>
            </w:r>
            <w:r>
              <w:rPr>
                <w:rFonts w:hint="eastAsia" w:ascii="仿宋" w:hAnsi="仿宋" w:eastAsia="仿宋" w:cs="Arial"/>
                <w:szCs w:val="21"/>
              </w:rPr>
              <w:t>说明：第2至11项技术参数需提供国家认可的第三方检测机构出具封面带有CMA及CNAS标志的完整检测报告复印件，加盖</w:t>
            </w:r>
            <w:r>
              <w:rPr>
                <w:rFonts w:hint="eastAsia" w:ascii="仿宋" w:hAnsi="仿宋" w:eastAsia="仿宋" w:cs="Arial"/>
                <w:szCs w:val="21"/>
                <w:lang w:eastAsia="zh-CN"/>
              </w:rPr>
              <w:t>供应商公章</w:t>
            </w:r>
            <w:r>
              <w:rPr>
                <w:rFonts w:hint="eastAsia" w:ascii="仿宋" w:hAnsi="仿宋" w:eastAsia="仿宋" w:cs="Arial"/>
                <w:szCs w:val="21"/>
              </w:rPr>
              <w:t>，签订采购合同时提供检测报告原件</w:t>
            </w:r>
            <w:r>
              <w:rPr>
                <w:rFonts w:hint="eastAsia" w:ascii="仿宋" w:hAnsi="仿宋"/>
                <w:color w:val="FF0000"/>
              </w:rPr>
              <w:t>。</w:t>
            </w:r>
          </w:p>
        </w:tc>
      </w:tr>
    </w:tbl>
    <w:p/>
    <w:p>
      <w:pPr>
        <w:bidi w:val="0"/>
        <w:rPr>
          <w:rFonts w:ascii="仿宋" w:hAnsi="仿宋" w:eastAsia="仿宋"/>
          <w:sz w:val="28"/>
          <w:szCs w:val="28"/>
        </w:rPr>
      </w:pPr>
      <w:r>
        <w:rPr>
          <w:rFonts w:hint="eastAsia" w:ascii="仿宋" w:hAnsi="仿宋" w:eastAsia="仿宋"/>
          <w:sz w:val="24"/>
        </w:rPr>
        <w:t>★</w:t>
      </w:r>
      <w:r>
        <w:rPr>
          <w:rFonts w:hint="eastAsia" w:ascii="仿宋" w:hAnsi="仿宋" w:eastAsia="仿宋"/>
          <w:sz w:val="28"/>
          <w:szCs w:val="28"/>
        </w:rPr>
        <w:t>三、商务要求</w:t>
      </w:r>
      <w:r>
        <w:rPr>
          <w:rFonts w:hint="eastAsia" w:ascii="仿宋" w:hAnsi="仿宋" w:eastAsia="仿宋"/>
          <w:sz w:val="28"/>
          <w:szCs w:val="28"/>
          <w:highlight w:val="yellow"/>
        </w:rPr>
        <w:t>（磋商过程中可实质性变动的事项）</w:t>
      </w:r>
    </w:p>
    <w:p>
      <w:pPr>
        <w:spacing w:line="480" w:lineRule="exact"/>
        <w:contextualSpacing/>
        <w:rPr>
          <w:rFonts w:ascii="仿宋" w:hAnsi="仿宋" w:eastAsia="仿宋"/>
          <w:b/>
          <w:sz w:val="24"/>
        </w:rPr>
      </w:pPr>
      <w:r>
        <w:rPr>
          <w:rFonts w:hint="eastAsia" w:ascii="仿宋" w:hAnsi="仿宋" w:eastAsia="仿宋"/>
          <w:b/>
          <w:sz w:val="24"/>
        </w:rPr>
        <w:t>1、交货期及地点：</w:t>
      </w:r>
    </w:p>
    <w:p>
      <w:pPr>
        <w:spacing w:line="480" w:lineRule="exact"/>
        <w:contextualSpacing/>
        <w:rPr>
          <w:rFonts w:ascii="仿宋" w:hAnsi="仿宋" w:eastAsia="仿宋"/>
          <w:sz w:val="24"/>
        </w:rPr>
      </w:pPr>
      <w:r>
        <w:rPr>
          <w:rFonts w:hint="eastAsia" w:ascii="仿宋" w:hAnsi="仿宋" w:eastAsia="仿宋"/>
          <w:sz w:val="24"/>
        </w:rPr>
        <w:t xml:space="preserve">1.1. </w:t>
      </w:r>
      <w:r>
        <w:rPr>
          <w:rFonts w:hint="eastAsia"/>
          <w:lang w:eastAsia="zh-CN"/>
        </w:rPr>
        <w:t>合同履行期限</w:t>
      </w:r>
      <w:r>
        <w:rPr>
          <w:rFonts w:hint="eastAsia" w:ascii="仿宋" w:hAnsi="仿宋" w:eastAsia="仿宋"/>
          <w:sz w:val="24"/>
        </w:rPr>
        <w:t>：</w:t>
      </w:r>
    </w:p>
    <w:p>
      <w:pPr>
        <w:spacing w:line="480" w:lineRule="exact"/>
        <w:ind w:firstLine="240" w:firstLineChars="100"/>
        <w:contextualSpacing/>
        <w:rPr>
          <w:rFonts w:ascii="仿宋" w:hAnsi="仿宋" w:eastAsia="仿宋"/>
          <w:sz w:val="24"/>
        </w:rPr>
      </w:pPr>
      <w:r>
        <w:rPr>
          <w:rFonts w:hint="eastAsia" w:ascii="仿宋" w:hAnsi="仿宋" w:eastAsia="仿宋"/>
          <w:sz w:val="24"/>
        </w:rPr>
        <w:t>① 采购合同生效之日起</w:t>
      </w:r>
      <w:r>
        <w:rPr>
          <w:rFonts w:ascii="仿宋" w:hAnsi="仿宋" w:eastAsia="仿宋"/>
          <w:sz w:val="24"/>
        </w:rPr>
        <w:t>1</w:t>
      </w:r>
      <w:r>
        <w:rPr>
          <w:rFonts w:hint="eastAsia" w:ascii="仿宋" w:hAnsi="仿宋" w:eastAsia="仿宋"/>
          <w:sz w:val="24"/>
        </w:rPr>
        <w:t>5日内完成供货并安装完毕。其中样板间需在采购合同生效之日起一个日历日内安装完毕，在</w:t>
      </w:r>
      <w:r>
        <w:rPr>
          <w:rFonts w:ascii="仿宋" w:hAnsi="仿宋" w:eastAsia="仿宋"/>
          <w:sz w:val="24"/>
        </w:rPr>
        <w:t>2</w:t>
      </w:r>
      <w:r>
        <w:rPr>
          <w:rFonts w:hint="eastAsia" w:ascii="仿宋" w:hAnsi="仿宋" w:eastAsia="仿宋"/>
          <w:sz w:val="24"/>
        </w:rPr>
        <w:t>个日历日内完成检测并出具</w:t>
      </w:r>
      <w:r>
        <w:rPr>
          <w:rFonts w:hint="eastAsia" w:ascii="仿宋" w:hAnsi="仿宋" w:eastAsia="仿宋"/>
          <w:sz w:val="24"/>
          <w:lang w:val="en-US" w:eastAsia="zh-CN"/>
        </w:rPr>
        <w:t>带CMA标识的合格</w:t>
      </w:r>
      <w:r>
        <w:rPr>
          <w:rFonts w:hint="eastAsia" w:ascii="仿宋" w:hAnsi="仿宋" w:eastAsia="仿宋"/>
          <w:sz w:val="24"/>
        </w:rPr>
        <w:t>检测报告</w:t>
      </w:r>
      <w:r>
        <w:rPr>
          <w:rFonts w:hint="eastAsia" w:ascii="仿宋" w:hAnsi="仿宋" w:eastAsia="仿宋"/>
          <w:sz w:val="24"/>
          <w:lang w:eastAsia="zh-CN"/>
        </w:rPr>
        <w:t>（</w:t>
      </w:r>
      <w:r>
        <w:rPr>
          <w:rFonts w:ascii="仿宋" w:hAnsi="仿宋" w:eastAsia="仿宋" w:cs="宋体"/>
        </w:rPr>
        <w:t>检测指标至少包括①课桌面维持平均照度；②黑板面维持平均照度；③课桌面均匀度；④黑板面均匀度；⑤照明功率密度；⑥统一眩光值；⑦频闪</w:t>
      </w:r>
      <w:r>
        <w:rPr>
          <w:rFonts w:hint="eastAsia" w:ascii="仿宋" w:hAnsi="仿宋" w:eastAsia="仿宋"/>
          <w:sz w:val="24"/>
          <w:lang w:eastAsia="zh-CN"/>
        </w:rPr>
        <w:t>）</w:t>
      </w:r>
      <w:r>
        <w:rPr>
          <w:rFonts w:hint="eastAsia" w:ascii="仿宋" w:hAnsi="仿宋" w:eastAsia="仿宋"/>
          <w:sz w:val="24"/>
        </w:rPr>
        <w:t>。</w:t>
      </w:r>
    </w:p>
    <w:p>
      <w:pPr>
        <w:spacing w:line="480" w:lineRule="exact"/>
        <w:ind w:firstLine="240" w:firstLineChars="100"/>
        <w:contextualSpacing/>
        <w:rPr>
          <w:rFonts w:ascii="仿宋" w:hAnsi="仿宋" w:eastAsia="仿宋"/>
          <w:sz w:val="24"/>
        </w:rPr>
      </w:pPr>
      <w:r>
        <w:rPr>
          <w:rFonts w:hint="eastAsia" w:ascii="仿宋" w:hAnsi="仿宋" w:eastAsia="仿宋"/>
          <w:sz w:val="24"/>
        </w:rPr>
        <w:t>②安装需分三个阶段：</w:t>
      </w:r>
    </w:p>
    <w:p>
      <w:pPr>
        <w:spacing w:line="480" w:lineRule="exact"/>
        <w:ind w:firstLine="240" w:firstLineChars="100"/>
        <w:contextualSpacing/>
        <w:rPr>
          <w:rFonts w:ascii="仿宋" w:hAnsi="仿宋" w:eastAsia="仿宋"/>
          <w:sz w:val="24"/>
        </w:rPr>
      </w:pPr>
      <w:r>
        <w:rPr>
          <w:rFonts w:hint="eastAsia" w:ascii="仿宋" w:hAnsi="仿宋" w:eastAsia="仿宋"/>
          <w:sz w:val="24"/>
        </w:rPr>
        <w:t>第一阶段：样板间（1间）安装，安装检验合格（须具有检测资质的第三方检测机构出具</w:t>
      </w:r>
      <w:r>
        <w:rPr>
          <w:rFonts w:hint="eastAsia" w:ascii="仿宋" w:hAnsi="仿宋" w:eastAsia="仿宋"/>
          <w:sz w:val="24"/>
          <w:lang w:val="en-US" w:eastAsia="zh-CN"/>
        </w:rPr>
        <w:t>带CMA标识的</w:t>
      </w:r>
      <w:r>
        <w:rPr>
          <w:rFonts w:hint="eastAsia" w:ascii="仿宋" w:hAnsi="仿宋" w:eastAsia="仿宋"/>
          <w:sz w:val="24"/>
        </w:rPr>
        <w:t>检测报告，且结论为合格）后进行第二阶段；</w:t>
      </w:r>
    </w:p>
    <w:p>
      <w:pPr>
        <w:spacing w:line="480" w:lineRule="exact"/>
        <w:ind w:firstLine="240" w:firstLineChars="100"/>
        <w:contextualSpacing/>
        <w:rPr>
          <w:rFonts w:ascii="仿宋" w:hAnsi="仿宋" w:eastAsia="仿宋"/>
          <w:sz w:val="24"/>
        </w:rPr>
      </w:pPr>
      <w:r>
        <w:rPr>
          <w:rFonts w:hint="eastAsia" w:ascii="仿宋" w:hAnsi="仿宋" w:eastAsia="仿宋"/>
          <w:sz w:val="24"/>
        </w:rPr>
        <w:t>第二阶段：完成其余场室安装；</w:t>
      </w:r>
    </w:p>
    <w:p>
      <w:pPr>
        <w:spacing w:line="480" w:lineRule="exact"/>
        <w:ind w:firstLine="240" w:firstLineChars="100"/>
        <w:contextualSpacing/>
        <w:rPr>
          <w:rFonts w:ascii="仿宋" w:hAnsi="仿宋" w:eastAsia="仿宋"/>
          <w:sz w:val="24"/>
        </w:rPr>
      </w:pPr>
      <w:r>
        <w:rPr>
          <w:rFonts w:hint="eastAsia" w:ascii="仿宋" w:hAnsi="仿宋" w:eastAsia="仿宋"/>
          <w:sz w:val="24"/>
        </w:rPr>
        <w:t>第三阶段：除样板间外，</w:t>
      </w:r>
      <w:r>
        <w:rPr>
          <w:rFonts w:hint="eastAsia" w:ascii="仿宋" w:hAnsi="仿宋" w:eastAsia="仿宋"/>
          <w:sz w:val="24"/>
          <w:lang w:eastAsia="zh-CN"/>
        </w:rPr>
        <w:t>成交供应商</w:t>
      </w:r>
      <w:r>
        <w:rPr>
          <w:rFonts w:hint="eastAsia" w:ascii="仿宋" w:hAnsi="仿宋" w:eastAsia="仿宋"/>
          <w:sz w:val="24"/>
        </w:rPr>
        <w:t>对所有场室进行第三方检测或自行检测，检测合格并移交设计方案、建设方案、产品合格证明材料等后，通知</w:t>
      </w:r>
      <w:r>
        <w:rPr>
          <w:rFonts w:hint="eastAsia" w:ascii="仿宋" w:hAnsi="仿宋" w:eastAsia="仿宋"/>
          <w:sz w:val="24"/>
          <w:highlight w:val="yellow"/>
          <w:lang w:val="en-US" w:eastAsia="zh-CN"/>
        </w:rPr>
        <w:t>采购人</w:t>
      </w:r>
      <w:r>
        <w:rPr>
          <w:rFonts w:hint="eastAsia" w:ascii="仿宋" w:hAnsi="仿宋" w:eastAsia="仿宋"/>
          <w:sz w:val="24"/>
        </w:rPr>
        <w:t>进行初步验收的工作。</w:t>
      </w:r>
    </w:p>
    <w:p>
      <w:pPr>
        <w:spacing w:line="480" w:lineRule="exact"/>
        <w:ind w:firstLine="240" w:firstLineChars="100"/>
        <w:contextualSpacing/>
        <w:rPr>
          <w:rFonts w:ascii="仿宋" w:hAnsi="仿宋" w:eastAsia="仿宋"/>
          <w:sz w:val="24"/>
        </w:rPr>
      </w:pPr>
      <w:r>
        <w:rPr>
          <w:rFonts w:hint="eastAsia" w:ascii="仿宋" w:hAnsi="仿宋" w:eastAsia="仿宋"/>
          <w:sz w:val="24"/>
        </w:rPr>
        <w:t>③初步验收合格后，</w:t>
      </w:r>
      <w:r>
        <w:rPr>
          <w:rFonts w:hint="eastAsia" w:ascii="仿宋" w:hAnsi="仿宋" w:eastAsia="仿宋"/>
          <w:sz w:val="24"/>
          <w:highlight w:val="yellow"/>
        </w:rPr>
        <w:t>试运行一个月</w:t>
      </w:r>
      <w:r>
        <w:rPr>
          <w:rFonts w:hint="eastAsia" w:ascii="仿宋" w:hAnsi="仿宋" w:eastAsia="仿宋"/>
          <w:sz w:val="24"/>
        </w:rPr>
        <w:t>，且无质量问题，</w:t>
      </w:r>
      <w:r>
        <w:rPr>
          <w:rFonts w:hint="eastAsia" w:ascii="仿宋" w:hAnsi="仿宋" w:eastAsia="仿宋"/>
          <w:sz w:val="24"/>
          <w:lang w:eastAsia="zh-CN"/>
        </w:rPr>
        <w:t>成交供应商</w:t>
      </w:r>
      <w:r>
        <w:rPr>
          <w:rFonts w:hint="eastAsia" w:ascii="仿宋" w:hAnsi="仿宋" w:eastAsia="仿宋"/>
          <w:sz w:val="24"/>
        </w:rPr>
        <w:t>书面通知采购人进行最终验收。</w:t>
      </w:r>
    </w:p>
    <w:p>
      <w:pPr>
        <w:spacing w:line="480" w:lineRule="exact"/>
        <w:contextualSpacing/>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 xml:space="preserve"> 交货地点: 学校</w:t>
      </w:r>
    </w:p>
    <w:p>
      <w:pPr>
        <w:spacing w:line="480" w:lineRule="exact"/>
        <w:contextualSpacing/>
        <w:rPr>
          <w:rFonts w:ascii="仿宋" w:hAnsi="仿宋" w:eastAsia="仿宋"/>
          <w:bCs/>
          <w:sz w:val="24"/>
        </w:rPr>
      </w:pPr>
      <w:r>
        <w:rPr>
          <w:rFonts w:hint="eastAsia" w:ascii="仿宋" w:hAnsi="仿宋" w:eastAsia="仿宋"/>
          <w:b/>
          <w:sz w:val="24"/>
        </w:rPr>
        <w:t>2、付款方法和条件：</w:t>
      </w:r>
    </w:p>
    <w:p>
      <w:pPr>
        <w:spacing w:line="480" w:lineRule="exact"/>
        <w:contextualSpacing/>
        <w:rPr>
          <w:rFonts w:ascii="仿宋" w:hAnsi="仿宋" w:eastAsia="仿宋"/>
          <w:bCs/>
          <w:sz w:val="24"/>
        </w:rPr>
      </w:pPr>
      <w:r>
        <w:rPr>
          <w:rFonts w:hint="eastAsia" w:ascii="仿宋" w:hAnsi="仿宋" w:eastAsia="仿宋"/>
          <w:bCs/>
          <w:sz w:val="24"/>
        </w:rPr>
        <w:t>2.1</w:t>
      </w:r>
      <w:r>
        <w:rPr>
          <w:rFonts w:ascii="仿宋" w:hAnsi="仿宋" w:eastAsia="仿宋"/>
          <w:bCs/>
          <w:sz w:val="24"/>
        </w:rPr>
        <w:t>.</w:t>
      </w:r>
      <w:r>
        <w:rPr>
          <w:rFonts w:hint="eastAsia" w:ascii="仿宋" w:hAnsi="仿宋" w:eastAsia="仿宋"/>
          <w:bCs/>
          <w:sz w:val="24"/>
        </w:rPr>
        <w:t>采购人以转账方式向</w:t>
      </w:r>
      <w:r>
        <w:rPr>
          <w:rFonts w:hint="eastAsia" w:ascii="仿宋" w:hAnsi="仿宋" w:eastAsia="仿宋"/>
          <w:bCs/>
          <w:sz w:val="24"/>
          <w:lang w:eastAsia="zh-CN"/>
        </w:rPr>
        <w:t>成交供应商</w:t>
      </w:r>
      <w:r>
        <w:rPr>
          <w:rFonts w:hint="eastAsia" w:ascii="仿宋" w:hAnsi="仿宋" w:eastAsia="仿宋"/>
          <w:bCs/>
          <w:sz w:val="24"/>
        </w:rPr>
        <w:t>指定账户支付。</w:t>
      </w:r>
    </w:p>
    <w:p>
      <w:pPr>
        <w:spacing w:line="480" w:lineRule="exact"/>
        <w:contextualSpacing/>
        <w:rPr>
          <w:rFonts w:ascii="仿宋" w:hAnsi="仿宋" w:eastAsia="仿宋"/>
          <w:bCs/>
          <w:sz w:val="24"/>
          <w:highlight w:val="yellow"/>
        </w:rPr>
      </w:pPr>
      <w:r>
        <w:rPr>
          <w:rFonts w:hint="eastAsia" w:ascii="仿宋" w:hAnsi="仿宋" w:eastAsia="仿宋"/>
          <w:bCs/>
          <w:sz w:val="24"/>
        </w:rPr>
        <w:t>2</w:t>
      </w:r>
      <w:r>
        <w:rPr>
          <w:rFonts w:ascii="仿宋" w:hAnsi="仿宋" w:eastAsia="仿宋"/>
          <w:bCs/>
          <w:sz w:val="24"/>
        </w:rPr>
        <w:t>.2.</w:t>
      </w:r>
      <w:r>
        <w:rPr>
          <w:rFonts w:hint="eastAsia" w:ascii="仿宋" w:hAnsi="仿宋" w:eastAsia="仿宋"/>
          <w:bCs/>
          <w:sz w:val="24"/>
        </w:rPr>
        <w:t>初验合格后</w:t>
      </w:r>
      <w:r>
        <w:rPr>
          <w:rFonts w:hint="eastAsia" w:ascii="仿宋" w:hAnsi="仿宋" w:eastAsia="仿宋"/>
          <w:bCs/>
          <w:sz w:val="24"/>
          <w:lang w:val="en-US" w:eastAsia="zh-CN"/>
        </w:rPr>
        <w:t>且</w:t>
      </w:r>
      <w:r>
        <w:rPr>
          <w:rFonts w:hint="eastAsia"/>
          <w:lang w:eastAsia="zh-CN"/>
        </w:rPr>
        <w:t>收到发票后</w:t>
      </w:r>
      <w:r>
        <w:rPr>
          <w:rFonts w:hint="eastAsia"/>
          <w:lang w:val="en-US" w:eastAsia="zh-CN"/>
        </w:rPr>
        <w:t>30日内</w:t>
      </w:r>
      <w:r>
        <w:rPr>
          <w:rFonts w:hint="eastAsia" w:ascii="仿宋" w:hAnsi="仿宋" w:eastAsia="仿宋"/>
          <w:bCs/>
          <w:sz w:val="24"/>
        </w:rPr>
        <w:t>，采购人向</w:t>
      </w:r>
      <w:r>
        <w:rPr>
          <w:rFonts w:hint="eastAsia" w:ascii="仿宋" w:hAnsi="仿宋" w:eastAsia="仿宋"/>
          <w:bCs/>
          <w:sz w:val="24"/>
          <w:lang w:eastAsia="zh-CN"/>
        </w:rPr>
        <w:t>成交供应商</w:t>
      </w:r>
      <w:r>
        <w:rPr>
          <w:rFonts w:hint="eastAsia" w:ascii="仿宋" w:hAnsi="仿宋" w:eastAsia="仿宋"/>
          <w:bCs/>
          <w:sz w:val="24"/>
        </w:rPr>
        <w:t>支付据实结算货款的50%，</w:t>
      </w:r>
      <w:r>
        <w:rPr>
          <w:rFonts w:hint="eastAsia" w:ascii="仿宋" w:hAnsi="仿宋" w:eastAsia="仿宋"/>
          <w:bCs/>
          <w:sz w:val="24"/>
          <w:highlight w:val="yellow"/>
        </w:rPr>
        <w:t>其余50%的货款在终验合格且</w:t>
      </w:r>
      <w:r>
        <w:rPr>
          <w:rFonts w:hint="eastAsia"/>
          <w:lang w:eastAsia="zh-CN"/>
        </w:rPr>
        <w:t>收到发票后</w:t>
      </w:r>
      <w:r>
        <w:rPr>
          <w:rFonts w:hint="eastAsia"/>
          <w:lang w:val="en-US" w:eastAsia="zh-CN"/>
        </w:rPr>
        <w:t>30日内</w:t>
      </w:r>
      <w:r>
        <w:rPr>
          <w:rFonts w:hint="eastAsia" w:ascii="仿宋" w:hAnsi="仿宋" w:eastAsia="仿宋"/>
          <w:bCs/>
          <w:sz w:val="24"/>
          <w:highlight w:val="yellow"/>
        </w:rPr>
        <w:t>支付给</w:t>
      </w:r>
      <w:r>
        <w:rPr>
          <w:rFonts w:hint="eastAsia" w:ascii="仿宋" w:hAnsi="仿宋" w:eastAsia="仿宋"/>
          <w:bCs/>
          <w:sz w:val="24"/>
          <w:highlight w:val="yellow"/>
          <w:lang w:eastAsia="zh-CN"/>
        </w:rPr>
        <w:t>成交供应商</w:t>
      </w:r>
      <w:r>
        <w:rPr>
          <w:rFonts w:hint="eastAsia" w:ascii="仿宋" w:hAnsi="仿宋" w:eastAsia="仿宋"/>
          <w:bCs/>
          <w:sz w:val="24"/>
          <w:highlight w:val="yellow"/>
        </w:rPr>
        <w:t>。</w:t>
      </w:r>
    </w:p>
    <w:p>
      <w:pPr>
        <w:spacing w:line="480" w:lineRule="exact"/>
        <w:contextualSpacing/>
        <w:rPr>
          <w:rFonts w:ascii="仿宋" w:hAnsi="仿宋" w:eastAsia="仿宋"/>
          <w:bCs/>
          <w:sz w:val="24"/>
        </w:rPr>
      </w:pPr>
      <w:r>
        <w:rPr>
          <w:rFonts w:hint="eastAsia" w:ascii="仿宋" w:hAnsi="仿宋" w:eastAsia="仿宋"/>
          <w:bCs/>
          <w:sz w:val="24"/>
        </w:rPr>
        <w:t>2</w:t>
      </w:r>
      <w:r>
        <w:rPr>
          <w:rFonts w:ascii="仿宋" w:hAnsi="仿宋" w:eastAsia="仿宋"/>
          <w:bCs/>
          <w:sz w:val="24"/>
        </w:rPr>
        <w:t>.3</w:t>
      </w:r>
      <w:r>
        <w:rPr>
          <w:rFonts w:hint="eastAsia" w:ascii="仿宋" w:hAnsi="仿宋" w:eastAsia="仿宋"/>
          <w:bCs/>
          <w:sz w:val="24"/>
        </w:rPr>
        <w:t>开票要求：</w:t>
      </w:r>
    </w:p>
    <w:p>
      <w:pPr>
        <w:spacing w:line="480" w:lineRule="exact"/>
        <w:ind w:firstLine="240" w:firstLineChars="100"/>
        <w:contextualSpacing/>
        <w:rPr>
          <w:rFonts w:ascii="仿宋" w:hAnsi="仿宋" w:eastAsia="仿宋"/>
          <w:bCs/>
          <w:sz w:val="24"/>
        </w:rPr>
      </w:pPr>
      <w:r>
        <w:rPr>
          <w:rFonts w:hint="eastAsia" w:ascii="仿宋" w:hAnsi="仿宋" w:eastAsia="仿宋"/>
          <w:bCs/>
          <w:sz w:val="24"/>
        </w:rPr>
        <w:t>①</w:t>
      </w:r>
      <w:r>
        <w:rPr>
          <w:rFonts w:hint="eastAsia" w:ascii="仿宋" w:hAnsi="仿宋" w:eastAsia="仿宋"/>
          <w:bCs/>
          <w:sz w:val="24"/>
          <w:lang w:eastAsia="zh-CN"/>
        </w:rPr>
        <w:t>成交供应商</w:t>
      </w:r>
      <w:r>
        <w:rPr>
          <w:rFonts w:hint="eastAsia" w:ascii="仿宋" w:hAnsi="仿宋" w:eastAsia="仿宋"/>
          <w:bCs/>
          <w:sz w:val="24"/>
        </w:rPr>
        <w:t>必须在付款要素均具备的情况下才能开票，包括验收达到采购人要求、提供经采购人认可的验收合格报告（初验或终验）、设备正常运行期达到付款期限等，如果条件不具备，</w:t>
      </w:r>
      <w:r>
        <w:rPr>
          <w:rFonts w:hint="eastAsia" w:ascii="仿宋" w:hAnsi="仿宋" w:eastAsia="仿宋"/>
          <w:bCs/>
          <w:sz w:val="24"/>
          <w:lang w:eastAsia="zh-CN"/>
        </w:rPr>
        <w:t>成交供应商</w:t>
      </w:r>
      <w:r>
        <w:rPr>
          <w:rFonts w:hint="eastAsia" w:ascii="仿宋" w:hAnsi="仿宋" w:eastAsia="仿宋"/>
          <w:bCs/>
          <w:sz w:val="24"/>
        </w:rPr>
        <w:t>提前开票，采购人将拒绝接收。</w:t>
      </w:r>
    </w:p>
    <w:p>
      <w:pPr>
        <w:spacing w:line="480" w:lineRule="exact"/>
        <w:ind w:firstLine="240" w:firstLineChars="100"/>
        <w:contextualSpacing/>
        <w:rPr>
          <w:rFonts w:hint="eastAsia" w:ascii="仿宋" w:hAnsi="仿宋" w:eastAsia="仿宋"/>
          <w:bCs/>
          <w:sz w:val="24"/>
        </w:rPr>
      </w:pPr>
      <w:r>
        <w:rPr>
          <w:rFonts w:hint="eastAsia" w:ascii="仿宋" w:hAnsi="仿宋" w:eastAsia="仿宋"/>
          <w:bCs/>
          <w:sz w:val="24"/>
        </w:rPr>
        <w:t>②达到开票条件后，开具本项目采购内容对应的发票。发票必须由</w:t>
      </w:r>
      <w:r>
        <w:rPr>
          <w:rFonts w:hint="eastAsia" w:ascii="仿宋" w:hAnsi="仿宋" w:eastAsia="仿宋"/>
          <w:bCs/>
          <w:sz w:val="24"/>
          <w:lang w:eastAsia="zh-CN"/>
        </w:rPr>
        <w:t>成交供应商</w:t>
      </w:r>
      <w:r>
        <w:rPr>
          <w:rFonts w:hint="eastAsia" w:ascii="仿宋" w:hAnsi="仿宋" w:eastAsia="仿宋"/>
          <w:bCs/>
          <w:sz w:val="24"/>
        </w:rPr>
        <w:t>专人送达，采购人不接受邮寄和快递等方式。</w:t>
      </w:r>
    </w:p>
    <w:p>
      <w:pPr>
        <w:spacing w:line="480" w:lineRule="exact"/>
        <w:ind w:firstLine="241" w:firstLineChars="100"/>
        <w:contextualSpacing/>
        <w:rPr>
          <w:rFonts w:hint="eastAsia" w:ascii="仿宋" w:hAnsi="仿宋" w:eastAsia="仿宋"/>
          <w:b/>
          <w:bCs w:val="0"/>
          <w:sz w:val="24"/>
          <w:lang w:eastAsia="zh-CN"/>
        </w:rPr>
      </w:pPr>
      <w:r>
        <w:rPr>
          <w:rFonts w:hint="eastAsia" w:ascii="仿宋" w:hAnsi="仿宋" w:eastAsia="仿宋"/>
          <w:b/>
          <w:bCs w:val="0"/>
          <w:sz w:val="24"/>
          <w:lang w:eastAsia="zh-CN"/>
        </w:rPr>
        <w:t>逾期支付的违约责任</w:t>
      </w:r>
    </w:p>
    <w:p>
      <w:pPr>
        <w:spacing w:line="480" w:lineRule="exact"/>
        <w:ind w:firstLine="240" w:firstLineChars="100"/>
        <w:contextualSpacing/>
        <w:rPr>
          <w:rFonts w:hint="eastAsia" w:ascii="仿宋" w:hAnsi="仿宋" w:eastAsia="仿宋"/>
          <w:bCs/>
          <w:sz w:val="24"/>
        </w:rPr>
      </w:pPr>
      <w:r>
        <w:rPr>
          <w:rFonts w:hint="eastAsia" w:ascii="仿宋" w:hAnsi="仿宋" w:eastAsia="仿宋"/>
          <w:bCs/>
          <w:sz w:val="24"/>
        </w:rPr>
        <w:t>甲方无正当理由拒收货物的，甲方应偿付合同总价百分之五的违约金；</w:t>
      </w:r>
      <w:r>
        <w:rPr>
          <w:rFonts w:hint="eastAsia" w:ascii="仿宋" w:hAnsi="仿宋" w:eastAsia="仿宋"/>
          <w:bCs/>
          <w:sz w:val="24"/>
        </w:rPr>
        <w:br w:type="textWrapping"/>
      </w:r>
      <w:r>
        <w:rPr>
          <w:rFonts w:hint="eastAsia" w:ascii="仿宋" w:hAnsi="仿宋" w:eastAsia="仿宋"/>
          <w:bCs/>
          <w:sz w:val="24"/>
        </w:rPr>
        <w:t>甲方逾期支付货款的，除应及时付足货款外，应向乙方偿付欠款总额万分之五/天的违约金；逾期付款超过六十 天的，乙方有权终止合同；</w:t>
      </w:r>
    </w:p>
    <w:p>
      <w:pPr>
        <w:spacing w:line="480" w:lineRule="exact"/>
        <w:contextualSpacing/>
        <w:rPr>
          <w:rFonts w:ascii="仿宋" w:hAnsi="仿宋" w:eastAsia="仿宋"/>
          <w:b/>
          <w:sz w:val="24"/>
        </w:rPr>
      </w:pPr>
      <w:r>
        <w:rPr>
          <w:rFonts w:hint="eastAsia" w:ascii="仿宋" w:hAnsi="仿宋" w:eastAsia="仿宋"/>
          <w:b/>
          <w:sz w:val="24"/>
        </w:rPr>
        <w:t>3、质保期及服务要求：</w:t>
      </w:r>
    </w:p>
    <w:p>
      <w:pPr>
        <w:spacing w:line="480" w:lineRule="exact"/>
        <w:contextualSpacing/>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.本项目整体质保期为终验验收合格签字之日起</w:t>
      </w:r>
      <w:r>
        <w:rPr>
          <w:rFonts w:hint="eastAsia" w:ascii="仿宋" w:hAnsi="仿宋" w:eastAsia="仿宋"/>
          <w:sz w:val="24"/>
          <w:highlight w:val="yellow"/>
        </w:rPr>
        <w:t>72</w:t>
      </w:r>
      <w:r>
        <w:rPr>
          <w:rFonts w:hint="eastAsia" w:ascii="仿宋" w:hAnsi="仿宋" w:eastAsia="仿宋"/>
          <w:sz w:val="24"/>
        </w:rPr>
        <w:t>个月（实际的质保期按照</w:t>
      </w:r>
      <w:r>
        <w:rPr>
          <w:rFonts w:hint="eastAsia" w:ascii="仿宋" w:hAnsi="仿宋" w:eastAsia="仿宋"/>
          <w:sz w:val="24"/>
          <w:lang w:eastAsia="zh-CN"/>
        </w:rPr>
        <w:t>成交供应商</w:t>
      </w:r>
      <w:r>
        <w:rPr>
          <w:rFonts w:hint="eastAsia" w:ascii="仿宋" w:hAnsi="仿宋" w:eastAsia="仿宋"/>
          <w:sz w:val="24"/>
        </w:rPr>
        <w:t>在投标文件中的承诺（响应）为准，但不能少于</w:t>
      </w:r>
      <w:r>
        <w:rPr>
          <w:rFonts w:hint="eastAsia" w:ascii="仿宋" w:hAnsi="仿宋" w:eastAsia="仿宋"/>
          <w:sz w:val="24"/>
          <w:highlight w:val="yellow"/>
        </w:rPr>
        <w:t>72</w:t>
      </w:r>
      <w:r>
        <w:rPr>
          <w:rFonts w:hint="eastAsia" w:ascii="仿宋" w:hAnsi="仿宋" w:eastAsia="仿宋"/>
          <w:sz w:val="24"/>
        </w:rPr>
        <w:t>个月，否则做</w:t>
      </w:r>
      <w:r>
        <w:rPr>
          <w:rFonts w:hint="eastAsia" w:ascii="仿宋" w:hAnsi="仿宋" w:eastAsia="仿宋"/>
          <w:sz w:val="24"/>
          <w:highlight w:val="yellow"/>
        </w:rPr>
        <w:t>无效响应</w:t>
      </w:r>
      <w:r>
        <w:rPr>
          <w:rFonts w:hint="eastAsia" w:ascii="仿宋" w:hAnsi="仿宋" w:eastAsia="仿宋"/>
          <w:sz w:val="24"/>
        </w:rPr>
        <w:t>处理）。</w:t>
      </w:r>
    </w:p>
    <w:p>
      <w:pPr>
        <w:spacing w:line="480" w:lineRule="exact"/>
        <w:contextualSpacing/>
        <w:rPr>
          <w:rFonts w:ascii="仿宋" w:hAnsi="仿宋" w:eastAsia="仿宋"/>
          <w:sz w:val="24"/>
        </w:rPr>
      </w:pPr>
      <w:r>
        <w:rPr>
          <w:rFonts w:ascii="仿宋" w:hAnsi="仿宋" w:eastAsia="仿宋"/>
          <w:sz w:val="24"/>
        </w:rPr>
        <w:t>3.2.</w:t>
      </w:r>
      <w:r>
        <w:rPr>
          <w:rFonts w:hint="eastAsia" w:ascii="仿宋" w:hAnsi="仿宋" w:eastAsia="仿宋"/>
          <w:sz w:val="24"/>
        </w:rPr>
        <w:t>质保期内，</w:t>
      </w:r>
      <w:r>
        <w:rPr>
          <w:rFonts w:hint="eastAsia" w:ascii="仿宋" w:hAnsi="仿宋" w:eastAsia="仿宋"/>
          <w:sz w:val="24"/>
          <w:lang w:eastAsia="zh-CN"/>
        </w:rPr>
        <w:t>成交供应商</w:t>
      </w:r>
      <w:r>
        <w:rPr>
          <w:rFonts w:hint="eastAsia" w:ascii="仿宋" w:hAnsi="仿宋" w:eastAsia="仿宋"/>
          <w:sz w:val="24"/>
        </w:rPr>
        <w:t>应提供7*24小时的小时响应服务，维护人员随时保持通讯畅通，响应时间在30分钟以内，同时派经验丰富的维护工程师在初步判断故障部件后，1小时内携带备件以最快的交通工具到达现场，进行故障检测、定位、维护与排除，保障教学的正常运行。如果故障在短时间内无法排除，提供替代整机，恢复教学正常工作。</w:t>
      </w:r>
      <w:r>
        <w:rPr>
          <w:rFonts w:hint="eastAsia" w:ascii="仿宋" w:hAnsi="仿宋" w:eastAsia="仿宋"/>
          <w:sz w:val="24"/>
          <w:highlight w:val="yellow"/>
        </w:rPr>
        <w:t>同时提供无偿更换备件，无偿人工，无偿上门服务。</w:t>
      </w:r>
    </w:p>
    <w:p>
      <w:pPr>
        <w:spacing w:line="480" w:lineRule="exact"/>
        <w:contextualSpacing/>
        <w:rPr>
          <w:rFonts w:ascii="仿宋" w:hAnsi="仿宋" w:eastAsia="仿宋"/>
          <w:sz w:val="24"/>
        </w:rPr>
      </w:pPr>
      <w:r>
        <w:rPr>
          <w:rFonts w:ascii="仿宋" w:hAnsi="仿宋" w:eastAsia="仿宋"/>
          <w:sz w:val="24"/>
        </w:rPr>
        <w:t>3.3.</w:t>
      </w:r>
      <w:r>
        <w:rPr>
          <w:rFonts w:hint="eastAsia" w:ascii="仿宋" w:hAnsi="仿宋" w:eastAsia="仿宋"/>
          <w:sz w:val="24"/>
        </w:rPr>
        <w:t xml:space="preserve"> 质保期内，</w:t>
      </w:r>
      <w:r>
        <w:rPr>
          <w:rFonts w:hint="eastAsia" w:ascii="仿宋" w:hAnsi="仿宋" w:eastAsia="仿宋"/>
          <w:sz w:val="24"/>
          <w:lang w:eastAsia="zh-CN"/>
        </w:rPr>
        <w:t>成交供应商</w:t>
      </w:r>
      <w:r>
        <w:rPr>
          <w:rFonts w:ascii="仿宋" w:hAnsi="仿宋" w:eastAsia="仿宋"/>
          <w:sz w:val="24"/>
        </w:rPr>
        <w:t>应定期对</w:t>
      </w:r>
      <w:r>
        <w:rPr>
          <w:rFonts w:hint="eastAsia" w:ascii="仿宋" w:hAnsi="仿宋" w:eastAsia="仿宋"/>
          <w:sz w:val="24"/>
        </w:rPr>
        <w:t>产品</w:t>
      </w:r>
      <w:r>
        <w:rPr>
          <w:rFonts w:ascii="仿宋" w:hAnsi="仿宋" w:eastAsia="仿宋"/>
          <w:sz w:val="24"/>
        </w:rPr>
        <w:t>进行日常维护保养，至少每季度到用户现场进行现场巡检和调研,及时跟踪</w:t>
      </w:r>
      <w:r>
        <w:rPr>
          <w:rFonts w:hint="eastAsia" w:ascii="仿宋" w:hAnsi="仿宋" w:eastAsia="仿宋"/>
          <w:sz w:val="24"/>
        </w:rPr>
        <w:t>产品使用及</w:t>
      </w:r>
      <w:r>
        <w:rPr>
          <w:rFonts w:ascii="仿宋" w:hAnsi="仿宋" w:eastAsia="仿宋"/>
          <w:sz w:val="24"/>
        </w:rPr>
        <w:t>质量</w:t>
      </w:r>
      <w:r>
        <w:rPr>
          <w:rFonts w:hint="eastAsia" w:ascii="仿宋" w:hAnsi="仿宋" w:eastAsia="仿宋"/>
          <w:sz w:val="24"/>
        </w:rPr>
        <w:t>的</w:t>
      </w:r>
      <w:r>
        <w:rPr>
          <w:rFonts w:ascii="仿宋" w:hAnsi="仿宋" w:eastAsia="仿宋"/>
          <w:sz w:val="24"/>
        </w:rPr>
        <w:t>变化情况，定期提供《巡检报告》；</w:t>
      </w:r>
      <w:r>
        <w:rPr>
          <w:rFonts w:hint="eastAsia" w:ascii="仿宋" w:hAnsi="仿宋" w:eastAsia="仿宋"/>
          <w:sz w:val="24"/>
        </w:rPr>
        <w:t>更换损坏、有缺陷的光源或灯具。当光源或灯具因光衰不能满足要求时，应及时更新光源或灯具，</w:t>
      </w:r>
      <w:r>
        <w:rPr>
          <w:rFonts w:ascii="仿宋" w:hAnsi="仿宋" w:eastAsia="仿宋"/>
          <w:sz w:val="24"/>
        </w:rPr>
        <w:t>消除设备（系统）运行（使用）故障及安全隐患，确保学校教育教学工作正常开展。</w:t>
      </w:r>
    </w:p>
    <w:p>
      <w:pPr>
        <w:spacing w:line="480" w:lineRule="exact"/>
        <w:contextualSpacing/>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质保期内，</w:t>
      </w:r>
      <w:r>
        <w:rPr>
          <w:rFonts w:hint="eastAsia" w:ascii="仿宋" w:hAnsi="仿宋" w:eastAsia="仿宋"/>
          <w:sz w:val="24"/>
          <w:highlight w:val="yellow"/>
          <w:lang w:eastAsia="zh-CN"/>
        </w:rPr>
        <w:t>成交供应商</w:t>
      </w:r>
      <w:r>
        <w:rPr>
          <w:rFonts w:hint="eastAsia" w:ascii="仿宋" w:hAnsi="仿宋" w:eastAsia="仿宋"/>
          <w:sz w:val="24"/>
          <w:highlight w:val="yellow"/>
        </w:rPr>
        <w:t>每年3月</w:t>
      </w:r>
      <w:r>
        <w:rPr>
          <w:rFonts w:hint="eastAsia" w:ascii="仿宋" w:hAnsi="仿宋" w:eastAsia="仿宋"/>
          <w:sz w:val="24"/>
          <w:highlight w:val="yellow"/>
          <w:lang w:val="en-US" w:eastAsia="zh-CN"/>
        </w:rPr>
        <w:t>份</w:t>
      </w:r>
      <w:r>
        <w:rPr>
          <w:rFonts w:hint="eastAsia" w:ascii="仿宋" w:hAnsi="仿宋" w:eastAsia="仿宋"/>
          <w:sz w:val="24"/>
          <w:highlight w:val="yellow"/>
        </w:rPr>
        <w:t>至少</w:t>
      </w:r>
      <w:r>
        <w:rPr>
          <w:rFonts w:ascii="仿宋" w:hAnsi="仿宋" w:eastAsia="仿宋"/>
          <w:sz w:val="24"/>
          <w:highlight w:val="yellow"/>
        </w:rPr>
        <w:t>检测</w:t>
      </w:r>
      <w:r>
        <w:rPr>
          <w:rFonts w:hint="eastAsia" w:ascii="仿宋" w:hAnsi="仿宋" w:eastAsia="仿宋"/>
          <w:sz w:val="24"/>
          <w:highlight w:val="yellow"/>
        </w:rPr>
        <w:t>一次</w:t>
      </w:r>
      <w:r>
        <w:rPr>
          <w:rFonts w:hint="eastAsia" w:ascii="仿宋" w:hAnsi="仿宋" w:eastAsia="仿宋"/>
          <w:sz w:val="24"/>
        </w:rPr>
        <w:t>，委托具有</w:t>
      </w:r>
      <w:r>
        <w:rPr>
          <w:rFonts w:ascii="仿宋" w:hAnsi="仿宋" w:eastAsia="仿宋"/>
          <w:sz w:val="24"/>
        </w:rPr>
        <w:t>检测资质的第三方检测机构</w:t>
      </w:r>
      <w:r>
        <w:rPr>
          <w:rFonts w:hint="eastAsia" w:ascii="仿宋" w:hAnsi="仿宋" w:eastAsia="仿宋"/>
          <w:sz w:val="24"/>
          <w:highlight w:val="yellow"/>
        </w:rPr>
        <w:t>抽检1间教室</w:t>
      </w:r>
      <w:r>
        <w:rPr>
          <w:rFonts w:hint="eastAsia" w:ascii="仿宋" w:hAnsi="仿宋" w:eastAsia="仿宋"/>
          <w:sz w:val="24"/>
        </w:rPr>
        <w:t>，</w:t>
      </w:r>
      <w:r>
        <w:rPr>
          <w:rFonts w:ascii="仿宋" w:hAnsi="仿宋" w:eastAsia="仿宋"/>
          <w:sz w:val="24"/>
        </w:rPr>
        <w:t>检测指标至少包括</w:t>
      </w:r>
      <w:r>
        <w:rPr>
          <w:rFonts w:hint="eastAsia" w:ascii="仿宋" w:hAnsi="仿宋" w:eastAsia="仿宋"/>
          <w:sz w:val="24"/>
        </w:rPr>
        <w:t>：①</w:t>
      </w:r>
      <w:r>
        <w:rPr>
          <w:rFonts w:ascii="仿宋" w:hAnsi="仿宋" w:eastAsia="仿宋"/>
          <w:sz w:val="24"/>
        </w:rPr>
        <w:t>课桌面维持平均照度</w:t>
      </w:r>
      <w:r>
        <w:rPr>
          <w:rFonts w:hint="eastAsia" w:ascii="仿宋" w:hAnsi="仿宋" w:eastAsia="仿宋"/>
          <w:sz w:val="24"/>
        </w:rPr>
        <w:t>；②</w:t>
      </w:r>
      <w:r>
        <w:rPr>
          <w:rFonts w:ascii="仿宋" w:hAnsi="仿宋" w:eastAsia="仿宋"/>
          <w:sz w:val="24"/>
        </w:rPr>
        <w:t>黑板面维持平均照度</w:t>
      </w:r>
      <w:r>
        <w:rPr>
          <w:rFonts w:hint="eastAsia" w:ascii="仿宋" w:hAnsi="仿宋" w:eastAsia="仿宋"/>
          <w:sz w:val="24"/>
        </w:rPr>
        <w:t>；③</w:t>
      </w:r>
      <w:r>
        <w:rPr>
          <w:rFonts w:ascii="仿宋" w:hAnsi="仿宋" w:eastAsia="仿宋"/>
          <w:sz w:val="24"/>
        </w:rPr>
        <w:t>课桌面均匀度</w:t>
      </w:r>
      <w:r>
        <w:rPr>
          <w:rFonts w:hint="eastAsia" w:ascii="仿宋" w:hAnsi="仿宋" w:eastAsia="仿宋"/>
          <w:sz w:val="24"/>
        </w:rPr>
        <w:t>；④</w:t>
      </w:r>
      <w:r>
        <w:rPr>
          <w:rFonts w:ascii="仿宋" w:hAnsi="仿宋" w:eastAsia="仿宋"/>
          <w:sz w:val="24"/>
        </w:rPr>
        <w:t>黑板面均匀度</w:t>
      </w:r>
      <w:r>
        <w:rPr>
          <w:rFonts w:hint="eastAsia" w:ascii="仿宋" w:hAnsi="仿宋" w:eastAsia="仿宋"/>
          <w:sz w:val="24"/>
        </w:rPr>
        <w:t>；⑤</w:t>
      </w:r>
      <w:r>
        <w:rPr>
          <w:rFonts w:ascii="仿宋" w:hAnsi="仿宋" w:eastAsia="仿宋"/>
          <w:sz w:val="24"/>
        </w:rPr>
        <w:t>照明功率密度</w:t>
      </w:r>
      <w:r>
        <w:rPr>
          <w:rFonts w:hint="eastAsia" w:ascii="仿宋" w:hAnsi="仿宋" w:eastAsia="仿宋"/>
          <w:sz w:val="24"/>
        </w:rPr>
        <w:t>；⑥</w:t>
      </w:r>
      <w:r>
        <w:rPr>
          <w:rFonts w:ascii="仿宋" w:hAnsi="仿宋" w:eastAsia="仿宋"/>
          <w:sz w:val="24"/>
        </w:rPr>
        <w:t>统一眩光值</w:t>
      </w:r>
      <w:r>
        <w:rPr>
          <w:rFonts w:hint="eastAsia" w:ascii="仿宋" w:hAnsi="仿宋" w:eastAsia="仿宋"/>
          <w:sz w:val="24"/>
        </w:rPr>
        <w:t>；⑦</w:t>
      </w:r>
      <w:r>
        <w:rPr>
          <w:rFonts w:ascii="仿宋" w:hAnsi="仿宋" w:eastAsia="仿宋"/>
          <w:sz w:val="24"/>
        </w:rPr>
        <w:t>频闪等指标</w:t>
      </w:r>
      <w:r>
        <w:rPr>
          <w:rFonts w:hint="eastAsia" w:ascii="仿宋" w:hAnsi="仿宋" w:eastAsia="仿宋"/>
          <w:sz w:val="24"/>
        </w:rPr>
        <w:t>。抽检情况须书面告知学校。质保期内抽检不合格，须进行全面检测和整改。</w:t>
      </w:r>
      <w:r>
        <w:rPr>
          <w:rFonts w:hint="eastAsia" w:ascii="仿宋" w:hAnsi="仿宋" w:eastAsia="仿宋"/>
          <w:sz w:val="24"/>
          <w:highlight w:val="yellow"/>
        </w:rPr>
        <w:t>质保期内的检测费用均由</w:t>
      </w:r>
      <w:r>
        <w:rPr>
          <w:rFonts w:hint="eastAsia" w:ascii="仿宋" w:hAnsi="仿宋" w:eastAsia="仿宋"/>
          <w:sz w:val="24"/>
          <w:highlight w:val="yellow"/>
          <w:lang w:eastAsia="zh-CN"/>
        </w:rPr>
        <w:t>成交供应商</w:t>
      </w:r>
      <w:r>
        <w:rPr>
          <w:rFonts w:hint="eastAsia" w:ascii="仿宋" w:hAnsi="仿宋" w:eastAsia="仿宋"/>
          <w:sz w:val="24"/>
          <w:highlight w:val="yellow"/>
        </w:rPr>
        <w:t>承担。</w:t>
      </w:r>
    </w:p>
    <w:p>
      <w:pPr>
        <w:spacing w:line="480" w:lineRule="exact"/>
        <w:contextualSpacing/>
        <w:rPr>
          <w:rFonts w:hint="eastAsia" w:ascii="仿宋" w:hAnsi="仿宋" w:eastAsia="仿宋"/>
          <w:sz w:val="24"/>
          <w:lang w:eastAsia="zh-CN"/>
        </w:rPr>
      </w:pPr>
      <w:r>
        <w:rPr>
          <w:rFonts w:hint="eastAsia" w:ascii="仿宋" w:hAnsi="仿宋" w:eastAsia="仿宋"/>
          <w:sz w:val="24"/>
        </w:rPr>
        <w:t>3</w:t>
      </w:r>
      <w:r>
        <w:rPr>
          <w:rFonts w:ascii="仿宋" w:hAnsi="仿宋" w:eastAsia="仿宋"/>
          <w:sz w:val="24"/>
        </w:rPr>
        <w:t>.5</w:t>
      </w:r>
      <w:r>
        <w:rPr>
          <w:rFonts w:hint="eastAsia" w:ascii="仿宋" w:hAnsi="仿宋" w:eastAsia="仿宋"/>
          <w:sz w:val="24"/>
        </w:rPr>
        <w:t>本项目的报价必须包括为完成质保期内所有服务内容而产生直接或间接的任何费用，因此在质保期内，采购人将不再为</w:t>
      </w:r>
      <w:r>
        <w:rPr>
          <w:rFonts w:hint="eastAsia" w:ascii="仿宋" w:hAnsi="仿宋" w:eastAsia="仿宋"/>
          <w:sz w:val="24"/>
          <w:lang w:eastAsia="zh-CN"/>
        </w:rPr>
        <w:t>成交供应商</w:t>
      </w:r>
      <w:r>
        <w:rPr>
          <w:rFonts w:hint="eastAsia" w:ascii="仿宋" w:hAnsi="仿宋" w:eastAsia="仿宋"/>
          <w:sz w:val="24"/>
        </w:rPr>
        <w:t>支付任何费用。确认为人为损坏或超过质保期的维修所产生费用除外</w:t>
      </w:r>
      <w:r>
        <w:rPr>
          <w:rFonts w:hint="eastAsia" w:ascii="仿宋" w:hAnsi="仿宋" w:eastAsia="仿宋"/>
          <w:sz w:val="24"/>
          <w:lang w:eastAsia="zh-CN"/>
        </w:rPr>
        <w:t>。</w:t>
      </w:r>
    </w:p>
    <w:p>
      <w:pPr>
        <w:spacing w:line="480" w:lineRule="exact"/>
        <w:contextualSpacing/>
        <w:rPr>
          <w:rFonts w:ascii="仿宋" w:hAnsi="仿宋" w:eastAsia="仿宋"/>
          <w:b/>
          <w:sz w:val="24"/>
        </w:rPr>
      </w:pPr>
      <w:r>
        <w:rPr>
          <w:rFonts w:hint="eastAsia" w:ascii="仿宋" w:hAnsi="仿宋" w:eastAsia="仿宋"/>
          <w:b/>
          <w:sz w:val="24"/>
        </w:rPr>
        <w:t>4、交货时应提供以下技术资料（如涉及）</w:t>
      </w:r>
    </w:p>
    <w:p>
      <w:pPr>
        <w:spacing w:line="480" w:lineRule="exact"/>
        <w:contextualSpacing/>
        <w:rPr>
          <w:rFonts w:ascii="仿宋" w:hAnsi="仿宋" w:eastAsia="仿宋"/>
          <w:sz w:val="24"/>
          <w:highlight w:val="yellow"/>
        </w:rPr>
      </w:pPr>
      <w:r>
        <w:rPr>
          <w:rFonts w:hint="eastAsia" w:ascii="仿宋" w:hAnsi="仿宋" w:eastAsia="仿宋"/>
          <w:sz w:val="24"/>
          <w:highlight w:val="yellow"/>
        </w:rPr>
        <w:t>4.1</w:t>
      </w:r>
      <w:r>
        <w:rPr>
          <w:rFonts w:ascii="仿宋" w:hAnsi="仿宋" w:eastAsia="仿宋"/>
          <w:sz w:val="24"/>
          <w:highlight w:val="yellow"/>
        </w:rPr>
        <w:t>.</w:t>
      </w:r>
      <w:r>
        <w:rPr>
          <w:rFonts w:hint="eastAsia" w:ascii="仿宋" w:hAnsi="仿宋" w:eastAsia="仿宋"/>
          <w:sz w:val="24"/>
          <w:highlight w:val="yellow"/>
        </w:rPr>
        <w:t>原产地证明书；</w:t>
      </w:r>
    </w:p>
    <w:p>
      <w:pPr>
        <w:spacing w:line="480" w:lineRule="exact"/>
        <w:contextualSpacing/>
        <w:rPr>
          <w:rFonts w:ascii="仿宋" w:hAnsi="仿宋" w:eastAsia="仿宋"/>
          <w:sz w:val="24"/>
        </w:rPr>
      </w:pPr>
      <w:r>
        <w:rPr>
          <w:rFonts w:hint="eastAsia" w:ascii="仿宋" w:hAnsi="仿宋" w:eastAsia="仿宋"/>
          <w:sz w:val="24"/>
        </w:rPr>
        <w:t>4.2</w:t>
      </w:r>
      <w:r>
        <w:rPr>
          <w:rFonts w:ascii="仿宋" w:hAnsi="仿宋" w:eastAsia="仿宋"/>
          <w:sz w:val="24"/>
        </w:rPr>
        <w:t>.</w:t>
      </w:r>
      <w:r>
        <w:rPr>
          <w:rFonts w:hint="eastAsia" w:ascii="仿宋" w:hAnsi="仿宋" w:eastAsia="仿宋"/>
          <w:sz w:val="24"/>
        </w:rPr>
        <w:t>提供产品及配套设备</w:t>
      </w:r>
      <w:r>
        <w:rPr>
          <w:rFonts w:ascii="仿宋" w:hAnsi="仿宋" w:eastAsia="仿宋"/>
          <w:sz w:val="24"/>
        </w:rPr>
        <w:t>的安装图纸及说明</w:t>
      </w:r>
      <w:r>
        <w:rPr>
          <w:rFonts w:hint="eastAsia" w:ascii="仿宋" w:hAnsi="仿宋" w:eastAsia="仿宋"/>
          <w:sz w:val="24"/>
        </w:rPr>
        <w:t>；</w:t>
      </w:r>
    </w:p>
    <w:p>
      <w:pPr>
        <w:spacing w:line="480" w:lineRule="exact"/>
        <w:contextualSpacing/>
        <w:rPr>
          <w:rFonts w:ascii="仿宋" w:hAnsi="仿宋" w:eastAsia="仿宋"/>
          <w:sz w:val="24"/>
        </w:rPr>
      </w:pPr>
      <w:r>
        <w:rPr>
          <w:rFonts w:hint="eastAsia" w:ascii="仿宋" w:hAnsi="仿宋" w:eastAsia="仿宋"/>
          <w:sz w:val="24"/>
        </w:rPr>
        <w:t>4.3</w:t>
      </w:r>
      <w:r>
        <w:rPr>
          <w:rFonts w:ascii="仿宋" w:hAnsi="仿宋" w:eastAsia="仿宋"/>
          <w:sz w:val="24"/>
        </w:rPr>
        <w:t>.</w:t>
      </w:r>
      <w:r>
        <w:rPr>
          <w:rFonts w:hint="eastAsia" w:ascii="仿宋" w:hAnsi="仿宋" w:eastAsia="仿宋"/>
          <w:sz w:val="24"/>
        </w:rPr>
        <w:t>提供产品及配套设备使用</w:t>
      </w:r>
      <w:r>
        <w:rPr>
          <w:rFonts w:ascii="仿宋" w:hAnsi="仿宋" w:eastAsia="仿宋"/>
          <w:sz w:val="24"/>
        </w:rPr>
        <w:t>说明书</w:t>
      </w:r>
      <w:r>
        <w:rPr>
          <w:rFonts w:hint="eastAsia" w:ascii="仿宋" w:hAnsi="仿宋" w:eastAsia="仿宋"/>
          <w:sz w:val="24"/>
        </w:rPr>
        <w:t>、维护手册；</w:t>
      </w:r>
    </w:p>
    <w:p>
      <w:pPr>
        <w:spacing w:line="480" w:lineRule="exact"/>
        <w:contextualSpacing/>
        <w:rPr>
          <w:rFonts w:ascii="仿宋" w:hAnsi="仿宋" w:eastAsia="仿宋"/>
          <w:sz w:val="24"/>
        </w:rPr>
      </w:pPr>
      <w:r>
        <w:rPr>
          <w:rFonts w:hint="eastAsia" w:ascii="仿宋" w:hAnsi="仿宋" w:eastAsia="仿宋"/>
          <w:sz w:val="24"/>
        </w:rPr>
        <w:t>4.4</w:t>
      </w:r>
      <w:r>
        <w:rPr>
          <w:rFonts w:ascii="仿宋" w:hAnsi="仿宋" w:eastAsia="仿宋"/>
          <w:sz w:val="24"/>
        </w:rPr>
        <w:t>.</w:t>
      </w:r>
      <w:r>
        <w:rPr>
          <w:rFonts w:hint="eastAsia" w:ascii="仿宋" w:hAnsi="仿宋" w:eastAsia="仿宋"/>
          <w:sz w:val="24"/>
        </w:rPr>
        <w:t>备件手册、零件及易损件的图纸及相关资料；</w:t>
      </w:r>
    </w:p>
    <w:p>
      <w:pPr>
        <w:spacing w:line="480" w:lineRule="exact"/>
        <w:contextualSpacing/>
        <w:rPr>
          <w:rFonts w:ascii="仿宋" w:hAnsi="仿宋" w:eastAsia="仿宋"/>
          <w:sz w:val="24"/>
        </w:rPr>
      </w:pPr>
      <w:r>
        <w:rPr>
          <w:rFonts w:hint="eastAsia" w:ascii="仿宋" w:hAnsi="仿宋" w:eastAsia="仿宋"/>
          <w:sz w:val="24"/>
        </w:rPr>
        <w:t>4.5</w:t>
      </w:r>
      <w:r>
        <w:rPr>
          <w:rFonts w:ascii="仿宋" w:hAnsi="仿宋" w:eastAsia="仿宋"/>
          <w:sz w:val="24"/>
        </w:rPr>
        <w:t>.</w:t>
      </w:r>
      <w:r>
        <w:rPr>
          <w:rFonts w:hint="eastAsia" w:ascii="仿宋" w:hAnsi="仿宋" w:eastAsia="仿宋"/>
          <w:sz w:val="24"/>
        </w:rPr>
        <w:t>其它相关技术资料。</w:t>
      </w:r>
    </w:p>
    <w:p>
      <w:pPr>
        <w:spacing w:line="480" w:lineRule="exact"/>
        <w:contextualSpacing/>
        <w:rPr>
          <w:rFonts w:ascii="仿宋" w:hAnsi="仿宋" w:eastAsia="仿宋"/>
          <w:b/>
          <w:sz w:val="24"/>
        </w:rPr>
      </w:pPr>
      <w:r>
        <w:rPr>
          <w:rFonts w:hint="eastAsia" w:ascii="仿宋" w:hAnsi="仿宋" w:eastAsia="仿宋"/>
          <w:b/>
          <w:sz w:val="24"/>
        </w:rPr>
        <w:t>5、安装调试要求：</w:t>
      </w:r>
    </w:p>
    <w:p>
      <w:pPr>
        <w:spacing w:line="480" w:lineRule="exact"/>
        <w:contextualSpacing/>
        <w:rPr>
          <w:rFonts w:ascii="仿宋" w:hAnsi="仿宋" w:eastAsia="仿宋"/>
          <w:bCs/>
          <w:sz w:val="24"/>
        </w:rPr>
      </w:pPr>
      <w:r>
        <w:rPr>
          <w:rFonts w:hint="eastAsia" w:ascii="仿宋" w:hAnsi="仿宋" w:eastAsia="仿宋"/>
          <w:bCs/>
          <w:sz w:val="24"/>
        </w:rPr>
        <w:t>5</w:t>
      </w:r>
      <w:r>
        <w:rPr>
          <w:rFonts w:ascii="仿宋" w:hAnsi="仿宋" w:eastAsia="仿宋"/>
          <w:bCs/>
          <w:sz w:val="24"/>
        </w:rPr>
        <w:t>.1.</w:t>
      </w:r>
      <w:r>
        <w:rPr>
          <w:rFonts w:hint="eastAsia" w:ascii="仿宋" w:hAnsi="仿宋" w:eastAsia="仿宋"/>
          <w:bCs/>
          <w:sz w:val="24"/>
        </w:rPr>
        <w:t>采购合同生效后，</w:t>
      </w:r>
      <w:r>
        <w:rPr>
          <w:rFonts w:hint="eastAsia" w:ascii="仿宋" w:hAnsi="仿宋" w:eastAsia="仿宋"/>
          <w:bCs/>
          <w:sz w:val="24"/>
          <w:lang w:eastAsia="zh-CN"/>
        </w:rPr>
        <w:t>成交供应商</w:t>
      </w:r>
      <w:r>
        <w:rPr>
          <w:rFonts w:hint="eastAsia" w:ascii="仿宋" w:hAnsi="仿宋" w:eastAsia="仿宋"/>
          <w:bCs/>
          <w:sz w:val="24"/>
        </w:rPr>
        <w:t>必须协调相关资源，在</w:t>
      </w:r>
      <w:r>
        <w:rPr>
          <w:rFonts w:ascii="仿宋" w:hAnsi="仿宋" w:eastAsia="仿宋"/>
          <w:bCs/>
          <w:sz w:val="24"/>
        </w:rPr>
        <w:t>2</w:t>
      </w:r>
      <w:r>
        <w:rPr>
          <w:rFonts w:hint="eastAsia" w:ascii="仿宋" w:hAnsi="仿宋" w:eastAsia="仿宋"/>
          <w:bCs/>
          <w:sz w:val="24"/>
        </w:rPr>
        <w:t>个工作日内派遣项目经理到采购人处就建设校点的实施内容、计划及安排等内容进行全面沟通，并完善整体实施方案。</w:t>
      </w:r>
    </w:p>
    <w:p>
      <w:pPr>
        <w:pStyle w:val="2"/>
        <w:adjustRightInd w:val="0"/>
        <w:snapToGrid w:val="0"/>
        <w:spacing w:line="480" w:lineRule="exact"/>
        <w:contextualSpacing/>
        <w:rPr>
          <w:rFonts w:ascii="仿宋" w:hAnsi="仿宋" w:eastAsia="仿宋"/>
          <w:sz w:val="24"/>
        </w:rPr>
      </w:pPr>
      <w:r>
        <w:rPr>
          <w:rFonts w:ascii="仿宋" w:hAnsi="仿宋" w:eastAsia="仿宋"/>
          <w:sz w:val="24"/>
        </w:rPr>
        <w:t>5.2</w:t>
      </w:r>
      <w:r>
        <w:rPr>
          <w:rFonts w:hint="eastAsia" w:ascii="仿宋" w:hAnsi="仿宋" w:eastAsia="仿宋"/>
          <w:sz w:val="24"/>
        </w:rPr>
        <w:t>.教室灯安装要求</w:t>
      </w:r>
    </w:p>
    <w:p>
      <w:pPr>
        <w:pStyle w:val="2"/>
        <w:adjustRightInd w:val="0"/>
        <w:snapToGrid w:val="0"/>
        <w:spacing w:line="480" w:lineRule="exact"/>
        <w:ind w:firstLine="240" w:firstLineChars="100"/>
        <w:contextualSpacing/>
        <w:rPr>
          <w:rFonts w:ascii="仿宋" w:hAnsi="仿宋" w:eastAsia="仿宋"/>
          <w:sz w:val="24"/>
        </w:rPr>
      </w:pPr>
      <w:r>
        <w:rPr>
          <w:rFonts w:hint="eastAsia" w:ascii="仿宋" w:hAnsi="仿宋" w:eastAsia="仿宋"/>
          <w:sz w:val="24"/>
        </w:rPr>
        <w:t>①</w:t>
      </w:r>
      <w:r>
        <w:rPr>
          <w:rFonts w:ascii="仿宋" w:hAnsi="仿宋" w:eastAsia="仿宋"/>
          <w:sz w:val="24"/>
        </w:rPr>
        <w:t>应根据</w:t>
      </w:r>
      <w:r>
        <w:rPr>
          <w:rFonts w:hint="eastAsia" w:ascii="仿宋" w:hAnsi="仿宋" w:eastAsia="仿宋"/>
          <w:sz w:val="24"/>
        </w:rPr>
        <w:t>场</w:t>
      </w:r>
      <w:r>
        <w:rPr>
          <w:rFonts w:ascii="仿宋" w:hAnsi="仿宋" w:eastAsia="仿宋"/>
          <w:sz w:val="24"/>
        </w:rPr>
        <w:t>室</w:t>
      </w:r>
      <w:r>
        <w:rPr>
          <w:rFonts w:hint="eastAsia" w:ascii="仿宋" w:hAnsi="仿宋" w:eastAsia="仿宋"/>
          <w:sz w:val="24"/>
        </w:rPr>
        <w:t>（教室、功能室、阅览室）</w:t>
      </w:r>
      <w:r>
        <w:rPr>
          <w:rFonts w:ascii="仿宋" w:hAnsi="仿宋" w:eastAsia="仿宋"/>
          <w:sz w:val="24"/>
        </w:rPr>
        <w:t>实际情况，选择内嵌或吊杆安装的方式，采用吊杆方式时，吊杆应与灯面垂直，不得倾斜。照明灯具距教室参考平面的最低悬挂高度不应低于 1.70m。</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②</w:t>
      </w:r>
      <w:r>
        <w:rPr>
          <w:rFonts w:ascii="仿宋" w:hAnsi="仿宋" w:eastAsia="仿宋"/>
          <w:sz w:val="24"/>
        </w:rPr>
        <w:t>教室灯具排列宜采用其长轴垂直于黑板面布置</w:t>
      </w:r>
      <w:r>
        <w:rPr>
          <w:rFonts w:hint="eastAsia" w:ascii="仿宋" w:hAnsi="仿宋" w:eastAsia="仿宋"/>
          <w:sz w:val="24"/>
        </w:rPr>
        <w:t>。</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③</w:t>
      </w:r>
      <w:r>
        <w:rPr>
          <w:rFonts w:ascii="仿宋" w:hAnsi="仿宋" w:eastAsia="仿宋"/>
          <w:sz w:val="24"/>
        </w:rPr>
        <w:t>教室安装有风扇，灯具出光面宜低于风扇，且应使用刚性安装。（灯具出光面水平横向距离风扇叶片 25cm 以上除外）。</w:t>
      </w:r>
      <w:r>
        <w:rPr>
          <w:rFonts w:hint="eastAsia" w:ascii="仿宋" w:hAnsi="仿宋" w:eastAsia="仿宋"/>
          <w:sz w:val="24"/>
        </w:rPr>
        <w:br w:type="textWrapping"/>
      </w:r>
      <w:r>
        <w:rPr>
          <w:rFonts w:hint="eastAsia" w:ascii="仿宋" w:hAnsi="仿宋" w:eastAsia="仿宋"/>
          <w:sz w:val="24"/>
        </w:rPr>
        <w:t xml:space="preserve"> ④线路须穿管或扣板保护，不得有裸露电线。</w:t>
      </w:r>
    </w:p>
    <w:p>
      <w:pPr>
        <w:pStyle w:val="2"/>
        <w:spacing w:line="480" w:lineRule="exact"/>
        <w:ind w:firstLine="210" w:firstLineChars="100"/>
        <w:contextualSpacing/>
        <w:rPr>
          <w:rFonts w:ascii="仿宋" w:hAnsi="仿宋" w:eastAsia="仿宋"/>
          <w:sz w:val="24"/>
        </w:rPr>
      </w:pPr>
      <w:r>
        <w:rPr>
          <w:rFonts w:ascii="仿宋" w:hAnsi="仿宋" w:eastAsia="仿宋"/>
        </w:rPr>
        <w:drawing>
          <wp:anchor distT="0" distB="0" distL="114300" distR="114300" simplePos="0" relativeHeight="251659264" behindDoc="0" locked="0" layoutInCell="1" allowOverlap="1">
            <wp:simplePos x="0" y="0"/>
            <wp:positionH relativeFrom="margin">
              <wp:align>left</wp:align>
            </wp:positionH>
            <wp:positionV relativeFrom="paragraph">
              <wp:posOffset>67945</wp:posOffset>
            </wp:positionV>
            <wp:extent cx="3599815" cy="1621155"/>
            <wp:effectExtent l="0" t="0" r="12065" b="9525"/>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99815" cy="1621155"/>
                    </a:xfrm>
                    <a:prstGeom prst="rect">
                      <a:avLst/>
                    </a:prstGeom>
                    <a:noFill/>
                    <a:ln>
                      <a:noFill/>
                    </a:ln>
                  </pic:spPr>
                </pic:pic>
              </a:graphicData>
            </a:graphic>
          </wp:anchor>
        </w:drawing>
      </w:r>
    </w:p>
    <w:p>
      <w:pPr>
        <w:pStyle w:val="2"/>
        <w:spacing w:line="480" w:lineRule="exact"/>
        <w:ind w:firstLine="240" w:firstLineChars="100"/>
        <w:contextualSpacing/>
        <w:rPr>
          <w:rFonts w:ascii="仿宋" w:hAnsi="仿宋"/>
          <w:sz w:val="24"/>
        </w:rPr>
      </w:pPr>
    </w:p>
    <w:p>
      <w:pPr>
        <w:pStyle w:val="2"/>
        <w:spacing w:line="480" w:lineRule="exact"/>
        <w:ind w:firstLine="240" w:firstLineChars="100"/>
        <w:contextualSpacing/>
        <w:rPr>
          <w:rFonts w:ascii="仿宋" w:hAnsi="仿宋"/>
          <w:sz w:val="24"/>
        </w:rPr>
      </w:pPr>
    </w:p>
    <w:p>
      <w:pPr>
        <w:spacing w:line="480" w:lineRule="exact"/>
        <w:contextualSpacing/>
        <w:rPr>
          <w:rFonts w:ascii="仿宋" w:hAnsi="仿宋" w:eastAsia="仿宋"/>
          <w:lang w:val="zh-CN"/>
        </w:rPr>
      </w:pPr>
    </w:p>
    <w:p>
      <w:pPr>
        <w:spacing w:line="480" w:lineRule="exact"/>
        <w:contextualSpacing/>
        <w:rPr>
          <w:rFonts w:ascii="仿宋" w:hAnsi="仿宋" w:eastAsia="仿宋"/>
          <w:lang w:val="zh-CN"/>
        </w:rPr>
      </w:pPr>
    </w:p>
    <w:p>
      <w:pPr>
        <w:spacing w:line="480" w:lineRule="exact"/>
        <w:contextualSpacing/>
        <w:rPr>
          <w:rFonts w:ascii="仿宋" w:hAnsi="仿宋" w:eastAsia="仿宋"/>
          <w:lang w:val="zh-CN"/>
        </w:rPr>
      </w:pPr>
    </w:p>
    <w:p>
      <w:pPr>
        <w:pStyle w:val="2"/>
        <w:spacing w:line="480" w:lineRule="exact"/>
        <w:contextualSpacing/>
        <w:rPr>
          <w:rFonts w:ascii="仿宋" w:hAnsi="仿宋" w:eastAsia="仿宋"/>
          <w:sz w:val="24"/>
        </w:rPr>
      </w:pPr>
      <w:r>
        <w:rPr>
          <w:rFonts w:ascii="仿宋" w:hAnsi="仿宋" w:eastAsia="仿宋"/>
          <w:sz w:val="24"/>
        </w:rPr>
        <w:t>5.3</w:t>
      </w:r>
      <w:r>
        <w:rPr>
          <w:rFonts w:hint="eastAsia" w:ascii="仿宋" w:hAnsi="仿宋" w:eastAsia="仿宋"/>
          <w:sz w:val="24"/>
        </w:rPr>
        <w:t>.黑板灯安装要求</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①</w:t>
      </w:r>
      <w:r>
        <w:rPr>
          <w:rFonts w:ascii="仿宋" w:hAnsi="仿宋" w:eastAsia="仿宋"/>
          <w:sz w:val="24"/>
        </w:rPr>
        <w:t>宜采用吊杆安装方式，灯具平行于黑板安装，灯具距黑板平行间 d</w:t>
      </w:r>
      <w:r>
        <w:rPr>
          <w:rFonts w:hint="eastAsia" w:ascii="仿宋" w:hAnsi="仿宋" w:eastAsia="仿宋"/>
          <w:sz w:val="24"/>
        </w:rPr>
        <w:t>≤</w:t>
      </w:r>
      <w:r>
        <w:rPr>
          <w:rFonts w:ascii="仿宋" w:hAnsi="仿宋" w:eastAsia="仿宋"/>
          <w:sz w:val="24"/>
        </w:rPr>
        <w:t>1000mm，距黑板上缘垂直距离 h</w:t>
      </w:r>
      <w:r>
        <w:rPr>
          <w:rFonts w:hint="eastAsia" w:ascii="仿宋" w:hAnsi="仿宋" w:eastAsia="仿宋"/>
          <w:sz w:val="24"/>
        </w:rPr>
        <w:t>≥</w:t>
      </w:r>
      <w:r>
        <w:rPr>
          <w:rFonts w:ascii="仿宋" w:hAnsi="仿宋" w:eastAsia="仿宋"/>
          <w:sz w:val="24"/>
        </w:rPr>
        <w:t>100mm，以防黑板灯具遮挡投影仪或对授课老师产生直接眩光</w:t>
      </w:r>
      <w:r>
        <w:rPr>
          <w:rFonts w:hint="eastAsia" w:ascii="仿宋" w:hAnsi="仿宋" w:eastAsia="仿宋"/>
          <w:sz w:val="24"/>
        </w:rPr>
        <w:t>。</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②</w:t>
      </w:r>
      <w:r>
        <w:rPr>
          <w:rFonts w:ascii="仿宋" w:hAnsi="仿宋" w:eastAsia="仿宋"/>
          <w:sz w:val="24"/>
        </w:rPr>
        <w:t>黑板照明灯具的投射角，安装高度应可调节以满足黑板不同照明要求。投射角及高度双向调节可以满足有（无）电子白板（或投影仪）等视觉显示终端不同教室的黑板照明要求。</w:t>
      </w:r>
      <w:r>
        <w:rPr>
          <w:rFonts w:hint="eastAsia" w:ascii="仿宋" w:hAnsi="仿宋" w:eastAsia="仿宋"/>
          <w:sz w:val="24"/>
        </w:rPr>
        <w:t>（注：教室内都安装有投影设备或交互大屏）</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③线路须穿管或扣板保护，不得有裸露电线。</w:t>
      </w:r>
    </w:p>
    <w:p>
      <w:pPr>
        <w:pStyle w:val="2"/>
        <w:adjustRightInd w:val="0"/>
        <w:snapToGrid w:val="0"/>
        <w:spacing w:line="480" w:lineRule="exact"/>
        <w:contextualSpacing/>
        <w:rPr>
          <w:rFonts w:ascii="仿宋" w:hAnsi="仿宋" w:eastAsia="仿宋"/>
          <w:sz w:val="24"/>
        </w:rPr>
      </w:pPr>
      <w:r>
        <w:rPr>
          <w:rFonts w:ascii="仿宋" w:hAnsi="仿宋" w:eastAsia="仿宋"/>
          <w:sz w:val="24"/>
        </w:rPr>
        <w:t>5.4</w:t>
      </w:r>
      <w:r>
        <w:rPr>
          <w:rFonts w:hint="eastAsia" w:ascii="仿宋" w:hAnsi="仿宋" w:eastAsia="仿宋"/>
          <w:sz w:val="24"/>
        </w:rPr>
        <w:t>.照明控制安装要求</w:t>
      </w:r>
    </w:p>
    <w:p>
      <w:pPr>
        <w:spacing w:line="480" w:lineRule="exact"/>
        <w:ind w:left="210" w:leftChars="100"/>
        <w:contextualSpacing/>
        <w:rPr>
          <w:rFonts w:ascii="仿宋" w:hAnsi="仿宋" w:eastAsia="仿宋"/>
          <w:sz w:val="24"/>
          <w:lang w:val="zh-CN"/>
        </w:rPr>
      </w:pPr>
      <w:r>
        <w:rPr>
          <w:rFonts w:hint="eastAsia" w:ascii="仿宋" w:hAnsi="仿宋" w:eastAsia="仿宋"/>
          <w:sz w:val="24"/>
          <w:lang w:val="zh-CN"/>
        </w:rPr>
        <w:t>①</w:t>
      </w:r>
      <w:r>
        <w:rPr>
          <w:rFonts w:ascii="仿宋" w:hAnsi="仿宋" w:eastAsia="仿宋"/>
          <w:sz w:val="24"/>
          <w:lang w:val="zh-CN"/>
        </w:rPr>
        <w:t>教室照明控制应符合 GB50034-2013</w:t>
      </w:r>
      <w:r>
        <w:rPr>
          <w:rFonts w:hint="eastAsia" w:ascii="仿宋" w:hAnsi="仿宋" w:eastAsia="仿宋"/>
          <w:sz w:val="24"/>
          <w:lang w:val="zh-CN"/>
        </w:rPr>
        <w:t>《建筑照明设计标准》</w:t>
      </w:r>
      <w:r>
        <w:rPr>
          <w:rFonts w:ascii="仿宋" w:hAnsi="仿宋" w:eastAsia="仿宋"/>
          <w:sz w:val="24"/>
          <w:lang w:val="zh-CN"/>
        </w:rPr>
        <w:t>、GB50099-2011</w:t>
      </w:r>
      <w:r>
        <w:rPr>
          <w:rFonts w:hint="eastAsia" w:ascii="仿宋" w:hAnsi="仿宋" w:eastAsia="仿宋"/>
          <w:sz w:val="24"/>
          <w:lang w:val="zh-CN"/>
        </w:rPr>
        <w:t>《中小学校设计规范》</w:t>
      </w:r>
      <w:r>
        <w:rPr>
          <w:rFonts w:ascii="仿宋" w:hAnsi="仿宋" w:eastAsia="仿宋"/>
          <w:sz w:val="24"/>
          <w:lang w:val="zh-CN"/>
        </w:rPr>
        <w:t xml:space="preserve">和GB50303-2015 </w:t>
      </w:r>
      <w:r>
        <w:rPr>
          <w:rFonts w:hint="eastAsia" w:ascii="仿宋" w:hAnsi="仿宋" w:eastAsia="仿宋"/>
          <w:sz w:val="24"/>
          <w:lang w:val="zh-CN"/>
        </w:rPr>
        <w:t>《建筑电气工程施工质量验收规范》</w:t>
      </w:r>
      <w:r>
        <w:rPr>
          <w:rFonts w:ascii="仿宋" w:hAnsi="仿宋" w:eastAsia="仿宋"/>
          <w:sz w:val="24"/>
          <w:lang w:val="zh-CN"/>
        </w:rPr>
        <w:t>规定。</w:t>
      </w:r>
      <w:r>
        <w:rPr>
          <w:rFonts w:hint="eastAsia" w:ascii="仿宋" w:hAnsi="仿宋" w:eastAsia="仿宋"/>
          <w:sz w:val="24"/>
          <w:lang w:val="zh-CN"/>
        </w:rPr>
        <w:br w:type="textWrapping"/>
      </w:r>
      <w:r>
        <w:rPr>
          <w:rFonts w:hint="eastAsia" w:ascii="仿宋" w:hAnsi="仿宋" w:eastAsia="仿宋"/>
          <w:sz w:val="24"/>
          <w:lang w:val="zh-CN"/>
        </w:rPr>
        <w:t>②</w:t>
      </w:r>
      <w:r>
        <w:rPr>
          <w:rFonts w:ascii="仿宋" w:hAnsi="仿宋" w:eastAsia="仿宋"/>
          <w:sz w:val="24"/>
          <w:lang w:val="zh-CN"/>
        </w:rPr>
        <w:t>教室内的黑板灯具、靠窗户的灯具以及靠内侧的灯具应分别设置电源开关，能独立的开和关。</w:t>
      </w:r>
    </w:p>
    <w:p>
      <w:pPr>
        <w:spacing w:line="480" w:lineRule="exact"/>
        <w:ind w:firstLine="240" w:firstLineChars="100"/>
        <w:contextualSpacing/>
        <w:rPr>
          <w:rFonts w:ascii="仿宋" w:hAnsi="仿宋" w:eastAsia="仿宋"/>
          <w:sz w:val="24"/>
          <w:lang w:val="zh-CN"/>
        </w:rPr>
      </w:pPr>
      <w:r>
        <w:rPr>
          <w:rFonts w:hint="eastAsia" w:ascii="仿宋" w:hAnsi="仿宋" w:eastAsia="仿宋"/>
          <w:sz w:val="24"/>
          <w:lang w:val="zh-CN"/>
        </w:rPr>
        <w:t>③</w:t>
      </w:r>
      <w:r>
        <w:rPr>
          <w:rFonts w:ascii="仿宋" w:hAnsi="仿宋" w:eastAsia="仿宋"/>
          <w:sz w:val="24"/>
          <w:lang w:val="zh-CN"/>
        </w:rPr>
        <w:t>教室照明调光系统分多个回路控制。教室照明灯具第一横排的每个灯具应由单独回路开关控制，在使用多媒体教学时，可分别调节照明、照度。其余每一纵列灯具由独立回路开关控制。</w:t>
      </w:r>
    </w:p>
    <w:p>
      <w:pPr>
        <w:spacing w:line="480" w:lineRule="exact"/>
        <w:ind w:firstLine="240" w:firstLineChars="100"/>
        <w:contextualSpacing/>
        <w:rPr>
          <w:rFonts w:ascii="仿宋" w:hAnsi="仿宋" w:eastAsia="仿宋"/>
          <w:sz w:val="24"/>
          <w:lang w:val="zh-CN"/>
        </w:rPr>
      </w:pPr>
      <w:r>
        <w:rPr>
          <w:rFonts w:hint="eastAsia" w:ascii="仿宋" w:hAnsi="仿宋" w:eastAsia="仿宋"/>
          <w:sz w:val="24"/>
          <w:lang w:val="zh-CN"/>
        </w:rPr>
        <w:t>④</w:t>
      </w:r>
      <w:r>
        <w:rPr>
          <w:rFonts w:ascii="仿宋" w:hAnsi="仿宋" w:eastAsia="仿宋"/>
          <w:sz w:val="24"/>
          <w:lang w:val="zh-CN"/>
        </w:rPr>
        <w:t>黑板照明应分多个回路控制，每个灯具应由单独回路开关控制，在使用多媒体教学时，可分别调节照明、照度。</w:t>
      </w:r>
    </w:p>
    <w:p>
      <w:pPr>
        <w:pStyle w:val="2"/>
        <w:spacing w:line="480" w:lineRule="exact"/>
        <w:ind w:firstLine="240" w:firstLineChars="100"/>
        <w:contextualSpacing/>
        <w:rPr>
          <w:rFonts w:ascii="仿宋" w:hAnsi="仿宋" w:eastAsia="仿宋"/>
          <w:sz w:val="24"/>
        </w:rPr>
      </w:pPr>
      <w:r>
        <w:rPr>
          <w:rFonts w:hint="eastAsia" w:ascii="仿宋" w:hAnsi="仿宋" w:eastAsia="仿宋"/>
          <w:sz w:val="24"/>
        </w:rPr>
        <w:t>⑤线路须穿管或扣板保护，不得有裸露电线。</w:t>
      </w:r>
      <w:r>
        <w:rPr>
          <w:rFonts w:ascii="仿宋" w:hAnsi="仿宋" w:eastAsia="仿宋"/>
          <w:sz w:val="24"/>
        </w:rPr>
        <w:t>教室照明系统供电线路设计、线缆选型、施工安装等不得存有安全隐患。</w:t>
      </w:r>
    </w:p>
    <w:p>
      <w:pPr>
        <w:pStyle w:val="2"/>
        <w:spacing w:line="480" w:lineRule="exact"/>
        <w:contextualSpacing/>
        <w:rPr>
          <w:rFonts w:ascii="仿宋" w:hAnsi="仿宋" w:eastAsia="仿宋"/>
          <w:sz w:val="24"/>
        </w:rPr>
      </w:pPr>
      <w:r>
        <w:rPr>
          <w:rFonts w:ascii="仿宋" w:hAnsi="仿宋" w:eastAsia="仿宋"/>
        </w:rPr>
        <w:drawing>
          <wp:anchor distT="0" distB="0" distL="114300" distR="114300" simplePos="0" relativeHeight="251660288" behindDoc="0" locked="0" layoutInCell="1" allowOverlap="1">
            <wp:simplePos x="0" y="0"/>
            <wp:positionH relativeFrom="column">
              <wp:posOffset>384175</wp:posOffset>
            </wp:positionH>
            <wp:positionV relativeFrom="paragraph">
              <wp:posOffset>95885</wp:posOffset>
            </wp:positionV>
            <wp:extent cx="2912110" cy="3170555"/>
            <wp:effectExtent l="0" t="0" r="13970" b="14605"/>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12012" cy="3170582"/>
                    </a:xfrm>
                    <a:prstGeom prst="rect">
                      <a:avLst/>
                    </a:prstGeom>
                    <a:noFill/>
                    <a:ln>
                      <a:noFill/>
                    </a:ln>
                  </pic:spPr>
                </pic:pic>
              </a:graphicData>
            </a:graphic>
          </wp:anchor>
        </w:drawing>
      </w: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rPr>
      </w:pPr>
    </w:p>
    <w:p>
      <w:pPr>
        <w:pStyle w:val="2"/>
        <w:spacing w:line="480" w:lineRule="exact"/>
        <w:contextualSpacing/>
        <w:rPr>
          <w:rFonts w:ascii="仿宋" w:hAnsi="仿宋" w:eastAsia="仿宋"/>
          <w:sz w:val="24"/>
          <w:highlight w:val="yellow"/>
        </w:rPr>
      </w:pPr>
      <w:r>
        <w:rPr>
          <w:rFonts w:hint="eastAsia" w:ascii="仿宋" w:hAnsi="仿宋" w:eastAsia="仿宋"/>
          <w:sz w:val="24"/>
          <w:highlight w:val="yellow"/>
        </w:rPr>
        <w:t>5.5 学校特殊要求</w:t>
      </w:r>
    </w:p>
    <w:p>
      <w:pPr>
        <w:pStyle w:val="2"/>
        <w:spacing w:line="480" w:lineRule="exact"/>
        <w:contextualSpacing/>
        <w:rPr>
          <w:rFonts w:ascii="仿宋" w:hAnsi="仿宋" w:eastAsia="仿宋"/>
          <w:sz w:val="24"/>
          <w:highlight w:val="yellow"/>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highlight w:val="yellow"/>
        </w:rPr>
        <w:t>如</w:t>
      </w:r>
      <w:r>
        <w:rPr>
          <w:rFonts w:hint="eastAsia" w:ascii="仿宋" w:hAnsi="仿宋" w:eastAsia="仿宋"/>
          <w:sz w:val="24"/>
          <w:highlight w:val="yellow"/>
          <w:lang w:eastAsia="zh-CN"/>
        </w:rPr>
        <w:t>成交</w:t>
      </w:r>
      <w:r>
        <w:rPr>
          <w:rFonts w:hint="eastAsia" w:ascii="仿宋" w:hAnsi="仿宋" w:eastAsia="仿宋"/>
          <w:sz w:val="24"/>
          <w:highlight w:val="yellow"/>
        </w:rPr>
        <w:t>供应商因安装照明设备对学校教室、功能室、阅览室墙面、吊顶、电路等原装饰装修部分造成了影响或破坏，供应商须将所影响或破坏的部分恢复原貌。</w:t>
      </w:r>
    </w:p>
    <w:p>
      <w:pPr>
        <w:pStyle w:val="2"/>
        <w:spacing w:line="480" w:lineRule="exact"/>
        <w:contextualSpacing/>
        <w:rPr>
          <w:rFonts w:ascii="仿宋" w:hAnsi="仿宋" w:eastAsia="仿宋"/>
          <w:sz w:val="24"/>
        </w:rPr>
      </w:pPr>
      <w:r>
        <w:rPr>
          <w:rFonts w:hint="eastAsia" w:ascii="仿宋" w:hAnsi="仿宋" w:eastAsia="仿宋"/>
          <w:sz w:val="24"/>
        </w:rPr>
        <w:t>6、验收要求：</w:t>
      </w:r>
    </w:p>
    <w:p>
      <w:pPr>
        <w:pStyle w:val="285"/>
        <w:tabs>
          <w:tab w:val="left" w:pos="312"/>
        </w:tabs>
        <w:spacing w:line="480" w:lineRule="exact"/>
        <w:ind w:right="-216" w:rightChars="-103" w:firstLine="0" w:firstLineChars="0"/>
        <w:contextualSpacing/>
        <w:rPr>
          <w:rFonts w:hint="default" w:ascii="仿宋" w:hAnsi="仿宋" w:eastAsia="仿宋" w:cs="宋体"/>
        </w:rPr>
      </w:pPr>
      <w:r>
        <w:rPr>
          <w:rFonts w:ascii="仿宋" w:hAnsi="仿宋" w:eastAsia="仿宋"/>
        </w:rPr>
        <w:t>6.1.</w:t>
      </w:r>
      <w:r>
        <w:rPr>
          <w:rFonts w:ascii="仿宋" w:hAnsi="仿宋" w:eastAsia="仿宋" w:cs="宋体"/>
        </w:rPr>
        <w:t>本项目严格按照《财政部关于进一步加强政府采购需求和履约验收管理的指导意见》（财库[2016]205号）的相关规定进行验收。</w:t>
      </w:r>
      <w:r>
        <w:rPr>
          <w:rFonts w:hint="eastAsia" w:ascii="仿宋" w:hAnsi="仿宋" w:eastAsia="仿宋" w:cs="宋体"/>
          <w:lang w:eastAsia="zh-CN"/>
        </w:rPr>
        <w:t>成交供应商</w:t>
      </w:r>
      <w:r>
        <w:rPr>
          <w:rFonts w:ascii="仿宋" w:hAnsi="仿宋" w:eastAsia="仿宋" w:cs="宋体"/>
        </w:rPr>
        <w:t>交货安装完毕后</w:t>
      </w:r>
      <w:r>
        <w:rPr>
          <w:rFonts w:hint="eastAsia" w:ascii="仿宋" w:hAnsi="仿宋" w:eastAsia="仿宋" w:cs="宋体"/>
          <w:lang w:val="en-US" w:eastAsia="zh-CN"/>
        </w:rPr>
        <w:t>7个工作日内</w:t>
      </w:r>
      <w:r>
        <w:rPr>
          <w:rFonts w:hint="eastAsia" w:ascii="仿宋" w:hAnsi="仿宋" w:eastAsia="仿宋" w:cs="宋体"/>
          <w:lang w:eastAsia="zh-CN"/>
        </w:rPr>
        <w:t>，采购人将聘请专业检</w:t>
      </w:r>
      <w:r>
        <w:rPr>
          <w:rFonts w:ascii="仿宋" w:hAnsi="仿宋" w:eastAsia="仿宋" w:cs="宋体"/>
        </w:rPr>
        <w:t>测机构、相关专家、学校相关负责人组建验收小组。验收专业检测机构（具有检测资质的第三方检测机构），按照采购约定的标准进行检测，并出具合格的检测报告。委托的检测机构抽测教室比例不低于场室总数的10%，抽测兼顾不同类型的教室。检测指标至少包括①课桌面维持平均照度；②黑板面维持平均照度；③课桌面均匀度；④黑板面均匀度；⑤照明功率密度；⑥统一眩光值；⑦频闪等指标。检测不符合要求的视为验收不合格。检测费用由</w:t>
      </w:r>
      <w:r>
        <w:rPr>
          <w:rFonts w:hint="eastAsia" w:ascii="仿宋" w:hAnsi="仿宋" w:eastAsia="仿宋" w:cs="宋体"/>
          <w:lang w:eastAsia="zh-CN"/>
        </w:rPr>
        <w:t>成交供应商</w:t>
      </w:r>
      <w:r>
        <w:rPr>
          <w:rFonts w:ascii="仿宋" w:hAnsi="仿宋" w:eastAsia="仿宋" w:cs="宋体"/>
        </w:rPr>
        <w:t>负责支付。抽测合格后，</w:t>
      </w:r>
      <w:r>
        <w:rPr>
          <w:rFonts w:hint="eastAsia" w:ascii="仿宋" w:hAnsi="仿宋" w:eastAsia="仿宋" w:cs="宋体"/>
          <w:lang w:eastAsia="zh-CN"/>
        </w:rPr>
        <w:t>成交供应商</w:t>
      </w:r>
      <w:r>
        <w:rPr>
          <w:rFonts w:ascii="仿宋" w:hAnsi="仿宋" w:eastAsia="仿宋" w:cs="宋体"/>
        </w:rPr>
        <w:t>方可申请</w:t>
      </w:r>
      <w:r>
        <w:rPr>
          <w:rFonts w:hint="eastAsia" w:ascii="仿宋" w:hAnsi="仿宋" w:eastAsia="仿宋" w:cs="宋体"/>
          <w:lang w:val="en-US" w:eastAsia="zh-CN"/>
        </w:rPr>
        <w:t>终验</w:t>
      </w:r>
      <w:r>
        <w:rPr>
          <w:rFonts w:ascii="仿宋" w:hAnsi="仿宋" w:eastAsia="仿宋" w:cs="宋体"/>
        </w:rPr>
        <w:t>。</w:t>
      </w:r>
    </w:p>
    <w:p>
      <w:pPr>
        <w:pStyle w:val="285"/>
        <w:tabs>
          <w:tab w:val="left" w:pos="312"/>
        </w:tabs>
        <w:spacing w:line="480" w:lineRule="exact"/>
        <w:ind w:right="-216" w:rightChars="-103" w:firstLine="0" w:firstLineChars="0"/>
        <w:contextualSpacing/>
        <w:rPr>
          <w:rFonts w:hint="default" w:ascii="仿宋" w:hAnsi="仿宋" w:eastAsia="仿宋" w:cs="宋体"/>
        </w:rPr>
      </w:pPr>
      <w:r>
        <w:rPr>
          <w:rFonts w:ascii="仿宋" w:hAnsi="仿宋" w:eastAsia="仿宋" w:cs="宋体"/>
        </w:rPr>
        <w:t>6</w:t>
      </w:r>
      <w:r>
        <w:rPr>
          <w:rFonts w:hint="default" w:ascii="仿宋" w:hAnsi="仿宋" w:eastAsia="仿宋" w:cs="宋体"/>
        </w:rPr>
        <w:t>.2.</w:t>
      </w:r>
      <w:r>
        <w:rPr>
          <w:rFonts w:ascii="仿宋" w:hAnsi="仿宋" w:eastAsia="仿宋" w:cs="宋体"/>
        </w:rPr>
        <w:t>第一次验收不合格，</w:t>
      </w:r>
      <w:r>
        <w:rPr>
          <w:rFonts w:hint="eastAsia" w:ascii="仿宋" w:hAnsi="仿宋" w:eastAsia="仿宋" w:cs="宋体"/>
          <w:lang w:eastAsia="zh-CN"/>
        </w:rPr>
        <w:t>成交供应商</w:t>
      </w:r>
      <w:r>
        <w:rPr>
          <w:rFonts w:ascii="仿宋" w:hAnsi="仿宋" w:eastAsia="仿宋" w:cs="宋体"/>
        </w:rPr>
        <w:t>须在15天内完成全面整改，并委托专业机构检测抽测场室比例不低于场室总数的20%，并提供整改后质量检测合格报告。不合格继续按以上方式整改，每整改一次，检测抽测比例增加10%。整改合格后采购人组织其他人员进行整改后的验收。</w:t>
      </w:r>
      <w:r>
        <w:rPr>
          <w:rFonts w:hint="eastAsia" w:ascii="仿宋" w:hAnsi="仿宋" w:eastAsia="仿宋" w:cs="宋体"/>
          <w:lang w:val="en-US" w:eastAsia="zh-CN"/>
        </w:rPr>
        <w:t>验收结束</w:t>
      </w:r>
      <w:r>
        <w:rPr>
          <w:rFonts w:ascii="仿宋" w:hAnsi="仿宋" w:eastAsia="仿宋" w:cs="宋体"/>
        </w:rPr>
        <w:t>后，采购人委托的专业检测机构进行的检测费用，由</w:t>
      </w:r>
      <w:r>
        <w:rPr>
          <w:rFonts w:hint="eastAsia" w:ascii="仿宋" w:hAnsi="仿宋" w:eastAsia="仿宋" w:cs="宋体"/>
          <w:lang w:eastAsia="zh-CN"/>
        </w:rPr>
        <w:t>成交供应商</w:t>
      </w:r>
      <w:r>
        <w:rPr>
          <w:rFonts w:ascii="仿宋" w:hAnsi="仿宋" w:eastAsia="仿宋" w:cs="宋体"/>
        </w:rPr>
        <w:t>负责支付。</w:t>
      </w:r>
    </w:p>
    <w:p>
      <w:pPr>
        <w:pStyle w:val="285"/>
        <w:tabs>
          <w:tab w:val="left" w:pos="312"/>
        </w:tabs>
        <w:spacing w:line="480" w:lineRule="exact"/>
        <w:ind w:left="1" w:right="-216" w:rightChars="-103" w:firstLine="0" w:firstLineChars="0"/>
        <w:contextualSpacing/>
        <w:rPr>
          <w:rFonts w:hint="default" w:ascii="仿宋" w:hAnsi="仿宋" w:eastAsia="仿宋" w:cs="宋体"/>
        </w:rPr>
      </w:pPr>
      <w:r>
        <w:rPr>
          <w:rFonts w:ascii="仿宋" w:hAnsi="仿宋" w:eastAsia="仿宋" w:cs="宋体"/>
        </w:rPr>
        <w:t>6</w:t>
      </w:r>
      <w:r>
        <w:rPr>
          <w:rFonts w:hint="default" w:ascii="仿宋" w:hAnsi="仿宋" w:eastAsia="仿宋" w:cs="宋体"/>
        </w:rPr>
        <w:t>.3.</w:t>
      </w:r>
      <w:r>
        <w:rPr>
          <w:rFonts w:ascii="仿宋" w:hAnsi="仿宋" w:eastAsia="仿宋" w:cs="宋体"/>
        </w:rPr>
        <w:t>验收前</w:t>
      </w:r>
      <w:r>
        <w:rPr>
          <w:rFonts w:hint="eastAsia" w:ascii="仿宋" w:hAnsi="仿宋" w:eastAsia="仿宋" w:cs="宋体"/>
          <w:lang w:eastAsia="zh-CN"/>
        </w:rPr>
        <w:t>成交供应商</w:t>
      </w:r>
      <w:r>
        <w:rPr>
          <w:rFonts w:ascii="仿宋" w:hAnsi="仿宋" w:eastAsia="仿宋" w:cs="宋体"/>
        </w:rPr>
        <w:t>需提供教室光照系统设计方案。</w:t>
      </w:r>
    </w:p>
    <w:p>
      <w:pPr>
        <w:pStyle w:val="285"/>
        <w:tabs>
          <w:tab w:val="left" w:pos="312"/>
        </w:tabs>
        <w:spacing w:line="480" w:lineRule="exact"/>
        <w:ind w:right="-216" w:rightChars="-103" w:firstLine="0" w:firstLineChars="0"/>
        <w:contextualSpacing/>
        <w:rPr>
          <w:rFonts w:hint="default" w:ascii="仿宋" w:hAnsi="仿宋" w:eastAsia="仿宋" w:cs="宋体"/>
        </w:rPr>
      </w:pPr>
      <w:r>
        <w:rPr>
          <w:rFonts w:ascii="仿宋" w:hAnsi="仿宋" w:eastAsia="仿宋" w:cs="宋体"/>
        </w:rPr>
        <w:t>6</w:t>
      </w:r>
      <w:r>
        <w:rPr>
          <w:rFonts w:hint="default" w:ascii="仿宋" w:hAnsi="仿宋" w:eastAsia="仿宋" w:cs="宋体"/>
        </w:rPr>
        <w:t>.4.</w:t>
      </w:r>
      <w:r>
        <w:rPr>
          <w:rFonts w:ascii="仿宋" w:hAnsi="仿宋" w:eastAsia="仿宋" w:cs="宋体"/>
        </w:rPr>
        <w:t>验收前</w:t>
      </w:r>
      <w:r>
        <w:rPr>
          <w:rFonts w:hint="eastAsia" w:ascii="仿宋" w:hAnsi="仿宋" w:eastAsia="仿宋" w:cs="宋体"/>
          <w:lang w:eastAsia="zh-CN"/>
        </w:rPr>
        <w:t>成交供应商</w:t>
      </w:r>
      <w:r>
        <w:rPr>
          <w:rFonts w:ascii="仿宋" w:hAnsi="仿宋" w:eastAsia="仿宋" w:cs="宋体"/>
        </w:rPr>
        <w:t>需提供视觉环境建设施工方案。</w:t>
      </w:r>
    </w:p>
    <w:p>
      <w:pPr>
        <w:pStyle w:val="285"/>
        <w:tabs>
          <w:tab w:val="left" w:pos="312"/>
        </w:tabs>
        <w:spacing w:line="480" w:lineRule="exact"/>
        <w:ind w:left="1" w:right="-216" w:rightChars="-103" w:firstLine="0" w:firstLineChars="0"/>
        <w:contextualSpacing/>
        <w:rPr>
          <w:rFonts w:hint="default" w:ascii="仿宋" w:hAnsi="仿宋" w:eastAsia="仿宋" w:cs="宋体"/>
        </w:rPr>
      </w:pPr>
      <w:r>
        <w:rPr>
          <w:rFonts w:ascii="仿宋" w:hAnsi="仿宋" w:eastAsia="仿宋" w:cs="宋体"/>
        </w:rPr>
        <w:t>6</w:t>
      </w:r>
      <w:r>
        <w:rPr>
          <w:rFonts w:hint="default" w:ascii="仿宋" w:hAnsi="仿宋" w:eastAsia="仿宋" w:cs="宋体"/>
        </w:rPr>
        <w:t>.5.</w:t>
      </w:r>
      <w:r>
        <w:rPr>
          <w:rFonts w:ascii="仿宋" w:hAnsi="仿宋" w:eastAsia="仿宋" w:cs="宋体"/>
        </w:rPr>
        <w:t>验收前</w:t>
      </w:r>
      <w:r>
        <w:rPr>
          <w:rFonts w:hint="eastAsia" w:ascii="仿宋" w:hAnsi="仿宋" w:eastAsia="仿宋" w:cs="宋体"/>
          <w:lang w:eastAsia="zh-CN"/>
        </w:rPr>
        <w:t>成交供应商</w:t>
      </w:r>
      <w:r>
        <w:rPr>
          <w:rFonts w:ascii="仿宋" w:hAnsi="仿宋" w:eastAsia="仿宋" w:cs="宋体"/>
        </w:rPr>
        <w:t>需提供配置设备产品合格证明材料。</w:t>
      </w:r>
    </w:p>
    <w:p>
      <w:pPr>
        <w:pStyle w:val="285"/>
        <w:tabs>
          <w:tab w:val="left" w:pos="312"/>
        </w:tabs>
        <w:spacing w:line="480" w:lineRule="exact"/>
        <w:ind w:left="1" w:right="-216" w:rightChars="-103" w:firstLine="0" w:firstLineChars="0"/>
        <w:contextualSpacing/>
        <w:rPr>
          <w:rFonts w:hint="default" w:ascii="仿宋" w:hAnsi="仿宋" w:eastAsia="仿宋" w:cs="宋体"/>
        </w:rPr>
      </w:pPr>
      <w:r>
        <w:rPr>
          <w:rFonts w:ascii="仿宋" w:hAnsi="仿宋" w:eastAsia="仿宋" w:cs="宋体"/>
        </w:rPr>
        <w:t>6</w:t>
      </w:r>
      <w:r>
        <w:rPr>
          <w:rFonts w:hint="default" w:ascii="仿宋" w:hAnsi="仿宋" w:eastAsia="仿宋" w:cs="宋体"/>
        </w:rPr>
        <w:t>.6.</w:t>
      </w:r>
      <w:r>
        <w:rPr>
          <w:rFonts w:ascii="仿宋" w:hAnsi="仿宋" w:eastAsia="仿宋" w:cs="宋体"/>
        </w:rPr>
        <w:t>验收前</w:t>
      </w:r>
      <w:r>
        <w:rPr>
          <w:rFonts w:hint="eastAsia" w:ascii="仿宋" w:hAnsi="仿宋" w:eastAsia="仿宋" w:cs="宋体"/>
          <w:lang w:eastAsia="zh-CN"/>
        </w:rPr>
        <w:t>成交供应商</w:t>
      </w:r>
      <w:r>
        <w:rPr>
          <w:rFonts w:ascii="仿宋" w:hAnsi="仿宋" w:eastAsia="仿宋" w:cs="宋体"/>
        </w:rPr>
        <w:t>需提供配置设备安装规范性证明材料。</w:t>
      </w:r>
    </w:p>
    <w:p>
      <w:pPr>
        <w:spacing w:line="480" w:lineRule="exact"/>
        <w:contextualSpacing/>
        <w:rPr>
          <w:rFonts w:ascii="仿宋" w:hAnsi="仿宋" w:eastAsia="仿宋" w:cs="宋体"/>
          <w:sz w:val="24"/>
        </w:rPr>
      </w:pPr>
      <w:r>
        <w:rPr>
          <w:rFonts w:hint="eastAsia" w:ascii="仿宋" w:hAnsi="仿宋" w:eastAsia="仿宋" w:cs="宋体"/>
          <w:sz w:val="24"/>
        </w:rPr>
        <w:t>6</w:t>
      </w:r>
      <w:r>
        <w:rPr>
          <w:rFonts w:ascii="仿宋" w:hAnsi="仿宋" w:eastAsia="仿宋" w:cs="宋体"/>
          <w:sz w:val="24"/>
        </w:rPr>
        <w:t>.7.验收前</w:t>
      </w:r>
      <w:r>
        <w:rPr>
          <w:rFonts w:hint="eastAsia" w:ascii="仿宋" w:hAnsi="仿宋" w:eastAsia="仿宋" w:cs="宋体"/>
          <w:sz w:val="24"/>
          <w:lang w:eastAsia="zh-CN"/>
        </w:rPr>
        <w:t>成交供应商</w:t>
      </w:r>
      <w:r>
        <w:rPr>
          <w:rFonts w:ascii="仿宋" w:hAnsi="仿宋" w:eastAsia="仿宋" w:cs="宋体"/>
          <w:sz w:val="24"/>
        </w:rPr>
        <w:t>需提供其它与教室视觉环境建设有关的材料</w:t>
      </w:r>
      <w:r>
        <w:rPr>
          <w:rFonts w:hint="eastAsia" w:ascii="仿宋" w:hAnsi="仿宋" w:eastAsia="仿宋" w:cs="宋体"/>
          <w:sz w:val="24"/>
        </w:rPr>
        <w:t>（含投标时提供的检测报告原件及全国认证认可信息公共服务平台检测报告编号查询截图等）</w:t>
      </w:r>
      <w:r>
        <w:rPr>
          <w:rFonts w:ascii="仿宋" w:hAnsi="仿宋" w:eastAsia="仿宋" w:cs="宋体"/>
          <w:sz w:val="24"/>
        </w:rPr>
        <w:t>。</w:t>
      </w:r>
    </w:p>
    <w:p>
      <w:pPr>
        <w:spacing w:line="480" w:lineRule="exact"/>
        <w:contextualSpacing/>
        <w:rPr>
          <w:rFonts w:ascii="仿宋" w:hAnsi="仿宋" w:eastAsia="仿宋"/>
          <w:bCs/>
          <w:sz w:val="24"/>
        </w:rPr>
      </w:pPr>
      <w:r>
        <w:rPr>
          <w:rFonts w:ascii="仿宋" w:hAnsi="仿宋" w:eastAsia="仿宋"/>
          <w:bCs/>
          <w:sz w:val="24"/>
        </w:rPr>
        <w:t>7</w:t>
      </w:r>
      <w:r>
        <w:rPr>
          <w:rFonts w:hint="eastAsia" w:ascii="仿宋" w:hAnsi="仿宋" w:eastAsia="仿宋"/>
          <w:bCs/>
          <w:sz w:val="24"/>
        </w:rPr>
        <w:t>、售后服务：</w:t>
      </w:r>
    </w:p>
    <w:p>
      <w:pPr>
        <w:spacing w:line="480" w:lineRule="exact"/>
        <w:contextualSpacing/>
        <w:rPr>
          <w:rFonts w:ascii="仿宋" w:hAnsi="仿宋" w:eastAsia="仿宋"/>
          <w:sz w:val="24"/>
        </w:rPr>
      </w:pPr>
      <w:r>
        <w:rPr>
          <w:rFonts w:ascii="仿宋" w:hAnsi="仿宋" w:eastAsia="仿宋"/>
          <w:sz w:val="24"/>
        </w:rPr>
        <w:t>7.1.</w:t>
      </w:r>
      <w:r>
        <w:rPr>
          <w:rFonts w:hint="eastAsia" w:ascii="仿宋" w:hAnsi="仿宋" w:eastAsia="仿宋"/>
          <w:sz w:val="24"/>
        </w:rPr>
        <w:t>零配件供应：</w:t>
      </w:r>
      <w:r>
        <w:rPr>
          <w:rFonts w:hint="eastAsia" w:ascii="仿宋" w:hAnsi="仿宋" w:eastAsia="仿宋"/>
          <w:sz w:val="24"/>
          <w:lang w:eastAsia="zh-CN"/>
        </w:rPr>
        <w:t>成交供应商</w:t>
      </w:r>
      <w:r>
        <w:rPr>
          <w:rFonts w:hint="eastAsia" w:ascii="仿宋" w:hAnsi="仿宋" w:eastAsia="仿宋"/>
          <w:sz w:val="24"/>
        </w:rPr>
        <w:t>应保证设备停产后的备件供应保证10年，质保期满后以优惠的价格提供该设备所需的维修零配件。</w:t>
      </w:r>
    </w:p>
    <w:p>
      <w:pPr>
        <w:spacing w:line="480" w:lineRule="exact"/>
        <w:contextualSpacing/>
        <w:rPr>
          <w:rFonts w:ascii="仿宋" w:hAnsi="仿宋" w:eastAsia="仿宋"/>
          <w:sz w:val="24"/>
        </w:rPr>
      </w:pPr>
      <w:r>
        <w:rPr>
          <w:rFonts w:ascii="仿宋" w:hAnsi="仿宋" w:eastAsia="仿宋"/>
          <w:sz w:val="24"/>
        </w:rPr>
        <w:t>7.2.</w:t>
      </w:r>
      <w:r>
        <w:rPr>
          <w:rFonts w:hint="eastAsia" w:ascii="仿宋" w:hAnsi="仿宋" w:eastAsia="仿宋"/>
          <w:sz w:val="24"/>
          <w:lang w:eastAsia="zh-CN"/>
        </w:rPr>
        <w:t>成交供应商</w:t>
      </w:r>
      <w:r>
        <w:rPr>
          <w:rFonts w:hint="eastAsia" w:ascii="仿宋" w:hAnsi="仿宋" w:eastAsia="仿宋"/>
          <w:sz w:val="24"/>
        </w:rPr>
        <w:t>在国内应有24小时电话维修系统，并列出工程师名单、联系电话、通讯地址及备件库地址和备件的详细目录。</w:t>
      </w:r>
    </w:p>
    <w:p>
      <w:pPr>
        <w:spacing w:line="480" w:lineRule="exact"/>
        <w:contextualSpacing/>
        <w:rPr>
          <w:rFonts w:ascii="仿宋" w:hAnsi="仿宋" w:eastAsia="仿宋"/>
          <w:sz w:val="24"/>
        </w:rPr>
      </w:pPr>
      <w:r>
        <w:rPr>
          <w:rFonts w:ascii="仿宋" w:hAnsi="仿宋" w:eastAsia="仿宋"/>
          <w:sz w:val="24"/>
        </w:rPr>
        <w:t>7.3.</w:t>
      </w:r>
      <w:r>
        <w:rPr>
          <w:rFonts w:hint="eastAsia" w:ascii="仿宋" w:hAnsi="仿宋" w:eastAsia="仿宋"/>
          <w:sz w:val="24"/>
          <w:lang w:eastAsia="zh-CN"/>
        </w:rPr>
        <w:t>成交供应商</w:t>
      </w:r>
      <w:r>
        <w:rPr>
          <w:rFonts w:hint="eastAsia" w:ascii="仿宋" w:hAnsi="仿宋" w:eastAsia="仿宋"/>
          <w:sz w:val="24"/>
        </w:rPr>
        <w:t>为本项目提供终身维护的服务。</w:t>
      </w:r>
    </w:p>
    <w:p/>
    <w:p>
      <w:pPr>
        <w:bidi w:val="0"/>
        <w:rPr>
          <w:sz w:val="32"/>
          <w:szCs w:val="36"/>
        </w:rPr>
      </w:pPr>
      <w:r>
        <w:rPr>
          <w:rFonts w:hint="eastAsia"/>
          <w:sz w:val="32"/>
          <w:szCs w:val="36"/>
        </w:rPr>
        <w:t>四、其他要求</w:t>
      </w:r>
    </w:p>
    <w:p>
      <w:pPr>
        <w:spacing w:line="460" w:lineRule="exact"/>
        <w:contextualSpacing/>
        <w:rPr>
          <w:rFonts w:ascii="仿宋" w:hAnsi="仿宋" w:eastAsia="仿宋"/>
          <w:bCs/>
          <w:sz w:val="24"/>
          <w:lang w:val="zh-CN"/>
        </w:rPr>
      </w:pPr>
      <w:r>
        <w:rPr>
          <w:rFonts w:hint="eastAsia" w:ascii="仿宋" w:hAnsi="仿宋" w:eastAsia="仿宋"/>
          <w:bCs/>
          <w:sz w:val="24"/>
          <w:lang w:val="zh-CN"/>
        </w:rPr>
        <w:t>【一】设计方案要求</w:t>
      </w:r>
    </w:p>
    <w:p>
      <w:pPr>
        <w:spacing w:line="460" w:lineRule="exact"/>
        <w:ind w:left="-20" w:firstLine="240" w:firstLineChars="100"/>
        <w:contextualSpacing/>
        <w:rPr>
          <w:rFonts w:ascii="仿宋" w:hAnsi="仿宋" w:eastAsia="仿宋" w:cs="宋体"/>
          <w:kern w:val="0"/>
          <w:sz w:val="24"/>
        </w:rPr>
      </w:pPr>
      <w:r>
        <w:rPr>
          <w:rFonts w:hint="eastAsia" w:ascii="仿宋" w:hAnsi="仿宋" w:eastAsia="仿宋" w:cs="宋体"/>
          <w:sz w:val="24"/>
        </w:rPr>
        <w:t>1、每间教室数据采集，至少包含：教室空间数据测量、课桌面照度数据采集、黑板数据照度采集等指标和过程资料。</w:t>
      </w:r>
    </w:p>
    <w:p>
      <w:pPr>
        <w:spacing w:line="460" w:lineRule="exact"/>
        <w:ind w:left="-20" w:firstLine="240" w:firstLineChars="100"/>
        <w:contextualSpacing/>
        <w:rPr>
          <w:rFonts w:ascii="仿宋" w:hAnsi="仿宋" w:eastAsia="仿宋" w:cs="宋体"/>
          <w:sz w:val="24"/>
        </w:rPr>
      </w:pPr>
      <w:r>
        <w:rPr>
          <w:rFonts w:hint="eastAsia" w:ascii="仿宋" w:hAnsi="仿宋" w:eastAsia="仿宋" w:cs="宋体"/>
          <w:kern w:val="0"/>
          <w:sz w:val="24"/>
        </w:rPr>
        <w:t>2、专业光学照明设计，至少包含模拟效果图、等照度图、点照度图、伪色图。</w:t>
      </w:r>
    </w:p>
    <w:p>
      <w:pPr>
        <w:spacing w:line="460" w:lineRule="exact"/>
        <w:ind w:left="-20" w:firstLine="240" w:firstLineChars="100"/>
        <w:contextualSpacing/>
        <w:rPr>
          <w:rFonts w:ascii="仿宋" w:hAnsi="仿宋" w:eastAsia="仿宋" w:cs="宋体"/>
          <w:kern w:val="0"/>
          <w:sz w:val="24"/>
        </w:rPr>
      </w:pPr>
      <w:r>
        <w:rPr>
          <w:rFonts w:hint="eastAsia" w:ascii="仿宋" w:hAnsi="仿宋" w:eastAsia="仿宋" w:cs="宋体"/>
          <w:kern w:val="0"/>
          <w:sz w:val="24"/>
        </w:rPr>
        <w:t>3、健康照明环境设计，至少包含学校整体布局图、楼层布局图、教室布局图。</w:t>
      </w:r>
    </w:p>
    <w:p>
      <w:pPr>
        <w:pStyle w:val="2"/>
        <w:spacing w:line="460" w:lineRule="exact"/>
        <w:contextualSpacing/>
        <w:rPr>
          <w:rFonts w:ascii="仿宋" w:hAnsi="仿宋" w:eastAsia="仿宋"/>
          <w:b/>
          <w:sz w:val="24"/>
        </w:rPr>
      </w:pPr>
      <w:r>
        <w:rPr>
          <w:rFonts w:hint="eastAsia" w:ascii="仿宋" w:hAnsi="仿宋" w:eastAsia="仿宋"/>
          <w:b/>
          <w:sz w:val="24"/>
        </w:rPr>
        <w:t>【二】建设方案</w:t>
      </w:r>
    </w:p>
    <w:p>
      <w:pPr>
        <w:pStyle w:val="2"/>
        <w:spacing w:line="460" w:lineRule="exact"/>
        <w:ind w:firstLine="240" w:firstLineChars="100"/>
        <w:contextualSpacing/>
        <w:rPr>
          <w:rFonts w:ascii="仿宋" w:hAnsi="仿宋" w:eastAsia="仿宋"/>
          <w:sz w:val="24"/>
        </w:rPr>
      </w:pPr>
      <w:r>
        <w:rPr>
          <w:rFonts w:ascii="仿宋" w:hAnsi="仿宋" w:eastAsia="仿宋"/>
          <w:sz w:val="24"/>
        </w:rPr>
        <w:t>1</w:t>
      </w:r>
      <w:r>
        <w:rPr>
          <w:rFonts w:hint="eastAsia" w:ascii="仿宋" w:hAnsi="仿宋" w:eastAsia="仿宋"/>
          <w:sz w:val="24"/>
        </w:rPr>
        <w:t>、建设方案至少包含人员配置、安全管理、施工进度、质量保证措施及承诺等。</w:t>
      </w:r>
      <w:r>
        <w:rPr>
          <w:rFonts w:ascii="仿宋" w:hAnsi="仿宋" w:eastAsia="仿宋"/>
          <w:sz w:val="24"/>
        </w:rPr>
        <w:t>其中</w:t>
      </w:r>
      <w:r>
        <w:rPr>
          <w:rFonts w:hint="eastAsia" w:ascii="仿宋" w:hAnsi="仿宋" w:eastAsia="仿宋"/>
          <w:sz w:val="24"/>
        </w:rPr>
        <w:t>，</w:t>
      </w:r>
      <w:r>
        <w:rPr>
          <w:rFonts w:ascii="仿宋" w:hAnsi="仿宋" w:eastAsia="仿宋"/>
          <w:sz w:val="24"/>
        </w:rPr>
        <w:t>人员配置至少</w:t>
      </w:r>
      <w:r>
        <w:rPr>
          <w:rFonts w:hint="eastAsia" w:ascii="仿宋" w:hAnsi="仿宋" w:eastAsia="仿宋"/>
          <w:sz w:val="24"/>
        </w:rPr>
        <w:t>安排一组完整的施工</w:t>
      </w:r>
      <w:r>
        <w:rPr>
          <w:rFonts w:ascii="仿宋" w:hAnsi="仿宋" w:eastAsia="仿宋"/>
          <w:sz w:val="24"/>
        </w:rPr>
        <w:t>人员队伍</w:t>
      </w:r>
      <w:r>
        <w:rPr>
          <w:rFonts w:hint="eastAsia" w:ascii="仿宋" w:hAnsi="仿宋" w:eastAsia="仿宋"/>
          <w:sz w:val="24"/>
        </w:rPr>
        <w:t>，每组施工</w:t>
      </w:r>
      <w:r>
        <w:rPr>
          <w:rFonts w:ascii="仿宋" w:hAnsi="仿宋" w:eastAsia="仿宋"/>
          <w:sz w:val="24"/>
        </w:rPr>
        <w:t>人员</w:t>
      </w:r>
      <w:r>
        <w:rPr>
          <w:rFonts w:hint="eastAsia" w:ascii="仿宋" w:hAnsi="仿宋" w:eastAsia="仿宋"/>
          <w:sz w:val="24"/>
        </w:rPr>
        <w:t>至少</w:t>
      </w:r>
      <w:r>
        <w:rPr>
          <w:rFonts w:ascii="仿宋" w:hAnsi="仿宋" w:eastAsia="仿宋"/>
          <w:sz w:val="24"/>
        </w:rPr>
        <w:t>包含</w:t>
      </w:r>
      <w:r>
        <w:rPr>
          <w:rFonts w:hint="eastAsia" w:ascii="仿宋" w:hAnsi="仿宋" w:eastAsia="仿宋"/>
          <w:sz w:val="24"/>
        </w:rPr>
        <w:t>：</w:t>
      </w:r>
      <w:r>
        <w:rPr>
          <w:rFonts w:ascii="仿宋" w:hAnsi="仿宋" w:eastAsia="仿宋"/>
          <w:sz w:val="24"/>
        </w:rPr>
        <w:t>货物配送</w:t>
      </w:r>
      <w:r>
        <w:rPr>
          <w:rFonts w:hint="eastAsia" w:ascii="仿宋" w:hAnsi="仿宋" w:eastAsia="仿宋"/>
          <w:sz w:val="24"/>
        </w:rPr>
        <w:t>、</w:t>
      </w:r>
      <w:r>
        <w:rPr>
          <w:rFonts w:ascii="仿宋" w:hAnsi="仿宋" w:eastAsia="仿宋"/>
          <w:sz w:val="24"/>
        </w:rPr>
        <w:t>勘测定位设计</w:t>
      </w:r>
      <w:r>
        <w:rPr>
          <w:rFonts w:hint="eastAsia" w:ascii="仿宋" w:hAnsi="仿宋" w:eastAsia="仿宋"/>
          <w:sz w:val="24"/>
        </w:rPr>
        <w:t>、线路改造、灯具</w:t>
      </w:r>
      <w:r>
        <w:rPr>
          <w:rFonts w:ascii="仿宋" w:hAnsi="仿宋" w:eastAsia="仿宋"/>
          <w:sz w:val="24"/>
        </w:rPr>
        <w:t>安装</w:t>
      </w:r>
      <w:r>
        <w:rPr>
          <w:rFonts w:hint="eastAsia" w:ascii="仿宋" w:hAnsi="仿宋" w:eastAsia="仿宋"/>
          <w:sz w:val="24"/>
        </w:rPr>
        <w:t>、光环境</w:t>
      </w:r>
      <w:r>
        <w:rPr>
          <w:rFonts w:ascii="仿宋" w:hAnsi="仿宋" w:eastAsia="仿宋"/>
          <w:sz w:val="24"/>
        </w:rPr>
        <w:t>检测等岗位</w:t>
      </w:r>
      <w:r>
        <w:rPr>
          <w:rFonts w:hint="eastAsia" w:ascii="仿宋" w:hAnsi="仿宋" w:eastAsia="仿宋"/>
          <w:sz w:val="24"/>
        </w:rPr>
        <w:t>，且每组人数不能少于</w:t>
      </w:r>
      <w:r>
        <w:rPr>
          <w:rFonts w:hint="eastAsia" w:ascii="仿宋" w:hAnsi="仿宋" w:eastAsia="仿宋"/>
          <w:sz w:val="24"/>
          <w:highlight w:val="yellow"/>
        </w:rPr>
        <w:t>6</w:t>
      </w:r>
      <w:r>
        <w:rPr>
          <w:rFonts w:hint="eastAsia" w:ascii="仿宋" w:hAnsi="仿宋" w:eastAsia="仿宋"/>
          <w:sz w:val="24"/>
        </w:rPr>
        <w:t>人</w:t>
      </w:r>
      <w:r>
        <w:rPr>
          <w:rFonts w:ascii="仿宋" w:hAnsi="仿宋" w:eastAsia="仿宋"/>
          <w:sz w:val="24"/>
        </w:rPr>
        <w:t>；施工进度</w:t>
      </w:r>
      <w:r>
        <w:rPr>
          <w:rFonts w:hint="eastAsia" w:ascii="仿宋" w:hAnsi="仿宋" w:eastAsia="仿宋"/>
          <w:sz w:val="24"/>
        </w:rPr>
        <w:t>至少参</w:t>
      </w:r>
      <w:r>
        <w:rPr>
          <w:rFonts w:ascii="仿宋" w:hAnsi="仿宋" w:eastAsia="仿宋"/>
          <w:sz w:val="24"/>
        </w:rPr>
        <w:t>照学校场室数量</w:t>
      </w:r>
      <w:r>
        <w:rPr>
          <w:rFonts w:hint="eastAsia" w:ascii="仿宋" w:hAnsi="仿宋" w:eastAsia="仿宋"/>
          <w:sz w:val="24"/>
        </w:rPr>
        <w:t>，</w:t>
      </w:r>
      <w:r>
        <w:rPr>
          <w:rFonts w:ascii="仿宋" w:hAnsi="仿宋" w:eastAsia="仿宋"/>
          <w:sz w:val="24"/>
        </w:rPr>
        <w:t>按</w:t>
      </w:r>
      <w:r>
        <w:rPr>
          <w:rFonts w:hint="eastAsia" w:ascii="仿宋" w:hAnsi="仿宋" w:eastAsia="仿宋"/>
          <w:color w:val="FF0000"/>
          <w:sz w:val="24"/>
        </w:rPr>
        <w:t>采购</w:t>
      </w:r>
      <w:r>
        <w:rPr>
          <w:rFonts w:ascii="仿宋" w:hAnsi="仿宋" w:eastAsia="仿宋"/>
          <w:color w:val="FF0000"/>
          <w:sz w:val="24"/>
        </w:rPr>
        <w:t>文件</w:t>
      </w:r>
      <w:r>
        <w:rPr>
          <w:rFonts w:ascii="仿宋" w:hAnsi="仿宋" w:eastAsia="仿宋"/>
          <w:sz w:val="24"/>
        </w:rPr>
        <w:t>送货及安装的时间要求</w:t>
      </w:r>
      <w:r>
        <w:rPr>
          <w:rFonts w:hint="eastAsia" w:ascii="仿宋" w:hAnsi="仿宋" w:eastAsia="仿宋"/>
          <w:sz w:val="24"/>
        </w:rPr>
        <w:t>，</w:t>
      </w:r>
      <w:r>
        <w:rPr>
          <w:rFonts w:ascii="仿宋" w:hAnsi="仿宋" w:eastAsia="仿宋"/>
          <w:sz w:val="24"/>
        </w:rPr>
        <w:t>科学设置进度安排以及设置建设中的应急</w:t>
      </w:r>
      <w:r>
        <w:rPr>
          <w:rFonts w:hint="eastAsia" w:ascii="仿宋" w:hAnsi="仿宋" w:eastAsia="仿宋"/>
          <w:sz w:val="24"/>
        </w:rPr>
        <w:t>处置</w:t>
      </w:r>
      <w:r>
        <w:rPr>
          <w:rFonts w:ascii="仿宋" w:hAnsi="仿宋" w:eastAsia="仿宋"/>
          <w:sz w:val="24"/>
        </w:rPr>
        <w:t>措施</w:t>
      </w:r>
      <w:r>
        <w:rPr>
          <w:rFonts w:hint="eastAsia" w:ascii="仿宋" w:hAnsi="仿宋" w:eastAsia="仿宋"/>
          <w:sz w:val="24"/>
        </w:rPr>
        <w:t>；</w:t>
      </w:r>
      <w:r>
        <w:rPr>
          <w:rFonts w:ascii="仿宋" w:hAnsi="仿宋" w:eastAsia="仿宋"/>
          <w:sz w:val="24"/>
        </w:rPr>
        <w:t>质量保证措施和承诺</w:t>
      </w:r>
      <w:r>
        <w:rPr>
          <w:rFonts w:hint="eastAsia" w:ascii="仿宋" w:hAnsi="仿宋" w:eastAsia="仿宋"/>
          <w:sz w:val="24"/>
        </w:rPr>
        <w:t>包含（1）</w:t>
      </w:r>
      <w:r>
        <w:rPr>
          <w:rFonts w:ascii="仿宋" w:hAnsi="仿宋" w:eastAsia="仿宋"/>
          <w:sz w:val="24"/>
        </w:rPr>
        <w:t>灯具原材料的质量保证到生产</w:t>
      </w:r>
      <w:r>
        <w:rPr>
          <w:rFonts w:hint="eastAsia" w:ascii="仿宋" w:hAnsi="仿宋" w:eastAsia="仿宋"/>
          <w:sz w:val="24"/>
        </w:rPr>
        <w:t>灯具</w:t>
      </w:r>
      <w:r>
        <w:rPr>
          <w:rFonts w:ascii="仿宋" w:hAnsi="仿宋" w:eastAsia="仿宋"/>
          <w:sz w:val="24"/>
        </w:rPr>
        <w:t>到成品等每一步质量控制措施</w:t>
      </w:r>
      <w:r>
        <w:rPr>
          <w:rFonts w:hint="eastAsia" w:ascii="仿宋" w:hAnsi="仿宋" w:eastAsia="仿宋"/>
          <w:sz w:val="24"/>
        </w:rPr>
        <w:t>；（2）灯具</w:t>
      </w:r>
      <w:r>
        <w:rPr>
          <w:rFonts w:ascii="仿宋" w:hAnsi="仿宋" w:eastAsia="仿宋"/>
          <w:sz w:val="24"/>
        </w:rPr>
        <w:t>安装中定位设计</w:t>
      </w:r>
      <w:r>
        <w:rPr>
          <w:rFonts w:hint="eastAsia" w:ascii="仿宋" w:hAnsi="仿宋" w:eastAsia="仿宋"/>
          <w:sz w:val="24"/>
        </w:rPr>
        <w:t>、</w:t>
      </w:r>
      <w:r>
        <w:rPr>
          <w:rFonts w:ascii="仿宋" w:hAnsi="仿宋" w:eastAsia="仿宋"/>
          <w:sz w:val="24"/>
        </w:rPr>
        <w:t>线路改造</w:t>
      </w:r>
      <w:r>
        <w:rPr>
          <w:rFonts w:hint="eastAsia" w:ascii="仿宋" w:hAnsi="仿宋" w:eastAsia="仿宋"/>
          <w:sz w:val="24"/>
        </w:rPr>
        <w:t>、</w:t>
      </w:r>
      <w:r>
        <w:rPr>
          <w:rFonts w:ascii="仿宋" w:hAnsi="仿宋" w:eastAsia="仿宋"/>
          <w:sz w:val="24"/>
        </w:rPr>
        <w:t>开关控制</w:t>
      </w:r>
      <w:r>
        <w:rPr>
          <w:rFonts w:hint="eastAsia" w:ascii="仿宋" w:hAnsi="仿宋" w:eastAsia="仿宋"/>
          <w:sz w:val="24"/>
        </w:rPr>
        <w:t>、</w:t>
      </w:r>
      <w:r>
        <w:rPr>
          <w:rFonts w:ascii="仿宋" w:hAnsi="仿宋" w:eastAsia="仿宋"/>
          <w:sz w:val="24"/>
        </w:rPr>
        <w:t xml:space="preserve">达标检测等每一个环节的质量控制措施 </w:t>
      </w:r>
      <w:r>
        <w:rPr>
          <w:rFonts w:hint="eastAsia" w:ascii="仿宋" w:hAnsi="仿宋" w:eastAsia="仿宋"/>
          <w:sz w:val="24"/>
        </w:rPr>
        <w:t>。</w:t>
      </w:r>
      <w:r>
        <w:rPr>
          <w:rFonts w:ascii="仿宋" w:hAnsi="仿宋" w:eastAsia="仿宋"/>
          <w:sz w:val="24"/>
        </w:rPr>
        <w:br w:type="textWrapping"/>
      </w:r>
      <w:r>
        <w:rPr>
          <w:rFonts w:hint="eastAsia" w:ascii="仿宋" w:hAnsi="仿宋" w:eastAsia="仿宋"/>
          <w:bCs/>
          <w:sz w:val="24"/>
          <w:lang w:val="zh-CN"/>
        </w:rPr>
        <w:t>★</w:t>
      </w:r>
      <w:r>
        <w:rPr>
          <w:rFonts w:ascii="仿宋" w:hAnsi="仿宋" w:eastAsia="仿宋"/>
          <w:sz w:val="24"/>
        </w:rPr>
        <w:t xml:space="preserve"> 2</w:t>
      </w:r>
      <w:r>
        <w:rPr>
          <w:rFonts w:hint="eastAsia" w:ascii="仿宋" w:hAnsi="仿宋" w:eastAsia="仿宋"/>
          <w:sz w:val="24"/>
        </w:rPr>
        <w:t>、</w:t>
      </w:r>
      <w:r>
        <w:rPr>
          <w:rFonts w:ascii="仿宋" w:hAnsi="仿宋" w:eastAsia="仿宋"/>
          <w:sz w:val="24"/>
        </w:rPr>
        <w:t>供应商对所提供的设施设备，向用户进行技术培训，培训内容包括运行操作、维修保养及设备简易故障的判别、排除</w:t>
      </w:r>
      <w:r>
        <w:rPr>
          <w:rFonts w:hint="eastAsia" w:ascii="仿宋" w:hAnsi="仿宋" w:eastAsia="仿宋"/>
          <w:sz w:val="24"/>
        </w:rPr>
        <w:t>。</w:t>
      </w:r>
    </w:p>
    <w:p>
      <w:pPr>
        <w:pStyle w:val="2"/>
        <w:spacing w:line="460" w:lineRule="exact"/>
        <w:contextualSpacing/>
        <w:rPr>
          <w:rFonts w:ascii="仿宋" w:hAnsi="仿宋" w:eastAsia="仿宋"/>
          <w:sz w:val="24"/>
        </w:rPr>
      </w:pPr>
      <w:r>
        <w:rPr>
          <w:rFonts w:hint="eastAsia" w:ascii="仿宋" w:hAnsi="仿宋"/>
          <w:sz w:val="24"/>
          <w:lang w:val="zh-CN"/>
        </w:rPr>
        <w:t>★</w:t>
      </w:r>
      <w:r>
        <w:rPr>
          <w:rFonts w:hint="eastAsia" w:ascii="仿宋" w:hAnsi="仿宋" w:eastAsia="仿宋"/>
          <w:bCs/>
          <w:sz w:val="24"/>
        </w:rPr>
        <w:t>3、供应商需考虑各类教室、功能室的面积差异</w:t>
      </w:r>
      <w:r>
        <w:rPr>
          <w:rFonts w:hint="eastAsia" w:ascii="仿宋" w:hAnsi="仿宋" w:eastAsia="仿宋"/>
          <w:bCs/>
          <w:sz w:val="24"/>
          <w:lang w:val="en-US" w:eastAsia="zh-CN"/>
        </w:rPr>
        <w:t>所</w:t>
      </w:r>
      <w:r>
        <w:rPr>
          <w:rFonts w:hint="eastAsia" w:ascii="仿宋" w:hAnsi="仿宋" w:eastAsia="仿宋"/>
          <w:bCs/>
          <w:sz w:val="24"/>
        </w:rPr>
        <w:t>成设计及安装要求的难度，为保证教学工作的正常开展，原则上</w:t>
      </w:r>
      <w:r>
        <w:rPr>
          <w:rFonts w:ascii="仿宋" w:hAnsi="仿宋" w:eastAsia="仿宋"/>
          <w:bCs/>
          <w:sz w:val="24"/>
        </w:rPr>
        <w:t>本项目建设完</w:t>
      </w:r>
      <w:r>
        <w:rPr>
          <w:rFonts w:hint="eastAsia" w:ascii="仿宋" w:hAnsi="仿宋" w:eastAsia="仿宋"/>
          <w:bCs/>
          <w:sz w:val="24"/>
        </w:rPr>
        <w:t>成</w:t>
      </w:r>
      <w:r>
        <w:rPr>
          <w:rFonts w:ascii="仿宋" w:hAnsi="仿宋" w:eastAsia="仿宋"/>
          <w:bCs/>
          <w:sz w:val="24"/>
        </w:rPr>
        <w:t>时间为</w:t>
      </w:r>
      <w:r>
        <w:rPr>
          <w:rFonts w:hint="eastAsia" w:ascii="仿宋" w:hAnsi="仿宋" w:eastAsia="仿宋"/>
          <w:bCs/>
          <w:color w:val="FF0000"/>
          <w:sz w:val="24"/>
        </w:rPr>
        <w:t>2</w:t>
      </w:r>
      <w:r>
        <w:rPr>
          <w:rFonts w:ascii="仿宋" w:hAnsi="仿宋" w:eastAsia="仿宋"/>
          <w:bCs/>
          <w:color w:val="FF0000"/>
          <w:sz w:val="24"/>
        </w:rPr>
        <w:t>02</w:t>
      </w:r>
      <w:r>
        <w:rPr>
          <w:rFonts w:hint="eastAsia" w:ascii="仿宋" w:hAnsi="仿宋" w:eastAsia="仿宋"/>
          <w:bCs/>
          <w:color w:val="FF0000"/>
          <w:sz w:val="24"/>
        </w:rPr>
        <w:t>2</w:t>
      </w:r>
      <w:r>
        <w:rPr>
          <w:rFonts w:ascii="仿宋" w:hAnsi="仿宋" w:eastAsia="仿宋"/>
          <w:bCs/>
          <w:color w:val="FF0000"/>
          <w:sz w:val="24"/>
        </w:rPr>
        <w:t>年</w:t>
      </w:r>
      <w:r>
        <w:rPr>
          <w:rFonts w:hint="eastAsia" w:ascii="仿宋" w:hAnsi="仿宋" w:eastAsia="仿宋"/>
          <w:bCs/>
          <w:color w:val="FF0000"/>
          <w:sz w:val="24"/>
        </w:rPr>
        <w:t>2月16日</w:t>
      </w:r>
      <w:r>
        <w:rPr>
          <w:rFonts w:hint="eastAsia" w:ascii="仿宋" w:hAnsi="仿宋" w:eastAsia="仿宋"/>
          <w:bCs/>
          <w:sz w:val="24"/>
        </w:rPr>
        <w:t>开学之前，如因不可抗拒的原因造成项目建设要在教学期间进行的，供应商应该充分考虑建设过程中的难度和不确定因素，教学期间建设原则：①必须保证学生、老师的人身安全；②不能影响学校正常的教学工作，较大噪声的施工必须安排在下课时间或周末进行，同时也不能对周边的居民造成不良的影响；③建设人员不能在校内现场居住，同时在建设期间未经学校允许不得进入校园的非建设区域；④建设期间做好疫情防控工作。</w:t>
      </w:r>
    </w:p>
    <w:p>
      <w:pPr>
        <w:bidi w:val="0"/>
        <w:rPr>
          <w:sz w:val="36"/>
          <w:szCs w:val="40"/>
        </w:rPr>
      </w:pPr>
      <w:r>
        <w:rPr>
          <w:rFonts w:hint="eastAsia"/>
          <w:sz w:val="36"/>
          <w:szCs w:val="40"/>
        </w:rPr>
        <w:t>五、样品要求</w:t>
      </w:r>
    </w:p>
    <w:p>
      <w:pPr>
        <w:spacing w:line="460" w:lineRule="exact"/>
        <w:contextualSpacing/>
        <w:jc w:val="center"/>
        <w:rPr>
          <w:rFonts w:ascii="仿宋" w:hAnsi="仿宋" w:eastAsia="仿宋"/>
          <w:bCs/>
          <w:sz w:val="24"/>
          <w:highlight w:val="yellow"/>
        </w:rPr>
      </w:pPr>
      <w:r>
        <w:rPr>
          <w:rFonts w:hint="eastAsia" w:ascii="仿宋" w:hAnsi="仿宋" w:eastAsia="仿宋"/>
          <w:bCs/>
          <w:sz w:val="24"/>
          <w:highlight w:val="yellow"/>
          <w:lang w:val="en-US" w:eastAsia="zh-CN"/>
        </w:rPr>
        <w:t>送样须知</w:t>
      </w:r>
    </w:p>
    <w:p>
      <w:pPr>
        <w:numPr>
          <w:ilvl w:val="0"/>
          <w:numId w:val="31"/>
        </w:numPr>
        <w:spacing w:line="460" w:lineRule="exact"/>
        <w:ind w:firstLine="480" w:firstLineChars="200"/>
        <w:contextualSpacing/>
        <w:rPr>
          <w:rFonts w:hint="eastAsia" w:ascii="仿宋" w:hAnsi="仿宋" w:eastAsia="仿宋"/>
          <w:bCs/>
          <w:sz w:val="24"/>
        </w:rPr>
      </w:pPr>
      <w:r>
        <w:rPr>
          <w:rFonts w:hint="eastAsia" w:ascii="仿宋" w:hAnsi="仿宋" w:eastAsia="仿宋"/>
          <w:bCs/>
          <w:sz w:val="24"/>
        </w:rPr>
        <w:t>样品清单:</w:t>
      </w:r>
    </w:p>
    <w:tbl>
      <w:tblPr>
        <w:tblStyle w:val="41"/>
        <w:tblW w:w="906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695"/>
        <w:gridCol w:w="6192"/>
        <w:gridCol w:w="8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385" w:type="dxa"/>
            <w:shd w:val="clear" w:color="auto" w:fill="auto"/>
            <w:vAlign w:val="center"/>
          </w:tcPr>
          <w:p>
            <w:pPr>
              <w:contextualSpacing/>
              <w:jc w:val="center"/>
              <w:rPr>
                <w:rFonts w:ascii="仿宋" w:hAnsi="仿宋" w:eastAsia="仿宋"/>
                <w:b/>
                <w:bCs/>
                <w:szCs w:val="21"/>
              </w:rPr>
            </w:pPr>
            <w:r>
              <w:rPr>
                <w:rFonts w:ascii="仿宋" w:hAnsi="仿宋" w:eastAsia="仿宋"/>
                <w:b/>
                <w:bCs/>
                <w:szCs w:val="21"/>
              </w:rPr>
              <w:t>序号</w:t>
            </w:r>
          </w:p>
        </w:tc>
        <w:tc>
          <w:tcPr>
            <w:tcW w:w="695" w:type="dxa"/>
            <w:shd w:val="clear" w:color="auto" w:fill="auto"/>
            <w:vAlign w:val="center"/>
          </w:tcPr>
          <w:p>
            <w:pPr>
              <w:contextualSpacing/>
              <w:jc w:val="center"/>
              <w:rPr>
                <w:rFonts w:ascii="仿宋" w:hAnsi="仿宋" w:eastAsia="仿宋"/>
                <w:b/>
                <w:bCs/>
                <w:szCs w:val="21"/>
              </w:rPr>
            </w:pPr>
            <w:r>
              <w:rPr>
                <w:rFonts w:hint="eastAsia" w:ascii="仿宋" w:hAnsi="仿宋" w:eastAsia="仿宋"/>
                <w:b/>
                <w:bCs/>
                <w:szCs w:val="21"/>
                <w:lang w:val="en-US" w:eastAsia="zh-CN"/>
              </w:rPr>
              <w:t>样品</w:t>
            </w:r>
            <w:r>
              <w:rPr>
                <w:rFonts w:ascii="仿宋" w:hAnsi="仿宋" w:eastAsia="仿宋"/>
                <w:b/>
                <w:bCs/>
                <w:szCs w:val="21"/>
              </w:rPr>
              <w:t>名称</w:t>
            </w:r>
          </w:p>
        </w:tc>
        <w:tc>
          <w:tcPr>
            <w:tcW w:w="6192" w:type="dxa"/>
            <w:shd w:val="clear" w:color="auto" w:fill="auto"/>
            <w:vAlign w:val="center"/>
          </w:tcPr>
          <w:p>
            <w:pPr>
              <w:contextualSpacing/>
              <w:jc w:val="center"/>
              <w:rPr>
                <w:rFonts w:ascii="仿宋" w:hAnsi="仿宋" w:eastAsia="仿宋"/>
                <w:b/>
                <w:bCs/>
                <w:szCs w:val="21"/>
              </w:rPr>
            </w:pPr>
            <w:r>
              <w:rPr>
                <w:rFonts w:hint="eastAsia" w:ascii="仿宋" w:hAnsi="仿宋" w:eastAsia="仿宋"/>
                <w:b/>
                <w:bCs/>
                <w:szCs w:val="21"/>
              </w:rPr>
              <w:t>要求</w:t>
            </w:r>
          </w:p>
        </w:tc>
        <w:tc>
          <w:tcPr>
            <w:tcW w:w="860" w:type="dxa"/>
            <w:shd w:val="clear" w:color="auto" w:fill="auto"/>
            <w:vAlign w:val="center"/>
          </w:tcPr>
          <w:p>
            <w:pPr>
              <w:contextualSpacing/>
              <w:jc w:val="center"/>
              <w:rPr>
                <w:rFonts w:hint="eastAsia" w:ascii="仿宋" w:hAnsi="仿宋" w:eastAsia="仿宋"/>
                <w:b/>
                <w:bCs/>
                <w:szCs w:val="21"/>
                <w:lang w:val="en-US" w:eastAsia="zh-CN"/>
              </w:rPr>
            </w:pPr>
            <w:r>
              <w:rPr>
                <w:rFonts w:hint="eastAsia" w:ascii="仿宋" w:hAnsi="仿宋" w:eastAsia="仿宋"/>
                <w:b/>
                <w:bCs/>
                <w:szCs w:val="21"/>
                <w:lang w:val="en-US" w:eastAsia="zh-CN"/>
              </w:rPr>
              <w:t>数量</w:t>
            </w:r>
          </w:p>
        </w:tc>
        <w:tc>
          <w:tcPr>
            <w:tcW w:w="931" w:type="dxa"/>
            <w:shd w:val="clear" w:color="auto" w:fill="auto"/>
            <w:vAlign w:val="center"/>
          </w:tcPr>
          <w:p>
            <w:pPr>
              <w:contextualSpacing/>
              <w:jc w:val="center"/>
              <w:rPr>
                <w:rFonts w:hint="default" w:ascii="仿宋" w:hAnsi="仿宋" w:eastAsia="仿宋"/>
                <w:b/>
                <w:bCs/>
                <w:szCs w:val="21"/>
                <w:lang w:val="en-US" w:eastAsia="zh-CN"/>
              </w:rPr>
            </w:pPr>
            <w:r>
              <w:rPr>
                <w:rFonts w:hint="eastAsia" w:ascii="仿宋" w:hAnsi="仿宋" w:eastAsia="仿宋"/>
                <w:b/>
                <w:bCs/>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385"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1</w:t>
            </w:r>
          </w:p>
        </w:tc>
        <w:tc>
          <w:tcPr>
            <w:tcW w:w="695" w:type="dxa"/>
            <w:shd w:val="clear" w:color="auto" w:fill="auto"/>
            <w:vAlign w:val="center"/>
          </w:tcPr>
          <w:p>
            <w:pPr>
              <w:contextualSpacing/>
              <w:jc w:val="center"/>
              <w:rPr>
                <w:rFonts w:ascii="仿宋" w:hAnsi="仿宋" w:eastAsia="仿宋"/>
                <w:szCs w:val="21"/>
              </w:rPr>
            </w:pPr>
            <w:r>
              <w:rPr>
                <w:rFonts w:hint="eastAsia" w:ascii="仿宋" w:hAnsi="仿宋" w:eastAsia="仿宋"/>
                <w:szCs w:val="21"/>
              </w:rPr>
              <w:t>LED教室灯</w:t>
            </w:r>
          </w:p>
        </w:tc>
        <w:tc>
          <w:tcPr>
            <w:tcW w:w="6192" w:type="dxa"/>
            <w:shd w:val="clear" w:color="auto" w:fill="auto"/>
          </w:tcPr>
          <w:p>
            <w:pPr>
              <w:pStyle w:val="17"/>
              <w:rPr>
                <w:rFonts w:ascii="仿宋" w:hAnsi="仿宋" w:eastAsia="仿宋"/>
                <w:szCs w:val="21"/>
              </w:rPr>
            </w:pPr>
            <w:r>
              <w:rPr>
                <w:rStyle w:val="284"/>
                <w:rFonts w:hint="default" w:ascii="仿宋" w:hAnsi="仿宋" w:eastAsia="仿宋"/>
                <w:color w:val="auto"/>
                <w:sz w:val="21"/>
                <w:szCs w:val="21"/>
              </w:rPr>
              <w:t>1、</w:t>
            </w:r>
            <w:r>
              <w:rPr>
                <w:rFonts w:hint="eastAsia" w:ascii="仿宋" w:hAnsi="仿宋" w:eastAsia="仿宋" w:cs="Arial"/>
                <w:szCs w:val="21"/>
              </w:rPr>
              <w:t>一体式LED灯具；尺寸长度≥1200mm；</w:t>
            </w:r>
            <w:r>
              <w:rPr>
                <w:rFonts w:ascii="仿宋" w:hAnsi="仿宋" w:eastAsia="仿宋" w:cs="Arial"/>
                <w:szCs w:val="21"/>
              </w:rPr>
              <w:t>灯</w:t>
            </w:r>
            <w:r>
              <w:rPr>
                <w:rStyle w:val="284"/>
                <w:rFonts w:hint="default" w:ascii="仿宋" w:hAnsi="仿宋" w:eastAsia="仿宋"/>
                <w:color w:val="auto"/>
                <w:sz w:val="21"/>
                <w:szCs w:val="21"/>
              </w:rPr>
              <w:t>具的壳体应采用≥0.04mm铝型材等轻型、坚固金属材料，并经喷涂或氧化处理，具备防锈功能；</w:t>
            </w:r>
            <w:r>
              <w:rPr>
                <w:rStyle w:val="284"/>
                <w:rFonts w:hint="eastAsia" w:ascii="仿宋" w:hAnsi="仿宋" w:eastAsia="仿宋"/>
                <w:color w:val="auto"/>
                <w:sz w:val="21"/>
                <w:szCs w:val="21"/>
                <w:lang w:eastAsia="zh-CN"/>
              </w:rPr>
              <w:t>（无需提供样品检测报告）</w:t>
            </w:r>
          </w:p>
        </w:tc>
        <w:tc>
          <w:tcPr>
            <w:tcW w:w="860" w:type="dxa"/>
            <w:shd w:val="clear" w:color="auto" w:fill="auto"/>
            <w:vAlign w:val="center"/>
          </w:tcPr>
          <w:p>
            <w:pPr>
              <w:contextualSpacing/>
              <w:jc w:val="center"/>
              <w:rPr>
                <w:rStyle w:val="284"/>
                <w:rFonts w:hint="eastAsia" w:ascii="仿宋" w:hAnsi="仿宋" w:eastAsia="仿宋"/>
                <w:color w:val="auto"/>
                <w:sz w:val="21"/>
                <w:szCs w:val="21"/>
                <w:lang w:val="en-US" w:eastAsia="zh-CN"/>
              </w:rPr>
            </w:pPr>
            <w:r>
              <w:rPr>
                <w:rStyle w:val="284"/>
                <w:rFonts w:hint="eastAsia" w:ascii="仿宋" w:hAnsi="仿宋" w:eastAsia="仿宋"/>
                <w:color w:val="auto"/>
                <w:sz w:val="21"/>
                <w:szCs w:val="21"/>
                <w:lang w:val="en-US" w:eastAsia="zh-CN"/>
              </w:rPr>
              <w:t>1</w:t>
            </w:r>
          </w:p>
        </w:tc>
        <w:tc>
          <w:tcPr>
            <w:tcW w:w="931" w:type="dxa"/>
            <w:shd w:val="clear" w:color="auto" w:fill="auto"/>
            <w:vAlign w:val="center"/>
          </w:tcPr>
          <w:p>
            <w:pPr>
              <w:contextualSpacing/>
              <w:jc w:val="center"/>
              <w:rPr>
                <w:rStyle w:val="284"/>
                <w:rFonts w:hint="default" w:ascii="仿宋" w:hAnsi="仿宋" w:eastAsia="仿宋"/>
                <w:color w:val="auto"/>
                <w:sz w:val="21"/>
                <w:szCs w:val="21"/>
                <w:lang w:val="en-US" w:eastAsia="zh-CN"/>
              </w:rPr>
            </w:pPr>
            <w:r>
              <w:rPr>
                <w:rStyle w:val="284"/>
                <w:rFonts w:hint="eastAsia" w:ascii="仿宋" w:hAnsi="仿宋" w:eastAsia="仿宋"/>
                <w:color w:val="auto"/>
                <w:sz w:val="21"/>
                <w:szCs w:val="21"/>
                <w:lang w:val="en-US" w:eastAsia="zh-CN"/>
              </w:rPr>
              <w:t>套</w:t>
            </w:r>
          </w:p>
        </w:tc>
      </w:tr>
    </w:tbl>
    <w:p>
      <w:pPr>
        <w:pStyle w:val="2"/>
        <w:numPr>
          <w:ilvl w:val="0"/>
          <w:numId w:val="0"/>
        </w:numPr>
      </w:pPr>
    </w:p>
    <w:p>
      <w:pPr>
        <w:pStyle w:val="2"/>
        <w:rPr>
          <w:rFonts w:hint="eastAsia" w:ascii="仿宋" w:hAnsi="仿宋" w:eastAsia="仿宋"/>
          <w:bCs/>
          <w:sz w:val="24"/>
        </w:rPr>
      </w:pPr>
      <w:r>
        <w:rPr>
          <w:rFonts w:hint="eastAsia" w:ascii="仿宋" w:hAnsi="仿宋" w:eastAsia="仿宋"/>
          <w:bCs/>
          <w:sz w:val="24"/>
        </w:rPr>
        <w:t>(2)</w:t>
      </w:r>
      <w:r>
        <w:rPr>
          <w:rFonts w:hint="eastAsia" w:ascii="仿宋" w:hAnsi="仿宋" w:eastAsia="仿宋"/>
          <w:bCs/>
          <w:sz w:val="24"/>
          <w:lang w:eastAsia="zh-CN"/>
        </w:rPr>
        <w:t>供应商参加采购活动</w:t>
      </w:r>
      <w:r>
        <w:rPr>
          <w:rFonts w:hint="eastAsia" w:ascii="仿宋" w:hAnsi="仿宋" w:eastAsia="仿宋"/>
          <w:bCs/>
          <w:sz w:val="24"/>
        </w:rPr>
        <w:t>时需按“样品清单”的要求提供样品(封样验收)，样品于</w:t>
      </w:r>
      <w:r>
        <w:rPr>
          <w:rFonts w:hint="eastAsia" w:ascii="仿宋" w:hAnsi="仿宋" w:eastAsia="仿宋"/>
          <w:bCs/>
          <w:sz w:val="24"/>
          <w:lang w:val="en-US" w:eastAsia="zh-CN"/>
        </w:rPr>
        <w:t>响应文件解密</w:t>
      </w:r>
      <w:r>
        <w:rPr>
          <w:rFonts w:hint="eastAsia" w:ascii="仿宋" w:hAnsi="仿宋" w:eastAsia="仿宋"/>
          <w:bCs/>
          <w:sz w:val="24"/>
        </w:rPr>
        <w:t>前</w:t>
      </w:r>
      <w:r>
        <w:rPr>
          <w:rFonts w:hint="eastAsia"/>
          <w:highlight w:val="yellow"/>
          <w:lang w:val="en-US" w:eastAsia="zh-CN"/>
        </w:rPr>
        <w:t>2022年1月24</w:t>
      </w:r>
      <w:bookmarkStart w:id="164" w:name="_GoBack"/>
      <w:bookmarkEnd w:id="164"/>
      <w:r>
        <w:rPr>
          <w:rFonts w:hint="eastAsia"/>
          <w:highlight w:val="yellow"/>
          <w:lang w:val="en-US" w:eastAsia="zh-CN"/>
        </w:rPr>
        <w:t>日</w:t>
      </w:r>
      <w:r>
        <w:rPr>
          <w:rFonts w:hint="eastAsia"/>
          <w:lang w:val="en-US" w:eastAsia="zh-CN"/>
        </w:rPr>
        <w:t>9:10-10:00</w:t>
      </w:r>
      <w:r>
        <w:rPr>
          <w:rFonts w:hint="eastAsia" w:ascii="仿宋" w:hAnsi="仿宋" w:eastAsia="仿宋"/>
          <w:bCs/>
          <w:sz w:val="24"/>
        </w:rPr>
        <w:t>递交至</w:t>
      </w:r>
      <w:r>
        <w:rPr>
          <w:rFonts w:hint="eastAsia" w:ascii="仿宋" w:hAnsi="仿宋" w:eastAsia="仿宋"/>
          <w:bCs/>
          <w:sz w:val="24"/>
          <w:lang w:eastAsia="zh-CN"/>
        </w:rPr>
        <w:t>武侯区</w:t>
      </w:r>
      <w:r>
        <w:rPr>
          <w:rFonts w:hint="eastAsia" w:ascii="仿宋" w:hAnsi="仿宋" w:eastAsia="仿宋"/>
          <w:bCs/>
          <w:sz w:val="24"/>
          <w:lang w:val="en-US" w:eastAsia="zh-CN"/>
        </w:rPr>
        <w:t>采购中心样品室</w:t>
      </w:r>
      <w:r>
        <w:rPr>
          <w:rFonts w:hint="eastAsia" w:ascii="仿宋" w:hAnsi="仿宋" w:eastAsia="仿宋"/>
          <w:bCs/>
          <w:sz w:val="24"/>
        </w:rPr>
        <w:t>，由采购</w:t>
      </w:r>
      <w:r>
        <w:rPr>
          <w:rFonts w:hint="eastAsia" w:ascii="仿宋" w:hAnsi="仿宋" w:eastAsia="仿宋"/>
          <w:bCs/>
          <w:sz w:val="24"/>
          <w:lang w:eastAsia="zh-CN"/>
        </w:rPr>
        <w:t>中心</w:t>
      </w:r>
      <w:r>
        <w:rPr>
          <w:rFonts w:hint="eastAsia" w:ascii="仿宋" w:hAnsi="仿宋" w:eastAsia="仿宋"/>
          <w:bCs/>
          <w:sz w:val="24"/>
        </w:rPr>
        <w:t>工作人员统一接收；</w:t>
      </w:r>
    </w:p>
    <w:p>
      <w:pPr>
        <w:pStyle w:val="2"/>
        <w:rPr>
          <w:rFonts w:hint="eastAsia" w:ascii="仿宋" w:hAnsi="仿宋" w:eastAsia="仿宋"/>
          <w:bCs/>
          <w:sz w:val="24"/>
        </w:rPr>
      </w:pPr>
      <w:r>
        <w:rPr>
          <w:rFonts w:hint="eastAsia" w:ascii="仿宋" w:hAnsi="仿宋" w:eastAsia="仿宋"/>
          <w:bCs/>
          <w:sz w:val="24"/>
        </w:rPr>
        <w:t>(3)所送样品不能有可以识别</w:t>
      </w:r>
      <w:r>
        <w:rPr>
          <w:rFonts w:hint="eastAsia" w:ascii="仿宋" w:hAnsi="仿宋" w:eastAsia="仿宋"/>
          <w:bCs/>
          <w:sz w:val="24"/>
          <w:lang w:eastAsia="zh-CN"/>
        </w:rPr>
        <w:t>供应商</w:t>
      </w:r>
      <w:r>
        <w:rPr>
          <w:rFonts w:hint="eastAsia" w:ascii="仿宋" w:hAnsi="仿宋" w:eastAsia="仿宋"/>
          <w:bCs/>
          <w:sz w:val="24"/>
        </w:rPr>
        <w:t>的任何标记，否则视为无效投标，样品产生的一切费用由</w:t>
      </w:r>
      <w:r>
        <w:rPr>
          <w:rFonts w:hint="eastAsia" w:ascii="仿宋" w:hAnsi="仿宋" w:eastAsia="仿宋"/>
          <w:bCs/>
          <w:sz w:val="24"/>
          <w:lang w:eastAsia="zh-CN"/>
        </w:rPr>
        <w:t>供应商</w:t>
      </w:r>
      <w:r>
        <w:rPr>
          <w:rFonts w:hint="eastAsia" w:ascii="仿宋" w:hAnsi="仿宋" w:eastAsia="仿宋"/>
          <w:bCs/>
          <w:sz w:val="24"/>
        </w:rPr>
        <w:t>自行承担。</w:t>
      </w:r>
    </w:p>
    <w:p>
      <w:pPr>
        <w:pStyle w:val="2"/>
        <w:rPr>
          <w:rFonts w:hint="eastAsia" w:ascii="仿宋" w:hAnsi="仿宋" w:eastAsia="仿宋"/>
          <w:bCs/>
          <w:sz w:val="24"/>
        </w:rPr>
      </w:pPr>
      <w:r>
        <w:rPr>
          <w:rFonts w:hint="eastAsia" w:ascii="仿宋" w:hAnsi="仿宋" w:eastAsia="仿宋"/>
          <w:bCs/>
          <w:sz w:val="24"/>
        </w:rPr>
        <w:t>(4)样品实行盲样编号打分。</w:t>
      </w:r>
    </w:p>
    <w:p>
      <w:pPr>
        <w:pStyle w:val="2"/>
        <w:rPr>
          <w:rFonts w:hint="eastAsia" w:ascii="仿宋" w:hAnsi="仿宋" w:eastAsia="仿宋"/>
          <w:bCs/>
          <w:sz w:val="24"/>
        </w:rPr>
      </w:pPr>
      <w:r>
        <w:rPr>
          <w:rFonts w:hint="eastAsia" w:ascii="仿宋" w:hAnsi="仿宋" w:eastAsia="仿宋"/>
          <w:bCs/>
          <w:sz w:val="24"/>
        </w:rPr>
        <w:t>(5)</w:t>
      </w:r>
      <w:r>
        <w:rPr>
          <w:rFonts w:hint="eastAsia" w:ascii="仿宋" w:hAnsi="仿宋" w:eastAsia="仿宋"/>
          <w:bCs/>
          <w:sz w:val="24"/>
          <w:lang w:val="en-US" w:eastAsia="zh-CN"/>
        </w:rPr>
        <w:t>本项目质疑期结束后</w:t>
      </w:r>
      <w:r>
        <w:rPr>
          <w:rFonts w:hint="eastAsia" w:ascii="仿宋" w:hAnsi="仿宋" w:eastAsia="仿宋"/>
          <w:bCs/>
          <w:sz w:val="24"/>
          <w:lang w:eastAsia="zh-CN"/>
        </w:rPr>
        <w:t>成交供应商</w:t>
      </w:r>
      <w:r>
        <w:rPr>
          <w:rFonts w:hint="eastAsia" w:ascii="仿宋" w:hAnsi="仿宋" w:eastAsia="仿宋"/>
          <w:bCs/>
          <w:sz w:val="24"/>
        </w:rPr>
        <w:t>的样品采购人留存，用于验收时与货品比对。其他样品由</w:t>
      </w:r>
      <w:r>
        <w:rPr>
          <w:rFonts w:hint="eastAsia" w:ascii="仿宋" w:hAnsi="仿宋" w:eastAsia="仿宋"/>
          <w:bCs/>
          <w:sz w:val="24"/>
          <w:lang w:eastAsia="zh-CN"/>
        </w:rPr>
        <w:t>待采购中心通知后</w:t>
      </w:r>
      <w:r>
        <w:rPr>
          <w:rFonts w:hint="eastAsia" w:ascii="仿宋" w:hAnsi="仿宋" w:eastAsia="仿宋"/>
          <w:bCs/>
          <w:sz w:val="24"/>
        </w:rPr>
        <w:t>自行取回，若接到领取通知 7 个工作日内未前往领取，视为放弃，留存样品由采购人自行处理。</w:t>
      </w:r>
    </w:p>
    <w:p>
      <w:pPr>
        <w:pStyle w:val="3"/>
      </w:pPr>
    </w:p>
    <w:p>
      <w:pPr>
        <w:spacing w:line="460" w:lineRule="exact"/>
        <w:ind w:firstLine="240" w:firstLineChars="100"/>
        <w:contextualSpacing/>
        <w:rPr>
          <w:rFonts w:ascii="仿宋" w:hAnsi="仿宋" w:eastAsia="仿宋"/>
          <w:bCs/>
          <w:sz w:val="24"/>
        </w:rPr>
      </w:pPr>
      <w:r>
        <w:rPr>
          <w:rFonts w:hint="eastAsia" w:ascii="仿宋" w:hAnsi="仿宋" w:eastAsia="仿宋"/>
          <w:bCs/>
          <w:sz w:val="24"/>
        </w:rPr>
        <w:t>说明：供应商若未按</w:t>
      </w:r>
      <w:r>
        <w:rPr>
          <w:rFonts w:hint="eastAsia" w:ascii="仿宋" w:hAnsi="仿宋" w:eastAsia="仿宋"/>
          <w:bCs/>
          <w:sz w:val="24"/>
          <w:highlight w:val="yellow"/>
          <w:lang w:val="en-US" w:eastAsia="zh-CN"/>
        </w:rPr>
        <w:t>送样须知</w:t>
      </w:r>
      <w:r>
        <w:rPr>
          <w:rFonts w:hint="eastAsia" w:ascii="仿宋" w:hAnsi="仿宋" w:eastAsia="仿宋"/>
          <w:bCs/>
          <w:sz w:val="24"/>
        </w:rPr>
        <w:t>送样，给本次</w:t>
      </w:r>
      <w:r>
        <w:rPr>
          <w:rFonts w:hint="eastAsia" w:ascii="仿宋" w:hAnsi="仿宋" w:eastAsia="仿宋"/>
          <w:bCs/>
          <w:sz w:val="24"/>
          <w:lang w:eastAsia="zh-CN"/>
        </w:rPr>
        <w:t>评审</w:t>
      </w:r>
      <w:r>
        <w:rPr>
          <w:rFonts w:hint="eastAsia" w:ascii="仿宋" w:hAnsi="仿宋" w:eastAsia="仿宋"/>
          <w:bCs/>
          <w:sz w:val="24"/>
        </w:rPr>
        <w:t>造成影响的由其自身承担。</w:t>
      </w:r>
    </w:p>
    <w:p>
      <w:pPr>
        <w:pStyle w:val="2"/>
        <w:rPr>
          <w:rFonts w:ascii="仿宋" w:hAnsi="仿宋" w:eastAsia="仿宋"/>
          <w:bCs/>
          <w:sz w:val="24"/>
        </w:rPr>
      </w:pPr>
    </w:p>
    <w:p>
      <w:pPr>
        <w:pStyle w:val="3"/>
        <w:ind w:firstLine="180"/>
      </w:pPr>
    </w:p>
    <w:p/>
    <w:p>
      <w:pPr>
        <w:keepNext/>
        <w:keepLines/>
        <w:tabs>
          <w:tab w:val="left" w:pos="0"/>
          <w:tab w:val="left" w:pos="426"/>
          <w:tab w:val="left" w:pos="576"/>
          <w:tab w:val="left" w:pos="786"/>
        </w:tabs>
        <w:spacing w:line="360" w:lineRule="auto"/>
        <w:jc w:val="center"/>
        <w:outlineLvl w:val="1"/>
        <w:rPr>
          <w:rFonts w:hint="default" w:ascii="宋体" w:hAnsi="宋体" w:eastAsia="宋体"/>
          <w:b/>
          <w:sz w:val="32"/>
          <w:szCs w:val="32"/>
          <w:highlight w:val="yellow"/>
          <w:lang w:val="en-US" w:eastAsia="zh-CN"/>
        </w:rPr>
      </w:pPr>
      <w:bookmarkStart w:id="87" w:name="_Toc85122597"/>
      <w:r>
        <w:rPr>
          <w:rFonts w:hint="eastAsia" w:ascii="宋体" w:hAnsi="宋体"/>
          <w:b/>
          <w:sz w:val="32"/>
          <w:szCs w:val="32"/>
          <w:highlight w:val="yellow"/>
        </w:rPr>
        <w:t>其他</w:t>
      </w:r>
      <w:bookmarkEnd w:id="87"/>
      <w:r>
        <w:rPr>
          <w:rFonts w:hint="eastAsia" w:ascii="宋体" w:hAnsi="宋体"/>
          <w:b/>
          <w:sz w:val="32"/>
          <w:szCs w:val="32"/>
          <w:highlight w:val="yellow"/>
          <w:lang w:val="en-US" w:eastAsia="zh-CN"/>
        </w:rPr>
        <w:t>与制作文件相关条款</w:t>
      </w:r>
    </w:p>
    <w:p>
      <w:pPr>
        <w:pStyle w:val="81"/>
        <w:numPr>
          <w:ilvl w:val="0"/>
          <w:numId w:val="32"/>
        </w:numPr>
        <w:tabs>
          <w:tab w:val="left" w:pos="1134"/>
        </w:tabs>
        <w:snapToGrid w:val="0"/>
        <w:spacing w:line="360" w:lineRule="auto"/>
        <w:ind w:left="11" w:firstLine="629" w:firstLineChars="0"/>
        <w:rPr>
          <w:rFonts w:asciiTheme="minorEastAsia" w:hAnsiTheme="minorEastAsia"/>
          <w:b/>
          <w:sz w:val="24"/>
          <w:szCs w:val="24"/>
          <w:highlight w:val="yellow"/>
        </w:rPr>
      </w:pPr>
      <w:r>
        <w:rPr>
          <w:rFonts w:hint="eastAsia" w:asciiTheme="minorEastAsia" w:hAnsiTheme="minorEastAsia"/>
          <w:b/>
          <w:sz w:val="24"/>
          <w:szCs w:val="24"/>
        </w:rPr>
        <w:t>★</w:t>
      </w:r>
      <w:r>
        <w:rPr>
          <w:rFonts w:hint="eastAsia" w:asciiTheme="minorEastAsia" w:hAnsiTheme="minorEastAsia"/>
          <w:b/>
          <w:sz w:val="24"/>
          <w:szCs w:val="24"/>
          <w:lang w:eastAsia="zh-CN"/>
        </w:rPr>
        <w:t>供应商</w:t>
      </w:r>
      <w:r>
        <w:rPr>
          <w:rFonts w:hint="eastAsia" w:asciiTheme="minorEastAsia" w:hAnsiTheme="minorEastAsia"/>
          <w:b/>
          <w:sz w:val="24"/>
          <w:szCs w:val="24"/>
        </w:rPr>
        <w:t>为本项目提供的所有产品、辅材中属于《国家强制性产品认证目录》范围内产品的，均通过国家强制性产品认证并取得认证证书。（</w:t>
      </w:r>
      <w:r>
        <w:rPr>
          <w:rFonts w:hint="eastAsia" w:asciiTheme="minorEastAsia" w:hAnsiTheme="minorEastAsia"/>
          <w:b/>
          <w:sz w:val="24"/>
          <w:szCs w:val="24"/>
          <w:highlight w:val="yellow"/>
          <w:lang w:val="en-US" w:eastAsia="zh-CN"/>
        </w:rPr>
        <w:t>提供</w:t>
      </w:r>
      <w:r>
        <w:rPr>
          <w:rFonts w:hint="eastAsia" w:asciiTheme="minorEastAsia" w:hAnsiTheme="minorEastAsia"/>
          <w:b/>
          <w:sz w:val="24"/>
          <w:szCs w:val="24"/>
          <w:highlight w:val="yellow"/>
        </w:rPr>
        <w:t>承诺函）</w:t>
      </w:r>
    </w:p>
    <w:p>
      <w:pPr>
        <w:rPr>
          <w:rFonts w:ascii="仿宋_GB2312" w:hAnsi="仿宋_GB2312" w:eastAsia="仿宋_GB2312" w:cs="仿宋_GB2312"/>
          <w:sz w:val="32"/>
          <w:szCs w:val="32"/>
        </w:rPr>
      </w:pPr>
      <w:r>
        <w:rPr>
          <w:rFonts w:hint="eastAsia" w:asciiTheme="minorEastAsia" w:hAnsiTheme="minorEastAsia"/>
          <w:b/>
          <w:sz w:val="24"/>
          <w:szCs w:val="24"/>
        </w:rPr>
        <w:t>★</w:t>
      </w:r>
      <w:r>
        <w:rPr>
          <w:rFonts w:hint="eastAsia" w:asciiTheme="minorEastAsia" w:hAnsiTheme="minorEastAsia"/>
          <w:b/>
          <w:sz w:val="24"/>
          <w:szCs w:val="24"/>
          <w:lang w:eastAsia="zh-CN"/>
        </w:rPr>
        <w:t>供应商</w:t>
      </w:r>
      <w:r>
        <w:rPr>
          <w:rFonts w:hint="eastAsia" w:asciiTheme="minorEastAsia" w:hAnsiTheme="minorEastAsia"/>
          <w:b/>
          <w:sz w:val="24"/>
          <w:szCs w:val="24"/>
        </w:rPr>
        <w:t>为本项目提供的所有产品、辅材符合现行的强制性国家相关标准、行业标准。（</w:t>
      </w:r>
      <w:r>
        <w:rPr>
          <w:rFonts w:hint="eastAsia" w:asciiTheme="minorEastAsia" w:hAnsiTheme="minorEastAsia"/>
          <w:b/>
          <w:sz w:val="24"/>
          <w:szCs w:val="24"/>
          <w:highlight w:val="yellow"/>
        </w:rPr>
        <w:t>提供承诺函</w:t>
      </w:r>
      <w:r>
        <w:rPr>
          <w:rFonts w:hint="eastAsia" w:asciiTheme="minorEastAsia" w:hAnsiTheme="minorEastAsia"/>
          <w:b/>
          <w:sz w:val="24"/>
          <w:szCs w:val="24"/>
        </w:rPr>
        <w:t>）</w:t>
      </w:r>
      <w:r>
        <w:rPr>
          <w:rFonts w:hint="eastAsia" w:ascii="仿宋_GB2312" w:hAnsi="仿宋_GB2312" w:eastAsia="仿宋_GB2312" w:cs="仿宋_GB2312"/>
          <w:sz w:val="32"/>
          <w:szCs w:val="32"/>
        </w:rPr>
        <w:t>。</w:t>
      </w:r>
    </w:p>
    <w:p>
      <w:pPr>
        <w:pStyle w:val="81"/>
        <w:numPr>
          <w:ilvl w:val="0"/>
          <w:numId w:val="32"/>
        </w:numPr>
        <w:tabs>
          <w:tab w:val="left" w:pos="1134"/>
        </w:tabs>
        <w:snapToGrid w:val="0"/>
        <w:spacing w:line="360" w:lineRule="auto"/>
        <w:ind w:left="11" w:firstLine="629" w:firstLineChars="0"/>
        <w:rPr>
          <w:rFonts w:hint="eastAsia" w:asciiTheme="minorEastAsia" w:hAnsiTheme="minorEastAsia"/>
          <w:b/>
          <w:sz w:val="24"/>
          <w:szCs w:val="24"/>
        </w:rPr>
      </w:pPr>
      <w:r>
        <w:rPr>
          <w:rFonts w:hint="eastAsia" w:asciiTheme="minorEastAsia" w:hAnsiTheme="minorEastAsia"/>
          <w:b/>
          <w:sz w:val="24"/>
          <w:szCs w:val="24"/>
          <w:lang w:eastAsia="zh-CN"/>
        </w:rPr>
        <w:t>本项目</w:t>
      </w:r>
      <w:r>
        <w:rPr>
          <w:rFonts w:hint="eastAsia" w:asciiTheme="minorEastAsia" w:hAnsiTheme="minorEastAsia"/>
          <w:b/>
          <w:sz w:val="24"/>
          <w:szCs w:val="24"/>
        </w:rPr>
        <w:t>是专门面向中小企业采购：</w:t>
      </w:r>
    </w:p>
    <w:p>
      <w:pPr>
        <w:pStyle w:val="81"/>
        <w:numPr>
          <w:ilvl w:val="0"/>
          <w:numId w:val="32"/>
        </w:numPr>
        <w:tabs>
          <w:tab w:val="left" w:pos="1134"/>
        </w:tabs>
        <w:snapToGrid w:val="0"/>
        <w:spacing w:line="360" w:lineRule="auto"/>
        <w:ind w:left="11" w:firstLine="629" w:firstLineChars="0"/>
        <w:rPr>
          <w:rFonts w:hint="eastAsia" w:asciiTheme="minorEastAsia" w:hAnsiTheme="minorEastAsia"/>
          <w:b/>
          <w:sz w:val="24"/>
          <w:szCs w:val="24"/>
        </w:rPr>
      </w:pPr>
      <w:r>
        <w:rPr>
          <w:rFonts w:hint="eastAsia" w:asciiTheme="minorEastAsia" w:hAnsiTheme="minorEastAsia"/>
          <w:b/>
          <w:sz w:val="24"/>
          <w:szCs w:val="24"/>
        </w:rPr>
        <w:t>采购标的对应的中小企业划分标准所属行业：工业</w:t>
      </w:r>
    </w:p>
    <w:p>
      <w:pPr>
        <w:pStyle w:val="81"/>
        <w:numPr>
          <w:ilvl w:val="0"/>
          <w:numId w:val="32"/>
        </w:numPr>
        <w:tabs>
          <w:tab w:val="left" w:pos="1134"/>
        </w:tabs>
        <w:snapToGrid w:val="0"/>
        <w:spacing w:line="360" w:lineRule="auto"/>
        <w:ind w:left="11" w:firstLine="629" w:firstLineChars="0"/>
        <w:rPr>
          <w:rFonts w:hint="eastAsia" w:asciiTheme="minorEastAsia" w:hAnsiTheme="minorEastAsia"/>
          <w:b/>
          <w:sz w:val="24"/>
          <w:szCs w:val="24"/>
        </w:rPr>
      </w:pPr>
      <w:r>
        <w:rPr>
          <w:rFonts w:hint="eastAsia" w:asciiTheme="minorEastAsia" w:hAnsiTheme="minorEastAsia"/>
          <w:b/>
          <w:sz w:val="24"/>
          <w:szCs w:val="24"/>
          <w:lang w:val="en-US" w:eastAsia="zh-CN"/>
        </w:rPr>
        <w:t>本项目不收取履约保证金</w:t>
      </w:r>
    </w:p>
    <w:p>
      <w:pPr>
        <w:pStyle w:val="81"/>
        <w:numPr>
          <w:ilvl w:val="0"/>
          <w:numId w:val="32"/>
        </w:numPr>
        <w:tabs>
          <w:tab w:val="left" w:pos="1134"/>
        </w:tabs>
        <w:snapToGrid w:val="0"/>
        <w:spacing w:line="360" w:lineRule="auto"/>
        <w:ind w:left="11" w:firstLine="629" w:firstLineChars="0"/>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本项目不允许分包履行合同</w:t>
      </w:r>
    </w:p>
    <w:p>
      <w:pPr>
        <w:pStyle w:val="17"/>
        <w:rPr>
          <w:rFonts w:hint="eastAsia" w:eastAsia="宋体"/>
          <w:lang w:eastAsia="zh-CN"/>
        </w:rPr>
      </w:pPr>
      <w:r>
        <w:rPr>
          <w:rFonts w:hint="eastAsia" w:ascii="宋体" w:hAnsi="宋体" w:cs="宋体"/>
          <w:b/>
          <w:bCs/>
          <w:sz w:val="24"/>
        </w:rPr>
        <w:t>★</w:t>
      </w:r>
      <w:r>
        <w:rPr>
          <w:rFonts w:hint="eastAsia" w:ascii="宋体" w:hAnsi="宋体" w:cs="宋体"/>
          <w:b/>
          <w:bCs/>
          <w:sz w:val="24"/>
          <w:lang w:eastAsia="zh-CN"/>
        </w:rPr>
        <w:t>为本项目的实质性要求，必须完全响应，否则响应文件无效。</w:t>
      </w:r>
    </w:p>
    <w:p>
      <w:pPr>
        <w:bidi w:val="0"/>
      </w:pPr>
    </w:p>
    <w:p>
      <w:pPr>
        <w:rPr>
          <w:color w:val="FF0000"/>
          <w:sz w:val="28"/>
          <w:szCs w:val="28"/>
        </w:rPr>
      </w:pPr>
    </w:p>
    <w:p>
      <w:pPr>
        <w:pStyle w:val="2"/>
        <w:sectPr>
          <w:pgSz w:w="11906" w:h="16838"/>
          <w:pgMar w:top="1440" w:right="1797" w:bottom="1440" w:left="1797" w:header="851" w:footer="992" w:gutter="0"/>
          <w:cols w:space="425" w:num="1"/>
          <w:docGrid w:type="lines" w:linePitch="312" w:charSpace="0"/>
        </w:sectPr>
      </w:pPr>
    </w:p>
    <w:p>
      <w:pPr>
        <w:pStyle w:val="4"/>
        <w:widowControl/>
        <w:numPr>
          <w:ilvl w:val="0"/>
          <w:numId w:val="5"/>
        </w:numPr>
        <w:spacing w:before="0" w:after="0" w:line="360" w:lineRule="auto"/>
        <w:ind w:left="0" w:firstLine="0"/>
        <w:rPr>
          <w:sz w:val="28"/>
          <w:szCs w:val="28"/>
        </w:rPr>
      </w:pPr>
      <w:bookmarkStart w:id="88" w:name="_Toc79742134"/>
      <w:bookmarkStart w:id="89" w:name="_Toc58943344"/>
      <w:bookmarkStart w:id="90" w:name="_Toc205604899"/>
      <w:bookmarkStart w:id="91" w:name="_Toc360696963"/>
      <w:bookmarkStart w:id="92" w:name="_Toc238273564"/>
      <w:bookmarkStart w:id="93" w:name="_Toc236285891"/>
      <w:r>
        <w:rPr>
          <w:rFonts w:hint="eastAsia"/>
          <w:sz w:val="28"/>
          <w:szCs w:val="28"/>
        </w:rPr>
        <w:t>磋商办法</w:t>
      </w:r>
      <w:bookmarkEnd w:id="88"/>
      <w:bookmarkEnd w:id="89"/>
    </w:p>
    <w:p>
      <w:pPr>
        <w:pStyle w:val="5"/>
        <w:numPr>
          <w:ilvl w:val="1"/>
          <w:numId w:val="5"/>
        </w:numPr>
        <w:tabs>
          <w:tab w:val="left" w:pos="426"/>
          <w:tab w:val="left" w:pos="567"/>
        </w:tabs>
        <w:spacing w:before="0" w:after="200"/>
        <w:ind w:left="1985" w:hanging="1985"/>
        <w:jc w:val="both"/>
        <w:rPr>
          <w:sz w:val="24"/>
          <w:szCs w:val="24"/>
        </w:rPr>
      </w:pPr>
      <w:bookmarkStart w:id="94" w:name="_Toc79742135"/>
      <w:bookmarkStart w:id="95" w:name="_Toc58943345"/>
      <w:r>
        <w:rPr>
          <w:rFonts w:hint="eastAsia"/>
          <w:sz w:val="24"/>
          <w:szCs w:val="24"/>
        </w:rPr>
        <w:t>总则</w:t>
      </w:r>
      <w:bookmarkEnd w:id="94"/>
      <w:bookmarkEnd w:id="95"/>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根据《中华人民共和国政府采购法》、《中华人民共和国政府采购法实施条例》和《政府采购竞争性磋商采购方式管理暂行办法》等法律及规范性文件，结合采购项目特点制定本办法。</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w:t>
      </w:r>
      <w:r>
        <w:rPr>
          <w:rFonts w:hint="eastAsia" w:ascii="宋体" w:hAnsi="宋体"/>
          <w:color w:val="000000" w:themeColor="text1"/>
          <w:sz w:val="24"/>
          <w:szCs w:val="24"/>
          <w14:textFill>
            <w14:solidFill>
              <w14:schemeClr w14:val="tx1"/>
            </w14:solidFill>
          </w14:textFill>
        </w:rPr>
        <w:t>工作由区政府采购中心负责组织，具体评审事务由采购人和区政府采购中心</w:t>
      </w:r>
      <w:r>
        <w:rPr>
          <w:rFonts w:hint="eastAsia" w:ascii="宋体" w:hAnsi="宋体"/>
          <w:sz w:val="24"/>
          <w:szCs w:val="24"/>
        </w:rPr>
        <w:t>依法组建的磋商小组负责。磋商小组由采购人代表和评审专家组成。</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评审工作应遵循公平、公正、科学及择优的原则，并以相同的评审程序和标准对待所有供应商。</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磋商小组按照磋商文件规定的磋商程序、评审方法和标准进行独立评审，并独立履行下列职责：</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从符合相应资格条件并通过符合性审查的供应商名单中确定不少于三家的供应商参加磋商；</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审查供应商的响应文件并作出评价</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要求供应商解释或者澄清其响应文件</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依法、客观、公平、公正开展供应商资格性审查、符合性审查、磋商和推荐成交候选供应商</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编写评审报告</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cs="宋体"/>
          <w:sz w:val="24"/>
          <w:szCs w:val="24"/>
        </w:rPr>
        <w:t>告知采购人、采购代理机构在评审过程中发现的供应商的违法违规行为</w:t>
      </w:r>
      <w:r>
        <w:rPr>
          <w:rFonts w:hint="eastAsia" w:ascii="宋体" w:hAnsi="宋体"/>
          <w:sz w:val="24"/>
          <w:szCs w:val="24"/>
        </w:rPr>
        <w:t>；</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保守供应商的商业秘密；</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配合处理供应商质疑；</w:t>
      </w:r>
    </w:p>
    <w:p>
      <w:pPr>
        <w:numPr>
          <w:ilvl w:val="1"/>
          <w:numId w:val="34"/>
        </w:numPr>
        <w:spacing w:after="200" w:line="400" w:lineRule="exact"/>
        <w:ind w:left="0" w:firstLine="567"/>
        <w:rPr>
          <w:rFonts w:ascii="宋体" w:hAnsi="宋体"/>
          <w:sz w:val="24"/>
          <w:szCs w:val="24"/>
        </w:rPr>
      </w:pPr>
      <w:r>
        <w:rPr>
          <w:rFonts w:hint="eastAsia" w:ascii="宋体" w:hAnsi="宋体"/>
          <w:sz w:val="24"/>
          <w:szCs w:val="24"/>
        </w:rPr>
        <w:t>配合处理供应商投诉；</w:t>
      </w:r>
    </w:p>
    <w:p>
      <w:pPr>
        <w:numPr>
          <w:ilvl w:val="1"/>
          <w:numId w:val="34"/>
        </w:numPr>
        <w:tabs>
          <w:tab w:val="left" w:pos="1418"/>
        </w:tabs>
        <w:spacing w:after="200" w:line="400" w:lineRule="exact"/>
        <w:ind w:left="0" w:firstLine="567"/>
        <w:rPr>
          <w:rFonts w:ascii="宋体" w:hAnsi="宋体"/>
          <w:sz w:val="24"/>
          <w:szCs w:val="24"/>
        </w:rPr>
      </w:pPr>
      <w:r>
        <w:rPr>
          <w:rFonts w:hint="eastAsia" w:ascii="宋体" w:hAnsi="宋体" w:cs="宋体"/>
          <w:sz w:val="24"/>
          <w:szCs w:val="24"/>
        </w:rPr>
        <w:t>其他需要履行的工作职责</w:t>
      </w:r>
      <w:r>
        <w:rPr>
          <w:rFonts w:hint="eastAsia" w:ascii="宋体" w:hAnsi="宋体"/>
          <w:sz w:val="24"/>
          <w:szCs w:val="24"/>
        </w:rPr>
        <w:t>。</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sz w:val="24"/>
          <w:szCs w:val="24"/>
        </w:rPr>
        <w:t>评审过程独立、保密。供应商非法干预评审过程的行为将导致其响应文件作无效处理。</w:t>
      </w:r>
    </w:p>
    <w:p>
      <w:pPr>
        <w:numPr>
          <w:ilvl w:val="0"/>
          <w:numId w:val="33"/>
        </w:numPr>
        <w:tabs>
          <w:tab w:val="left" w:pos="1134"/>
        </w:tabs>
        <w:spacing w:after="200" w:line="400" w:lineRule="exact"/>
        <w:ind w:left="0" w:firstLine="484" w:firstLineChars="202"/>
        <w:rPr>
          <w:rFonts w:ascii="宋体" w:hAnsi="宋体"/>
          <w:color w:val="000000" w:themeColor="text1"/>
          <w:sz w:val="24"/>
          <w:szCs w:val="24"/>
          <w14:textFill>
            <w14:solidFill>
              <w14:schemeClr w14:val="tx1"/>
            </w14:solidFill>
          </w14:textFill>
        </w:rPr>
      </w:pPr>
      <w:r>
        <w:rPr>
          <w:rFonts w:hint="eastAsia" w:ascii="宋体" w:hAnsi="宋体"/>
          <w:sz w:val="24"/>
          <w:szCs w:val="24"/>
        </w:rPr>
        <w:t>磋商小组审查响应文件的响应性依据响应文件本身的内容，而不寻求外部的</w:t>
      </w:r>
      <w:r>
        <w:rPr>
          <w:rFonts w:hint="eastAsia" w:ascii="宋体" w:hAnsi="宋体"/>
          <w:color w:val="000000" w:themeColor="text1"/>
          <w:sz w:val="24"/>
          <w:szCs w:val="24"/>
          <w14:textFill>
            <w14:solidFill>
              <w14:schemeClr w14:val="tx1"/>
            </w14:solidFill>
          </w14:textFill>
        </w:rPr>
        <w:t>证据，磋商文件有明确约定的除外。</w:t>
      </w:r>
    </w:p>
    <w:p>
      <w:pPr>
        <w:numPr>
          <w:ilvl w:val="0"/>
          <w:numId w:val="33"/>
        </w:numPr>
        <w:tabs>
          <w:tab w:val="left" w:pos="1134"/>
        </w:tabs>
        <w:spacing w:after="200" w:line="400" w:lineRule="exact"/>
        <w:ind w:left="0" w:firstLine="484" w:firstLineChars="202"/>
        <w:rPr>
          <w:rFonts w:ascii="宋体" w:hAnsi="宋体"/>
          <w:sz w:val="24"/>
          <w:szCs w:val="24"/>
        </w:rPr>
      </w:pPr>
      <w:r>
        <w:rPr>
          <w:rFonts w:hint="eastAsia" w:ascii="宋体" w:hAnsi="宋体"/>
          <w:color w:val="000000" w:themeColor="text1"/>
          <w:sz w:val="24"/>
          <w:szCs w:val="24"/>
          <w14:textFill>
            <w14:solidFill>
              <w14:schemeClr w14:val="tx1"/>
            </w14:solidFill>
          </w14:textFill>
        </w:rPr>
        <w:t>磋商小组发现磋商文件表述不明确或需要说明的事项，可提请采购人和区政府采购中心书面解释</w:t>
      </w:r>
      <w:r>
        <w:rPr>
          <w:rFonts w:hint="eastAsia" w:ascii="宋体" w:hAnsi="宋体"/>
          <w:sz w:val="24"/>
          <w:szCs w:val="24"/>
        </w:rPr>
        <w:t>说明。</w:t>
      </w:r>
      <w:bookmarkStart w:id="96" w:name="_Toc58943346"/>
    </w:p>
    <w:p>
      <w:pPr>
        <w:pStyle w:val="5"/>
        <w:numPr>
          <w:ilvl w:val="1"/>
          <w:numId w:val="5"/>
        </w:numPr>
        <w:tabs>
          <w:tab w:val="left" w:pos="426"/>
          <w:tab w:val="left" w:pos="567"/>
        </w:tabs>
        <w:spacing w:before="0" w:after="200" w:line="400" w:lineRule="exact"/>
        <w:ind w:left="1985" w:hanging="1985"/>
        <w:jc w:val="both"/>
        <w:rPr>
          <w:sz w:val="24"/>
          <w:szCs w:val="24"/>
        </w:rPr>
      </w:pPr>
      <w:r>
        <w:rPr>
          <w:rFonts w:hint="eastAsia"/>
          <w:sz w:val="24"/>
          <w:szCs w:val="24"/>
        </w:rPr>
        <w:t xml:space="preserve"> </w:t>
      </w:r>
      <w:bookmarkStart w:id="97" w:name="_Toc79742136"/>
      <w:r>
        <w:rPr>
          <w:rFonts w:hint="eastAsia"/>
          <w:sz w:val="24"/>
          <w:szCs w:val="24"/>
        </w:rPr>
        <w:t>评审程序</w:t>
      </w:r>
      <w:bookmarkEnd w:id="96"/>
      <w:bookmarkEnd w:id="97"/>
    </w:p>
    <w:p>
      <w:pPr>
        <w:pStyle w:val="6"/>
        <w:numPr>
          <w:ilvl w:val="2"/>
          <w:numId w:val="5"/>
        </w:numPr>
        <w:spacing w:after="200" w:line="400" w:lineRule="exact"/>
        <w:ind w:left="1135" w:hanging="1135"/>
        <w:rPr>
          <w:color w:val="auto"/>
          <w:sz w:val="24"/>
          <w:szCs w:val="24"/>
        </w:rPr>
      </w:pPr>
      <w:bookmarkStart w:id="98" w:name="_Toc287623646"/>
      <w:r>
        <w:rPr>
          <w:rFonts w:hint="eastAsia"/>
          <w:color w:val="auto"/>
          <w:sz w:val="24"/>
          <w:szCs w:val="24"/>
        </w:rPr>
        <w:t>磋商小组</w:t>
      </w:r>
      <w:bookmarkEnd w:id="98"/>
    </w:p>
    <w:p>
      <w:pPr>
        <w:pStyle w:val="23"/>
        <w:spacing w:line="400" w:lineRule="exact"/>
        <w:ind w:firstLine="480" w:firstLineChars="200"/>
        <w:rPr>
          <w:rFonts w:hAnsi="宋体"/>
          <w:sz w:val="24"/>
          <w:szCs w:val="24"/>
        </w:rPr>
      </w:pPr>
      <w:r>
        <w:rPr>
          <w:rFonts w:hint="eastAsia" w:hAnsi="宋体"/>
          <w:sz w:val="24"/>
          <w:szCs w:val="24"/>
        </w:rPr>
        <w:t>磋商小组由采购人代表和根据采购项目情况确定的技术或经济或法律等有关专家</w:t>
      </w:r>
      <w:r>
        <w:rPr>
          <w:rFonts w:hAnsi="宋体"/>
          <w:sz w:val="24"/>
          <w:szCs w:val="24"/>
        </w:rPr>
        <w:t>3</w:t>
      </w:r>
      <w:r>
        <w:rPr>
          <w:rFonts w:hint="eastAsia" w:hAnsi="宋体"/>
          <w:sz w:val="24"/>
          <w:szCs w:val="24"/>
        </w:rPr>
        <w:t>人以上的单数组成。磋商小组负责本项目的磋商和评审工作。</w:t>
      </w:r>
    </w:p>
    <w:p>
      <w:pPr>
        <w:pStyle w:val="6"/>
        <w:numPr>
          <w:ilvl w:val="2"/>
          <w:numId w:val="5"/>
        </w:numPr>
        <w:spacing w:after="200" w:line="400" w:lineRule="exact"/>
        <w:ind w:left="1135" w:hanging="1135"/>
        <w:rPr>
          <w:color w:val="auto"/>
          <w:sz w:val="24"/>
          <w:szCs w:val="24"/>
        </w:rPr>
      </w:pPr>
      <w:r>
        <w:rPr>
          <w:rFonts w:hint="eastAsia"/>
          <w:color w:val="auto"/>
          <w:sz w:val="24"/>
          <w:szCs w:val="24"/>
        </w:rPr>
        <w:t>资格审查</w:t>
      </w:r>
    </w:p>
    <w:p>
      <w:pPr>
        <w:spacing w:line="400" w:lineRule="exact"/>
        <w:ind w:firstLine="513" w:firstLineChars="214"/>
        <w:rPr>
          <w:rFonts w:ascii="宋体" w:hAnsi="宋体"/>
          <w:sz w:val="24"/>
          <w:szCs w:val="24"/>
        </w:rPr>
      </w:pPr>
      <w:r>
        <w:rPr>
          <w:rFonts w:hint="eastAsia" w:ascii="宋体" w:hAnsi="宋体"/>
          <w:sz w:val="24"/>
          <w:szCs w:val="24"/>
        </w:rPr>
        <w:t>首次递交响应文件截止时间结束后，由磋商小组对递交响应文件的供应商进行资格性审查。磋商小组在资格性审查过程中，磋商小组成员对供应商资格是否符合规定存在争议的，应当以少数服从多数的原则处理，但不得违反政府采购法和磋商文件规定。</w:t>
      </w:r>
    </w:p>
    <w:p>
      <w:pPr>
        <w:spacing w:line="400" w:lineRule="exact"/>
        <w:ind w:firstLine="513" w:firstLineChars="214"/>
        <w:rPr>
          <w:rFonts w:hint="eastAsia" w:ascii="宋体" w:hAnsi="宋体"/>
          <w:sz w:val="24"/>
          <w:szCs w:val="24"/>
        </w:rPr>
      </w:pPr>
      <w:r>
        <w:rPr>
          <w:rFonts w:hint="eastAsia" w:ascii="宋体" w:hAnsi="宋体"/>
          <w:sz w:val="24"/>
          <w:szCs w:val="24"/>
        </w:rPr>
        <w:t>供应商资格审查的标准：</w:t>
      </w: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27"/>
        <w:gridCol w:w="1681"/>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803" w:type="dxa"/>
            <w:gridSpan w:val="3"/>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b/>
                <w:sz w:val="20"/>
              </w:rPr>
            </w:pPr>
            <w:r>
              <w:rPr>
                <w:rFonts w:hint="eastAsia"/>
                <w:b/>
                <w:sz w:val="20"/>
              </w:rPr>
              <w:t>资格性审查项</w:t>
            </w:r>
          </w:p>
        </w:tc>
        <w:tc>
          <w:tcPr>
            <w:tcW w:w="571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jc w:val="center"/>
              <w:rPr>
                <w:sz w:val="20"/>
              </w:rPr>
            </w:pPr>
            <w:r>
              <w:rPr>
                <w:rFonts w:hint="eastAsia"/>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right w:val="single" w:color="auto" w:sz="2" w:space="0"/>
            </w:tcBorders>
            <w:vAlign w:val="center"/>
          </w:tcPr>
          <w:p>
            <w:pPr>
              <w:tabs>
                <w:tab w:val="left" w:pos="851"/>
              </w:tabs>
              <w:spacing w:line="360" w:lineRule="auto"/>
              <w:jc w:val="center"/>
              <w:rPr>
                <w:sz w:val="20"/>
              </w:rPr>
            </w:pPr>
            <w:r>
              <w:rPr>
                <w:sz w:val="20"/>
              </w:rPr>
              <w:t>1</w:t>
            </w:r>
          </w:p>
        </w:tc>
        <w:tc>
          <w:tcPr>
            <w:tcW w:w="2108" w:type="dxa"/>
            <w:gridSpan w:val="2"/>
            <w:tcBorders>
              <w:top w:val="single" w:color="auto" w:sz="2" w:space="0"/>
              <w:left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供应商应具有独立承担</w:t>
            </w:r>
            <w:r>
              <w:rPr>
                <w:rFonts w:ascii="宋体" w:hAnsi="宋体"/>
                <w:sz w:val="20"/>
                <w:szCs w:val="20"/>
              </w:rPr>
              <w:t>民事</w:t>
            </w:r>
            <w:r>
              <w:rPr>
                <w:rFonts w:hint="eastAsia" w:ascii="宋体" w:hAnsi="宋体"/>
                <w:sz w:val="20"/>
                <w:szCs w:val="20"/>
              </w:rPr>
              <w:t>责任的</w:t>
            </w:r>
            <w:r>
              <w:rPr>
                <w:rFonts w:ascii="宋体" w:hAnsi="宋体"/>
                <w:sz w:val="20"/>
                <w:szCs w:val="20"/>
              </w:rPr>
              <w:t>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ascii="宋体" w:hAnsi="宋体"/>
                <w:sz w:val="20"/>
                <w:szCs w:val="20"/>
              </w:rPr>
            </w:pPr>
            <w:r>
              <w:rPr>
                <w:rFonts w:hint="eastAsia" w:ascii="宋体" w:hAnsi="宋体"/>
                <w:sz w:val="20"/>
                <w:szCs w:val="20"/>
              </w:rPr>
              <w:t>营业</w:t>
            </w:r>
            <w:r>
              <w:rPr>
                <w:rFonts w:ascii="宋体" w:hAnsi="宋体"/>
                <w:sz w:val="20"/>
                <w:szCs w:val="20"/>
              </w:rPr>
              <w:t>执照</w:t>
            </w:r>
            <w:r>
              <w:rPr>
                <w:rFonts w:hint="eastAsia" w:ascii="宋体" w:hAnsi="宋体"/>
                <w:sz w:val="20"/>
                <w:szCs w:val="20"/>
              </w:rPr>
              <w:t>（正本</w:t>
            </w:r>
            <w:r>
              <w:rPr>
                <w:rFonts w:ascii="宋体" w:hAnsi="宋体"/>
                <w:sz w:val="20"/>
                <w:szCs w:val="20"/>
              </w:rPr>
              <w:t>或副本</w:t>
            </w:r>
            <w:r>
              <w:rPr>
                <w:rFonts w:hint="eastAsia" w:ascii="宋体" w:hAnsi="宋体"/>
                <w:sz w:val="20"/>
                <w:szCs w:val="20"/>
              </w:rPr>
              <w:t>）</w:t>
            </w:r>
            <w:r>
              <w:rPr>
                <w:rFonts w:ascii="宋体" w:hAnsi="宋体"/>
                <w:sz w:val="20"/>
                <w:szCs w:val="20"/>
              </w:rPr>
              <w:t>或</w:t>
            </w:r>
            <w:r>
              <w:rPr>
                <w:rFonts w:hint="eastAsia" w:ascii="宋体" w:hAnsi="宋体"/>
                <w:sz w:val="20"/>
                <w:szCs w:val="20"/>
              </w:rPr>
              <w:t>法人登记证（正本</w:t>
            </w:r>
            <w:r>
              <w:rPr>
                <w:rFonts w:ascii="宋体" w:hAnsi="宋体"/>
                <w:sz w:val="20"/>
                <w:szCs w:val="20"/>
              </w:rPr>
              <w:t>或副本</w:t>
            </w:r>
            <w:r>
              <w:rPr>
                <w:rFonts w:hint="eastAsia" w:ascii="宋体" w:hAnsi="宋体"/>
                <w:sz w:val="20"/>
                <w:szCs w:val="20"/>
              </w:rPr>
              <w:t>）或其他能够证明</w:t>
            </w:r>
            <w:r>
              <w:rPr>
                <w:rFonts w:ascii="宋体" w:hAnsi="宋体"/>
                <w:sz w:val="20"/>
                <w:szCs w:val="20"/>
              </w:rPr>
              <w:t>供应商具有独立承担民事责任能力的相关证明</w:t>
            </w:r>
            <w:r>
              <w:rPr>
                <w:rFonts w:hint="eastAsia" w:ascii="宋体" w:hAnsi="宋体"/>
                <w:sz w:val="20"/>
                <w:szCs w:val="20"/>
              </w:rPr>
              <w:t>材料</w:t>
            </w:r>
            <w:r>
              <w:rPr>
                <w:rFonts w:ascii="宋体" w:hAnsi="宋体"/>
                <w:sz w:val="20"/>
                <w:szCs w:val="20"/>
              </w:rPr>
              <w:t>复印件【</w:t>
            </w:r>
            <w:r>
              <w:rPr>
                <w:rFonts w:hint="eastAsia" w:ascii="宋体" w:hAnsi="宋体"/>
                <w:sz w:val="20"/>
                <w:szCs w:val="20"/>
              </w:rPr>
              <w:t>注：</w:t>
            </w:r>
            <w:r>
              <w:rPr>
                <w:rFonts w:ascii="宋体" w:hAnsi="宋体"/>
                <w:sz w:val="20"/>
                <w:szCs w:val="20"/>
              </w:rPr>
              <w:t>（1）</w:t>
            </w:r>
            <w:r>
              <w:rPr>
                <w:rFonts w:hint="eastAsia" w:ascii="宋体" w:hAnsi="宋体"/>
                <w:sz w:val="20"/>
                <w:szCs w:val="20"/>
              </w:rPr>
              <w:t>营业</w:t>
            </w:r>
            <w:r>
              <w:rPr>
                <w:rFonts w:ascii="宋体" w:hAnsi="宋体"/>
                <w:sz w:val="20"/>
                <w:szCs w:val="20"/>
              </w:rPr>
              <w:t>执照或</w:t>
            </w:r>
            <w:r>
              <w:rPr>
                <w:rFonts w:hint="eastAsia" w:ascii="宋体" w:hAnsi="宋体"/>
                <w:sz w:val="20"/>
                <w:szCs w:val="20"/>
              </w:rPr>
              <w:t>法人登记证</w:t>
            </w:r>
            <w:r>
              <w:rPr>
                <w:rFonts w:ascii="宋体" w:hAnsi="宋体"/>
                <w:sz w:val="20"/>
                <w:szCs w:val="20"/>
              </w:rPr>
              <w:t>或其他证明</w:t>
            </w:r>
            <w:r>
              <w:rPr>
                <w:rFonts w:hint="eastAsia" w:ascii="宋体" w:hAnsi="宋体"/>
                <w:sz w:val="20"/>
                <w:szCs w:val="20"/>
              </w:rPr>
              <w:t>材料</w:t>
            </w:r>
            <w:r>
              <w:rPr>
                <w:rFonts w:ascii="宋体" w:hAnsi="宋体"/>
                <w:sz w:val="20"/>
                <w:szCs w:val="20"/>
              </w:rPr>
              <w:t>载明有</w:t>
            </w:r>
            <w:r>
              <w:rPr>
                <w:rFonts w:hint="eastAsia" w:ascii="宋体" w:hAnsi="宋体"/>
                <w:sz w:val="20"/>
                <w:szCs w:val="20"/>
              </w:rPr>
              <w:t>期限</w:t>
            </w:r>
            <w:r>
              <w:rPr>
                <w:rFonts w:ascii="宋体" w:hAnsi="宋体"/>
                <w:sz w:val="20"/>
                <w:szCs w:val="20"/>
              </w:rPr>
              <w:t>的，应在有效期限内；（2）</w:t>
            </w:r>
            <w:r>
              <w:rPr>
                <w:rFonts w:hint="eastAsia" w:ascii="宋体" w:hAnsi="宋体"/>
                <w:sz w:val="20"/>
                <w:szCs w:val="20"/>
              </w:rPr>
              <w:t>在</w:t>
            </w:r>
            <w:r>
              <w:rPr>
                <w:rFonts w:ascii="宋体" w:hAnsi="宋体"/>
                <w:sz w:val="20"/>
                <w:szCs w:val="20"/>
              </w:rPr>
              <w:t>中华人民共和国境内注册。】</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rPr>
                <w:sz w:val="20"/>
              </w:rPr>
            </w:pPr>
            <w:r>
              <w:rPr>
                <w:sz w:val="20"/>
              </w:rPr>
              <w:t>2</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1、参加政府采购活动前三年内，在经营活动中没有重大违法记录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供应商参加政府采购活动前三年内，在经营活动中没有重大违法记录的书面声明材料。【说明：①按磋商文件3.1.3声明的内容提供书面声明材料；②供应商参加政府采购活动前三年内，在经营活动中没有重大违法记录。】</w:t>
            </w:r>
          </w:p>
          <w:p>
            <w:pPr>
              <w:tabs>
                <w:tab w:val="left" w:pos="851"/>
              </w:tabs>
              <w:spacing w:line="240" w:lineRule="atLeast"/>
              <w:rPr>
                <w:rFonts w:hint="eastAsia" w:ascii="宋体" w:hAnsi="宋体"/>
                <w:sz w:val="20"/>
                <w:szCs w:val="20"/>
              </w:rPr>
            </w:pPr>
            <w:r>
              <w:rPr>
                <w:rFonts w:hint="eastAsia" w:ascii="宋体" w:hAnsi="宋体"/>
                <w:sz w:val="20"/>
                <w:szCs w:val="20"/>
              </w:rPr>
              <w:t>2. 磋商小组根据“信用中国”和“中国政府采购网”网站的查询结果，在资格审查期间对供应商在参加政府采购活动前三年内，在经营活动中是否有重大违法记录进行审查。【说明：供应商参加政府采购活动前三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2、具有良好的商业信誉的证明材料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供应商具有良好的商业信誉的书面声明材料。【说明：①按磋商文件3.1.3声明的内容提供书面声明材料；②供应商具有良好的商业信誉。】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、单位负</w:t>
            </w:r>
            <w:r>
              <w:rPr>
                <w:rFonts w:hint="eastAsia" w:ascii="宋体" w:hAnsi="宋体" w:eastAsia="宋体" w:cs="Times New Roman"/>
                <w:sz w:val="20"/>
                <w:szCs w:val="20"/>
              </w:rPr>
              <w:t>责人为同一人或者存在直接控股、管理关系的不同供应商，不得参加同一项目的政府采购活动</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eastAsia="宋体" w:cs="Times New Roman"/>
                <w:sz w:val="20"/>
                <w:szCs w:val="20"/>
              </w:rPr>
            </w:pPr>
            <w:r>
              <w:rPr>
                <w:rFonts w:hint="eastAsia" w:ascii="宋体" w:hAnsi="宋体" w:eastAsia="宋体" w:cs="Times New Roman"/>
                <w:sz w:val="20"/>
                <w:szCs w:val="20"/>
              </w:rPr>
              <w:t>负责人为同一人或者存在直接控股、管理关系的不同供应商未同时参加本项目书面声明材料。【说明：①按磋商文件3.1.3声明内容提供书面声明材料；②参加本项目采购活动的供应商中无与其他同时参加本项目的供应商负责人为同一人的情况，不存在直接控股、管理关系的供应商参加本项目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、行贿犯罪记录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在行贿犯罪信息查询期限内，供应商及其现任法定代表人、主要负责人没有行贿犯罪记录的书面声明材料。【说明：</w:t>
            </w:r>
            <w:r>
              <w:rPr>
                <w:rFonts w:hint="eastAsia" w:ascii="宋体" w:hAnsi="宋体"/>
                <w:sz w:val="20"/>
                <w:szCs w:val="28"/>
              </w:rPr>
              <w:t>①</w:t>
            </w:r>
            <w:r>
              <w:rPr>
                <w:rFonts w:hint="eastAsia"/>
                <w:sz w:val="20"/>
              </w:rPr>
              <w:t>按磋商文件</w:t>
            </w:r>
            <w:r>
              <w:rPr>
                <w:sz w:val="20"/>
              </w:rPr>
              <w:t>3.1.3</w:t>
            </w:r>
            <w:r>
              <w:rPr>
                <w:rFonts w:hint="eastAsia"/>
                <w:sz w:val="20"/>
              </w:rPr>
              <w:t>声明内容提供书面声明材料，响应文件中不需提供中国裁判文书网（</w:t>
            </w:r>
            <w:r>
              <w:rPr>
                <w:sz w:val="20"/>
              </w:rPr>
              <w:t>https://wenshu.court.gov.cn</w:t>
            </w:r>
            <w:r>
              <w:rPr>
                <w:rFonts w:hint="eastAsia"/>
                <w:sz w:val="20"/>
              </w:rPr>
              <w:t>）查询结果的证明材料；</w:t>
            </w:r>
            <w:r>
              <w:rPr>
                <w:rFonts w:hint="eastAsia" w:ascii="宋体" w:hAnsi="宋体"/>
                <w:sz w:val="20"/>
                <w:szCs w:val="28"/>
              </w:rPr>
              <w:t>②在行贿犯罪信息查询期限内，供应商及其现任法定代表人、主要负责人没有行贿犯罪记录</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5、未被列入失信被执行人、重大税收违法案件当事人名单、政府采购严重违法失信行为记录名单</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1.供应商未被列入失信被执行人、重大税收违法案件当事人名单、政府采购严重违法失信行为记录名单的书面声明材料。【说明：①供应商未列入失信被执行人、重大税收违法案件当事人名单、政府采购严重违法失信行为记录名单；②按磋商文件3.1.3声明内容提供书面声明材料。】</w:t>
            </w:r>
          </w:p>
          <w:p>
            <w:pPr>
              <w:tabs>
                <w:tab w:val="left" w:pos="851"/>
              </w:tabs>
              <w:spacing w:line="240" w:lineRule="atLeast"/>
              <w:rPr>
                <w:rFonts w:hint="eastAsia" w:ascii="宋体" w:hAnsi="宋体"/>
                <w:sz w:val="20"/>
                <w:szCs w:val="20"/>
              </w:rPr>
            </w:pPr>
            <w:r>
              <w:rPr>
                <w:rFonts w:hint="eastAsia" w:ascii="宋体" w:hAnsi="宋体"/>
                <w:sz w:val="20"/>
                <w:szCs w:val="20"/>
              </w:rPr>
              <w:t>2. 磋商小组根据“信用中国”和“中国政府采购网”网站的查询结果，在资格审查期间对供应商是否被列入失信被执行人、重大税收违法案件当事人名单、政府采购严重违法失信行为记录名单进行审查。【说明：供应商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6、未处于被行政部门禁止参与政府采购活动的期限内</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sz w:val="20"/>
                <w:szCs w:val="20"/>
              </w:rPr>
            </w:pPr>
            <w:r>
              <w:rPr>
                <w:rFonts w:hint="eastAsia" w:ascii="宋体" w:hAnsi="宋体"/>
                <w:sz w:val="20"/>
                <w:szCs w:val="20"/>
              </w:rPr>
              <w:t>供应商未处于被行政部门禁止参与政府采购活动的期限内。【说明：①按磋商文件3.1.3声明内容提供书面声明材料；②供应商未处于被行政部门禁止参与政府采购活动的期限内。】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7</w:t>
            </w:r>
            <w:r>
              <w:rPr>
                <w:rFonts w:hint="eastAsia"/>
                <w:sz w:val="20"/>
              </w:rPr>
              <w:t>、具有健全的财务会计制度的证明材料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eastAsia="宋体" w:cs="Times New Roman"/>
                <w:sz w:val="20"/>
                <w:szCs w:val="20"/>
              </w:rPr>
            </w:pPr>
            <w:r>
              <w:rPr>
                <w:rFonts w:hint="eastAsia" w:ascii="宋体" w:hAnsi="宋体" w:eastAsia="宋体" w:cs="Times New Roman"/>
                <w:sz w:val="20"/>
                <w:szCs w:val="20"/>
              </w:rPr>
              <w:t>供应商具有健全的财务会计制度的书面声明材料【说明：①按磋商文件3.1.3声明的内容提供书面声明材料；②供应商具有健全的财务会计制度。】。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8</w:t>
            </w:r>
            <w:r>
              <w:rPr>
                <w:rFonts w:hint="eastAsia"/>
                <w:sz w:val="20"/>
              </w:rPr>
              <w:t>、缴纳社会保障资金的证明材料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240" w:lineRule="atLeast"/>
              <w:rPr>
                <w:rFonts w:hint="eastAsia" w:ascii="宋体" w:hAnsi="宋体" w:eastAsia="宋体" w:cs="Times New Roman"/>
                <w:sz w:val="20"/>
                <w:szCs w:val="20"/>
              </w:rPr>
            </w:pPr>
            <w:r>
              <w:rPr>
                <w:rFonts w:hint="eastAsia" w:ascii="宋体" w:hAnsi="宋体" w:eastAsia="宋体" w:cs="Times New Roman"/>
                <w:sz w:val="20"/>
                <w:szCs w:val="20"/>
              </w:rPr>
              <w:t>供应商具有依法缴纳社会保障资金良好记录的书面声明材料【说明：①按磋商文件3.1.3声明的内容提供书面声明材料；②供应商有依法缴纳社会保障资金的良好记录。】。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9</w:t>
            </w:r>
            <w:r>
              <w:rPr>
                <w:rFonts w:hint="eastAsia"/>
                <w:sz w:val="20"/>
              </w:rPr>
              <w:t>、缴纳税收的证明材料</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eastAsia="宋体" w:cs="Times New Roman"/>
                <w:sz w:val="20"/>
                <w:szCs w:val="20"/>
              </w:rPr>
              <w:t>供应商具有依法缴纳税收良好记录的书面声明材料【说明：①按磋商文件3.1.3声明的内容提供书面声明材料；②供应商有依法缴纳税收的良好记录。】。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restart"/>
            <w:tcBorders>
              <w:left w:val="single" w:color="auto" w:sz="2" w:space="0"/>
              <w:right w:val="single" w:color="auto" w:sz="2" w:space="0"/>
            </w:tcBorders>
            <w:vAlign w:val="center"/>
          </w:tcPr>
          <w:p>
            <w:pPr>
              <w:tabs>
                <w:tab w:val="left" w:pos="851"/>
              </w:tabs>
              <w:spacing w:line="360" w:lineRule="auto"/>
              <w:jc w:val="center"/>
              <w:rPr>
                <w:sz w:val="20"/>
              </w:rPr>
            </w:pPr>
            <w:r>
              <w:rPr>
                <w:sz w:val="20"/>
              </w:rPr>
              <w:t>3</w:t>
            </w:r>
          </w:p>
        </w:tc>
        <w:tc>
          <w:tcPr>
            <w:tcW w:w="427" w:type="dxa"/>
            <w:vMerge w:val="restart"/>
            <w:tcBorders>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、具有履行合同所必须的设备和专业技术能力</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采购人对供应商履行合同所必须的设备和专业技术能力无其他特殊要求</w:t>
            </w:r>
            <w:r>
              <w:rPr>
                <w:rFonts w:hint="eastAsia"/>
                <w:sz w:val="20"/>
                <w:lang w:eastAsia="zh-CN"/>
              </w:rPr>
              <w:t>，供应商</w:t>
            </w:r>
            <w:r>
              <w:rPr>
                <w:sz w:val="20"/>
              </w:rPr>
              <w:t>具有有效的营业执照或法人证书即可</w:t>
            </w:r>
            <w:r>
              <w:rPr>
                <w:rFonts w:hint="eastAsia"/>
                <w:sz w:val="20"/>
              </w:rPr>
              <w:t>，供应商可不提供证明材料。【说明：无须提供证明材料，上传空白页即可，不对本项上传的材料作资格审查】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w:t>
            </w:r>
            <w:r>
              <w:rPr>
                <w:rFonts w:hint="eastAsia"/>
                <w:sz w:val="20"/>
              </w:rPr>
              <w:t>、法律、行政法规规定的其他条件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采购人对法律、行政法规规定的其他条件无其他特殊要求，</w:t>
            </w:r>
            <w:r>
              <w:rPr>
                <w:rFonts w:hint="eastAsia"/>
                <w:sz w:val="20"/>
                <w:lang w:eastAsia="zh-CN"/>
              </w:rPr>
              <w:t>供应商</w:t>
            </w:r>
            <w:r>
              <w:rPr>
                <w:sz w:val="20"/>
              </w:rPr>
              <w:t>具有有效的营业执照或法人证书即可</w:t>
            </w:r>
            <w:r>
              <w:rPr>
                <w:rFonts w:hint="eastAsia"/>
                <w:sz w:val="20"/>
                <w:lang w:eastAsia="zh-CN"/>
              </w:rPr>
              <w:t>，</w:t>
            </w:r>
            <w:r>
              <w:rPr>
                <w:rFonts w:hint="eastAsia"/>
                <w:sz w:val="20"/>
              </w:rPr>
              <w:t>可不提供证明材料。【说明：无须提供证明材料，上传空白页即可，不对本项上传的材料作资格审查】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jc w:val="center"/>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3</w:t>
            </w:r>
            <w:r>
              <w:rPr>
                <w:rFonts w:hint="eastAsia"/>
                <w:sz w:val="20"/>
              </w:rPr>
              <w:t>、不属于其他国家相关法律法规规定的禁止参加政府采购活动的供应商</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r>
              <w:rPr>
                <w:rFonts w:hint="eastAsia"/>
                <w:sz w:val="20"/>
              </w:rPr>
              <w:t>、根据磋商文件的要求不属于禁止参加政府采购活动的供应商；</w:t>
            </w:r>
          </w:p>
          <w:p>
            <w:pPr>
              <w:tabs>
                <w:tab w:val="left" w:pos="851"/>
              </w:tabs>
              <w:spacing w:line="360" w:lineRule="auto"/>
              <w:rPr>
                <w:sz w:val="20"/>
              </w:rPr>
            </w:pPr>
            <w:r>
              <w:rPr>
                <w:sz w:val="20"/>
              </w:rPr>
              <w:t>2</w:t>
            </w:r>
            <w:r>
              <w:rPr>
                <w:rFonts w:hint="eastAsia"/>
                <w:sz w:val="20"/>
              </w:rPr>
              <w:t>、磋商小组未发现或者未知晓供应商存在属于国家相关法律法规规定的禁止参加磋商的供应商。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r>
              <w:rPr>
                <w:rFonts w:hint="eastAsia"/>
                <w:sz w:val="20"/>
              </w:rPr>
              <w:t>、非联合体参加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非联合体参加本次政府采购活动。【说明：无须提供证明材料，上传空白页即可，不对本项上传的材料作资格审查】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5</w:t>
            </w:r>
            <w:r>
              <w:rPr>
                <w:rFonts w:hint="eastAsia"/>
                <w:sz w:val="20"/>
              </w:rPr>
              <w:t>、资质要求</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6</w:t>
            </w:r>
            <w:r>
              <w:rPr>
                <w:rFonts w:hint="eastAsia"/>
                <w:sz w:val="20"/>
              </w:rPr>
              <w:t>、磋商保证金</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7、响应文件签章</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响应文件加盖有供应商（法定名称）电子签章。【说明：无须提供证明材料，上传空白页即可，不对本项上传的材料作资格审查】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27"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68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8、响应文件的语言、有效期</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语言符合采购文件的要求。【说明：无须提供证明材料，上传空白页即可，不对本项上传的材料作资格审查】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4</w:t>
            </w:r>
          </w:p>
        </w:tc>
        <w:tc>
          <w:tcPr>
            <w:tcW w:w="2108" w:type="dxa"/>
            <w:gridSpan w:val="2"/>
            <w:tcBorders>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资格性响应</w:t>
            </w:r>
            <w:r>
              <w:rPr>
                <w:sz w:val="20"/>
              </w:rPr>
              <w:t>文件</w:t>
            </w:r>
            <w:r>
              <w:rPr>
                <w:rFonts w:hint="eastAsia"/>
                <w:sz w:val="20"/>
              </w:rPr>
              <w:t>组成</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ascii="宋体" w:hAnsi="宋体"/>
                <w:sz w:val="20"/>
                <w:szCs w:val="28"/>
              </w:rPr>
              <w:t>符合磋商文件“</w:t>
            </w:r>
            <w:r>
              <w:rPr>
                <w:rFonts w:ascii="宋体" w:hAnsi="宋体"/>
                <w:sz w:val="20"/>
                <w:szCs w:val="28"/>
              </w:rPr>
              <w:t>2.4.5</w:t>
            </w:r>
            <w:r>
              <w:rPr>
                <w:rFonts w:hint="eastAsia" w:ascii="宋体" w:hAnsi="宋体"/>
                <w:sz w:val="20"/>
                <w:szCs w:val="28"/>
              </w:rPr>
              <w:t>响应</w:t>
            </w:r>
            <w:r>
              <w:rPr>
                <w:rFonts w:ascii="宋体" w:hAnsi="宋体"/>
                <w:sz w:val="20"/>
                <w:szCs w:val="28"/>
              </w:rPr>
              <w:t>文件的组成”规定要求。</w:t>
            </w:r>
            <w:r>
              <w:rPr>
                <w:rFonts w:hint="eastAsia" w:ascii="宋体" w:hAnsi="宋体"/>
                <w:sz w:val="20"/>
                <w:szCs w:val="28"/>
              </w:rPr>
              <w:t>【说明①供应商按磋商文件</w:t>
            </w:r>
            <w:r>
              <w:rPr>
                <w:rFonts w:ascii="宋体" w:hAnsi="宋体"/>
                <w:sz w:val="20"/>
                <w:szCs w:val="28"/>
              </w:rPr>
              <w:t>3.1.2</w:t>
            </w:r>
            <w:r>
              <w:rPr>
                <w:rFonts w:hint="eastAsia" w:ascii="宋体" w:hAnsi="宋体"/>
                <w:sz w:val="20"/>
                <w:szCs w:val="28"/>
              </w:rPr>
              <w:t>关于供应商申明的</w:t>
            </w:r>
            <w:r>
              <w:rPr>
                <w:rFonts w:hint="eastAsia"/>
                <w:sz w:val="20"/>
              </w:rPr>
              <w:t>内容</w:t>
            </w:r>
            <w:r>
              <w:rPr>
                <w:rFonts w:hint="eastAsia" w:ascii="宋体" w:hAnsi="宋体"/>
                <w:sz w:val="20"/>
                <w:szCs w:val="28"/>
              </w:rPr>
              <w:t>提供供应商申明函</w:t>
            </w:r>
            <w:r>
              <w:rPr>
                <w:rFonts w:hint="eastAsia" w:ascii="宋体" w:hAnsi="宋体"/>
                <w:sz w:val="20"/>
                <w:szCs w:val="28"/>
                <w:lang w:eastAsia="zh-CN"/>
              </w:rPr>
              <w:t>。</w:t>
            </w:r>
            <w:r>
              <w:rPr>
                <w:rFonts w:hint="eastAsia" w:ascii="宋体" w:hAnsi="宋体"/>
                <w:sz w:val="2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5</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Times New Roman"/>
                <w:sz w:val="20"/>
                <w:szCs w:val="28"/>
              </w:rPr>
            </w:pPr>
            <w:r>
              <w:rPr>
                <w:rFonts w:hint="eastAsia" w:ascii="宋体" w:hAnsi="宋体" w:eastAsia="宋体" w:cs="Times New Roman"/>
                <w:sz w:val="20"/>
                <w:szCs w:val="28"/>
              </w:rPr>
              <w:t>法定代表人或主要负责人身份证明书及法定代表人</w:t>
            </w:r>
            <w:r>
              <w:rPr>
                <w:rFonts w:hint="eastAsia" w:ascii="宋体" w:hAnsi="宋体" w:eastAsia="宋体" w:cs="Times New Roman"/>
                <w:sz w:val="20"/>
                <w:szCs w:val="28"/>
                <w:lang w:eastAsia="zh-CN"/>
              </w:rPr>
              <w:t>或</w:t>
            </w:r>
            <w:r>
              <w:rPr>
                <w:rFonts w:hint="eastAsia" w:ascii="宋体" w:hAnsi="宋体" w:eastAsia="宋体" w:cs="Times New Roman"/>
                <w:sz w:val="20"/>
                <w:szCs w:val="28"/>
              </w:rPr>
              <w:t>主要负责人身份证复印件或护照复印件</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eastAsia="宋体" w:cs="Times New Roman"/>
                <w:sz w:val="20"/>
                <w:szCs w:val="28"/>
              </w:rPr>
            </w:pPr>
            <w:r>
              <w:rPr>
                <w:rFonts w:hint="eastAsia" w:ascii="宋体" w:hAnsi="宋体" w:eastAsia="宋体" w:cs="Times New Roman"/>
                <w:sz w:val="20"/>
                <w:szCs w:val="28"/>
              </w:rPr>
              <w:t>1、供应商按磋商文件3.1.6关于法定代表人或主要负责人身份证明书的内容提供法定代表人或主要负责人等身份证明书；2、身份证复印件或护照复印件【注：①法定代表人或主要负责人身份证复印件（身份证两面均应复印，在有效期内）或护照复印件（法定代表人或主要负责人为外籍人士的，按此提供）；②主要负责人为供应商提供的其具有独立承担民事责任的能力的证明材料中的主要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sz w:val="20"/>
              </w:rPr>
              <w:t>6</w:t>
            </w:r>
          </w:p>
        </w:tc>
        <w:tc>
          <w:tcPr>
            <w:tcW w:w="210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sz w:val="20"/>
              </w:rPr>
            </w:pPr>
            <w:r>
              <w:rPr>
                <w:rFonts w:hint="eastAsia"/>
                <w:sz w:val="20"/>
              </w:rPr>
              <w:t>本项目为专门面向中小企业采购项目</w:t>
            </w:r>
            <w:r>
              <w:rPr>
                <w:rFonts w:hint="eastAsia"/>
                <w:sz w:val="20"/>
                <w:lang w:eastAsia="zh-CN"/>
              </w:rPr>
              <w:t>，提供的货物全部由符合政策要求的中小企业制造</w:t>
            </w:r>
            <w:r>
              <w:rPr>
                <w:rFonts w:hint="eastAsia"/>
                <w:sz w:val="20"/>
              </w:rPr>
              <w:t>（说明：监狱企业、残疾人福利性单位视同小型、微型企业）</w:t>
            </w:r>
          </w:p>
        </w:tc>
        <w:tc>
          <w:tcPr>
            <w:tcW w:w="571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eastAsia" w:ascii="宋体" w:hAnsi="宋体"/>
                <w:sz w:val="20"/>
                <w:szCs w:val="28"/>
              </w:rPr>
            </w:pPr>
            <w:r>
              <w:rPr>
                <w:rFonts w:hint="eastAsia" w:ascii="宋体" w:hAnsi="宋体"/>
                <w:sz w:val="20"/>
                <w:szCs w:val="28"/>
              </w:rPr>
              <w:t>专门面向中小企业采购项目:</w:t>
            </w:r>
          </w:p>
          <w:p>
            <w:pPr>
              <w:tabs>
                <w:tab w:val="left" w:pos="851"/>
              </w:tabs>
              <w:spacing w:line="360" w:lineRule="auto"/>
              <w:rPr>
                <w:rFonts w:hint="eastAsia" w:ascii="宋体" w:hAnsi="宋体"/>
                <w:sz w:val="20"/>
                <w:szCs w:val="28"/>
              </w:rPr>
            </w:pPr>
            <w:r>
              <w:rPr>
                <w:rFonts w:hint="eastAsia" w:ascii="宋体" w:hAnsi="宋体"/>
                <w:sz w:val="20"/>
                <w:szCs w:val="28"/>
              </w:rPr>
              <w:t>1.《中小企业声明函》中声明提供的货物全部由符合政策要求的中小企业制造；</w:t>
            </w:r>
          </w:p>
          <w:p>
            <w:pPr>
              <w:tabs>
                <w:tab w:val="left" w:pos="851"/>
              </w:tabs>
              <w:spacing w:line="360" w:lineRule="auto"/>
              <w:rPr>
                <w:rFonts w:hint="eastAsia" w:ascii="宋体" w:hAnsi="宋体"/>
                <w:sz w:val="20"/>
                <w:szCs w:val="28"/>
              </w:rPr>
            </w:pPr>
            <w:r>
              <w:rPr>
                <w:rFonts w:hint="eastAsia" w:ascii="宋体" w:hAnsi="宋体"/>
                <w:sz w:val="20"/>
                <w:szCs w:val="28"/>
              </w:rPr>
              <w:t>2.残疾人福利性单位视同为小型、微型企业，《残疾人福利性单位声明函》中声明供应商为符合条件的残疾人福利性单位，其参加本项目采购活动由本单位提供</w:t>
            </w:r>
            <w:r>
              <w:rPr>
                <w:rFonts w:hint="eastAsia" w:ascii="宋体" w:hAnsi="宋体"/>
                <w:sz w:val="20"/>
                <w:szCs w:val="28"/>
                <w:lang w:eastAsia="zh-CN"/>
              </w:rPr>
              <w:t>货物</w:t>
            </w:r>
            <w:r>
              <w:rPr>
                <w:rFonts w:hint="eastAsia" w:ascii="宋体" w:hAnsi="宋体"/>
                <w:sz w:val="20"/>
                <w:szCs w:val="28"/>
              </w:rPr>
              <w:t>；</w:t>
            </w:r>
          </w:p>
          <w:p>
            <w:pPr>
              <w:tabs>
                <w:tab w:val="left" w:pos="851"/>
              </w:tabs>
              <w:spacing w:line="360" w:lineRule="auto"/>
              <w:rPr>
                <w:sz w:val="20"/>
              </w:rPr>
            </w:pPr>
            <w:r>
              <w:rPr>
                <w:rFonts w:hint="eastAsia" w:ascii="宋体" w:hAnsi="宋体"/>
                <w:sz w:val="20"/>
                <w:szCs w:val="28"/>
              </w:rPr>
              <w:t>3.监狱企业视同为小型、微型企业，提供由省级以上监狱管理局、戒毒管理局（含新疆生产建设兵团）出具的供应商属于监狱企业的证明文件复印件。</w:t>
            </w:r>
          </w:p>
        </w:tc>
      </w:tr>
    </w:tbl>
    <w:p>
      <w:pPr>
        <w:pStyle w:val="2"/>
      </w:pPr>
    </w:p>
    <w:p>
      <w:pPr>
        <w:tabs>
          <w:tab w:val="left" w:pos="851"/>
        </w:tabs>
        <w:spacing w:line="400" w:lineRule="exact"/>
        <w:ind w:firstLine="484" w:firstLineChars="202"/>
        <w:rPr>
          <w:rFonts w:ascii="宋体" w:hAnsi="宋体"/>
          <w:sz w:val="24"/>
          <w:szCs w:val="24"/>
        </w:rPr>
      </w:pPr>
      <w:r>
        <w:rPr>
          <w:rFonts w:hint="eastAsia" w:ascii="宋体" w:hAnsi="宋体"/>
          <w:sz w:val="24"/>
          <w:szCs w:val="24"/>
        </w:rPr>
        <w:t>一、以上每一项结论均为“合格”的，则供应商的响应文件通过资格审查，如有任意一项结论为“不合格”的，则供应商的响应文件按无效响应文件处理。如果磋商小组认为供应商有任意一项不合格的，应在评审报告中载明不合格的具体原因。</w:t>
      </w:r>
    </w:p>
    <w:p>
      <w:pPr>
        <w:spacing w:line="400" w:lineRule="exact"/>
        <w:ind w:firstLine="513" w:firstLineChars="214"/>
        <w:rPr>
          <w:rFonts w:ascii="宋体" w:hAnsi="宋体"/>
          <w:sz w:val="24"/>
          <w:szCs w:val="24"/>
        </w:rPr>
      </w:pPr>
      <w:r>
        <w:rPr>
          <w:rFonts w:hint="eastAsia" w:ascii="宋体" w:hAnsi="宋体"/>
          <w:sz w:val="24"/>
          <w:szCs w:val="24"/>
        </w:rPr>
        <w:t>二、“信用中国” “中国政府采购网”网站的查询结果，将以电子介质的形式留存。</w:t>
      </w:r>
    </w:p>
    <w:p>
      <w:pPr>
        <w:spacing w:line="400" w:lineRule="exact"/>
        <w:ind w:firstLine="513" w:firstLineChars="214"/>
        <w:rPr>
          <w:rFonts w:ascii="宋体" w:hAnsi="宋体"/>
          <w:sz w:val="24"/>
          <w:szCs w:val="24"/>
        </w:rPr>
      </w:pPr>
      <w:r>
        <w:rPr>
          <w:rFonts w:hint="eastAsia" w:ascii="宋体" w:hAnsi="宋体"/>
          <w:sz w:val="24"/>
          <w:szCs w:val="24"/>
        </w:rPr>
        <w:t>三、磋商小组资格审查结束后，应当出具资格审查报告。没有通过资格审查的供应商，磋商小组应当在资格审查报告中说明原因。</w:t>
      </w:r>
    </w:p>
    <w:p>
      <w:pPr>
        <w:spacing w:line="400" w:lineRule="exact"/>
        <w:ind w:firstLine="513" w:firstLineChars="214"/>
        <w:rPr>
          <w:rFonts w:ascii="宋体" w:hAnsi="宋体"/>
          <w:sz w:val="24"/>
          <w:szCs w:val="24"/>
        </w:rPr>
      </w:pPr>
      <w:r>
        <w:rPr>
          <w:rFonts w:hint="eastAsia" w:ascii="宋体" w:hAnsi="宋体"/>
          <w:sz w:val="24"/>
          <w:szCs w:val="24"/>
        </w:rPr>
        <w:t>通过资格审查的供应商不足三家的，采购失败。</w:t>
      </w:r>
    </w:p>
    <w:p>
      <w:pPr>
        <w:spacing w:line="400" w:lineRule="exact"/>
        <w:ind w:firstLine="516" w:firstLineChars="214"/>
        <w:rPr>
          <w:rFonts w:ascii="宋体" w:hAnsi="宋体"/>
          <w:b/>
          <w:color w:val="FF0000"/>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符合性审查</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资格</w:t>
      </w:r>
      <w:r>
        <w:rPr>
          <w:rFonts w:ascii="宋体" w:hAnsi="宋体" w:eastAsia="宋体"/>
          <w:sz w:val="24"/>
          <w:szCs w:val="24"/>
        </w:rPr>
        <w:t>审查</w:t>
      </w:r>
      <w:r>
        <w:rPr>
          <w:rFonts w:hint="eastAsia" w:ascii="宋体" w:hAnsi="宋体" w:eastAsia="宋体"/>
          <w:sz w:val="24"/>
          <w:szCs w:val="24"/>
        </w:rPr>
        <w:t>结束后，由磋商小组对供应商响应文件进行符合性审查。</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磋商小组在符合性审查过程中，磋商小组成员对供应商是否符合规定存在争议的，应当以少数服从多数的原则处理，但不得违背政府采购法和磋商文件规定。</w:t>
      </w:r>
    </w:p>
    <w:p>
      <w:pPr>
        <w:pStyle w:val="81"/>
        <w:numPr>
          <w:ilvl w:val="0"/>
          <w:numId w:val="35"/>
        </w:numPr>
        <w:tabs>
          <w:tab w:val="left" w:pos="1134"/>
          <w:tab w:val="left" w:pos="1276"/>
          <w:tab w:val="left" w:pos="1418"/>
        </w:tabs>
        <w:spacing w:after="200" w:line="400" w:lineRule="exact"/>
        <w:ind w:left="0" w:firstLine="567" w:firstLineChars="0"/>
        <w:rPr>
          <w:rFonts w:ascii="宋体" w:hAnsi="宋体" w:eastAsia="宋体"/>
          <w:sz w:val="24"/>
          <w:szCs w:val="24"/>
        </w:rPr>
      </w:pPr>
      <w:r>
        <w:rPr>
          <w:rFonts w:hint="eastAsia" w:ascii="宋体" w:hAnsi="宋体" w:eastAsia="宋体"/>
          <w:sz w:val="24"/>
          <w:szCs w:val="24"/>
        </w:rPr>
        <w:t xml:space="preserve">供应商符合性审查标准（按以下顺序审查）： </w:t>
      </w:r>
    </w:p>
    <w:tbl>
      <w:tblPr>
        <w:tblStyle w:val="41"/>
        <w:tblW w:w="88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218"/>
        <w:gridCol w:w="3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序号</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b/>
                <w:sz w:val="22"/>
                <w:szCs w:val="24"/>
              </w:rPr>
            </w:pPr>
            <w:r>
              <w:rPr>
                <w:rFonts w:hint="eastAsia" w:ascii="宋体" w:hAnsi="宋体"/>
                <w:b/>
                <w:sz w:val="22"/>
                <w:szCs w:val="24"/>
              </w:rPr>
              <w:t>符合性审查项</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ind w:firstLine="446" w:firstLineChars="202"/>
              <w:jc w:val="center"/>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1</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技术、商务性响应文件的组成</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符合磋商文件“2.4.5响应文件的组成”规定要求（最后报价文件除外）。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hint="eastAsia" w:ascii="宋体" w:hAnsi="宋体"/>
                <w:sz w:val="22"/>
                <w:szCs w:val="24"/>
              </w:rPr>
              <w:t>2</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技术、商务性响应文件计量单位、语言</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Theme="minorEastAsia" w:hAnsiTheme="minorEastAsia"/>
                <w:sz w:val="21"/>
                <w:szCs w:val="21"/>
              </w:rPr>
              <w:t>计量单位、语言满足磋商文件要求。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ascii="宋体" w:hAnsi="宋体"/>
                <w:sz w:val="22"/>
                <w:szCs w:val="24"/>
              </w:rPr>
            </w:pPr>
            <w:r>
              <w:rPr>
                <w:rFonts w:ascii="宋体" w:hAnsi="宋体"/>
                <w:sz w:val="22"/>
                <w:szCs w:val="24"/>
              </w:rPr>
              <w:t>3</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技术、商务性响应文件对磋商文件规定的采购项目实质性</w:t>
            </w:r>
            <w:r>
              <w:rPr>
                <w:rFonts w:ascii="宋体" w:hAnsi="宋体"/>
                <w:sz w:val="22"/>
                <w:szCs w:val="24"/>
              </w:rPr>
              <w:t>响应</w:t>
            </w:r>
            <w:r>
              <w:rPr>
                <w:rFonts w:hint="eastAsia" w:ascii="宋体" w:hAnsi="宋体"/>
                <w:sz w:val="22"/>
                <w:szCs w:val="24"/>
              </w:rPr>
              <w:t>要求的响应情况</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ascii="宋体" w:hAnsi="宋体"/>
                <w:sz w:val="22"/>
                <w:szCs w:val="24"/>
              </w:rPr>
            </w:pPr>
            <w:r>
              <w:rPr>
                <w:rFonts w:hint="eastAsia" w:ascii="宋体" w:hAnsi="宋体"/>
                <w:sz w:val="22"/>
                <w:szCs w:val="24"/>
              </w:rPr>
              <w:t>符合磋商文件规定的采购项目实质性响应要求。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eastAsia" w:ascii="宋体" w:hAnsi="宋体" w:eastAsia="宋体"/>
                <w:sz w:val="22"/>
                <w:szCs w:val="24"/>
                <w:lang w:val="en-US" w:eastAsia="zh-CN"/>
              </w:rPr>
            </w:pPr>
            <w:r>
              <w:rPr>
                <w:rFonts w:hint="eastAsia" w:ascii="宋体" w:hAnsi="宋体"/>
                <w:sz w:val="22"/>
                <w:szCs w:val="24"/>
                <w:lang w:val="en-US" w:eastAsia="zh-CN"/>
              </w:rPr>
              <w:t>4</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《关于印发节能产品政府采购品目清单的通知》（财库〔2019〕19号）品目清单范围内强制采购的产品品目（以下仅供参考）</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★A02010104 台式计算机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★A02010105 便携式计算机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★A02010107 平板式微型计算机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★A0201060102 激光打印机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★A0201060104 针式打印机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★A0201060401 液晶显示器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★A02052301 制冷压缩机（冷水机组、水源热泵机组、溴化锂吸收式冷水机组）</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★A02052305 空调机组（多联式空调（热泵）机组（制冷量&gt;14000W）、单元式空气调节机（制冷量&gt;14000W））</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★A02052309 专用制冷、空调设备（机房空调）</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★A020609 镇流器（管型荧光灯镇流器）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★A0206180203 空调机（房间空气调节器、多联式空调（热泵）机组（制冷量≦14000W）、单元式空气调节机（制冷量≦14000W））</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★电热水器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★普通照明用双端荧光灯</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★A020910电视设备（A02091001普通电视设备（电视机））</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★A020911 视频设备（A02091107视频监控设备（监视器））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★A060805 便器（坐便器、蹲便器、小便器）</w:t>
            </w:r>
          </w:p>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★A060806 水嘴</w:t>
            </w:r>
          </w:p>
          <w:p>
            <w:pPr>
              <w:tabs>
                <w:tab w:val="left" w:pos="851"/>
              </w:tabs>
              <w:spacing w:line="400" w:lineRule="exact"/>
              <w:rPr>
                <w:rFonts w:hint="eastAsia" w:ascii="宋体" w:hAnsi="宋体"/>
                <w:sz w:val="22"/>
                <w:szCs w:val="24"/>
              </w:rPr>
            </w:pPr>
            <w:r>
              <w:rPr>
                <w:rFonts w:hint="eastAsia" w:ascii="宋体" w:hAnsi="宋体"/>
                <w:sz w:val="22"/>
                <w:szCs w:val="24"/>
                <w:lang w:val="en-US" w:eastAsia="zh-CN"/>
              </w:rPr>
              <w:t>（如涉及）</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hint="eastAsia" w:ascii="宋体" w:hAnsi="宋体"/>
                <w:sz w:val="22"/>
                <w:szCs w:val="24"/>
                <w:lang w:val="en-US" w:eastAsia="zh-CN"/>
              </w:rPr>
              <w:t>本项目采购的产品若属于清单范围内强制采购的产品，供应商须提供产品认证证书复印件并加盖供应商单位公章。</w:t>
            </w:r>
          </w:p>
          <w:p>
            <w:pPr>
              <w:tabs>
                <w:tab w:val="left" w:pos="851"/>
              </w:tabs>
              <w:spacing w:line="400" w:lineRule="exact"/>
              <w:rPr>
                <w:rFonts w:hint="eastAsia"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jc w:val="center"/>
              <w:rPr>
                <w:rFonts w:hint="default" w:ascii="宋体" w:hAnsi="宋体"/>
                <w:sz w:val="22"/>
                <w:szCs w:val="24"/>
                <w:lang w:val="en-US" w:eastAsia="zh-CN"/>
              </w:rPr>
            </w:pPr>
            <w:r>
              <w:rPr>
                <w:rFonts w:hint="eastAsia" w:ascii="宋体" w:hAnsi="宋体"/>
                <w:sz w:val="22"/>
                <w:szCs w:val="24"/>
                <w:lang w:val="en-US" w:eastAsia="zh-CN"/>
              </w:rPr>
              <w:t>5</w:t>
            </w:r>
          </w:p>
        </w:tc>
        <w:tc>
          <w:tcPr>
            <w:tcW w:w="4218"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lang w:val="en-US" w:eastAsia="zh-CN"/>
              </w:rPr>
            </w:pPr>
            <w:r>
              <w:rPr>
                <w:rFonts w:ascii="宋体" w:hAnsi="宋体" w:eastAsia="宋体" w:cs="宋体"/>
                <w:sz w:val="24"/>
                <w:szCs w:val="24"/>
              </w:rPr>
              <w:t>除资格性审查要求的证明材料外，磋商文件要求提供的其他证明材料</w:t>
            </w:r>
          </w:p>
        </w:tc>
        <w:tc>
          <w:tcPr>
            <w:tcW w:w="382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400" w:lineRule="exact"/>
              <w:rPr>
                <w:rFonts w:hint="eastAsia" w:ascii="宋体" w:hAnsi="宋体"/>
                <w:sz w:val="22"/>
                <w:szCs w:val="24"/>
              </w:rPr>
            </w:pPr>
            <w:r>
              <w:rPr>
                <w:rFonts w:ascii="宋体" w:hAnsi="宋体" w:eastAsia="宋体" w:cs="宋体"/>
                <w:sz w:val="24"/>
                <w:szCs w:val="24"/>
              </w:rPr>
              <w:t>1.承诺函【注：①按3.2.5的格式及要求提供承诺函；②承诺的内容满足磋商文件的要求。】。</w:t>
            </w:r>
          </w:p>
        </w:tc>
      </w:tr>
    </w:tbl>
    <w:p>
      <w:pPr>
        <w:tabs>
          <w:tab w:val="left" w:pos="851"/>
        </w:tabs>
        <w:spacing w:line="400" w:lineRule="exact"/>
        <w:ind w:firstLine="480" w:firstLineChars="200"/>
        <w:rPr>
          <w:rFonts w:ascii="宋体" w:hAnsi="宋体"/>
          <w:sz w:val="24"/>
          <w:szCs w:val="24"/>
        </w:rPr>
      </w:pPr>
      <w:r>
        <w:rPr>
          <w:rFonts w:hint="eastAsia" w:ascii="宋体" w:hAnsi="宋体"/>
          <w:sz w:val="24"/>
          <w:szCs w:val="24"/>
        </w:rPr>
        <w:t>一、以上每一项结论均为“通过”的，则供应商的响应文件通过符合性审查，才能允许其参加磋商；如有任意一项结论为“不通过”的，则供应商的响应文件按无效响应文件处理，不允许其参加磋商。如果磋商小组认为供应商有任意一项不通过的，应在评审报告中载明不通过的具体原因。</w:t>
      </w:r>
    </w:p>
    <w:p>
      <w:pPr>
        <w:pStyle w:val="81"/>
        <w:numPr>
          <w:ilvl w:val="0"/>
          <w:numId w:val="36"/>
        </w:numPr>
        <w:spacing w:line="400" w:lineRule="exact"/>
        <w:ind w:left="0" w:firstLine="560" w:firstLineChars="0"/>
        <w:rPr>
          <w:rFonts w:ascii="宋体" w:hAnsi="宋体" w:eastAsia="宋体"/>
          <w:sz w:val="24"/>
          <w:szCs w:val="24"/>
        </w:rPr>
      </w:pPr>
      <w:r>
        <w:rPr>
          <w:rFonts w:hint="eastAsia" w:ascii="宋体" w:hAnsi="宋体" w:eastAsia="宋体"/>
          <w:sz w:val="24"/>
          <w:szCs w:val="24"/>
        </w:rPr>
        <w:t>磋商小组符合性审查结束后，应当出具符合性审查报告，确定参加磋商的供应商名单。</w:t>
      </w:r>
    </w:p>
    <w:p>
      <w:pPr>
        <w:pStyle w:val="81"/>
        <w:numPr>
          <w:ilvl w:val="0"/>
          <w:numId w:val="36"/>
        </w:numPr>
        <w:tabs>
          <w:tab w:val="left" w:pos="1134"/>
          <w:tab w:val="left" w:pos="1418"/>
        </w:tabs>
        <w:spacing w:after="200" w:line="400" w:lineRule="exact"/>
        <w:ind w:firstLineChars="0"/>
        <w:rPr>
          <w:rFonts w:ascii="宋体" w:hAnsi="宋体" w:eastAsia="宋体"/>
          <w:sz w:val="24"/>
          <w:szCs w:val="24"/>
        </w:rPr>
      </w:pPr>
      <w:r>
        <w:rPr>
          <w:rFonts w:hint="eastAsia" w:ascii="宋体" w:hAnsi="宋体" w:eastAsia="宋体"/>
          <w:sz w:val="24"/>
          <w:szCs w:val="24"/>
        </w:rPr>
        <w:t>通过符合性审查的供应商不足三家的，采购失败。</w:t>
      </w:r>
    </w:p>
    <w:p>
      <w:pPr>
        <w:spacing w:line="400" w:lineRule="exact"/>
        <w:ind w:firstLine="516" w:firstLineChars="214"/>
        <w:rPr>
          <w:rFonts w:ascii="宋体" w:hAnsi="宋体"/>
          <w:b/>
          <w:sz w:val="24"/>
          <w:szCs w:val="24"/>
        </w:rPr>
      </w:pPr>
      <w:r>
        <w:rPr>
          <w:rFonts w:hint="eastAsia" w:ascii="宋体" w:hAnsi="宋体"/>
          <w:b/>
          <w:sz w:val="24"/>
          <w:szCs w:val="24"/>
        </w:rPr>
        <w:t>特别说明：1、磋商文件中要求提供复印件的证明材料的，包含原件的影印件或复印件。</w:t>
      </w:r>
    </w:p>
    <w:p>
      <w:pPr>
        <w:pStyle w:val="6"/>
        <w:numPr>
          <w:ilvl w:val="2"/>
          <w:numId w:val="5"/>
        </w:numPr>
        <w:spacing w:after="200" w:line="400" w:lineRule="exact"/>
        <w:ind w:left="1135" w:hanging="1135"/>
        <w:rPr>
          <w:color w:val="auto"/>
          <w:sz w:val="24"/>
          <w:szCs w:val="24"/>
        </w:rPr>
      </w:pPr>
      <w:r>
        <w:rPr>
          <w:rFonts w:hint="eastAsia"/>
          <w:color w:val="auto"/>
          <w:sz w:val="24"/>
          <w:szCs w:val="24"/>
        </w:rPr>
        <w:t>磋商</w:t>
      </w:r>
    </w:p>
    <w:p>
      <w:pPr>
        <w:spacing w:line="400" w:lineRule="exact"/>
        <w:ind w:firstLine="570"/>
        <w:rPr>
          <w:rFonts w:ascii="宋体" w:hAnsi="宋体"/>
          <w:sz w:val="24"/>
          <w:szCs w:val="24"/>
        </w:rPr>
      </w:pPr>
      <w:r>
        <w:rPr>
          <w:rFonts w:hint="eastAsia" w:ascii="宋体" w:hAnsi="宋体"/>
          <w:sz w:val="24"/>
          <w:szCs w:val="24"/>
        </w:rPr>
        <w:t>磋商会议在成都市公共资源交易服务中心“政府采购云平台”进行。磋商</w:t>
      </w:r>
      <w:r>
        <w:rPr>
          <w:rFonts w:hint="eastAsia" w:ascii="宋体" w:hAnsi="宋体"/>
          <w:color w:val="000000" w:themeColor="text1"/>
          <w:sz w:val="24"/>
          <w:szCs w:val="24"/>
          <w14:textFill>
            <w14:solidFill>
              <w14:schemeClr w14:val="tx1"/>
            </w14:solidFill>
          </w14:textFill>
        </w:rPr>
        <w:t>会议由区政府采购中心在</w:t>
      </w:r>
      <w:r>
        <w:rPr>
          <w:rFonts w:hint="eastAsia" w:ascii="宋体" w:hAnsi="宋体"/>
          <w:sz w:val="24"/>
          <w:szCs w:val="24"/>
        </w:rPr>
        <w:t>线主持，供应商代表在线参加。评审结束之前，供应商应随时关注系统提示，及时通过“政府采购云平台”在线响应磋商小组发出的磋商，签章并确认提交成功。</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www.zcygov.cn)—我的工作台</w:t>
      </w:r>
      <w:r>
        <w:rPr>
          <w:rFonts w:ascii="宋体" w:hAnsi="宋体"/>
          <w:sz w:val="24"/>
          <w:szCs w:val="24"/>
        </w:rPr>
        <w:t>—项目采购—开标评标—进入开标大厅（找到对应项目）。磋商小组可通过“发起视频评审”“询标”功能，向供应商发起在线磋商邀请，供应商可使用“视频评审”“澄清”功能，与专家进行在线磋商、</w:t>
      </w:r>
      <w:r>
        <w:rPr>
          <w:rFonts w:hint="eastAsia" w:ascii="宋体" w:hAnsi="宋体"/>
          <w:sz w:val="24"/>
          <w:szCs w:val="24"/>
        </w:rPr>
        <w:t>递交磋商承诺函，承诺函应加盖供应商（法定名称）电子签章（评审结束之前，供应商应随时关注系统提示，及时通过</w:t>
      </w:r>
      <w:r>
        <w:rPr>
          <w:rFonts w:ascii="宋体" w:hAnsi="宋体"/>
          <w:sz w:val="24"/>
          <w:szCs w:val="24"/>
        </w:rPr>
        <w:t>“</w:t>
      </w:r>
      <w:r>
        <w:rPr>
          <w:rFonts w:hint="eastAsia" w:ascii="宋体" w:hAnsi="宋体"/>
          <w:sz w:val="24"/>
          <w:szCs w:val="24"/>
        </w:rPr>
        <w:t>政府采购云平台</w:t>
      </w:r>
      <w:r>
        <w:rPr>
          <w:rFonts w:ascii="宋体" w:hAnsi="宋体"/>
          <w:sz w:val="24"/>
          <w:szCs w:val="24"/>
        </w:rPr>
        <w:t>”</w:t>
      </w:r>
      <w:r>
        <w:rPr>
          <w:rFonts w:hint="eastAsia" w:ascii="宋体" w:hAnsi="宋体"/>
          <w:sz w:val="24"/>
          <w:szCs w:val="24"/>
        </w:rPr>
        <w:t>在线响应磋商小组发出的磋商邀请，签章并确认提交成功。逾时回复将不能提交，视为供应商自行放弃该轮磋商，其损失由供应商承担）</w:t>
      </w:r>
      <w:r>
        <w:rPr>
          <w:rFonts w:ascii="宋体" w:hAnsi="宋体"/>
          <w:sz w:val="24"/>
          <w:szCs w:val="24"/>
        </w:rPr>
        <w:t>。</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磋商小组所有成员集中与单一供应商对技术、服务、合同条款等分别进行一轮或多轮的磋商。在磋商中，磋商的任何一方不得透露与磋商有关的其他供应商的技术资料、价格和其他信息。</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磋商内容为第4章中“技术、服务、商务及其他要求”、第6章“合同草案条款”。其中第4章中加★号的条款为采购项目的</w:t>
      </w:r>
      <w:r>
        <w:rPr>
          <w:rFonts w:hint="eastAsia" w:ascii="宋体" w:hAnsi="宋体" w:cs="宋体"/>
          <w:sz w:val="24"/>
          <w:szCs w:val="24"/>
        </w:rPr>
        <w:t>实质性</w:t>
      </w:r>
      <w:r>
        <w:rPr>
          <w:rFonts w:ascii="宋体" w:hAnsi="宋体" w:cs="宋体"/>
          <w:sz w:val="24"/>
          <w:szCs w:val="24"/>
        </w:rPr>
        <w:t>响应</w:t>
      </w:r>
      <w:r>
        <w:rPr>
          <w:rFonts w:hint="eastAsia" w:ascii="宋体" w:hAnsi="宋体" w:cs="宋体"/>
          <w:sz w:val="24"/>
          <w:szCs w:val="24"/>
        </w:rPr>
        <w:t>要求</w:t>
      </w:r>
      <w:r>
        <w:rPr>
          <w:rFonts w:hint="eastAsia" w:ascii="宋体" w:hAnsi="宋体"/>
          <w:sz w:val="24"/>
          <w:szCs w:val="24"/>
        </w:rPr>
        <w:t>，不允许实质性</w:t>
      </w:r>
      <w:r>
        <w:rPr>
          <w:rFonts w:ascii="宋体" w:hAnsi="宋体"/>
          <w:sz w:val="24"/>
          <w:szCs w:val="24"/>
        </w:rPr>
        <w:t>变动。为非磋商可以降低标准的内容。</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磋商过程中，磋商小组获得采购人同意（由采购人代表签字确认）后，可以根据磋商文件和磋商情况实质性变动磋商文件中的第4章技术、服务、商务及其他要求、第6章合同草案条款可</w:t>
      </w:r>
      <w:r>
        <w:rPr>
          <w:rFonts w:ascii="宋体" w:hAnsi="宋体"/>
          <w:sz w:val="24"/>
          <w:szCs w:val="24"/>
        </w:rPr>
        <w:t>实质性变动的内容</w:t>
      </w:r>
      <w:r>
        <w:rPr>
          <w:rFonts w:hint="eastAsia" w:ascii="宋体" w:hAnsi="宋体"/>
          <w:sz w:val="24"/>
          <w:szCs w:val="24"/>
        </w:rPr>
        <w:t>，但不得变动磋商文件中的其他内容。对磋商文件作出的实质性变动是磋商文件的有效组成部分，磋商小组应通过“询标”功能，将变动情况通知所有参加磋商的供应商。磋商过程中，磋商小组可以根据磋商情况调整磋商轮次。</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磋商过程中，供应商可以根据磋商情况变更其响应文件，并将变更内容通过“澄清”功能送磋商小组。变更内容作为响应文件的一部分。供应商书面材料应加盖供应商（法定名称）电子签章，否则无效。</w:t>
      </w:r>
    </w:p>
    <w:p>
      <w:pPr>
        <w:numPr>
          <w:ilvl w:val="1"/>
          <w:numId w:val="37"/>
        </w:numPr>
        <w:tabs>
          <w:tab w:val="left" w:pos="1134"/>
        </w:tabs>
        <w:spacing w:after="200" w:line="400" w:lineRule="exact"/>
        <w:ind w:left="0" w:firstLine="480" w:firstLineChars="200"/>
        <w:rPr>
          <w:rFonts w:ascii="宋体" w:hAnsi="宋体"/>
          <w:b w:val="0"/>
          <w:bCs/>
          <w:sz w:val="24"/>
          <w:szCs w:val="24"/>
        </w:rPr>
      </w:pPr>
      <w:r>
        <w:rPr>
          <w:rFonts w:ascii="宋体" w:hAnsi="宋体"/>
          <w:b w:val="0"/>
          <w:bCs/>
          <w:sz w:val="24"/>
          <w:szCs w:val="24"/>
        </w:rPr>
        <w:t>经最终磋商后</w:t>
      </w:r>
      <w:r>
        <w:rPr>
          <w:rFonts w:hint="eastAsia" w:ascii="宋体" w:hAnsi="宋体"/>
          <w:b w:val="0"/>
          <w:bCs/>
          <w:sz w:val="24"/>
          <w:szCs w:val="24"/>
        </w:rPr>
        <w:t>，</w:t>
      </w:r>
      <w:r>
        <w:rPr>
          <w:rFonts w:ascii="宋体" w:hAnsi="宋体"/>
          <w:b w:val="0"/>
          <w:bCs/>
          <w:sz w:val="24"/>
          <w:szCs w:val="24"/>
        </w:rPr>
        <w:t>响应文件</w:t>
      </w:r>
      <w:r>
        <w:rPr>
          <w:rFonts w:hint="eastAsia" w:ascii="宋体" w:hAnsi="宋体"/>
          <w:b w:val="0"/>
          <w:bCs/>
          <w:sz w:val="24"/>
          <w:szCs w:val="24"/>
        </w:rPr>
        <w:t>仍有下列情况之一的，应按照无效响应文件处理：</w:t>
      </w:r>
    </w:p>
    <w:p>
      <w:pPr>
        <w:spacing w:line="360" w:lineRule="auto"/>
        <w:ind w:firstLine="513" w:firstLineChars="214"/>
        <w:rPr>
          <w:rFonts w:ascii="宋体" w:hAnsi="宋体"/>
          <w:b w:val="0"/>
          <w:bCs/>
          <w:sz w:val="24"/>
          <w:szCs w:val="24"/>
        </w:rPr>
      </w:pPr>
      <w:r>
        <w:rPr>
          <w:rFonts w:hint="eastAsia" w:ascii="宋体" w:hAnsi="宋体"/>
          <w:b w:val="0"/>
          <w:bCs/>
          <w:sz w:val="24"/>
          <w:szCs w:val="24"/>
        </w:rPr>
        <w:t>（一）响应文件仍不能实质响应磋商文件的实质性要求的；</w:t>
      </w:r>
    </w:p>
    <w:p>
      <w:pPr>
        <w:spacing w:line="360" w:lineRule="auto"/>
        <w:ind w:firstLine="513" w:firstLineChars="214"/>
      </w:pPr>
      <w:r>
        <w:rPr>
          <w:rFonts w:hint="eastAsia" w:ascii="宋体" w:hAnsi="宋体"/>
          <w:b w:val="0"/>
          <w:bCs/>
          <w:sz w:val="24"/>
          <w:szCs w:val="24"/>
        </w:rPr>
        <w:t>（二）响应文件中仍有磋商文件规定的其他无效响应情形的</w:t>
      </w:r>
    </w:p>
    <w:p>
      <w:pPr>
        <w:numPr>
          <w:ilvl w:val="1"/>
          <w:numId w:val="37"/>
        </w:numPr>
        <w:tabs>
          <w:tab w:val="left" w:pos="1134"/>
        </w:tabs>
        <w:spacing w:after="200" w:line="400" w:lineRule="exact"/>
        <w:ind w:left="0" w:firstLine="480" w:firstLineChars="200"/>
        <w:rPr>
          <w:rFonts w:ascii="宋体" w:hAnsi="宋体"/>
          <w:b/>
          <w:bCs/>
          <w:sz w:val="24"/>
          <w:szCs w:val="24"/>
        </w:rPr>
      </w:pPr>
      <w:r>
        <w:rPr>
          <w:rFonts w:hint="eastAsia" w:ascii="宋体" w:hAnsi="宋体"/>
          <w:sz w:val="24"/>
          <w:szCs w:val="24"/>
        </w:rPr>
        <w:t>磋商过程中，磋商的任何一方不得透露与磋商有关的其他供应商的技术资料、价格和其他信息。</w:t>
      </w:r>
    </w:p>
    <w:p>
      <w:pPr>
        <w:numPr>
          <w:ilvl w:val="1"/>
          <w:numId w:val="37"/>
        </w:numPr>
        <w:tabs>
          <w:tab w:val="left" w:pos="1134"/>
        </w:tabs>
        <w:spacing w:after="200" w:line="400" w:lineRule="exact"/>
        <w:ind w:left="0" w:firstLine="480" w:firstLineChars="200"/>
        <w:rPr>
          <w:rFonts w:ascii="宋体" w:hAnsi="宋体"/>
          <w:sz w:val="24"/>
          <w:szCs w:val="24"/>
        </w:rPr>
      </w:pPr>
      <w:r>
        <w:rPr>
          <w:rFonts w:hint="eastAsia" w:ascii="宋体" w:hAnsi="宋体"/>
          <w:sz w:val="24"/>
          <w:szCs w:val="24"/>
        </w:rPr>
        <w:t>磋商过程中，磋商小组发现或者知晓供应商存在违法行为的，应当在评审报告中予以记录，并向财政部门报告，依法应将该供应商响应文件作无效处理的，应当作无效处理。</w:t>
      </w:r>
    </w:p>
    <w:p>
      <w:pPr>
        <w:pStyle w:val="6"/>
        <w:numPr>
          <w:ilvl w:val="2"/>
          <w:numId w:val="5"/>
        </w:numPr>
        <w:spacing w:after="200" w:line="400" w:lineRule="exact"/>
        <w:ind w:left="1135" w:hanging="1135"/>
        <w:rPr>
          <w:color w:val="auto"/>
          <w:sz w:val="24"/>
          <w:szCs w:val="24"/>
        </w:rPr>
      </w:pPr>
      <w:r>
        <w:rPr>
          <w:rFonts w:hint="eastAsia"/>
          <w:color w:val="auto"/>
          <w:sz w:val="24"/>
          <w:szCs w:val="24"/>
        </w:rPr>
        <w:t>最后报价</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磋商结束后，磋商小组应当要求所有实质性响应的供应商在规定时间内进行最后报价。磋商小组开启报价后，供应商应随时关注“政府采购云平台”站内信息或短信提醒，登录“政府采购云平台”，通过“开标大厅”进行报价。登录政府采购云平台(www.zcygov.cn)—我的工作台—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文件无效，由供应商自行承担不利后果。。</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已提交响应文件的供应商，在提交最后报价之前，可以根据磋商情况退出磋商。</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供应商未按磋商小组要求在规定时间内提交最后报价的，视为其退出磋商。</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最后报价一旦递交后，供应商不得以任何理由撤回。</w:t>
      </w:r>
    </w:p>
    <w:p>
      <w:pPr>
        <w:widowControl/>
        <w:numPr>
          <w:ilvl w:val="0"/>
          <w:numId w:val="38"/>
        </w:numPr>
        <w:tabs>
          <w:tab w:val="left" w:pos="1134"/>
        </w:tabs>
        <w:snapToGrid w:val="0"/>
        <w:spacing w:after="200" w:line="400" w:lineRule="exact"/>
        <w:ind w:left="0" w:firstLine="480" w:firstLineChars="200"/>
        <w:jc w:val="left"/>
        <w:rPr>
          <w:rFonts w:ascii="宋体" w:hAnsi="宋体"/>
          <w:sz w:val="24"/>
          <w:szCs w:val="24"/>
        </w:rPr>
      </w:pPr>
      <w:r>
        <w:rPr>
          <w:rFonts w:hint="eastAsia" w:ascii="宋体" w:hAnsi="宋体"/>
          <w:sz w:val="24"/>
          <w:szCs w:val="24"/>
        </w:rPr>
        <w:t>最后报价为有效报价应符合下列条件：</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供应商所提供的最后报价是在规定的时间内提交。</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供应商的最后报价应加盖供应商（法定名称）电子签章。</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供应商的最后报价符合磋商文件的要求。</w:t>
      </w:r>
    </w:p>
    <w:p>
      <w:pPr>
        <w:widowControl/>
        <w:numPr>
          <w:ilvl w:val="0"/>
          <w:numId w:val="39"/>
        </w:numPr>
        <w:tabs>
          <w:tab w:val="left" w:pos="-2127"/>
          <w:tab w:val="left" w:pos="1134"/>
        </w:tabs>
        <w:snapToGrid w:val="0"/>
        <w:spacing w:after="200" w:line="400" w:lineRule="exact"/>
        <w:ind w:left="0" w:firstLine="557"/>
        <w:rPr>
          <w:rFonts w:ascii="宋体" w:hAnsi="宋体" w:cs="宋体"/>
          <w:sz w:val="24"/>
          <w:szCs w:val="24"/>
        </w:rPr>
      </w:pPr>
      <w:r>
        <w:rPr>
          <w:rFonts w:hint="eastAsia" w:ascii="宋体" w:hAnsi="宋体" w:cs="宋体"/>
          <w:sz w:val="24"/>
          <w:szCs w:val="24"/>
        </w:rPr>
        <w:t>最后报价唯一，且不高于最高限价。</w:t>
      </w:r>
    </w:p>
    <w:p>
      <w:pPr>
        <w:pStyle w:val="81"/>
        <w:numPr>
          <w:ilvl w:val="0"/>
          <w:numId w:val="38"/>
        </w:numPr>
        <w:spacing w:line="400" w:lineRule="exact"/>
        <w:ind w:left="0" w:firstLine="568" w:firstLineChars="0"/>
        <w:rPr>
          <w:rFonts w:ascii="宋体" w:hAnsi="宋体" w:eastAsia="宋体" w:cs="宋体"/>
          <w:sz w:val="24"/>
          <w:szCs w:val="24"/>
        </w:rPr>
      </w:pPr>
      <w:r>
        <w:rPr>
          <w:rFonts w:hint="eastAsia" w:ascii="宋体" w:hAnsi="宋体" w:eastAsia="宋体" w:cs="宋体"/>
          <w:sz w:val="24"/>
          <w:szCs w:val="24"/>
        </w:rPr>
        <w:t>在未提高响应文件中承诺的服务质量的情况下，最后报价不高于技术、商务性响应文件中的报价，否则，磋商小组应当对其响应文件按无效处理。</w:t>
      </w:r>
    </w:p>
    <w:p>
      <w:pPr>
        <w:widowControl/>
        <w:numPr>
          <w:ilvl w:val="0"/>
          <w:numId w:val="38"/>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最后报价出现下列情况的，不需要供应商澄清，按以下原则处理：</w:t>
      </w:r>
    </w:p>
    <w:p>
      <w:pPr>
        <w:pStyle w:val="83"/>
        <w:numPr>
          <w:ilvl w:val="0"/>
          <w:numId w:val="40"/>
        </w:numPr>
        <w:tabs>
          <w:tab w:val="left" w:pos="1134"/>
          <w:tab w:val="clear" w:pos="846"/>
        </w:tabs>
        <w:snapToGrid w:val="0"/>
        <w:spacing w:line="400" w:lineRule="exact"/>
        <w:ind w:left="0" w:firstLine="567" w:firstLineChars="0"/>
        <w:rPr>
          <w:rFonts w:ascii="宋体" w:hAnsi="宋体" w:eastAsia="宋体"/>
          <w:sz w:val="24"/>
          <w:szCs w:val="24"/>
        </w:rPr>
      </w:pPr>
      <w:r>
        <w:rPr>
          <w:rFonts w:hint="eastAsia" w:ascii="宋体" w:hAnsi="宋体" w:eastAsia="宋体"/>
          <w:sz w:val="24"/>
          <w:szCs w:val="24"/>
        </w:rPr>
        <w:t>最后报价中的大写金额和小写金额不一致的，以大写金额为准，但大写金额出现文字错误，导致金额无法判断的除外；</w:t>
      </w:r>
    </w:p>
    <w:p>
      <w:pPr>
        <w:pStyle w:val="83"/>
        <w:numPr>
          <w:ilvl w:val="0"/>
          <w:numId w:val="40"/>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单价金额小数点或者百分比有明显错位的，应以总价为准，并修改单价；</w:t>
      </w:r>
    </w:p>
    <w:p>
      <w:pPr>
        <w:pStyle w:val="83"/>
        <w:numPr>
          <w:ilvl w:val="0"/>
          <w:numId w:val="40"/>
        </w:numPr>
        <w:tabs>
          <w:tab w:val="left" w:pos="1134"/>
          <w:tab w:val="clear" w:pos="846"/>
        </w:tabs>
        <w:snapToGrid w:val="0"/>
        <w:spacing w:line="400" w:lineRule="exact"/>
        <w:ind w:left="0" w:firstLine="525" w:firstLineChars="0"/>
        <w:rPr>
          <w:rFonts w:ascii="宋体" w:hAnsi="宋体" w:eastAsia="宋体"/>
          <w:sz w:val="24"/>
          <w:szCs w:val="24"/>
        </w:rPr>
      </w:pPr>
      <w:r>
        <w:rPr>
          <w:rFonts w:hint="eastAsia" w:ascii="宋体" w:hAnsi="宋体" w:eastAsia="宋体"/>
          <w:sz w:val="24"/>
          <w:szCs w:val="24"/>
        </w:rPr>
        <w:t>总价金额与按单价汇总金额不一致的，以单价汇总金额计算结果为准；</w:t>
      </w:r>
    </w:p>
    <w:p>
      <w:pPr>
        <w:snapToGrid w:val="0"/>
        <w:spacing w:line="400" w:lineRule="exact"/>
        <w:ind w:firstLine="480" w:firstLineChars="200"/>
        <w:rPr>
          <w:sz w:val="20"/>
          <w:szCs w:val="21"/>
        </w:rPr>
      </w:pPr>
      <w:r>
        <w:rPr>
          <w:rFonts w:hint="eastAsia" w:cs="Arial"/>
          <w:sz w:val="24"/>
          <w:szCs w:val="24"/>
        </w:rPr>
        <w:t>同时出现两种以上不一致的，按照前款规定的顺序修正。修正后的</w:t>
      </w:r>
      <w:r>
        <w:rPr>
          <w:rFonts w:hint="eastAsia" w:ascii="宋体" w:hAnsi="宋体"/>
          <w:sz w:val="24"/>
          <w:szCs w:val="24"/>
        </w:rPr>
        <w:t>最后</w:t>
      </w:r>
      <w:r>
        <w:rPr>
          <w:rFonts w:hint="eastAsia" w:cs="Arial"/>
          <w:sz w:val="24"/>
          <w:szCs w:val="24"/>
        </w:rPr>
        <w:t>报价经加盖供应商（法定名称）电子签章后产生约束力，供应商不确认的，其</w:t>
      </w:r>
      <w:r>
        <w:rPr>
          <w:rFonts w:hint="eastAsia" w:ascii="宋体" w:hAnsi="宋体"/>
          <w:sz w:val="24"/>
          <w:szCs w:val="24"/>
        </w:rPr>
        <w:t>最后</w:t>
      </w:r>
      <w:r>
        <w:rPr>
          <w:rFonts w:hint="eastAsia" w:cs="Arial"/>
          <w:sz w:val="24"/>
          <w:szCs w:val="24"/>
        </w:rPr>
        <w:t>报价无效。</w:t>
      </w:r>
    </w:p>
    <w:p>
      <w:pPr>
        <w:pStyle w:val="2"/>
        <w:spacing w:line="400" w:lineRule="exact"/>
        <w:ind w:firstLine="484" w:firstLineChars="202"/>
        <w:rPr>
          <w:rFonts w:ascii="宋体" w:hAnsi="宋体"/>
          <w:sz w:val="24"/>
          <w:szCs w:val="24"/>
        </w:rPr>
      </w:pPr>
      <w:r>
        <w:rPr>
          <w:rFonts w:hint="eastAsia" w:ascii="宋体" w:hAnsi="宋体"/>
          <w:sz w:val="24"/>
          <w:szCs w:val="24"/>
        </w:rPr>
        <w:t>对不同语言文本响应文件的解释发生异议的，以中文文本为准。</w:t>
      </w:r>
    </w:p>
    <w:p>
      <w:pPr>
        <w:widowControl/>
        <w:numPr>
          <w:ilvl w:val="0"/>
          <w:numId w:val="38"/>
        </w:numPr>
        <w:tabs>
          <w:tab w:val="left" w:pos="-2127"/>
          <w:tab w:val="left" w:pos="1134"/>
        </w:tabs>
        <w:snapToGrid w:val="0"/>
        <w:spacing w:line="400" w:lineRule="exact"/>
        <w:ind w:left="0" w:firstLine="480" w:firstLineChars="200"/>
        <w:jc w:val="left"/>
        <w:rPr>
          <w:rFonts w:ascii="宋体" w:hAnsi="宋体"/>
          <w:sz w:val="24"/>
          <w:szCs w:val="24"/>
        </w:rPr>
      </w:pPr>
      <w:r>
        <w:rPr>
          <w:rFonts w:hint="eastAsia" w:ascii="宋体" w:hAnsi="宋体"/>
          <w:sz w:val="24"/>
          <w:szCs w:val="24"/>
        </w:rPr>
        <w:t>有效最后报价的供应商不足三家的，采购失败。</w:t>
      </w:r>
    </w:p>
    <w:p>
      <w:pPr>
        <w:pStyle w:val="6"/>
        <w:numPr>
          <w:ilvl w:val="2"/>
          <w:numId w:val="5"/>
        </w:numPr>
        <w:spacing w:after="200" w:line="400" w:lineRule="exact"/>
        <w:ind w:left="1135" w:hanging="1135"/>
        <w:rPr>
          <w:color w:val="auto"/>
          <w:sz w:val="24"/>
          <w:szCs w:val="24"/>
        </w:rPr>
      </w:pPr>
      <w:r>
        <w:rPr>
          <w:rFonts w:hint="eastAsia"/>
          <w:color w:val="auto"/>
          <w:sz w:val="24"/>
          <w:szCs w:val="24"/>
        </w:rPr>
        <w:t>解释、澄清、说明的有关问题</w:t>
      </w:r>
    </w:p>
    <w:p>
      <w:pPr>
        <w:numPr>
          <w:ilvl w:val="0"/>
          <w:numId w:val="41"/>
        </w:numPr>
        <w:tabs>
          <w:tab w:val="left" w:pos="1134"/>
        </w:tabs>
        <w:spacing w:after="200" w:line="400" w:lineRule="exact"/>
        <w:ind w:left="0" w:firstLine="567"/>
        <w:rPr>
          <w:rFonts w:ascii="宋体" w:hAnsi="宋体"/>
          <w:sz w:val="24"/>
          <w:szCs w:val="24"/>
        </w:rPr>
      </w:pPr>
      <w:r>
        <w:rPr>
          <w:rFonts w:hint="eastAsia" w:ascii="宋体" w:hAnsi="宋体"/>
          <w:sz w:val="24"/>
          <w:szCs w:val="24"/>
        </w:rPr>
        <w:t>评审过程中，磋商小组认为磋商文件有关事项表述不明确或需要说明的，可以</w:t>
      </w:r>
      <w:r>
        <w:rPr>
          <w:rFonts w:hint="eastAsia" w:ascii="宋体" w:hAnsi="宋体"/>
          <w:color w:val="000000" w:themeColor="text1"/>
          <w:sz w:val="24"/>
          <w:szCs w:val="24"/>
          <w14:textFill>
            <w14:solidFill>
              <w14:schemeClr w14:val="tx1"/>
            </w14:solidFill>
          </w14:textFill>
        </w:rPr>
        <w:t>提请区政府采购中心书面解释。区政府采购中心的解释不得改变磋商文件的原义或者影响公平、公正，解释事项如果涉及供应商权益的以有利于供应商的原则进行解释。</w:t>
      </w:r>
    </w:p>
    <w:p>
      <w:pPr>
        <w:numPr>
          <w:ilvl w:val="0"/>
          <w:numId w:val="41"/>
        </w:numPr>
        <w:tabs>
          <w:tab w:val="left" w:pos="1134"/>
        </w:tabs>
        <w:spacing w:after="200" w:line="400" w:lineRule="exact"/>
        <w:ind w:left="0" w:firstLine="567"/>
        <w:rPr>
          <w:rFonts w:ascii="宋体" w:hAnsi="宋体"/>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2" w:firstLineChars="200"/>
        <w:rPr>
          <w:rFonts w:ascii="宋体" w:hAnsi="宋体"/>
          <w:b/>
          <w:sz w:val="24"/>
          <w:szCs w:val="24"/>
        </w:rPr>
      </w:pPr>
      <w:r>
        <w:rPr>
          <w:rFonts w:hint="eastAsia" w:ascii="宋体" w:hAnsi="宋体"/>
          <w:b/>
          <w:sz w:val="24"/>
          <w:szCs w:val="24"/>
        </w:rPr>
        <w:t>三、评审结束前，供应商应随时关注系统提示，及时通过“政府采购云平台”在线响应磋商小组发出的澄清、说明或补正要求，签章并确认提交成功。逾时回复将不能提交，视为供应商自行放弃，其损失由供应商承担。磋商小组应当积极履行澄清、说明或者更正的职责，不得滥用权力。</w:t>
      </w:r>
    </w:p>
    <w:p>
      <w:pPr>
        <w:pStyle w:val="6"/>
        <w:numPr>
          <w:ilvl w:val="2"/>
          <w:numId w:val="5"/>
        </w:numPr>
        <w:spacing w:after="200" w:line="400" w:lineRule="exact"/>
        <w:ind w:left="1135" w:hanging="1135"/>
        <w:rPr>
          <w:color w:val="auto"/>
          <w:sz w:val="24"/>
          <w:szCs w:val="24"/>
        </w:rPr>
      </w:pPr>
      <w:r>
        <w:rPr>
          <w:rFonts w:hint="eastAsia"/>
          <w:color w:val="auto"/>
          <w:sz w:val="24"/>
          <w:szCs w:val="24"/>
        </w:rPr>
        <w:t>复核</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评审结束后，磋商小组应当进行复核，特别要对拟推荐为成交候选供应商的、报价最低的、响应文件被认定为无</w:t>
      </w:r>
      <w:r>
        <w:rPr>
          <w:rFonts w:hint="eastAsia" w:ascii="宋体" w:hAnsi="宋体"/>
          <w:color w:val="000000" w:themeColor="text1"/>
          <w:sz w:val="24"/>
          <w:szCs w:val="24"/>
          <w14:textFill>
            <w14:solidFill>
              <w14:schemeClr w14:val="tx1"/>
            </w14:solidFill>
          </w14:textFill>
        </w:rPr>
        <w:t>效的进行重点复核。</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评审结果汇总完成后，磋商小组拟出具评审报告前，区政府采购中心应当组织2名以上的工作人员，在采购现场</w:t>
      </w:r>
      <w:r>
        <w:rPr>
          <w:rFonts w:hint="eastAsia" w:ascii="宋体" w:hAnsi="宋体"/>
          <w:sz w:val="24"/>
          <w:szCs w:val="24"/>
        </w:rPr>
        <w:t>监督人员的监督之下，依据有关的法律制度</w:t>
      </w:r>
      <w:r>
        <w:rPr>
          <w:rFonts w:hint="eastAsia" w:ascii="宋体" w:hAnsi="宋体"/>
          <w:color w:val="000000" w:themeColor="text1"/>
          <w:sz w:val="24"/>
          <w:szCs w:val="24"/>
          <w14:textFill>
            <w14:solidFill>
              <w14:schemeClr w14:val="tx1"/>
            </w14:solidFill>
          </w14:textFill>
        </w:rPr>
        <w:t>和采购文件对评审结果进行复核，出具复核报告。</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除资格性检查认定错误、分值汇总计算错误、分项评分超出评分标准范围、客观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tabs>
          <w:tab w:val="left" w:pos="851"/>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区政府采购中心复核过程中，磋商</w:t>
      </w:r>
      <w:r>
        <w:rPr>
          <w:rFonts w:hint="eastAsia" w:ascii="宋体" w:hAnsi="宋体"/>
          <w:sz w:val="24"/>
          <w:szCs w:val="24"/>
        </w:rPr>
        <w:t>小组成员不得离开评审现场。</w:t>
      </w:r>
    </w:p>
    <w:p>
      <w:pPr>
        <w:pStyle w:val="6"/>
        <w:numPr>
          <w:ilvl w:val="2"/>
          <w:numId w:val="5"/>
        </w:numPr>
        <w:spacing w:after="200" w:line="400" w:lineRule="exact"/>
        <w:ind w:left="1135" w:hanging="1135"/>
        <w:rPr>
          <w:color w:val="auto"/>
          <w:sz w:val="24"/>
          <w:szCs w:val="24"/>
        </w:rPr>
      </w:pPr>
      <w:r>
        <w:rPr>
          <w:rFonts w:hint="eastAsia"/>
          <w:color w:val="auto"/>
          <w:sz w:val="24"/>
          <w:szCs w:val="24"/>
        </w:rPr>
        <w:t>推荐成交候选供应商</w:t>
      </w:r>
    </w:p>
    <w:p>
      <w:pPr>
        <w:spacing w:line="400" w:lineRule="exact"/>
        <w:ind w:firstLine="480" w:firstLineChars="200"/>
        <w:rPr>
          <w:rFonts w:ascii="宋体" w:hAnsi="宋体"/>
          <w:color w:val="000000"/>
          <w:sz w:val="22"/>
          <w:szCs w:val="21"/>
        </w:rPr>
      </w:pPr>
      <w:r>
        <w:rPr>
          <w:rFonts w:hint="eastAsia" w:ascii="宋体" w:hAnsi="宋体"/>
          <w:sz w:val="24"/>
          <w:szCs w:val="24"/>
        </w:rPr>
        <w:t>磋商小组应当根据综合评分情况，按照评审得分由高到低顺序推荐3名以上成交候选供应商，并编写评审报告。评审得分相同的，按照最后报价由低到高的顺序推荐。评审得分且最后报价相同的，按照技术指标优劣（技术类分项得分高低）顺序推荐。评审得分且最后报价且技术指标得分均相同的，成交候选供应商并列</w:t>
      </w:r>
      <w:r>
        <w:rPr>
          <w:rFonts w:hint="eastAsia" w:ascii="宋体" w:hAnsi="宋体"/>
          <w:sz w:val="24"/>
          <w:szCs w:val="24"/>
          <w:lang w:eastAsia="zh-CN"/>
        </w:rPr>
        <w:t>。</w:t>
      </w:r>
    </w:p>
    <w:p>
      <w:pPr>
        <w:pStyle w:val="6"/>
        <w:numPr>
          <w:ilvl w:val="2"/>
          <w:numId w:val="5"/>
        </w:numPr>
        <w:spacing w:after="200" w:line="400" w:lineRule="exact"/>
        <w:ind w:left="1135" w:hanging="1135"/>
        <w:rPr>
          <w:color w:val="auto"/>
          <w:sz w:val="24"/>
          <w:szCs w:val="24"/>
        </w:rPr>
      </w:pPr>
      <w:r>
        <w:rPr>
          <w:rFonts w:hint="eastAsia"/>
          <w:color w:val="auto"/>
          <w:sz w:val="24"/>
          <w:szCs w:val="24"/>
        </w:rPr>
        <w:t>编写评审报告</w:t>
      </w:r>
    </w:p>
    <w:p>
      <w:pPr>
        <w:spacing w:line="400" w:lineRule="exact"/>
        <w:ind w:firstLine="480" w:firstLineChars="200"/>
        <w:rPr>
          <w:rFonts w:ascii="宋体" w:hAnsi="宋体"/>
          <w:sz w:val="24"/>
          <w:szCs w:val="24"/>
        </w:rPr>
      </w:pPr>
      <w:r>
        <w:rPr>
          <w:rFonts w:hint="eastAsia" w:ascii="宋体" w:hAnsi="宋体"/>
          <w:sz w:val="24"/>
          <w:szCs w:val="24"/>
        </w:rPr>
        <w:t>评审报告是磋商小组根据全体成员签字的原始评审记录和评审结果编写的报告，其主要内容包括：</w:t>
      </w:r>
    </w:p>
    <w:p>
      <w:pPr>
        <w:pStyle w:val="81"/>
        <w:widowControl/>
        <w:numPr>
          <w:ilvl w:val="0"/>
          <w:numId w:val="42"/>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邀请供应商参加采购活动的具体方式和相关情况；</w:t>
      </w:r>
    </w:p>
    <w:p>
      <w:pPr>
        <w:pStyle w:val="81"/>
        <w:widowControl/>
        <w:numPr>
          <w:ilvl w:val="0"/>
          <w:numId w:val="42"/>
        </w:numPr>
        <w:tabs>
          <w:tab w:val="left" w:pos="1134"/>
        </w:tabs>
        <w:spacing w:after="200" w:line="400" w:lineRule="exact"/>
        <w:ind w:firstLineChars="0"/>
        <w:jc w:val="left"/>
        <w:rPr>
          <w:rFonts w:ascii="宋体" w:hAnsi="宋体" w:eastAsia="宋体"/>
          <w:sz w:val="24"/>
          <w:szCs w:val="24"/>
        </w:rPr>
      </w:pPr>
      <w:r>
        <w:rPr>
          <w:rFonts w:hint="eastAsia" w:ascii="宋体" w:hAnsi="宋体" w:eastAsia="宋体"/>
          <w:sz w:val="24"/>
          <w:szCs w:val="24"/>
        </w:rPr>
        <w:t>响应文件开启日期和地点；</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获取磋商文件的供应商名单和磋商小组成员名单；</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评审情况记录和说明，包括对供应商的资格审查情况、供应商响应文件评审情况、磋商情况、报价情况等；</w:t>
      </w:r>
    </w:p>
    <w:p>
      <w:pPr>
        <w:pStyle w:val="81"/>
        <w:widowControl/>
        <w:numPr>
          <w:ilvl w:val="0"/>
          <w:numId w:val="42"/>
        </w:numPr>
        <w:tabs>
          <w:tab w:val="left" w:pos="1134"/>
        </w:tabs>
        <w:spacing w:after="200" w:line="400" w:lineRule="exact"/>
        <w:ind w:left="0" w:firstLine="560" w:firstLineChars="0"/>
        <w:jc w:val="left"/>
        <w:rPr>
          <w:rFonts w:ascii="宋体" w:hAnsi="宋体" w:eastAsia="宋体"/>
          <w:sz w:val="24"/>
          <w:szCs w:val="24"/>
        </w:rPr>
      </w:pPr>
      <w:r>
        <w:rPr>
          <w:rFonts w:hint="eastAsia" w:ascii="宋体" w:hAnsi="宋体" w:eastAsia="宋体"/>
          <w:sz w:val="24"/>
          <w:szCs w:val="24"/>
        </w:rPr>
        <w:t>提出的成交候选供应商的排序名单及理由。</w:t>
      </w:r>
    </w:p>
    <w:p>
      <w:pPr>
        <w:tabs>
          <w:tab w:val="left" w:pos="1155"/>
        </w:tabs>
        <w:spacing w:line="400" w:lineRule="exact"/>
        <w:ind w:firstLine="448" w:firstLineChars="187"/>
        <w:rPr>
          <w:rFonts w:ascii="宋体" w:hAnsi="宋体"/>
          <w:sz w:val="24"/>
          <w:szCs w:val="24"/>
        </w:rPr>
      </w:pPr>
      <w:r>
        <w:rPr>
          <w:rFonts w:hint="eastAsia" w:ascii="宋体" w:hAnsi="宋体"/>
          <w:sz w:val="24"/>
          <w:szCs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字又不书面说明其不同意见和理由的，视为同意评审报告。</w:t>
      </w:r>
    </w:p>
    <w:p>
      <w:pPr>
        <w:pStyle w:val="6"/>
        <w:numPr>
          <w:ilvl w:val="2"/>
          <w:numId w:val="5"/>
        </w:numPr>
        <w:spacing w:after="200" w:line="400" w:lineRule="exact"/>
        <w:ind w:left="1135" w:hanging="1135"/>
        <w:rPr>
          <w:sz w:val="24"/>
          <w:szCs w:val="24"/>
        </w:rPr>
      </w:pPr>
      <w:bookmarkStart w:id="99" w:name="_Toc494357018"/>
      <w:bookmarkEnd w:id="99"/>
      <w:bookmarkStart w:id="100" w:name="_Toc494095665"/>
      <w:bookmarkEnd w:id="100"/>
      <w:bookmarkStart w:id="101" w:name="_Toc79742137"/>
      <w:bookmarkStart w:id="102" w:name="_Toc58943347"/>
      <w:r>
        <w:rPr>
          <w:rFonts w:hint="eastAsia"/>
          <w:sz w:val="24"/>
          <w:szCs w:val="24"/>
        </w:rPr>
        <w:t>磋商</w:t>
      </w:r>
      <w:r>
        <w:rPr>
          <w:sz w:val="24"/>
          <w:szCs w:val="24"/>
        </w:rPr>
        <w:t>异议</w:t>
      </w:r>
      <w:r>
        <w:rPr>
          <w:rFonts w:hint="eastAsia"/>
          <w:sz w:val="24"/>
          <w:szCs w:val="24"/>
        </w:rPr>
        <w:t>处理</w:t>
      </w:r>
      <w:bookmarkEnd w:id="101"/>
      <w:bookmarkEnd w:id="102"/>
    </w:p>
    <w:p>
      <w:pPr>
        <w:tabs>
          <w:tab w:val="left" w:pos="1155"/>
        </w:tabs>
        <w:spacing w:line="400" w:lineRule="exact"/>
        <w:ind w:firstLine="484" w:firstLineChars="202"/>
        <w:rPr>
          <w:rFonts w:ascii="宋体" w:hAnsi="宋体"/>
          <w:kern w:val="0"/>
          <w:sz w:val="24"/>
          <w:szCs w:val="24"/>
        </w:rPr>
      </w:pPr>
      <w:r>
        <w:rPr>
          <w:rFonts w:hint="eastAsia" w:ascii="宋体" w:hAnsi="宋体"/>
          <w:kern w:val="0"/>
          <w:sz w:val="24"/>
          <w:szCs w:val="24"/>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pStyle w:val="5"/>
        <w:numPr>
          <w:ilvl w:val="1"/>
          <w:numId w:val="5"/>
        </w:numPr>
        <w:tabs>
          <w:tab w:val="left" w:pos="426"/>
          <w:tab w:val="left" w:pos="567"/>
        </w:tabs>
        <w:spacing w:before="0" w:after="200" w:line="400" w:lineRule="exact"/>
        <w:ind w:left="1985" w:hanging="1985"/>
        <w:jc w:val="both"/>
        <w:rPr>
          <w:sz w:val="24"/>
          <w:szCs w:val="24"/>
        </w:rPr>
      </w:pPr>
      <w:bookmarkStart w:id="103" w:name="_Toc79742138"/>
      <w:bookmarkStart w:id="104" w:name="_Toc58943348"/>
      <w:r>
        <w:rPr>
          <w:rFonts w:hint="eastAsia"/>
          <w:sz w:val="24"/>
          <w:szCs w:val="24"/>
        </w:rPr>
        <w:t>评审办法和标准</w:t>
      </w:r>
      <w:bookmarkEnd w:id="103"/>
      <w:bookmarkEnd w:id="104"/>
    </w:p>
    <w:p>
      <w:pPr>
        <w:pStyle w:val="23"/>
        <w:snapToGrid w:val="0"/>
        <w:spacing w:line="400" w:lineRule="exact"/>
        <w:ind w:firstLine="480" w:firstLineChars="200"/>
        <w:rPr>
          <w:rFonts w:hAnsi="宋体"/>
          <w:sz w:val="24"/>
          <w:szCs w:val="24"/>
        </w:rPr>
      </w:pPr>
      <w:r>
        <w:rPr>
          <w:rFonts w:hint="eastAsia" w:hAnsi="宋体"/>
          <w:sz w:val="24"/>
          <w:szCs w:val="24"/>
        </w:rPr>
        <w:t>一、由磋商小组根据磋商文件的要求采用相同的评审程序、评分办法及标准对提交最后报价的供应商的响应文件和最后报价进行综合评分；</w:t>
      </w:r>
    </w:p>
    <w:p>
      <w:pPr>
        <w:tabs>
          <w:tab w:val="left" w:pos="1155"/>
        </w:tabs>
        <w:spacing w:line="400" w:lineRule="exact"/>
        <w:ind w:firstLine="480" w:firstLineChars="200"/>
        <w:rPr>
          <w:rFonts w:ascii="宋体" w:hAnsi="宋体"/>
          <w:sz w:val="24"/>
          <w:szCs w:val="24"/>
        </w:rPr>
      </w:pPr>
      <w:r>
        <w:rPr>
          <w:rFonts w:hint="eastAsia" w:ascii="宋体" w:hAnsi="宋体"/>
          <w:sz w:val="24"/>
          <w:szCs w:val="24"/>
        </w:rPr>
        <w:t>二、本次综合评分的因素是：价格、技术、服务等；</w:t>
      </w:r>
    </w:p>
    <w:p>
      <w:pPr>
        <w:tabs>
          <w:tab w:val="left" w:pos="1155"/>
        </w:tabs>
        <w:spacing w:line="400" w:lineRule="exact"/>
        <w:ind w:firstLine="480" w:firstLineChars="200"/>
        <w:rPr>
          <w:sz w:val="20"/>
          <w:szCs w:val="21"/>
        </w:rPr>
      </w:pPr>
      <w:r>
        <w:rPr>
          <w:rFonts w:hint="eastAsia" w:ascii="宋体" w:hAnsi="宋体"/>
          <w:sz w:val="24"/>
          <w:szCs w:val="24"/>
        </w:rPr>
        <w:t>三、评审时，磋商小组各成员应当独立对每个有效响应的文件进行评价、打分，然后汇总每个供应商每项评分因素的得分。</w:t>
      </w:r>
    </w:p>
    <w:p>
      <w:pPr>
        <w:pStyle w:val="6"/>
        <w:numPr>
          <w:ilvl w:val="2"/>
          <w:numId w:val="5"/>
        </w:numPr>
        <w:spacing w:after="200" w:line="400" w:lineRule="exact"/>
        <w:ind w:left="1135" w:hanging="1135"/>
        <w:rPr>
          <w:color w:val="auto"/>
          <w:sz w:val="24"/>
          <w:szCs w:val="24"/>
        </w:rPr>
      </w:pPr>
      <w:r>
        <w:rPr>
          <w:rFonts w:hint="eastAsia"/>
          <w:color w:val="auto"/>
          <w:sz w:val="24"/>
          <w:szCs w:val="24"/>
        </w:rPr>
        <w:t>评分办法</w:t>
      </w:r>
    </w:p>
    <w:p>
      <w:pPr>
        <w:pStyle w:val="23"/>
        <w:snapToGrid w:val="0"/>
        <w:spacing w:line="400" w:lineRule="exact"/>
        <w:ind w:firstLine="480" w:firstLineChars="200"/>
        <w:rPr>
          <w:rFonts w:hAnsi="宋体"/>
          <w:sz w:val="24"/>
          <w:szCs w:val="24"/>
        </w:rPr>
      </w:pPr>
      <w:r>
        <w:rPr>
          <w:rFonts w:hint="eastAsia" w:hAnsi="宋体"/>
          <w:sz w:val="24"/>
          <w:szCs w:val="24"/>
        </w:rPr>
        <w:t>本次评审采用综合评分法，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360" w:lineRule="auto"/>
        <w:ind w:firstLine="540" w:firstLineChars="225"/>
        <w:rPr>
          <w:rFonts w:ascii="宋体" w:hAnsi="宋体"/>
          <w:sz w:val="24"/>
          <w:szCs w:val="24"/>
        </w:rPr>
      </w:pPr>
      <w:r>
        <w:rPr>
          <w:rFonts w:hint="eastAsia" w:ascii="宋体" w:hAnsi="宋体"/>
          <w:sz w:val="24"/>
          <w:szCs w:val="24"/>
        </w:rPr>
        <w:t>评审得分＝（</w:t>
      </w: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w:t>
      </w:r>
      <w:r>
        <w:rPr>
          <w:rFonts w:ascii="宋体" w:hAnsi="宋体"/>
          <w:sz w:val="24"/>
          <w:szCs w:val="24"/>
        </w:rPr>
        <w:t>/n</w:t>
      </w:r>
      <w:r>
        <w:rPr>
          <w:rFonts w:ascii="宋体" w:hAnsi="宋体"/>
          <w:sz w:val="24"/>
          <w:szCs w:val="24"/>
          <w:vertAlign w:val="subscript"/>
        </w:rPr>
        <w:t>1</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hint="eastAsia" w:ascii="宋体" w:hAnsi="宋体"/>
          <w:sz w:val="24"/>
          <w:szCs w:val="24"/>
        </w:rPr>
        <w:t>）</w:t>
      </w:r>
      <w:r>
        <w:rPr>
          <w:rFonts w:ascii="宋体" w:hAnsi="宋体"/>
          <w:sz w:val="24"/>
          <w:szCs w:val="24"/>
        </w:rPr>
        <w:t>/ n</w:t>
      </w:r>
      <w:r>
        <w:rPr>
          <w:rFonts w:ascii="宋体" w:hAnsi="宋体"/>
          <w:sz w:val="24"/>
          <w:szCs w:val="24"/>
          <w:vertAlign w:val="subscript"/>
        </w:rPr>
        <w:t>2</w:t>
      </w:r>
    </w:p>
    <w:p>
      <w:pPr>
        <w:spacing w:line="400" w:lineRule="exact"/>
        <w:ind w:firstLine="480" w:firstLineChars="200"/>
        <w:rPr>
          <w:rFonts w:ascii="宋体" w:hAnsi="宋体" w:cs="宋体"/>
          <w:sz w:val="24"/>
          <w:szCs w:val="24"/>
        </w:rPr>
      </w:pPr>
      <w:r>
        <w:rPr>
          <w:rFonts w:ascii="宋体" w:hAnsi="宋体"/>
          <w:sz w:val="24"/>
          <w:szCs w:val="24"/>
        </w:rPr>
        <w:t>A</w:t>
      </w:r>
      <w:r>
        <w:rPr>
          <w:rFonts w:ascii="宋体" w:hAnsi="宋体"/>
          <w:sz w:val="24"/>
          <w:szCs w:val="24"/>
          <w:vertAlign w:val="subscript"/>
        </w:rPr>
        <w:t>1</w:t>
      </w:r>
      <w:r>
        <w:rPr>
          <w:rFonts w:hint="eastAsia" w:ascii="宋体" w:hAnsi="宋体"/>
          <w:sz w:val="24"/>
          <w:szCs w:val="24"/>
        </w:rPr>
        <w:t>、</w:t>
      </w:r>
      <w:r>
        <w:rPr>
          <w:rFonts w:ascii="宋体" w:hAnsi="宋体"/>
          <w:sz w:val="24"/>
          <w:szCs w:val="24"/>
        </w:rPr>
        <w:t>A</w:t>
      </w:r>
      <w:r>
        <w:rPr>
          <w:rFonts w:ascii="宋体" w:hAnsi="宋体"/>
          <w:sz w:val="24"/>
          <w:szCs w:val="24"/>
          <w:vertAlign w:val="subscript"/>
        </w:rPr>
        <w:t>2</w:t>
      </w:r>
      <w:r>
        <w:rPr>
          <w:rFonts w:hint="eastAsia" w:ascii="宋体" w:hAnsi="宋体"/>
          <w:sz w:val="24"/>
          <w:szCs w:val="24"/>
        </w:rPr>
        <w:t>……</w:t>
      </w:r>
      <w:r>
        <w:rPr>
          <w:rFonts w:ascii="宋体" w:hAnsi="宋体"/>
          <w:sz w:val="24"/>
          <w:szCs w:val="24"/>
        </w:rPr>
        <w:t>A</w:t>
      </w:r>
      <w:r>
        <w:rPr>
          <w:rFonts w:ascii="宋体" w:hAnsi="宋体"/>
          <w:sz w:val="24"/>
          <w:szCs w:val="24"/>
          <w:vertAlign w:val="subscript"/>
        </w:rPr>
        <w:t>n</w:t>
      </w:r>
      <w:r>
        <w:rPr>
          <w:rFonts w:hint="eastAsia" w:ascii="宋体" w:hAnsi="宋体"/>
          <w:sz w:val="24"/>
          <w:szCs w:val="24"/>
        </w:rPr>
        <w:t>分别为磋商小组每个成员的打分，</w:t>
      </w:r>
      <w:r>
        <w:rPr>
          <w:rFonts w:ascii="宋体" w:hAnsi="宋体"/>
          <w:sz w:val="24"/>
          <w:szCs w:val="24"/>
        </w:rPr>
        <w:t>n</w:t>
      </w:r>
      <w:r>
        <w:rPr>
          <w:rFonts w:ascii="宋体" w:hAnsi="宋体"/>
          <w:sz w:val="24"/>
          <w:szCs w:val="24"/>
          <w:vertAlign w:val="subscript"/>
        </w:rPr>
        <w:t>1</w:t>
      </w:r>
      <w:r>
        <w:rPr>
          <w:rFonts w:hint="eastAsia" w:ascii="宋体" w:hAnsi="宋体"/>
          <w:sz w:val="24"/>
          <w:szCs w:val="24"/>
        </w:rPr>
        <w:t>为磋商小组人数；</w:t>
      </w:r>
      <w:r>
        <w:rPr>
          <w:rFonts w:ascii="宋体" w:hAnsi="宋体"/>
          <w:sz w:val="24"/>
          <w:szCs w:val="24"/>
        </w:rPr>
        <w:t>B</w:t>
      </w:r>
      <w:r>
        <w:rPr>
          <w:rFonts w:ascii="宋体" w:hAnsi="宋体"/>
          <w:sz w:val="24"/>
          <w:szCs w:val="24"/>
          <w:vertAlign w:val="subscript"/>
        </w:rPr>
        <w:t>1</w:t>
      </w:r>
      <w:r>
        <w:rPr>
          <w:rFonts w:hint="eastAsia" w:ascii="宋体" w:hAnsi="宋体"/>
          <w:sz w:val="24"/>
          <w:szCs w:val="24"/>
        </w:rPr>
        <w:t>、</w:t>
      </w:r>
      <w:r>
        <w:rPr>
          <w:rFonts w:ascii="宋体" w:hAnsi="宋体"/>
          <w:sz w:val="24"/>
          <w:szCs w:val="24"/>
        </w:rPr>
        <w:t>B</w:t>
      </w:r>
      <w:r>
        <w:rPr>
          <w:rFonts w:ascii="宋体" w:hAnsi="宋体"/>
          <w:sz w:val="24"/>
          <w:szCs w:val="24"/>
          <w:vertAlign w:val="subscript"/>
        </w:rPr>
        <w:t>2</w:t>
      </w:r>
      <w:r>
        <w:rPr>
          <w:rFonts w:hint="eastAsia" w:ascii="宋体" w:hAnsi="宋体"/>
          <w:sz w:val="24"/>
          <w:szCs w:val="24"/>
        </w:rPr>
        <w:t>＋……</w:t>
      </w:r>
      <w:r>
        <w:rPr>
          <w:rFonts w:ascii="宋体" w:hAnsi="宋体"/>
          <w:sz w:val="24"/>
          <w:szCs w:val="24"/>
        </w:rPr>
        <w:t>B</w:t>
      </w:r>
      <w:r>
        <w:rPr>
          <w:rFonts w:ascii="宋体" w:hAnsi="宋体"/>
          <w:sz w:val="24"/>
          <w:szCs w:val="24"/>
          <w:vertAlign w:val="subscript"/>
        </w:rPr>
        <w:t>n</w:t>
      </w:r>
      <w:r>
        <w:rPr>
          <w:rFonts w:ascii="宋体" w:hAnsi="宋体"/>
          <w:sz w:val="24"/>
          <w:szCs w:val="24"/>
        </w:rPr>
        <w:t xml:space="preserve"> 分别为每个技术类评委（含采购人代表）的打分，n</w:t>
      </w:r>
      <w:r>
        <w:rPr>
          <w:rFonts w:ascii="宋体" w:hAnsi="宋体"/>
          <w:sz w:val="24"/>
          <w:szCs w:val="24"/>
          <w:vertAlign w:val="subscript"/>
        </w:rPr>
        <w:t>2</w:t>
      </w:r>
      <w:r>
        <w:rPr>
          <w:rFonts w:hint="eastAsia" w:ascii="宋体" w:hAnsi="宋体"/>
          <w:sz w:val="24"/>
          <w:szCs w:val="24"/>
        </w:rPr>
        <w:t>为</w:t>
      </w:r>
      <w:r>
        <w:rPr>
          <w:rFonts w:hint="eastAsia" w:ascii="宋体" w:hAnsi="宋体" w:cs="宋体"/>
          <w:sz w:val="24"/>
          <w:szCs w:val="24"/>
        </w:rPr>
        <w:t>技术类</w:t>
      </w:r>
      <w:r>
        <w:rPr>
          <w:rFonts w:hint="eastAsia" w:ascii="宋体" w:hAnsi="宋体"/>
          <w:sz w:val="24"/>
          <w:szCs w:val="24"/>
        </w:rPr>
        <w:t xml:space="preserve">评委（含采购人代表）人数。 </w:t>
      </w:r>
    </w:p>
    <w:p>
      <w:pPr>
        <w:pStyle w:val="6"/>
        <w:numPr>
          <w:ilvl w:val="2"/>
          <w:numId w:val="5"/>
        </w:numPr>
        <w:spacing w:after="200" w:line="400" w:lineRule="exact"/>
        <w:ind w:left="1135" w:hanging="1135"/>
        <w:rPr>
          <w:color w:val="auto"/>
          <w:sz w:val="24"/>
          <w:szCs w:val="24"/>
        </w:rPr>
      </w:pPr>
      <w:r>
        <w:rPr>
          <w:rFonts w:hint="eastAsia"/>
          <w:color w:val="auto"/>
          <w:sz w:val="24"/>
          <w:szCs w:val="24"/>
        </w:rPr>
        <w:t>评分标准</w:t>
      </w:r>
    </w:p>
    <w:tbl>
      <w:tblPr>
        <w:tblStyle w:val="41"/>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75"/>
        <w:gridCol w:w="650"/>
        <w:gridCol w:w="418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619" w:type="dxa"/>
            <w:vAlign w:val="center"/>
          </w:tcPr>
          <w:p>
            <w:pPr>
              <w:spacing w:line="360" w:lineRule="auto"/>
              <w:rPr>
                <w:rFonts w:hint="eastAsia" w:ascii="宋体" w:hAnsi="宋体"/>
                <w:sz w:val="22"/>
                <w:szCs w:val="21"/>
              </w:rPr>
            </w:pPr>
            <w:r>
              <w:rPr>
                <w:rFonts w:hint="eastAsia" w:ascii="宋体" w:hAnsi="宋体"/>
                <w:sz w:val="22"/>
                <w:szCs w:val="21"/>
              </w:rPr>
              <w:t>序号</w:t>
            </w:r>
          </w:p>
        </w:tc>
        <w:tc>
          <w:tcPr>
            <w:tcW w:w="1275" w:type="dxa"/>
            <w:vAlign w:val="center"/>
          </w:tcPr>
          <w:p>
            <w:pPr>
              <w:spacing w:line="360" w:lineRule="auto"/>
              <w:rPr>
                <w:rFonts w:hint="eastAsia" w:ascii="宋体" w:hAnsi="宋体"/>
                <w:sz w:val="22"/>
                <w:szCs w:val="21"/>
              </w:rPr>
            </w:pPr>
            <w:r>
              <w:rPr>
                <w:rFonts w:hint="eastAsia" w:ascii="宋体" w:hAnsi="宋体"/>
                <w:sz w:val="22"/>
                <w:szCs w:val="21"/>
              </w:rPr>
              <w:t>评分因素</w:t>
            </w:r>
          </w:p>
          <w:p>
            <w:pPr>
              <w:spacing w:line="360" w:lineRule="auto"/>
              <w:rPr>
                <w:rFonts w:hint="eastAsia" w:ascii="宋体" w:hAnsi="宋体"/>
                <w:sz w:val="22"/>
                <w:szCs w:val="21"/>
              </w:rPr>
            </w:pPr>
            <w:r>
              <w:rPr>
                <w:rFonts w:hint="eastAsia" w:ascii="宋体" w:hAnsi="宋体"/>
                <w:sz w:val="22"/>
                <w:szCs w:val="21"/>
              </w:rPr>
              <w:t>及权重</w:t>
            </w:r>
          </w:p>
        </w:tc>
        <w:tc>
          <w:tcPr>
            <w:tcW w:w="650" w:type="dxa"/>
            <w:vAlign w:val="center"/>
          </w:tcPr>
          <w:p>
            <w:pPr>
              <w:spacing w:line="360" w:lineRule="auto"/>
              <w:rPr>
                <w:rFonts w:hint="eastAsia" w:ascii="宋体" w:hAnsi="宋体"/>
                <w:sz w:val="22"/>
                <w:szCs w:val="21"/>
              </w:rPr>
            </w:pPr>
            <w:r>
              <w:rPr>
                <w:rFonts w:hint="eastAsia" w:ascii="宋体" w:hAnsi="宋体"/>
                <w:sz w:val="22"/>
                <w:szCs w:val="21"/>
              </w:rPr>
              <w:t>分　值</w:t>
            </w:r>
          </w:p>
        </w:tc>
        <w:tc>
          <w:tcPr>
            <w:tcW w:w="4188" w:type="dxa"/>
            <w:vAlign w:val="center"/>
          </w:tcPr>
          <w:p>
            <w:pPr>
              <w:spacing w:line="360" w:lineRule="auto"/>
              <w:rPr>
                <w:rFonts w:hint="eastAsia" w:ascii="宋体" w:hAnsi="宋体"/>
                <w:sz w:val="22"/>
                <w:szCs w:val="21"/>
              </w:rPr>
            </w:pPr>
            <w:r>
              <w:rPr>
                <w:rFonts w:hint="eastAsia" w:ascii="宋体" w:hAnsi="宋体"/>
                <w:sz w:val="22"/>
                <w:szCs w:val="21"/>
              </w:rPr>
              <w:t>评分标准</w:t>
            </w:r>
          </w:p>
        </w:tc>
        <w:tc>
          <w:tcPr>
            <w:tcW w:w="1925" w:type="dxa"/>
            <w:vAlign w:val="center"/>
          </w:tcPr>
          <w:p>
            <w:pPr>
              <w:spacing w:line="360" w:lineRule="auto"/>
              <w:rPr>
                <w:rFonts w:hint="eastAsia" w:ascii="宋体" w:hAnsi="宋体"/>
                <w:sz w:val="22"/>
                <w:szCs w:val="21"/>
              </w:rPr>
            </w:pPr>
            <w:r>
              <w:rPr>
                <w:rFonts w:hint="eastAsia" w:ascii="宋体" w:hAnsi="宋体"/>
                <w:sz w:val="22"/>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trPr>
        <w:tc>
          <w:tcPr>
            <w:tcW w:w="619" w:type="dxa"/>
            <w:vAlign w:val="center"/>
          </w:tcPr>
          <w:p>
            <w:pPr>
              <w:spacing w:line="360" w:lineRule="auto"/>
              <w:rPr>
                <w:rFonts w:hint="eastAsia" w:ascii="宋体" w:hAnsi="宋体"/>
                <w:sz w:val="22"/>
                <w:szCs w:val="21"/>
              </w:rPr>
            </w:pPr>
            <w:r>
              <w:rPr>
                <w:rFonts w:hint="eastAsia" w:ascii="宋体" w:hAnsi="宋体"/>
                <w:sz w:val="22"/>
                <w:szCs w:val="21"/>
              </w:rPr>
              <w:t>1</w:t>
            </w:r>
          </w:p>
        </w:tc>
        <w:tc>
          <w:tcPr>
            <w:tcW w:w="1275" w:type="dxa"/>
            <w:vAlign w:val="center"/>
          </w:tcPr>
          <w:p>
            <w:pPr>
              <w:spacing w:line="360" w:lineRule="auto"/>
              <w:rPr>
                <w:rFonts w:hint="eastAsia" w:ascii="宋体" w:hAnsi="宋体"/>
                <w:sz w:val="22"/>
                <w:szCs w:val="21"/>
              </w:rPr>
            </w:pPr>
            <w:r>
              <w:rPr>
                <w:rFonts w:hint="eastAsia" w:ascii="宋体" w:hAnsi="宋体"/>
                <w:sz w:val="22"/>
                <w:szCs w:val="21"/>
              </w:rPr>
              <w:t>报价</w:t>
            </w:r>
            <w:r>
              <w:rPr>
                <w:rFonts w:hint="eastAsia" w:ascii="宋体" w:hAnsi="宋体"/>
                <w:sz w:val="22"/>
                <w:szCs w:val="21"/>
                <w:lang w:val="en-US" w:eastAsia="zh-CN"/>
              </w:rPr>
              <w:t>30</w:t>
            </w:r>
            <w:r>
              <w:rPr>
                <w:rFonts w:hint="eastAsia" w:ascii="宋体" w:hAnsi="宋体"/>
                <w:sz w:val="22"/>
                <w:szCs w:val="21"/>
              </w:rPr>
              <w:t>%</w:t>
            </w:r>
          </w:p>
          <w:p>
            <w:pPr>
              <w:spacing w:line="360" w:lineRule="auto"/>
              <w:rPr>
                <w:rFonts w:hint="eastAsia" w:ascii="宋体" w:hAnsi="宋体"/>
                <w:sz w:val="22"/>
                <w:szCs w:val="21"/>
              </w:rPr>
            </w:pPr>
            <w:r>
              <w:rPr>
                <w:rFonts w:hint="eastAsia" w:ascii="宋体" w:hAnsi="宋体"/>
                <w:sz w:val="22"/>
                <w:szCs w:val="21"/>
              </w:rPr>
              <w:t>（共同评分因素）</w:t>
            </w:r>
          </w:p>
        </w:tc>
        <w:tc>
          <w:tcPr>
            <w:tcW w:w="650" w:type="dxa"/>
            <w:vAlign w:val="center"/>
          </w:tcPr>
          <w:p>
            <w:pPr>
              <w:spacing w:line="360" w:lineRule="auto"/>
              <w:rPr>
                <w:rFonts w:hint="eastAsia" w:ascii="宋体" w:hAnsi="宋体"/>
                <w:sz w:val="22"/>
                <w:szCs w:val="21"/>
              </w:rPr>
            </w:pPr>
            <w:r>
              <w:rPr>
                <w:rFonts w:hint="eastAsia" w:ascii="宋体" w:hAnsi="宋体"/>
                <w:sz w:val="22"/>
                <w:szCs w:val="21"/>
                <w:lang w:val="en-US" w:eastAsia="zh-CN"/>
              </w:rPr>
              <w:t>30</w:t>
            </w:r>
            <w:r>
              <w:rPr>
                <w:rFonts w:hint="eastAsia" w:ascii="宋体" w:hAnsi="宋体"/>
                <w:sz w:val="22"/>
                <w:szCs w:val="21"/>
              </w:rPr>
              <w:t>分</w:t>
            </w:r>
          </w:p>
        </w:tc>
        <w:tc>
          <w:tcPr>
            <w:tcW w:w="4188" w:type="dxa"/>
            <w:vAlign w:val="center"/>
          </w:tcPr>
          <w:p>
            <w:pPr>
              <w:spacing w:line="360" w:lineRule="auto"/>
              <w:rPr>
                <w:rFonts w:hint="default" w:ascii="宋体" w:hAnsi="宋体" w:eastAsia="宋体"/>
                <w:sz w:val="22"/>
                <w:szCs w:val="21"/>
                <w:lang w:val="en-US" w:eastAsia="zh-CN"/>
              </w:rPr>
            </w:pPr>
            <w:r>
              <w:rPr>
                <w:rFonts w:hint="eastAsia" w:ascii="宋体" w:hAnsi="宋体"/>
                <w:sz w:val="22"/>
                <w:szCs w:val="21"/>
              </w:rPr>
              <w:t>以本次有效的最低磋商报价为基准价，磋商报价得分=(磋商基准价／最后磋商报价)*</w:t>
            </w:r>
            <w:r>
              <w:rPr>
                <w:rFonts w:hint="eastAsia" w:ascii="宋体" w:hAnsi="宋体"/>
                <w:sz w:val="22"/>
                <w:szCs w:val="21"/>
                <w:lang w:val="en-US" w:eastAsia="zh-CN"/>
              </w:rPr>
              <w:t>30</w:t>
            </w:r>
          </w:p>
        </w:tc>
        <w:tc>
          <w:tcPr>
            <w:tcW w:w="1925" w:type="dxa"/>
            <w:vAlign w:val="center"/>
          </w:tcPr>
          <w:p>
            <w:pPr>
              <w:spacing w:line="360" w:lineRule="auto"/>
              <w:rPr>
                <w:rFonts w:hint="eastAsia" w:ascii="宋体" w:hAnsi="宋体"/>
                <w:sz w:val="22"/>
                <w:szCs w:val="21"/>
              </w:rPr>
            </w:pPr>
            <w:r>
              <w:rPr>
                <w:rFonts w:hint="eastAsia" w:ascii="宋体" w:hAnsi="宋体"/>
                <w:kern w:val="0"/>
                <w:sz w:val="22"/>
                <w:szCs w:val="21"/>
              </w:rPr>
              <w:t>小微企业（监狱企业、残疾人福利性单位视同小微企业）价格扣除按照磋商文件须知附表规定执行。</w:t>
            </w:r>
          </w:p>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619" w:type="dxa"/>
            <w:vAlign w:val="center"/>
          </w:tcPr>
          <w:p>
            <w:pPr>
              <w:spacing w:line="360" w:lineRule="auto"/>
              <w:rPr>
                <w:rFonts w:hint="eastAsia" w:ascii="宋体" w:hAnsi="宋体"/>
                <w:sz w:val="22"/>
                <w:szCs w:val="21"/>
              </w:rPr>
            </w:pPr>
            <w:r>
              <w:rPr>
                <w:rFonts w:hint="eastAsia" w:ascii="宋体" w:hAnsi="宋体"/>
                <w:sz w:val="22"/>
                <w:szCs w:val="21"/>
              </w:rPr>
              <w:t>2</w:t>
            </w:r>
          </w:p>
        </w:tc>
        <w:tc>
          <w:tcPr>
            <w:tcW w:w="1275" w:type="dxa"/>
            <w:vAlign w:val="center"/>
          </w:tcPr>
          <w:p>
            <w:pPr>
              <w:spacing w:line="360" w:lineRule="auto"/>
              <w:rPr>
                <w:rFonts w:hint="eastAsia" w:ascii="宋体" w:hAnsi="宋体"/>
                <w:sz w:val="22"/>
                <w:szCs w:val="21"/>
                <w:lang w:eastAsia="zh-CN"/>
              </w:rPr>
            </w:pPr>
            <w:r>
              <w:rPr>
                <w:rFonts w:hint="eastAsia" w:ascii="宋体" w:hAnsi="宋体"/>
                <w:sz w:val="22"/>
                <w:szCs w:val="21"/>
              </w:rPr>
              <w:t>技术参数及要求</w:t>
            </w:r>
            <w:r>
              <w:rPr>
                <w:rFonts w:hint="eastAsia" w:ascii="宋体" w:hAnsi="宋体"/>
                <w:sz w:val="22"/>
                <w:szCs w:val="21"/>
                <w:lang w:val="en-US" w:eastAsia="zh-CN"/>
              </w:rPr>
              <w:t>15.5%</w:t>
            </w:r>
            <w:r>
              <w:rPr>
                <w:rFonts w:hint="eastAsia" w:ascii="宋体" w:hAnsi="宋体"/>
                <w:sz w:val="22"/>
                <w:szCs w:val="21"/>
                <w:lang w:eastAsia="zh-CN"/>
              </w:rPr>
              <w:t>（</w:t>
            </w:r>
            <w:r>
              <w:rPr>
                <w:rFonts w:hint="eastAsia" w:ascii="宋体" w:hAnsi="宋体"/>
                <w:sz w:val="22"/>
                <w:szCs w:val="21"/>
              </w:rPr>
              <w:t>技术类评分因素</w:t>
            </w:r>
            <w:r>
              <w:rPr>
                <w:rFonts w:hint="eastAsia" w:ascii="宋体" w:hAnsi="宋体"/>
                <w:sz w:val="22"/>
                <w:szCs w:val="21"/>
                <w:lang w:eastAsia="zh-CN"/>
              </w:rPr>
              <w:t>含采购人代表</w:t>
            </w:r>
          </w:p>
          <w:p>
            <w:pPr>
              <w:spacing w:line="360" w:lineRule="auto"/>
              <w:rPr>
                <w:rFonts w:hint="eastAsia" w:ascii="宋体" w:hAnsi="宋体"/>
                <w:sz w:val="22"/>
                <w:szCs w:val="21"/>
              </w:rPr>
            </w:pPr>
            <w:r>
              <w:rPr>
                <w:rFonts w:hint="eastAsia" w:ascii="宋体" w:hAnsi="宋体"/>
                <w:sz w:val="22"/>
                <w:szCs w:val="21"/>
                <w:lang w:eastAsia="zh-CN"/>
              </w:rPr>
              <w:t>）</w:t>
            </w:r>
          </w:p>
        </w:tc>
        <w:tc>
          <w:tcPr>
            <w:tcW w:w="650" w:type="dxa"/>
            <w:vAlign w:val="center"/>
          </w:tcPr>
          <w:p>
            <w:pPr>
              <w:spacing w:line="360" w:lineRule="auto"/>
              <w:rPr>
                <w:rFonts w:hint="eastAsia" w:ascii="宋体" w:hAnsi="宋体"/>
                <w:sz w:val="22"/>
                <w:szCs w:val="21"/>
              </w:rPr>
            </w:pPr>
            <w:r>
              <w:rPr>
                <w:rFonts w:hint="eastAsia" w:ascii="宋体" w:hAnsi="宋体"/>
                <w:sz w:val="21"/>
                <w:szCs w:val="20"/>
                <w:lang w:val="en-US" w:eastAsia="zh-CN"/>
              </w:rPr>
              <w:t>15.5</w:t>
            </w:r>
            <w:r>
              <w:rPr>
                <w:rFonts w:hint="eastAsia" w:ascii="宋体" w:hAnsi="宋体"/>
                <w:sz w:val="21"/>
                <w:szCs w:val="20"/>
              </w:rPr>
              <w:t>分</w:t>
            </w:r>
          </w:p>
        </w:tc>
        <w:tc>
          <w:tcPr>
            <w:tcW w:w="4188" w:type="dxa"/>
            <w:vAlign w:val="center"/>
          </w:tcPr>
          <w:p>
            <w:pPr>
              <w:contextualSpacing/>
              <w:rPr>
                <w:rFonts w:ascii="仿宋" w:hAnsi="仿宋" w:eastAsia="仿宋"/>
                <w:szCs w:val="21"/>
              </w:rPr>
            </w:pPr>
            <w:r>
              <w:rPr>
                <w:rFonts w:hint="eastAsia" w:ascii="仿宋" w:hAnsi="仿宋" w:eastAsia="仿宋"/>
                <w:szCs w:val="21"/>
              </w:rPr>
              <w:t>满足采购文件第六章“技术参数及要求”中技术参数及要求的得</w:t>
            </w:r>
            <w:r>
              <w:rPr>
                <w:rFonts w:ascii="仿宋" w:hAnsi="仿宋" w:eastAsia="仿宋"/>
                <w:szCs w:val="21"/>
              </w:rPr>
              <w:t>15.5</w:t>
            </w:r>
            <w:r>
              <w:rPr>
                <w:rFonts w:hint="eastAsia" w:ascii="仿宋" w:hAnsi="仿宋" w:eastAsia="仿宋"/>
                <w:szCs w:val="21"/>
              </w:rPr>
              <w:t>分，技术参数及要求低于采购文件“技术参数及要求”的（负偏离）按照以下原则扣分：“技术参数及要求”条款数量共</w:t>
            </w:r>
            <w:r>
              <w:rPr>
                <w:rFonts w:ascii="仿宋" w:hAnsi="仿宋" w:eastAsia="仿宋"/>
                <w:szCs w:val="21"/>
              </w:rPr>
              <w:t>31</w:t>
            </w:r>
            <w:r>
              <w:rPr>
                <w:rFonts w:hint="eastAsia" w:ascii="仿宋" w:hAnsi="仿宋" w:eastAsia="仿宋"/>
                <w:szCs w:val="21"/>
              </w:rPr>
              <w:t>条，负偏离一项扣0</w:t>
            </w:r>
            <w:r>
              <w:rPr>
                <w:rFonts w:ascii="仿宋" w:hAnsi="仿宋" w:eastAsia="仿宋"/>
                <w:szCs w:val="21"/>
              </w:rPr>
              <w:t>.</w:t>
            </w:r>
            <w:r>
              <w:rPr>
                <w:rFonts w:hint="eastAsia" w:ascii="仿宋" w:hAnsi="仿宋" w:eastAsia="仿宋"/>
                <w:szCs w:val="21"/>
              </w:rPr>
              <w:t>5分；扣完为止。</w:t>
            </w:r>
            <w:r>
              <w:rPr>
                <w:rFonts w:ascii="仿宋" w:hAnsi="仿宋" w:eastAsia="仿宋"/>
                <w:szCs w:val="21"/>
              </w:rPr>
              <w:br w:type="textWrapping"/>
            </w:r>
            <w:r>
              <w:rPr>
                <w:rFonts w:hint="eastAsia" w:ascii="仿宋" w:hAnsi="仿宋" w:eastAsia="仿宋"/>
                <w:szCs w:val="21"/>
              </w:rPr>
              <w:t>说明：1</w:t>
            </w:r>
            <w:r>
              <w:rPr>
                <w:rFonts w:ascii="仿宋" w:hAnsi="仿宋" w:eastAsia="仿宋"/>
                <w:szCs w:val="21"/>
              </w:rPr>
              <w:t>.</w:t>
            </w:r>
            <w:r>
              <w:rPr>
                <w:rFonts w:hint="eastAsia" w:ascii="仿宋" w:hAnsi="仿宋" w:eastAsia="仿宋"/>
                <w:szCs w:val="21"/>
              </w:rPr>
              <w:t>采购文件第六章“技术参数及要求”中有明确规定，则按照规定提供技术参数及要求的佐证材料，否则不予认定。</w:t>
            </w:r>
          </w:p>
          <w:p>
            <w:pPr>
              <w:spacing w:line="360" w:lineRule="auto"/>
              <w:rPr>
                <w:rFonts w:hint="eastAsia" w:ascii="宋体" w:hAnsi="宋体"/>
                <w:sz w:val="22"/>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标记“★”为本项目实质性要求，在符合性审查时审查，不参与本项评审。</w:t>
            </w:r>
          </w:p>
        </w:tc>
        <w:tc>
          <w:tcPr>
            <w:tcW w:w="1925"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619" w:type="dxa"/>
            <w:vAlign w:val="center"/>
          </w:tcPr>
          <w:p>
            <w:pPr>
              <w:spacing w:line="360" w:lineRule="auto"/>
              <w:rPr>
                <w:rFonts w:hint="eastAsia" w:ascii="宋体" w:hAnsi="宋体"/>
                <w:sz w:val="22"/>
                <w:szCs w:val="21"/>
              </w:rPr>
            </w:pPr>
            <w:r>
              <w:rPr>
                <w:rFonts w:hint="eastAsia" w:ascii="宋体" w:hAnsi="宋体"/>
                <w:sz w:val="22"/>
                <w:szCs w:val="21"/>
              </w:rPr>
              <w:t>3</w:t>
            </w:r>
          </w:p>
        </w:tc>
        <w:tc>
          <w:tcPr>
            <w:tcW w:w="1275" w:type="dxa"/>
            <w:vAlign w:val="center"/>
          </w:tcPr>
          <w:p>
            <w:pPr>
              <w:spacing w:line="360" w:lineRule="auto"/>
              <w:rPr>
                <w:rFonts w:hint="eastAsia" w:ascii="宋体" w:hAnsi="宋体"/>
                <w:sz w:val="22"/>
                <w:szCs w:val="21"/>
              </w:rPr>
            </w:pPr>
            <w:r>
              <w:rPr>
                <w:rFonts w:hint="eastAsia" w:ascii="仿宋" w:hAnsi="仿宋" w:eastAsia="仿宋"/>
                <w:szCs w:val="21"/>
              </w:rPr>
              <w:t>产品综合实力</w:t>
            </w:r>
            <w:r>
              <w:rPr>
                <w:rFonts w:hint="eastAsia" w:ascii="仿宋" w:hAnsi="仿宋" w:eastAsia="仿宋"/>
                <w:szCs w:val="21"/>
                <w:lang w:val="en-US" w:eastAsia="zh-CN"/>
              </w:rPr>
              <w:t>12%</w:t>
            </w:r>
            <w:r>
              <w:rPr>
                <w:rFonts w:hint="eastAsia" w:ascii="仿宋" w:hAnsi="仿宋" w:eastAsia="仿宋"/>
                <w:szCs w:val="21"/>
                <w:lang w:eastAsia="zh-CN"/>
              </w:rPr>
              <w:t>（</w:t>
            </w:r>
            <w:r>
              <w:rPr>
                <w:rFonts w:hint="eastAsia" w:ascii="仿宋" w:hAnsi="仿宋" w:eastAsia="仿宋"/>
                <w:szCs w:val="21"/>
              </w:rPr>
              <w:t>共同评分因素</w:t>
            </w:r>
            <w:r>
              <w:rPr>
                <w:rFonts w:hint="eastAsia" w:ascii="仿宋" w:hAnsi="仿宋" w:eastAsia="仿宋"/>
                <w:szCs w:val="21"/>
                <w:lang w:eastAsia="zh-CN"/>
              </w:rPr>
              <w:t>）</w:t>
            </w:r>
          </w:p>
        </w:tc>
        <w:tc>
          <w:tcPr>
            <w:tcW w:w="650" w:type="dxa"/>
            <w:vAlign w:val="center"/>
          </w:tcPr>
          <w:p>
            <w:pPr>
              <w:spacing w:line="360" w:lineRule="auto"/>
              <w:rPr>
                <w:rFonts w:hint="eastAsia" w:ascii="宋体" w:hAnsi="宋体"/>
                <w:sz w:val="22"/>
                <w:szCs w:val="21"/>
              </w:rPr>
            </w:pPr>
            <w:r>
              <w:rPr>
                <w:rFonts w:hint="eastAsia" w:ascii="宋体" w:hAnsi="宋体"/>
                <w:sz w:val="22"/>
                <w:szCs w:val="21"/>
                <w:lang w:val="en-US" w:eastAsia="zh-CN"/>
              </w:rPr>
              <w:t>12</w:t>
            </w:r>
            <w:r>
              <w:rPr>
                <w:rFonts w:hint="eastAsia" w:ascii="宋体" w:hAnsi="宋体"/>
                <w:sz w:val="22"/>
                <w:szCs w:val="21"/>
              </w:rPr>
              <w:t>分</w:t>
            </w:r>
          </w:p>
        </w:tc>
        <w:tc>
          <w:tcPr>
            <w:tcW w:w="4188" w:type="dxa"/>
            <w:vAlign w:val="center"/>
          </w:tcPr>
          <w:p>
            <w:pPr>
              <w:pStyle w:val="286"/>
              <w:ind w:firstLine="0" w:firstLineChars="0"/>
              <w:contextualSpacing/>
              <w:jc w:val="left"/>
              <w:rPr>
                <w:rFonts w:ascii="仿宋" w:hAnsi="仿宋" w:eastAsia="仿宋"/>
                <w:szCs w:val="21"/>
              </w:rPr>
            </w:pPr>
            <w:r>
              <w:rPr>
                <w:rFonts w:hint="eastAsia" w:ascii="仿宋" w:hAnsi="仿宋" w:eastAsia="仿宋"/>
                <w:szCs w:val="21"/>
              </w:rPr>
              <w:t>1、供应商</w:t>
            </w:r>
            <w:r>
              <w:rPr>
                <w:rFonts w:hint="eastAsia" w:ascii="仿宋" w:hAnsi="仿宋" w:eastAsia="仿宋"/>
                <w:szCs w:val="21"/>
                <w:lang w:eastAsia="zh-CN"/>
              </w:rPr>
              <w:t>提供的</w:t>
            </w:r>
            <w:r>
              <w:rPr>
                <w:rFonts w:hint="eastAsia" w:ascii="仿宋" w:hAnsi="仿宋" w:eastAsia="仿宋"/>
                <w:szCs w:val="21"/>
              </w:rPr>
              <w:t>LED教室灯和LED黑板灯的光通维持率能达到：①在0小时(不含)—8000（含）小时期间，光通维持率≥90%的，得1分；②在8000小时的基础上，每增加1000小时的，且光通量维持率≥90%的，加0.5分。此项最多得3分。</w:t>
            </w:r>
          </w:p>
          <w:p>
            <w:pPr>
              <w:pStyle w:val="286"/>
              <w:ind w:firstLine="0" w:firstLineChars="0"/>
              <w:contextualSpacing/>
              <w:jc w:val="left"/>
              <w:rPr>
                <w:rFonts w:ascii="仿宋" w:hAnsi="仿宋" w:eastAsia="仿宋"/>
                <w:szCs w:val="21"/>
              </w:rPr>
            </w:pPr>
            <w:r>
              <w:rPr>
                <w:rFonts w:hint="eastAsia" w:ascii="仿宋" w:hAnsi="仿宋" w:eastAsia="仿宋"/>
                <w:szCs w:val="21"/>
              </w:rPr>
              <w:t>说明：①提供国家认可的第三方检测机构出具封面带有CMA标志的完整检测报告复印件，并加盖</w:t>
            </w:r>
            <w:r>
              <w:rPr>
                <w:rFonts w:hint="eastAsia" w:ascii="仿宋" w:hAnsi="仿宋" w:eastAsia="仿宋"/>
                <w:szCs w:val="21"/>
                <w:lang w:eastAsia="zh-CN"/>
              </w:rPr>
              <w:t>供应商公章</w:t>
            </w:r>
            <w:r>
              <w:rPr>
                <w:rFonts w:hint="eastAsia" w:ascii="仿宋" w:hAnsi="仿宋" w:eastAsia="仿宋"/>
                <w:szCs w:val="21"/>
              </w:rPr>
              <w:t>；②不足1000个小时的，按1000个小时计算，如：1300小时，视为2000小时，进行计算。</w:t>
            </w:r>
          </w:p>
          <w:p>
            <w:pPr>
              <w:contextualSpacing/>
              <w:rPr>
                <w:rFonts w:ascii="仿宋" w:hAnsi="仿宋" w:eastAsia="仿宋"/>
                <w:szCs w:val="21"/>
              </w:rPr>
            </w:pPr>
            <w:r>
              <w:rPr>
                <w:rFonts w:hint="eastAsia" w:ascii="仿宋" w:hAnsi="仿宋" w:eastAsia="仿宋"/>
                <w:szCs w:val="21"/>
              </w:rPr>
              <w:t>2、供应商</w:t>
            </w:r>
            <w:r>
              <w:rPr>
                <w:rFonts w:hint="eastAsia" w:ascii="仿宋" w:hAnsi="仿宋" w:eastAsia="仿宋"/>
                <w:szCs w:val="21"/>
                <w:lang w:eastAsia="zh-CN"/>
              </w:rPr>
              <w:t>提供的</w:t>
            </w:r>
            <w:r>
              <w:rPr>
                <w:rFonts w:hint="eastAsia" w:ascii="仿宋" w:hAnsi="仿宋" w:eastAsia="仿宋"/>
                <w:szCs w:val="21"/>
              </w:rPr>
              <w:t>LED教室灯和LED黑板灯的显色指数能达到：①在0小时(不含)—10000（含）小时期间，Ra≥90的，得1分；②在10000小时的基础上，每增加1000小时的，且显色指数Ra≥90的，加0.5分。此项最多得3分。</w:t>
            </w:r>
          </w:p>
          <w:p>
            <w:pPr>
              <w:contextualSpacing/>
              <w:rPr>
                <w:rFonts w:ascii="仿宋" w:hAnsi="仿宋" w:eastAsia="仿宋"/>
                <w:szCs w:val="21"/>
              </w:rPr>
            </w:pPr>
            <w:r>
              <w:rPr>
                <w:rFonts w:hint="eastAsia" w:ascii="仿宋" w:hAnsi="仿宋" w:eastAsia="仿宋"/>
                <w:szCs w:val="21"/>
              </w:rPr>
              <w:t>说明：①提供国家认可的第三方检测机构出具封面带有CMA及CNAS标志的完整检测报告复印件，并加盖</w:t>
            </w:r>
            <w:r>
              <w:rPr>
                <w:rFonts w:hint="eastAsia" w:ascii="仿宋" w:hAnsi="仿宋" w:eastAsia="仿宋"/>
                <w:szCs w:val="21"/>
                <w:lang w:eastAsia="zh-CN"/>
              </w:rPr>
              <w:t>供应商公章</w:t>
            </w:r>
            <w:r>
              <w:rPr>
                <w:rFonts w:hint="eastAsia" w:ascii="仿宋" w:hAnsi="仿宋" w:eastAsia="仿宋"/>
                <w:szCs w:val="21"/>
              </w:rPr>
              <w:t>；②不足1000个小时的，按1000个小时计算，如：1300小时，视为2000小时，进行计算。</w:t>
            </w:r>
          </w:p>
          <w:p>
            <w:pPr>
              <w:contextualSpacing/>
              <w:rPr>
                <w:rFonts w:ascii="仿宋" w:hAnsi="仿宋" w:eastAsia="仿宋" w:cstheme="minorBidi"/>
                <w:szCs w:val="21"/>
              </w:rPr>
            </w:pPr>
            <w:r>
              <w:rPr>
                <w:rFonts w:hint="eastAsia" w:ascii="仿宋" w:hAnsi="仿宋" w:eastAsia="仿宋"/>
                <w:szCs w:val="21"/>
              </w:rPr>
              <w:t>3.</w:t>
            </w:r>
            <w:r>
              <w:rPr>
                <w:rFonts w:hint="eastAsia" w:ascii="仿宋" w:hAnsi="仿宋" w:eastAsia="仿宋" w:cstheme="minorBidi"/>
                <w:szCs w:val="21"/>
                <w:lang w:eastAsia="zh-CN"/>
              </w:rPr>
              <w:t>供应商提供的</w:t>
            </w:r>
            <w:r>
              <w:rPr>
                <w:rFonts w:hint="eastAsia" w:ascii="仿宋" w:hAnsi="仿宋" w:eastAsia="仿宋" w:cstheme="minorBidi"/>
                <w:szCs w:val="21"/>
              </w:rPr>
              <w:t>LED教室灯在0h及1000h试验后，相关色温两者差值≤20K；一般显色指数两者差值≤1；特殊显色指数R9两者差值≤2。【1000h验证试验条件：持续时间1000h】。提供</w:t>
            </w:r>
            <w:r>
              <w:rPr>
                <w:rFonts w:hint="eastAsia" w:ascii="仿宋" w:hAnsi="仿宋" w:eastAsia="仿宋" w:cstheme="minorBidi"/>
                <w:szCs w:val="21"/>
                <w:lang w:eastAsia="zh-CN"/>
              </w:rPr>
              <w:t>国家认可的</w:t>
            </w:r>
            <w:r>
              <w:rPr>
                <w:rFonts w:hint="eastAsia" w:ascii="仿宋" w:hAnsi="仿宋" w:eastAsia="仿宋" w:cstheme="minorBidi"/>
                <w:szCs w:val="21"/>
              </w:rPr>
              <w:t>检测机构出具的检测报告复印件（该检测报告有CMA标志）的得3分，未提供不得分。</w:t>
            </w:r>
          </w:p>
          <w:p>
            <w:pPr>
              <w:spacing w:line="360" w:lineRule="auto"/>
              <w:rPr>
                <w:rFonts w:hint="eastAsia" w:ascii="宋体" w:hAnsi="宋体"/>
                <w:sz w:val="22"/>
                <w:szCs w:val="21"/>
              </w:rPr>
            </w:pPr>
            <w:r>
              <w:rPr>
                <w:rFonts w:hint="eastAsia" w:ascii="仿宋" w:hAnsi="仿宋" w:eastAsia="仿宋" w:cstheme="minorBidi"/>
                <w:szCs w:val="21"/>
              </w:rPr>
              <w:t>4.</w:t>
            </w:r>
            <w:r>
              <w:rPr>
                <w:rFonts w:hint="eastAsia" w:ascii="仿宋" w:hAnsi="仿宋" w:eastAsia="仿宋" w:cstheme="minorBidi"/>
                <w:szCs w:val="21"/>
                <w:lang w:eastAsia="zh-CN"/>
              </w:rPr>
              <w:t>供应商提供的</w:t>
            </w:r>
            <w:r>
              <w:rPr>
                <w:rFonts w:hint="eastAsia" w:ascii="仿宋" w:hAnsi="仿宋" w:eastAsia="仿宋" w:cstheme="minorBidi"/>
                <w:szCs w:val="21"/>
              </w:rPr>
              <w:t>LED教室灯在0h及1000h试验后，功率因数两者差值≤0.002；发光效能两者差值≤1LM/W【1000h验证试验条件：持续时间1000h】。提供</w:t>
            </w:r>
            <w:r>
              <w:rPr>
                <w:rFonts w:hint="eastAsia" w:ascii="仿宋" w:hAnsi="仿宋" w:eastAsia="仿宋" w:cstheme="minorBidi"/>
                <w:szCs w:val="21"/>
                <w:lang w:eastAsia="zh-CN"/>
              </w:rPr>
              <w:t>国家认可的</w:t>
            </w:r>
            <w:r>
              <w:rPr>
                <w:rFonts w:hint="eastAsia" w:ascii="仿宋" w:hAnsi="仿宋" w:eastAsia="仿宋" w:cstheme="minorBidi"/>
                <w:szCs w:val="21"/>
              </w:rPr>
              <w:t>检测机构出具的检测报告复印件（该检测报告有CMA标志）的得3分，否则不得分。</w:t>
            </w:r>
          </w:p>
        </w:tc>
        <w:tc>
          <w:tcPr>
            <w:tcW w:w="1925"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619" w:type="dxa"/>
            <w:vAlign w:val="center"/>
          </w:tcPr>
          <w:p>
            <w:pPr>
              <w:spacing w:line="360" w:lineRule="auto"/>
              <w:rPr>
                <w:rFonts w:hint="eastAsia" w:ascii="宋体" w:hAnsi="宋体"/>
                <w:sz w:val="22"/>
                <w:szCs w:val="21"/>
              </w:rPr>
            </w:pPr>
            <w:r>
              <w:rPr>
                <w:rFonts w:hint="eastAsia" w:ascii="宋体" w:hAnsi="宋体"/>
                <w:sz w:val="22"/>
                <w:szCs w:val="21"/>
              </w:rPr>
              <w:t>4</w:t>
            </w:r>
          </w:p>
        </w:tc>
        <w:tc>
          <w:tcPr>
            <w:tcW w:w="1275" w:type="dxa"/>
            <w:vAlign w:val="center"/>
          </w:tcPr>
          <w:p>
            <w:pPr>
              <w:spacing w:line="360" w:lineRule="auto"/>
              <w:rPr>
                <w:rFonts w:hint="eastAsia" w:ascii="宋体" w:hAnsi="宋体"/>
                <w:sz w:val="22"/>
                <w:szCs w:val="21"/>
              </w:rPr>
            </w:pPr>
            <w:r>
              <w:rPr>
                <w:rFonts w:hint="eastAsia" w:ascii="仿宋" w:hAnsi="仿宋" w:eastAsia="仿宋"/>
                <w:szCs w:val="21"/>
                <w:lang w:eastAsia="zh-CN"/>
              </w:rPr>
              <w:t>供应商</w:t>
            </w:r>
            <w:r>
              <w:rPr>
                <w:rFonts w:hint="eastAsia" w:ascii="仿宋" w:hAnsi="仿宋" w:eastAsia="仿宋"/>
                <w:szCs w:val="21"/>
              </w:rPr>
              <w:t>资信能力</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共同评分因素</w:t>
            </w:r>
            <w:r>
              <w:rPr>
                <w:rFonts w:hint="eastAsia" w:ascii="仿宋" w:hAnsi="仿宋" w:eastAsia="仿宋"/>
                <w:szCs w:val="21"/>
                <w:lang w:eastAsia="zh-CN"/>
              </w:rPr>
              <w:t>）</w:t>
            </w:r>
          </w:p>
        </w:tc>
        <w:tc>
          <w:tcPr>
            <w:tcW w:w="650" w:type="dxa"/>
            <w:vAlign w:val="center"/>
          </w:tcPr>
          <w:p>
            <w:pPr>
              <w:spacing w:line="360" w:lineRule="auto"/>
              <w:rPr>
                <w:rFonts w:hint="eastAsia" w:ascii="宋体" w:hAnsi="宋体"/>
                <w:sz w:val="22"/>
                <w:szCs w:val="21"/>
              </w:rPr>
            </w:pPr>
            <w:r>
              <w:rPr>
                <w:rFonts w:hint="eastAsia" w:ascii="宋体" w:hAnsi="宋体"/>
                <w:sz w:val="22"/>
                <w:szCs w:val="21"/>
                <w:lang w:val="en-US" w:eastAsia="zh-CN"/>
              </w:rPr>
              <w:t>4</w:t>
            </w:r>
            <w:r>
              <w:rPr>
                <w:rFonts w:hint="eastAsia" w:ascii="宋体" w:hAnsi="宋体"/>
                <w:sz w:val="22"/>
                <w:szCs w:val="21"/>
              </w:rPr>
              <w:t>分</w:t>
            </w:r>
          </w:p>
        </w:tc>
        <w:tc>
          <w:tcPr>
            <w:tcW w:w="4188" w:type="dxa"/>
            <w:vAlign w:val="center"/>
          </w:tcPr>
          <w:p>
            <w:pPr>
              <w:spacing w:line="360" w:lineRule="auto"/>
              <w:rPr>
                <w:rFonts w:hint="eastAsia" w:ascii="宋体" w:hAnsi="宋体"/>
                <w:sz w:val="22"/>
                <w:szCs w:val="21"/>
              </w:rPr>
            </w:pPr>
            <w:r>
              <w:rPr>
                <w:rFonts w:hint="eastAsia" w:ascii="仿宋" w:hAnsi="仿宋" w:eastAsia="仿宋"/>
                <w:szCs w:val="21"/>
                <w:lang w:eastAsia="zh-CN"/>
              </w:rPr>
              <w:t>供应商或产品生产厂家具有有效期内的①质量管理体系认证得 2分；②环境管理体系认证得 1分；③职业健康安全管理体系认证得1分；以上认证范围至少包含LED灯具（或灯带、灯珠）。</w:t>
            </w:r>
            <w:r>
              <w:rPr>
                <w:rFonts w:ascii="仿宋" w:hAnsi="仿宋" w:eastAsia="仿宋"/>
                <w:szCs w:val="21"/>
              </w:rPr>
              <w:br w:type="textWrapping"/>
            </w:r>
            <w:r>
              <w:rPr>
                <w:rFonts w:hint="eastAsia" w:ascii="仿宋" w:hAnsi="仿宋" w:eastAsia="仿宋"/>
                <w:szCs w:val="21"/>
              </w:rPr>
              <w:t>说明：提供证书复印件并加盖</w:t>
            </w:r>
            <w:r>
              <w:rPr>
                <w:rFonts w:hint="eastAsia" w:ascii="仿宋" w:hAnsi="仿宋" w:eastAsia="仿宋"/>
                <w:szCs w:val="21"/>
                <w:lang w:eastAsia="zh-CN"/>
              </w:rPr>
              <w:t>供应商公章</w:t>
            </w:r>
            <w:r>
              <w:rPr>
                <w:rFonts w:hint="eastAsia" w:ascii="仿宋" w:hAnsi="仿宋" w:eastAsia="仿宋"/>
                <w:szCs w:val="21"/>
              </w:rPr>
              <w:t>。</w:t>
            </w:r>
          </w:p>
        </w:tc>
        <w:tc>
          <w:tcPr>
            <w:tcW w:w="1925"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0" w:hRule="atLeast"/>
        </w:trPr>
        <w:tc>
          <w:tcPr>
            <w:tcW w:w="619" w:type="dxa"/>
            <w:vAlign w:val="center"/>
          </w:tcPr>
          <w:p>
            <w:pPr>
              <w:spacing w:line="360" w:lineRule="auto"/>
              <w:rPr>
                <w:rFonts w:hint="eastAsia" w:ascii="宋体" w:hAnsi="宋体" w:eastAsia="宋体" w:cs="Times New Roman"/>
                <w:sz w:val="22"/>
                <w:szCs w:val="21"/>
              </w:rPr>
            </w:pPr>
            <w:r>
              <w:rPr>
                <w:rFonts w:hint="eastAsia" w:ascii="宋体" w:hAnsi="宋体" w:eastAsia="宋体" w:cs="Times New Roman"/>
                <w:sz w:val="22"/>
                <w:szCs w:val="21"/>
              </w:rPr>
              <w:t>5</w:t>
            </w:r>
          </w:p>
        </w:tc>
        <w:tc>
          <w:tcPr>
            <w:tcW w:w="1275" w:type="dxa"/>
            <w:vAlign w:val="center"/>
          </w:tcPr>
          <w:p>
            <w:pPr>
              <w:spacing w:line="360" w:lineRule="auto"/>
              <w:rPr>
                <w:rFonts w:hint="eastAsia" w:ascii="宋体" w:hAnsi="宋体"/>
                <w:sz w:val="22"/>
                <w:szCs w:val="21"/>
                <w:lang w:eastAsia="zh-CN"/>
              </w:rPr>
            </w:pPr>
            <w:r>
              <w:rPr>
                <w:rFonts w:hint="eastAsia" w:ascii="宋体" w:hAnsi="宋体" w:eastAsia="宋体" w:cs="Times New Roman"/>
                <w:sz w:val="22"/>
                <w:szCs w:val="21"/>
              </w:rPr>
              <w:t>样品</w:t>
            </w:r>
            <w:r>
              <w:rPr>
                <w:rFonts w:hint="eastAsia" w:ascii="宋体" w:hAnsi="宋体" w:eastAsia="宋体" w:cs="Times New Roman"/>
                <w:sz w:val="22"/>
                <w:szCs w:val="21"/>
                <w:lang w:val="en-US" w:eastAsia="zh-CN"/>
              </w:rPr>
              <w:t>4%</w:t>
            </w:r>
            <w:r>
              <w:rPr>
                <w:rFonts w:hint="eastAsia" w:ascii="宋体" w:hAnsi="宋体" w:eastAsia="宋体" w:cs="Times New Roman"/>
                <w:sz w:val="22"/>
                <w:szCs w:val="21"/>
                <w:lang w:eastAsia="zh-CN"/>
              </w:rPr>
              <w:t>（</w:t>
            </w:r>
            <w:r>
              <w:rPr>
                <w:rFonts w:hint="eastAsia" w:ascii="宋体" w:hAnsi="宋体"/>
                <w:sz w:val="22"/>
                <w:szCs w:val="21"/>
              </w:rPr>
              <w:t>技术类评分因素</w:t>
            </w:r>
            <w:r>
              <w:rPr>
                <w:rFonts w:hint="eastAsia" w:ascii="宋体" w:hAnsi="宋体"/>
                <w:sz w:val="22"/>
                <w:szCs w:val="21"/>
                <w:lang w:eastAsia="zh-CN"/>
              </w:rPr>
              <w:t>含采购人代表</w:t>
            </w:r>
          </w:p>
          <w:p>
            <w:pPr>
              <w:spacing w:line="360" w:lineRule="auto"/>
              <w:rPr>
                <w:rFonts w:hint="eastAsia" w:ascii="宋体" w:hAnsi="宋体" w:eastAsia="宋体" w:cs="Times New Roman"/>
                <w:sz w:val="22"/>
                <w:szCs w:val="21"/>
              </w:rPr>
            </w:pPr>
            <w:r>
              <w:rPr>
                <w:rFonts w:hint="eastAsia" w:ascii="宋体" w:hAnsi="宋体"/>
                <w:sz w:val="22"/>
                <w:szCs w:val="21"/>
                <w:lang w:eastAsia="zh-CN"/>
              </w:rPr>
              <w:t>）</w:t>
            </w:r>
          </w:p>
        </w:tc>
        <w:tc>
          <w:tcPr>
            <w:tcW w:w="650" w:type="dxa"/>
            <w:vAlign w:val="center"/>
          </w:tcPr>
          <w:p>
            <w:pPr>
              <w:spacing w:line="360" w:lineRule="auto"/>
              <w:rPr>
                <w:rFonts w:hint="eastAsia" w:ascii="宋体" w:hAnsi="宋体"/>
                <w:sz w:val="22"/>
                <w:szCs w:val="21"/>
              </w:rPr>
            </w:pPr>
            <w:r>
              <w:rPr>
                <w:rFonts w:hint="eastAsia" w:ascii="宋体" w:hAnsi="宋体"/>
                <w:sz w:val="22"/>
                <w:szCs w:val="21"/>
                <w:lang w:val="en-US" w:eastAsia="zh-CN"/>
              </w:rPr>
              <w:t>4</w:t>
            </w:r>
            <w:r>
              <w:rPr>
                <w:rFonts w:hint="eastAsia" w:ascii="宋体" w:hAnsi="宋体"/>
                <w:sz w:val="22"/>
                <w:szCs w:val="21"/>
              </w:rPr>
              <w:t>分</w:t>
            </w:r>
          </w:p>
        </w:tc>
        <w:tc>
          <w:tcPr>
            <w:tcW w:w="4188" w:type="dxa"/>
            <w:vAlign w:val="center"/>
          </w:tcPr>
          <w:p>
            <w:pPr>
              <w:pStyle w:val="286"/>
              <w:ind w:firstLine="0" w:firstLineChars="0"/>
              <w:contextualSpacing/>
              <w:rPr>
                <w:rFonts w:ascii="仿宋" w:hAnsi="仿宋" w:eastAsia="仿宋"/>
                <w:szCs w:val="21"/>
              </w:rPr>
            </w:pPr>
            <w:r>
              <w:rPr>
                <w:rFonts w:hint="eastAsia" w:ascii="仿宋" w:hAnsi="仿宋" w:eastAsia="仿宋"/>
                <w:szCs w:val="21"/>
              </w:rPr>
              <w:t>评审委员会根据供应商提供的LED样品灯具进行评审：①外形平整，表面无凹陷、毛刺；②整体稳固；③焊缝无透光现象；④喷涂后表面均匀、光洁，无流挂现象；样品满足以上4项中的每一项要求的得1分，最高4分。</w:t>
            </w:r>
          </w:p>
          <w:p>
            <w:pPr>
              <w:spacing w:line="360" w:lineRule="auto"/>
              <w:rPr>
                <w:rFonts w:hint="eastAsia" w:ascii="宋体" w:hAnsi="宋体"/>
                <w:sz w:val="22"/>
                <w:szCs w:val="21"/>
              </w:rPr>
            </w:pPr>
            <w:r>
              <w:rPr>
                <w:rFonts w:hint="eastAsia" w:ascii="仿宋" w:hAnsi="仿宋" w:eastAsia="仿宋"/>
                <w:szCs w:val="21"/>
              </w:rPr>
              <w:t>说明：没按</w:t>
            </w:r>
            <w:r>
              <w:rPr>
                <w:rFonts w:hint="eastAsia" w:ascii="仿宋" w:hAnsi="仿宋" w:eastAsia="仿宋"/>
                <w:szCs w:val="21"/>
                <w:lang w:eastAsia="zh-CN"/>
              </w:rPr>
              <w:t>须知</w:t>
            </w:r>
            <w:r>
              <w:rPr>
                <w:rFonts w:hint="eastAsia" w:ascii="仿宋" w:hAnsi="仿宋" w:eastAsia="仿宋"/>
                <w:szCs w:val="21"/>
              </w:rPr>
              <w:t>规定送样的（不送样、样品不符合</w:t>
            </w:r>
            <w:r>
              <w:rPr>
                <w:rFonts w:hint="eastAsia" w:ascii="仿宋" w:hAnsi="仿宋" w:eastAsia="仿宋"/>
                <w:szCs w:val="21"/>
                <w:lang w:eastAsia="zh-CN"/>
              </w:rPr>
              <w:t>采购</w:t>
            </w:r>
            <w:r>
              <w:rPr>
                <w:rFonts w:hint="eastAsia" w:ascii="仿宋" w:hAnsi="仿宋" w:eastAsia="仿宋"/>
                <w:szCs w:val="21"/>
              </w:rPr>
              <w:t>文件的技术参数及要求、样品出现错误的、未按样品封装和标注要求提供的）本项不得分。</w:t>
            </w:r>
          </w:p>
        </w:tc>
        <w:tc>
          <w:tcPr>
            <w:tcW w:w="1925" w:type="dxa"/>
            <w:vAlign w:val="center"/>
          </w:tcPr>
          <w:p>
            <w:pPr>
              <w:spacing w:line="360" w:lineRule="auto"/>
              <w:rPr>
                <w:rFonts w:hint="eastAsia" w:ascii="宋体" w:hAnsi="宋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rPr>
              <w:t>6</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lang w:eastAsia="zh-CN"/>
              </w:rPr>
            </w:pPr>
            <w:r>
              <w:rPr>
                <w:rFonts w:hint="eastAsia" w:ascii="宋体" w:hAnsi="宋体"/>
                <w:sz w:val="22"/>
                <w:szCs w:val="21"/>
              </w:rPr>
              <w:t>设计能力</w:t>
            </w:r>
            <w:r>
              <w:rPr>
                <w:rFonts w:hint="eastAsia" w:ascii="宋体" w:hAnsi="宋体"/>
                <w:sz w:val="22"/>
                <w:szCs w:val="21"/>
                <w:lang w:val="en-US" w:eastAsia="zh-CN"/>
              </w:rPr>
              <w:t>11%</w:t>
            </w:r>
            <w:r>
              <w:rPr>
                <w:rFonts w:hint="eastAsia" w:ascii="宋体" w:hAnsi="宋体"/>
                <w:sz w:val="22"/>
                <w:szCs w:val="21"/>
                <w:lang w:eastAsia="zh-CN"/>
              </w:rPr>
              <w:t>（</w:t>
            </w:r>
            <w:r>
              <w:rPr>
                <w:rFonts w:hint="eastAsia" w:ascii="宋体" w:hAnsi="宋体"/>
                <w:sz w:val="22"/>
                <w:szCs w:val="21"/>
              </w:rPr>
              <w:t>技术类评分因素</w:t>
            </w:r>
            <w:r>
              <w:rPr>
                <w:rFonts w:hint="eastAsia" w:ascii="宋体" w:hAnsi="宋体"/>
                <w:sz w:val="22"/>
                <w:szCs w:val="21"/>
                <w:lang w:eastAsia="zh-CN"/>
              </w:rPr>
              <w:t>含采购人代表</w:t>
            </w:r>
          </w:p>
          <w:p>
            <w:pPr>
              <w:spacing w:line="360" w:lineRule="auto"/>
              <w:rPr>
                <w:rFonts w:hint="eastAsia" w:ascii="宋体" w:hAnsi="宋体"/>
                <w:sz w:val="22"/>
                <w:szCs w:val="21"/>
              </w:rPr>
            </w:pPr>
            <w:r>
              <w:rPr>
                <w:rFonts w:hint="eastAsia" w:ascii="宋体" w:hAnsi="宋体"/>
                <w:sz w:val="22"/>
                <w:szCs w:val="21"/>
                <w:lang w:eastAsia="zh-CN"/>
              </w:rPr>
              <w:t>）</w:t>
            </w:r>
          </w:p>
        </w:tc>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 w:val="22"/>
                <w:szCs w:val="21"/>
                <w:lang w:val="en-US" w:eastAsia="zh-CN"/>
              </w:rPr>
            </w:pPr>
            <w:r>
              <w:rPr>
                <w:rFonts w:hint="eastAsia" w:ascii="宋体" w:hAnsi="宋体"/>
                <w:sz w:val="22"/>
                <w:szCs w:val="21"/>
                <w:lang w:val="en-US" w:eastAsia="zh-CN"/>
              </w:rPr>
              <w:t>11分</w:t>
            </w:r>
          </w:p>
        </w:tc>
        <w:tc>
          <w:tcPr>
            <w:tcW w:w="4188"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rPr>
                <w:rFonts w:hint="eastAsia"/>
                <w:lang w:eastAsia="zh-CN"/>
              </w:rPr>
            </w:pPr>
            <w:r>
              <w:rPr>
                <w:rFonts w:hint="eastAsia"/>
                <w:lang w:eastAsia="zh-CN"/>
              </w:rPr>
              <w:t>1、为了实现青少年近视综合防控（灯光改造），供应商每提供一份包含①教室数据采集；</w:t>
            </w:r>
            <w:r>
              <w:rPr>
                <w:rFonts w:hint="eastAsia"/>
                <w:lang w:val="zh-CN" w:eastAsia="zh-CN"/>
              </w:rPr>
              <w:t>②</w:t>
            </w:r>
            <w:r>
              <w:rPr>
                <w:rFonts w:hint="eastAsia"/>
                <w:lang w:eastAsia="zh-CN"/>
              </w:rPr>
              <w:t>光学照明设计；③健康照明环境设计；且设计能满足本项目采购文件要求的完整设计方案的，得</w:t>
            </w:r>
            <w:r>
              <w:rPr>
                <w:rFonts w:hint="eastAsia"/>
                <w:lang w:val="en-US" w:eastAsia="zh-CN"/>
              </w:rPr>
              <w:t>2</w:t>
            </w:r>
            <w:r>
              <w:rPr>
                <w:rFonts w:hint="eastAsia"/>
                <w:lang w:eastAsia="zh-CN"/>
              </w:rPr>
              <w:t>分，最高的6分。</w:t>
            </w:r>
          </w:p>
          <w:p>
            <w:pPr>
              <w:adjustRightInd w:val="0"/>
              <w:snapToGrid w:val="0"/>
              <w:contextualSpacing/>
              <w:rPr>
                <w:rFonts w:hint="eastAsia"/>
                <w:lang w:eastAsia="zh-CN"/>
              </w:rPr>
            </w:pPr>
            <w:r>
              <w:rPr>
                <w:rFonts w:hint="eastAsia"/>
                <w:lang w:eastAsia="zh-CN"/>
              </w:rPr>
              <w:t>说明：（</w:t>
            </w:r>
            <w:r>
              <w:rPr>
                <w:rFonts w:hint="eastAsia"/>
                <w:lang w:val="en-US" w:eastAsia="zh-CN"/>
              </w:rPr>
              <w:t>1</w:t>
            </w:r>
            <w:r>
              <w:rPr>
                <w:rFonts w:hint="eastAsia"/>
                <w:lang w:eastAsia="zh-CN"/>
              </w:rPr>
              <w:t>）设计方案必须是为义务教育阶段的中学或小学的学校进行设计；</w:t>
            </w:r>
          </w:p>
          <w:p>
            <w:pPr>
              <w:adjustRightInd w:val="0"/>
              <w:snapToGrid w:val="0"/>
              <w:contextualSpacing/>
              <w:rPr>
                <w:rFonts w:hint="eastAsia"/>
                <w:lang w:eastAsia="zh-CN"/>
              </w:rPr>
            </w:pPr>
            <w:r>
              <w:rPr>
                <w:rFonts w:hint="eastAsia"/>
                <w:lang w:eastAsia="zh-CN"/>
              </w:rPr>
              <w:t>（</w:t>
            </w:r>
            <w:r>
              <w:rPr>
                <w:rFonts w:hint="eastAsia"/>
                <w:lang w:val="en-US" w:eastAsia="zh-CN"/>
              </w:rPr>
              <w:t>2</w:t>
            </w:r>
            <w:r>
              <w:rPr>
                <w:rFonts w:hint="eastAsia"/>
                <w:lang w:eastAsia="zh-CN"/>
              </w:rPr>
              <w:t>）提供设计方案复印件并加盖学校和供应商公章。</w:t>
            </w:r>
          </w:p>
          <w:p>
            <w:pPr>
              <w:adjustRightInd w:val="0"/>
              <w:snapToGrid w:val="0"/>
              <w:contextualSpacing/>
              <w:rPr>
                <w:rFonts w:hint="eastAsia"/>
                <w:lang w:eastAsia="zh-CN"/>
              </w:rPr>
            </w:pPr>
            <w:r>
              <w:rPr>
                <w:rFonts w:hint="eastAsia"/>
                <w:lang w:eastAsia="zh-CN"/>
              </w:rPr>
              <w:t>2、供应商针对本项目的LED教室灯和LED黑板灯的进行管控设计，并达到：①可以通过无线控制每盏灯的开关;②可以获取灯具相关状态;③可以整体控制开关和管理运行模式，且承诺在项目履约过程中按照以上三点的设计内容进行实施建设的，得</w:t>
            </w:r>
            <w:r>
              <w:rPr>
                <w:rFonts w:hint="eastAsia"/>
                <w:lang w:val="en-US" w:eastAsia="zh-CN"/>
              </w:rPr>
              <w:t>3</w:t>
            </w:r>
            <w:r>
              <w:rPr>
                <w:rFonts w:hint="eastAsia"/>
                <w:lang w:eastAsia="zh-CN"/>
              </w:rPr>
              <w:t>分。</w:t>
            </w:r>
            <w:r>
              <w:rPr>
                <w:rFonts w:hint="eastAsia"/>
                <w:lang w:eastAsia="zh-CN"/>
              </w:rPr>
              <w:br w:type="textWrapping"/>
            </w:r>
            <w:r>
              <w:rPr>
                <w:rFonts w:hint="eastAsia"/>
                <w:lang w:eastAsia="zh-CN"/>
              </w:rPr>
              <w:t>说明：提供国家认可的第三方检测机构出具的无线组网和无线通讯的功能检测报告复印件，加盖供应商公章，检测报告可通过二维码在官方检测网站查询（提供官网链接和截图）。</w:t>
            </w:r>
          </w:p>
          <w:p>
            <w:pPr>
              <w:spacing w:line="360" w:lineRule="auto"/>
              <w:rPr>
                <w:rFonts w:hint="eastAsia" w:ascii="宋体" w:hAnsi="宋体"/>
                <w:sz w:val="22"/>
                <w:szCs w:val="21"/>
              </w:rPr>
            </w:pPr>
            <w:r>
              <w:rPr>
                <w:rFonts w:hint="eastAsia" w:eastAsia="宋体" w:cs="Times New Roman"/>
                <w:lang w:eastAsia="zh-CN"/>
              </w:rPr>
              <w:t>3、供应商针对本项目的LED教室灯和LED黑板灯进行运行设计，并达到：①可实现智能调光；②环境光发生变化时,每盏灯根据环境的变化,自动调光，且承诺在项目履约过程中按照以上二点的设计内容进行实施建设的（提供承诺函），得</w:t>
            </w:r>
            <w:r>
              <w:rPr>
                <w:rFonts w:hint="eastAsia" w:eastAsia="宋体" w:cs="Times New Roman"/>
                <w:lang w:val="en-US" w:eastAsia="zh-CN"/>
              </w:rPr>
              <w:t>2</w:t>
            </w:r>
            <w:r>
              <w:rPr>
                <w:rFonts w:hint="eastAsia" w:eastAsia="宋体" w:cs="Times New Roman"/>
                <w:lang w:eastAsia="zh-CN"/>
              </w:rPr>
              <w:t>分。</w:t>
            </w:r>
            <w:r>
              <w:rPr>
                <w:rFonts w:hint="eastAsia" w:eastAsia="宋体" w:cs="Times New Roman"/>
                <w:lang w:eastAsia="zh-CN"/>
              </w:rPr>
              <w:br w:type="textWrapping"/>
            </w:r>
            <w:r>
              <w:rPr>
                <w:rFonts w:hint="eastAsia" w:eastAsia="宋体" w:cs="Times New Roman"/>
                <w:lang w:eastAsia="zh-CN"/>
              </w:rPr>
              <w:t>说明：提供国家认可的第三方检测机构出具的无线组网和无线通讯的功能检测报告复印件，加盖供应商</w:t>
            </w:r>
            <w:r>
              <w:rPr>
                <w:rFonts w:hint="eastAsia" w:cs="Times New Roman"/>
                <w:lang w:eastAsia="zh-CN"/>
              </w:rPr>
              <w:t>公章</w:t>
            </w:r>
            <w:r>
              <w:rPr>
                <w:rFonts w:hint="eastAsia" w:eastAsia="宋体" w:cs="Times New Roman"/>
                <w:lang w:eastAsia="zh-CN"/>
              </w:rPr>
              <w:t>，需提供检测报告的官网链接和截图复印件，提供承诺函。</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lang w:eastAsia="zh-CN"/>
              </w:rPr>
              <w:t>需提供佐证材料的按要求提供，不提供或少提供对应评分项不得分。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rPr>
              <w:t>7</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szCs w:val="21"/>
                <w:lang w:eastAsia="zh-CN"/>
              </w:rPr>
            </w:pPr>
            <w:r>
              <w:rPr>
                <w:rFonts w:hint="eastAsia" w:ascii="仿宋" w:hAnsi="仿宋" w:eastAsia="仿宋"/>
                <w:szCs w:val="21"/>
              </w:rPr>
              <w:t>建设方案</w:t>
            </w:r>
            <w:r>
              <w:rPr>
                <w:rFonts w:hint="eastAsia" w:ascii="仿宋" w:hAnsi="仿宋" w:eastAsia="仿宋"/>
                <w:szCs w:val="21"/>
                <w:lang w:val="en-US" w:eastAsia="zh-CN"/>
              </w:rPr>
              <w:t>14.5%</w:t>
            </w:r>
            <w:r>
              <w:rPr>
                <w:rFonts w:hint="eastAsia" w:ascii="宋体" w:hAnsi="宋体"/>
                <w:sz w:val="22"/>
                <w:szCs w:val="21"/>
                <w:lang w:eastAsia="zh-CN"/>
              </w:rPr>
              <w:t>（</w:t>
            </w:r>
            <w:r>
              <w:rPr>
                <w:rFonts w:hint="eastAsia" w:ascii="宋体" w:hAnsi="宋体"/>
                <w:sz w:val="22"/>
                <w:szCs w:val="21"/>
              </w:rPr>
              <w:t>技术类评分因素</w:t>
            </w:r>
            <w:r>
              <w:rPr>
                <w:rFonts w:hint="eastAsia" w:ascii="宋体" w:hAnsi="宋体"/>
                <w:sz w:val="22"/>
                <w:szCs w:val="21"/>
                <w:lang w:eastAsia="zh-CN"/>
              </w:rPr>
              <w:t>含采购人代表）</w:t>
            </w:r>
          </w:p>
        </w:tc>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ascii="宋体" w:hAnsi="宋体"/>
                <w:sz w:val="22"/>
                <w:szCs w:val="21"/>
                <w:lang w:val="en-US" w:eastAsia="zh-CN"/>
              </w:rPr>
              <w:t>14.5</w:t>
            </w:r>
            <w:r>
              <w:rPr>
                <w:rFonts w:hint="eastAsia" w:ascii="宋体" w:hAnsi="宋体"/>
                <w:sz w:val="22"/>
                <w:szCs w:val="21"/>
              </w:rPr>
              <w:t>分</w:t>
            </w:r>
          </w:p>
        </w:tc>
        <w:tc>
          <w:tcPr>
            <w:tcW w:w="4188"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pPr>
            <w:r>
              <w:rPr>
                <w:rFonts w:hint="eastAsia"/>
              </w:rPr>
              <w:t>根据</w:t>
            </w:r>
            <w:r>
              <w:rPr>
                <w:rFonts w:hint="eastAsia"/>
                <w:lang w:eastAsia="zh-CN"/>
              </w:rPr>
              <w:t>供应商</w:t>
            </w:r>
            <w:r>
              <w:rPr>
                <w:rFonts w:hint="eastAsia"/>
              </w:rPr>
              <w:t>针对本项目的建设方案打分，方案中：</w:t>
            </w:r>
          </w:p>
          <w:p>
            <w:pPr>
              <w:adjustRightInd w:val="0"/>
              <w:snapToGrid w:val="0"/>
              <w:contextualSpacing/>
            </w:pPr>
            <w:r>
              <w:rPr>
                <w:rFonts w:hint="eastAsia"/>
              </w:rPr>
              <w:t>（1）人员岗位配置满足采购人要求得1.5分。（针对学校，提供</w:t>
            </w:r>
            <w:r>
              <w:t>货物配送</w:t>
            </w:r>
            <w:r>
              <w:rPr>
                <w:rFonts w:hint="eastAsia"/>
              </w:rPr>
              <w:t>、</w:t>
            </w:r>
            <w:r>
              <w:t>勘测定位设计</w:t>
            </w:r>
            <w:r>
              <w:rPr>
                <w:rFonts w:hint="eastAsia"/>
              </w:rPr>
              <w:t>、线路改造、灯具</w:t>
            </w:r>
            <w:r>
              <w:t>安装</w:t>
            </w:r>
            <w:r>
              <w:rPr>
                <w:rFonts w:hint="eastAsia"/>
              </w:rPr>
              <w:t>、光环境</w:t>
            </w:r>
            <w:r>
              <w:t>检测等岗位</w:t>
            </w:r>
            <w:r>
              <w:rPr>
                <w:rFonts w:hint="eastAsia"/>
              </w:rPr>
              <w:t>专职人员姓名、身份证复印件、电话等信息）；</w:t>
            </w:r>
            <w:r>
              <w:rPr>
                <w:rFonts w:hint="eastAsia"/>
                <w:lang w:eastAsia="zh-CN"/>
              </w:rPr>
              <w:t>方案</w:t>
            </w:r>
            <w:r>
              <w:rPr>
                <w:rFonts w:hint="eastAsia"/>
              </w:rPr>
              <w:t>描述有缺项或描述有缺陷的不得分</w:t>
            </w:r>
          </w:p>
          <w:p>
            <w:pPr>
              <w:adjustRightInd w:val="0"/>
              <w:snapToGrid w:val="0"/>
              <w:contextualSpacing/>
            </w:pPr>
            <w:r>
              <w:rPr>
                <w:rFonts w:hint="eastAsia"/>
              </w:rPr>
              <w:t>（2）</w:t>
            </w:r>
            <w:r>
              <w:t>施工进度</w:t>
            </w:r>
            <w:r>
              <w:rPr>
                <w:rFonts w:hint="eastAsia"/>
              </w:rPr>
              <w:t>应按照①</w:t>
            </w:r>
            <w:r>
              <w:t>学校场室数量</w:t>
            </w:r>
            <w:r>
              <w:rPr>
                <w:rFonts w:hint="eastAsia"/>
              </w:rPr>
              <w:t>，</w:t>
            </w:r>
            <w:r>
              <w:rPr>
                <w:rFonts w:hint="eastAsia"/>
                <w:lang w:val="zh-CN"/>
              </w:rPr>
              <w:t>②</w:t>
            </w:r>
            <w:r>
              <w:t>按</w:t>
            </w:r>
            <w:r>
              <w:rPr>
                <w:rFonts w:hint="eastAsia"/>
              </w:rPr>
              <w:t>采购</w:t>
            </w:r>
            <w:r>
              <w:t>文件送货及安装的时间要求</w:t>
            </w:r>
            <w:r>
              <w:rPr>
                <w:rFonts w:hint="eastAsia"/>
              </w:rPr>
              <w:t>，③</w:t>
            </w:r>
            <w:r>
              <w:t>科学设置进度安排</w:t>
            </w:r>
            <w:r>
              <w:rPr>
                <w:rFonts w:hint="eastAsia"/>
              </w:rPr>
              <w:t>，符合采购人需求得1.5分，方案描述有缺项或描述有缺陷的不得分。</w:t>
            </w:r>
          </w:p>
          <w:p>
            <w:pPr>
              <w:adjustRightInd w:val="0"/>
              <w:snapToGrid w:val="0"/>
              <w:contextualSpacing/>
            </w:pPr>
            <w:r>
              <w:rPr>
                <w:rFonts w:hint="eastAsia"/>
              </w:rPr>
              <w:t>（3）质量保证措施和承诺（从原材料：如支架、电源、面板、背板、反光材料、光珠等的质量保证到生产灯具到成品等，做好每一步质量控制措施方案），方案描述</w:t>
            </w:r>
            <w:r>
              <w:rPr>
                <w:rFonts w:hint="eastAsia"/>
                <w:lang w:eastAsia="zh-CN"/>
              </w:rPr>
              <w:t>包含上述内容的</w:t>
            </w:r>
            <w:r>
              <w:rPr>
                <w:rFonts w:hint="eastAsia"/>
              </w:rPr>
              <w:t>得1.5分，方案描述有缺项或描述有缺陷的不得分；</w:t>
            </w:r>
          </w:p>
          <w:p>
            <w:pPr>
              <w:adjustRightInd w:val="0"/>
              <w:snapToGrid w:val="0"/>
              <w:contextualSpacing/>
            </w:pPr>
            <w:r>
              <w:rPr>
                <w:rFonts w:hint="eastAsia"/>
              </w:rPr>
              <w:t>（4）质量保证措施和承诺（灯具</w:t>
            </w:r>
            <w:r>
              <w:t>安装中定位设计</w:t>
            </w:r>
            <w:r>
              <w:rPr>
                <w:rFonts w:hint="eastAsia"/>
              </w:rPr>
              <w:t>、</w:t>
            </w:r>
            <w:r>
              <w:t>线路改造</w:t>
            </w:r>
            <w:r>
              <w:rPr>
                <w:rFonts w:hint="eastAsia"/>
              </w:rPr>
              <w:t>、</w:t>
            </w:r>
            <w:r>
              <w:t>开关控制</w:t>
            </w:r>
            <w:r>
              <w:rPr>
                <w:rFonts w:hint="eastAsia"/>
              </w:rPr>
              <w:t>、</w:t>
            </w:r>
            <w:r>
              <w:t>达标检测等每一个环节的质量控制措施</w:t>
            </w:r>
            <w:r>
              <w:rPr>
                <w:rFonts w:hint="eastAsia"/>
              </w:rPr>
              <w:t>），方案描述</w:t>
            </w:r>
            <w:r>
              <w:rPr>
                <w:rFonts w:hint="eastAsia"/>
                <w:lang w:eastAsia="zh-CN"/>
              </w:rPr>
              <w:t>包含上述内容</w:t>
            </w:r>
            <w:r>
              <w:rPr>
                <w:rFonts w:hint="eastAsia"/>
              </w:rPr>
              <w:t>得3分，方案描述有缺项或描述有缺陷的不得分；</w:t>
            </w:r>
          </w:p>
          <w:p>
            <w:pPr>
              <w:adjustRightInd w:val="0"/>
              <w:snapToGrid w:val="0"/>
              <w:contextualSpacing/>
              <w:rPr>
                <w:lang w:val="zh-CN"/>
              </w:rPr>
            </w:pPr>
            <w:r>
              <w:rPr>
                <w:rFonts w:hint="eastAsia"/>
              </w:rPr>
              <w:t>（5）</w:t>
            </w:r>
            <w:r>
              <w:rPr>
                <w:rFonts w:hint="eastAsia"/>
                <w:lang w:val="zh-CN"/>
              </w:rPr>
              <w:t>采用</w:t>
            </w:r>
            <w:r>
              <w:rPr>
                <w:lang w:val="zh-CN"/>
              </w:rPr>
              <w:t>自动智能控制系统实现照明控制的</w:t>
            </w:r>
            <w:r>
              <w:rPr>
                <w:rFonts w:hint="eastAsia"/>
                <w:lang w:val="zh-CN"/>
              </w:rPr>
              <w:t>，且</w:t>
            </w:r>
            <w:r>
              <w:rPr>
                <w:lang w:val="zh-CN"/>
              </w:rPr>
              <w:t>符合</w:t>
            </w:r>
            <w:r>
              <w:rPr>
                <w:rFonts w:hint="eastAsia"/>
                <w:lang w:val="zh-CN"/>
              </w:rPr>
              <w:t>采购</w:t>
            </w:r>
            <w:r>
              <w:rPr>
                <w:lang w:val="zh-CN"/>
              </w:rPr>
              <w:t>文件</w:t>
            </w:r>
            <w:r>
              <w:rPr>
                <w:rFonts w:hint="eastAsia"/>
                <w:lang w:val="zh-CN"/>
              </w:rPr>
              <w:t>“照明控制安装要求”的，控制设备需与灯具同一品牌，确保良好兼容性，得1分（提供相关技术材料及检测报告，加盖供应商公章，并提供成交后按自动智能控制方案实施建设的承诺函。）</w:t>
            </w:r>
          </w:p>
          <w:p>
            <w:pPr>
              <w:adjustRightInd w:val="0"/>
              <w:snapToGrid w:val="0"/>
              <w:contextualSpacing/>
              <w:rPr>
                <w:lang w:val="zh-CN"/>
              </w:rPr>
            </w:pPr>
            <w:r>
              <w:rPr>
                <w:rFonts w:hint="eastAsia"/>
                <w:lang w:val="zh-CN"/>
              </w:rPr>
              <w:t>（6）供应商每提供一份国家认可</w:t>
            </w:r>
            <w:r>
              <w:rPr>
                <w:lang w:val="zh-CN"/>
              </w:rPr>
              <w:t>第三方检测机构出具</w:t>
            </w:r>
            <w:r>
              <w:rPr>
                <w:rFonts w:hint="eastAsia"/>
                <w:lang w:val="zh-CN"/>
              </w:rPr>
              <w:t>对一间教室光环境改造的</w:t>
            </w:r>
            <w:r>
              <w:rPr>
                <w:lang w:val="zh-CN"/>
              </w:rPr>
              <w:t>检测合格报告</w:t>
            </w:r>
            <w:r>
              <w:rPr>
                <w:rFonts w:hint="eastAsia"/>
                <w:lang w:val="zh-CN"/>
              </w:rPr>
              <w:t>的，</w:t>
            </w:r>
            <w:r>
              <w:rPr>
                <w:lang w:val="zh-CN"/>
              </w:rPr>
              <w:t>得</w:t>
            </w:r>
            <w:r>
              <w:rPr>
                <w:rFonts w:hint="eastAsia"/>
                <w:lang w:val="zh-CN"/>
              </w:rPr>
              <w:t>0.3分，最多得6分。说明：</w:t>
            </w:r>
            <w:r>
              <w:rPr>
                <w:rFonts w:hint="eastAsia"/>
              </w:rPr>
              <w:t>①提供国家认可第三方检测机构出具</w:t>
            </w:r>
            <w:r>
              <w:rPr>
                <w:rFonts w:hint="eastAsia"/>
                <w:lang w:val="zh-CN"/>
              </w:rPr>
              <w:t>封面带有CMA标志的完整检测报告复印件，并加盖供应商公章；</w:t>
            </w:r>
          </w:p>
          <w:p>
            <w:pPr>
              <w:adjustRightInd w:val="0"/>
              <w:snapToGrid w:val="0"/>
              <w:contextualSpacing/>
            </w:pPr>
            <w:r>
              <w:rPr>
                <w:rFonts w:hint="eastAsia"/>
                <w:lang w:val="zh-CN"/>
              </w:rPr>
              <w:t>②检测报告的检测依据为</w:t>
            </w:r>
            <w:r>
              <w:t>GB/T 36876-2018《中小学校普通教室照明设计安装卫生要求》</w:t>
            </w:r>
            <w:r>
              <w:rPr>
                <w:rFonts w:hint="eastAsia"/>
              </w:rPr>
              <w:t>或</w:t>
            </w:r>
            <w:r>
              <w:t>T/JYBZ 005-2018《中小学教室照明技术规范</w:t>
            </w:r>
            <w:r>
              <w:rPr>
                <w:rFonts w:hint="eastAsia"/>
              </w:rPr>
              <w:t>》，</w:t>
            </w:r>
          </w:p>
          <w:p>
            <w:pPr>
              <w:adjustRightInd w:val="0"/>
              <w:snapToGrid w:val="0"/>
              <w:contextualSpacing/>
            </w:pPr>
            <w:r>
              <w:rPr>
                <w:rFonts w:hint="eastAsia"/>
              </w:rPr>
              <w:t>③</w:t>
            </w:r>
            <w:r>
              <w:t>检测指标至少包括</w:t>
            </w:r>
            <w:r>
              <w:rPr>
                <w:rFonts w:hint="eastAsia"/>
              </w:rPr>
              <w:t>：3</w:t>
            </w:r>
            <w:r>
              <w:t>.1.课桌面维持平均照度</w:t>
            </w:r>
            <w:r>
              <w:rPr>
                <w:rFonts w:hint="eastAsia"/>
              </w:rPr>
              <w:t>；3</w:t>
            </w:r>
            <w:r>
              <w:t>.2.黑板面维持平均照度</w:t>
            </w:r>
            <w:r>
              <w:rPr>
                <w:rFonts w:hint="eastAsia"/>
              </w:rPr>
              <w:t>；3</w:t>
            </w:r>
            <w:r>
              <w:t>.3.课桌面均匀度</w:t>
            </w:r>
            <w:r>
              <w:rPr>
                <w:rFonts w:hint="eastAsia"/>
              </w:rPr>
              <w:t>；3</w:t>
            </w:r>
            <w:r>
              <w:t>.4.黑板面均匀度</w:t>
            </w:r>
            <w:r>
              <w:rPr>
                <w:rFonts w:hint="eastAsia"/>
              </w:rPr>
              <w:t>；3</w:t>
            </w:r>
            <w:r>
              <w:t>.5.照明功率密度</w:t>
            </w:r>
            <w:r>
              <w:rPr>
                <w:rFonts w:hint="eastAsia"/>
              </w:rPr>
              <w:t>；3</w:t>
            </w:r>
            <w:r>
              <w:t>.6.统一眩光值</w:t>
            </w:r>
            <w:r>
              <w:rPr>
                <w:rFonts w:hint="eastAsia"/>
              </w:rPr>
              <w:t>；3</w:t>
            </w:r>
            <w:r>
              <w:t>.7.频闪。</w:t>
            </w:r>
          </w:p>
          <w:p>
            <w:pPr>
              <w:adjustRightInd w:val="0"/>
              <w:snapToGrid w:val="0"/>
              <w:contextualSpacing/>
              <w:rPr>
                <w:rFonts w:hint="eastAsia"/>
                <w:lang w:val="zh-CN"/>
              </w:rPr>
            </w:pPr>
            <w:r>
              <w:rPr>
                <w:rFonts w:hint="eastAsia"/>
              </w:rPr>
              <w:t>④送</w:t>
            </w:r>
            <w:r>
              <w:rPr>
                <w:rFonts w:hint="eastAsia"/>
                <w:lang w:val="zh-CN"/>
              </w:rPr>
              <w:t>检（委托）单位为供应商或所投产品制造商。</w:t>
            </w:r>
          </w:p>
          <w:p>
            <w:pPr>
              <w:spacing w:line="360" w:lineRule="auto"/>
              <w:rPr>
                <w:rFonts w:hint="eastAsia" w:ascii="宋体" w:hAnsi="宋体"/>
                <w:sz w:val="22"/>
                <w:szCs w:val="21"/>
              </w:rPr>
            </w:pPr>
            <w:r>
              <w:rPr>
                <w:rFonts w:hint="eastAsia" w:ascii="宋体" w:hAnsi="宋体" w:eastAsia="宋体" w:cs="宋体"/>
                <w:szCs w:val="21"/>
                <w:lang w:val="en-US" w:eastAsia="zh-CN"/>
              </w:rPr>
              <w:t>注：(缺陷指:项目名称、实施地点、涉及的规范、实施的内容、标准与本项目要求不一致、进度计划超期等)</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2"/>
                <w:szCs w:val="21"/>
              </w:rPr>
            </w:pPr>
            <w:r>
              <w:rPr>
                <w:rFonts w:hint="eastAsia"/>
                <w:lang w:eastAsia="zh-CN"/>
              </w:rPr>
              <w:t>需提供佐证材料的按要求提供，不提供或少提供对应评分项不得分。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szCs w:val="21"/>
                <w:lang w:val="en-US" w:eastAsia="zh-CN"/>
              </w:rPr>
            </w:pPr>
            <w:r>
              <w:rPr>
                <w:rFonts w:hint="eastAsia" w:ascii="宋体" w:hAnsi="宋体"/>
                <w:sz w:val="22"/>
                <w:szCs w:val="21"/>
                <w:lang w:val="en-US" w:eastAsia="zh-CN"/>
              </w:rPr>
              <w:t>8</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szCs w:val="21"/>
              </w:rPr>
            </w:pPr>
            <w:r>
              <w:rPr>
                <w:rFonts w:hint="eastAsia" w:ascii="仿宋" w:hAnsi="仿宋" w:eastAsia="仿宋" w:cs="宋体"/>
                <w:bCs/>
                <w:szCs w:val="21"/>
              </w:rPr>
              <w:t>售后服务方案</w:t>
            </w:r>
            <w:r>
              <w:rPr>
                <w:rFonts w:hint="eastAsia" w:ascii="仿宋" w:hAnsi="仿宋" w:eastAsia="仿宋" w:cs="宋体"/>
                <w:bCs/>
                <w:szCs w:val="21"/>
                <w:lang w:val="en-US" w:eastAsia="zh-CN"/>
              </w:rPr>
              <w:t>7%</w:t>
            </w:r>
            <w:r>
              <w:rPr>
                <w:rFonts w:hint="eastAsia" w:ascii="仿宋" w:hAnsi="仿宋" w:eastAsia="仿宋" w:cs="宋体"/>
                <w:bCs/>
                <w:szCs w:val="21"/>
                <w:lang w:eastAsia="zh-CN"/>
              </w:rPr>
              <w:t>（</w:t>
            </w:r>
            <w:r>
              <w:rPr>
                <w:rFonts w:hint="eastAsia" w:ascii="仿宋" w:hAnsi="仿宋" w:eastAsia="仿宋"/>
                <w:szCs w:val="21"/>
              </w:rPr>
              <w:t>共同评分因素</w:t>
            </w:r>
            <w:r>
              <w:rPr>
                <w:rFonts w:hint="eastAsia" w:ascii="仿宋" w:hAnsi="仿宋" w:eastAsia="仿宋" w:cs="宋体"/>
                <w:bCs/>
                <w:szCs w:val="21"/>
                <w:lang w:eastAsia="zh-CN"/>
              </w:rPr>
              <w:t>）</w:t>
            </w:r>
          </w:p>
        </w:tc>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sz w:val="22"/>
                <w:szCs w:val="21"/>
                <w:lang w:val="en-US" w:eastAsia="zh-CN"/>
              </w:rPr>
            </w:pPr>
            <w:r>
              <w:rPr>
                <w:rFonts w:hint="eastAsia" w:ascii="宋体" w:hAnsi="宋体"/>
                <w:sz w:val="22"/>
                <w:szCs w:val="21"/>
                <w:lang w:val="en-US" w:eastAsia="zh-CN"/>
              </w:rPr>
              <w:t>7分</w:t>
            </w:r>
          </w:p>
        </w:tc>
        <w:tc>
          <w:tcPr>
            <w:tcW w:w="4188"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rPr>
                <w:rFonts w:hint="eastAsia"/>
                <w:lang w:val="zh-CN"/>
              </w:rPr>
            </w:pPr>
            <w:r>
              <w:rPr>
                <w:rFonts w:hint="eastAsia"/>
                <w:lang w:val="en-US" w:eastAsia="zh-CN"/>
              </w:rPr>
              <w:t>1、</w:t>
            </w:r>
            <w:r>
              <w:rPr>
                <w:rFonts w:hint="eastAsia"/>
                <w:lang w:val="zh-CN" w:eastAsia="zh-CN"/>
              </w:rPr>
              <w:t>供应商</w:t>
            </w:r>
            <w:r>
              <w:rPr>
                <w:rFonts w:hint="eastAsia"/>
                <w:lang w:val="zh-CN"/>
              </w:rPr>
              <w:t>具有本地化的备品备件仓储场地或承诺</w:t>
            </w:r>
            <w:r>
              <w:rPr>
                <w:rFonts w:hint="eastAsia"/>
                <w:lang w:val="zh-CN" w:eastAsia="zh-CN"/>
              </w:rPr>
              <w:t>成交</w:t>
            </w:r>
            <w:r>
              <w:rPr>
                <w:rFonts w:hint="eastAsia"/>
                <w:lang w:val="zh-CN"/>
              </w:rPr>
              <w:t>后设立本地化的备品备件仓储场地，得1分。</w:t>
            </w:r>
            <w:r>
              <w:rPr>
                <w:rFonts w:hint="eastAsia"/>
                <w:lang w:val="zh-CN"/>
              </w:rPr>
              <w:br w:type="textWrapping"/>
            </w:r>
            <w:r>
              <w:rPr>
                <w:rFonts w:hint="eastAsia"/>
                <w:lang w:val="zh-CN"/>
              </w:rPr>
              <w:t>说明：提供相关证明材料复印件或承诺并加盖</w:t>
            </w:r>
            <w:r>
              <w:rPr>
                <w:rFonts w:hint="eastAsia"/>
                <w:lang w:val="zh-CN" w:eastAsia="zh-CN"/>
              </w:rPr>
              <w:t>供应商</w:t>
            </w:r>
            <w:r>
              <w:rPr>
                <w:rFonts w:hint="eastAsia"/>
                <w:lang w:val="zh-CN"/>
              </w:rPr>
              <w:t>公章。</w:t>
            </w:r>
            <w:r>
              <w:rPr>
                <w:rFonts w:hint="eastAsia"/>
                <w:lang w:val="zh-CN"/>
              </w:rPr>
              <w:br w:type="textWrapping"/>
            </w:r>
            <w:r>
              <w:rPr>
                <w:rFonts w:hint="eastAsia"/>
                <w:lang w:val="zh-CN"/>
              </w:rPr>
              <w:t>2、根据</w:t>
            </w:r>
            <w:r>
              <w:rPr>
                <w:rFonts w:hint="eastAsia"/>
                <w:lang w:val="zh-CN" w:eastAsia="zh-CN"/>
              </w:rPr>
              <w:t>供应商</w:t>
            </w:r>
            <w:r>
              <w:rPr>
                <w:rFonts w:hint="eastAsia"/>
                <w:lang w:val="zh-CN"/>
              </w:rPr>
              <w:t>为本项目制定的售后服务方案打分，方案包括（1）应急措施；（2）本地化售后服务网点（提供网点证明材料及网点地址）</w:t>
            </w:r>
            <w:r>
              <w:rPr>
                <w:rFonts w:hint="eastAsia"/>
                <w:lang w:val="en-US" w:eastAsia="zh-CN"/>
              </w:rPr>
              <w:t>或</w:t>
            </w:r>
            <w:r>
              <w:rPr>
                <w:rFonts w:hint="eastAsia"/>
                <w:lang w:val="zh-CN"/>
              </w:rPr>
              <w:t>承诺在成交后设立售后服务网点</w:t>
            </w:r>
            <w:r>
              <w:rPr>
                <w:rFonts w:hint="eastAsia"/>
                <w:lang w:val="en-US" w:eastAsia="zh-CN"/>
              </w:rPr>
              <w:t>的承诺函</w:t>
            </w:r>
            <w:r>
              <w:rPr>
                <w:rFonts w:hint="eastAsia"/>
                <w:lang w:val="zh-CN"/>
              </w:rPr>
              <w:t>及售后服务流程及售后服务人员安排及相关设施设备</w:t>
            </w:r>
            <w:r>
              <w:rPr>
                <w:rFonts w:hint="eastAsia"/>
                <w:lang w:val="zh-CN" w:eastAsia="zh-CN"/>
              </w:rPr>
              <w:t>；</w:t>
            </w:r>
            <w:r>
              <w:rPr>
                <w:rFonts w:hint="eastAsia"/>
                <w:lang w:val="zh-CN"/>
              </w:rPr>
              <w:t>（3）备货供应和响应保障；（4）巡检方案</w:t>
            </w:r>
            <w:r>
              <w:rPr>
                <w:rFonts w:hint="eastAsia"/>
                <w:lang w:val="zh-CN" w:eastAsia="zh-CN"/>
              </w:rPr>
              <w:t>；</w:t>
            </w:r>
            <w:r>
              <w:rPr>
                <w:rFonts w:hint="eastAsia"/>
                <w:lang w:val="zh-CN"/>
              </w:rPr>
              <w:t>每项</w:t>
            </w:r>
            <w:r>
              <w:rPr>
                <w:rFonts w:hint="eastAsia"/>
                <w:lang w:val="zh-CN" w:eastAsia="zh-CN"/>
              </w:rPr>
              <w:t>方案</w:t>
            </w:r>
            <w:r>
              <w:rPr>
                <w:rFonts w:hint="eastAsia"/>
                <w:lang w:val="zh-CN"/>
              </w:rPr>
              <w:t>描述要结合本项目的实际特点进行综合考虑，每</w:t>
            </w:r>
            <w:r>
              <w:rPr>
                <w:rFonts w:hint="eastAsia"/>
                <w:lang w:val="zh-CN" w:eastAsia="zh-CN"/>
              </w:rPr>
              <w:t>有一</w:t>
            </w:r>
            <w:r>
              <w:rPr>
                <w:rFonts w:hint="eastAsia"/>
                <w:lang w:val="zh-CN"/>
              </w:rPr>
              <w:t>项</w:t>
            </w:r>
            <w:r>
              <w:rPr>
                <w:rFonts w:hint="eastAsia"/>
                <w:lang w:val="zh-CN" w:eastAsia="zh-CN"/>
              </w:rPr>
              <w:t>方案</w:t>
            </w:r>
            <w:r>
              <w:rPr>
                <w:rFonts w:hint="eastAsia"/>
                <w:lang w:val="zh-CN"/>
              </w:rPr>
              <w:t>描述</w:t>
            </w:r>
            <w:r>
              <w:rPr>
                <w:rFonts w:hint="eastAsia"/>
                <w:lang w:val="zh-CN" w:eastAsia="zh-CN"/>
              </w:rPr>
              <w:t>包含上述内容且</w:t>
            </w:r>
            <w:r>
              <w:rPr>
                <w:rFonts w:hint="eastAsia"/>
                <w:lang w:val="zh-CN"/>
              </w:rPr>
              <w:t>符合采购人采购需求的得1分，每项</w:t>
            </w:r>
            <w:r>
              <w:rPr>
                <w:rFonts w:hint="eastAsia"/>
                <w:lang w:val="zh-CN" w:eastAsia="zh-CN"/>
              </w:rPr>
              <w:t>方案</w:t>
            </w:r>
            <w:r>
              <w:rPr>
                <w:rFonts w:hint="eastAsia"/>
                <w:lang w:val="zh-CN"/>
              </w:rPr>
              <w:t>描述有缺陷或缺项该项不得分；本项共4分。</w:t>
            </w:r>
          </w:p>
          <w:p>
            <w:pPr>
              <w:adjustRightInd w:val="0"/>
              <w:snapToGrid w:val="0"/>
              <w:contextualSpacing/>
              <w:rPr>
                <w:rFonts w:hint="eastAsia"/>
                <w:lang w:val="zh-CN"/>
              </w:rPr>
            </w:pPr>
            <w:r>
              <w:rPr>
                <w:rFonts w:hint="eastAsia"/>
                <w:lang w:val="en-US" w:eastAsia="zh-CN"/>
              </w:rPr>
              <w:t>注：(缺陷指:项目名称、实施地点、涉及的规范、实施的内容、标准与本项目要求不一致等）</w:t>
            </w:r>
          </w:p>
          <w:p>
            <w:pPr>
              <w:adjustRightInd w:val="0"/>
              <w:snapToGrid w:val="0"/>
              <w:contextualSpacing/>
              <w:rPr>
                <w:rFonts w:hint="eastAsia" w:ascii="仿宋" w:hAnsi="仿宋" w:eastAsia="仿宋" w:cs="宋体"/>
                <w:kern w:val="0"/>
                <w:sz w:val="21"/>
                <w:szCs w:val="21"/>
                <w:lang w:val="en-US" w:eastAsia="zh-CN" w:bidi="ar-SA"/>
              </w:rPr>
            </w:pPr>
            <w:r>
              <w:rPr>
                <w:rFonts w:hint="eastAsia"/>
                <w:lang w:val="zh-CN"/>
              </w:rPr>
              <w:t>3.具有生产厂家</w:t>
            </w:r>
            <w:r>
              <w:rPr>
                <w:rFonts w:hint="eastAsia"/>
                <w:lang w:val="en-US" w:eastAsia="zh-CN"/>
              </w:rPr>
              <w:t>能在质保期内稳定提供零配件及技术支持服务的</w:t>
            </w:r>
            <w:r>
              <w:rPr>
                <w:rFonts w:hint="eastAsia"/>
                <w:lang w:val="zh-CN"/>
              </w:rPr>
              <w:t>售后服务承诺函，得2分。</w:t>
            </w:r>
            <w:r>
              <w:rPr>
                <w:rFonts w:hint="eastAsia"/>
                <w:lang w:val="zh-CN" w:eastAsia="zh-CN"/>
              </w:rPr>
              <w:t>（提供承诺函，未按要求提供不得分）</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7" w:hRule="atLeast"/>
        </w:trPr>
        <w:tc>
          <w:tcPr>
            <w:tcW w:w="61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 w:val="22"/>
                <w:szCs w:val="21"/>
                <w:lang w:val="en-US" w:eastAsia="zh-CN"/>
              </w:rPr>
            </w:pPr>
            <w:r>
              <w:rPr>
                <w:rFonts w:hint="eastAsia" w:ascii="宋体" w:hAnsi="宋体"/>
                <w:sz w:val="22"/>
                <w:szCs w:val="21"/>
                <w:lang w:val="en-US" w:eastAsia="zh-CN"/>
              </w:rPr>
              <w:t>9</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rPr>
                <w:rFonts w:hint="eastAsia" w:eastAsia="宋体" w:cs="Times New Roman"/>
                <w:lang w:val="zh-CN"/>
              </w:rPr>
            </w:pPr>
            <w:r>
              <w:rPr>
                <w:rFonts w:hint="eastAsia" w:eastAsia="宋体" w:cs="Times New Roman"/>
                <w:lang w:val="zh-CN"/>
              </w:rPr>
              <w:t>节能、环境标志、无线局域网产品</w:t>
            </w:r>
            <w:r>
              <w:rPr>
                <w:rFonts w:hint="eastAsia" w:eastAsia="宋体" w:cs="Times New Roman"/>
                <w:lang w:val="en-US" w:eastAsia="zh-CN"/>
              </w:rPr>
              <w:t>2%</w:t>
            </w:r>
            <w:r>
              <w:rPr>
                <w:rFonts w:hint="eastAsia" w:eastAsia="宋体" w:cs="Times New Roman"/>
                <w:lang w:val="zh-CN" w:eastAsia="zh-CN"/>
              </w:rPr>
              <w:t>（共同评审因素）</w:t>
            </w:r>
          </w:p>
        </w:tc>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rPr>
                <w:rFonts w:hint="eastAsia" w:eastAsia="宋体" w:cs="Times New Roman"/>
                <w:lang w:val="en-US" w:eastAsia="zh-CN"/>
              </w:rPr>
            </w:pPr>
            <w:r>
              <w:rPr>
                <w:rFonts w:hint="eastAsia" w:ascii="宋体" w:hAnsi="宋体"/>
                <w:sz w:val="22"/>
                <w:szCs w:val="21"/>
                <w:lang w:val="en-US" w:eastAsia="zh-CN"/>
              </w:rPr>
              <w:t>2分</w:t>
            </w:r>
          </w:p>
        </w:tc>
        <w:tc>
          <w:tcPr>
            <w:tcW w:w="4188" w:type="dxa"/>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rPr>
                <w:rFonts w:hint="eastAsia" w:eastAsia="宋体" w:cs="Times New Roman"/>
                <w:lang w:val="zh-CN"/>
              </w:rPr>
            </w:pPr>
            <w:r>
              <w:rPr>
                <w:rFonts w:hint="eastAsia" w:eastAsia="宋体" w:cs="Times New Roman"/>
                <w:lang w:val="zh-CN" w:eastAsia="zh-CN"/>
              </w:rPr>
              <w:t>提供的</w:t>
            </w:r>
            <w:r>
              <w:rPr>
                <w:rFonts w:hint="eastAsia" w:eastAsia="宋体" w:cs="Times New Roman"/>
                <w:lang w:val="zh-CN"/>
              </w:rPr>
              <w:t>产品中属于政府采购优先采购范围的，则每有一项为节能产品或者环境标志产品或者无线局域网产品的得0.5分，非节能、环境标志产品的、无线局域网产品的不得分。本项最多得2分。</w:t>
            </w:r>
          </w:p>
          <w:p>
            <w:pPr>
              <w:adjustRightInd w:val="0"/>
              <w:snapToGrid w:val="0"/>
              <w:contextualSpacing/>
              <w:rPr>
                <w:rFonts w:hint="eastAsia" w:eastAsia="宋体" w:cs="Times New Roman"/>
                <w:lang w:val="zh-CN"/>
              </w:rPr>
            </w:pPr>
            <w:r>
              <w:rPr>
                <w:rFonts w:hint="eastAsia" w:eastAsia="宋体" w:cs="Times New Roman"/>
                <w:lang w:val="zh-CN"/>
              </w:rPr>
              <w:t>注：1. 节能产品</w:t>
            </w:r>
            <w:r>
              <w:rPr>
                <w:rFonts w:hint="eastAsia" w:eastAsia="宋体" w:cs="Times New Roman"/>
                <w:lang w:val="zh-CN" w:eastAsia="zh-CN"/>
              </w:rPr>
              <w:t>（强制节能除外）</w:t>
            </w:r>
            <w:r>
              <w:rPr>
                <w:rFonts w:hint="eastAsia" w:eastAsia="宋体" w:cs="Times New Roman"/>
                <w:lang w:val="zh-CN"/>
              </w:rPr>
              <w:t>、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adjustRightInd w:val="0"/>
              <w:snapToGrid w:val="0"/>
              <w:contextualSpacing/>
              <w:rPr>
                <w:rFonts w:hint="eastAsia" w:eastAsia="宋体" w:cs="Times New Roman"/>
                <w:lang w:val="zh-CN"/>
              </w:rPr>
            </w:pPr>
            <w:r>
              <w:rPr>
                <w:rFonts w:hint="eastAsia" w:eastAsia="宋体" w:cs="Times New Roman"/>
                <w:lang w:val="zh-CN"/>
              </w:rPr>
              <w:t>2. 投标产品属于优先采购范围内的节能产品或者环境标志产品的，提供国家确定的认证机构出具的、处于有效期之内的节能产品、环境标志产品认证证书复印件加盖供应商公章（鲜章）。</w:t>
            </w:r>
          </w:p>
          <w:p>
            <w:pPr>
              <w:adjustRightInd w:val="0"/>
              <w:snapToGrid w:val="0"/>
              <w:contextualSpacing/>
              <w:rPr>
                <w:rFonts w:hint="eastAsia" w:eastAsia="宋体" w:cs="Times New Roman"/>
                <w:lang w:val="zh-CN"/>
              </w:rPr>
            </w:pPr>
            <w:r>
              <w:rPr>
                <w:rFonts w:hint="eastAsia" w:eastAsia="宋体" w:cs="Times New Roman"/>
                <w:lang w:val="zh-CN"/>
              </w:rPr>
              <w:t>3. 投标产品属于优先采购范围内的无线局域网产品的，提供政府采购清单对应页并加盖供应商单位公章（鲜章）。</w:t>
            </w:r>
          </w:p>
        </w:tc>
        <w:tc>
          <w:tcPr>
            <w:tcW w:w="192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lang w:eastAsia="zh-CN"/>
              </w:rPr>
            </w:pPr>
          </w:p>
        </w:tc>
      </w:tr>
    </w:tbl>
    <w:p>
      <w:pPr>
        <w:spacing w:line="400" w:lineRule="exact"/>
        <w:rPr>
          <w:rFonts w:ascii="宋体" w:hAnsi="宋体"/>
          <w:sz w:val="24"/>
          <w:szCs w:val="21"/>
        </w:rPr>
      </w:pPr>
    </w:p>
    <w:p>
      <w:pPr>
        <w:spacing w:line="400" w:lineRule="exact"/>
        <w:ind w:firstLine="484" w:firstLineChars="202"/>
        <w:rPr>
          <w:rFonts w:ascii="宋体" w:hAnsi="宋体"/>
          <w:sz w:val="24"/>
          <w:szCs w:val="21"/>
        </w:rPr>
      </w:pPr>
      <w:r>
        <w:rPr>
          <w:rFonts w:hint="eastAsia" w:ascii="宋体" w:hAnsi="宋体"/>
          <w:sz w:val="24"/>
          <w:szCs w:val="21"/>
        </w:rPr>
        <w:t>说明：</w:t>
      </w:r>
    </w:p>
    <w:p>
      <w:pPr>
        <w:spacing w:line="400" w:lineRule="exact"/>
        <w:ind w:firstLine="484" w:firstLineChars="202"/>
        <w:rPr>
          <w:rFonts w:ascii="宋体" w:hAnsi="宋体"/>
          <w:sz w:val="24"/>
          <w:szCs w:val="21"/>
        </w:rPr>
      </w:pPr>
      <w:r>
        <w:rPr>
          <w:rFonts w:hint="eastAsia" w:ascii="宋体" w:hAnsi="宋体"/>
          <w:sz w:val="24"/>
          <w:szCs w:val="21"/>
        </w:rPr>
        <w:t>1、评分的取值按四舍五入法，保留小数点后两位；</w:t>
      </w:r>
    </w:p>
    <w:p>
      <w:pPr>
        <w:spacing w:line="400" w:lineRule="exact"/>
        <w:ind w:firstLine="484" w:firstLineChars="202"/>
        <w:rPr>
          <w:rFonts w:ascii="宋体" w:hAnsi="宋体"/>
          <w:sz w:val="24"/>
          <w:szCs w:val="21"/>
        </w:rPr>
      </w:pPr>
      <w:r>
        <w:rPr>
          <w:rFonts w:hint="eastAsia" w:ascii="宋体" w:hAnsi="宋体"/>
          <w:sz w:val="24"/>
          <w:szCs w:val="21"/>
        </w:rPr>
        <w:t>2、评分标准中要求提供复印件的证明材料须清晰可辨。</w:t>
      </w:r>
    </w:p>
    <w:p>
      <w:pPr>
        <w:pStyle w:val="5"/>
        <w:numPr>
          <w:ilvl w:val="1"/>
          <w:numId w:val="5"/>
        </w:numPr>
        <w:tabs>
          <w:tab w:val="left" w:pos="426"/>
          <w:tab w:val="left" w:pos="567"/>
        </w:tabs>
        <w:spacing w:before="0" w:after="200" w:line="400" w:lineRule="exact"/>
        <w:ind w:left="1985" w:hanging="1985"/>
        <w:jc w:val="both"/>
        <w:rPr>
          <w:sz w:val="24"/>
          <w:szCs w:val="24"/>
        </w:rPr>
      </w:pPr>
      <w:bookmarkStart w:id="105" w:name="_Toc494095668"/>
      <w:bookmarkEnd w:id="105"/>
      <w:bookmarkStart w:id="106" w:name="_Toc494357024"/>
      <w:bookmarkEnd w:id="106"/>
      <w:bookmarkStart w:id="107" w:name="_Toc494095681"/>
      <w:bookmarkEnd w:id="107"/>
      <w:bookmarkStart w:id="108" w:name="_Toc494357031"/>
      <w:bookmarkEnd w:id="108"/>
      <w:bookmarkStart w:id="109" w:name="_Toc494095675"/>
      <w:bookmarkEnd w:id="109"/>
      <w:bookmarkStart w:id="110" w:name="_Toc494357026"/>
      <w:bookmarkEnd w:id="110"/>
      <w:bookmarkStart w:id="111" w:name="_Toc494095673"/>
      <w:bookmarkEnd w:id="111"/>
      <w:bookmarkStart w:id="112" w:name="_Toc494357032"/>
      <w:bookmarkEnd w:id="112"/>
      <w:bookmarkStart w:id="113" w:name="_Toc494095680"/>
      <w:bookmarkEnd w:id="113"/>
      <w:bookmarkStart w:id="114" w:name="_Toc494095671"/>
      <w:bookmarkEnd w:id="114"/>
      <w:bookmarkStart w:id="115" w:name="_Toc494095677"/>
      <w:bookmarkEnd w:id="115"/>
      <w:bookmarkStart w:id="116" w:name="_Toc494357034"/>
      <w:bookmarkEnd w:id="116"/>
      <w:bookmarkStart w:id="117" w:name="_Toc494095672"/>
      <w:bookmarkEnd w:id="117"/>
      <w:bookmarkStart w:id="118" w:name="_Toc494095679"/>
      <w:bookmarkEnd w:id="118"/>
      <w:bookmarkStart w:id="119" w:name="_Toc494095678"/>
      <w:bookmarkEnd w:id="119"/>
      <w:bookmarkStart w:id="120" w:name="_Toc494095682"/>
      <w:bookmarkEnd w:id="120"/>
      <w:bookmarkStart w:id="121" w:name="_Toc494357028"/>
      <w:bookmarkEnd w:id="121"/>
      <w:bookmarkStart w:id="122" w:name="_Toc494357027"/>
      <w:bookmarkEnd w:id="122"/>
      <w:bookmarkStart w:id="123" w:name="_Toc494357025"/>
      <w:bookmarkEnd w:id="123"/>
      <w:bookmarkStart w:id="124" w:name="_Toc494095669"/>
      <w:bookmarkEnd w:id="124"/>
      <w:bookmarkStart w:id="125" w:name="_Toc494095670"/>
      <w:bookmarkEnd w:id="125"/>
      <w:bookmarkStart w:id="126" w:name="_Toc494095674"/>
      <w:bookmarkEnd w:id="126"/>
      <w:bookmarkStart w:id="127" w:name="_Toc494357023"/>
      <w:bookmarkEnd w:id="127"/>
      <w:bookmarkStart w:id="128" w:name="_Toc494357033"/>
      <w:bookmarkEnd w:id="128"/>
      <w:bookmarkStart w:id="129" w:name="_Toc494357022"/>
      <w:bookmarkEnd w:id="129"/>
      <w:bookmarkStart w:id="130" w:name="_Toc494357035"/>
      <w:bookmarkEnd w:id="130"/>
      <w:bookmarkStart w:id="131" w:name="_Toc494357030"/>
      <w:bookmarkEnd w:id="131"/>
      <w:bookmarkStart w:id="132" w:name="_Toc494357029"/>
      <w:bookmarkEnd w:id="132"/>
      <w:bookmarkStart w:id="133" w:name="_Toc494095676"/>
      <w:bookmarkEnd w:id="133"/>
      <w:bookmarkStart w:id="134" w:name="_Toc494357021"/>
      <w:bookmarkEnd w:id="134"/>
      <w:bookmarkStart w:id="135" w:name="_Toc79742139"/>
      <w:bookmarkStart w:id="136" w:name="_Toc58943349"/>
      <w:r>
        <w:rPr>
          <w:rFonts w:hint="eastAsia"/>
          <w:sz w:val="24"/>
          <w:szCs w:val="24"/>
        </w:rPr>
        <w:t>采购失败情形</w:t>
      </w:r>
      <w:bookmarkEnd w:id="135"/>
      <w:bookmarkEnd w:id="136"/>
    </w:p>
    <w:p>
      <w:pPr>
        <w:snapToGrid w:val="0"/>
        <w:spacing w:line="400" w:lineRule="exact"/>
        <w:ind w:firstLine="475" w:firstLineChars="198"/>
        <w:rPr>
          <w:rFonts w:ascii="宋体" w:hAnsi="宋体" w:cs="宋体"/>
          <w:sz w:val="24"/>
          <w:szCs w:val="24"/>
        </w:rPr>
      </w:pPr>
      <w:r>
        <w:rPr>
          <w:rFonts w:hint="eastAsia" w:ascii="宋体" w:hAnsi="宋体" w:cs="宋体"/>
          <w:sz w:val="24"/>
          <w:szCs w:val="24"/>
        </w:rPr>
        <w:t>有下列情形之一的，本项目采购失败：</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一、因情况变化，不再符合规定的竞争性磋商采购方式适用情形的；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二、出现影响采购公正的违法、违规行为的；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三、首次</w:t>
      </w:r>
      <w:r>
        <w:rPr>
          <w:rFonts w:hint="eastAsia" w:ascii="宋体" w:hAnsi="宋体"/>
          <w:sz w:val="24"/>
          <w:szCs w:val="24"/>
        </w:rPr>
        <w:t>递交响应文件的供应商不足三家的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四、通过资格性审查</w:t>
      </w:r>
      <w:r>
        <w:rPr>
          <w:rFonts w:hint="eastAsia" w:ascii="宋体" w:hAnsi="宋体"/>
          <w:sz w:val="24"/>
          <w:szCs w:val="24"/>
        </w:rPr>
        <w:t>的供应商</w:t>
      </w:r>
      <w:r>
        <w:rPr>
          <w:rFonts w:hint="eastAsia" w:ascii="宋体" w:hAnsi="宋体" w:cs="宋体"/>
          <w:sz w:val="24"/>
          <w:szCs w:val="24"/>
        </w:rPr>
        <w:t>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五、通过符合性审查</w:t>
      </w:r>
      <w:r>
        <w:rPr>
          <w:rFonts w:hint="eastAsia" w:ascii="宋体" w:hAnsi="宋体"/>
          <w:sz w:val="24"/>
          <w:szCs w:val="24"/>
        </w:rPr>
        <w:t>的供应商</w:t>
      </w:r>
      <w:r>
        <w:rPr>
          <w:rFonts w:hint="eastAsia" w:ascii="宋体" w:hAnsi="宋体" w:cs="宋体"/>
          <w:sz w:val="24"/>
          <w:szCs w:val="24"/>
        </w:rPr>
        <w:t>不足三家</w:t>
      </w:r>
      <w:r>
        <w:rPr>
          <w:rFonts w:hint="eastAsia" w:ascii="宋体" w:hAnsi="宋体"/>
          <w:sz w:val="24"/>
          <w:szCs w:val="24"/>
        </w:rPr>
        <w:t>的</w:t>
      </w:r>
      <w:r>
        <w:rPr>
          <w:rFonts w:hint="eastAsia" w:ascii="宋体" w:hAnsi="宋体" w:cs="宋体"/>
          <w:sz w:val="24"/>
          <w:szCs w:val="24"/>
        </w:rPr>
        <w:t>；</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六、提交最后报价的供应商不足三家的；</w:t>
      </w:r>
    </w:p>
    <w:p>
      <w:pPr>
        <w:tabs>
          <w:tab w:val="left" w:pos="851"/>
        </w:tabs>
        <w:snapToGrid w:val="0"/>
        <w:spacing w:line="400" w:lineRule="exact"/>
        <w:ind w:firstLine="484" w:firstLineChars="202"/>
        <w:rPr>
          <w:rFonts w:ascii="宋体" w:hAnsi="宋体" w:cs="宋体"/>
          <w:sz w:val="24"/>
          <w:szCs w:val="24"/>
        </w:rPr>
      </w:pPr>
      <w:r>
        <w:rPr>
          <w:rFonts w:hint="eastAsia" w:ascii="宋体" w:hAnsi="宋体" w:cs="宋体"/>
          <w:sz w:val="24"/>
          <w:szCs w:val="24"/>
        </w:rPr>
        <w:t>七、通过最后报价审查的供应商不足三家的。</w:t>
      </w:r>
    </w:p>
    <w:p>
      <w:pPr>
        <w:pStyle w:val="5"/>
        <w:numPr>
          <w:ilvl w:val="1"/>
          <w:numId w:val="5"/>
        </w:numPr>
        <w:tabs>
          <w:tab w:val="left" w:pos="426"/>
          <w:tab w:val="left" w:pos="567"/>
        </w:tabs>
        <w:spacing w:before="0" w:after="200" w:line="400" w:lineRule="exact"/>
        <w:ind w:left="1985" w:hanging="1985"/>
        <w:jc w:val="both"/>
        <w:rPr>
          <w:sz w:val="24"/>
          <w:szCs w:val="24"/>
        </w:rPr>
      </w:pPr>
      <w:bookmarkStart w:id="137" w:name="_Toc79742140"/>
      <w:bookmarkStart w:id="138" w:name="_Toc58943350"/>
      <w:r>
        <w:rPr>
          <w:rFonts w:hint="eastAsia"/>
          <w:sz w:val="24"/>
          <w:szCs w:val="24"/>
        </w:rPr>
        <w:t>确定成交供应商</w:t>
      </w:r>
      <w:bookmarkEnd w:id="137"/>
      <w:bookmarkEnd w:id="138"/>
    </w:p>
    <w:p>
      <w:pPr>
        <w:widowControl/>
        <w:numPr>
          <w:ilvl w:val="0"/>
          <w:numId w:val="43"/>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采购人根据磋商小组推荐的成交候选供应商名单，按顺序确定1名成交供应商。成交候选供应商并列的，采购人采取随机抽取的方式确定。</w:t>
      </w:r>
    </w:p>
    <w:p>
      <w:pPr>
        <w:widowControl/>
        <w:numPr>
          <w:ilvl w:val="0"/>
          <w:numId w:val="43"/>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评审结束后，区政府采购中心在评审结束之日起2个工作日内将评审报告及有关资料送交采购人确定1名成交供应商。</w:t>
      </w:r>
    </w:p>
    <w:p>
      <w:pPr>
        <w:widowControl/>
        <w:numPr>
          <w:ilvl w:val="0"/>
          <w:numId w:val="43"/>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olor w:val="000000"/>
          <w:sz w:val="24"/>
          <w:szCs w:val="24"/>
        </w:rPr>
        <w:t>采购人收到</w:t>
      </w:r>
      <w:r>
        <w:rPr>
          <w:rFonts w:hint="eastAsia" w:ascii="宋体" w:hAnsi="宋体"/>
          <w:sz w:val="24"/>
          <w:szCs w:val="24"/>
        </w:rPr>
        <w:t>评审</w:t>
      </w:r>
      <w:r>
        <w:rPr>
          <w:rFonts w:hint="eastAsia" w:ascii="宋体" w:hAnsi="宋体"/>
          <w:color w:val="000000"/>
          <w:sz w:val="24"/>
          <w:szCs w:val="24"/>
        </w:rPr>
        <w:t>报告及有关资料后，将在5个工作日内按照磋商报告中推荐的成交候选供应商顺序确定成交供应商。成交候选供应商并列的，</w:t>
      </w:r>
      <w:r>
        <w:rPr>
          <w:rFonts w:hint="eastAsia" w:ascii="宋体" w:hAnsi="宋体"/>
          <w:sz w:val="24"/>
          <w:szCs w:val="24"/>
        </w:rPr>
        <w:t>供应商属于不发达地区或者少数民族地区的优先，或</w:t>
      </w:r>
      <w:r>
        <w:rPr>
          <w:rFonts w:hint="eastAsia" w:ascii="宋体" w:hAnsi="宋体"/>
          <w:color w:val="000000"/>
          <w:sz w:val="24"/>
          <w:szCs w:val="24"/>
        </w:rPr>
        <w:t>由采购人自主采取公平、择优的方式选择成交供应商。</w:t>
      </w:r>
      <w:r>
        <w:rPr>
          <w:rFonts w:hint="eastAsia" w:ascii="宋体" w:hAnsi="宋体" w:cs="宋体"/>
          <w:sz w:val="24"/>
          <w:szCs w:val="24"/>
        </w:rPr>
        <w:t>若成交候选供应商及其现任法定代表人、主要负责人存在行贿犯罪记录，采购人将不确定其为成交</w:t>
      </w:r>
      <w:r>
        <w:rPr>
          <w:rFonts w:ascii="宋体" w:hAnsi="宋体" w:cs="宋体"/>
          <w:sz w:val="24"/>
          <w:szCs w:val="24"/>
        </w:rPr>
        <w:t>供应商</w:t>
      </w:r>
      <w:r>
        <w:rPr>
          <w:rFonts w:hint="eastAsia" w:ascii="宋体" w:hAnsi="宋体" w:cs="宋体"/>
          <w:sz w:val="24"/>
          <w:szCs w:val="24"/>
        </w:rPr>
        <w:t>。</w:t>
      </w:r>
    </w:p>
    <w:p>
      <w:pPr>
        <w:widowControl/>
        <w:numPr>
          <w:ilvl w:val="0"/>
          <w:numId w:val="43"/>
        </w:numPr>
        <w:tabs>
          <w:tab w:val="left" w:pos="1134"/>
        </w:tabs>
        <w:snapToGrid w:val="0"/>
        <w:spacing w:after="200" w:line="400" w:lineRule="exact"/>
        <w:ind w:left="0" w:firstLine="480" w:firstLineChars="200"/>
        <w:jc w:val="left"/>
        <w:rPr>
          <w:rFonts w:ascii="宋体" w:hAnsi="宋体" w:cs="宋体"/>
          <w:sz w:val="24"/>
          <w:szCs w:val="24"/>
        </w:rPr>
      </w:pPr>
      <w:r>
        <w:rPr>
          <w:rFonts w:hint="eastAsia" w:ascii="宋体" w:hAnsi="宋体" w:cs="宋体"/>
          <w:sz w:val="24"/>
          <w:szCs w:val="24"/>
        </w:rPr>
        <w:t>采购人逾期未确定成交供应商且不提出异议的，视为确定评审报告提出的排序第一的供应商为成交供应商。</w:t>
      </w:r>
    </w:p>
    <w:p>
      <w:pPr>
        <w:pStyle w:val="5"/>
        <w:numPr>
          <w:ilvl w:val="1"/>
          <w:numId w:val="5"/>
        </w:numPr>
        <w:tabs>
          <w:tab w:val="left" w:pos="426"/>
          <w:tab w:val="left" w:pos="567"/>
        </w:tabs>
        <w:spacing w:before="0" w:after="200" w:line="400" w:lineRule="exact"/>
        <w:ind w:left="1985" w:hanging="1985"/>
        <w:rPr>
          <w:sz w:val="24"/>
          <w:szCs w:val="24"/>
        </w:rPr>
      </w:pPr>
      <w:bookmarkStart w:id="139" w:name="_Toc77688504"/>
      <w:bookmarkEnd w:id="139"/>
      <w:bookmarkStart w:id="140" w:name="_Toc77688501"/>
      <w:bookmarkEnd w:id="140"/>
      <w:bookmarkStart w:id="141" w:name="_Toc77688502"/>
      <w:bookmarkEnd w:id="141"/>
      <w:bookmarkStart w:id="142" w:name="_Toc77688503"/>
      <w:bookmarkEnd w:id="142"/>
      <w:bookmarkStart w:id="143" w:name="_Toc58943351"/>
      <w:bookmarkStart w:id="144" w:name="_Toc79742141"/>
      <w:r>
        <w:rPr>
          <w:rFonts w:hint="eastAsia"/>
          <w:sz w:val="24"/>
          <w:szCs w:val="24"/>
        </w:rPr>
        <w:t>磋商小组成员义务</w:t>
      </w:r>
      <w:bookmarkEnd w:id="143"/>
      <w:bookmarkEnd w:id="144"/>
    </w:p>
    <w:p>
      <w:pPr>
        <w:snapToGrid w:val="0"/>
        <w:spacing w:line="400" w:lineRule="exact"/>
        <w:ind w:firstLine="480" w:firstLineChars="200"/>
        <w:rPr>
          <w:sz w:val="24"/>
          <w:szCs w:val="24"/>
        </w:rPr>
      </w:pPr>
      <w:r>
        <w:rPr>
          <w:rFonts w:hint="eastAsia"/>
          <w:sz w:val="24"/>
          <w:szCs w:val="24"/>
        </w:rPr>
        <w:t>磋商小组成员在政府采购活动中承担以下义务：</w:t>
      </w:r>
    </w:p>
    <w:p>
      <w:pPr>
        <w:pStyle w:val="81"/>
        <w:numPr>
          <w:ilvl w:val="0"/>
          <w:numId w:val="44"/>
        </w:numPr>
        <w:spacing w:line="400" w:lineRule="exact"/>
        <w:ind w:hanging="573" w:firstLineChars="0"/>
        <w:rPr>
          <w:rFonts w:eastAsia="宋体" w:cs="Times New Roman"/>
          <w:sz w:val="24"/>
          <w:szCs w:val="24"/>
        </w:rPr>
      </w:pPr>
      <w:r>
        <w:rPr>
          <w:rFonts w:hint="eastAsia" w:eastAsia="宋体" w:cs="Times New Roman"/>
          <w:sz w:val="24"/>
          <w:szCs w:val="24"/>
        </w:rPr>
        <w:t>遵守评审工作纪律；</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按照客观、公正、审慎的原则，根据磋商文件规定的评审程序、评审方法和评审标准进行独立评审；</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不得泄露评审文件、评审情况和在评审过程中获悉的商业秘密；</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及时向财政部门报告评审过程中发现的采购人、采购代理机构向评审专家做倾向性、误导性的解释或者说明，以及供应商行贿、提供虚假材料或者串通等违法行为；</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发现磋商文件内容违反国家有关强制性规定或者磋商文件存在歧义、重大缺陷导致评审工作无法进行时，停止评审并向采购人或者采购代理机构书面说明情况；</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及时向财政、监察等部门举报在评审过程中受到非法干预的情况；</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配合答复处理供应商的询问、质疑和投诉等事项；</w:t>
      </w:r>
    </w:p>
    <w:p>
      <w:pPr>
        <w:pStyle w:val="81"/>
        <w:numPr>
          <w:ilvl w:val="0"/>
          <w:numId w:val="44"/>
        </w:numPr>
        <w:tabs>
          <w:tab w:val="left" w:pos="284"/>
        </w:tabs>
        <w:spacing w:line="400" w:lineRule="exact"/>
        <w:ind w:left="0" w:firstLine="567" w:firstLineChars="0"/>
        <w:rPr>
          <w:rFonts w:eastAsia="宋体" w:cs="Times New Roman"/>
          <w:sz w:val="24"/>
          <w:szCs w:val="24"/>
        </w:rPr>
      </w:pPr>
      <w:r>
        <w:rPr>
          <w:rFonts w:hint="eastAsia" w:eastAsia="宋体" w:cs="Times New Roman"/>
          <w:sz w:val="24"/>
          <w:szCs w:val="24"/>
        </w:rPr>
        <w:t>法律、法规和规章规定的其他义务。</w:t>
      </w:r>
    </w:p>
    <w:p>
      <w:pPr>
        <w:pStyle w:val="5"/>
        <w:numPr>
          <w:ilvl w:val="1"/>
          <w:numId w:val="5"/>
        </w:numPr>
        <w:tabs>
          <w:tab w:val="left" w:pos="426"/>
          <w:tab w:val="left" w:pos="567"/>
        </w:tabs>
        <w:spacing w:before="0" w:after="200" w:line="400" w:lineRule="exact"/>
        <w:ind w:left="1985" w:hanging="1985"/>
        <w:rPr>
          <w:sz w:val="24"/>
          <w:szCs w:val="24"/>
        </w:rPr>
      </w:pPr>
      <w:bookmarkStart w:id="145" w:name="_Toc77688507"/>
      <w:bookmarkEnd w:id="145"/>
      <w:bookmarkStart w:id="146" w:name="_Toc77688510"/>
      <w:bookmarkEnd w:id="146"/>
      <w:bookmarkStart w:id="147" w:name="_Toc77688517"/>
      <w:bookmarkEnd w:id="147"/>
      <w:bookmarkStart w:id="148" w:name="_Toc77688520"/>
      <w:bookmarkEnd w:id="148"/>
      <w:bookmarkStart w:id="149" w:name="_Toc77688506"/>
      <w:bookmarkEnd w:id="149"/>
      <w:bookmarkStart w:id="150" w:name="_Toc77688513"/>
      <w:bookmarkEnd w:id="150"/>
      <w:bookmarkStart w:id="151" w:name="_Toc77688515"/>
      <w:bookmarkEnd w:id="151"/>
      <w:bookmarkStart w:id="152" w:name="_Toc77688508"/>
      <w:bookmarkEnd w:id="152"/>
      <w:bookmarkStart w:id="153" w:name="_Toc77688518"/>
      <w:bookmarkEnd w:id="153"/>
      <w:bookmarkStart w:id="154" w:name="_Toc77688519"/>
      <w:bookmarkEnd w:id="154"/>
      <w:bookmarkStart w:id="155" w:name="_Toc77688509"/>
      <w:bookmarkEnd w:id="155"/>
      <w:bookmarkStart w:id="156" w:name="_Toc77688516"/>
      <w:bookmarkEnd w:id="156"/>
      <w:bookmarkStart w:id="157" w:name="_Toc77688511"/>
      <w:bookmarkEnd w:id="157"/>
      <w:bookmarkStart w:id="158" w:name="_Toc77688512"/>
      <w:bookmarkEnd w:id="158"/>
      <w:bookmarkStart w:id="159" w:name="_Toc77688514"/>
      <w:bookmarkEnd w:id="159"/>
      <w:bookmarkStart w:id="160" w:name="_Toc79742142"/>
      <w:bookmarkStart w:id="161" w:name="_Toc58943353"/>
      <w:r>
        <w:rPr>
          <w:rFonts w:hint="eastAsia"/>
          <w:sz w:val="24"/>
          <w:szCs w:val="24"/>
        </w:rPr>
        <w:t>磋商纪律</w:t>
      </w:r>
      <w:bookmarkEnd w:id="160"/>
      <w:bookmarkEnd w:id="161"/>
    </w:p>
    <w:p>
      <w:pPr>
        <w:snapToGrid w:val="0"/>
        <w:spacing w:line="400" w:lineRule="exact"/>
        <w:ind w:firstLine="480" w:firstLineChars="200"/>
        <w:rPr>
          <w:sz w:val="24"/>
          <w:szCs w:val="24"/>
        </w:rPr>
      </w:pPr>
      <w:r>
        <w:rPr>
          <w:rFonts w:hint="eastAsia"/>
          <w:sz w:val="24"/>
          <w:szCs w:val="24"/>
        </w:rPr>
        <w:t>磋商小组成员在政府采购活动中应当遵守以下工作纪律：</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sz w:val="24"/>
          <w:szCs w:val="24"/>
        </w:rPr>
        <w:t>二、评审前，应当将通</w:t>
      </w:r>
      <w:r>
        <w:rPr>
          <w:rFonts w:hint="eastAsia" w:ascii="宋体" w:hAnsi="宋体"/>
          <w:color w:val="000000" w:themeColor="text1"/>
          <w:sz w:val="24"/>
          <w:szCs w:val="24"/>
          <w14:textFill>
            <w14:solidFill>
              <w14:schemeClr w14:val="tx1"/>
            </w14:solidFill>
          </w14:textFill>
        </w:rPr>
        <w:t>讯工具或者相关电子设备交由采购代理机构统一保管。进入评标区之前应将所有的通信设备存入区政府采购中心指定的存放处。评审专家不得以任何方式将通信设备带入评标区，否则将被取消本项目的评审资格。遇特殊情况不能出席或途中遇阻不能按时参加评审或咨询的，应及时告知财政部门或者采购人或者区政府采购中心，不得私自转托他人；</w:t>
      </w:r>
    </w:p>
    <w:p>
      <w:pPr>
        <w:tabs>
          <w:tab w:val="left" w:pos="7665"/>
        </w:tabs>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对需要专业</w:t>
      </w:r>
      <w:r>
        <w:rPr>
          <w:rFonts w:ascii="宋体" w:hAnsi="宋体"/>
          <w:color w:val="000000" w:themeColor="text1"/>
          <w:sz w:val="24"/>
          <w:szCs w:val="24"/>
          <w14:textFill>
            <w14:solidFill>
              <w14:schemeClr w14:val="tx1"/>
            </w14:solidFill>
          </w14:textFill>
        </w:rPr>
        <w:t>判断的主管评审因素不得协商评分；</w:t>
      </w:r>
    </w:p>
    <w:p>
      <w:pPr>
        <w:tabs>
          <w:tab w:val="left" w:pos="7665"/>
        </w:tabs>
        <w:spacing w:line="400" w:lineRule="exact"/>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四</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评审过程中不得擅离职守，影响磋商</w:t>
      </w:r>
      <w:r>
        <w:rPr>
          <w:rFonts w:ascii="宋体" w:hAnsi="宋体"/>
          <w:sz w:val="24"/>
          <w:szCs w:val="24"/>
        </w:rPr>
        <w:t>程序</w:t>
      </w:r>
      <w:r>
        <w:rPr>
          <w:rFonts w:hint="eastAsia" w:ascii="宋体" w:hAnsi="宋体"/>
          <w:sz w:val="24"/>
          <w:szCs w:val="24"/>
        </w:rPr>
        <w:t>正常进行；</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五</w:t>
      </w:r>
      <w:r>
        <w:rPr>
          <w:rFonts w:ascii="宋体" w:hAnsi="宋体"/>
          <w:sz w:val="24"/>
          <w:szCs w:val="24"/>
        </w:rPr>
        <w:t>、</w:t>
      </w:r>
      <w:r>
        <w:rPr>
          <w:rFonts w:hint="eastAsia" w:ascii="宋体" w:hAnsi="宋体"/>
          <w:sz w:val="24"/>
          <w:szCs w:val="24"/>
        </w:rPr>
        <w:t>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六</w:t>
      </w:r>
      <w:r>
        <w:rPr>
          <w:rFonts w:ascii="宋体" w:hAnsi="宋体"/>
          <w:sz w:val="24"/>
          <w:szCs w:val="24"/>
        </w:rPr>
        <w:t>、</w:t>
      </w:r>
      <w:r>
        <w:rPr>
          <w:rFonts w:hint="eastAsia" w:ascii="宋体" w:hAnsi="宋体"/>
          <w:sz w:val="24"/>
          <w:szCs w:val="24"/>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在评审过程中和评审结束后，不得记录、复制或带走任何评审资料，不得向外界透露评审内容；</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八</w:t>
      </w:r>
      <w:r>
        <w:rPr>
          <w:rFonts w:ascii="宋体" w:hAnsi="宋体"/>
          <w:sz w:val="24"/>
          <w:szCs w:val="24"/>
        </w:rPr>
        <w:t>、</w:t>
      </w:r>
      <w:r>
        <w:rPr>
          <w:rFonts w:hint="eastAsia" w:ascii="宋体" w:hAnsi="宋体"/>
          <w:sz w:val="24"/>
          <w:szCs w:val="24"/>
        </w:rPr>
        <w:t>评审现场服从采购代理机构工作人员的管理，接受现场监督人员的合法监督；</w:t>
      </w:r>
    </w:p>
    <w:p>
      <w:pPr>
        <w:tabs>
          <w:tab w:val="left" w:pos="7665"/>
        </w:tabs>
        <w:spacing w:line="400" w:lineRule="exact"/>
        <w:ind w:firstLine="480" w:firstLineChars="200"/>
        <w:rPr>
          <w:rFonts w:ascii="宋体" w:hAnsi="宋体"/>
          <w:sz w:val="24"/>
          <w:szCs w:val="24"/>
        </w:rPr>
      </w:pPr>
      <w:r>
        <w:rPr>
          <w:rFonts w:hint="eastAsia" w:ascii="宋体" w:hAnsi="宋体"/>
          <w:sz w:val="24"/>
          <w:szCs w:val="24"/>
        </w:rPr>
        <w:t>九</w:t>
      </w:r>
      <w:r>
        <w:rPr>
          <w:rFonts w:ascii="宋体" w:hAnsi="宋体"/>
          <w:sz w:val="24"/>
          <w:szCs w:val="24"/>
        </w:rPr>
        <w:t>、</w:t>
      </w:r>
      <w:r>
        <w:rPr>
          <w:rFonts w:hint="eastAsia" w:ascii="宋体" w:hAnsi="宋体"/>
          <w:sz w:val="24"/>
          <w:szCs w:val="24"/>
        </w:rPr>
        <w:t>遵守有关廉洁自律规定，不得私下接触供应商，不得收受供应商及有关业务单位和个人的财物或好处，不得接受采购代理机构的请托。</w:t>
      </w: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pPr>
    </w:p>
    <w:p>
      <w:pPr>
        <w:pStyle w:val="156"/>
        <w:rPr>
          <w:color w:val="auto"/>
          <w:sz w:val="22"/>
          <w:szCs w:val="22"/>
        </w:rPr>
        <w:sectPr>
          <w:pgSz w:w="11906" w:h="16838"/>
          <w:pgMar w:top="1440" w:right="1797" w:bottom="1440" w:left="1797" w:header="851" w:footer="992" w:gutter="0"/>
          <w:cols w:space="425" w:num="1"/>
          <w:docGrid w:type="lines" w:linePitch="312" w:charSpace="0"/>
        </w:sectPr>
      </w:pPr>
    </w:p>
    <w:p>
      <w:pPr>
        <w:pStyle w:val="156"/>
        <w:rPr>
          <w:color w:val="auto"/>
          <w:sz w:val="22"/>
          <w:szCs w:val="22"/>
        </w:rPr>
      </w:pPr>
    </w:p>
    <w:p>
      <w:pPr>
        <w:pStyle w:val="4"/>
        <w:widowControl/>
        <w:numPr>
          <w:ilvl w:val="0"/>
          <w:numId w:val="5"/>
        </w:numPr>
        <w:spacing w:before="0" w:after="0" w:line="360" w:lineRule="auto"/>
        <w:ind w:left="0" w:firstLine="0"/>
        <w:rPr>
          <w:sz w:val="28"/>
          <w:szCs w:val="28"/>
        </w:rPr>
      </w:pPr>
      <w:bookmarkStart w:id="162" w:name="_Toc58943354"/>
      <w:bookmarkStart w:id="163" w:name="_Toc79742143"/>
      <w:r>
        <w:rPr>
          <w:rFonts w:hint="eastAsia"/>
          <w:sz w:val="28"/>
          <w:szCs w:val="28"/>
        </w:rPr>
        <w:t>合同草案条款</w:t>
      </w:r>
      <w:bookmarkEnd w:id="90"/>
      <w:bookmarkEnd w:id="91"/>
      <w:bookmarkEnd w:id="92"/>
      <w:bookmarkEnd w:id="93"/>
      <w:bookmarkEnd w:id="162"/>
      <w:bookmarkEnd w:id="163"/>
    </w:p>
    <w:p>
      <w:pPr>
        <w:rPr>
          <w:rFonts w:hint="eastAsia"/>
          <w:sz w:val="28"/>
          <w:szCs w:val="28"/>
        </w:rPr>
      </w:pPr>
    </w:p>
    <w:p>
      <w:pPr>
        <w:pStyle w:val="2"/>
        <w:spacing w:before="1"/>
        <w:ind w:left="742"/>
      </w:pPr>
      <w:r>
        <w:t>（说明：本合同由采购人和投标人根据《中华人民共和国民法典》及《政府采购需求管理办法》</w:t>
      </w:r>
    </w:p>
    <w:p>
      <w:pPr>
        <w:pStyle w:val="2"/>
        <w:spacing w:before="43"/>
        <w:ind w:left="319"/>
      </w:pPr>
      <w:r>
        <w:t>（财库〔</w:t>
      </w:r>
      <w:r>
        <w:rPr>
          <w:rFonts w:ascii="Times New Roman" w:eastAsia="Times New Roman"/>
        </w:rPr>
        <w:t>2021</w:t>
      </w:r>
      <w:r>
        <w:t>〕</w:t>
      </w:r>
      <w:r>
        <w:rPr>
          <w:rFonts w:ascii="Times New Roman" w:eastAsia="Times New Roman"/>
        </w:rPr>
        <w:t xml:space="preserve">22 </w:t>
      </w:r>
      <w:r>
        <w:t>号）等相关规定，按照采购文件的要求和投标文件的响应科学合理签订）</w:t>
      </w:r>
    </w:p>
    <w:p>
      <w:pPr>
        <w:pStyle w:val="2"/>
        <w:spacing w:before="8"/>
        <w:rPr>
          <w:sz w:val="27"/>
        </w:rPr>
      </w:pPr>
    </w:p>
    <w:p>
      <w:pPr>
        <w:pStyle w:val="2"/>
        <w:spacing w:before="1" w:line="278" w:lineRule="auto"/>
        <w:ind w:left="742" w:right="7893"/>
        <w:rPr>
          <w:rFonts w:ascii="Times New Roman" w:eastAsia="Times New Roman"/>
        </w:rPr>
      </w:pPr>
      <w:r>
        <w:t>合同编号：</w:t>
      </w:r>
      <w:r>
        <w:rPr>
          <w:rFonts w:ascii="Times New Roman" w:eastAsia="Times New Roman"/>
        </w:rPr>
        <w:t xml:space="preserve">XXX </w:t>
      </w:r>
      <w:r>
        <w:t>签订地点：</w:t>
      </w:r>
      <w:r>
        <w:rPr>
          <w:rFonts w:ascii="Times New Roman" w:eastAsia="Times New Roman"/>
        </w:rPr>
        <w:t>XXX</w:t>
      </w:r>
    </w:p>
    <w:p>
      <w:pPr>
        <w:pStyle w:val="2"/>
        <w:spacing w:line="278" w:lineRule="auto"/>
        <w:ind w:left="742" w:right="6240"/>
        <w:rPr>
          <w:rFonts w:ascii="Times New Roman" w:eastAsia="Times New Roman"/>
        </w:rPr>
      </w:pPr>
      <w:r>
        <w:t>签订时间：</w:t>
      </w:r>
      <w:r>
        <w:rPr>
          <w:rFonts w:ascii="Times New Roman" w:eastAsia="Times New Roman"/>
        </w:rPr>
        <w:t>XXXX</w:t>
      </w:r>
      <w:r>
        <w:rPr>
          <w:rFonts w:ascii="Times New Roman" w:eastAsia="Times New Roman"/>
          <w:spacing w:val="3"/>
        </w:rPr>
        <w:t xml:space="preserve"> </w:t>
      </w:r>
      <w:r>
        <w:rPr>
          <w:spacing w:val="48"/>
        </w:rPr>
        <w:t>年</w:t>
      </w:r>
      <w:r>
        <w:rPr>
          <w:rFonts w:ascii="Times New Roman" w:eastAsia="Times New Roman"/>
        </w:rPr>
        <w:t>XX</w:t>
      </w:r>
      <w:r>
        <w:rPr>
          <w:rFonts w:ascii="Times New Roman" w:eastAsia="Times New Roman"/>
          <w:spacing w:val="-1"/>
        </w:rPr>
        <w:t xml:space="preserve"> </w:t>
      </w:r>
      <w:r>
        <w:rPr>
          <w:spacing w:val="-26"/>
        </w:rPr>
        <w:t xml:space="preserve">月 </w:t>
      </w:r>
      <w:r>
        <w:rPr>
          <w:rFonts w:ascii="Times New Roman" w:eastAsia="Times New Roman"/>
        </w:rPr>
        <w:t>XX</w:t>
      </w:r>
      <w:r>
        <w:rPr>
          <w:rFonts w:ascii="Times New Roman" w:eastAsia="Times New Roman"/>
          <w:spacing w:val="-2"/>
        </w:rPr>
        <w:t xml:space="preserve"> </w:t>
      </w:r>
      <w:r>
        <w:rPr>
          <w:spacing w:val="-12"/>
        </w:rPr>
        <w:t>日</w:t>
      </w:r>
      <w:r>
        <w:rPr>
          <w:w w:val="100"/>
        </w:rPr>
        <w:t>采购人（</w:t>
      </w:r>
      <w:r>
        <w:rPr>
          <w:spacing w:val="-3"/>
          <w:w w:val="100"/>
        </w:rPr>
        <w:t>甲方</w:t>
      </w:r>
      <w:r>
        <w:rPr>
          <w:spacing w:val="-106"/>
          <w:w w:val="100"/>
        </w:rPr>
        <w:t>）</w:t>
      </w:r>
      <w:r>
        <w:rPr>
          <w:w w:val="100"/>
        </w:rPr>
        <w:t>：</w:t>
      </w:r>
      <w:r>
        <w:rPr>
          <w:rFonts w:ascii="Times New Roman" w:eastAsia="Times New Roman"/>
          <w:spacing w:val="-4"/>
          <w:w w:val="100"/>
        </w:rPr>
        <w:t>X</w:t>
      </w:r>
      <w:r>
        <w:rPr>
          <w:rFonts w:ascii="Times New Roman" w:eastAsia="Times New Roman"/>
          <w:w w:val="100"/>
        </w:rPr>
        <w:t>XX</w:t>
      </w:r>
    </w:p>
    <w:p>
      <w:pPr>
        <w:pStyle w:val="2"/>
        <w:spacing w:line="269" w:lineRule="exact"/>
        <w:ind w:left="742"/>
        <w:rPr>
          <w:rFonts w:ascii="Times New Roman" w:eastAsia="Times New Roman"/>
        </w:rPr>
      </w:pPr>
      <w:r>
        <w:rPr>
          <w:w w:val="100"/>
        </w:rPr>
        <w:t>投标人（</w:t>
      </w:r>
      <w:r>
        <w:rPr>
          <w:spacing w:val="-3"/>
          <w:w w:val="100"/>
        </w:rPr>
        <w:t>乙方</w:t>
      </w:r>
      <w:r>
        <w:rPr>
          <w:spacing w:val="-106"/>
          <w:w w:val="100"/>
        </w:rPr>
        <w:t>）</w:t>
      </w:r>
      <w:r>
        <w:rPr>
          <w:w w:val="100"/>
        </w:rPr>
        <w:t>：</w:t>
      </w:r>
      <w:r>
        <w:rPr>
          <w:rFonts w:ascii="Times New Roman" w:eastAsia="Times New Roman"/>
          <w:spacing w:val="-4"/>
          <w:w w:val="100"/>
        </w:rPr>
        <w:t>X</w:t>
      </w:r>
      <w:r>
        <w:rPr>
          <w:rFonts w:ascii="Times New Roman" w:eastAsia="Times New Roman"/>
          <w:w w:val="100"/>
        </w:rPr>
        <w:t>XX</w:t>
      </w:r>
    </w:p>
    <w:p>
      <w:pPr>
        <w:pStyle w:val="2"/>
        <w:spacing w:before="9"/>
        <w:rPr>
          <w:rFonts w:ascii="Times New Roman"/>
          <w:sz w:val="30"/>
        </w:rPr>
      </w:pPr>
    </w:p>
    <w:p>
      <w:pPr>
        <w:pStyle w:val="2"/>
        <w:spacing w:before="1" w:line="278" w:lineRule="auto"/>
        <w:ind w:left="319" w:right="641" w:firstLine="422"/>
      </w:pPr>
      <w:r>
        <w:rPr>
          <w:spacing w:val="-17"/>
        </w:rPr>
        <w:t xml:space="preserve">根据《中华人民共和国政府采购法》、《中华人民共和国民法典》及 </w:t>
      </w:r>
      <w:r>
        <w:rPr>
          <w:rFonts w:ascii="Times New Roman" w:eastAsia="Times New Roman"/>
        </w:rPr>
        <w:t xml:space="preserve">XXX </w:t>
      </w:r>
      <w:r>
        <w:rPr>
          <w:spacing w:val="-2"/>
        </w:rPr>
        <w:t>采购项目</w:t>
      </w:r>
      <w:r>
        <w:t>（</w:t>
      </w:r>
      <w:r>
        <w:rPr>
          <w:spacing w:val="-4"/>
        </w:rPr>
        <w:t xml:space="preserve">项目编号： </w:t>
      </w:r>
      <w:r>
        <w:rPr>
          <w:rFonts w:ascii="Times New Roman" w:eastAsia="Times New Roman"/>
        </w:rPr>
        <w:t>XXX</w:t>
      </w:r>
      <w:r>
        <w:t>）</w:t>
      </w:r>
      <w:r>
        <w:rPr>
          <w:spacing w:val="-15"/>
        </w:rPr>
        <w:t>的《招标文件》、乙方的《投标文件》及《中标通知书》，甲、乙双方同意签订本合同。详细技术说明及其他有关合同项目的特定信息由合同附件予以说明，合同附件及本项目的招标文件、投</w:t>
      </w:r>
      <w:r>
        <w:rPr>
          <w:spacing w:val="-14"/>
        </w:rPr>
        <w:t>标文件、《中标通知书》等均为本合同不可分割的部分。双方同意共同遵守如下条款：</w:t>
      </w:r>
    </w:p>
    <w:p>
      <w:pPr>
        <w:bidi w:val="0"/>
      </w:pPr>
      <w:r>
        <w:t>一、合同货物</w:t>
      </w:r>
    </w:p>
    <w:tbl>
      <w:tblPr>
        <w:tblStyle w:val="41"/>
        <w:tblW w:w="9292" w:type="dxa"/>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831"/>
        <w:gridCol w:w="576"/>
        <w:gridCol w:w="576"/>
        <w:gridCol w:w="1191"/>
        <w:gridCol w:w="1186"/>
        <w:gridCol w:w="831"/>
        <w:gridCol w:w="706"/>
        <w:gridCol w:w="705"/>
        <w:gridCol w:w="701"/>
        <w:gridCol w:w="576"/>
        <w:gridCol w:w="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36" w:type="dxa"/>
            <w:vMerge w:val="restart"/>
          </w:tcPr>
          <w:p>
            <w:pPr>
              <w:pStyle w:val="287"/>
              <w:spacing w:before="1"/>
              <w:rPr>
                <w:b/>
                <w:sz w:val="19"/>
              </w:rPr>
            </w:pPr>
          </w:p>
          <w:p>
            <w:pPr>
              <w:pStyle w:val="287"/>
              <w:spacing w:before="1" w:line="266" w:lineRule="auto"/>
              <w:ind w:left="196" w:right="185"/>
              <w:rPr>
                <w:b/>
                <w:sz w:val="22"/>
              </w:rPr>
            </w:pPr>
            <w:r>
              <w:rPr>
                <w:b/>
                <w:sz w:val="22"/>
              </w:rPr>
              <w:t>货物品名</w:t>
            </w:r>
          </w:p>
        </w:tc>
        <w:tc>
          <w:tcPr>
            <w:tcW w:w="831" w:type="dxa"/>
            <w:vMerge w:val="restart"/>
          </w:tcPr>
          <w:p>
            <w:pPr>
              <w:pStyle w:val="287"/>
              <w:spacing w:before="1"/>
              <w:rPr>
                <w:b/>
                <w:sz w:val="19"/>
              </w:rPr>
            </w:pPr>
          </w:p>
          <w:p>
            <w:pPr>
              <w:pStyle w:val="287"/>
              <w:spacing w:before="1" w:line="266" w:lineRule="auto"/>
              <w:ind w:left="196" w:right="181"/>
              <w:rPr>
                <w:b/>
                <w:sz w:val="22"/>
              </w:rPr>
            </w:pPr>
            <w:r>
              <w:rPr>
                <w:b/>
                <w:sz w:val="22"/>
              </w:rPr>
              <w:t>规格型号</w:t>
            </w:r>
          </w:p>
        </w:tc>
        <w:tc>
          <w:tcPr>
            <w:tcW w:w="576" w:type="dxa"/>
            <w:vMerge w:val="restart"/>
          </w:tcPr>
          <w:p>
            <w:pPr>
              <w:pStyle w:val="287"/>
              <w:spacing w:before="1"/>
              <w:rPr>
                <w:b/>
                <w:sz w:val="19"/>
              </w:rPr>
            </w:pPr>
          </w:p>
          <w:p>
            <w:pPr>
              <w:pStyle w:val="287"/>
              <w:spacing w:before="1" w:line="266" w:lineRule="auto"/>
              <w:ind w:left="176" w:right="166"/>
              <w:rPr>
                <w:b/>
                <w:sz w:val="22"/>
              </w:rPr>
            </w:pPr>
            <w:r>
              <w:rPr>
                <w:b/>
                <w:sz w:val="22"/>
              </w:rPr>
              <w:t>单位</w:t>
            </w:r>
          </w:p>
        </w:tc>
        <w:tc>
          <w:tcPr>
            <w:tcW w:w="576" w:type="dxa"/>
            <w:vMerge w:val="restart"/>
            <w:tcBorders>
              <w:right w:val="single" w:color="000000" w:sz="6" w:space="0"/>
            </w:tcBorders>
          </w:tcPr>
          <w:p>
            <w:pPr>
              <w:pStyle w:val="287"/>
              <w:spacing w:before="1"/>
              <w:rPr>
                <w:b/>
                <w:sz w:val="19"/>
              </w:rPr>
            </w:pPr>
          </w:p>
          <w:p>
            <w:pPr>
              <w:pStyle w:val="287"/>
              <w:spacing w:before="1" w:line="266" w:lineRule="auto"/>
              <w:ind w:left="176" w:right="163"/>
              <w:rPr>
                <w:b/>
                <w:sz w:val="22"/>
              </w:rPr>
            </w:pPr>
            <w:r>
              <w:rPr>
                <w:b/>
                <w:sz w:val="22"/>
              </w:rPr>
              <w:t>数量</w:t>
            </w:r>
          </w:p>
        </w:tc>
        <w:tc>
          <w:tcPr>
            <w:tcW w:w="1191" w:type="dxa"/>
            <w:vMerge w:val="restart"/>
            <w:tcBorders>
              <w:left w:val="single" w:color="000000" w:sz="6" w:space="0"/>
            </w:tcBorders>
          </w:tcPr>
          <w:p>
            <w:pPr>
              <w:pStyle w:val="287"/>
              <w:spacing w:before="1"/>
              <w:rPr>
                <w:b/>
                <w:sz w:val="19"/>
              </w:rPr>
            </w:pPr>
          </w:p>
          <w:p>
            <w:pPr>
              <w:pStyle w:val="287"/>
              <w:spacing w:before="1" w:line="266" w:lineRule="auto"/>
              <w:ind w:left="371" w:right="142" w:hanging="221"/>
              <w:rPr>
                <w:b/>
                <w:sz w:val="22"/>
              </w:rPr>
            </w:pPr>
            <w:r>
              <w:rPr>
                <w:b/>
                <w:sz w:val="22"/>
              </w:rPr>
              <w:t>单价（万元）</w:t>
            </w:r>
          </w:p>
        </w:tc>
        <w:tc>
          <w:tcPr>
            <w:tcW w:w="1186" w:type="dxa"/>
            <w:vMerge w:val="restart"/>
          </w:tcPr>
          <w:p>
            <w:pPr>
              <w:pStyle w:val="287"/>
              <w:spacing w:before="1"/>
              <w:rPr>
                <w:b/>
                <w:sz w:val="19"/>
              </w:rPr>
            </w:pPr>
          </w:p>
          <w:p>
            <w:pPr>
              <w:pStyle w:val="287"/>
              <w:spacing w:before="1" w:line="266" w:lineRule="auto"/>
              <w:ind w:left="374" w:right="137" w:hanging="221"/>
              <w:rPr>
                <w:b/>
                <w:sz w:val="22"/>
              </w:rPr>
            </w:pPr>
            <w:r>
              <w:rPr>
                <w:b/>
                <w:sz w:val="22"/>
              </w:rPr>
              <w:t>总价（万元）</w:t>
            </w:r>
          </w:p>
        </w:tc>
        <w:tc>
          <w:tcPr>
            <w:tcW w:w="831" w:type="dxa"/>
            <w:vMerge w:val="restart"/>
          </w:tcPr>
          <w:p>
            <w:pPr>
              <w:pStyle w:val="287"/>
              <w:spacing w:before="1"/>
              <w:rPr>
                <w:b/>
                <w:sz w:val="19"/>
              </w:rPr>
            </w:pPr>
          </w:p>
          <w:p>
            <w:pPr>
              <w:pStyle w:val="287"/>
              <w:spacing w:before="1" w:line="266" w:lineRule="auto"/>
              <w:ind w:left="196" w:right="180"/>
              <w:rPr>
                <w:b/>
                <w:sz w:val="22"/>
              </w:rPr>
            </w:pPr>
            <w:r>
              <w:rPr>
                <w:b/>
                <w:sz w:val="22"/>
              </w:rPr>
              <w:t>随机配件</w:t>
            </w:r>
          </w:p>
        </w:tc>
        <w:tc>
          <w:tcPr>
            <w:tcW w:w="706" w:type="dxa"/>
            <w:vMerge w:val="restart"/>
          </w:tcPr>
          <w:p>
            <w:pPr>
              <w:pStyle w:val="287"/>
              <w:spacing w:before="1"/>
              <w:rPr>
                <w:b/>
                <w:sz w:val="19"/>
              </w:rPr>
            </w:pPr>
          </w:p>
          <w:p>
            <w:pPr>
              <w:pStyle w:val="287"/>
              <w:spacing w:before="1" w:line="266" w:lineRule="auto"/>
              <w:ind w:left="243" w:right="118" w:hanging="111"/>
              <w:rPr>
                <w:b/>
                <w:sz w:val="22"/>
              </w:rPr>
            </w:pPr>
            <w:r>
              <w:rPr>
                <w:b/>
                <w:sz w:val="22"/>
              </w:rPr>
              <w:t>交货期</w:t>
            </w:r>
          </w:p>
        </w:tc>
        <w:tc>
          <w:tcPr>
            <w:tcW w:w="2559" w:type="dxa"/>
            <w:gridSpan w:val="4"/>
          </w:tcPr>
          <w:p>
            <w:pPr>
              <w:pStyle w:val="287"/>
              <w:spacing w:before="82"/>
              <w:ind w:left="397"/>
              <w:rPr>
                <w:b/>
                <w:sz w:val="22"/>
              </w:rPr>
            </w:pPr>
            <w:r>
              <w:rPr>
                <w:b/>
                <w:sz w:val="22"/>
              </w:rPr>
              <w:t>资金来源（万元）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36" w:type="dxa"/>
            <w:vMerge w:val="continue"/>
            <w:tcBorders>
              <w:top w:val="nil"/>
            </w:tcBorders>
          </w:tcPr>
          <w:p>
            <w:pPr>
              <w:rPr>
                <w:sz w:val="2"/>
                <w:szCs w:val="2"/>
              </w:rPr>
            </w:pPr>
          </w:p>
        </w:tc>
        <w:tc>
          <w:tcPr>
            <w:tcW w:w="831" w:type="dxa"/>
            <w:vMerge w:val="continue"/>
            <w:tcBorders>
              <w:top w:val="nil"/>
            </w:tcBorders>
          </w:tcPr>
          <w:p>
            <w:pPr>
              <w:rPr>
                <w:sz w:val="2"/>
                <w:szCs w:val="2"/>
              </w:rPr>
            </w:pPr>
          </w:p>
        </w:tc>
        <w:tc>
          <w:tcPr>
            <w:tcW w:w="576" w:type="dxa"/>
            <w:vMerge w:val="continue"/>
            <w:tcBorders>
              <w:top w:val="nil"/>
            </w:tcBorders>
          </w:tcPr>
          <w:p>
            <w:pPr>
              <w:rPr>
                <w:sz w:val="2"/>
                <w:szCs w:val="2"/>
              </w:rPr>
            </w:pPr>
          </w:p>
        </w:tc>
        <w:tc>
          <w:tcPr>
            <w:tcW w:w="576" w:type="dxa"/>
            <w:vMerge w:val="continue"/>
            <w:tcBorders>
              <w:top w:val="nil"/>
              <w:right w:val="single" w:color="000000" w:sz="6" w:space="0"/>
            </w:tcBorders>
          </w:tcPr>
          <w:p>
            <w:pPr>
              <w:rPr>
                <w:sz w:val="2"/>
                <w:szCs w:val="2"/>
              </w:rPr>
            </w:pPr>
          </w:p>
        </w:tc>
        <w:tc>
          <w:tcPr>
            <w:tcW w:w="1191" w:type="dxa"/>
            <w:vMerge w:val="continue"/>
            <w:tcBorders>
              <w:top w:val="nil"/>
              <w:left w:val="single" w:color="000000" w:sz="6" w:space="0"/>
            </w:tcBorders>
          </w:tcPr>
          <w:p>
            <w:pPr>
              <w:rPr>
                <w:sz w:val="2"/>
                <w:szCs w:val="2"/>
              </w:rPr>
            </w:pPr>
          </w:p>
        </w:tc>
        <w:tc>
          <w:tcPr>
            <w:tcW w:w="1186" w:type="dxa"/>
            <w:vMerge w:val="continue"/>
            <w:tcBorders>
              <w:top w:val="nil"/>
            </w:tcBorders>
          </w:tcPr>
          <w:p>
            <w:pPr>
              <w:rPr>
                <w:sz w:val="2"/>
                <w:szCs w:val="2"/>
              </w:rPr>
            </w:pPr>
          </w:p>
        </w:tc>
        <w:tc>
          <w:tcPr>
            <w:tcW w:w="831" w:type="dxa"/>
            <w:vMerge w:val="continue"/>
            <w:tcBorders>
              <w:top w:val="nil"/>
            </w:tcBorders>
          </w:tcPr>
          <w:p>
            <w:pPr>
              <w:rPr>
                <w:sz w:val="2"/>
                <w:szCs w:val="2"/>
              </w:rPr>
            </w:pPr>
          </w:p>
        </w:tc>
        <w:tc>
          <w:tcPr>
            <w:tcW w:w="706" w:type="dxa"/>
            <w:vMerge w:val="continue"/>
            <w:tcBorders>
              <w:top w:val="nil"/>
            </w:tcBorders>
          </w:tcPr>
          <w:p>
            <w:pPr>
              <w:rPr>
                <w:sz w:val="2"/>
                <w:szCs w:val="2"/>
              </w:rPr>
            </w:pPr>
          </w:p>
        </w:tc>
        <w:tc>
          <w:tcPr>
            <w:tcW w:w="705" w:type="dxa"/>
          </w:tcPr>
          <w:p>
            <w:pPr>
              <w:pStyle w:val="287"/>
              <w:spacing w:before="15"/>
              <w:ind w:left="133"/>
              <w:rPr>
                <w:b/>
                <w:sz w:val="22"/>
              </w:rPr>
            </w:pPr>
            <w:r>
              <w:rPr>
                <w:b/>
                <w:sz w:val="22"/>
              </w:rPr>
              <w:t>预算</w:t>
            </w:r>
          </w:p>
          <w:p>
            <w:pPr>
              <w:pStyle w:val="287"/>
              <w:spacing w:before="30" w:line="277" w:lineRule="exact"/>
              <w:ind w:left="244"/>
              <w:rPr>
                <w:b/>
                <w:sz w:val="22"/>
              </w:rPr>
            </w:pPr>
            <w:r>
              <w:rPr>
                <w:b/>
                <w:w w:val="99"/>
                <w:sz w:val="22"/>
              </w:rPr>
              <w:t>内</w:t>
            </w:r>
          </w:p>
        </w:tc>
        <w:tc>
          <w:tcPr>
            <w:tcW w:w="701" w:type="dxa"/>
          </w:tcPr>
          <w:p>
            <w:pPr>
              <w:pStyle w:val="287"/>
              <w:spacing w:before="15"/>
              <w:ind w:left="129"/>
              <w:rPr>
                <w:b/>
                <w:sz w:val="22"/>
              </w:rPr>
            </w:pPr>
            <w:r>
              <w:rPr>
                <w:b/>
                <w:sz w:val="22"/>
              </w:rPr>
              <w:t>预算</w:t>
            </w:r>
          </w:p>
          <w:p>
            <w:pPr>
              <w:pStyle w:val="287"/>
              <w:spacing w:before="30" w:line="277" w:lineRule="exact"/>
              <w:ind w:left="239"/>
              <w:rPr>
                <w:b/>
                <w:sz w:val="22"/>
              </w:rPr>
            </w:pPr>
            <w:r>
              <w:rPr>
                <w:b/>
                <w:w w:val="99"/>
                <w:sz w:val="22"/>
              </w:rPr>
              <w:t>外</w:t>
            </w:r>
          </w:p>
        </w:tc>
        <w:tc>
          <w:tcPr>
            <w:tcW w:w="576" w:type="dxa"/>
          </w:tcPr>
          <w:p>
            <w:pPr>
              <w:pStyle w:val="287"/>
              <w:spacing w:before="15"/>
              <w:ind w:left="177"/>
              <w:rPr>
                <w:b/>
                <w:sz w:val="22"/>
              </w:rPr>
            </w:pPr>
            <w:r>
              <w:rPr>
                <w:b/>
                <w:w w:val="99"/>
                <w:sz w:val="22"/>
              </w:rPr>
              <w:t>自</w:t>
            </w:r>
          </w:p>
          <w:p>
            <w:pPr>
              <w:pStyle w:val="287"/>
              <w:spacing w:before="30" w:line="277" w:lineRule="exact"/>
              <w:ind w:left="177"/>
              <w:rPr>
                <w:b/>
                <w:sz w:val="22"/>
              </w:rPr>
            </w:pPr>
            <w:r>
              <w:rPr>
                <w:b/>
                <w:w w:val="99"/>
                <w:sz w:val="22"/>
              </w:rPr>
              <w:t>筹</w:t>
            </w:r>
          </w:p>
        </w:tc>
        <w:tc>
          <w:tcPr>
            <w:tcW w:w="577" w:type="dxa"/>
          </w:tcPr>
          <w:p>
            <w:pPr>
              <w:pStyle w:val="287"/>
              <w:spacing w:before="15"/>
              <w:ind w:left="177"/>
              <w:rPr>
                <w:b/>
                <w:sz w:val="22"/>
              </w:rPr>
            </w:pPr>
            <w:r>
              <w:rPr>
                <w:b/>
                <w:w w:val="99"/>
                <w:sz w:val="22"/>
              </w:rPr>
              <w:t>其</w:t>
            </w:r>
          </w:p>
          <w:p>
            <w:pPr>
              <w:pStyle w:val="287"/>
              <w:spacing w:before="30" w:line="277" w:lineRule="exact"/>
              <w:ind w:left="177"/>
              <w:rPr>
                <w:b/>
                <w:sz w:val="22"/>
              </w:rPr>
            </w:pPr>
            <w:r>
              <w:rPr>
                <w:b/>
                <w:w w:val="99"/>
                <w:sz w:val="22"/>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36" w:type="dxa"/>
          </w:tcPr>
          <w:p>
            <w:pPr>
              <w:pStyle w:val="287"/>
              <w:rPr>
                <w:rFonts w:ascii="Times New Roman"/>
                <w:sz w:val="20"/>
              </w:rPr>
            </w:pPr>
          </w:p>
        </w:tc>
        <w:tc>
          <w:tcPr>
            <w:tcW w:w="831" w:type="dxa"/>
          </w:tcPr>
          <w:p>
            <w:pPr>
              <w:pStyle w:val="287"/>
              <w:rPr>
                <w:rFonts w:ascii="Times New Roman"/>
                <w:sz w:val="20"/>
              </w:rPr>
            </w:pPr>
          </w:p>
        </w:tc>
        <w:tc>
          <w:tcPr>
            <w:tcW w:w="576" w:type="dxa"/>
          </w:tcPr>
          <w:p>
            <w:pPr>
              <w:pStyle w:val="287"/>
              <w:rPr>
                <w:rFonts w:ascii="Times New Roman"/>
                <w:sz w:val="20"/>
              </w:rPr>
            </w:pPr>
          </w:p>
        </w:tc>
        <w:tc>
          <w:tcPr>
            <w:tcW w:w="576" w:type="dxa"/>
            <w:tcBorders>
              <w:right w:val="single" w:color="000000" w:sz="6" w:space="0"/>
            </w:tcBorders>
          </w:tcPr>
          <w:p>
            <w:pPr>
              <w:pStyle w:val="287"/>
              <w:rPr>
                <w:rFonts w:ascii="Times New Roman"/>
                <w:sz w:val="20"/>
              </w:rPr>
            </w:pPr>
          </w:p>
        </w:tc>
        <w:tc>
          <w:tcPr>
            <w:tcW w:w="1191" w:type="dxa"/>
            <w:tcBorders>
              <w:left w:val="single" w:color="000000" w:sz="6" w:space="0"/>
            </w:tcBorders>
          </w:tcPr>
          <w:p>
            <w:pPr>
              <w:pStyle w:val="287"/>
              <w:rPr>
                <w:rFonts w:ascii="Times New Roman"/>
                <w:sz w:val="20"/>
              </w:rPr>
            </w:pPr>
          </w:p>
        </w:tc>
        <w:tc>
          <w:tcPr>
            <w:tcW w:w="1186" w:type="dxa"/>
          </w:tcPr>
          <w:p>
            <w:pPr>
              <w:pStyle w:val="287"/>
              <w:rPr>
                <w:rFonts w:ascii="Times New Roman"/>
                <w:sz w:val="20"/>
              </w:rPr>
            </w:pPr>
          </w:p>
        </w:tc>
        <w:tc>
          <w:tcPr>
            <w:tcW w:w="831" w:type="dxa"/>
          </w:tcPr>
          <w:p>
            <w:pPr>
              <w:pStyle w:val="287"/>
              <w:rPr>
                <w:rFonts w:ascii="Times New Roman"/>
                <w:sz w:val="20"/>
              </w:rPr>
            </w:pPr>
          </w:p>
        </w:tc>
        <w:tc>
          <w:tcPr>
            <w:tcW w:w="706" w:type="dxa"/>
          </w:tcPr>
          <w:p>
            <w:pPr>
              <w:pStyle w:val="287"/>
              <w:rPr>
                <w:rFonts w:ascii="Times New Roman"/>
                <w:sz w:val="20"/>
              </w:rPr>
            </w:pPr>
          </w:p>
        </w:tc>
        <w:tc>
          <w:tcPr>
            <w:tcW w:w="705" w:type="dxa"/>
          </w:tcPr>
          <w:p>
            <w:pPr>
              <w:pStyle w:val="287"/>
              <w:rPr>
                <w:rFonts w:ascii="Times New Roman"/>
                <w:sz w:val="20"/>
              </w:rPr>
            </w:pPr>
          </w:p>
        </w:tc>
        <w:tc>
          <w:tcPr>
            <w:tcW w:w="701" w:type="dxa"/>
          </w:tcPr>
          <w:p>
            <w:pPr>
              <w:pStyle w:val="287"/>
              <w:rPr>
                <w:rFonts w:ascii="Times New Roman"/>
                <w:sz w:val="20"/>
              </w:rPr>
            </w:pPr>
          </w:p>
        </w:tc>
        <w:tc>
          <w:tcPr>
            <w:tcW w:w="576" w:type="dxa"/>
          </w:tcPr>
          <w:p>
            <w:pPr>
              <w:pStyle w:val="287"/>
              <w:rPr>
                <w:rFonts w:ascii="Times New Roman"/>
                <w:sz w:val="20"/>
              </w:rPr>
            </w:pPr>
          </w:p>
        </w:tc>
        <w:tc>
          <w:tcPr>
            <w:tcW w:w="577" w:type="dxa"/>
          </w:tcPr>
          <w:p>
            <w:pPr>
              <w:pStyle w:val="28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36" w:type="dxa"/>
          </w:tcPr>
          <w:p>
            <w:pPr>
              <w:pStyle w:val="287"/>
              <w:spacing w:before="197"/>
              <w:ind w:left="9"/>
              <w:jc w:val="center"/>
              <w:rPr>
                <w:rFonts w:ascii="Times New Roman" w:hAnsi="Times New Roman"/>
                <w:sz w:val="22"/>
              </w:rPr>
            </w:pPr>
            <w:r>
              <w:rPr>
                <w:rFonts w:ascii="Times New Roman" w:hAnsi="Times New Roman"/>
                <w:w w:val="100"/>
                <w:sz w:val="22"/>
              </w:rPr>
              <w:t>…</w:t>
            </w:r>
          </w:p>
        </w:tc>
        <w:tc>
          <w:tcPr>
            <w:tcW w:w="831" w:type="dxa"/>
          </w:tcPr>
          <w:p>
            <w:pPr>
              <w:pStyle w:val="287"/>
              <w:spacing w:before="197"/>
              <w:ind w:left="13"/>
              <w:jc w:val="center"/>
              <w:rPr>
                <w:rFonts w:ascii="Times New Roman" w:hAnsi="Times New Roman"/>
                <w:sz w:val="22"/>
              </w:rPr>
            </w:pPr>
            <w:r>
              <w:rPr>
                <w:rFonts w:ascii="Times New Roman" w:hAnsi="Times New Roman"/>
                <w:w w:val="100"/>
                <w:sz w:val="22"/>
              </w:rPr>
              <w:t>…</w:t>
            </w:r>
          </w:p>
        </w:tc>
        <w:tc>
          <w:tcPr>
            <w:tcW w:w="576" w:type="dxa"/>
          </w:tcPr>
          <w:p>
            <w:pPr>
              <w:pStyle w:val="287"/>
              <w:spacing w:before="197"/>
              <w:ind w:left="176"/>
              <w:rPr>
                <w:rFonts w:ascii="Times New Roman" w:hAnsi="Times New Roman"/>
                <w:sz w:val="22"/>
              </w:rPr>
            </w:pPr>
            <w:r>
              <w:rPr>
                <w:rFonts w:ascii="Times New Roman" w:hAnsi="Times New Roman"/>
                <w:w w:val="100"/>
                <w:sz w:val="22"/>
              </w:rPr>
              <w:t>…</w:t>
            </w:r>
          </w:p>
        </w:tc>
        <w:tc>
          <w:tcPr>
            <w:tcW w:w="576" w:type="dxa"/>
            <w:tcBorders>
              <w:right w:val="single" w:color="000000" w:sz="6" w:space="0"/>
            </w:tcBorders>
          </w:tcPr>
          <w:p>
            <w:pPr>
              <w:pStyle w:val="287"/>
              <w:spacing w:before="197"/>
              <w:ind w:left="176"/>
              <w:rPr>
                <w:rFonts w:ascii="Times New Roman" w:hAnsi="Times New Roman"/>
                <w:sz w:val="22"/>
              </w:rPr>
            </w:pPr>
            <w:r>
              <w:rPr>
                <w:rFonts w:ascii="Times New Roman" w:hAnsi="Times New Roman"/>
                <w:w w:val="100"/>
                <w:sz w:val="22"/>
              </w:rPr>
              <w:t>…</w:t>
            </w:r>
          </w:p>
        </w:tc>
        <w:tc>
          <w:tcPr>
            <w:tcW w:w="1191" w:type="dxa"/>
            <w:tcBorders>
              <w:left w:val="single" w:color="000000" w:sz="6" w:space="0"/>
            </w:tcBorders>
          </w:tcPr>
          <w:p>
            <w:pPr>
              <w:pStyle w:val="287"/>
              <w:spacing w:before="197"/>
              <w:ind w:left="6"/>
              <w:jc w:val="center"/>
              <w:rPr>
                <w:rFonts w:ascii="Times New Roman" w:hAnsi="Times New Roman"/>
                <w:sz w:val="22"/>
              </w:rPr>
            </w:pPr>
            <w:r>
              <w:rPr>
                <w:rFonts w:ascii="Times New Roman" w:hAnsi="Times New Roman"/>
                <w:w w:val="100"/>
                <w:sz w:val="22"/>
              </w:rPr>
              <w:t>…</w:t>
            </w:r>
          </w:p>
        </w:tc>
        <w:tc>
          <w:tcPr>
            <w:tcW w:w="1186" w:type="dxa"/>
          </w:tcPr>
          <w:p>
            <w:pPr>
              <w:pStyle w:val="287"/>
              <w:spacing w:before="197"/>
              <w:ind w:left="13"/>
              <w:jc w:val="center"/>
              <w:rPr>
                <w:rFonts w:ascii="Times New Roman" w:hAnsi="Times New Roman"/>
                <w:sz w:val="22"/>
              </w:rPr>
            </w:pPr>
            <w:r>
              <w:rPr>
                <w:rFonts w:ascii="Times New Roman" w:hAnsi="Times New Roman"/>
                <w:w w:val="100"/>
                <w:sz w:val="22"/>
              </w:rPr>
              <w:t>…</w:t>
            </w:r>
          </w:p>
        </w:tc>
        <w:tc>
          <w:tcPr>
            <w:tcW w:w="831" w:type="dxa"/>
          </w:tcPr>
          <w:p>
            <w:pPr>
              <w:pStyle w:val="287"/>
              <w:spacing w:before="197"/>
              <w:ind w:left="13"/>
              <w:jc w:val="center"/>
              <w:rPr>
                <w:rFonts w:ascii="Times New Roman" w:hAnsi="Times New Roman"/>
                <w:sz w:val="22"/>
              </w:rPr>
            </w:pPr>
            <w:r>
              <w:rPr>
                <w:rFonts w:ascii="Times New Roman" w:hAnsi="Times New Roman"/>
                <w:w w:val="100"/>
                <w:sz w:val="22"/>
              </w:rPr>
              <w:t>…</w:t>
            </w:r>
          </w:p>
        </w:tc>
        <w:tc>
          <w:tcPr>
            <w:tcW w:w="706" w:type="dxa"/>
          </w:tcPr>
          <w:p>
            <w:pPr>
              <w:pStyle w:val="287"/>
              <w:spacing w:before="197"/>
              <w:ind w:left="243"/>
              <w:rPr>
                <w:rFonts w:ascii="Times New Roman" w:hAnsi="Times New Roman"/>
                <w:sz w:val="22"/>
              </w:rPr>
            </w:pPr>
            <w:r>
              <w:rPr>
                <w:rFonts w:ascii="Times New Roman" w:hAnsi="Times New Roman"/>
                <w:w w:val="100"/>
                <w:sz w:val="22"/>
              </w:rPr>
              <w:t>…</w:t>
            </w:r>
          </w:p>
        </w:tc>
        <w:tc>
          <w:tcPr>
            <w:tcW w:w="705" w:type="dxa"/>
          </w:tcPr>
          <w:p>
            <w:pPr>
              <w:pStyle w:val="287"/>
              <w:spacing w:before="197"/>
              <w:ind w:left="244"/>
              <w:rPr>
                <w:rFonts w:ascii="Times New Roman" w:hAnsi="Times New Roman"/>
                <w:sz w:val="22"/>
              </w:rPr>
            </w:pPr>
            <w:r>
              <w:rPr>
                <w:rFonts w:ascii="Times New Roman" w:hAnsi="Times New Roman"/>
                <w:w w:val="100"/>
                <w:sz w:val="22"/>
              </w:rPr>
              <w:t>…</w:t>
            </w:r>
          </w:p>
        </w:tc>
        <w:tc>
          <w:tcPr>
            <w:tcW w:w="701" w:type="dxa"/>
          </w:tcPr>
          <w:p>
            <w:pPr>
              <w:pStyle w:val="287"/>
              <w:spacing w:before="197"/>
              <w:ind w:left="239"/>
              <w:rPr>
                <w:rFonts w:ascii="Times New Roman" w:hAnsi="Times New Roman"/>
                <w:sz w:val="22"/>
              </w:rPr>
            </w:pPr>
            <w:r>
              <w:rPr>
                <w:rFonts w:ascii="Times New Roman" w:hAnsi="Times New Roman"/>
                <w:w w:val="100"/>
                <w:sz w:val="22"/>
              </w:rPr>
              <w:t>…</w:t>
            </w:r>
          </w:p>
        </w:tc>
        <w:tc>
          <w:tcPr>
            <w:tcW w:w="576" w:type="dxa"/>
          </w:tcPr>
          <w:p>
            <w:pPr>
              <w:pStyle w:val="287"/>
              <w:spacing w:before="197"/>
              <w:ind w:left="177"/>
              <w:rPr>
                <w:rFonts w:ascii="Times New Roman" w:hAnsi="Times New Roman"/>
                <w:sz w:val="22"/>
              </w:rPr>
            </w:pPr>
            <w:r>
              <w:rPr>
                <w:rFonts w:ascii="Times New Roman" w:hAnsi="Times New Roman"/>
                <w:w w:val="100"/>
                <w:sz w:val="22"/>
              </w:rPr>
              <w:t>…</w:t>
            </w:r>
          </w:p>
        </w:tc>
        <w:tc>
          <w:tcPr>
            <w:tcW w:w="577" w:type="dxa"/>
          </w:tcPr>
          <w:p>
            <w:pPr>
              <w:pStyle w:val="287"/>
              <w:spacing w:before="197"/>
              <w:ind w:left="177"/>
              <w:rPr>
                <w:rFonts w:ascii="Times New Roman" w:hAnsi="Times New Roman"/>
                <w:sz w:val="22"/>
              </w:rPr>
            </w:pPr>
            <w:r>
              <w:rPr>
                <w:rFonts w:ascii="Times New Roman" w:hAnsi="Times New Roman"/>
                <w:w w:val="100"/>
                <w:sz w:val="22"/>
              </w:rPr>
              <w:t>…</w:t>
            </w:r>
          </w:p>
        </w:tc>
      </w:tr>
    </w:tbl>
    <w:p>
      <w:pPr>
        <w:pStyle w:val="2"/>
        <w:spacing w:before="12"/>
        <w:rPr>
          <w:b/>
          <w:sz w:val="25"/>
        </w:rPr>
      </w:pPr>
    </w:p>
    <w:p>
      <w:pPr>
        <w:bidi w:val="0"/>
      </w:pPr>
      <w:r>
        <w:t>二、合同总价</w:t>
      </w:r>
    </w:p>
    <w:p>
      <w:pPr>
        <w:pStyle w:val="2"/>
        <w:spacing w:before="43" w:line="278" w:lineRule="auto"/>
        <w:ind w:left="319" w:right="743" w:firstLine="422"/>
        <w:jc w:val="both"/>
      </w:pPr>
      <w:r>
        <w:rPr>
          <w:spacing w:val="-2"/>
        </w:rPr>
        <w:t>合同总价为人民币大写：</w:t>
      </w:r>
      <w:r>
        <w:rPr>
          <w:rFonts w:ascii="Times New Roman" w:hAnsi="Times New Roman" w:eastAsia="Times New Roman"/>
        </w:rPr>
        <w:t xml:space="preserve">XXX </w:t>
      </w:r>
      <w:r>
        <w:rPr>
          <w:spacing w:val="-4"/>
        </w:rPr>
        <w:t xml:space="preserve">元，即 </w:t>
      </w:r>
      <w:r>
        <w:rPr>
          <w:rFonts w:ascii="Times New Roman" w:hAnsi="Times New Roman" w:eastAsia="Times New Roman"/>
          <w:spacing w:val="-6"/>
        </w:rPr>
        <w:t xml:space="preserve">RMB¥XXX </w:t>
      </w:r>
      <w:r>
        <w:rPr>
          <w:spacing w:val="-5"/>
        </w:rPr>
        <w:t>元；该合同总价已包括货物设计、材料、制</w:t>
      </w:r>
      <w:r>
        <w:rPr>
          <w:spacing w:val="-6"/>
        </w:rPr>
        <w:t>造、包装、运输、安装、调试、检测、验收合格交付使用之前及保修期内保修服务与备用物件等所</w:t>
      </w:r>
      <w:r>
        <w:rPr>
          <w:spacing w:val="-2"/>
        </w:rPr>
        <w:t>有其他有关各项的含税费用。本合同执行期间合同总价不变，甲方无须另向乙方支付本合同规定之</w:t>
      </w:r>
      <w:r>
        <w:rPr>
          <w:spacing w:val="-1"/>
        </w:rPr>
        <w:t>外的其他任何费用。</w:t>
      </w:r>
    </w:p>
    <w:p>
      <w:pPr>
        <w:pStyle w:val="2"/>
        <w:spacing w:before="5"/>
        <w:rPr>
          <w:sz w:val="24"/>
        </w:rPr>
      </w:pPr>
    </w:p>
    <w:p>
      <w:pPr>
        <w:bidi w:val="0"/>
      </w:pPr>
      <w:r>
        <w:t>三、质量要求</w:t>
      </w:r>
    </w:p>
    <w:p>
      <w:pPr>
        <w:pStyle w:val="288"/>
        <w:numPr>
          <w:ilvl w:val="0"/>
          <w:numId w:val="45"/>
        </w:numPr>
        <w:tabs>
          <w:tab w:val="left" w:pos="902"/>
        </w:tabs>
        <w:spacing w:before="43" w:after="0" w:line="278" w:lineRule="auto"/>
        <w:ind w:left="319" w:right="745" w:firstLine="422"/>
        <w:jc w:val="left"/>
        <w:rPr>
          <w:sz w:val="21"/>
        </w:rPr>
      </w:pPr>
      <w:r>
        <w:rPr>
          <w:spacing w:val="-3"/>
          <w:w w:val="100"/>
          <w:sz w:val="21"/>
        </w:rPr>
        <w:t>乙方应当提供全新的货物</w:t>
      </w:r>
      <w:r>
        <w:rPr>
          <w:w w:val="100"/>
          <w:sz w:val="21"/>
        </w:rPr>
        <w:t>（</w:t>
      </w:r>
      <w:r>
        <w:rPr>
          <w:spacing w:val="-3"/>
          <w:w w:val="100"/>
          <w:sz w:val="21"/>
        </w:rPr>
        <w:t>含零部件、配件等</w:t>
      </w:r>
      <w:r>
        <w:rPr>
          <w:spacing w:val="-111"/>
          <w:w w:val="100"/>
          <w:sz w:val="21"/>
        </w:rPr>
        <w:t>）</w:t>
      </w:r>
      <w:r>
        <w:rPr>
          <w:spacing w:val="-6"/>
          <w:w w:val="100"/>
          <w:sz w:val="21"/>
        </w:rPr>
        <w:t>，表面无划伤、无碰撞痕迹，且权属清楚，不</w:t>
      </w:r>
      <w:r>
        <w:rPr>
          <w:spacing w:val="-2"/>
          <w:sz w:val="21"/>
        </w:rPr>
        <w:t>得侵害他人的知识产权。</w:t>
      </w:r>
    </w:p>
    <w:p>
      <w:pPr>
        <w:pStyle w:val="288"/>
        <w:numPr>
          <w:ilvl w:val="0"/>
          <w:numId w:val="45"/>
        </w:numPr>
        <w:tabs>
          <w:tab w:val="left" w:pos="902"/>
        </w:tabs>
        <w:spacing w:before="0" w:after="0" w:line="278" w:lineRule="auto"/>
        <w:ind w:left="319" w:right="743" w:firstLine="422"/>
        <w:jc w:val="left"/>
        <w:rPr>
          <w:sz w:val="21"/>
        </w:rPr>
      </w:pPr>
      <w:r>
        <w:rPr>
          <w:spacing w:val="-2"/>
          <w:sz w:val="21"/>
        </w:rPr>
        <w:t>货物应当符合或优于国家</w:t>
      </w:r>
      <w:r>
        <w:rPr>
          <w:spacing w:val="-5"/>
          <w:sz w:val="21"/>
        </w:rPr>
        <w:t>（</w:t>
      </w:r>
      <w:r>
        <w:rPr>
          <w:sz w:val="21"/>
        </w:rPr>
        <w:t>行业）</w:t>
      </w:r>
      <w:r>
        <w:rPr>
          <w:rFonts w:ascii="Times New Roman" w:eastAsia="Times New Roman"/>
          <w:sz w:val="21"/>
        </w:rPr>
        <w:t>XXX</w:t>
      </w:r>
      <w:r>
        <w:rPr>
          <w:rFonts w:ascii="Times New Roman" w:eastAsia="Times New Roman"/>
          <w:spacing w:val="38"/>
          <w:sz w:val="21"/>
        </w:rPr>
        <w:t xml:space="preserve"> </w:t>
      </w:r>
      <w:r>
        <w:rPr>
          <w:spacing w:val="-6"/>
          <w:sz w:val="21"/>
        </w:rPr>
        <w:t>标准，以及本项目招标文件的质量要求和技术指标与</w:t>
      </w:r>
      <w:r>
        <w:rPr>
          <w:sz w:val="21"/>
        </w:rPr>
        <w:t>出厂标准。</w:t>
      </w:r>
    </w:p>
    <w:p>
      <w:pPr>
        <w:pStyle w:val="288"/>
        <w:numPr>
          <w:ilvl w:val="0"/>
          <w:numId w:val="45"/>
        </w:numPr>
        <w:tabs>
          <w:tab w:val="left" w:pos="902"/>
        </w:tabs>
        <w:spacing w:before="0" w:after="0" w:line="278" w:lineRule="auto"/>
        <w:ind w:left="319" w:right="744" w:firstLine="422"/>
        <w:jc w:val="both"/>
        <w:rPr>
          <w:sz w:val="21"/>
        </w:rPr>
      </w:pPr>
      <w:r>
        <w:rPr>
          <w:spacing w:val="-6"/>
          <w:sz w:val="21"/>
        </w:rPr>
        <w:t xml:space="preserve">乙方应当在本合同签订之日起 </w:t>
      </w:r>
      <w:r>
        <w:rPr>
          <w:rFonts w:ascii="Times New Roman" w:eastAsia="Times New Roman"/>
          <w:sz w:val="21"/>
        </w:rPr>
        <w:t>XXX</w:t>
      </w:r>
      <w:r>
        <w:rPr>
          <w:rFonts w:ascii="Times New Roman" w:eastAsia="Times New Roman"/>
          <w:spacing w:val="19"/>
          <w:sz w:val="21"/>
        </w:rPr>
        <w:t xml:space="preserve"> </w:t>
      </w:r>
      <w:r>
        <w:rPr>
          <w:spacing w:val="-9"/>
          <w:sz w:val="21"/>
        </w:rPr>
        <w:t>日内送交货物成品样品给甲方确认，在甲方出具样品确认</w:t>
      </w:r>
      <w:r>
        <w:rPr>
          <w:spacing w:val="-2"/>
          <w:sz w:val="21"/>
        </w:rPr>
        <w:t>书并封存成品样品外观尺寸后，乙方才能按样生产，并以此样品作为验收样品；每台货物上均应有产品质量检验合格标志。</w:t>
      </w:r>
    </w:p>
    <w:p>
      <w:pPr>
        <w:pStyle w:val="288"/>
        <w:numPr>
          <w:ilvl w:val="0"/>
          <w:numId w:val="45"/>
        </w:numPr>
        <w:tabs>
          <w:tab w:val="left" w:pos="902"/>
        </w:tabs>
        <w:spacing w:before="0" w:after="0" w:line="278" w:lineRule="auto"/>
        <w:ind w:left="319" w:right="742" w:firstLine="422"/>
        <w:jc w:val="left"/>
        <w:rPr>
          <w:sz w:val="21"/>
        </w:rPr>
      </w:pPr>
      <w:r>
        <w:rPr>
          <w:spacing w:val="-5"/>
          <w:w w:val="100"/>
          <w:sz w:val="21"/>
        </w:rPr>
        <w:t>货物制造质量出现问题，乙方应负责三包</w:t>
      </w:r>
      <w:r>
        <w:rPr>
          <w:w w:val="100"/>
          <w:sz w:val="21"/>
        </w:rPr>
        <w:t>（</w:t>
      </w:r>
      <w:r>
        <w:rPr>
          <w:spacing w:val="-4"/>
          <w:w w:val="100"/>
          <w:sz w:val="21"/>
        </w:rPr>
        <w:t>包修、包换、包退</w:t>
      </w:r>
      <w:r>
        <w:rPr>
          <w:spacing w:val="-106"/>
          <w:w w:val="100"/>
          <w:sz w:val="21"/>
        </w:rPr>
        <w:t>）</w:t>
      </w:r>
      <w:r>
        <w:rPr>
          <w:spacing w:val="-6"/>
          <w:w w:val="100"/>
          <w:sz w:val="21"/>
        </w:rPr>
        <w:t>，费用由乙方负担，甲方有权</w:t>
      </w:r>
      <w:r>
        <w:rPr>
          <w:spacing w:val="-4"/>
          <w:sz w:val="21"/>
        </w:rPr>
        <w:t>到乙方生产场地检查货物质量和生产进度。</w:t>
      </w:r>
    </w:p>
    <w:p>
      <w:pPr>
        <w:pStyle w:val="288"/>
        <w:numPr>
          <w:ilvl w:val="0"/>
          <w:numId w:val="45"/>
        </w:numPr>
        <w:tabs>
          <w:tab w:val="left" w:pos="902"/>
        </w:tabs>
        <w:spacing w:before="0" w:after="0" w:line="240" w:lineRule="auto"/>
        <w:ind w:left="902" w:right="0" w:hanging="160"/>
        <w:jc w:val="left"/>
        <w:rPr>
          <w:sz w:val="21"/>
        </w:rPr>
      </w:pPr>
      <w:r>
        <w:rPr>
          <w:spacing w:val="-5"/>
          <w:sz w:val="21"/>
        </w:rPr>
        <w:t>货物到现场后由于甲方保管不当造成的质量问题，乙方亦应负责修理，但费用由甲方负担。</w:t>
      </w:r>
    </w:p>
    <w:p>
      <w:pPr>
        <w:pStyle w:val="2"/>
        <w:rPr>
          <w:sz w:val="8"/>
        </w:rPr>
      </w:pPr>
    </w:p>
    <w:p>
      <w:pPr>
        <w:bidi w:val="0"/>
      </w:pPr>
      <w:r>
        <w:t>四、交货及验收</w:t>
      </w:r>
    </w:p>
    <w:p>
      <w:pPr>
        <w:pStyle w:val="288"/>
        <w:numPr>
          <w:ilvl w:val="0"/>
          <w:numId w:val="46"/>
        </w:numPr>
        <w:tabs>
          <w:tab w:val="left" w:pos="902"/>
        </w:tabs>
        <w:spacing w:before="0" w:after="0" w:line="278" w:lineRule="auto"/>
        <w:ind w:left="319" w:right="745" w:firstLine="422"/>
        <w:jc w:val="both"/>
        <w:rPr>
          <w:sz w:val="21"/>
          <w:highlight w:val="yellow"/>
        </w:rPr>
      </w:pPr>
      <w:r>
        <w:rPr>
          <w:rFonts w:hint="eastAsia"/>
          <w:spacing w:val="-6"/>
          <w:sz w:val="21"/>
          <w:highlight w:val="yellow"/>
          <w:lang w:val="en-US" w:eastAsia="zh-CN"/>
        </w:rPr>
        <w:t>严格按照磋商文件相关要求执行</w:t>
      </w:r>
      <w:r>
        <w:rPr>
          <w:spacing w:val="-6"/>
          <w:sz w:val="21"/>
          <w:highlight w:val="yellow"/>
        </w:rPr>
        <w:t>。</w:t>
      </w:r>
    </w:p>
    <w:p>
      <w:pPr>
        <w:pStyle w:val="288"/>
        <w:numPr>
          <w:ilvl w:val="0"/>
          <w:numId w:val="46"/>
        </w:numPr>
        <w:tabs>
          <w:tab w:val="left" w:pos="902"/>
        </w:tabs>
        <w:spacing w:before="0" w:after="0" w:line="269" w:lineRule="exact"/>
        <w:ind w:left="902" w:right="0" w:hanging="160"/>
        <w:jc w:val="left"/>
        <w:rPr>
          <w:sz w:val="21"/>
        </w:rPr>
      </w:pPr>
      <w:r>
        <w:rPr>
          <w:spacing w:val="-5"/>
          <w:sz w:val="21"/>
        </w:rPr>
        <w:t>其他未尽事宜应严格按照《财政部关于进一步加强政府采购需求和履约验收管理的指导意见》</w:t>
      </w:r>
    </w:p>
    <w:p>
      <w:pPr>
        <w:pStyle w:val="2"/>
        <w:spacing w:before="43"/>
        <w:ind w:left="319"/>
      </w:pPr>
      <w:r>
        <w:t>（财库〔</w:t>
      </w:r>
      <w:r>
        <w:rPr>
          <w:rFonts w:ascii="Times New Roman" w:eastAsia="Times New Roman"/>
        </w:rPr>
        <w:t>2016</w:t>
      </w:r>
      <w:r>
        <w:t>〕</w:t>
      </w:r>
      <w:r>
        <w:rPr>
          <w:rFonts w:ascii="Times New Roman" w:eastAsia="Times New Roman"/>
        </w:rPr>
        <w:t xml:space="preserve">205 </w:t>
      </w:r>
      <w:r>
        <w:t>号）的要求进行。</w:t>
      </w:r>
    </w:p>
    <w:p>
      <w:pPr>
        <w:pStyle w:val="2"/>
        <w:spacing w:before="10"/>
        <w:rPr>
          <w:sz w:val="27"/>
        </w:rPr>
      </w:pPr>
    </w:p>
    <w:p>
      <w:pPr>
        <w:bidi w:val="0"/>
      </w:pPr>
      <w:r>
        <w:t>五、付款方式</w:t>
      </w:r>
    </w:p>
    <w:p>
      <w:pPr>
        <w:pStyle w:val="288"/>
        <w:numPr>
          <w:ilvl w:val="0"/>
          <w:numId w:val="47"/>
        </w:numPr>
        <w:tabs>
          <w:tab w:val="left" w:pos="902"/>
        </w:tabs>
        <w:spacing w:before="43" w:after="0" w:line="278" w:lineRule="auto"/>
        <w:ind w:left="319" w:right="747" w:firstLine="422"/>
        <w:jc w:val="both"/>
        <w:rPr>
          <w:sz w:val="21"/>
        </w:rPr>
      </w:pPr>
      <w:r>
        <w:rPr>
          <w:sz w:val="21"/>
        </w:rPr>
        <w:t>甲方在本合同签订生效之日起接到乙方通知和票据凭证资料以及乙方交给甲方的合同履约保</w:t>
      </w:r>
      <w:r>
        <w:rPr>
          <w:spacing w:val="-13"/>
          <w:sz w:val="21"/>
        </w:rPr>
        <w:t>证金</w:t>
      </w:r>
      <w:r>
        <w:rPr>
          <w:sz w:val="21"/>
        </w:rPr>
        <w:t>（</w:t>
      </w:r>
      <w:r>
        <w:rPr>
          <w:spacing w:val="-8"/>
          <w:sz w:val="21"/>
        </w:rPr>
        <w:t xml:space="preserve">按合同总价的百分之 </w:t>
      </w:r>
      <w:r>
        <w:rPr>
          <w:rFonts w:ascii="Times New Roman" w:hAnsi="Times New Roman" w:eastAsia="Times New Roman"/>
          <w:sz w:val="21"/>
        </w:rPr>
        <w:t>XXX</w:t>
      </w:r>
      <w:r>
        <w:rPr>
          <w:rFonts w:ascii="Times New Roman" w:hAnsi="Times New Roman" w:eastAsia="Times New Roman"/>
          <w:spacing w:val="9"/>
          <w:sz w:val="21"/>
        </w:rPr>
        <w:t xml:space="preserve"> </w:t>
      </w:r>
      <w:r>
        <w:rPr>
          <w:spacing w:val="-2"/>
          <w:sz w:val="21"/>
        </w:rPr>
        <w:t>计算款额</w:t>
      </w:r>
      <w:r>
        <w:rPr>
          <w:rFonts w:ascii="Times New Roman" w:hAnsi="Times New Roman" w:eastAsia="Times New Roman"/>
          <w:spacing w:val="-10"/>
          <w:sz w:val="21"/>
        </w:rPr>
        <w:t>¥XXX</w:t>
      </w:r>
      <w:r>
        <w:rPr>
          <w:rFonts w:ascii="Times New Roman" w:hAnsi="Times New Roman" w:eastAsia="Times New Roman"/>
          <w:spacing w:val="-1"/>
          <w:sz w:val="21"/>
        </w:rPr>
        <w:t xml:space="preserve"> </w:t>
      </w:r>
      <w:r>
        <w:rPr>
          <w:spacing w:val="-7"/>
          <w:sz w:val="21"/>
        </w:rPr>
        <w:t>元，人民币大写：</w:t>
      </w:r>
      <w:r>
        <w:rPr>
          <w:rFonts w:ascii="Times New Roman" w:hAnsi="Times New Roman" w:eastAsia="Times New Roman"/>
          <w:spacing w:val="-7"/>
          <w:sz w:val="21"/>
        </w:rPr>
        <w:t>XXX</w:t>
      </w:r>
      <w:r>
        <w:rPr>
          <w:rFonts w:ascii="Times New Roman" w:hAnsi="Times New Roman" w:eastAsia="Times New Roman"/>
          <w:spacing w:val="9"/>
          <w:sz w:val="21"/>
        </w:rPr>
        <w:t xml:space="preserve"> </w:t>
      </w:r>
      <w:r>
        <w:rPr>
          <w:spacing w:val="-3"/>
          <w:sz w:val="21"/>
        </w:rPr>
        <w:t>元整</w:t>
      </w:r>
      <w:r>
        <w:rPr>
          <w:spacing w:val="-25"/>
          <w:sz w:val="21"/>
        </w:rPr>
        <w:t>）</w:t>
      </w:r>
      <w:r>
        <w:rPr>
          <w:spacing w:val="-17"/>
          <w:sz w:val="21"/>
        </w:rPr>
        <w:t xml:space="preserve">后的 </w:t>
      </w:r>
      <w:r>
        <w:rPr>
          <w:rFonts w:ascii="Times New Roman" w:hAnsi="Times New Roman" w:eastAsia="Times New Roman"/>
          <w:sz w:val="21"/>
        </w:rPr>
        <w:t>XXX</w:t>
      </w:r>
      <w:r>
        <w:rPr>
          <w:rFonts w:ascii="Times New Roman" w:hAnsi="Times New Roman" w:eastAsia="Times New Roman"/>
          <w:spacing w:val="8"/>
          <w:sz w:val="21"/>
        </w:rPr>
        <w:t xml:space="preserve"> </w:t>
      </w:r>
      <w:r>
        <w:rPr>
          <w:spacing w:val="-2"/>
          <w:sz w:val="21"/>
        </w:rPr>
        <w:t>日内支付</w:t>
      </w:r>
      <w:r>
        <w:rPr>
          <w:spacing w:val="-10"/>
          <w:sz w:val="21"/>
        </w:rPr>
        <w:t xml:space="preserve">合同金额百分之 </w:t>
      </w:r>
      <w:r>
        <w:rPr>
          <w:rFonts w:ascii="Times New Roman" w:hAnsi="Times New Roman" w:eastAsia="Times New Roman"/>
          <w:sz w:val="21"/>
        </w:rPr>
        <w:t>XXX</w:t>
      </w:r>
      <w:r>
        <w:rPr>
          <w:rFonts w:ascii="Times New Roman" w:hAnsi="Times New Roman" w:eastAsia="Times New Roman"/>
          <w:spacing w:val="1"/>
          <w:sz w:val="21"/>
        </w:rPr>
        <w:t xml:space="preserve"> </w:t>
      </w:r>
      <w:r>
        <w:rPr>
          <w:spacing w:val="-2"/>
          <w:sz w:val="21"/>
        </w:rPr>
        <w:t>的价款。</w:t>
      </w:r>
    </w:p>
    <w:p>
      <w:pPr>
        <w:pStyle w:val="288"/>
        <w:numPr>
          <w:ilvl w:val="0"/>
          <w:numId w:val="47"/>
        </w:numPr>
        <w:tabs>
          <w:tab w:val="left" w:pos="902"/>
        </w:tabs>
        <w:spacing w:before="0" w:after="0" w:line="278" w:lineRule="auto"/>
        <w:ind w:left="319" w:right="733" w:firstLine="422"/>
        <w:jc w:val="both"/>
        <w:rPr>
          <w:sz w:val="21"/>
        </w:rPr>
      </w:pPr>
      <w:r>
        <w:rPr>
          <w:spacing w:val="-8"/>
          <w:sz w:val="21"/>
        </w:rPr>
        <w:t xml:space="preserve">全部货物安装调试完毕并验收合格之日起，甲方接到乙方通知与票据凭证资料以后的 </w:t>
      </w:r>
      <w:r>
        <w:rPr>
          <w:rFonts w:ascii="Times New Roman" w:hAnsi="Times New Roman" w:eastAsia="Times New Roman"/>
          <w:sz w:val="21"/>
        </w:rPr>
        <w:t>XXX</w:t>
      </w:r>
      <w:r>
        <w:rPr>
          <w:rFonts w:ascii="Times New Roman" w:hAnsi="Times New Roman" w:eastAsia="Times New Roman"/>
          <w:spacing w:val="20"/>
          <w:sz w:val="21"/>
        </w:rPr>
        <w:t xml:space="preserve"> </w:t>
      </w:r>
      <w:r>
        <w:rPr>
          <w:sz w:val="21"/>
        </w:rPr>
        <w:t>日</w:t>
      </w:r>
      <w:r>
        <w:rPr>
          <w:spacing w:val="-11"/>
          <w:sz w:val="21"/>
        </w:rPr>
        <w:t xml:space="preserve">内，提交支付凭证资料给 </w:t>
      </w:r>
      <w:r>
        <w:rPr>
          <w:rFonts w:ascii="Times New Roman" w:hAnsi="Times New Roman" w:eastAsia="Times New Roman"/>
          <w:sz w:val="21"/>
        </w:rPr>
        <w:t>XXX</w:t>
      </w:r>
      <w:r>
        <w:rPr>
          <w:rFonts w:ascii="Times New Roman" w:hAnsi="Times New Roman" w:eastAsia="Times New Roman"/>
          <w:spacing w:val="18"/>
          <w:sz w:val="21"/>
        </w:rPr>
        <w:t xml:space="preserve"> </w:t>
      </w:r>
      <w:r>
        <w:rPr>
          <w:spacing w:val="-8"/>
          <w:sz w:val="21"/>
        </w:rPr>
        <w:t>财政国库支付执行机构办理财政国库支付手续，并由其向乙方核拨合</w:t>
      </w:r>
      <w:r>
        <w:rPr>
          <w:spacing w:val="-11"/>
          <w:sz w:val="21"/>
        </w:rPr>
        <w:t xml:space="preserve">同总价的百分之 </w:t>
      </w:r>
      <w:r>
        <w:rPr>
          <w:rFonts w:ascii="Times New Roman" w:hAnsi="Times New Roman" w:eastAsia="Times New Roman"/>
          <w:sz w:val="21"/>
        </w:rPr>
        <w:t>XXX</w:t>
      </w:r>
      <w:r>
        <w:rPr>
          <w:rFonts w:ascii="Times New Roman" w:hAnsi="Times New Roman" w:eastAsia="Times New Roman"/>
          <w:spacing w:val="11"/>
          <w:sz w:val="21"/>
        </w:rPr>
        <w:t xml:space="preserve"> </w:t>
      </w:r>
      <w:r>
        <w:rPr>
          <w:spacing w:val="-5"/>
          <w:sz w:val="21"/>
        </w:rPr>
        <w:t>款项：</w:t>
      </w:r>
      <w:r>
        <w:rPr>
          <w:rFonts w:ascii="Times New Roman" w:hAnsi="Times New Roman" w:eastAsia="Times New Roman"/>
          <w:spacing w:val="-7"/>
          <w:sz w:val="21"/>
        </w:rPr>
        <w:t>¥XXX</w:t>
      </w:r>
      <w:r>
        <w:rPr>
          <w:rFonts w:ascii="Times New Roman" w:hAnsi="Times New Roman" w:eastAsia="Times New Roman"/>
          <w:spacing w:val="-4"/>
          <w:sz w:val="21"/>
        </w:rPr>
        <w:t xml:space="preserve"> </w:t>
      </w:r>
      <w:r>
        <w:rPr>
          <w:spacing w:val="5"/>
          <w:sz w:val="21"/>
        </w:rPr>
        <w:t>元，人民币大写</w:t>
      </w:r>
      <w:r>
        <w:rPr>
          <w:rFonts w:ascii="Times New Roman" w:hAnsi="Times New Roman" w:eastAsia="Times New Roman"/>
          <w:sz w:val="21"/>
        </w:rPr>
        <w:t>XXX</w:t>
      </w:r>
      <w:r>
        <w:rPr>
          <w:rFonts w:ascii="Times New Roman" w:hAnsi="Times New Roman" w:eastAsia="Times New Roman"/>
          <w:spacing w:val="6"/>
          <w:sz w:val="21"/>
        </w:rPr>
        <w:t xml:space="preserve"> </w:t>
      </w:r>
      <w:r>
        <w:rPr>
          <w:spacing w:val="-5"/>
          <w:sz w:val="21"/>
        </w:rPr>
        <w:t>元整；自筹资金由甲方直接支付给乙方。</w:t>
      </w:r>
    </w:p>
    <w:p>
      <w:pPr>
        <w:pStyle w:val="288"/>
        <w:numPr>
          <w:ilvl w:val="0"/>
          <w:numId w:val="47"/>
        </w:numPr>
        <w:tabs>
          <w:tab w:val="left" w:pos="902"/>
        </w:tabs>
        <w:spacing w:before="0" w:after="0" w:line="240" w:lineRule="auto"/>
        <w:ind w:left="902" w:right="0" w:hanging="160"/>
        <w:jc w:val="left"/>
        <w:rPr>
          <w:sz w:val="21"/>
        </w:rPr>
      </w:pPr>
      <w:r>
        <w:rPr>
          <w:spacing w:val="-5"/>
          <w:sz w:val="21"/>
        </w:rPr>
        <w:t>乙方应当向甲方出具合法有效完整的完税发票及凭证资料进行支付结算。</w:t>
      </w:r>
    </w:p>
    <w:p>
      <w:pPr>
        <w:pStyle w:val="288"/>
        <w:numPr>
          <w:ilvl w:val="0"/>
          <w:numId w:val="47"/>
        </w:numPr>
        <w:tabs>
          <w:tab w:val="left" w:pos="902"/>
        </w:tabs>
        <w:spacing w:before="43" w:after="0" w:line="278" w:lineRule="auto"/>
        <w:ind w:left="319" w:right="695" w:firstLine="422"/>
        <w:jc w:val="both"/>
        <w:rPr>
          <w:sz w:val="21"/>
        </w:rPr>
      </w:pPr>
      <w:r>
        <w:rPr>
          <w:spacing w:val="-6"/>
          <w:sz w:val="21"/>
        </w:rPr>
        <w:t xml:space="preserve">履约保证金：在货物验收合格满 </w:t>
      </w:r>
      <w:r>
        <w:rPr>
          <w:rFonts w:ascii="Times New Roman" w:hAnsi="Times New Roman" w:eastAsia="Times New Roman"/>
          <w:sz w:val="21"/>
        </w:rPr>
        <w:t>XXX</w:t>
      </w:r>
      <w:r>
        <w:rPr>
          <w:rFonts w:ascii="Times New Roman" w:hAnsi="Times New Roman" w:eastAsia="Times New Roman"/>
          <w:spacing w:val="19"/>
          <w:sz w:val="21"/>
        </w:rPr>
        <w:t xml:space="preserve"> </w:t>
      </w:r>
      <w:r>
        <w:rPr>
          <w:spacing w:val="-6"/>
          <w:sz w:val="21"/>
        </w:rPr>
        <w:t xml:space="preserve">后，甲方财务部门接到乙方通知和支付凭证资料文件， 以及由甲方确认本合同货物质量与服务等约定事项已经履行完毕的正式书面文件后的 </w:t>
      </w:r>
      <w:r>
        <w:rPr>
          <w:rFonts w:ascii="Times New Roman" w:hAnsi="Times New Roman" w:eastAsia="Times New Roman"/>
          <w:sz w:val="21"/>
        </w:rPr>
        <w:t>XXX</w:t>
      </w:r>
      <w:r>
        <w:rPr>
          <w:rFonts w:ascii="Times New Roman" w:hAnsi="Times New Roman" w:eastAsia="Times New Roman"/>
          <w:spacing w:val="15"/>
          <w:sz w:val="21"/>
        </w:rPr>
        <w:t xml:space="preserve"> </w:t>
      </w:r>
      <w:r>
        <w:rPr>
          <w:spacing w:val="-27"/>
          <w:sz w:val="21"/>
        </w:rPr>
        <w:t>日内，递</w:t>
      </w:r>
      <w:r>
        <w:rPr>
          <w:spacing w:val="-12"/>
          <w:sz w:val="21"/>
        </w:rPr>
        <w:t>交结算凭证资料给银行并由其向乙方支付价款</w:t>
      </w:r>
      <w:r>
        <w:rPr>
          <w:rFonts w:ascii="Times New Roman" w:hAnsi="Times New Roman" w:eastAsia="Times New Roman"/>
          <w:spacing w:val="-11"/>
          <w:sz w:val="21"/>
        </w:rPr>
        <w:t>¥XXX</w:t>
      </w:r>
      <w:r>
        <w:rPr>
          <w:rFonts w:ascii="Times New Roman" w:hAnsi="Times New Roman" w:eastAsia="Times New Roman"/>
          <w:spacing w:val="28"/>
          <w:sz w:val="21"/>
        </w:rPr>
        <w:t xml:space="preserve"> </w:t>
      </w:r>
      <w:r>
        <w:rPr>
          <w:spacing w:val="-1"/>
          <w:sz w:val="21"/>
        </w:rPr>
        <w:t>元，人民币大写：</w:t>
      </w:r>
      <w:r>
        <w:rPr>
          <w:rFonts w:ascii="Times New Roman" w:hAnsi="Times New Roman" w:eastAsia="Times New Roman"/>
          <w:sz w:val="21"/>
        </w:rPr>
        <w:t>XXX</w:t>
      </w:r>
      <w:r>
        <w:rPr>
          <w:rFonts w:ascii="Times New Roman" w:hAnsi="Times New Roman" w:eastAsia="Times New Roman"/>
          <w:spacing w:val="-3"/>
          <w:sz w:val="21"/>
        </w:rPr>
        <w:t xml:space="preserve"> </w:t>
      </w:r>
      <w:r>
        <w:rPr>
          <w:sz w:val="21"/>
        </w:rPr>
        <w:t>元整。</w:t>
      </w:r>
    </w:p>
    <w:p>
      <w:pPr>
        <w:pStyle w:val="2"/>
        <w:spacing w:before="4"/>
        <w:rPr>
          <w:sz w:val="24"/>
        </w:rPr>
      </w:pPr>
    </w:p>
    <w:p>
      <w:pPr>
        <w:bidi w:val="0"/>
      </w:pPr>
      <w:r>
        <w:t>六、售后服务</w:t>
      </w:r>
    </w:p>
    <w:p>
      <w:pPr>
        <w:pStyle w:val="288"/>
        <w:numPr>
          <w:ilvl w:val="0"/>
          <w:numId w:val="48"/>
        </w:numPr>
        <w:tabs>
          <w:tab w:val="left" w:pos="902"/>
        </w:tabs>
        <w:spacing w:before="43" w:after="0" w:line="278" w:lineRule="auto"/>
        <w:ind w:left="319" w:right="742" w:firstLine="422"/>
        <w:jc w:val="both"/>
        <w:rPr>
          <w:sz w:val="21"/>
        </w:rPr>
      </w:pPr>
      <w:r>
        <w:rPr>
          <w:spacing w:val="-6"/>
          <w:sz w:val="21"/>
        </w:rPr>
        <w:t xml:space="preserve">质保期为验收合格后 </w:t>
      </w:r>
      <w:r>
        <w:rPr>
          <w:rFonts w:ascii="Times New Roman" w:eastAsia="Times New Roman"/>
          <w:sz w:val="21"/>
        </w:rPr>
        <w:t>XX</w:t>
      </w:r>
      <w:r>
        <w:rPr>
          <w:rFonts w:ascii="Times New Roman" w:eastAsia="Times New Roman"/>
          <w:spacing w:val="10"/>
          <w:sz w:val="21"/>
        </w:rPr>
        <w:t xml:space="preserve"> </w:t>
      </w:r>
      <w:r>
        <w:rPr>
          <w:spacing w:val="-5"/>
          <w:sz w:val="21"/>
        </w:rPr>
        <w:t>年，质保期内出现质量问题，乙方在接到通知后</w:t>
      </w:r>
      <w:r>
        <w:rPr>
          <w:rFonts w:ascii="Times New Roman" w:eastAsia="Times New Roman"/>
          <w:sz w:val="21"/>
        </w:rPr>
        <w:t>XXX</w:t>
      </w:r>
      <w:r>
        <w:rPr>
          <w:rFonts w:ascii="Times New Roman" w:eastAsia="Times New Roman"/>
          <w:spacing w:val="15"/>
          <w:sz w:val="21"/>
        </w:rPr>
        <w:t xml:space="preserve"> </w:t>
      </w:r>
      <w:r>
        <w:rPr>
          <w:spacing w:val="-2"/>
          <w:sz w:val="21"/>
        </w:rPr>
        <w:t>小时内响应到场，</w:t>
      </w:r>
      <w:r>
        <w:rPr>
          <w:rFonts w:ascii="Times New Roman" w:eastAsia="Times New Roman"/>
          <w:spacing w:val="-2"/>
          <w:sz w:val="21"/>
        </w:rPr>
        <w:t>XXX</w:t>
      </w:r>
      <w:r>
        <w:rPr>
          <w:rFonts w:ascii="Times New Roman" w:eastAsia="Times New Roman"/>
          <w:spacing w:val="25"/>
          <w:sz w:val="21"/>
        </w:rPr>
        <w:t xml:space="preserve"> </w:t>
      </w:r>
      <w:r>
        <w:rPr>
          <w:spacing w:val="-6"/>
          <w:sz w:val="21"/>
        </w:rPr>
        <w:t xml:space="preserve">小时内完成维修或更换，并承担修理调换的费用；如货物经乙方 </w:t>
      </w:r>
      <w:r>
        <w:rPr>
          <w:rFonts w:ascii="Times New Roman" w:eastAsia="Times New Roman"/>
          <w:spacing w:val="-3"/>
          <w:sz w:val="21"/>
        </w:rPr>
        <w:t>XXX</w:t>
      </w:r>
      <w:r>
        <w:rPr>
          <w:rFonts w:ascii="Times New Roman" w:eastAsia="Times New Roman"/>
          <w:spacing w:val="25"/>
          <w:sz w:val="21"/>
        </w:rPr>
        <w:t xml:space="preserve"> </w:t>
      </w:r>
      <w:r>
        <w:rPr>
          <w:spacing w:val="-3"/>
          <w:sz w:val="21"/>
        </w:rPr>
        <w:t>次维修仍不能达到</w:t>
      </w:r>
      <w:r>
        <w:rPr>
          <w:spacing w:val="-5"/>
          <w:sz w:val="21"/>
        </w:rPr>
        <w:t>本合同约定的质量标准，视作乙方未能按时交货，甲方有权退货并追究乙方的违约责任。货到现场后由于甲方保管不当造成的问题，乙方亦应负责修复，但费用由甲方负担乙方应当指派专人负责与甲方联系售后服务事宜。</w:t>
      </w:r>
    </w:p>
    <w:p>
      <w:pPr>
        <w:pStyle w:val="2"/>
        <w:spacing w:before="9"/>
        <w:rPr>
          <w:sz w:val="27"/>
        </w:rPr>
      </w:pPr>
    </w:p>
    <w:p>
      <w:pPr>
        <w:pStyle w:val="288"/>
        <w:numPr>
          <w:ilvl w:val="0"/>
          <w:numId w:val="48"/>
        </w:numPr>
        <w:tabs>
          <w:tab w:val="left" w:pos="902"/>
        </w:tabs>
        <w:spacing w:before="43" w:after="0" w:line="278" w:lineRule="auto"/>
        <w:ind w:left="319" w:right="742" w:firstLine="422"/>
        <w:jc w:val="both"/>
        <w:rPr>
          <w:spacing w:val="-5"/>
          <w:sz w:val="21"/>
          <w:lang w:val="zh-CN" w:eastAsia="zh-CN"/>
        </w:rPr>
      </w:pPr>
      <w:r>
        <w:t>七、违约责任</w:t>
      </w:r>
      <w:r>
        <w:rPr>
          <w:sz w:val="24"/>
        </w:rPr>
        <w:br w:type="textWrapping"/>
      </w:r>
      <w:r>
        <w:rPr>
          <w:rFonts w:ascii="宋体" w:hAnsi="宋体" w:eastAsia="宋体" w:cs="宋体"/>
          <w:spacing w:val="-5"/>
          <w:kern w:val="2"/>
          <w:sz w:val="21"/>
          <w:szCs w:val="22"/>
          <w:lang w:val="zh-CN" w:eastAsia="zh-CN" w:bidi="zh-CN"/>
        </w:rPr>
        <w:t>1.</w:t>
      </w:r>
      <w:r>
        <w:rPr>
          <w:spacing w:val="-5"/>
          <w:sz w:val="21"/>
          <w:lang w:val="zh-CN" w:eastAsia="zh-CN"/>
        </w:rPr>
        <w:t>甲方违约责任</w:t>
      </w:r>
      <w:r>
        <w:rPr>
          <w:spacing w:val="-5"/>
          <w:sz w:val="21"/>
          <w:lang w:val="zh-CN" w:eastAsia="zh-CN"/>
        </w:rPr>
        <w:br w:type="textWrapping"/>
      </w:r>
      <w:r>
        <w:rPr>
          <w:spacing w:val="-5"/>
          <w:sz w:val="21"/>
          <w:lang w:val="zh-CN" w:eastAsia="zh-CN"/>
        </w:rPr>
        <w:t>（1）甲方无正当理由拒收货物的，甲方应偿付合同总价百分之五的违约金；</w:t>
      </w:r>
      <w:r>
        <w:rPr>
          <w:spacing w:val="-5"/>
          <w:sz w:val="21"/>
          <w:lang w:val="zh-CN" w:eastAsia="zh-CN"/>
        </w:rPr>
        <w:br w:type="textWrapping"/>
      </w:r>
      <w:r>
        <w:rPr>
          <w:spacing w:val="-5"/>
          <w:sz w:val="21"/>
          <w:lang w:val="zh-CN" w:eastAsia="zh-CN"/>
        </w:rPr>
        <w:t>（2）甲方逾期支付货款的，除应及时付足货款外，应向乙方偿付欠款总额万分之五/天的违约金；逾期付款超过六十 天的，乙方有权终止合同；</w:t>
      </w:r>
      <w:r>
        <w:rPr>
          <w:spacing w:val="-5"/>
          <w:sz w:val="21"/>
          <w:lang w:val="zh-CN" w:eastAsia="zh-CN"/>
        </w:rPr>
        <w:br w:type="textWrapping"/>
      </w:r>
      <w:r>
        <w:rPr>
          <w:spacing w:val="-5"/>
          <w:sz w:val="21"/>
          <w:lang w:val="zh-CN" w:eastAsia="zh-CN"/>
        </w:rPr>
        <w:t>（3）甲方偿付的违约金不足以弥补乙方损失的，还应按乙方损失尚未弥补的部分，支付赔偿金给乙方。</w:t>
      </w:r>
      <w:r>
        <w:rPr>
          <w:spacing w:val="-5"/>
          <w:sz w:val="21"/>
          <w:lang w:val="zh-CN" w:eastAsia="zh-CN"/>
        </w:rPr>
        <w:br w:type="textWrapping"/>
      </w:r>
      <w:r>
        <w:rPr>
          <w:spacing w:val="-5"/>
          <w:sz w:val="21"/>
          <w:lang w:val="zh-CN" w:eastAsia="zh-CN"/>
        </w:rPr>
        <w:t>2.乙方违约责任</w:t>
      </w:r>
      <w:r>
        <w:rPr>
          <w:spacing w:val="-5"/>
          <w:sz w:val="21"/>
          <w:lang w:val="zh-CN" w:eastAsia="zh-CN"/>
        </w:rPr>
        <w:br w:type="textWrapping"/>
      </w:r>
      <w:r>
        <w:rPr>
          <w:spacing w:val="-5"/>
          <w:sz w:val="21"/>
          <w:lang w:val="zh-CN" w:eastAsia="zh-CN"/>
        </w:rPr>
        <w:t>(1)乙方交付的货物质量不符合合同规定的，乙方应向甲方支付合同总价的百分之五 的违约金，并应当在合同规定的交货时间内更换合格的货物给甲方，否则，视作乙方不能交付货物而违约，按本条本款下述第“（2）”项规定由乙方偿付违约赔偿金给甲方。</w:t>
      </w:r>
      <w:r>
        <w:rPr>
          <w:spacing w:val="-5"/>
          <w:sz w:val="21"/>
          <w:lang w:val="zh-CN" w:eastAsia="zh-CN"/>
        </w:rPr>
        <w:br w:type="textWrapping"/>
      </w:r>
      <w:r>
        <w:rPr>
          <w:spacing w:val="-5"/>
          <w:sz w:val="21"/>
          <w:lang w:val="zh-CN" w:eastAsia="zh-CN"/>
        </w:rPr>
        <w:t>(2)乙方不能交付货物或逾期交付货物而违约的，除应及时交足货物外，应向甲方偿付逾期交货部分货款总额的万分之 五 /天的违约金；逾期交货超过 三十 天，甲方有权终止合同，乙方则应按合同总价的百分之十 的款额向甲方偿付赔偿金，并应当全额退还甲方已经付给乙方的货款及其利息。</w:t>
      </w:r>
      <w:r>
        <w:rPr>
          <w:spacing w:val="-5"/>
          <w:sz w:val="21"/>
          <w:lang w:val="zh-CN" w:eastAsia="zh-CN"/>
        </w:rPr>
        <w:br w:type="textWrapping"/>
      </w:r>
      <w:r>
        <w:rPr>
          <w:spacing w:val="-5"/>
          <w:sz w:val="21"/>
          <w:lang w:val="zh-CN" w:eastAsia="zh-CN"/>
        </w:rPr>
        <w:t>(3)乙方货物经甲方送交具有法定资格条件的质量技术监督机构检测后，如检测结果认定货 物质量不符合本合同规定标准的，则视为乙方没有按时交货而违约，乙方应当在 五 天内无条件更换合格的货物，如逾期不能更换合格的货物，甲方有权终止本合同，乙方应另付合同总价的百分之十的赔偿金给甲方。</w:t>
      </w:r>
      <w:r>
        <w:rPr>
          <w:spacing w:val="-5"/>
          <w:sz w:val="21"/>
          <w:lang w:val="zh-CN" w:eastAsia="zh-CN"/>
        </w:rPr>
        <w:br w:type="textWrapping"/>
      </w:r>
      <w:r>
        <w:rPr>
          <w:spacing w:val="-5"/>
          <w:sz w:val="21"/>
          <w:lang w:val="zh-CN" w:eastAsia="zh-CN"/>
        </w:rPr>
        <w:t>(4)乙方保证本合同货物的权利无瑕疵，包括货物所有权及知识产权等权利无瑕疵。如任何第三方经法院（或仲裁机构）裁决有权对上述货物主张权利或国家机关依法对货物进行没收查处的， 乙方除应向甲方返还已收款项外，还应另按合同总价的百分之十 向甲方支付违约金。</w:t>
      </w:r>
      <w:r>
        <w:rPr>
          <w:spacing w:val="-5"/>
          <w:sz w:val="21"/>
          <w:lang w:val="zh-CN" w:eastAsia="zh-CN"/>
        </w:rPr>
        <w:br w:type="textWrapping"/>
      </w:r>
      <w:r>
        <w:rPr>
          <w:spacing w:val="-5"/>
          <w:sz w:val="21"/>
          <w:lang w:val="zh-CN" w:eastAsia="zh-CN"/>
        </w:rPr>
        <w:t>(5)乙方偿付的违约金不足以弥补甲方损失的，还应按甲方损失尚未弥补的部分，支付赔偿金给甲方。</w:t>
      </w:r>
    </w:p>
    <w:p>
      <w:pPr>
        <w:pStyle w:val="288"/>
        <w:numPr>
          <w:ilvl w:val="0"/>
          <w:numId w:val="48"/>
        </w:numPr>
        <w:tabs>
          <w:tab w:val="left" w:pos="902"/>
        </w:tabs>
        <w:spacing w:before="43" w:after="0" w:line="278" w:lineRule="auto"/>
        <w:ind w:left="319" w:right="742" w:firstLine="422"/>
        <w:jc w:val="both"/>
        <w:rPr>
          <w:spacing w:val="-5"/>
          <w:sz w:val="21"/>
        </w:rPr>
      </w:pPr>
      <w:r>
        <w:rPr>
          <w:spacing w:val="-5"/>
          <w:sz w:val="21"/>
        </w:rPr>
        <w:t>八、争议解决办法</w:t>
      </w:r>
    </w:p>
    <w:p>
      <w:pPr>
        <w:pStyle w:val="288"/>
        <w:numPr>
          <w:ilvl w:val="0"/>
          <w:numId w:val="48"/>
        </w:numPr>
        <w:tabs>
          <w:tab w:val="left" w:pos="902"/>
        </w:tabs>
        <w:spacing w:before="43" w:after="0" w:line="278" w:lineRule="auto"/>
        <w:ind w:left="319" w:right="742" w:firstLine="422"/>
        <w:jc w:val="both"/>
        <w:rPr>
          <w:spacing w:val="-5"/>
          <w:sz w:val="21"/>
        </w:rPr>
      </w:pPr>
      <w:r>
        <w:rPr>
          <w:spacing w:val="-5"/>
          <w:sz w:val="21"/>
        </w:rPr>
        <w:t>因货物的质量问题发生争议，由质量技术监督部门或其指定的质量鉴定机构进行质量鉴定。货物符合标准的，鉴定费由甲方承担；货物不符合质量标准的，鉴定费由乙方承担。</w:t>
      </w:r>
    </w:p>
    <w:p>
      <w:pPr>
        <w:pStyle w:val="288"/>
        <w:numPr>
          <w:ilvl w:val="0"/>
          <w:numId w:val="48"/>
        </w:numPr>
        <w:tabs>
          <w:tab w:val="left" w:pos="902"/>
        </w:tabs>
        <w:spacing w:before="43" w:after="0" w:line="278" w:lineRule="auto"/>
        <w:ind w:left="319" w:right="742" w:firstLine="422"/>
        <w:jc w:val="both"/>
        <w:rPr>
          <w:spacing w:val="-5"/>
          <w:sz w:val="21"/>
        </w:rPr>
      </w:pPr>
      <w:r>
        <w:rPr>
          <w:spacing w:val="-5"/>
          <w:sz w:val="21"/>
        </w:rPr>
        <w:t>合同履行期间，若双方发生争议，可协商或由有关部门调解解决，协商或调解不成的，由当事人依法维护其合法权益。</w:t>
      </w:r>
    </w:p>
    <w:p>
      <w:pPr>
        <w:pStyle w:val="288"/>
        <w:numPr>
          <w:ilvl w:val="0"/>
          <w:numId w:val="48"/>
        </w:numPr>
        <w:tabs>
          <w:tab w:val="left" w:pos="902"/>
        </w:tabs>
        <w:spacing w:before="43" w:after="0" w:line="278" w:lineRule="auto"/>
        <w:ind w:left="319" w:right="742" w:firstLine="422"/>
        <w:jc w:val="both"/>
        <w:rPr>
          <w:spacing w:val="-5"/>
          <w:sz w:val="21"/>
        </w:rPr>
      </w:pPr>
    </w:p>
    <w:p>
      <w:pPr>
        <w:bidi w:val="0"/>
      </w:pPr>
      <w:r>
        <w:t>九、其他</w:t>
      </w:r>
    </w:p>
    <w:p>
      <w:pPr>
        <w:pStyle w:val="288"/>
        <w:numPr>
          <w:ilvl w:val="0"/>
          <w:numId w:val="49"/>
        </w:numPr>
        <w:tabs>
          <w:tab w:val="left" w:pos="902"/>
        </w:tabs>
        <w:spacing w:before="43" w:after="0" w:line="240" w:lineRule="auto"/>
        <w:ind w:left="902" w:right="0" w:hanging="160"/>
        <w:jc w:val="left"/>
        <w:rPr>
          <w:sz w:val="21"/>
        </w:rPr>
      </w:pPr>
      <w:r>
        <w:rPr>
          <w:spacing w:val="-4"/>
          <w:sz w:val="21"/>
        </w:rPr>
        <w:t>如有未尽事宜，由双方依法订立补充合同。</w:t>
      </w:r>
    </w:p>
    <w:p>
      <w:pPr>
        <w:pStyle w:val="288"/>
        <w:numPr>
          <w:ilvl w:val="0"/>
          <w:numId w:val="49"/>
        </w:numPr>
        <w:tabs>
          <w:tab w:val="left" w:pos="902"/>
        </w:tabs>
        <w:spacing w:before="43" w:after="0" w:line="240" w:lineRule="auto"/>
        <w:ind w:left="902" w:right="0" w:hanging="160"/>
        <w:jc w:val="left"/>
        <w:rPr>
          <w:sz w:val="21"/>
        </w:rPr>
      </w:pPr>
      <w:r>
        <w:rPr>
          <w:spacing w:val="-2"/>
          <w:sz w:val="21"/>
        </w:rPr>
        <w:t>本合同双方应加盖骑缝章。</w:t>
      </w:r>
    </w:p>
    <w:p>
      <w:pPr>
        <w:pStyle w:val="288"/>
        <w:numPr>
          <w:ilvl w:val="0"/>
          <w:numId w:val="49"/>
        </w:numPr>
        <w:tabs>
          <w:tab w:val="left" w:pos="902"/>
        </w:tabs>
        <w:spacing w:before="43" w:after="0" w:line="278" w:lineRule="auto"/>
        <w:ind w:left="319" w:right="755" w:firstLine="422"/>
        <w:jc w:val="left"/>
        <w:rPr>
          <w:sz w:val="21"/>
        </w:rPr>
      </w:pPr>
      <w:r>
        <w:rPr>
          <w:spacing w:val="-1"/>
          <w:sz w:val="21"/>
        </w:rPr>
        <w:t>本合同一式四份，自双方完成签字盖章之日起生效。甲方、乙方、政府采购管理部门、省采购中心机构各一份。</w:t>
      </w:r>
    </w:p>
    <w:p>
      <w:pPr>
        <w:pStyle w:val="288"/>
        <w:numPr>
          <w:ilvl w:val="0"/>
          <w:numId w:val="49"/>
        </w:numPr>
        <w:tabs>
          <w:tab w:val="left" w:pos="902"/>
        </w:tabs>
        <w:spacing w:before="0" w:after="0" w:line="278" w:lineRule="auto"/>
        <w:ind w:left="319" w:right="744" w:firstLine="422"/>
        <w:jc w:val="left"/>
        <w:rPr>
          <w:sz w:val="21"/>
        </w:rPr>
      </w:pPr>
      <w:r>
        <w:rPr>
          <w:spacing w:val="-2"/>
          <w:sz w:val="21"/>
        </w:rPr>
        <w:t xml:space="preserve">采购人应当自本合同签订之日起 </w:t>
      </w:r>
      <w:r>
        <w:rPr>
          <w:rFonts w:ascii="Times New Roman" w:eastAsia="Times New Roman"/>
          <w:sz w:val="21"/>
        </w:rPr>
        <w:t>2</w:t>
      </w:r>
      <w:r>
        <w:rPr>
          <w:rFonts w:ascii="Times New Roman" w:eastAsia="Times New Roman"/>
          <w:spacing w:val="17"/>
          <w:sz w:val="21"/>
        </w:rPr>
        <w:t xml:space="preserve"> </w:t>
      </w:r>
      <w:r>
        <w:rPr>
          <w:spacing w:val="-6"/>
          <w:sz w:val="21"/>
        </w:rPr>
        <w:t>个工作日内，在四川政府采购网公告本合同，但合同中涉</w:t>
      </w:r>
      <w:r>
        <w:rPr>
          <w:spacing w:val="-3"/>
          <w:sz w:val="21"/>
        </w:rPr>
        <w:t>及国家秘密、商业秘密的内容除外。</w:t>
      </w:r>
    </w:p>
    <w:p>
      <w:pPr>
        <w:pStyle w:val="288"/>
        <w:numPr>
          <w:ilvl w:val="0"/>
          <w:numId w:val="49"/>
        </w:numPr>
        <w:tabs>
          <w:tab w:val="left" w:pos="902"/>
        </w:tabs>
        <w:spacing w:before="0" w:after="0" w:line="269" w:lineRule="exact"/>
        <w:ind w:left="902" w:right="0" w:hanging="160"/>
        <w:jc w:val="left"/>
        <w:rPr>
          <w:sz w:val="21"/>
        </w:rPr>
      </w:pPr>
      <w:r>
        <w:rPr>
          <w:spacing w:val="-7"/>
          <w:sz w:val="21"/>
        </w:rPr>
        <w:t xml:space="preserve">采购人应当自本合同签订之日起 </w:t>
      </w:r>
      <w:r>
        <w:rPr>
          <w:rFonts w:ascii="Times New Roman" w:eastAsia="Times New Roman"/>
          <w:sz w:val="21"/>
        </w:rPr>
        <w:t>7</w:t>
      </w:r>
      <w:r>
        <w:rPr>
          <w:rFonts w:ascii="Times New Roman" w:eastAsia="Times New Roman"/>
          <w:spacing w:val="1"/>
          <w:sz w:val="21"/>
        </w:rPr>
        <w:t xml:space="preserve"> </w:t>
      </w:r>
      <w:r>
        <w:rPr>
          <w:spacing w:val="-5"/>
          <w:sz w:val="21"/>
        </w:rPr>
        <w:t>个工作日内，将本合同报财政厅备案。</w:t>
      </w:r>
    </w:p>
    <w:p>
      <w:pPr>
        <w:spacing w:after="0" w:line="269" w:lineRule="exact"/>
        <w:jc w:val="left"/>
        <w:rPr>
          <w:sz w:val="21"/>
        </w:rPr>
        <w:sectPr>
          <w:pgSz w:w="11910" w:h="16840"/>
          <w:pgMar w:top="1380" w:right="380" w:bottom="1440" w:left="1380" w:header="0" w:footer="1174" w:gutter="0"/>
          <w:cols w:space="720" w:num="1"/>
        </w:sectPr>
      </w:pPr>
    </w:p>
    <w:tbl>
      <w:tblPr>
        <w:tblStyle w:val="41"/>
        <w:tblW w:w="8472"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8" w:hRule="atLeast"/>
        </w:trPr>
        <w:tc>
          <w:tcPr>
            <w:tcW w:w="4236" w:type="dxa"/>
          </w:tcPr>
          <w:p>
            <w:pPr>
              <w:pStyle w:val="287"/>
              <w:spacing w:line="231" w:lineRule="exact"/>
              <w:ind w:left="200"/>
              <w:rPr>
                <w:sz w:val="21"/>
              </w:rPr>
            </w:pPr>
            <w:r>
              <w:rPr>
                <w:sz w:val="21"/>
              </w:rPr>
              <w:t>甲方：</w:t>
            </w:r>
          </w:p>
          <w:p>
            <w:pPr>
              <w:pStyle w:val="287"/>
              <w:spacing w:before="9"/>
              <w:rPr>
                <w:sz w:val="27"/>
              </w:rPr>
            </w:pPr>
          </w:p>
          <w:p>
            <w:pPr>
              <w:pStyle w:val="287"/>
              <w:ind w:left="1991"/>
              <w:rPr>
                <w:sz w:val="21"/>
              </w:rPr>
            </w:pPr>
            <w:r>
              <w:rPr>
                <w:sz w:val="21"/>
              </w:rPr>
              <w:t>（公章）</w:t>
            </w:r>
          </w:p>
        </w:tc>
        <w:tc>
          <w:tcPr>
            <w:tcW w:w="4236" w:type="dxa"/>
          </w:tcPr>
          <w:p>
            <w:pPr>
              <w:pStyle w:val="287"/>
              <w:spacing w:line="231" w:lineRule="exact"/>
              <w:ind w:left="612"/>
              <w:rPr>
                <w:sz w:val="21"/>
              </w:rPr>
            </w:pPr>
            <w:r>
              <w:rPr>
                <w:sz w:val="21"/>
              </w:rPr>
              <w:t>乙方：</w:t>
            </w:r>
          </w:p>
          <w:p>
            <w:pPr>
              <w:pStyle w:val="287"/>
              <w:spacing w:before="9"/>
              <w:rPr>
                <w:sz w:val="27"/>
              </w:rPr>
            </w:pPr>
          </w:p>
          <w:p>
            <w:pPr>
              <w:pStyle w:val="287"/>
              <w:ind w:left="2403"/>
              <w:rPr>
                <w:sz w:val="21"/>
              </w:rPr>
            </w:pPr>
            <w:r>
              <w:rPr>
                <w:sz w:val="21"/>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3" w:hRule="atLeast"/>
        </w:trPr>
        <w:tc>
          <w:tcPr>
            <w:tcW w:w="4236" w:type="dxa"/>
          </w:tcPr>
          <w:p>
            <w:pPr>
              <w:pStyle w:val="287"/>
              <w:rPr>
                <w:sz w:val="22"/>
              </w:rPr>
            </w:pPr>
          </w:p>
          <w:p>
            <w:pPr>
              <w:pStyle w:val="287"/>
              <w:spacing w:before="8"/>
              <w:rPr>
                <w:sz w:val="29"/>
              </w:rPr>
            </w:pPr>
          </w:p>
          <w:p>
            <w:pPr>
              <w:pStyle w:val="287"/>
              <w:ind w:left="200"/>
              <w:rPr>
                <w:sz w:val="21"/>
              </w:rPr>
            </w:pPr>
            <w:r>
              <w:rPr>
                <w:sz w:val="21"/>
              </w:rPr>
              <w:t>法定代表人</w:t>
            </w:r>
            <w:r>
              <w:rPr>
                <w:rFonts w:ascii="Times New Roman" w:eastAsia="Times New Roman"/>
                <w:sz w:val="21"/>
              </w:rPr>
              <w:t>/</w:t>
            </w:r>
            <w:r>
              <w:rPr>
                <w:sz w:val="21"/>
              </w:rPr>
              <w:t>负责人或其委托代理人：</w:t>
            </w:r>
          </w:p>
          <w:p>
            <w:pPr>
              <w:pStyle w:val="287"/>
              <w:spacing w:before="43"/>
              <w:ind w:left="1991"/>
              <w:rPr>
                <w:sz w:val="21"/>
              </w:rPr>
            </w:pPr>
            <w:r>
              <w:rPr>
                <w:sz w:val="21"/>
              </w:rPr>
              <w:t>（签字）</w:t>
            </w:r>
          </w:p>
        </w:tc>
        <w:tc>
          <w:tcPr>
            <w:tcW w:w="4236" w:type="dxa"/>
          </w:tcPr>
          <w:p>
            <w:pPr>
              <w:pStyle w:val="287"/>
              <w:rPr>
                <w:sz w:val="22"/>
              </w:rPr>
            </w:pPr>
          </w:p>
          <w:p>
            <w:pPr>
              <w:pStyle w:val="287"/>
              <w:spacing w:before="8"/>
              <w:rPr>
                <w:sz w:val="29"/>
              </w:rPr>
            </w:pPr>
          </w:p>
          <w:p>
            <w:pPr>
              <w:pStyle w:val="287"/>
              <w:ind w:left="612"/>
              <w:rPr>
                <w:sz w:val="21"/>
              </w:rPr>
            </w:pPr>
            <w:r>
              <w:rPr>
                <w:sz w:val="21"/>
              </w:rPr>
              <w:t>法定代表人</w:t>
            </w:r>
            <w:r>
              <w:rPr>
                <w:rFonts w:ascii="Times New Roman" w:eastAsia="Times New Roman"/>
                <w:sz w:val="21"/>
              </w:rPr>
              <w:t>/</w:t>
            </w:r>
            <w:r>
              <w:rPr>
                <w:sz w:val="21"/>
              </w:rPr>
              <w:t>负责人或其委托代理人：</w:t>
            </w:r>
          </w:p>
          <w:p>
            <w:pPr>
              <w:pStyle w:val="287"/>
              <w:spacing w:before="43"/>
              <w:ind w:left="2403"/>
              <w:rPr>
                <w:sz w:val="21"/>
              </w:rPr>
            </w:pPr>
            <w:r>
              <w:rPr>
                <w:sz w:val="21"/>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3"/>
              <w:ind w:left="200"/>
              <w:rPr>
                <w:sz w:val="21"/>
              </w:rPr>
            </w:pPr>
            <w:r>
              <w:rPr>
                <w:sz w:val="21"/>
              </w:rPr>
              <w:t>统一社会信用代码编号：</w:t>
            </w:r>
          </w:p>
        </w:tc>
        <w:tc>
          <w:tcPr>
            <w:tcW w:w="4236" w:type="dxa"/>
          </w:tcPr>
          <w:p>
            <w:pPr>
              <w:pStyle w:val="287"/>
              <w:spacing w:before="13"/>
              <w:ind w:left="612"/>
              <w:rPr>
                <w:sz w:val="21"/>
              </w:rPr>
            </w:pPr>
            <w:r>
              <w:rPr>
                <w:sz w:val="21"/>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3"/>
              <w:ind w:left="200"/>
              <w:rPr>
                <w:sz w:val="21"/>
              </w:rPr>
            </w:pPr>
            <w:r>
              <w:rPr>
                <w:sz w:val="21"/>
              </w:rPr>
              <w:t>邮政编码：</w:t>
            </w:r>
          </w:p>
        </w:tc>
        <w:tc>
          <w:tcPr>
            <w:tcW w:w="4236" w:type="dxa"/>
          </w:tcPr>
          <w:p>
            <w:pPr>
              <w:pStyle w:val="287"/>
              <w:spacing w:before="13"/>
              <w:ind w:left="612"/>
              <w:rPr>
                <w:sz w:val="21"/>
              </w:rPr>
            </w:pPr>
            <w:r>
              <w:rPr>
                <w:sz w:val="21"/>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4236" w:type="dxa"/>
          </w:tcPr>
          <w:p>
            <w:pPr>
              <w:pStyle w:val="287"/>
              <w:spacing w:before="12"/>
              <w:ind w:left="200"/>
              <w:rPr>
                <w:sz w:val="21"/>
              </w:rPr>
            </w:pPr>
            <w:r>
              <w:rPr>
                <w:sz w:val="21"/>
              </w:rPr>
              <w:t>法定代表人姓名：</w:t>
            </w:r>
          </w:p>
        </w:tc>
        <w:tc>
          <w:tcPr>
            <w:tcW w:w="4236" w:type="dxa"/>
          </w:tcPr>
          <w:p>
            <w:pPr>
              <w:pStyle w:val="287"/>
              <w:spacing w:before="12"/>
              <w:ind w:left="612"/>
              <w:rPr>
                <w:sz w:val="21"/>
              </w:rPr>
            </w:pPr>
            <w:r>
              <w:rPr>
                <w:sz w:val="21"/>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3"/>
              <w:ind w:left="200"/>
              <w:rPr>
                <w:sz w:val="21"/>
              </w:rPr>
            </w:pPr>
            <w:r>
              <w:rPr>
                <w:sz w:val="21"/>
              </w:rPr>
              <w:t>委托代理人姓名：</w:t>
            </w:r>
          </w:p>
        </w:tc>
        <w:tc>
          <w:tcPr>
            <w:tcW w:w="4236" w:type="dxa"/>
          </w:tcPr>
          <w:p>
            <w:pPr>
              <w:pStyle w:val="287"/>
              <w:spacing w:before="13"/>
              <w:ind w:left="612"/>
              <w:rPr>
                <w:sz w:val="21"/>
              </w:rPr>
            </w:pPr>
            <w:r>
              <w:rPr>
                <w:sz w:val="21"/>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3"/>
              <w:ind w:left="200"/>
              <w:rPr>
                <w:sz w:val="21"/>
              </w:rPr>
            </w:pPr>
            <w:r>
              <w:rPr>
                <w:sz w:val="21"/>
              </w:rPr>
              <w:t>联系电话：</w:t>
            </w:r>
          </w:p>
        </w:tc>
        <w:tc>
          <w:tcPr>
            <w:tcW w:w="4236" w:type="dxa"/>
          </w:tcPr>
          <w:p>
            <w:pPr>
              <w:pStyle w:val="287"/>
              <w:spacing w:before="13"/>
              <w:ind w:left="612"/>
              <w:rPr>
                <w:sz w:val="21"/>
              </w:rPr>
            </w:pPr>
            <w:r>
              <w:rPr>
                <w:sz w:val="21"/>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2"/>
              <w:ind w:left="200"/>
              <w:rPr>
                <w:sz w:val="21"/>
              </w:rPr>
            </w:pPr>
            <w:r>
              <w:rPr>
                <w:sz w:val="21"/>
              </w:rPr>
              <w:t>传真：</w:t>
            </w:r>
          </w:p>
        </w:tc>
        <w:tc>
          <w:tcPr>
            <w:tcW w:w="4236" w:type="dxa"/>
          </w:tcPr>
          <w:p>
            <w:pPr>
              <w:pStyle w:val="287"/>
              <w:spacing w:before="12"/>
              <w:ind w:left="612"/>
              <w:rPr>
                <w:sz w:val="21"/>
              </w:rPr>
            </w:pPr>
            <w:r>
              <w:rPr>
                <w:sz w:val="21"/>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3"/>
              <w:ind w:left="200"/>
              <w:rPr>
                <w:sz w:val="21"/>
              </w:rPr>
            </w:pPr>
            <w:r>
              <w:rPr>
                <w:sz w:val="21"/>
              </w:rPr>
              <w:t>电子信箱：</w:t>
            </w:r>
          </w:p>
        </w:tc>
        <w:tc>
          <w:tcPr>
            <w:tcW w:w="4236" w:type="dxa"/>
          </w:tcPr>
          <w:p>
            <w:pPr>
              <w:pStyle w:val="287"/>
              <w:spacing w:before="13"/>
              <w:ind w:left="612"/>
              <w:rPr>
                <w:sz w:val="21"/>
              </w:rPr>
            </w:pPr>
            <w:r>
              <w:rPr>
                <w:sz w:val="21"/>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4236" w:type="dxa"/>
          </w:tcPr>
          <w:p>
            <w:pPr>
              <w:pStyle w:val="287"/>
              <w:spacing w:before="12"/>
              <w:ind w:left="200"/>
              <w:rPr>
                <w:sz w:val="21"/>
              </w:rPr>
            </w:pPr>
            <w:r>
              <w:rPr>
                <w:sz w:val="21"/>
              </w:rPr>
              <w:t>开户银行：</w:t>
            </w:r>
          </w:p>
        </w:tc>
        <w:tc>
          <w:tcPr>
            <w:tcW w:w="4236" w:type="dxa"/>
          </w:tcPr>
          <w:p>
            <w:pPr>
              <w:pStyle w:val="287"/>
              <w:spacing w:before="12"/>
              <w:ind w:left="612"/>
              <w:rPr>
                <w:sz w:val="21"/>
              </w:rPr>
            </w:pPr>
            <w:r>
              <w:rPr>
                <w:sz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4236" w:type="dxa"/>
          </w:tcPr>
          <w:p>
            <w:pPr>
              <w:pStyle w:val="287"/>
              <w:spacing w:before="12" w:line="229" w:lineRule="exact"/>
              <w:ind w:left="200"/>
              <w:rPr>
                <w:sz w:val="21"/>
              </w:rPr>
            </w:pPr>
            <w:r>
              <w:rPr>
                <w:sz w:val="21"/>
              </w:rPr>
              <w:t>账号：</w:t>
            </w:r>
          </w:p>
        </w:tc>
        <w:tc>
          <w:tcPr>
            <w:tcW w:w="4236" w:type="dxa"/>
          </w:tcPr>
          <w:p>
            <w:pPr>
              <w:pStyle w:val="287"/>
              <w:spacing w:before="12" w:line="229" w:lineRule="exact"/>
              <w:ind w:left="612"/>
              <w:rPr>
                <w:sz w:val="21"/>
              </w:rPr>
            </w:pPr>
            <w:r>
              <w:rPr>
                <w:sz w:val="21"/>
              </w:rPr>
              <w:t>账号：</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850672"/>
    </w:sdtPr>
    <w:sdtEndPr>
      <w:rPr>
        <w:sz w:val="24"/>
        <w:szCs w:val="24"/>
      </w:rPr>
    </w:sdtEndPr>
    <w:sdtContent>
      <w:p>
        <w:pPr>
          <w:pStyle w:val="2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61384"/>
    </w:sdtPr>
    <w:sdtContent>
      <w:p>
        <w:pPr>
          <w:pStyle w:val="28"/>
          <w:ind w:firstLine="420"/>
          <w:jc w:val="center"/>
        </w:pPr>
        <w:r>
          <w:fldChar w:fldCharType="begin"/>
        </w:r>
        <w:r>
          <w:instrText xml:space="preserve">PAGE   \* MERGEFORMAT</w:instrText>
        </w:r>
        <w:r>
          <w:fldChar w:fldCharType="separate"/>
        </w:r>
        <w:r>
          <w:rPr>
            <w:lang w:val="zh-CN"/>
          </w:rPr>
          <w:t>51</w:t>
        </w:r>
        <w:r>
          <w:rPr>
            <w:lang w:val="zh-CN"/>
          </w:rP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15F4F"/>
    <w:multiLevelType w:val="multilevel"/>
    <w:tmpl w:val="C0915F4F"/>
    <w:lvl w:ilvl="0" w:tentative="0">
      <w:start w:val="1"/>
      <w:numFmt w:val="decimal"/>
      <w:lvlText w:val="%1."/>
      <w:lvlJc w:val="left"/>
      <w:pPr>
        <w:ind w:left="31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302" w:hanging="160"/>
      </w:pPr>
      <w:rPr>
        <w:rFonts w:hint="default"/>
        <w:lang w:val="zh-CN" w:eastAsia="zh-CN" w:bidi="zh-CN"/>
      </w:rPr>
    </w:lvl>
    <w:lvl w:ilvl="2" w:tentative="0">
      <w:start w:val="0"/>
      <w:numFmt w:val="bullet"/>
      <w:lvlText w:val="•"/>
      <w:lvlJc w:val="left"/>
      <w:pPr>
        <w:ind w:left="2284" w:hanging="160"/>
      </w:pPr>
      <w:rPr>
        <w:rFonts w:hint="default"/>
        <w:lang w:val="zh-CN" w:eastAsia="zh-CN" w:bidi="zh-CN"/>
      </w:rPr>
    </w:lvl>
    <w:lvl w:ilvl="3" w:tentative="0">
      <w:start w:val="0"/>
      <w:numFmt w:val="bullet"/>
      <w:lvlText w:val="•"/>
      <w:lvlJc w:val="left"/>
      <w:pPr>
        <w:ind w:left="3267" w:hanging="160"/>
      </w:pPr>
      <w:rPr>
        <w:rFonts w:hint="default"/>
        <w:lang w:val="zh-CN" w:eastAsia="zh-CN" w:bidi="zh-CN"/>
      </w:rPr>
    </w:lvl>
    <w:lvl w:ilvl="4" w:tentative="0">
      <w:start w:val="0"/>
      <w:numFmt w:val="bullet"/>
      <w:lvlText w:val="•"/>
      <w:lvlJc w:val="left"/>
      <w:pPr>
        <w:ind w:left="4249" w:hanging="160"/>
      </w:pPr>
      <w:rPr>
        <w:rFonts w:hint="default"/>
        <w:lang w:val="zh-CN" w:eastAsia="zh-CN" w:bidi="zh-CN"/>
      </w:rPr>
    </w:lvl>
    <w:lvl w:ilvl="5" w:tentative="0">
      <w:start w:val="0"/>
      <w:numFmt w:val="bullet"/>
      <w:lvlText w:val="•"/>
      <w:lvlJc w:val="left"/>
      <w:pPr>
        <w:ind w:left="5232" w:hanging="160"/>
      </w:pPr>
      <w:rPr>
        <w:rFonts w:hint="default"/>
        <w:lang w:val="zh-CN" w:eastAsia="zh-CN" w:bidi="zh-CN"/>
      </w:rPr>
    </w:lvl>
    <w:lvl w:ilvl="6" w:tentative="0">
      <w:start w:val="0"/>
      <w:numFmt w:val="bullet"/>
      <w:lvlText w:val="•"/>
      <w:lvlJc w:val="left"/>
      <w:pPr>
        <w:ind w:left="6214" w:hanging="160"/>
      </w:pPr>
      <w:rPr>
        <w:rFonts w:hint="default"/>
        <w:lang w:val="zh-CN" w:eastAsia="zh-CN" w:bidi="zh-CN"/>
      </w:rPr>
    </w:lvl>
    <w:lvl w:ilvl="7" w:tentative="0">
      <w:start w:val="0"/>
      <w:numFmt w:val="bullet"/>
      <w:lvlText w:val="•"/>
      <w:lvlJc w:val="left"/>
      <w:pPr>
        <w:ind w:left="7196" w:hanging="160"/>
      </w:pPr>
      <w:rPr>
        <w:rFonts w:hint="default"/>
        <w:lang w:val="zh-CN" w:eastAsia="zh-CN" w:bidi="zh-CN"/>
      </w:rPr>
    </w:lvl>
    <w:lvl w:ilvl="8" w:tentative="0">
      <w:start w:val="0"/>
      <w:numFmt w:val="bullet"/>
      <w:lvlText w:val="•"/>
      <w:lvlJc w:val="left"/>
      <w:pPr>
        <w:ind w:left="8179" w:hanging="160"/>
      </w:pPr>
      <w:rPr>
        <w:rFonts w:hint="default"/>
        <w:lang w:val="zh-CN" w:eastAsia="zh-CN" w:bidi="zh-CN"/>
      </w:rPr>
    </w:lvl>
  </w:abstractNum>
  <w:abstractNum w:abstractNumId="1">
    <w:nsid w:val="F689643B"/>
    <w:multiLevelType w:val="multilevel"/>
    <w:tmpl w:val="F689643B"/>
    <w:lvl w:ilvl="0" w:tentative="0">
      <w:start w:val="1"/>
      <w:numFmt w:val="decimal"/>
      <w:lvlText w:val="%1."/>
      <w:lvlJc w:val="left"/>
      <w:pPr>
        <w:ind w:left="902"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824" w:hanging="160"/>
      </w:pPr>
      <w:rPr>
        <w:rFonts w:hint="default"/>
        <w:lang w:val="zh-CN" w:eastAsia="zh-CN" w:bidi="zh-CN"/>
      </w:rPr>
    </w:lvl>
    <w:lvl w:ilvl="2" w:tentative="0">
      <w:start w:val="0"/>
      <w:numFmt w:val="bullet"/>
      <w:lvlText w:val="•"/>
      <w:lvlJc w:val="left"/>
      <w:pPr>
        <w:ind w:left="2748" w:hanging="160"/>
      </w:pPr>
      <w:rPr>
        <w:rFonts w:hint="default"/>
        <w:lang w:val="zh-CN" w:eastAsia="zh-CN" w:bidi="zh-CN"/>
      </w:rPr>
    </w:lvl>
    <w:lvl w:ilvl="3" w:tentative="0">
      <w:start w:val="0"/>
      <w:numFmt w:val="bullet"/>
      <w:lvlText w:val="•"/>
      <w:lvlJc w:val="left"/>
      <w:pPr>
        <w:ind w:left="3673" w:hanging="160"/>
      </w:pPr>
      <w:rPr>
        <w:rFonts w:hint="default"/>
        <w:lang w:val="zh-CN" w:eastAsia="zh-CN" w:bidi="zh-CN"/>
      </w:rPr>
    </w:lvl>
    <w:lvl w:ilvl="4" w:tentative="0">
      <w:start w:val="0"/>
      <w:numFmt w:val="bullet"/>
      <w:lvlText w:val="•"/>
      <w:lvlJc w:val="left"/>
      <w:pPr>
        <w:ind w:left="4597" w:hanging="160"/>
      </w:pPr>
      <w:rPr>
        <w:rFonts w:hint="default"/>
        <w:lang w:val="zh-CN" w:eastAsia="zh-CN" w:bidi="zh-CN"/>
      </w:rPr>
    </w:lvl>
    <w:lvl w:ilvl="5" w:tentative="0">
      <w:start w:val="0"/>
      <w:numFmt w:val="bullet"/>
      <w:lvlText w:val="•"/>
      <w:lvlJc w:val="left"/>
      <w:pPr>
        <w:ind w:left="5522" w:hanging="160"/>
      </w:pPr>
      <w:rPr>
        <w:rFonts w:hint="default"/>
        <w:lang w:val="zh-CN" w:eastAsia="zh-CN" w:bidi="zh-CN"/>
      </w:rPr>
    </w:lvl>
    <w:lvl w:ilvl="6" w:tentative="0">
      <w:start w:val="0"/>
      <w:numFmt w:val="bullet"/>
      <w:lvlText w:val="•"/>
      <w:lvlJc w:val="left"/>
      <w:pPr>
        <w:ind w:left="6446" w:hanging="160"/>
      </w:pPr>
      <w:rPr>
        <w:rFonts w:hint="default"/>
        <w:lang w:val="zh-CN" w:eastAsia="zh-CN" w:bidi="zh-CN"/>
      </w:rPr>
    </w:lvl>
    <w:lvl w:ilvl="7" w:tentative="0">
      <w:start w:val="0"/>
      <w:numFmt w:val="bullet"/>
      <w:lvlText w:val="•"/>
      <w:lvlJc w:val="left"/>
      <w:pPr>
        <w:ind w:left="7370" w:hanging="160"/>
      </w:pPr>
      <w:rPr>
        <w:rFonts w:hint="default"/>
        <w:lang w:val="zh-CN" w:eastAsia="zh-CN" w:bidi="zh-CN"/>
      </w:rPr>
    </w:lvl>
    <w:lvl w:ilvl="8" w:tentative="0">
      <w:start w:val="0"/>
      <w:numFmt w:val="bullet"/>
      <w:lvlText w:val="•"/>
      <w:lvlJc w:val="left"/>
      <w:pPr>
        <w:ind w:left="8295" w:hanging="160"/>
      </w:pPr>
      <w:rPr>
        <w:rFonts w:hint="default"/>
        <w:lang w:val="zh-CN" w:eastAsia="zh-CN" w:bidi="zh-CN"/>
      </w:rPr>
    </w:lvl>
  </w:abstractNum>
  <w:abstractNum w:abstractNumId="2">
    <w:nsid w:val="00000013"/>
    <w:multiLevelType w:val="multilevel"/>
    <w:tmpl w:val="000000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92"/>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4">
    <w:nsid w:val="00000017"/>
    <w:multiLevelType w:val="multilevel"/>
    <w:tmpl w:val="00000017"/>
    <w:lvl w:ilvl="0" w:tentative="0">
      <w:start w:val="1"/>
      <w:numFmt w:val="chineseCountingThousand"/>
      <w:lvlText w:val="%1、"/>
      <w:lvlJc w:val="left"/>
      <w:pPr>
        <w:ind w:left="113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6">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25"/>
    <w:multiLevelType w:val="multilevel"/>
    <w:tmpl w:val="00000025"/>
    <w:lvl w:ilvl="0" w:tentative="0">
      <w:start w:val="1"/>
      <w:numFmt w:val="chineseCountingThousand"/>
      <w:lvlText w:val="%1、"/>
      <w:lvlJc w:val="left"/>
      <w:pPr>
        <w:ind w:left="1130"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413"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1701" w:hanging="708"/>
      </w:pPr>
      <w:rPr>
        <w:rFonts w:hint="default" w:ascii="Times New Roman" w:hAnsi="Times New Roman" w:eastAsia="宋体" w:cs="Times New Roman"/>
        <w:b/>
        <w:i w:val="0"/>
        <w:strike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1">
    <w:nsid w:val="0000003E"/>
    <w:multiLevelType w:val="multilevel"/>
    <w:tmpl w:val="0000003E"/>
    <w:lvl w:ilvl="0" w:tentative="0">
      <w:start w:val="1"/>
      <w:numFmt w:val="chineseCountingThousand"/>
      <w:suff w:val="nothing"/>
      <w:lvlText w:val="%1、"/>
      <w:lvlJc w:val="left"/>
      <w:pPr>
        <w:ind w:left="1697" w:hanging="420"/>
      </w:pPr>
      <w:rPr>
        <w:b/>
        <w:lang w:val="en-US"/>
      </w:rPr>
    </w:lvl>
    <w:lvl w:ilvl="1" w:tentative="0">
      <w:start w:val="1"/>
      <w:numFmt w:val="decimal"/>
      <w:lvlText w:val="%2、"/>
      <w:lvlJc w:val="left"/>
      <w:pPr>
        <w:ind w:left="1125" w:hanging="1125"/>
      </w:p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12">
    <w:nsid w:val="00000041"/>
    <w:multiLevelType w:val="multilevel"/>
    <w:tmpl w:val="00000041"/>
    <w:lvl w:ilvl="0" w:tentative="0">
      <w:start w:val="1"/>
      <w:numFmt w:val="chineseCountingThousand"/>
      <w:lvlText w:val="%1、"/>
      <w:lvlJc w:val="left"/>
      <w:pPr>
        <w:ind w:left="2689" w:hanging="420"/>
      </w:pPr>
    </w:lvl>
    <w:lvl w:ilvl="1" w:tentative="0">
      <w:start w:val="1"/>
      <w:numFmt w:val="lowerLetter"/>
      <w:lvlText w:val="%2)"/>
      <w:lvlJc w:val="left"/>
      <w:pPr>
        <w:ind w:left="3109" w:hanging="420"/>
      </w:pPr>
    </w:lvl>
    <w:lvl w:ilvl="2" w:tentative="0">
      <w:start w:val="1"/>
      <w:numFmt w:val="lowerRoman"/>
      <w:lvlText w:val="%3."/>
      <w:lvlJc w:val="right"/>
      <w:pPr>
        <w:ind w:left="3529" w:hanging="420"/>
      </w:pPr>
    </w:lvl>
    <w:lvl w:ilvl="3" w:tentative="0">
      <w:start w:val="1"/>
      <w:numFmt w:val="decimal"/>
      <w:lvlText w:val="%4."/>
      <w:lvlJc w:val="left"/>
      <w:pPr>
        <w:ind w:left="3949" w:hanging="420"/>
      </w:pPr>
    </w:lvl>
    <w:lvl w:ilvl="4" w:tentative="0">
      <w:start w:val="1"/>
      <w:numFmt w:val="lowerLetter"/>
      <w:lvlText w:val="%5)"/>
      <w:lvlJc w:val="left"/>
      <w:pPr>
        <w:ind w:left="4369" w:hanging="420"/>
      </w:pPr>
    </w:lvl>
    <w:lvl w:ilvl="5" w:tentative="0">
      <w:start w:val="1"/>
      <w:numFmt w:val="lowerRoman"/>
      <w:lvlText w:val="%6."/>
      <w:lvlJc w:val="right"/>
      <w:pPr>
        <w:ind w:left="4789" w:hanging="420"/>
      </w:pPr>
    </w:lvl>
    <w:lvl w:ilvl="6" w:tentative="0">
      <w:start w:val="1"/>
      <w:numFmt w:val="decimal"/>
      <w:lvlText w:val="%7."/>
      <w:lvlJc w:val="left"/>
      <w:pPr>
        <w:ind w:left="5209" w:hanging="420"/>
      </w:pPr>
    </w:lvl>
    <w:lvl w:ilvl="7" w:tentative="0">
      <w:start w:val="1"/>
      <w:numFmt w:val="lowerLetter"/>
      <w:lvlText w:val="%8)"/>
      <w:lvlJc w:val="left"/>
      <w:pPr>
        <w:ind w:left="5629" w:hanging="420"/>
      </w:pPr>
    </w:lvl>
    <w:lvl w:ilvl="8" w:tentative="0">
      <w:start w:val="1"/>
      <w:numFmt w:val="lowerRoman"/>
      <w:lvlText w:val="%9."/>
      <w:lvlJc w:val="right"/>
      <w:pPr>
        <w:ind w:left="6049" w:hanging="420"/>
      </w:pPr>
    </w:lvl>
  </w:abstractNum>
  <w:abstractNum w:abstractNumId="13">
    <w:nsid w:val="03A63A41"/>
    <w:multiLevelType w:val="multilevel"/>
    <w:tmpl w:val="03A63A41"/>
    <w:lvl w:ilvl="0" w:tentative="0">
      <w:start w:val="1"/>
      <w:numFmt w:val="decimal"/>
      <w:lvlText w:val="%1."/>
      <w:lvlJc w:val="left"/>
      <w:pPr>
        <w:ind w:left="31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302" w:hanging="160"/>
      </w:pPr>
      <w:rPr>
        <w:rFonts w:hint="default"/>
        <w:lang w:val="zh-CN" w:eastAsia="zh-CN" w:bidi="zh-CN"/>
      </w:rPr>
    </w:lvl>
    <w:lvl w:ilvl="2" w:tentative="0">
      <w:start w:val="0"/>
      <w:numFmt w:val="bullet"/>
      <w:lvlText w:val="•"/>
      <w:lvlJc w:val="left"/>
      <w:pPr>
        <w:ind w:left="2284" w:hanging="160"/>
      </w:pPr>
      <w:rPr>
        <w:rFonts w:hint="default"/>
        <w:lang w:val="zh-CN" w:eastAsia="zh-CN" w:bidi="zh-CN"/>
      </w:rPr>
    </w:lvl>
    <w:lvl w:ilvl="3" w:tentative="0">
      <w:start w:val="0"/>
      <w:numFmt w:val="bullet"/>
      <w:lvlText w:val="•"/>
      <w:lvlJc w:val="left"/>
      <w:pPr>
        <w:ind w:left="3267" w:hanging="160"/>
      </w:pPr>
      <w:rPr>
        <w:rFonts w:hint="default"/>
        <w:lang w:val="zh-CN" w:eastAsia="zh-CN" w:bidi="zh-CN"/>
      </w:rPr>
    </w:lvl>
    <w:lvl w:ilvl="4" w:tentative="0">
      <w:start w:val="0"/>
      <w:numFmt w:val="bullet"/>
      <w:lvlText w:val="•"/>
      <w:lvlJc w:val="left"/>
      <w:pPr>
        <w:ind w:left="4249" w:hanging="160"/>
      </w:pPr>
      <w:rPr>
        <w:rFonts w:hint="default"/>
        <w:lang w:val="zh-CN" w:eastAsia="zh-CN" w:bidi="zh-CN"/>
      </w:rPr>
    </w:lvl>
    <w:lvl w:ilvl="5" w:tentative="0">
      <w:start w:val="0"/>
      <w:numFmt w:val="bullet"/>
      <w:lvlText w:val="•"/>
      <w:lvlJc w:val="left"/>
      <w:pPr>
        <w:ind w:left="5232" w:hanging="160"/>
      </w:pPr>
      <w:rPr>
        <w:rFonts w:hint="default"/>
        <w:lang w:val="zh-CN" w:eastAsia="zh-CN" w:bidi="zh-CN"/>
      </w:rPr>
    </w:lvl>
    <w:lvl w:ilvl="6" w:tentative="0">
      <w:start w:val="0"/>
      <w:numFmt w:val="bullet"/>
      <w:lvlText w:val="•"/>
      <w:lvlJc w:val="left"/>
      <w:pPr>
        <w:ind w:left="6214" w:hanging="160"/>
      </w:pPr>
      <w:rPr>
        <w:rFonts w:hint="default"/>
        <w:lang w:val="zh-CN" w:eastAsia="zh-CN" w:bidi="zh-CN"/>
      </w:rPr>
    </w:lvl>
    <w:lvl w:ilvl="7" w:tentative="0">
      <w:start w:val="0"/>
      <w:numFmt w:val="bullet"/>
      <w:lvlText w:val="•"/>
      <w:lvlJc w:val="left"/>
      <w:pPr>
        <w:ind w:left="7196" w:hanging="160"/>
      </w:pPr>
      <w:rPr>
        <w:rFonts w:hint="default"/>
        <w:lang w:val="zh-CN" w:eastAsia="zh-CN" w:bidi="zh-CN"/>
      </w:rPr>
    </w:lvl>
    <w:lvl w:ilvl="8" w:tentative="0">
      <w:start w:val="0"/>
      <w:numFmt w:val="bullet"/>
      <w:lvlText w:val="•"/>
      <w:lvlJc w:val="left"/>
      <w:pPr>
        <w:ind w:left="8179" w:hanging="160"/>
      </w:pPr>
      <w:rPr>
        <w:rFonts w:hint="default"/>
        <w:lang w:val="zh-CN" w:eastAsia="zh-CN" w:bidi="zh-CN"/>
      </w:rPr>
    </w:lvl>
  </w:abstractNum>
  <w:abstractNum w:abstractNumId="14">
    <w:nsid w:val="09065E2B"/>
    <w:multiLevelType w:val="multilevel"/>
    <w:tmpl w:val="09065E2B"/>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0F9F9CCA"/>
    <w:multiLevelType w:val="multilevel"/>
    <w:tmpl w:val="0F9F9CCA"/>
    <w:lvl w:ilvl="0" w:tentative="0">
      <w:start w:val="1"/>
      <w:numFmt w:val="decimal"/>
      <w:lvlText w:val="%1."/>
      <w:lvlJc w:val="left"/>
      <w:pPr>
        <w:ind w:left="31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302" w:hanging="160"/>
      </w:pPr>
      <w:rPr>
        <w:rFonts w:hint="default"/>
        <w:lang w:val="zh-CN" w:eastAsia="zh-CN" w:bidi="zh-CN"/>
      </w:rPr>
    </w:lvl>
    <w:lvl w:ilvl="2" w:tentative="0">
      <w:start w:val="0"/>
      <w:numFmt w:val="bullet"/>
      <w:lvlText w:val="•"/>
      <w:lvlJc w:val="left"/>
      <w:pPr>
        <w:ind w:left="2284" w:hanging="160"/>
      </w:pPr>
      <w:rPr>
        <w:rFonts w:hint="default"/>
        <w:lang w:val="zh-CN" w:eastAsia="zh-CN" w:bidi="zh-CN"/>
      </w:rPr>
    </w:lvl>
    <w:lvl w:ilvl="3" w:tentative="0">
      <w:start w:val="0"/>
      <w:numFmt w:val="bullet"/>
      <w:lvlText w:val="•"/>
      <w:lvlJc w:val="left"/>
      <w:pPr>
        <w:ind w:left="3267" w:hanging="160"/>
      </w:pPr>
      <w:rPr>
        <w:rFonts w:hint="default"/>
        <w:lang w:val="zh-CN" w:eastAsia="zh-CN" w:bidi="zh-CN"/>
      </w:rPr>
    </w:lvl>
    <w:lvl w:ilvl="4" w:tentative="0">
      <w:start w:val="0"/>
      <w:numFmt w:val="bullet"/>
      <w:lvlText w:val="•"/>
      <w:lvlJc w:val="left"/>
      <w:pPr>
        <w:ind w:left="4249" w:hanging="160"/>
      </w:pPr>
      <w:rPr>
        <w:rFonts w:hint="default"/>
        <w:lang w:val="zh-CN" w:eastAsia="zh-CN" w:bidi="zh-CN"/>
      </w:rPr>
    </w:lvl>
    <w:lvl w:ilvl="5" w:tentative="0">
      <w:start w:val="0"/>
      <w:numFmt w:val="bullet"/>
      <w:lvlText w:val="•"/>
      <w:lvlJc w:val="left"/>
      <w:pPr>
        <w:ind w:left="5232" w:hanging="160"/>
      </w:pPr>
      <w:rPr>
        <w:rFonts w:hint="default"/>
        <w:lang w:val="zh-CN" w:eastAsia="zh-CN" w:bidi="zh-CN"/>
      </w:rPr>
    </w:lvl>
    <w:lvl w:ilvl="6" w:tentative="0">
      <w:start w:val="0"/>
      <w:numFmt w:val="bullet"/>
      <w:lvlText w:val="•"/>
      <w:lvlJc w:val="left"/>
      <w:pPr>
        <w:ind w:left="6214" w:hanging="160"/>
      </w:pPr>
      <w:rPr>
        <w:rFonts w:hint="default"/>
        <w:lang w:val="zh-CN" w:eastAsia="zh-CN" w:bidi="zh-CN"/>
      </w:rPr>
    </w:lvl>
    <w:lvl w:ilvl="7" w:tentative="0">
      <w:start w:val="0"/>
      <w:numFmt w:val="bullet"/>
      <w:lvlText w:val="•"/>
      <w:lvlJc w:val="left"/>
      <w:pPr>
        <w:ind w:left="7196" w:hanging="160"/>
      </w:pPr>
      <w:rPr>
        <w:rFonts w:hint="default"/>
        <w:lang w:val="zh-CN" w:eastAsia="zh-CN" w:bidi="zh-CN"/>
      </w:rPr>
    </w:lvl>
    <w:lvl w:ilvl="8" w:tentative="0">
      <w:start w:val="0"/>
      <w:numFmt w:val="bullet"/>
      <w:lvlText w:val="•"/>
      <w:lvlJc w:val="left"/>
      <w:pPr>
        <w:ind w:left="8179" w:hanging="160"/>
      </w:pPr>
      <w:rPr>
        <w:rFonts w:hint="default"/>
        <w:lang w:val="zh-CN" w:eastAsia="zh-CN" w:bidi="zh-CN"/>
      </w:rPr>
    </w:lvl>
  </w:abstractNum>
  <w:abstractNum w:abstractNumId="18">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1C5C2941"/>
    <w:multiLevelType w:val="multilevel"/>
    <w:tmpl w:val="1C5C2941"/>
    <w:lvl w:ilvl="0" w:tentative="0">
      <w:start w:val="1"/>
      <w:numFmt w:val="japaneseCounting"/>
      <w:lvlText w:val="%1、"/>
      <w:lvlJc w:val="left"/>
      <w:pPr>
        <w:ind w:left="2000"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20">
    <w:nsid w:val="22FF369C"/>
    <w:multiLevelType w:val="singleLevel"/>
    <w:tmpl w:val="22FF369C"/>
    <w:lvl w:ilvl="0" w:tentative="0">
      <w:start w:val="1"/>
      <w:numFmt w:val="decimal"/>
      <w:suff w:val="nothing"/>
      <w:lvlText w:val="（%1）"/>
      <w:lvlJc w:val="left"/>
    </w:lvl>
  </w:abstractNum>
  <w:abstractNum w:abstractNumId="21">
    <w:nsid w:val="26567281"/>
    <w:multiLevelType w:val="multilevel"/>
    <w:tmpl w:val="26567281"/>
    <w:lvl w:ilvl="0" w:tentative="0">
      <w:start w:val="1"/>
      <w:numFmt w:val="decimal"/>
      <w:lvlText w:val="%1."/>
      <w:lvlJc w:val="left"/>
      <w:pPr>
        <w:ind w:left="958" w:hanging="420"/>
      </w:pPr>
    </w:lvl>
    <w:lvl w:ilvl="1" w:tentative="0">
      <w:start w:val="1"/>
      <w:numFmt w:val="chineseCountingThousand"/>
      <w:lvlText w:val="%2、"/>
      <w:lvlJc w:val="left"/>
      <w:pPr>
        <w:ind w:left="988" w:hanging="420"/>
      </w:pPr>
      <w:rPr>
        <w:rFonts w:hint="eastAsia"/>
        <w:lang w:val="en-US"/>
      </w:rPr>
    </w:lvl>
    <w:lvl w:ilvl="2" w:tentative="0">
      <w:start w:val="1"/>
      <w:numFmt w:val="decimal"/>
      <w:lvlText w:val="%3．"/>
      <w:lvlJc w:val="left"/>
      <w:pPr>
        <w:ind w:left="2098" w:hanging="720"/>
      </w:pPr>
    </w:lvl>
    <w:lvl w:ilvl="3" w:tentative="0">
      <w:start w:val="1"/>
      <w:numFmt w:val="decimal"/>
      <w:lvlText w:val="%4、"/>
      <w:lvlJc w:val="left"/>
      <w:pPr>
        <w:ind w:left="2158" w:hanging="360"/>
      </w:pPr>
      <w:rPr>
        <w:rFonts w:hint="default"/>
      </w:r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2">
    <w:nsid w:val="27297F69"/>
    <w:multiLevelType w:val="multilevel"/>
    <w:tmpl w:val="27297F69"/>
    <w:lvl w:ilvl="0" w:tentative="0">
      <w:start w:val="1"/>
      <w:numFmt w:val="chineseCountingThousand"/>
      <w:suff w:val="nothing"/>
      <w:lvlText w:val="%1、"/>
      <w:lvlJc w:val="left"/>
      <w:pPr>
        <w:ind w:left="1413"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23">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4">
    <w:nsid w:val="2C5917C3"/>
    <w:multiLevelType w:val="multilevel"/>
    <w:tmpl w:val="2C5917C3"/>
    <w:lvl w:ilvl="0" w:tentative="0">
      <w:start w:val="1"/>
      <w:numFmt w:val="none"/>
      <w:pStyle w:val="158"/>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5">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6">
    <w:nsid w:val="3907789F"/>
    <w:multiLevelType w:val="multilevel"/>
    <w:tmpl w:val="3907789F"/>
    <w:lvl w:ilvl="0" w:tentative="0">
      <w:start w:val="1"/>
      <w:numFmt w:val="chineseCountingThousand"/>
      <w:lvlText w:val="%1、"/>
      <w:lvlJc w:val="left"/>
      <w:pPr>
        <w:tabs>
          <w:tab w:val="left" w:pos="420"/>
        </w:tabs>
        <w:ind w:left="420"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394E3612"/>
    <w:multiLevelType w:val="multilevel"/>
    <w:tmpl w:val="394E3612"/>
    <w:lvl w:ilvl="0" w:tentative="0">
      <w:start w:val="1"/>
      <w:numFmt w:val="chineseCountingThousand"/>
      <w:lvlText w:val="%1、"/>
      <w:lvlJc w:val="left"/>
      <w:pPr>
        <w:ind w:left="1130" w:hanging="420"/>
      </w:pPr>
      <w:rPr>
        <w:rFonts w:hint="eastAsia"/>
        <w:color w:val="auto"/>
        <w:sz w:val="24"/>
        <w:szCs w:val="24"/>
        <w:lang w:val="en-US"/>
      </w:rPr>
    </w:lvl>
    <w:lvl w:ilvl="1" w:tentative="0">
      <w:start w:val="1"/>
      <w:numFmt w:val="decimal"/>
      <w:lvlText w:val="（%2）"/>
      <w:lvlJc w:val="left"/>
      <w:pPr>
        <w:ind w:left="1049" w:hanging="420"/>
      </w:pPr>
      <w:rPr>
        <w:rFonts w:hint="default"/>
        <w:color w:val="000000"/>
      </w:r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28">
    <w:nsid w:val="3A7F4B0B"/>
    <w:multiLevelType w:val="multilevel"/>
    <w:tmpl w:val="3A7F4B0B"/>
    <w:lvl w:ilvl="0" w:tentative="0">
      <w:start w:val="1"/>
      <w:numFmt w:val="chineseCountingThousand"/>
      <w:lvlText w:val="%1、"/>
      <w:lvlJc w:val="left"/>
      <w:pPr>
        <w:ind w:left="96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9">
    <w:nsid w:val="40B249F9"/>
    <w:multiLevelType w:val="multilevel"/>
    <w:tmpl w:val="40B249F9"/>
    <w:lvl w:ilvl="0" w:tentative="0">
      <w:start w:val="1"/>
      <w:numFmt w:val="decimal"/>
      <w:lvlText w:val="%1."/>
      <w:lvlJc w:val="left"/>
      <w:pPr>
        <w:ind w:left="319"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302" w:hanging="160"/>
      </w:pPr>
      <w:rPr>
        <w:rFonts w:hint="default"/>
        <w:lang w:val="zh-CN" w:eastAsia="zh-CN" w:bidi="zh-CN"/>
      </w:rPr>
    </w:lvl>
    <w:lvl w:ilvl="2" w:tentative="0">
      <w:start w:val="0"/>
      <w:numFmt w:val="bullet"/>
      <w:lvlText w:val="•"/>
      <w:lvlJc w:val="left"/>
      <w:pPr>
        <w:ind w:left="2284" w:hanging="160"/>
      </w:pPr>
      <w:rPr>
        <w:rFonts w:hint="default"/>
        <w:lang w:val="zh-CN" w:eastAsia="zh-CN" w:bidi="zh-CN"/>
      </w:rPr>
    </w:lvl>
    <w:lvl w:ilvl="3" w:tentative="0">
      <w:start w:val="0"/>
      <w:numFmt w:val="bullet"/>
      <w:lvlText w:val="•"/>
      <w:lvlJc w:val="left"/>
      <w:pPr>
        <w:ind w:left="3267" w:hanging="160"/>
      </w:pPr>
      <w:rPr>
        <w:rFonts w:hint="default"/>
        <w:lang w:val="zh-CN" w:eastAsia="zh-CN" w:bidi="zh-CN"/>
      </w:rPr>
    </w:lvl>
    <w:lvl w:ilvl="4" w:tentative="0">
      <w:start w:val="0"/>
      <w:numFmt w:val="bullet"/>
      <w:lvlText w:val="•"/>
      <w:lvlJc w:val="left"/>
      <w:pPr>
        <w:ind w:left="4249" w:hanging="160"/>
      </w:pPr>
      <w:rPr>
        <w:rFonts w:hint="default"/>
        <w:lang w:val="zh-CN" w:eastAsia="zh-CN" w:bidi="zh-CN"/>
      </w:rPr>
    </w:lvl>
    <w:lvl w:ilvl="5" w:tentative="0">
      <w:start w:val="0"/>
      <w:numFmt w:val="bullet"/>
      <w:lvlText w:val="•"/>
      <w:lvlJc w:val="left"/>
      <w:pPr>
        <w:ind w:left="5232" w:hanging="160"/>
      </w:pPr>
      <w:rPr>
        <w:rFonts w:hint="default"/>
        <w:lang w:val="zh-CN" w:eastAsia="zh-CN" w:bidi="zh-CN"/>
      </w:rPr>
    </w:lvl>
    <w:lvl w:ilvl="6" w:tentative="0">
      <w:start w:val="0"/>
      <w:numFmt w:val="bullet"/>
      <w:lvlText w:val="•"/>
      <w:lvlJc w:val="left"/>
      <w:pPr>
        <w:ind w:left="6214" w:hanging="160"/>
      </w:pPr>
      <w:rPr>
        <w:rFonts w:hint="default"/>
        <w:lang w:val="zh-CN" w:eastAsia="zh-CN" w:bidi="zh-CN"/>
      </w:rPr>
    </w:lvl>
    <w:lvl w:ilvl="7" w:tentative="0">
      <w:start w:val="0"/>
      <w:numFmt w:val="bullet"/>
      <w:lvlText w:val="•"/>
      <w:lvlJc w:val="left"/>
      <w:pPr>
        <w:ind w:left="7196" w:hanging="160"/>
      </w:pPr>
      <w:rPr>
        <w:rFonts w:hint="default"/>
        <w:lang w:val="zh-CN" w:eastAsia="zh-CN" w:bidi="zh-CN"/>
      </w:rPr>
    </w:lvl>
    <w:lvl w:ilvl="8" w:tentative="0">
      <w:start w:val="0"/>
      <w:numFmt w:val="bullet"/>
      <w:lvlText w:val="•"/>
      <w:lvlJc w:val="left"/>
      <w:pPr>
        <w:ind w:left="8179" w:hanging="160"/>
      </w:pPr>
      <w:rPr>
        <w:rFonts w:hint="default"/>
        <w:lang w:val="zh-CN" w:eastAsia="zh-CN" w:bidi="zh-CN"/>
      </w:rPr>
    </w:lvl>
  </w:abstractNum>
  <w:abstractNum w:abstractNumId="30">
    <w:nsid w:val="443D2B39"/>
    <w:multiLevelType w:val="multilevel"/>
    <w:tmpl w:val="443D2B39"/>
    <w:lvl w:ilvl="0" w:tentative="0">
      <w:start w:val="1"/>
      <w:numFmt w:val="chineseCountingThousand"/>
      <w:lvlText w:val="%1、"/>
      <w:lvlJc w:val="left"/>
      <w:pPr>
        <w:ind w:left="988" w:hanging="420"/>
      </w:pPr>
      <w:rPr>
        <w:rFonts w:hint="eastAsia" w:ascii="宋体" w:hAnsi="宋体" w:eastAsia="宋体"/>
        <w:i w:val="0"/>
        <w:sz w:val="24"/>
        <w:szCs w:val="24"/>
      </w:rPr>
    </w:lvl>
    <w:lvl w:ilvl="1" w:tentative="0">
      <w:start w:val="1"/>
      <w:numFmt w:val="lowerLetter"/>
      <w:lvlText w:val="%2)"/>
      <w:lvlJc w:val="left"/>
      <w:pPr>
        <w:ind w:left="482" w:hanging="420"/>
      </w:pPr>
    </w:lvl>
    <w:lvl w:ilvl="2" w:tentative="0">
      <w:start w:val="1"/>
      <w:numFmt w:val="lowerRoman"/>
      <w:lvlText w:val="%3."/>
      <w:lvlJc w:val="right"/>
      <w:pPr>
        <w:ind w:left="902" w:hanging="420"/>
      </w:pPr>
    </w:lvl>
    <w:lvl w:ilvl="3" w:tentative="0">
      <w:start w:val="1"/>
      <w:numFmt w:val="decimal"/>
      <w:lvlText w:val="%4."/>
      <w:lvlJc w:val="left"/>
      <w:pPr>
        <w:ind w:left="1322" w:hanging="420"/>
      </w:pPr>
    </w:lvl>
    <w:lvl w:ilvl="4" w:tentative="0">
      <w:start w:val="1"/>
      <w:numFmt w:val="lowerLetter"/>
      <w:lvlText w:val="%5)"/>
      <w:lvlJc w:val="left"/>
      <w:pPr>
        <w:ind w:left="1742" w:hanging="420"/>
      </w:pPr>
    </w:lvl>
    <w:lvl w:ilvl="5" w:tentative="0">
      <w:start w:val="1"/>
      <w:numFmt w:val="lowerRoman"/>
      <w:lvlText w:val="%6."/>
      <w:lvlJc w:val="right"/>
      <w:pPr>
        <w:ind w:left="2162" w:hanging="420"/>
      </w:pPr>
    </w:lvl>
    <w:lvl w:ilvl="6" w:tentative="0">
      <w:start w:val="1"/>
      <w:numFmt w:val="decimal"/>
      <w:lvlText w:val="%7."/>
      <w:lvlJc w:val="left"/>
      <w:pPr>
        <w:ind w:left="2582" w:hanging="420"/>
      </w:pPr>
    </w:lvl>
    <w:lvl w:ilvl="7" w:tentative="0">
      <w:start w:val="1"/>
      <w:numFmt w:val="lowerLetter"/>
      <w:lvlText w:val="%8)"/>
      <w:lvlJc w:val="left"/>
      <w:pPr>
        <w:ind w:left="3002" w:hanging="420"/>
      </w:pPr>
    </w:lvl>
    <w:lvl w:ilvl="8" w:tentative="0">
      <w:start w:val="1"/>
      <w:numFmt w:val="lowerRoman"/>
      <w:lvlText w:val="%9."/>
      <w:lvlJc w:val="right"/>
      <w:pPr>
        <w:ind w:left="3422" w:hanging="420"/>
      </w:pPr>
    </w:lvl>
  </w:abstractNum>
  <w:abstractNum w:abstractNumId="31">
    <w:nsid w:val="484A0618"/>
    <w:multiLevelType w:val="multilevel"/>
    <w:tmpl w:val="484A0618"/>
    <w:lvl w:ilvl="0" w:tentative="0">
      <w:start w:val="1"/>
      <w:numFmt w:val="chineseCountingThousand"/>
      <w:lvlText w:val="(%1)"/>
      <w:lvlJc w:val="left"/>
      <w:pPr>
        <w:ind w:left="840" w:hanging="420"/>
      </w:pPr>
    </w:lvl>
    <w:lvl w:ilvl="1" w:tentative="0">
      <w:start w:val="1"/>
      <w:numFmt w:val="chineseCountingThousand"/>
      <w:lvlText w:val="(%2)"/>
      <w:lvlJc w:val="left"/>
      <w:pPr>
        <w:ind w:left="1260" w:hanging="420"/>
      </w:pPr>
      <w:rPr>
        <w:color w:val="auto"/>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3">
    <w:nsid w:val="4FC6300F"/>
    <w:multiLevelType w:val="multilevel"/>
    <w:tmpl w:val="4FC6300F"/>
    <w:lvl w:ilvl="0" w:tentative="0">
      <w:start w:val="1"/>
      <w:numFmt w:val="chineseCountingThousand"/>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5">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54410692"/>
    <w:multiLevelType w:val="multilevel"/>
    <w:tmpl w:val="54410692"/>
    <w:lvl w:ilvl="0" w:tentative="0">
      <w:start w:val="1"/>
      <w:numFmt w:val="japaneseCounting"/>
      <w:lvlText w:val="%1、"/>
      <w:lvlJc w:val="left"/>
      <w:pPr>
        <w:ind w:left="3394" w:hanging="1125"/>
      </w:pPr>
      <w:rPr>
        <w:rFonts w:hint="eastAsia" w:ascii="宋体" w:hAnsi="宋体" w:eastAsia="宋体" w:cs="宋体"/>
        <w:b/>
        <w:sz w:val="28"/>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37">
    <w:nsid w:val="5A792747"/>
    <w:multiLevelType w:val="multilevel"/>
    <w:tmpl w:val="5A792747"/>
    <w:lvl w:ilvl="0" w:tentative="0">
      <w:start w:val="1"/>
      <w:numFmt w:val="chineseCountingThousand"/>
      <w:lvlText w:val="(%1)"/>
      <w:lvlJc w:val="left"/>
      <w:pPr>
        <w:ind w:left="928" w:hanging="360"/>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8">
    <w:nsid w:val="5C1C6488"/>
    <w:multiLevelType w:val="multilevel"/>
    <w:tmpl w:val="5C1C6488"/>
    <w:lvl w:ilvl="0" w:tentative="0">
      <w:start w:val="1"/>
      <w:numFmt w:val="chineseCountingThousand"/>
      <w:lvlText w:val="(%1)"/>
      <w:lvlJc w:val="left"/>
      <w:pPr>
        <w:ind w:left="986" w:hanging="420"/>
      </w:pPr>
    </w:lvl>
    <w:lvl w:ilvl="1" w:tentative="0">
      <w:start w:val="1"/>
      <w:numFmt w:val="chineseCountingThousand"/>
      <w:lvlText w:val="(%2)"/>
      <w:lvlJc w:val="left"/>
      <w:pPr>
        <w:ind w:left="2547" w:hanging="420"/>
      </w:pPr>
      <w:rPr>
        <w:rFonts w:ascii="宋体" w:hAnsi="宋体" w:eastAsia="宋体"/>
        <w:color w:val="auto"/>
      </w:rPr>
    </w:lvl>
    <w:lvl w:ilvl="2" w:tentative="0">
      <w:start w:val="1"/>
      <w:numFmt w:val="decimalEnclosedFullstop"/>
      <w:lvlText w:val="%3"/>
      <w:lvlJc w:val="left"/>
      <w:pPr>
        <w:ind w:left="1766" w:hanging="360"/>
      </w:pPr>
      <w:rPr>
        <w:rFonts w:hint="default"/>
      </w:r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9">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0">
    <w:nsid w:val="6A47046A"/>
    <w:multiLevelType w:val="multilevel"/>
    <w:tmpl w:val="6A47046A"/>
    <w:lvl w:ilvl="0" w:tentative="0">
      <w:start w:val="1"/>
      <w:numFmt w:val="chineseCountingThousand"/>
      <w:lvlText w:val="%1、"/>
      <w:lvlJc w:val="left"/>
      <w:pPr>
        <w:ind w:left="1271" w:hanging="420"/>
      </w:pPr>
      <w:rPr>
        <w:rFonts w:hint="eastAsia"/>
        <w:i w:val="0"/>
        <w:sz w:val="28"/>
        <w:szCs w:val="28"/>
      </w:rPr>
    </w:lvl>
    <w:lvl w:ilvl="1" w:tentative="0">
      <w:start w:val="1"/>
      <w:numFmt w:val="lowerLetter"/>
      <w:lvlText w:val="%2)"/>
      <w:lvlJc w:val="left"/>
      <w:pPr>
        <w:ind w:left="1049" w:hanging="420"/>
      </w:pPr>
    </w:lvl>
    <w:lvl w:ilvl="2" w:tentative="0">
      <w:start w:val="1"/>
      <w:numFmt w:val="lowerRoman"/>
      <w:lvlText w:val="%3."/>
      <w:lvlJc w:val="right"/>
      <w:pPr>
        <w:ind w:left="1469" w:hanging="420"/>
      </w:pPr>
    </w:lvl>
    <w:lvl w:ilvl="3" w:tentative="0">
      <w:start w:val="1"/>
      <w:numFmt w:val="decimal"/>
      <w:lvlText w:val="%4."/>
      <w:lvlJc w:val="left"/>
      <w:pPr>
        <w:ind w:left="1889" w:hanging="420"/>
      </w:pPr>
    </w:lvl>
    <w:lvl w:ilvl="4" w:tentative="0">
      <w:start w:val="1"/>
      <w:numFmt w:val="lowerLetter"/>
      <w:lvlText w:val="%5)"/>
      <w:lvlJc w:val="left"/>
      <w:pPr>
        <w:ind w:left="2309" w:hanging="420"/>
      </w:pPr>
    </w:lvl>
    <w:lvl w:ilvl="5" w:tentative="0">
      <w:start w:val="1"/>
      <w:numFmt w:val="lowerRoman"/>
      <w:lvlText w:val="%6."/>
      <w:lvlJc w:val="right"/>
      <w:pPr>
        <w:ind w:left="2729" w:hanging="420"/>
      </w:pPr>
    </w:lvl>
    <w:lvl w:ilvl="6" w:tentative="0">
      <w:start w:val="1"/>
      <w:numFmt w:val="decimal"/>
      <w:lvlText w:val="%7."/>
      <w:lvlJc w:val="left"/>
      <w:pPr>
        <w:ind w:left="3149" w:hanging="420"/>
      </w:pPr>
    </w:lvl>
    <w:lvl w:ilvl="7" w:tentative="0">
      <w:start w:val="1"/>
      <w:numFmt w:val="lowerLetter"/>
      <w:lvlText w:val="%8)"/>
      <w:lvlJc w:val="left"/>
      <w:pPr>
        <w:ind w:left="3569" w:hanging="420"/>
      </w:pPr>
    </w:lvl>
    <w:lvl w:ilvl="8" w:tentative="0">
      <w:start w:val="1"/>
      <w:numFmt w:val="lowerRoman"/>
      <w:lvlText w:val="%9."/>
      <w:lvlJc w:val="right"/>
      <w:pPr>
        <w:ind w:left="3989" w:hanging="420"/>
      </w:pPr>
    </w:lvl>
  </w:abstractNum>
  <w:abstractNum w:abstractNumId="41">
    <w:nsid w:val="721A25D2"/>
    <w:multiLevelType w:val="multilevel"/>
    <w:tmpl w:val="721A25D2"/>
    <w:lvl w:ilvl="0" w:tentative="0">
      <w:start w:val="1"/>
      <w:numFmt w:val="chineseCountingThousand"/>
      <w:lvlText w:val="%1、"/>
      <w:lvlJc w:val="left"/>
      <w:pPr>
        <w:ind w:left="988" w:hanging="420"/>
      </w:p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2">
    <w:nsid w:val="74C1646E"/>
    <w:multiLevelType w:val="multilevel"/>
    <w:tmpl w:val="74C1646E"/>
    <w:lvl w:ilvl="0" w:tentative="0">
      <w:start w:val="1"/>
      <w:numFmt w:val="chineseCountingThousand"/>
      <w:lvlText w:val="%1、"/>
      <w:lvlJc w:val="left"/>
      <w:pPr>
        <w:ind w:left="1413" w:hanging="420"/>
      </w:pPr>
      <w:rPr>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3">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8645AC5"/>
    <w:multiLevelType w:val="multilevel"/>
    <w:tmpl w:val="78645AC5"/>
    <w:lvl w:ilvl="0" w:tentative="0">
      <w:start w:val="2"/>
      <w:numFmt w:val="japaneseCounting"/>
      <w:lvlText w:val="%1、"/>
      <w:lvlJc w:val="left"/>
      <w:pPr>
        <w:ind w:left="1280" w:hanging="720"/>
      </w:pPr>
    </w:lvl>
    <w:lvl w:ilvl="1" w:tentative="0">
      <w:start w:val="1"/>
      <w:numFmt w:val="japaneseCounting"/>
      <w:lvlText w:val="（%2）"/>
      <w:lvlJc w:val="left"/>
      <w:pPr>
        <w:ind w:left="1820" w:hanging="84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5">
    <w:nsid w:val="7B511F5D"/>
    <w:multiLevelType w:val="multilevel"/>
    <w:tmpl w:val="7B511F5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B652295"/>
    <w:multiLevelType w:val="multilevel"/>
    <w:tmpl w:val="7B652295"/>
    <w:lvl w:ilvl="0" w:tentative="0">
      <w:start w:val="1"/>
      <w:numFmt w:val="chineseCountingThousand"/>
      <w:lvlText w:val="(%1)"/>
      <w:lvlJc w:val="left"/>
      <w:pPr>
        <w:ind w:left="988"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10"/>
  </w:num>
  <w:num w:numId="2">
    <w:abstractNumId w:val="5"/>
  </w:num>
  <w:num w:numId="3">
    <w:abstractNumId w:val="3"/>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3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0"/>
  </w:num>
  <w:num w:numId="32">
    <w:abstractNumId w:val="3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9"/>
  </w:num>
  <w:num w:numId="46">
    <w:abstractNumId w:val="17"/>
  </w:num>
  <w:num w:numId="47">
    <w:abstractNumId w:val="13"/>
  </w:num>
  <w:num w:numId="48">
    <w:abstractNumId w:val="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portal.cdggzy.com/iWebOffice2015/OfficeHandler.ashx?directory=/CgProject/BidFile/File/%e6%88%90%e9%83%bd%e5%b8%82%e6%94%bf%e9%87%87%e6%8b%9b%e3%80%942021%e3%80%95003%e5%8f%b7/"/>
  </w:docVars>
  <w:rsids>
    <w:rsidRoot w:val="00CF1ACE"/>
    <w:rsid w:val="000023F9"/>
    <w:rsid w:val="00002CDF"/>
    <w:rsid w:val="00005E54"/>
    <w:rsid w:val="00006E4B"/>
    <w:rsid w:val="00012FF9"/>
    <w:rsid w:val="000140DB"/>
    <w:rsid w:val="00022FB1"/>
    <w:rsid w:val="00025EA6"/>
    <w:rsid w:val="00030818"/>
    <w:rsid w:val="00036334"/>
    <w:rsid w:val="00040DED"/>
    <w:rsid w:val="0005000F"/>
    <w:rsid w:val="000650D8"/>
    <w:rsid w:val="00070192"/>
    <w:rsid w:val="00070C97"/>
    <w:rsid w:val="00073445"/>
    <w:rsid w:val="00076B8E"/>
    <w:rsid w:val="0008129E"/>
    <w:rsid w:val="000817D3"/>
    <w:rsid w:val="00084EFF"/>
    <w:rsid w:val="000A2C01"/>
    <w:rsid w:val="000A4FAD"/>
    <w:rsid w:val="000A602F"/>
    <w:rsid w:val="000A6441"/>
    <w:rsid w:val="000B0265"/>
    <w:rsid w:val="000B0BF3"/>
    <w:rsid w:val="000B59E7"/>
    <w:rsid w:val="000B5DED"/>
    <w:rsid w:val="000C5D32"/>
    <w:rsid w:val="000D2F64"/>
    <w:rsid w:val="000E06F3"/>
    <w:rsid w:val="000E5E9A"/>
    <w:rsid w:val="000F0158"/>
    <w:rsid w:val="000F0878"/>
    <w:rsid w:val="000F2A4E"/>
    <w:rsid w:val="000F336A"/>
    <w:rsid w:val="000F686B"/>
    <w:rsid w:val="00103FFF"/>
    <w:rsid w:val="00112E33"/>
    <w:rsid w:val="001220B4"/>
    <w:rsid w:val="00126780"/>
    <w:rsid w:val="00126E6F"/>
    <w:rsid w:val="001274E9"/>
    <w:rsid w:val="0013135C"/>
    <w:rsid w:val="00131474"/>
    <w:rsid w:val="001316AB"/>
    <w:rsid w:val="00133328"/>
    <w:rsid w:val="001337D8"/>
    <w:rsid w:val="00136382"/>
    <w:rsid w:val="001367DE"/>
    <w:rsid w:val="00145B5F"/>
    <w:rsid w:val="001464BA"/>
    <w:rsid w:val="0015033A"/>
    <w:rsid w:val="00152E60"/>
    <w:rsid w:val="001530AA"/>
    <w:rsid w:val="00153D39"/>
    <w:rsid w:val="0016006D"/>
    <w:rsid w:val="00166DA8"/>
    <w:rsid w:val="001743A0"/>
    <w:rsid w:val="00180E99"/>
    <w:rsid w:val="00183954"/>
    <w:rsid w:val="00183A31"/>
    <w:rsid w:val="001907A3"/>
    <w:rsid w:val="00190C2D"/>
    <w:rsid w:val="001A3E67"/>
    <w:rsid w:val="001A4E6B"/>
    <w:rsid w:val="001B01EE"/>
    <w:rsid w:val="001C0380"/>
    <w:rsid w:val="001C0AF5"/>
    <w:rsid w:val="001C0B5E"/>
    <w:rsid w:val="001C2396"/>
    <w:rsid w:val="001C3E7D"/>
    <w:rsid w:val="001C567B"/>
    <w:rsid w:val="001D0C72"/>
    <w:rsid w:val="001D2B00"/>
    <w:rsid w:val="001D5B62"/>
    <w:rsid w:val="001F14AD"/>
    <w:rsid w:val="001F7934"/>
    <w:rsid w:val="00204D7E"/>
    <w:rsid w:val="00207A7A"/>
    <w:rsid w:val="00212B28"/>
    <w:rsid w:val="0022190C"/>
    <w:rsid w:val="00226005"/>
    <w:rsid w:val="00226664"/>
    <w:rsid w:val="00226D7F"/>
    <w:rsid w:val="00226F69"/>
    <w:rsid w:val="00231B3B"/>
    <w:rsid w:val="00236441"/>
    <w:rsid w:val="002408FF"/>
    <w:rsid w:val="00241712"/>
    <w:rsid w:val="002419AF"/>
    <w:rsid w:val="002469A9"/>
    <w:rsid w:val="00253A79"/>
    <w:rsid w:val="002709D2"/>
    <w:rsid w:val="002748C9"/>
    <w:rsid w:val="00280356"/>
    <w:rsid w:val="002917C6"/>
    <w:rsid w:val="00293DA8"/>
    <w:rsid w:val="00294C53"/>
    <w:rsid w:val="002A0BB4"/>
    <w:rsid w:val="002A27F2"/>
    <w:rsid w:val="002A28EB"/>
    <w:rsid w:val="002A5ED8"/>
    <w:rsid w:val="002A7A11"/>
    <w:rsid w:val="002B065F"/>
    <w:rsid w:val="002B0D84"/>
    <w:rsid w:val="002B6646"/>
    <w:rsid w:val="002D08C9"/>
    <w:rsid w:val="002D3B63"/>
    <w:rsid w:val="002D4A3A"/>
    <w:rsid w:val="002D5C2A"/>
    <w:rsid w:val="002D68D5"/>
    <w:rsid w:val="002E594F"/>
    <w:rsid w:val="002E7EF8"/>
    <w:rsid w:val="002F0048"/>
    <w:rsid w:val="002F365D"/>
    <w:rsid w:val="002F5781"/>
    <w:rsid w:val="002F5AE2"/>
    <w:rsid w:val="003014F1"/>
    <w:rsid w:val="00302FDF"/>
    <w:rsid w:val="00306686"/>
    <w:rsid w:val="00312B9F"/>
    <w:rsid w:val="003241A4"/>
    <w:rsid w:val="003271A0"/>
    <w:rsid w:val="00332F29"/>
    <w:rsid w:val="00333069"/>
    <w:rsid w:val="003441C5"/>
    <w:rsid w:val="00346A64"/>
    <w:rsid w:val="00355C5F"/>
    <w:rsid w:val="00357B01"/>
    <w:rsid w:val="00361FF7"/>
    <w:rsid w:val="003667AA"/>
    <w:rsid w:val="00367A16"/>
    <w:rsid w:val="0037060B"/>
    <w:rsid w:val="003723A0"/>
    <w:rsid w:val="00380C03"/>
    <w:rsid w:val="00383618"/>
    <w:rsid w:val="00384717"/>
    <w:rsid w:val="003847E2"/>
    <w:rsid w:val="0039389A"/>
    <w:rsid w:val="003978F7"/>
    <w:rsid w:val="003A0C19"/>
    <w:rsid w:val="003B6F68"/>
    <w:rsid w:val="003C157A"/>
    <w:rsid w:val="003C2F76"/>
    <w:rsid w:val="003C6834"/>
    <w:rsid w:val="003C6FC5"/>
    <w:rsid w:val="003C758A"/>
    <w:rsid w:val="003C7640"/>
    <w:rsid w:val="003D410A"/>
    <w:rsid w:val="003D4733"/>
    <w:rsid w:val="003D6343"/>
    <w:rsid w:val="003D6807"/>
    <w:rsid w:val="003E239A"/>
    <w:rsid w:val="003E3DC4"/>
    <w:rsid w:val="003F06D0"/>
    <w:rsid w:val="00404B00"/>
    <w:rsid w:val="00406310"/>
    <w:rsid w:val="00417C0C"/>
    <w:rsid w:val="004214EC"/>
    <w:rsid w:val="004222DB"/>
    <w:rsid w:val="00441320"/>
    <w:rsid w:val="00450245"/>
    <w:rsid w:val="0045575C"/>
    <w:rsid w:val="004572F9"/>
    <w:rsid w:val="00470681"/>
    <w:rsid w:val="00480888"/>
    <w:rsid w:val="00481CD4"/>
    <w:rsid w:val="004834D3"/>
    <w:rsid w:val="00486F8F"/>
    <w:rsid w:val="0048799A"/>
    <w:rsid w:val="004879B8"/>
    <w:rsid w:val="00495441"/>
    <w:rsid w:val="0049698E"/>
    <w:rsid w:val="004A4D58"/>
    <w:rsid w:val="004A52E7"/>
    <w:rsid w:val="004B0F02"/>
    <w:rsid w:val="004B2947"/>
    <w:rsid w:val="004B3F32"/>
    <w:rsid w:val="004C0763"/>
    <w:rsid w:val="004C6669"/>
    <w:rsid w:val="004D5647"/>
    <w:rsid w:val="004D7054"/>
    <w:rsid w:val="004D7FA3"/>
    <w:rsid w:val="004E422C"/>
    <w:rsid w:val="004F707E"/>
    <w:rsid w:val="0050068E"/>
    <w:rsid w:val="00500750"/>
    <w:rsid w:val="00503AB1"/>
    <w:rsid w:val="00503D28"/>
    <w:rsid w:val="005125D6"/>
    <w:rsid w:val="0051275C"/>
    <w:rsid w:val="00512B9D"/>
    <w:rsid w:val="00515400"/>
    <w:rsid w:val="0051654F"/>
    <w:rsid w:val="00521CC9"/>
    <w:rsid w:val="00531010"/>
    <w:rsid w:val="005368EA"/>
    <w:rsid w:val="00537341"/>
    <w:rsid w:val="005402A8"/>
    <w:rsid w:val="0054100B"/>
    <w:rsid w:val="0054294B"/>
    <w:rsid w:val="0054512E"/>
    <w:rsid w:val="0055041E"/>
    <w:rsid w:val="00555E87"/>
    <w:rsid w:val="005675AB"/>
    <w:rsid w:val="0057140D"/>
    <w:rsid w:val="00576795"/>
    <w:rsid w:val="0057684A"/>
    <w:rsid w:val="0058272F"/>
    <w:rsid w:val="0059270E"/>
    <w:rsid w:val="00594456"/>
    <w:rsid w:val="005974FA"/>
    <w:rsid w:val="005A4591"/>
    <w:rsid w:val="005A6408"/>
    <w:rsid w:val="005B1A0A"/>
    <w:rsid w:val="005B5A54"/>
    <w:rsid w:val="005C1ED5"/>
    <w:rsid w:val="005C2B9F"/>
    <w:rsid w:val="005D46D4"/>
    <w:rsid w:val="005E1190"/>
    <w:rsid w:val="005E1A9E"/>
    <w:rsid w:val="005E3293"/>
    <w:rsid w:val="005E3C5C"/>
    <w:rsid w:val="005E4DE6"/>
    <w:rsid w:val="005F163A"/>
    <w:rsid w:val="005F206A"/>
    <w:rsid w:val="00603BCA"/>
    <w:rsid w:val="0061249C"/>
    <w:rsid w:val="00617AD9"/>
    <w:rsid w:val="00623E7E"/>
    <w:rsid w:val="00624BDE"/>
    <w:rsid w:val="006268C8"/>
    <w:rsid w:val="006275A3"/>
    <w:rsid w:val="0063068E"/>
    <w:rsid w:val="00633BE1"/>
    <w:rsid w:val="00635A31"/>
    <w:rsid w:val="006367A3"/>
    <w:rsid w:val="00644EA6"/>
    <w:rsid w:val="00646D4B"/>
    <w:rsid w:val="00653D81"/>
    <w:rsid w:val="00657A1F"/>
    <w:rsid w:val="0066784B"/>
    <w:rsid w:val="006679BD"/>
    <w:rsid w:val="00672774"/>
    <w:rsid w:val="006804DA"/>
    <w:rsid w:val="00681C63"/>
    <w:rsid w:val="006822B5"/>
    <w:rsid w:val="00684663"/>
    <w:rsid w:val="006854DF"/>
    <w:rsid w:val="006869ED"/>
    <w:rsid w:val="0068737C"/>
    <w:rsid w:val="00690078"/>
    <w:rsid w:val="0069210A"/>
    <w:rsid w:val="006A0990"/>
    <w:rsid w:val="006A0F6C"/>
    <w:rsid w:val="006A5A4D"/>
    <w:rsid w:val="006A6101"/>
    <w:rsid w:val="006B0229"/>
    <w:rsid w:val="006B20BE"/>
    <w:rsid w:val="006C5386"/>
    <w:rsid w:val="006C6752"/>
    <w:rsid w:val="006D71FB"/>
    <w:rsid w:val="006E0449"/>
    <w:rsid w:val="006E5ED4"/>
    <w:rsid w:val="006E6AA9"/>
    <w:rsid w:val="006E7230"/>
    <w:rsid w:val="006E7724"/>
    <w:rsid w:val="006F63C3"/>
    <w:rsid w:val="007038DE"/>
    <w:rsid w:val="007049B2"/>
    <w:rsid w:val="00704C6D"/>
    <w:rsid w:val="00704DC4"/>
    <w:rsid w:val="0070638A"/>
    <w:rsid w:val="007072F2"/>
    <w:rsid w:val="00715052"/>
    <w:rsid w:val="00724DA7"/>
    <w:rsid w:val="007251FB"/>
    <w:rsid w:val="00726D6C"/>
    <w:rsid w:val="007317F8"/>
    <w:rsid w:val="0073347E"/>
    <w:rsid w:val="0073447D"/>
    <w:rsid w:val="00736727"/>
    <w:rsid w:val="00736873"/>
    <w:rsid w:val="00741E81"/>
    <w:rsid w:val="007510B7"/>
    <w:rsid w:val="007518F3"/>
    <w:rsid w:val="00752697"/>
    <w:rsid w:val="00755470"/>
    <w:rsid w:val="007664BE"/>
    <w:rsid w:val="00771076"/>
    <w:rsid w:val="00771A0E"/>
    <w:rsid w:val="007724E1"/>
    <w:rsid w:val="00773306"/>
    <w:rsid w:val="00775A5A"/>
    <w:rsid w:val="00780F0C"/>
    <w:rsid w:val="00781319"/>
    <w:rsid w:val="007837F1"/>
    <w:rsid w:val="00783BD0"/>
    <w:rsid w:val="00786C69"/>
    <w:rsid w:val="00791F5B"/>
    <w:rsid w:val="00796DB8"/>
    <w:rsid w:val="007A7A8E"/>
    <w:rsid w:val="007B02D1"/>
    <w:rsid w:val="007B3E88"/>
    <w:rsid w:val="007C2382"/>
    <w:rsid w:val="007C38F7"/>
    <w:rsid w:val="007C4162"/>
    <w:rsid w:val="007C4BE7"/>
    <w:rsid w:val="007C539B"/>
    <w:rsid w:val="007C7FD2"/>
    <w:rsid w:val="007D0DB8"/>
    <w:rsid w:val="007D24B7"/>
    <w:rsid w:val="007D67DA"/>
    <w:rsid w:val="007D757F"/>
    <w:rsid w:val="007E211F"/>
    <w:rsid w:val="007E5A29"/>
    <w:rsid w:val="007F0578"/>
    <w:rsid w:val="007F230E"/>
    <w:rsid w:val="007F7DA1"/>
    <w:rsid w:val="00806685"/>
    <w:rsid w:val="008110C4"/>
    <w:rsid w:val="00814890"/>
    <w:rsid w:val="00816672"/>
    <w:rsid w:val="00816FA6"/>
    <w:rsid w:val="00820A16"/>
    <w:rsid w:val="008225C9"/>
    <w:rsid w:val="0082518D"/>
    <w:rsid w:val="00836F98"/>
    <w:rsid w:val="00841C2A"/>
    <w:rsid w:val="00844E49"/>
    <w:rsid w:val="00847674"/>
    <w:rsid w:val="00847F32"/>
    <w:rsid w:val="00850C91"/>
    <w:rsid w:val="00851D06"/>
    <w:rsid w:val="0086413F"/>
    <w:rsid w:val="00864D5A"/>
    <w:rsid w:val="008670B6"/>
    <w:rsid w:val="00870A43"/>
    <w:rsid w:val="00874701"/>
    <w:rsid w:val="008762FC"/>
    <w:rsid w:val="00880D33"/>
    <w:rsid w:val="00882538"/>
    <w:rsid w:val="00882D71"/>
    <w:rsid w:val="00885E0D"/>
    <w:rsid w:val="0088663E"/>
    <w:rsid w:val="008870ED"/>
    <w:rsid w:val="00895A9B"/>
    <w:rsid w:val="008A0B3C"/>
    <w:rsid w:val="008A358E"/>
    <w:rsid w:val="008A6979"/>
    <w:rsid w:val="008A7E20"/>
    <w:rsid w:val="008B1ED4"/>
    <w:rsid w:val="008B3DF8"/>
    <w:rsid w:val="008C1C28"/>
    <w:rsid w:val="008C2151"/>
    <w:rsid w:val="008C6E65"/>
    <w:rsid w:val="008D0972"/>
    <w:rsid w:val="008D1CC4"/>
    <w:rsid w:val="008D727A"/>
    <w:rsid w:val="008E3FC2"/>
    <w:rsid w:val="008E42E6"/>
    <w:rsid w:val="0090256B"/>
    <w:rsid w:val="0090294D"/>
    <w:rsid w:val="00907471"/>
    <w:rsid w:val="00920064"/>
    <w:rsid w:val="00925952"/>
    <w:rsid w:val="00930935"/>
    <w:rsid w:val="00933BE2"/>
    <w:rsid w:val="009369D5"/>
    <w:rsid w:val="00940298"/>
    <w:rsid w:val="0094034D"/>
    <w:rsid w:val="00940475"/>
    <w:rsid w:val="0094251A"/>
    <w:rsid w:val="0094290D"/>
    <w:rsid w:val="00945727"/>
    <w:rsid w:val="00954424"/>
    <w:rsid w:val="00954825"/>
    <w:rsid w:val="009565EE"/>
    <w:rsid w:val="00956A25"/>
    <w:rsid w:val="00962D88"/>
    <w:rsid w:val="00966388"/>
    <w:rsid w:val="009777B4"/>
    <w:rsid w:val="00981875"/>
    <w:rsid w:val="0098764D"/>
    <w:rsid w:val="00987A66"/>
    <w:rsid w:val="009959C6"/>
    <w:rsid w:val="00996427"/>
    <w:rsid w:val="009A0264"/>
    <w:rsid w:val="009A340D"/>
    <w:rsid w:val="009A4AB3"/>
    <w:rsid w:val="009B0A57"/>
    <w:rsid w:val="009B3392"/>
    <w:rsid w:val="009B6112"/>
    <w:rsid w:val="009D63B9"/>
    <w:rsid w:val="009D74E4"/>
    <w:rsid w:val="009E1613"/>
    <w:rsid w:val="009F376F"/>
    <w:rsid w:val="009F45D0"/>
    <w:rsid w:val="009F560A"/>
    <w:rsid w:val="00A0406F"/>
    <w:rsid w:val="00A04D30"/>
    <w:rsid w:val="00A06B57"/>
    <w:rsid w:val="00A10A62"/>
    <w:rsid w:val="00A11F13"/>
    <w:rsid w:val="00A1367E"/>
    <w:rsid w:val="00A17914"/>
    <w:rsid w:val="00A20B2B"/>
    <w:rsid w:val="00A265A5"/>
    <w:rsid w:val="00A277DE"/>
    <w:rsid w:val="00A32366"/>
    <w:rsid w:val="00A3488E"/>
    <w:rsid w:val="00A37974"/>
    <w:rsid w:val="00A43C13"/>
    <w:rsid w:val="00A5162F"/>
    <w:rsid w:val="00A57B55"/>
    <w:rsid w:val="00A616EA"/>
    <w:rsid w:val="00A64431"/>
    <w:rsid w:val="00A84AEB"/>
    <w:rsid w:val="00A92CC5"/>
    <w:rsid w:val="00AA1F89"/>
    <w:rsid w:val="00AA5692"/>
    <w:rsid w:val="00AA74AC"/>
    <w:rsid w:val="00AA7A00"/>
    <w:rsid w:val="00AC126F"/>
    <w:rsid w:val="00AC3FD6"/>
    <w:rsid w:val="00AC60A7"/>
    <w:rsid w:val="00AD1925"/>
    <w:rsid w:val="00AD612C"/>
    <w:rsid w:val="00AD7D30"/>
    <w:rsid w:val="00AE2FCC"/>
    <w:rsid w:val="00AE402F"/>
    <w:rsid w:val="00AE4041"/>
    <w:rsid w:val="00AF2F9F"/>
    <w:rsid w:val="00AF394A"/>
    <w:rsid w:val="00AF5C62"/>
    <w:rsid w:val="00B01868"/>
    <w:rsid w:val="00B15145"/>
    <w:rsid w:val="00B252FE"/>
    <w:rsid w:val="00B253B6"/>
    <w:rsid w:val="00B33A49"/>
    <w:rsid w:val="00B35C9B"/>
    <w:rsid w:val="00B36256"/>
    <w:rsid w:val="00B36966"/>
    <w:rsid w:val="00B36B0C"/>
    <w:rsid w:val="00B46060"/>
    <w:rsid w:val="00B46EE1"/>
    <w:rsid w:val="00B54844"/>
    <w:rsid w:val="00B5671B"/>
    <w:rsid w:val="00B614BA"/>
    <w:rsid w:val="00B62815"/>
    <w:rsid w:val="00B65528"/>
    <w:rsid w:val="00B66708"/>
    <w:rsid w:val="00B66E92"/>
    <w:rsid w:val="00B70C14"/>
    <w:rsid w:val="00B745ED"/>
    <w:rsid w:val="00B75AD4"/>
    <w:rsid w:val="00B83AD5"/>
    <w:rsid w:val="00B83F96"/>
    <w:rsid w:val="00B85A12"/>
    <w:rsid w:val="00B90DFE"/>
    <w:rsid w:val="00B92377"/>
    <w:rsid w:val="00B924E0"/>
    <w:rsid w:val="00B92A54"/>
    <w:rsid w:val="00B92C73"/>
    <w:rsid w:val="00B93C0F"/>
    <w:rsid w:val="00BA2579"/>
    <w:rsid w:val="00BB3CEB"/>
    <w:rsid w:val="00BB7B8B"/>
    <w:rsid w:val="00BB7FCC"/>
    <w:rsid w:val="00BC5447"/>
    <w:rsid w:val="00BC570B"/>
    <w:rsid w:val="00BD127B"/>
    <w:rsid w:val="00BD4028"/>
    <w:rsid w:val="00BD479D"/>
    <w:rsid w:val="00BD5843"/>
    <w:rsid w:val="00BE4E49"/>
    <w:rsid w:val="00BE516D"/>
    <w:rsid w:val="00BF2FB8"/>
    <w:rsid w:val="00BF3877"/>
    <w:rsid w:val="00BF64A7"/>
    <w:rsid w:val="00C00525"/>
    <w:rsid w:val="00C0150D"/>
    <w:rsid w:val="00C015E3"/>
    <w:rsid w:val="00C10E55"/>
    <w:rsid w:val="00C16E69"/>
    <w:rsid w:val="00C171D1"/>
    <w:rsid w:val="00C24887"/>
    <w:rsid w:val="00C308CB"/>
    <w:rsid w:val="00C30B14"/>
    <w:rsid w:val="00C32FD2"/>
    <w:rsid w:val="00C33C53"/>
    <w:rsid w:val="00C361C7"/>
    <w:rsid w:val="00C420D5"/>
    <w:rsid w:val="00C42B05"/>
    <w:rsid w:val="00C430D7"/>
    <w:rsid w:val="00C544EB"/>
    <w:rsid w:val="00C64B3A"/>
    <w:rsid w:val="00C724E3"/>
    <w:rsid w:val="00C76138"/>
    <w:rsid w:val="00C77B0B"/>
    <w:rsid w:val="00C81972"/>
    <w:rsid w:val="00C81AC3"/>
    <w:rsid w:val="00C856BB"/>
    <w:rsid w:val="00C94102"/>
    <w:rsid w:val="00C97BE3"/>
    <w:rsid w:val="00CA2F4A"/>
    <w:rsid w:val="00CA5B10"/>
    <w:rsid w:val="00CB540D"/>
    <w:rsid w:val="00CB75A1"/>
    <w:rsid w:val="00CC0591"/>
    <w:rsid w:val="00CC3BA6"/>
    <w:rsid w:val="00CD0088"/>
    <w:rsid w:val="00CD7300"/>
    <w:rsid w:val="00CE50DF"/>
    <w:rsid w:val="00CE73EE"/>
    <w:rsid w:val="00CE7DDF"/>
    <w:rsid w:val="00CF1ACE"/>
    <w:rsid w:val="00CF1FE5"/>
    <w:rsid w:val="00CF3520"/>
    <w:rsid w:val="00CF63CC"/>
    <w:rsid w:val="00D01F8C"/>
    <w:rsid w:val="00D02130"/>
    <w:rsid w:val="00D03862"/>
    <w:rsid w:val="00D0537E"/>
    <w:rsid w:val="00D06771"/>
    <w:rsid w:val="00D06780"/>
    <w:rsid w:val="00D07B2A"/>
    <w:rsid w:val="00D1371B"/>
    <w:rsid w:val="00D1414E"/>
    <w:rsid w:val="00D15A38"/>
    <w:rsid w:val="00D17262"/>
    <w:rsid w:val="00D20679"/>
    <w:rsid w:val="00D20709"/>
    <w:rsid w:val="00D23840"/>
    <w:rsid w:val="00D238CE"/>
    <w:rsid w:val="00D27849"/>
    <w:rsid w:val="00D27B76"/>
    <w:rsid w:val="00D33BCA"/>
    <w:rsid w:val="00D33EF8"/>
    <w:rsid w:val="00D35E4E"/>
    <w:rsid w:val="00D36148"/>
    <w:rsid w:val="00D40189"/>
    <w:rsid w:val="00D475C4"/>
    <w:rsid w:val="00D478E4"/>
    <w:rsid w:val="00D47A92"/>
    <w:rsid w:val="00D5013F"/>
    <w:rsid w:val="00D71663"/>
    <w:rsid w:val="00D80581"/>
    <w:rsid w:val="00D84A01"/>
    <w:rsid w:val="00D854F6"/>
    <w:rsid w:val="00D961E3"/>
    <w:rsid w:val="00DA1A2A"/>
    <w:rsid w:val="00DB0E6C"/>
    <w:rsid w:val="00DB5183"/>
    <w:rsid w:val="00DB692D"/>
    <w:rsid w:val="00DC6DA2"/>
    <w:rsid w:val="00DC74C9"/>
    <w:rsid w:val="00DD645D"/>
    <w:rsid w:val="00DD71B2"/>
    <w:rsid w:val="00DE2A55"/>
    <w:rsid w:val="00DE4E2A"/>
    <w:rsid w:val="00DE5921"/>
    <w:rsid w:val="00DE6CC2"/>
    <w:rsid w:val="00DF5559"/>
    <w:rsid w:val="00E05FDD"/>
    <w:rsid w:val="00E17B5E"/>
    <w:rsid w:val="00E22020"/>
    <w:rsid w:val="00E2305B"/>
    <w:rsid w:val="00E3001E"/>
    <w:rsid w:val="00E356EE"/>
    <w:rsid w:val="00E36494"/>
    <w:rsid w:val="00E4047E"/>
    <w:rsid w:val="00E42C71"/>
    <w:rsid w:val="00E469A5"/>
    <w:rsid w:val="00E508A4"/>
    <w:rsid w:val="00E538C0"/>
    <w:rsid w:val="00E5505F"/>
    <w:rsid w:val="00E6293D"/>
    <w:rsid w:val="00E67B07"/>
    <w:rsid w:val="00E74BDC"/>
    <w:rsid w:val="00E805F4"/>
    <w:rsid w:val="00E84049"/>
    <w:rsid w:val="00E8564C"/>
    <w:rsid w:val="00E864B5"/>
    <w:rsid w:val="00E9566D"/>
    <w:rsid w:val="00E975B6"/>
    <w:rsid w:val="00EB0801"/>
    <w:rsid w:val="00EB6F5B"/>
    <w:rsid w:val="00EC39FF"/>
    <w:rsid w:val="00EC5E09"/>
    <w:rsid w:val="00ED0CD9"/>
    <w:rsid w:val="00ED39F5"/>
    <w:rsid w:val="00ED7F01"/>
    <w:rsid w:val="00EE1F53"/>
    <w:rsid w:val="00EE495A"/>
    <w:rsid w:val="00EF28FE"/>
    <w:rsid w:val="00EF4128"/>
    <w:rsid w:val="00F212C9"/>
    <w:rsid w:val="00F2478E"/>
    <w:rsid w:val="00F247EE"/>
    <w:rsid w:val="00F27328"/>
    <w:rsid w:val="00F34199"/>
    <w:rsid w:val="00F3668F"/>
    <w:rsid w:val="00F36B04"/>
    <w:rsid w:val="00F4168B"/>
    <w:rsid w:val="00F42E2F"/>
    <w:rsid w:val="00F44B02"/>
    <w:rsid w:val="00F5518D"/>
    <w:rsid w:val="00F57DB9"/>
    <w:rsid w:val="00F60810"/>
    <w:rsid w:val="00F60C5F"/>
    <w:rsid w:val="00F61DE3"/>
    <w:rsid w:val="00F627A1"/>
    <w:rsid w:val="00F63413"/>
    <w:rsid w:val="00F70DD5"/>
    <w:rsid w:val="00F8060D"/>
    <w:rsid w:val="00F861BA"/>
    <w:rsid w:val="00F9124B"/>
    <w:rsid w:val="00F93BA9"/>
    <w:rsid w:val="00F95C19"/>
    <w:rsid w:val="00F96084"/>
    <w:rsid w:val="00F96842"/>
    <w:rsid w:val="00F96ACD"/>
    <w:rsid w:val="00FA0891"/>
    <w:rsid w:val="00FA47EC"/>
    <w:rsid w:val="00FA7099"/>
    <w:rsid w:val="00FB0BB4"/>
    <w:rsid w:val="00FC0784"/>
    <w:rsid w:val="00FC7227"/>
    <w:rsid w:val="00FC7A22"/>
    <w:rsid w:val="00FD00E8"/>
    <w:rsid w:val="00FD0D2A"/>
    <w:rsid w:val="00FD10E8"/>
    <w:rsid w:val="00FD50D8"/>
    <w:rsid w:val="00FD686A"/>
    <w:rsid w:val="00FE38C2"/>
    <w:rsid w:val="00FE697E"/>
    <w:rsid w:val="00FF0E0E"/>
    <w:rsid w:val="00FF3CA8"/>
    <w:rsid w:val="00FF4600"/>
    <w:rsid w:val="00FF7CD8"/>
    <w:rsid w:val="01434435"/>
    <w:rsid w:val="014F62CB"/>
    <w:rsid w:val="01757401"/>
    <w:rsid w:val="02051C4D"/>
    <w:rsid w:val="023257B4"/>
    <w:rsid w:val="032E12BD"/>
    <w:rsid w:val="03C01BD8"/>
    <w:rsid w:val="03C74FB0"/>
    <w:rsid w:val="03FB4359"/>
    <w:rsid w:val="03FE2C64"/>
    <w:rsid w:val="04172455"/>
    <w:rsid w:val="04533689"/>
    <w:rsid w:val="05A672A6"/>
    <w:rsid w:val="0781151E"/>
    <w:rsid w:val="079B3BAC"/>
    <w:rsid w:val="08071023"/>
    <w:rsid w:val="08516397"/>
    <w:rsid w:val="0AE27A86"/>
    <w:rsid w:val="0BCD4004"/>
    <w:rsid w:val="0C4F5B9A"/>
    <w:rsid w:val="0C9327B6"/>
    <w:rsid w:val="0CD76436"/>
    <w:rsid w:val="0CFF7B5C"/>
    <w:rsid w:val="0E10157D"/>
    <w:rsid w:val="0E1C0EE5"/>
    <w:rsid w:val="0E6C0832"/>
    <w:rsid w:val="0E9E39B7"/>
    <w:rsid w:val="108A7CAC"/>
    <w:rsid w:val="12494C82"/>
    <w:rsid w:val="12887028"/>
    <w:rsid w:val="128F5807"/>
    <w:rsid w:val="12EA0C0E"/>
    <w:rsid w:val="138D30C0"/>
    <w:rsid w:val="139606A9"/>
    <w:rsid w:val="13C965F4"/>
    <w:rsid w:val="141E0255"/>
    <w:rsid w:val="14370E44"/>
    <w:rsid w:val="145D76A8"/>
    <w:rsid w:val="148C0BAA"/>
    <w:rsid w:val="149E1509"/>
    <w:rsid w:val="15E22DEA"/>
    <w:rsid w:val="16024B2E"/>
    <w:rsid w:val="161879B8"/>
    <w:rsid w:val="16A42F3D"/>
    <w:rsid w:val="175975D9"/>
    <w:rsid w:val="17842D50"/>
    <w:rsid w:val="17E459A4"/>
    <w:rsid w:val="18597893"/>
    <w:rsid w:val="18D86AC4"/>
    <w:rsid w:val="19257F5C"/>
    <w:rsid w:val="19312903"/>
    <w:rsid w:val="193F3E15"/>
    <w:rsid w:val="19E51499"/>
    <w:rsid w:val="19F25EA9"/>
    <w:rsid w:val="1B7367E2"/>
    <w:rsid w:val="1B7877E9"/>
    <w:rsid w:val="1C674EEC"/>
    <w:rsid w:val="1E185427"/>
    <w:rsid w:val="1E484981"/>
    <w:rsid w:val="1E617CA6"/>
    <w:rsid w:val="1ED40637"/>
    <w:rsid w:val="1FFC5D10"/>
    <w:rsid w:val="20385957"/>
    <w:rsid w:val="203C2940"/>
    <w:rsid w:val="20501F55"/>
    <w:rsid w:val="20EC135F"/>
    <w:rsid w:val="21535083"/>
    <w:rsid w:val="222B5EB7"/>
    <w:rsid w:val="22A00653"/>
    <w:rsid w:val="23330A80"/>
    <w:rsid w:val="246F13CD"/>
    <w:rsid w:val="25D15B76"/>
    <w:rsid w:val="25F929BB"/>
    <w:rsid w:val="26534F18"/>
    <w:rsid w:val="26B03A89"/>
    <w:rsid w:val="26B81ACA"/>
    <w:rsid w:val="28E032B8"/>
    <w:rsid w:val="28EA642F"/>
    <w:rsid w:val="292818E4"/>
    <w:rsid w:val="2A675B3E"/>
    <w:rsid w:val="2BC50549"/>
    <w:rsid w:val="2CCE20E1"/>
    <w:rsid w:val="2CDA7095"/>
    <w:rsid w:val="2D4D127F"/>
    <w:rsid w:val="2DD94DA6"/>
    <w:rsid w:val="2EA17C2D"/>
    <w:rsid w:val="2F254DFF"/>
    <w:rsid w:val="2F523225"/>
    <w:rsid w:val="2F885AC5"/>
    <w:rsid w:val="30577ED5"/>
    <w:rsid w:val="30757898"/>
    <w:rsid w:val="30AC6B51"/>
    <w:rsid w:val="31496359"/>
    <w:rsid w:val="32BA517E"/>
    <w:rsid w:val="367077C6"/>
    <w:rsid w:val="36F94750"/>
    <w:rsid w:val="3754021E"/>
    <w:rsid w:val="37B05FEB"/>
    <w:rsid w:val="37ED2775"/>
    <w:rsid w:val="380B30C9"/>
    <w:rsid w:val="388445D0"/>
    <w:rsid w:val="394064DD"/>
    <w:rsid w:val="3AC42C9A"/>
    <w:rsid w:val="3BE34134"/>
    <w:rsid w:val="3C092FF4"/>
    <w:rsid w:val="3C2A7F0C"/>
    <w:rsid w:val="3C402A81"/>
    <w:rsid w:val="3C593B0D"/>
    <w:rsid w:val="3CB32653"/>
    <w:rsid w:val="3D712EC0"/>
    <w:rsid w:val="3E677374"/>
    <w:rsid w:val="3F5331F4"/>
    <w:rsid w:val="40416418"/>
    <w:rsid w:val="40A33779"/>
    <w:rsid w:val="41666DF9"/>
    <w:rsid w:val="420A607E"/>
    <w:rsid w:val="42175C2F"/>
    <w:rsid w:val="422C509C"/>
    <w:rsid w:val="42E41A4D"/>
    <w:rsid w:val="446B3109"/>
    <w:rsid w:val="44746CE0"/>
    <w:rsid w:val="44A26DB3"/>
    <w:rsid w:val="44E7637C"/>
    <w:rsid w:val="44E95B9E"/>
    <w:rsid w:val="450435C7"/>
    <w:rsid w:val="454B396B"/>
    <w:rsid w:val="45A130A3"/>
    <w:rsid w:val="46376792"/>
    <w:rsid w:val="467544A8"/>
    <w:rsid w:val="47EF01A4"/>
    <w:rsid w:val="4875348B"/>
    <w:rsid w:val="491B31B8"/>
    <w:rsid w:val="493E326C"/>
    <w:rsid w:val="4C66024A"/>
    <w:rsid w:val="4C7C5F07"/>
    <w:rsid w:val="4CEB1585"/>
    <w:rsid w:val="4D0D05AC"/>
    <w:rsid w:val="4D6A72FE"/>
    <w:rsid w:val="4E332B0B"/>
    <w:rsid w:val="4E3A498B"/>
    <w:rsid w:val="4EC5049D"/>
    <w:rsid w:val="4F6345DD"/>
    <w:rsid w:val="4F9D3910"/>
    <w:rsid w:val="50090642"/>
    <w:rsid w:val="505C3C20"/>
    <w:rsid w:val="508C3B44"/>
    <w:rsid w:val="50E76D58"/>
    <w:rsid w:val="52333FB1"/>
    <w:rsid w:val="52950649"/>
    <w:rsid w:val="55CF3663"/>
    <w:rsid w:val="56837EEB"/>
    <w:rsid w:val="568453E2"/>
    <w:rsid w:val="56C715EB"/>
    <w:rsid w:val="56E06658"/>
    <w:rsid w:val="57FF4D17"/>
    <w:rsid w:val="58825832"/>
    <w:rsid w:val="58951B8A"/>
    <w:rsid w:val="58B42CD1"/>
    <w:rsid w:val="592F46C3"/>
    <w:rsid w:val="5A2F437A"/>
    <w:rsid w:val="5A6630CB"/>
    <w:rsid w:val="5A744A5D"/>
    <w:rsid w:val="5A912109"/>
    <w:rsid w:val="5B1C23F9"/>
    <w:rsid w:val="5B1F7E64"/>
    <w:rsid w:val="5B7268AB"/>
    <w:rsid w:val="5CA67D28"/>
    <w:rsid w:val="5CB56471"/>
    <w:rsid w:val="5DAB6126"/>
    <w:rsid w:val="5DB6074F"/>
    <w:rsid w:val="5DBF6E54"/>
    <w:rsid w:val="5DC57088"/>
    <w:rsid w:val="5DD45D5A"/>
    <w:rsid w:val="5E683B8A"/>
    <w:rsid w:val="5ECF60D5"/>
    <w:rsid w:val="5FD867B5"/>
    <w:rsid w:val="60011A2A"/>
    <w:rsid w:val="60B97D90"/>
    <w:rsid w:val="60DE34FD"/>
    <w:rsid w:val="6108399C"/>
    <w:rsid w:val="612A3AC0"/>
    <w:rsid w:val="61E22D20"/>
    <w:rsid w:val="61FA337C"/>
    <w:rsid w:val="626A32B0"/>
    <w:rsid w:val="62C1637C"/>
    <w:rsid w:val="62DB4FE1"/>
    <w:rsid w:val="634C2388"/>
    <w:rsid w:val="63685E0F"/>
    <w:rsid w:val="638971CF"/>
    <w:rsid w:val="63951280"/>
    <w:rsid w:val="63F25A11"/>
    <w:rsid w:val="65691208"/>
    <w:rsid w:val="664B0DD9"/>
    <w:rsid w:val="67985409"/>
    <w:rsid w:val="681E0551"/>
    <w:rsid w:val="6A903C60"/>
    <w:rsid w:val="6BF92815"/>
    <w:rsid w:val="6C930D1F"/>
    <w:rsid w:val="6CA65CE3"/>
    <w:rsid w:val="6CB73D86"/>
    <w:rsid w:val="6D373E6C"/>
    <w:rsid w:val="6E087BC2"/>
    <w:rsid w:val="6E2D7260"/>
    <w:rsid w:val="6E5D2AC0"/>
    <w:rsid w:val="713E6586"/>
    <w:rsid w:val="71F550B6"/>
    <w:rsid w:val="720535FB"/>
    <w:rsid w:val="720E111A"/>
    <w:rsid w:val="723C2C9F"/>
    <w:rsid w:val="72D926E1"/>
    <w:rsid w:val="72EB7D1D"/>
    <w:rsid w:val="730562ED"/>
    <w:rsid w:val="732A7626"/>
    <w:rsid w:val="73746428"/>
    <w:rsid w:val="74752363"/>
    <w:rsid w:val="74DB409D"/>
    <w:rsid w:val="754B57C9"/>
    <w:rsid w:val="76373520"/>
    <w:rsid w:val="77165125"/>
    <w:rsid w:val="77645927"/>
    <w:rsid w:val="77682B43"/>
    <w:rsid w:val="77910F2F"/>
    <w:rsid w:val="779F3E4B"/>
    <w:rsid w:val="77F405AC"/>
    <w:rsid w:val="78DA400E"/>
    <w:rsid w:val="79082B7E"/>
    <w:rsid w:val="79405E83"/>
    <w:rsid w:val="79E33246"/>
    <w:rsid w:val="7B052139"/>
    <w:rsid w:val="7BDB50BC"/>
    <w:rsid w:val="7C125A1D"/>
    <w:rsid w:val="7C5E2AFB"/>
    <w:rsid w:val="7C9B54D0"/>
    <w:rsid w:val="7D2A660C"/>
    <w:rsid w:val="7E747B6D"/>
    <w:rsid w:val="7E9E5DEC"/>
    <w:rsid w:val="7EBB54C0"/>
    <w:rsid w:val="7F671451"/>
    <w:rsid w:val="7F945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0"/>
    <w:qFormat/>
    <w:uiPriority w:val="0"/>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51"/>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2"/>
    <w:unhideWhenUsed/>
    <w:qFormat/>
    <w:uiPriority w:val="0"/>
    <w:pPr>
      <w:keepNext/>
      <w:keepLines/>
      <w:numPr>
        <w:ilvl w:val="2"/>
        <w:numId w:val="1"/>
      </w:numPr>
      <w:spacing w:line="360" w:lineRule="auto"/>
      <w:outlineLvl w:val="2"/>
    </w:pPr>
    <w:rPr>
      <w:rFonts w:ascii="宋体" w:hAnsi="宋体" w:cs="宋体"/>
      <w:b/>
      <w:bCs/>
      <w:color w:val="000000"/>
      <w:kern w:val="0"/>
      <w:sz w:val="28"/>
      <w:szCs w:val="28"/>
    </w:rPr>
  </w:style>
  <w:style w:type="paragraph" w:styleId="7">
    <w:name w:val="heading 4"/>
    <w:basedOn w:val="1"/>
    <w:next w:val="1"/>
    <w:link w:val="53"/>
    <w:unhideWhenUsed/>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4"/>
    <w:unhideWhenUsed/>
    <w:qFormat/>
    <w:uiPriority w:val="9"/>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5"/>
    <w:unhideWhenUsed/>
    <w:qFormat/>
    <w:uiPriority w:val="9"/>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6"/>
    <w:unhideWhenUsed/>
    <w:qFormat/>
    <w:uiPriority w:val="9"/>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7"/>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8"/>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4"/>
    <w:unhideWhenUsed/>
    <w:qFormat/>
    <w:uiPriority w:val="0"/>
    <w:pPr>
      <w:spacing w:after="120"/>
    </w:pPr>
  </w:style>
  <w:style w:type="paragraph" w:styleId="3">
    <w:name w:val="Body Text First Indent"/>
    <w:basedOn w:val="2"/>
    <w:link w:val="69"/>
    <w:unhideWhenUsed/>
    <w:qFormat/>
    <w:uiPriority w:val="0"/>
    <w:pPr>
      <w:ind w:firstLine="420" w:firstLineChars="100"/>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9"/>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4"/>
    <w:unhideWhenUsed/>
    <w:qFormat/>
    <w:uiPriority w:val="0"/>
    <w:pPr>
      <w:shd w:val="clear" w:color="auto" w:fill="000080"/>
    </w:pPr>
    <w:rPr>
      <w:rFonts w:ascii="Times New Roman" w:hAnsi="Times New Roman"/>
      <w:kern w:val="0"/>
      <w:sz w:val="18"/>
      <w:szCs w:val="18"/>
    </w:rPr>
  </w:style>
  <w:style w:type="paragraph" w:styleId="17">
    <w:name w:val="annotation text"/>
    <w:basedOn w:val="1"/>
    <w:next w:val="1"/>
    <w:link w:val="61"/>
    <w:unhideWhenUsed/>
    <w:qFormat/>
    <w:uiPriority w:val="99"/>
    <w:pPr>
      <w:jc w:val="left"/>
    </w:pPr>
    <w:rPr>
      <w:rFonts w:ascii="Times New Roman" w:hAnsi="Times New Roman"/>
      <w:kern w:val="0"/>
      <w:sz w:val="18"/>
      <w:szCs w:val="18"/>
    </w:rPr>
  </w:style>
  <w:style w:type="paragraph" w:styleId="18">
    <w:name w:val="Body Text 3"/>
    <w:basedOn w:val="1"/>
    <w:link w:val="71"/>
    <w:unhideWhenUsed/>
    <w:qFormat/>
    <w:uiPriority w:val="0"/>
    <w:pPr>
      <w:jc w:val="center"/>
    </w:pPr>
    <w:rPr>
      <w:rFonts w:ascii="Times New Roman" w:hAnsi="Times New Roman" w:eastAsia="黑体"/>
      <w:sz w:val="44"/>
      <w:szCs w:val="24"/>
    </w:rPr>
  </w:style>
  <w:style w:type="paragraph" w:styleId="19">
    <w:name w:val="Body Text Indent"/>
    <w:basedOn w:val="1"/>
    <w:link w:val="66"/>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75"/>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8"/>
    <w:unhideWhenUsed/>
    <w:qFormat/>
    <w:uiPriority w:val="0"/>
    <w:pPr>
      <w:ind w:left="100" w:leftChars="2500"/>
    </w:pPr>
    <w:rPr>
      <w:rFonts w:ascii="Times New Roman" w:hAnsi="Times New Roman"/>
      <w:kern w:val="0"/>
      <w:sz w:val="24"/>
      <w:szCs w:val="24"/>
    </w:rPr>
  </w:style>
  <w:style w:type="paragraph" w:styleId="26">
    <w:name w:val="Body Text Indent 2"/>
    <w:basedOn w:val="1"/>
    <w:link w:val="72"/>
    <w:unhideWhenUsed/>
    <w:qFormat/>
    <w:uiPriority w:val="0"/>
    <w:pPr>
      <w:spacing w:after="120" w:line="480" w:lineRule="auto"/>
      <w:ind w:left="420" w:leftChars="200"/>
    </w:pPr>
  </w:style>
  <w:style w:type="paragraph" w:styleId="27">
    <w:name w:val="Balloon Text"/>
    <w:basedOn w:val="1"/>
    <w:link w:val="78"/>
    <w:unhideWhenUsed/>
    <w:qFormat/>
    <w:uiPriority w:val="0"/>
    <w:rPr>
      <w:rFonts w:ascii="Times New Roman" w:hAnsi="Times New Roman"/>
      <w:kern w:val="0"/>
      <w:sz w:val="18"/>
      <w:szCs w:val="18"/>
    </w:rPr>
  </w:style>
  <w:style w:type="paragraph" w:styleId="28">
    <w:name w:val="footer"/>
    <w:basedOn w:val="1"/>
    <w:link w:val="63"/>
    <w:unhideWhenUsed/>
    <w:qFormat/>
    <w:uiPriority w:val="99"/>
    <w:pPr>
      <w:tabs>
        <w:tab w:val="center" w:pos="4153"/>
        <w:tab w:val="right" w:pos="8306"/>
      </w:tabs>
      <w:snapToGrid w:val="0"/>
      <w:jc w:val="left"/>
    </w:pPr>
    <w:rPr>
      <w:kern w:val="0"/>
      <w:sz w:val="18"/>
      <w:szCs w:val="18"/>
    </w:rPr>
  </w:style>
  <w:style w:type="paragraph" w:styleId="29">
    <w:name w:val="header"/>
    <w:basedOn w:val="1"/>
    <w:link w:val="6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7"/>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60"/>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3"/>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70"/>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7"/>
    <w:unhideWhenUsed/>
    <w:qFormat/>
    <w:uiPriority w:val="0"/>
    <w:rPr>
      <w:rFonts w:ascii="Calibri" w:hAnsi="Calibri"/>
      <w:b/>
      <w:bCs/>
      <w:kern w:val="2"/>
      <w:sz w:val="21"/>
      <w:szCs w:val="22"/>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character" w:styleId="49">
    <w:name w:val="footnote reference"/>
    <w:unhideWhenUsed/>
    <w:qFormat/>
    <w:uiPriority w:val="0"/>
    <w:rPr>
      <w:vertAlign w:val="superscript"/>
    </w:rPr>
  </w:style>
  <w:style w:type="character" w:customStyle="1" w:styleId="50">
    <w:name w:val="标题 1 Char"/>
    <w:basedOn w:val="43"/>
    <w:link w:val="4"/>
    <w:qFormat/>
    <w:uiPriority w:val="0"/>
    <w:rPr>
      <w:rFonts w:ascii="宋体" w:hAnsi="宋体" w:eastAsia="宋体" w:cs="宋体"/>
      <w:b/>
      <w:bCs/>
      <w:spacing w:val="-20"/>
      <w:kern w:val="44"/>
      <w:sz w:val="32"/>
      <w:szCs w:val="32"/>
    </w:rPr>
  </w:style>
  <w:style w:type="character" w:customStyle="1" w:styleId="51">
    <w:name w:val="标题 2 Char"/>
    <w:basedOn w:val="43"/>
    <w:link w:val="5"/>
    <w:qFormat/>
    <w:uiPriority w:val="0"/>
    <w:rPr>
      <w:rFonts w:ascii="宋体" w:hAnsi="宋体" w:eastAsia="宋体" w:cs="宋体"/>
      <w:b/>
      <w:bCs/>
      <w:kern w:val="2"/>
      <w:sz w:val="28"/>
      <w:szCs w:val="28"/>
    </w:rPr>
  </w:style>
  <w:style w:type="character" w:customStyle="1" w:styleId="52">
    <w:name w:val="标题 3 Char"/>
    <w:basedOn w:val="43"/>
    <w:link w:val="6"/>
    <w:qFormat/>
    <w:uiPriority w:val="0"/>
    <w:rPr>
      <w:rFonts w:ascii="宋体" w:hAnsi="宋体" w:eastAsia="宋体" w:cs="宋体"/>
      <w:b/>
      <w:bCs/>
      <w:color w:val="000000"/>
      <w:sz w:val="28"/>
      <w:szCs w:val="28"/>
    </w:rPr>
  </w:style>
  <w:style w:type="character" w:customStyle="1" w:styleId="53">
    <w:name w:val="标题 4 Char"/>
    <w:basedOn w:val="43"/>
    <w:link w:val="7"/>
    <w:qFormat/>
    <w:uiPriority w:val="9"/>
    <w:rPr>
      <w:rFonts w:ascii="Arial" w:hAnsi="Arial" w:eastAsia="宋体" w:cs="Times New Roman"/>
      <w:b/>
      <w:bCs/>
      <w:sz w:val="28"/>
      <w:szCs w:val="28"/>
    </w:rPr>
  </w:style>
  <w:style w:type="character" w:customStyle="1" w:styleId="54">
    <w:name w:val="标题 5 Char"/>
    <w:basedOn w:val="43"/>
    <w:link w:val="8"/>
    <w:qFormat/>
    <w:uiPriority w:val="9"/>
    <w:rPr>
      <w:rFonts w:ascii="Calibri" w:hAnsi="Calibri" w:eastAsia="宋体" w:cs="宋体"/>
      <w:b/>
      <w:bCs/>
      <w:sz w:val="28"/>
      <w:szCs w:val="28"/>
    </w:rPr>
  </w:style>
  <w:style w:type="character" w:customStyle="1" w:styleId="55">
    <w:name w:val="标题 6 Char"/>
    <w:basedOn w:val="43"/>
    <w:link w:val="9"/>
    <w:qFormat/>
    <w:uiPriority w:val="9"/>
    <w:rPr>
      <w:rFonts w:ascii="Arial" w:hAnsi="Arial" w:eastAsia="宋体" w:cs="Times New Roman"/>
      <w:b/>
      <w:bCs/>
      <w:sz w:val="28"/>
      <w:szCs w:val="18"/>
    </w:rPr>
  </w:style>
  <w:style w:type="character" w:customStyle="1" w:styleId="56">
    <w:name w:val="标题 7 Char"/>
    <w:basedOn w:val="43"/>
    <w:link w:val="10"/>
    <w:qFormat/>
    <w:uiPriority w:val="9"/>
    <w:rPr>
      <w:rFonts w:ascii="Arial Narrow" w:hAnsi="Arial Narrow" w:eastAsia="宋体" w:cs="Times New Roman"/>
      <w:b/>
      <w:bCs/>
      <w:iCs/>
      <w:kern w:val="0"/>
      <w:sz w:val="20"/>
      <w:szCs w:val="24"/>
      <w:lang w:eastAsia="en-US"/>
    </w:rPr>
  </w:style>
  <w:style w:type="character" w:customStyle="1" w:styleId="57">
    <w:name w:val="标题 8 Char"/>
    <w:basedOn w:val="43"/>
    <w:link w:val="11"/>
    <w:qFormat/>
    <w:uiPriority w:val="0"/>
    <w:rPr>
      <w:rFonts w:ascii="Arial" w:hAnsi="Arial" w:eastAsia="黑体" w:cs="Times New Roman"/>
      <w:kern w:val="0"/>
      <w:sz w:val="24"/>
      <w:szCs w:val="24"/>
    </w:rPr>
  </w:style>
  <w:style w:type="character" w:customStyle="1" w:styleId="58">
    <w:name w:val="标题 9 Char"/>
    <w:basedOn w:val="43"/>
    <w:link w:val="12"/>
    <w:qFormat/>
    <w:uiPriority w:val="0"/>
    <w:rPr>
      <w:rFonts w:ascii="Arial" w:hAnsi="Arial" w:eastAsia="黑体" w:cs="Times New Roman"/>
      <w:kern w:val="0"/>
      <w:sz w:val="20"/>
      <w:szCs w:val="21"/>
    </w:rPr>
  </w:style>
  <w:style w:type="character" w:customStyle="1" w:styleId="59">
    <w:name w:val="正文缩进 Char1"/>
    <w:link w:val="14"/>
    <w:qFormat/>
    <w:locked/>
    <w:uiPriority w:val="0"/>
  </w:style>
  <w:style w:type="character" w:customStyle="1" w:styleId="60">
    <w:name w:val="脚注文本 Char"/>
    <w:basedOn w:val="43"/>
    <w:link w:val="33"/>
    <w:qFormat/>
    <w:uiPriority w:val="0"/>
    <w:rPr>
      <w:rFonts w:ascii="Calibri" w:hAnsi="Calibri" w:eastAsia="宋体" w:cs="Times New Roman"/>
      <w:sz w:val="18"/>
      <w:szCs w:val="18"/>
    </w:rPr>
  </w:style>
  <w:style w:type="character" w:customStyle="1" w:styleId="61">
    <w:name w:val="批注文字 Char"/>
    <w:basedOn w:val="43"/>
    <w:link w:val="17"/>
    <w:qFormat/>
    <w:uiPriority w:val="99"/>
    <w:rPr>
      <w:rFonts w:ascii="Times New Roman" w:hAnsi="Times New Roman" w:eastAsia="宋体" w:cs="Times New Roman"/>
      <w:kern w:val="0"/>
      <w:sz w:val="18"/>
      <w:szCs w:val="18"/>
    </w:rPr>
  </w:style>
  <w:style w:type="character" w:customStyle="1" w:styleId="62">
    <w:name w:val="页眉 Char"/>
    <w:basedOn w:val="43"/>
    <w:link w:val="29"/>
    <w:qFormat/>
    <w:uiPriority w:val="0"/>
    <w:rPr>
      <w:rFonts w:ascii="Calibri" w:hAnsi="Calibri" w:eastAsia="宋体" w:cs="Times New Roman"/>
      <w:kern w:val="0"/>
      <w:sz w:val="18"/>
      <w:szCs w:val="18"/>
    </w:rPr>
  </w:style>
  <w:style w:type="character" w:customStyle="1" w:styleId="63">
    <w:name w:val="页脚 Char"/>
    <w:basedOn w:val="43"/>
    <w:link w:val="28"/>
    <w:qFormat/>
    <w:uiPriority w:val="99"/>
    <w:rPr>
      <w:rFonts w:ascii="Calibri" w:hAnsi="Calibri" w:eastAsia="宋体" w:cs="Times New Roman"/>
      <w:kern w:val="0"/>
      <w:sz w:val="18"/>
      <w:szCs w:val="18"/>
    </w:rPr>
  </w:style>
  <w:style w:type="character" w:customStyle="1" w:styleId="64">
    <w:name w:val="正文文本 Char2"/>
    <w:basedOn w:val="43"/>
    <w:link w:val="2"/>
    <w:qFormat/>
    <w:uiPriority w:val="0"/>
    <w:rPr>
      <w:rFonts w:ascii="Calibri" w:hAnsi="Calibri" w:eastAsia="宋体" w:cs="Times New Roman"/>
    </w:rPr>
  </w:style>
  <w:style w:type="character" w:customStyle="1" w:styleId="65">
    <w:name w:val="正文文本 Char"/>
    <w:basedOn w:val="43"/>
    <w:qFormat/>
    <w:uiPriority w:val="0"/>
    <w:rPr>
      <w:rFonts w:ascii="Times New Roman" w:hAnsi="Times New Roman" w:cs="Times New Roman"/>
      <w:kern w:val="0"/>
      <w:sz w:val="24"/>
      <w:szCs w:val="24"/>
    </w:rPr>
  </w:style>
  <w:style w:type="character" w:customStyle="1" w:styleId="66">
    <w:name w:val="正文文本缩进 Char"/>
    <w:basedOn w:val="43"/>
    <w:link w:val="19"/>
    <w:qFormat/>
    <w:uiPriority w:val="0"/>
    <w:rPr>
      <w:rFonts w:ascii="Times New Roman" w:hAnsi="Times New Roman" w:eastAsia="宋体" w:cs="Times New Roman"/>
      <w:kern w:val="0"/>
      <w:sz w:val="20"/>
      <w:szCs w:val="24"/>
    </w:rPr>
  </w:style>
  <w:style w:type="character" w:customStyle="1" w:styleId="67">
    <w:name w:val="副标题 Char"/>
    <w:basedOn w:val="43"/>
    <w:link w:val="32"/>
    <w:qFormat/>
    <w:uiPriority w:val="0"/>
    <w:rPr>
      <w:rFonts w:ascii="Cambria" w:hAnsi="Cambria" w:eastAsia="宋体" w:cs="Times New Roman"/>
      <w:b/>
      <w:bCs/>
      <w:kern w:val="28"/>
      <w:sz w:val="32"/>
      <w:szCs w:val="32"/>
    </w:rPr>
  </w:style>
  <w:style w:type="character" w:customStyle="1" w:styleId="68">
    <w:name w:val="日期 Char"/>
    <w:basedOn w:val="43"/>
    <w:link w:val="25"/>
    <w:qFormat/>
    <w:uiPriority w:val="0"/>
    <w:rPr>
      <w:rFonts w:ascii="Times New Roman" w:hAnsi="Times New Roman" w:eastAsia="宋体" w:cs="Times New Roman"/>
      <w:kern w:val="0"/>
      <w:sz w:val="24"/>
      <w:szCs w:val="24"/>
    </w:rPr>
  </w:style>
  <w:style w:type="character" w:customStyle="1" w:styleId="69">
    <w:name w:val="正文首行缩进 Char"/>
    <w:basedOn w:val="64"/>
    <w:link w:val="3"/>
    <w:qFormat/>
    <w:uiPriority w:val="0"/>
    <w:rPr>
      <w:rFonts w:ascii="Times New Roman" w:hAnsi="Times New Roman" w:eastAsia="宋体" w:cs="Times New Roman"/>
      <w:kern w:val="0"/>
      <w:sz w:val="18"/>
      <w:szCs w:val="18"/>
    </w:rPr>
  </w:style>
  <w:style w:type="character" w:customStyle="1" w:styleId="70">
    <w:name w:val="正文文本 2 Char"/>
    <w:basedOn w:val="43"/>
    <w:link w:val="38"/>
    <w:qFormat/>
    <w:uiPriority w:val="0"/>
    <w:rPr>
      <w:rFonts w:ascii="Times New Roman" w:hAnsi="Times New Roman" w:eastAsia="宋体" w:cs="Times New Roman"/>
      <w:kern w:val="0"/>
      <w:sz w:val="18"/>
      <w:szCs w:val="18"/>
    </w:rPr>
  </w:style>
  <w:style w:type="character" w:customStyle="1" w:styleId="71">
    <w:name w:val="正文文本 3 Char"/>
    <w:basedOn w:val="43"/>
    <w:link w:val="18"/>
    <w:qFormat/>
    <w:uiPriority w:val="0"/>
    <w:rPr>
      <w:rFonts w:ascii="Times New Roman" w:hAnsi="Times New Roman" w:eastAsia="黑体" w:cs="Times New Roman"/>
      <w:sz w:val="44"/>
      <w:szCs w:val="24"/>
    </w:rPr>
  </w:style>
  <w:style w:type="character" w:customStyle="1" w:styleId="72">
    <w:name w:val="正文文本缩进 2 Char"/>
    <w:basedOn w:val="43"/>
    <w:link w:val="26"/>
    <w:qFormat/>
    <w:uiPriority w:val="0"/>
    <w:rPr>
      <w:rFonts w:ascii="Calibri" w:hAnsi="Calibri" w:eastAsia="宋体" w:cs="Times New Roman"/>
    </w:rPr>
  </w:style>
  <w:style w:type="character" w:customStyle="1" w:styleId="73">
    <w:name w:val="正文文本缩进 3 Char"/>
    <w:basedOn w:val="43"/>
    <w:link w:val="35"/>
    <w:qFormat/>
    <w:uiPriority w:val="0"/>
    <w:rPr>
      <w:rFonts w:ascii="宋体" w:hAnsi="宋体" w:eastAsia="宋体" w:cs="Times New Roman"/>
      <w:kern w:val="0"/>
      <w:sz w:val="28"/>
      <w:szCs w:val="28"/>
    </w:rPr>
  </w:style>
  <w:style w:type="character" w:customStyle="1" w:styleId="74">
    <w:name w:val="文档结构图 Char"/>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5">
    <w:name w:val="纯文本 Char1"/>
    <w:basedOn w:val="43"/>
    <w:link w:val="23"/>
    <w:qFormat/>
    <w:uiPriority w:val="0"/>
    <w:rPr>
      <w:rFonts w:ascii="宋体" w:hAnsi="Courier New" w:eastAsia="宋体" w:cs="Times New Roman"/>
      <w:kern w:val="0"/>
      <w:sz w:val="20"/>
      <w:szCs w:val="18"/>
    </w:rPr>
  </w:style>
  <w:style w:type="character" w:customStyle="1" w:styleId="76">
    <w:name w:val="纯文本 Char"/>
    <w:basedOn w:val="43"/>
    <w:qFormat/>
    <w:uiPriority w:val="0"/>
    <w:rPr>
      <w:rFonts w:ascii="宋体" w:hAnsi="Courier New" w:eastAsia="宋体" w:cs="Courier New"/>
      <w:kern w:val="0"/>
      <w:szCs w:val="21"/>
    </w:rPr>
  </w:style>
  <w:style w:type="character" w:customStyle="1" w:styleId="77">
    <w:name w:val="批注主题 Char"/>
    <w:basedOn w:val="61"/>
    <w:link w:val="40"/>
    <w:qFormat/>
    <w:uiPriority w:val="0"/>
    <w:rPr>
      <w:rFonts w:ascii="Calibri" w:hAnsi="Calibri" w:eastAsia="宋体" w:cs="Times New Roman"/>
      <w:b/>
      <w:bCs/>
      <w:kern w:val="0"/>
      <w:sz w:val="18"/>
      <w:szCs w:val="18"/>
    </w:rPr>
  </w:style>
  <w:style w:type="character" w:customStyle="1" w:styleId="78">
    <w:name w:val="批注框文本 Char"/>
    <w:basedOn w:val="43"/>
    <w:link w:val="27"/>
    <w:qFormat/>
    <w:uiPriority w:val="0"/>
    <w:rPr>
      <w:rFonts w:ascii="Times New Roman" w:hAnsi="Times New Roman" w:eastAsia="宋体" w:cs="Times New Roman"/>
      <w:kern w:val="0"/>
      <w:sz w:val="18"/>
      <w:szCs w:val="18"/>
    </w:rPr>
  </w:style>
  <w:style w:type="paragraph" w:customStyle="1" w:styleId="7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0">
    <w:name w:val="列出段落 字符"/>
    <w:link w:val="81"/>
    <w:qFormat/>
    <w:locked/>
    <w:uiPriority w:val="1"/>
    <w:rPr>
      <w:rFonts w:ascii="Calibri" w:hAnsi="Calibri"/>
    </w:rPr>
  </w:style>
  <w:style w:type="paragraph" w:customStyle="1" w:styleId="81">
    <w:name w:val="列出段落1"/>
    <w:basedOn w:val="1"/>
    <w:link w:val="80"/>
    <w:qFormat/>
    <w:uiPriority w:val="99"/>
    <w:pPr>
      <w:ind w:firstLine="420" w:firstLineChars="200"/>
    </w:pPr>
    <w:rPr>
      <w:rFonts w:eastAsiaTheme="minorEastAsia" w:cstheme="minorBidi"/>
    </w:rPr>
  </w:style>
  <w:style w:type="character" w:customStyle="1" w:styleId="82">
    <w:name w:val="彩色列表 - 强调文字颜色 1 Char"/>
    <w:link w:val="83"/>
    <w:qFormat/>
    <w:locked/>
    <w:uiPriority w:val="0"/>
    <w:rPr>
      <w:rFonts w:ascii="Calibri" w:hAnsi="Calibri"/>
    </w:rPr>
  </w:style>
  <w:style w:type="paragraph" w:customStyle="1" w:styleId="83">
    <w:name w:val="彩色列表 - 强调文字颜色 11"/>
    <w:basedOn w:val="1"/>
    <w:link w:val="82"/>
    <w:qFormat/>
    <w:uiPriority w:val="0"/>
    <w:pPr>
      <w:ind w:firstLine="420" w:firstLineChars="200"/>
    </w:pPr>
    <w:rPr>
      <w:rFonts w:eastAsiaTheme="minorEastAsia" w:cstheme="minorBidi"/>
    </w:rPr>
  </w:style>
  <w:style w:type="paragraph" w:customStyle="1" w:styleId="84">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5">
    <w:name w:val="MM Title"/>
    <w:basedOn w:val="1"/>
    <w:qFormat/>
    <w:uiPriority w:val="0"/>
    <w:pPr>
      <w:spacing w:before="240" w:after="60"/>
      <w:jc w:val="center"/>
      <w:outlineLvl w:val="0"/>
    </w:pPr>
    <w:rPr>
      <w:rFonts w:ascii="Arial" w:hAnsi="Arial" w:cs="Arial"/>
      <w:b/>
      <w:bCs/>
      <w:sz w:val="32"/>
      <w:szCs w:val="32"/>
    </w:rPr>
  </w:style>
  <w:style w:type="paragraph" w:customStyle="1" w:styleId="86">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7">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8">
    <w:name w:val="gb_master正文"/>
    <w:basedOn w:val="1"/>
    <w:qFormat/>
    <w:uiPriority w:val="0"/>
    <w:pPr>
      <w:ind w:firstLine="200" w:firstLineChars="200"/>
    </w:pPr>
    <w:rPr>
      <w:rFonts w:ascii="Times New Roman" w:hAnsi="Times New Roman"/>
      <w:szCs w:val="24"/>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无间隔1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91">
    <w:name w:val="Char2 Char Char Char"/>
    <w:basedOn w:val="1"/>
    <w:qFormat/>
    <w:uiPriority w:val="0"/>
    <w:rPr>
      <w:rFonts w:ascii="仿宋_GB2312" w:hAnsi="Times New Roman"/>
      <w:b/>
      <w:sz w:val="30"/>
      <w:szCs w:val="32"/>
    </w:rPr>
  </w:style>
  <w:style w:type="paragraph" w:customStyle="1" w:styleId="92">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9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6">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7">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8">
    <w:name w:val="表格文字"/>
    <w:basedOn w:val="1"/>
    <w:qFormat/>
    <w:uiPriority w:val="0"/>
    <w:pPr>
      <w:spacing w:beforeLines="25"/>
    </w:pPr>
    <w:rPr>
      <w:rFonts w:ascii="Times New (W1)" w:hAnsi="Times New (W1)"/>
      <w:spacing w:val="10"/>
      <w:szCs w:val="24"/>
    </w:rPr>
  </w:style>
  <w:style w:type="paragraph" w:customStyle="1" w:styleId="99">
    <w:name w:val="文章正文"/>
    <w:basedOn w:val="1"/>
    <w:qFormat/>
    <w:uiPriority w:val="0"/>
    <w:pPr>
      <w:spacing w:line="360" w:lineRule="auto"/>
      <w:ind w:firstLine="420"/>
    </w:pPr>
    <w:rPr>
      <w:rFonts w:ascii="Times New Roman" w:hAnsi="Times New Roman"/>
      <w:sz w:val="24"/>
      <w:szCs w:val="24"/>
    </w:rPr>
  </w:style>
  <w:style w:type="paragraph" w:customStyle="1" w:styleId="10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01">
    <w:name w:val="默认段落字体 Para Char Char"/>
    <w:basedOn w:val="1"/>
    <w:qFormat/>
    <w:uiPriority w:val="0"/>
    <w:rPr>
      <w:rFonts w:ascii="Times New Roman" w:hAnsi="Times New Roman"/>
      <w:szCs w:val="24"/>
    </w:rPr>
  </w:style>
  <w:style w:type="paragraph" w:customStyle="1" w:styleId="102">
    <w:name w:val="MM Topic 6"/>
    <w:basedOn w:val="9"/>
    <w:qFormat/>
    <w:uiPriority w:val="0"/>
    <w:pPr>
      <w:tabs>
        <w:tab w:val="left" w:pos="3260"/>
        <w:tab w:val="clear" w:pos="1702"/>
      </w:tabs>
      <w:ind w:left="0" w:firstLine="0"/>
    </w:pPr>
    <w:rPr>
      <w:rFonts w:eastAsia="黑体"/>
    </w:rPr>
  </w:style>
  <w:style w:type="paragraph" w:customStyle="1" w:styleId="10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6">
    <w:name w:val="标题 5 + 首行缩进:  2 字符"/>
    <w:basedOn w:val="8"/>
    <w:next w:val="19"/>
    <w:qFormat/>
    <w:uiPriority w:val="0"/>
    <w:pPr>
      <w:tabs>
        <w:tab w:val="left" w:pos="992"/>
        <w:tab w:val="clear" w:pos="1134"/>
      </w:tabs>
      <w:snapToGrid w:val="0"/>
      <w:spacing w:beforeLines="50" w:afterLines="50"/>
      <w:ind w:left="3570" w:firstLine="482" w:firstLineChars="200"/>
    </w:pPr>
    <w:rPr>
      <w:rFonts w:cs="Times New Roman"/>
      <w:color w:val="000000"/>
      <w:szCs w:val="20"/>
    </w:rPr>
  </w:style>
  <w:style w:type="paragraph" w:customStyle="1" w:styleId="107">
    <w:name w:val="Char2 Char Char Char Char Char Char"/>
    <w:basedOn w:val="1"/>
    <w:qFormat/>
    <w:uiPriority w:val="0"/>
    <w:rPr>
      <w:rFonts w:ascii="仿宋_GB2312" w:hAnsi="Times New Roman"/>
      <w:b/>
      <w:sz w:val="30"/>
      <w:szCs w:val="32"/>
    </w:rPr>
  </w:style>
  <w:style w:type="paragraph" w:customStyle="1" w:styleId="108">
    <w:name w:val="MM Topic 2"/>
    <w:basedOn w:val="5"/>
    <w:qFormat/>
    <w:uiPriority w:val="0"/>
    <w:pPr>
      <w:numPr>
        <w:ilvl w:val="0"/>
        <w:numId w:val="0"/>
      </w:numPr>
      <w:tabs>
        <w:tab w:val="left" w:pos="992"/>
      </w:tabs>
    </w:pPr>
    <w:rPr>
      <w:rFonts w:cs="Times New Roman"/>
    </w:rPr>
  </w:style>
  <w:style w:type="paragraph" w:customStyle="1" w:styleId="10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1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11">
    <w:name w:val="MM Topic 8"/>
    <w:basedOn w:val="11"/>
    <w:qFormat/>
    <w:uiPriority w:val="0"/>
    <w:pPr>
      <w:tabs>
        <w:tab w:val="left" w:pos="4394"/>
      </w:tabs>
    </w:pPr>
  </w:style>
  <w:style w:type="paragraph" w:customStyle="1" w:styleId="112">
    <w:name w:val="Char1 Char Char Char Char Char Char"/>
    <w:basedOn w:val="1"/>
    <w:qFormat/>
    <w:uiPriority w:val="0"/>
    <w:rPr>
      <w:rFonts w:ascii="Tahoma" w:hAnsi="Tahoma"/>
      <w:sz w:val="24"/>
      <w:szCs w:val="20"/>
    </w:rPr>
  </w:style>
  <w:style w:type="paragraph" w:customStyle="1" w:styleId="11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4">
    <w:name w:val="样式 小四2"/>
    <w:basedOn w:val="1"/>
    <w:qFormat/>
    <w:uiPriority w:val="0"/>
    <w:rPr>
      <w:rFonts w:ascii="宋体" w:hAnsi="宋体"/>
      <w:sz w:val="24"/>
      <w:szCs w:val="24"/>
    </w:rPr>
  </w:style>
  <w:style w:type="paragraph" w:customStyle="1" w:styleId="115">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6">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7">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9">
    <w:name w:val="文章正文 Char Char1"/>
    <w:basedOn w:val="1"/>
    <w:qFormat/>
    <w:uiPriority w:val="0"/>
    <w:pPr>
      <w:spacing w:line="360" w:lineRule="auto"/>
      <w:ind w:firstLine="420"/>
    </w:pPr>
    <w:rPr>
      <w:rFonts w:ascii="Times New Roman" w:hAnsi="Times New Roman"/>
      <w:sz w:val="24"/>
      <w:szCs w:val="24"/>
    </w:rPr>
  </w:style>
  <w:style w:type="paragraph" w:customStyle="1" w:styleId="120">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21">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22">
    <w:name w:val="图"/>
    <w:basedOn w:val="1"/>
    <w:qFormat/>
    <w:uiPriority w:val="0"/>
    <w:pPr>
      <w:widowControl/>
      <w:adjustRightInd w:val="0"/>
      <w:snapToGrid w:val="0"/>
      <w:jc w:val="center"/>
    </w:pPr>
    <w:rPr>
      <w:rFonts w:ascii="宋体" w:hAnsi="宋体"/>
      <w:bCs/>
      <w:szCs w:val="24"/>
    </w:rPr>
  </w:style>
  <w:style w:type="paragraph" w:customStyle="1" w:styleId="123">
    <w:name w:val="Char1 Char Char Char Char Char Char1"/>
    <w:basedOn w:val="1"/>
    <w:qFormat/>
    <w:uiPriority w:val="0"/>
    <w:rPr>
      <w:rFonts w:ascii="Tahoma" w:hAnsi="Tahoma"/>
      <w:sz w:val="24"/>
      <w:szCs w:val="20"/>
    </w:rPr>
  </w:style>
  <w:style w:type="paragraph" w:customStyle="1" w:styleId="124">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5">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6">
    <w:name w:val="MM Topic 1"/>
    <w:basedOn w:val="4"/>
    <w:qFormat/>
    <w:uiPriority w:val="0"/>
    <w:pPr>
      <w:tabs>
        <w:tab w:val="left" w:pos="425"/>
      </w:tabs>
    </w:pPr>
    <w:rPr>
      <w:rFonts w:cs="Times New Roman"/>
      <w:sz w:val="44"/>
    </w:rPr>
  </w:style>
  <w:style w:type="paragraph" w:customStyle="1" w:styleId="127">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8">
    <w:name w:val="我的正文"/>
    <w:basedOn w:val="1"/>
    <w:qFormat/>
    <w:uiPriority w:val="0"/>
    <w:pPr>
      <w:spacing w:line="360" w:lineRule="auto"/>
      <w:ind w:firstLine="420" w:firstLineChars="200"/>
    </w:pPr>
    <w:rPr>
      <w:rFonts w:ascii="宋体" w:hAnsi="宋体"/>
      <w:szCs w:val="24"/>
    </w:rPr>
  </w:style>
  <w:style w:type="paragraph" w:customStyle="1" w:styleId="129">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30">
    <w:name w:val="标书（正文）"/>
    <w:basedOn w:val="1"/>
    <w:qFormat/>
    <w:uiPriority w:val="0"/>
    <w:pPr>
      <w:spacing w:line="360" w:lineRule="auto"/>
      <w:ind w:firstLine="560" w:firstLineChars="200"/>
    </w:pPr>
    <w:rPr>
      <w:rFonts w:ascii="宋体" w:hAnsi="宋体"/>
      <w:kern w:val="10"/>
      <w:sz w:val="28"/>
      <w:szCs w:val="28"/>
    </w:rPr>
  </w:style>
  <w:style w:type="paragraph" w:customStyle="1" w:styleId="131">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32">
    <w:name w:val="论文正文"/>
    <w:basedOn w:val="1"/>
    <w:qFormat/>
    <w:uiPriority w:val="0"/>
    <w:pPr>
      <w:spacing w:line="360" w:lineRule="auto"/>
      <w:ind w:firstLine="700" w:firstLineChars="250"/>
    </w:pPr>
    <w:rPr>
      <w:rFonts w:ascii="宋体" w:hAnsi="宋体"/>
      <w:bCs/>
      <w:sz w:val="28"/>
      <w:szCs w:val="28"/>
    </w:rPr>
  </w:style>
  <w:style w:type="paragraph" w:customStyle="1" w:styleId="133">
    <w:name w:val="样式1"/>
    <w:basedOn w:val="1"/>
    <w:qFormat/>
    <w:uiPriority w:val="0"/>
    <w:rPr>
      <w:rFonts w:ascii="Times New Roman" w:hAnsi="Times New Roman" w:eastAsia="隶书"/>
      <w:i/>
      <w:dstrike/>
      <w:sz w:val="28"/>
      <w:szCs w:val="18"/>
    </w:rPr>
  </w:style>
  <w:style w:type="paragraph" w:customStyle="1" w:styleId="134">
    <w:name w:val="表格"/>
    <w:basedOn w:val="1"/>
    <w:qFormat/>
    <w:uiPriority w:val="0"/>
    <w:pPr>
      <w:spacing w:line="400" w:lineRule="exact"/>
    </w:pPr>
    <w:rPr>
      <w:rFonts w:ascii="Times New Roman" w:hAnsi="Times New Roman"/>
      <w:sz w:val="24"/>
      <w:szCs w:val="24"/>
    </w:rPr>
  </w:style>
  <w:style w:type="paragraph" w:customStyle="1" w:styleId="135">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6">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7">
    <w:name w:val="Char Char Char Char Char Char Char Char Char Char Char Char Char"/>
    <w:basedOn w:val="16"/>
    <w:qFormat/>
    <w:uiPriority w:val="0"/>
    <w:rPr>
      <w:rFonts w:ascii="Tahoma" w:hAnsi="Tahoma"/>
      <w:sz w:val="24"/>
      <w:szCs w:val="24"/>
    </w:rPr>
  </w:style>
  <w:style w:type="paragraph" w:customStyle="1" w:styleId="138">
    <w:name w:val="MM Topic 3"/>
    <w:basedOn w:val="6"/>
    <w:qFormat/>
    <w:uiPriority w:val="0"/>
    <w:pPr>
      <w:numPr>
        <w:ilvl w:val="0"/>
        <w:numId w:val="0"/>
      </w:numPr>
      <w:tabs>
        <w:tab w:val="left" w:pos="1418"/>
      </w:tabs>
    </w:pPr>
    <w:rPr>
      <w:rFonts w:cs="Times New Roman"/>
    </w:rPr>
  </w:style>
  <w:style w:type="paragraph" w:customStyle="1" w:styleId="139">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4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41">
    <w:name w:val="Char Char Char Char"/>
    <w:basedOn w:val="1"/>
    <w:qFormat/>
    <w:uiPriority w:val="0"/>
    <w:rPr>
      <w:rFonts w:ascii="Tahoma" w:hAnsi="Tahoma"/>
      <w:sz w:val="24"/>
      <w:szCs w:val="20"/>
    </w:rPr>
  </w:style>
  <w:style w:type="paragraph" w:customStyle="1" w:styleId="142">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43">
    <w:name w:val="MM Topic 9"/>
    <w:basedOn w:val="12"/>
    <w:qFormat/>
    <w:uiPriority w:val="0"/>
    <w:pPr>
      <w:tabs>
        <w:tab w:val="left" w:pos="5102"/>
      </w:tabs>
    </w:pPr>
  </w:style>
  <w:style w:type="paragraph" w:customStyle="1" w:styleId="144">
    <w:name w:val="MM Topic 5"/>
    <w:basedOn w:val="8"/>
    <w:qFormat/>
    <w:uiPriority w:val="0"/>
    <w:pPr>
      <w:tabs>
        <w:tab w:val="left" w:pos="2551"/>
        <w:tab w:val="clear" w:pos="1134"/>
        <w:tab w:val="clear" w:pos="1560"/>
      </w:tabs>
      <w:ind w:left="0" w:firstLine="0"/>
    </w:pPr>
    <w:rPr>
      <w:rFonts w:cs="Times New Roman"/>
    </w:rPr>
  </w:style>
  <w:style w:type="paragraph" w:customStyle="1" w:styleId="145">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6">
    <w:name w:val="MM Topic 4"/>
    <w:basedOn w:val="7"/>
    <w:qFormat/>
    <w:uiPriority w:val="0"/>
    <w:pPr>
      <w:tabs>
        <w:tab w:val="left" w:pos="1984"/>
      </w:tabs>
      <w:ind w:left="0" w:firstLine="0"/>
    </w:p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9">
    <w:name w:val="样式 标题 2H2第一章 标题 2Heading 2 HiddenHeading 2 CCBSheading 2h2..."/>
    <w:basedOn w:val="5"/>
    <w:qFormat/>
    <w:uiPriority w:val="0"/>
    <w:pPr>
      <w:tabs>
        <w:tab w:val="left" w:pos="-2493"/>
      </w:tabs>
    </w:pPr>
    <w:rPr>
      <w:rFonts w:cs="Times New Roman"/>
      <w:szCs w:val="20"/>
    </w:rPr>
  </w:style>
  <w:style w:type="paragraph" w:customStyle="1" w:styleId="150">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51">
    <w:name w:val="列出段落2"/>
    <w:basedOn w:val="1"/>
    <w:qFormat/>
    <w:uiPriority w:val="0"/>
    <w:pPr>
      <w:ind w:firstLine="420" w:firstLineChars="200"/>
    </w:pPr>
  </w:style>
  <w:style w:type="paragraph" w:customStyle="1" w:styleId="152">
    <w:name w:val="列出段落4"/>
    <w:basedOn w:val="1"/>
    <w:qFormat/>
    <w:uiPriority w:val="99"/>
    <w:pPr>
      <w:ind w:firstLine="420" w:firstLineChars="200"/>
    </w:pPr>
    <w:rPr>
      <w:rFonts w:ascii="Times New Roman" w:hAnsi="Times New Roman"/>
      <w:szCs w:val="24"/>
    </w:rPr>
  </w:style>
  <w:style w:type="paragraph" w:customStyle="1" w:styleId="153">
    <w:name w:val="列出段落1111"/>
    <w:basedOn w:val="1"/>
    <w:qFormat/>
    <w:uiPriority w:val="0"/>
    <w:pPr>
      <w:ind w:firstLine="420" w:firstLineChars="200"/>
    </w:pPr>
  </w:style>
  <w:style w:type="paragraph" w:customStyle="1" w:styleId="154">
    <w:name w:val="修订1"/>
    <w:qFormat/>
    <w:uiPriority w:val="0"/>
    <w:rPr>
      <w:rFonts w:ascii="Calibri" w:hAnsi="Calibri" w:eastAsia="宋体" w:cs="Times New Roman"/>
      <w:kern w:val="2"/>
      <w:sz w:val="21"/>
      <w:szCs w:val="22"/>
      <w:lang w:val="en-US" w:eastAsia="zh-CN" w:bidi="ar-SA"/>
    </w:rPr>
  </w:style>
  <w:style w:type="paragraph" w:customStyle="1" w:styleId="155">
    <w:name w:val="彩色列表 - 强调文字颜色 12"/>
    <w:basedOn w:val="1"/>
    <w:qFormat/>
    <w:uiPriority w:val="0"/>
    <w:pPr>
      <w:ind w:firstLine="420" w:firstLineChars="200"/>
    </w:pPr>
  </w:style>
  <w:style w:type="paragraph" w:customStyle="1" w:styleId="156">
    <w:name w:val="Default"/>
    <w:link w:val="28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列出段落3"/>
    <w:basedOn w:val="1"/>
    <w:link w:val="267"/>
    <w:qFormat/>
    <w:uiPriority w:val="99"/>
    <w:pPr>
      <w:widowControl/>
      <w:ind w:firstLine="420" w:firstLineChars="200"/>
      <w:jc w:val="left"/>
    </w:pPr>
    <w:rPr>
      <w:rFonts w:ascii="Times New Roman" w:hAnsi="Times New Roman"/>
      <w:kern w:val="0"/>
      <w:sz w:val="24"/>
      <w:szCs w:val="24"/>
    </w:rPr>
  </w:style>
  <w:style w:type="paragraph" w:customStyle="1" w:styleId="1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9">
    <w:name w:val="0-CD Char"/>
    <w:link w:val="160"/>
    <w:qFormat/>
    <w:locked/>
    <w:uiPriority w:val="0"/>
    <w:rPr>
      <w:rFonts w:ascii="宋体" w:hAnsi="宋体" w:eastAsia="宋体"/>
      <w:sz w:val="28"/>
      <w:szCs w:val="24"/>
    </w:rPr>
  </w:style>
  <w:style w:type="paragraph" w:customStyle="1" w:styleId="160">
    <w:name w:val="0-CD"/>
    <w:basedOn w:val="1"/>
    <w:link w:val="159"/>
    <w:qFormat/>
    <w:uiPriority w:val="0"/>
    <w:pPr>
      <w:spacing w:line="360" w:lineRule="auto"/>
      <w:ind w:firstLine="708" w:firstLineChars="253"/>
      <w:jc w:val="left"/>
    </w:pPr>
    <w:rPr>
      <w:rFonts w:ascii="宋体" w:hAnsi="宋体" w:cstheme="minorBidi"/>
      <w:sz w:val="28"/>
      <w:szCs w:val="24"/>
    </w:rPr>
  </w:style>
  <w:style w:type="character" w:customStyle="1" w:styleId="161">
    <w:name w:val="Char Char8"/>
    <w:qFormat/>
    <w:uiPriority w:val="0"/>
    <w:rPr>
      <w:rFonts w:hint="eastAsia" w:ascii="宋体" w:hAnsi="宋体" w:eastAsia="宋体"/>
      <w:kern w:val="2"/>
      <w:sz w:val="28"/>
      <w:szCs w:val="28"/>
    </w:rPr>
  </w:style>
  <w:style w:type="character" w:customStyle="1" w:styleId="162">
    <w:name w:val="Char Char5"/>
    <w:qFormat/>
    <w:uiPriority w:val="0"/>
    <w:rPr>
      <w:kern w:val="2"/>
      <w:sz w:val="21"/>
      <w:szCs w:val="24"/>
    </w:rPr>
  </w:style>
  <w:style w:type="character" w:customStyle="1" w:styleId="163">
    <w:name w:val="列出段落 Char Char"/>
    <w:qFormat/>
    <w:uiPriority w:val="0"/>
    <w:rPr>
      <w:rFonts w:hint="default" w:ascii="Calibri" w:hAnsi="Calibri" w:cs="Calibri"/>
      <w:kern w:val="2"/>
      <w:sz w:val="21"/>
      <w:szCs w:val="22"/>
    </w:rPr>
  </w:style>
  <w:style w:type="character" w:customStyle="1" w:styleId="164">
    <w:name w:val="正文文本 Char Char"/>
    <w:qFormat/>
    <w:uiPriority w:val="0"/>
    <w:rPr>
      <w:kern w:val="2"/>
      <w:sz w:val="21"/>
      <w:szCs w:val="24"/>
    </w:rPr>
  </w:style>
  <w:style w:type="character" w:customStyle="1" w:styleId="165">
    <w:name w:val="Char Char11"/>
    <w:qFormat/>
    <w:uiPriority w:val="0"/>
    <w:rPr>
      <w:rFonts w:hint="default" w:ascii="Arial Narrow" w:hAnsi="Arial Narrow"/>
      <w:b/>
      <w:bCs/>
      <w:iCs/>
      <w:szCs w:val="24"/>
      <w:lang w:eastAsia="en-US"/>
    </w:rPr>
  </w:style>
  <w:style w:type="character" w:customStyle="1" w:styleId="166">
    <w:name w:val="标书（正文） Char Char"/>
    <w:qFormat/>
    <w:uiPriority w:val="0"/>
    <w:rPr>
      <w:rFonts w:hint="eastAsia" w:ascii="宋体" w:hAnsi="宋体" w:eastAsia="宋体"/>
      <w:b/>
      <w:kern w:val="10"/>
      <w:sz w:val="21"/>
      <w:szCs w:val="21"/>
      <w:lang w:val="en-US" w:eastAsia="zh-CN" w:bidi="ar-SA"/>
    </w:rPr>
  </w:style>
  <w:style w:type="character" w:customStyle="1" w:styleId="167">
    <w:name w:val="line2"/>
    <w:basedOn w:val="43"/>
    <w:qFormat/>
    <w:uiPriority w:val="0"/>
  </w:style>
  <w:style w:type="character" w:customStyle="1" w:styleId="168">
    <w:name w:val="Char Char10"/>
    <w:qFormat/>
    <w:uiPriority w:val="0"/>
    <w:rPr>
      <w:kern w:val="2"/>
      <w:sz w:val="24"/>
      <w:szCs w:val="24"/>
    </w:rPr>
  </w:style>
  <w:style w:type="character" w:customStyle="1" w:styleId="169">
    <w:name w:val="MM Topic 4 Char Char"/>
    <w:qFormat/>
    <w:uiPriority w:val="0"/>
    <w:rPr>
      <w:rFonts w:hint="default" w:ascii="Arial" w:hAnsi="Arial" w:cs="Arial"/>
      <w:b/>
      <w:bCs/>
      <w:kern w:val="2"/>
      <w:sz w:val="28"/>
      <w:szCs w:val="28"/>
    </w:rPr>
  </w:style>
  <w:style w:type="character" w:customStyle="1" w:styleId="170">
    <w:name w:val="标书正文:  0.74 厘米 Char Char"/>
    <w:qFormat/>
    <w:uiPriority w:val="0"/>
    <w:rPr>
      <w:kern w:val="2"/>
      <w:sz w:val="24"/>
    </w:rPr>
  </w:style>
  <w:style w:type="character" w:customStyle="1" w:styleId="171">
    <w:name w:val="访问过的超链接1"/>
    <w:qFormat/>
    <w:uiPriority w:val="99"/>
    <w:rPr>
      <w:color w:val="800080"/>
      <w:u w:val="single"/>
    </w:rPr>
  </w:style>
  <w:style w:type="character" w:customStyle="1" w:styleId="172">
    <w:name w:val="标题 3 Char Char Char"/>
    <w:qFormat/>
    <w:uiPriority w:val="0"/>
    <w:rPr>
      <w:rFonts w:hint="eastAsia" w:ascii="宋体" w:hAnsi="宋体" w:eastAsia="宋体"/>
      <w:b/>
      <w:kern w:val="2"/>
      <w:sz w:val="32"/>
      <w:lang w:val="en-US" w:eastAsia="zh-CN" w:bidi="ar-SA"/>
    </w:rPr>
  </w:style>
  <w:style w:type="character" w:customStyle="1" w:styleId="173">
    <w:name w:val="（符号）邀请函中一、"/>
    <w:qFormat/>
    <w:uiPriority w:val="0"/>
    <w:rPr>
      <w:rFonts w:hint="eastAsia" w:ascii="黑体" w:hAnsi="黑体" w:eastAsia="黑体"/>
      <w:b/>
      <w:bCs/>
      <w:sz w:val="24"/>
    </w:rPr>
  </w:style>
  <w:style w:type="character" w:customStyle="1" w:styleId="174">
    <w:name w:val="tt Char"/>
    <w:qFormat/>
    <w:uiPriority w:val="0"/>
    <w:rPr>
      <w:rFonts w:hint="default" w:ascii="Arial" w:hAnsi="Arial" w:eastAsia="黑体" w:cs="Arial"/>
      <w:kern w:val="2"/>
      <w:sz w:val="21"/>
      <w:szCs w:val="21"/>
    </w:rPr>
  </w:style>
  <w:style w:type="character" w:customStyle="1" w:styleId="175">
    <w:name w:val="Char Char9"/>
    <w:qFormat/>
    <w:uiPriority w:val="0"/>
    <w:rPr>
      <w:kern w:val="2"/>
      <w:sz w:val="18"/>
      <w:szCs w:val="18"/>
    </w:rPr>
  </w:style>
  <w:style w:type="character" w:customStyle="1" w:styleId="176">
    <w:name w:val="MM Topic 3 Char Char"/>
    <w:qFormat/>
    <w:uiPriority w:val="0"/>
    <w:rPr>
      <w:rFonts w:hint="eastAsia" w:ascii="宋体" w:hAnsi="宋体" w:eastAsia="宋体"/>
      <w:b/>
      <w:bCs/>
      <w:color w:val="000000"/>
      <w:kern w:val="2"/>
      <w:sz w:val="28"/>
      <w:szCs w:val="28"/>
    </w:rPr>
  </w:style>
  <w:style w:type="character" w:customStyle="1" w:styleId="177">
    <w:name w:val="样式 小四2 Char Char"/>
    <w:qFormat/>
    <w:uiPriority w:val="0"/>
    <w:rPr>
      <w:rFonts w:hint="eastAsia" w:ascii="宋体" w:hAnsi="宋体" w:eastAsia="宋体"/>
      <w:kern w:val="2"/>
      <w:sz w:val="24"/>
      <w:szCs w:val="24"/>
    </w:rPr>
  </w:style>
  <w:style w:type="character" w:customStyle="1" w:styleId="178">
    <w:name w:val="Char Char7"/>
    <w:qFormat/>
    <w:uiPriority w:val="0"/>
    <w:rPr>
      <w:kern w:val="2"/>
      <w:sz w:val="18"/>
      <w:szCs w:val="18"/>
    </w:rPr>
  </w:style>
  <w:style w:type="character" w:customStyle="1" w:styleId="179">
    <w:name w:val="Char Char3"/>
    <w:qFormat/>
    <w:uiPriority w:val="0"/>
    <w:rPr>
      <w:b/>
      <w:bCs/>
      <w:kern w:val="2"/>
      <w:sz w:val="18"/>
      <w:szCs w:val="18"/>
    </w:rPr>
  </w:style>
  <w:style w:type="character" w:customStyle="1" w:styleId="180">
    <w:name w:val="apple-style-span"/>
    <w:basedOn w:val="43"/>
    <w:qFormat/>
    <w:uiPriority w:val="0"/>
  </w:style>
  <w:style w:type="character" w:customStyle="1" w:styleId="181">
    <w:name w:val="Char Char4"/>
    <w:qFormat/>
    <w:uiPriority w:val="0"/>
    <w:rPr>
      <w:kern w:val="2"/>
      <w:sz w:val="18"/>
      <w:szCs w:val="18"/>
    </w:rPr>
  </w:style>
  <w:style w:type="character" w:customStyle="1" w:styleId="182">
    <w:name w:val="副标题 Char1"/>
    <w:qFormat/>
    <w:uiPriority w:val="11"/>
    <w:rPr>
      <w:rFonts w:hint="default" w:ascii="Cambria" w:hAnsi="Cambria" w:cs="Times New Roman"/>
      <w:b/>
      <w:bCs/>
      <w:kern w:val="28"/>
      <w:sz w:val="32"/>
      <w:szCs w:val="32"/>
    </w:rPr>
  </w:style>
  <w:style w:type="character" w:customStyle="1" w:styleId="183">
    <w:name w:val="small"/>
    <w:basedOn w:val="43"/>
    <w:qFormat/>
    <w:uiPriority w:val="0"/>
  </w:style>
  <w:style w:type="character" w:customStyle="1" w:styleId="184">
    <w:name w:val="Legal Level 1.1.1. Char"/>
    <w:qFormat/>
    <w:uiPriority w:val="0"/>
    <w:rPr>
      <w:rFonts w:hint="default" w:ascii="Arial" w:hAnsi="Arial" w:eastAsia="黑体" w:cs="Arial"/>
      <w:kern w:val="2"/>
      <w:sz w:val="24"/>
      <w:szCs w:val="24"/>
    </w:rPr>
  </w:style>
  <w:style w:type="character" w:customStyle="1" w:styleId="185">
    <w:name w:val="文章正文 Char Char"/>
    <w:qFormat/>
    <w:uiPriority w:val="0"/>
    <w:rPr>
      <w:rFonts w:hint="eastAsia" w:ascii="宋体" w:hAnsi="宋体" w:eastAsia="宋体"/>
      <w:kern w:val="2"/>
      <w:sz w:val="24"/>
      <w:szCs w:val="24"/>
      <w:lang w:val="en-US" w:eastAsia="zh-CN" w:bidi="ar-SA"/>
    </w:rPr>
  </w:style>
  <w:style w:type="character" w:customStyle="1" w:styleId="186">
    <w:name w:val="正文文本 Char1"/>
    <w:qFormat/>
    <w:uiPriority w:val="0"/>
    <w:rPr>
      <w:rFonts w:hint="default" w:ascii="Times New Roman" w:hAnsi="Times New Roman" w:eastAsia="宋体" w:cs="Times New Roman"/>
      <w:kern w:val="0"/>
      <w:sz w:val="18"/>
      <w:szCs w:val="18"/>
    </w:rPr>
  </w:style>
  <w:style w:type="character" w:customStyle="1" w:styleId="187">
    <w:name w:val="CD正文 Char Char"/>
    <w:qFormat/>
    <w:uiPriority w:val="0"/>
    <w:rPr>
      <w:rFonts w:hint="eastAsia" w:ascii="宋体" w:hAnsi="宋体" w:eastAsia="宋体"/>
      <w:kern w:val="2"/>
      <w:sz w:val="30"/>
      <w:szCs w:val="28"/>
      <w:lang w:val="en-US" w:eastAsia="zh-CN" w:bidi="ar-SA"/>
    </w:rPr>
  </w:style>
  <w:style w:type="character" w:customStyle="1" w:styleId="188">
    <w:name w:val="Char Char2"/>
    <w:qFormat/>
    <w:uiPriority w:val="0"/>
    <w:rPr>
      <w:kern w:val="2"/>
      <w:sz w:val="18"/>
      <w:szCs w:val="18"/>
    </w:rPr>
  </w:style>
  <w:style w:type="character" w:customStyle="1" w:styleId="189">
    <w:name w:val="标题 1 Char1"/>
    <w:qFormat/>
    <w:uiPriority w:val="0"/>
    <w:rPr>
      <w:b/>
      <w:bCs/>
      <w:kern w:val="44"/>
      <w:sz w:val="44"/>
      <w:szCs w:val="44"/>
    </w:rPr>
  </w:style>
  <w:style w:type="character" w:customStyle="1" w:styleId="190">
    <w:name w:val="表正文 Char1"/>
    <w:qFormat/>
    <w:uiPriority w:val="0"/>
    <w:rPr>
      <w:rFonts w:hint="eastAsia" w:ascii="宋体" w:hAnsi="宋体" w:eastAsia="宋体"/>
      <w:kern w:val="2"/>
      <w:sz w:val="21"/>
      <w:lang w:val="en-US" w:eastAsia="zh-CN" w:bidi="ar-SA"/>
    </w:rPr>
  </w:style>
  <w:style w:type="character" w:customStyle="1" w:styleId="191">
    <w:name w:val="Char Char Char"/>
    <w:qFormat/>
    <w:uiPriority w:val="0"/>
    <w:rPr>
      <w:rFonts w:hint="eastAsia" w:ascii="宋体" w:hAnsi="宋体" w:eastAsia="宋体"/>
      <w:kern w:val="2"/>
      <w:sz w:val="18"/>
      <w:szCs w:val="18"/>
      <w:lang w:val="en-US" w:eastAsia="zh-CN" w:bidi="ar-SA"/>
    </w:rPr>
  </w:style>
  <w:style w:type="character" w:customStyle="1" w:styleId="192">
    <w:name w:val="Char Char6"/>
    <w:qFormat/>
    <w:uiPriority w:val="0"/>
    <w:rPr>
      <w:kern w:val="2"/>
      <w:sz w:val="21"/>
      <w:szCs w:val="24"/>
    </w:rPr>
  </w:style>
  <w:style w:type="character" w:customStyle="1" w:styleId="193">
    <w:name w:val="正文缩进 Char"/>
    <w:qFormat/>
    <w:uiPriority w:val="0"/>
    <w:rPr>
      <w:kern w:val="2"/>
      <w:sz w:val="21"/>
      <w:lang w:val="zh-CN" w:eastAsia="zh-CN"/>
    </w:rPr>
  </w:style>
  <w:style w:type="character" w:customStyle="1" w:styleId="194">
    <w:name w:val="font11"/>
    <w:basedOn w:val="43"/>
    <w:qFormat/>
    <w:uiPriority w:val="0"/>
    <w:rPr>
      <w:rFonts w:hint="eastAsia" w:ascii="宋体" w:hAnsi="宋体" w:eastAsia="宋体" w:cs="宋体"/>
      <w:b/>
      <w:color w:val="000000"/>
      <w:sz w:val="22"/>
      <w:szCs w:val="22"/>
      <w:u w:val="none"/>
    </w:rPr>
  </w:style>
  <w:style w:type="character" w:customStyle="1" w:styleId="195">
    <w:name w:val="font01"/>
    <w:basedOn w:val="43"/>
    <w:qFormat/>
    <w:uiPriority w:val="0"/>
    <w:rPr>
      <w:rFonts w:hint="eastAsia" w:ascii="宋体" w:hAnsi="宋体" w:eastAsia="宋体" w:cs="宋体"/>
      <w:color w:val="000000"/>
      <w:sz w:val="22"/>
      <w:szCs w:val="22"/>
      <w:u w:val="none"/>
    </w:rPr>
  </w:style>
  <w:style w:type="character" w:customStyle="1" w:styleId="196">
    <w:name w:val="页脚 Char1"/>
    <w:basedOn w:val="43"/>
    <w:qFormat/>
    <w:uiPriority w:val="99"/>
    <w:rPr>
      <w:sz w:val="18"/>
      <w:szCs w:val="18"/>
    </w:rPr>
  </w:style>
  <w:style w:type="character" w:customStyle="1" w:styleId="197">
    <w:name w:val="批注文字 Char2"/>
    <w:qFormat/>
    <w:uiPriority w:val="0"/>
    <w:rPr>
      <w:rFonts w:hint="eastAsia" w:ascii="宋体" w:hAnsi="宋体" w:eastAsia="宋体"/>
      <w:sz w:val="18"/>
      <w:szCs w:val="18"/>
    </w:rPr>
  </w:style>
  <w:style w:type="character" w:customStyle="1" w:styleId="198">
    <w:name w:val="列出段落 Char1"/>
    <w:qFormat/>
    <w:uiPriority w:val="34"/>
    <w:rPr>
      <w:rFonts w:hint="default" w:ascii="Calibri" w:hAnsi="Calibri"/>
      <w:kern w:val="2"/>
      <w:sz w:val="21"/>
      <w:szCs w:val="22"/>
    </w:rPr>
  </w:style>
  <w:style w:type="paragraph" w:customStyle="1" w:styleId="199">
    <w:name w:val="CD正文"/>
    <w:basedOn w:val="99"/>
    <w:link w:val="275"/>
    <w:qFormat/>
    <w:uiPriority w:val="0"/>
  </w:style>
  <w:style w:type="paragraph" w:customStyle="1" w:styleId="200">
    <w:name w:val="项目符号：一级"/>
    <w:basedOn w:val="86"/>
    <w:next w:val="86"/>
    <w:qFormat/>
    <w:uiPriority w:val="0"/>
  </w:style>
  <w:style w:type="paragraph" w:customStyle="1" w:styleId="201">
    <w:name w:val="正文 A"/>
    <w:qFormat/>
    <w:uiPriority w:val="0"/>
    <w:rPr>
      <w:rFonts w:hint="eastAsia" w:ascii="Arial Unicode MS" w:hAnsi="Arial Unicode MS" w:eastAsia="Arial Unicode MS" w:cs="Arial Unicode MS"/>
      <w:color w:val="000000"/>
      <w:sz w:val="24"/>
      <w:szCs w:val="24"/>
      <w:lang w:val="zh-TW" w:eastAsia="zh-TW" w:bidi="ar-SA"/>
    </w:rPr>
  </w:style>
  <w:style w:type="paragraph" w:customStyle="1" w:styleId="202">
    <w:name w:val="标题5"/>
    <w:basedOn w:val="1"/>
    <w:qFormat/>
    <w:uiPriority w:val="0"/>
    <w:pPr>
      <w:spacing w:before="100" w:beforeAutospacing="1" w:after="100" w:afterAutospacing="1"/>
      <w:ind w:left="283" w:hanging="425"/>
      <w:outlineLvl w:val="4"/>
    </w:pPr>
    <w:rPr>
      <w:rFonts w:ascii="Times New Roman" w:hAnsi="Times New Roman"/>
      <w:szCs w:val="24"/>
    </w:rPr>
  </w:style>
  <w:style w:type="paragraph" w:customStyle="1" w:styleId="203">
    <w:name w:val="列出段落5"/>
    <w:basedOn w:val="1"/>
    <w:unhideWhenUsed/>
    <w:qFormat/>
    <w:uiPriority w:val="99"/>
    <w:pPr>
      <w:ind w:firstLine="420" w:firstLineChars="200"/>
    </w:pPr>
    <w:rPr>
      <w:rFonts w:ascii="Times New Roman" w:hAnsi="Times New Roman"/>
    </w:rPr>
  </w:style>
  <w:style w:type="paragraph" w:customStyle="1" w:styleId="204">
    <w:name w:val="Normal Indent1"/>
    <w:basedOn w:val="1"/>
    <w:qFormat/>
    <w:uiPriority w:val="99"/>
    <w:pPr>
      <w:spacing w:line="360" w:lineRule="auto"/>
      <w:ind w:firstLine="200" w:firstLineChars="200"/>
    </w:pPr>
    <w:rPr>
      <w:rFonts w:ascii="Times New Roman" w:hAnsi="Times New Roman"/>
      <w:sz w:val="24"/>
      <w:szCs w:val="24"/>
    </w:rPr>
  </w:style>
  <w:style w:type="paragraph" w:customStyle="1" w:styleId="205">
    <w:name w:val="图题标题"/>
    <w:basedOn w:val="1"/>
    <w:qFormat/>
    <w:uiPriority w:val="0"/>
    <w:pPr>
      <w:spacing w:line="400" w:lineRule="exact"/>
      <w:jc w:val="center"/>
    </w:pPr>
    <w:rPr>
      <w:rFonts w:ascii="Times New Roman" w:hAnsi="Times New Roman" w:eastAsia="黑体"/>
      <w:sz w:val="24"/>
      <w:szCs w:val="24"/>
    </w:rPr>
  </w:style>
  <w:style w:type="paragraph" w:customStyle="1" w:styleId="206">
    <w:name w:val="无间隔11"/>
    <w:qFormat/>
    <w:uiPriority w:val="0"/>
    <w:pPr>
      <w:widowControl w:val="0"/>
      <w:spacing w:after="200" w:line="300" w:lineRule="auto"/>
      <w:jc w:val="center"/>
    </w:pPr>
    <w:rPr>
      <w:rFonts w:ascii="宋体" w:hAnsi="宋体" w:eastAsia="宋体" w:cs="Times New Roman"/>
      <w:kern w:val="2"/>
      <w:sz w:val="24"/>
      <w:szCs w:val="21"/>
      <w:lang w:val="en-US" w:eastAsia="zh-CN" w:bidi="ar-SA"/>
    </w:rPr>
  </w:style>
  <w:style w:type="paragraph" w:customStyle="1" w:styleId="207">
    <w:name w:val="列出段落11"/>
    <w:basedOn w:val="1"/>
    <w:qFormat/>
    <w:uiPriority w:val="99"/>
    <w:pPr>
      <w:spacing w:after="200" w:line="276" w:lineRule="auto"/>
      <w:ind w:firstLine="420" w:firstLineChars="200"/>
    </w:pPr>
  </w:style>
  <w:style w:type="paragraph" w:customStyle="1" w:styleId="208">
    <w:name w:val="修订2"/>
    <w: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209">
    <w:name w:val="NormalCharacter"/>
    <w:qFormat/>
    <w:uiPriority w:val="0"/>
  </w:style>
  <w:style w:type="character" w:customStyle="1" w:styleId="210">
    <w:name w:val="UserStyle_26"/>
    <w:link w:val="211"/>
    <w:qFormat/>
    <w:uiPriority w:val="0"/>
    <w:rPr>
      <w:szCs w:val="20"/>
    </w:rPr>
  </w:style>
  <w:style w:type="paragraph" w:customStyle="1" w:styleId="211">
    <w:name w:val="NormalIndent"/>
    <w:basedOn w:val="1"/>
    <w:link w:val="210"/>
    <w:qFormat/>
    <w:uiPriority w:val="0"/>
    <w:pPr>
      <w:widowControl/>
      <w:spacing w:after="200" w:line="276" w:lineRule="auto"/>
      <w:ind w:firstLine="420"/>
      <w:textAlignment w:val="baseline"/>
    </w:pPr>
    <w:rPr>
      <w:rFonts w:asciiTheme="minorHAnsi" w:hAnsiTheme="minorHAnsi" w:eastAsiaTheme="minorEastAsia" w:cstheme="minorBidi"/>
      <w:szCs w:val="20"/>
    </w:rPr>
  </w:style>
  <w:style w:type="paragraph" w:customStyle="1" w:styleId="212">
    <w:name w:val="HtmlNormal"/>
    <w:basedOn w:val="1"/>
    <w:qFormat/>
    <w:uiPriority w:val="0"/>
    <w:pPr>
      <w:widowControl/>
      <w:spacing w:before="100" w:beforeAutospacing="1" w:after="100" w:afterAutospacing="1" w:line="276" w:lineRule="auto"/>
      <w:jc w:val="left"/>
      <w:textAlignment w:val="baseline"/>
    </w:pPr>
    <w:rPr>
      <w:rFonts w:ascii="宋体" w:hAnsi="宋体"/>
      <w:kern w:val="0"/>
      <w:sz w:val="24"/>
      <w:szCs w:val="24"/>
    </w:rPr>
  </w:style>
  <w:style w:type="paragraph" w:customStyle="1" w:styleId="213">
    <w:name w:val="Heading1"/>
    <w:basedOn w:val="1"/>
    <w:next w:val="1"/>
    <w:qFormat/>
    <w:uiPriority w:val="0"/>
    <w:pPr>
      <w:keepNext/>
      <w:keepLines/>
      <w:widowControl/>
      <w:spacing w:before="300" w:after="200" w:line="276" w:lineRule="auto"/>
      <w:textAlignment w:val="baseline"/>
    </w:pPr>
    <w:rPr>
      <w:rFonts w:eastAsia="黑体"/>
      <w:kern w:val="44"/>
      <w:sz w:val="44"/>
      <w:szCs w:val="44"/>
    </w:rPr>
  </w:style>
  <w:style w:type="paragraph" w:customStyle="1" w:styleId="214">
    <w:name w:val="UserStyle_33"/>
    <w:basedOn w:val="1"/>
    <w:qFormat/>
    <w:uiPriority w:val="0"/>
    <w:pPr>
      <w:widowControl/>
      <w:spacing w:after="200" w:line="400" w:lineRule="exact"/>
      <w:ind w:firstLine="200" w:firstLineChars="200"/>
      <w:textAlignment w:val="baseline"/>
    </w:pPr>
    <w:rPr>
      <w:rFonts w:ascii="Times New Roman" w:hAnsi="Times New Roman"/>
      <w:sz w:val="24"/>
      <w:szCs w:val="24"/>
    </w:rPr>
  </w:style>
  <w:style w:type="paragraph" w:customStyle="1" w:styleId="215">
    <w:name w:val="UserStyle_40"/>
    <w:basedOn w:val="1"/>
    <w:qFormat/>
    <w:uiPriority w:val="0"/>
    <w:pPr>
      <w:widowControl/>
      <w:spacing w:after="200" w:line="276" w:lineRule="auto"/>
      <w:ind w:firstLine="420" w:firstLineChars="200"/>
      <w:textAlignment w:val="baseline"/>
    </w:pPr>
    <w:rPr>
      <w:szCs w:val="21"/>
    </w:rPr>
  </w:style>
  <w:style w:type="paragraph" w:customStyle="1" w:styleId="216">
    <w:name w:val="Heading2"/>
    <w:basedOn w:val="1"/>
    <w:next w:val="1"/>
    <w:qFormat/>
    <w:uiPriority w:val="0"/>
    <w:pPr>
      <w:widowControl/>
      <w:tabs>
        <w:tab w:val="right" w:leader="dot" w:pos="9000"/>
      </w:tabs>
      <w:spacing w:after="200" w:line="276" w:lineRule="auto"/>
      <w:ind w:right="-686" w:rightChars="-245"/>
      <w:textAlignment w:val="baseline"/>
    </w:pPr>
    <w:rPr>
      <w:szCs w:val="21"/>
    </w:rPr>
  </w:style>
  <w:style w:type="character" w:customStyle="1" w:styleId="217">
    <w:name w:val="UserStyle_9"/>
    <w:basedOn w:val="43"/>
    <w:link w:val="218"/>
    <w:qFormat/>
    <w:uiPriority w:val="0"/>
    <w:rPr>
      <w:sz w:val="28"/>
    </w:rPr>
  </w:style>
  <w:style w:type="paragraph" w:customStyle="1" w:styleId="218">
    <w:name w:val="BodyText1I"/>
    <w:basedOn w:val="219"/>
    <w:link w:val="217"/>
    <w:qFormat/>
    <w:uiPriority w:val="0"/>
    <w:pPr>
      <w:widowControl/>
      <w:ind w:firstLine="420" w:firstLineChars="100"/>
      <w:textAlignment w:val="baseline"/>
    </w:pPr>
    <w:rPr>
      <w:rFonts w:asciiTheme="minorHAnsi" w:hAnsiTheme="minorHAnsi" w:eastAsiaTheme="minorEastAsia" w:cstheme="minorBidi"/>
      <w:sz w:val="28"/>
    </w:rPr>
  </w:style>
  <w:style w:type="paragraph" w:customStyle="1" w:styleId="219">
    <w:name w:val="BodyText"/>
    <w:basedOn w:val="1"/>
    <w:qFormat/>
    <w:uiPriority w:val="0"/>
    <w:pPr>
      <w:spacing w:after="120" w:line="276" w:lineRule="auto"/>
    </w:pPr>
  </w:style>
  <w:style w:type="character" w:customStyle="1" w:styleId="220">
    <w:name w:val="15"/>
    <w:basedOn w:val="43"/>
    <w:qFormat/>
    <w:uiPriority w:val="0"/>
    <w:rPr>
      <w:rFonts w:hint="default" w:ascii="Calibri" w:hAnsi="Calibri"/>
    </w:rPr>
  </w:style>
  <w:style w:type="paragraph" w:customStyle="1" w:styleId="221">
    <w:name w:val="_Style 2"/>
    <w:basedOn w:val="1"/>
    <w:qFormat/>
    <w:uiPriority w:val="0"/>
    <w:pPr>
      <w:spacing w:after="200" w:line="276" w:lineRule="auto"/>
      <w:ind w:firstLine="420" w:firstLineChars="200"/>
    </w:pPr>
  </w:style>
  <w:style w:type="paragraph" w:customStyle="1" w:styleId="222">
    <w:name w:val="正文2"/>
    <w:qFormat/>
    <w:uiPriority w:val="0"/>
    <w:pPr>
      <w:spacing w:after="200" w:line="276" w:lineRule="auto"/>
      <w:jc w:val="both"/>
    </w:pPr>
    <w:rPr>
      <w:rFonts w:ascii="Calibri" w:hAnsi="Calibri" w:eastAsia="宋体" w:cs="Calibri"/>
      <w:kern w:val="2"/>
      <w:sz w:val="21"/>
      <w:szCs w:val="21"/>
      <w:lang w:val="en-US" w:eastAsia="zh-CN" w:bidi="ar-SA"/>
    </w:rPr>
  </w:style>
  <w:style w:type="table" w:customStyle="1" w:styleId="223">
    <w:name w:val="网格型2"/>
    <w:basedOn w:val="41"/>
    <w:qFormat/>
    <w:uiPriority w:val="0"/>
    <w:pPr>
      <w:widowControl w:val="0"/>
      <w:spacing w:after="200" w:line="276"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标准文本 Char Char"/>
    <w:link w:val="225"/>
    <w:qFormat/>
    <w:uiPriority w:val="0"/>
    <w:rPr>
      <w:sz w:val="24"/>
    </w:rPr>
  </w:style>
  <w:style w:type="paragraph" w:customStyle="1" w:styleId="225">
    <w:name w:val="标准文本"/>
    <w:basedOn w:val="1"/>
    <w:link w:val="224"/>
    <w:qFormat/>
    <w:uiPriority w:val="0"/>
    <w:pPr>
      <w:spacing w:after="200" w:line="360" w:lineRule="auto"/>
      <w:ind w:firstLine="480" w:firstLineChars="200"/>
    </w:pPr>
    <w:rPr>
      <w:rFonts w:asciiTheme="minorHAnsi" w:hAnsiTheme="minorHAnsi" w:eastAsiaTheme="minorEastAsia" w:cstheme="minorBidi"/>
      <w:sz w:val="24"/>
    </w:rPr>
  </w:style>
  <w:style w:type="character" w:customStyle="1" w:styleId="226">
    <w:name w:val="批注文字 Char1"/>
    <w:basedOn w:val="43"/>
    <w:semiHidden/>
    <w:qFormat/>
    <w:locked/>
    <w:uiPriority w:val="0"/>
    <w:rPr>
      <w:rFonts w:ascii="Calibri" w:hAnsi="Calibri" w:eastAsia="宋体" w:cs="Times New Roman"/>
    </w:rPr>
  </w:style>
  <w:style w:type="paragraph" w:customStyle="1" w:styleId="227">
    <w:name w:val="正文360首行缩进"/>
    <w:basedOn w:val="1"/>
    <w:link w:val="228"/>
    <w:qFormat/>
    <w:uiPriority w:val="0"/>
    <w:pPr>
      <w:widowControl/>
      <w:spacing w:before="120" w:line="300" w:lineRule="auto"/>
      <w:ind w:firstLine="200" w:firstLineChars="200"/>
      <w:jc w:val="left"/>
    </w:pPr>
    <w:rPr>
      <w:rFonts w:ascii="Times New Roman" w:hAnsi="Times New Roman"/>
      <w:sz w:val="24"/>
      <w:szCs w:val="20"/>
    </w:rPr>
  </w:style>
  <w:style w:type="character" w:customStyle="1" w:styleId="228">
    <w:name w:val="正文360首行缩进 Char"/>
    <w:basedOn w:val="43"/>
    <w:link w:val="227"/>
    <w:qFormat/>
    <w:uiPriority w:val="0"/>
    <w:rPr>
      <w:rFonts w:ascii="Times New Roman" w:hAnsi="Times New Roman" w:eastAsia="宋体" w:cs="Times New Roman"/>
      <w:sz w:val="24"/>
      <w:szCs w:val="20"/>
    </w:rPr>
  </w:style>
  <w:style w:type="paragraph" w:customStyle="1" w:styleId="229">
    <w:name w:val="列出段落1_0"/>
    <w:basedOn w:val="1"/>
    <w:qFormat/>
    <w:uiPriority w:val="0"/>
    <w:pPr>
      <w:ind w:firstLine="420" w:firstLineChars="200"/>
    </w:pPr>
    <w:rPr>
      <w:szCs w:val="21"/>
    </w:rPr>
  </w:style>
  <w:style w:type="character" w:customStyle="1" w:styleId="230">
    <w:name w:val="font21"/>
    <w:qFormat/>
    <w:uiPriority w:val="0"/>
    <w:rPr>
      <w:rFonts w:hint="default" w:ascii="Arial" w:hAnsi="Arial" w:cs="Arial"/>
      <w:color w:val="000000"/>
      <w:sz w:val="18"/>
      <w:szCs w:val="18"/>
      <w:u w:val="none"/>
    </w:rPr>
  </w:style>
  <w:style w:type="character" w:customStyle="1" w:styleId="231">
    <w:name w:val="_Style 8"/>
    <w:qFormat/>
    <w:uiPriority w:val="32"/>
    <w:rPr>
      <w:b/>
      <w:bCs/>
      <w:smallCaps/>
      <w:color w:val="C0504D"/>
      <w:spacing w:val="5"/>
      <w:u w:val="single"/>
    </w:rPr>
  </w:style>
  <w:style w:type="character" w:customStyle="1" w:styleId="232">
    <w:name w:val="l-btn-icon-left"/>
    <w:basedOn w:val="43"/>
    <w:qFormat/>
    <w:uiPriority w:val="0"/>
  </w:style>
  <w:style w:type="character" w:customStyle="1" w:styleId="233">
    <w:name w:val="l-btn-icon-left1"/>
    <w:basedOn w:val="43"/>
    <w:qFormat/>
    <w:uiPriority w:val="0"/>
  </w:style>
  <w:style w:type="character" w:customStyle="1" w:styleId="234">
    <w:name w:val="l-btn-empty"/>
    <w:basedOn w:val="43"/>
    <w:qFormat/>
    <w:uiPriority w:val="0"/>
  </w:style>
  <w:style w:type="character" w:customStyle="1" w:styleId="235">
    <w:name w:val="l-btn-icon-right"/>
    <w:basedOn w:val="43"/>
    <w:qFormat/>
    <w:uiPriority w:val="0"/>
  </w:style>
  <w:style w:type="character" w:customStyle="1" w:styleId="236">
    <w:name w:val="l-btn-left2"/>
    <w:basedOn w:val="43"/>
    <w:qFormat/>
    <w:uiPriority w:val="0"/>
  </w:style>
  <w:style w:type="character" w:customStyle="1" w:styleId="237">
    <w:name w:val="l-btn-left3"/>
    <w:basedOn w:val="43"/>
    <w:qFormat/>
    <w:uiPriority w:val="0"/>
  </w:style>
  <w:style w:type="character" w:customStyle="1" w:styleId="238">
    <w:name w:val="l-btn-left4"/>
    <w:basedOn w:val="43"/>
    <w:qFormat/>
    <w:uiPriority w:val="0"/>
  </w:style>
  <w:style w:type="character" w:customStyle="1" w:styleId="239">
    <w:name w:val="l-btn-left5"/>
    <w:basedOn w:val="43"/>
    <w:qFormat/>
    <w:uiPriority w:val="0"/>
  </w:style>
  <w:style w:type="character" w:customStyle="1" w:styleId="240">
    <w:name w:val="l-btn-left6"/>
    <w:basedOn w:val="43"/>
    <w:qFormat/>
    <w:uiPriority w:val="0"/>
  </w:style>
  <w:style w:type="character" w:customStyle="1" w:styleId="241">
    <w:name w:val="l-btn-text"/>
    <w:basedOn w:val="43"/>
    <w:qFormat/>
    <w:uiPriority w:val="0"/>
    <w:rPr>
      <w:vertAlign w:val="baseline"/>
    </w:rPr>
  </w:style>
  <w:style w:type="character" w:customStyle="1" w:styleId="242">
    <w:name w:val="l-btn-text1"/>
    <w:basedOn w:val="43"/>
    <w:qFormat/>
    <w:uiPriority w:val="0"/>
    <w:rPr>
      <w:vertAlign w:val="baseline"/>
    </w:rPr>
  </w:style>
  <w:style w:type="character" w:customStyle="1" w:styleId="243">
    <w:name w:val="ajaxtitle"/>
    <w:basedOn w:val="43"/>
    <w:qFormat/>
    <w:uiPriority w:val="0"/>
  </w:style>
  <w:style w:type="character" w:customStyle="1" w:styleId="244">
    <w:name w:val="json_key"/>
    <w:basedOn w:val="43"/>
    <w:qFormat/>
    <w:uiPriority w:val="0"/>
  </w:style>
  <w:style w:type="character" w:customStyle="1" w:styleId="245">
    <w:name w:val="json_string"/>
    <w:basedOn w:val="43"/>
    <w:qFormat/>
    <w:uiPriority w:val="0"/>
  </w:style>
  <w:style w:type="paragraph" w:customStyle="1" w:styleId="246">
    <w:name w:val="Normal_59"/>
    <w:qFormat/>
    <w:uiPriority w:val="0"/>
    <w:pPr>
      <w:spacing w:before="120" w:after="240" w:line="276" w:lineRule="auto"/>
      <w:jc w:val="both"/>
    </w:pPr>
    <w:rPr>
      <w:rFonts w:ascii="Times New Roman" w:hAnsi="Times New Roman" w:eastAsia="Calibri" w:cs="Times New Roman"/>
      <w:sz w:val="22"/>
      <w:szCs w:val="22"/>
      <w:lang w:val="ru-RU" w:eastAsia="en-US" w:bidi="ar-SA"/>
    </w:rPr>
  </w:style>
  <w:style w:type="paragraph" w:customStyle="1" w:styleId="247">
    <w:name w:val="Char1 Char Char Char Char Char Char_0"/>
    <w:basedOn w:val="1"/>
    <w:qFormat/>
    <w:uiPriority w:val="0"/>
    <w:rPr>
      <w:rFonts w:ascii="Tahoma" w:hAnsi="Tahoma"/>
      <w:sz w:val="24"/>
      <w:szCs w:val="20"/>
    </w:rPr>
  </w:style>
  <w:style w:type="paragraph" w:customStyle="1" w:styleId="248">
    <w:name w:val="样式 标题 2 + Times New Roman 四号 非加粗 段前: 5 磅 段后: 0 磅 行距: 固定值 20..."/>
    <w:basedOn w:val="5"/>
    <w:qFormat/>
    <w:uiPriority w:val="0"/>
    <w:pPr>
      <w:numPr>
        <w:ilvl w:val="0"/>
        <w:numId w:val="0"/>
      </w:numPr>
      <w:spacing w:before="100" w:line="400" w:lineRule="exact"/>
      <w:jc w:val="both"/>
    </w:pPr>
    <w:rPr>
      <w:rFonts w:ascii="Times New Roman" w:hAnsi="Times New Roman" w:eastAsia="黑体"/>
      <w:b w:val="0"/>
      <w:szCs w:val="32"/>
    </w:rPr>
  </w:style>
  <w:style w:type="paragraph" w:customStyle="1" w:styleId="249">
    <w:name w:val="列出段落111"/>
    <w:basedOn w:val="1"/>
    <w:qFormat/>
    <w:uiPriority w:val="99"/>
    <w:pPr>
      <w:ind w:firstLine="420" w:firstLineChars="200"/>
    </w:pPr>
    <w:rPr>
      <w:rFonts w:ascii="Times New Roman" w:hAnsi="Times New Roman"/>
    </w:rPr>
  </w:style>
  <w:style w:type="character" w:customStyle="1" w:styleId="250">
    <w:name w:val="标题 2 Char1"/>
    <w:basedOn w:val="43"/>
    <w:semiHidden/>
    <w:qFormat/>
    <w:uiPriority w:val="99"/>
    <w:rPr>
      <w:rFonts w:hint="default" w:asciiTheme="majorHAnsi" w:hAnsiTheme="majorHAnsi" w:eastAsiaTheme="majorEastAsia" w:cstheme="majorBidi"/>
      <w:b/>
      <w:bCs/>
      <w:kern w:val="2"/>
      <w:sz w:val="32"/>
      <w:szCs w:val="32"/>
    </w:rPr>
  </w:style>
  <w:style w:type="character" w:customStyle="1" w:styleId="251">
    <w:name w:val="标题 3 Char1"/>
    <w:basedOn w:val="43"/>
    <w:semiHidden/>
    <w:qFormat/>
    <w:uiPriority w:val="99"/>
    <w:rPr>
      <w:rFonts w:hint="default" w:ascii="Calibri" w:hAnsi="Calibri"/>
      <w:b/>
      <w:bCs/>
      <w:kern w:val="2"/>
      <w:sz w:val="32"/>
      <w:szCs w:val="32"/>
    </w:rPr>
  </w:style>
  <w:style w:type="character" w:customStyle="1" w:styleId="252">
    <w:name w:val="标题 4 Char1"/>
    <w:basedOn w:val="43"/>
    <w:semiHidden/>
    <w:qFormat/>
    <w:uiPriority w:val="9"/>
    <w:rPr>
      <w:rFonts w:hint="default" w:asciiTheme="majorHAnsi" w:hAnsiTheme="majorHAnsi" w:eastAsiaTheme="majorEastAsia" w:cstheme="majorBidi"/>
      <w:b/>
      <w:bCs/>
      <w:kern w:val="2"/>
      <w:sz w:val="28"/>
      <w:szCs w:val="28"/>
    </w:rPr>
  </w:style>
  <w:style w:type="character" w:customStyle="1" w:styleId="253">
    <w:name w:val="正文文本缩进 2 Char1"/>
    <w:basedOn w:val="43"/>
    <w:semiHidden/>
    <w:qFormat/>
    <w:uiPriority w:val="99"/>
    <w:rPr>
      <w:rFonts w:hint="default" w:ascii="Calibri" w:hAnsi="Calibri" w:cs="Calibri"/>
      <w:kern w:val="2"/>
      <w:sz w:val="21"/>
      <w:szCs w:val="22"/>
    </w:rPr>
  </w:style>
  <w:style w:type="character" w:customStyle="1" w:styleId="254">
    <w:name w:val="正文文本缩进 Char1"/>
    <w:basedOn w:val="43"/>
    <w:semiHidden/>
    <w:qFormat/>
    <w:uiPriority w:val="99"/>
    <w:rPr>
      <w:rFonts w:hint="default" w:ascii="Calibri" w:hAnsi="Calibri" w:cs="Calibri"/>
      <w:kern w:val="2"/>
      <w:sz w:val="21"/>
      <w:szCs w:val="22"/>
    </w:rPr>
  </w:style>
  <w:style w:type="character" w:customStyle="1" w:styleId="255">
    <w:name w:val="正文文本 3 Char1"/>
    <w:basedOn w:val="43"/>
    <w:semiHidden/>
    <w:qFormat/>
    <w:uiPriority w:val="99"/>
    <w:rPr>
      <w:rFonts w:hint="default" w:ascii="Calibri" w:hAnsi="Calibri" w:cs="Calibri"/>
      <w:kern w:val="2"/>
      <w:sz w:val="16"/>
      <w:szCs w:val="16"/>
    </w:rPr>
  </w:style>
  <w:style w:type="character" w:customStyle="1" w:styleId="256">
    <w:name w:val="正文文本缩进 3 Char1"/>
    <w:basedOn w:val="43"/>
    <w:semiHidden/>
    <w:qFormat/>
    <w:uiPriority w:val="99"/>
    <w:rPr>
      <w:rFonts w:hint="default" w:ascii="Calibri" w:hAnsi="Calibri" w:cs="Calibri"/>
      <w:kern w:val="2"/>
      <w:sz w:val="16"/>
      <w:szCs w:val="16"/>
    </w:rPr>
  </w:style>
  <w:style w:type="character" w:customStyle="1" w:styleId="257">
    <w:name w:val="批注框文本 Char1"/>
    <w:basedOn w:val="43"/>
    <w:semiHidden/>
    <w:qFormat/>
    <w:uiPriority w:val="99"/>
    <w:rPr>
      <w:rFonts w:hint="default" w:ascii="Calibri" w:hAnsi="Calibri" w:cs="Calibri"/>
      <w:kern w:val="2"/>
      <w:sz w:val="18"/>
      <w:szCs w:val="18"/>
    </w:rPr>
  </w:style>
  <w:style w:type="character" w:customStyle="1" w:styleId="258">
    <w:name w:val="文档结构图 Char1"/>
    <w:basedOn w:val="43"/>
    <w:semiHidden/>
    <w:qFormat/>
    <w:uiPriority w:val="99"/>
    <w:rPr>
      <w:rFonts w:hint="eastAsia" w:ascii="宋体" w:hAnsi="Calibri" w:eastAsia="宋体"/>
      <w:kern w:val="2"/>
      <w:sz w:val="18"/>
      <w:szCs w:val="18"/>
    </w:rPr>
  </w:style>
  <w:style w:type="character" w:customStyle="1" w:styleId="259">
    <w:name w:val="页眉 Char1"/>
    <w:basedOn w:val="43"/>
    <w:semiHidden/>
    <w:qFormat/>
    <w:uiPriority w:val="99"/>
    <w:rPr>
      <w:rFonts w:hint="default" w:ascii="Calibri" w:hAnsi="Calibri" w:cs="Calibri"/>
      <w:kern w:val="2"/>
      <w:sz w:val="18"/>
      <w:szCs w:val="18"/>
    </w:rPr>
  </w:style>
  <w:style w:type="character" w:customStyle="1" w:styleId="260">
    <w:name w:val="日期 Char1"/>
    <w:basedOn w:val="43"/>
    <w:semiHidden/>
    <w:qFormat/>
    <w:uiPriority w:val="99"/>
    <w:rPr>
      <w:rFonts w:hint="default" w:ascii="Calibri" w:hAnsi="Calibri" w:cs="Calibri"/>
      <w:kern w:val="2"/>
      <w:sz w:val="21"/>
      <w:szCs w:val="22"/>
    </w:rPr>
  </w:style>
  <w:style w:type="character" w:customStyle="1" w:styleId="261">
    <w:name w:val="正文文本 Char3"/>
    <w:basedOn w:val="43"/>
    <w:semiHidden/>
    <w:qFormat/>
    <w:uiPriority w:val="99"/>
    <w:rPr>
      <w:rFonts w:hint="default" w:ascii="Calibri" w:hAnsi="Calibri" w:cs="Calibri"/>
      <w:kern w:val="2"/>
      <w:sz w:val="21"/>
      <w:szCs w:val="22"/>
    </w:rPr>
  </w:style>
  <w:style w:type="character" w:customStyle="1" w:styleId="262">
    <w:name w:val="纯文本 Char2"/>
    <w:basedOn w:val="43"/>
    <w:semiHidden/>
    <w:qFormat/>
    <w:uiPriority w:val="99"/>
    <w:rPr>
      <w:rFonts w:hint="eastAsia" w:ascii="宋体" w:hAnsi="Courier New" w:eastAsia="宋体" w:cs="Courier New"/>
      <w:kern w:val="2"/>
      <w:sz w:val="21"/>
      <w:szCs w:val="21"/>
    </w:rPr>
  </w:style>
  <w:style w:type="character" w:customStyle="1" w:styleId="263">
    <w:name w:val="正文首行缩进 Char1"/>
    <w:basedOn w:val="261"/>
    <w:semiHidden/>
    <w:qFormat/>
    <w:uiPriority w:val="99"/>
    <w:rPr>
      <w:rFonts w:hint="default" w:ascii="Calibri" w:hAnsi="Calibri" w:cs="Calibri"/>
      <w:kern w:val="2"/>
      <w:sz w:val="21"/>
      <w:szCs w:val="22"/>
    </w:rPr>
  </w:style>
  <w:style w:type="character" w:customStyle="1" w:styleId="264">
    <w:name w:val="正文文本 2 Char1"/>
    <w:basedOn w:val="43"/>
    <w:semiHidden/>
    <w:qFormat/>
    <w:uiPriority w:val="99"/>
    <w:rPr>
      <w:rFonts w:hint="default" w:ascii="Calibri" w:hAnsi="Calibri" w:cs="Calibri"/>
      <w:kern w:val="2"/>
      <w:sz w:val="21"/>
      <w:szCs w:val="22"/>
    </w:rPr>
  </w:style>
  <w:style w:type="character" w:customStyle="1" w:styleId="265">
    <w:name w:val="副标题 Char2"/>
    <w:basedOn w:val="43"/>
    <w:qFormat/>
    <w:uiPriority w:val="11"/>
    <w:rPr>
      <w:rFonts w:hint="default" w:asciiTheme="majorHAnsi" w:hAnsiTheme="majorHAnsi" w:cstheme="majorBidi"/>
      <w:b/>
      <w:bCs/>
      <w:kern w:val="28"/>
      <w:sz w:val="32"/>
      <w:szCs w:val="32"/>
    </w:rPr>
  </w:style>
  <w:style w:type="paragraph" w:customStyle="1" w:styleId="266">
    <w:name w:val="List Paragraph1"/>
    <w:basedOn w:val="1"/>
    <w:qFormat/>
    <w:uiPriority w:val="0"/>
    <w:pPr>
      <w:ind w:firstLine="420" w:firstLineChars="200"/>
    </w:pPr>
    <w:rPr>
      <w:rFonts w:ascii="Times New Roman" w:hAnsi="Times New Roman"/>
      <w:szCs w:val="24"/>
    </w:rPr>
  </w:style>
  <w:style w:type="character" w:customStyle="1" w:styleId="267">
    <w:name w:val="列出段落 Char"/>
    <w:link w:val="157"/>
    <w:qFormat/>
    <w:uiPriority w:val="99"/>
    <w:rPr>
      <w:rFonts w:ascii="Times New Roman" w:hAnsi="Times New Roman" w:eastAsia="宋体" w:cs="Times New Roman"/>
      <w:kern w:val="0"/>
      <w:sz w:val="24"/>
      <w:szCs w:val="24"/>
    </w:rPr>
  </w:style>
  <w:style w:type="paragraph" w:customStyle="1" w:styleId="268">
    <w:name w:val="修订3"/>
    <w:hidden/>
    <w:unhideWhenUsed/>
    <w:qFormat/>
    <w:uiPriority w:val="99"/>
    <w:rPr>
      <w:rFonts w:ascii="Calibri" w:hAnsi="Calibri" w:eastAsia="宋体" w:cs="Times New Roman"/>
      <w:kern w:val="2"/>
      <w:sz w:val="21"/>
      <w:szCs w:val="22"/>
      <w:lang w:val="en-US" w:eastAsia="zh-CN" w:bidi="ar-SA"/>
    </w:rPr>
  </w:style>
  <w:style w:type="paragraph" w:customStyle="1" w:styleId="269">
    <w:name w:val="正文缩进2字符"/>
    <w:link w:val="270"/>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70">
    <w:name w:val="正文缩进2字符 Char"/>
    <w:link w:val="269"/>
    <w:qFormat/>
    <w:uiPriority w:val="0"/>
    <w:rPr>
      <w:rFonts w:ascii="Calibri" w:hAnsi="Calibri" w:eastAsia="宋体" w:cs="Times New Roman"/>
      <w:kern w:val="0"/>
      <w:sz w:val="24"/>
      <w:szCs w:val="24"/>
    </w:rPr>
  </w:style>
  <w:style w:type="paragraph" w:customStyle="1" w:styleId="271">
    <w:name w:val="彩色列表 - 强调文字颜色"/>
    <w:basedOn w:val="1"/>
    <w:qFormat/>
    <w:uiPriority w:val="99"/>
    <w:pPr>
      <w:spacing w:after="200" w:line="276" w:lineRule="auto"/>
      <w:ind w:firstLine="420" w:firstLineChars="200"/>
    </w:pPr>
    <w:rPr>
      <w:rFonts w:eastAsiaTheme="minorEastAsia" w:cstheme="minorBidi"/>
    </w:rPr>
  </w:style>
  <w:style w:type="character" w:customStyle="1" w:styleId="272">
    <w:name w:val="qowt-font2"/>
    <w:basedOn w:val="43"/>
    <w:qFormat/>
    <w:uiPriority w:val="0"/>
  </w:style>
  <w:style w:type="table" w:customStyle="1" w:styleId="273">
    <w:name w:val="网格型1"/>
    <w:basedOn w:val="41"/>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4">
    <w:name w:val="_Style 1"/>
    <w:basedOn w:val="1"/>
    <w:qFormat/>
    <w:uiPriority w:val="0"/>
    <w:pPr>
      <w:ind w:firstLine="420" w:firstLineChars="200"/>
    </w:pPr>
    <w:rPr>
      <w:kern w:val="0"/>
      <w:sz w:val="34"/>
    </w:rPr>
  </w:style>
  <w:style w:type="character" w:customStyle="1" w:styleId="275">
    <w:name w:val="CD正文 Char"/>
    <w:link w:val="199"/>
    <w:qFormat/>
    <w:uiPriority w:val="0"/>
    <w:rPr>
      <w:rFonts w:ascii="Times New Roman" w:hAnsi="Times New Roman" w:eastAsia="宋体" w:cs="Times New Roman"/>
      <w:sz w:val="24"/>
      <w:szCs w:val="24"/>
    </w:rPr>
  </w:style>
  <w:style w:type="character" w:customStyle="1" w:styleId="276">
    <w:name w:val="正文缩进 Char2"/>
    <w:qFormat/>
    <w:uiPriority w:val="0"/>
    <w:rPr>
      <w:szCs w:val="24"/>
    </w:rPr>
  </w:style>
  <w:style w:type="character" w:customStyle="1" w:styleId="277">
    <w:name w:val="H4 Char"/>
    <w:qFormat/>
    <w:uiPriority w:val="0"/>
    <w:rPr>
      <w:rFonts w:ascii="Arial" w:hAnsi="Arial" w:eastAsia="宋体"/>
      <w:b/>
      <w:kern w:val="2"/>
      <w:sz w:val="28"/>
      <w:lang w:val="en-US" w:eastAsia="zh-CN"/>
    </w:rPr>
  </w:style>
  <w:style w:type="paragraph" w:customStyle="1" w:styleId="278">
    <w:name w:val="列出段落6"/>
    <w:basedOn w:val="1"/>
    <w:qFormat/>
    <w:uiPriority w:val="99"/>
    <w:pPr>
      <w:ind w:firstLine="420" w:firstLineChars="200"/>
    </w:pPr>
  </w:style>
  <w:style w:type="paragraph" w:customStyle="1" w:styleId="279">
    <w:name w:val="修订4"/>
    <w:hidden/>
    <w:semiHidden/>
    <w:qFormat/>
    <w:uiPriority w:val="99"/>
    <w:rPr>
      <w:rFonts w:ascii="Calibri" w:hAnsi="Calibri" w:eastAsia="宋体" w:cs="Times New Roman"/>
      <w:kern w:val="2"/>
      <w:sz w:val="21"/>
      <w:szCs w:val="22"/>
      <w:lang w:val="en-US" w:eastAsia="zh-CN" w:bidi="ar-SA"/>
    </w:rPr>
  </w:style>
  <w:style w:type="paragraph" w:customStyle="1" w:styleId="280">
    <w:name w:val="S2"/>
    <w:basedOn w:val="1"/>
    <w:next w:val="1"/>
    <w:qFormat/>
    <w:uiPriority w:val="0"/>
    <w:pPr>
      <w:spacing w:after="50" w:afterLines="50"/>
      <w:jc w:val="center"/>
    </w:pPr>
    <w:rPr>
      <w:rFonts w:ascii="Times New Roman" w:hAnsi="Times New Roman"/>
      <w:b/>
      <w:sz w:val="28"/>
    </w:rPr>
  </w:style>
  <w:style w:type="paragraph" w:customStyle="1" w:styleId="281">
    <w:name w:val="msonormalcxspmiddle"/>
    <w:basedOn w:val="1"/>
    <w:qFormat/>
    <w:uiPriority w:val="0"/>
    <w:pPr>
      <w:spacing w:before="100" w:beforeAutospacing="1" w:after="100" w:afterAutospacing="1"/>
      <w:jc w:val="left"/>
    </w:pPr>
    <w:rPr>
      <w:rFonts w:ascii="Times New Roman" w:hAnsi="Times New Roman" w:eastAsiaTheme="minorEastAsia"/>
      <w:sz w:val="24"/>
      <w:szCs w:val="24"/>
    </w:rPr>
  </w:style>
  <w:style w:type="paragraph" w:customStyle="1" w:styleId="282">
    <w:name w:val="列表段落1"/>
    <w:basedOn w:val="1"/>
    <w:qFormat/>
    <w:uiPriority w:val="0"/>
    <w:pPr>
      <w:ind w:firstLine="420" w:firstLineChars="200"/>
    </w:pPr>
    <w:rPr>
      <w:rFonts w:ascii="Times New Roman" w:hAnsi="Times New Roman" w:eastAsiaTheme="minorEastAsia"/>
      <w:szCs w:val="24"/>
    </w:rPr>
  </w:style>
  <w:style w:type="character" w:customStyle="1" w:styleId="283">
    <w:name w:val="Default Char Char"/>
    <w:link w:val="156"/>
    <w:qFormat/>
    <w:uiPriority w:val="0"/>
    <w:rPr>
      <w:rFonts w:ascii="宋体" w:hAnsi="Calibri" w:eastAsia="宋体" w:cs="宋体"/>
      <w:color w:val="000000"/>
      <w:sz w:val="24"/>
      <w:szCs w:val="24"/>
    </w:rPr>
  </w:style>
  <w:style w:type="character" w:customStyle="1" w:styleId="284">
    <w:name w:val="fontstyle01"/>
    <w:qFormat/>
    <w:uiPriority w:val="0"/>
    <w:rPr>
      <w:rFonts w:hint="eastAsia" w:ascii="宋体" w:hAnsi="宋体" w:eastAsia="宋体"/>
      <w:color w:val="000000"/>
      <w:sz w:val="22"/>
      <w:szCs w:val="22"/>
    </w:rPr>
  </w:style>
  <w:style w:type="paragraph" w:customStyle="1" w:styleId="285">
    <w:name w:val="GW-正文"/>
    <w:basedOn w:val="1"/>
    <w:qFormat/>
    <w:uiPriority w:val="0"/>
    <w:pPr>
      <w:spacing w:line="360" w:lineRule="auto"/>
      <w:ind w:firstLine="200" w:firstLineChars="200"/>
    </w:pPr>
    <w:rPr>
      <w:rFonts w:hint="eastAsia" w:ascii="仿宋_GB2312" w:eastAsia="仿宋_GB2312" w:cs="仿宋_GB2312"/>
      <w:sz w:val="24"/>
    </w:rPr>
  </w:style>
  <w:style w:type="paragraph" w:customStyle="1" w:styleId="286">
    <w:name w:val="_Style 53"/>
    <w:basedOn w:val="1"/>
    <w:next w:val="151"/>
    <w:qFormat/>
    <w:uiPriority w:val="34"/>
    <w:pPr>
      <w:ind w:firstLine="420" w:firstLineChars="200"/>
    </w:pPr>
  </w:style>
  <w:style w:type="paragraph" w:customStyle="1" w:styleId="287">
    <w:name w:val="Table Paragraph"/>
    <w:basedOn w:val="1"/>
    <w:qFormat/>
    <w:uiPriority w:val="1"/>
    <w:rPr>
      <w:rFonts w:ascii="宋体" w:hAnsi="宋体" w:eastAsia="宋体" w:cs="宋体"/>
      <w:lang w:val="zh-CN" w:eastAsia="zh-CN" w:bidi="zh-CN"/>
    </w:rPr>
  </w:style>
  <w:style w:type="paragraph" w:customStyle="1" w:styleId="288">
    <w:name w:val="List Paragraph"/>
    <w:basedOn w:val="1"/>
    <w:qFormat/>
    <w:uiPriority w:val="1"/>
    <w:pPr>
      <w:spacing w:before="43"/>
      <w:ind w:left="319" w:firstLine="42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FC25A-9A7C-4C4A-AD68-50F4CC6A30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37878</Words>
  <Characters>39918</Characters>
  <Lines>195</Lines>
  <Paragraphs>55</Paragraphs>
  <TotalTime>31</TotalTime>
  <ScaleCrop>false</ScaleCrop>
  <LinksUpToDate>false</LinksUpToDate>
  <CharactersWithSpaces>40803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2021-01-27T03:21:00Z</dcterms:created>
  <dc:creator>郑思媛</dc:creator>
  <cp:lastModifiedBy>50141</cp:lastModifiedBy>
  <cp:lastPrinted>2022-01-10T05:21:00Z</cp:lastPrinted>
  <dcterms:modified xsi:type="dcterms:W3CDTF">2022-01-13T03:34:36Z</dcterms:modified>
  <cp:revision>563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300669523_btnclosed</vt:lpwstr>
  </property>
  <property fmtid="{D5CDD505-2E9C-101B-9397-08002B2CF9AE}" pid="4" name="ICV">
    <vt:lpwstr>405D346069C8420BABACF6969AFBFA3E</vt:lpwstr>
  </property>
</Properties>
</file>