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华文中宋" w:hAnsi="华文中宋" w:eastAsia="华文中宋"/>
          <w:spacing w:val="20"/>
          <w:sz w:val="24"/>
          <w:szCs w:val="24"/>
        </w:rPr>
      </w:pPr>
    </w:p>
    <w:p>
      <w:pPr>
        <w:spacing w:line="360" w:lineRule="auto"/>
        <w:rPr>
          <w:rFonts w:ascii="华文中宋" w:hAnsi="华文中宋" w:eastAsia="华文中宋"/>
          <w:spacing w:val="20"/>
          <w:sz w:val="24"/>
          <w:szCs w:val="24"/>
        </w:rPr>
      </w:pPr>
    </w:p>
    <w:p>
      <w:pPr>
        <w:spacing w:line="360" w:lineRule="auto"/>
        <w:jc w:val="center"/>
        <w:rPr>
          <w:rFonts w:ascii="华文中宋" w:hAnsi="华文中宋" w:eastAsia="华文中宋"/>
          <w:spacing w:val="-20"/>
          <w:sz w:val="96"/>
          <w:szCs w:val="96"/>
        </w:rPr>
      </w:pPr>
      <w:r>
        <w:rPr>
          <w:rFonts w:hint="eastAsia" w:ascii="华文中宋" w:hAnsi="华文中宋" w:eastAsia="华文中宋"/>
          <w:spacing w:val="-20"/>
          <w:sz w:val="96"/>
          <w:szCs w:val="96"/>
        </w:rPr>
        <w:t>竞争性磋商文件</w:t>
      </w:r>
    </w:p>
    <w:p>
      <w:pPr>
        <w:spacing w:line="360" w:lineRule="auto"/>
        <w:ind w:left="2191" w:leftChars="236" w:hanging="1695" w:hangingChars="471"/>
        <w:rPr>
          <w:rFonts w:ascii="华文中宋" w:hAnsi="华文中宋" w:eastAsia="华文中宋"/>
          <w:spacing w:val="20"/>
          <w:sz w:val="32"/>
          <w:szCs w:val="32"/>
        </w:rPr>
      </w:pPr>
    </w:p>
    <w:p>
      <w:pPr>
        <w:spacing w:line="360" w:lineRule="auto"/>
        <w:ind w:left="2191" w:leftChars="236" w:hanging="1695" w:hangingChars="471"/>
        <w:rPr>
          <w:rFonts w:ascii="华文中宋" w:hAnsi="华文中宋" w:eastAsia="华文中宋"/>
          <w:spacing w:val="20"/>
          <w:sz w:val="32"/>
          <w:szCs w:val="32"/>
        </w:rPr>
      </w:pPr>
    </w:p>
    <w:p>
      <w:pPr>
        <w:spacing w:line="360" w:lineRule="auto"/>
        <w:ind w:left="2191" w:leftChars="236" w:hanging="1695" w:hangingChars="471"/>
        <w:rPr>
          <w:rFonts w:hint="eastAsia" w:ascii="华文中宋" w:hAnsi="华文中宋" w:eastAsia="华文中宋"/>
          <w:spacing w:val="20"/>
          <w:sz w:val="32"/>
          <w:szCs w:val="32"/>
          <w:lang w:eastAsia="zh-CN"/>
        </w:rPr>
      </w:pPr>
      <w:r>
        <w:rPr>
          <w:rFonts w:hint="eastAsia" w:ascii="华文中宋" w:hAnsi="华文中宋" w:eastAsia="华文中宋"/>
          <w:spacing w:val="20"/>
          <w:sz w:val="32"/>
          <w:szCs w:val="32"/>
        </w:rPr>
        <w:t>项目名称：</w:t>
      </w:r>
      <w:r>
        <w:rPr>
          <w:rFonts w:hint="eastAsia" w:ascii="华文中宋" w:hAnsi="华文中宋" w:eastAsia="华文中宋"/>
          <w:spacing w:val="20"/>
          <w:sz w:val="32"/>
          <w:szCs w:val="32"/>
          <w:lang w:eastAsia="zh-CN"/>
        </w:rPr>
        <w:t>成都市弟维小学照明设备采购项目(二次）</w:t>
      </w:r>
    </w:p>
    <w:p>
      <w:pPr>
        <w:spacing w:line="360" w:lineRule="auto"/>
        <w:ind w:left="2191" w:leftChars="236" w:hanging="1695" w:hangingChars="471"/>
        <w:rPr>
          <w:rFonts w:hint="eastAsia" w:ascii="华文中宋" w:hAnsi="华文中宋" w:eastAsia="华文中宋"/>
          <w:spacing w:val="20"/>
          <w:sz w:val="32"/>
          <w:szCs w:val="32"/>
        </w:rPr>
      </w:pPr>
      <w:r>
        <w:rPr>
          <w:rFonts w:hint="eastAsia" w:ascii="华文中宋" w:hAnsi="华文中宋" w:eastAsia="华文中宋"/>
          <w:spacing w:val="20"/>
          <w:sz w:val="32"/>
          <w:szCs w:val="32"/>
        </w:rPr>
        <w:t>项目编号：武侯政采（2021）A0145号-1</w:t>
      </w:r>
    </w:p>
    <w:p>
      <w:pPr>
        <w:spacing w:line="360" w:lineRule="auto"/>
        <w:ind w:left="2191" w:leftChars="236" w:hanging="1695" w:hangingChars="471"/>
        <w:rPr>
          <w:rFonts w:ascii="华文中宋" w:hAnsi="华文中宋" w:eastAsia="华文中宋"/>
          <w:spacing w:val="20"/>
          <w:sz w:val="32"/>
          <w:szCs w:val="32"/>
        </w:rPr>
      </w:pPr>
    </w:p>
    <w:p>
      <w:pPr>
        <w:spacing w:line="360" w:lineRule="auto"/>
        <w:ind w:left="2191" w:leftChars="236" w:hanging="1695" w:hangingChars="471"/>
        <w:rPr>
          <w:rFonts w:ascii="华文中宋" w:hAnsi="华文中宋" w:eastAsia="华文中宋"/>
          <w:spacing w:val="20"/>
          <w:sz w:val="32"/>
          <w:szCs w:val="32"/>
        </w:rPr>
      </w:pPr>
    </w:p>
    <w:p>
      <w:pPr>
        <w:spacing w:line="360" w:lineRule="auto"/>
        <w:ind w:left="1908" w:leftChars="223" w:hanging="1440" w:hangingChars="450"/>
        <w:rPr>
          <w:rFonts w:ascii="华文中宋" w:hAnsi="华文中宋" w:eastAsia="华文中宋"/>
          <w:sz w:val="32"/>
          <w:szCs w:val="32"/>
        </w:rPr>
      </w:pPr>
    </w:p>
    <w:p>
      <w:pPr>
        <w:spacing w:line="360" w:lineRule="auto"/>
        <w:ind w:left="1908" w:leftChars="223" w:hanging="1440" w:hangingChars="450"/>
        <w:rPr>
          <w:rFonts w:ascii="华文中宋" w:hAnsi="华文中宋" w:eastAsia="华文中宋"/>
          <w:sz w:val="32"/>
          <w:szCs w:val="32"/>
        </w:rPr>
      </w:pPr>
    </w:p>
    <w:p>
      <w:pPr>
        <w:spacing w:line="360" w:lineRule="auto"/>
        <w:rPr>
          <w:rFonts w:ascii="华文中宋" w:hAnsi="华文中宋" w:eastAsia="华文中宋"/>
          <w:sz w:val="32"/>
          <w:szCs w:val="32"/>
        </w:rPr>
      </w:pPr>
    </w:p>
    <w:p>
      <w:pPr>
        <w:spacing w:line="360" w:lineRule="auto"/>
        <w:rPr>
          <w:rFonts w:ascii="华文中宋" w:hAnsi="华文中宋" w:eastAsia="华文中宋"/>
          <w:sz w:val="32"/>
          <w:szCs w:val="32"/>
        </w:rPr>
      </w:pPr>
    </w:p>
    <w:p>
      <w:pPr>
        <w:spacing w:line="360" w:lineRule="auto"/>
        <w:rPr>
          <w:rFonts w:ascii="华文中宋" w:hAnsi="华文中宋" w:eastAsia="华文中宋"/>
          <w:sz w:val="32"/>
          <w:szCs w:val="32"/>
        </w:rPr>
      </w:pPr>
    </w:p>
    <w:p>
      <w:pPr>
        <w:spacing w:line="360" w:lineRule="auto"/>
        <w:rPr>
          <w:rFonts w:ascii="华文中宋" w:hAnsi="华文中宋" w:eastAsia="华文中宋"/>
          <w:sz w:val="32"/>
          <w:szCs w:val="32"/>
        </w:rPr>
      </w:pPr>
    </w:p>
    <w:p>
      <w:pPr>
        <w:spacing w:line="560" w:lineRule="exact"/>
        <w:jc w:val="center"/>
        <w:rPr>
          <w:rFonts w:hint="eastAsia" w:ascii="华文中宋" w:hAnsi="华文中宋" w:eastAsia="华文中宋"/>
          <w:spacing w:val="20"/>
          <w:sz w:val="32"/>
          <w:szCs w:val="32"/>
        </w:rPr>
      </w:pPr>
      <w:r>
        <w:rPr>
          <w:rFonts w:hint="eastAsia" w:ascii="华文中宋" w:hAnsi="华文中宋" w:eastAsia="华文中宋"/>
          <w:spacing w:val="20"/>
          <w:sz w:val="32"/>
          <w:szCs w:val="32"/>
        </w:rPr>
        <w:t>成都市弟维小学</w:t>
      </w:r>
    </w:p>
    <w:p>
      <w:pPr>
        <w:spacing w:line="560" w:lineRule="exact"/>
        <w:jc w:val="center"/>
        <w:rPr>
          <w:rFonts w:ascii="华文中宋" w:hAnsi="华文中宋" w:eastAsia="华文中宋"/>
          <w:color w:val="000000" w:themeColor="text1"/>
          <w:sz w:val="32"/>
          <w:szCs w:val="32"/>
          <w14:textFill>
            <w14:solidFill>
              <w14:schemeClr w14:val="tx1"/>
            </w14:solidFill>
          </w14:textFill>
        </w:rPr>
      </w:pPr>
      <w:r>
        <w:rPr>
          <w:rFonts w:hint="eastAsia" w:ascii="华文中宋" w:hAnsi="华文中宋" w:eastAsia="华文中宋"/>
          <w:color w:val="000000" w:themeColor="text1"/>
          <w:sz w:val="32"/>
          <w:szCs w:val="32"/>
          <w14:textFill>
            <w14:solidFill>
              <w14:schemeClr w14:val="tx1"/>
            </w14:solidFill>
          </w14:textFill>
        </w:rPr>
        <w:t>成都市武侯区政府采购中心共同编制</w:t>
      </w:r>
    </w:p>
    <w:p>
      <w:pPr>
        <w:tabs>
          <w:tab w:val="center" w:pos="4153"/>
          <w:tab w:val="right" w:pos="8306"/>
        </w:tabs>
        <w:spacing w:line="360" w:lineRule="auto"/>
        <w:jc w:val="center"/>
        <w:rPr>
          <w:rFonts w:ascii="华文中宋" w:hAnsi="华文中宋" w:eastAsia="华文中宋"/>
          <w:bCs/>
          <w:sz w:val="32"/>
          <w:szCs w:val="32"/>
        </w:rPr>
      </w:pPr>
      <w:r>
        <w:rPr>
          <w:rFonts w:hint="eastAsia" w:ascii="华文中宋" w:hAnsi="华文中宋" w:eastAsia="华文中宋"/>
          <w:bCs/>
          <w:sz w:val="32"/>
          <w:szCs w:val="32"/>
        </w:rPr>
        <w:t>二○二</w:t>
      </w:r>
      <w:r>
        <w:rPr>
          <w:rFonts w:hint="eastAsia" w:ascii="华文中宋" w:hAnsi="华文中宋" w:eastAsia="华文中宋"/>
          <w:bCs/>
          <w:sz w:val="32"/>
          <w:szCs w:val="32"/>
          <w:lang w:eastAsia="zh-CN"/>
        </w:rPr>
        <w:t>二</w:t>
      </w:r>
      <w:r>
        <w:rPr>
          <w:rFonts w:hint="eastAsia" w:ascii="华文中宋" w:hAnsi="华文中宋" w:eastAsia="华文中宋"/>
          <w:bCs/>
          <w:sz w:val="32"/>
          <w:szCs w:val="32"/>
        </w:rPr>
        <w:t>年</w:t>
      </w:r>
      <w:r>
        <w:rPr>
          <w:rFonts w:hint="eastAsia" w:ascii="华文中宋" w:hAnsi="华文中宋" w:eastAsia="华文中宋"/>
          <w:bCs/>
          <w:sz w:val="32"/>
          <w:szCs w:val="32"/>
          <w:lang w:eastAsia="zh-CN"/>
        </w:rPr>
        <w:t>一</w:t>
      </w:r>
      <w:r>
        <w:rPr>
          <w:rFonts w:hint="eastAsia" w:ascii="华文中宋" w:hAnsi="华文中宋" w:eastAsia="华文中宋"/>
          <w:bCs/>
          <w:sz w:val="32"/>
          <w:szCs w:val="32"/>
        </w:rPr>
        <w:t>月</w:t>
      </w:r>
    </w:p>
    <w:p>
      <w:pPr>
        <w:tabs>
          <w:tab w:val="center" w:pos="4153"/>
          <w:tab w:val="right" w:pos="8306"/>
        </w:tabs>
        <w:spacing w:line="360" w:lineRule="auto"/>
        <w:jc w:val="center"/>
        <w:rPr>
          <w:rFonts w:ascii="宋体" w:hAnsi="宋体"/>
          <w:b/>
          <w:bCs/>
          <w:sz w:val="32"/>
          <w:szCs w:val="32"/>
        </w:rPr>
      </w:pPr>
      <w:r>
        <w:rPr>
          <w:rFonts w:hint="eastAsia" w:ascii="华文中宋" w:hAnsi="华文中宋" w:eastAsia="华文中宋"/>
          <w:bCs/>
          <w:sz w:val="32"/>
          <w:szCs w:val="32"/>
        </w:rPr>
        <w:br w:type="page"/>
      </w:r>
      <w:r>
        <w:rPr>
          <w:rFonts w:hint="eastAsia" w:ascii="宋体" w:hAnsi="宋体"/>
          <w:b/>
          <w:bCs/>
          <w:sz w:val="32"/>
          <w:szCs w:val="32"/>
        </w:rPr>
        <w:t>目 录</w:t>
      </w:r>
    </w:p>
    <w:p>
      <w:pPr>
        <w:pStyle w:val="30"/>
        <w:rPr>
          <w:rFonts w:asciiTheme="minorHAnsi" w:hAnsiTheme="minorHAnsi" w:eastAsiaTheme="minorEastAsia" w:cstheme="minorBidi"/>
          <w:bCs w:val="0"/>
          <w:caps w:val="0"/>
          <w:sz w:val="21"/>
          <w:szCs w:val="22"/>
        </w:rPr>
      </w:pPr>
      <w:r>
        <w:rPr>
          <w:rFonts w:hint="eastAsia" w:ascii="宋体" w:hAnsi="宋体"/>
          <w:sz w:val="36"/>
          <w:szCs w:val="36"/>
        </w:rPr>
        <w:fldChar w:fldCharType="begin"/>
      </w:r>
      <w:r>
        <w:rPr>
          <w:rFonts w:hint="eastAsia" w:ascii="宋体" w:hAnsi="宋体"/>
          <w:sz w:val="36"/>
          <w:szCs w:val="36"/>
        </w:rPr>
        <w:instrText xml:space="preserve">TOC \o "1-2" \h \z \u</w:instrText>
      </w:r>
      <w:r>
        <w:rPr>
          <w:rFonts w:hint="eastAsia" w:ascii="宋体" w:hAnsi="宋体"/>
          <w:sz w:val="36"/>
          <w:szCs w:val="36"/>
        </w:rPr>
        <w:fldChar w:fldCharType="separate"/>
      </w:r>
      <w:r>
        <w:rPr>
          <w:sz w:val="20"/>
          <w:szCs w:val="20"/>
        </w:rPr>
        <w:fldChar w:fldCharType="begin"/>
      </w:r>
      <w:r>
        <w:rPr>
          <w:sz w:val="20"/>
          <w:szCs w:val="20"/>
        </w:rPr>
        <w:instrText xml:space="preserve"> HYPERLINK \l "_Toc79742117" </w:instrText>
      </w:r>
      <w:r>
        <w:rPr>
          <w:sz w:val="20"/>
          <w:szCs w:val="20"/>
        </w:rPr>
        <w:fldChar w:fldCharType="separate"/>
      </w:r>
      <w:r>
        <w:rPr>
          <w:rStyle w:val="47"/>
          <w:rFonts w:hint="eastAsia" w:ascii="Times New Roman" w:hAnsi="Times New Roman"/>
          <w:sz w:val="20"/>
          <w:szCs w:val="20"/>
        </w:rPr>
        <w:t>第1章</w:t>
      </w:r>
      <w:r>
        <w:rPr>
          <w:rFonts w:asciiTheme="minorHAnsi" w:hAnsiTheme="minorHAnsi" w:eastAsiaTheme="minorEastAsia" w:cstheme="minorBidi"/>
          <w:bCs w:val="0"/>
          <w:caps w:val="0"/>
          <w:sz w:val="21"/>
          <w:szCs w:val="22"/>
        </w:rPr>
        <w:tab/>
      </w:r>
      <w:r>
        <w:rPr>
          <w:rStyle w:val="47"/>
          <w:rFonts w:hint="eastAsia"/>
          <w:sz w:val="20"/>
          <w:szCs w:val="20"/>
        </w:rPr>
        <w:t>竞争性磋商邀请</w:t>
      </w:r>
      <w:r>
        <w:rPr>
          <w:sz w:val="20"/>
          <w:szCs w:val="20"/>
        </w:rPr>
        <w:tab/>
      </w:r>
      <w:r>
        <w:rPr>
          <w:sz w:val="20"/>
          <w:szCs w:val="20"/>
        </w:rPr>
        <w:fldChar w:fldCharType="begin"/>
      </w:r>
      <w:r>
        <w:rPr>
          <w:sz w:val="20"/>
          <w:szCs w:val="20"/>
        </w:rPr>
        <w:instrText xml:space="preserve"> PAGEREF _Toc79742117 \h </w:instrText>
      </w:r>
      <w:r>
        <w:rPr>
          <w:sz w:val="20"/>
          <w:szCs w:val="20"/>
        </w:rPr>
        <w:fldChar w:fldCharType="separate"/>
      </w:r>
      <w:r>
        <w:rPr>
          <w:sz w:val="20"/>
          <w:szCs w:val="20"/>
        </w:rPr>
        <w:t>3</w:t>
      </w:r>
      <w:r>
        <w:rPr>
          <w:sz w:val="20"/>
          <w:szCs w:val="20"/>
        </w:rPr>
        <w:fldChar w:fldCharType="end"/>
      </w:r>
      <w:r>
        <w:rPr>
          <w:sz w:val="20"/>
          <w:szCs w:val="20"/>
        </w:rPr>
        <w:fldChar w:fldCharType="end"/>
      </w:r>
    </w:p>
    <w:p>
      <w:pPr>
        <w:pStyle w:val="30"/>
        <w:rPr>
          <w:rFonts w:asciiTheme="minorHAnsi" w:hAnsiTheme="minorHAnsi" w:eastAsiaTheme="minorEastAsia" w:cstheme="minorBidi"/>
          <w:bCs w:val="0"/>
          <w:caps w:val="0"/>
          <w:sz w:val="21"/>
          <w:szCs w:val="22"/>
        </w:rPr>
      </w:pPr>
      <w:r>
        <w:rPr>
          <w:sz w:val="20"/>
          <w:szCs w:val="20"/>
        </w:rPr>
        <w:fldChar w:fldCharType="begin"/>
      </w:r>
      <w:r>
        <w:rPr>
          <w:sz w:val="20"/>
          <w:szCs w:val="20"/>
        </w:rPr>
        <w:instrText xml:space="preserve"> HYPERLINK \l "_Toc79742118" </w:instrText>
      </w:r>
      <w:r>
        <w:rPr>
          <w:sz w:val="20"/>
          <w:szCs w:val="20"/>
        </w:rPr>
        <w:fldChar w:fldCharType="separate"/>
      </w:r>
      <w:r>
        <w:rPr>
          <w:rStyle w:val="47"/>
          <w:rFonts w:hint="eastAsia" w:ascii="Times New Roman" w:hAnsi="Times New Roman"/>
          <w:sz w:val="20"/>
          <w:szCs w:val="20"/>
        </w:rPr>
        <w:t>第2章</w:t>
      </w:r>
      <w:r>
        <w:rPr>
          <w:rFonts w:asciiTheme="minorHAnsi" w:hAnsiTheme="minorHAnsi" w:eastAsiaTheme="minorEastAsia" w:cstheme="minorBidi"/>
          <w:bCs w:val="0"/>
          <w:caps w:val="0"/>
          <w:sz w:val="21"/>
          <w:szCs w:val="22"/>
        </w:rPr>
        <w:tab/>
      </w:r>
      <w:r>
        <w:rPr>
          <w:rStyle w:val="47"/>
          <w:rFonts w:hint="eastAsia"/>
          <w:sz w:val="20"/>
          <w:szCs w:val="20"/>
        </w:rPr>
        <w:t>供应商须知</w:t>
      </w:r>
      <w:r>
        <w:rPr>
          <w:sz w:val="20"/>
          <w:szCs w:val="20"/>
        </w:rPr>
        <w:tab/>
      </w:r>
      <w:r>
        <w:rPr>
          <w:sz w:val="20"/>
          <w:szCs w:val="20"/>
        </w:rPr>
        <w:fldChar w:fldCharType="begin"/>
      </w:r>
      <w:r>
        <w:rPr>
          <w:sz w:val="20"/>
          <w:szCs w:val="20"/>
        </w:rPr>
        <w:instrText xml:space="preserve"> PAGEREF _Toc79742118 \h </w:instrText>
      </w:r>
      <w:r>
        <w:rPr>
          <w:sz w:val="20"/>
          <w:szCs w:val="20"/>
        </w:rPr>
        <w:fldChar w:fldCharType="separate"/>
      </w:r>
      <w:r>
        <w:rPr>
          <w:sz w:val="20"/>
          <w:szCs w:val="20"/>
        </w:rPr>
        <w:t>6</w:t>
      </w:r>
      <w:r>
        <w:rPr>
          <w:sz w:val="20"/>
          <w:szCs w:val="20"/>
        </w:rPr>
        <w:fldChar w:fldCharType="end"/>
      </w:r>
      <w:r>
        <w:rPr>
          <w:sz w:val="20"/>
          <w:szCs w:val="20"/>
        </w:rPr>
        <w:fldChar w:fldCharType="end"/>
      </w:r>
    </w:p>
    <w:p>
      <w:pPr>
        <w:pStyle w:val="36"/>
        <w:rPr>
          <w:rFonts w:asciiTheme="minorHAnsi" w:hAnsiTheme="minorHAnsi" w:eastAsiaTheme="minorEastAsia" w:cstheme="minorBidi"/>
          <w:smallCaps w:val="0"/>
          <w:sz w:val="21"/>
          <w:szCs w:val="22"/>
        </w:rPr>
      </w:pPr>
      <w:r>
        <w:rPr>
          <w:sz w:val="20"/>
          <w:szCs w:val="20"/>
        </w:rPr>
        <w:fldChar w:fldCharType="begin"/>
      </w:r>
      <w:r>
        <w:rPr>
          <w:sz w:val="20"/>
          <w:szCs w:val="20"/>
        </w:rPr>
        <w:instrText xml:space="preserve"> HYPERLINK \l "_Toc79742119" </w:instrText>
      </w:r>
      <w:r>
        <w:rPr>
          <w:sz w:val="20"/>
          <w:szCs w:val="20"/>
        </w:rPr>
        <w:fldChar w:fldCharType="separate"/>
      </w:r>
      <w:r>
        <w:rPr>
          <w:rStyle w:val="47"/>
          <w:rFonts w:ascii="Times New Roman" w:hAnsi="Times New Roman"/>
          <w:sz w:val="20"/>
          <w:szCs w:val="20"/>
        </w:rPr>
        <w:t>2.1</w:t>
      </w:r>
      <w:r>
        <w:rPr>
          <w:rStyle w:val="47"/>
          <w:rFonts w:hint="eastAsia"/>
          <w:sz w:val="20"/>
          <w:szCs w:val="20"/>
        </w:rPr>
        <w:t xml:space="preserve"> 供应商须知前附表</w:t>
      </w:r>
      <w:r>
        <w:rPr>
          <w:sz w:val="20"/>
          <w:szCs w:val="20"/>
        </w:rPr>
        <w:tab/>
      </w:r>
      <w:r>
        <w:rPr>
          <w:sz w:val="20"/>
          <w:szCs w:val="20"/>
        </w:rPr>
        <w:fldChar w:fldCharType="begin"/>
      </w:r>
      <w:r>
        <w:rPr>
          <w:sz w:val="20"/>
          <w:szCs w:val="20"/>
        </w:rPr>
        <w:instrText xml:space="preserve"> PAGEREF _Toc79742119 \h </w:instrText>
      </w:r>
      <w:r>
        <w:rPr>
          <w:sz w:val="20"/>
          <w:szCs w:val="20"/>
        </w:rPr>
        <w:fldChar w:fldCharType="separate"/>
      </w:r>
      <w:r>
        <w:rPr>
          <w:sz w:val="20"/>
          <w:szCs w:val="20"/>
        </w:rPr>
        <w:t>6</w:t>
      </w:r>
      <w:r>
        <w:rPr>
          <w:sz w:val="20"/>
          <w:szCs w:val="20"/>
        </w:rPr>
        <w:fldChar w:fldCharType="end"/>
      </w:r>
      <w:r>
        <w:rPr>
          <w:sz w:val="20"/>
          <w:szCs w:val="20"/>
        </w:rPr>
        <w:fldChar w:fldCharType="end"/>
      </w:r>
    </w:p>
    <w:p>
      <w:pPr>
        <w:pStyle w:val="36"/>
        <w:rPr>
          <w:rFonts w:asciiTheme="minorHAnsi" w:hAnsiTheme="minorHAnsi" w:eastAsiaTheme="minorEastAsia" w:cstheme="minorBidi"/>
          <w:smallCaps w:val="0"/>
          <w:sz w:val="21"/>
          <w:szCs w:val="22"/>
        </w:rPr>
      </w:pPr>
      <w:r>
        <w:rPr>
          <w:sz w:val="20"/>
          <w:szCs w:val="20"/>
        </w:rPr>
        <w:fldChar w:fldCharType="begin"/>
      </w:r>
      <w:r>
        <w:rPr>
          <w:sz w:val="20"/>
          <w:szCs w:val="20"/>
        </w:rPr>
        <w:instrText xml:space="preserve"> HYPERLINK \l "_Toc79742120" </w:instrText>
      </w:r>
      <w:r>
        <w:rPr>
          <w:sz w:val="20"/>
          <w:szCs w:val="20"/>
        </w:rPr>
        <w:fldChar w:fldCharType="separate"/>
      </w:r>
      <w:r>
        <w:rPr>
          <w:rStyle w:val="47"/>
          <w:rFonts w:ascii="Times New Roman" w:hAnsi="Times New Roman"/>
          <w:sz w:val="20"/>
          <w:szCs w:val="20"/>
        </w:rPr>
        <w:t>2.2</w:t>
      </w:r>
      <w:r>
        <w:rPr>
          <w:rStyle w:val="47"/>
          <w:rFonts w:hint="eastAsia"/>
          <w:sz w:val="20"/>
          <w:szCs w:val="20"/>
        </w:rPr>
        <w:t xml:space="preserve"> 总则</w:t>
      </w:r>
      <w:r>
        <w:rPr>
          <w:sz w:val="20"/>
          <w:szCs w:val="20"/>
        </w:rPr>
        <w:tab/>
      </w:r>
      <w:r>
        <w:rPr>
          <w:sz w:val="20"/>
          <w:szCs w:val="20"/>
        </w:rPr>
        <w:fldChar w:fldCharType="begin"/>
      </w:r>
      <w:r>
        <w:rPr>
          <w:sz w:val="20"/>
          <w:szCs w:val="20"/>
        </w:rPr>
        <w:instrText xml:space="preserve"> PAGEREF _Toc79742120 \h </w:instrText>
      </w:r>
      <w:r>
        <w:rPr>
          <w:sz w:val="20"/>
          <w:szCs w:val="20"/>
        </w:rPr>
        <w:fldChar w:fldCharType="separate"/>
      </w:r>
      <w:r>
        <w:rPr>
          <w:sz w:val="20"/>
          <w:szCs w:val="20"/>
        </w:rPr>
        <w:t>9</w:t>
      </w:r>
      <w:r>
        <w:rPr>
          <w:sz w:val="20"/>
          <w:szCs w:val="20"/>
        </w:rPr>
        <w:fldChar w:fldCharType="end"/>
      </w:r>
      <w:r>
        <w:rPr>
          <w:sz w:val="20"/>
          <w:szCs w:val="20"/>
        </w:rPr>
        <w:fldChar w:fldCharType="end"/>
      </w:r>
    </w:p>
    <w:p>
      <w:pPr>
        <w:pStyle w:val="36"/>
        <w:rPr>
          <w:rFonts w:asciiTheme="minorHAnsi" w:hAnsiTheme="minorHAnsi" w:eastAsiaTheme="minorEastAsia" w:cstheme="minorBidi"/>
          <w:smallCaps w:val="0"/>
          <w:sz w:val="21"/>
          <w:szCs w:val="22"/>
        </w:rPr>
      </w:pPr>
      <w:r>
        <w:rPr>
          <w:sz w:val="20"/>
          <w:szCs w:val="20"/>
        </w:rPr>
        <w:fldChar w:fldCharType="begin"/>
      </w:r>
      <w:r>
        <w:rPr>
          <w:sz w:val="20"/>
          <w:szCs w:val="20"/>
        </w:rPr>
        <w:instrText xml:space="preserve"> HYPERLINK \l "_Toc79742121" </w:instrText>
      </w:r>
      <w:r>
        <w:rPr>
          <w:sz w:val="20"/>
          <w:szCs w:val="20"/>
        </w:rPr>
        <w:fldChar w:fldCharType="separate"/>
      </w:r>
      <w:r>
        <w:rPr>
          <w:rStyle w:val="47"/>
          <w:rFonts w:ascii="Times New Roman" w:hAnsi="Times New Roman"/>
          <w:sz w:val="20"/>
          <w:szCs w:val="20"/>
        </w:rPr>
        <w:t>2.3</w:t>
      </w:r>
      <w:r>
        <w:rPr>
          <w:rStyle w:val="47"/>
          <w:rFonts w:hint="eastAsia"/>
          <w:sz w:val="20"/>
          <w:szCs w:val="20"/>
        </w:rPr>
        <w:t xml:space="preserve"> 磋商文件</w:t>
      </w:r>
      <w:r>
        <w:rPr>
          <w:sz w:val="20"/>
          <w:szCs w:val="20"/>
        </w:rPr>
        <w:tab/>
      </w:r>
      <w:r>
        <w:rPr>
          <w:sz w:val="20"/>
          <w:szCs w:val="20"/>
        </w:rPr>
        <w:fldChar w:fldCharType="begin"/>
      </w:r>
      <w:r>
        <w:rPr>
          <w:sz w:val="20"/>
          <w:szCs w:val="20"/>
        </w:rPr>
        <w:instrText xml:space="preserve"> PAGEREF _Toc79742121 \h </w:instrText>
      </w:r>
      <w:r>
        <w:rPr>
          <w:sz w:val="20"/>
          <w:szCs w:val="20"/>
        </w:rPr>
        <w:fldChar w:fldCharType="separate"/>
      </w:r>
      <w:r>
        <w:rPr>
          <w:sz w:val="20"/>
          <w:szCs w:val="20"/>
        </w:rPr>
        <w:t>10</w:t>
      </w:r>
      <w:r>
        <w:rPr>
          <w:sz w:val="20"/>
          <w:szCs w:val="20"/>
        </w:rPr>
        <w:fldChar w:fldCharType="end"/>
      </w:r>
      <w:r>
        <w:rPr>
          <w:sz w:val="20"/>
          <w:szCs w:val="20"/>
        </w:rPr>
        <w:fldChar w:fldCharType="end"/>
      </w:r>
    </w:p>
    <w:p>
      <w:pPr>
        <w:pStyle w:val="36"/>
        <w:rPr>
          <w:rFonts w:asciiTheme="minorHAnsi" w:hAnsiTheme="minorHAnsi" w:eastAsiaTheme="minorEastAsia" w:cstheme="minorBidi"/>
          <w:smallCaps w:val="0"/>
          <w:sz w:val="21"/>
          <w:szCs w:val="22"/>
        </w:rPr>
      </w:pPr>
      <w:r>
        <w:rPr>
          <w:sz w:val="20"/>
          <w:szCs w:val="20"/>
        </w:rPr>
        <w:fldChar w:fldCharType="begin"/>
      </w:r>
      <w:r>
        <w:rPr>
          <w:sz w:val="20"/>
          <w:szCs w:val="20"/>
        </w:rPr>
        <w:instrText xml:space="preserve"> HYPERLINK \l "_Toc79742122" </w:instrText>
      </w:r>
      <w:r>
        <w:rPr>
          <w:sz w:val="20"/>
          <w:szCs w:val="20"/>
        </w:rPr>
        <w:fldChar w:fldCharType="separate"/>
      </w:r>
      <w:r>
        <w:rPr>
          <w:rStyle w:val="47"/>
          <w:rFonts w:ascii="Times New Roman" w:hAnsi="Times New Roman"/>
          <w:sz w:val="20"/>
          <w:szCs w:val="20"/>
        </w:rPr>
        <w:t>2.4</w:t>
      </w:r>
      <w:r>
        <w:rPr>
          <w:rStyle w:val="47"/>
          <w:rFonts w:hint="eastAsia"/>
          <w:sz w:val="20"/>
          <w:szCs w:val="20"/>
        </w:rPr>
        <w:t xml:space="preserve"> 响应文件</w:t>
      </w:r>
      <w:r>
        <w:rPr>
          <w:sz w:val="20"/>
          <w:szCs w:val="20"/>
        </w:rPr>
        <w:tab/>
      </w:r>
      <w:r>
        <w:rPr>
          <w:sz w:val="20"/>
          <w:szCs w:val="20"/>
        </w:rPr>
        <w:fldChar w:fldCharType="begin"/>
      </w:r>
      <w:r>
        <w:rPr>
          <w:sz w:val="20"/>
          <w:szCs w:val="20"/>
        </w:rPr>
        <w:instrText xml:space="preserve"> PAGEREF _Toc79742122 \h </w:instrText>
      </w:r>
      <w:r>
        <w:rPr>
          <w:sz w:val="20"/>
          <w:szCs w:val="20"/>
        </w:rPr>
        <w:fldChar w:fldCharType="separate"/>
      </w:r>
      <w:r>
        <w:rPr>
          <w:sz w:val="20"/>
          <w:szCs w:val="20"/>
        </w:rPr>
        <w:t>11</w:t>
      </w:r>
      <w:r>
        <w:rPr>
          <w:sz w:val="20"/>
          <w:szCs w:val="20"/>
        </w:rPr>
        <w:fldChar w:fldCharType="end"/>
      </w:r>
      <w:r>
        <w:rPr>
          <w:sz w:val="20"/>
          <w:szCs w:val="20"/>
        </w:rPr>
        <w:fldChar w:fldCharType="end"/>
      </w:r>
    </w:p>
    <w:p>
      <w:pPr>
        <w:pStyle w:val="36"/>
        <w:rPr>
          <w:rFonts w:asciiTheme="minorHAnsi" w:hAnsiTheme="minorHAnsi" w:eastAsiaTheme="minorEastAsia" w:cstheme="minorBidi"/>
          <w:smallCaps w:val="0"/>
          <w:sz w:val="21"/>
          <w:szCs w:val="22"/>
        </w:rPr>
      </w:pPr>
      <w:r>
        <w:rPr>
          <w:sz w:val="20"/>
          <w:szCs w:val="20"/>
        </w:rPr>
        <w:fldChar w:fldCharType="begin"/>
      </w:r>
      <w:r>
        <w:rPr>
          <w:sz w:val="20"/>
          <w:szCs w:val="20"/>
        </w:rPr>
        <w:instrText xml:space="preserve"> HYPERLINK \l "_Toc79742123" </w:instrText>
      </w:r>
      <w:r>
        <w:rPr>
          <w:sz w:val="20"/>
          <w:szCs w:val="20"/>
        </w:rPr>
        <w:fldChar w:fldCharType="separate"/>
      </w:r>
      <w:r>
        <w:rPr>
          <w:rStyle w:val="47"/>
          <w:rFonts w:ascii="Times New Roman" w:hAnsi="Times New Roman"/>
          <w:sz w:val="20"/>
          <w:szCs w:val="20"/>
        </w:rPr>
        <w:t>2.5</w:t>
      </w:r>
      <w:r>
        <w:rPr>
          <w:rStyle w:val="47"/>
          <w:rFonts w:hint="eastAsia"/>
          <w:sz w:val="20"/>
          <w:szCs w:val="20"/>
        </w:rPr>
        <w:t xml:space="preserve"> 磋商开启活动程序</w:t>
      </w:r>
      <w:r>
        <w:rPr>
          <w:sz w:val="20"/>
          <w:szCs w:val="20"/>
        </w:rPr>
        <w:tab/>
      </w:r>
      <w:r>
        <w:rPr>
          <w:sz w:val="20"/>
          <w:szCs w:val="20"/>
        </w:rPr>
        <w:fldChar w:fldCharType="begin"/>
      </w:r>
      <w:r>
        <w:rPr>
          <w:sz w:val="20"/>
          <w:szCs w:val="20"/>
        </w:rPr>
        <w:instrText xml:space="preserve"> PAGEREF _Toc79742123 \h </w:instrText>
      </w:r>
      <w:r>
        <w:rPr>
          <w:sz w:val="20"/>
          <w:szCs w:val="20"/>
        </w:rPr>
        <w:fldChar w:fldCharType="separate"/>
      </w:r>
      <w:r>
        <w:rPr>
          <w:sz w:val="20"/>
          <w:szCs w:val="20"/>
        </w:rPr>
        <w:t>15</w:t>
      </w:r>
      <w:r>
        <w:rPr>
          <w:sz w:val="20"/>
          <w:szCs w:val="20"/>
        </w:rPr>
        <w:fldChar w:fldCharType="end"/>
      </w:r>
      <w:r>
        <w:rPr>
          <w:sz w:val="20"/>
          <w:szCs w:val="20"/>
        </w:rPr>
        <w:fldChar w:fldCharType="end"/>
      </w:r>
    </w:p>
    <w:p>
      <w:pPr>
        <w:pStyle w:val="36"/>
        <w:rPr>
          <w:rFonts w:asciiTheme="minorHAnsi" w:hAnsiTheme="minorHAnsi" w:eastAsiaTheme="minorEastAsia" w:cstheme="minorBidi"/>
          <w:smallCaps w:val="0"/>
          <w:sz w:val="21"/>
          <w:szCs w:val="22"/>
        </w:rPr>
      </w:pPr>
      <w:r>
        <w:rPr>
          <w:sz w:val="20"/>
          <w:szCs w:val="20"/>
        </w:rPr>
        <w:fldChar w:fldCharType="begin"/>
      </w:r>
      <w:r>
        <w:rPr>
          <w:sz w:val="20"/>
          <w:szCs w:val="20"/>
        </w:rPr>
        <w:instrText xml:space="preserve"> HYPERLINK \l "_Toc79742124" </w:instrText>
      </w:r>
      <w:r>
        <w:rPr>
          <w:sz w:val="20"/>
          <w:szCs w:val="20"/>
        </w:rPr>
        <w:fldChar w:fldCharType="separate"/>
      </w:r>
      <w:r>
        <w:rPr>
          <w:rStyle w:val="47"/>
          <w:rFonts w:ascii="Times New Roman" w:hAnsi="Times New Roman"/>
          <w:sz w:val="20"/>
          <w:szCs w:val="20"/>
        </w:rPr>
        <w:t>2.6</w:t>
      </w:r>
      <w:r>
        <w:rPr>
          <w:rStyle w:val="47"/>
          <w:rFonts w:hint="eastAsia"/>
          <w:sz w:val="20"/>
          <w:szCs w:val="20"/>
        </w:rPr>
        <w:t xml:space="preserve"> 资格审查和评审</w:t>
      </w:r>
      <w:r>
        <w:rPr>
          <w:sz w:val="20"/>
          <w:szCs w:val="20"/>
        </w:rPr>
        <w:tab/>
      </w:r>
      <w:r>
        <w:rPr>
          <w:sz w:val="20"/>
          <w:szCs w:val="20"/>
        </w:rPr>
        <w:fldChar w:fldCharType="begin"/>
      </w:r>
      <w:r>
        <w:rPr>
          <w:sz w:val="20"/>
          <w:szCs w:val="20"/>
        </w:rPr>
        <w:instrText xml:space="preserve"> PAGEREF _Toc79742124 \h </w:instrText>
      </w:r>
      <w:r>
        <w:rPr>
          <w:sz w:val="20"/>
          <w:szCs w:val="20"/>
        </w:rPr>
        <w:fldChar w:fldCharType="separate"/>
      </w:r>
      <w:r>
        <w:rPr>
          <w:sz w:val="20"/>
          <w:szCs w:val="20"/>
        </w:rPr>
        <w:t>16</w:t>
      </w:r>
      <w:r>
        <w:rPr>
          <w:sz w:val="20"/>
          <w:szCs w:val="20"/>
        </w:rPr>
        <w:fldChar w:fldCharType="end"/>
      </w:r>
      <w:r>
        <w:rPr>
          <w:sz w:val="20"/>
          <w:szCs w:val="20"/>
        </w:rPr>
        <w:fldChar w:fldCharType="end"/>
      </w:r>
    </w:p>
    <w:p>
      <w:pPr>
        <w:pStyle w:val="36"/>
        <w:rPr>
          <w:rFonts w:asciiTheme="minorHAnsi" w:hAnsiTheme="minorHAnsi" w:eastAsiaTheme="minorEastAsia" w:cstheme="minorBidi"/>
          <w:smallCaps w:val="0"/>
          <w:sz w:val="21"/>
          <w:szCs w:val="22"/>
        </w:rPr>
      </w:pPr>
      <w:r>
        <w:rPr>
          <w:sz w:val="20"/>
          <w:szCs w:val="20"/>
        </w:rPr>
        <w:fldChar w:fldCharType="begin"/>
      </w:r>
      <w:r>
        <w:rPr>
          <w:sz w:val="20"/>
          <w:szCs w:val="20"/>
        </w:rPr>
        <w:instrText xml:space="preserve"> HYPERLINK \l "_Toc79742125" </w:instrText>
      </w:r>
      <w:r>
        <w:rPr>
          <w:sz w:val="20"/>
          <w:szCs w:val="20"/>
        </w:rPr>
        <w:fldChar w:fldCharType="separate"/>
      </w:r>
      <w:r>
        <w:rPr>
          <w:rStyle w:val="47"/>
          <w:rFonts w:ascii="Times New Roman" w:hAnsi="Times New Roman"/>
          <w:sz w:val="20"/>
          <w:szCs w:val="20"/>
        </w:rPr>
        <w:t>2.7</w:t>
      </w:r>
      <w:r>
        <w:rPr>
          <w:rStyle w:val="47"/>
          <w:rFonts w:hint="eastAsia"/>
          <w:sz w:val="20"/>
          <w:szCs w:val="20"/>
        </w:rPr>
        <w:t xml:space="preserve"> 成交通知书</w:t>
      </w:r>
      <w:r>
        <w:rPr>
          <w:sz w:val="20"/>
          <w:szCs w:val="20"/>
        </w:rPr>
        <w:tab/>
      </w:r>
      <w:r>
        <w:rPr>
          <w:sz w:val="20"/>
          <w:szCs w:val="20"/>
        </w:rPr>
        <w:fldChar w:fldCharType="begin"/>
      </w:r>
      <w:r>
        <w:rPr>
          <w:sz w:val="20"/>
          <w:szCs w:val="20"/>
        </w:rPr>
        <w:instrText xml:space="preserve"> PAGEREF _Toc79742125 \h </w:instrText>
      </w:r>
      <w:r>
        <w:rPr>
          <w:sz w:val="20"/>
          <w:szCs w:val="20"/>
        </w:rPr>
        <w:fldChar w:fldCharType="separate"/>
      </w:r>
      <w:r>
        <w:rPr>
          <w:sz w:val="20"/>
          <w:szCs w:val="20"/>
        </w:rPr>
        <w:t>16</w:t>
      </w:r>
      <w:r>
        <w:rPr>
          <w:sz w:val="20"/>
          <w:szCs w:val="20"/>
        </w:rPr>
        <w:fldChar w:fldCharType="end"/>
      </w:r>
      <w:r>
        <w:rPr>
          <w:sz w:val="20"/>
          <w:szCs w:val="20"/>
        </w:rPr>
        <w:fldChar w:fldCharType="end"/>
      </w:r>
    </w:p>
    <w:p>
      <w:pPr>
        <w:pStyle w:val="36"/>
        <w:rPr>
          <w:rFonts w:asciiTheme="minorHAnsi" w:hAnsiTheme="minorHAnsi" w:eastAsiaTheme="minorEastAsia" w:cstheme="minorBidi"/>
          <w:smallCaps w:val="0"/>
          <w:sz w:val="21"/>
          <w:szCs w:val="22"/>
        </w:rPr>
      </w:pPr>
      <w:r>
        <w:rPr>
          <w:sz w:val="20"/>
          <w:szCs w:val="20"/>
        </w:rPr>
        <w:fldChar w:fldCharType="begin"/>
      </w:r>
      <w:r>
        <w:rPr>
          <w:sz w:val="20"/>
          <w:szCs w:val="20"/>
        </w:rPr>
        <w:instrText xml:space="preserve"> HYPERLINK \l "_Toc79742126" </w:instrText>
      </w:r>
      <w:r>
        <w:rPr>
          <w:sz w:val="20"/>
          <w:szCs w:val="20"/>
        </w:rPr>
        <w:fldChar w:fldCharType="separate"/>
      </w:r>
      <w:r>
        <w:rPr>
          <w:rStyle w:val="47"/>
          <w:rFonts w:ascii="Times New Roman" w:hAnsi="Times New Roman"/>
          <w:sz w:val="20"/>
          <w:szCs w:val="20"/>
        </w:rPr>
        <w:t>2.8</w:t>
      </w:r>
      <w:r>
        <w:rPr>
          <w:rStyle w:val="47"/>
          <w:rFonts w:hint="eastAsia"/>
          <w:sz w:val="20"/>
          <w:szCs w:val="20"/>
        </w:rPr>
        <w:t xml:space="preserve"> 签订及履行合同和验收</w:t>
      </w:r>
      <w:r>
        <w:rPr>
          <w:sz w:val="20"/>
          <w:szCs w:val="20"/>
        </w:rPr>
        <w:tab/>
      </w:r>
      <w:r>
        <w:rPr>
          <w:sz w:val="20"/>
          <w:szCs w:val="20"/>
        </w:rPr>
        <w:fldChar w:fldCharType="begin"/>
      </w:r>
      <w:r>
        <w:rPr>
          <w:sz w:val="20"/>
          <w:szCs w:val="20"/>
        </w:rPr>
        <w:instrText xml:space="preserve"> PAGEREF _Toc79742126 \h </w:instrText>
      </w:r>
      <w:r>
        <w:rPr>
          <w:sz w:val="20"/>
          <w:szCs w:val="20"/>
        </w:rPr>
        <w:fldChar w:fldCharType="separate"/>
      </w:r>
      <w:r>
        <w:rPr>
          <w:sz w:val="20"/>
          <w:szCs w:val="20"/>
        </w:rPr>
        <w:t>16</w:t>
      </w:r>
      <w:r>
        <w:rPr>
          <w:sz w:val="20"/>
          <w:szCs w:val="20"/>
        </w:rPr>
        <w:fldChar w:fldCharType="end"/>
      </w:r>
      <w:r>
        <w:rPr>
          <w:sz w:val="20"/>
          <w:szCs w:val="20"/>
        </w:rPr>
        <w:fldChar w:fldCharType="end"/>
      </w:r>
    </w:p>
    <w:p>
      <w:pPr>
        <w:pStyle w:val="36"/>
        <w:rPr>
          <w:rFonts w:asciiTheme="minorHAnsi" w:hAnsiTheme="minorHAnsi" w:eastAsiaTheme="minorEastAsia" w:cstheme="minorBidi"/>
          <w:smallCaps w:val="0"/>
          <w:sz w:val="21"/>
          <w:szCs w:val="22"/>
        </w:rPr>
      </w:pPr>
      <w:r>
        <w:rPr>
          <w:sz w:val="20"/>
          <w:szCs w:val="20"/>
        </w:rPr>
        <w:fldChar w:fldCharType="begin"/>
      </w:r>
      <w:r>
        <w:rPr>
          <w:sz w:val="20"/>
          <w:szCs w:val="20"/>
        </w:rPr>
        <w:instrText xml:space="preserve"> HYPERLINK \l "_Toc79742127" </w:instrText>
      </w:r>
      <w:r>
        <w:rPr>
          <w:sz w:val="20"/>
          <w:szCs w:val="20"/>
        </w:rPr>
        <w:fldChar w:fldCharType="separate"/>
      </w:r>
      <w:r>
        <w:rPr>
          <w:rStyle w:val="47"/>
          <w:rFonts w:ascii="Times New Roman" w:hAnsi="Times New Roman"/>
          <w:sz w:val="20"/>
          <w:szCs w:val="20"/>
        </w:rPr>
        <w:t>2.9</w:t>
      </w:r>
      <w:r>
        <w:rPr>
          <w:rStyle w:val="47"/>
          <w:rFonts w:hint="eastAsia"/>
          <w:sz w:val="20"/>
          <w:szCs w:val="20"/>
        </w:rPr>
        <w:t xml:space="preserve"> 竞争性磋商工作纪律及要求</w:t>
      </w:r>
      <w:r>
        <w:rPr>
          <w:sz w:val="20"/>
          <w:szCs w:val="20"/>
        </w:rPr>
        <w:tab/>
      </w:r>
      <w:r>
        <w:rPr>
          <w:sz w:val="20"/>
          <w:szCs w:val="20"/>
        </w:rPr>
        <w:fldChar w:fldCharType="begin"/>
      </w:r>
      <w:r>
        <w:rPr>
          <w:sz w:val="20"/>
          <w:szCs w:val="20"/>
        </w:rPr>
        <w:instrText xml:space="preserve"> PAGEREF _Toc79742127 \h </w:instrText>
      </w:r>
      <w:r>
        <w:rPr>
          <w:sz w:val="20"/>
          <w:szCs w:val="20"/>
        </w:rPr>
        <w:fldChar w:fldCharType="separate"/>
      </w:r>
      <w:r>
        <w:rPr>
          <w:sz w:val="20"/>
          <w:szCs w:val="20"/>
        </w:rPr>
        <w:t>18</w:t>
      </w:r>
      <w:r>
        <w:rPr>
          <w:sz w:val="20"/>
          <w:szCs w:val="20"/>
        </w:rPr>
        <w:fldChar w:fldCharType="end"/>
      </w:r>
      <w:r>
        <w:rPr>
          <w:sz w:val="20"/>
          <w:szCs w:val="20"/>
        </w:rPr>
        <w:fldChar w:fldCharType="end"/>
      </w:r>
    </w:p>
    <w:p>
      <w:pPr>
        <w:pStyle w:val="36"/>
        <w:rPr>
          <w:rFonts w:asciiTheme="minorHAnsi" w:hAnsiTheme="minorHAnsi" w:eastAsiaTheme="minorEastAsia" w:cstheme="minorBidi"/>
          <w:smallCaps w:val="0"/>
          <w:sz w:val="21"/>
          <w:szCs w:val="22"/>
        </w:rPr>
      </w:pPr>
      <w:r>
        <w:rPr>
          <w:sz w:val="20"/>
          <w:szCs w:val="20"/>
        </w:rPr>
        <w:fldChar w:fldCharType="begin"/>
      </w:r>
      <w:r>
        <w:rPr>
          <w:sz w:val="20"/>
          <w:szCs w:val="20"/>
        </w:rPr>
        <w:instrText xml:space="preserve"> HYPERLINK \l "_Toc79742128" </w:instrText>
      </w:r>
      <w:r>
        <w:rPr>
          <w:sz w:val="20"/>
          <w:szCs w:val="20"/>
        </w:rPr>
        <w:fldChar w:fldCharType="separate"/>
      </w:r>
      <w:r>
        <w:rPr>
          <w:rStyle w:val="47"/>
          <w:rFonts w:ascii="Times New Roman" w:hAnsi="Times New Roman"/>
          <w:sz w:val="20"/>
          <w:szCs w:val="20"/>
        </w:rPr>
        <w:t>2.10</w:t>
      </w:r>
      <w:r>
        <w:rPr>
          <w:rStyle w:val="47"/>
          <w:rFonts w:hint="eastAsia"/>
          <w:sz w:val="20"/>
          <w:szCs w:val="20"/>
        </w:rPr>
        <w:t xml:space="preserve"> 询问、质疑和投诉</w:t>
      </w:r>
      <w:r>
        <w:rPr>
          <w:sz w:val="20"/>
          <w:szCs w:val="20"/>
        </w:rPr>
        <w:tab/>
      </w:r>
      <w:r>
        <w:rPr>
          <w:sz w:val="20"/>
          <w:szCs w:val="20"/>
        </w:rPr>
        <w:fldChar w:fldCharType="begin"/>
      </w:r>
      <w:r>
        <w:rPr>
          <w:sz w:val="20"/>
          <w:szCs w:val="20"/>
        </w:rPr>
        <w:instrText xml:space="preserve"> PAGEREF _Toc79742128 \h </w:instrText>
      </w:r>
      <w:r>
        <w:rPr>
          <w:sz w:val="20"/>
          <w:szCs w:val="20"/>
        </w:rPr>
        <w:fldChar w:fldCharType="separate"/>
      </w:r>
      <w:r>
        <w:rPr>
          <w:sz w:val="20"/>
          <w:szCs w:val="20"/>
        </w:rPr>
        <w:t>19</w:t>
      </w:r>
      <w:r>
        <w:rPr>
          <w:sz w:val="20"/>
          <w:szCs w:val="20"/>
        </w:rPr>
        <w:fldChar w:fldCharType="end"/>
      </w:r>
      <w:r>
        <w:rPr>
          <w:sz w:val="20"/>
          <w:szCs w:val="20"/>
        </w:rPr>
        <w:fldChar w:fldCharType="end"/>
      </w:r>
    </w:p>
    <w:p>
      <w:pPr>
        <w:pStyle w:val="36"/>
        <w:rPr>
          <w:rFonts w:asciiTheme="minorHAnsi" w:hAnsiTheme="minorHAnsi" w:eastAsiaTheme="minorEastAsia" w:cstheme="minorBidi"/>
          <w:smallCaps w:val="0"/>
          <w:sz w:val="21"/>
          <w:szCs w:val="22"/>
        </w:rPr>
      </w:pPr>
      <w:r>
        <w:rPr>
          <w:sz w:val="20"/>
          <w:szCs w:val="20"/>
        </w:rPr>
        <w:fldChar w:fldCharType="begin"/>
      </w:r>
      <w:r>
        <w:rPr>
          <w:sz w:val="20"/>
          <w:szCs w:val="20"/>
        </w:rPr>
        <w:instrText xml:space="preserve"> HYPERLINK \l "_Toc79742129" </w:instrText>
      </w:r>
      <w:r>
        <w:rPr>
          <w:sz w:val="20"/>
          <w:szCs w:val="20"/>
        </w:rPr>
        <w:fldChar w:fldCharType="separate"/>
      </w:r>
      <w:r>
        <w:rPr>
          <w:rStyle w:val="47"/>
          <w:rFonts w:ascii="Times New Roman" w:hAnsi="Times New Roman"/>
          <w:sz w:val="20"/>
          <w:szCs w:val="20"/>
        </w:rPr>
        <w:t>2.11</w:t>
      </w:r>
      <w:r>
        <w:rPr>
          <w:rStyle w:val="47"/>
          <w:rFonts w:hint="eastAsia"/>
          <w:sz w:val="20"/>
          <w:szCs w:val="20"/>
        </w:rPr>
        <w:t xml:space="preserve"> 其他</w:t>
      </w:r>
      <w:r>
        <w:rPr>
          <w:sz w:val="20"/>
          <w:szCs w:val="20"/>
        </w:rPr>
        <w:tab/>
      </w:r>
      <w:r>
        <w:rPr>
          <w:sz w:val="20"/>
          <w:szCs w:val="20"/>
        </w:rPr>
        <w:fldChar w:fldCharType="begin"/>
      </w:r>
      <w:r>
        <w:rPr>
          <w:sz w:val="20"/>
          <w:szCs w:val="20"/>
        </w:rPr>
        <w:instrText xml:space="preserve"> PAGEREF _Toc79742129 \h </w:instrText>
      </w:r>
      <w:r>
        <w:rPr>
          <w:sz w:val="20"/>
          <w:szCs w:val="20"/>
        </w:rPr>
        <w:fldChar w:fldCharType="separate"/>
      </w:r>
      <w:r>
        <w:rPr>
          <w:sz w:val="20"/>
          <w:szCs w:val="20"/>
        </w:rPr>
        <w:t>20</w:t>
      </w:r>
      <w:r>
        <w:rPr>
          <w:sz w:val="20"/>
          <w:szCs w:val="20"/>
        </w:rPr>
        <w:fldChar w:fldCharType="end"/>
      </w:r>
      <w:r>
        <w:rPr>
          <w:sz w:val="20"/>
          <w:szCs w:val="20"/>
        </w:rPr>
        <w:fldChar w:fldCharType="end"/>
      </w:r>
    </w:p>
    <w:p>
      <w:pPr>
        <w:pStyle w:val="30"/>
        <w:rPr>
          <w:rFonts w:asciiTheme="minorHAnsi" w:hAnsiTheme="minorHAnsi" w:eastAsiaTheme="minorEastAsia" w:cstheme="minorBidi"/>
          <w:bCs w:val="0"/>
          <w:caps w:val="0"/>
          <w:sz w:val="21"/>
          <w:szCs w:val="22"/>
        </w:rPr>
      </w:pPr>
      <w:r>
        <w:rPr>
          <w:sz w:val="20"/>
          <w:szCs w:val="20"/>
        </w:rPr>
        <w:fldChar w:fldCharType="begin"/>
      </w:r>
      <w:r>
        <w:rPr>
          <w:sz w:val="20"/>
          <w:szCs w:val="20"/>
        </w:rPr>
        <w:instrText xml:space="preserve"> HYPERLINK \l "_Toc79742130" </w:instrText>
      </w:r>
      <w:r>
        <w:rPr>
          <w:sz w:val="20"/>
          <w:szCs w:val="20"/>
        </w:rPr>
        <w:fldChar w:fldCharType="separate"/>
      </w:r>
      <w:r>
        <w:rPr>
          <w:rStyle w:val="47"/>
          <w:rFonts w:hint="eastAsia" w:ascii="Times New Roman" w:hAnsi="Times New Roman"/>
          <w:sz w:val="20"/>
          <w:szCs w:val="20"/>
        </w:rPr>
        <w:t>第3章</w:t>
      </w:r>
      <w:r>
        <w:rPr>
          <w:rFonts w:asciiTheme="minorHAnsi" w:hAnsiTheme="minorHAnsi" w:eastAsiaTheme="minorEastAsia" w:cstheme="minorBidi"/>
          <w:bCs w:val="0"/>
          <w:caps w:val="0"/>
          <w:sz w:val="21"/>
          <w:szCs w:val="22"/>
        </w:rPr>
        <w:tab/>
      </w:r>
      <w:r>
        <w:rPr>
          <w:rStyle w:val="47"/>
          <w:rFonts w:hint="eastAsia"/>
          <w:sz w:val="20"/>
          <w:szCs w:val="20"/>
        </w:rPr>
        <w:t>响应文件格式</w:t>
      </w:r>
      <w:r>
        <w:rPr>
          <w:sz w:val="20"/>
          <w:szCs w:val="20"/>
        </w:rPr>
        <w:tab/>
      </w:r>
      <w:r>
        <w:rPr>
          <w:sz w:val="20"/>
          <w:szCs w:val="20"/>
        </w:rPr>
        <w:fldChar w:fldCharType="begin"/>
      </w:r>
      <w:r>
        <w:rPr>
          <w:sz w:val="20"/>
          <w:szCs w:val="20"/>
        </w:rPr>
        <w:instrText xml:space="preserve"> PAGEREF _Toc79742130 \h </w:instrText>
      </w:r>
      <w:r>
        <w:rPr>
          <w:sz w:val="20"/>
          <w:szCs w:val="20"/>
        </w:rPr>
        <w:fldChar w:fldCharType="separate"/>
      </w:r>
      <w:r>
        <w:rPr>
          <w:sz w:val="20"/>
          <w:szCs w:val="20"/>
        </w:rPr>
        <w:t>21</w:t>
      </w:r>
      <w:r>
        <w:rPr>
          <w:sz w:val="20"/>
          <w:szCs w:val="20"/>
        </w:rPr>
        <w:fldChar w:fldCharType="end"/>
      </w:r>
      <w:r>
        <w:rPr>
          <w:sz w:val="20"/>
          <w:szCs w:val="20"/>
        </w:rPr>
        <w:fldChar w:fldCharType="end"/>
      </w:r>
    </w:p>
    <w:p>
      <w:pPr>
        <w:pStyle w:val="36"/>
        <w:rPr>
          <w:rFonts w:asciiTheme="minorHAnsi" w:hAnsiTheme="minorHAnsi" w:eastAsiaTheme="minorEastAsia" w:cstheme="minorBidi"/>
          <w:smallCaps w:val="0"/>
          <w:sz w:val="21"/>
          <w:szCs w:val="22"/>
        </w:rPr>
      </w:pPr>
      <w:r>
        <w:rPr>
          <w:sz w:val="20"/>
          <w:szCs w:val="20"/>
        </w:rPr>
        <w:fldChar w:fldCharType="begin"/>
      </w:r>
      <w:r>
        <w:rPr>
          <w:sz w:val="20"/>
          <w:szCs w:val="20"/>
        </w:rPr>
        <w:instrText xml:space="preserve"> HYPERLINK \l "_Toc79742131" </w:instrText>
      </w:r>
      <w:r>
        <w:rPr>
          <w:sz w:val="20"/>
          <w:szCs w:val="20"/>
        </w:rPr>
        <w:fldChar w:fldCharType="separate"/>
      </w:r>
      <w:r>
        <w:rPr>
          <w:rStyle w:val="47"/>
          <w:rFonts w:ascii="Times New Roman" w:hAnsi="Times New Roman"/>
          <w:sz w:val="20"/>
          <w:szCs w:val="20"/>
        </w:rPr>
        <w:t>3.1</w:t>
      </w:r>
      <w:r>
        <w:rPr>
          <w:rStyle w:val="47"/>
          <w:rFonts w:hint="eastAsia"/>
          <w:sz w:val="20"/>
          <w:szCs w:val="20"/>
        </w:rPr>
        <w:t xml:space="preserve"> 资格性响应文件格式</w:t>
      </w:r>
      <w:r>
        <w:rPr>
          <w:sz w:val="20"/>
          <w:szCs w:val="20"/>
        </w:rPr>
        <w:tab/>
      </w:r>
      <w:r>
        <w:rPr>
          <w:sz w:val="20"/>
          <w:szCs w:val="20"/>
        </w:rPr>
        <w:fldChar w:fldCharType="begin"/>
      </w:r>
      <w:r>
        <w:rPr>
          <w:sz w:val="20"/>
          <w:szCs w:val="20"/>
        </w:rPr>
        <w:instrText xml:space="preserve"> PAGEREF _Toc79742131 \h </w:instrText>
      </w:r>
      <w:r>
        <w:rPr>
          <w:sz w:val="20"/>
          <w:szCs w:val="20"/>
        </w:rPr>
        <w:fldChar w:fldCharType="separate"/>
      </w:r>
      <w:r>
        <w:rPr>
          <w:sz w:val="20"/>
          <w:szCs w:val="20"/>
        </w:rPr>
        <w:t>21</w:t>
      </w:r>
      <w:r>
        <w:rPr>
          <w:sz w:val="20"/>
          <w:szCs w:val="20"/>
        </w:rPr>
        <w:fldChar w:fldCharType="end"/>
      </w:r>
      <w:r>
        <w:rPr>
          <w:sz w:val="20"/>
          <w:szCs w:val="20"/>
        </w:rPr>
        <w:fldChar w:fldCharType="end"/>
      </w:r>
    </w:p>
    <w:p>
      <w:pPr>
        <w:pStyle w:val="36"/>
        <w:rPr>
          <w:rFonts w:asciiTheme="minorHAnsi" w:hAnsiTheme="minorHAnsi" w:eastAsiaTheme="minorEastAsia" w:cstheme="minorBidi"/>
          <w:smallCaps w:val="0"/>
          <w:sz w:val="21"/>
          <w:szCs w:val="22"/>
        </w:rPr>
      </w:pPr>
      <w:r>
        <w:rPr>
          <w:sz w:val="20"/>
          <w:szCs w:val="20"/>
        </w:rPr>
        <w:fldChar w:fldCharType="begin"/>
      </w:r>
      <w:r>
        <w:rPr>
          <w:sz w:val="20"/>
          <w:szCs w:val="20"/>
        </w:rPr>
        <w:instrText xml:space="preserve"> HYPERLINK \l "_Toc79742132" </w:instrText>
      </w:r>
      <w:r>
        <w:rPr>
          <w:sz w:val="20"/>
          <w:szCs w:val="20"/>
        </w:rPr>
        <w:fldChar w:fldCharType="separate"/>
      </w:r>
      <w:r>
        <w:rPr>
          <w:rStyle w:val="47"/>
          <w:rFonts w:ascii="Times New Roman" w:hAnsi="Times New Roman"/>
          <w:sz w:val="20"/>
          <w:szCs w:val="20"/>
        </w:rPr>
        <w:t>3.2</w:t>
      </w:r>
      <w:r>
        <w:rPr>
          <w:rStyle w:val="47"/>
          <w:rFonts w:hint="eastAsia"/>
          <w:sz w:val="20"/>
          <w:szCs w:val="20"/>
        </w:rPr>
        <w:t xml:space="preserve"> 技术、商务性响应文件格式</w:t>
      </w:r>
      <w:r>
        <w:rPr>
          <w:sz w:val="20"/>
          <w:szCs w:val="20"/>
        </w:rPr>
        <w:tab/>
      </w:r>
      <w:r>
        <w:rPr>
          <w:sz w:val="20"/>
          <w:szCs w:val="20"/>
        </w:rPr>
        <w:fldChar w:fldCharType="begin"/>
      </w:r>
      <w:r>
        <w:rPr>
          <w:sz w:val="20"/>
          <w:szCs w:val="20"/>
        </w:rPr>
        <w:instrText xml:space="preserve"> PAGEREF _Toc79742132 \h </w:instrText>
      </w:r>
      <w:r>
        <w:rPr>
          <w:sz w:val="20"/>
          <w:szCs w:val="20"/>
        </w:rPr>
        <w:fldChar w:fldCharType="separate"/>
      </w:r>
      <w:r>
        <w:rPr>
          <w:sz w:val="20"/>
          <w:szCs w:val="20"/>
        </w:rPr>
        <w:t>29</w:t>
      </w:r>
      <w:r>
        <w:rPr>
          <w:sz w:val="20"/>
          <w:szCs w:val="20"/>
        </w:rPr>
        <w:fldChar w:fldCharType="end"/>
      </w:r>
      <w:r>
        <w:rPr>
          <w:sz w:val="20"/>
          <w:szCs w:val="20"/>
        </w:rPr>
        <w:fldChar w:fldCharType="end"/>
      </w:r>
    </w:p>
    <w:p>
      <w:pPr>
        <w:pStyle w:val="30"/>
        <w:rPr>
          <w:rFonts w:asciiTheme="minorHAnsi" w:hAnsiTheme="minorHAnsi" w:eastAsiaTheme="minorEastAsia" w:cstheme="minorBidi"/>
          <w:bCs w:val="0"/>
          <w:caps w:val="0"/>
          <w:sz w:val="21"/>
          <w:szCs w:val="22"/>
        </w:rPr>
      </w:pPr>
      <w:r>
        <w:rPr>
          <w:sz w:val="20"/>
          <w:szCs w:val="20"/>
        </w:rPr>
        <w:fldChar w:fldCharType="begin"/>
      </w:r>
      <w:r>
        <w:rPr>
          <w:sz w:val="20"/>
          <w:szCs w:val="20"/>
        </w:rPr>
        <w:instrText xml:space="preserve"> HYPERLINK \l "_Toc79742133" </w:instrText>
      </w:r>
      <w:r>
        <w:rPr>
          <w:sz w:val="20"/>
          <w:szCs w:val="20"/>
        </w:rPr>
        <w:fldChar w:fldCharType="separate"/>
      </w:r>
      <w:r>
        <w:rPr>
          <w:rStyle w:val="47"/>
          <w:rFonts w:hint="eastAsia" w:ascii="Times New Roman" w:hAnsi="Times New Roman"/>
          <w:sz w:val="20"/>
          <w:szCs w:val="20"/>
        </w:rPr>
        <w:t>第4章</w:t>
      </w:r>
      <w:r>
        <w:rPr>
          <w:rFonts w:asciiTheme="minorHAnsi" w:hAnsiTheme="minorHAnsi" w:eastAsiaTheme="minorEastAsia" w:cstheme="minorBidi"/>
          <w:bCs w:val="0"/>
          <w:caps w:val="0"/>
          <w:sz w:val="21"/>
          <w:szCs w:val="22"/>
        </w:rPr>
        <w:tab/>
      </w:r>
      <w:r>
        <w:rPr>
          <w:rStyle w:val="47"/>
          <w:rFonts w:hint="eastAsia"/>
          <w:sz w:val="20"/>
          <w:szCs w:val="20"/>
        </w:rPr>
        <w:t>技术、商务、服务及其他要求</w:t>
      </w:r>
      <w:r>
        <w:rPr>
          <w:sz w:val="20"/>
          <w:szCs w:val="20"/>
        </w:rPr>
        <w:tab/>
      </w:r>
      <w:r>
        <w:rPr>
          <w:sz w:val="20"/>
          <w:szCs w:val="20"/>
        </w:rPr>
        <w:fldChar w:fldCharType="begin"/>
      </w:r>
      <w:r>
        <w:rPr>
          <w:sz w:val="20"/>
          <w:szCs w:val="20"/>
        </w:rPr>
        <w:instrText xml:space="preserve"> PAGEREF _Toc79742133 \h </w:instrText>
      </w:r>
      <w:r>
        <w:rPr>
          <w:sz w:val="20"/>
          <w:szCs w:val="20"/>
        </w:rPr>
        <w:fldChar w:fldCharType="separate"/>
      </w:r>
      <w:r>
        <w:rPr>
          <w:sz w:val="20"/>
          <w:szCs w:val="20"/>
        </w:rPr>
        <w:t>37</w:t>
      </w:r>
      <w:r>
        <w:rPr>
          <w:sz w:val="20"/>
          <w:szCs w:val="20"/>
        </w:rPr>
        <w:fldChar w:fldCharType="end"/>
      </w:r>
      <w:r>
        <w:rPr>
          <w:sz w:val="20"/>
          <w:szCs w:val="20"/>
        </w:rPr>
        <w:fldChar w:fldCharType="end"/>
      </w:r>
    </w:p>
    <w:p>
      <w:pPr>
        <w:pStyle w:val="30"/>
        <w:rPr>
          <w:rFonts w:asciiTheme="minorHAnsi" w:hAnsiTheme="minorHAnsi" w:eastAsiaTheme="minorEastAsia" w:cstheme="minorBidi"/>
          <w:bCs w:val="0"/>
          <w:caps w:val="0"/>
          <w:sz w:val="21"/>
          <w:szCs w:val="22"/>
        </w:rPr>
      </w:pPr>
      <w:r>
        <w:rPr>
          <w:sz w:val="20"/>
          <w:szCs w:val="20"/>
        </w:rPr>
        <w:fldChar w:fldCharType="begin"/>
      </w:r>
      <w:r>
        <w:rPr>
          <w:sz w:val="20"/>
          <w:szCs w:val="20"/>
        </w:rPr>
        <w:instrText xml:space="preserve"> HYPERLINK \l "_Toc79742134" </w:instrText>
      </w:r>
      <w:r>
        <w:rPr>
          <w:sz w:val="20"/>
          <w:szCs w:val="20"/>
        </w:rPr>
        <w:fldChar w:fldCharType="separate"/>
      </w:r>
      <w:r>
        <w:rPr>
          <w:rStyle w:val="47"/>
          <w:rFonts w:hint="eastAsia" w:ascii="Times New Roman" w:hAnsi="Times New Roman"/>
          <w:sz w:val="20"/>
          <w:szCs w:val="20"/>
        </w:rPr>
        <w:t>第5章</w:t>
      </w:r>
      <w:r>
        <w:rPr>
          <w:rFonts w:asciiTheme="minorHAnsi" w:hAnsiTheme="minorHAnsi" w:eastAsiaTheme="minorEastAsia" w:cstheme="minorBidi"/>
          <w:bCs w:val="0"/>
          <w:caps w:val="0"/>
          <w:sz w:val="21"/>
          <w:szCs w:val="22"/>
        </w:rPr>
        <w:tab/>
      </w:r>
      <w:r>
        <w:rPr>
          <w:rStyle w:val="47"/>
          <w:rFonts w:hint="eastAsia"/>
          <w:sz w:val="20"/>
          <w:szCs w:val="20"/>
        </w:rPr>
        <w:t>磋商办法</w:t>
      </w:r>
      <w:r>
        <w:rPr>
          <w:sz w:val="20"/>
          <w:szCs w:val="20"/>
        </w:rPr>
        <w:tab/>
      </w:r>
      <w:r>
        <w:rPr>
          <w:sz w:val="20"/>
          <w:szCs w:val="20"/>
        </w:rPr>
        <w:fldChar w:fldCharType="begin"/>
      </w:r>
      <w:r>
        <w:rPr>
          <w:sz w:val="20"/>
          <w:szCs w:val="20"/>
        </w:rPr>
        <w:instrText xml:space="preserve"> PAGEREF _Toc79742134 \h </w:instrText>
      </w:r>
      <w:r>
        <w:rPr>
          <w:sz w:val="20"/>
          <w:szCs w:val="20"/>
        </w:rPr>
        <w:fldChar w:fldCharType="separate"/>
      </w:r>
      <w:r>
        <w:rPr>
          <w:sz w:val="20"/>
          <w:szCs w:val="20"/>
        </w:rPr>
        <w:t>47</w:t>
      </w:r>
      <w:r>
        <w:rPr>
          <w:sz w:val="20"/>
          <w:szCs w:val="20"/>
        </w:rPr>
        <w:fldChar w:fldCharType="end"/>
      </w:r>
      <w:r>
        <w:rPr>
          <w:sz w:val="20"/>
          <w:szCs w:val="20"/>
        </w:rPr>
        <w:fldChar w:fldCharType="end"/>
      </w:r>
    </w:p>
    <w:p>
      <w:pPr>
        <w:pStyle w:val="36"/>
        <w:rPr>
          <w:rFonts w:asciiTheme="minorHAnsi" w:hAnsiTheme="minorHAnsi" w:eastAsiaTheme="minorEastAsia" w:cstheme="minorBidi"/>
          <w:smallCaps w:val="0"/>
          <w:sz w:val="21"/>
          <w:szCs w:val="22"/>
        </w:rPr>
      </w:pPr>
      <w:r>
        <w:rPr>
          <w:sz w:val="20"/>
          <w:szCs w:val="20"/>
        </w:rPr>
        <w:fldChar w:fldCharType="begin"/>
      </w:r>
      <w:r>
        <w:rPr>
          <w:sz w:val="20"/>
          <w:szCs w:val="20"/>
        </w:rPr>
        <w:instrText xml:space="preserve"> HYPERLINK \l "_Toc79742135" </w:instrText>
      </w:r>
      <w:r>
        <w:rPr>
          <w:sz w:val="20"/>
          <w:szCs w:val="20"/>
        </w:rPr>
        <w:fldChar w:fldCharType="separate"/>
      </w:r>
      <w:r>
        <w:rPr>
          <w:rStyle w:val="47"/>
          <w:rFonts w:ascii="Times New Roman" w:hAnsi="Times New Roman"/>
          <w:sz w:val="20"/>
          <w:szCs w:val="20"/>
        </w:rPr>
        <w:t>5.1</w:t>
      </w:r>
      <w:r>
        <w:rPr>
          <w:rStyle w:val="47"/>
          <w:rFonts w:hint="eastAsia"/>
          <w:sz w:val="20"/>
          <w:szCs w:val="20"/>
        </w:rPr>
        <w:t xml:space="preserve"> 总则</w:t>
      </w:r>
      <w:r>
        <w:rPr>
          <w:sz w:val="20"/>
          <w:szCs w:val="20"/>
        </w:rPr>
        <w:tab/>
      </w:r>
      <w:r>
        <w:rPr>
          <w:sz w:val="20"/>
          <w:szCs w:val="20"/>
        </w:rPr>
        <w:fldChar w:fldCharType="begin"/>
      </w:r>
      <w:r>
        <w:rPr>
          <w:sz w:val="20"/>
          <w:szCs w:val="20"/>
        </w:rPr>
        <w:instrText xml:space="preserve"> PAGEREF _Toc79742135 \h </w:instrText>
      </w:r>
      <w:r>
        <w:rPr>
          <w:sz w:val="20"/>
          <w:szCs w:val="20"/>
        </w:rPr>
        <w:fldChar w:fldCharType="separate"/>
      </w:r>
      <w:r>
        <w:rPr>
          <w:sz w:val="20"/>
          <w:szCs w:val="20"/>
        </w:rPr>
        <w:t>47</w:t>
      </w:r>
      <w:r>
        <w:rPr>
          <w:sz w:val="20"/>
          <w:szCs w:val="20"/>
        </w:rPr>
        <w:fldChar w:fldCharType="end"/>
      </w:r>
      <w:r>
        <w:rPr>
          <w:sz w:val="20"/>
          <w:szCs w:val="20"/>
        </w:rPr>
        <w:fldChar w:fldCharType="end"/>
      </w:r>
    </w:p>
    <w:p>
      <w:pPr>
        <w:pStyle w:val="36"/>
        <w:rPr>
          <w:rFonts w:asciiTheme="minorHAnsi" w:hAnsiTheme="minorHAnsi" w:eastAsiaTheme="minorEastAsia" w:cstheme="minorBidi"/>
          <w:smallCaps w:val="0"/>
          <w:sz w:val="21"/>
          <w:szCs w:val="22"/>
        </w:rPr>
      </w:pPr>
      <w:r>
        <w:rPr>
          <w:sz w:val="20"/>
          <w:szCs w:val="20"/>
        </w:rPr>
        <w:fldChar w:fldCharType="begin"/>
      </w:r>
      <w:r>
        <w:rPr>
          <w:sz w:val="20"/>
          <w:szCs w:val="20"/>
        </w:rPr>
        <w:instrText xml:space="preserve"> HYPERLINK \l "_Toc79742136" </w:instrText>
      </w:r>
      <w:r>
        <w:rPr>
          <w:sz w:val="20"/>
          <w:szCs w:val="20"/>
        </w:rPr>
        <w:fldChar w:fldCharType="separate"/>
      </w:r>
      <w:r>
        <w:rPr>
          <w:rStyle w:val="47"/>
          <w:rFonts w:ascii="Times New Roman" w:hAnsi="Times New Roman"/>
          <w:sz w:val="20"/>
          <w:szCs w:val="20"/>
        </w:rPr>
        <w:t>5.2</w:t>
      </w:r>
      <w:r>
        <w:rPr>
          <w:rStyle w:val="47"/>
          <w:rFonts w:hint="eastAsia"/>
          <w:sz w:val="20"/>
          <w:szCs w:val="20"/>
        </w:rPr>
        <w:t xml:space="preserve"> 评审程序</w:t>
      </w:r>
      <w:r>
        <w:rPr>
          <w:sz w:val="20"/>
          <w:szCs w:val="20"/>
        </w:rPr>
        <w:tab/>
      </w:r>
      <w:r>
        <w:rPr>
          <w:sz w:val="20"/>
          <w:szCs w:val="20"/>
        </w:rPr>
        <w:fldChar w:fldCharType="begin"/>
      </w:r>
      <w:r>
        <w:rPr>
          <w:sz w:val="20"/>
          <w:szCs w:val="20"/>
        </w:rPr>
        <w:instrText xml:space="preserve"> PAGEREF _Toc79742136 \h </w:instrText>
      </w:r>
      <w:r>
        <w:rPr>
          <w:sz w:val="20"/>
          <w:szCs w:val="20"/>
        </w:rPr>
        <w:fldChar w:fldCharType="separate"/>
      </w:r>
      <w:r>
        <w:rPr>
          <w:sz w:val="20"/>
          <w:szCs w:val="20"/>
        </w:rPr>
        <w:t>48</w:t>
      </w:r>
      <w:r>
        <w:rPr>
          <w:sz w:val="20"/>
          <w:szCs w:val="20"/>
        </w:rPr>
        <w:fldChar w:fldCharType="end"/>
      </w:r>
      <w:r>
        <w:rPr>
          <w:sz w:val="20"/>
          <w:szCs w:val="20"/>
        </w:rPr>
        <w:fldChar w:fldCharType="end"/>
      </w:r>
    </w:p>
    <w:p>
      <w:pPr>
        <w:pStyle w:val="36"/>
        <w:rPr>
          <w:rFonts w:asciiTheme="minorHAnsi" w:hAnsiTheme="minorHAnsi" w:eastAsiaTheme="minorEastAsia" w:cstheme="minorBidi"/>
          <w:smallCaps w:val="0"/>
          <w:sz w:val="21"/>
          <w:szCs w:val="22"/>
        </w:rPr>
      </w:pPr>
      <w:r>
        <w:rPr>
          <w:sz w:val="20"/>
          <w:szCs w:val="20"/>
        </w:rPr>
        <w:fldChar w:fldCharType="begin"/>
      </w:r>
      <w:r>
        <w:rPr>
          <w:sz w:val="20"/>
          <w:szCs w:val="20"/>
        </w:rPr>
        <w:instrText xml:space="preserve"> HYPERLINK \l "_Toc79742137" </w:instrText>
      </w:r>
      <w:r>
        <w:rPr>
          <w:sz w:val="20"/>
          <w:szCs w:val="20"/>
        </w:rPr>
        <w:fldChar w:fldCharType="separate"/>
      </w:r>
      <w:r>
        <w:rPr>
          <w:rStyle w:val="47"/>
          <w:rFonts w:ascii="Times New Roman" w:hAnsi="Times New Roman"/>
          <w:sz w:val="20"/>
          <w:szCs w:val="20"/>
        </w:rPr>
        <w:t>5.3</w:t>
      </w:r>
      <w:r>
        <w:rPr>
          <w:rStyle w:val="47"/>
          <w:rFonts w:hint="eastAsia"/>
          <w:sz w:val="20"/>
          <w:szCs w:val="20"/>
        </w:rPr>
        <w:t xml:space="preserve"> 磋商异议处理</w:t>
      </w:r>
      <w:r>
        <w:rPr>
          <w:sz w:val="20"/>
          <w:szCs w:val="20"/>
        </w:rPr>
        <w:tab/>
      </w:r>
      <w:r>
        <w:rPr>
          <w:sz w:val="20"/>
          <w:szCs w:val="20"/>
        </w:rPr>
        <w:fldChar w:fldCharType="begin"/>
      </w:r>
      <w:r>
        <w:rPr>
          <w:sz w:val="20"/>
          <w:szCs w:val="20"/>
        </w:rPr>
        <w:instrText xml:space="preserve"> PAGEREF _Toc79742137 \h </w:instrText>
      </w:r>
      <w:r>
        <w:rPr>
          <w:sz w:val="20"/>
          <w:szCs w:val="20"/>
        </w:rPr>
        <w:fldChar w:fldCharType="separate"/>
      </w:r>
      <w:r>
        <w:rPr>
          <w:sz w:val="20"/>
          <w:szCs w:val="20"/>
        </w:rPr>
        <w:t>57</w:t>
      </w:r>
      <w:r>
        <w:rPr>
          <w:sz w:val="20"/>
          <w:szCs w:val="20"/>
        </w:rPr>
        <w:fldChar w:fldCharType="end"/>
      </w:r>
      <w:r>
        <w:rPr>
          <w:sz w:val="20"/>
          <w:szCs w:val="20"/>
        </w:rPr>
        <w:fldChar w:fldCharType="end"/>
      </w:r>
    </w:p>
    <w:p>
      <w:pPr>
        <w:pStyle w:val="36"/>
        <w:rPr>
          <w:rFonts w:asciiTheme="minorHAnsi" w:hAnsiTheme="minorHAnsi" w:eastAsiaTheme="minorEastAsia" w:cstheme="minorBidi"/>
          <w:smallCaps w:val="0"/>
          <w:sz w:val="21"/>
          <w:szCs w:val="22"/>
        </w:rPr>
      </w:pPr>
      <w:r>
        <w:rPr>
          <w:sz w:val="20"/>
          <w:szCs w:val="20"/>
        </w:rPr>
        <w:fldChar w:fldCharType="begin"/>
      </w:r>
      <w:r>
        <w:rPr>
          <w:sz w:val="20"/>
          <w:szCs w:val="20"/>
        </w:rPr>
        <w:instrText xml:space="preserve"> HYPERLINK \l "_Toc79742138" </w:instrText>
      </w:r>
      <w:r>
        <w:rPr>
          <w:sz w:val="20"/>
          <w:szCs w:val="20"/>
        </w:rPr>
        <w:fldChar w:fldCharType="separate"/>
      </w:r>
      <w:r>
        <w:rPr>
          <w:rStyle w:val="47"/>
          <w:rFonts w:ascii="Times New Roman" w:hAnsi="Times New Roman"/>
          <w:sz w:val="20"/>
          <w:szCs w:val="20"/>
        </w:rPr>
        <w:t>5.4</w:t>
      </w:r>
      <w:r>
        <w:rPr>
          <w:rStyle w:val="47"/>
          <w:rFonts w:hint="eastAsia"/>
          <w:sz w:val="20"/>
          <w:szCs w:val="20"/>
        </w:rPr>
        <w:t xml:space="preserve"> 评审办法和标准</w:t>
      </w:r>
      <w:r>
        <w:rPr>
          <w:sz w:val="20"/>
          <w:szCs w:val="20"/>
        </w:rPr>
        <w:tab/>
      </w:r>
      <w:r>
        <w:rPr>
          <w:sz w:val="20"/>
          <w:szCs w:val="20"/>
        </w:rPr>
        <w:fldChar w:fldCharType="begin"/>
      </w:r>
      <w:r>
        <w:rPr>
          <w:sz w:val="20"/>
          <w:szCs w:val="20"/>
        </w:rPr>
        <w:instrText xml:space="preserve"> PAGEREF _Toc79742138 \h </w:instrText>
      </w:r>
      <w:r>
        <w:rPr>
          <w:sz w:val="20"/>
          <w:szCs w:val="20"/>
        </w:rPr>
        <w:fldChar w:fldCharType="separate"/>
      </w:r>
      <w:r>
        <w:rPr>
          <w:sz w:val="20"/>
          <w:szCs w:val="20"/>
        </w:rPr>
        <w:t>57</w:t>
      </w:r>
      <w:r>
        <w:rPr>
          <w:sz w:val="20"/>
          <w:szCs w:val="20"/>
        </w:rPr>
        <w:fldChar w:fldCharType="end"/>
      </w:r>
      <w:r>
        <w:rPr>
          <w:sz w:val="20"/>
          <w:szCs w:val="20"/>
        </w:rPr>
        <w:fldChar w:fldCharType="end"/>
      </w:r>
    </w:p>
    <w:p>
      <w:pPr>
        <w:pStyle w:val="36"/>
        <w:rPr>
          <w:rFonts w:asciiTheme="minorHAnsi" w:hAnsiTheme="minorHAnsi" w:eastAsiaTheme="minorEastAsia" w:cstheme="minorBidi"/>
          <w:smallCaps w:val="0"/>
          <w:sz w:val="21"/>
          <w:szCs w:val="22"/>
        </w:rPr>
      </w:pPr>
      <w:r>
        <w:rPr>
          <w:sz w:val="20"/>
          <w:szCs w:val="20"/>
        </w:rPr>
        <w:fldChar w:fldCharType="begin"/>
      </w:r>
      <w:r>
        <w:rPr>
          <w:sz w:val="20"/>
          <w:szCs w:val="20"/>
        </w:rPr>
        <w:instrText xml:space="preserve"> HYPERLINK \l "_Toc79742139" </w:instrText>
      </w:r>
      <w:r>
        <w:rPr>
          <w:sz w:val="20"/>
          <w:szCs w:val="20"/>
        </w:rPr>
        <w:fldChar w:fldCharType="separate"/>
      </w:r>
      <w:r>
        <w:rPr>
          <w:rStyle w:val="47"/>
          <w:rFonts w:ascii="Times New Roman" w:hAnsi="Times New Roman"/>
          <w:sz w:val="20"/>
          <w:szCs w:val="20"/>
        </w:rPr>
        <w:t>5.5</w:t>
      </w:r>
      <w:r>
        <w:rPr>
          <w:rStyle w:val="47"/>
          <w:rFonts w:hint="eastAsia"/>
          <w:sz w:val="20"/>
          <w:szCs w:val="20"/>
        </w:rPr>
        <w:t xml:space="preserve"> 采购失败情形</w:t>
      </w:r>
      <w:r>
        <w:rPr>
          <w:sz w:val="20"/>
          <w:szCs w:val="20"/>
        </w:rPr>
        <w:tab/>
      </w:r>
      <w:r>
        <w:rPr>
          <w:sz w:val="20"/>
          <w:szCs w:val="20"/>
        </w:rPr>
        <w:fldChar w:fldCharType="begin"/>
      </w:r>
      <w:r>
        <w:rPr>
          <w:sz w:val="20"/>
          <w:szCs w:val="20"/>
        </w:rPr>
        <w:instrText xml:space="preserve"> PAGEREF _Toc79742139 \h </w:instrText>
      </w:r>
      <w:r>
        <w:rPr>
          <w:sz w:val="20"/>
          <w:szCs w:val="20"/>
        </w:rPr>
        <w:fldChar w:fldCharType="separate"/>
      </w:r>
      <w:r>
        <w:rPr>
          <w:sz w:val="20"/>
          <w:szCs w:val="20"/>
        </w:rPr>
        <w:t>64</w:t>
      </w:r>
      <w:r>
        <w:rPr>
          <w:sz w:val="20"/>
          <w:szCs w:val="20"/>
        </w:rPr>
        <w:fldChar w:fldCharType="end"/>
      </w:r>
      <w:r>
        <w:rPr>
          <w:sz w:val="20"/>
          <w:szCs w:val="20"/>
        </w:rPr>
        <w:fldChar w:fldCharType="end"/>
      </w:r>
    </w:p>
    <w:p>
      <w:pPr>
        <w:pStyle w:val="36"/>
        <w:rPr>
          <w:rFonts w:asciiTheme="minorHAnsi" w:hAnsiTheme="minorHAnsi" w:eastAsiaTheme="minorEastAsia" w:cstheme="minorBidi"/>
          <w:smallCaps w:val="0"/>
          <w:sz w:val="21"/>
          <w:szCs w:val="22"/>
        </w:rPr>
      </w:pPr>
      <w:r>
        <w:rPr>
          <w:sz w:val="20"/>
          <w:szCs w:val="20"/>
        </w:rPr>
        <w:fldChar w:fldCharType="begin"/>
      </w:r>
      <w:r>
        <w:rPr>
          <w:sz w:val="20"/>
          <w:szCs w:val="20"/>
        </w:rPr>
        <w:instrText xml:space="preserve"> HYPERLINK \l "_Toc79742140" </w:instrText>
      </w:r>
      <w:r>
        <w:rPr>
          <w:sz w:val="20"/>
          <w:szCs w:val="20"/>
        </w:rPr>
        <w:fldChar w:fldCharType="separate"/>
      </w:r>
      <w:r>
        <w:rPr>
          <w:rStyle w:val="47"/>
          <w:rFonts w:ascii="Times New Roman" w:hAnsi="Times New Roman"/>
          <w:sz w:val="20"/>
          <w:szCs w:val="20"/>
        </w:rPr>
        <w:t>5.6</w:t>
      </w:r>
      <w:r>
        <w:rPr>
          <w:rStyle w:val="47"/>
          <w:rFonts w:hint="eastAsia"/>
          <w:sz w:val="20"/>
          <w:szCs w:val="20"/>
        </w:rPr>
        <w:t xml:space="preserve"> 确定成交供应商</w:t>
      </w:r>
      <w:r>
        <w:rPr>
          <w:sz w:val="20"/>
          <w:szCs w:val="20"/>
        </w:rPr>
        <w:tab/>
      </w:r>
      <w:r>
        <w:rPr>
          <w:sz w:val="20"/>
          <w:szCs w:val="20"/>
        </w:rPr>
        <w:fldChar w:fldCharType="begin"/>
      </w:r>
      <w:r>
        <w:rPr>
          <w:sz w:val="20"/>
          <w:szCs w:val="20"/>
        </w:rPr>
        <w:instrText xml:space="preserve"> PAGEREF _Toc79742140 \h </w:instrText>
      </w:r>
      <w:r>
        <w:rPr>
          <w:sz w:val="20"/>
          <w:szCs w:val="20"/>
        </w:rPr>
        <w:fldChar w:fldCharType="separate"/>
      </w:r>
      <w:r>
        <w:rPr>
          <w:sz w:val="20"/>
          <w:szCs w:val="20"/>
        </w:rPr>
        <w:t>64</w:t>
      </w:r>
      <w:r>
        <w:rPr>
          <w:sz w:val="20"/>
          <w:szCs w:val="20"/>
        </w:rPr>
        <w:fldChar w:fldCharType="end"/>
      </w:r>
      <w:r>
        <w:rPr>
          <w:sz w:val="20"/>
          <w:szCs w:val="20"/>
        </w:rPr>
        <w:fldChar w:fldCharType="end"/>
      </w:r>
    </w:p>
    <w:p>
      <w:pPr>
        <w:pStyle w:val="36"/>
        <w:rPr>
          <w:rFonts w:asciiTheme="minorHAnsi" w:hAnsiTheme="minorHAnsi" w:eastAsiaTheme="minorEastAsia" w:cstheme="minorBidi"/>
          <w:smallCaps w:val="0"/>
          <w:sz w:val="21"/>
          <w:szCs w:val="22"/>
        </w:rPr>
      </w:pPr>
      <w:r>
        <w:rPr>
          <w:sz w:val="20"/>
          <w:szCs w:val="20"/>
        </w:rPr>
        <w:fldChar w:fldCharType="begin"/>
      </w:r>
      <w:r>
        <w:rPr>
          <w:sz w:val="20"/>
          <w:szCs w:val="20"/>
        </w:rPr>
        <w:instrText xml:space="preserve"> HYPERLINK \l "_Toc79742141" </w:instrText>
      </w:r>
      <w:r>
        <w:rPr>
          <w:sz w:val="20"/>
          <w:szCs w:val="20"/>
        </w:rPr>
        <w:fldChar w:fldCharType="separate"/>
      </w:r>
      <w:r>
        <w:rPr>
          <w:rStyle w:val="47"/>
          <w:rFonts w:ascii="Times New Roman" w:hAnsi="Times New Roman"/>
          <w:sz w:val="20"/>
          <w:szCs w:val="20"/>
        </w:rPr>
        <w:t>5.7</w:t>
      </w:r>
      <w:r>
        <w:rPr>
          <w:rStyle w:val="47"/>
          <w:rFonts w:hint="eastAsia"/>
          <w:sz w:val="20"/>
          <w:szCs w:val="20"/>
        </w:rPr>
        <w:t xml:space="preserve"> 磋商小组成员义务</w:t>
      </w:r>
      <w:r>
        <w:rPr>
          <w:sz w:val="20"/>
          <w:szCs w:val="20"/>
        </w:rPr>
        <w:tab/>
      </w:r>
      <w:r>
        <w:rPr>
          <w:sz w:val="20"/>
          <w:szCs w:val="20"/>
        </w:rPr>
        <w:fldChar w:fldCharType="begin"/>
      </w:r>
      <w:r>
        <w:rPr>
          <w:sz w:val="20"/>
          <w:szCs w:val="20"/>
        </w:rPr>
        <w:instrText xml:space="preserve"> PAGEREF _Toc79742141 \h </w:instrText>
      </w:r>
      <w:r>
        <w:rPr>
          <w:sz w:val="20"/>
          <w:szCs w:val="20"/>
        </w:rPr>
        <w:fldChar w:fldCharType="separate"/>
      </w:r>
      <w:r>
        <w:rPr>
          <w:sz w:val="20"/>
          <w:szCs w:val="20"/>
        </w:rPr>
        <w:t>64</w:t>
      </w:r>
      <w:r>
        <w:rPr>
          <w:sz w:val="20"/>
          <w:szCs w:val="20"/>
        </w:rPr>
        <w:fldChar w:fldCharType="end"/>
      </w:r>
      <w:r>
        <w:rPr>
          <w:sz w:val="20"/>
          <w:szCs w:val="20"/>
        </w:rPr>
        <w:fldChar w:fldCharType="end"/>
      </w:r>
    </w:p>
    <w:p>
      <w:pPr>
        <w:pStyle w:val="36"/>
        <w:rPr>
          <w:rFonts w:asciiTheme="minorHAnsi" w:hAnsiTheme="minorHAnsi" w:eastAsiaTheme="minorEastAsia" w:cstheme="minorBidi"/>
          <w:smallCaps w:val="0"/>
          <w:sz w:val="21"/>
          <w:szCs w:val="22"/>
        </w:rPr>
      </w:pPr>
      <w:r>
        <w:rPr>
          <w:sz w:val="20"/>
          <w:szCs w:val="20"/>
        </w:rPr>
        <w:fldChar w:fldCharType="begin"/>
      </w:r>
      <w:r>
        <w:rPr>
          <w:sz w:val="20"/>
          <w:szCs w:val="20"/>
        </w:rPr>
        <w:instrText xml:space="preserve"> HYPERLINK \l "_Toc79742142" </w:instrText>
      </w:r>
      <w:r>
        <w:rPr>
          <w:sz w:val="20"/>
          <w:szCs w:val="20"/>
        </w:rPr>
        <w:fldChar w:fldCharType="separate"/>
      </w:r>
      <w:r>
        <w:rPr>
          <w:rStyle w:val="47"/>
          <w:rFonts w:ascii="Times New Roman" w:hAnsi="Times New Roman"/>
          <w:sz w:val="20"/>
          <w:szCs w:val="20"/>
        </w:rPr>
        <w:t>5.8</w:t>
      </w:r>
      <w:r>
        <w:rPr>
          <w:rStyle w:val="47"/>
          <w:rFonts w:hint="eastAsia"/>
          <w:sz w:val="20"/>
          <w:szCs w:val="20"/>
        </w:rPr>
        <w:t xml:space="preserve"> 磋商纪律</w:t>
      </w:r>
      <w:r>
        <w:rPr>
          <w:sz w:val="20"/>
          <w:szCs w:val="20"/>
        </w:rPr>
        <w:tab/>
      </w:r>
      <w:r>
        <w:rPr>
          <w:sz w:val="20"/>
          <w:szCs w:val="20"/>
        </w:rPr>
        <w:fldChar w:fldCharType="begin"/>
      </w:r>
      <w:r>
        <w:rPr>
          <w:sz w:val="20"/>
          <w:szCs w:val="20"/>
        </w:rPr>
        <w:instrText xml:space="preserve"> PAGEREF _Toc79742142 \h </w:instrText>
      </w:r>
      <w:r>
        <w:rPr>
          <w:sz w:val="20"/>
          <w:szCs w:val="20"/>
        </w:rPr>
        <w:fldChar w:fldCharType="separate"/>
      </w:r>
      <w:r>
        <w:rPr>
          <w:sz w:val="20"/>
          <w:szCs w:val="20"/>
        </w:rPr>
        <w:t>65</w:t>
      </w:r>
      <w:r>
        <w:rPr>
          <w:sz w:val="20"/>
          <w:szCs w:val="20"/>
        </w:rPr>
        <w:fldChar w:fldCharType="end"/>
      </w:r>
      <w:r>
        <w:rPr>
          <w:sz w:val="20"/>
          <w:szCs w:val="20"/>
        </w:rPr>
        <w:fldChar w:fldCharType="end"/>
      </w:r>
    </w:p>
    <w:p>
      <w:pPr>
        <w:pStyle w:val="30"/>
        <w:rPr>
          <w:rFonts w:asciiTheme="minorHAnsi" w:hAnsiTheme="minorHAnsi" w:eastAsiaTheme="minorEastAsia" w:cstheme="minorBidi"/>
          <w:bCs w:val="0"/>
          <w:caps w:val="0"/>
          <w:sz w:val="21"/>
          <w:szCs w:val="22"/>
        </w:rPr>
      </w:pPr>
      <w:r>
        <w:rPr>
          <w:sz w:val="20"/>
          <w:szCs w:val="20"/>
        </w:rPr>
        <w:fldChar w:fldCharType="begin"/>
      </w:r>
      <w:r>
        <w:rPr>
          <w:sz w:val="20"/>
          <w:szCs w:val="20"/>
        </w:rPr>
        <w:instrText xml:space="preserve"> HYPERLINK \l "_Toc79742143" </w:instrText>
      </w:r>
      <w:r>
        <w:rPr>
          <w:sz w:val="20"/>
          <w:szCs w:val="20"/>
        </w:rPr>
        <w:fldChar w:fldCharType="separate"/>
      </w:r>
      <w:r>
        <w:rPr>
          <w:rStyle w:val="47"/>
          <w:rFonts w:hint="eastAsia" w:ascii="Times New Roman" w:hAnsi="Times New Roman"/>
          <w:sz w:val="20"/>
          <w:szCs w:val="20"/>
        </w:rPr>
        <w:t>第6章</w:t>
      </w:r>
      <w:r>
        <w:rPr>
          <w:rFonts w:asciiTheme="minorHAnsi" w:hAnsiTheme="minorHAnsi" w:eastAsiaTheme="minorEastAsia" w:cstheme="minorBidi"/>
          <w:bCs w:val="0"/>
          <w:caps w:val="0"/>
          <w:sz w:val="21"/>
          <w:szCs w:val="22"/>
        </w:rPr>
        <w:tab/>
      </w:r>
      <w:r>
        <w:rPr>
          <w:rStyle w:val="47"/>
          <w:rFonts w:hint="eastAsia"/>
          <w:sz w:val="20"/>
          <w:szCs w:val="20"/>
        </w:rPr>
        <w:t>合同草案条款</w:t>
      </w:r>
      <w:r>
        <w:rPr>
          <w:sz w:val="20"/>
          <w:szCs w:val="20"/>
        </w:rPr>
        <w:tab/>
      </w:r>
      <w:r>
        <w:rPr>
          <w:sz w:val="20"/>
          <w:szCs w:val="20"/>
        </w:rPr>
        <w:fldChar w:fldCharType="begin"/>
      </w:r>
      <w:r>
        <w:rPr>
          <w:sz w:val="20"/>
          <w:szCs w:val="20"/>
        </w:rPr>
        <w:instrText xml:space="preserve"> PAGEREF _Toc79742143 \h </w:instrText>
      </w:r>
      <w:r>
        <w:rPr>
          <w:sz w:val="20"/>
          <w:szCs w:val="20"/>
        </w:rPr>
        <w:fldChar w:fldCharType="separate"/>
      </w:r>
      <w:r>
        <w:rPr>
          <w:sz w:val="20"/>
          <w:szCs w:val="20"/>
        </w:rPr>
        <w:t>66</w:t>
      </w:r>
      <w:r>
        <w:rPr>
          <w:sz w:val="20"/>
          <w:szCs w:val="20"/>
        </w:rPr>
        <w:fldChar w:fldCharType="end"/>
      </w:r>
      <w:r>
        <w:rPr>
          <w:sz w:val="20"/>
          <w:szCs w:val="20"/>
        </w:rPr>
        <w:fldChar w:fldCharType="end"/>
      </w:r>
    </w:p>
    <w:p>
      <w:pPr>
        <w:pStyle w:val="30"/>
        <w:spacing w:line="300" w:lineRule="exact"/>
        <w:rPr>
          <w:rFonts w:ascii="宋体" w:hAnsi="宋体"/>
          <w:b/>
          <w:bCs w:val="0"/>
          <w:sz w:val="32"/>
          <w:szCs w:val="32"/>
        </w:rPr>
      </w:pPr>
      <w:r>
        <w:rPr>
          <w:rFonts w:hint="eastAsia" w:ascii="宋体" w:hAnsi="宋体"/>
          <w:bCs w:val="0"/>
          <w:sz w:val="20"/>
          <w:szCs w:val="36"/>
        </w:rPr>
        <w:fldChar w:fldCharType="end"/>
      </w:r>
    </w:p>
    <w:p>
      <w:pPr>
        <w:rPr>
          <w:rFonts w:ascii="宋体" w:hAnsi="宋体"/>
          <w:caps/>
          <w:sz w:val="32"/>
          <w:szCs w:val="32"/>
        </w:rPr>
        <w:sectPr>
          <w:footerReference r:id="rId3" w:type="default"/>
          <w:pgSz w:w="11906" w:h="16838"/>
          <w:pgMar w:top="1134" w:right="1274" w:bottom="1440" w:left="1418" w:header="851" w:footer="992" w:gutter="0"/>
          <w:cols w:space="720" w:num="1"/>
          <w:docGrid w:type="lines" w:linePitch="312" w:charSpace="0"/>
        </w:sectPr>
      </w:pPr>
    </w:p>
    <w:p>
      <w:pPr>
        <w:pStyle w:val="4"/>
        <w:widowControl/>
        <w:numPr>
          <w:ilvl w:val="0"/>
          <w:numId w:val="5"/>
        </w:numPr>
        <w:spacing w:before="0" w:after="0" w:line="360" w:lineRule="auto"/>
        <w:ind w:left="0" w:firstLine="0"/>
        <w:rPr>
          <w:sz w:val="28"/>
          <w:szCs w:val="28"/>
        </w:rPr>
      </w:pPr>
      <w:bookmarkStart w:id="0" w:name="_Toc79742117"/>
      <w:bookmarkStart w:id="1" w:name="_Toc58943323"/>
      <w:r>
        <w:rPr>
          <w:rFonts w:hint="eastAsia"/>
          <w:sz w:val="28"/>
          <w:szCs w:val="28"/>
        </w:rPr>
        <w:t>竞争性磋商邀请</w:t>
      </w:r>
      <w:bookmarkEnd w:id="0"/>
      <w:bookmarkEnd w:id="1"/>
    </w:p>
    <w:p>
      <w:pPr>
        <w:spacing w:line="360" w:lineRule="auto"/>
        <w:ind w:left="-124" w:leftChars="-59" w:right="-21" w:rightChars="-10" w:firstLine="600" w:firstLineChars="25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成都市武侯区政府采购中心(以下简称“区政府采购中心”) 受</w:t>
      </w:r>
      <w:r>
        <w:rPr>
          <w:rFonts w:hint="eastAsia" w:ascii="宋体" w:hAnsi="宋体"/>
          <w:color w:val="000000" w:themeColor="text1"/>
          <w:sz w:val="24"/>
          <w:szCs w:val="24"/>
          <w:u w:val="single"/>
          <w14:textFill>
            <w14:solidFill>
              <w14:schemeClr w14:val="tx1"/>
            </w14:solidFill>
          </w14:textFill>
        </w:rPr>
        <w:t>成都市弟维小学</w:t>
      </w:r>
      <w:r>
        <w:rPr>
          <w:rFonts w:hint="eastAsia" w:ascii="宋体" w:hAnsi="宋体"/>
          <w:color w:val="000000" w:themeColor="text1"/>
          <w:sz w:val="24"/>
          <w:szCs w:val="24"/>
          <w14:textFill>
            <w14:solidFill>
              <w14:schemeClr w14:val="tx1"/>
            </w14:solidFill>
          </w14:textFill>
        </w:rPr>
        <w:t>委托,拟对</w:t>
      </w:r>
      <w:r>
        <w:rPr>
          <w:rFonts w:hint="eastAsia" w:ascii="宋体" w:hAnsi="宋体"/>
          <w:color w:val="000000" w:themeColor="text1"/>
          <w:sz w:val="24"/>
          <w:szCs w:val="24"/>
          <w:u w:val="single"/>
          <w:lang w:eastAsia="zh-CN"/>
          <w14:textFill>
            <w14:solidFill>
              <w14:schemeClr w14:val="tx1"/>
            </w14:solidFill>
          </w14:textFill>
        </w:rPr>
        <w:t>成都市弟维小学照明设备采购项目(二次）</w:t>
      </w:r>
      <w:r>
        <w:rPr>
          <w:rFonts w:hint="eastAsia" w:ascii="宋体" w:hAnsi="宋体"/>
          <w:color w:val="000000" w:themeColor="text1"/>
          <w:sz w:val="24"/>
          <w:szCs w:val="24"/>
          <w14:textFill>
            <w14:solidFill>
              <w14:schemeClr w14:val="tx1"/>
            </w14:solidFill>
          </w14:textFill>
        </w:rPr>
        <w:t>采用竞争性磋商采购方式进行采购，欢迎供应商参加该项目的竞争性磋商。</w:t>
      </w:r>
    </w:p>
    <w:p>
      <w:pPr>
        <w:widowControl/>
        <w:numPr>
          <w:ilvl w:val="0"/>
          <w:numId w:val="6"/>
        </w:numPr>
        <w:spacing w:after="200" w:line="360" w:lineRule="auto"/>
        <w:ind w:left="0" w:firstLine="567"/>
        <w:jc w:val="left"/>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项目编号</w:t>
      </w:r>
      <w:r>
        <w:rPr>
          <w:rFonts w:hint="eastAsia" w:ascii="宋体" w:hAnsi="宋体"/>
          <w:color w:val="000000" w:themeColor="text1"/>
          <w:sz w:val="24"/>
          <w:szCs w:val="24"/>
          <w14:textFill>
            <w14:solidFill>
              <w14:schemeClr w14:val="tx1"/>
            </w14:solidFill>
          </w14:textFill>
        </w:rPr>
        <w:t xml:space="preserve">：武侯政采（2021）A0145号-1                                                                                                                                                                                                                                                                       </w:t>
      </w:r>
    </w:p>
    <w:p>
      <w:pPr>
        <w:widowControl/>
        <w:numPr>
          <w:ilvl w:val="0"/>
          <w:numId w:val="6"/>
        </w:numPr>
        <w:spacing w:after="200" w:line="360" w:lineRule="auto"/>
        <w:ind w:left="0" w:firstLine="567"/>
        <w:rPr>
          <w:rFonts w:ascii="宋体" w:hAnsi="宋体"/>
          <w:sz w:val="24"/>
          <w:szCs w:val="24"/>
        </w:rPr>
      </w:pPr>
      <w:r>
        <w:rPr>
          <w:rFonts w:hint="eastAsia" w:ascii="宋体" w:hAnsi="宋体"/>
          <w:b/>
          <w:color w:val="000000" w:themeColor="text1"/>
          <w:sz w:val="24"/>
          <w:szCs w:val="24"/>
          <w14:textFill>
            <w14:solidFill>
              <w14:schemeClr w14:val="tx1"/>
            </w14:solidFill>
          </w14:textFill>
        </w:rPr>
        <w:t>项目名称</w:t>
      </w:r>
      <w:r>
        <w:rPr>
          <w:rFonts w:hint="eastAsia" w:ascii="宋体" w:hAnsi="宋体"/>
          <w:color w:val="000000" w:themeColor="text1"/>
          <w:sz w:val="24"/>
          <w:szCs w:val="24"/>
          <w14:textFill>
            <w14:solidFill>
              <w14:schemeClr w14:val="tx1"/>
            </w14:solidFill>
          </w14:textFill>
        </w:rPr>
        <w:t>：</w:t>
      </w:r>
      <w:r>
        <w:rPr>
          <w:rFonts w:hint="eastAsia" w:ascii="宋体" w:hAnsi="宋体"/>
          <w:b/>
          <w:bCs/>
          <w:color w:val="000000" w:themeColor="text1"/>
          <w:sz w:val="24"/>
          <w:szCs w:val="24"/>
          <w:lang w:eastAsia="zh-CN"/>
          <w14:textFill>
            <w14:solidFill>
              <w14:schemeClr w14:val="tx1"/>
            </w14:solidFill>
          </w14:textFill>
        </w:rPr>
        <w:t>成都市弟维小学照明设备采购项目(二次）</w:t>
      </w:r>
    </w:p>
    <w:p>
      <w:pPr>
        <w:widowControl/>
        <w:numPr>
          <w:ilvl w:val="0"/>
          <w:numId w:val="7"/>
        </w:numPr>
        <w:spacing w:after="200" w:line="360" w:lineRule="auto"/>
        <w:ind w:left="0" w:firstLine="567"/>
        <w:rPr>
          <w:rFonts w:ascii="宋体" w:hAnsi="宋体"/>
          <w:sz w:val="22"/>
          <w:szCs w:val="22"/>
        </w:rPr>
      </w:pPr>
      <w:r>
        <w:rPr>
          <w:rFonts w:hint="eastAsia" w:ascii="宋体" w:hAnsi="宋体"/>
          <w:b/>
          <w:color w:val="000000" w:themeColor="text1"/>
          <w:sz w:val="24"/>
          <w:szCs w:val="24"/>
          <w14:textFill>
            <w14:solidFill>
              <w14:schemeClr w14:val="tx1"/>
            </w14:solidFill>
          </w14:textFill>
        </w:rPr>
        <w:t>资金来源、预算金额及最高限价：</w:t>
      </w:r>
      <w:r>
        <w:rPr>
          <w:rFonts w:hint="eastAsia" w:ascii="宋体" w:hAnsi="宋体"/>
          <w:sz w:val="24"/>
          <w:szCs w:val="24"/>
        </w:rPr>
        <w:t>财政性资金，政府采购实施计划备案表号：</w:t>
      </w:r>
      <w:r>
        <w:rPr>
          <w:rFonts w:hint="eastAsia" w:ascii="宋体" w:hAnsi="宋体"/>
          <w:sz w:val="24"/>
          <w:szCs w:val="24"/>
          <w:lang w:eastAsia="zh-CN"/>
        </w:rPr>
        <w:t>（</w:t>
      </w:r>
      <w:r>
        <w:rPr>
          <w:rFonts w:hint="eastAsia" w:ascii="宋体" w:hAnsi="宋体"/>
          <w:sz w:val="24"/>
          <w:szCs w:val="24"/>
          <w:lang w:val="en-US" w:eastAsia="zh-CN"/>
        </w:rPr>
        <w:t>2021</w:t>
      </w:r>
      <w:r>
        <w:rPr>
          <w:rFonts w:hint="eastAsia" w:ascii="宋体" w:hAnsi="宋体"/>
          <w:sz w:val="24"/>
          <w:szCs w:val="24"/>
          <w:lang w:eastAsia="zh-CN"/>
        </w:rPr>
        <w:t>）</w:t>
      </w:r>
      <w:r>
        <w:rPr>
          <w:rFonts w:hint="eastAsia" w:ascii="宋体" w:hAnsi="宋体"/>
          <w:sz w:val="24"/>
          <w:szCs w:val="24"/>
          <w:lang w:val="en-US" w:eastAsia="zh-CN"/>
        </w:rPr>
        <w:t>1929</w:t>
      </w:r>
      <w:r>
        <w:rPr>
          <w:rFonts w:hint="eastAsia" w:ascii="宋体" w:hAnsi="宋体"/>
          <w:sz w:val="24"/>
          <w:szCs w:val="24"/>
        </w:rPr>
        <w:t>号；预算品目：</w:t>
      </w:r>
      <w:r>
        <w:rPr>
          <w:rFonts w:hint="eastAsia" w:ascii="宋体" w:hAnsi="宋体"/>
          <w:sz w:val="24"/>
          <w:szCs w:val="24"/>
          <w:lang w:val="en-US" w:eastAsia="zh-CN"/>
        </w:rPr>
        <w:tab/>
      </w:r>
      <w:r>
        <w:rPr>
          <w:rFonts w:hint="eastAsia" w:ascii="宋体" w:hAnsi="宋体"/>
          <w:sz w:val="24"/>
          <w:szCs w:val="24"/>
          <w:lang w:val="en-US" w:eastAsia="zh-CN"/>
        </w:rPr>
        <w:t>A020619照明设备</w:t>
      </w:r>
      <w:r>
        <w:rPr>
          <w:rFonts w:hint="eastAsia" w:ascii="宋体" w:hAnsi="宋体"/>
          <w:sz w:val="24"/>
          <w:szCs w:val="24"/>
        </w:rPr>
        <w:t>；预算金额：</w:t>
      </w:r>
      <w:r>
        <w:rPr>
          <w:rFonts w:hint="eastAsia" w:ascii="宋体" w:hAnsi="宋体"/>
          <w:sz w:val="24"/>
          <w:szCs w:val="24"/>
          <w:lang w:val="en-US" w:eastAsia="zh-CN"/>
        </w:rPr>
        <w:t>57.8万</w:t>
      </w:r>
      <w:r>
        <w:rPr>
          <w:rFonts w:hint="eastAsia" w:ascii="宋体" w:hAnsi="宋体"/>
          <w:sz w:val="24"/>
          <w:szCs w:val="24"/>
        </w:rPr>
        <w:t>元；最高限价：</w:t>
      </w:r>
      <w:r>
        <w:rPr>
          <w:rFonts w:hint="eastAsia" w:ascii="宋体" w:hAnsi="宋体"/>
          <w:sz w:val="24"/>
          <w:szCs w:val="24"/>
          <w:lang w:val="en-US" w:eastAsia="zh-CN"/>
        </w:rPr>
        <w:t>56.64万</w:t>
      </w:r>
      <w:r>
        <w:rPr>
          <w:rFonts w:hint="eastAsia" w:ascii="宋体" w:hAnsi="宋体"/>
          <w:sz w:val="24"/>
          <w:szCs w:val="24"/>
        </w:rPr>
        <w:t>元；</w:t>
      </w:r>
      <w:r>
        <w:rPr>
          <w:rFonts w:hint="eastAsia" w:ascii="宋体" w:hAnsi="宋体"/>
          <w:sz w:val="24"/>
          <w:szCs w:val="24"/>
          <w:lang w:eastAsia="zh-CN"/>
        </w:rPr>
        <w:t>采购标的对应的中小企业划分标准所属行业：</w:t>
      </w:r>
      <w:r>
        <w:rPr>
          <w:rFonts w:hint="eastAsia" w:ascii="宋体" w:hAnsi="宋体"/>
          <w:sz w:val="24"/>
          <w:szCs w:val="24"/>
          <w:u w:val="single"/>
          <w:lang w:val="en-US" w:eastAsia="zh-CN"/>
        </w:rPr>
        <w:t xml:space="preserve">工业 </w:t>
      </w:r>
      <w:r>
        <w:rPr>
          <w:rFonts w:hint="eastAsia" w:ascii="宋体" w:hAnsi="宋体"/>
          <w:sz w:val="24"/>
          <w:szCs w:val="24"/>
        </w:rPr>
        <w:t>。</w:t>
      </w:r>
    </w:p>
    <w:p>
      <w:pPr>
        <w:widowControl/>
        <w:numPr>
          <w:ilvl w:val="0"/>
          <w:numId w:val="6"/>
        </w:numPr>
        <w:spacing w:after="200" w:line="360" w:lineRule="auto"/>
        <w:ind w:left="0" w:firstLine="567"/>
        <w:rPr>
          <w:rFonts w:ascii="宋体" w:hAnsi="宋体"/>
          <w:b/>
          <w:sz w:val="24"/>
          <w:szCs w:val="24"/>
        </w:rPr>
      </w:pPr>
      <w:r>
        <w:rPr>
          <w:rFonts w:hint="eastAsia" w:ascii="宋体" w:hAnsi="宋体"/>
          <w:b/>
          <w:sz w:val="24"/>
          <w:szCs w:val="24"/>
        </w:rPr>
        <w:t>供应商参加本次政府采购活动应具备的条件</w:t>
      </w:r>
    </w:p>
    <w:p>
      <w:pPr>
        <w:keepNext w:val="0"/>
        <w:keepLines w:val="0"/>
        <w:pageBreakBefore w:val="0"/>
        <w:widowControl w:val="0"/>
        <w:numPr>
          <w:ilvl w:val="1"/>
          <w:numId w:val="8"/>
        </w:numPr>
        <w:tabs>
          <w:tab w:val="left" w:pos="851"/>
          <w:tab w:val="left" w:pos="993"/>
        </w:tabs>
        <w:kinsoku/>
        <w:wordWrap/>
        <w:overflowPunct/>
        <w:topLinePunct w:val="0"/>
        <w:autoSpaceDE/>
        <w:autoSpaceDN/>
        <w:bidi w:val="0"/>
        <w:adjustRightInd/>
        <w:snapToGrid/>
        <w:spacing w:before="157" w:beforeLines="50" w:after="157" w:afterLines="50" w:line="400" w:lineRule="exact"/>
        <w:ind w:left="0" w:firstLine="567"/>
        <w:textAlignment w:val="auto"/>
        <w:rPr>
          <w:rFonts w:ascii="宋体" w:hAnsi="宋体"/>
          <w:sz w:val="24"/>
          <w:szCs w:val="24"/>
        </w:rPr>
      </w:pPr>
      <w:r>
        <w:rPr>
          <w:rFonts w:hint="eastAsia" w:ascii="宋体" w:hAnsi="宋体"/>
          <w:sz w:val="24"/>
          <w:szCs w:val="24"/>
        </w:rPr>
        <w:t>符合《政府采购法》第二十二条第一款规定的条件；</w:t>
      </w:r>
    </w:p>
    <w:p>
      <w:pPr>
        <w:keepNext w:val="0"/>
        <w:keepLines w:val="0"/>
        <w:pageBreakBefore w:val="0"/>
        <w:widowControl w:val="0"/>
        <w:numPr>
          <w:ilvl w:val="1"/>
          <w:numId w:val="8"/>
        </w:numPr>
        <w:tabs>
          <w:tab w:val="left" w:pos="851"/>
          <w:tab w:val="left" w:pos="993"/>
        </w:tabs>
        <w:kinsoku/>
        <w:wordWrap/>
        <w:overflowPunct/>
        <w:topLinePunct w:val="0"/>
        <w:autoSpaceDE/>
        <w:autoSpaceDN/>
        <w:bidi w:val="0"/>
        <w:adjustRightInd/>
        <w:snapToGrid/>
        <w:spacing w:before="157" w:beforeLines="50" w:after="157" w:afterLines="50" w:line="400" w:lineRule="exact"/>
        <w:ind w:left="0" w:firstLine="567"/>
        <w:textAlignment w:val="auto"/>
        <w:rPr>
          <w:rFonts w:ascii="宋体" w:hAnsi="宋体"/>
          <w:sz w:val="24"/>
          <w:szCs w:val="24"/>
        </w:rPr>
      </w:pPr>
      <w:r>
        <w:rPr>
          <w:rFonts w:hint="eastAsia" w:ascii="宋体" w:hAnsi="宋体"/>
          <w:b/>
          <w:bCs/>
          <w:sz w:val="24"/>
          <w:szCs w:val="24"/>
          <w:highlight w:val="yellow"/>
        </w:rPr>
        <w:t>本项目为专门面向中小企业采购项目</w:t>
      </w:r>
      <w:r>
        <w:rPr>
          <w:rFonts w:hint="eastAsia" w:ascii="宋体" w:hAnsi="宋体"/>
          <w:b/>
          <w:bCs/>
          <w:sz w:val="24"/>
          <w:szCs w:val="24"/>
        </w:rPr>
        <w:t>，供应商提供的货物全部由符合政策要求的中小企业制造。（说明：监狱企业、残疾人福利性单位视同小型、微型企业）</w:t>
      </w:r>
      <w:r>
        <w:rPr>
          <w:rFonts w:hint="eastAsia" w:ascii="宋体" w:hAnsi="宋体"/>
          <w:sz w:val="24"/>
          <w:szCs w:val="24"/>
        </w:rPr>
        <w:t>；</w:t>
      </w:r>
    </w:p>
    <w:p>
      <w:pPr>
        <w:keepNext w:val="0"/>
        <w:keepLines w:val="0"/>
        <w:pageBreakBefore w:val="0"/>
        <w:widowControl w:val="0"/>
        <w:numPr>
          <w:ilvl w:val="1"/>
          <w:numId w:val="8"/>
        </w:numPr>
        <w:tabs>
          <w:tab w:val="left" w:pos="851"/>
          <w:tab w:val="left" w:pos="993"/>
        </w:tabs>
        <w:kinsoku/>
        <w:wordWrap/>
        <w:overflowPunct/>
        <w:topLinePunct w:val="0"/>
        <w:autoSpaceDE/>
        <w:autoSpaceDN/>
        <w:bidi w:val="0"/>
        <w:adjustRightInd/>
        <w:snapToGrid/>
        <w:spacing w:before="157" w:beforeLines="50" w:after="157" w:afterLines="50" w:line="400" w:lineRule="exact"/>
        <w:ind w:left="0" w:firstLine="567"/>
        <w:textAlignment w:val="auto"/>
        <w:rPr>
          <w:rFonts w:ascii="宋体" w:hAnsi="宋体"/>
          <w:sz w:val="24"/>
          <w:szCs w:val="24"/>
        </w:rPr>
      </w:pPr>
      <w:r>
        <w:rPr>
          <w:rFonts w:hint="eastAsia" w:ascii="宋体" w:hAnsi="宋体"/>
          <w:sz w:val="24"/>
          <w:szCs w:val="24"/>
        </w:rPr>
        <w:t>未被列入失信被执行人、重大税收违法案件当事人名单、政府采购严重违法失信行为记录名单；</w:t>
      </w:r>
      <w:r>
        <w:rPr>
          <w:rFonts w:ascii="宋体" w:hAnsi="宋体"/>
          <w:sz w:val="24"/>
          <w:szCs w:val="24"/>
        </w:rPr>
        <w:t xml:space="preserve"> </w:t>
      </w:r>
    </w:p>
    <w:p>
      <w:pPr>
        <w:keepNext w:val="0"/>
        <w:keepLines w:val="0"/>
        <w:pageBreakBefore w:val="0"/>
        <w:widowControl w:val="0"/>
        <w:numPr>
          <w:ilvl w:val="1"/>
          <w:numId w:val="8"/>
        </w:numPr>
        <w:tabs>
          <w:tab w:val="left" w:pos="851"/>
          <w:tab w:val="left" w:pos="993"/>
        </w:tabs>
        <w:kinsoku/>
        <w:wordWrap/>
        <w:overflowPunct/>
        <w:topLinePunct w:val="0"/>
        <w:autoSpaceDE/>
        <w:autoSpaceDN/>
        <w:bidi w:val="0"/>
        <w:adjustRightInd/>
        <w:snapToGrid/>
        <w:spacing w:before="157" w:beforeLines="50" w:after="157" w:afterLines="50" w:line="400" w:lineRule="exact"/>
        <w:ind w:left="0" w:firstLine="567"/>
        <w:textAlignment w:val="auto"/>
        <w:rPr>
          <w:rFonts w:ascii="宋体" w:hAnsi="宋体"/>
          <w:sz w:val="24"/>
          <w:szCs w:val="24"/>
        </w:rPr>
      </w:pPr>
      <w:r>
        <w:rPr>
          <w:rFonts w:hint="eastAsia" w:ascii="宋体" w:hAnsi="宋体"/>
          <w:sz w:val="24"/>
          <w:szCs w:val="24"/>
        </w:rPr>
        <w:t>在行贿犯罪信息查询期限内，供应商及其现任法定代表人、主要负责人没有行贿犯罪记录；</w:t>
      </w:r>
    </w:p>
    <w:p>
      <w:pPr>
        <w:keepNext w:val="0"/>
        <w:keepLines w:val="0"/>
        <w:pageBreakBefore w:val="0"/>
        <w:widowControl w:val="0"/>
        <w:numPr>
          <w:ilvl w:val="1"/>
          <w:numId w:val="8"/>
        </w:numPr>
        <w:tabs>
          <w:tab w:val="left" w:pos="851"/>
          <w:tab w:val="left" w:pos="993"/>
        </w:tabs>
        <w:kinsoku/>
        <w:wordWrap/>
        <w:overflowPunct/>
        <w:topLinePunct w:val="0"/>
        <w:autoSpaceDE/>
        <w:autoSpaceDN/>
        <w:bidi w:val="0"/>
        <w:adjustRightInd/>
        <w:snapToGrid/>
        <w:spacing w:before="157" w:beforeLines="50" w:after="157" w:afterLines="50" w:line="400" w:lineRule="exact"/>
        <w:ind w:left="0" w:firstLine="567"/>
        <w:textAlignment w:val="auto"/>
        <w:rPr>
          <w:rFonts w:ascii="宋体" w:hAnsi="宋体"/>
          <w:sz w:val="24"/>
          <w:szCs w:val="24"/>
        </w:rPr>
      </w:pPr>
      <w:r>
        <w:rPr>
          <w:rFonts w:hint="eastAsia" w:ascii="宋体" w:hAnsi="宋体"/>
          <w:sz w:val="24"/>
          <w:szCs w:val="24"/>
        </w:rPr>
        <w:t>未处于被行政部门禁止参与政府采购活动的期限内；</w:t>
      </w:r>
    </w:p>
    <w:p>
      <w:pPr>
        <w:keepNext w:val="0"/>
        <w:keepLines w:val="0"/>
        <w:pageBreakBefore w:val="0"/>
        <w:widowControl w:val="0"/>
        <w:numPr>
          <w:ilvl w:val="1"/>
          <w:numId w:val="8"/>
        </w:numPr>
        <w:tabs>
          <w:tab w:val="left" w:pos="851"/>
          <w:tab w:val="left" w:pos="993"/>
        </w:tabs>
        <w:kinsoku/>
        <w:wordWrap/>
        <w:overflowPunct/>
        <w:topLinePunct w:val="0"/>
        <w:autoSpaceDE/>
        <w:autoSpaceDN/>
        <w:bidi w:val="0"/>
        <w:adjustRightInd/>
        <w:snapToGrid/>
        <w:spacing w:before="157" w:beforeLines="50" w:after="157" w:afterLines="50" w:line="400" w:lineRule="exact"/>
        <w:ind w:left="0" w:firstLine="567"/>
        <w:textAlignment w:val="auto"/>
        <w:rPr>
          <w:rFonts w:ascii="宋体" w:hAnsi="宋体"/>
          <w:sz w:val="24"/>
          <w:szCs w:val="24"/>
        </w:rPr>
      </w:pPr>
      <w:r>
        <w:rPr>
          <w:rFonts w:hint="eastAsia" w:ascii="宋体" w:hAnsi="宋体"/>
          <w:sz w:val="24"/>
          <w:szCs w:val="24"/>
        </w:rPr>
        <w:t>不属于国家相关法律法规规定的其他禁止参加政府采购活动的供应商；</w:t>
      </w:r>
    </w:p>
    <w:p>
      <w:pPr>
        <w:keepNext w:val="0"/>
        <w:keepLines w:val="0"/>
        <w:pageBreakBefore w:val="0"/>
        <w:widowControl w:val="0"/>
        <w:numPr>
          <w:ilvl w:val="1"/>
          <w:numId w:val="8"/>
        </w:numPr>
        <w:tabs>
          <w:tab w:val="left" w:pos="851"/>
          <w:tab w:val="left" w:pos="993"/>
        </w:tabs>
        <w:kinsoku/>
        <w:wordWrap/>
        <w:overflowPunct/>
        <w:topLinePunct w:val="0"/>
        <w:autoSpaceDE/>
        <w:autoSpaceDN/>
        <w:bidi w:val="0"/>
        <w:adjustRightInd/>
        <w:snapToGrid/>
        <w:spacing w:before="157" w:beforeLines="50" w:after="157" w:afterLines="50" w:line="400" w:lineRule="exact"/>
        <w:ind w:left="0" w:firstLine="567"/>
        <w:textAlignment w:val="auto"/>
        <w:rPr>
          <w:rFonts w:ascii="宋体" w:hAnsi="宋体"/>
          <w:sz w:val="24"/>
          <w:szCs w:val="24"/>
        </w:rPr>
      </w:pPr>
      <w:r>
        <w:rPr>
          <w:rFonts w:hint="eastAsia" w:ascii="宋体" w:hAnsi="宋体"/>
          <w:sz w:val="24"/>
          <w:szCs w:val="24"/>
        </w:rPr>
        <w:t>本项目不接受供应商以联合体的形式参加</w:t>
      </w:r>
    </w:p>
    <w:p>
      <w:pPr>
        <w:widowControl/>
        <w:numPr>
          <w:ilvl w:val="0"/>
          <w:numId w:val="6"/>
        </w:numPr>
        <w:spacing w:after="200" w:line="360" w:lineRule="auto"/>
        <w:ind w:left="0" w:firstLine="567"/>
        <w:rPr>
          <w:rFonts w:ascii="宋体" w:hAnsi="宋体"/>
          <w:b/>
          <w:sz w:val="24"/>
          <w:szCs w:val="24"/>
        </w:rPr>
      </w:pPr>
      <w:r>
        <w:rPr>
          <w:rFonts w:hint="eastAsia" w:ascii="宋体" w:hAnsi="宋体"/>
          <w:b/>
          <w:sz w:val="24"/>
          <w:szCs w:val="24"/>
        </w:rPr>
        <w:t>采购项目技术、服务、商务和报价要求</w:t>
      </w:r>
    </w:p>
    <w:p>
      <w:pPr>
        <w:widowControl/>
        <w:numPr>
          <w:ilvl w:val="0"/>
          <w:numId w:val="9"/>
        </w:numPr>
        <w:tabs>
          <w:tab w:val="left" w:pos="851"/>
        </w:tabs>
        <w:spacing w:after="200" w:line="360" w:lineRule="auto"/>
        <w:jc w:val="left"/>
        <w:rPr>
          <w:rFonts w:ascii="宋体" w:hAnsi="宋体"/>
          <w:sz w:val="24"/>
          <w:szCs w:val="24"/>
        </w:rPr>
      </w:pPr>
      <w:r>
        <w:rPr>
          <w:rFonts w:hint="eastAsia" w:ascii="宋体" w:hAnsi="宋体"/>
          <w:sz w:val="24"/>
          <w:szCs w:val="24"/>
        </w:rPr>
        <w:t>采购内容</w:t>
      </w:r>
    </w:p>
    <w:p>
      <w:pPr>
        <w:tabs>
          <w:tab w:val="left" w:pos="851"/>
        </w:tabs>
        <w:spacing w:line="360" w:lineRule="auto"/>
        <w:ind w:firstLine="480" w:firstLineChars="200"/>
        <w:rPr>
          <w:rFonts w:hint="eastAsia" w:ascii="仿宋" w:hAnsi="仿宋" w:eastAsia="仿宋"/>
          <w:bCs/>
          <w:sz w:val="24"/>
          <w:lang w:eastAsia="zh-CN"/>
        </w:rPr>
      </w:pPr>
      <w:r>
        <w:rPr>
          <w:rFonts w:hint="eastAsia" w:ascii="仿宋" w:hAnsi="仿宋" w:eastAsia="仿宋"/>
          <w:bCs/>
          <w:sz w:val="24"/>
        </w:rPr>
        <w:t>为落实 《成都市儿童青少年近视综合防控工作行动方案》，根据《成都市教育局等三部门关于印发成都市中小学（幼儿园）光环境提升工程实施方案的通知》要求，做好学校光环境提升工程相关工作，现拟对校园灯光设备进行改造。包含各类教室21间，各类功能室（含阅览室）13间</w:t>
      </w:r>
      <w:r>
        <w:rPr>
          <w:rFonts w:hint="eastAsia" w:ascii="仿宋" w:hAnsi="仿宋" w:eastAsia="仿宋"/>
          <w:bCs/>
          <w:sz w:val="24"/>
          <w:lang w:eastAsia="zh-CN"/>
        </w:rPr>
        <w:t>。</w:t>
      </w:r>
    </w:p>
    <w:p>
      <w:pPr>
        <w:tabs>
          <w:tab w:val="left" w:pos="851"/>
        </w:tabs>
        <w:spacing w:line="360" w:lineRule="auto"/>
        <w:ind w:firstLine="480" w:firstLineChars="200"/>
        <w:rPr>
          <w:rFonts w:ascii="宋体" w:hAnsi="宋体"/>
          <w:sz w:val="24"/>
          <w:szCs w:val="24"/>
        </w:rPr>
      </w:pPr>
      <w:r>
        <w:rPr>
          <w:rFonts w:hint="eastAsia" w:ascii="宋体" w:hAnsi="宋体"/>
          <w:sz w:val="24"/>
          <w:szCs w:val="24"/>
        </w:rPr>
        <w:t>具体采购内容见磋商文件</w:t>
      </w:r>
      <w:r>
        <w:rPr>
          <w:rFonts w:ascii="宋体" w:hAnsi="宋体"/>
          <w:sz w:val="24"/>
          <w:szCs w:val="24"/>
        </w:rPr>
        <w:t xml:space="preserve"> </w:t>
      </w:r>
      <w:r>
        <w:rPr>
          <w:rFonts w:hint="eastAsia" w:ascii="宋体" w:hAnsi="宋体"/>
          <w:sz w:val="24"/>
          <w:szCs w:val="24"/>
        </w:rPr>
        <w:t>“第</w:t>
      </w:r>
      <w:r>
        <w:rPr>
          <w:rFonts w:ascii="宋体" w:hAnsi="宋体"/>
          <w:sz w:val="24"/>
          <w:szCs w:val="24"/>
        </w:rPr>
        <w:t>4章项目技术、服务、商务及其他要求”。</w:t>
      </w:r>
    </w:p>
    <w:p>
      <w:pPr>
        <w:widowControl/>
        <w:numPr>
          <w:ilvl w:val="0"/>
          <w:numId w:val="9"/>
        </w:numPr>
        <w:tabs>
          <w:tab w:val="left" w:pos="851"/>
        </w:tabs>
        <w:spacing w:after="200" w:line="360" w:lineRule="auto"/>
        <w:jc w:val="left"/>
        <w:rPr>
          <w:rFonts w:ascii="宋体" w:hAnsi="宋体"/>
          <w:sz w:val="24"/>
          <w:szCs w:val="24"/>
        </w:rPr>
      </w:pPr>
      <w:r>
        <w:rPr>
          <w:rFonts w:hint="eastAsia" w:ascii="宋体" w:hAnsi="宋体"/>
          <w:sz w:val="24"/>
          <w:szCs w:val="24"/>
        </w:rPr>
        <w:t>技术、服务要求</w:t>
      </w:r>
    </w:p>
    <w:p>
      <w:pPr>
        <w:spacing w:line="360" w:lineRule="auto"/>
        <w:ind w:firstLine="480" w:firstLineChars="200"/>
        <w:rPr>
          <w:rFonts w:ascii="宋体" w:hAnsi="宋体"/>
          <w:sz w:val="24"/>
          <w:szCs w:val="24"/>
        </w:rPr>
      </w:pPr>
      <w:r>
        <w:rPr>
          <w:rFonts w:hint="eastAsia" w:ascii="宋体" w:hAnsi="宋体"/>
          <w:sz w:val="24"/>
          <w:szCs w:val="24"/>
        </w:rPr>
        <w:t>见磋商文件</w:t>
      </w:r>
      <w:r>
        <w:rPr>
          <w:rFonts w:ascii="宋体" w:hAnsi="宋体"/>
          <w:sz w:val="24"/>
          <w:szCs w:val="24"/>
        </w:rPr>
        <w:t xml:space="preserve"> </w:t>
      </w:r>
      <w:r>
        <w:rPr>
          <w:rFonts w:hint="eastAsia" w:ascii="宋体" w:hAnsi="宋体"/>
          <w:sz w:val="24"/>
          <w:szCs w:val="24"/>
        </w:rPr>
        <w:t>“第</w:t>
      </w:r>
      <w:r>
        <w:rPr>
          <w:rFonts w:ascii="宋体" w:hAnsi="宋体"/>
          <w:sz w:val="24"/>
          <w:szCs w:val="24"/>
        </w:rPr>
        <w:t>4章项目技术、服务、商务及其他要求”。</w:t>
      </w:r>
    </w:p>
    <w:p>
      <w:pPr>
        <w:widowControl/>
        <w:numPr>
          <w:ilvl w:val="0"/>
          <w:numId w:val="9"/>
        </w:numPr>
        <w:tabs>
          <w:tab w:val="left" w:pos="851"/>
        </w:tabs>
        <w:spacing w:after="200" w:line="360" w:lineRule="auto"/>
        <w:jc w:val="left"/>
        <w:rPr>
          <w:rFonts w:ascii="宋体" w:hAnsi="宋体"/>
          <w:sz w:val="24"/>
          <w:szCs w:val="24"/>
        </w:rPr>
      </w:pPr>
      <w:r>
        <w:rPr>
          <w:rFonts w:hint="eastAsia" w:ascii="宋体" w:hAnsi="宋体"/>
          <w:sz w:val="24"/>
          <w:szCs w:val="24"/>
        </w:rPr>
        <w:t>报价要求</w:t>
      </w:r>
    </w:p>
    <w:p>
      <w:pPr>
        <w:spacing w:line="360" w:lineRule="auto"/>
        <w:ind w:firstLine="482" w:firstLineChars="201"/>
        <w:rPr>
          <w:rFonts w:ascii="宋体" w:hAnsi="宋体"/>
          <w:sz w:val="24"/>
          <w:szCs w:val="24"/>
        </w:rPr>
      </w:pPr>
      <w:r>
        <w:rPr>
          <w:rFonts w:hint="eastAsia" w:ascii="宋体" w:hAnsi="宋体"/>
          <w:sz w:val="24"/>
          <w:szCs w:val="24"/>
        </w:rPr>
        <w:t>供应商按磋商文件要求进行报价。</w:t>
      </w:r>
    </w:p>
    <w:p>
      <w:pPr>
        <w:widowControl/>
        <w:numPr>
          <w:ilvl w:val="0"/>
          <w:numId w:val="6"/>
        </w:numPr>
        <w:spacing w:after="200" w:line="360" w:lineRule="auto"/>
        <w:ind w:left="0" w:firstLine="567"/>
        <w:rPr>
          <w:rFonts w:ascii="宋体" w:hAnsi="宋体"/>
          <w:sz w:val="24"/>
          <w:szCs w:val="24"/>
        </w:rPr>
      </w:pPr>
      <w:r>
        <w:rPr>
          <w:rFonts w:hint="eastAsia" w:ascii="宋体" w:hAnsi="宋体"/>
          <w:b/>
          <w:sz w:val="24"/>
          <w:szCs w:val="24"/>
        </w:rPr>
        <w:t>磋商文件获取时间</w:t>
      </w:r>
    </w:p>
    <w:p>
      <w:pPr>
        <w:spacing w:line="360" w:lineRule="auto"/>
        <w:ind w:firstLine="480" w:firstLineChars="200"/>
        <w:rPr>
          <w:rFonts w:ascii="宋体" w:hAnsi="宋体"/>
          <w:sz w:val="24"/>
          <w:szCs w:val="24"/>
        </w:rPr>
      </w:pPr>
      <w:r>
        <w:rPr>
          <w:rFonts w:hint="eastAsia" w:ascii="宋体" w:hAnsi="宋体"/>
          <w:sz w:val="24"/>
          <w:szCs w:val="24"/>
        </w:rPr>
        <w:t>（一）磋商文件获取时间：202</w:t>
      </w:r>
      <w:r>
        <w:rPr>
          <w:rFonts w:hint="eastAsia" w:ascii="宋体" w:hAnsi="宋体"/>
          <w:sz w:val="24"/>
          <w:szCs w:val="24"/>
          <w:lang w:val="en-US" w:eastAsia="zh-CN"/>
        </w:rPr>
        <w:t>2</w:t>
      </w:r>
      <w:r>
        <w:rPr>
          <w:rFonts w:hint="eastAsia" w:ascii="宋体" w:hAnsi="宋体"/>
          <w:sz w:val="24"/>
          <w:szCs w:val="24"/>
        </w:rPr>
        <w:t>年</w:t>
      </w:r>
      <w:r>
        <w:rPr>
          <w:rFonts w:hint="eastAsia" w:ascii="宋体" w:hAnsi="宋体"/>
          <w:sz w:val="24"/>
          <w:szCs w:val="24"/>
          <w:lang w:val="en-US" w:eastAsia="zh-CN"/>
        </w:rPr>
        <w:t>1</w:t>
      </w:r>
      <w:r>
        <w:rPr>
          <w:rFonts w:hint="eastAsia" w:ascii="宋体" w:hAnsi="宋体"/>
          <w:sz w:val="24"/>
          <w:szCs w:val="24"/>
        </w:rPr>
        <w:t>月</w:t>
      </w:r>
      <w:r>
        <w:rPr>
          <w:rFonts w:hint="eastAsia" w:ascii="宋体" w:hAnsi="宋体"/>
          <w:sz w:val="24"/>
          <w:szCs w:val="24"/>
          <w:lang w:val="en-US" w:eastAsia="zh-CN"/>
        </w:rPr>
        <w:t>13</w:t>
      </w:r>
      <w:r>
        <w:rPr>
          <w:rFonts w:hint="eastAsia" w:ascii="宋体" w:hAnsi="宋体"/>
          <w:sz w:val="24"/>
          <w:szCs w:val="24"/>
        </w:rPr>
        <w:t>日至</w:t>
      </w:r>
      <w:r>
        <w:rPr>
          <w:rFonts w:hint="eastAsia" w:ascii="宋体" w:hAnsi="宋体"/>
          <w:sz w:val="24"/>
          <w:szCs w:val="24"/>
          <w:lang w:val="en-US" w:eastAsia="zh-CN"/>
        </w:rPr>
        <w:t>2022年1月19</w:t>
      </w:r>
      <w:r>
        <w:rPr>
          <w:rFonts w:hint="eastAsia" w:ascii="宋体" w:hAnsi="宋体"/>
          <w:sz w:val="24"/>
          <w:szCs w:val="24"/>
        </w:rPr>
        <w:t>日。</w:t>
      </w:r>
    </w:p>
    <w:p>
      <w:pPr>
        <w:spacing w:line="360" w:lineRule="auto"/>
        <w:ind w:firstLine="480" w:firstLineChars="200"/>
        <w:rPr>
          <w:rFonts w:ascii="宋体" w:hAnsi="宋体"/>
          <w:sz w:val="24"/>
          <w:szCs w:val="24"/>
        </w:rPr>
      </w:pPr>
      <w:r>
        <w:rPr>
          <w:rFonts w:hint="eastAsia" w:ascii="宋体" w:hAnsi="宋体"/>
          <w:sz w:val="24"/>
          <w:szCs w:val="24"/>
        </w:rPr>
        <w:t>（二）公告期限：202</w:t>
      </w:r>
      <w:r>
        <w:rPr>
          <w:rFonts w:hint="eastAsia" w:ascii="宋体" w:hAnsi="宋体"/>
          <w:sz w:val="24"/>
          <w:szCs w:val="24"/>
          <w:lang w:val="en-US" w:eastAsia="zh-CN"/>
        </w:rPr>
        <w:t>2</w:t>
      </w:r>
      <w:r>
        <w:rPr>
          <w:rFonts w:hint="eastAsia" w:ascii="宋体" w:hAnsi="宋体"/>
          <w:sz w:val="24"/>
          <w:szCs w:val="24"/>
        </w:rPr>
        <w:t>年</w:t>
      </w:r>
      <w:r>
        <w:rPr>
          <w:rFonts w:hint="eastAsia" w:ascii="宋体" w:hAnsi="宋体"/>
          <w:sz w:val="24"/>
          <w:szCs w:val="24"/>
          <w:lang w:val="en-US" w:eastAsia="zh-CN"/>
        </w:rPr>
        <w:t>1</w:t>
      </w:r>
      <w:r>
        <w:rPr>
          <w:rFonts w:hint="eastAsia" w:ascii="宋体" w:hAnsi="宋体"/>
          <w:sz w:val="24"/>
          <w:szCs w:val="24"/>
        </w:rPr>
        <w:t>月</w:t>
      </w:r>
      <w:r>
        <w:rPr>
          <w:rFonts w:hint="eastAsia" w:ascii="宋体" w:hAnsi="宋体"/>
          <w:sz w:val="24"/>
          <w:szCs w:val="24"/>
          <w:lang w:val="en-US" w:eastAsia="zh-CN"/>
        </w:rPr>
        <w:t>13</w:t>
      </w:r>
      <w:r>
        <w:rPr>
          <w:rFonts w:hint="eastAsia" w:ascii="宋体" w:hAnsi="宋体"/>
          <w:sz w:val="24"/>
          <w:szCs w:val="24"/>
        </w:rPr>
        <w:t>日至</w:t>
      </w:r>
      <w:r>
        <w:rPr>
          <w:rFonts w:hint="eastAsia" w:ascii="宋体" w:hAnsi="宋体"/>
          <w:sz w:val="24"/>
          <w:szCs w:val="24"/>
          <w:lang w:val="en-US" w:eastAsia="zh-CN"/>
        </w:rPr>
        <w:t>2022年1月19</w:t>
      </w:r>
      <w:r>
        <w:rPr>
          <w:rFonts w:hint="eastAsia" w:ascii="宋体" w:hAnsi="宋体"/>
          <w:sz w:val="24"/>
          <w:szCs w:val="24"/>
        </w:rPr>
        <w:t>日。</w:t>
      </w:r>
    </w:p>
    <w:p>
      <w:pPr>
        <w:widowControl/>
        <w:numPr>
          <w:ilvl w:val="0"/>
          <w:numId w:val="6"/>
        </w:numPr>
        <w:spacing w:after="200" w:line="360" w:lineRule="auto"/>
        <w:ind w:left="0" w:firstLine="567"/>
        <w:rPr>
          <w:rFonts w:ascii="宋体" w:hAnsi="宋体"/>
          <w:b/>
          <w:sz w:val="24"/>
          <w:szCs w:val="21"/>
        </w:rPr>
      </w:pPr>
      <w:r>
        <w:rPr>
          <w:rFonts w:hint="eastAsia" w:ascii="宋体" w:hAnsi="宋体"/>
          <w:b/>
          <w:sz w:val="24"/>
          <w:szCs w:val="24"/>
        </w:rPr>
        <w:t>磋商</w:t>
      </w:r>
      <w:r>
        <w:rPr>
          <w:rFonts w:hint="eastAsia" w:ascii="宋体" w:hAnsi="宋体"/>
          <w:b/>
          <w:sz w:val="24"/>
          <w:szCs w:val="21"/>
        </w:rPr>
        <w:t>文件获取方式</w:t>
      </w:r>
    </w:p>
    <w:p>
      <w:pPr>
        <w:widowControl/>
        <w:tabs>
          <w:tab w:val="left" w:pos="1134"/>
        </w:tabs>
        <w:spacing w:after="200" w:line="400" w:lineRule="exact"/>
        <w:ind w:firstLine="484" w:firstLineChars="202"/>
        <w:jc w:val="left"/>
        <w:rPr>
          <w:rFonts w:ascii="宋体" w:hAnsi="宋体"/>
          <w:sz w:val="24"/>
          <w:szCs w:val="24"/>
        </w:rPr>
      </w:pPr>
      <w:r>
        <w:rPr>
          <w:rFonts w:hint="eastAsia" w:ascii="宋体" w:hAnsi="宋体"/>
          <w:sz w:val="24"/>
          <w:szCs w:val="24"/>
        </w:rPr>
        <w:t>供应商有意向参加本项目采购的，应在成都市公共资源交易服务中心“政府采购云平台（</w:t>
      </w:r>
      <w:r>
        <w:rPr>
          <w:rFonts w:ascii="宋体" w:hAnsi="宋体"/>
          <w:sz w:val="24"/>
          <w:szCs w:val="24"/>
        </w:rPr>
        <w:t>www.zcygov.cn）</w:t>
      </w:r>
      <w:r>
        <w:rPr>
          <w:rFonts w:hint="eastAsia" w:ascii="宋体" w:hAnsi="宋体"/>
          <w:sz w:val="24"/>
          <w:szCs w:val="24"/>
        </w:rPr>
        <w:t>”获取采购文件。登录政府采购云平台</w:t>
      </w:r>
      <w:r>
        <w:rPr>
          <w:rFonts w:ascii="宋体" w:hAnsi="宋体"/>
          <w:sz w:val="24"/>
          <w:szCs w:val="24"/>
        </w:rPr>
        <w:t>(www.zcygov.cn)—我的工作台—项目采购—获取采购文件—申请获取采购文件。</w:t>
      </w:r>
    </w:p>
    <w:p>
      <w:pPr>
        <w:widowControl/>
        <w:tabs>
          <w:tab w:val="left" w:pos="1134"/>
        </w:tabs>
        <w:spacing w:after="200" w:line="400" w:lineRule="exact"/>
        <w:ind w:firstLine="484" w:firstLineChars="202"/>
        <w:jc w:val="left"/>
        <w:rPr>
          <w:rFonts w:ascii="宋体" w:hAnsi="宋体"/>
          <w:sz w:val="24"/>
          <w:szCs w:val="24"/>
        </w:rPr>
      </w:pPr>
      <w:r>
        <w:rPr>
          <w:rFonts w:hint="eastAsia" w:ascii="宋体" w:hAnsi="宋体"/>
          <w:sz w:val="24"/>
          <w:szCs w:val="24"/>
        </w:rPr>
        <w:t>提示：</w:t>
      </w:r>
    </w:p>
    <w:p>
      <w:pPr>
        <w:widowControl/>
        <w:tabs>
          <w:tab w:val="left" w:pos="1134"/>
        </w:tabs>
        <w:spacing w:after="200" w:line="400" w:lineRule="exact"/>
        <w:ind w:firstLine="484" w:firstLineChars="202"/>
        <w:jc w:val="left"/>
        <w:rPr>
          <w:rFonts w:ascii="宋体" w:hAnsi="宋体"/>
          <w:sz w:val="24"/>
          <w:szCs w:val="24"/>
        </w:rPr>
      </w:pPr>
      <w:r>
        <w:rPr>
          <w:rFonts w:hint="eastAsia" w:ascii="宋体" w:hAnsi="宋体"/>
          <w:sz w:val="24"/>
          <w:szCs w:val="24"/>
        </w:rPr>
        <w:t>（</w:t>
      </w:r>
      <w:r>
        <w:rPr>
          <w:rFonts w:ascii="宋体" w:hAnsi="宋体"/>
          <w:sz w:val="24"/>
          <w:szCs w:val="24"/>
        </w:rPr>
        <w:t>1）本项目采购文件免费获取。</w:t>
      </w:r>
    </w:p>
    <w:p>
      <w:pPr>
        <w:widowControl/>
        <w:tabs>
          <w:tab w:val="left" w:pos="1134"/>
        </w:tabs>
        <w:spacing w:after="200" w:line="400" w:lineRule="exact"/>
        <w:ind w:firstLine="484" w:firstLineChars="202"/>
        <w:jc w:val="left"/>
        <w:rPr>
          <w:rFonts w:ascii="宋体" w:hAnsi="宋体"/>
          <w:sz w:val="24"/>
          <w:szCs w:val="24"/>
        </w:rPr>
      </w:pPr>
      <w:r>
        <w:rPr>
          <w:rFonts w:hint="eastAsia" w:ascii="宋体" w:hAnsi="宋体"/>
          <w:sz w:val="24"/>
          <w:szCs w:val="24"/>
        </w:rPr>
        <w:t>（</w:t>
      </w:r>
      <w:r>
        <w:rPr>
          <w:rFonts w:ascii="宋体" w:hAnsi="宋体"/>
          <w:sz w:val="24"/>
          <w:szCs w:val="24"/>
        </w:rPr>
        <w:t>2）成都市公共资源交易服务中心门户网站上采购公告附件内的采购文件仅供下载阅览使用，供应商只有在“政府采购云平台”完成获取采购文件申请并下载采购文件后才视作依法参与本项目。如未在“政府采购云平台”内完成相关流程，导致相关行为无效等后果的责任自负。</w:t>
      </w:r>
    </w:p>
    <w:p>
      <w:pPr>
        <w:widowControl/>
        <w:tabs>
          <w:tab w:val="left" w:pos="1134"/>
        </w:tabs>
        <w:spacing w:after="200" w:line="400" w:lineRule="exact"/>
        <w:ind w:firstLine="484" w:firstLineChars="202"/>
        <w:jc w:val="left"/>
        <w:rPr>
          <w:rFonts w:ascii="宋体" w:hAnsi="宋体"/>
          <w:sz w:val="24"/>
          <w:szCs w:val="24"/>
        </w:rPr>
      </w:pPr>
      <w:r>
        <w:rPr>
          <w:rFonts w:hint="eastAsia" w:ascii="宋体" w:hAnsi="宋体"/>
          <w:sz w:val="24"/>
          <w:szCs w:val="24"/>
        </w:rPr>
        <w:t>（</w:t>
      </w:r>
      <w:r>
        <w:rPr>
          <w:rFonts w:ascii="宋体" w:hAnsi="宋体"/>
          <w:sz w:val="24"/>
          <w:szCs w:val="24"/>
        </w:rPr>
        <w:t>3）首次登录</w:t>
      </w:r>
      <w:r>
        <w:rPr>
          <w:rFonts w:hint="eastAsia" w:ascii="宋体" w:hAnsi="宋体"/>
          <w:sz w:val="24"/>
          <w:szCs w:val="24"/>
        </w:rPr>
        <w:t>政府采购云平台</w:t>
      </w:r>
      <w:r>
        <w:rPr>
          <w:rFonts w:ascii="宋体" w:hAnsi="宋体"/>
          <w:sz w:val="24"/>
          <w:szCs w:val="24"/>
        </w:rPr>
        <w:t xml:space="preserve">(www.zcygov.cn)的新用户, </w:t>
      </w:r>
      <w:r>
        <w:rPr>
          <w:rFonts w:hint="eastAsia" w:ascii="宋体" w:hAnsi="宋体"/>
          <w:sz w:val="24"/>
          <w:szCs w:val="24"/>
        </w:rPr>
        <w:t>应先点击网页左上角切换至“成都市本级”，再点击“供应商入驻”，注册成功后即可登录。</w:t>
      </w:r>
    </w:p>
    <w:p>
      <w:pPr>
        <w:widowControl/>
        <w:tabs>
          <w:tab w:val="left" w:pos="1134"/>
        </w:tabs>
        <w:spacing w:after="200" w:line="400" w:lineRule="exact"/>
        <w:ind w:firstLine="484" w:firstLineChars="202"/>
        <w:jc w:val="left"/>
        <w:rPr>
          <w:rFonts w:ascii="宋体" w:hAnsi="宋体"/>
          <w:sz w:val="24"/>
          <w:szCs w:val="24"/>
        </w:rPr>
      </w:pPr>
      <w:r>
        <w:rPr>
          <w:rFonts w:hint="eastAsia" w:ascii="宋体" w:hAnsi="宋体"/>
          <w:sz w:val="24"/>
          <w:szCs w:val="24"/>
        </w:rPr>
        <w:t>（</w:t>
      </w:r>
      <w:r>
        <w:rPr>
          <w:rFonts w:ascii="宋体" w:hAnsi="宋体"/>
          <w:sz w:val="24"/>
          <w:szCs w:val="24"/>
        </w:rPr>
        <w:t>4）本项目为电子化采购项目，供应商参与本项目全过程中凡涉及系统操作请详见《成都市全流程电子化采购系统操作指南——供应商版》（操作指南请登录政府采购云平台后，点击“前台大厅—操作指南—供应商”处下载查看）。</w:t>
      </w:r>
    </w:p>
    <w:p>
      <w:pPr>
        <w:widowControl/>
        <w:numPr>
          <w:ilvl w:val="0"/>
          <w:numId w:val="6"/>
        </w:numPr>
        <w:spacing w:after="200" w:line="400" w:lineRule="exact"/>
        <w:ind w:left="0" w:firstLine="567"/>
        <w:rPr>
          <w:rFonts w:ascii="宋体" w:hAnsi="宋体"/>
          <w:sz w:val="24"/>
          <w:szCs w:val="24"/>
        </w:rPr>
      </w:pPr>
      <w:r>
        <w:rPr>
          <w:rFonts w:hint="eastAsia" w:ascii="宋体" w:hAnsi="宋体"/>
          <w:b/>
          <w:sz w:val="24"/>
          <w:szCs w:val="24"/>
        </w:rPr>
        <w:t>磋商文件获取地点</w:t>
      </w:r>
      <w:r>
        <w:rPr>
          <w:rFonts w:hint="eastAsia" w:ascii="宋体" w:hAnsi="宋体"/>
          <w:sz w:val="24"/>
          <w:szCs w:val="24"/>
        </w:rPr>
        <w:t>：登录政府采购云平台（www.zcygov.cn）获取。</w:t>
      </w:r>
    </w:p>
    <w:p>
      <w:pPr>
        <w:widowControl/>
        <w:numPr>
          <w:ilvl w:val="0"/>
          <w:numId w:val="6"/>
        </w:numPr>
        <w:spacing w:after="200" w:line="400" w:lineRule="exact"/>
        <w:ind w:left="0" w:firstLine="487" w:firstLineChars="202"/>
        <w:rPr>
          <w:rFonts w:ascii="宋体" w:hAnsi="宋体"/>
          <w:sz w:val="24"/>
          <w:szCs w:val="24"/>
        </w:rPr>
      </w:pPr>
      <w:r>
        <w:rPr>
          <w:rFonts w:hint="eastAsia" w:ascii="宋体" w:hAnsi="宋体"/>
          <w:b/>
          <w:sz w:val="24"/>
          <w:szCs w:val="24"/>
          <w:lang w:eastAsia="zh-CN"/>
        </w:rPr>
        <w:t>首次</w:t>
      </w:r>
      <w:r>
        <w:rPr>
          <w:rFonts w:hint="eastAsia" w:ascii="宋体" w:hAnsi="宋体"/>
          <w:b/>
          <w:sz w:val="24"/>
          <w:szCs w:val="24"/>
        </w:rPr>
        <w:t>响应文件提交截止时间、方式及开启时间（北京时间）</w:t>
      </w:r>
    </w:p>
    <w:p>
      <w:pPr>
        <w:spacing w:line="400" w:lineRule="exact"/>
        <w:ind w:firstLine="484" w:firstLineChars="202"/>
        <w:rPr>
          <w:rFonts w:ascii="宋体" w:hAnsi="宋体"/>
          <w:sz w:val="24"/>
          <w:szCs w:val="24"/>
        </w:rPr>
      </w:pPr>
      <w:r>
        <w:rPr>
          <w:rFonts w:hint="eastAsia" w:ascii="宋体" w:hAnsi="宋体"/>
          <w:sz w:val="24"/>
          <w:szCs w:val="24"/>
        </w:rPr>
        <w:t>（一）首次提交响应文件截止时间及开启时间：202</w:t>
      </w:r>
      <w:r>
        <w:rPr>
          <w:rFonts w:hint="eastAsia" w:ascii="宋体" w:hAnsi="宋体"/>
          <w:sz w:val="24"/>
          <w:szCs w:val="24"/>
          <w:lang w:val="en-US" w:eastAsia="zh-CN"/>
        </w:rPr>
        <w:t>2</w:t>
      </w:r>
      <w:r>
        <w:rPr>
          <w:rFonts w:hint="eastAsia" w:ascii="宋体" w:hAnsi="宋体"/>
          <w:sz w:val="24"/>
          <w:szCs w:val="24"/>
        </w:rPr>
        <w:t>年</w:t>
      </w:r>
      <w:r>
        <w:rPr>
          <w:rFonts w:hint="eastAsia" w:ascii="宋体" w:hAnsi="宋体"/>
          <w:sz w:val="24"/>
          <w:szCs w:val="24"/>
          <w:lang w:val="en-US" w:eastAsia="zh-CN"/>
        </w:rPr>
        <w:t>1</w:t>
      </w:r>
      <w:r>
        <w:rPr>
          <w:rFonts w:hint="eastAsia" w:ascii="宋体" w:hAnsi="宋体"/>
          <w:sz w:val="24"/>
          <w:szCs w:val="24"/>
        </w:rPr>
        <w:t>月</w:t>
      </w:r>
      <w:r>
        <w:rPr>
          <w:rFonts w:hint="eastAsia" w:ascii="宋体" w:hAnsi="宋体"/>
          <w:sz w:val="24"/>
          <w:szCs w:val="24"/>
          <w:lang w:val="en-US" w:eastAsia="zh-CN"/>
        </w:rPr>
        <w:t>24</w:t>
      </w:r>
      <w:r>
        <w:rPr>
          <w:rFonts w:hint="eastAsia" w:ascii="宋体" w:hAnsi="宋体"/>
          <w:sz w:val="24"/>
          <w:szCs w:val="24"/>
        </w:rPr>
        <w:t>日上午</w:t>
      </w:r>
      <w:r>
        <w:rPr>
          <w:rFonts w:hint="eastAsia" w:ascii="宋体" w:hAnsi="宋体"/>
          <w:sz w:val="24"/>
          <w:szCs w:val="24"/>
          <w:lang w:val="en-US" w:eastAsia="zh-CN"/>
        </w:rPr>
        <w:t>10:00</w:t>
      </w:r>
      <w:r>
        <w:rPr>
          <w:rFonts w:hint="eastAsia" w:ascii="宋体" w:hAnsi="宋体"/>
          <w:sz w:val="24"/>
          <w:szCs w:val="24"/>
        </w:rPr>
        <w:t>。</w:t>
      </w:r>
    </w:p>
    <w:p>
      <w:pPr>
        <w:spacing w:line="400" w:lineRule="exact"/>
        <w:ind w:firstLine="480" w:firstLineChars="200"/>
        <w:rPr>
          <w:rFonts w:hint="eastAsia" w:ascii="宋体" w:hAnsi="宋体"/>
          <w:sz w:val="24"/>
          <w:szCs w:val="24"/>
        </w:rPr>
      </w:pPr>
      <w:r>
        <w:rPr>
          <w:rFonts w:hint="eastAsia" w:ascii="宋体" w:hAnsi="宋体"/>
          <w:sz w:val="24"/>
          <w:szCs w:val="24"/>
        </w:rPr>
        <w:t>（二）首次响应文件提交方式、地点：提交截止时间前，供应商应将加密的首次响应文件提交至“政府采购云平台” （www.zcygov.cn）对应项目（包件）。</w:t>
      </w:r>
    </w:p>
    <w:p>
      <w:pPr>
        <w:widowControl/>
        <w:numPr>
          <w:ilvl w:val="0"/>
          <w:numId w:val="0"/>
        </w:numPr>
        <w:spacing w:after="200" w:line="400" w:lineRule="exact"/>
        <w:ind w:left="7" w:leftChars="0" w:firstLine="559" w:firstLineChars="233"/>
        <w:rPr>
          <w:rFonts w:ascii="宋体" w:hAnsi="宋体"/>
          <w:sz w:val="24"/>
          <w:szCs w:val="24"/>
        </w:rPr>
      </w:pPr>
      <w:r>
        <w:rPr>
          <w:rFonts w:hint="eastAsia" w:ascii="宋体" w:hAnsi="宋体"/>
          <w:sz w:val="24"/>
          <w:szCs w:val="24"/>
        </w:rPr>
        <w:t>本项目只接受供应商加密并提交至“政府采购云平台” （www.zcygov.cn）的响应文件。</w:t>
      </w:r>
    </w:p>
    <w:p>
      <w:pPr>
        <w:widowControl/>
        <w:numPr>
          <w:ilvl w:val="0"/>
          <w:numId w:val="6"/>
        </w:numPr>
        <w:spacing w:after="200" w:line="400" w:lineRule="exact"/>
        <w:ind w:left="0" w:firstLine="567"/>
        <w:rPr>
          <w:rFonts w:ascii="宋体" w:hAnsi="宋体"/>
          <w:sz w:val="24"/>
          <w:szCs w:val="24"/>
        </w:rPr>
      </w:pPr>
      <w:r>
        <w:rPr>
          <w:rFonts w:hint="eastAsia" w:ascii="宋体" w:hAnsi="宋体"/>
          <w:b/>
          <w:sz w:val="24"/>
          <w:szCs w:val="24"/>
        </w:rPr>
        <w:t>递交响应文件地点及磋商地点</w:t>
      </w:r>
    </w:p>
    <w:p>
      <w:pPr>
        <w:widowControl/>
        <w:spacing w:after="200" w:line="400" w:lineRule="exact"/>
        <w:ind w:left="567"/>
        <w:rPr>
          <w:rFonts w:ascii="宋体" w:hAnsi="宋体"/>
          <w:sz w:val="24"/>
          <w:szCs w:val="24"/>
        </w:rPr>
      </w:pPr>
      <w:r>
        <w:rPr>
          <w:rFonts w:hint="eastAsia" w:ascii="宋体" w:hAnsi="宋体"/>
          <w:sz w:val="24"/>
          <w:szCs w:val="24"/>
        </w:rPr>
        <w:t>本项目为不见面磋商。</w:t>
      </w:r>
    </w:p>
    <w:p>
      <w:pPr>
        <w:widowControl/>
        <w:spacing w:after="200" w:line="400" w:lineRule="exact"/>
        <w:ind w:left="567"/>
        <w:rPr>
          <w:rFonts w:ascii="宋体" w:hAnsi="宋体"/>
          <w:sz w:val="24"/>
          <w:szCs w:val="24"/>
        </w:rPr>
      </w:pPr>
      <w:r>
        <w:rPr>
          <w:rFonts w:hint="eastAsia" w:ascii="宋体" w:hAnsi="宋体"/>
          <w:sz w:val="24"/>
          <w:szCs w:val="24"/>
        </w:rPr>
        <w:t>磋商地点：政府采购云平台开标大厅。</w:t>
      </w:r>
    </w:p>
    <w:p>
      <w:pPr>
        <w:widowControl/>
        <w:numPr>
          <w:ilvl w:val="0"/>
          <w:numId w:val="6"/>
        </w:numPr>
        <w:spacing w:after="200" w:line="400" w:lineRule="exact"/>
        <w:ind w:left="0" w:firstLine="567"/>
        <w:rPr>
          <w:rFonts w:ascii="宋体" w:hAnsi="宋体"/>
          <w:sz w:val="24"/>
          <w:szCs w:val="24"/>
        </w:rPr>
      </w:pPr>
      <w:r>
        <w:rPr>
          <w:rFonts w:hint="eastAsia" w:ascii="宋体" w:hAnsi="宋体"/>
          <w:b/>
          <w:sz w:val="24"/>
          <w:szCs w:val="24"/>
        </w:rPr>
        <w:t>政府采购合同信用融资</w:t>
      </w:r>
    </w:p>
    <w:p>
      <w:pPr>
        <w:spacing w:line="400" w:lineRule="exact"/>
        <w:ind w:firstLine="480" w:firstLineChars="200"/>
        <w:rPr>
          <w:rFonts w:ascii="宋体" w:hAnsi="宋体"/>
          <w:sz w:val="24"/>
          <w:szCs w:val="24"/>
        </w:rPr>
      </w:pPr>
      <w:r>
        <w:rPr>
          <w:rFonts w:ascii="宋体" w:hAnsi="宋体"/>
          <w:sz w:val="24"/>
          <w:szCs w:val="24"/>
        </w:rPr>
        <w:t>本项目支持成交中小企业凭借政府采购合同向相关金融机构申请信用融资。具体内容详见《成都市财政局中国人民银行成都分行营业管理部关于印发〈成都市中小企业政府采购信用融资暂行办法〉和〈成都市级支持中小企业政府采购信用融资实施方案〉的通知》（成财采〔2019〕17号）、《成都市财政局关于增补“蓉采贷”政策合作银行及做好相关工作的通知》（成财采发〔2020〕20号）、《成都市武侯区财政局关于印发〈成都市武侯区支持中小企业政府采购融资实施方案〉的通知》（成武财采〔2019〕6号）。</w:t>
      </w:r>
    </w:p>
    <w:p>
      <w:pPr>
        <w:widowControl/>
        <w:numPr>
          <w:ilvl w:val="0"/>
          <w:numId w:val="6"/>
        </w:numPr>
        <w:spacing w:after="200" w:line="400" w:lineRule="exact"/>
        <w:ind w:left="0" w:firstLine="567"/>
        <w:rPr>
          <w:rFonts w:ascii="宋体" w:hAnsi="宋体"/>
          <w:b/>
          <w:sz w:val="24"/>
          <w:szCs w:val="24"/>
        </w:rPr>
      </w:pPr>
      <w:r>
        <w:rPr>
          <w:rFonts w:hint="eastAsia" w:ascii="宋体" w:hAnsi="宋体"/>
          <w:b/>
          <w:sz w:val="24"/>
          <w:szCs w:val="24"/>
        </w:rPr>
        <w:t>联系人及联系电话</w:t>
      </w:r>
    </w:p>
    <w:p>
      <w:pPr>
        <w:spacing w:line="400" w:lineRule="exact"/>
        <w:ind w:firstLine="420" w:firstLineChars="150"/>
        <w:rPr>
          <w:rFonts w:ascii="宋体" w:hAnsi="宋体"/>
          <w:b/>
          <w:color w:val="FF0000"/>
          <w:sz w:val="24"/>
          <w:szCs w:val="24"/>
        </w:rPr>
      </w:pPr>
      <w:r>
        <w:rPr>
          <w:rFonts w:hint="eastAsia" w:ascii="华文中宋" w:hAnsi="华文中宋" w:eastAsia="华文中宋"/>
          <w:spacing w:val="20"/>
          <w:sz w:val="24"/>
          <w:szCs w:val="24"/>
        </w:rPr>
        <w:t>采购人：成都市弟维小学</w:t>
      </w:r>
    </w:p>
    <w:p>
      <w:pPr>
        <w:spacing w:line="400" w:lineRule="exact"/>
        <w:ind w:firstLine="604" w:firstLineChars="252"/>
        <w:rPr>
          <w:rFonts w:ascii="宋体" w:hAnsi="宋体"/>
          <w:sz w:val="24"/>
          <w:szCs w:val="24"/>
        </w:rPr>
      </w:pPr>
      <w:r>
        <w:rPr>
          <w:rFonts w:hint="eastAsia" w:ascii="宋体" w:hAnsi="宋体"/>
          <w:sz w:val="24"/>
          <w:szCs w:val="24"/>
        </w:rPr>
        <w:t>地  址：</w:t>
      </w:r>
      <w:r>
        <w:rPr>
          <w:rFonts w:ascii="宋体" w:hAnsi="宋体" w:eastAsia="宋体" w:cs="宋体"/>
          <w:sz w:val="24"/>
          <w:szCs w:val="24"/>
        </w:rPr>
        <w:t>成都市武侯区玉林街道黉门街25号弟维小学</w:t>
      </w:r>
    </w:p>
    <w:p>
      <w:pPr>
        <w:spacing w:line="400" w:lineRule="exact"/>
        <w:ind w:firstLine="604" w:firstLineChars="252"/>
        <w:rPr>
          <w:rFonts w:ascii="宋体" w:hAnsi="宋体"/>
          <w:sz w:val="24"/>
          <w:szCs w:val="24"/>
        </w:rPr>
      </w:pPr>
      <w:r>
        <w:rPr>
          <w:rFonts w:hint="eastAsia" w:ascii="宋体" w:hAnsi="宋体"/>
          <w:sz w:val="24"/>
          <w:szCs w:val="24"/>
        </w:rPr>
        <w:t>邮  编：610041</w:t>
      </w:r>
    </w:p>
    <w:p>
      <w:pPr>
        <w:spacing w:line="400" w:lineRule="exact"/>
        <w:ind w:firstLine="604" w:firstLineChars="252"/>
        <w:rPr>
          <w:rFonts w:hint="eastAsia" w:ascii="宋体" w:hAnsi="宋体" w:eastAsia="宋体"/>
          <w:sz w:val="24"/>
          <w:szCs w:val="24"/>
          <w:lang w:eastAsia="zh-CN"/>
        </w:rPr>
      </w:pPr>
      <w:r>
        <w:rPr>
          <w:rFonts w:hint="eastAsia" w:ascii="宋体" w:hAnsi="宋体"/>
          <w:sz w:val="24"/>
          <w:szCs w:val="24"/>
        </w:rPr>
        <w:t xml:space="preserve">联系人： </w:t>
      </w:r>
      <w:r>
        <w:rPr>
          <w:rFonts w:hint="eastAsia" w:ascii="宋体" w:hAnsi="宋体"/>
          <w:sz w:val="24"/>
          <w:szCs w:val="24"/>
          <w:lang w:eastAsia="zh-CN"/>
        </w:rPr>
        <w:t>刘懿</w:t>
      </w:r>
    </w:p>
    <w:p>
      <w:pPr>
        <w:spacing w:line="400" w:lineRule="exact"/>
        <w:ind w:firstLine="604" w:firstLineChars="252"/>
        <w:rPr>
          <w:rFonts w:hint="default" w:ascii="宋体" w:hAnsi="宋体" w:eastAsia="宋体"/>
          <w:sz w:val="24"/>
          <w:szCs w:val="24"/>
          <w:lang w:val="en-US" w:eastAsia="zh-CN"/>
        </w:rPr>
      </w:pPr>
      <w:r>
        <w:rPr>
          <w:rFonts w:hint="eastAsia" w:ascii="宋体" w:hAnsi="宋体"/>
          <w:sz w:val="24"/>
          <w:szCs w:val="24"/>
        </w:rPr>
        <w:t>联系电话：</w:t>
      </w:r>
      <w:r>
        <w:rPr>
          <w:rFonts w:hint="eastAsia" w:ascii="宋体" w:hAnsi="宋体"/>
          <w:sz w:val="24"/>
          <w:szCs w:val="24"/>
          <w:lang w:val="en-US" w:eastAsia="zh-CN"/>
        </w:rPr>
        <w:t>028-85551339-305</w:t>
      </w:r>
    </w:p>
    <w:p>
      <w:pPr>
        <w:spacing w:line="400" w:lineRule="exact"/>
        <w:ind w:firstLine="487" w:firstLineChars="202"/>
        <w:rPr>
          <w:rFonts w:ascii="宋体" w:hAnsi="宋体"/>
          <w:b/>
          <w:sz w:val="24"/>
          <w:szCs w:val="24"/>
        </w:rPr>
      </w:pPr>
      <w:r>
        <w:rPr>
          <w:rFonts w:hint="eastAsia" w:ascii="宋体" w:hAnsi="宋体"/>
          <w:b/>
          <w:sz w:val="24"/>
          <w:szCs w:val="24"/>
        </w:rPr>
        <w:t>集中采购机构：成都市武侯区政府采购中心</w:t>
      </w:r>
    </w:p>
    <w:p>
      <w:pPr>
        <w:spacing w:line="400" w:lineRule="exact"/>
        <w:ind w:firstLine="484" w:firstLineChars="202"/>
        <w:rPr>
          <w:rFonts w:ascii="宋体" w:hAnsi="宋体"/>
          <w:sz w:val="22"/>
          <w:szCs w:val="22"/>
        </w:rPr>
      </w:pPr>
      <w:r>
        <w:rPr>
          <w:rFonts w:hint="eastAsia" w:ascii="宋体" w:hAnsi="宋体"/>
          <w:sz w:val="24"/>
          <w:szCs w:val="24"/>
        </w:rPr>
        <w:t xml:space="preserve"> 地  址：</w:t>
      </w:r>
      <w:r>
        <w:rPr>
          <w:rFonts w:hint="eastAsia" w:ascii="宋体" w:hAnsi="宋体"/>
          <w:sz w:val="22"/>
          <w:szCs w:val="22"/>
          <w:lang w:eastAsia="zh-CN"/>
        </w:rPr>
        <w:t>成都市武侯区武科西五路360号武侯区市民中心2栋5单元 5楼</w:t>
      </w:r>
    </w:p>
    <w:p>
      <w:pPr>
        <w:spacing w:line="400" w:lineRule="exact"/>
        <w:ind w:firstLine="484" w:firstLineChars="202"/>
        <w:rPr>
          <w:rFonts w:ascii="宋体" w:hAnsi="宋体"/>
          <w:sz w:val="24"/>
          <w:szCs w:val="24"/>
        </w:rPr>
      </w:pPr>
      <w:r>
        <w:rPr>
          <w:rFonts w:hint="eastAsia" w:ascii="宋体" w:hAnsi="宋体"/>
          <w:sz w:val="24"/>
          <w:szCs w:val="24"/>
        </w:rPr>
        <w:t xml:space="preserve"> 邮  编：610041</w:t>
      </w:r>
    </w:p>
    <w:p>
      <w:pPr>
        <w:spacing w:line="400" w:lineRule="exact"/>
        <w:ind w:firstLine="604" w:firstLineChars="252"/>
        <w:rPr>
          <w:rFonts w:hint="eastAsia" w:ascii="宋体" w:hAnsi="宋体" w:eastAsia="宋体"/>
          <w:sz w:val="24"/>
          <w:szCs w:val="24"/>
          <w:lang w:eastAsia="zh-CN"/>
        </w:rPr>
      </w:pPr>
      <w:r>
        <w:rPr>
          <w:rFonts w:hint="eastAsia" w:ascii="宋体" w:hAnsi="宋体"/>
          <w:sz w:val="24"/>
          <w:szCs w:val="24"/>
        </w:rPr>
        <w:t>联系人：</w:t>
      </w:r>
      <w:r>
        <w:rPr>
          <w:rFonts w:hint="eastAsia" w:ascii="宋体" w:hAnsi="宋体"/>
          <w:sz w:val="24"/>
          <w:szCs w:val="24"/>
          <w:lang w:eastAsia="zh-CN"/>
        </w:rPr>
        <w:t>黄芙娜</w:t>
      </w:r>
    </w:p>
    <w:p>
      <w:pPr>
        <w:spacing w:line="400" w:lineRule="exact"/>
        <w:ind w:firstLine="604" w:firstLineChars="252"/>
        <w:rPr>
          <w:rFonts w:hint="default" w:ascii="宋体" w:hAnsi="宋体" w:eastAsia="宋体"/>
          <w:sz w:val="24"/>
          <w:szCs w:val="24"/>
          <w:lang w:val="en-US" w:eastAsia="zh-CN"/>
        </w:rPr>
      </w:pPr>
      <w:r>
        <w:rPr>
          <w:rFonts w:hint="eastAsia" w:ascii="宋体" w:hAnsi="宋体"/>
          <w:sz w:val="24"/>
          <w:szCs w:val="24"/>
        </w:rPr>
        <w:t>联系电话：</w:t>
      </w:r>
      <w:r>
        <w:rPr>
          <w:rFonts w:hint="eastAsia" w:ascii="宋体" w:hAnsi="宋体"/>
          <w:sz w:val="24"/>
          <w:szCs w:val="24"/>
          <w:lang w:val="en-US" w:eastAsia="zh-CN"/>
        </w:rPr>
        <w:t>082-85557213</w:t>
      </w:r>
    </w:p>
    <w:p>
      <w:pPr>
        <w:spacing w:line="400" w:lineRule="exact"/>
        <w:ind w:firstLine="607" w:firstLineChars="252"/>
        <w:rPr>
          <w:rFonts w:ascii="宋体" w:hAnsi="宋体"/>
          <w:sz w:val="24"/>
          <w:szCs w:val="24"/>
        </w:rPr>
      </w:pPr>
      <w:r>
        <w:rPr>
          <w:rFonts w:hint="eastAsia" w:ascii="宋体" w:hAnsi="宋体"/>
          <w:b/>
          <w:sz w:val="24"/>
          <w:szCs w:val="24"/>
        </w:rPr>
        <w:t>技术支持电话：</w:t>
      </w:r>
      <w:r>
        <w:rPr>
          <w:rFonts w:ascii="宋体" w:hAnsi="宋体"/>
          <w:sz w:val="24"/>
          <w:szCs w:val="24"/>
        </w:rPr>
        <w:t>400-881-7190</w:t>
      </w:r>
    </w:p>
    <w:p>
      <w:pPr>
        <w:spacing w:line="400" w:lineRule="exact"/>
        <w:ind w:firstLine="482" w:firstLineChars="200"/>
        <w:rPr>
          <w:rFonts w:ascii="宋体" w:hAnsi="宋体"/>
          <w:b/>
          <w:sz w:val="24"/>
          <w:szCs w:val="24"/>
        </w:rPr>
      </w:pPr>
      <w:bookmarkStart w:id="2" w:name="_Toc58943324"/>
      <w:bookmarkStart w:id="3" w:name="_Toc391885334"/>
      <w:bookmarkStart w:id="4" w:name="_Toc287623638"/>
      <w:bookmarkStart w:id="5" w:name="_Toc381263230"/>
      <w:r>
        <w:rPr>
          <w:rFonts w:hint="eastAsia" w:ascii="宋体" w:hAnsi="宋体"/>
          <w:b/>
          <w:sz w:val="24"/>
          <w:szCs w:val="24"/>
        </w:rPr>
        <w:t>集中采购监督机构：成都市武侯区财政局</w:t>
      </w:r>
    </w:p>
    <w:p>
      <w:pPr>
        <w:spacing w:line="400" w:lineRule="exact"/>
        <w:ind w:firstLine="480" w:firstLineChars="200"/>
        <w:rPr>
          <w:rFonts w:hint="eastAsia" w:ascii="宋体" w:hAnsi="宋体"/>
          <w:sz w:val="22"/>
          <w:szCs w:val="22"/>
          <w:lang w:eastAsia="zh-CN"/>
        </w:rPr>
      </w:pPr>
      <w:r>
        <w:rPr>
          <w:rFonts w:hint="eastAsia" w:ascii="宋体" w:hAnsi="宋体"/>
          <w:sz w:val="24"/>
          <w:szCs w:val="24"/>
        </w:rPr>
        <w:t>地 址：</w:t>
      </w:r>
      <w:r>
        <w:rPr>
          <w:rFonts w:hint="eastAsia" w:ascii="宋体" w:hAnsi="宋体"/>
          <w:sz w:val="22"/>
          <w:szCs w:val="22"/>
          <w:lang w:eastAsia="zh-CN"/>
        </w:rPr>
        <w:t>成都市武侯区武科西五路360号武侯区市民中心2栋5单元801室</w:t>
      </w:r>
    </w:p>
    <w:p>
      <w:pPr>
        <w:tabs>
          <w:tab w:val="left" w:pos="900"/>
        </w:tabs>
        <w:spacing w:line="400" w:lineRule="exact"/>
        <w:ind w:firstLine="480" w:firstLineChars="200"/>
        <w:rPr>
          <w:rFonts w:ascii="宋体" w:hAnsi="宋体" w:cstheme="minorBidi"/>
          <w:sz w:val="24"/>
          <w:szCs w:val="24"/>
        </w:rPr>
      </w:pPr>
      <w:r>
        <w:rPr>
          <w:rFonts w:hint="eastAsia" w:ascii="宋体" w:hAnsi="宋体" w:cstheme="minorBidi"/>
          <w:sz w:val="24"/>
          <w:szCs w:val="24"/>
        </w:rPr>
        <w:t>联系电话：</w:t>
      </w:r>
      <w:r>
        <w:rPr>
          <w:rFonts w:ascii="宋体" w:hAnsi="宋体" w:cstheme="minorBidi"/>
          <w:sz w:val="24"/>
          <w:szCs w:val="24"/>
        </w:rPr>
        <w:t>028-85558345</w:t>
      </w:r>
    </w:p>
    <w:p>
      <w:pPr>
        <w:tabs>
          <w:tab w:val="left" w:pos="900"/>
        </w:tabs>
        <w:spacing w:line="360" w:lineRule="auto"/>
        <w:ind w:firstLine="480" w:firstLineChars="200"/>
        <w:rPr>
          <w:rFonts w:ascii="宋体" w:hAnsi="宋体" w:cstheme="minorBidi"/>
          <w:sz w:val="24"/>
          <w:szCs w:val="24"/>
        </w:rPr>
      </w:pPr>
    </w:p>
    <w:p>
      <w:pPr>
        <w:tabs>
          <w:tab w:val="left" w:pos="900"/>
        </w:tabs>
        <w:spacing w:line="360" w:lineRule="auto"/>
        <w:ind w:firstLine="480" w:firstLineChars="200"/>
        <w:rPr>
          <w:rFonts w:ascii="宋体" w:hAnsi="宋体" w:cstheme="minorBidi"/>
          <w:sz w:val="24"/>
          <w:szCs w:val="24"/>
        </w:rPr>
      </w:pPr>
    </w:p>
    <w:p>
      <w:pPr>
        <w:pStyle w:val="4"/>
        <w:widowControl/>
        <w:numPr>
          <w:ilvl w:val="0"/>
          <w:numId w:val="5"/>
        </w:numPr>
        <w:spacing w:before="0" w:after="0" w:line="360" w:lineRule="auto"/>
        <w:ind w:left="0" w:firstLine="0"/>
        <w:rPr>
          <w:sz w:val="28"/>
          <w:szCs w:val="28"/>
        </w:rPr>
        <w:sectPr>
          <w:pgSz w:w="11906" w:h="16838"/>
          <w:pgMar w:top="1134" w:right="1274" w:bottom="1440" w:left="1418" w:header="851" w:footer="992" w:gutter="0"/>
          <w:cols w:space="720" w:num="1"/>
          <w:docGrid w:type="lines" w:linePitch="312" w:charSpace="0"/>
        </w:sectPr>
      </w:pPr>
      <w:bookmarkStart w:id="6" w:name="_Toc79742118"/>
    </w:p>
    <w:p>
      <w:pPr>
        <w:pStyle w:val="4"/>
        <w:widowControl/>
        <w:numPr>
          <w:ilvl w:val="0"/>
          <w:numId w:val="5"/>
        </w:numPr>
        <w:spacing w:before="0" w:after="0" w:line="360" w:lineRule="auto"/>
        <w:ind w:left="0" w:firstLine="0"/>
        <w:rPr>
          <w:sz w:val="28"/>
          <w:szCs w:val="28"/>
        </w:rPr>
      </w:pPr>
      <w:r>
        <w:rPr>
          <w:rFonts w:hint="eastAsia"/>
          <w:sz w:val="28"/>
          <w:szCs w:val="28"/>
        </w:rPr>
        <w:t>供应商须知</w:t>
      </w:r>
      <w:bookmarkEnd w:id="2"/>
      <w:bookmarkEnd w:id="3"/>
      <w:bookmarkEnd w:id="6"/>
    </w:p>
    <w:p>
      <w:pPr>
        <w:pStyle w:val="5"/>
        <w:numPr>
          <w:ilvl w:val="1"/>
          <w:numId w:val="5"/>
        </w:numPr>
        <w:tabs>
          <w:tab w:val="left" w:pos="426"/>
          <w:tab w:val="left" w:pos="567"/>
        </w:tabs>
        <w:spacing w:before="0" w:after="200"/>
        <w:ind w:left="851" w:hanging="851"/>
        <w:jc w:val="both"/>
        <w:rPr>
          <w:sz w:val="24"/>
          <w:szCs w:val="24"/>
        </w:rPr>
      </w:pPr>
      <w:bookmarkStart w:id="7" w:name="_Toc79742119"/>
      <w:bookmarkStart w:id="8" w:name="_Toc58943325"/>
      <w:r>
        <w:rPr>
          <w:rFonts w:hint="eastAsia"/>
          <w:sz w:val="24"/>
          <w:szCs w:val="24"/>
        </w:rPr>
        <w:t>供应商须知前附表</w:t>
      </w:r>
      <w:bookmarkEnd w:id="7"/>
      <w:bookmarkEnd w:id="8"/>
    </w:p>
    <w:tbl>
      <w:tblPr>
        <w:tblStyle w:val="41"/>
        <w:tblW w:w="9510"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82"/>
        <w:gridCol w:w="1736"/>
        <w:gridCol w:w="7092"/>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691" w:hRule="exact"/>
          <w:jc w:val="center"/>
        </w:trPr>
        <w:tc>
          <w:tcPr>
            <w:tcW w:w="682" w:type="dxa"/>
            <w:tcBorders>
              <w:top w:val="single" w:color="auto" w:sz="18" w:space="0"/>
              <w:left w:val="single" w:color="auto" w:sz="18" w:space="0"/>
              <w:bottom w:val="single" w:color="auto" w:sz="8" w:space="0"/>
              <w:right w:val="single" w:color="auto" w:sz="8" w:space="0"/>
            </w:tcBorders>
            <w:vAlign w:val="center"/>
          </w:tcPr>
          <w:p>
            <w:pPr>
              <w:snapToGrid w:val="0"/>
              <w:spacing w:line="360" w:lineRule="auto"/>
              <w:jc w:val="center"/>
              <w:rPr>
                <w:rFonts w:ascii="宋体" w:hAnsi="宋体"/>
                <w:b/>
                <w:sz w:val="24"/>
                <w:szCs w:val="24"/>
              </w:rPr>
            </w:pPr>
            <w:r>
              <w:rPr>
                <w:rFonts w:hint="eastAsia" w:ascii="宋体" w:hAnsi="宋体"/>
                <w:b/>
                <w:sz w:val="24"/>
                <w:szCs w:val="24"/>
                <w:lang w:val="zh-CN"/>
              </w:rPr>
              <w:t>序号</w:t>
            </w:r>
          </w:p>
        </w:tc>
        <w:tc>
          <w:tcPr>
            <w:tcW w:w="1736" w:type="dxa"/>
            <w:tcBorders>
              <w:top w:val="single" w:color="auto" w:sz="18" w:space="0"/>
              <w:left w:val="single" w:color="auto" w:sz="8" w:space="0"/>
              <w:bottom w:val="single" w:color="auto" w:sz="8" w:space="0"/>
              <w:right w:val="single" w:color="auto" w:sz="8" w:space="0"/>
            </w:tcBorders>
            <w:vAlign w:val="center"/>
          </w:tcPr>
          <w:p>
            <w:pPr>
              <w:pStyle w:val="121"/>
              <w:spacing w:line="360" w:lineRule="auto"/>
              <w:ind w:left="420" w:hanging="165"/>
              <w:rPr>
                <w:b/>
                <w:kern w:val="2"/>
                <w:sz w:val="24"/>
                <w:szCs w:val="24"/>
                <w:lang w:val="zh-CN"/>
              </w:rPr>
            </w:pPr>
            <w:r>
              <w:rPr>
                <w:rFonts w:hint="eastAsia"/>
                <w:b/>
                <w:kern w:val="2"/>
                <w:sz w:val="24"/>
                <w:szCs w:val="24"/>
                <w:lang w:val="zh-CN"/>
              </w:rPr>
              <w:t>应知事项</w:t>
            </w:r>
          </w:p>
        </w:tc>
        <w:tc>
          <w:tcPr>
            <w:tcW w:w="7092" w:type="dxa"/>
            <w:tcBorders>
              <w:top w:val="single" w:color="auto" w:sz="18" w:space="0"/>
              <w:left w:val="single" w:color="auto" w:sz="8" w:space="0"/>
              <w:bottom w:val="single" w:color="auto" w:sz="8" w:space="0"/>
              <w:right w:val="single" w:color="auto" w:sz="18" w:space="0"/>
            </w:tcBorders>
            <w:vAlign w:val="center"/>
          </w:tcPr>
          <w:p>
            <w:pPr>
              <w:pStyle w:val="121"/>
              <w:spacing w:line="360" w:lineRule="auto"/>
              <w:ind w:firstLine="562"/>
              <w:jc w:val="center"/>
              <w:rPr>
                <w:b/>
                <w:kern w:val="2"/>
                <w:sz w:val="24"/>
                <w:szCs w:val="24"/>
                <w:lang w:val="zh-CN"/>
              </w:rPr>
            </w:pPr>
            <w:r>
              <w:rPr>
                <w:rFonts w:hint="eastAsia"/>
                <w:b/>
                <w:kern w:val="2"/>
                <w:sz w:val="24"/>
                <w:szCs w:val="24"/>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5" w:hRule="exact"/>
          <w:jc w:val="center"/>
        </w:trPr>
        <w:tc>
          <w:tcPr>
            <w:tcW w:w="682"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after="200" w:line="360" w:lineRule="auto"/>
              <w:ind w:left="420"/>
              <w:jc w:val="center"/>
              <w:rPr>
                <w:rFonts w:ascii="宋体" w:hAnsi="宋体"/>
                <w:sz w:val="24"/>
                <w:szCs w:val="24"/>
              </w:rPr>
            </w:pPr>
          </w:p>
        </w:tc>
        <w:tc>
          <w:tcPr>
            <w:tcW w:w="1736" w:type="dxa"/>
            <w:tcBorders>
              <w:top w:val="single" w:color="auto" w:sz="8" w:space="0"/>
              <w:left w:val="single" w:color="auto" w:sz="8" w:space="0"/>
              <w:bottom w:val="single" w:color="auto" w:sz="8" w:space="0"/>
              <w:right w:val="single" w:color="auto" w:sz="8" w:space="0"/>
            </w:tcBorders>
            <w:vAlign w:val="center"/>
          </w:tcPr>
          <w:p>
            <w:pPr>
              <w:spacing w:line="360" w:lineRule="auto"/>
              <w:ind w:right="210" w:rightChars="100"/>
              <w:rPr>
                <w:rFonts w:ascii="宋体" w:hAnsi="宋体"/>
                <w:sz w:val="24"/>
                <w:szCs w:val="24"/>
              </w:rPr>
            </w:pPr>
            <w:r>
              <w:rPr>
                <w:rFonts w:hint="eastAsia" w:ascii="宋体" w:hAnsi="宋体" w:cs="宋体"/>
                <w:sz w:val="24"/>
                <w:szCs w:val="24"/>
                <w:lang w:val="zh-CN"/>
              </w:rPr>
              <w:t>采购预算</w:t>
            </w:r>
          </w:p>
        </w:tc>
        <w:tc>
          <w:tcPr>
            <w:tcW w:w="7092" w:type="dxa"/>
            <w:tcBorders>
              <w:top w:val="single" w:color="auto" w:sz="8" w:space="0"/>
              <w:left w:val="single" w:color="auto" w:sz="8" w:space="0"/>
              <w:bottom w:val="single" w:color="auto" w:sz="8" w:space="0"/>
              <w:right w:val="single" w:color="auto" w:sz="18" w:space="0"/>
            </w:tcBorders>
            <w:vAlign w:val="center"/>
          </w:tcPr>
          <w:p>
            <w:pPr>
              <w:spacing w:line="360" w:lineRule="auto"/>
              <w:ind w:right="210"/>
              <w:rPr>
                <w:rFonts w:ascii="宋体" w:hAnsi="宋体"/>
                <w:b/>
                <w:sz w:val="24"/>
                <w:szCs w:val="24"/>
              </w:rPr>
            </w:pPr>
            <w:r>
              <w:rPr>
                <w:rFonts w:hint="eastAsia" w:ascii="宋体" w:hAnsi="宋体"/>
                <w:b/>
                <w:sz w:val="24"/>
                <w:szCs w:val="24"/>
              </w:rPr>
              <w:t>人民币</w:t>
            </w:r>
            <w:r>
              <w:rPr>
                <w:rFonts w:hint="eastAsia" w:ascii="宋体" w:hAnsi="宋体"/>
                <w:b/>
                <w:sz w:val="24"/>
                <w:szCs w:val="24"/>
                <w:u w:val="single"/>
                <w:lang w:val="en-US" w:eastAsia="zh-CN"/>
              </w:rPr>
              <w:t>57.8</w:t>
            </w:r>
            <w:r>
              <w:rPr>
                <w:rFonts w:hint="eastAsia" w:ascii="宋体" w:hAnsi="宋体"/>
                <w:b/>
                <w:sz w:val="24"/>
                <w:szCs w:val="24"/>
              </w:rPr>
              <w:t>万元</w:t>
            </w:r>
            <w:r>
              <w:rPr>
                <w:rFonts w:hint="eastAsia"/>
                <w:b/>
                <w:sz w:val="24"/>
                <w:szCs w:val="24"/>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50" w:hRule="exact"/>
          <w:jc w:val="center"/>
        </w:trPr>
        <w:tc>
          <w:tcPr>
            <w:tcW w:w="682"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after="200" w:line="360" w:lineRule="auto"/>
              <w:ind w:left="420"/>
              <w:jc w:val="center"/>
              <w:rPr>
                <w:rFonts w:ascii="宋体" w:hAnsi="宋体"/>
                <w:sz w:val="24"/>
                <w:szCs w:val="24"/>
              </w:rPr>
            </w:pPr>
          </w:p>
        </w:tc>
        <w:tc>
          <w:tcPr>
            <w:tcW w:w="1736" w:type="dxa"/>
            <w:tcBorders>
              <w:top w:val="single" w:color="auto" w:sz="8" w:space="0"/>
              <w:left w:val="single" w:color="auto" w:sz="8" w:space="0"/>
              <w:bottom w:val="single" w:color="auto" w:sz="8" w:space="0"/>
              <w:right w:val="single" w:color="auto" w:sz="8" w:space="0"/>
            </w:tcBorders>
            <w:vAlign w:val="center"/>
          </w:tcPr>
          <w:p>
            <w:pPr>
              <w:pStyle w:val="121"/>
              <w:spacing w:line="360" w:lineRule="auto"/>
              <w:rPr>
                <w:kern w:val="2"/>
                <w:sz w:val="24"/>
                <w:szCs w:val="24"/>
                <w:lang w:val="zh-CN"/>
              </w:rPr>
            </w:pPr>
            <w:r>
              <w:rPr>
                <w:rFonts w:hint="eastAsia"/>
                <w:kern w:val="2"/>
                <w:sz w:val="24"/>
                <w:szCs w:val="24"/>
                <w:lang w:val="zh-CN"/>
              </w:rPr>
              <w:t>最高限价</w:t>
            </w:r>
          </w:p>
        </w:tc>
        <w:tc>
          <w:tcPr>
            <w:tcW w:w="7092" w:type="dxa"/>
            <w:tcBorders>
              <w:top w:val="single" w:color="auto" w:sz="8" w:space="0"/>
              <w:left w:val="single" w:color="auto" w:sz="8" w:space="0"/>
              <w:bottom w:val="single" w:color="auto" w:sz="8" w:space="0"/>
              <w:right w:val="single" w:color="auto" w:sz="18" w:space="0"/>
            </w:tcBorders>
            <w:vAlign w:val="center"/>
          </w:tcPr>
          <w:p>
            <w:pPr>
              <w:rPr>
                <w:rFonts w:hint="eastAsia" w:ascii="宋体" w:hAnsi="宋体"/>
                <w:color w:val="FF0000"/>
                <w:sz w:val="24"/>
                <w:szCs w:val="24"/>
                <w:highlight w:val="yellow"/>
              </w:rPr>
            </w:pPr>
            <w:r>
              <w:rPr>
                <w:rFonts w:hint="eastAsia" w:ascii="宋体" w:hAnsi="宋体"/>
                <w:color w:val="FF0000"/>
                <w:sz w:val="24"/>
                <w:szCs w:val="24"/>
                <w:highlight w:val="yellow"/>
                <w:lang w:val="en-US" w:eastAsia="zh-CN"/>
              </w:rPr>
              <w:t>1.</w:t>
            </w:r>
            <w:r>
              <w:rPr>
                <w:rFonts w:hint="eastAsia" w:ascii="宋体" w:hAnsi="宋体"/>
                <w:color w:val="FF0000"/>
                <w:sz w:val="24"/>
                <w:szCs w:val="24"/>
                <w:highlight w:val="yellow"/>
                <w:lang w:eastAsia="zh-CN"/>
              </w:rPr>
              <w:t>单价</w:t>
            </w:r>
            <w:r>
              <w:rPr>
                <w:rFonts w:ascii="宋体" w:hAnsi="宋体"/>
                <w:color w:val="FF0000"/>
                <w:sz w:val="24"/>
                <w:szCs w:val="24"/>
                <w:highlight w:val="yellow"/>
              </w:rPr>
              <w:t>最高限价</w:t>
            </w:r>
            <w:r>
              <w:rPr>
                <w:rFonts w:hint="eastAsia" w:ascii="宋体" w:hAnsi="宋体"/>
                <w:color w:val="FF0000"/>
                <w:sz w:val="24"/>
                <w:szCs w:val="24"/>
                <w:highlight w:val="yellow"/>
              </w:rPr>
              <w:t>详见</w:t>
            </w:r>
            <w:r>
              <w:rPr>
                <w:rFonts w:hint="eastAsia" w:ascii="宋体" w:hAnsi="宋体"/>
                <w:color w:val="FF0000"/>
                <w:sz w:val="24"/>
                <w:szCs w:val="24"/>
                <w:highlight w:val="yellow"/>
                <w:lang w:eastAsia="zh-CN"/>
              </w:rPr>
              <w:t>采购</w:t>
            </w:r>
            <w:r>
              <w:rPr>
                <w:rFonts w:hint="eastAsia" w:ascii="宋体" w:hAnsi="宋体"/>
                <w:color w:val="FF0000"/>
                <w:sz w:val="24"/>
                <w:szCs w:val="24"/>
                <w:highlight w:val="yellow"/>
              </w:rPr>
              <w:t>文件第</w:t>
            </w:r>
            <w:r>
              <w:rPr>
                <w:rFonts w:hint="eastAsia" w:ascii="宋体" w:hAnsi="宋体"/>
                <w:color w:val="FF0000"/>
                <w:sz w:val="24"/>
                <w:szCs w:val="24"/>
                <w:highlight w:val="yellow"/>
                <w:lang w:val="en-US" w:eastAsia="zh-CN"/>
              </w:rPr>
              <w:t>4</w:t>
            </w:r>
            <w:r>
              <w:rPr>
                <w:rFonts w:hint="eastAsia" w:ascii="宋体" w:hAnsi="宋体"/>
                <w:color w:val="FF0000"/>
                <w:sz w:val="24"/>
                <w:szCs w:val="24"/>
                <w:highlight w:val="yellow"/>
              </w:rPr>
              <w:t>章</w:t>
            </w:r>
          </w:p>
          <w:p>
            <w:pPr>
              <w:rPr>
                <w:rFonts w:hint="eastAsia" w:ascii="宋体" w:hAnsi="宋体" w:eastAsia="宋体"/>
                <w:color w:val="FF0000"/>
                <w:sz w:val="24"/>
                <w:szCs w:val="24"/>
                <w:highlight w:val="yellow"/>
                <w:lang w:eastAsia="zh-CN"/>
              </w:rPr>
            </w:pPr>
            <w:r>
              <w:rPr>
                <w:rFonts w:hint="eastAsia" w:ascii="宋体" w:hAnsi="宋体"/>
                <w:color w:val="FF0000"/>
                <w:sz w:val="24"/>
                <w:szCs w:val="24"/>
                <w:highlight w:val="yellow"/>
                <w:lang w:val="en-US" w:eastAsia="zh-CN"/>
              </w:rPr>
              <w:t>2.任意一项</w:t>
            </w:r>
            <w:r>
              <w:rPr>
                <w:rFonts w:hint="eastAsia" w:ascii="宋体" w:hAnsi="宋体"/>
                <w:color w:val="FF0000"/>
                <w:sz w:val="24"/>
                <w:szCs w:val="24"/>
                <w:highlight w:val="yellow"/>
                <w:lang w:eastAsia="zh-CN"/>
              </w:rPr>
              <w:t>单价报价</w:t>
            </w:r>
            <w:r>
              <w:rPr>
                <w:rFonts w:hint="eastAsia" w:ascii="宋体" w:hAnsi="宋体"/>
                <w:color w:val="FF0000"/>
                <w:sz w:val="24"/>
                <w:szCs w:val="24"/>
                <w:highlight w:val="yellow"/>
              </w:rPr>
              <w:t>超过</w:t>
            </w:r>
            <w:r>
              <w:rPr>
                <w:rFonts w:hint="eastAsia" w:ascii="宋体" w:hAnsi="宋体"/>
                <w:color w:val="FF0000"/>
                <w:sz w:val="24"/>
                <w:szCs w:val="24"/>
                <w:highlight w:val="yellow"/>
                <w:lang w:eastAsia="zh-CN"/>
              </w:rPr>
              <w:t>产品单价</w:t>
            </w:r>
            <w:r>
              <w:rPr>
                <w:rFonts w:hint="eastAsia" w:ascii="宋体" w:hAnsi="宋体"/>
                <w:color w:val="FF0000"/>
                <w:sz w:val="24"/>
                <w:szCs w:val="24"/>
                <w:highlight w:val="yellow"/>
              </w:rPr>
              <w:t>最高限价的为无效</w:t>
            </w:r>
            <w:r>
              <w:rPr>
                <w:rFonts w:hint="eastAsia" w:ascii="宋体" w:hAnsi="宋体"/>
                <w:color w:val="FF0000"/>
                <w:sz w:val="24"/>
                <w:szCs w:val="24"/>
                <w:highlight w:val="yellow"/>
                <w:lang w:eastAsia="zh-CN"/>
              </w:rPr>
              <w:t>响应</w:t>
            </w:r>
          </w:p>
          <w:p>
            <w:pPr>
              <w:pStyle w:val="121"/>
              <w:spacing w:line="360" w:lineRule="auto"/>
              <w:ind w:left="9"/>
              <w:rPr>
                <w:kern w:val="2"/>
                <w:sz w:val="24"/>
                <w:szCs w:val="24"/>
                <w:lang w:val="zh-CN"/>
              </w:rPr>
            </w:pPr>
            <w:r>
              <w:rPr>
                <w:rFonts w:hint="eastAsia" w:ascii="宋体" w:hAnsi="宋体"/>
                <w:color w:val="FF0000"/>
                <w:sz w:val="24"/>
                <w:szCs w:val="24"/>
                <w:highlight w:val="yellow"/>
                <w:lang w:val="en-US" w:eastAsia="zh-CN"/>
              </w:rPr>
              <w:t>3.</w:t>
            </w:r>
            <w:r>
              <w:rPr>
                <w:rFonts w:hint="eastAsia" w:ascii="宋体" w:hAnsi="宋体"/>
                <w:color w:val="FF0000"/>
                <w:sz w:val="24"/>
                <w:szCs w:val="24"/>
                <w:highlight w:val="yellow"/>
                <w:lang w:eastAsia="zh-CN"/>
              </w:rPr>
              <w:t>本项</w:t>
            </w:r>
            <w:r>
              <w:rPr>
                <w:rFonts w:hint="eastAsia" w:ascii="宋体" w:hAnsi="宋体" w:eastAsia="宋体" w:cs="宋体"/>
                <w:color w:val="FF0000"/>
                <w:sz w:val="24"/>
                <w:szCs w:val="24"/>
                <w:highlight w:val="yellow"/>
                <w:lang w:val="en-US" w:eastAsia="zh-CN"/>
              </w:rPr>
              <w:t>目</w:t>
            </w:r>
            <w:r>
              <w:rPr>
                <w:rFonts w:hint="eastAsia" w:ascii="宋体" w:hAnsi="宋体" w:eastAsia="宋体" w:cs="宋体"/>
                <w:color w:val="FF0000"/>
                <w:sz w:val="24"/>
                <w:szCs w:val="24"/>
                <w:highlight w:val="yellow"/>
                <w:lang w:val="zh-CN" w:eastAsia="zh-CN"/>
              </w:rPr>
              <w:t>最高</w:t>
            </w:r>
            <w:r>
              <w:rPr>
                <w:rFonts w:hint="eastAsia" w:ascii="宋体" w:hAnsi="宋体" w:eastAsia="宋体" w:cs="宋体"/>
                <w:color w:val="FF0000"/>
                <w:sz w:val="24"/>
                <w:szCs w:val="24"/>
                <w:highlight w:val="yellow"/>
                <w:lang w:val="en-US" w:eastAsia="zh-CN"/>
              </w:rPr>
              <w:t>限价56.64万</w:t>
            </w:r>
            <w:r>
              <w:rPr>
                <w:rFonts w:hint="eastAsia" w:ascii="宋体" w:hAnsi="宋体" w:eastAsia="宋体" w:cs="宋体"/>
                <w:color w:val="FF0000"/>
                <w:sz w:val="24"/>
                <w:szCs w:val="24"/>
                <w:highlight w:val="yellow"/>
                <w:lang w:val="zh-CN" w:eastAsia="zh-CN"/>
              </w:rPr>
              <w:t>元。供应商最后报价高于最高限价的，其响应文件将按无效响应文件处理。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0" w:hRule="exact"/>
          <w:jc w:val="center"/>
        </w:trPr>
        <w:tc>
          <w:tcPr>
            <w:tcW w:w="682"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after="200" w:line="360" w:lineRule="auto"/>
              <w:ind w:left="420"/>
              <w:jc w:val="center"/>
              <w:rPr>
                <w:rFonts w:ascii="宋体" w:hAnsi="宋体"/>
                <w:sz w:val="24"/>
                <w:szCs w:val="24"/>
              </w:rPr>
            </w:pPr>
          </w:p>
        </w:tc>
        <w:tc>
          <w:tcPr>
            <w:tcW w:w="1736" w:type="dxa"/>
            <w:tcBorders>
              <w:top w:val="single" w:color="auto" w:sz="8" w:space="0"/>
              <w:left w:val="single" w:color="auto" w:sz="8" w:space="0"/>
              <w:bottom w:val="single" w:color="auto" w:sz="8" w:space="0"/>
              <w:right w:val="single" w:color="auto" w:sz="8" w:space="0"/>
            </w:tcBorders>
            <w:vAlign w:val="center"/>
          </w:tcPr>
          <w:p>
            <w:pPr>
              <w:pStyle w:val="121"/>
              <w:spacing w:line="360" w:lineRule="auto"/>
              <w:jc w:val="both"/>
              <w:rPr>
                <w:kern w:val="2"/>
                <w:sz w:val="24"/>
                <w:szCs w:val="24"/>
                <w:lang w:val="zh-CN"/>
              </w:rPr>
            </w:pPr>
            <w:r>
              <w:rPr>
                <w:rFonts w:hint="eastAsia"/>
                <w:kern w:val="2"/>
                <w:sz w:val="24"/>
                <w:szCs w:val="24"/>
                <w:lang w:val="zh-CN"/>
              </w:rPr>
              <w:t>采购方式</w:t>
            </w:r>
          </w:p>
        </w:tc>
        <w:tc>
          <w:tcPr>
            <w:tcW w:w="7092" w:type="dxa"/>
            <w:tcBorders>
              <w:top w:val="single" w:color="auto" w:sz="8" w:space="0"/>
              <w:left w:val="single" w:color="auto" w:sz="8" w:space="0"/>
              <w:bottom w:val="single" w:color="auto" w:sz="8" w:space="0"/>
              <w:right w:val="single" w:color="auto" w:sz="18" w:space="0"/>
            </w:tcBorders>
            <w:vAlign w:val="center"/>
          </w:tcPr>
          <w:p>
            <w:pPr>
              <w:pStyle w:val="121"/>
              <w:spacing w:line="360" w:lineRule="auto"/>
              <w:jc w:val="both"/>
              <w:rPr>
                <w:kern w:val="2"/>
                <w:sz w:val="24"/>
                <w:szCs w:val="24"/>
                <w:lang w:val="zh-CN"/>
              </w:rPr>
            </w:pPr>
            <w:r>
              <w:rPr>
                <w:rFonts w:hint="eastAsia"/>
                <w:kern w:val="2"/>
                <w:sz w:val="24"/>
                <w:szCs w:val="24"/>
                <w:lang w:val="zh-CN"/>
              </w:rPr>
              <w:t>竞争性磋商。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514" w:hRule="atLeast"/>
          <w:jc w:val="center"/>
        </w:trPr>
        <w:tc>
          <w:tcPr>
            <w:tcW w:w="682"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after="200" w:line="360" w:lineRule="auto"/>
              <w:ind w:left="420"/>
              <w:jc w:val="center"/>
              <w:rPr>
                <w:rFonts w:ascii="宋体" w:hAnsi="宋体"/>
                <w:sz w:val="24"/>
                <w:szCs w:val="24"/>
              </w:rPr>
            </w:pPr>
          </w:p>
        </w:tc>
        <w:tc>
          <w:tcPr>
            <w:tcW w:w="1736" w:type="dxa"/>
            <w:tcBorders>
              <w:top w:val="single" w:color="auto" w:sz="8" w:space="0"/>
              <w:left w:val="single" w:color="auto" w:sz="8" w:space="0"/>
              <w:bottom w:val="single" w:color="auto" w:sz="8" w:space="0"/>
              <w:right w:val="single" w:color="auto" w:sz="8" w:space="0"/>
            </w:tcBorders>
            <w:vAlign w:val="center"/>
          </w:tcPr>
          <w:p>
            <w:pPr>
              <w:pStyle w:val="121"/>
              <w:spacing w:line="360" w:lineRule="auto"/>
              <w:jc w:val="both"/>
              <w:rPr>
                <w:kern w:val="2"/>
                <w:sz w:val="24"/>
                <w:szCs w:val="24"/>
                <w:lang w:val="zh-CN"/>
              </w:rPr>
            </w:pPr>
            <w:r>
              <w:rPr>
                <w:rFonts w:hint="eastAsia"/>
                <w:kern w:val="2"/>
                <w:sz w:val="24"/>
                <w:szCs w:val="24"/>
                <w:lang w:val="zh-CN"/>
              </w:rPr>
              <w:t>评审方法</w:t>
            </w:r>
          </w:p>
        </w:tc>
        <w:tc>
          <w:tcPr>
            <w:tcW w:w="7092" w:type="dxa"/>
            <w:tcBorders>
              <w:top w:val="single" w:color="auto" w:sz="8" w:space="0"/>
              <w:left w:val="single" w:color="auto" w:sz="8" w:space="0"/>
              <w:bottom w:val="single" w:color="auto" w:sz="8" w:space="0"/>
              <w:right w:val="single" w:color="auto" w:sz="18" w:space="0"/>
            </w:tcBorders>
            <w:vAlign w:val="center"/>
          </w:tcPr>
          <w:p>
            <w:pPr>
              <w:pStyle w:val="121"/>
              <w:spacing w:line="360" w:lineRule="auto"/>
              <w:jc w:val="both"/>
              <w:rPr>
                <w:kern w:val="2"/>
                <w:sz w:val="24"/>
                <w:szCs w:val="24"/>
                <w:lang w:val="zh-CN"/>
              </w:rPr>
            </w:pPr>
            <w:r>
              <w:rPr>
                <w:rFonts w:hint="eastAsia"/>
                <w:kern w:val="2"/>
                <w:sz w:val="24"/>
                <w:szCs w:val="24"/>
                <w:lang w:val="zh-CN"/>
              </w:rPr>
              <w:t>综合评分法(详见第5章)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7" w:hRule="atLeast"/>
          <w:jc w:val="center"/>
        </w:trPr>
        <w:tc>
          <w:tcPr>
            <w:tcW w:w="682"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after="200" w:line="360" w:lineRule="auto"/>
              <w:ind w:left="420"/>
              <w:jc w:val="center"/>
              <w:rPr>
                <w:rFonts w:ascii="宋体" w:hAnsi="宋体"/>
                <w:sz w:val="24"/>
                <w:szCs w:val="24"/>
              </w:rPr>
            </w:pPr>
          </w:p>
        </w:tc>
        <w:tc>
          <w:tcPr>
            <w:tcW w:w="1736" w:type="dxa"/>
            <w:tcBorders>
              <w:top w:val="single" w:color="auto" w:sz="8" w:space="0"/>
              <w:left w:val="single" w:color="auto" w:sz="8" w:space="0"/>
              <w:bottom w:val="single" w:color="auto" w:sz="8" w:space="0"/>
              <w:right w:val="single" w:color="auto" w:sz="8" w:space="0"/>
            </w:tcBorders>
            <w:vAlign w:val="center"/>
          </w:tcPr>
          <w:p>
            <w:pPr>
              <w:pStyle w:val="121"/>
              <w:spacing w:line="360" w:lineRule="auto"/>
              <w:rPr>
                <w:kern w:val="2"/>
                <w:sz w:val="24"/>
                <w:szCs w:val="24"/>
                <w:lang w:val="zh-CN"/>
              </w:rPr>
            </w:pPr>
            <w:r>
              <w:rPr>
                <w:rFonts w:hint="eastAsia"/>
                <w:kern w:val="2"/>
                <w:sz w:val="24"/>
                <w:szCs w:val="24"/>
                <w:lang w:val="zh-CN"/>
              </w:rPr>
              <w:t>低于成本价不正当竞争预防措施</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sz w:val="24"/>
                <w:szCs w:val="24"/>
              </w:rPr>
            </w:pPr>
            <w:r>
              <w:rPr>
                <w:rFonts w:hint="eastAsia" w:ascii="宋体" w:hAnsi="宋体"/>
                <w:sz w:val="24"/>
                <w:szCs w:val="24"/>
              </w:rPr>
              <w:t>在评审过程中，磋商小组认为供应商最后报价明显低于其他通过符合性审查供应商的最后报价，有可能影响服务质量或者不能诚信履约的，磋商小组应当要求其在合理的时间内提供书面说明，必要时提交相关证明材料。供应商提交的书面说明、相关证明材料（如涉及），应当加盖供应商（法定名称）电子签章，在磋商小组要求的时间内通过政府采购云平台进行递交，否则无效。如因断电、断网、系统故障或其他不可抗力等因素，导致系统无法使用的，由供应商按磋商小组的要求进行澄清或者说明。供应商不能证明其报价合理性的，磋商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7" w:hRule="atLeast"/>
          <w:jc w:val="center"/>
        </w:trPr>
        <w:tc>
          <w:tcPr>
            <w:tcW w:w="682"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after="200" w:line="360" w:lineRule="auto"/>
              <w:ind w:left="420"/>
              <w:jc w:val="center"/>
              <w:rPr>
                <w:rFonts w:ascii="宋体" w:hAnsi="宋体"/>
                <w:sz w:val="24"/>
                <w:szCs w:val="24"/>
              </w:rPr>
            </w:pPr>
          </w:p>
        </w:tc>
        <w:tc>
          <w:tcPr>
            <w:tcW w:w="1736" w:type="dxa"/>
            <w:tcBorders>
              <w:top w:val="single" w:color="auto" w:sz="8" w:space="0"/>
              <w:left w:val="single" w:color="auto" w:sz="8" w:space="0"/>
              <w:bottom w:val="single" w:color="auto" w:sz="8" w:space="0"/>
              <w:right w:val="single" w:color="auto" w:sz="8" w:space="0"/>
            </w:tcBorders>
            <w:vAlign w:val="center"/>
          </w:tcPr>
          <w:p>
            <w:pPr>
              <w:rPr>
                <w:rFonts w:hint="eastAsia" w:ascii="宋体" w:hAnsi="宋体"/>
                <w:color w:val="000000"/>
                <w:sz w:val="24"/>
                <w:szCs w:val="24"/>
              </w:rPr>
            </w:pPr>
            <w:r>
              <w:rPr>
                <w:rFonts w:ascii="宋体" w:hAnsi="宋体"/>
                <w:color w:val="000000"/>
                <w:sz w:val="24"/>
                <w:szCs w:val="24"/>
              </w:rPr>
              <w:t>政府采购节能</w:t>
            </w:r>
            <w:r>
              <w:rPr>
                <w:rFonts w:hint="eastAsia" w:ascii="宋体" w:hAnsi="宋体"/>
                <w:color w:val="000000"/>
                <w:sz w:val="24"/>
                <w:szCs w:val="24"/>
              </w:rPr>
              <w:t>、</w:t>
            </w:r>
            <w:r>
              <w:rPr>
                <w:rFonts w:ascii="宋体" w:hAnsi="宋体"/>
                <w:color w:val="000000"/>
                <w:sz w:val="24"/>
                <w:szCs w:val="24"/>
              </w:rPr>
              <w:t>环保产品</w:t>
            </w:r>
            <w:r>
              <w:rPr>
                <w:rFonts w:hint="eastAsia" w:ascii="宋体" w:hAnsi="宋体"/>
                <w:color w:val="000000"/>
                <w:sz w:val="24"/>
                <w:szCs w:val="24"/>
              </w:rPr>
              <w:t>、</w:t>
            </w:r>
            <w:r>
              <w:rPr>
                <w:rFonts w:ascii="宋体" w:hAnsi="宋体"/>
                <w:color w:val="000000"/>
                <w:sz w:val="24"/>
                <w:szCs w:val="24"/>
              </w:rPr>
              <w:t>无线局域网</w:t>
            </w:r>
            <w:r>
              <w:rPr>
                <w:rFonts w:hint="eastAsia" w:ascii="宋体" w:hAnsi="宋体"/>
                <w:color w:val="000000"/>
                <w:sz w:val="24"/>
                <w:szCs w:val="24"/>
              </w:rPr>
              <w:t>（如涉及）</w:t>
            </w:r>
          </w:p>
          <w:p>
            <w:pPr>
              <w:pStyle w:val="121"/>
              <w:spacing w:line="360" w:lineRule="auto"/>
              <w:rPr>
                <w:rFonts w:hint="eastAsia"/>
                <w:kern w:val="2"/>
                <w:sz w:val="24"/>
                <w:szCs w:val="24"/>
                <w:lang w:val="zh-CN"/>
              </w:rPr>
            </w:pPr>
          </w:p>
        </w:tc>
        <w:tc>
          <w:tcPr>
            <w:tcW w:w="7092" w:type="dxa"/>
            <w:tcBorders>
              <w:top w:val="single" w:color="auto" w:sz="8" w:space="0"/>
              <w:left w:val="single" w:color="auto" w:sz="8" w:space="0"/>
              <w:bottom w:val="single" w:color="auto" w:sz="8" w:space="0"/>
              <w:right w:val="single" w:color="auto" w:sz="18" w:space="0"/>
            </w:tcBorders>
            <w:vAlign w:val="center"/>
          </w:tcPr>
          <w:p>
            <w:pPr>
              <w:numPr>
                <w:ilvl w:val="0"/>
                <w:numId w:val="0"/>
              </w:numPr>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lang w:val="en-US" w:eastAsia="zh-CN"/>
              </w:rPr>
              <w:t>1、</w:t>
            </w:r>
            <w:r>
              <w:rPr>
                <w:rFonts w:hint="eastAsia" w:ascii="宋体" w:hAnsi="宋体" w:eastAsia="宋体" w:cs="宋体"/>
                <w:b/>
                <w:bCs/>
                <w:color w:val="000000"/>
                <w:sz w:val="24"/>
                <w:szCs w:val="24"/>
                <w:lang w:eastAsia="zh-CN"/>
              </w:rPr>
              <w:t>节能、环保产品政府采购政策：</w:t>
            </w:r>
          </w:p>
          <w:p>
            <w:pPr>
              <w:rPr>
                <w:rFonts w:hint="eastAsia" w:ascii="宋体" w:hAnsi="宋体" w:cs="宋体"/>
                <w:color w:val="000000"/>
                <w:kern w:val="0"/>
                <w:sz w:val="24"/>
                <w:szCs w:val="24"/>
                <w:lang w:eastAsia="zh-CN"/>
              </w:rPr>
            </w:pPr>
            <w:r>
              <w:rPr>
                <w:rFonts w:hint="eastAsia" w:ascii="宋体" w:hAnsi="宋体" w:cs="宋体"/>
                <w:color w:val="000000"/>
                <w:sz w:val="28"/>
                <w:szCs w:val="28"/>
                <w:lang w:val="en-US" w:eastAsia="zh-CN"/>
              </w:rPr>
              <w:t xml:space="preserve">  </w:t>
            </w:r>
            <w:r>
              <w:rPr>
                <w:rFonts w:hint="eastAsia" w:ascii="宋体" w:hAnsi="宋体" w:cs="宋体"/>
                <w:color w:val="000000"/>
                <w:kern w:val="0"/>
                <w:sz w:val="24"/>
                <w:szCs w:val="24"/>
                <w:lang w:val="en-US" w:eastAsia="zh-CN"/>
              </w:rPr>
              <w:t xml:space="preserve"> </w:t>
            </w:r>
            <w:r>
              <w:rPr>
                <w:rFonts w:hint="eastAsia" w:ascii="宋体" w:hAnsi="宋体" w:cs="宋体"/>
                <w:color w:val="000000"/>
                <w:kern w:val="0"/>
                <w:sz w:val="24"/>
                <w:szCs w:val="24"/>
                <w:lang w:eastAsia="zh-CN"/>
              </w:rPr>
              <w:t>根据《财政部</w:t>
            </w:r>
            <w:r>
              <w:rPr>
                <w:rFonts w:hint="eastAsia" w:ascii="宋体" w:hAnsi="宋体" w:cs="宋体"/>
                <w:color w:val="000000"/>
                <w:kern w:val="0"/>
                <w:sz w:val="24"/>
                <w:szCs w:val="24"/>
                <w:lang w:val="en-US" w:eastAsia="zh-CN"/>
              </w:rPr>
              <w:t xml:space="preserve">  发展改革委 生态环境部 市场监管总局关于调整优化节能产品、环境标志产品政府采购执行机制的通知</w:t>
            </w:r>
            <w:r>
              <w:rPr>
                <w:rFonts w:hint="eastAsia" w:ascii="宋体" w:hAnsi="宋体" w:cs="宋体"/>
                <w:color w:val="000000"/>
                <w:kern w:val="0"/>
                <w:sz w:val="24"/>
                <w:szCs w:val="24"/>
                <w:lang w:eastAsia="zh-CN"/>
              </w:rPr>
              <w:t>》（财库</w:t>
            </w:r>
            <w:r>
              <w:rPr>
                <w:rFonts w:hint="eastAsia" w:ascii="宋体" w:hAnsi="宋体" w:cs="宋体"/>
                <w:color w:val="000000"/>
                <w:kern w:val="0"/>
                <w:sz w:val="24"/>
                <w:szCs w:val="24"/>
              </w:rPr>
              <w:t>〔</w:t>
            </w:r>
            <w:r>
              <w:rPr>
                <w:rFonts w:hint="eastAsia" w:ascii="宋体" w:hAnsi="宋体" w:cs="宋体"/>
                <w:color w:val="000000"/>
                <w:kern w:val="0"/>
                <w:sz w:val="24"/>
                <w:szCs w:val="24"/>
                <w:lang w:val="en-US" w:eastAsia="zh-CN"/>
              </w:rPr>
              <w:t>2019</w:t>
            </w:r>
            <w:r>
              <w:rPr>
                <w:rFonts w:hint="eastAsia" w:ascii="宋体" w:hAnsi="宋体" w:cs="宋体"/>
                <w:color w:val="000000"/>
                <w:kern w:val="0"/>
                <w:sz w:val="24"/>
                <w:szCs w:val="24"/>
              </w:rPr>
              <w:t>〕</w:t>
            </w:r>
            <w:r>
              <w:rPr>
                <w:rFonts w:hint="eastAsia" w:ascii="宋体" w:hAnsi="宋体" w:cs="宋体"/>
                <w:color w:val="000000"/>
                <w:kern w:val="0"/>
                <w:sz w:val="24"/>
                <w:szCs w:val="24"/>
                <w:lang w:val="en-US" w:eastAsia="zh-CN"/>
              </w:rPr>
              <w:t>9号</w:t>
            </w:r>
            <w:r>
              <w:rPr>
                <w:rFonts w:hint="eastAsia" w:ascii="宋体" w:hAnsi="宋体" w:cs="宋体"/>
                <w:color w:val="000000"/>
                <w:kern w:val="0"/>
                <w:sz w:val="24"/>
                <w:szCs w:val="24"/>
                <w:lang w:eastAsia="zh-CN"/>
              </w:rPr>
              <w:t>）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rPr>
                <w:rFonts w:hint="eastAsia" w:ascii="宋体" w:hAnsi="宋体" w:cs="宋体"/>
                <w:color w:val="000000"/>
                <w:kern w:val="0"/>
                <w:sz w:val="24"/>
                <w:szCs w:val="24"/>
                <w:lang w:eastAsia="zh-CN"/>
              </w:rPr>
            </w:pPr>
            <w:r>
              <w:rPr>
                <w:rFonts w:hint="eastAsia" w:ascii="宋体" w:hAnsi="宋体" w:cs="宋体"/>
                <w:color w:val="000000"/>
                <w:kern w:val="0"/>
                <w:sz w:val="24"/>
                <w:szCs w:val="24"/>
                <w:lang w:val="en-US" w:eastAsia="zh-CN"/>
              </w:rPr>
              <w:t xml:space="preserve">   </w:t>
            </w:r>
            <w:r>
              <w:rPr>
                <w:rFonts w:hint="eastAsia" w:ascii="宋体" w:hAnsi="宋体" w:cs="宋体"/>
                <w:color w:val="FF0000"/>
                <w:kern w:val="0"/>
                <w:sz w:val="24"/>
                <w:szCs w:val="24"/>
                <w:highlight w:val="yellow"/>
                <w:lang w:eastAsia="zh-CN"/>
              </w:rPr>
              <w:t>本项目采购的产品属于品目清单范围内强制采购的，供应商应按上述要求提供产品认证证书复印件并加盖供应商单位公章，否则响应文件无效。（实质性要求）</w:t>
            </w:r>
          </w:p>
          <w:p>
            <w:pPr>
              <w:rPr>
                <w:rFonts w:hint="eastAsia" w:ascii="宋体" w:hAnsi="宋体" w:cs="宋体"/>
                <w:color w:val="000000"/>
                <w:kern w:val="0"/>
                <w:sz w:val="24"/>
                <w:szCs w:val="24"/>
                <w:lang w:eastAsia="zh-CN"/>
              </w:rPr>
            </w:pPr>
            <w:r>
              <w:rPr>
                <w:rFonts w:hint="eastAsia" w:ascii="宋体" w:hAnsi="宋体" w:cs="宋体"/>
                <w:color w:val="000000"/>
                <w:kern w:val="0"/>
                <w:sz w:val="24"/>
                <w:szCs w:val="24"/>
                <w:lang w:val="en-US" w:eastAsia="zh-CN"/>
              </w:rPr>
              <w:t xml:space="preserve">   </w:t>
            </w:r>
            <w:r>
              <w:rPr>
                <w:rFonts w:hint="eastAsia" w:ascii="宋体" w:hAnsi="宋体" w:cs="宋体"/>
                <w:color w:val="000000"/>
                <w:kern w:val="0"/>
                <w:sz w:val="24"/>
                <w:szCs w:val="24"/>
                <w:lang w:eastAsia="zh-CN"/>
              </w:rPr>
              <w:t>本项目采购的产品属于品目清单范围内优先采购的，按照第</w:t>
            </w:r>
            <w:r>
              <w:rPr>
                <w:rFonts w:hint="eastAsia" w:ascii="宋体" w:hAnsi="宋体" w:cs="宋体"/>
                <w:color w:val="000000"/>
                <w:kern w:val="0"/>
                <w:sz w:val="24"/>
                <w:szCs w:val="24"/>
                <w:lang w:val="en-US" w:eastAsia="zh-CN"/>
              </w:rPr>
              <w:t>7</w:t>
            </w:r>
            <w:r>
              <w:rPr>
                <w:rFonts w:hint="eastAsia" w:ascii="宋体" w:hAnsi="宋体" w:cs="宋体"/>
                <w:color w:val="000000"/>
                <w:kern w:val="0"/>
                <w:sz w:val="24"/>
                <w:szCs w:val="24"/>
                <w:lang w:eastAsia="zh-CN"/>
              </w:rPr>
              <w:t>章评分的规则进行加分。</w:t>
            </w:r>
          </w:p>
          <w:p>
            <w:pPr>
              <w:rPr>
                <w:rFonts w:hint="eastAsia" w:ascii="宋体" w:hAnsi="宋体" w:cs="宋体"/>
                <w:color w:val="000000"/>
                <w:kern w:val="0"/>
                <w:sz w:val="24"/>
                <w:szCs w:val="24"/>
                <w:lang w:eastAsia="zh-CN"/>
              </w:rPr>
            </w:pPr>
            <w:r>
              <w:rPr>
                <w:rFonts w:hint="eastAsia" w:ascii="宋体" w:hAnsi="宋体" w:cs="宋体"/>
                <w:color w:val="000000"/>
                <w:kern w:val="0"/>
                <w:sz w:val="24"/>
                <w:szCs w:val="24"/>
                <w:lang w:eastAsia="zh-CN"/>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pPr>
              <w:numPr>
                <w:ilvl w:val="0"/>
                <w:numId w:val="0"/>
              </w:numPr>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lang w:val="en-US" w:eastAsia="zh-CN"/>
              </w:rPr>
              <w:t>2、</w:t>
            </w:r>
            <w:r>
              <w:rPr>
                <w:rFonts w:hint="eastAsia" w:ascii="宋体" w:hAnsi="宋体" w:eastAsia="宋体" w:cs="宋体"/>
                <w:b/>
                <w:bCs/>
                <w:color w:val="000000"/>
                <w:sz w:val="24"/>
                <w:szCs w:val="24"/>
                <w:lang w:eastAsia="zh-CN"/>
              </w:rPr>
              <w:t>无线局域网产品政府采购政策：</w:t>
            </w:r>
          </w:p>
          <w:p>
            <w:pPr>
              <w:rPr>
                <w:rFonts w:hint="eastAsia" w:ascii="宋体" w:hAnsi="宋体" w:cs="宋体"/>
                <w:color w:val="000000"/>
                <w:kern w:val="0"/>
                <w:sz w:val="24"/>
                <w:szCs w:val="24"/>
              </w:rPr>
            </w:pPr>
            <w:r>
              <w:rPr>
                <w:rFonts w:hint="eastAsia" w:ascii="宋体" w:hAnsi="宋体" w:cs="宋体"/>
                <w:color w:val="000000"/>
                <w:sz w:val="28"/>
                <w:szCs w:val="28"/>
                <w:lang w:val="en-US" w:eastAsia="zh-CN"/>
              </w:rPr>
              <w:t xml:space="preserve">   </w:t>
            </w:r>
            <w:r>
              <w:rPr>
                <w:rFonts w:ascii="宋体" w:hAnsi="宋体" w:cs="宋体"/>
                <w:color w:val="000000"/>
                <w:kern w:val="0"/>
                <w:sz w:val="24"/>
                <w:szCs w:val="24"/>
              </w:rPr>
              <w:t xml:space="preserve">根据《无线局域网产品政府采购实施意见》（财库［2005］366号）的规定，采购人用财政性资金采购无线局域网产品和含有无线局域网功能的计算机、通信设备、打印机、复印机、投影仪等产品的，应当优先采购符合国家无线局域网安全标准（GB 15629.11/1102）并通过国家产品认证的产品。其中，国家有特殊信息安全要求的项目必须采购认证产品。 </w:t>
            </w:r>
            <w:r>
              <w:rPr>
                <w:rFonts w:hint="eastAsia" w:ascii="宋体" w:hAnsi="宋体" w:cs="宋体"/>
                <w:color w:val="000000"/>
                <w:kern w:val="0"/>
                <w:sz w:val="24"/>
                <w:szCs w:val="24"/>
                <w:lang w:eastAsia="zh-CN"/>
              </w:rPr>
              <w:t>供应商提供的</w:t>
            </w:r>
            <w:r>
              <w:rPr>
                <w:rFonts w:ascii="宋体" w:hAnsi="宋体" w:cs="宋体"/>
                <w:color w:val="000000"/>
                <w:kern w:val="0"/>
                <w:sz w:val="24"/>
                <w:szCs w:val="24"/>
              </w:rPr>
              <w:t>产品须符合无线局域网 GB15629.11</w:t>
            </w:r>
            <w:r>
              <w:rPr>
                <w:rFonts w:hint="eastAsia" w:ascii="宋体" w:hAnsi="宋体" w:cs="宋体"/>
                <w:color w:val="000000"/>
                <w:kern w:val="0"/>
                <w:sz w:val="24"/>
                <w:szCs w:val="24"/>
              </w:rPr>
              <w:t>系列国家标准的相关要求。</w:t>
            </w:r>
            <w:r>
              <w:rPr>
                <w:rFonts w:hint="eastAsia" w:ascii="宋体" w:hAnsi="宋体" w:cs="宋体"/>
                <w:color w:val="000000"/>
                <w:kern w:val="0"/>
                <w:sz w:val="24"/>
                <w:szCs w:val="24"/>
                <w:lang w:eastAsia="zh-CN"/>
              </w:rPr>
              <w:t>（实质性要求）</w:t>
            </w:r>
          </w:p>
          <w:p>
            <w:pPr>
              <w:tabs>
                <w:tab w:val="left" w:pos="7665"/>
              </w:tabs>
              <w:snapToGrid w:val="0"/>
              <w:rPr>
                <w:rFonts w:hint="eastAsia" w:ascii="宋体" w:hAnsi="宋体"/>
                <w:sz w:val="24"/>
                <w:szCs w:val="24"/>
              </w:rPr>
            </w:pPr>
            <w:r>
              <w:rPr>
                <w:rFonts w:hint="eastAsia" w:ascii="宋体" w:hAnsi="宋体" w:cs="宋体"/>
                <w:color w:val="000000"/>
                <w:kern w:val="0"/>
                <w:sz w:val="24"/>
                <w:szCs w:val="24"/>
                <w:lang w:val="en-US" w:eastAsia="zh-CN"/>
              </w:rPr>
              <w:t xml:space="preserve">  </w:t>
            </w:r>
            <w:r>
              <w:rPr>
                <w:rFonts w:hint="eastAsia" w:ascii="宋体" w:hAnsi="宋体" w:cs="宋体"/>
                <w:color w:val="000000"/>
                <w:kern w:val="0"/>
                <w:sz w:val="24"/>
                <w:szCs w:val="24"/>
                <w:lang w:eastAsia="zh-CN"/>
              </w:rPr>
              <w:t>本项目采购的产品属于中国政府采购网公布的《无线局域网认证产品政府采购清单》的，将按照第</w:t>
            </w:r>
            <w:r>
              <w:rPr>
                <w:rFonts w:hint="eastAsia" w:ascii="宋体" w:hAnsi="宋体" w:cs="宋体"/>
                <w:color w:val="000000"/>
                <w:kern w:val="0"/>
                <w:sz w:val="24"/>
                <w:szCs w:val="24"/>
                <w:lang w:val="en-US" w:eastAsia="zh-CN"/>
              </w:rPr>
              <w:t>5</w:t>
            </w:r>
            <w:r>
              <w:rPr>
                <w:rFonts w:hint="eastAsia" w:ascii="宋体" w:hAnsi="宋体" w:cs="宋体"/>
                <w:color w:val="000000"/>
                <w:kern w:val="0"/>
                <w:sz w:val="24"/>
                <w:szCs w:val="24"/>
                <w:lang w:eastAsia="zh-CN"/>
              </w:rPr>
              <w:t>章评分标准的规则进行加分。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04" w:hRule="atLeast"/>
          <w:jc w:val="center"/>
        </w:trPr>
        <w:tc>
          <w:tcPr>
            <w:tcW w:w="682" w:type="dxa"/>
            <w:tcBorders>
              <w:top w:val="single" w:color="auto" w:sz="4" w:space="0"/>
              <w:left w:val="single" w:color="auto" w:sz="18" w:space="0"/>
              <w:bottom w:val="single" w:color="auto" w:sz="4" w:space="0"/>
              <w:right w:val="single" w:color="auto" w:sz="8" w:space="0"/>
            </w:tcBorders>
            <w:vAlign w:val="center"/>
          </w:tcPr>
          <w:p>
            <w:pPr>
              <w:numPr>
                <w:ilvl w:val="0"/>
                <w:numId w:val="10"/>
              </w:numPr>
              <w:snapToGrid w:val="0"/>
              <w:spacing w:after="200" w:line="360" w:lineRule="auto"/>
              <w:ind w:left="420"/>
              <w:jc w:val="center"/>
              <w:rPr>
                <w:rFonts w:ascii="宋体" w:hAnsi="宋体"/>
                <w:sz w:val="24"/>
                <w:szCs w:val="24"/>
              </w:rPr>
            </w:pPr>
          </w:p>
        </w:tc>
        <w:tc>
          <w:tcPr>
            <w:tcW w:w="1736"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360" w:lineRule="auto"/>
              <w:ind w:right="210" w:rightChars="100"/>
              <w:rPr>
                <w:sz w:val="24"/>
                <w:szCs w:val="24"/>
                <w:lang w:val="zh-CN"/>
              </w:rPr>
            </w:pPr>
            <w:r>
              <w:rPr>
                <w:rFonts w:hint="eastAsia"/>
                <w:kern w:val="2"/>
                <w:sz w:val="24"/>
                <w:szCs w:val="24"/>
                <w:lang w:val="zh-CN"/>
              </w:rPr>
              <w:t>小微企业价格扣除（监狱企业、残疾人福利性单位视同小微企业）</w:t>
            </w:r>
          </w:p>
        </w:tc>
        <w:tc>
          <w:tcPr>
            <w:tcW w:w="7092" w:type="dxa"/>
            <w:tcBorders>
              <w:top w:val="single" w:color="auto" w:sz="4" w:space="0"/>
              <w:left w:val="single" w:color="auto" w:sz="8" w:space="0"/>
              <w:bottom w:val="single" w:color="auto" w:sz="4" w:space="0"/>
              <w:right w:val="single" w:color="auto" w:sz="18" w:space="0"/>
            </w:tcBorders>
            <w:vAlign w:val="center"/>
          </w:tcPr>
          <w:p>
            <w:pPr>
              <w:tabs>
                <w:tab w:val="left" w:pos="7665"/>
              </w:tabs>
              <w:autoSpaceDE w:val="0"/>
              <w:autoSpaceDN w:val="0"/>
              <w:adjustRightInd w:val="0"/>
              <w:snapToGrid w:val="0"/>
              <w:ind w:right="210" w:rightChars="100"/>
              <w:rPr>
                <w:rFonts w:ascii="宋体" w:hAnsi="宋体" w:cs="宋体"/>
                <w:sz w:val="24"/>
                <w:szCs w:val="24"/>
              </w:rPr>
            </w:pPr>
            <w:r>
              <w:rPr>
                <w:rFonts w:hint="eastAsia" w:ascii="宋体" w:hAnsi="宋体" w:cs="宋体"/>
                <w:b/>
                <w:sz w:val="24"/>
                <w:szCs w:val="24"/>
              </w:rPr>
              <w:t>本项目专门面向中小</w:t>
            </w:r>
            <w:r>
              <w:rPr>
                <w:rFonts w:ascii="宋体" w:hAnsi="宋体" w:cs="宋体"/>
                <w:b/>
                <w:sz w:val="24"/>
                <w:szCs w:val="24"/>
              </w:rPr>
              <w:t>企业，不进行价格扣除</w:t>
            </w:r>
            <w:r>
              <w:rPr>
                <w:rFonts w:ascii="宋体" w:hAnsi="宋体" w:cs="宋体"/>
                <w:sz w:val="24"/>
                <w:szCs w:val="24"/>
              </w:rPr>
              <w:t>。</w:t>
            </w:r>
          </w:p>
          <w:p>
            <w:pPr>
              <w:tabs>
                <w:tab w:val="left" w:pos="7665"/>
              </w:tabs>
              <w:autoSpaceDE w:val="0"/>
              <w:autoSpaceDN w:val="0"/>
              <w:adjustRightInd w:val="0"/>
              <w:snapToGrid w:val="0"/>
              <w:ind w:right="210" w:rightChars="100"/>
              <w:rPr>
                <w:rFonts w:ascii="宋体" w:hAnsi="宋体"/>
                <w:sz w:val="24"/>
                <w:szCs w:val="24"/>
              </w:rPr>
            </w:pPr>
            <w:r>
              <w:rPr>
                <w:rFonts w:ascii="宋体" w:hAnsi="宋体" w:eastAsia="宋体" w:cs="宋体"/>
                <w:sz w:val="24"/>
                <w:szCs w:val="24"/>
                <w:highlight w:val="yellow"/>
              </w:rPr>
              <w:t>供应商填写《中小企业声明函》，应</w:t>
            </w:r>
            <w:r>
              <w:rPr>
                <w:rFonts w:hint="eastAsia" w:ascii="宋体" w:hAnsi="宋体" w:cs="宋体"/>
                <w:sz w:val="24"/>
                <w:szCs w:val="24"/>
                <w:highlight w:val="yellow"/>
                <w:lang w:eastAsia="zh-CN"/>
              </w:rPr>
              <w:t>当</w:t>
            </w:r>
            <w:r>
              <w:rPr>
                <w:rFonts w:ascii="宋体" w:hAnsi="宋体" w:eastAsia="宋体" w:cs="宋体"/>
                <w:sz w:val="24"/>
                <w:szCs w:val="24"/>
                <w:highlight w:val="yellow"/>
              </w:rPr>
              <w:t>把标的物的所有产品（磋商文件涵盖）一一写明，如虚假填写，将承担法律责任。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72" w:hRule="atLeast"/>
          <w:jc w:val="center"/>
        </w:trPr>
        <w:tc>
          <w:tcPr>
            <w:tcW w:w="682" w:type="dxa"/>
            <w:tcBorders>
              <w:top w:val="single" w:color="auto" w:sz="4" w:space="0"/>
              <w:left w:val="single" w:color="auto" w:sz="18" w:space="0"/>
              <w:bottom w:val="single" w:color="auto" w:sz="8" w:space="0"/>
              <w:right w:val="single" w:color="auto" w:sz="8" w:space="0"/>
            </w:tcBorders>
            <w:vAlign w:val="center"/>
          </w:tcPr>
          <w:p>
            <w:pPr>
              <w:numPr>
                <w:ilvl w:val="0"/>
                <w:numId w:val="10"/>
              </w:numPr>
              <w:snapToGrid w:val="0"/>
              <w:spacing w:after="200" w:line="360" w:lineRule="auto"/>
              <w:ind w:left="420"/>
              <w:jc w:val="center"/>
              <w:rPr>
                <w:rFonts w:ascii="宋体" w:hAnsi="宋体"/>
                <w:sz w:val="24"/>
                <w:szCs w:val="24"/>
              </w:rPr>
            </w:pPr>
          </w:p>
        </w:tc>
        <w:tc>
          <w:tcPr>
            <w:tcW w:w="1736" w:type="dxa"/>
            <w:tcBorders>
              <w:top w:val="single" w:color="auto" w:sz="4" w:space="0"/>
              <w:left w:val="single" w:color="auto" w:sz="8" w:space="0"/>
              <w:bottom w:val="single" w:color="auto" w:sz="8" w:space="0"/>
              <w:right w:val="single" w:color="auto" w:sz="8" w:space="0"/>
            </w:tcBorders>
            <w:vAlign w:val="center"/>
          </w:tcPr>
          <w:p>
            <w:pPr>
              <w:pStyle w:val="121"/>
              <w:spacing w:line="360" w:lineRule="auto"/>
              <w:jc w:val="both"/>
              <w:rPr>
                <w:kern w:val="2"/>
                <w:sz w:val="24"/>
                <w:szCs w:val="24"/>
                <w:lang w:val="zh-CN"/>
              </w:rPr>
            </w:pPr>
            <w:r>
              <w:rPr>
                <w:rFonts w:hint="eastAsia"/>
                <w:kern w:val="2"/>
                <w:sz w:val="24"/>
                <w:szCs w:val="24"/>
                <w:lang w:val="zh-CN"/>
              </w:rPr>
              <w:t>磋商保证金</w:t>
            </w:r>
          </w:p>
        </w:tc>
        <w:tc>
          <w:tcPr>
            <w:tcW w:w="7092" w:type="dxa"/>
            <w:tcBorders>
              <w:top w:val="single" w:color="auto" w:sz="4" w:space="0"/>
              <w:left w:val="single" w:color="auto" w:sz="8" w:space="0"/>
              <w:bottom w:val="single" w:color="auto" w:sz="8" w:space="0"/>
              <w:right w:val="single" w:color="auto" w:sz="18" w:space="0"/>
            </w:tcBorders>
            <w:vAlign w:val="center"/>
          </w:tcPr>
          <w:p>
            <w:pPr>
              <w:spacing w:line="360" w:lineRule="auto"/>
              <w:rPr>
                <w:rFonts w:ascii="宋体" w:hAnsi="宋体"/>
                <w:b/>
                <w:sz w:val="24"/>
                <w:szCs w:val="24"/>
              </w:rPr>
            </w:pPr>
            <w:r>
              <w:rPr>
                <w:rFonts w:hint="eastAsia" w:ascii="宋体" w:hAnsi="宋体"/>
                <w:b/>
                <w:sz w:val="24"/>
                <w:szCs w:val="24"/>
              </w:rPr>
              <w:t>本项目不收取磋商保证金。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682"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after="200" w:line="360" w:lineRule="auto"/>
              <w:ind w:left="420"/>
              <w:jc w:val="center"/>
              <w:rPr>
                <w:rFonts w:ascii="宋体" w:hAnsi="宋体"/>
                <w:sz w:val="24"/>
                <w:szCs w:val="24"/>
              </w:rPr>
            </w:pPr>
          </w:p>
        </w:tc>
        <w:tc>
          <w:tcPr>
            <w:tcW w:w="173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sz w:val="24"/>
                <w:szCs w:val="24"/>
                <w:lang w:val="zh-CN"/>
              </w:rPr>
            </w:pPr>
            <w:r>
              <w:rPr>
                <w:rFonts w:hint="eastAsia" w:ascii="宋体" w:hAnsi="宋体" w:cs="宋体"/>
                <w:sz w:val="24"/>
                <w:szCs w:val="24"/>
                <w:lang w:val="zh-CN"/>
              </w:rPr>
              <w:t>履约保证金</w:t>
            </w:r>
          </w:p>
        </w:tc>
        <w:tc>
          <w:tcPr>
            <w:tcW w:w="7092"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b/>
                <w:sz w:val="24"/>
                <w:szCs w:val="24"/>
                <w:lang w:val="zh-CN"/>
              </w:rPr>
            </w:pPr>
            <w:r>
              <w:rPr>
                <w:rFonts w:hint="eastAsia" w:ascii="宋体" w:hAnsi="宋体" w:cs="宋体"/>
                <w:b/>
                <w:sz w:val="24"/>
                <w:szCs w:val="24"/>
                <w:highlight w:val="none"/>
                <w:lang w:val="zh-CN"/>
              </w:rPr>
              <w:t>详见磋商</w:t>
            </w:r>
            <w:r>
              <w:rPr>
                <w:rFonts w:ascii="宋体" w:hAnsi="宋体" w:cs="宋体"/>
                <w:b/>
                <w:sz w:val="24"/>
                <w:szCs w:val="24"/>
                <w:highlight w:val="none"/>
                <w:lang w:val="zh-CN"/>
              </w:rPr>
              <w:t>文件</w:t>
            </w:r>
            <w:r>
              <w:rPr>
                <w:rFonts w:hint="eastAsia" w:ascii="宋体" w:hAnsi="宋体" w:cs="宋体"/>
                <w:b/>
                <w:sz w:val="24"/>
                <w:szCs w:val="24"/>
                <w:highlight w:val="none"/>
                <w:lang w:val="zh-CN"/>
              </w:rPr>
              <w:t>2.</w:t>
            </w:r>
            <w:r>
              <w:rPr>
                <w:rFonts w:hint="eastAsia" w:ascii="宋体" w:hAnsi="宋体" w:cs="宋体"/>
                <w:b/>
                <w:sz w:val="24"/>
                <w:szCs w:val="24"/>
                <w:highlight w:val="none"/>
                <w:lang w:val="en-US" w:eastAsia="zh-CN"/>
              </w:rPr>
              <w:t>8</w:t>
            </w:r>
            <w:r>
              <w:rPr>
                <w:rFonts w:hint="eastAsia" w:ascii="宋体" w:hAnsi="宋体" w:cs="宋体"/>
                <w:b/>
                <w:sz w:val="24"/>
                <w:szCs w:val="24"/>
                <w:highlight w:val="none"/>
                <w:lang w:val="zh-CN"/>
              </w:rPr>
              <w:t>.4。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682"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after="200" w:line="360" w:lineRule="auto"/>
              <w:ind w:left="420"/>
              <w:jc w:val="center"/>
              <w:rPr>
                <w:rFonts w:ascii="宋体" w:hAnsi="宋体"/>
                <w:sz w:val="24"/>
                <w:szCs w:val="24"/>
              </w:rPr>
            </w:pPr>
          </w:p>
        </w:tc>
        <w:tc>
          <w:tcPr>
            <w:tcW w:w="173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sz w:val="24"/>
                <w:szCs w:val="24"/>
              </w:rPr>
            </w:pPr>
            <w:r>
              <w:rPr>
                <w:rFonts w:hint="eastAsia" w:ascii="宋体" w:hAnsi="宋体"/>
                <w:sz w:val="24"/>
                <w:szCs w:val="24"/>
              </w:rPr>
              <w:t>响应文件的制作、签章和加密</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sz w:val="24"/>
                <w:szCs w:val="24"/>
              </w:rPr>
            </w:pPr>
            <w:r>
              <w:rPr>
                <w:rFonts w:hint="eastAsia" w:ascii="宋体" w:hAnsi="宋体"/>
                <w:sz w:val="24"/>
                <w:szCs w:val="24"/>
              </w:rPr>
              <w:t>详见供应商须知2.4.1</w:t>
            </w:r>
            <w:r>
              <w:rPr>
                <w:rFonts w:ascii="宋体" w:hAnsi="宋体"/>
                <w:sz w:val="24"/>
                <w:szCs w:val="24"/>
              </w:rPr>
              <w:t>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682"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after="200" w:line="360" w:lineRule="auto"/>
              <w:ind w:left="420"/>
              <w:jc w:val="center"/>
              <w:rPr>
                <w:rFonts w:ascii="宋体" w:hAnsi="宋体"/>
                <w:sz w:val="24"/>
                <w:szCs w:val="24"/>
              </w:rPr>
            </w:pPr>
          </w:p>
        </w:tc>
        <w:tc>
          <w:tcPr>
            <w:tcW w:w="173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sz w:val="24"/>
                <w:szCs w:val="24"/>
              </w:rPr>
            </w:pPr>
            <w:r>
              <w:rPr>
                <w:rFonts w:hint="eastAsia" w:ascii="宋体" w:hAnsi="宋体"/>
                <w:sz w:val="24"/>
                <w:szCs w:val="24"/>
              </w:rPr>
              <w:t>响应文件的递交</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sz w:val="24"/>
                <w:szCs w:val="24"/>
              </w:rPr>
            </w:pPr>
            <w:r>
              <w:rPr>
                <w:rFonts w:hint="eastAsia" w:ascii="宋体" w:hAnsi="宋体"/>
                <w:sz w:val="24"/>
                <w:szCs w:val="24"/>
              </w:rPr>
              <w:t>详见供应商须知2.4.1</w:t>
            </w:r>
            <w:r>
              <w:rPr>
                <w:rFonts w:ascii="宋体" w:hAnsi="宋体"/>
                <w:sz w:val="24"/>
                <w:szCs w:val="24"/>
              </w:rPr>
              <w:t>1</w:t>
            </w:r>
          </w:p>
          <w:p>
            <w:pPr>
              <w:tabs>
                <w:tab w:val="left" w:pos="7665"/>
              </w:tabs>
              <w:snapToGrid w:val="0"/>
              <w:rPr>
                <w:rFonts w:ascii="宋体" w:hAnsi="宋体"/>
                <w:sz w:val="24"/>
                <w:szCs w:val="24"/>
              </w:rPr>
            </w:pPr>
            <w:r>
              <w:rPr>
                <w:rFonts w:hint="eastAsia" w:ascii="宋体" w:hAnsi="宋体"/>
                <w:sz w:val="24"/>
                <w:szCs w:val="24"/>
              </w:rPr>
              <w:t>注：</w:t>
            </w:r>
            <w:r>
              <w:rPr>
                <w:rFonts w:ascii="宋体" w:hAnsi="宋体"/>
                <w:sz w:val="24"/>
                <w:szCs w:val="24"/>
              </w:rPr>
              <w:t>在</w:t>
            </w:r>
            <w:r>
              <w:rPr>
                <w:rFonts w:hint="eastAsia" w:ascii="宋体" w:hAnsi="宋体"/>
                <w:sz w:val="24"/>
                <w:szCs w:val="24"/>
              </w:rPr>
              <w:t>递交</w:t>
            </w:r>
            <w:r>
              <w:rPr>
                <w:rFonts w:ascii="宋体" w:hAnsi="宋体"/>
                <w:sz w:val="24"/>
                <w:szCs w:val="24"/>
              </w:rPr>
              <w:t>响应文件</w:t>
            </w:r>
            <w:r>
              <w:rPr>
                <w:rFonts w:hint="eastAsia" w:ascii="宋体" w:hAnsi="宋体"/>
                <w:sz w:val="24"/>
                <w:szCs w:val="24"/>
              </w:rPr>
              <w:t>截止时间前，供应商使用</w:t>
            </w:r>
            <w:r>
              <w:rPr>
                <w:rFonts w:ascii="宋体" w:hAnsi="宋体"/>
                <w:sz w:val="24"/>
                <w:szCs w:val="24"/>
              </w:rPr>
              <w:t>CA证书</w:t>
            </w:r>
            <w:r>
              <w:rPr>
                <w:rFonts w:hint="eastAsia" w:ascii="宋体" w:hAnsi="宋体"/>
                <w:sz w:val="24"/>
                <w:szCs w:val="24"/>
              </w:rPr>
              <w:t>将响应文件上传至政府</w:t>
            </w:r>
            <w:r>
              <w:rPr>
                <w:rFonts w:ascii="宋体" w:hAnsi="宋体"/>
                <w:sz w:val="24"/>
                <w:szCs w:val="24"/>
              </w:rPr>
              <w:t>采购</w:t>
            </w:r>
            <w:r>
              <w:rPr>
                <w:rFonts w:hint="eastAsia" w:ascii="宋体" w:hAnsi="宋体"/>
                <w:sz w:val="24"/>
                <w:szCs w:val="24"/>
              </w:rPr>
              <w:t>云平台，上传前须对响应文件是否有电子签章等进行核对。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682"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after="200" w:line="360" w:lineRule="auto"/>
              <w:ind w:left="420"/>
              <w:jc w:val="center"/>
              <w:rPr>
                <w:rFonts w:ascii="宋体" w:hAnsi="宋体"/>
                <w:sz w:val="24"/>
                <w:szCs w:val="24"/>
              </w:rPr>
            </w:pPr>
          </w:p>
        </w:tc>
        <w:tc>
          <w:tcPr>
            <w:tcW w:w="173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sz w:val="24"/>
                <w:szCs w:val="24"/>
              </w:rPr>
            </w:pPr>
            <w:r>
              <w:rPr>
                <w:rFonts w:hint="eastAsia" w:ascii="宋体" w:hAnsi="宋体"/>
                <w:sz w:val="24"/>
                <w:szCs w:val="24"/>
              </w:rPr>
              <w:t>响应文件的补充、修改和撤回</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sz w:val="24"/>
                <w:szCs w:val="24"/>
              </w:rPr>
            </w:pPr>
            <w:r>
              <w:rPr>
                <w:rFonts w:hint="eastAsia" w:ascii="宋体" w:hAnsi="宋体"/>
                <w:sz w:val="24"/>
                <w:szCs w:val="24"/>
              </w:rPr>
              <w:t>详见供应商须知2.4.1</w:t>
            </w:r>
            <w:r>
              <w:rPr>
                <w:rFonts w:ascii="宋体" w:hAnsi="宋体"/>
                <w:sz w:val="24"/>
                <w:szCs w:val="24"/>
              </w:rPr>
              <w:t>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682"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after="200" w:line="360" w:lineRule="auto"/>
              <w:ind w:left="420"/>
              <w:jc w:val="center"/>
              <w:rPr>
                <w:rFonts w:ascii="宋体" w:hAnsi="宋体"/>
                <w:sz w:val="24"/>
                <w:szCs w:val="24"/>
              </w:rPr>
            </w:pPr>
          </w:p>
        </w:tc>
        <w:tc>
          <w:tcPr>
            <w:tcW w:w="173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磋商</w:t>
            </w:r>
            <w:r>
              <w:rPr>
                <w:rFonts w:ascii="宋体" w:hAnsi="宋体"/>
                <w:color w:val="000000" w:themeColor="text1"/>
                <w:sz w:val="24"/>
                <w:szCs w:val="24"/>
                <w14:textFill>
                  <w14:solidFill>
                    <w14:schemeClr w14:val="tx1"/>
                  </w14:solidFill>
                </w14:textFill>
              </w:rPr>
              <w:t>活动</w:t>
            </w:r>
            <w:r>
              <w:rPr>
                <w:rFonts w:hint="eastAsia" w:ascii="宋体" w:hAnsi="宋体"/>
                <w:color w:val="000000" w:themeColor="text1"/>
                <w:sz w:val="24"/>
                <w:szCs w:val="24"/>
                <w14:textFill>
                  <w14:solidFill>
                    <w14:schemeClr w14:val="tx1"/>
                  </w14:solidFill>
                </w14:textFill>
              </w:rPr>
              <w:t>开启程序</w:t>
            </w:r>
          </w:p>
        </w:tc>
        <w:tc>
          <w:tcPr>
            <w:tcW w:w="7092" w:type="dxa"/>
            <w:tcBorders>
              <w:top w:val="single" w:color="auto" w:sz="8" w:space="0"/>
              <w:left w:val="single" w:color="auto" w:sz="8" w:space="0"/>
              <w:bottom w:val="single" w:color="auto" w:sz="8" w:space="0"/>
              <w:right w:val="single" w:color="auto" w:sz="18" w:space="0"/>
            </w:tcBorders>
            <w:vAlign w:val="center"/>
          </w:tcPr>
          <w:p>
            <w:pPr>
              <w:snapToGrid w:val="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详见供应商须知</w:t>
            </w:r>
            <w:r>
              <w:rPr>
                <w:rFonts w:ascii="宋体" w:hAnsi="宋体"/>
                <w:b/>
                <w:color w:val="000000" w:themeColor="text1"/>
                <w:sz w:val="24"/>
                <w:szCs w:val="24"/>
                <w14:textFill>
                  <w14:solidFill>
                    <w14:schemeClr w14:val="tx1"/>
                  </w14:solidFill>
                </w14:textFill>
              </w:rPr>
              <w:t>2.5</w:t>
            </w:r>
            <w:r>
              <w:rPr>
                <w:rFonts w:hint="eastAsia" w:ascii="宋体" w:hAnsi="宋体"/>
                <w:b/>
                <w:color w:val="000000" w:themeColor="text1"/>
                <w:sz w:val="24"/>
                <w:szCs w:val="24"/>
                <w14:textFill>
                  <w14:solidFill>
                    <w14:schemeClr w14:val="tx1"/>
                  </w14:solidFill>
                </w14:textFill>
              </w:rPr>
              <w:t>。</w:t>
            </w:r>
          </w:p>
          <w:p>
            <w:pPr>
              <w:snapToGrid w:val="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响应文件解密：开启解密后，供应商应在系统提示的解密开始时间后</w:t>
            </w:r>
            <w:r>
              <w:rPr>
                <w:rFonts w:ascii="宋体" w:hAnsi="宋体"/>
                <w:b/>
                <w:color w:val="000000" w:themeColor="text1"/>
                <w:sz w:val="24"/>
                <w:szCs w:val="24"/>
                <w14:textFill>
                  <w14:solidFill>
                    <w14:schemeClr w14:val="tx1"/>
                  </w14:solidFill>
                </w14:textFill>
              </w:rPr>
              <w:t>60</w:t>
            </w:r>
            <w:r>
              <w:rPr>
                <w:rFonts w:hint="eastAsia" w:ascii="宋体" w:hAnsi="宋体"/>
                <w:b/>
                <w:color w:val="000000" w:themeColor="text1"/>
                <w:sz w:val="24"/>
                <w:szCs w:val="24"/>
                <w14:textFill>
                  <w14:solidFill>
                    <w14:schemeClr w14:val="tx1"/>
                  </w14:solidFill>
                </w14:textFill>
              </w:rPr>
              <w:t>分钟内，使用对响应文件进行加密的CA证书在线完成对供应商递交至政府采购云平台的响应文件的解密。</w:t>
            </w:r>
          </w:p>
          <w:p>
            <w:pPr>
              <w:snapToGrid w:val="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供应商电脑终端等硬件设备和软件系统配置：供应商电脑终端等硬件设备和软件系统配置应符合开标大厅供应商电脑终端配置要求并运行正常，供应商承担因未尽职责产生的不利后果。</w:t>
            </w:r>
          </w:p>
          <w:p>
            <w:pPr>
              <w:tabs>
                <w:tab w:val="left" w:pos="7665"/>
              </w:tabs>
              <w:snapToGrid w:val="0"/>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响应文件的解密详见《成都市全流程电子化采购系统操作指南——供应商版》。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2740" w:hRule="atLeast"/>
          <w:jc w:val="center"/>
        </w:trPr>
        <w:tc>
          <w:tcPr>
            <w:tcW w:w="682"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after="200" w:line="240" w:lineRule="exact"/>
              <w:ind w:left="420"/>
              <w:jc w:val="center"/>
              <w:rPr>
                <w:rFonts w:ascii="宋体" w:hAnsi="宋体"/>
                <w:color w:val="000000" w:themeColor="text1"/>
                <w:sz w:val="24"/>
                <w:szCs w:val="24"/>
                <w14:textFill>
                  <w14:solidFill>
                    <w14:schemeClr w14:val="tx1"/>
                  </w14:solidFill>
                </w14:textFill>
              </w:rPr>
            </w:pPr>
          </w:p>
        </w:tc>
        <w:tc>
          <w:tcPr>
            <w:tcW w:w="1736"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olor w:val="000000" w:themeColor="text1"/>
                <w:sz w:val="24"/>
                <w:szCs w:val="24"/>
                <w14:textFill>
                  <w14:solidFill>
                    <w14:schemeClr w14:val="tx1"/>
                  </w14:solidFill>
                </w14:textFill>
              </w:rPr>
            </w:pPr>
            <w:r>
              <w:rPr>
                <w:rFonts w:hint="eastAsia" w:ascii="宋体" w:hAnsi="宋体"/>
                <w:sz w:val="24"/>
                <w:szCs w:val="24"/>
              </w:rPr>
              <w:t>对磋商文件中供应商参加本次政府采购活动应当具备的条件、项目技术、服务、商务及其他要求</w:t>
            </w:r>
            <w:r>
              <w:rPr>
                <w:rFonts w:ascii="宋体" w:hAnsi="宋体"/>
                <w:sz w:val="24"/>
                <w:szCs w:val="24"/>
              </w:rPr>
              <w:t>,评审办法和标准,以及关于资格审查的询问、质疑</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40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向采购人提出，并由采购人按相关规定作出答复（详见供应商须知2.10）。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682"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after="200" w:line="360" w:lineRule="auto"/>
              <w:ind w:left="420"/>
              <w:jc w:val="center"/>
              <w:rPr>
                <w:rFonts w:ascii="宋体" w:hAnsi="宋体"/>
                <w:color w:val="000000" w:themeColor="text1"/>
                <w:sz w:val="24"/>
                <w:szCs w:val="24"/>
                <w14:textFill>
                  <w14:solidFill>
                    <w14:schemeClr w14:val="tx1"/>
                  </w14:solidFill>
                </w14:textFill>
              </w:rPr>
            </w:pPr>
          </w:p>
        </w:tc>
        <w:tc>
          <w:tcPr>
            <w:tcW w:w="1736" w:type="dxa"/>
            <w:tcBorders>
              <w:top w:val="single" w:color="auto" w:sz="8" w:space="0"/>
              <w:left w:val="single" w:color="auto" w:sz="8" w:space="0"/>
              <w:bottom w:val="single" w:color="auto" w:sz="8" w:space="0"/>
              <w:right w:val="single" w:color="auto" w:sz="8" w:space="0"/>
            </w:tcBorders>
            <w:vAlign w:val="center"/>
          </w:tcPr>
          <w:p>
            <w:pPr>
              <w:snapToGrid w:val="0"/>
              <w:spacing w:line="40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对磋商文件中的其他内容、采购过程及成交结果的询问、质疑</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40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向区政府采购中心提出，并由区政府采购中心按相关规定作出答复（详见供应商须知2.10）。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830" w:hRule="atLeast"/>
          <w:jc w:val="center"/>
        </w:trPr>
        <w:tc>
          <w:tcPr>
            <w:tcW w:w="682"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after="200" w:line="360" w:lineRule="auto"/>
              <w:ind w:left="420"/>
              <w:jc w:val="center"/>
              <w:rPr>
                <w:rFonts w:ascii="宋体" w:hAnsi="宋体"/>
                <w:color w:val="000000" w:themeColor="text1"/>
                <w:sz w:val="24"/>
                <w:szCs w:val="24"/>
                <w14:textFill>
                  <w14:solidFill>
                    <w14:schemeClr w14:val="tx1"/>
                  </w14:solidFill>
                </w14:textFill>
              </w:rPr>
            </w:pPr>
          </w:p>
        </w:tc>
        <w:tc>
          <w:tcPr>
            <w:tcW w:w="173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10" w:rightChars="1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供应商投诉</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投诉受理单位：本项目同级财政部门，即成都市武侯区财政局。</w:t>
            </w:r>
          </w:p>
          <w:p>
            <w:pPr>
              <w:tabs>
                <w:tab w:val="left" w:pos="7665"/>
              </w:tabs>
              <w:snapToGrid w:val="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地 址：成都市武侯区武科西五路360号武侯区市民中心2栋5单元801室</w:t>
            </w:r>
          </w:p>
          <w:p>
            <w:pPr>
              <w:tabs>
                <w:tab w:val="left" w:pos="7665"/>
              </w:tabs>
              <w:snapToGrid w:val="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联系电话：028-85558345</w:t>
            </w:r>
          </w:p>
          <w:p>
            <w:pPr>
              <w:tabs>
                <w:tab w:val="left" w:pos="7665"/>
              </w:tabs>
              <w:snapToGrid w:val="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邮编：</w:t>
            </w:r>
            <w:r>
              <w:rPr>
                <w:rFonts w:ascii="宋体" w:hAnsi="宋体"/>
                <w:color w:val="000000" w:themeColor="text1"/>
                <w:sz w:val="24"/>
                <w:szCs w:val="24"/>
                <w14:textFill>
                  <w14:solidFill>
                    <w14:schemeClr w14:val="tx1"/>
                  </w14:solidFill>
                </w14:textFill>
              </w:rPr>
              <w:t>610041。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682"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after="200" w:line="360" w:lineRule="auto"/>
              <w:ind w:left="420"/>
              <w:jc w:val="center"/>
              <w:rPr>
                <w:rFonts w:ascii="宋体" w:hAnsi="宋体"/>
                <w:sz w:val="24"/>
                <w:szCs w:val="24"/>
              </w:rPr>
            </w:pPr>
          </w:p>
        </w:tc>
        <w:tc>
          <w:tcPr>
            <w:tcW w:w="173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spacing w:line="360" w:lineRule="auto"/>
              <w:rPr>
                <w:rFonts w:ascii="宋体" w:hAnsi="宋体"/>
                <w:sz w:val="24"/>
                <w:szCs w:val="24"/>
              </w:rPr>
            </w:pPr>
            <w:r>
              <w:rPr>
                <w:rFonts w:hint="eastAsia" w:ascii="宋体" w:hAnsi="宋体"/>
                <w:sz w:val="24"/>
                <w:szCs w:val="24"/>
              </w:rPr>
              <w:t>响应文件有效期</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sz w:val="24"/>
                <w:szCs w:val="24"/>
              </w:rPr>
            </w:pPr>
            <w:r>
              <w:rPr>
                <w:rFonts w:hint="eastAsia" w:ascii="宋体" w:hAnsi="宋体"/>
                <w:sz w:val="24"/>
                <w:szCs w:val="24"/>
              </w:rPr>
              <w:t>递交响应文件的截止之日起</w:t>
            </w:r>
            <w:r>
              <w:rPr>
                <w:rFonts w:ascii="宋体" w:hAnsi="宋体"/>
                <w:sz w:val="24"/>
                <w:szCs w:val="24"/>
              </w:rPr>
              <w:t xml:space="preserve"> 120</w:t>
            </w:r>
            <w:r>
              <w:rPr>
                <w:rFonts w:hint="eastAsia" w:ascii="宋体" w:hAnsi="宋体"/>
                <w:sz w:val="24"/>
                <w:szCs w:val="24"/>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4" w:hRule="atLeast"/>
          <w:jc w:val="center"/>
        </w:trPr>
        <w:tc>
          <w:tcPr>
            <w:tcW w:w="682"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after="200" w:line="360" w:lineRule="auto"/>
              <w:ind w:left="420"/>
              <w:jc w:val="center"/>
              <w:rPr>
                <w:rFonts w:ascii="宋体" w:hAnsi="宋体"/>
                <w:sz w:val="24"/>
                <w:szCs w:val="24"/>
              </w:rPr>
            </w:pPr>
          </w:p>
        </w:tc>
        <w:tc>
          <w:tcPr>
            <w:tcW w:w="173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cs="宋体"/>
                <w:sz w:val="24"/>
                <w:szCs w:val="24"/>
                <w:lang w:val="zh-CN"/>
              </w:rPr>
            </w:pPr>
            <w:r>
              <w:rPr>
                <w:rFonts w:hint="eastAsia" w:ascii="宋体" w:hAnsi="宋体" w:cs="宋体"/>
                <w:sz w:val="24"/>
                <w:szCs w:val="24"/>
                <w:lang w:val="zh-CN"/>
              </w:rPr>
              <w:t>评审情况公告</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sz w:val="24"/>
                <w:szCs w:val="24"/>
              </w:rPr>
            </w:pPr>
            <w:r>
              <w:rPr>
                <w:rFonts w:hint="eastAsia" w:ascii="宋体" w:hAnsi="宋体"/>
                <w:sz w:val="24"/>
                <w:szCs w:val="24"/>
              </w:rPr>
              <w:t>所有供应商资格性审查情况、响应文件符合性审查情况、采用综合评分法时的得分情况、评审结果等将在“成都市公共资源交易服务中心网”、“四川政府采购网”采购结果公告栏中予以公告。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4" w:hRule="atLeast"/>
          <w:jc w:val="center"/>
        </w:trPr>
        <w:tc>
          <w:tcPr>
            <w:tcW w:w="682"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after="200" w:line="360" w:lineRule="auto"/>
              <w:ind w:left="420"/>
              <w:jc w:val="center"/>
              <w:rPr>
                <w:rFonts w:ascii="宋体" w:hAnsi="宋体"/>
                <w:sz w:val="24"/>
                <w:szCs w:val="24"/>
              </w:rPr>
            </w:pPr>
          </w:p>
        </w:tc>
        <w:tc>
          <w:tcPr>
            <w:tcW w:w="173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sz w:val="24"/>
                <w:szCs w:val="24"/>
              </w:rPr>
            </w:pPr>
            <w:r>
              <w:rPr>
                <w:rFonts w:hint="eastAsia" w:ascii="宋体" w:hAnsi="宋体" w:cs="宋体"/>
                <w:sz w:val="24"/>
                <w:szCs w:val="24"/>
                <w:lang w:val="zh-CN"/>
              </w:rPr>
              <w:t>成交通知书领取</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sz w:val="24"/>
                <w:szCs w:val="24"/>
              </w:rPr>
            </w:pPr>
            <w:r>
              <w:rPr>
                <w:rFonts w:hint="eastAsia" w:ascii="宋体" w:hAnsi="宋体"/>
                <w:sz w:val="24"/>
                <w:szCs w:val="24"/>
              </w:rPr>
              <w:t>成交公告在四川政府采购网公告后，成交供应商自行登录政府采购云平台下载成交通知书。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4" w:hRule="atLeast"/>
          <w:jc w:val="center"/>
        </w:trPr>
        <w:tc>
          <w:tcPr>
            <w:tcW w:w="682"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after="200" w:line="360" w:lineRule="auto"/>
              <w:ind w:left="420"/>
              <w:jc w:val="center"/>
              <w:rPr>
                <w:rFonts w:ascii="宋体" w:hAnsi="宋体"/>
                <w:sz w:val="24"/>
                <w:szCs w:val="24"/>
              </w:rPr>
            </w:pPr>
          </w:p>
        </w:tc>
        <w:tc>
          <w:tcPr>
            <w:tcW w:w="173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sz w:val="24"/>
                <w:szCs w:val="24"/>
              </w:rPr>
            </w:pPr>
            <w:r>
              <w:rPr>
                <w:rFonts w:hint="eastAsia" w:ascii="宋体" w:hAnsi="宋体"/>
                <w:sz w:val="24"/>
                <w:szCs w:val="24"/>
              </w:rPr>
              <w:t>合同签订地点</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sz w:val="24"/>
                <w:szCs w:val="24"/>
              </w:rPr>
            </w:pPr>
            <w:r>
              <w:rPr>
                <w:rFonts w:hint="eastAsia" w:ascii="宋体" w:hAnsi="宋体"/>
                <w:sz w:val="24"/>
                <w:szCs w:val="24"/>
              </w:rPr>
              <w:t>四川省成都市。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4" w:hRule="atLeast"/>
          <w:jc w:val="center"/>
        </w:trPr>
        <w:tc>
          <w:tcPr>
            <w:tcW w:w="682"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after="200" w:line="360" w:lineRule="auto"/>
              <w:ind w:left="420"/>
              <w:jc w:val="center"/>
              <w:rPr>
                <w:rFonts w:ascii="宋体" w:hAnsi="宋体"/>
                <w:sz w:val="24"/>
                <w:szCs w:val="24"/>
              </w:rPr>
            </w:pPr>
          </w:p>
        </w:tc>
        <w:tc>
          <w:tcPr>
            <w:tcW w:w="173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10" w:rightChars="100"/>
              <w:rPr>
                <w:rFonts w:ascii="宋体" w:hAnsi="宋体"/>
                <w:sz w:val="24"/>
                <w:szCs w:val="24"/>
              </w:rPr>
            </w:pPr>
            <w:r>
              <w:rPr>
                <w:rFonts w:hint="eastAsia" w:ascii="宋体" w:hAnsi="宋体"/>
                <w:sz w:val="24"/>
                <w:szCs w:val="24"/>
              </w:rPr>
              <w:t>政府采购合同公告、备案</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sz w:val="24"/>
                <w:szCs w:val="24"/>
              </w:rPr>
            </w:pPr>
            <w:r>
              <w:rPr>
                <w:rFonts w:hint="eastAsia" w:ascii="宋体" w:hAnsi="宋体"/>
                <w:sz w:val="24"/>
                <w:szCs w:val="24"/>
              </w:rPr>
              <w:t>政府采购合同签订之日起2个工作日内，采购人将在四川政府采购网公告政府采购合同；疫情防控期间，采购人原则</w:t>
            </w:r>
            <w:r>
              <w:rPr>
                <w:rFonts w:ascii="宋体" w:hAnsi="宋体"/>
                <w:sz w:val="24"/>
                <w:szCs w:val="24"/>
              </w:rPr>
              <w:t>上在5个工作日内</w:t>
            </w:r>
            <w:r>
              <w:rPr>
                <w:rFonts w:hint="eastAsia" w:ascii="宋体" w:hAnsi="宋体"/>
                <w:sz w:val="24"/>
                <w:szCs w:val="24"/>
              </w:rPr>
              <w:t>与</w:t>
            </w:r>
            <w:r>
              <w:rPr>
                <w:rFonts w:ascii="宋体" w:hAnsi="宋体"/>
                <w:sz w:val="24"/>
                <w:szCs w:val="24"/>
              </w:rPr>
              <w:t>供应商签订政府采购合同</w:t>
            </w:r>
            <w:r>
              <w:rPr>
                <w:rFonts w:hint="eastAsia" w:ascii="宋体" w:hAnsi="宋体"/>
                <w:sz w:val="24"/>
                <w:szCs w:val="24"/>
              </w:rPr>
              <w:t>及向本采购项目同级财政部门（即成都市</w:t>
            </w:r>
            <w:r>
              <w:rPr>
                <w:rFonts w:hint="eastAsia" w:ascii="宋体" w:hAnsi="宋体"/>
                <w:sz w:val="24"/>
                <w:szCs w:val="24"/>
                <w:lang w:eastAsia="zh-CN"/>
              </w:rPr>
              <w:t>武侯区</w:t>
            </w:r>
            <w:r>
              <w:rPr>
                <w:rFonts w:hint="eastAsia" w:ascii="宋体" w:hAnsi="宋体"/>
                <w:sz w:val="24"/>
                <w:szCs w:val="24"/>
              </w:rPr>
              <w:t>财政局）备案政府采购合同。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4" w:hRule="atLeast"/>
          <w:jc w:val="center"/>
        </w:trPr>
        <w:tc>
          <w:tcPr>
            <w:tcW w:w="682" w:type="dxa"/>
            <w:tcBorders>
              <w:top w:val="single" w:color="auto" w:sz="8" w:space="0"/>
              <w:left w:val="single" w:color="auto" w:sz="18" w:space="0"/>
              <w:bottom w:val="single" w:color="auto" w:sz="8" w:space="0"/>
              <w:right w:val="single" w:color="auto" w:sz="8" w:space="0"/>
            </w:tcBorders>
            <w:vAlign w:val="center"/>
          </w:tcPr>
          <w:p>
            <w:pPr>
              <w:numPr>
                <w:ilvl w:val="0"/>
                <w:numId w:val="10"/>
              </w:numPr>
              <w:snapToGrid w:val="0"/>
              <w:spacing w:after="200" w:line="360" w:lineRule="auto"/>
              <w:ind w:left="420"/>
              <w:jc w:val="center"/>
              <w:rPr>
                <w:rFonts w:ascii="宋体" w:hAnsi="宋体"/>
                <w:sz w:val="24"/>
                <w:szCs w:val="24"/>
              </w:rPr>
            </w:pPr>
          </w:p>
        </w:tc>
        <w:tc>
          <w:tcPr>
            <w:tcW w:w="173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10" w:rightChars="100"/>
              <w:rPr>
                <w:rFonts w:hint="eastAsia" w:ascii="宋体" w:hAnsi="宋体"/>
                <w:sz w:val="24"/>
                <w:szCs w:val="24"/>
              </w:rPr>
            </w:pPr>
            <w:r>
              <w:rPr>
                <w:rFonts w:hint="eastAsia" w:ascii="宋体" w:hAnsi="宋体"/>
                <w:sz w:val="24"/>
                <w:szCs w:val="24"/>
              </w:rPr>
              <w:t>进口产品（如采购内容中涉及货物采购的）</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hint="eastAsia" w:ascii="宋体" w:hAnsi="宋体"/>
                <w:sz w:val="24"/>
                <w:szCs w:val="24"/>
              </w:rPr>
            </w:pPr>
            <w:r>
              <w:rPr>
                <w:rFonts w:hint="eastAsia" w:ascii="宋体" w:hAnsi="宋体"/>
                <w:sz w:val="24"/>
                <w:szCs w:val="24"/>
              </w:rPr>
              <w:t>磋商文件中未载明“允许采购进口产品”的产品，拒绝进口产品的报价。磋商文件中载明“允许采购进口产品”的产品，允许国产产品参与竞争。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7" w:hRule="atLeast"/>
          <w:jc w:val="center"/>
        </w:trPr>
        <w:tc>
          <w:tcPr>
            <w:tcW w:w="682" w:type="dxa"/>
            <w:tcBorders>
              <w:top w:val="single" w:color="auto" w:sz="4" w:space="0"/>
              <w:left w:val="single" w:color="auto" w:sz="18" w:space="0"/>
              <w:bottom w:val="single" w:color="auto" w:sz="4" w:space="0"/>
              <w:right w:val="single" w:color="auto" w:sz="8" w:space="0"/>
            </w:tcBorders>
            <w:vAlign w:val="center"/>
          </w:tcPr>
          <w:p>
            <w:pPr>
              <w:numPr>
                <w:ilvl w:val="0"/>
                <w:numId w:val="10"/>
              </w:numPr>
              <w:snapToGrid w:val="0"/>
              <w:spacing w:after="200" w:line="360" w:lineRule="auto"/>
              <w:ind w:left="0" w:firstLine="0"/>
              <w:jc w:val="center"/>
              <w:rPr>
                <w:rFonts w:ascii="宋体" w:hAnsi="宋体"/>
                <w:sz w:val="24"/>
                <w:szCs w:val="24"/>
              </w:rPr>
            </w:pPr>
          </w:p>
        </w:tc>
        <w:tc>
          <w:tcPr>
            <w:tcW w:w="8828"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rPr>
                <w:rFonts w:ascii="宋体" w:hAnsi="宋体"/>
                <w:sz w:val="24"/>
                <w:szCs w:val="24"/>
              </w:rPr>
            </w:pPr>
            <w:r>
              <w:rPr>
                <w:rFonts w:hint="eastAsia" w:ascii="宋体" w:hAnsi="宋体"/>
                <w:sz w:val="24"/>
                <w:szCs w:val="24"/>
              </w:rPr>
              <w:t>采购人可以要求参加本项目采购的供应商提供有关资质证明文件和业绩情况，并根据《中华人民共和国政府采购法》规定的供应商条件和采购项目对供应商的特定要求，对供应商的资格进行审查。</w:t>
            </w:r>
          </w:p>
        </w:tc>
      </w:tr>
    </w:tbl>
    <w:p>
      <w:pPr>
        <w:pStyle w:val="5"/>
        <w:numPr>
          <w:ilvl w:val="1"/>
          <w:numId w:val="5"/>
        </w:numPr>
        <w:tabs>
          <w:tab w:val="left" w:pos="426"/>
          <w:tab w:val="left" w:pos="567"/>
        </w:tabs>
        <w:spacing w:before="0" w:after="200"/>
        <w:ind w:left="1985" w:hanging="1985"/>
        <w:jc w:val="both"/>
        <w:rPr>
          <w:sz w:val="24"/>
          <w:szCs w:val="24"/>
        </w:rPr>
      </w:pPr>
      <w:bookmarkStart w:id="9" w:name="_Toc494095619"/>
      <w:bookmarkEnd w:id="9"/>
      <w:bookmarkStart w:id="10" w:name="_Toc494356973"/>
      <w:bookmarkEnd w:id="10"/>
      <w:bookmarkStart w:id="11" w:name="_Toc79742120"/>
      <w:bookmarkStart w:id="12" w:name="_Toc58943326"/>
      <w:r>
        <w:rPr>
          <w:rFonts w:hint="eastAsia"/>
          <w:sz w:val="24"/>
          <w:szCs w:val="24"/>
        </w:rPr>
        <w:t>总则</w:t>
      </w:r>
      <w:bookmarkEnd w:id="11"/>
      <w:bookmarkEnd w:id="12"/>
    </w:p>
    <w:p>
      <w:pPr>
        <w:pStyle w:val="6"/>
        <w:numPr>
          <w:ilvl w:val="2"/>
          <w:numId w:val="5"/>
        </w:numPr>
        <w:spacing w:after="200"/>
        <w:ind w:left="0" w:firstLine="0"/>
        <w:rPr>
          <w:color w:val="auto"/>
          <w:sz w:val="24"/>
          <w:szCs w:val="24"/>
        </w:rPr>
      </w:pPr>
      <w:r>
        <w:rPr>
          <w:rFonts w:hint="eastAsia"/>
          <w:color w:val="auto"/>
          <w:sz w:val="24"/>
          <w:szCs w:val="24"/>
        </w:rPr>
        <w:t>适用范围</w:t>
      </w:r>
      <w:bookmarkEnd w:id="4"/>
      <w:bookmarkEnd w:id="5"/>
    </w:p>
    <w:p>
      <w:pPr>
        <w:numPr>
          <w:ilvl w:val="0"/>
          <w:numId w:val="11"/>
        </w:numPr>
        <w:tabs>
          <w:tab w:val="left" w:pos="1134"/>
        </w:tabs>
        <w:spacing w:after="200" w:line="360" w:lineRule="exact"/>
        <w:ind w:left="0" w:firstLine="480" w:firstLineChars="200"/>
        <w:rPr>
          <w:rFonts w:ascii="宋体" w:hAnsi="宋体"/>
          <w:color w:val="000000" w:themeColor="text1"/>
          <w:sz w:val="24"/>
          <w:szCs w:val="24"/>
          <w14:textFill>
            <w14:solidFill>
              <w14:schemeClr w14:val="tx1"/>
            </w14:solidFill>
          </w14:textFill>
        </w:rPr>
      </w:pPr>
      <w:r>
        <w:rPr>
          <w:rFonts w:hint="eastAsia" w:ascii="宋体" w:hAnsi="宋体"/>
          <w:sz w:val="24"/>
          <w:szCs w:val="24"/>
        </w:rPr>
        <w:t>本</w:t>
      </w:r>
      <w:r>
        <w:rPr>
          <w:rFonts w:hint="eastAsia" w:ascii="宋体" w:hAnsi="宋体"/>
          <w:color w:val="000000" w:themeColor="text1"/>
          <w:sz w:val="24"/>
          <w:szCs w:val="24"/>
          <w14:textFill>
            <w14:solidFill>
              <w14:schemeClr w14:val="tx1"/>
            </w14:solidFill>
          </w14:textFill>
        </w:rPr>
        <w:t>磋商文件仅适用于本竞争性磋商邀请中所叙述项目的采购。</w:t>
      </w:r>
    </w:p>
    <w:p>
      <w:pPr>
        <w:numPr>
          <w:ilvl w:val="0"/>
          <w:numId w:val="11"/>
        </w:numPr>
        <w:tabs>
          <w:tab w:val="left" w:pos="1134"/>
        </w:tabs>
        <w:spacing w:after="200" w:line="360" w:lineRule="exact"/>
        <w:ind w:left="0"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本磋商文件的最终解释权属于采购人与区政府采购中心。磋商文件中供应商参加本次政府采购活动应当具备的条件，项目技术</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服务、商务及其他要求以及评审办法及标准由采购人负责解释。磋商文件其他内容由区政府采购中心负责解释。</w:t>
      </w:r>
    </w:p>
    <w:p>
      <w:pPr>
        <w:pStyle w:val="6"/>
        <w:numPr>
          <w:ilvl w:val="2"/>
          <w:numId w:val="5"/>
        </w:numPr>
        <w:spacing w:after="200"/>
        <w:ind w:left="0" w:firstLine="0"/>
        <w:rPr>
          <w:color w:val="auto"/>
          <w:sz w:val="24"/>
          <w:szCs w:val="24"/>
        </w:rPr>
      </w:pPr>
      <w:bookmarkStart w:id="13" w:name="_Toc287623639"/>
      <w:r>
        <w:rPr>
          <w:rFonts w:hint="eastAsia"/>
          <w:color w:val="auto"/>
          <w:sz w:val="24"/>
          <w:szCs w:val="24"/>
        </w:rPr>
        <w:t>有关定义</w:t>
      </w:r>
      <w:bookmarkEnd w:id="13"/>
    </w:p>
    <w:p>
      <w:pPr>
        <w:numPr>
          <w:ilvl w:val="0"/>
          <w:numId w:val="12"/>
        </w:numPr>
        <w:tabs>
          <w:tab w:val="left" w:pos="1130"/>
          <w:tab w:val="left" w:pos="1200"/>
        </w:tabs>
        <w:spacing w:after="200" w:line="360" w:lineRule="exact"/>
        <w:ind w:left="420" w:leftChars="0" w:firstLine="140" w:firstLineChars="0"/>
        <w:rPr>
          <w:rFonts w:ascii="宋体" w:hAnsi="宋体"/>
          <w:sz w:val="24"/>
          <w:szCs w:val="24"/>
        </w:rPr>
      </w:pPr>
      <w:r>
        <w:rPr>
          <w:rFonts w:hint="eastAsia" w:ascii="宋体" w:hAnsi="宋体"/>
          <w:sz w:val="24"/>
          <w:szCs w:val="24"/>
        </w:rPr>
        <w:t>“采购人”、“甲方”系指依法进行政府采购的成都市武侯区区级机关、事业单位、团体组织。本项目的采购人（甲方）为</w:t>
      </w:r>
      <w:r>
        <w:rPr>
          <w:rFonts w:hint="eastAsia" w:ascii="宋体" w:hAnsi="宋体"/>
          <w:sz w:val="24"/>
          <w:szCs w:val="24"/>
          <w:u w:val="single"/>
        </w:rPr>
        <w:t>成都市弟维小学</w:t>
      </w:r>
      <w:r>
        <w:rPr>
          <w:rFonts w:hint="eastAsia" w:ascii="宋体" w:hAnsi="宋体"/>
          <w:color w:val="000000" w:themeColor="text1"/>
          <w:sz w:val="24"/>
          <w:szCs w:val="24"/>
          <w14:textFill>
            <w14:solidFill>
              <w14:schemeClr w14:val="tx1"/>
            </w14:solidFill>
          </w14:textFill>
        </w:rPr>
        <w:t>。</w:t>
      </w:r>
    </w:p>
    <w:p>
      <w:pPr>
        <w:numPr>
          <w:ilvl w:val="0"/>
          <w:numId w:val="12"/>
        </w:numPr>
        <w:tabs>
          <w:tab w:val="left" w:pos="709"/>
          <w:tab w:val="left" w:pos="1130"/>
          <w:tab w:val="left" w:pos="1200"/>
          <w:tab w:val="clear" w:pos="420"/>
        </w:tabs>
        <w:spacing w:after="200" w:line="360" w:lineRule="exact"/>
        <w:ind w:left="0" w:firstLine="567"/>
        <w:rPr>
          <w:rFonts w:ascii="宋体" w:hAnsi="宋体"/>
          <w:sz w:val="24"/>
          <w:szCs w:val="24"/>
        </w:rPr>
      </w:pPr>
      <w:r>
        <w:rPr>
          <w:rFonts w:hint="eastAsia" w:ascii="宋体" w:hAnsi="宋体"/>
          <w:sz w:val="24"/>
          <w:szCs w:val="24"/>
        </w:rPr>
        <w:t>“供应商”系指按照竞争性磋商文件“竞争性磋商邀请”中第六、七、八条规定获取了采购文件拟参加竞争性磋商和向采购人提供服务的供应商。“乙方”系指本项目的成交供应商。</w:t>
      </w:r>
    </w:p>
    <w:p>
      <w:pPr>
        <w:numPr>
          <w:ilvl w:val="0"/>
          <w:numId w:val="12"/>
        </w:numPr>
        <w:tabs>
          <w:tab w:val="left" w:pos="1130"/>
          <w:tab w:val="left" w:pos="1200"/>
        </w:tabs>
        <w:spacing w:after="200" w:line="360" w:lineRule="exact"/>
        <w:ind w:left="0" w:firstLine="513" w:firstLineChars="214"/>
        <w:rPr>
          <w:rFonts w:ascii="宋体" w:hAnsi="宋体"/>
          <w:sz w:val="24"/>
          <w:szCs w:val="24"/>
        </w:rPr>
      </w:pPr>
      <w:r>
        <w:rPr>
          <w:rFonts w:hint="eastAsia" w:ascii="宋体" w:hAnsi="宋体"/>
          <w:sz w:val="24"/>
          <w:szCs w:val="24"/>
        </w:rPr>
        <w:t>本磋商文件各部分规定的期间以时、日、月、年计算。期间开始的时和日，不计算在期间内，从次日开始计算。期间届满的最后一天是法定节假日的，以法定节假日后的第一日为期间届满的日期。</w:t>
      </w:r>
    </w:p>
    <w:p>
      <w:pPr>
        <w:numPr>
          <w:ilvl w:val="0"/>
          <w:numId w:val="12"/>
        </w:numPr>
        <w:tabs>
          <w:tab w:val="left" w:pos="1130"/>
          <w:tab w:val="left" w:pos="1200"/>
        </w:tabs>
        <w:spacing w:after="200" w:line="360" w:lineRule="exact"/>
        <w:ind w:left="0" w:firstLine="513" w:firstLineChars="214"/>
        <w:rPr>
          <w:rFonts w:ascii="宋体" w:hAnsi="宋体"/>
          <w:sz w:val="24"/>
          <w:szCs w:val="24"/>
        </w:rPr>
      </w:pPr>
      <w:r>
        <w:rPr>
          <w:rFonts w:hint="eastAsia" w:ascii="宋体" w:hAnsi="宋体"/>
          <w:sz w:val="24"/>
          <w:szCs w:val="24"/>
        </w:rPr>
        <w:t>磋商文件中所称的“以上”、“以下”、“内”、“以内”，包括本数；所称的“不足”，不包括本数。</w:t>
      </w:r>
    </w:p>
    <w:p>
      <w:pPr>
        <w:numPr>
          <w:ilvl w:val="0"/>
          <w:numId w:val="12"/>
        </w:numPr>
        <w:tabs>
          <w:tab w:val="left" w:pos="1130"/>
          <w:tab w:val="left" w:pos="1200"/>
        </w:tabs>
        <w:spacing w:after="200" w:line="360" w:lineRule="exact"/>
        <w:ind w:left="0" w:firstLine="513" w:firstLineChars="214"/>
        <w:rPr>
          <w:rFonts w:ascii="宋体" w:hAnsi="宋体"/>
          <w:sz w:val="24"/>
          <w:szCs w:val="24"/>
        </w:rPr>
      </w:pPr>
      <w:r>
        <w:rPr>
          <w:rFonts w:hint="eastAsia" w:ascii="宋体" w:hAnsi="宋体"/>
          <w:sz w:val="24"/>
          <w:szCs w:val="24"/>
        </w:rPr>
        <w:t>重大违法记录是指供应商因违法经营受到刑事处罚或者责令停产停业、吊销许可证或者执照、较大数额罚款等行政处罚。</w:t>
      </w:r>
    </w:p>
    <w:p>
      <w:pPr>
        <w:numPr>
          <w:ilvl w:val="0"/>
          <w:numId w:val="12"/>
        </w:numPr>
        <w:tabs>
          <w:tab w:val="left" w:pos="1130"/>
          <w:tab w:val="left" w:pos="1200"/>
          <w:tab w:val="left" w:pos="1843"/>
        </w:tabs>
        <w:spacing w:after="200" w:line="360" w:lineRule="exact"/>
        <w:ind w:left="0" w:firstLine="513" w:firstLineChars="214"/>
        <w:rPr>
          <w:rFonts w:ascii="宋体" w:hAnsi="宋体"/>
          <w:sz w:val="24"/>
          <w:szCs w:val="24"/>
        </w:rPr>
      </w:pPr>
      <w:r>
        <w:rPr>
          <w:rFonts w:hint="eastAsia" w:ascii="宋体" w:hAnsi="宋体"/>
          <w:sz w:val="24"/>
          <w:szCs w:val="24"/>
        </w:rPr>
        <w:t>本</w:t>
      </w:r>
      <w:r>
        <w:rPr>
          <w:rFonts w:ascii="宋体" w:hAnsi="宋体"/>
          <w:sz w:val="24"/>
          <w:szCs w:val="24"/>
        </w:rPr>
        <w:t>项目重大违法记录中的较大数额罚款的具体金额标准：若行政主管部门对较大数额罚款金额标准有明文规定的，以行业行政主管部门规定的较大数额罚款金额标准为准；若行政主管部门对较大数额罚款金额标准未明文规定的，以作出行政处罚机关当地的行政处罚罚款听证标准金额为准。</w:t>
      </w:r>
    </w:p>
    <w:p>
      <w:pPr>
        <w:pStyle w:val="81"/>
        <w:numPr>
          <w:ilvl w:val="0"/>
          <w:numId w:val="12"/>
        </w:numPr>
        <w:tabs>
          <w:tab w:val="left" w:pos="0"/>
          <w:tab w:val="clear" w:pos="420"/>
        </w:tabs>
        <w:spacing w:line="360" w:lineRule="exact"/>
        <w:ind w:left="0" w:firstLine="567" w:firstLineChars="0"/>
        <w:rPr>
          <w:rFonts w:ascii="宋体" w:hAnsi="宋体" w:eastAsia="宋体" w:cs="Times New Roman"/>
          <w:sz w:val="24"/>
          <w:szCs w:val="24"/>
        </w:rPr>
      </w:pPr>
      <w:r>
        <w:rPr>
          <w:rFonts w:hint="eastAsia" w:ascii="宋体" w:hAnsi="宋体" w:eastAsia="宋体" w:cs="Times New Roman"/>
          <w:sz w:val="24"/>
          <w:szCs w:val="24"/>
        </w:rPr>
        <w:t>不见面磋商是指</w:t>
      </w:r>
      <w:r>
        <w:rPr>
          <w:rFonts w:hint="eastAsia" w:ascii="宋体" w:hAnsi="宋体" w:eastAsia="宋体" w:cs="Times New Roman"/>
          <w:color w:val="000000" w:themeColor="text1"/>
          <w:sz w:val="24"/>
          <w:szCs w:val="24"/>
          <w14:textFill>
            <w14:solidFill>
              <w14:schemeClr w14:val="tx1"/>
            </w14:solidFill>
          </w14:textFill>
        </w:rPr>
        <w:t>，区政府采购中心依</w:t>
      </w:r>
      <w:r>
        <w:rPr>
          <w:rFonts w:hint="eastAsia" w:ascii="宋体" w:hAnsi="宋体" w:eastAsia="宋体" w:cs="Times New Roman"/>
          <w:sz w:val="24"/>
          <w:szCs w:val="24"/>
        </w:rPr>
        <w:t>托政府采购云平台组织磋商活动，供应商在线参与磋商的一种组织形式。</w:t>
      </w:r>
    </w:p>
    <w:p>
      <w:pPr>
        <w:pStyle w:val="6"/>
        <w:numPr>
          <w:ilvl w:val="2"/>
          <w:numId w:val="5"/>
        </w:numPr>
        <w:spacing w:after="200"/>
        <w:ind w:left="0" w:firstLine="0"/>
        <w:rPr>
          <w:color w:val="auto"/>
          <w:sz w:val="24"/>
          <w:szCs w:val="24"/>
        </w:rPr>
      </w:pPr>
      <w:r>
        <w:rPr>
          <w:rFonts w:hint="eastAsia"/>
          <w:color w:val="auto"/>
          <w:sz w:val="24"/>
          <w:szCs w:val="24"/>
        </w:rPr>
        <w:t>合格的供应商</w:t>
      </w:r>
    </w:p>
    <w:p>
      <w:pPr>
        <w:tabs>
          <w:tab w:val="left" w:pos="1134"/>
        </w:tabs>
        <w:spacing w:line="36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合格的供应商应具备以下条件：</w:t>
      </w:r>
    </w:p>
    <w:p>
      <w:pPr>
        <w:numPr>
          <w:ilvl w:val="1"/>
          <w:numId w:val="13"/>
        </w:numPr>
        <w:tabs>
          <w:tab w:val="left" w:pos="1134"/>
        </w:tabs>
        <w:spacing w:after="200" w:line="360" w:lineRule="exact"/>
        <w:ind w:left="0"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符合“竞争性磋商邀请”第四条规定的条件；</w:t>
      </w:r>
    </w:p>
    <w:p>
      <w:pPr>
        <w:numPr>
          <w:ilvl w:val="1"/>
          <w:numId w:val="13"/>
        </w:numPr>
        <w:tabs>
          <w:tab w:val="left" w:pos="1134"/>
        </w:tabs>
        <w:spacing w:after="200" w:line="360" w:lineRule="exact"/>
        <w:ind w:left="0"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按照竞争性磋商文件“竞争性磋商邀请”中第六、七、八条规定获取了采购文件。</w:t>
      </w:r>
    </w:p>
    <w:p>
      <w:pPr>
        <w:pStyle w:val="6"/>
        <w:numPr>
          <w:ilvl w:val="2"/>
          <w:numId w:val="5"/>
        </w:numPr>
        <w:spacing w:after="200"/>
        <w:ind w:left="0" w:firstLine="0"/>
        <w:rPr>
          <w:color w:val="auto"/>
          <w:sz w:val="24"/>
          <w:szCs w:val="24"/>
        </w:rPr>
      </w:pPr>
      <w:bookmarkStart w:id="14" w:name="_Toc287623640"/>
      <w:bookmarkStart w:id="15" w:name="_Toc320698717"/>
      <w:r>
        <w:rPr>
          <w:rFonts w:hint="eastAsia"/>
          <w:color w:val="auto"/>
          <w:sz w:val="24"/>
          <w:szCs w:val="24"/>
        </w:rPr>
        <w:t>参加竞争性磋商的费用</w:t>
      </w:r>
      <w:bookmarkEnd w:id="14"/>
    </w:p>
    <w:p>
      <w:pPr>
        <w:tabs>
          <w:tab w:val="left" w:pos="7665"/>
        </w:tabs>
        <w:spacing w:line="360" w:lineRule="auto"/>
        <w:ind w:firstLine="567"/>
        <w:rPr>
          <w:rFonts w:ascii="宋体" w:hAnsi="宋体"/>
          <w:sz w:val="24"/>
          <w:szCs w:val="24"/>
        </w:rPr>
      </w:pPr>
      <w:r>
        <w:rPr>
          <w:rFonts w:hint="eastAsia" w:ascii="宋体" w:hAnsi="宋体"/>
          <w:sz w:val="24"/>
          <w:szCs w:val="24"/>
        </w:rPr>
        <w:t>供应商应自行承担参加竞争性磋商采购活动的全部费用。</w:t>
      </w:r>
    </w:p>
    <w:p>
      <w:pPr>
        <w:pStyle w:val="6"/>
        <w:numPr>
          <w:ilvl w:val="2"/>
          <w:numId w:val="5"/>
        </w:numPr>
        <w:spacing w:after="200"/>
        <w:ind w:left="0" w:firstLine="0"/>
        <w:rPr>
          <w:color w:val="auto"/>
          <w:sz w:val="24"/>
          <w:szCs w:val="24"/>
        </w:rPr>
      </w:pPr>
      <w:r>
        <w:rPr>
          <w:rFonts w:hint="eastAsia"/>
          <w:color w:val="auto"/>
          <w:sz w:val="24"/>
          <w:szCs w:val="24"/>
        </w:rPr>
        <w:t>充分、公平竞争保障措施</w:t>
      </w:r>
    </w:p>
    <w:p>
      <w:pPr>
        <w:numPr>
          <w:ilvl w:val="1"/>
          <w:numId w:val="14"/>
        </w:numPr>
        <w:tabs>
          <w:tab w:val="left" w:pos="1134"/>
        </w:tabs>
        <w:spacing w:after="200" w:line="400" w:lineRule="exact"/>
        <w:ind w:left="0" w:firstLine="568"/>
        <w:rPr>
          <w:rFonts w:ascii="宋体" w:hAnsi="宋体"/>
          <w:sz w:val="24"/>
          <w:szCs w:val="24"/>
        </w:rPr>
      </w:pPr>
      <w:r>
        <w:rPr>
          <w:rFonts w:hint="eastAsia" w:ascii="宋体" w:hAnsi="宋体"/>
          <w:sz w:val="24"/>
          <w:szCs w:val="24"/>
        </w:rPr>
        <w:t>单位负责人为同一人或者存在直接控股、管理关系的相关供应商，不得参加同一项目的磋商采购</w:t>
      </w:r>
      <w:r>
        <w:rPr>
          <w:rFonts w:ascii="宋体" w:hAnsi="宋体"/>
          <w:sz w:val="24"/>
          <w:szCs w:val="24"/>
        </w:rPr>
        <w:t>活动</w:t>
      </w:r>
      <w:r>
        <w:rPr>
          <w:rFonts w:hint="eastAsia" w:ascii="宋体" w:hAnsi="宋体"/>
          <w:sz w:val="24"/>
          <w:szCs w:val="24"/>
        </w:rPr>
        <w:t>。</w:t>
      </w:r>
    </w:p>
    <w:p>
      <w:pPr>
        <w:numPr>
          <w:ilvl w:val="1"/>
          <w:numId w:val="14"/>
        </w:numPr>
        <w:tabs>
          <w:tab w:val="left" w:pos="1134"/>
        </w:tabs>
        <w:spacing w:after="200" w:line="400" w:lineRule="exact"/>
        <w:ind w:left="0" w:firstLine="480" w:firstLineChars="200"/>
        <w:rPr>
          <w:rFonts w:ascii="宋体" w:hAnsi="宋体"/>
          <w:sz w:val="24"/>
          <w:szCs w:val="24"/>
        </w:rPr>
      </w:pPr>
      <w:r>
        <w:rPr>
          <w:rFonts w:hint="eastAsia" w:ascii="宋体" w:hAnsi="宋体"/>
          <w:sz w:val="24"/>
          <w:szCs w:val="24"/>
        </w:rPr>
        <w:t>为采购项目提供整体设计、规范编制或者项目管理、监理、检测等服务的供应商，不得再参加该采购项目的其他采购活动。供应商为采购人、</w:t>
      </w:r>
      <w:r>
        <w:rPr>
          <w:rFonts w:hint="eastAsia" w:ascii="宋体" w:hAnsi="宋体"/>
          <w:color w:val="000000" w:themeColor="text1"/>
          <w:sz w:val="24"/>
          <w:szCs w:val="24"/>
          <w14:textFill>
            <w14:solidFill>
              <w14:schemeClr w14:val="tx1"/>
            </w14:solidFill>
          </w14:textFill>
        </w:rPr>
        <w:t>区政府采购中心</w:t>
      </w:r>
      <w:r>
        <w:rPr>
          <w:rFonts w:hint="eastAsia" w:ascii="宋体" w:hAnsi="宋体"/>
          <w:sz w:val="24"/>
          <w:szCs w:val="24"/>
        </w:rPr>
        <w:t>在确定采购需求、编制采购文件过程中提供咨询论证，其提供的咨询论证意见成为采购文件中规定的供应商资格条件、技术、服务要求、评审因素和标准、政府采购合同等实质性内容条款的，视同为采购项目提供规范编制。</w:t>
      </w:r>
      <w:r>
        <w:rPr>
          <w:rFonts w:hint="eastAsia" w:ascii="宋体" w:hAnsi="宋体"/>
          <w:b/>
          <w:sz w:val="24"/>
          <w:szCs w:val="24"/>
        </w:rPr>
        <w:t>（说明：无供应商为本项目提供整体设计、规范编制或者项目管理、监理、检测等服务）</w:t>
      </w:r>
    </w:p>
    <w:p>
      <w:pPr>
        <w:pStyle w:val="5"/>
        <w:numPr>
          <w:ilvl w:val="1"/>
          <w:numId w:val="5"/>
        </w:numPr>
        <w:tabs>
          <w:tab w:val="left" w:pos="426"/>
          <w:tab w:val="left" w:pos="567"/>
        </w:tabs>
        <w:spacing w:before="0" w:after="200"/>
        <w:ind w:left="1985" w:hanging="1985"/>
        <w:jc w:val="both"/>
        <w:rPr>
          <w:sz w:val="24"/>
          <w:szCs w:val="24"/>
        </w:rPr>
      </w:pPr>
      <w:bookmarkStart w:id="16" w:name="_Toc79742121"/>
      <w:bookmarkStart w:id="17" w:name="_Toc58943327"/>
      <w:r>
        <w:rPr>
          <w:rFonts w:hint="eastAsia"/>
          <w:sz w:val="24"/>
          <w:szCs w:val="24"/>
        </w:rPr>
        <w:t>磋商文件</w:t>
      </w:r>
      <w:bookmarkEnd w:id="16"/>
      <w:bookmarkEnd w:id="17"/>
    </w:p>
    <w:p>
      <w:pPr>
        <w:pStyle w:val="6"/>
        <w:numPr>
          <w:ilvl w:val="2"/>
          <w:numId w:val="5"/>
        </w:numPr>
        <w:spacing w:after="200"/>
        <w:ind w:left="0" w:firstLine="0"/>
        <w:rPr>
          <w:color w:val="auto"/>
          <w:sz w:val="24"/>
          <w:szCs w:val="24"/>
        </w:rPr>
      </w:pPr>
      <w:r>
        <w:rPr>
          <w:rFonts w:hint="eastAsia"/>
          <w:color w:val="auto"/>
          <w:sz w:val="24"/>
          <w:szCs w:val="24"/>
        </w:rPr>
        <w:t>磋商文件的构成</w:t>
      </w:r>
    </w:p>
    <w:p>
      <w:pPr>
        <w:tabs>
          <w:tab w:val="left" w:pos="1134"/>
        </w:tabs>
        <w:spacing w:line="400" w:lineRule="exact"/>
        <w:ind w:firstLine="480" w:firstLineChars="200"/>
        <w:rPr>
          <w:rFonts w:ascii="宋体" w:hAnsi="宋体"/>
          <w:sz w:val="24"/>
          <w:szCs w:val="24"/>
        </w:rPr>
      </w:pPr>
      <w:r>
        <w:rPr>
          <w:rFonts w:hint="eastAsia" w:ascii="宋体" w:hAnsi="宋体"/>
          <w:sz w:val="24"/>
          <w:szCs w:val="24"/>
        </w:rPr>
        <w:t>一、竞争性磋商文件是供应商准备响应文件和参加磋商的依据，同时也是评审的重要依据。竞争性磋商文件用以阐明采购项目所需的资质、技术、服务及报价等要求、磋商程序、有关规定和注意事项以及合同草案条款等。本磋商文件包括以下内容：</w:t>
      </w:r>
    </w:p>
    <w:p>
      <w:pPr>
        <w:tabs>
          <w:tab w:val="left" w:pos="1134"/>
        </w:tabs>
        <w:spacing w:line="400" w:lineRule="exact"/>
        <w:ind w:firstLine="480" w:firstLineChars="200"/>
        <w:rPr>
          <w:rFonts w:ascii="宋体" w:hAnsi="宋体"/>
          <w:sz w:val="24"/>
          <w:szCs w:val="24"/>
        </w:rPr>
      </w:pPr>
      <w:r>
        <w:rPr>
          <w:rFonts w:hint="eastAsia" w:ascii="宋体" w:hAnsi="宋体"/>
          <w:sz w:val="24"/>
          <w:szCs w:val="24"/>
        </w:rPr>
        <w:t>（一）竞争性磋商邀请；</w:t>
      </w:r>
    </w:p>
    <w:p>
      <w:pPr>
        <w:tabs>
          <w:tab w:val="left" w:pos="1134"/>
        </w:tabs>
        <w:spacing w:line="400" w:lineRule="exact"/>
        <w:ind w:firstLine="480" w:firstLineChars="200"/>
        <w:rPr>
          <w:rFonts w:ascii="宋体" w:hAnsi="宋体"/>
          <w:sz w:val="24"/>
          <w:szCs w:val="24"/>
        </w:rPr>
      </w:pPr>
      <w:r>
        <w:rPr>
          <w:rFonts w:hint="eastAsia" w:ascii="宋体" w:hAnsi="宋体"/>
          <w:sz w:val="24"/>
          <w:szCs w:val="24"/>
        </w:rPr>
        <w:t>（二）供应商须知；</w:t>
      </w:r>
    </w:p>
    <w:p>
      <w:pPr>
        <w:tabs>
          <w:tab w:val="left" w:pos="1134"/>
        </w:tabs>
        <w:spacing w:line="400" w:lineRule="exact"/>
        <w:ind w:firstLine="480" w:firstLineChars="200"/>
        <w:rPr>
          <w:rFonts w:ascii="宋体" w:hAnsi="宋体"/>
          <w:sz w:val="24"/>
          <w:szCs w:val="24"/>
        </w:rPr>
      </w:pPr>
      <w:r>
        <w:rPr>
          <w:rFonts w:hint="eastAsia" w:ascii="宋体" w:hAnsi="宋体"/>
          <w:sz w:val="24"/>
          <w:szCs w:val="24"/>
        </w:rPr>
        <w:t>（三）响应文件格式；</w:t>
      </w:r>
    </w:p>
    <w:p>
      <w:pPr>
        <w:tabs>
          <w:tab w:val="left" w:pos="1134"/>
        </w:tabs>
        <w:spacing w:line="400" w:lineRule="exact"/>
        <w:ind w:firstLine="480" w:firstLineChars="200"/>
        <w:rPr>
          <w:rFonts w:ascii="宋体" w:hAnsi="宋体"/>
          <w:sz w:val="24"/>
          <w:szCs w:val="24"/>
        </w:rPr>
      </w:pPr>
      <w:r>
        <w:rPr>
          <w:rFonts w:hint="eastAsia" w:ascii="宋体" w:hAnsi="宋体"/>
          <w:sz w:val="24"/>
          <w:szCs w:val="24"/>
        </w:rPr>
        <w:t>（四）技术、服务、商务及其他要求；</w:t>
      </w:r>
    </w:p>
    <w:p>
      <w:pPr>
        <w:tabs>
          <w:tab w:val="left" w:pos="1134"/>
        </w:tabs>
        <w:spacing w:line="400" w:lineRule="exact"/>
        <w:ind w:firstLine="480" w:firstLineChars="200"/>
        <w:rPr>
          <w:rFonts w:ascii="宋体" w:hAnsi="宋体"/>
          <w:sz w:val="24"/>
          <w:szCs w:val="24"/>
        </w:rPr>
      </w:pPr>
      <w:r>
        <w:rPr>
          <w:rFonts w:hint="eastAsia" w:ascii="宋体" w:hAnsi="宋体"/>
          <w:sz w:val="24"/>
          <w:szCs w:val="24"/>
        </w:rPr>
        <w:t>（五）磋商办法；</w:t>
      </w:r>
    </w:p>
    <w:p>
      <w:pPr>
        <w:tabs>
          <w:tab w:val="left" w:pos="1134"/>
        </w:tabs>
        <w:spacing w:line="400" w:lineRule="exact"/>
        <w:ind w:firstLine="480" w:firstLineChars="200"/>
        <w:rPr>
          <w:rFonts w:ascii="宋体" w:hAnsi="宋体"/>
          <w:sz w:val="24"/>
          <w:szCs w:val="24"/>
        </w:rPr>
      </w:pPr>
      <w:r>
        <w:rPr>
          <w:rFonts w:hint="eastAsia" w:ascii="宋体" w:hAnsi="宋体"/>
          <w:sz w:val="24"/>
          <w:szCs w:val="24"/>
        </w:rPr>
        <w:t>（六）合同草案条款。</w:t>
      </w:r>
    </w:p>
    <w:p>
      <w:pPr>
        <w:tabs>
          <w:tab w:val="left" w:pos="1134"/>
        </w:tabs>
        <w:spacing w:line="400" w:lineRule="exact"/>
        <w:ind w:firstLine="480" w:firstLineChars="200"/>
        <w:rPr>
          <w:rFonts w:ascii="宋体" w:hAnsi="宋体"/>
          <w:sz w:val="20"/>
          <w:szCs w:val="21"/>
        </w:rPr>
      </w:pPr>
      <w:r>
        <w:rPr>
          <w:rFonts w:hint="eastAsia" w:ascii="宋体" w:hAnsi="宋体"/>
          <w:sz w:val="24"/>
          <w:szCs w:val="24"/>
        </w:rPr>
        <w:t>二、</w:t>
      </w:r>
      <w:bookmarkEnd w:id="15"/>
      <w:r>
        <w:rPr>
          <w:rFonts w:hint="eastAsia" w:ascii="宋体" w:hAnsi="宋体"/>
          <w:sz w:val="24"/>
          <w:szCs w:val="24"/>
        </w:rPr>
        <w:t>供应商应认真阅读和充分理解竞争性磋商文件中所有的事项、格式条款和规范要求。按照磋商文件的要求提供响应文件，并保证所提供的全部资料的合法性、真实性和有效性，一经发现有虚假行为的，将取消其参加磋商或成交资格，并承担相应的法律责任。供应商没有对竞争性磋商文件全面做出实质性响应所产生的风险由供应商承担。</w:t>
      </w:r>
    </w:p>
    <w:p>
      <w:pPr>
        <w:pStyle w:val="6"/>
        <w:numPr>
          <w:ilvl w:val="2"/>
          <w:numId w:val="5"/>
        </w:numPr>
        <w:spacing w:after="200"/>
        <w:ind w:left="0" w:firstLine="0"/>
        <w:rPr>
          <w:color w:val="auto"/>
          <w:sz w:val="24"/>
          <w:szCs w:val="24"/>
        </w:rPr>
      </w:pPr>
      <w:bookmarkStart w:id="18" w:name="_Toc183582211"/>
      <w:bookmarkStart w:id="19" w:name="_Toc183682348"/>
      <w:bookmarkStart w:id="20" w:name="_Toc217446040"/>
      <w:r>
        <w:rPr>
          <w:rFonts w:hint="eastAsia"/>
          <w:color w:val="auto"/>
          <w:sz w:val="24"/>
          <w:szCs w:val="24"/>
        </w:rPr>
        <w:t>磋商文件的澄清</w:t>
      </w:r>
      <w:bookmarkEnd w:id="18"/>
      <w:bookmarkEnd w:id="19"/>
      <w:r>
        <w:rPr>
          <w:rFonts w:hint="eastAsia"/>
          <w:color w:val="auto"/>
          <w:sz w:val="24"/>
          <w:szCs w:val="24"/>
        </w:rPr>
        <w:t>和修改</w:t>
      </w:r>
      <w:bookmarkEnd w:id="20"/>
    </w:p>
    <w:p>
      <w:pPr>
        <w:numPr>
          <w:ilvl w:val="0"/>
          <w:numId w:val="15"/>
        </w:numPr>
        <w:tabs>
          <w:tab w:val="left" w:pos="1134"/>
        </w:tabs>
        <w:spacing w:after="200" w:line="400" w:lineRule="exact"/>
        <w:ind w:left="0" w:firstLine="560"/>
        <w:rPr>
          <w:rFonts w:ascii="宋体" w:hAnsi="宋体"/>
          <w:sz w:val="24"/>
          <w:szCs w:val="24"/>
        </w:rPr>
      </w:pPr>
      <w:r>
        <w:rPr>
          <w:rFonts w:hint="eastAsia" w:ascii="宋体" w:hAnsi="宋体"/>
          <w:sz w:val="24"/>
          <w:szCs w:val="24"/>
        </w:rPr>
        <w:t>在递交响应文件截止时间前，采购人或者</w:t>
      </w:r>
      <w:r>
        <w:rPr>
          <w:rFonts w:hint="eastAsia" w:cs="Arial"/>
          <w:color w:val="000000" w:themeColor="text1"/>
          <w:sz w:val="24"/>
          <w:szCs w:val="24"/>
          <w14:textFill>
            <w14:solidFill>
              <w14:schemeClr w14:val="tx1"/>
            </w14:solidFill>
          </w14:textFill>
        </w:rPr>
        <w:t>区政府采购中心</w:t>
      </w:r>
      <w:r>
        <w:rPr>
          <w:rFonts w:hint="eastAsia" w:ascii="宋体" w:hAnsi="宋体"/>
          <w:color w:val="000000" w:themeColor="text1"/>
          <w:sz w:val="24"/>
          <w:szCs w:val="24"/>
          <w14:textFill>
            <w14:solidFill>
              <w14:schemeClr w14:val="tx1"/>
            </w14:solidFill>
          </w14:textFill>
        </w:rPr>
        <w:t>可</w:t>
      </w:r>
      <w:r>
        <w:rPr>
          <w:rFonts w:hint="eastAsia" w:ascii="宋体" w:hAnsi="宋体"/>
          <w:sz w:val="24"/>
          <w:szCs w:val="24"/>
        </w:rPr>
        <w:t>以对已发出的磋商文件进行必要的澄清或者修改。</w:t>
      </w:r>
    </w:p>
    <w:p>
      <w:pPr>
        <w:numPr>
          <w:ilvl w:val="0"/>
          <w:numId w:val="15"/>
        </w:numPr>
        <w:tabs>
          <w:tab w:val="left" w:pos="1134"/>
        </w:tabs>
        <w:spacing w:after="200" w:line="400" w:lineRule="exact"/>
        <w:ind w:left="0" w:firstLine="567"/>
        <w:rPr>
          <w:rFonts w:ascii="宋体" w:hAnsi="宋体"/>
          <w:sz w:val="24"/>
          <w:szCs w:val="24"/>
        </w:rPr>
      </w:pPr>
      <w:bookmarkStart w:id="21" w:name="_Toc320698720"/>
      <w:r>
        <w:rPr>
          <w:rFonts w:hint="eastAsia" w:ascii="宋体" w:hAnsi="宋体"/>
          <w:sz w:val="24"/>
          <w:szCs w:val="24"/>
        </w:rPr>
        <w:t>澄清或者修改的内容</w:t>
      </w:r>
      <w:r>
        <w:rPr>
          <w:rFonts w:hint="eastAsia" w:ascii="宋体" w:hAnsi="宋体"/>
          <w:color w:val="000000" w:themeColor="text1"/>
          <w:sz w:val="24"/>
          <w:szCs w:val="24"/>
          <w14:textFill>
            <w14:solidFill>
              <w14:schemeClr w14:val="tx1"/>
            </w14:solidFill>
          </w14:textFill>
        </w:rPr>
        <w:t>，区政府采购中心将</w:t>
      </w:r>
      <w:r>
        <w:rPr>
          <w:rFonts w:hint="eastAsia" w:ascii="宋体" w:hAnsi="宋体"/>
          <w:sz w:val="24"/>
          <w:szCs w:val="24"/>
        </w:rPr>
        <w:t>在“四川政府采购”和“成都市公共资源交易服务中心”网站上发布澄清公告，同时通过政府采购云平台将澄清或者修改的内容告知所有已</w:t>
      </w:r>
      <w:r>
        <w:rPr>
          <w:rFonts w:ascii="宋体" w:hAnsi="宋体"/>
          <w:sz w:val="24"/>
          <w:szCs w:val="24"/>
        </w:rPr>
        <w:t>获取</w:t>
      </w:r>
      <w:r>
        <w:rPr>
          <w:rFonts w:hint="eastAsia" w:ascii="宋体" w:hAnsi="宋体"/>
          <w:sz w:val="24"/>
          <w:szCs w:val="24"/>
        </w:rPr>
        <w:t>采购</w:t>
      </w:r>
      <w:r>
        <w:rPr>
          <w:rFonts w:ascii="宋体" w:hAnsi="宋体"/>
          <w:sz w:val="24"/>
          <w:szCs w:val="24"/>
        </w:rPr>
        <w:t>文件的</w:t>
      </w:r>
      <w:r>
        <w:rPr>
          <w:rFonts w:hint="eastAsia" w:ascii="宋体" w:hAnsi="宋体"/>
          <w:sz w:val="24"/>
          <w:szCs w:val="24"/>
        </w:rPr>
        <w:t>潜在供应商（供应商通过账号或CA证书登录云平台查看），该澄清或者修改的内容为磋商文件的组成部分。</w:t>
      </w:r>
    </w:p>
    <w:p>
      <w:pPr>
        <w:numPr>
          <w:ilvl w:val="0"/>
          <w:numId w:val="15"/>
        </w:numPr>
        <w:tabs>
          <w:tab w:val="left" w:pos="1134"/>
        </w:tabs>
        <w:spacing w:after="200" w:line="400" w:lineRule="exact"/>
        <w:ind w:left="0" w:firstLine="567"/>
        <w:rPr>
          <w:rFonts w:ascii="宋体" w:hAnsi="宋体"/>
          <w:color w:val="000000" w:themeColor="text1"/>
          <w:sz w:val="24"/>
          <w:szCs w:val="24"/>
          <w14:textFill>
            <w14:solidFill>
              <w14:schemeClr w14:val="tx1"/>
            </w14:solidFill>
          </w14:textFill>
        </w:rPr>
      </w:pPr>
      <w:r>
        <w:rPr>
          <w:rFonts w:hint="eastAsia" w:ascii="宋体" w:hAnsi="宋体"/>
          <w:sz w:val="24"/>
          <w:szCs w:val="24"/>
        </w:rPr>
        <w:t>澄清或者修改的内容可能影</w:t>
      </w:r>
      <w:r>
        <w:rPr>
          <w:rFonts w:hint="eastAsia" w:ascii="宋体" w:hAnsi="宋体"/>
          <w:color w:val="000000" w:themeColor="text1"/>
          <w:sz w:val="24"/>
          <w:szCs w:val="24"/>
          <w14:textFill>
            <w14:solidFill>
              <w14:schemeClr w14:val="tx1"/>
            </w14:solidFill>
          </w14:textFill>
        </w:rPr>
        <w:t>响响应文件编制的，区政府采购中心应当在提交首次响应文件截止时间至少5日前，通过政府采购云平台通知所有已获取采购文件的潜在供应商；不足5日的，采购人或区政府采购中心应当顺延提交首次响应文件截止时间。</w:t>
      </w:r>
    </w:p>
    <w:p>
      <w:pPr>
        <w:pStyle w:val="5"/>
        <w:numPr>
          <w:ilvl w:val="1"/>
          <w:numId w:val="5"/>
        </w:numPr>
        <w:tabs>
          <w:tab w:val="left" w:pos="426"/>
          <w:tab w:val="left" w:pos="567"/>
        </w:tabs>
        <w:spacing w:before="0" w:after="200"/>
        <w:ind w:left="1985" w:hanging="1985"/>
        <w:jc w:val="both"/>
        <w:rPr>
          <w:sz w:val="24"/>
          <w:szCs w:val="24"/>
        </w:rPr>
      </w:pPr>
      <w:bookmarkStart w:id="22" w:name="_Toc58943328"/>
      <w:bookmarkStart w:id="23" w:name="_Toc79742122"/>
      <w:r>
        <w:rPr>
          <w:rFonts w:hint="eastAsia"/>
          <w:sz w:val="24"/>
          <w:szCs w:val="24"/>
        </w:rPr>
        <w:t>响应文件</w:t>
      </w:r>
      <w:bookmarkEnd w:id="21"/>
      <w:bookmarkEnd w:id="22"/>
      <w:bookmarkEnd w:id="23"/>
    </w:p>
    <w:p>
      <w:pPr>
        <w:pStyle w:val="6"/>
        <w:numPr>
          <w:ilvl w:val="2"/>
          <w:numId w:val="5"/>
        </w:numPr>
        <w:spacing w:after="200"/>
        <w:ind w:left="0" w:firstLine="0"/>
        <w:rPr>
          <w:color w:val="auto"/>
          <w:sz w:val="24"/>
          <w:szCs w:val="24"/>
        </w:rPr>
      </w:pPr>
      <w:bookmarkStart w:id="24" w:name="_Toc320698721"/>
      <w:r>
        <w:rPr>
          <w:rFonts w:hint="eastAsia"/>
          <w:color w:val="auto"/>
          <w:sz w:val="24"/>
          <w:szCs w:val="24"/>
        </w:rPr>
        <w:t>响应文件的语言</w:t>
      </w:r>
      <w:bookmarkEnd w:id="24"/>
    </w:p>
    <w:p>
      <w:pPr>
        <w:tabs>
          <w:tab w:val="left" w:pos="1134"/>
        </w:tabs>
        <w:spacing w:line="400" w:lineRule="exact"/>
        <w:ind w:firstLine="480" w:firstLineChars="200"/>
        <w:rPr>
          <w:rFonts w:ascii="宋体" w:hAnsi="宋体"/>
          <w:sz w:val="24"/>
          <w:szCs w:val="24"/>
        </w:rPr>
      </w:pPr>
      <w:r>
        <w:rPr>
          <w:rFonts w:hint="eastAsia" w:ascii="宋体" w:hAnsi="宋体"/>
          <w:sz w:val="24"/>
          <w:szCs w:val="24"/>
        </w:rPr>
        <w:t>一、供应商提交的响应文件以及供应商与磋商小组在评审过程中的所有来往书面文件均须使用中文。响应文件中如附有外文资料，主要部分要对应翻译成中文并附在相关外文资料后面。</w:t>
      </w:r>
    </w:p>
    <w:p>
      <w:pPr>
        <w:tabs>
          <w:tab w:val="left" w:pos="1134"/>
        </w:tabs>
        <w:spacing w:line="400" w:lineRule="exact"/>
        <w:ind w:firstLine="480" w:firstLineChars="200"/>
        <w:rPr>
          <w:rFonts w:ascii="宋体" w:hAnsi="宋体"/>
          <w:sz w:val="24"/>
          <w:szCs w:val="24"/>
        </w:rPr>
      </w:pPr>
      <w:r>
        <w:rPr>
          <w:rFonts w:hint="eastAsia" w:ascii="宋体" w:hAnsi="宋体"/>
          <w:sz w:val="24"/>
          <w:szCs w:val="24"/>
        </w:rPr>
        <w:t>二、翻译的中文资料与外文资料如果出现差异和矛盾时，以中文为准。涉嫌提供虚假材料的按照相关法律法规处理。</w:t>
      </w:r>
    </w:p>
    <w:p>
      <w:pPr>
        <w:spacing w:line="400" w:lineRule="exact"/>
        <w:ind w:firstLine="480" w:firstLineChars="200"/>
        <w:rPr>
          <w:rFonts w:ascii="宋体" w:hAnsi="宋体"/>
          <w:sz w:val="24"/>
          <w:szCs w:val="24"/>
        </w:rPr>
      </w:pPr>
      <w:r>
        <w:rPr>
          <w:rFonts w:hint="eastAsia" w:ascii="宋体" w:hAnsi="宋体"/>
          <w:sz w:val="24"/>
          <w:szCs w:val="24"/>
        </w:rPr>
        <w:t>三、如因未翻译而造成对供应商的不利后果，由供应商承担。</w:t>
      </w:r>
    </w:p>
    <w:p>
      <w:pPr>
        <w:pStyle w:val="6"/>
        <w:numPr>
          <w:ilvl w:val="2"/>
          <w:numId w:val="5"/>
        </w:numPr>
        <w:spacing w:after="200"/>
        <w:ind w:left="0" w:firstLine="0"/>
        <w:rPr>
          <w:color w:val="auto"/>
          <w:sz w:val="24"/>
          <w:szCs w:val="24"/>
        </w:rPr>
      </w:pPr>
      <w:r>
        <w:rPr>
          <w:rFonts w:hint="eastAsia"/>
          <w:color w:val="auto"/>
          <w:sz w:val="24"/>
          <w:szCs w:val="24"/>
        </w:rPr>
        <w:t>计量单位</w:t>
      </w:r>
    </w:p>
    <w:p>
      <w:pPr>
        <w:tabs>
          <w:tab w:val="left" w:pos="1200"/>
        </w:tabs>
        <w:spacing w:line="400" w:lineRule="exact"/>
        <w:ind w:firstLine="480" w:firstLineChars="200"/>
        <w:rPr>
          <w:rFonts w:ascii="宋体" w:hAnsi="宋体"/>
          <w:sz w:val="24"/>
          <w:szCs w:val="24"/>
        </w:rPr>
      </w:pPr>
      <w:r>
        <w:rPr>
          <w:rFonts w:hint="eastAsia" w:ascii="宋体" w:hAnsi="宋体"/>
          <w:sz w:val="24"/>
          <w:szCs w:val="24"/>
        </w:rPr>
        <w:t>除磋商文件中另有规定外，本次采购项目所有合同项下的响应均采用国家法定的计量单位。</w:t>
      </w:r>
    </w:p>
    <w:p>
      <w:pPr>
        <w:pStyle w:val="6"/>
        <w:numPr>
          <w:ilvl w:val="2"/>
          <w:numId w:val="5"/>
        </w:numPr>
        <w:spacing w:after="200"/>
        <w:ind w:left="0" w:firstLine="0"/>
        <w:rPr>
          <w:color w:val="auto"/>
          <w:sz w:val="24"/>
          <w:szCs w:val="24"/>
        </w:rPr>
      </w:pPr>
      <w:bookmarkStart w:id="25" w:name="_Toc320698723"/>
      <w:r>
        <w:rPr>
          <w:rFonts w:hint="eastAsia"/>
          <w:color w:val="auto"/>
          <w:sz w:val="24"/>
          <w:szCs w:val="24"/>
        </w:rPr>
        <w:t>联合体</w:t>
      </w:r>
      <w:bookmarkEnd w:id="25"/>
    </w:p>
    <w:p>
      <w:pPr>
        <w:tabs>
          <w:tab w:val="left" w:pos="1200"/>
        </w:tabs>
        <w:spacing w:line="360" w:lineRule="auto"/>
        <w:ind w:firstLine="484" w:firstLineChars="202"/>
        <w:rPr>
          <w:rFonts w:ascii="宋体" w:hAnsi="宋体"/>
          <w:sz w:val="24"/>
          <w:szCs w:val="24"/>
        </w:rPr>
      </w:pPr>
      <w:r>
        <w:rPr>
          <w:rFonts w:hint="eastAsia" w:ascii="宋体" w:hAnsi="宋体"/>
          <w:sz w:val="24"/>
          <w:szCs w:val="24"/>
        </w:rPr>
        <w:t>本次政府采购活动</w:t>
      </w:r>
      <w:r>
        <w:rPr>
          <w:rFonts w:hint="eastAsia" w:ascii="宋体" w:hAnsi="宋体"/>
          <w:b/>
          <w:sz w:val="24"/>
          <w:szCs w:val="24"/>
          <w:highlight w:val="yellow"/>
        </w:rPr>
        <w:t>不接受</w:t>
      </w:r>
      <w:r>
        <w:rPr>
          <w:rFonts w:hint="eastAsia" w:ascii="宋体" w:hAnsi="宋体"/>
          <w:sz w:val="24"/>
          <w:szCs w:val="24"/>
        </w:rPr>
        <w:t>供应商以联合体的形式参加。</w:t>
      </w:r>
    </w:p>
    <w:p>
      <w:pPr>
        <w:pStyle w:val="6"/>
        <w:numPr>
          <w:ilvl w:val="2"/>
          <w:numId w:val="5"/>
        </w:numPr>
        <w:spacing w:after="200"/>
        <w:ind w:left="0" w:firstLine="0"/>
        <w:rPr>
          <w:color w:val="auto"/>
          <w:sz w:val="24"/>
          <w:szCs w:val="24"/>
        </w:rPr>
      </w:pPr>
      <w:bookmarkStart w:id="26" w:name="_Toc217446047"/>
      <w:r>
        <w:rPr>
          <w:rFonts w:hint="eastAsia"/>
          <w:color w:val="auto"/>
          <w:sz w:val="24"/>
          <w:szCs w:val="24"/>
        </w:rPr>
        <w:t>知识产权</w:t>
      </w:r>
      <w:bookmarkEnd w:id="26"/>
    </w:p>
    <w:p>
      <w:pPr>
        <w:pStyle w:val="121"/>
        <w:spacing w:line="400" w:lineRule="exact"/>
        <w:ind w:firstLine="480" w:firstLineChars="200"/>
        <w:jc w:val="both"/>
        <w:rPr>
          <w:rFonts w:cs="Times New Roman"/>
          <w:kern w:val="2"/>
          <w:sz w:val="24"/>
          <w:szCs w:val="24"/>
        </w:rPr>
      </w:pPr>
      <w:r>
        <w:rPr>
          <w:rFonts w:hint="eastAsia" w:cs="Times New Roman"/>
          <w:kern w:val="2"/>
          <w:sz w:val="24"/>
          <w:szCs w:val="24"/>
        </w:rPr>
        <w:t>一</w:t>
      </w:r>
      <w:r>
        <w:rPr>
          <w:rFonts w:cs="Times New Roman"/>
          <w:kern w:val="2"/>
          <w:sz w:val="24"/>
          <w:szCs w:val="24"/>
        </w:rPr>
        <w:t>、</w:t>
      </w:r>
      <w:r>
        <w:rPr>
          <w:rFonts w:hint="eastAsia" w:cs="Times New Roman"/>
          <w:kern w:val="2"/>
          <w:sz w:val="24"/>
          <w:szCs w:val="24"/>
        </w:rPr>
        <w:t>供应商应保证在本项目中使用的任何技术、产品和服务（含部分使用），不会产生因第三方提出侵犯其专利权、商标权或其它知识产权而引起的法律和经济纠纷，如因专利权、商标权或其它知识产权而引起法律和经济纠纷，由供应商承担所有相关责任。采购人享有本项目实施过程中产生的知识成果及知识产权。</w:t>
      </w:r>
    </w:p>
    <w:p>
      <w:pPr>
        <w:pStyle w:val="121"/>
        <w:spacing w:line="400" w:lineRule="exact"/>
        <w:ind w:firstLine="480" w:firstLineChars="200"/>
        <w:jc w:val="both"/>
        <w:rPr>
          <w:rFonts w:cs="Times New Roman"/>
          <w:kern w:val="2"/>
          <w:sz w:val="24"/>
          <w:szCs w:val="24"/>
        </w:rPr>
      </w:pPr>
      <w:r>
        <w:rPr>
          <w:rFonts w:hint="eastAsia" w:cs="Times New Roman"/>
          <w:kern w:val="2"/>
          <w:sz w:val="24"/>
          <w:szCs w:val="24"/>
        </w:rPr>
        <w:t>二</w:t>
      </w:r>
      <w:r>
        <w:rPr>
          <w:rFonts w:cs="Times New Roman"/>
          <w:kern w:val="2"/>
          <w:sz w:val="24"/>
          <w:szCs w:val="24"/>
        </w:rPr>
        <w:t>、</w:t>
      </w:r>
      <w:r>
        <w:rPr>
          <w:rFonts w:hint="eastAsia" w:cs="Times New Roman"/>
          <w:kern w:val="2"/>
          <w:sz w:val="24"/>
          <w:szCs w:val="24"/>
        </w:rPr>
        <w:t>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tabs>
          <w:tab w:val="left" w:pos="1134"/>
        </w:tabs>
        <w:spacing w:after="200" w:line="400" w:lineRule="exact"/>
        <w:ind w:firstLine="480" w:firstLineChars="200"/>
        <w:rPr>
          <w:rFonts w:ascii="宋体" w:hAnsi="宋体"/>
          <w:sz w:val="24"/>
          <w:szCs w:val="24"/>
        </w:rPr>
      </w:pPr>
      <w:r>
        <w:rPr>
          <w:rFonts w:hint="eastAsia" w:ascii="宋体" w:hAnsi="宋体"/>
          <w:sz w:val="24"/>
          <w:szCs w:val="24"/>
        </w:rPr>
        <w:t>三</w:t>
      </w:r>
      <w:r>
        <w:rPr>
          <w:rFonts w:ascii="宋体" w:hAnsi="宋体"/>
          <w:sz w:val="24"/>
          <w:szCs w:val="24"/>
        </w:rPr>
        <w:t>、</w:t>
      </w:r>
      <w:r>
        <w:rPr>
          <w:rFonts w:hint="eastAsia" w:ascii="宋体" w:hAnsi="宋体"/>
          <w:sz w:val="24"/>
          <w:szCs w:val="24"/>
        </w:rPr>
        <w:t>如采用供应商所不拥有的知识产权，则在报价中必须包括合法获取使用该知识产权的相关费用。</w:t>
      </w:r>
    </w:p>
    <w:p>
      <w:pPr>
        <w:pStyle w:val="6"/>
        <w:numPr>
          <w:ilvl w:val="2"/>
          <w:numId w:val="5"/>
        </w:numPr>
        <w:spacing w:after="200"/>
        <w:ind w:left="0" w:firstLine="0"/>
        <w:rPr>
          <w:color w:val="auto"/>
          <w:sz w:val="24"/>
          <w:szCs w:val="24"/>
        </w:rPr>
      </w:pPr>
      <w:bookmarkStart w:id="27" w:name="_Toc320698724"/>
      <w:bookmarkStart w:id="28" w:name="_Toc320698725"/>
      <w:r>
        <w:rPr>
          <w:rFonts w:hint="eastAsia"/>
          <w:color w:val="auto"/>
          <w:sz w:val="24"/>
          <w:szCs w:val="24"/>
        </w:rPr>
        <w:t>响应文件的组成</w:t>
      </w:r>
      <w:bookmarkEnd w:id="27"/>
    </w:p>
    <w:p>
      <w:pPr>
        <w:tabs>
          <w:tab w:val="left" w:pos="1200"/>
        </w:tabs>
        <w:spacing w:line="400" w:lineRule="exact"/>
        <w:ind w:firstLine="484" w:firstLineChars="202"/>
        <w:rPr>
          <w:rFonts w:ascii="宋体" w:hAnsi="宋体"/>
          <w:sz w:val="24"/>
          <w:szCs w:val="24"/>
        </w:rPr>
      </w:pPr>
      <w:r>
        <w:rPr>
          <w:rFonts w:hint="eastAsia" w:ascii="宋体" w:hAnsi="宋体"/>
          <w:sz w:val="24"/>
          <w:szCs w:val="24"/>
        </w:rPr>
        <w:t>供应商应按照磋商文件的规定和要求编制响应文件。供应商编写的响应文件应包括下列部分：</w:t>
      </w:r>
    </w:p>
    <w:p>
      <w:pPr>
        <w:spacing w:line="400" w:lineRule="exact"/>
        <w:ind w:firstLine="484" w:firstLineChars="202"/>
        <w:rPr>
          <w:rFonts w:ascii="宋体" w:hAnsi="宋体"/>
          <w:sz w:val="24"/>
          <w:szCs w:val="24"/>
        </w:rPr>
      </w:pPr>
      <w:r>
        <w:rPr>
          <w:rFonts w:hint="eastAsia" w:ascii="宋体" w:hAnsi="宋体"/>
          <w:sz w:val="24"/>
          <w:szCs w:val="24"/>
        </w:rPr>
        <w:t>一、资格性响应文件：用于磋商小组资格性审查；</w:t>
      </w:r>
    </w:p>
    <w:p>
      <w:pPr>
        <w:spacing w:line="400" w:lineRule="exact"/>
        <w:ind w:firstLine="484" w:firstLineChars="202"/>
        <w:rPr>
          <w:rFonts w:ascii="宋体" w:hAnsi="宋体"/>
          <w:sz w:val="24"/>
          <w:szCs w:val="24"/>
        </w:rPr>
      </w:pPr>
      <w:r>
        <w:rPr>
          <w:rFonts w:hint="eastAsia" w:ascii="宋体" w:hAnsi="宋体"/>
          <w:sz w:val="24"/>
          <w:szCs w:val="24"/>
        </w:rPr>
        <w:t>二、技术、商务性响应文件：用于供应商与磋商小组磋商；</w:t>
      </w:r>
    </w:p>
    <w:p>
      <w:pPr>
        <w:spacing w:line="400" w:lineRule="exact"/>
        <w:ind w:firstLine="484" w:firstLineChars="202"/>
        <w:rPr>
          <w:rFonts w:ascii="宋体" w:hAnsi="宋体"/>
          <w:sz w:val="24"/>
          <w:szCs w:val="24"/>
        </w:rPr>
      </w:pPr>
      <w:r>
        <w:rPr>
          <w:rFonts w:hint="eastAsia" w:ascii="宋体" w:hAnsi="宋体"/>
          <w:sz w:val="24"/>
          <w:szCs w:val="24"/>
        </w:rPr>
        <w:t>三、最后报价文件（按磋商小组的要求提供最后报价）。</w:t>
      </w:r>
    </w:p>
    <w:p>
      <w:pPr>
        <w:pStyle w:val="6"/>
        <w:numPr>
          <w:ilvl w:val="3"/>
          <w:numId w:val="5"/>
        </w:numPr>
        <w:spacing w:after="200"/>
        <w:ind w:left="1843" w:hanging="1843"/>
        <w:rPr>
          <w:color w:val="auto"/>
          <w:sz w:val="24"/>
          <w:szCs w:val="24"/>
        </w:rPr>
      </w:pPr>
      <w:r>
        <w:rPr>
          <w:rFonts w:hint="eastAsia"/>
          <w:color w:val="auto"/>
          <w:sz w:val="24"/>
          <w:szCs w:val="24"/>
        </w:rPr>
        <w:t>资格性响应文件</w:t>
      </w:r>
      <w:bookmarkEnd w:id="28"/>
    </w:p>
    <w:p>
      <w:pPr>
        <w:spacing w:line="400" w:lineRule="exact"/>
        <w:ind w:firstLine="480" w:firstLineChars="200"/>
        <w:rPr>
          <w:rFonts w:ascii="宋体" w:hAnsi="宋体"/>
          <w:sz w:val="24"/>
          <w:szCs w:val="24"/>
        </w:rPr>
      </w:pPr>
      <w:r>
        <w:rPr>
          <w:rFonts w:hint="eastAsia" w:ascii="宋体" w:hAnsi="宋体"/>
          <w:sz w:val="24"/>
          <w:szCs w:val="24"/>
        </w:rPr>
        <w:t>资格性响应文件由以下部分组成：</w:t>
      </w:r>
    </w:p>
    <w:p>
      <w:pPr>
        <w:pStyle w:val="150"/>
        <w:numPr>
          <w:ilvl w:val="0"/>
          <w:numId w:val="16"/>
        </w:numPr>
        <w:tabs>
          <w:tab w:val="left" w:pos="1134"/>
        </w:tabs>
        <w:spacing w:after="200" w:line="400" w:lineRule="exact"/>
        <w:ind w:left="0" w:firstLine="560"/>
        <w:rPr>
          <w:rFonts w:ascii="宋体" w:hAnsi="宋体"/>
          <w:sz w:val="24"/>
          <w:szCs w:val="24"/>
        </w:rPr>
      </w:pPr>
      <w:r>
        <w:rPr>
          <w:rFonts w:hint="eastAsia" w:ascii="宋体" w:hAnsi="宋体"/>
          <w:sz w:val="24"/>
          <w:szCs w:val="24"/>
        </w:rPr>
        <w:t>供应商申明函；</w:t>
      </w:r>
    </w:p>
    <w:p>
      <w:pPr>
        <w:pStyle w:val="150"/>
        <w:numPr>
          <w:ilvl w:val="0"/>
          <w:numId w:val="16"/>
        </w:numPr>
        <w:tabs>
          <w:tab w:val="left" w:pos="1134"/>
        </w:tabs>
        <w:spacing w:after="200" w:line="400" w:lineRule="exact"/>
        <w:ind w:left="0" w:firstLine="560"/>
        <w:rPr>
          <w:rFonts w:ascii="宋体" w:hAnsi="宋体"/>
          <w:sz w:val="24"/>
          <w:szCs w:val="24"/>
        </w:rPr>
      </w:pPr>
      <w:r>
        <w:rPr>
          <w:rFonts w:hint="eastAsia" w:ascii="宋体" w:hAnsi="宋体"/>
          <w:sz w:val="24"/>
          <w:szCs w:val="24"/>
        </w:rPr>
        <w:t>声明；</w:t>
      </w:r>
    </w:p>
    <w:p>
      <w:pPr>
        <w:pStyle w:val="150"/>
        <w:numPr>
          <w:ilvl w:val="0"/>
          <w:numId w:val="16"/>
        </w:numPr>
        <w:tabs>
          <w:tab w:val="left" w:pos="1134"/>
        </w:tabs>
        <w:spacing w:after="200" w:line="400" w:lineRule="exact"/>
        <w:ind w:left="0" w:firstLine="560"/>
        <w:rPr>
          <w:rFonts w:ascii="宋体" w:hAnsi="宋体"/>
          <w:sz w:val="24"/>
          <w:szCs w:val="24"/>
        </w:rPr>
      </w:pPr>
      <w:r>
        <w:rPr>
          <w:rFonts w:hint="eastAsia" w:ascii="宋体" w:hAnsi="宋体"/>
          <w:sz w:val="24"/>
          <w:szCs w:val="24"/>
        </w:rPr>
        <w:t>中小企业声明函（说明：提供了《残疾人福利性单位声明函》或监狱企业证明文件复印件的无需提供）；</w:t>
      </w:r>
    </w:p>
    <w:p>
      <w:pPr>
        <w:pStyle w:val="150"/>
        <w:numPr>
          <w:ilvl w:val="0"/>
          <w:numId w:val="16"/>
        </w:numPr>
        <w:tabs>
          <w:tab w:val="left" w:pos="1134"/>
        </w:tabs>
        <w:spacing w:after="200" w:line="400" w:lineRule="exact"/>
        <w:ind w:left="0" w:firstLine="560"/>
        <w:rPr>
          <w:rFonts w:ascii="宋体" w:hAnsi="宋体"/>
          <w:sz w:val="24"/>
          <w:szCs w:val="24"/>
        </w:rPr>
      </w:pPr>
      <w:r>
        <w:rPr>
          <w:rFonts w:hint="eastAsia" w:ascii="宋体" w:hAnsi="宋体"/>
          <w:sz w:val="24"/>
          <w:szCs w:val="24"/>
        </w:rPr>
        <w:t>残疾人福利性单位声明函（说明：提供了《中小企业声明函》或监狱企业证明文件复印件的无需提供）</w:t>
      </w:r>
      <w:r>
        <w:rPr>
          <w:rFonts w:hint="eastAsia" w:ascii="宋体" w:hAnsi="宋体"/>
          <w:sz w:val="24"/>
          <w:szCs w:val="24"/>
          <w:lang w:eastAsia="zh-CN"/>
        </w:rPr>
        <w:t>；</w:t>
      </w:r>
    </w:p>
    <w:p>
      <w:pPr>
        <w:pStyle w:val="150"/>
        <w:numPr>
          <w:ilvl w:val="0"/>
          <w:numId w:val="16"/>
        </w:numPr>
        <w:tabs>
          <w:tab w:val="left" w:pos="1134"/>
        </w:tabs>
        <w:spacing w:after="200" w:line="400" w:lineRule="exact"/>
        <w:ind w:left="0" w:firstLine="560"/>
        <w:rPr>
          <w:rFonts w:ascii="宋体" w:hAnsi="宋体"/>
          <w:sz w:val="24"/>
          <w:szCs w:val="22"/>
        </w:rPr>
      </w:pPr>
      <w:r>
        <w:rPr>
          <w:rFonts w:hint="eastAsia" w:ascii="宋体" w:hAnsi="宋体"/>
          <w:sz w:val="24"/>
          <w:szCs w:val="22"/>
        </w:rPr>
        <w:t>法定代表人或主要</w:t>
      </w:r>
      <w:r>
        <w:rPr>
          <w:rFonts w:ascii="宋体" w:hAnsi="宋体"/>
          <w:sz w:val="24"/>
          <w:szCs w:val="22"/>
        </w:rPr>
        <w:t>负责人</w:t>
      </w:r>
      <w:r>
        <w:rPr>
          <w:rFonts w:hint="eastAsia" w:ascii="宋体" w:hAnsi="宋体"/>
          <w:sz w:val="24"/>
          <w:szCs w:val="22"/>
        </w:rPr>
        <w:t>身份证明书以及法定代表人或主要负责人身份证复印件（身份证两面均应复印）或护照复印件（说明：（</w:t>
      </w:r>
      <w:r>
        <w:rPr>
          <w:rFonts w:ascii="宋体" w:hAnsi="宋体"/>
          <w:sz w:val="24"/>
          <w:szCs w:val="22"/>
        </w:rPr>
        <w:t>1）供应商的</w:t>
      </w:r>
      <w:r>
        <w:rPr>
          <w:rFonts w:hint="eastAsia" w:ascii="宋体" w:hAnsi="宋体"/>
          <w:sz w:val="24"/>
          <w:szCs w:val="22"/>
        </w:rPr>
        <w:t>法定代表人或主要</w:t>
      </w:r>
      <w:r>
        <w:rPr>
          <w:rFonts w:ascii="宋体" w:hAnsi="宋体"/>
          <w:sz w:val="24"/>
          <w:szCs w:val="22"/>
        </w:rPr>
        <w:t>负责人</w:t>
      </w:r>
      <w:r>
        <w:rPr>
          <w:rFonts w:hint="eastAsia" w:ascii="宋体" w:hAnsi="宋体"/>
          <w:sz w:val="24"/>
          <w:szCs w:val="22"/>
        </w:rPr>
        <w:t>为外籍人士的，则提供护照复印件；（</w:t>
      </w:r>
      <w:r>
        <w:rPr>
          <w:rFonts w:ascii="宋体" w:hAnsi="宋体"/>
          <w:sz w:val="24"/>
          <w:szCs w:val="22"/>
        </w:rPr>
        <w:t>2）</w:t>
      </w:r>
      <w:r>
        <w:rPr>
          <w:rFonts w:hint="eastAsia" w:ascii="宋体" w:hAnsi="宋体"/>
          <w:b/>
          <w:bCs/>
          <w:sz w:val="24"/>
          <w:szCs w:val="22"/>
          <w:lang w:val="zh-CN"/>
        </w:rPr>
        <w:t>主要</w:t>
      </w:r>
      <w:r>
        <w:rPr>
          <w:rFonts w:ascii="宋体" w:hAnsi="宋体"/>
          <w:b/>
          <w:bCs/>
          <w:sz w:val="24"/>
          <w:szCs w:val="22"/>
          <w:lang w:val="zh-CN"/>
        </w:rPr>
        <w:t>负责人为供应商提供的其</w:t>
      </w:r>
      <w:r>
        <w:rPr>
          <w:rFonts w:hint="eastAsia" w:ascii="宋体" w:hAnsi="宋体"/>
          <w:b/>
          <w:bCs/>
          <w:sz w:val="24"/>
          <w:szCs w:val="22"/>
          <w:lang w:val="zh-CN"/>
        </w:rPr>
        <w:t>具有独立承担民事责任能力的</w:t>
      </w:r>
      <w:r>
        <w:rPr>
          <w:rFonts w:ascii="宋体" w:hAnsi="宋体"/>
          <w:b/>
          <w:bCs/>
          <w:sz w:val="24"/>
          <w:szCs w:val="22"/>
          <w:lang w:val="zh-CN"/>
        </w:rPr>
        <w:t>证明材料中</w:t>
      </w:r>
      <w:r>
        <w:rPr>
          <w:rFonts w:hint="eastAsia" w:ascii="宋体" w:hAnsi="宋体"/>
          <w:b/>
          <w:bCs/>
          <w:sz w:val="24"/>
          <w:szCs w:val="22"/>
          <w:lang w:val="zh-CN"/>
        </w:rPr>
        <w:t>的</w:t>
      </w:r>
      <w:r>
        <w:rPr>
          <w:rFonts w:ascii="宋体" w:hAnsi="宋体"/>
          <w:b/>
          <w:bCs/>
          <w:sz w:val="24"/>
          <w:szCs w:val="22"/>
          <w:lang w:val="zh-CN"/>
        </w:rPr>
        <w:t>主要</w:t>
      </w:r>
      <w:r>
        <w:rPr>
          <w:rFonts w:hint="eastAsia" w:ascii="宋体" w:hAnsi="宋体"/>
          <w:b/>
          <w:bCs/>
          <w:sz w:val="24"/>
          <w:szCs w:val="22"/>
          <w:lang w:val="zh-CN"/>
        </w:rPr>
        <w:t>负责</w:t>
      </w:r>
      <w:r>
        <w:rPr>
          <w:rFonts w:ascii="宋体" w:hAnsi="宋体"/>
          <w:b/>
          <w:bCs/>
          <w:sz w:val="24"/>
          <w:szCs w:val="22"/>
          <w:lang w:val="zh-CN"/>
        </w:rPr>
        <w:t>人员</w:t>
      </w:r>
      <w:r>
        <w:rPr>
          <w:rFonts w:hint="eastAsia" w:ascii="宋体" w:hAnsi="宋体"/>
          <w:sz w:val="24"/>
          <w:szCs w:val="22"/>
        </w:rPr>
        <w:t>。</w:t>
      </w:r>
      <w:r>
        <w:rPr>
          <w:rFonts w:hint="eastAsia" w:ascii="宋体" w:hAnsi="宋体"/>
          <w:sz w:val="24"/>
          <w:szCs w:val="22"/>
          <w:lang w:eastAsia="zh-CN"/>
        </w:rPr>
        <w:t>）；</w:t>
      </w:r>
    </w:p>
    <w:p>
      <w:pPr>
        <w:pStyle w:val="150"/>
        <w:numPr>
          <w:ilvl w:val="0"/>
          <w:numId w:val="16"/>
        </w:numPr>
        <w:tabs>
          <w:tab w:val="left" w:pos="1134"/>
        </w:tabs>
        <w:spacing w:after="200" w:line="400" w:lineRule="exact"/>
        <w:ind w:left="0" w:firstLine="560"/>
        <w:rPr>
          <w:rFonts w:ascii="宋体" w:hAnsi="宋体"/>
          <w:sz w:val="24"/>
          <w:szCs w:val="22"/>
        </w:rPr>
      </w:pPr>
      <w:r>
        <w:rPr>
          <w:rFonts w:hint="eastAsia" w:ascii="宋体" w:hAnsi="宋体"/>
          <w:sz w:val="24"/>
          <w:szCs w:val="22"/>
        </w:rPr>
        <w:t>供应商应提交的其他相关资格证明材料：</w:t>
      </w:r>
    </w:p>
    <w:p>
      <w:pPr>
        <w:tabs>
          <w:tab w:val="left" w:pos="1134"/>
        </w:tabs>
        <w:spacing w:line="360" w:lineRule="auto"/>
        <w:ind w:firstLine="472" w:firstLineChars="196"/>
        <w:rPr>
          <w:rFonts w:ascii="宋体" w:hAnsi="宋体"/>
          <w:b/>
          <w:sz w:val="24"/>
          <w:szCs w:val="24"/>
        </w:rPr>
      </w:pPr>
      <w:r>
        <w:rPr>
          <w:rFonts w:hint="eastAsia" w:ascii="宋体" w:hAnsi="宋体"/>
          <w:b/>
          <w:sz w:val="24"/>
          <w:szCs w:val="24"/>
        </w:rPr>
        <w:t>（一）由省级以上监狱管理局、戒毒管理局（含新疆生产建设兵团）出具的供应商属于监狱企业的证明文件复印件（说明：提供了《中小企业声明函》或《残疾人福利性单位声明函》的不需提供）；</w:t>
      </w:r>
    </w:p>
    <w:p>
      <w:pPr>
        <w:tabs>
          <w:tab w:val="left" w:pos="1134"/>
        </w:tabs>
        <w:spacing w:line="360" w:lineRule="auto"/>
        <w:ind w:firstLine="472" w:firstLineChars="196"/>
        <w:rPr>
          <w:rFonts w:ascii="宋体" w:hAnsi="宋体"/>
          <w:b/>
          <w:sz w:val="24"/>
          <w:szCs w:val="24"/>
        </w:rPr>
      </w:pPr>
      <w:r>
        <w:rPr>
          <w:rFonts w:hint="eastAsia" w:ascii="宋体" w:hAnsi="宋体"/>
          <w:b/>
          <w:sz w:val="24"/>
          <w:szCs w:val="24"/>
        </w:rPr>
        <w:t>（二）营业执照或法人登记证或其他能够证明</w:t>
      </w:r>
      <w:r>
        <w:rPr>
          <w:rFonts w:ascii="宋体" w:hAnsi="宋体"/>
          <w:b/>
          <w:sz w:val="24"/>
          <w:szCs w:val="24"/>
        </w:rPr>
        <w:t>供应商具有独立承担民事责任能力的</w:t>
      </w:r>
      <w:r>
        <w:rPr>
          <w:rFonts w:hint="eastAsia" w:ascii="宋体" w:hAnsi="宋体"/>
          <w:b/>
          <w:sz w:val="24"/>
          <w:szCs w:val="24"/>
        </w:rPr>
        <w:t>相关证明材料复印件；</w:t>
      </w:r>
      <w:r>
        <w:rPr>
          <w:rFonts w:ascii="宋体" w:hAnsi="宋体"/>
          <w:b/>
          <w:sz w:val="24"/>
          <w:szCs w:val="24"/>
        </w:rPr>
        <w:t xml:space="preserve"> </w:t>
      </w:r>
    </w:p>
    <w:p>
      <w:pPr>
        <w:tabs>
          <w:tab w:val="left" w:pos="1134"/>
        </w:tabs>
        <w:spacing w:line="360" w:lineRule="auto"/>
        <w:ind w:firstLine="472" w:firstLineChars="196"/>
        <w:rPr>
          <w:rFonts w:ascii="宋体" w:hAnsi="宋体"/>
          <w:b/>
          <w:sz w:val="24"/>
          <w:szCs w:val="24"/>
        </w:rPr>
      </w:pPr>
      <w:r>
        <w:rPr>
          <w:rFonts w:hint="eastAsia" w:ascii="宋体" w:hAnsi="宋体"/>
          <w:b/>
          <w:sz w:val="24"/>
          <w:szCs w:val="24"/>
        </w:rPr>
        <w:t>（三）采购人对供应商履行合同所必须的设备和专业技术能力无特殊要求，</w:t>
      </w:r>
      <w:r>
        <w:rPr>
          <w:rFonts w:hint="eastAsia" w:ascii="宋体" w:hAnsi="宋体"/>
          <w:b/>
          <w:sz w:val="24"/>
          <w:szCs w:val="24"/>
          <w:lang w:eastAsia="zh-CN"/>
        </w:rPr>
        <w:t>供应商</w:t>
      </w:r>
      <w:r>
        <w:rPr>
          <w:rFonts w:hint="eastAsia" w:ascii="宋体" w:hAnsi="宋体"/>
          <w:b/>
          <w:sz w:val="24"/>
          <w:szCs w:val="24"/>
        </w:rPr>
        <w:t>具有有效的营业执照或法人证书</w:t>
      </w:r>
      <w:r>
        <w:rPr>
          <w:rFonts w:hint="eastAsia" w:ascii="宋体" w:hAnsi="宋体"/>
          <w:b/>
          <w:sz w:val="24"/>
          <w:szCs w:val="24"/>
          <w:lang w:eastAsia="zh-CN"/>
        </w:rPr>
        <w:t>，</w:t>
      </w:r>
      <w:r>
        <w:rPr>
          <w:rFonts w:hint="eastAsia" w:ascii="宋体" w:hAnsi="宋体"/>
          <w:b/>
          <w:sz w:val="24"/>
          <w:szCs w:val="24"/>
        </w:rPr>
        <w:t>供应商可不提供证明材料；</w:t>
      </w:r>
    </w:p>
    <w:p>
      <w:pPr>
        <w:pStyle w:val="150"/>
        <w:numPr>
          <w:ilvl w:val="0"/>
          <w:numId w:val="0"/>
        </w:numPr>
        <w:tabs>
          <w:tab w:val="left" w:pos="1134"/>
        </w:tabs>
        <w:spacing w:after="200" w:line="400" w:lineRule="exact"/>
        <w:ind w:leftChars="200"/>
        <w:rPr>
          <w:rFonts w:ascii="宋体" w:hAnsi="宋体"/>
          <w:sz w:val="24"/>
          <w:szCs w:val="22"/>
        </w:rPr>
      </w:pPr>
      <w:r>
        <w:rPr>
          <w:rFonts w:hint="eastAsia" w:ascii="宋体" w:hAnsi="宋体"/>
          <w:b/>
          <w:sz w:val="24"/>
          <w:szCs w:val="24"/>
        </w:rPr>
        <w:t>（四）采购人对法律、行政法规规定的其他条件无其他特殊要求，</w:t>
      </w:r>
      <w:r>
        <w:rPr>
          <w:rFonts w:hint="eastAsia" w:ascii="宋体" w:hAnsi="宋体"/>
          <w:b/>
          <w:sz w:val="24"/>
          <w:szCs w:val="24"/>
          <w:lang w:eastAsia="zh-CN"/>
        </w:rPr>
        <w:t>供应商</w:t>
      </w:r>
      <w:r>
        <w:rPr>
          <w:rFonts w:hint="eastAsia" w:ascii="宋体" w:hAnsi="宋体"/>
          <w:b/>
          <w:sz w:val="24"/>
          <w:szCs w:val="24"/>
        </w:rPr>
        <w:t>具有有效的营业执照或法人证书</w:t>
      </w:r>
      <w:r>
        <w:rPr>
          <w:rFonts w:hint="eastAsia" w:ascii="宋体" w:hAnsi="宋体"/>
          <w:b/>
          <w:sz w:val="24"/>
          <w:szCs w:val="24"/>
          <w:lang w:eastAsia="zh-CN"/>
        </w:rPr>
        <w:t>，</w:t>
      </w:r>
      <w:r>
        <w:rPr>
          <w:rFonts w:hint="eastAsia" w:ascii="宋体" w:hAnsi="宋体"/>
          <w:b/>
          <w:sz w:val="24"/>
          <w:szCs w:val="24"/>
        </w:rPr>
        <w:t>供应商可不提供证明材料</w:t>
      </w:r>
      <w:r>
        <w:rPr>
          <w:rFonts w:hint="eastAsia" w:ascii="宋体" w:hAnsi="宋体"/>
          <w:b/>
          <w:sz w:val="28"/>
          <w:szCs w:val="28"/>
        </w:rPr>
        <w:t>。</w:t>
      </w:r>
    </w:p>
    <w:p>
      <w:pPr>
        <w:pStyle w:val="6"/>
        <w:numPr>
          <w:ilvl w:val="3"/>
          <w:numId w:val="5"/>
        </w:numPr>
        <w:spacing w:after="200"/>
        <w:ind w:left="1843" w:hanging="1843"/>
        <w:rPr>
          <w:color w:val="000000" w:themeColor="text1"/>
          <w:sz w:val="24"/>
          <w:szCs w:val="24"/>
          <w14:textFill>
            <w14:solidFill>
              <w14:schemeClr w14:val="tx1"/>
            </w14:solidFill>
          </w14:textFill>
        </w:rPr>
      </w:pPr>
      <w:bookmarkStart w:id="29" w:name="_Toc320698726"/>
      <w:r>
        <w:rPr>
          <w:rFonts w:hint="eastAsia"/>
          <w:color w:val="000000" w:themeColor="text1"/>
          <w:sz w:val="24"/>
          <w:szCs w:val="24"/>
          <w14:textFill>
            <w14:solidFill>
              <w14:schemeClr w14:val="tx1"/>
            </w14:solidFill>
          </w14:textFill>
        </w:rPr>
        <w:t>技术、商务性响应文件</w:t>
      </w:r>
      <w:bookmarkEnd w:id="29"/>
    </w:p>
    <w:p>
      <w:pPr>
        <w:pStyle w:val="2"/>
        <w:widowControl/>
        <w:numPr>
          <w:ilvl w:val="0"/>
          <w:numId w:val="17"/>
        </w:numPr>
        <w:tabs>
          <w:tab w:val="left" w:pos="1134"/>
        </w:tabs>
        <w:spacing w:after="0" w:line="400" w:lineRule="exact"/>
        <w:ind w:left="0" w:firstLine="567"/>
        <w:jc w:val="left"/>
        <w:rPr>
          <w:rFonts w:ascii="宋体" w:hAnsi="宋体"/>
          <w:sz w:val="24"/>
          <w:szCs w:val="22"/>
        </w:rPr>
      </w:pPr>
      <w:bookmarkStart w:id="30" w:name="_Toc320698727"/>
      <w:r>
        <w:rPr>
          <w:rFonts w:hint="eastAsia" w:ascii="宋体" w:hAnsi="宋体"/>
          <w:sz w:val="24"/>
          <w:szCs w:val="22"/>
        </w:rPr>
        <w:t>报价表；</w:t>
      </w:r>
    </w:p>
    <w:p>
      <w:pPr>
        <w:pStyle w:val="2"/>
        <w:widowControl/>
        <w:numPr>
          <w:ilvl w:val="0"/>
          <w:numId w:val="17"/>
        </w:numPr>
        <w:tabs>
          <w:tab w:val="left" w:pos="1134"/>
        </w:tabs>
        <w:spacing w:after="0" w:line="400" w:lineRule="exact"/>
        <w:jc w:val="left"/>
        <w:rPr>
          <w:rFonts w:ascii="宋体" w:hAnsi="宋体"/>
          <w:sz w:val="24"/>
          <w:szCs w:val="22"/>
        </w:rPr>
      </w:pPr>
      <w:r>
        <w:rPr>
          <w:rFonts w:hint="eastAsia" w:ascii="宋体" w:hAnsi="宋体"/>
          <w:sz w:val="24"/>
          <w:szCs w:val="22"/>
        </w:rPr>
        <w:t>技术参数响应表</w:t>
      </w:r>
    </w:p>
    <w:p>
      <w:pPr>
        <w:pStyle w:val="2"/>
        <w:widowControl/>
        <w:numPr>
          <w:ilvl w:val="0"/>
          <w:numId w:val="17"/>
        </w:numPr>
        <w:tabs>
          <w:tab w:val="left" w:pos="1134"/>
        </w:tabs>
        <w:spacing w:after="0" w:line="400" w:lineRule="exact"/>
        <w:jc w:val="left"/>
        <w:rPr>
          <w:rFonts w:ascii="宋体" w:hAnsi="宋体"/>
          <w:sz w:val="24"/>
          <w:szCs w:val="22"/>
        </w:rPr>
      </w:pPr>
      <w:r>
        <w:rPr>
          <w:rFonts w:hint="eastAsia" w:ascii="宋体" w:hAnsi="宋体"/>
          <w:sz w:val="24"/>
          <w:szCs w:val="22"/>
        </w:rPr>
        <w:t>商务、服务应答表；</w:t>
      </w:r>
    </w:p>
    <w:p>
      <w:pPr>
        <w:pStyle w:val="2"/>
        <w:widowControl/>
        <w:numPr>
          <w:ilvl w:val="0"/>
          <w:numId w:val="17"/>
        </w:numPr>
        <w:tabs>
          <w:tab w:val="left" w:pos="1134"/>
        </w:tabs>
        <w:spacing w:after="0" w:line="400" w:lineRule="exact"/>
        <w:ind w:left="0" w:firstLine="567"/>
        <w:jc w:val="left"/>
        <w:rPr>
          <w:rFonts w:ascii="宋体" w:hAnsi="宋体"/>
          <w:sz w:val="24"/>
          <w:szCs w:val="22"/>
        </w:rPr>
      </w:pPr>
      <w:r>
        <w:rPr>
          <w:rFonts w:hint="eastAsia" w:ascii="宋体" w:hAnsi="宋体"/>
          <w:sz w:val="24"/>
          <w:szCs w:val="22"/>
        </w:rPr>
        <w:t>承诺函；</w:t>
      </w:r>
    </w:p>
    <w:p>
      <w:pPr>
        <w:pStyle w:val="2"/>
        <w:widowControl/>
        <w:numPr>
          <w:ilvl w:val="0"/>
          <w:numId w:val="17"/>
        </w:numPr>
        <w:tabs>
          <w:tab w:val="left" w:pos="1134"/>
        </w:tabs>
        <w:spacing w:after="0" w:line="400" w:lineRule="exact"/>
        <w:ind w:left="0" w:firstLine="567"/>
        <w:jc w:val="left"/>
      </w:pPr>
      <w:r>
        <w:rPr>
          <w:rFonts w:hint="eastAsia" w:ascii="宋体" w:hAnsi="宋体"/>
          <w:sz w:val="24"/>
          <w:szCs w:val="22"/>
        </w:rPr>
        <w:t>供应商基本情况表；</w:t>
      </w:r>
    </w:p>
    <w:p>
      <w:pPr>
        <w:pStyle w:val="6"/>
        <w:numPr>
          <w:ilvl w:val="3"/>
          <w:numId w:val="5"/>
        </w:numPr>
        <w:spacing w:after="200"/>
        <w:ind w:left="1843" w:hanging="1843"/>
        <w:rPr>
          <w:color w:val="auto"/>
          <w:sz w:val="24"/>
          <w:szCs w:val="24"/>
        </w:rPr>
      </w:pPr>
      <w:r>
        <w:rPr>
          <w:rFonts w:hint="eastAsia"/>
          <w:color w:val="auto"/>
          <w:sz w:val="24"/>
          <w:szCs w:val="24"/>
        </w:rPr>
        <w:t>最后报价文件</w:t>
      </w:r>
    </w:p>
    <w:p>
      <w:pPr>
        <w:pStyle w:val="199"/>
        <w:spacing w:line="400" w:lineRule="exact"/>
        <w:ind w:firstLine="550"/>
        <w:rPr>
          <w:b/>
          <w:sz w:val="22"/>
          <w:szCs w:val="22"/>
        </w:rPr>
      </w:pPr>
      <w:r>
        <w:rPr>
          <w:rFonts w:hint="eastAsia" w:ascii="宋体" w:hAnsi="宋体"/>
          <w:sz w:val="24"/>
          <w:szCs w:val="22"/>
        </w:rPr>
        <w:t>参加最后报价的供应商按磋商小组的要求在政府采购云平台中提供最后报价，报价应是包括磋商文件规定的全部相应内容的报价。</w:t>
      </w:r>
    </w:p>
    <w:p>
      <w:pPr>
        <w:pStyle w:val="6"/>
        <w:numPr>
          <w:ilvl w:val="2"/>
          <w:numId w:val="5"/>
        </w:numPr>
        <w:spacing w:after="200"/>
        <w:ind w:left="0" w:firstLine="0"/>
        <w:rPr>
          <w:color w:val="auto"/>
          <w:sz w:val="24"/>
          <w:szCs w:val="24"/>
        </w:rPr>
      </w:pPr>
      <w:r>
        <w:rPr>
          <w:rFonts w:hint="eastAsia"/>
          <w:color w:val="auto"/>
          <w:sz w:val="24"/>
          <w:szCs w:val="24"/>
        </w:rPr>
        <w:t>响应文件格式</w:t>
      </w:r>
    </w:p>
    <w:p>
      <w:pPr>
        <w:pStyle w:val="2"/>
        <w:tabs>
          <w:tab w:val="left" w:pos="1134"/>
        </w:tabs>
        <w:spacing w:after="0" w:line="400" w:lineRule="exact"/>
        <w:ind w:firstLine="484" w:firstLineChars="202"/>
        <w:rPr>
          <w:rFonts w:ascii="宋体" w:hAnsi="宋体"/>
          <w:bCs/>
          <w:sz w:val="24"/>
          <w:szCs w:val="24"/>
        </w:rPr>
      </w:pPr>
      <w:r>
        <w:rPr>
          <w:rFonts w:hint="eastAsia" w:ascii="宋体" w:hAnsi="宋体"/>
          <w:bCs/>
          <w:sz w:val="24"/>
          <w:szCs w:val="24"/>
        </w:rPr>
        <w:t>一、供应商应按照竞争性磋商文件第3章中“响应文件格式”填写相关内容。</w:t>
      </w:r>
    </w:p>
    <w:p>
      <w:pPr>
        <w:pStyle w:val="2"/>
        <w:tabs>
          <w:tab w:val="left" w:pos="1134"/>
        </w:tabs>
        <w:spacing w:after="0" w:line="400" w:lineRule="exact"/>
        <w:ind w:firstLine="484" w:firstLineChars="202"/>
        <w:rPr>
          <w:rFonts w:ascii="宋体" w:hAnsi="宋体"/>
          <w:bCs/>
          <w:sz w:val="24"/>
          <w:szCs w:val="24"/>
        </w:rPr>
      </w:pPr>
      <w:r>
        <w:rPr>
          <w:rFonts w:hint="eastAsia" w:ascii="宋体" w:hAnsi="宋体"/>
          <w:bCs/>
          <w:sz w:val="24"/>
          <w:szCs w:val="24"/>
        </w:rPr>
        <w:t>二、对于没有格式要求的响应文件由供应商自行编写。</w:t>
      </w:r>
    </w:p>
    <w:p>
      <w:pPr>
        <w:pStyle w:val="6"/>
        <w:numPr>
          <w:ilvl w:val="2"/>
          <w:numId w:val="5"/>
        </w:numPr>
        <w:spacing w:after="200"/>
        <w:ind w:left="0" w:firstLine="0"/>
        <w:rPr>
          <w:color w:val="auto"/>
          <w:sz w:val="24"/>
          <w:szCs w:val="24"/>
        </w:rPr>
      </w:pPr>
      <w:r>
        <w:rPr>
          <w:rFonts w:hint="eastAsia"/>
          <w:color w:val="auto"/>
          <w:sz w:val="24"/>
          <w:szCs w:val="24"/>
        </w:rPr>
        <w:t>报价</w:t>
      </w:r>
    </w:p>
    <w:p>
      <w:pPr>
        <w:spacing w:line="400" w:lineRule="exact"/>
        <w:ind w:firstLine="480" w:firstLineChars="200"/>
        <w:rPr>
          <w:rFonts w:ascii="宋体" w:hAnsi="宋体"/>
          <w:bCs/>
          <w:sz w:val="24"/>
          <w:szCs w:val="24"/>
        </w:rPr>
      </w:pPr>
      <w:r>
        <w:rPr>
          <w:rFonts w:hint="eastAsia" w:ascii="宋体" w:hAnsi="宋体"/>
          <w:bCs/>
          <w:sz w:val="24"/>
          <w:szCs w:val="24"/>
        </w:rPr>
        <w:t>一</w:t>
      </w:r>
      <w:r>
        <w:rPr>
          <w:rFonts w:ascii="宋体" w:hAnsi="宋体"/>
          <w:bCs/>
          <w:sz w:val="24"/>
          <w:szCs w:val="24"/>
        </w:rPr>
        <w:t>、</w:t>
      </w:r>
      <w:r>
        <w:rPr>
          <w:rFonts w:hint="eastAsia" w:ascii="宋体" w:hAnsi="宋体"/>
          <w:bCs/>
          <w:sz w:val="24"/>
          <w:szCs w:val="24"/>
        </w:rPr>
        <w:t>供应商所有报价一律以人民币报价。</w:t>
      </w:r>
    </w:p>
    <w:p>
      <w:pPr>
        <w:tabs>
          <w:tab w:val="left" w:pos="1134"/>
        </w:tabs>
        <w:spacing w:after="200" w:line="400" w:lineRule="exact"/>
        <w:ind w:firstLine="480" w:firstLineChars="200"/>
        <w:rPr>
          <w:rFonts w:ascii="宋体" w:hAnsi="宋体"/>
          <w:sz w:val="24"/>
          <w:szCs w:val="24"/>
        </w:rPr>
      </w:pPr>
      <w:r>
        <w:rPr>
          <w:rFonts w:hint="eastAsia" w:ascii="宋体" w:hAnsi="宋体"/>
          <w:bCs/>
          <w:sz w:val="24"/>
          <w:szCs w:val="24"/>
        </w:rPr>
        <w:t>二</w:t>
      </w:r>
      <w:r>
        <w:rPr>
          <w:rFonts w:ascii="宋体" w:hAnsi="宋体"/>
          <w:bCs/>
          <w:sz w:val="24"/>
          <w:szCs w:val="24"/>
        </w:rPr>
        <w:t>、</w:t>
      </w:r>
      <w:r>
        <w:rPr>
          <w:rFonts w:hint="eastAsia" w:ascii="宋体" w:hAnsi="宋体"/>
          <w:bCs/>
          <w:sz w:val="24"/>
          <w:szCs w:val="24"/>
        </w:rPr>
        <w:t>供应商的报价是其响应本项目要求的全部工作内容的价格体现，包括供应商完成本项目所需的一切费用。</w:t>
      </w:r>
      <w:bookmarkEnd w:id="30"/>
      <w:bookmarkStart w:id="31" w:name="_Toc320698728"/>
    </w:p>
    <w:p>
      <w:pPr>
        <w:numPr>
          <w:ilvl w:val="2"/>
          <w:numId w:val="5"/>
        </w:numPr>
        <w:tabs>
          <w:tab w:val="left" w:pos="1134"/>
        </w:tabs>
        <w:spacing w:after="200" w:line="360" w:lineRule="auto"/>
        <w:ind w:left="0" w:firstLine="0"/>
        <w:rPr>
          <w:rFonts w:ascii="宋体" w:hAnsi="宋体" w:cs="宋体"/>
          <w:b/>
          <w:bCs/>
          <w:kern w:val="0"/>
          <w:sz w:val="24"/>
          <w:szCs w:val="24"/>
        </w:rPr>
      </w:pPr>
      <w:r>
        <w:rPr>
          <w:rFonts w:hint="eastAsia" w:ascii="宋体" w:hAnsi="宋体" w:cs="宋体"/>
          <w:b/>
          <w:bCs/>
          <w:kern w:val="0"/>
          <w:sz w:val="24"/>
          <w:szCs w:val="24"/>
        </w:rPr>
        <w:t>磋商保证金</w:t>
      </w:r>
    </w:p>
    <w:p>
      <w:pPr>
        <w:spacing w:line="360" w:lineRule="auto"/>
        <w:ind w:firstLine="480" w:firstLineChars="200"/>
        <w:rPr>
          <w:rFonts w:ascii="宋体" w:hAnsi="宋体"/>
          <w:bCs/>
          <w:sz w:val="24"/>
          <w:szCs w:val="24"/>
        </w:rPr>
      </w:pPr>
      <w:r>
        <w:rPr>
          <w:rFonts w:hint="eastAsia" w:ascii="宋体" w:hAnsi="宋体"/>
          <w:bCs/>
          <w:sz w:val="24"/>
          <w:szCs w:val="24"/>
        </w:rPr>
        <w:t>本项目不收取磋商保证金。</w:t>
      </w:r>
    </w:p>
    <w:p>
      <w:pPr>
        <w:pStyle w:val="6"/>
        <w:numPr>
          <w:ilvl w:val="2"/>
          <w:numId w:val="5"/>
        </w:numPr>
        <w:spacing w:after="200"/>
        <w:ind w:left="0" w:firstLine="0"/>
        <w:rPr>
          <w:color w:val="auto"/>
          <w:sz w:val="24"/>
          <w:szCs w:val="24"/>
        </w:rPr>
      </w:pPr>
      <w:r>
        <w:rPr>
          <w:rFonts w:hint="eastAsia"/>
          <w:color w:val="auto"/>
          <w:sz w:val="24"/>
          <w:szCs w:val="24"/>
        </w:rPr>
        <w:t>响应文件有效期</w:t>
      </w:r>
      <w:bookmarkEnd w:id="31"/>
    </w:p>
    <w:p>
      <w:pPr>
        <w:pStyle w:val="81"/>
        <w:widowControl/>
        <w:numPr>
          <w:ilvl w:val="0"/>
          <w:numId w:val="18"/>
        </w:numPr>
        <w:tabs>
          <w:tab w:val="left" w:pos="1134"/>
        </w:tabs>
        <w:spacing w:after="200" w:line="400" w:lineRule="exact"/>
        <w:ind w:left="0" w:firstLine="566" w:firstLineChars="0"/>
        <w:jc w:val="distribute"/>
        <w:rPr>
          <w:rFonts w:ascii="宋体" w:hAnsi="宋体" w:eastAsia="宋体"/>
          <w:sz w:val="24"/>
          <w:szCs w:val="24"/>
        </w:rPr>
      </w:pPr>
      <w:r>
        <w:rPr>
          <w:rFonts w:hint="eastAsia" w:ascii="宋体" w:hAnsi="宋体" w:eastAsia="宋体"/>
          <w:sz w:val="24"/>
          <w:szCs w:val="24"/>
        </w:rPr>
        <w:t>响应文件有效期为递交响应文件截止之日起</w:t>
      </w:r>
      <w:r>
        <w:rPr>
          <w:rFonts w:hint="eastAsia" w:ascii="宋体" w:hAnsi="宋体" w:eastAsia="宋体"/>
          <w:sz w:val="24"/>
          <w:szCs w:val="24"/>
          <w:u w:val="single"/>
        </w:rPr>
        <w:t>120</w:t>
      </w:r>
      <w:r>
        <w:rPr>
          <w:rFonts w:hint="eastAsia" w:ascii="宋体" w:hAnsi="宋体" w:eastAsia="宋体"/>
          <w:sz w:val="24"/>
          <w:szCs w:val="24"/>
        </w:rPr>
        <w:t>天。响应文件有效期短于此规定期限或不作响应的，其响应文件将按无效响应文件处理。</w:t>
      </w:r>
    </w:p>
    <w:p>
      <w:pPr>
        <w:pStyle w:val="81"/>
        <w:widowControl/>
        <w:numPr>
          <w:ilvl w:val="0"/>
          <w:numId w:val="18"/>
        </w:numPr>
        <w:tabs>
          <w:tab w:val="left" w:pos="1134"/>
        </w:tabs>
        <w:spacing w:after="200" w:line="400" w:lineRule="exact"/>
        <w:ind w:left="0" w:firstLine="566" w:firstLineChars="0"/>
        <w:rPr>
          <w:rFonts w:ascii="宋体" w:hAnsi="宋体" w:eastAsia="宋体"/>
          <w:sz w:val="24"/>
          <w:szCs w:val="24"/>
        </w:rPr>
      </w:pPr>
      <w:r>
        <w:rPr>
          <w:rFonts w:hint="eastAsia" w:ascii="宋体" w:hAnsi="宋体" w:eastAsia="宋体"/>
          <w:sz w:val="24"/>
          <w:szCs w:val="24"/>
        </w:rPr>
        <w:t>特殊情况下，采购人可于响应文件有效期满之前要求供应商同意延长有效期，要求与答复均应为书面形式。供应商可以拒绝上述要求。供应商同意延长响应文件有效期的，不得修改其响应文件。</w:t>
      </w:r>
    </w:p>
    <w:p>
      <w:pPr>
        <w:pStyle w:val="6"/>
        <w:numPr>
          <w:ilvl w:val="2"/>
          <w:numId w:val="5"/>
        </w:numPr>
        <w:spacing w:after="200" w:line="400" w:lineRule="exact"/>
        <w:ind w:left="0" w:firstLine="0"/>
        <w:rPr>
          <w:color w:val="auto"/>
          <w:sz w:val="24"/>
          <w:szCs w:val="24"/>
        </w:rPr>
      </w:pPr>
      <w:bookmarkStart w:id="32" w:name="_Toc320698729"/>
      <w:bookmarkStart w:id="33" w:name="_Toc320698730"/>
      <w:r>
        <w:rPr>
          <w:rFonts w:hint="eastAsia"/>
          <w:color w:val="auto"/>
          <w:sz w:val="24"/>
          <w:szCs w:val="24"/>
        </w:rPr>
        <w:t>响应文件的制作</w:t>
      </w:r>
      <w:r>
        <w:rPr>
          <w:color w:val="auto"/>
          <w:sz w:val="24"/>
          <w:szCs w:val="24"/>
        </w:rPr>
        <w:t>、</w:t>
      </w:r>
      <w:r>
        <w:rPr>
          <w:rFonts w:hint="eastAsia"/>
          <w:color w:val="auto"/>
          <w:sz w:val="24"/>
          <w:szCs w:val="24"/>
        </w:rPr>
        <w:t>签章和加密</w:t>
      </w:r>
    </w:p>
    <w:p>
      <w:pPr>
        <w:spacing w:line="400" w:lineRule="exact"/>
        <w:ind w:firstLine="480" w:firstLineChars="200"/>
        <w:rPr>
          <w:rFonts w:ascii="宋体" w:hAnsi="宋体"/>
          <w:sz w:val="24"/>
          <w:szCs w:val="24"/>
        </w:rPr>
      </w:pPr>
      <w:r>
        <w:rPr>
          <w:rFonts w:hint="eastAsia" w:ascii="宋体" w:hAnsi="宋体"/>
          <w:sz w:val="24"/>
          <w:szCs w:val="24"/>
        </w:rPr>
        <w:t>一、响应文件应根据磋商文件的要求进行制作。（说明：1、响应文件中要求提供复印件证明材料的，包含提供原件的影印件或复印件。2、要求提供复印件的证明材料须清晰可辨。）</w:t>
      </w:r>
    </w:p>
    <w:p>
      <w:pPr>
        <w:spacing w:line="400" w:lineRule="exact"/>
        <w:ind w:firstLine="480" w:firstLineChars="200"/>
        <w:rPr>
          <w:rFonts w:ascii="宋体" w:hAnsi="宋体"/>
          <w:sz w:val="24"/>
          <w:szCs w:val="24"/>
        </w:rPr>
      </w:pPr>
      <w:r>
        <w:rPr>
          <w:rFonts w:hint="eastAsia" w:ascii="宋体" w:hAnsi="宋体"/>
          <w:sz w:val="24"/>
          <w:szCs w:val="24"/>
        </w:rPr>
        <w:t>二、响应文件制作详情：</w:t>
      </w:r>
    </w:p>
    <w:p>
      <w:pPr>
        <w:spacing w:line="400" w:lineRule="exact"/>
        <w:ind w:firstLine="480" w:firstLineChars="200"/>
        <w:rPr>
          <w:rFonts w:hint="eastAsia" w:ascii="宋体" w:hAnsi="宋体"/>
          <w:sz w:val="24"/>
          <w:szCs w:val="24"/>
        </w:rPr>
      </w:pPr>
      <w:r>
        <w:rPr>
          <w:rFonts w:hint="eastAsia" w:ascii="宋体" w:hAnsi="宋体"/>
          <w:sz w:val="24"/>
          <w:szCs w:val="24"/>
        </w:rPr>
        <w:t>1、本项目实行电子采购。供应商应先安装“政采云投标客户端”（下载地址1：前往成都市公共资源交易服务中心门户网站（https://www.cdggzy.com/）—业务办理—下载专区—政府采购下载专区下载“政采云投标客户端”；下载地址2：https://customer.zcygov.cn/CA-driver-download?utm=web-ca-front.3ddc8fbb.0.0.3a16b7402a4511ec900b6349b129e0db。供应商人应按响应文件要求，通过“政采云投标客户端”制作、加密并提交响应文件。</w:t>
      </w:r>
    </w:p>
    <w:p>
      <w:pPr>
        <w:spacing w:line="400" w:lineRule="exact"/>
        <w:ind w:firstLine="480" w:firstLineChars="200"/>
        <w:rPr>
          <w:rFonts w:hint="eastAsia" w:ascii="宋体" w:hAnsi="宋体"/>
          <w:sz w:val="24"/>
          <w:szCs w:val="24"/>
        </w:rPr>
      </w:pPr>
      <w:r>
        <w:rPr>
          <w:rFonts w:hint="eastAsia" w:ascii="宋体" w:hAnsi="宋体"/>
          <w:sz w:val="24"/>
          <w:szCs w:val="24"/>
        </w:rPr>
        <w:t>2、</w:t>
      </w:r>
      <w:r>
        <w:rPr>
          <w:rFonts w:hint="eastAsia" w:ascii="宋体" w:hAnsi="宋体"/>
          <w:b/>
          <w:sz w:val="24"/>
          <w:szCs w:val="24"/>
        </w:rPr>
        <w:t>响应文件应加盖有供应商（法定名称）的电子签章，不得使用供应商专用章（如经济合同章、投标专用章等）或下属单位印章代替</w:t>
      </w:r>
      <w:r>
        <w:rPr>
          <w:rFonts w:hint="eastAsia" w:ascii="宋体" w:hAnsi="宋体"/>
          <w:sz w:val="24"/>
          <w:szCs w:val="24"/>
        </w:rPr>
        <w:t>。</w:t>
      </w:r>
    </w:p>
    <w:p>
      <w:pPr>
        <w:pStyle w:val="2"/>
        <w:ind w:left="0" w:leftChars="0" w:firstLine="547" w:firstLineChars="228"/>
        <w:rPr>
          <w:rFonts w:hint="eastAsia" w:ascii="宋体" w:hAnsi="宋体"/>
          <w:sz w:val="24"/>
          <w:szCs w:val="24"/>
        </w:rPr>
      </w:pPr>
      <w:r>
        <w:rPr>
          <w:rFonts w:hint="eastAsia" w:ascii="宋体" w:hAnsi="宋体"/>
          <w:sz w:val="24"/>
          <w:szCs w:val="24"/>
        </w:rPr>
        <w:t>3、供应商应使用本企业CA数字证书对响应文件进行加密。</w:t>
      </w:r>
    </w:p>
    <w:p>
      <w:pPr>
        <w:pStyle w:val="2"/>
        <w:ind w:left="0" w:leftChars="0" w:firstLine="547" w:firstLineChars="228"/>
        <w:rPr>
          <w:rFonts w:ascii="宋体" w:hAnsi="宋体"/>
          <w:sz w:val="24"/>
          <w:szCs w:val="24"/>
        </w:rPr>
      </w:pPr>
      <w:r>
        <w:rPr>
          <w:rFonts w:hint="eastAsia" w:ascii="宋体" w:hAnsi="宋体"/>
          <w:sz w:val="24"/>
          <w:szCs w:val="24"/>
          <w:lang w:val="en-US" w:eastAsia="zh-CN"/>
        </w:rPr>
        <w:t>4</w:t>
      </w:r>
      <w:r>
        <w:rPr>
          <w:rFonts w:hint="eastAsia" w:ascii="宋体" w:hAnsi="宋体"/>
          <w:sz w:val="24"/>
          <w:szCs w:val="24"/>
        </w:rPr>
        <w:t>、磋商文件有修改的，供应商须重新下载修改后的磋商文件（修改后的磋商文件在更正公告中下载），并根据修改后的磋商文件制作、撤回修改，并递交响应文件。</w:t>
      </w:r>
    </w:p>
    <w:p>
      <w:pPr>
        <w:spacing w:line="400" w:lineRule="exact"/>
        <w:ind w:firstLine="480" w:firstLineChars="200"/>
        <w:rPr>
          <w:rFonts w:ascii="宋体" w:hAnsi="宋体"/>
          <w:sz w:val="24"/>
          <w:szCs w:val="24"/>
        </w:rPr>
      </w:pPr>
      <w:r>
        <w:rPr>
          <w:rFonts w:hint="eastAsia" w:ascii="宋体" w:hAnsi="宋体"/>
          <w:sz w:val="24"/>
          <w:szCs w:val="24"/>
          <w:lang w:val="en-US" w:eastAsia="zh-CN"/>
        </w:rPr>
        <w:t>5</w:t>
      </w:r>
      <w:r>
        <w:rPr>
          <w:rFonts w:ascii="宋体" w:hAnsi="宋体"/>
          <w:sz w:val="24"/>
          <w:szCs w:val="24"/>
        </w:rPr>
        <w:t xml:space="preserve">、使用“政府采购云平台”（含政采云电子交易客户端）需要提前申领CA数字证书及电子签章，请自行前往四川CA、天威CA </w:t>
      </w:r>
      <w:r>
        <w:rPr>
          <w:rFonts w:hint="eastAsia" w:ascii="宋体" w:hAnsi="宋体"/>
          <w:sz w:val="24"/>
          <w:szCs w:val="24"/>
        </w:rPr>
        <w:t>、</w:t>
      </w:r>
      <w:r>
        <w:rPr>
          <w:rFonts w:ascii="宋体" w:hAnsi="宋体"/>
          <w:sz w:val="24"/>
          <w:szCs w:val="24"/>
        </w:rPr>
        <w:t>CFCA服务点办理</w:t>
      </w:r>
      <w:r>
        <w:rPr>
          <w:rFonts w:hint="eastAsia" w:ascii="宋体" w:hAnsi="宋体"/>
          <w:sz w:val="24"/>
          <w:szCs w:val="24"/>
        </w:rPr>
        <w:t>，供应商只需办理其中一家</w:t>
      </w:r>
      <w:r>
        <w:rPr>
          <w:rFonts w:ascii="宋体" w:hAnsi="宋体"/>
          <w:sz w:val="24"/>
          <w:szCs w:val="24"/>
        </w:rPr>
        <w:t>CA数字证书及签章（提示：办理时请说明参与成都市政府采购项目）。供应商应及时完成在“政府采购云平台”的CA账号绑定，确保顺利参与电子采购。</w:t>
      </w:r>
    </w:p>
    <w:p>
      <w:pPr>
        <w:spacing w:line="400" w:lineRule="exact"/>
        <w:ind w:firstLine="480" w:firstLineChars="200"/>
        <w:rPr>
          <w:sz w:val="24"/>
          <w:szCs w:val="24"/>
        </w:rPr>
      </w:pPr>
      <w:r>
        <w:rPr>
          <w:sz w:val="24"/>
          <w:szCs w:val="24"/>
        </w:rPr>
        <w:t>6、政府采购云平台所支持的CA证书及签章：四川CA及金格签章，天威CA（金润版）及金润签章，CFCA及金格签章。</w:t>
      </w:r>
    </w:p>
    <w:p>
      <w:pPr>
        <w:spacing w:line="400" w:lineRule="exact"/>
        <w:ind w:firstLine="480" w:firstLineChars="200"/>
        <w:rPr>
          <w:sz w:val="24"/>
          <w:szCs w:val="24"/>
        </w:rPr>
      </w:pPr>
      <w:r>
        <w:rPr>
          <w:sz w:val="24"/>
          <w:szCs w:val="24"/>
        </w:rPr>
        <w:t>7、政府采购云平台技术支持：（1）钉钉群号：34165101（注：本群有3家CA办理人员加入）；如遇钉钉群满，请加钉钉群号：33782435（注：只</w:t>
      </w:r>
      <w:r>
        <w:rPr>
          <w:rFonts w:hint="eastAsia"/>
          <w:sz w:val="24"/>
          <w:szCs w:val="24"/>
        </w:rPr>
        <w:t>加其中一个即可）。（</w:t>
      </w:r>
      <w:r>
        <w:rPr>
          <w:sz w:val="24"/>
          <w:szCs w:val="24"/>
        </w:rPr>
        <w:t>2）统一热线电话：4008817190</w:t>
      </w:r>
    </w:p>
    <w:p>
      <w:pPr>
        <w:spacing w:line="400" w:lineRule="exact"/>
        <w:ind w:firstLine="480" w:firstLineChars="200"/>
        <w:rPr>
          <w:rFonts w:hint="eastAsia" w:ascii="宋体" w:hAnsi="宋体" w:eastAsia="宋体"/>
          <w:sz w:val="24"/>
          <w:szCs w:val="24"/>
          <w:lang w:eastAsia="zh-CN"/>
        </w:rPr>
      </w:pPr>
      <w:r>
        <w:rPr>
          <w:sz w:val="24"/>
          <w:szCs w:val="24"/>
        </w:rPr>
        <w:t>8、CA技术支持：四川CA：400-0281130；天威CA： 028-86694886、1592864708；CFCA：028-65785326、18033549468</w:t>
      </w:r>
      <w:r>
        <w:rPr>
          <w:rFonts w:hint="eastAsia"/>
          <w:sz w:val="24"/>
          <w:szCs w:val="24"/>
          <w:lang w:eastAsia="zh-CN"/>
        </w:rPr>
        <w:t>。</w:t>
      </w:r>
    </w:p>
    <w:p>
      <w:pPr>
        <w:pStyle w:val="6"/>
        <w:spacing w:line="400" w:lineRule="exact"/>
        <w:rPr>
          <w:color w:val="auto"/>
          <w:sz w:val="24"/>
          <w:szCs w:val="24"/>
        </w:rPr>
      </w:pPr>
      <w:r>
        <w:rPr>
          <w:rFonts w:hint="eastAsia"/>
          <w:color w:val="auto"/>
          <w:sz w:val="24"/>
          <w:szCs w:val="24"/>
        </w:rPr>
        <w:t>响应文件的递交</w:t>
      </w:r>
    </w:p>
    <w:p>
      <w:pPr>
        <w:numPr>
          <w:ilvl w:val="0"/>
          <w:numId w:val="19"/>
        </w:numPr>
        <w:tabs>
          <w:tab w:val="left" w:pos="1134"/>
        </w:tabs>
        <w:spacing w:line="400" w:lineRule="exact"/>
        <w:ind w:left="0" w:firstLine="567"/>
        <w:rPr>
          <w:rFonts w:ascii="宋体" w:hAnsi="宋体"/>
          <w:bCs/>
          <w:sz w:val="24"/>
          <w:szCs w:val="24"/>
        </w:rPr>
      </w:pPr>
      <w:r>
        <w:rPr>
          <w:rFonts w:hint="eastAsia" w:ascii="宋体" w:hAnsi="宋体"/>
          <w:bCs/>
          <w:sz w:val="24"/>
          <w:szCs w:val="24"/>
        </w:rPr>
        <w:t>供应商应当在响应文件递交截止时间前，将生成的已加密的响应文件成功递交至“政府采购云平台”。</w:t>
      </w:r>
    </w:p>
    <w:p>
      <w:pPr>
        <w:numPr>
          <w:ilvl w:val="0"/>
          <w:numId w:val="19"/>
        </w:numPr>
        <w:tabs>
          <w:tab w:val="left" w:pos="1134"/>
        </w:tabs>
        <w:spacing w:line="400" w:lineRule="exact"/>
        <w:ind w:left="0" w:firstLine="567"/>
        <w:rPr>
          <w:rFonts w:ascii="宋体" w:hAnsi="宋体"/>
          <w:bCs/>
          <w:color w:val="000000" w:themeColor="text1"/>
          <w:sz w:val="24"/>
          <w:szCs w:val="24"/>
          <w14:textFill>
            <w14:solidFill>
              <w14:schemeClr w14:val="tx1"/>
            </w14:solidFill>
          </w14:textFill>
        </w:rPr>
      </w:pPr>
      <w:r>
        <w:rPr>
          <w:rFonts w:hint="eastAsia" w:ascii="宋体" w:hAnsi="宋体"/>
          <w:bCs/>
          <w:sz w:val="24"/>
          <w:szCs w:val="24"/>
        </w:rPr>
        <w:t>因磋商文件的修改推迟响应文件递交截止时间的，供应商</w:t>
      </w:r>
      <w:r>
        <w:rPr>
          <w:rFonts w:hint="eastAsia" w:ascii="宋体" w:hAnsi="宋体"/>
          <w:bCs/>
          <w:color w:val="000000" w:themeColor="text1"/>
          <w:sz w:val="24"/>
          <w:szCs w:val="24"/>
          <w14:textFill>
            <w14:solidFill>
              <w14:schemeClr w14:val="tx1"/>
            </w14:solidFill>
          </w14:textFill>
        </w:rPr>
        <w:t>按区政府采购中心在“四川政府采购网”和“成都市公共资源交易服务中心”网站上发布的澄清公告中修改的时间</w:t>
      </w:r>
      <w:r>
        <w:rPr>
          <w:rFonts w:hint="eastAsia" w:ascii="宋体" w:hAnsi="宋体"/>
          <w:bCs/>
          <w:color w:val="000000" w:themeColor="text1"/>
          <w:sz w:val="24"/>
          <w:szCs w:val="24"/>
          <w:lang w:eastAsia="zh-CN"/>
          <w14:textFill>
            <w14:solidFill>
              <w14:schemeClr w14:val="tx1"/>
            </w14:solidFill>
          </w14:textFill>
        </w:rPr>
        <w:t>提交</w:t>
      </w:r>
      <w:r>
        <w:rPr>
          <w:rFonts w:hint="eastAsia" w:ascii="宋体" w:hAnsi="宋体"/>
          <w:bCs/>
          <w:color w:val="000000" w:themeColor="text1"/>
          <w:sz w:val="24"/>
          <w:szCs w:val="24"/>
          <w14:textFill>
            <w14:solidFill>
              <w14:schemeClr w14:val="tx1"/>
            </w14:solidFill>
          </w14:textFill>
        </w:rPr>
        <w:t>。</w:t>
      </w:r>
    </w:p>
    <w:p>
      <w:pPr>
        <w:numPr>
          <w:ilvl w:val="0"/>
          <w:numId w:val="19"/>
        </w:numPr>
        <w:tabs>
          <w:tab w:val="left" w:pos="1134"/>
        </w:tabs>
        <w:spacing w:line="400" w:lineRule="exact"/>
        <w:ind w:left="0" w:firstLine="567"/>
        <w:rPr>
          <w:rFonts w:ascii="宋体" w:hAnsi="宋体"/>
          <w:bCs/>
          <w:sz w:val="24"/>
          <w:szCs w:val="24"/>
        </w:rPr>
      </w:pPr>
      <w:r>
        <w:rPr>
          <w:rFonts w:hint="eastAsia" w:ascii="宋体" w:hAnsi="宋体"/>
          <w:bCs/>
          <w:sz w:val="24"/>
          <w:szCs w:val="24"/>
        </w:rPr>
        <w:t>供应商应充分考虑</w:t>
      </w:r>
      <w:r>
        <w:rPr>
          <w:rFonts w:hint="eastAsia" w:ascii="宋体" w:hAnsi="宋体"/>
          <w:bCs/>
          <w:sz w:val="24"/>
          <w:szCs w:val="24"/>
          <w:lang w:eastAsia="zh-CN"/>
        </w:rPr>
        <w:t>提交</w:t>
      </w:r>
      <w:r>
        <w:rPr>
          <w:rFonts w:hint="eastAsia" w:ascii="宋体" w:hAnsi="宋体"/>
          <w:bCs/>
          <w:sz w:val="24"/>
          <w:szCs w:val="24"/>
        </w:rPr>
        <w:t>响应文件的不可预见因素，未在</w:t>
      </w:r>
      <w:r>
        <w:rPr>
          <w:rFonts w:hint="eastAsia" w:ascii="宋体" w:hAnsi="宋体"/>
          <w:bCs/>
          <w:sz w:val="24"/>
          <w:szCs w:val="24"/>
          <w:lang w:eastAsia="zh-CN"/>
        </w:rPr>
        <w:t>提交首次</w:t>
      </w:r>
      <w:r>
        <w:rPr>
          <w:rFonts w:ascii="宋体" w:hAnsi="宋体"/>
          <w:bCs/>
          <w:sz w:val="24"/>
          <w:szCs w:val="24"/>
        </w:rPr>
        <w:t>响应文件</w:t>
      </w:r>
      <w:r>
        <w:rPr>
          <w:rFonts w:hint="eastAsia" w:ascii="宋体" w:hAnsi="宋体"/>
          <w:bCs/>
          <w:sz w:val="24"/>
          <w:szCs w:val="24"/>
        </w:rPr>
        <w:t>截止时间前完成</w:t>
      </w:r>
      <w:r>
        <w:rPr>
          <w:rFonts w:hint="eastAsia" w:ascii="宋体" w:hAnsi="宋体"/>
          <w:bCs/>
          <w:sz w:val="24"/>
          <w:szCs w:val="24"/>
          <w:lang w:eastAsia="zh-CN"/>
        </w:rPr>
        <w:t>提交</w:t>
      </w:r>
      <w:r>
        <w:rPr>
          <w:rFonts w:hint="eastAsia" w:ascii="宋体" w:hAnsi="宋体"/>
          <w:bCs/>
          <w:sz w:val="24"/>
          <w:szCs w:val="24"/>
        </w:rPr>
        <w:t>的，在</w:t>
      </w:r>
      <w:r>
        <w:rPr>
          <w:rFonts w:hint="eastAsia" w:ascii="宋体" w:hAnsi="宋体"/>
          <w:bCs/>
          <w:sz w:val="24"/>
          <w:szCs w:val="24"/>
          <w:lang w:eastAsia="zh-CN"/>
        </w:rPr>
        <w:t>提交首次</w:t>
      </w:r>
      <w:r>
        <w:rPr>
          <w:rFonts w:ascii="宋体" w:hAnsi="宋体"/>
          <w:bCs/>
          <w:sz w:val="24"/>
          <w:szCs w:val="24"/>
        </w:rPr>
        <w:t>响应文件</w:t>
      </w:r>
      <w:r>
        <w:rPr>
          <w:rFonts w:hint="eastAsia" w:ascii="宋体" w:hAnsi="宋体"/>
          <w:bCs/>
          <w:sz w:val="24"/>
          <w:szCs w:val="24"/>
        </w:rPr>
        <w:t>截止时间后将无法</w:t>
      </w:r>
      <w:r>
        <w:rPr>
          <w:rFonts w:hint="eastAsia" w:ascii="宋体" w:hAnsi="宋体"/>
          <w:bCs/>
          <w:sz w:val="24"/>
          <w:szCs w:val="24"/>
          <w:lang w:eastAsia="zh-CN"/>
        </w:rPr>
        <w:t>提交</w:t>
      </w:r>
      <w:r>
        <w:rPr>
          <w:rFonts w:hint="eastAsia" w:ascii="宋体" w:hAnsi="宋体"/>
          <w:bCs/>
          <w:sz w:val="24"/>
          <w:szCs w:val="24"/>
        </w:rPr>
        <w:t>。</w:t>
      </w:r>
    </w:p>
    <w:p>
      <w:pPr>
        <w:pStyle w:val="6"/>
        <w:spacing w:line="400" w:lineRule="exact"/>
        <w:rPr>
          <w:color w:val="auto"/>
          <w:sz w:val="24"/>
          <w:szCs w:val="24"/>
        </w:rPr>
      </w:pPr>
      <w:r>
        <w:rPr>
          <w:rFonts w:hint="eastAsia"/>
          <w:color w:val="auto"/>
          <w:sz w:val="24"/>
          <w:szCs w:val="24"/>
        </w:rPr>
        <w:t>响应文件的补充、修改和撤回</w:t>
      </w:r>
    </w:p>
    <w:p>
      <w:pPr>
        <w:numPr>
          <w:ilvl w:val="0"/>
          <w:numId w:val="20"/>
        </w:numPr>
        <w:tabs>
          <w:tab w:val="left" w:pos="1134"/>
        </w:tabs>
        <w:spacing w:line="360" w:lineRule="auto"/>
        <w:ind w:left="0" w:firstLine="567"/>
        <w:rPr>
          <w:rFonts w:ascii="宋体" w:hAnsi="宋体"/>
          <w:sz w:val="24"/>
          <w:szCs w:val="24"/>
        </w:rPr>
      </w:pPr>
      <w:r>
        <w:rPr>
          <w:rFonts w:hint="eastAsia" w:ascii="宋体" w:hAnsi="宋体"/>
          <w:sz w:val="24"/>
          <w:szCs w:val="24"/>
        </w:rPr>
        <w:t>在提交</w:t>
      </w:r>
      <w:r>
        <w:rPr>
          <w:rFonts w:ascii="宋体" w:hAnsi="宋体"/>
          <w:sz w:val="24"/>
          <w:szCs w:val="24"/>
        </w:rPr>
        <w:t>首次响应文件</w:t>
      </w:r>
      <w:r>
        <w:rPr>
          <w:rFonts w:hint="eastAsia" w:ascii="宋体" w:hAnsi="宋体"/>
          <w:sz w:val="24"/>
          <w:szCs w:val="24"/>
        </w:rPr>
        <w:t>截止时间之前，供应商可对已提交的响应文件进行补充、修改。补充或者修改响应文件的，应当先撤回已提交的响应文件，在“政采云投标客户端”补充、修改响应文件并签章、加密后重新提交。撤回响应文件进行补充、修改，在提交首次响应文件截止时间前未重新提交的，视为撤回响应文件。</w:t>
      </w:r>
    </w:p>
    <w:p>
      <w:pPr>
        <w:numPr>
          <w:ilvl w:val="0"/>
          <w:numId w:val="20"/>
        </w:numPr>
        <w:tabs>
          <w:tab w:val="left" w:pos="1134"/>
        </w:tabs>
        <w:spacing w:line="360" w:lineRule="auto"/>
        <w:ind w:left="0" w:firstLine="567"/>
        <w:rPr>
          <w:rFonts w:ascii="宋体" w:hAnsi="宋体"/>
          <w:sz w:val="24"/>
          <w:szCs w:val="24"/>
        </w:rPr>
      </w:pPr>
      <w:r>
        <w:rPr>
          <w:rFonts w:hint="eastAsia" w:ascii="宋体" w:hAnsi="宋体"/>
          <w:sz w:val="24"/>
          <w:szCs w:val="24"/>
        </w:rPr>
        <w:t>在提交</w:t>
      </w:r>
      <w:r>
        <w:rPr>
          <w:rFonts w:ascii="宋体" w:hAnsi="宋体"/>
          <w:sz w:val="24"/>
          <w:szCs w:val="24"/>
        </w:rPr>
        <w:t>首次</w:t>
      </w:r>
      <w:r>
        <w:rPr>
          <w:rFonts w:hint="eastAsia" w:ascii="宋体" w:hAnsi="宋体"/>
          <w:sz w:val="24"/>
          <w:szCs w:val="24"/>
        </w:rPr>
        <w:t>响应文件截止时间之后，供应商不得对其提交的响应文件做任何补充、修改。</w:t>
      </w:r>
    </w:p>
    <w:p>
      <w:pPr>
        <w:numPr>
          <w:ilvl w:val="0"/>
          <w:numId w:val="20"/>
        </w:numPr>
        <w:tabs>
          <w:tab w:val="left" w:pos="1134"/>
        </w:tabs>
        <w:spacing w:line="360" w:lineRule="auto"/>
        <w:ind w:left="0" w:firstLine="567"/>
        <w:rPr>
          <w:rFonts w:ascii="宋体" w:hAnsi="宋体"/>
          <w:sz w:val="24"/>
          <w:szCs w:val="24"/>
        </w:rPr>
      </w:pPr>
      <w:r>
        <w:rPr>
          <w:rFonts w:hint="eastAsia" w:ascii="宋体" w:hAnsi="宋体"/>
          <w:sz w:val="24"/>
          <w:szCs w:val="24"/>
        </w:rPr>
        <w:t>在提交</w:t>
      </w:r>
      <w:r>
        <w:rPr>
          <w:rFonts w:ascii="宋体" w:hAnsi="宋体"/>
          <w:sz w:val="24"/>
          <w:szCs w:val="24"/>
        </w:rPr>
        <w:t>首次</w:t>
      </w:r>
      <w:r>
        <w:rPr>
          <w:rFonts w:hint="eastAsia" w:ascii="宋体" w:hAnsi="宋体"/>
          <w:sz w:val="24"/>
          <w:szCs w:val="24"/>
        </w:rPr>
        <w:t>响应文件截止时间之前，供应商可对已提交的响应文件进行撤回。在提交</w:t>
      </w:r>
      <w:r>
        <w:rPr>
          <w:rFonts w:ascii="宋体" w:hAnsi="宋体"/>
          <w:sz w:val="24"/>
          <w:szCs w:val="24"/>
        </w:rPr>
        <w:t>首次</w:t>
      </w:r>
      <w:r>
        <w:rPr>
          <w:rFonts w:hint="eastAsia" w:ascii="宋体" w:hAnsi="宋体"/>
          <w:sz w:val="24"/>
          <w:szCs w:val="24"/>
        </w:rPr>
        <w:t>响应文件截止时间之后，供应商不得撤回响应文件。</w:t>
      </w:r>
    </w:p>
    <w:p>
      <w:pPr>
        <w:pStyle w:val="6"/>
        <w:spacing w:line="400" w:lineRule="exact"/>
        <w:rPr>
          <w:color w:val="auto"/>
          <w:sz w:val="24"/>
          <w:szCs w:val="24"/>
        </w:rPr>
      </w:pPr>
      <w:r>
        <w:rPr>
          <w:rFonts w:hint="eastAsia"/>
          <w:color w:val="auto"/>
          <w:sz w:val="24"/>
          <w:szCs w:val="24"/>
        </w:rPr>
        <w:t>响应文件的解密</w:t>
      </w:r>
    </w:p>
    <w:p>
      <w:pPr>
        <w:tabs>
          <w:tab w:val="left" w:pos="1134"/>
        </w:tabs>
        <w:spacing w:before="120" w:line="400" w:lineRule="exact"/>
        <w:ind w:firstLine="484" w:firstLineChars="202"/>
        <w:rPr>
          <w:rFonts w:ascii="宋体" w:hAnsi="宋体"/>
          <w:bCs/>
          <w:sz w:val="24"/>
          <w:szCs w:val="24"/>
        </w:rPr>
      </w:pPr>
      <w:r>
        <w:rPr>
          <w:rFonts w:hint="eastAsia" w:ascii="宋体" w:hAnsi="宋体"/>
          <w:bCs/>
          <w:sz w:val="24"/>
          <w:szCs w:val="24"/>
        </w:rPr>
        <w:t>供应商</w:t>
      </w:r>
      <w:r>
        <w:rPr>
          <w:rFonts w:hint="eastAsia" w:ascii="宋体" w:hAnsi="宋体"/>
          <w:sz w:val="24"/>
          <w:szCs w:val="24"/>
        </w:rPr>
        <w:t>登录政府采购</w:t>
      </w:r>
      <w:r>
        <w:rPr>
          <w:rFonts w:hint="eastAsia" w:ascii="宋体" w:hAnsi="宋体"/>
          <w:color w:val="000000" w:themeColor="text1"/>
          <w:sz w:val="24"/>
          <w:szCs w:val="24"/>
          <w14:textFill>
            <w14:solidFill>
              <w14:schemeClr w14:val="tx1"/>
            </w14:solidFill>
          </w14:textFill>
        </w:rPr>
        <w:t>云平台，点击“项目采购—开标评标”模块，找到对应项目，进入“开标大厅”，</w:t>
      </w:r>
      <w:r>
        <w:rPr>
          <w:rFonts w:hint="eastAsia" w:ascii="宋体" w:hAnsi="宋体"/>
          <w:color w:val="000000" w:themeColor="text1"/>
          <w:sz w:val="24"/>
          <w:szCs w:val="24"/>
          <w:lang w:eastAsia="zh-CN"/>
          <w14:textFill>
            <w14:solidFill>
              <w14:schemeClr w14:val="tx1"/>
            </w14:solidFill>
          </w14:textFill>
        </w:rPr>
        <w:t>等待</w:t>
      </w:r>
      <w:r>
        <w:rPr>
          <w:rFonts w:hint="eastAsia" w:ascii="宋体" w:hAnsi="宋体"/>
          <w:color w:val="000000" w:themeColor="text1"/>
          <w:sz w:val="24"/>
          <w:szCs w:val="24"/>
          <w14:textFill>
            <w14:solidFill>
              <w14:schemeClr w14:val="tx1"/>
            </w14:solidFill>
          </w14:textFill>
        </w:rPr>
        <w:t>区政府采购中心开启解密后，</w:t>
      </w:r>
      <w:r>
        <w:rPr>
          <w:rFonts w:hint="eastAsia" w:ascii="宋体" w:hAnsi="宋体" w:cs="宋体"/>
          <w:color w:val="000000" w:themeColor="text1"/>
          <w:sz w:val="24"/>
          <w:szCs w:val="24"/>
          <w14:textFill>
            <w14:solidFill>
              <w14:schemeClr w14:val="tx1"/>
            </w14:solidFill>
          </w14:textFill>
        </w:rPr>
        <w:t>供应商应在60分钟内，使用加密该响应文件的CA数字证书在线完成响应文件的解密。</w:t>
      </w:r>
      <w:r>
        <w:rPr>
          <w:rFonts w:hint="eastAsia" w:ascii="宋体" w:hAnsi="宋体"/>
          <w:bCs/>
          <w:color w:val="000000" w:themeColor="text1"/>
          <w:sz w:val="24"/>
          <w:szCs w:val="24"/>
          <w14:textFill>
            <w14:solidFill>
              <w14:schemeClr w14:val="tx1"/>
            </w14:solidFill>
          </w14:textFill>
        </w:rPr>
        <w:t>除因</w:t>
      </w:r>
      <w:r>
        <w:rPr>
          <w:rFonts w:hint="eastAsia" w:ascii="宋体" w:hAnsi="宋体"/>
          <w:color w:val="000000" w:themeColor="text1"/>
          <w:sz w:val="24"/>
          <w:szCs w:val="24"/>
          <w14:textFill>
            <w14:solidFill>
              <w14:schemeClr w14:val="tx1"/>
            </w14:solidFill>
          </w14:textFill>
        </w:rPr>
        <w:t>区政府采购中心</w:t>
      </w:r>
      <w:r>
        <w:rPr>
          <w:rFonts w:hint="eastAsia" w:ascii="宋体" w:hAnsi="宋体"/>
          <w:bCs/>
          <w:color w:val="000000" w:themeColor="text1"/>
          <w:sz w:val="24"/>
          <w:szCs w:val="24"/>
          <w14:textFill>
            <w14:solidFill>
              <w14:schemeClr w14:val="tx1"/>
            </w14:solidFill>
          </w14:textFill>
        </w:rPr>
        <w:t>断电、断网、</w:t>
      </w:r>
      <w:r>
        <w:rPr>
          <w:rFonts w:hint="eastAsia" w:ascii="宋体" w:hAnsi="宋体"/>
          <w:bCs/>
          <w:sz w:val="24"/>
          <w:szCs w:val="24"/>
        </w:rPr>
        <w:t>系统故障或其他不可抗力等因素，导致系统无法使用外，供应商在规定的解密时间内，未成功解密的响应文件将视为无效响应文件。</w:t>
      </w:r>
    </w:p>
    <w:p>
      <w:pPr>
        <w:pStyle w:val="5"/>
        <w:tabs>
          <w:tab w:val="left" w:pos="426"/>
        </w:tabs>
        <w:spacing w:before="0" w:after="0" w:line="400" w:lineRule="exact"/>
        <w:ind w:left="0" w:firstLine="0"/>
        <w:jc w:val="both"/>
        <w:rPr>
          <w:sz w:val="24"/>
          <w:szCs w:val="24"/>
        </w:rPr>
      </w:pPr>
      <w:bookmarkStart w:id="34" w:name="_Toc183582232"/>
      <w:bookmarkStart w:id="35" w:name="_Toc217446057"/>
      <w:bookmarkStart w:id="36" w:name="_Toc79742123"/>
      <w:bookmarkStart w:id="37" w:name="_Toc183682369"/>
      <w:bookmarkStart w:id="38" w:name="_Toc73447467"/>
      <w:r>
        <w:rPr>
          <w:rFonts w:hint="eastAsia"/>
          <w:sz w:val="24"/>
          <w:szCs w:val="24"/>
        </w:rPr>
        <w:t>磋商</w:t>
      </w:r>
      <w:r>
        <w:rPr>
          <w:sz w:val="24"/>
          <w:szCs w:val="24"/>
        </w:rPr>
        <w:t>开启活动</w:t>
      </w:r>
      <w:r>
        <w:rPr>
          <w:rFonts w:hint="eastAsia"/>
          <w:sz w:val="24"/>
          <w:szCs w:val="24"/>
        </w:rPr>
        <w:t>程序</w:t>
      </w:r>
      <w:bookmarkEnd w:id="34"/>
      <w:bookmarkEnd w:id="35"/>
      <w:bookmarkEnd w:id="36"/>
      <w:bookmarkEnd w:id="37"/>
      <w:bookmarkEnd w:id="38"/>
    </w:p>
    <w:p>
      <w:pPr>
        <w:pStyle w:val="81"/>
        <w:numPr>
          <w:ilvl w:val="0"/>
          <w:numId w:val="21"/>
        </w:numPr>
        <w:tabs>
          <w:tab w:val="left" w:pos="1134"/>
        </w:tabs>
        <w:spacing w:before="120" w:after="200" w:line="400" w:lineRule="exact"/>
        <w:ind w:left="0" w:right="210" w:firstLine="567" w:firstLineChars="0"/>
        <w:rPr>
          <w:rFonts w:ascii="宋体" w:hAnsi="宋体" w:eastAsia="宋体" w:cs="宋体"/>
          <w:b/>
          <w:sz w:val="24"/>
          <w:szCs w:val="24"/>
        </w:rPr>
      </w:pPr>
      <w:r>
        <w:rPr>
          <w:rFonts w:hint="eastAsia" w:ascii="宋体" w:hAnsi="宋体" w:eastAsia="宋体" w:cs="宋体"/>
          <w:b/>
          <w:sz w:val="24"/>
          <w:szCs w:val="24"/>
          <w:lang w:eastAsia="zh-CN"/>
        </w:rPr>
        <w:t>提</w:t>
      </w:r>
      <w:r>
        <w:rPr>
          <w:rFonts w:hint="eastAsia" w:ascii="宋体" w:hAnsi="宋体" w:eastAsia="宋体" w:cs="宋体"/>
          <w:b/>
          <w:sz w:val="24"/>
          <w:szCs w:val="24"/>
        </w:rPr>
        <w:t>交响应文件的供应商不足三家的，不予继续开展磋商采购</w:t>
      </w:r>
      <w:r>
        <w:rPr>
          <w:rFonts w:ascii="宋体" w:hAnsi="宋体" w:eastAsia="宋体" w:cs="宋体"/>
          <w:b/>
          <w:sz w:val="24"/>
          <w:szCs w:val="24"/>
        </w:rPr>
        <w:t>活动</w:t>
      </w:r>
      <w:r>
        <w:rPr>
          <w:rFonts w:hint="eastAsia" w:ascii="宋体" w:hAnsi="宋体" w:eastAsia="宋体" w:cs="宋体"/>
          <w:b/>
          <w:sz w:val="24"/>
          <w:szCs w:val="24"/>
        </w:rPr>
        <w:t>。</w:t>
      </w:r>
    </w:p>
    <w:p>
      <w:pPr>
        <w:pStyle w:val="81"/>
        <w:numPr>
          <w:ilvl w:val="0"/>
          <w:numId w:val="21"/>
        </w:numPr>
        <w:tabs>
          <w:tab w:val="left" w:pos="1134"/>
        </w:tabs>
        <w:spacing w:before="120" w:after="200" w:line="400" w:lineRule="exact"/>
        <w:ind w:left="0" w:right="210" w:firstLine="567" w:firstLineChars="0"/>
        <w:rPr>
          <w:rFonts w:ascii="宋体" w:hAnsi="宋体" w:eastAsia="宋体" w:cs="宋体"/>
          <w:b/>
          <w:sz w:val="24"/>
          <w:szCs w:val="24"/>
        </w:rPr>
      </w:pPr>
      <w:r>
        <w:rPr>
          <w:rFonts w:hint="eastAsia" w:ascii="宋体" w:hAnsi="宋体" w:eastAsia="宋体" w:cs="宋体"/>
          <w:b/>
          <w:sz w:val="24"/>
          <w:szCs w:val="24"/>
        </w:rPr>
        <w:t>准备工作。供应商需在开标当日、递交施工响应文件截止时间前登录“政府采购云平台”，通过“开标大厅”参与开标。登录政府采购云平台(www.zcygov.cn)—我的工作台—项目采购—开标评标—开标大厅[找到对应项目（包件）]。提示：供应商未按时登录不见面开标系统，错过开标解密时间的，由供应商自行承担不利后果。</w:t>
      </w:r>
    </w:p>
    <w:p>
      <w:pPr>
        <w:pStyle w:val="81"/>
        <w:numPr>
          <w:ilvl w:val="0"/>
          <w:numId w:val="21"/>
        </w:numPr>
        <w:tabs>
          <w:tab w:val="left" w:pos="1134"/>
        </w:tabs>
        <w:spacing w:before="120" w:after="200" w:line="400" w:lineRule="exact"/>
        <w:ind w:left="0" w:right="210" w:firstLine="567" w:firstLineChars="0"/>
        <w:rPr>
          <w:rFonts w:ascii="宋体" w:hAnsi="宋体" w:eastAsia="宋体" w:cs="宋体"/>
          <w:b/>
          <w:sz w:val="24"/>
          <w:szCs w:val="24"/>
        </w:rPr>
      </w:pPr>
      <w:r>
        <w:rPr>
          <w:rFonts w:hint="eastAsia" w:ascii="宋体" w:hAnsi="宋体" w:eastAsia="宋体" w:cs="宋体"/>
          <w:b/>
          <w:sz w:val="24"/>
          <w:szCs w:val="24"/>
        </w:rPr>
        <w:t>解密响应文件</w:t>
      </w:r>
      <w:r>
        <w:rPr>
          <w:rFonts w:hint="eastAsia" w:ascii="宋体" w:hAnsi="宋体" w:eastAsia="宋体" w:cs="宋体"/>
          <w:b/>
          <w:color w:val="000000" w:themeColor="text1"/>
          <w:sz w:val="24"/>
          <w:szCs w:val="24"/>
          <w14:textFill>
            <w14:solidFill>
              <w14:schemeClr w14:val="tx1"/>
            </w14:solidFill>
          </w14:textFill>
        </w:rPr>
        <w:t>。待区政府采购中心开启解密后，供应商进行线上解密。除因区政府采购中心断电</w:t>
      </w:r>
      <w:r>
        <w:rPr>
          <w:rFonts w:hint="eastAsia" w:ascii="宋体" w:hAnsi="宋体" w:eastAsia="宋体" w:cs="宋体"/>
          <w:b/>
          <w:sz w:val="24"/>
          <w:szCs w:val="24"/>
        </w:rPr>
        <w:t>、断网、系统故障或其他不可抗力等因素，导致系统无法使用外，供应商在规定的解密时间内，未成功解密的响应文件将视为无效响应文件。</w:t>
      </w:r>
    </w:p>
    <w:p>
      <w:pPr>
        <w:pStyle w:val="81"/>
        <w:numPr>
          <w:ilvl w:val="0"/>
          <w:numId w:val="21"/>
        </w:numPr>
        <w:tabs>
          <w:tab w:val="left" w:pos="1134"/>
        </w:tabs>
        <w:spacing w:before="120" w:after="200" w:line="400" w:lineRule="exact"/>
        <w:ind w:left="0" w:right="210" w:firstLine="567" w:firstLineChars="0"/>
        <w:rPr>
          <w:rFonts w:ascii="宋体" w:hAnsi="宋体" w:eastAsia="宋体" w:cs="宋体"/>
          <w:b/>
          <w:sz w:val="24"/>
          <w:szCs w:val="24"/>
        </w:rPr>
      </w:pPr>
      <w:r>
        <w:rPr>
          <w:rFonts w:hint="eastAsia" w:ascii="宋体" w:hAnsi="宋体" w:eastAsia="宋体" w:cs="宋体"/>
          <w:b/>
          <w:sz w:val="24"/>
          <w:szCs w:val="24"/>
        </w:rPr>
        <w:t>确认。所有供应商</w:t>
      </w:r>
      <w:r>
        <w:rPr>
          <w:rFonts w:ascii="宋体" w:hAnsi="宋体" w:eastAsia="宋体" w:cs="宋体"/>
          <w:b/>
          <w:sz w:val="24"/>
          <w:szCs w:val="24"/>
        </w:rPr>
        <w:t>响应文件</w:t>
      </w:r>
      <w:r>
        <w:rPr>
          <w:rFonts w:hint="eastAsia" w:ascii="宋体" w:hAnsi="宋体" w:eastAsia="宋体" w:cs="宋体"/>
          <w:b/>
          <w:sz w:val="24"/>
          <w:szCs w:val="24"/>
        </w:rPr>
        <w:t>均完成解密或者解密时间截止（以发生在先的时间为准），由“政府采购云平台”系统展示供应商名称、响应文件解密情况等内容。</w:t>
      </w:r>
    </w:p>
    <w:p>
      <w:pPr>
        <w:pStyle w:val="81"/>
        <w:numPr>
          <w:ilvl w:val="0"/>
          <w:numId w:val="21"/>
        </w:numPr>
        <w:tabs>
          <w:tab w:val="left" w:pos="1134"/>
        </w:tabs>
        <w:spacing w:before="120" w:after="200" w:line="400" w:lineRule="exact"/>
        <w:ind w:left="0" w:right="210" w:firstLine="567" w:firstLineChars="0"/>
        <w:rPr>
          <w:rFonts w:ascii="宋体" w:hAnsi="宋体" w:eastAsia="宋体" w:cs="宋体"/>
          <w:b/>
          <w:sz w:val="24"/>
          <w:szCs w:val="24"/>
        </w:rPr>
      </w:pPr>
      <w:r>
        <w:rPr>
          <w:rFonts w:hint="eastAsia" w:ascii="宋体" w:hAnsi="宋体" w:eastAsia="宋体" w:cs="宋体"/>
          <w:b/>
          <w:sz w:val="24"/>
          <w:szCs w:val="24"/>
        </w:rPr>
        <w:t>供应商对过程和记录有异议，以及认为采购</w:t>
      </w:r>
      <w:r>
        <w:rPr>
          <w:rFonts w:hint="eastAsia" w:ascii="宋体" w:hAnsi="宋体" w:eastAsia="宋体" w:cs="宋体"/>
          <w:b/>
          <w:color w:val="000000" w:themeColor="text1"/>
          <w:sz w:val="24"/>
          <w:szCs w:val="24"/>
          <w14:textFill>
            <w14:solidFill>
              <w14:schemeClr w14:val="tx1"/>
            </w14:solidFill>
          </w14:textFill>
        </w:rPr>
        <w:t>人、区政府采购中心相关工作人员有需要回避的情形的，及时向工作人员提出询问或者回避申请。采购人、区政府采购中心对供应商提出的询问或者</w:t>
      </w:r>
      <w:r>
        <w:rPr>
          <w:rFonts w:hint="eastAsia" w:ascii="宋体" w:hAnsi="宋体" w:eastAsia="宋体" w:cs="宋体"/>
          <w:b/>
          <w:sz w:val="24"/>
          <w:szCs w:val="24"/>
        </w:rPr>
        <w:t>回避申请应当及时处理。</w:t>
      </w:r>
    </w:p>
    <w:p>
      <w:pPr>
        <w:pStyle w:val="81"/>
        <w:numPr>
          <w:ilvl w:val="0"/>
          <w:numId w:val="21"/>
        </w:numPr>
        <w:tabs>
          <w:tab w:val="left" w:pos="1134"/>
        </w:tabs>
        <w:spacing w:before="120" w:after="200" w:line="400" w:lineRule="exact"/>
        <w:ind w:left="0" w:right="210" w:firstLine="567" w:firstLineChars="0"/>
        <w:rPr>
          <w:rFonts w:ascii="宋体" w:hAnsi="宋体" w:eastAsia="宋体" w:cs="宋体"/>
          <w:b/>
          <w:sz w:val="24"/>
          <w:szCs w:val="24"/>
        </w:rPr>
      </w:pPr>
      <w:r>
        <w:rPr>
          <w:rFonts w:hint="eastAsia" w:ascii="宋体" w:hAnsi="宋体" w:eastAsia="宋体" w:cs="宋体"/>
          <w:b/>
          <w:sz w:val="24"/>
          <w:szCs w:val="24"/>
        </w:rPr>
        <w:t>政府采购云平台运行基本环境要求：电脑应安装并顺利运行64位win7以上操作系统，谷歌浏览器；正确的CA及签章驱动等；能流畅访问互联网</w:t>
      </w:r>
      <w:r>
        <w:rPr>
          <w:rFonts w:hint="eastAsia" w:ascii="宋体" w:hAnsi="宋体" w:eastAsia="宋体" w:cs="宋体"/>
          <w:b/>
          <w:sz w:val="24"/>
          <w:szCs w:val="24"/>
          <w:lang w:eastAsia="zh-CN"/>
        </w:rPr>
        <w:t>。</w:t>
      </w:r>
    </w:p>
    <w:p>
      <w:pPr>
        <w:pStyle w:val="81"/>
        <w:numPr>
          <w:ilvl w:val="0"/>
          <w:numId w:val="21"/>
        </w:numPr>
        <w:tabs>
          <w:tab w:val="left" w:pos="1134"/>
        </w:tabs>
        <w:spacing w:before="120" w:after="200" w:line="400" w:lineRule="exact"/>
        <w:ind w:left="0" w:right="210" w:firstLine="567" w:firstLineChars="0"/>
        <w:rPr>
          <w:rFonts w:ascii="宋体" w:hAnsi="宋体" w:eastAsia="宋体" w:cs="宋体"/>
          <w:b/>
          <w:sz w:val="28"/>
          <w:szCs w:val="28"/>
        </w:rPr>
      </w:pPr>
      <w:r>
        <w:rPr>
          <w:rFonts w:hint="eastAsia" w:ascii="宋体" w:hAnsi="宋体" w:eastAsia="宋体" w:cs="宋体"/>
          <w:b/>
          <w:sz w:val="24"/>
          <w:szCs w:val="24"/>
        </w:rPr>
        <w:t>供应商电脑终端等硬件设备和软件系统配置：供应商电脑终端等硬件设备和软件系统配置应符合电子投标（含不见面开标大厅）供应商电脑终端配置要求并运行正常，供应商承担因未尽职责产生的不利后果。因</w:t>
      </w:r>
      <w:r>
        <w:rPr>
          <w:rFonts w:hint="eastAsia" w:ascii="宋体" w:hAnsi="宋体" w:eastAsia="宋体" w:cs="宋体"/>
          <w:b/>
          <w:sz w:val="24"/>
          <w:szCs w:val="24"/>
          <w:lang w:eastAsia="zh-CN"/>
        </w:rPr>
        <w:t>区政府采购</w:t>
      </w:r>
      <w:r>
        <w:rPr>
          <w:rFonts w:hint="eastAsia" w:ascii="宋体" w:hAnsi="宋体" w:eastAsia="宋体" w:cs="宋体"/>
          <w:b/>
          <w:sz w:val="24"/>
          <w:szCs w:val="24"/>
        </w:rPr>
        <w:t>中心断电、断网、系统故障或其他不可抗力等因素导致不见面开标系统无法正常运行的，磋商开启活动中止或延迟，待系统恢复正常后继续进行。</w:t>
      </w:r>
    </w:p>
    <w:p>
      <w:pPr>
        <w:pStyle w:val="81"/>
        <w:numPr>
          <w:ilvl w:val="0"/>
          <w:numId w:val="21"/>
        </w:numPr>
        <w:tabs>
          <w:tab w:val="left" w:pos="1134"/>
        </w:tabs>
        <w:spacing w:before="120" w:after="200" w:line="400" w:lineRule="exact"/>
        <w:ind w:left="0" w:right="210" w:firstLine="567" w:firstLineChars="0"/>
        <w:rPr>
          <w:rFonts w:ascii="宋体" w:hAnsi="宋体" w:eastAsia="宋体" w:cs="宋体"/>
          <w:b/>
          <w:sz w:val="24"/>
          <w:szCs w:val="24"/>
        </w:rPr>
      </w:pPr>
      <w:r>
        <w:rPr>
          <w:rFonts w:hint="eastAsia" w:ascii="宋体" w:hAnsi="宋体" w:eastAsia="宋体" w:cs="宋体"/>
          <w:b/>
          <w:sz w:val="24"/>
          <w:szCs w:val="24"/>
        </w:rPr>
        <w:t>磋商活动开启过程中，各方主体均应遵守互联网有关规定，不得发表与交易活动无关的言论。</w:t>
      </w:r>
      <w:bookmarkEnd w:id="32"/>
      <w:bookmarkEnd w:id="33"/>
    </w:p>
    <w:p>
      <w:pPr>
        <w:pStyle w:val="5"/>
        <w:tabs>
          <w:tab w:val="left" w:pos="426"/>
        </w:tabs>
        <w:spacing w:before="0" w:after="0" w:line="400" w:lineRule="exact"/>
        <w:ind w:left="0" w:firstLine="0"/>
        <w:jc w:val="both"/>
        <w:rPr>
          <w:sz w:val="24"/>
          <w:szCs w:val="24"/>
        </w:rPr>
      </w:pPr>
      <w:bookmarkStart w:id="39" w:name="_Toc494356977"/>
      <w:bookmarkEnd w:id="39"/>
      <w:bookmarkStart w:id="40" w:name="_Toc494095623"/>
      <w:bookmarkEnd w:id="40"/>
      <w:bookmarkStart w:id="41" w:name="_Toc73447468"/>
      <w:bookmarkStart w:id="42" w:name="_Toc79742124"/>
      <w:bookmarkStart w:id="43" w:name="_Toc58943329"/>
      <w:r>
        <w:rPr>
          <w:rFonts w:hint="eastAsia"/>
          <w:sz w:val="24"/>
          <w:szCs w:val="24"/>
        </w:rPr>
        <w:t>资格审查</w:t>
      </w:r>
      <w:r>
        <w:rPr>
          <w:sz w:val="24"/>
          <w:szCs w:val="24"/>
        </w:rPr>
        <w:t>和评审</w:t>
      </w:r>
      <w:bookmarkEnd w:id="41"/>
      <w:bookmarkEnd w:id="42"/>
    </w:p>
    <w:p>
      <w:pPr>
        <w:numPr>
          <w:ilvl w:val="0"/>
          <w:numId w:val="22"/>
        </w:numPr>
        <w:tabs>
          <w:tab w:val="left" w:pos="1134"/>
        </w:tabs>
        <w:spacing w:line="400" w:lineRule="exact"/>
        <w:ind w:left="0" w:firstLine="540"/>
        <w:rPr>
          <w:rFonts w:ascii="宋体" w:hAnsi="宋体"/>
          <w:sz w:val="24"/>
          <w:szCs w:val="24"/>
        </w:rPr>
      </w:pPr>
      <w:r>
        <w:rPr>
          <w:rFonts w:hint="eastAsia" w:ascii="宋体" w:hAnsi="宋体"/>
          <w:sz w:val="24"/>
          <w:szCs w:val="24"/>
        </w:rPr>
        <w:t>资格审查详见采购文件第五章。</w:t>
      </w:r>
    </w:p>
    <w:p>
      <w:pPr>
        <w:numPr>
          <w:ilvl w:val="0"/>
          <w:numId w:val="22"/>
        </w:numPr>
        <w:tabs>
          <w:tab w:val="left" w:pos="1134"/>
        </w:tabs>
        <w:spacing w:line="400" w:lineRule="exact"/>
        <w:ind w:left="0" w:firstLine="567"/>
        <w:rPr>
          <w:rFonts w:ascii="宋体" w:hAnsi="宋体"/>
          <w:sz w:val="24"/>
          <w:szCs w:val="24"/>
        </w:rPr>
      </w:pPr>
      <w:r>
        <w:rPr>
          <w:rFonts w:hint="eastAsia" w:ascii="宋体" w:hAnsi="宋体"/>
          <w:sz w:val="24"/>
          <w:szCs w:val="24"/>
        </w:rPr>
        <w:t>磋商小组的组建及其评审工作按照有关法律制度和本文件第五章的规定进行。</w:t>
      </w:r>
    </w:p>
    <w:p>
      <w:pPr>
        <w:pStyle w:val="5"/>
        <w:numPr>
          <w:ilvl w:val="1"/>
          <w:numId w:val="5"/>
        </w:numPr>
        <w:tabs>
          <w:tab w:val="left" w:pos="426"/>
          <w:tab w:val="left" w:pos="567"/>
        </w:tabs>
        <w:spacing w:before="0" w:after="200" w:line="400" w:lineRule="exact"/>
        <w:ind w:left="1985" w:hanging="1985"/>
        <w:jc w:val="both"/>
        <w:rPr>
          <w:sz w:val="24"/>
          <w:szCs w:val="24"/>
        </w:rPr>
      </w:pPr>
      <w:bookmarkStart w:id="44" w:name="_Toc79742125"/>
      <w:r>
        <w:rPr>
          <w:rFonts w:hint="eastAsia"/>
          <w:sz w:val="24"/>
          <w:szCs w:val="24"/>
        </w:rPr>
        <w:t>成交通知书</w:t>
      </w:r>
      <w:bookmarkEnd w:id="43"/>
      <w:bookmarkEnd w:id="44"/>
    </w:p>
    <w:p>
      <w:pPr>
        <w:spacing w:line="400" w:lineRule="exact"/>
        <w:ind w:right="210" w:firstLine="480" w:firstLineChars="200"/>
        <w:rPr>
          <w:rFonts w:ascii="宋体" w:hAnsi="宋体"/>
          <w:sz w:val="24"/>
          <w:szCs w:val="24"/>
        </w:rPr>
      </w:pPr>
      <w:r>
        <w:rPr>
          <w:rFonts w:hint="eastAsia" w:ascii="宋体" w:hAnsi="宋体"/>
          <w:sz w:val="24"/>
          <w:szCs w:val="24"/>
        </w:rPr>
        <w:t>一、成交通知书为采购人签订政府采购合同的依据，是合同的有效组成部分。若出现政府采购法律法规、规章制度规定的成交无效情形的，将以公告形式宣布发出的成交通知书无效，成交通知书将自动失效，并依法重新确定成交供应商或者重新开展采购活动。</w:t>
      </w:r>
    </w:p>
    <w:p>
      <w:pPr>
        <w:spacing w:line="400" w:lineRule="exact"/>
        <w:ind w:firstLine="480" w:firstLineChars="200"/>
        <w:rPr>
          <w:rFonts w:ascii="宋体" w:hAnsi="宋体"/>
          <w:sz w:val="24"/>
          <w:szCs w:val="24"/>
        </w:rPr>
      </w:pPr>
      <w:r>
        <w:rPr>
          <w:rFonts w:hint="eastAsia" w:ascii="宋体" w:hAnsi="宋体"/>
          <w:sz w:val="24"/>
          <w:szCs w:val="24"/>
        </w:rPr>
        <w:t>二、成交通知书对采购人和成交供应商均具有法律效力。</w:t>
      </w:r>
    </w:p>
    <w:p>
      <w:pPr>
        <w:spacing w:line="400" w:lineRule="exact"/>
        <w:ind w:firstLine="480" w:firstLineChars="200"/>
        <w:rPr>
          <w:sz w:val="20"/>
          <w:szCs w:val="21"/>
        </w:rPr>
      </w:pPr>
      <w:r>
        <w:rPr>
          <w:rFonts w:hint="eastAsia" w:ascii="宋体" w:hAnsi="宋体"/>
          <w:sz w:val="24"/>
          <w:szCs w:val="24"/>
          <w:lang w:val="zh-CN"/>
        </w:rPr>
        <w:t>三、</w:t>
      </w:r>
      <w:r>
        <w:rPr>
          <w:rFonts w:hint="eastAsia" w:ascii="宋体" w:hAnsi="宋体"/>
          <w:sz w:val="24"/>
          <w:szCs w:val="24"/>
        </w:rPr>
        <w:t>成交公告在四川政府采购网上公告后，成交供应商自行登录政府采购云平台下载成交通知书。</w:t>
      </w:r>
    </w:p>
    <w:p>
      <w:pPr>
        <w:pStyle w:val="5"/>
        <w:numPr>
          <w:ilvl w:val="1"/>
          <w:numId w:val="5"/>
        </w:numPr>
        <w:tabs>
          <w:tab w:val="left" w:pos="426"/>
          <w:tab w:val="left" w:pos="567"/>
        </w:tabs>
        <w:spacing w:before="0" w:after="200"/>
        <w:ind w:left="1985" w:hanging="1985"/>
        <w:jc w:val="both"/>
        <w:rPr>
          <w:sz w:val="24"/>
          <w:szCs w:val="24"/>
        </w:rPr>
      </w:pPr>
      <w:bookmarkStart w:id="45" w:name="_Toc79742126"/>
      <w:bookmarkStart w:id="46" w:name="_Toc58943330"/>
      <w:bookmarkStart w:id="47" w:name="_Toc287623650"/>
      <w:r>
        <w:rPr>
          <w:rFonts w:hint="eastAsia"/>
          <w:sz w:val="24"/>
          <w:szCs w:val="24"/>
        </w:rPr>
        <w:t>签订及履行合同和验收</w:t>
      </w:r>
      <w:bookmarkEnd w:id="45"/>
      <w:bookmarkEnd w:id="46"/>
    </w:p>
    <w:p>
      <w:pPr>
        <w:pStyle w:val="6"/>
        <w:numPr>
          <w:ilvl w:val="2"/>
          <w:numId w:val="5"/>
        </w:numPr>
        <w:spacing w:after="200" w:line="400" w:lineRule="exact"/>
        <w:ind w:left="0" w:firstLine="0"/>
        <w:rPr>
          <w:color w:val="auto"/>
          <w:sz w:val="24"/>
          <w:szCs w:val="24"/>
        </w:rPr>
      </w:pPr>
      <w:r>
        <w:rPr>
          <w:rFonts w:hint="eastAsia"/>
          <w:color w:val="auto"/>
          <w:sz w:val="24"/>
          <w:szCs w:val="24"/>
        </w:rPr>
        <w:t>签订合同</w:t>
      </w:r>
      <w:bookmarkEnd w:id="47"/>
    </w:p>
    <w:p>
      <w:pPr>
        <w:widowControl/>
        <w:numPr>
          <w:ilvl w:val="0"/>
          <w:numId w:val="23"/>
        </w:numPr>
        <w:tabs>
          <w:tab w:val="left" w:pos="1134"/>
        </w:tabs>
        <w:snapToGrid w:val="0"/>
        <w:spacing w:after="200" w:line="400" w:lineRule="exact"/>
        <w:ind w:left="0" w:firstLine="567"/>
        <w:jc w:val="left"/>
        <w:rPr>
          <w:rFonts w:ascii="宋体" w:hAnsi="宋体" w:cs="宋体"/>
          <w:sz w:val="24"/>
          <w:szCs w:val="24"/>
        </w:rPr>
      </w:pPr>
      <w:bookmarkStart w:id="48" w:name="_Toc217446069"/>
      <w:r>
        <w:rPr>
          <w:rFonts w:hint="eastAsia" w:ascii="宋体" w:hAnsi="宋体" w:cs="宋体"/>
          <w:sz w:val="24"/>
          <w:szCs w:val="24"/>
        </w:rPr>
        <w:t>疫情防控期间，采购人原则上应在成交通知书发出之日起5个工作日内与成交供应商签订采购合同。因成交供应商的原因在成交通知书发出之日起30日内逾期未与采购人签订采购合同或者成交供应商拒绝与采购人签订合同的，采购人可以按照评审报告推荐的成交候选供应商名单排序，确定下一候选供应商为成交供应商，也可以重新开展政府采购活动</w:t>
      </w:r>
      <w:r>
        <w:rPr>
          <w:rFonts w:hint="eastAsia" w:ascii="宋体" w:hAnsi="宋体"/>
          <w:sz w:val="24"/>
          <w:szCs w:val="24"/>
        </w:rPr>
        <w:t>。</w:t>
      </w:r>
    </w:p>
    <w:p>
      <w:pPr>
        <w:widowControl/>
        <w:numPr>
          <w:ilvl w:val="0"/>
          <w:numId w:val="23"/>
        </w:numPr>
        <w:tabs>
          <w:tab w:val="left" w:pos="1134"/>
        </w:tabs>
        <w:snapToGrid w:val="0"/>
        <w:spacing w:after="200" w:line="400" w:lineRule="exact"/>
        <w:ind w:left="0" w:firstLine="567"/>
        <w:jc w:val="left"/>
        <w:rPr>
          <w:rFonts w:ascii="宋体" w:hAnsi="宋体" w:cs="宋体"/>
          <w:sz w:val="24"/>
          <w:szCs w:val="24"/>
        </w:rPr>
      </w:pPr>
      <w:r>
        <w:rPr>
          <w:rFonts w:hint="eastAsia" w:ascii="宋体" w:hAnsi="宋体" w:cs="宋体"/>
          <w:sz w:val="24"/>
          <w:szCs w:val="24"/>
        </w:rPr>
        <w:t>采购人不得向成交供应商提出任何不合理的要求作为签订合同的条件，不得与成交供应商私下订立背离合同实质性内容的任何协议，所签订的合同不得对磋商文件和成交供应商响应文件作实质性修改。</w:t>
      </w:r>
    </w:p>
    <w:p>
      <w:pPr>
        <w:widowControl/>
        <w:numPr>
          <w:ilvl w:val="0"/>
          <w:numId w:val="23"/>
        </w:numPr>
        <w:tabs>
          <w:tab w:val="left" w:pos="1134"/>
        </w:tabs>
        <w:snapToGrid w:val="0"/>
        <w:spacing w:after="200" w:line="400" w:lineRule="exact"/>
        <w:ind w:left="0" w:firstLine="567"/>
        <w:jc w:val="left"/>
        <w:rPr>
          <w:rFonts w:ascii="宋体" w:hAnsi="宋体" w:cs="宋体"/>
          <w:i/>
          <w:sz w:val="24"/>
          <w:szCs w:val="24"/>
        </w:rPr>
      </w:pPr>
      <w:r>
        <w:rPr>
          <w:rFonts w:hint="eastAsia" w:ascii="宋体" w:hAnsi="宋体" w:cs="宋体"/>
          <w:sz w:val="24"/>
          <w:szCs w:val="24"/>
        </w:rPr>
        <w:t>磋商文件、响应文件、成交通知书等均成为有法律约束力的合同组成内容。</w:t>
      </w:r>
    </w:p>
    <w:p>
      <w:pPr>
        <w:widowControl/>
        <w:numPr>
          <w:ilvl w:val="0"/>
          <w:numId w:val="23"/>
        </w:numPr>
        <w:tabs>
          <w:tab w:val="left" w:pos="1134"/>
        </w:tabs>
        <w:snapToGrid w:val="0"/>
        <w:spacing w:after="200" w:line="400" w:lineRule="exact"/>
        <w:ind w:left="0" w:firstLine="567"/>
        <w:jc w:val="left"/>
        <w:rPr>
          <w:rFonts w:ascii="宋体" w:hAnsi="宋体" w:cs="宋体"/>
          <w:sz w:val="24"/>
          <w:szCs w:val="24"/>
        </w:rPr>
      </w:pPr>
      <w:r>
        <w:rPr>
          <w:rFonts w:hint="eastAsia" w:ascii="宋体" w:hAnsi="宋体"/>
          <w:sz w:val="24"/>
          <w:szCs w:val="24"/>
        </w:rPr>
        <w:t>询问或者质疑事项可能影响成交结果的，采购人应当暂停签订合同，已经签订合同的，应当中止履行合同。</w:t>
      </w:r>
    </w:p>
    <w:p>
      <w:pPr>
        <w:pStyle w:val="6"/>
        <w:numPr>
          <w:ilvl w:val="2"/>
          <w:numId w:val="5"/>
        </w:numPr>
        <w:spacing w:after="200" w:line="400" w:lineRule="exact"/>
        <w:ind w:left="0" w:firstLine="0"/>
        <w:rPr>
          <w:color w:val="auto"/>
          <w:sz w:val="24"/>
          <w:szCs w:val="24"/>
        </w:rPr>
      </w:pPr>
      <w:bookmarkStart w:id="49" w:name="_Toc217446066"/>
      <w:r>
        <w:rPr>
          <w:rFonts w:hint="eastAsia"/>
          <w:color w:val="auto"/>
          <w:sz w:val="24"/>
          <w:szCs w:val="24"/>
        </w:rPr>
        <w:t>合同分包</w:t>
      </w:r>
      <w:bookmarkEnd w:id="49"/>
      <w:r>
        <w:rPr>
          <w:rFonts w:hint="eastAsia"/>
          <w:color w:val="auto"/>
          <w:sz w:val="24"/>
          <w:szCs w:val="24"/>
        </w:rPr>
        <w:t>和转包</w:t>
      </w:r>
    </w:p>
    <w:p>
      <w:pPr>
        <w:pStyle w:val="6"/>
        <w:numPr>
          <w:ilvl w:val="3"/>
          <w:numId w:val="5"/>
        </w:numPr>
        <w:spacing w:after="200" w:line="400" w:lineRule="exact"/>
        <w:ind w:left="709"/>
        <w:rPr>
          <w:color w:val="auto"/>
          <w:sz w:val="24"/>
          <w:szCs w:val="24"/>
        </w:rPr>
      </w:pPr>
      <w:r>
        <w:rPr>
          <w:rFonts w:hint="eastAsia"/>
          <w:color w:val="auto"/>
          <w:sz w:val="24"/>
          <w:szCs w:val="24"/>
        </w:rPr>
        <w:t>合同分包</w:t>
      </w:r>
    </w:p>
    <w:p>
      <w:pPr>
        <w:spacing w:line="400" w:lineRule="exact"/>
        <w:ind w:firstLine="495"/>
        <w:rPr>
          <w:rFonts w:ascii="宋体" w:hAnsi="宋体"/>
          <w:sz w:val="24"/>
          <w:szCs w:val="24"/>
        </w:rPr>
      </w:pPr>
      <w:r>
        <w:rPr>
          <w:rFonts w:hint="eastAsia" w:ascii="宋体" w:hAnsi="宋体"/>
          <w:sz w:val="24"/>
          <w:szCs w:val="24"/>
        </w:rPr>
        <w:t>本项目</w:t>
      </w:r>
      <w:r>
        <w:rPr>
          <w:rFonts w:hint="eastAsia" w:ascii="宋体" w:hAnsi="宋体"/>
          <w:sz w:val="24"/>
          <w:szCs w:val="24"/>
          <w:highlight w:val="yellow"/>
          <w:lang w:eastAsia="zh-CN"/>
        </w:rPr>
        <w:t>不</w:t>
      </w:r>
      <w:r>
        <w:rPr>
          <w:rFonts w:hint="eastAsia" w:ascii="宋体" w:hAnsi="宋体"/>
          <w:sz w:val="24"/>
          <w:szCs w:val="24"/>
          <w:highlight w:val="yellow"/>
        </w:rPr>
        <w:t>允许</w:t>
      </w:r>
      <w:r>
        <w:rPr>
          <w:rFonts w:hint="eastAsia" w:ascii="宋体" w:hAnsi="宋体"/>
          <w:sz w:val="24"/>
          <w:szCs w:val="24"/>
        </w:rPr>
        <w:t>分包。</w:t>
      </w:r>
    </w:p>
    <w:p>
      <w:pPr>
        <w:pStyle w:val="6"/>
        <w:numPr>
          <w:ilvl w:val="3"/>
          <w:numId w:val="5"/>
        </w:numPr>
        <w:spacing w:after="200" w:line="400" w:lineRule="exact"/>
        <w:ind w:left="709"/>
        <w:rPr>
          <w:strike/>
          <w:color w:val="auto"/>
          <w:sz w:val="24"/>
          <w:szCs w:val="24"/>
        </w:rPr>
      </w:pPr>
      <w:r>
        <w:rPr>
          <w:rFonts w:hint="eastAsia"/>
          <w:color w:val="auto"/>
          <w:sz w:val="24"/>
          <w:szCs w:val="24"/>
        </w:rPr>
        <w:t>合同转包</w:t>
      </w:r>
    </w:p>
    <w:p>
      <w:pPr>
        <w:spacing w:line="400" w:lineRule="exact"/>
        <w:ind w:firstLine="480" w:firstLineChars="200"/>
        <w:rPr>
          <w:rFonts w:ascii="宋体" w:hAnsi="宋体" w:cs="宋体"/>
          <w:sz w:val="24"/>
          <w:szCs w:val="24"/>
        </w:rPr>
      </w:pPr>
      <w:r>
        <w:rPr>
          <w:rFonts w:hint="eastAsia" w:ascii="宋体" w:hAnsi="宋体"/>
          <w:sz w:val="24"/>
          <w:szCs w:val="24"/>
        </w:rPr>
        <w:t>一、严禁成交供应商将本项目转包。本项目所称转包，是指</w:t>
      </w:r>
      <w:r>
        <w:rPr>
          <w:rFonts w:hint="eastAsia" w:ascii="宋体" w:hAnsi="宋体" w:cs="宋体"/>
          <w:sz w:val="24"/>
          <w:szCs w:val="24"/>
        </w:rPr>
        <w:t>将本项目转给他人或者将本项目全部肢解以后以分包的名义分别转给他人的行为。</w:t>
      </w:r>
    </w:p>
    <w:p>
      <w:pPr>
        <w:spacing w:line="400" w:lineRule="exact"/>
        <w:ind w:firstLine="495"/>
        <w:rPr>
          <w:rFonts w:ascii="宋体" w:hAnsi="宋体"/>
          <w:sz w:val="24"/>
          <w:szCs w:val="24"/>
        </w:rPr>
      </w:pPr>
      <w:r>
        <w:rPr>
          <w:rFonts w:hint="eastAsia" w:ascii="宋体" w:hAnsi="宋体"/>
          <w:sz w:val="24"/>
          <w:szCs w:val="24"/>
        </w:rPr>
        <w:t>二、成交供应商转包的，视同拒绝履行政府采购合同，将依法追究法律责任。</w:t>
      </w:r>
    </w:p>
    <w:p>
      <w:pPr>
        <w:pStyle w:val="6"/>
        <w:numPr>
          <w:ilvl w:val="2"/>
          <w:numId w:val="5"/>
        </w:numPr>
        <w:spacing w:after="200" w:line="400" w:lineRule="exact"/>
        <w:ind w:left="0" w:firstLine="0"/>
        <w:rPr>
          <w:color w:val="auto"/>
          <w:sz w:val="24"/>
          <w:szCs w:val="24"/>
        </w:rPr>
      </w:pPr>
      <w:bookmarkStart w:id="50" w:name="_Toc217446067"/>
      <w:r>
        <w:rPr>
          <w:rFonts w:hint="eastAsia"/>
          <w:color w:val="auto"/>
          <w:sz w:val="24"/>
          <w:szCs w:val="24"/>
        </w:rPr>
        <w:t>采购人增加合同标的的权</w:t>
      </w:r>
      <w:bookmarkEnd w:id="50"/>
      <w:r>
        <w:rPr>
          <w:rFonts w:hint="eastAsia"/>
          <w:color w:val="auto"/>
          <w:sz w:val="24"/>
          <w:szCs w:val="24"/>
        </w:rPr>
        <w:t>利</w:t>
      </w:r>
    </w:p>
    <w:p>
      <w:pPr>
        <w:spacing w:line="400" w:lineRule="exact"/>
        <w:ind w:firstLine="567"/>
        <w:rPr>
          <w:rFonts w:ascii="宋体" w:hAnsi="宋体"/>
          <w:sz w:val="24"/>
          <w:szCs w:val="24"/>
        </w:rPr>
      </w:pPr>
      <w:r>
        <w:rPr>
          <w:rFonts w:hint="eastAsia" w:ascii="宋体" w:hAnsi="宋体"/>
          <w:sz w:val="24"/>
          <w:szCs w:val="24"/>
        </w:rPr>
        <w:t>采购合同履行过程中，采购人需要追加与合同标的相同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服务的名称、价格、履约方式、验收标准等必须与原政府采购合同一致。</w:t>
      </w:r>
    </w:p>
    <w:p>
      <w:pPr>
        <w:pStyle w:val="6"/>
        <w:numPr>
          <w:ilvl w:val="2"/>
          <w:numId w:val="5"/>
        </w:numPr>
        <w:spacing w:after="200" w:line="400" w:lineRule="exact"/>
        <w:ind w:left="0" w:firstLine="0"/>
        <w:rPr>
          <w:color w:val="auto"/>
          <w:sz w:val="24"/>
          <w:szCs w:val="24"/>
        </w:rPr>
      </w:pPr>
      <w:bookmarkStart w:id="51" w:name="_Toc217446068"/>
      <w:r>
        <w:rPr>
          <w:rFonts w:hint="eastAsia"/>
          <w:color w:val="auto"/>
          <w:sz w:val="24"/>
          <w:szCs w:val="24"/>
        </w:rPr>
        <w:t>履约保证金</w:t>
      </w:r>
      <w:bookmarkEnd w:id="51"/>
    </w:p>
    <w:p>
      <w:pPr>
        <w:spacing w:line="400" w:lineRule="exact"/>
        <w:ind w:firstLine="482" w:firstLineChars="200"/>
        <w:rPr>
          <w:rFonts w:ascii="宋体" w:hAnsi="宋体"/>
          <w:b/>
          <w:sz w:val="24"/>
          <w:szCs w:val="21"/>
        </w:rPr>
      </w:pPr>
      <w:r>
        <w:rPr>
          <w:rFonts w:hint="eastAsia" w:ascii="宋体" w:hAnsi="宋体"/>
          <w:b/>
          <w:sz w:val="24"/>
          <w:szCs w:val="24"/>
        </w:rPr>
        <w:t>本项目</w:t>
      </w:r>
      <w:r>
        <w:rPr>
          <w:rFonts w:hint="eastAsia" w:ascii="宋体" w:hAnsi="宋体"/>
          <w:b/>
          <w:sz w:val="24"/>
          <w:szCs w:val="24"/>
          <w:highlight w:val="yellow"/>
          <w:lang w:eastAsia="zh-CN"/>
        </w:rPr>
        <w:t>不</w:t>
      </w:r>
      <w:r>
        <w:rPr>
          <w:rFonts w:hint="eastAsia" w:ascii="宋体" w:hAnsi="宋体"/>
          <w:b/>
          <w:sz w:val="24"/>
          <w:szCs w:val="24"/>
          <w:highlight w:val="yellow"/>
        </w:rPr>
        <w:t>收取</w:t>
      </w:r>
      <w:r>
        <w:rPr>
          <w:rFonts w:hint="eastAsia" w:ascii="宋体" w:hAnsi="宋体"/>
          <w:b/>
          <w:sz w:val="24"/>
          <w:szCs w:val="24"/>
        </w:rPr>
        <w:t>履约保证金。</w:t>
      </w:r>
    </w:p>
    <w:p>
      <w:pPr>
        <w:pStyle w:val="6"/>
        <w:numPr>
          <w:ilvl w:val="2"/>
          <w:numId w:val="5"/>
        </w:numPr>
        <w:spacing w:after="200" w:line="400" w:lineRule="exact"/>
        <w:ind w:left="0" w:firstLine="0"/>
        <w:rPr>
          <w:color w:val="auto"/>
          <w:sz w:val="24"/>
          <w:szCs w:val="24"/>
        </w:rPr>
      </w:pPr>
      <w:r>
        <w:rPr>
          <w:rFonts w:hint="eastAsia"/>
          <w:color w:val="auto"/>
          <w:sz w:val="24"/>
          <w:szCs w:val="24"/>
        </w:rPr>
        <w:t>合同公告</w:t>
      </w:r>
    </w:p>
    <w:p>
      <w:pPr>
        <w:spacing w:line="400" w:lineRule="exact"/>
        <w:ind w:firstLine="480" w:firstLineChars="200"/>
        <w:rPr>
          <w:rFonts w:ascii="宋体" w:hAnsi="宋体"/>
          <w:sz w:val="24"/>
          <w:szCs w:val="24"/>
        </w:rPr>
      </w:pPr>
      <w:r>
        <w:rPr>
          <w:rFonts w:hint="eastAsia" w:ascii="宋体" w:hAnsi="宋体"/>
          <w:sz w:val="24"/>
          <w:szCs w:val="24"/>
        </w:rPr>
        <w:t>采购人应当自政府采购合同签订之日起2个工作日内，将政府采购合同在四川政府采购网公告，但政府采购合同中涉及国家秘密、商业秘密的内容除外。</w:t>
      </w:r>
    </w:p>
    <w:p>
      <w:pPr>
        <w:pStyle w:val="6"/>
        <w:numPr>
          <w:ilvl w:val="2"/>
          <w:numId w:val="5"/>
        </w:numPr>
        <w:spacing w:after="200" w:line="400" w:lineRule="exact"/>
        <w:ind w:left="0" w:firstLine="0"/>
        <w:rPr>
          <w:color w:val="auto"/>
          <w:sz w:val="24"/>
          <w:szCs w:val="24"/>
        </w:rPr>
      </w:pPr>
      <w:r>
        <w:rPr>
          <w:rFonts w:hint="eastAsia"/>
          <w:color w:val="auto"/>
          <w:sz w:val="24"/>
          <w:szCs w:val="24"/>
        </w:rPr>
        <w:t>合同备案</w:t>
      </w:r>
    </w:p>
    <w:p>
      <w:pPr>
        <w:spacing w:line="400" w:lineRule="exact"/>
        <w:ind w:firstLine="480" w:firstLineChars="200"/>
        <w:rPr>
          <w:rFonts w:ascii="宋体" w:hAnsi="宋体"/>
          <w:sz w:val="24"/>
          <w:szCs w:val="24"/>
        </w:rPr>
      </w:pPr>
      <w:r>
        <w:rPr>
          <w:rFonts w:hint="eastAsia" w:ascii="宋体" w:hAnsi="宋体"/>
          <w:sz w:val="24"/>
          <w:szCs w:val="24"/>
        </w:rPr>
        <w:t>采购人应当将政府采购合同副本自签订（双方当事人均已签字盖章）之日起七个工作日报同级财政部门备案。</w:t>
      </w:r>
    </w:p>
    <w:bookmarkEnd w:id="48"/>
    <w:p>
      <w:pPr>
        <w:pStyle w:val="6"/>
        <w:numPr>
          <w:ilvl w:val="2"/>
          <w:numId w:val="5"/>
        </w:numPr>
        <w:spacing w:after="200" w:line="400" w:lineRule="exact"/>
        <w:ind w:left="0" w:firstLine="0"/>
        <w:rPr>
          <w:color w:val="auto"/>
          <w:sz w:val="24"/>
          <w:szCs w:val="24"/>
        </w:rPr>
      </w:pPr>
      <w:bookmarkStart w:id="52" w:name="_Toc217446070"/>
      <w:r>
        <w:rPr>
          <w:rFonts w:hint="eastAsia"/>
          <w:color w:val="auto"/>
          <w:sz w:val="24"/>
          <w:szCs w:val="24"/>
        </w:rPr>
        <w:t>履行合同</w:t>
      </w:r>
    </w:p>
    <w:p>
      <w:pPr>
        <w:numPr>
          <w:ilvl w:val="0"/>
          <w:numId w:val="24"/>
        </w:numPr>
        <w:tabs>
          <w:tab w:val="left" w:pos="1134"/>
        </w:tabs>
        <w:spacing w:after="200" w:line="400" w:lineRule="exact"/>
        <w:ind w:left="0" w:firstLine="484" w:firstLineChars="202"/>
        <w:rPr>
          <w:rFonts w:ascii="宋体" w:hAnsi="宋体"/>
          <w:sz w:val="24"/>
          <w:szCs w:val="24"/>
        </w:rPr>
      </w:pPr>
      <w:r>
        <w:rPr>
          <w:rFonts w:hint="eastAsia" w:ascii="宋体" w:hAnsi="宋体"/>
          <w:sz w:val="24"/>
          <w:szCs w:val="24"/>
        </w:rPr>
        <w:t>合同一经签订，双方应严格履行合同规定的义务。</w:t>
      </w:r>
    </w:p>
    <w:p>
      <w:pPr>
        <w:numPr>
          <w:ilvl w:val="0"/>
          <w:numId w:val="24"/>
        </w:numPr>
        <w:tabs>
          <w:tab w:val="left" w:pos="1134"/>
        </w:tabs>
        <w:spacing w:after="200" w:line="400" w:lineRule="exact"/>
        <w:ind w:left="0" w:firstLine="484" w:firstLineChars="202"/>
        <w:rPr>
          <w:rFonts w:ascii="宋体" w:hAnsi="宋体"/>
          <w:sz w:val="24"/>
          <w:szCs w:val="24"/>
        </w:rPr>
      </w:pPr>
      <w:r>
        <w:rPr>
          <w:rFonts w:hint="eastAsia" w:ascii="宋体" w:hAnsi="宋体"/>
          <w:sz w:val="24"/>
          <w:szCs w:val="24"/>
        </w:rPr>
        <w:t>在合同履行过程中，如发生合同纠纷，合同双方应按照《中华人民</w:t>
      </w:r>
      <w:r>
        <w:rPr>
          <w:rFonts w:ascii="宋体" w:hAnsi="宋体"/>
          <w:sz w:val="24"/>
          <w:szCs w:val="24"/>
        </w:rPr>
        <w:t>共和国民法典</w:t>
      </w:r>
      <w:r>
        <w:rPr>
          <w:rFonts w:hint="eastAsia" w:ascii="宋体" w:hAnsi="宋体"/>
          <w:sz w:val="24"/>
          <w:szCs w:val="24"/>
        </w:rPr>
        <w:t>》及合同条款的有关规定进行处理。</w:t>
      </w:r>
    </w:p>
    <w:p>
      <w:pPr>
        <w:pStyle w:val="6"/>
        <w:numPr>
          <w:ilvl w:val="2"/>
          <w:numId w:val="5"/>
        </w:numPr>
        <w:spacing w:after="200" w:line="400" w:lineRule="exact"/>
        <w:ind w:left="0" w:firstLine="0"/>
        <w:rPr>
          <w:color w:val="auto"/>
          <w:sz w:val="24"/>
          <w:szCs w:val="24"/>
        </w:rPr>
      </w:pPr>
      <w:r>
        <w:rPr>
          <w:rFonts w:hint="eastAsia"/>
          <w:color w:val="auto"/>
          <w:sz w:val="24"/>
          <w:szCs w:val="24"/>
        </w:rPr>
        <w:t>验收</w:t>
      </w:r>
      <w:bookmarkEnd w:id="52"/>
      <w:r>
        <w:rPr>
          <w:rFonts w:hint="eastAsia"/>
          <w:color w:val="auto"/>
          <w:sz w:val="24"/>
          <w:szCs w:val="24"/>
          <w:lang w:eastAsia="zh-CN"/>
        </w:rPr>
        <w:t>考核</w:t>
      </w:r>
    </w:p>
    <w:p>
      <w:pPr>
        <w:pStyle w:val="26"/>
        <w:spacing w:line="400" w:lineRule="exact"/>
        <w:ind w:left="0" w:leftChars="0" w:firstLine="484" w:firstLineChars="202"/>
        <w:rPr>
          <w:rFonts w:ascii="宋体" w:hAnsi="宋体"/>
          <w:sz w:val="24"/>
          <w:szCs w:val="24"/>
        </w:rPr>
      </w:pPr>
      <w:r>
        <w:rPr>
          <w:rFonts w:hint="eastAsia" w:ascii="宋体" w:hAnsi="宋体"/>
          <w:sz w:val="24"/>
          <w:szCs w:val="24"/>
        </w:rPr>
        <w:t>采购人严格按照国家相关法律法规的要求组织验收或考核，采购预算金额大的采购项目、政府向社会公共提供的公共服务项目、采购人和实际使用人或者受益者分离、有质疑投诉举报的的采购项目，可以邀请国家认可的第三方检测机构或者集采机构参与履约验收工作。</w:t>
      </w:r>
    </w:p>
    <w:p>
      <w:pPr>
        <w:pStyle w:val="6"/>
        <w:numPr>
          <w:ilvl w:val="2"/>
          <w:numId w:val="5"/>
        </w:numPr>
        <w:spacing w:after="200" w:line="400" w:lineRule="exact"/>
        <w:ind w:left="0" w:firstLine="0"/>
        <w:rPr>
          <w:color w:val="auto"/>
          <w:sz w:val="24"/>
          <w:szCs w:val="24"/>
        </w:rPr>
      </w:pPr>
      <w:r>
        <w:rPr>
          <w:rFonts w:hint="eastAsia"/>
          <w:color w:val="auto"/>
          <w:sz w:val="24"/>
          <w:szCs w:val="24"/>
        </w:rPr>
        <w:t>资金支付</w:t>
      </w:r>
    </w:p>
    <w:p>
      <w:pPr>
        <w:pStyle w:val="26"/>
        <w:spacing w:line="400" w:lineRule="exact"/>
        <w:ind w:left="0" w:leftChars="0" w:firstLine="484" w:firstLineChars="202"/>
        <w:rPr>
          <w:rFonts w:ascii="宋体" w:hAnsi="宋体"/>
          <w:sz w:val="24"/>
          <w:szCs w:val="24"/>
        </w:rPr>
      </w:pPr>
      <w:r>
        <w:rPr>
          <w:rFonts w:hint="eastAsia" w:ascii="宋体" w:hAnsi="宋体"/>
          <w:sz w:val="24"/>
          <w:szCs w:val="24"/>
        </w:rPr>
        <w:t>采购人按财政部门有关规定及采购合同的约定进行支付。</w:t>
      </w:r>
    </w:p>
    <w:p>
      <w:pPr>
        <w:pStyle w:val="5"/>
        <w:numPr>
          <w:ilvl w:val="1"/>
          <w:numId w:val="5"/>
        </w:numPr>
        <w:tabs>
          <w:tab w:val="left" w:pos="426"/>
          <w:tab w:val="left" w:pos="567"/>
        </w:tabs>
        <w:spacing w:before="0" w:after="200" w:line="400" w:lineRule="exact"/>
        <w:ind w:left="1985" w:hanging="1985"/>
        <w:jc w:val="both"/>
        <w:rPr>
          <w:sz w:val="24"/>
          <w:szCs w:val="24"/>
        </w:rPr>
      </w:pPr>
      <w:bookmarkStart w:id="53" w:name="_Toc79742127"/>
      <w:bookmarkStart w:id="54" w:name="_Toc58943331"/>
      <w:r>
        <w:rPr>
          <w:rFonts w:hint="eastAsia"/>
          <w:sz w:val="24"/>
          <w:szCs w:val="24"/>
        </w:rPr>
        <w:t>竞争性磋商工作纪律及要求</w:t>
      </w:r>
      <w:bookmarkEnd w:id="53"/>
      <w:bookmarkEnd w:id="54"/>
    </w:p>
    <w:p>
      <w:pPr>
        <w:pStyle w:val="6"/>
        <w:numPr>
          <w:ilvl w:val="2"/>
          <w:numId w:val="5"/>
        </w:numPr>
        <w:spacing w:after="200" w:line="400" w:lineRule="exact"/>
        <w:ind w:left="0" w:firstLine="0"/>
        <w:rPr>
          <w:color w:val="auto"/>
          <w:sz w:val="24"/>
          <w:szCs w:val="24"/>
        </w:rPr>
      </w:pPr>
      <w:bookmarkStart w:id="55" w:name="_Toc217446075"/>
      <w:r>
        <w:rPr>
          <w:rFonts w:hint="eastAsia"/>
          <w:color w:val="auto"/>
          <w:sz w:val="24"/>
          <w:szCs w:val="24"/>
        </w:rPr>
        <w:t>供应商不得具有的情形</w:t>
      </w:r>
      <w:bookmarkEnd w:id="55"/>
    </w:p>
    <w:p>
      <w:pPr>
        <w:pStyle w:val="14"/>
        <w:spacing w:line="400" w:lineRule="exact"/>
        <w:ind w:firstLine="560"/>
        <w:rPr>
          <w:rFonts w:ascii="宋体" w:hAnsi="宋体"/>
          <w:sz w:val="24"/>
          <w:szCs w:val="24"/>
        </w:rPr>
      </w:pPr>
      <w:r>
        <w:rPr>
          <w:rFonts w:hint="eastAsia" w:ascii="宋体" w:hAnsi="宋体"/>
          <w:sz w:val="24"/>
          <w:szCs w:val="24"/>
        </w:rPr>
        <w:t>供应商参加本项目采购不得有下列情形：</w:t>
      </w:r>
    </w:p>
    <w:p>
      <w:pPr>
        <w:numPr>
          <w:ilvl w:val="1"/>
          <w:numId w:val="25"/>
        </w:numPr>
        <w:tabs>
          <w:tab w:val="left" w:pos="1134"/>
        </w:tabs>
        <w:spacing w:after="200" w:line="400" w:lineRule="exact"/>
        <w:ind w:left="0" w:firstLine="567"/>
        <w:rPr>
          <w:rFonts w:ascii="宋体" w:hAnsi="宋体"/>
          <w:sz w:val="24"/>
          <w:szCs w:val="24"/>
        </w:rPr>
      </w:pPr>
      <w:r>
        <w:rPr>
          <w:rFonts w:hint="eastAsia" w:ascii="宋体" w:hAnsi="宋体"/>
          <w:sz w:val="24"/>
          <w:szCs w:val="24"/>
        </w:rPr>
        <w:t>有下列情形之一的，视为供应商串通参加本次竞争性磋商采购活动：</w:t>
      </w:r>
    </w:p>
    <w:p>
      <w:pPr>
        <w:tabs>
          <w:tab w:val="left" w:pos="1134"/>
        </w:tabs>
        <w:spacing w:line="400" w:lineRule="exact"/>
        <w:ind w:left="538"/>
        <w:rPr>
          <w:rFonts w:ascii="宋体" w:hAnsi="宋体"/>
          <w:sz w:val="24"/>
          <w:szCs w:val="24"/>
        </w:rPr>
      </w:pPr>
      <w:r>
        <w:rPr>
          <w:rFonts w:hint="eastAsia" w:ascii="宋体" w:hAnsi="宋体"/>
          <w:sz w:val="24"/>
          <w:szCs w:val="24"/>
        </w:rPr>
        <w:t>（一）不同供应商的响应文件由同一单位或者个人编制；</w:t>
      </w:r>
    </w:p>
    <w:p>
      <w:pPr>
        <w:tabs>
          <w:tab w:val="left" w:pos="1134"/>
        </w:tabs>
        <w:spacing w:line="400" w:lineRule="exact"/>
        <w:ind w:left="538"/>
        <w:rPr>
          <w:rFonts w:ascii="宋体" w:hAnsi="宋体"/>
          <w:sz w:val="24"/>
          <w:szCs w:val="24"/>
        </w:rPr>
      </w:pPr>
      <w:r>
        <w:rPr>
          <w:rFonts w:hint="eastAsia" w:ascii="宋体" w:hAnsi="宋体"/>
          <w:sz w:val="24"/>
          <w:szCs w:val="24"/>
        </w:rPr>
        <w:t>（二）不同供应商委托同一单位或者个人办理磋商事宜；</w:t>
      </w:r>
    </w:p>
    <w:p>
      <w:pPr>
        <w:tabs>
          <w:tab w:val="left" w:pos="1134"/>
        </w:tabs>
        <w:spacing w:line="400" w:lineRule="exact"/>
        <w:ind w:firstLine="460" w:firstLineChars="192"/>
        <w:rPr>
          <w:rFonts w:ascii="宋体" w:hAnsi="宋体"/>
          <w:sz w:val="24"/>
          <w:szCs w:val="24"/>
        </w:rPr>
      </w:pPr>
      <w:r>
        <w:rPr>
          <w:rFonts w:hint="eastAsia" w:ascii="宋体" w:hAnsi="宋体"/>
          <w:sz w:val="24"/>
          <w:szCs w:val="24"/>
        </w:rPr>
        <w:t>（三）不同供应商的响应文件载明的项目管理成员或者联系人员为同一人；</w:t>
      </w:r>
    </w:p>
    <w:p>
      <w:pPr>
        <w:tabs>
          <w:tab w:val="left" w:pos="1134"/>
        </w:tabs>
        <w:spacing w:line="400" w:lineRule="exact"/>
        <w:ind w:left="538"/>
        <w:rPr>
          <w:rFonts w:ascii="宋体" w:hAnsi="宋体"/>
          <w:sz w:val="24"/>
          <w:szCs w:val="24"/>
        </w:rPr>
      </w:pPr>
      <w:r>
        <w:rPr>
          <w:rFonts w:hint="eastAsia" w:ascii="宋体" w:hAnsi="宋体"/>
          <w:sz w:val="24"/>
          <w:szCs w:val="24"/>
        </w:rPr>
        <w:t>（四）不同供应商的响应文件异常一致或者最后报价呈规律性差异；</w:t>
      </w:r>
    </w:p>
    <w:p>
      <w:pPr>
        <w:tabs>
          <w:tab w:val="left" w:pos="1134"/>
        </w:tabs>
        <w:spacing w:line="400" w:lineRule="exact"/>
        <w:ind w:left="538"/>
        <w:rPr>
          <w:rFonts w:ascii="宋体" w:hAnsi="宋体"/>
          <w:sz w:val="24"/>
          <w:szCs w:val="24"/>
        </w:rPr>
      </w:pPr>
      <w:r>
        <w:rPr>
          <w:rFonts w:hint="eastAsia" w:ascii="宋体" w:hAnsi="宋体"/>
          <w:sz w:val="24"/>
          <w:szCs w:val="24"/>
        </w:rPr>
        <w:t>（五）不同供应商的响应文件相互混装；</w:t>
      </w:r>
    </w:p>
    <w:p>
      <w:pPr>
        <w:numPr>
          <w:ilvl w:val="1"/>
          <w:numId w:val="25"/>
        </w:numPr>
        <w:tabs>
          <w:tab w:val="left" w:pos="1134"/>
        </w:tabs>
        <w:spacing w:after="200" w:line="400" w:lineRule="exact"/>
        <w:ind w:left="0" w:firstLine="567"/>
        <w:rPr>
          <w:rFonts w:ascii="宋体" w:hAnsi="宋体"/>
          <w:sz w:val="24"/>
          <w:szCs w:val="24"/>
        </w:rPr>
      </w:pPr>
      <w:r>
        <w:rPr>
          <w:rFonts w:hint="eastAsia" w:ascii="宋体" w:hAnsi="宋体"/>
          <w:sz w:val="24"/>
          <w:szCs w:val="24"/>
        </w:rPr>
        <w:t>提供虚假材料谋取成交；</w:t>
      </w:r>
    </w:p>
    <w:p>
      <w:pPr>
        <w:numPr>
          <w:ilvl w:val="1"/>
          <w:numId w:val="25"/>
        </w:numPr>
        <w:tabs>
          <w:tab w:val="left" w:pos="1134"/>
        </w:tabs>
        <w:spacing w:after="200" w:line="400" w:lineRule="exact"/>
        <w:ind w:left="0" w:firstLine="567"/>
        <w:rPr>
          <w:rFonts w:ascii="宋体" w:hAnsi="宋体"/>
          <w:sz w:val="24"/>
          <w:szCs w:val="24"/>
        </w:rPr>
      </w:pPr>
      <w:r>
        <w:rPr>
          <w:rFonts w:hint="eastAsia" w:ascii="宋体" w:hAnsi="宋体"/>
          <w:sz w:val="24"/>
          <w:szCs w:val="24"/>
        </w:rPr>
        <w:t>采取不正当手段诋毁、排挤其他供应商；</w:t>
      </w:r>
    </w:p>
    <w:p>
      <w:pPr>
        <w:numPr>
          <w:ilvl w:val="1"/>
          <w:numId w:val="25"/>
        </w:numPr>
        <w:tabs>
          <w:tab w:val="left" w:pos="1134"/>
        </w:tabs>
        <w:spacing w:after="200" w:line="400" w:lineRule="exact"/>
        <w:ind w:left="0" w:firstLine="567"/>
        <w:rPr>
          <w:rFonts w:ascii="宋体" w:hAnsi="宋体"/>
          <w:color w:val="000000" w:themeColor="text1"/>
          <w:sz w:val="24"/>
          <w:szCs w:val="24"/>
          <w14:textFill>
            <w14:solidFill>
              <w14:schemeClr w14:val="tx1"/>
            </w14:solidFill>
          </w14:textFill>
        </w:rPr>
      </w:pPr>
      <w:r>
        <w:rPr>
          <w:rFonts w:hint="eastAsia" w:ascii="宋体" w:hAnsi="宋体"/>
          <w:sz w:val="24"/>
          <w:szCs w:val="24"/>
        </w:rPr>
        <w:t>与采购</w:t>
      </w:r>
      <w:r>
        <w:rPr>
          <w:rFonts w:hint="eastAsia" w:ascii="宋体" w:hAnsi="宋体"/>
          <w:color w:val="000000" w:themeColor="text1"/>
          <w:sz w:val="24"/>
          <w:szCs w:val="24"/>
          <w14:textFill>
            <w14:solidFill>
              <w14:schemeClr w14:val="tx1"/>
            </w14:solidFill>
          </w14:textFill>
        </w:rPr>
        <w:t>人或区政府采购中心、其他供应商恶意串通；</w:t>
      </w:r>
    </w:p>
    <w:p>
      <w:pPr>
        <w:numPr>
          <w:ilvl w:val="1"/>
          <w:numId w:val="25"/>
        </w:numPr>
        <w:tabs>
          <w:tab w:val="left" w:pos="1134"/>
        </w:tabs>
        <w:spacing w:after="200" w:line="400" w:lineRule="exact"/>
        <w:ind w:left="0" w:firstLine="567"/>
        <w:rPr>
          <w:rFonts w:ascii="宋体" w:hAnsi="宋体"/>
          <w:sz w:val="24"/>
          <w:szCs w:val="24"/>
        </w:rPr>
      </w:pPr>
      <w:r>
        <w:rPr>
          <w:rFonts w:hint="eastAsia" w:ascii="宋体" w:hAnsi="宋体"/>
          <w:color w:val="000000" w:themeColor="text1"/>
          <w:sz w:val="24"/>
          <w:szCs w:val="24"/>
          <w14:textFill>
            <w14:solidFill>
              <w14:schemeClr w14:val="tx1"/>
            </w14:solidFill>
          </w14:textFill>
        </w:rPr>
        <w:t>向采购人或区政府采购中心、磋商小组</w:t>
      </w:r>
      <w:r>
        <w:rPr>
          <w:rFonts w:hint="eastAsia" w:ascii="宋体" w:hAnsi="宋体"/>
          <w:sz w:val="24"/>
          <w:szCs w:val="24"/>
        </w:rPr>
        <w:t>成员行贿或者提供其他不正当利益；</w:t>
      </w:r>
    </w:p>
    <w:p>
      <w:pPr>
        <w:numPr>
          <w:ilvl w:val="1"/>
          <w:numId w:val="25"/>
        </w:numPr>
        <w:tabs>
          <w:tab w:val="left" w:pos="1134"/>
        </w:tabs>
        <w:spacing w:after="200" w:line="400" w:lineRule="exact"/>
        <w:ind w:left="0" w:firstLine="567"/>
        <w:rPr>
          <w:rFonts w:ascii="宋体" w:hAnsi="宋体"/>
          <w:sz w:val="24"/>
          <w:szCs w:val="24"/>
        </w:rPr>
      </w:pPr>
      <w:r>
        <w:rPr>
          <w:rFonts w:hint="eastAsia" w:ascii="宋体" w:hAnsi="宋体"/>
          <w:sz w:val="24"/>
          <w:szCs w:val="24"/>
        </w:rPr>
        <w:t>成交后无正当理由拒不与采购人签订政府采购合同；</w:t>
      </w:r>
    </w:p>
    <w:p>
      <w:pPr>
        <w:numPr>
          <w:ilvl w:val="1"/>
          <w:numId w:val="25"/>
        </w:numPr>
        <w:tabs>
          <w:tab w:val="left" w:pos="1134"/>
        </w:tabs>
        <w:spacing w:after="200" w:line="400" w:lineRule="exact"/>
        <w:ind w:left="0" w:firstLine="567"/>
        <w:rPr>
          <w:rFonts w:ascii="宋体" w:hAnsi="宋体"/>
          <w:sz w:val="24"/>
          <w:szCs w:val="24"/>
        </w:rPr>
      </w:pPr>
      <w:r>
        <w:rPr>
          <w:rFonts w:hint="eastAsia" w:ascii="宋体" w:hAnsi="宋体"/>
          <w:sz w:val="24"/>
          <w:szCs w:val="24"/>
        </w:rPr>
        <w:t>未按照采购文件确定的事项签订政府采购合同；</w:t>
      </w:r>
    </w:p>
    <w:p>
      <w:pPr>
        <w:numPr>
          <w:ilvl w:val="1"/>
          <w:numId w:val="25"/>
        </w:numPr>
        <w:tabs>
          <w:tab w:val="left" w:pos="1134"/>
        </w:tabs>
        <w:spacing w:after="200" w:line="400" w:lineRule="exact"/>
        <w:ind w:left="0" w:firstLine="567"/>
        <w:rPr>
          <w:rFonts w:ascii="宋体" w:hAnsi="宋体"/>
          <w:sz w:val="24"/>
          <w:szCs w:val="24"/>
        </w:rPr>
      </w:pPr>
      <w:r>
        <w:rPr>
          <w:rFonts w:hint="eastAsia" w:ascii="宋体" w:hAnsi="宋体"/>
          <w:sz w:val="24"/>
          <w:szCs w:val="24"/>
        </w:rPr>
        <w:t>将政府采购合同转包或者违规分包；</w:t>
      </w:r>
    </w:p>
    <w:p>
      <w:pPr>
        <w:numPr>
          <w:ilvl w:val="255"/>
          <w:numId w:val="0"/>
        </w:numPr>
        <w:tabs>
          <w:tab w:val="left" w:pos="1134"/>
        </w:tabs>
        <w:spacing w:after="200" w:line="400" w:lineRule="exact"/>
        <w:ind w:left="567"/>
        <w:rPr>
          <w:rFonts w:ascii="宋体" w:hAnsi="宋体"/>
          <w:sz w:val="24"/>
          <w:szCs w:val="24"/>
        </w:rPr>
      </w:pPr>
      <w:r>
        <w:rPr>
          <w:rFonts w:hint="eastAsia" w:ascii="宋体" w:hAnsi="宋体"/>
          <w:sz w:val="24"/>
          <w:szCs w:val="24"/>
        </w:rPr>
        <w:t>九、擅自变更、中止或者终止政府采购合同；</w:t>
      </w:r>
    </w:p>
    <w:p>
      <w:pPr>
        <w:numPr>
          <w:ilvl w:val="255"/>
          <w:numId w:val="0"/>
        </w:numPr>
        <w:tabs>
          <w:tab w:val="left" w:pos="1134"/>
          <w:tab w:val="left" w:pos="1418"/>
        </w:tabs>
        <w:spacing w:after="200" w:line="400" w:lineRule="exact"/>
        <w:ind w:left="567"/>
        <w:rPr>
          <w:rFonts w:ascii="宋体" w:hAnsi="宋体"/>
          <w:sz w:val="24"/>
          <w:szCs w:val="24"/>
        </w:rPr>
      </w:pPr>
      <w:r>
        <w:rPr>
          <w:rFonts w:hint="eastAsia" w:ascii="宋体" w:hAnsi="宋体"/>
          <w:sz w:val="24"/>
          <w:szCs w:val="24"/>
        </w:rPr>
        <w:t>十、拒绝有关部门的监督检查或者向监督检查部门提供虚假情况；</w:t>
      </w:r>
    </w:p>
    <w:p>
      <w:pPr>
        <w:numPr>
          <w:ilvl w:val="255"/>
          <w:numId w:val="0"/>
        </w:numPr>
        <w:tabs>
          <w:tab w:val="left" w:pos="1134"/>
          <w:tab w:val="left" w:pos="1418"/>
        </w:tabs>
        <w:spacing w:after="200" w:line="400" w:lineRule="exact"/>
        <w:ind w:left="567"/>
        <w:rPr>
          <w:rFonts w:ascii="宋体" w:hAnsi="宋体"/>
          <w:sz w:val="24"/>
          <w:szCs w:val="24"/>
        </w:rPr>
      </w:pPr>
      <w:r>
        <w:rPr>
          <w:rFonts w:hint="eastAsia" w:ascii="宋体" w:hAnsi="宋体"/>
          <w:sz w:val="24"/>
          <w:szCs w:val="24"/>
        </w:rPr>
        <w:t>十一、法律法规规定的其他禁止情形。</w:t>
      </w:r>
    </w:p>
    <w:p>
      <w:pPr>
        <w:pStyle w:val="14"/>
        <w:spacing w:line="400" w:lineRule="exact"/>
        <w:ind w:firstLine="487" w:firstLineChars="202"/>
        <w:rPr>
          <w:rFonts w:ascii="宋体" w:hAnsi="宋体" w:eastAsia="宋体"/>
          <w:sz w:val="24"/>
          <w:szCs w:val="24"/>
        </w:rPr>
      </w:pPr>
      <w:r>
        <w:rPr>
          <w:rFonts w:hint="eastAsia" w:ascii="宋体" w:hAnsi="宋体" w:eastAsia="宋体"/>
          <w:b/>
          <w:sz w:val="24"/>
          <w:szCs w:val="24"/>
        </w:rPr>
        <w:t>供应商有上述情形的，按照规定追究法律责任，</w:t>
      </w:r>
      <w:r>
        <w:rPr>
          <w:rFonts w:ascii="宋体" w:hAnsi="宋体" w:eastAsia="宋体"/>
          <w:b/>
          <w:sz w:val="24"/>
          <w:szCs w:val="24"/>
        </w:rPr>
        <w:t>具备上</w:t>
      </w:r>
      <w:r>
        <w:rPr>
          <w:rFonts w:hint="eastAsia" w:ascii="宋体" w:hAnsi="宋体" w:eastAsia="宋体"/>
          <w:b/>
          <w:sz w:val="24"/>
          <w:szCs w:val="24"/>
        </w:rPr>
        <w:t>述</w:t>
      </w:r>
      <w:r>
        <w:rPr>
          <w:rFonts w:ascii="宋体" w:hAnsi="宋体" w:eastAsia="宋体"/>
          <w:b/>
          <w:sz w:val="24"/>
          <w:szCs w:val="24"/>
        </w:rPr>
        <w:t>“</w:t>
      </w:r>
      <w:r>
        <w:rPr>
          <w:rFonts w:hint="eastAsia" w:ascii="宋体" w:hAnsi="宋体" w:eastAsia="宋体"/>
          <w:b/>
          <w:sz w:val="24"/>
          <w:szCs w:val="24"/>
        </w:rPr>
        <w:t>一</w:t>
      </w:r>
      <w:r>
        <w:rPr>
          <w:rFonts w:ascii="宋体" w:hAnsi="宋体" w:eastAsia="宋体"/>
          <w:b/>
          <w:sz w:val="24"/>
          <w:szCs w:val="24"/>
        </w:rPr>
        <w:t>”</w:t>
      </w:r>
      <w:r>
        <w:rPr>
          <w:rFonts w:hint="eastAsia" w:ascii="宋体" w:hAnsi="宋体" w:eastAsia="宋体"/>
          <w:b/>
          <w:sz w:val="24"/>
          <w:szCs w:val="24"/>
        </w:rPr>
        <w:t>至</w:t>
      </w:r>
      <w:r>
        <w:rPr>
          <w:rFonts w:ascii="宋体" w:hAnsi="宋体" w:eastAsia="宋体"/>
          <w:b/>
          <w:sz w:val="24"/>
          <w:szCs w:val="24"/>
        </w:rPr>
        <w:t>“</w:t>
      </w:r>
      <w:r>
        <w:rPr>
          <w:rFonts w:hint="eastAsia" w:ascii="宋体" w:hAnsi="宋体" w:eastAsia="宋体"/>
          <w:b/>
          <w:sz w:val="24"/>
          <w:szCs w:val="24"/>
        </w:rPr>
        <w:t>九</w:t>
      </w:r>
      <w:r>
        <w:rPr>
          <w:rFonts w:ascii="宋体" w:hAnsi="宋体" w:eastAsia="宋体"/>
          <w:b/>
          <w:sz w:val="24"/>
          <w:szCs w:val="24"/>
        </w:rPr>
        <w:t>”</w:t>
      </w:r>
      <w:r>
        <w:rPr>
          <w:rFonts w:hint="eastAsia" w:ascii="宋体" w:hAnsi="宋体" w:eastAsia="宋体"/>
          <w:b/>
          <w:sz w:val="24"/>
          <w:szCs w:val="24"/>
        </w:rPr>
        <w:t>条</w:t>
      </w:r>
      <w:r>
        <w:rPr>
          <w:rFonts w:ascii="宋体" w:hAnsi="宋体" w:eastAsia="宋体"/>
          <w:b/>
          <w:sz w:val="24"/>
          <w:szCs w:val="24"/>
        </w:rPr>
        <w:t>情形之一的，其响应文件无效，</w:t>
      </w:r>
      <w:r>
        <w:rPr>
          <w:rFonts w:hint="eastAsia" w:ascii="宋体" w:hAnsi="宋体" w:eastAsia="宋体"/>
          <w:b/>
          <w:sz w:val="24"/>
          <w:szCs w:val="24"/>
        </w:rPr>
        <w:t>或</w:t>
      </w:r>
      <w:r>
        <w:rPr>
          <w:rFonts w:ascii="宋体" w:hAnsi="宋体" w:eastAsia="宋体"/>
          <w:b/>
          <w:sz w:val="24"/>
          <w:szCs w:val="24"/>
        </w:rPr>
        <w:t>取消被</w:t>
      </w:r>
      <w:r>
        <w:rPr>
          <w:rFonts w:hint="eastAsia" w:ascii="宋体" w:hAnsi="宋体" w:eastAsia="宋体"/>
          <w:b/>
          <w:sz w:val="24"/>
          <w:szCs w:val="24"/>
        </w:rPr>
        <w:t>确认为</w:t>
      </w:r>
      <w:r>
        <w:rPr>
          <w:rFonts w:ascii="宋体" w:hAnsi="宋体" w:eastAsia="宋体"/>
          <w:b/>
          <w:sz w:val="24"/>
          <w:szCs w:val="24"/>
        </w:rPr>
        <w:t>成交供应商的资格或认定成交无效。</w:t>
      </w:r>
    </w:p>
    <w:p>
      <w:pPr>
        <w:pStyle w:val="6"/>
        <w:numPr>
          <w:ilvl w:val="2"/>
          <w:numId w:val="5"/>
        </w:numPr>
        <w:spacing w:after="200" w:line="400" w:lineRule="exact"/>
        <w:ind w:left="0" w:firstLine="0"/>
        <w:rPr>
          <w:color w:val="auto"/>
          <w:sz w:val="24"/>
          <w:szCs w:val="24"/>
        </w:rPr>
      </w:pPr>
      <w:r>
        <w:rPr>
          <w:rFonts w:hint="eastAsia"/>
          <w:color w:val="auto"/>
          <w:sz w:val="24"/>
          <w:szCs w:val="24"/>
        </w:rPr>
        <w:t>回避</w:t>
      </w:r>
    </w:p>
    <w:p>
      <w:pPr>
        <w:pStyle w:val="39"/>
        <w:shd w:val="clear" w:color="auto" w:fill="FFFFFF"/>
        <w:spacing w:before="0" w:beforeAutospacing="0" w:after="0" w:afterAutospacing="0" w:line="400" w:lineRule="exact"/>
        <w:ind w:firstLine="484" w:firstLineChars="202"/>
        <w:jc w:val="both"/>
        <w:rPr>
          <w:rFonts w:cs="Helvetica"/>
          <w:color w:val="auto"/>
          <w:sz w:val="24"/>
          <w:szCs w:val="24"/>
        </w:rPr>
      </w:pPr>
      <w:r>
        <w:rPr>
          <w:rFonts w:hint="eastAsia" w:cs="Helvetica"/>
          <w:color w:val="auto"/>
          <w:sz w:val="24"/>
          <w:szCs w:val="24"/>
        </w:rPr>
        <w:t>在政府采购活动中，采购人员（</w:t>
      </w:r>
      <w:r>
        <w:rPr>
          <w:rFonts w:hint="eastAsia"/>
          <w:color w:val="auto"/>
          <w:sz w:val="24"/>
          <w:szCs w:val="24"/>
        </w:rPr>
        <w:t>如采购人内部负责采购项目的具体经办工作人员和直接分管采购项目的负责人，以及采购代理机构负责采购项目的具体经办工作人员和直接分管采购活动的负责人</w:t>
      </w:r>
      <w:r>
        <w:rPr>
          <w:rFonts w:hint="eastAsia" w:cs="Helvetica"/>
          <w:color w:val="auto"/>
          <w:sz w:val="24"/>
          <w:szCs w:val="24"/>
        </w:rPr>
        <w:t>）及相关人员（如</w:t>
      </w:r>
      <w:r>
        <w:rPr>
          <w:rFonts w:cs="Helvetica"/>
          <w:color w:val="auto"/>
          <w:sz w:val="24"/>
          <w:szCs w:val="24"/>
        </w:rPr>
        <w:t>磋商小组组成人员</w:t>
      </w:r>
      <w:r>
        <w:rPr>
          <w:rFonts w:hint="eastAsia" w:cs="Helvetica"/>
          <w:color w:val="auto"/>
          <w:sz w:val="24"/>
          <w:szCs w:val="24"/>
        </w:rPr>
        <w:t>）与供应商有下列利害关系之一的，应当回避：</w:t>
      </w:r>
    </w:p>
    <w:p>
      <w:pPr>
        <w:pStyle w:val="39"/>
        <w:shd w:val="clear" w:color="auto" w:fill="FFFFFF"/>
        <w:spacing w:before="0" w:beforeAutospacing="0" w:after="0" w:afterAutospacing="0" w:line="400" w:lineRule="exact"/>
        <w:ind w:firstLine="480" w:firstLineChars="200"/>
        <w:rPr>
          <w:rFonts w:cs="Helvetica"/>
          <w:color w:val="auto"/>
          <w:sz w:val="24"/>
          <w:szCs w:val="24"/>
        </w:rPr>
      </w:pPr>
      <w:r>
        <w:rPr>
          <w:rFonts w:hint="eastAsia" w:cs="Helvetica"/>
          <w:color w:val="auto"/>
          <w:sz w:val="24"/>
          <w:szCs w:val="24"/>
        </w:rPr>
        <w:t>（一）参加采购活动前3年内与供应商存在劳动关系；</w:t>
      </w:r>
    </w:p>
    <w:p>
      <w:pPr>
        <w:pStyle w:val="39"/>
        <w:shd w:val="clear" w:color="auto" w:fill="FFFFFF"/>
        <w:spacing w:before="0" w:beforeAutospacing="0" w:after="0" w:afterAutospacing="0" w:line="400" w:lineRule="exact"/>
        <w:rPr>
          <w:rFonts w:cs="Helvetica"/>
          <w:color w:val="auto"/>
          <w:sz w:val="24"/>
          <w:szCs w:val="24"/>
        </w:rPr>
      </w:pPr>
      <w:r>
        <w:rPr>
          <w:rFonts w:hint="eastAsia" w:cs="Helvetica"/>
          <w:color w:val="auto"/>
          <w:sz w:val="24"/>
          <w:szCs w:val="24"/>
        </w:rPr>
        <w:t>　　（二）参加采购活动前3年内担任供应商的董事、监事；</w:t>
      </w:r>
    </w:p>
    <w:p>
      <w:pPr>
        <w:pStyle w:val="39"/>
        <w:shd w:val="clear" w:color="auto" w:fill="FFFFFF"/>
        <w:spacing w:before="0" w:beforeAutospacing="0" w:after="0" w:afterAutospacing="0" w:line="400" w:lineRule="exact"/>
        <w:rPr>
          <w:rFonts w:cs="Helvetica"/>
          <w:color w:val="auto"/>
          <w:sz w:val="24"/>
          <w:szCs w:val="24"/>
        </w:rPr>
      </w:pPr>
      <w:r>
        <w:rPr>
          <w:rFonts w:hint="eastAsia" w:cs="Helvetica"/>
          <w:color w:val="auto"/>
          <w:sz w:val="24"/>
          <w:szCs w:val="24"/>
        </w:rPr>
        <w:t>　　（三）参加采购活动前3年内是供应商的控股股东或者实际控制人；</w:t>
      </w:r>
    </w:p>
    <w:p>
      <w:pPr>
        <w:pStyle w:val="39"/>
        <w:shd w:val="clear" w:color="auto" w:fill="FFFFFF"/>
        <w:spacing w:before="0" w:beforeAutospacing="0" w:after="0" w:afterAutospacing="0" w:line="400" w:lineRule="exact"/>
        <w:rPr>
          <w:rFonts w:cs="Helvetica"/>
          <w:color w:val="auto"/>
          <w:sz w:val="24"/>
          <w:szCs w:val="24"/>
        </w:rPr>
      </w:pPr>
      <w:r>
        <w:rPr>
          <w:rFonts w:hint="eastAsia" w:cs="Helvetica"/>
          <w:color w:val="auto"/>
          <w:sz w:val="24"/>
          <w:szCs w:val="24"/>
        </w:rPr>
        <w:t>　　（四）与供应商的法定代表人或者负责人有夫妻、直系血亲、三代以内旁系血亲或者近姻亲关系；</w:t>
      </w:r>
    </w:p>
    <w:p>
      <w:pPr>
        <w:pStyle w:val="39"/>
        <w:shd w:val="clear" w:color="auto" w:fill="FFFFFF"/>
        <w:spacing w:before="0" w:beforeAutospacing="0" w:after="0" w:afterAutospacing="0" w:line="400" w:lineRule="exact"/>
        <w:rPr>
          <w:rFonts w:cs="Helvetica"/>
          <w:color w:val="auto"/>
          <w:sz w:val="24"/>
          <w:szCs w:val="24"/>
        </w:rPr>
      </w:pPr>
      <w:r>
        <w:rPr>
          <w:rFonts w:hint="eastAsia" w:cs="Helvetica"/>
          <w:color w:val="auto"/>
          <w:sz w:val="24"/>
          <w:szCs w:val="24"/>
        </w:rPr>
        <w:t>　　（五）与供应商有其他可能影响政府采购活动公平、公正进行的关系。</w:t>
      </w:r>
    </w:p>
    <w:p>
      <w:pPr>
        <w:spacing w:line="400" w:lineRule="exact"/>
        <w:ind w:firstLine="480" w:firstLineChars="200"/>
        <w:rPr>
          <w:rFonts w:cs="Helvetica"/>
          <w:sz w:val="24"/>
          <w:szCs w:val="24"/>
        </w:rPr>
      </w:pPr>
      <w:r>
        <w:rPr>
          <w:rFonts w:hint="eastAsia" w:cs="Helvetica"/>
          <w:sz w:val="24"/>
          <w:szCs w:val="24"/>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5"/>
        <w:numPr>
          <w:ilvl w:val="1"/>
          <w:numId w:val="5"/>
        </w:numPr>
        <w:tabs>
          <w:tab w:val="left" w:pos="426"/>
          <w:tab w:val="left" w:pos="567"/>
        </w:tabs>
        <w:spacing w:before="0" w:after="200" w:line="400" w:lineRule="exact"/>
        <w:ind w:left="1985" w:hanging="1985"/>
        <w:jc w:val="both"/>
        <w:rPr>
          <w:sz w:val="24"/>
          <w:szCs w:val="24"/>
        </w:rPr>
      </w:pPr>
      <w:bookmarkStart w:id="56" w:name="_Toc405886181"/>
      <w:bookmarkStart w:id="57" w:name="_Toc58943332"/>
      <w:bookmarkStart w:id="58" w:name="_Toc79742128"/>
      <w:r>
        <w:rPr>
          <w:rFonts w:hint="eastAsia"/>
          <w:sz w:val="24"/>
          <w:szCs w:val="24"/>
        </w:rPr>
        <w:t>询问、质疑</w:t>
      </w:r>
      <w:bookmarkEnd w:id="56"/>
      <w:r>
        <w:rPr>
          <w:rFonts w:hint="eastAsia"/>
          <w:sz w:val="24"/>
          <w:szCs w:val="24"/>
        </w:rPr>
        <w:t>和投诉</w:t>
      </w:r>
      <w:bookmarkEnd w:id="57"/>
      <w:bookmarkEnd w:id="58"/>
    </w:p>
    <w:p>
      <w:pPr>
        <w:pStyle w:val="26"/>
        <w:numPr>
          <w:ilvl w:val="0"/>
          <w:numId w:val="26"/>
        </w:numPr>
        <w:tabs>
          <w:tab w:val="left" w:pos="1134"/>
        </w:tabs>
        <w:spacing w:after="0" w:line="400" w:lineRule="exact"/>
        <w:ind w:left="0" w:leftChars="0" w:firstLine="567"/>
        <w:rPr>
          <w:rFonts w:ascii="宋体" w:hAnsi="宋体" w:cs="宋体"/>
          <w:sz w:val="24"/>
          <w:szCs w:val="24"/>
        </w:rPr>
      </w:pPr>
      <w:r>
        <w:rPr>
          <w:rFonts w:hint="eastAsia" w:ascii="宋体" w:hAnsi="宋体" w:cs="宋体"/>
          <w:sz w:val="24"/>
          <w:szCs w:val="24"/>
        </w:rPr>
        <w:t>供应商认为磋商文件、磋商过程和成交结果使自己的合法权益受到损害的，可以依法进行质疑。</w:t>
      </w:r>
    </w:p>
    <w:p>
      <w:pPr>
        <w:pStyle w:val="81"/>
        <w:widowControl/>
        <w:numPr>
          <w:ilvl w:val="0"/>
          <w:numId w:val="26"/>
        </w:numPr>
        <w:tabs>
          <w:tab w:val="left" w:pos="1134"/>
        </w:tabs>
        <w:spacing w:before="156" w:line="400" w:lineRule="exact"/>
        <w:ind w:left="0" w:firstLine="484" w:firstLineChars="202"/>
        <w:jc w:val="left"/>
        <w:rPr>
          <w:rFonts w:ascii="宋体" w:hAnsi="宋体" w:eastAsia="宋体"/>
          <w:sz w:val="24"/>
          <w:szCs w:val="24"/>
        </w:rPr>
      </w:pPr>
      <w:r>
        <w:rPr>
          <w:rFonts w:hint="eastAsia" w:ascii="宋体" w:hAnsi="宋体" w:eastAsia="宋体"/>
          <w:sz w:val="24"/>
          <w:szCs w:val="24"/>
        </w:rPr>
        <w:t>询问、质疑、投诉的接收和处理严格按照《中华人民共和国政府采购法》《中华人民共和国政府采购法实施条例》和《政府采购质疑和投诉办法》（财政部94号令）的规定办理。</w:t>
      </w:r>
    </w:p>
    <w:p>
      <w:pPr>
        <w:pStyle w:val="26"/>
        <w:numPr>
          <w:ilvl w:val="0"/>
          <w:numId w:val="26"/>
        </w:numPr>
        <w:tabs>
          <w:tab w:val="left" w:pos="1134"/>
        </w:tabs>
        <w:spacing w:after="0" w:line="400" w:lineRule="exact"/>
        <w:ind w:left="0" w:leftChars="0" w:firstLine="567"/>
        <w:rPr>
          <w:rFonts w:ascii="宋体" w:hAnsi="宋体"/>
          <w:sz w:val="24"/>
          <w:szCs w:val="24"/>
        </w:rPr>
      </w:pPr>
      <w:r>
        <w:rPr>
          <w:rFonts w:hint="eastAsia" w:ascii="宋体" w:hAnsi="宋体"/>
          <w:sz w:val="24"/>
          <w:szCs w:val="24"/>
        </w:rPr>
        <w:t>供应商询问、质疑的对象</w:t>
      </w:r>
    </w:p>
    <w:p>
      <w:pPr>
        <w:pStyle w:val="26"/>
        <w:numPr>
          <w:ilvl w:val="1"/>
          <w:numId w:val="27"/>
        </w:numPr>
        <w:tabs>
          <w:tab w:val="left" w:pos="1134"/>
        </w:tabs>
        <w:spacing w:line="400" w:lineRule="exact"/>
        <w:ind w:left="0" w:leftChars="0" w:firstLine="567"/>
        <w:rPr>
          <w:rFonts w:ascii="宋体" w:hAnsi="宋体"/>
          <w:sz w:val="24"/>
          <w:szCs w:val="24"/>
        </w:rPr>
      </w:pPr>
      <w:r>
        <w:rPr>
          <w:rFonts w:hint="eastAsia" w:ascii="宋体" w:hAnsi="宋体"/>
          <w:sz w:val="24"/>
          <w:szCs w:val="24"/>
        </w:rPr>
        <w:t>供应商对磋商文件中供应商参加本次政府采购活动应当具备的条件，项目技术、服务、商务及其他要求，评审办法</w:t>
      </w:r>
      <w:r>
        <w:rPr>
          <w:rFonts w:ascii="宋体" w:hAnsi="宋体"/>
          <w:sz w:val="24"/>
          <w:szCs w:val="24"/>
        </w:rPr>
        <w:t>和</w:t>
      </w:r>
      <w:r>
        <w:rPr>
          <w:rFonts w:hint="eastAsia" w:ascii="宋体" w:hAnsi="宋体"/>
          <w:sz w:val="24"/>
          <w:szCs w:val="24"/>
        </w:rPr>
        <w:t>标准提出询问或质疑的，向采购人提出；</w:t>
      </w:r>
    </w:p>
    <w:p>
      <w:pPr>
        <w:pStyle w:val="26"/>
        <w:numPr>
          <w:ilvl w:val="1"/>
          <w:numId w:val="27"/>
        </w:numPr>
        <w:tabs>
          <w:tab w:val="left" w:pos="1134"/>
        </w:tabs>
        <w:spacing w:line="400" w:lineRule="exact"/>
        <w:ind w:left="0" w:leftChars="0" w:firstLine="567"/>
        <w:rPr>
          <w:rFonts w:ascii="宋体" w:hAnsi="宋体"/>
          <w:color w:val="000000" w:themeColor="text1"/>
          <w:sz w:val="24"/>
          <w:szCs w:val="24"/>
          <w14:textFill>
            <w14:solidFill>
              <w14:schemeClr w14:val="tx1"/>
            </w14:solidFill>
          </w14:textFill>
        </w:rPr>
      </w:pPr>
      <w:r>
        <w:rPr>
          <w:rFonts w:hint="eastAsia" w:ascii="宋体" w:hAnsi="宋体"/>
          <w:sz w:val="24"/>
          <w:szCs w:val="24"/>
        </w:rPr>
        <w:t>供应商对除上述磋商文件中的其他内容、采购过程及成交结果提出询问、质疑的，</w:t>
      </w:r>
      <w:r>
        <w:rPr>
          <w:rFonts w:hint="eastAsia" w:ascii="宋体" w:hAnsi="宋体"/>
          <w:color w:val="000000" w:themeColor="text1"/>
          <w:sz w:val="24"/>
          <w:szCs w:val="24"/>
          <w14:textFill>
            <w14:solidFill>
              <w14:schemeClr w14:val="tx1"/>
            </w14:solidFill>
          </w14:textFill>
        </w:rPr>
        <w:t>向区政府采购中心提出。</w:t>
      </w:r>
    </w:p>
    <w:p>
      <w:pPr>
        <w:pStyle w:val="26"/>
        <w:numPr>
          <w:ilvl w:val="0"/>
          <w:numId w:val="26"/>
        </w:numPr>
        <w:tabs>
          <w:tab w:val="left" w:pos="1134"/>
        </w:tabs>
        <w:spacing w:after="0" w:line="400" w:lineRule="exact"/>
        <w:ind w:left="0" w:leftChars="0" w:firstLine="567"/>
        <w:rPr>
          <w:rFonts w:ascii="宋体" w:hAnsi="宋体"/>
          <w:sz w:val="24"/>
          <w:szCs w:val="24"/>
        </w:rPr>
      </w:pPr>
      <w:r>
        <w:rPr>
          <w:rFonts w:hint="eastAsia" w:ascii="宋体" w:hAnsi="宋体"/>
          <w:sz w:val="24"/>
          <w:szCs w:val="24"/>
        </w:rPr>
        <w:t>供应商提出的询问，应当明确询问事项，如以书面形式提出的，应由供应商法定代表人签字并加盖公章。</w:t>
      </w:r>
    </w:p>
    <w:p>
      <w:pPr>
        <w:pStyle w:val="26"/>
        <w:numPr>
          <w:ilvl w:val="0"/>
          <w:numId w:val="26"/>
        </w:numPr>
        <w:tabs>
          <w:tab w:val="left" w:pos="1134"/>
        </w:tabs>
        <w:spacing w:after="0" w:line="400" w:lineRule="exact"/>
        <w:ind w:left="0" w:leftChars="0" w:firstLine="567"/>
        <w:rPr>
          <w:rFonts w:ascii="宋体" w:hAnsi="宋体"/>
          <w:sz w:val="24"/>
          <w:szCs w:val="24"/>
        </w:rPr>
      </w:pPr>
      <w:r>
        <w:rPr>
          <w:rFonts w:hint="eastAsia" w:ascii="宋体" w:hAnsi="宋体"/>
          <w:sz w:val="24"/>
          <w:szCs w:val="24"/>
        </w:rPr>
        <w:t>供应商可通过“政府采购云平台”，或现场向采购人或</w:t>
      </w:r>
      <w:r>
        <w:rPr>
          <w:rFonts w:hint="eastAsia" w:ascii="宋体" w:hAnsi="宋体"/>
          <w:sz w:val="24"/>
          <w:szCs w:val="24"/>
          <w:lang w:eastAsia="zh-CN"/>
        </w:rPr>
        <w:t>区政府采购</w:t>
      </w:r>
      <w:r>
        <w:rPr>
          <w:rFonts w:hint="eastAsia" w:ascii="宋体" w:hAnsi="宋体"/>
          <w:sz w:val="24"/>
          <w:szCs w:val="24"/>
        </w:rPr>
        <w:t>中心提交质疑资料</w:t>
      </w:r>
      <w:r>
        <w:rPr>
          <w:rFonts w:hint="eastAsia" w:ascii="宋体" w:hAnsi="宋体"/>
          <w:sz w:val="24"/>
          <w:szCs w:val="24"/>
          <w:lang w:eastAsia="zh-CN"/>
        </w:rPr>
        <w:t>。</w:t>
      </w:r>
    </w:p>
    <w:p>
      <w:pPr>
        <w:pStyle w:val="26"/>
        <w:numPr>
          <w:ilvl w:val="0"/>
          <w:numId w:val="26"/>
        </w:numPr>
        <w:tabs>
          <w:tab w:val="left" w:pos="1134"/>
        </w:tabs>
        <w:spacing w:after="0" w:line="400" w:lineRule="exact"/>
        <w:ind w:left="0" w:leftChars="0" w:firstLine="567"/>
        <w:rPr>
          <w:rFonts w:ascii="宋体" w:hAnsi="宋体"/>
          <w:sz w:val="24"/>
          <w:szCs w:val="24"/>
        </w:rPr>
      </w:pPr>
      <w:r>
        <w:rPr>
          <w:rFonts w:hint="eastAsia" w:ascii="宋体" w:hAnsi="宋体"/>
          <w:sz w:val="24"/>
          <w:szCs w:val="24"/>
        </w:rPr>
        <w:t>供应商应在法定质疑期内一次性提出针对同一采购程序环节的质疑。</w:t>
      </w:r>
    </w:p>
    <w:p>
      <w:pPr>
        <w:pStyle w:val="26"/>
        <w:numPr>
          <w:ilvl w:val="0"/>
          <w:numId w:val="26"/>
        </w:numPr>
        <w:tabs>
          <w:tab w:val="left" w:pos="1134"/>
        </w:tabs>
        <w:spacing w:after="0" w:line="400" w:lineRule="exact"/>
        <w:ind w:left="0" w:leftChars="0" w:firstLine="567"/>
        <w:rPr>
          <w:rFonts w:ascii="宋体" w:hAnsi="宋体"/>
          <w:sz w:val="24"/>
          <w:szCs w:val="24"/>
        </w:rPr>
      </w:pPr>
      <w:r>
        <w:rPr>
          <w:rFonts w:hint="eastAsia" w:ascii="宋体" w:hAnsi="宋体"/>
          <w:sz w:val="24"/>
          <w:szCs w:val="24"/>
        </w:rPr>
        <w:t>供应商提出质疑时应当准备的资料</w:t>
      </w:r>
    </w:p>
    <w:p>
      <w:pPr>
        <w:pStyle w:val="81"/>
        <w:numPr>
          <w:ilvl w:val="1"/>
          <w:numId w:val="28"/>
        </w:numPr>
        <w:tabs>
          <w:tab w:val="left" w:pos="1134"/>
        </w:tabs>
        <w:spacing w:before="156" w:after="200" w:line="400" w:lineRule="exact"/>
        <w:ind w:left="0" w:firstLine="567" w:firstLineChars="0"/>
        <w:rPr>
          <w:rFonts w:ascii="宋体" w:hAnsi="宋体" w:eastAsia="宋体"/>
          <w:sz w:val="24"/>
          <w:szCs w:val="24"/>
        </w:rPr>
      </w:pPr>
      <w:r>
        <w:rPr>
          <w:rFonts w:ascii="宋体" w:hAnsi="宋体" w:eastAsia="宋体"/>
          <w:sz w:val="24"/>
          <w:szCs w:val="24"/>
        </w:rPr>
        <w:t>质疑书</w:t>
      </w:r>
      <w:r>
        <w:rPr>
          <w:rFonts w:hint="eastAsia" w:ascii="宋体" w:hAnsi="宋体" w:eastAsia="宋体"/>
          <w:sz w:val="24"/>
          <w:szCs w:val="24"/>
        </w:rPr>
        <w:t>1</w:t>
      </w:r>
      <w:r>
        <w:rPr>
          <w:rFonts w:ascii="宋体" w:hAnsi="宋体" w:eastAsia="宋体"/>
          <w:sz w:val="24"/>
          <w:szCs w:val="24"/>
        </w:rPr>
        <w:t>份</w:t>
      </w:r>
      <w:r>
        <w:rPr>
          <w:rFonts w:hint="eastAsia" w:ascii="宋体" w:hAnsi="宋体" w:eastAsia="宋体"/>
          <w:sz w:val="24"/>
          <w:szCs w:val="24"/>
        </w:rPr>
        <w:t>（加盖公章）；</w:t>
      </w:r>
    </w:p>
    <w:p>
      <w:pPr>
        <w:pStyle w:val="81"/>
        <w:numPr>
          <w:ilvl w:val="1"/>
          <w:numId w:val="28"/>
        </w:numPr>
        <w:tabs>
          <w:tab w:val="left" w:pos="1134"/>
        </w:tabs>
        <w:spacing w:before="156" w:after="200" w:line="400" w:lineRule="exact"/>
        <w:ind w:left="0" w:firstLine="567" w:firstLineChars="0"/>
        <w:rPr>
          <w:rFonts w:ascii="宋体" w:hAnsi="宋体" w:eastAsia="宋体"/>
          <w:sz w:val="24"/>
          <w:szCs w:val="24"/>
        </w:rPr>
      </w:pPr>
      <w:r>
        <w:rPr>
          <w:rFonts w:hint="eastAsia" w:ascii="宋体" w:hAnsi="宋体" w:eastAsia="宋体"/>
          <w:sz w:val="24"/>
          <w:szCs w:val="24"/>
        </w:rPr>
        <w:t>委托代理人办理质疑事宜的，需提供法定代表人授权委托书1份（加盖公章）；</w:t>
      </w:r>
    </w:p>
    <w:p>
      <w:pPr>
        <w:pStyle w:val="81"/>
        <w:numPr>
          <w:ilvl w:val="1"/>
          <w:numId w:val="28"/>
        </w:numPr>
        <w:tabs>
          <w:tab w:val="left" w:pos="1134"/>
        </w:tabs>
        <w:spacing w:before="156" w:after="200" w:line="400" w:lineRule="exact"/>
        <w:ind w:left="0" w:firstLine="567" w:firstLineChars="0"/>
        <w:rPr>
          <w:rFonts w:ascii="宋体" w:hAnsi="宋体" w:eastAsia="宋体"/>
          <w:sz w:val="24"/>
          <w:szCs w:val="24"/>
        </w:rPr>
      </w:pPr>
      <w:r>
        <w:rPr>
          <w:rFonts w:hint="eastAsia" w:ascii="宋体" w:hAnsi="宋体" w:eastAsia="宋体"/>
          <w:sz w:val="24"/>
          <w:szCs w:val="24"/>
        </w:rPr>
        <w:t>营业执照或法人证书复印件1份；</w:t>
      </w:r>
    </w:p>
    <w:p>
      <w:pPr>
        <w:pStyle w:val="81"/>
        <w:numPr>
          <w:ilvl w:val="1"/>
          <w:numId w:val="28"/>
        </w:numPr>
        <w:tabs>
          <w:tab w:val="left" w:pos="1134"/>
        </w:tabs>
        <w:spacing w:before="156" w:after="200" w:line="400" w:lineRule="exact"/>
        <w:ind w:left="0" w:firstLine="567" w:firstLineChars="0"/>
        <w:rPr>
          <w:rFonts w:ascii="宋体" w:hAnsi="宋体" w:eastAsia="宋体"/>
          <w:sz w:val="24"/>
          <w:szCs w:val="24"/>
        </w:rPr>
      </w:pPr>
      <w:r>
        <w:rPr>
          <w:rFonts w:hint="eastAsia" w:ascii="宋体" w:hAnsi="宋体" w:eastAsia="宋体"/>
          <w:sz w:val="24"/>
          <w:szCs w:val="24"/>
        </w:rPr>
        <w:t>法定代表人</w:t>
      </w:r>
      <w:r>
        <w:rPr>
          <w:rFonts w:hint="eastAsia" w:ascii="宋体" w:hAnsi="宋体" w:eastAsia="宋体"/>
          <w:sz w:val="24"/>
          <w:szCs w:val="24"/>
          <w:lang w:eastAsia="zh-CN"/>
        </w:rPr>
        <w:t>或主要负责人</w:t>
      </w:r>
      <w:r>
        <w:rPr>
          <w:rFonts w:hint="eastAsia" w:ascii="宋体" w:hAnsi="宋体" w:eastAsia="宋体"/>
          <w:sz w:val="24"/>
          <w:szCs w:val="24"/>
        </w:rPr>
        <w:t>身份证复印件1份；</w:t>
      </w:r>
    </w:p>
    <w:p>
      <w:pPr>
        <w:pStyle w:val="81"/>
        <w:numPr>
          <w:ilvl w:val="1"/>
          <w:numId w:val="28"/>
        </w:numPr>
        <w:tabs>
          <w:tab w:val="left" w:pos="1134"/>
        </w:tabs>
        <w:spacing w:before="156" w:after="200" w:line="400" w:lineRule="exact"/>
        <w:ind w:left="0" w:firstLine="567" w:firstLineChars="0"/>
        <w:rPr>
          <w:rFonts w:ascii="宋体" w:hAnsi="宋体" w:eastAsia="宋体"/>
          <w:sz w:val="24"/>
          <w:szCs w:val="24"/>
        </w:rPr>
      </w:pPr>
      <w:r>
        <w:rPr>
          <w:rFonts w:hint="eastAsia" w:ascii="宋体" w:hAnsi="宋体" w:eastAsia="宋体"/>
          <w:sz w:val="24"/>
          <w:szCs w:val="24"/>
        </w:rPr>
        <w:t>委托代理人身份证复印件1份（委托代理人办理质疑事宜的需提供）；</w:t>
      </w:r>
    </w:p>
    <w:p>
      <w:pPr>
        <w:pStyle w:val="81"/>
        <w:numPr>
          <w:ilvl w:val="1"/>
          <w:numId w:val="28"/>
        </w:numPr>
        <w:tabs>
          <w:tab w:val="left" w:pos="1134"/>
        </w:tabs>
        <w:spacing w:before="156" w:after="200" w:line="400" w:lineRule="exact"/>
        <w:ind w:left="0" w:firstLine="567" w:firstLineChars="0"/>
        <w:rPr>
          <w:rFonts w:ascii="宋体" w:hAnsi="宋体" w:eastAsia="宋体"/>
          <w:sz w:val="24"/>
          <w:szCs w:val="24"/>
        </w:rPr>
      </w:pPr>
      <w:r>
        <w:rPr>
          <w:rFonts w:hint="eastAsia" w:ascii="宋体" w:hAnsi="宋体" w:eastAsia="宋体"/>
          <w:sz w:val="24"/>
          <w:szCs w:val="24"/>
        </w:rPr>
        <w:t>针对质疑事项必要的证明材料。</w:t>
      </w:r>
    </w:p>
    <w:p>
      <w:pPr>
        <w:pStyle w:val="26"/>
        <w:tabs>
          <w:tab w:val="left" w:pos="1134"/>
        </w:tabs>
        <w:spacing w:after="200" w:line="400" w:lineRule="exact"/>
        <w:ind w:left="0" w:leftChars="0" w:firstLine="600" w:firstLineChars="250"/>
        <w:rPr>
          <w:sz w:val="20"/>
          <w:szCs w:val="21"/>
        </w:rPr>
      </w:pPr>
      <w:r>
        <w:rPr>
          <w:rFonts w:hint="eastAsia" w:ascii="宋体" w:hAnsi="宋体"/>
          <w:sz w:val="24"/>
          <w:szCs w:val="24"/>
        </w:rPr>
        <w:t>供应商对采购人、集中采购机构的质疑答复不满意，或者采购人、集中采购机构未在规定期限内作出答复的，供应商可以在答复期满后15个工作日内向同级财政部门提起投诉。</w:t>
      </w:r>
      <w:bookmarkStart w:id="59" w:name="_Toc376425021"/>
      <w:bookmarkEnd w:id="59"/>
      <w:bookmarkStart w:id="60" w:name="_Toc77688481"/>
      <w:bookmarkEnd w:id="60"/>
      <w:bookmarkStart w:id="61" w:name="_Toc77688483"/>
      <w:bookmarkEnd w:id="61"/>
      <w:bookmarkStart w:id="62" w:name="_Toc77688482"/>
      <w:bookmarkEnd w:id="62"/>
    </w:p>
    <w:p>
      <w:pPr>
        <w:pStyle w:val="5"/>
        <w:numPr>
          <w:ilvl w:val="1"/>
          <w:numId w:val="5"/>
        </w:numPr>
        <w:tabs>
          <w:tab w:val="left" w:pos="426"/>
          <w:tab w:val="left" w:pos="567"/>
        </w:tabs>
        <w:spacing w:before="0" w:after="200" w:line="400" w:lineRule="exact"/>
        <w:ind w:left="1985" w:hanging="1985"/>
        <w:jc w:val="both"/>
        <w:rPr>
          <w:sz w:val="24"/>
          <w:szCs w:val="24"/>
        </w:rPr>
      </w:pPr>
      <w:bookmarkStart w:id="63" w:name="_Toc58943334"/>
      <w:bookmarkStart w:id="64" w:name="_Toc79742129"/>
      <w:r>
        <w:rPr>
          <w:rFonts w:hint="eastAsia"/>
          <w:sz w:val="24"/>
          <w:szCs w:val="24"/>
        </w:rPr>
        <w:t>其他</w:t>
      </w:r>
      <w:bookmarkEnd w:id="63"/>
      <w:bookmarkEnd w:id="64"/>
    </w:p>
    <w:p>
      <w:pPr>
        <w:tabs>
          <w:tab w:val="left" w:pos="1134"/>
        </w:tabs>
        <w:spacing w:line="400" w:lineRule="exact"/>
        <w:ind w:firstLine="484" w:firstLineChars="202"/>
        <w:rPr>
          <w:rFonts w:ascii="宋体" w:hAnsi="宋体"/>
          <w:sz w:val="24"/>
          <w:szCs w:val="24"/>
        </w:rPr>
      </w:pPr>
      <w:r>
        <w:rPr>
          <w:rFonts w:hint="eastAsia" w:ascii="宋体" w:hAnsi="宋体"/>
          <w:sz w:val="24"/>
          <w:szCs w:val="24"/>
        </w:rPr>
        <w:t>采购人可以要求参加政府采购的供应商提供有关资质证明文件和业绩情况，并根据《中华人民共和国政府采购法》规定的供应商条件和采购项目对供应商的特定要求，对供应商的资格进行审查。</w:t>
      </w:r>
    </w:p>
    <w:p>
      <w:pPr>
        <w:spacing w:line="360" w:lineRule="auto"/>
        <w:rPr>
          <w:rFonts w:ascii="宋体" w:hAnsi="宋体"/>
          <w:sz w:val="24"/>
          <w:szCs w:val="24"/>
        </w:rPr>
        <w:sectPr>
          <w:pgSz w:w="11906" w:h="16838"/>
          <w:pgMar w:top="1134" w:right="1274" w:bottom="1440" w:left="1418" w:header="851" w:footer="992" w:gutter="0"/>
          <w:cols w:space="720" w:num="1"/>
          <w:docGrid w:type="lines" w:linePitch="312" w:charSpace="0"/>
        </w:sectPr>
      </w:pPr>
    </w:p>
    <w:p>
      <w:pPr>
        <w:pStyle w:val="4"/>
        <w:widowControl/>
        <w:numPr>
          <w:ilvl w:val="0"/>
          <w:numId w:val="5"/>
        </w:numPr>
        <w:spacing w:before="0" w:after="0" w:line="360" w:lineRule="auto"/>
        <w:ind w:left="0" w:firstLine="0"/>
        <w:rPr>
          <w:sz w:val="28"/>
          <w:szCs w:val="28"/>
        </w:rPr>
      </w:pPr>
      <w:bookmarkStart w:id="65" w:name="_Toc238581781"/>
      <w:bookmarkStart w:id="66" w:name="_Toc58943335"/>
      <w:bookmarkStart w:id="67" w:name="_Toc79742130"/>
      <w:r>
        <w:rPr>
          <w:rFonts w:hint="eastAsia"/>
          <w:sz w:val="28"/>
          <w:szCs w:val="28"/>
        </w:rPr>
        <w:t>响应</w:t>
      </w:r>
      <w:bookmarkEnd w:id="65"/>
      <w:r>
        <w:rPr>
          <w:rFonts w:hint="eastAsia"/>
          <w:sz w:val="28"/>
          <w:szCs w:val="28"/>
        </w:rPr>
        <w:t>文件格式</w:t>
      </w:r>
      <w:bookmarkEnd w:id="66"/>
      <w:bookmarkEnd w:id="67"/>
    </w:p>
    <w:p>
      <w:pPr>
        <w:pStyle w:val="5"/>
        <w:numPr>
          <w:ilvl w:val="1"/>
          <w:numId w:val="5"/>
        </w:numPr>
        <w:tabs>
          <w:tab w:val="left" w:pos="426"/>
          <w:tab w:val="left" w:pos="567"/>
        </w:tabs>
        <w:spacing w:before="0" w:after="200"/>
        <w:ind w:left="1985" w:hanging="1985"/>
        <w:jc w:val="both"/>
        <w:rPr>
          <w:sz w:val="24"/>
          <w:szCs w:val="24"/>
        </w:rPr>
      </w:pPr>
      <w:bookmarkStart w:id="68" w:name="_Toc58943336"/>
      <w:bookmarkStart w:id="69" w:name="_Toc79742131"/>
      <w:r>
        <w:rPr>
          <w:rFonts w:hint="eastAsia"/>
          <w:sz w:val="24"/>
          <w:szCs w:val="24"/>
        </w:rPr>
        <w:t>资格性响应文件格式</w:t>
      </w:r>
      <w:bookmarkEnd w:id="68"/>
      <w:bookmarkEnd w:id="69"/>
    </w:p>
    <w:p>
      <w:pPr>
        <w:pStyle w:val="6"/>
        <w:numPr>
          <w:ilvl w:val="2"/>
          <w:numId w:val="5"/>
        </w:numPr>
        <w:tabs>
          <w:tab w:val="left" w:pos="709"/>
        </w:tabs>
        <w:spacing w:after="200"/>
        <w:ind w:left="709" w:hanging="709"/>
        <w:rPr>
          <w:color w:val="auto"/>
          <w:sz w:val="24"/>
          <w:szCs w:val="24"/>
        </w:rPr>
      </w:pPr>
      <w:bookmarkStart w:id="70" w:name="_Toc320698761"/>
      <w:r>
        <w:rPr>
          <w:rFonts w:hint="eastAsia"/>
          <w:color w:val="auto"/>
          <w:sz w:val="24"/>
          <w:szCs w:val="24"/>
        </w:rPr>
        <w:t>资格性响应文件封面格式</w:t>
      </w:r>
      <w:bookmarkEnd w:id="70"/>
    </w:p>
    <w:p>
      <w:pPr>
        <w:jc w:val="center"/>
        <w:rPr>
          <w:rFonts w:ascii="宋体" w:hAnsi="宋体"/>
          <w:sz w:val="72"/>
          <w:szCs w:val="72"/>
        </w:rPr>
      </w:pPr>
    </w:p>
    <w:p>
      <w:pPr>
        <w:jc w:val="center"/>
        <w:rPr>
          <w:rFonts w:ascii="宋体" w:hAnsi="宋体"/>
          <w:sz w:val="72"/>
          <w:szCs w:val="72"/>
        </w:rPr>
      </w:pPr>
      <w:r>
        <w:rPr>
          <w:rFonts w:hint="eastAsia" w:ascii="宋体" w:hAnsi="宋体"/>
          <w:sz w:val="72"/>
          <w:szCs w:val="72"/>
        </w:rPr>
        <w:t>资格性响应文件</w:t>
      </w:r>
    </w:p>
    <w:p>
      <w:pPr>
        <w:spacing w:line="360" w:lineRule="auto"/>
        <w:ind w:firstLine="280" w:firstLineChars="100"/>
        <w:rPr>
          <w:rFonts w:ascii="宋体" w:hAnsi="宋体"/>
          <w:sz w:val="28"/>
          <w:szCs w:val="28"/>
        </w:rPr>
      </w:pPr>
    </w:p>
    <w:p>
      <w:pPr>
        <w:spacing w:line="360" w:lineRule="auto"/>
        <w:ind w:left="1655" w:leftChars="151" w:hanging="1338" w:hangingChars="476"/>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项目名称：xxxxxxxxxx</w:t>
      </w:r>
    </w:p>
    <w:p>
      <w:pPr>
        <w:spacing w:line="360" w:lineRule="auto"/>
        <w:ind w:firstLine="281" w:firstLineChars="1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项目编号： XXXX</w:t>
      </w:r>
    </w:p>
    <w:p>
      <w:pPr>
        <w:spacing w:line="360" w:lineRule="auto"/>
        <w:ind w:firstLine="280" w:firstLineChars="100"/>
        <w:rPr>
          <w:rFonts w:ascii="宋体" w:hAnsi="宋体"/>
          <w:sz w:val="28"/>
          <w:szCs w:val="28"/>
        </w:rPr>
      </w:pPr>
    </w:p>
    <w:p>
      <w:pPr>
        <w:spacing w:line="360" w:lineRule="auto"/>
        <w:ind w:firstLine="280" w:firstLineChars="100"/>
        <w:rPr>
          <w:rFonts w:ascii="宋体" w:hAnsi="宋体"/>
          <w:sz w:val="28"/>
          <w:szCs w:val="28"/>
        </w:rPr>
      </w:pPr>
    </w:p>
    <w:p>
      <w:pPr>
        <w:pStyle w:val="2"/>
        <w:rPr>
          <w:rFonts w:ascii="宋体" w:hAnsi="宋体"/>
          <w:sz w:val="20"/>
          <w:szCs w:val="21"/>
        </w:rPr>
      </w:pPr>
    </w:p>
    <w:p>
      <w:pPr>
        <w:spacing w:line="360" w:lineRule="auto"/>
        <w:ind w:firstLine="280" w:firstLineChars="100"/>
        <w:rPr>
          <w:rFonts w:ascii="宋体" w:hAnsi="宋体"/>
          <w:sz w:val="28"/>
          <w:szCs w:val="28"/>
          <w:u w:val="single"/>
        </w:rPr>
      </w:pPr>
      <w:r>
        <w:rPr>
          <w:rFonts w:hint="eastAsia" w:ascii="宋体" w:hAnsi="宋体"/>
          <w:sz w:val="28"/>
          <w:szCs w:val="28"/>
        </w:rPr>
        <w:t>供应商名称：</w:t>
      </w:r>
      <w:r>
        <w:rPr>
          <w:rFonts w:hint="eastAsia" w:ascii="宋体" w:hAnsi="宋体"/>
          <w:sz w:val="28"/>
          <w:szCs w:val="28"/>
          <w:u w:val="single"/>
        </w:rPr>
        <w:t xml:space="preserve">   XXXXXXXXXX    </w:t>
      </w:r>
    </w:p>
    <w:p>
      <w:pPr>
        <w:tabs>
          <w:tab w:val="left" w:pos="993"/>
        </w:tabs>
        <w:spacing w:line="360" w:lineRule="auto"/>
        <w:ind w:firstLine="548" w:firstLineChars="196"/>
        <w:rPr>
          <w:rFonts w:ascii="宋体" w:hAnsi="宋体"/>
          <w:b/>
          <w:sz w:val="24"/>
          <w:szCs w:val="24"/>
        </w:rPr>
      </w:pPr>
      <w:r>
        <w:rPr>
          <w:rFonts w:hint="eastAsia" w:ascii="宋体" w:hAnsi="宋体"/>
          <w:sz w:val="28"/>
          <w:szCs w:val="28"/>
        </w:rPr>
        <w:t xml:space="preserve">日 期： </w:t>
      </w:r>
      <w:r>
        <w:rPr>
          <w:rFonts w:ascii="宋体" w:hAnsi="宋体"/>
          <w:sz w:val="28"/>
          <w:szCs w:val="28"/>
        </w:rPr>
        <w:t>XX</w:t>
      </w:r>
      <w:r>
        <w:rPr>
          <w:rFonts w:hint="eastAsia" w:ascii="宋体" w:hAnsi="宋体"/>
          <w:sz w:val="28"/>
          <w:szCs w:val="28"/>
        </w:rPr>
        <w:t>年XX月XX日</w:t>
      </w:r>
    </w:p>
    <w:p>
      <w:pPr>
        <w:tabs>
          <w:tab w:val="left" w:pos="993"/>
        </w:tabs>
        <w:spacing w:line="360" w:lineRule="auto"/>
        <w:ind w:firstLine="472" w:firstLineChars="196"/>
        <w:rPr>
          <w:rFonts w:ascii="宋体" w:hAnsi="宋体"/>
          <w:b/>
          <w:sz w:val="24"/>
          <w:szCs w:val="24"/>
        </w:rPr>
      </w:pPr>
    </w:p>
    <w:p>
      <w:pPr>
        <w:tabs>
          <w:tab w:val="left" w:pos="993"/>
        </w:tabs>
        <w:spacing w:line="360" w:lineRule="auto"/>
        <w:ind w:firstLine="472" w:firstLineChars="196"/>
        <w:rPr>
          <w:rFonts w:ascii="宋体" w:hAnsi="宋体"/>
          <w:b/>
          <w:sz w:val="24"/>
          <w:szCs w:val="24"/>
        </w:rPr>
      </w:pPr>
    </w:p>
    <w:p>
      <w:pPr>
        <w:tabs>
          <w:tab w:val="left" w:pos="993"/>
        </w:tabs>
        <w:spacing w:line="360" w:lineRule="auto"/>
        <w:ind w:firstLine="472" w:firstLineChars="196"/>
        <w:rPr>
          <w:rFonts w:ascii="宋体" w:hAnsi="宋体"/>
          <w:b/>
          <w:sz w:val="24"/>
          <w:szCs w:val="24"/>
        </w:rPr>
      </w:pPr>
    </w:p>
    <w:p>
      <w:pPr>
        <w:tabs>
          <w:tab w:val="left" w:pos="993"/>
        </w:tabs>
        <w:spacing w:line="360" w:lineRule="auto"/>
        <w:ind w:firstLine="472" w:firstLineChars="196"/>
        <w:rPr>
          <w:rFonts w:ascii="宋体" w:hAnsi="宋体"/>
          <w:b/>
          <w:sz w:val="24"/>
          <w:szCs w:val="24"/>
        </w:rPr>
      </w:pPr>
    </w:p>
    <w:p>
      <w:pPr>
        <w:tabs>
          <w:tab w:val="left" w:pos="993"/>
        </w:tabs>
        <w:spacing w:line="360" w:lineRule="auto"/>
        <w:ind w:firstLine="472" w:firstLineChars="196"/>
        <w:rPr>
          <w:rFonts w:ascii="宋体" w:hAnsi="宋体"/>
          <w:b/>
          <w:sz w:val="24"/>
          <w:szCs w:val="24"/>
        </w:rPr>
      </w:pPr>
    </w:p>
    <w:p>
      <w:pPr>
        <w:tabs>
          <w:tab w:val="left" w:pos="993"/>
        </w:tabs>
        <w:spacing w:line="360" w:lineRule="auto"/>
        <w:ind w:firstLine="472" w:firstLineChars="196"/>
        <w:rPr>
          <w:rFonts w:ascii="宋体" w:hAnsi="宋体"/>
          <w:b/>
          <w:sz w:val="24"/>
          <w:szCs w:val="24"/>
        </w:rPr>
      </w:pPr>
    </w:p>
    <w:p>
      <w:pPr>
        <w:rPr>
          <w:rFonts w:ascii="宋体" w:hAnsi="宋体"/>
          <w:b/>
          <w:sz w:val="24"/>
          <w:szCs w:val="24"/>
        </w:rPr>
      </w:pPr>
      <w:r>
        <w:rPr>
          <w:rFonts w:ascii="宋体" w:hAnsi="宋体"/>
          <w:b/>
          <w:sz w:val="24"/>
          <w:szCs w:val="24"/>
        </w:rPr>
        <w:br w:type="page"/>
      </w:r>
    </w:p>
    <w:p>
      <w:pPr>
        <w:pStyle w:val="2"/>
      </w:pPr>
    </w:p>
    <w:p>
      <w:pPr>
        <w:pStyle w:val="6"/>
        <w:numPr>
          <w:ilvl w:val="2"/>
          <w:numId w:val="5"/>
        </w:numPr>
        <w:tabs>
          <w:tab w:val="left" w:pos="709"/>
        </w:tabs>
        <w:spacing w:after="200"/>
        <w:ind w:left="709" w:hanging="709"/>
        <w:rPr>
          <w:color w:val="auto"/>
          <w:sz w:val="24"/>
          <w:szCs w:val="24"/>
        </w:rPr>
      </w:pPr>
      <w:r>
        <w:rPr>
          <w:rFonts w:hint="eastAsia"/>
          <w:color w:val="auto"/>
          <w:sz w:val="24"/>
          <w:szCs w:val="24"/>
        </w:rPr>
        <w:t>供应商申明函</w:t>
      </w:r>
    </w:p>
    <w:p>
      <w:pPr>
        <w:spacing w:line="360" w:lineRule="auto"/>
        <w:rPr>
          <w:rFonts w:ascii="宋体" w:hAnsi="宋体"/>
          <w:sz w:val="24"/>
          <w:szCs w:val="24"/>
        </w:rPr>
      </w:pPr>
      <w:bookmarkStart w:id="71" w:name="_Toc238581782"/>
      <w:r>
        <w:rPr>
          <w:rFonts w:hint="eastAsia" w:ascii="宋体" w:hAnsi="宋体"/>
          <w:sz w:val="24"/>
          <w:szCs w:val="24"/>
        </w:rPr>
        <w:t>成都市武侯区政府采购中心</w:t>
      </w:r>
      <w:bookmarkEnd w:id="71"/>
      <w:r>
        <w:rPr>
          <w:rFonts w:hint="eastAsia" w:ascii="宋体" w:hAnsi="宋体"/>
          <w:sz w:val="24"/>
          <w:szCs w:val="24"/>
        </w:rPr>
        <w:t>：</w:t>
      </w:r>
    </w:p>
    <w:p>
      <w:pPr>
        <w:pStyle w:val="26"/>
        <w:spacing w:line="360" w:lineRule="auto"/>
        <w:ind w:left="0" w:leftChars="0" w:firstLine="484" w:firstLineChars="202"/>
        <w:rPr>
          <w:rFonts w:ascii="宋体" w:hAnsi="宋体"/>
          <w:bCs/>
          <w:sz w:val="24"/>
          <w:szCs w:val="24"/>
        </w:rPr>
      </w:pPr>
      <w:r>
        <w:rPr>
          <w:rFonts w:hint="eastAsia" w:ascii="宋体" w:hAnsi="宋体"/>
          <w:bCs/>
          <w:sz w:val="24"/>
          <w:szCs w:val="24"/>
        </w:rPr>
        <w:t>我方全面研究了</w:t>
      </w:r>
      <w:r>
        <w:rPr>
          <w:rFonts w:hint="eastAsia" w:ascii="宋体" w:hAnsi="宋体"/>
          <w:bCs/>
          <w:color w:val="000000" w:themeColor="text1"/>
          <w:sz w:val="24"/>
          <w:szCs w:val="24"/>
          <w:u w:val="single"/>
          <w14:textFill>
            <w14:solidFill>
              <w14:schemeClr w14:val="tx1"/>
            </w14:solidFill>
          </w14:textFill>
        </w:rPr>
        <w:t xml:space="preserve">XXXX </w:t>
      </w:r>
      <w:r>
        <w:rPr>
          <w:rFonts w:hint="eastAsia" w:ascii="宋体" w:hAnsi="宋体"/>
          <w:b/>
          <w:color w:val="000000" w:themeColor="text1"/>
          <w:sz w:val="24"/>
          <w:szCs w:val="28"/>
          <w:u w:val="single"/>
          <w14:textFill>
            <w14:solidFill>
              <w14:schemeClr w14:val="tx1"/>
            </w14:solidFill>
          </w14:textFill>
        </w:rPr>
        <w:t>项目</w:t>
      </w:r>
      <w:r>
        <w:rPr>
          <w:rFonts w:hint="eastAsia" w:ascii="宋体" w:hAnsi="宋体"/>
          <w:b/>
          <w:bCs/>
          <w:color w:val="000000" w:themeColor="text1"/>
          <w:sz w:val="24"/>
          <w:szCs w:val="24"/>
          <w:u w:val="single"/>
          <w14:textFill>
            <w14:solidFill>
              <w14:schemeClr w14:val="tx1"/>
            </w14:solidFill>
          </w14:textFill>
        </w:rPr>
        <w:t>（采购项目编号：</w:t>
      </w:r>
      <w:r>
        <w:rPr>
          <w:rFonts w:hint="eastAsia" w:ascii="宋体" w:hAnsi="宋体"/>
          <w:b/>
          <w:color w:val="000000" w:themeColor="text1"/>
          <w:sz w:val="24"/>
          <w:szCs w:val="24"/>
          <w:u w:val="single"/>
          <w14:textFill>
            <w14:solidFill>
              <w14:schemeClr w14:val="tx1"/>
            </w14:solidFill>
          </w14:textFill>
        </w:rPr>
        <w:t xml:space="preserve"> XXXX</w:t>
      </w:r>
      <w:r>
        <w:rPr>
          <w:rFonts w:hint="eastAsia" w:ascii="宋体" w:hAnsi="宋体"/>
          <w:b/>
          <w:bCs/>
          <w:color w:val="000000" w:themeColor="text1"/>
          <w:sz w:val="24"/>
          <w:szCs w:val="24"/>
          <w14:textFill>
            <w14:solidFill>
              <w14:schemeClr w14:val="tx1"/>
            </w14:solidFill>
          </w14:textFill>
        </w:rPr>
        <w:t>）</w:t>
      </w:r>
      <w:r>
        <w:rPr>
          <w:rFonts w:hint="eastAsia" w:ascii="宋体" w:hAnsi="宋体"/>
          <w:bCs/>
          <w:sz w:val="24"/>
          <w:szCs w:val="24"/>
        </w:rPr>
        <w:t>的磋商文件，决定参加贵单位组织的本项目的磋商。我方郑重承诺：</w:t>
      </w:r>
    </w:p>
    <w:p>
      <w:pPr>
        <w:numPr>
          <w:ilvl w:val="1"/>
          <w:numId w:val="29"/>
        </w:numPr>
        <w:tabs>
          <w:tab w:val="left" w:pos="1134"/>
        </w:tabs>
        <w:spacing w:after="200" w:line="360" w:lineRule="auto"/>
        <w:ind w:left="0" w:firstLine="567"/>
        <w:rPr>
          <w:rFonts w:ascii="宋体" w:hAnsi="宋体"/>
          <w:sz w:val="24"/>
          <w:szCs w:val="24"/>
        </w:rPr>
      </w:pPr>
      <w:r>
        <w:rPr>
          <w:rFonts w:hint="eastAsia" w:ascii="宋体" w:hAnsi="宋体"/>
          <w:sz w:val="24"/>
          <w:szCs w:val="24"/>
        </w:rPr>
        <w:t>我方自愿按照磋商文件规定的各项要求向采购人提供所需服务，</w:t>
      </w:r>
      <w:r>
        <w:rPr>
          <w:rFonts w:hint="eastAsia" w:ascii="宋体" w:hAnsi="宋体"/>
          <w:b/>
          <w:sz w:val="24"/>
          <w:szCs w:val="24"/>
        </w:rPr>
        <w:t>最后报价以政府采购云平台中递交的最后报价为准</w:t>
      </w:r>
      <w:r>
        <w:rPr>
          <w:rFonts w:hint="eastAsia" w:ascii="宋体" w:hAnsi="宋体"/>
          <w:sz w:val="24"/>
          <w:szCs w:val="24"/>
        </w:rPr>
        <w:t>。</w:t>
      </w:r>
    </w:p>
    <w:p>
      <w:pPr>
        <w:numPr>
          <w:ilvl w:val="1"/>
          <w:numId w:val="29"/>
        </w:numPr>
        <w:tabs>
          <w:tab w:val="left" w:pos="1134"/>
        </w:tabs>
        <w:spacing w:after="200" w:line="360" w:lineRule="auto"/>
        <w:ind w:left="0" w:firstLine="567"/>
        <w:rPr>
          <w:rFonts w:ascii="宋体" w:hAnsi="宋体"/>
          <w:sz w:val="24"/>
          <w:szCs w:val="24"/>
        </w:rPr>
      </w:pPr>
      <w:r>
        <w:rPr>
          <w:rFonts w:hint="eastAsia" w:ascii="宋体" w:hAnsi="宋体"/>
          <w:sz w:val="24"/>
          <w:szCs w:val="24"/>
        </w:rPr>
        <w:t>如果我方成为本项目的成交供应商，我方将严格履行合同规定的责任和义务，否则将承担由此产生的一切责任。</w:t>
      </w:r>
    </w:p>
    <w:p>
      <w:pPr>
        <w:numPr>
          <w:ilvl w:val="1"/>
          <w:numId w:val="29"/>
        </w:numPr>
        <w:tabs>
          <w:tab w:val="left" w:pos="1134"/>
        </w:tabs>
        <w:spacing w:after="200" w:line="360" w:lineRule="auto"/>
        <w:ind w:left="0" w:firstLine="567"/>
        <w:rPr>
          <w:rFonts w:ascii="宋体" w:hAnsi="宋体"/>
          <w:sz w:val="24"/>
          <w:szCs w:val="24"/>
        </w:rPr>
      </w:pPr>
      <w:r>
        <w:rPr>
          <w:rFonts w:hint="eastAsia" w:ascii="宋体" w:hAnsi="宋体"/>
          <w:sz w:val="24"/>
          <w:szCs w:val="24"/>
        </w:rPr>
        <w:t>我方已知晓全部磋商文件的内容，包括修改文件（如有）以及全部相关资料和有关附件，并对上述文件均无异议。</w:t>
      </w:r>
    </w:p>
    <w:p>
      <w:pPr>
        <w:numPr>
          <w:ilvl w:val="1"/>
          <w:numId w:val="29"/>
        </w:numPr>
        <w:tabs>
          <w:tab w:val="left" w:pos="1134"/>
        </w:tabs>
        <w:spacing w:after="200" w:line="360" w:lineRule="auto"/>
        <w:ind w:left="0" w:firstLine="567"/>
        <w:rPr>
          <w:rFonts w:ascii="宋体" w:hAnsi="宋体"/>
          <w:sz w:val="24"/>
          <w:szCs w:val="24"/>
        </w:rPr>
      </w:pPr>
      <w:r>
        <w:rPr>
          <w:rFonts w:hint="eastAsia" w:ascii="宋体" w:hAnsi="宋体"/>
          <w:sz w:val="24"/>
          <w:szCs w:val="24"/>
        </w:rPr>
        <w:t>响应文件有效期为从递交响应文件截止之日起120天。</w:t>
      </w:r>
    </w:p>
    <w:p>
      <w:pPr>
        <w:numPr>
          <w:ilvl w:val="1"/>
          <w:numId w:val="29"/>
        </w:numPr>
        <w:tabs>
          <w:tab w:val="left" w:pos="1134"/>
        </w:tabs>
        <w:spacing w:after="200" w:line="360" w:lineRule="auto"/>
        <w:ind w:left="0" w:firstLine="567"/>
        <w:rPr>
          <w:rFonts w:ascii="宋体" w:hAnsi="宋体"/>
          <w:sz w:val="24"/>
          <w:szCs w:val="24"/>
        </w:rPr>
      </w:pPr>
      <w:r>
        <w:rPr>
          <w:rFonts w:hint="eastAsia" w:ascii="宋体" w:hAnsi="宋体"/>
          <w:sz w:val="24"/>
          <w:szCs w:val="24"/>
        </w:rPr>
        <w:t>我方愿意提供贵中心可能另外要求的，与本项目有关的文件资料，并保证我方已提供和将要提供的文件资料是合法、真实、准确的，并对此承担一切法律后果。</w:t>
      </w:r>
    </w:p>
    <w:p>
      <w:pPr>
        <w:numPr>
          <w:ilvl w:val="1"/>
          <w:numId w:val="29"/>
        </w:numPr>
        <w:tabs>
          <w:tab w:val="left" w:pos="1134"/>
        </w:tabs>
        <w:spacing w:after="200" w:line="360" w:lineRule="auto"/>
        <w:ind w:left="0" w:firstLine="567"/>
        <w:rPr>
          <w:rFonts w:ascii="宋体" w:hAnsi="宋体"/>
          <w:sz w:val="24"/>
          <w:szCs w:val="24"/>
        </w:rPr>
      </w:pPr>
      <w:r>
        <w:rPr>
          <w:rFonts w:hint="eastAsia" w:ascii="宋体" w:hAnsi="宋体"/>
          <w:sz w:val="24"/>
          <w:szCs w:val="24"/>
        </w:rPr>
        <w:t>我单位联系方式：</w:t>
      </w:r>
    </w:p>
    <w:p>
      <w:pPr>
        <w:pStyle w:val="26"/>
        <w:spacing w:line="240" w:lineRule="atLeast"/>
        <w:ind w:firstLine="444" w:firstLineChars="202"/>
        <w:rPr>
          <w:rFonts w:ascii="宋体" w:hAnsi="宋体"/>
          <w:sz w:val="22"/>
          <w:szCs w:val="24"/>
          <w:u w:val="single"/>
        </w:rPr>
      </w:pPr>
      <w:r>
        <w:rPr>
          <w:rFonts w:hint="eastAsia" w:ascii="宋体" w:hAnsi="宋体"/>
          <w:sz w:val="22"/>
          <w:szCs w:val="24"/>
        </w:rPr>
        <w:t>地    址：</w:t>
      </w:r>
      <w:r>
        <w:rPr>
          <w:rFonts w:hint="eastAsia" w:ascii="宋体" w:hAnsi="宋体"/>
          <w:sz w:val="22"/>
          <w:szCs w:val="24"/>
          <w:u w:val="single"/>
        </w:rPr>
        <w:t>XXXX</w:t>
      </w:r>
    </w:p>
    <w:p>
      <w:pPr>
        <w:pStyle w:val="26"/>
        <w:spacing w:line="240" w:lineRule="atLeast"/>
        <w:ind w:firstLine="444" w:firstLineChars="202"/>
        <w:rPr>
          <w:rFonts w:ascii="宋体" w:hAnsi="宋体"/>
          <w:sz w:val="22"/>
          <w:szCs w:val="24"/>
          <w:u w:val="single"/>
        </w:rPr>
      </w:pPr>
      <w:r>
        <w:rPr>
          <w:rFonts w:hint="eastAsia" w:ascii="宋体" w:hAnsi="宋体"/>
          <w:sz w:val="22"/>
          <w:szCs w:val="24"/>
        </w:rPr>
        <w:t>传    真：</w:t>
      </w:r>
      <w:r>
        <w:rPr>
          <w:rFonts w:hint="eastAsia" w:ascii="宋体" w:hAnsi="宋体"/>
          <w:sz w:val="22"/>
          <w:szCs w:val="24"/>
          <w:u w:val="single"/>
        </w:rPr>
        <w:t>XXXX</w:t>
      </w:r>
    </w:p>
    <w:p>
      <w:pPr>
        <w:pStyle w:val="26"/>
        <w:spacing w:line="240" w:lineRule="atLeast"/>
        <w:ind w:firstLine="444" w:firstLineChars="202"/>
        <w:rPr>
          <w:rFonts w:ascii="宋体" w:hAnsi="宋体"/>
          <w:sz w:val="22"/>
          <w:szCs w:val="24"/>
          <w:u w:val="single"/>
        </w:rPr>
      </w:pPr>
      <w:r>
        <w:rPr>
          <w:rFonts w:hint="eastAsia" w:ascii="宋体" w:hAnsi="宋体"/>
          <w:sz w:val="22"/>
          <w:szCs w:val="24"/>
        </w:rPr>
        <w:t>邮政编码：</w:t>
      </w:r>
      <w:r>
        <w:rPr>
          <w:rFonts w:hint="eastAsia" w:ascii="宋体" w:hAnsi="宋体"/>
          <w:sz w:val="22"/>
          <w:szCs w:val="24"/>
          <w:u w:val="single"/>
        </w:rPr>
        <w:t>XXXX</w:t>
      </w:r>
    </w:p>
    <w:p>
      <w:pPr>
        <w:pStyle w:val="26"/>
        <w:spacing w:line="240" w:lineRule="atLeast"/>
        <w:ind w:firstLine="440" w:firstLineChars="200"/>
        <w:rPr>
          <w:rFonts w:ascii="宋体" w:hAnsi="宋体"/>
          <w:bCs/>
          <w:sz w:val="22"/>
          <w:szCs w:val="24"/>
        </w:rPr>
      </w:pPr>
      <w:r>
        <w:rPr>
          <w:rFonts w:hint="eastAsia" w:ascii="宋体" w:hAnsi="宋体"/>
          <w:bCs/>
          <w:sz w:val="22"/>
          <w:szCs w:val="24"/>
        </w:rPr>
        <w:t>供应商名称：</w:t>
      </w:r>
      <w:r>
        <w:rPr>
          <w:rFonts w:hint="eastAsia" w:ascii="宋体" w:hAnsi="宋体"/>
          <w:bCs/>
          <w:sz w:val="22"/>
          <w:szCs w:val="24"/>
          <w:u w:val="single"/>
        </w:rPr>
        <w:t>XXXXXXXXXX</w:t>
      </w:r>
    </w:p>
    <w:p>
      <w:pPr>
        <w:pStyle w:val="26"/>
        <w:spacing w:line="240" w:lineRule="atLeast"/>
        <w:ind w:firstLine="330" w:firstLineChars="150"/>
        <w:jc w:val="left"/>
        <w:rPr>
          <w:rFonts w:ascii="宋体" w:hAnsi="宋体"/>
          <w:sz w:val="22"/>
          <w:szCs w:val="24"/>
        </w:rPr>
      </w:pPr>
      <w:r>
        <w:rPr>
          <w:rFonts w:hint="eastAsia" w:ascii="宋体" w:hAnsi="宋体"/>
          <w:sz w:val="22"/>
          <w:szCs w:val="24"/>
        </w:rPr>
        <w:t>日      期：XX年XX月XX日</w:t>
      </w:r>
    </w:p>
    <w:p>
      <w:pPr>
        <w:pStyle w:val="26"/>
        <w:spacing w:line="240" w:lineRule="atLeast"/>
        <w:ind w:firstLine="444" w:firstLineChars="202"/>
        <w:rPr>
          <w:rFonts w:ascii="宋体" w:hAnsi="宋体"/>
          <w:sz w:val="22"/>
          <w:szCs w:val="24"/>
        </w:rPr>
      </w:pPr>
      <w:bookmarkStart w:id="72" w:name="_Toc119296788"/>
      <w:bookmarkStart w:id="73" w:name="_Toc119203988"/>
      <w:bookmarkStart w:id="74" w:name="_Toc146903609"/>
      <w:bookmarkStart w:id="75" w:name="_Toc52184753"/>
      <w:bookmarkStart w:id="76" w:name="_Toc119295087"/>
    </w:p>
    <w:bookmarkEnd w:id="72"/>
    <w:bookmarkEnd w:id="73"/>
    <w:bookmarkEnd w:id="74"/>
    <w:bookmarkEnd w:id="75"/>
    <w:bookmarkEnd w:id="76"/>
    <w:p>
      <w:pPr>
        <w:spacing w:line="360" w:lineRule="auto"/>
        <w:rPr>
          <w:rFonts w:ascii="宋体" w:hAnsi="宋体"/>
          <w:bCs/>
          <w:sz w:val="24"/>
          <w:szCs w:val="24"/>
        </w:rPr>
        <w:sectPr>
          <w:pgSz w:w="11906" w:h="16838"/>
          <w:pgMar w:top="1134" w:right="1274" w:bottom="1440" w:left="1418" w:header="851" w:footer="992" w:gutter="0"/>
          <w:cols w:space="720" w:num="1"/>
          <w:docGrid w:type="lines" w:linePitch="312" w:charSpace="0"/>
        </w:sectPr>
      </w:pPr>
    </w:p>
    <w:p>
      <w:pPr>
        <w:pStyle w:val="6"/>
        <w:numPr>
          <w:ilvl w:val="2"/>
          <w:numId w:val="5"/>
        </w:numPr>
        <w:tabs>
          <w:tab w:val="left" w:pos="709"/>
        </w:tabs>
        <w:spacing w:after="200"/>
        <w:ind w:left="709" w:hanging="709"/>
        <w:rPr>
          <w:color w:val="auto"/>
          <w:sz w:val="24"/>
          <w:szCs w:val="24"/>
        </w:rPr>
      </w:pPr>
      <w:bookmarkStart w:id="77" w:name="_Toc320698765"/>
      <w:r>
        <w:rPr>
          <w:rFonts w:hint="eastAsia"/>
          <w:color w:val="auto"/>
          <w:sz w:val="24"/>
          <w:szCs w:val="24"/>
        </w:rPr>
        <w:t>声明</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致：成都市武侯区政府采购中心</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我单位作为</w:t>
      </w:r>
      <w:r>
        <w:rPr>
          <w:rFonts w:hint="eastAsia" w:ascii="宋体" w:hAnsi="宋体"/>
          <w:bCs/>
          <w:sz w:val="24"/>
          <w:szCs w:val="24"/>
          <w:u w:val="single"/>
        </w:rPr>
        <w:t>X</w:t>
      </w:r>
      <w:r>
        <w:rPr>
          <w:rFonts w:hint="eastAsia" w:ascii="宋体" w:hAnsi="宋体"/>
          <w:bCs/>
          <w:color w:val="000000" w:themeColor="text1"/>
          <w:sz w:val="24"/>
          <w:szCs w:val="24"/>
          <w:u w:val="single"/>
          <w14:textFill>
            <w14:solidFill>
              <w14:schemeClr w14:val="tx1"/>
            </w14:solidFill>
          </w14:textFill>
        </w:rPr>
        <w:t>X</w:t>
      </w:r>
      <w:r>
        <w:rPr>
          <w:rFonts w:hint="eastAsia" w:ascii="宋体" w:hAnsi="宋体"/>
          <w:b/>
          <w:color w:val="000000" w:themeColor="text1"/>
          <w:sz w:val="24"/>
          <w:szCs w:val="28"/>
          <w:u w:val="single"/>
          <w14:textFill>
            <w14:solidFill>
              <w14:schemeClr w14:val="tx1"/>
            </w14:solidFill>
          </w14:textFill>
        </w:rPr>
        <w:t>项目</w:t>
      </w:r>
      <w:r>
        <w:rPr>
          <w:rFonts w:hint="eastAsia" w:ascii="宋体" w:hAnsi="宋体"/>
          <w:b/>
          <w:bCs/>
          <w:color w:val="000000" w:themeColor="text1"/>
          <w:sz w:val="24"/>
          <w:szCs w:val="24"/>
          <w:u w:val="single"/>
          <w14:textFill>
            <w14:solidFill>
              <w14:schemeClr w14:val="tx1"/>
            </w14:solidFill>
          </w14:textFill>
        </w:rPr>
        <w:t>（项目编号：</w:t>
      </w:r>
      <w:r>
        <w:rPr>
          <w:rFonts w:hint="eastAsia" w:ascii="宋体" w:hAnsi="宋体"/>
          <w:b/>
          <w:color w:val="000000" w:themeColor="text1"/>
          <w:sz w:val="24"/>
          <w:szCs w:val="24"/>
          <w:u w:val="single"/>
          <w14:textFill>
            <w14:solidFill>
              <w14:schemeClr w14:val="tx1"/>
            </w14:solidFill>
          </w14:textFill>
        </w:rPr>
        <w:t>武侯政采（202</w:t>
      </w:r>
      <w:r>
        <w:rPr>
          <w:rFonts w:hint="eastAsia" w:ascii="宋体" w:hAnsi="宋体"/>
          <w:b/>
          <w:color w:val="000000" w:themeColor="text1"/>
          <w:sz w:val="24"/>
          <w:szCs w:val="24"/>
          <w:u w:val="single"/>
          <w:lang w:val="en-US" w:eastAsia="zh-CN"/>
          <w14:textFill>
            <w14:solidFill>
              <w14:schemeClr w14:val="tx1"/>
            </w14:solidFill>
          </w14:textFill>
        </w:rPr>
        <w:t>x</w:t>
      </w:r>
      <w:r>
        <w:rPr>
          <w:rFonts w:hint="eastAsia" w:ascii="宋体" w:hAnsi="宋体"/>
          <w:b/>
          <w:color w:val="000000" w:themeColor="text1"/>
          <w:sz w:val="24"/>
          <w:szCs w:val="24"/>
          <w:u w:val="single"/>
          <w14:textFill>
            <w14:solidFill>
              <w14:schemeClr w14:val="tx1"/>
            </w14:solidFill>
          </w14:textFill>
        </w:rPr>
        <w:t>）A</w:t>
      </w:r>
      <w:r>
        <w:rPr>
          <w:rFonts w:hint="eastAsia" w:ascii="宋体" w:hAnsi="宋体"/>
          <w:b/>
          <w:color w:val="000000" w:themeColor="text1"/>
          <w:sz w:val="24"/>
          <w:szCs w:val="24"/>
          <w:u w:val="single"/>
          <w:lang w:val="en-US" w:eastAsia="zh-CN"/>
          <w14:textFill>
            <w14:solidFill>
              <w14:schemeClr w14:val="tx1"/>
            </w14:solidFill>
          </w14:textFill>
        </w:rPr>
        <w:t>xxx</w:t>
      </w:r>
      <w:r>
        <w:rPr>
          <w:rFonts w:hint="eastAsia" w:ascii="宋体" w:hAnsi="宋体"/>
          <w:b/>
          <w:color w:val="000000" w:themeColor="text1"/>
          <w:sz w:val="24"/>
          <w:szCs w:val="24"/>
          <w:u w:val="single"/>
          <w14:textFill>
            <w14:solidFill>
              <w14:schemeClr w14:val="tx1"/>
            </w14:solidFill>
          </w14:textFill>
        </w:rPr>
        <w:t>号</w:t>
      </w:r>
      <w:r>
        <w:rPr>
          <w:rFonts w:hint="eastAsia" w:ascii="宋体" w:hAnsi="宋体"/>
          <w:b/>
          <w:bCs/>
          <w:color w:val="000000" w:themeColor="text1"/>
          <w:sz w:val="24"/>
          <w:szCs w:val="24"/>
          <w14:textFill>
            <w14:solidFill>
              <w14:schemeClr w14:val="tx1"/>
            </w14:solidFill>
          </w14:textFill>
        </w:rPr>
        <w:t>）</w:t>
      </w:r>
      <w:r>
        <w:rPr>
          <w:rFonts w:hint="eastAsia" w:ascii="宋体" w:hAnsi="宋体"/>
          <w:sz w:val="24"/>
          <w:szCs w:val="24"/>
        </w:rPr>
        <w:t>的供应商，在此郑重声明：</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一、我单位参加政府采购活动前三年内，在经营活动中</w:t>
      </w:r>
      <w:r>
        <w:rPr>
          <w:rFonts w:hint="eastAsia" w:ascii="宋体" w:hAnsi="宋体"/>
          <w:b/>
          <w:sz w:val="24"/>
          <w:szCs w:val="24"/>
          <w:u w:val="single"/>
        </w:rPr>
        <w:t>（说明：填写“没有”或“有”）</w:t>
      </w:r>
      <w:r>
        <w:rPr>
          <w:rFonts w:hint="eastAsia" w:ascii="宋体" w:hAnsi="宋体"/>
          <w:sz w:val="24"/>
          <w:szCs w:val="24"/>
        </w:rPr>
        <w:t>重大违法记录。</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二、我单位</w:t>
      </w:r>
      <w:r>
        <w:rPr>
          <w:rFonts w:hint="eastAsia" w:ascii="宋体" w:hAnsi="宋体"/>
          <w:b/>
          <w:sz w:val="24"/>
          <w:szCs w:val="24"/>
          <w:u w:val="single"/>
        </w:rPr>
        <w:t>（说明：填写“具有”或“不具有”）</w:t>
      </w:r>
      <w:r>
        <w:rPr>
          <w:rFonts w:hint="eastAsia" w:ascii="宋体" w:hAnsi="宋体"/>
          <w:sz w:val="24"/>
          <w:szCs w:val="24"/>
        </w:rPr>
        <w:t>良好的商业信誉。</w:t>
      </w:r>
    </w:p>
    <w:p>
      <w:pPr>
        <w:pStyle w:val="3"/>
        <w:spacing w:line="560" w:lineRule="exact"/>
        <w:ind w:firstLine="480" w:firstLineChars="200"/>
        <w:rPr>
          <w:rFonts w:ascii="宋体" w:hAnsi="宋体"/>
          <w:sz w:val="28"/>
          <w:szCs w:val="28"/>
        </w:rPr>
      </w:pPr>
      <w:r>
        <w:rPr>
          <w:rFonts w:hint="eastAsia" w:ascii="宋体" w:hAnsi="宋体"/>
          <w:sz w:val="24"/>
          <w:szCs w:val="24"/>
        </w:rPr>
        <w:t>三</w:t>
      </w:r>
      <w:r>
        <w:rPr>
          <w:rFonts w:ascii="宋体" w:hAnsi="宋体"/>
          <w:sz w:val="24"/>
          <w:szCs w:val="24"/>
        </w:rPr>
        <w:t>、</w:t>
      </w:r>
      <w:r>
        <w:rPr>
          <w:rFonts w:hint="eastAsia" w:ascii="宋体" w:hAnsi="宋体"/>
          <w:sz w:val="24"/>
          <w:szCs w:val="24"/>
        </w:rPr>
        <w:t>参加本项目采购活动的</w:t>
      </w:r>
      <w:r>
        <w:rPr>
          <w:rFonts w:ascii="宋体" w:hAnsi="宋体"/>
          <w:sz w:val="24"/>
          <w:szCs w:val="24"/>
        </w:rPr>
        <w:t>供应商中，</w:t>
      </w:r>
      <w:r>
        <w:rPr>
          <w:rFonts w:hint="eastAsia" w:ascii="宋体" w:hAnsi="宋体"/>
          <w:b/>
          <w:sz w:val="24"/>
          <w:szCs w:val="24"/>
          <w:u w:val="single"/>
        </w:rPr>
        <w:t>（说明：填写“无供应商”或“（一）供应商名称１；（二）供应商名称２；（三）……”）</w:t>
      </w:r>
      <w:r>
        <w:rPr>
          <w:rFonts w:hint="eastAsia" w:ascii="宋体" w:hAnsi="宋体"/>
          <w:sz w:val="24"/>
          <w:szCs w:val="24"/>
        </w:rPr>
        <w:t>与我单位负责人为同一人或者存在直接控股、管理关系。</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四、在行贿犯罪信息查询期限内，我单位及我单位现任法定代表人、主要负责人</w:t>
      </w:r>
      <w:r>
        <w:rPr>
          <w:rFonts w:hint="eastAsia" w:ascii="宋体" w:hAnsi="宋体"/>
          <w:b/>
          <w:sz w:val="24"/>
          <w:szCs w:val="24"/>
          <w:u w:val="single"/>
        </w:rPr>
        <w:t>（说明：填写“没有”或“有”）</w:t>
      </w:r>
      <w:r>
        <w:rPr>
          <w:rFonts w:hint="eastAsia" w:ascii="宋体" w:hAnsi="宋体"/>
          <w:sz w:val="24"/>
          <w:szCs w:val="24"/>
        </w:rPr>
        <w:t>行贿犯罪记录。</w:t>
      </w:r>
    </w:p>
    <w:p>
      <w:pPr>
        <w:tabs>
          <w:tab w:val="left" w:pos="1260"/>
        </w:tabs>
        <w:spacing w:line="360" w:lineRule="auto"/>
        <w:ind w:firstLine="480" w:firstLineChars="200"/>
        <w:rPr>
          <w:rFonts w:ascii="宋体" w:hAnsi="宋体"/>
          <w:sz w:val="24"/>
          <w:szCs w:val="24"/>
        </w:rPr>
      </w:pPr>
      <w:r>
        <w:rPr>
          <w:rFonts w:hint="eastAsia" w:ascii="宋体" w:hAnsi="宋体"/>
          <w:sz w:val="24"/>
          <w:szCs w:val="24"/>
        </w:rPr>
        <w:t>五、我单位</w:t>
      </w:r>
      <w:r>
        <w:rPr>
          <w:rFonts w:hint="eastAsia" w:ascii="宋体" w:hAnsi="宋体"/>
          <w:b/>
          <w:sz w:val="24"/>
          <w:szCs w:val="24"/>
          <w:u w:val="single"/>
        </w:rPr>
        <w:t>（说明：填写“未被列入”或“被列入”）</w:t>
      </w:r>
      <w:r>
        <w:rPr>
          <w:rFonts w:hint="eastAsia" w:ascii="宋体" w:hAnsi="宋体"/>
          <w:sz w:val="24"/>
          <w:szCs w:val="24"/>
        </w:rPr>
        <w:t>失信被执行人、重大税收违法案件当事人名单。</w:t>
      </w:r>
    </w:p>
    <w:p>
      <w:pPr>
        <w:tabs>
          <w:tab w:val="left" w:pos="1260"/>
        </w:tabs>
        <w:spacing w:line="360" w:lineRule="auto"/>
        <w:ind w:firstLine="480" w:firstLineChars="200"/>
        <w:rPr>
          <w:rFonts w:ascii="宋体" w:hAnsi="宋体"/>
          <w:sz w:val="24"/>
          <w:szCs w:val="24"/>
        </w:rPr>
      </w:pPr>
      <w:r>
        <w:rPr>
          <w:rFonts w:hint="eastAsia" w:ascii="宋体" w:hAnsi="宋体"/>
          <w:sz w:val="24"/>
          <w:szCs w:val="24"/>
        </w:rPr>
        <w:t>我单位</w:t>
      </w:r>
      <w:r>
        <w:rPr>
          <w:rFonts w:hint="eastAsia" w:ascii="宋体" w:hAnsi="宋体"/>
          <w:b/>
          <w:sz w:val="24"/>
          <w:szCs w:val="24"/>
          <w:u w:val="single"/>
        </w:rPr>
        <w:t>（说明：填写“未被列入”或“被列入”）</w:t>
      </w:r>
      <w:r>
        <w:rPr>
          <w:rFonts w:hint="eastAsia" w:ascii="宋体" w:hAnsi="宋体"/>
          <w:sz w:val="24"/>
          <w:szCs w:val="24"/>
        </w:rPr>
        <w:t>政府采购严重违法失信行为记录名单。</w:t>
      </w:r>
    </w:p>
    <w:p>
      <w:pPr>
        <w:tabs>
          <w:tab w:val="left" w:pos="1260"/>
        </w:tabs>
        <w:spacing w:line="360" w:lineRule="auto"/>
        <w:ind w:firstLine="480" w:firstLineChars="200"/>
        <w:rPr>
          <w:rFonts w:ascii="宋体" w:hAnsi="宋体"/>
          <w:bCs/>
          <w:sz w:val="24"/>
          <w:szCs w:val="24"/>
        </w:rPr>
      </w:pPr>
      <w:r>
        <w:rPr>
          <w:rFonts w:hint="eastAsia" w:ascii="宋体" w:hAnsi="宋体"/>
          <w:sz w:val="24"/>
          <w:szCs w:val="24"/>
        </w:rPr>
        <w:t>六、我单位</w:t>
      </w:r>
      <w:r>
        <w:rPr>
          <w:rFonts w:hint="eastAsia" w:ascii="宋体" w:hAnsi="宋体"/>
          <w:b/>
          <w:sz w:val="24"/>
          <w:szCs w:val="24"/>
          <w:u w:val="single"/>
        </w:rPr>
        <w:t>（说明：填写“未处于”或“处于”）</w:t>
      </w:r>
      <w:r>
        <w:rPr>
          <w:rFonts w:hint="eastAsia" w:ascii="宋体" w:hAnsi="宋体"/>
          <w:bCs/>
          <w:sz w:val="24"/>
          <w:szCs w:val="24"/>
        </w:rPr>
        <w:t>被行政部门禁止参与政府采购活动的期限内。</w:t>
      </w:r>
    </w:p>
    <w:p>
      <w:pPr>
        <w:tabs>
          <w:tab w:val="left" w:pos="1260"/>
        </w:tabs>
        <w:spacing w:line="360" w:lineRule="auto"/>
        <w:ind w:firstLine="480" w:firstLineChars="200"/>
        <w:rPr>
          <w:rFonts w:ascii="宋体" w:hAnsi="宋体"/>
          <w:sz w:val="24"/>
          <w:szCs w:val="21"/>
        </w:rPr>
      </w:pPr>
      <w:r>
        <w:rPr>
          <w:rFonts w:hint="eastAsia" w:ascii="宋体" w:hAnsi="宋体"/>
          <w:sz w:val="24"/>
          <w:szCs w:val="21"/>
        </w:rPr>
        <w:t>七</w:t>
      </w:r>
      <w:r>
        <w:rPr>
          <w:rFonts w:ascii="宋体" w:hAnsi="宋体"/>
          <w:sz w:val="24"/>
          <w:szCs w:val="21"/>
        </w:rPr>
        <w:t>、</w:t>
      </w:r>
      <w:r>
        <w:rPr>
          <w:rFonts w:hint="eastAsia" w:ascii="宋体" w:hAnsi="宋体"/>
          <w:sz w:val="24"/>
          <w:szCs w:val="21"/>
        </w:rPr>
        <w:t>我单位</w:t>
      </w:r>
      <w:r>
        <w:rPr>
          <w:rFonts w:hint="eastAsia" w:ascii="宋体" w:hAnsi="宋体"/>
          <w:b/>
          <w:sz w:val="24"/>
          <w:szCs w:val="21"/>
          <w:u w:val="single"/>
        </w:rPr>
        <w:t>（说明：填写“具有”或“不具有”）</w:t>
      </w:r>
      <w:r>
        <w:rPr>
          <w:rFonts w:hint="eastAsia" w:ascii="宋体" w:hAnsi="宋体"/>
          <w:sz w:val="24"/>
          <w:szCs w:val="21"/>
        </w:rPr>
        <w:t>健全的</w:t>
      </w:r>
      <w:r>
        <w:rPr>
          <w:rFonts w:ascii="宋体" w:hAnsi="宋体"/>
          <w:sz w:val="24"/>
          <w:szCs w:val="21"/>
        </w:rPr>
        <w:t>财务会计制度</w:t>
      </w:r>
      <w:r>
        <w:rPr>
          <w:rFonts w:hint="eastAsia" w:ascii="宋体" w:hAnsi="宋体"/>
          <w:sz w:val="24"/>
          <w:szCs w:val="21"/>
        </w:rPr>
        <w:t>。</w:t>
      </w:r>
    </w:p>
    <w:p>
      <w:pPr>
        <w:pStyle w:val="2"/>
        <w:ind w:firstLine="480" w:firstLineChars="200"/>
        <w:rPr>
          <w:rFonts w:ascii="宋体" w:hAnsi="宋体"/>
          <w:bCs/>
          <w:sz w:val="24"/>
          <w:szCs w:val="24"/>
        </w:rPr>
      </w:pPr>
      <w:r>
        <w:rPr>
          <w:rFonts w:hint="eastAsia" w:ascii="宋体" w:hAnsi="宋体"/>
          <w:bCs/>
          <w:sz w:val="24"/>
          <w:szCs w:val="24"/>
        </w:rPr>
        <w:t>八</w:t>
      </w:r>
      <w:r>
        <w:rPr>
          <w:rFonts w:ascii="宋体" w:hAnsi="宋体"/>
          <w:bCs/>
          <w:sz w:val="24"/>
          <w:szCs w:val="24"/>
        </w:rPr>
        <w:t>、</w:t>
      </w:r>
      <w:r>
        <w:rPr>
          <w:rFonts w:hint="eastAsia" w:ascii="宋体" w:hAnsi="宋体"/>
          <w:bCs/>
          <w:sz w:val="24"/>
          <w:szCs w:val="24"/>
        </w:rPr>
        <w:t>我单位</w:t>
      </w:r>
      <w:r>
        <w:rPr>
          <w:rFonts w:hint="eastAsia" w:ascii="宋体" w:hAnsi="宋体"/>
          <w:b/>
          <w:bCs/>
          <w:sz w:val="24"/>
          <w:szCs w:val="24"/>
          <w:u w:val="single"/>
        </w:rPr>
        <w:t>（说明：填写“有”或“无”）</w:t>
      </w:r>
      <w:r>
        <w:rPr>
          <w:rFonts w:hint="eastAsia" w:ascii="宋体" w:hAnsi="宋体"/>
          <w:bCs/>
          <w:sz w:val="24"/>
          <w:szCs w:val="24"/>
        </w:rPr>
        <w:t>依法缴纳社会</w:t>
      </w:r>
      <w:r>
        <w:rPr>
          <w:rFonts w:ascii="宋体" w:hAnsi="宋体"/>
          <w:bCs/>
          <w:sz w:val="24"/>
          <w:szCs w:val="24"/>
        </w:rPr>
        <w:t>保障资金的良好记录。</w:t>
      </w:r>
    </w:p>
    <w:p>
      <w:pPr>
        <w:pStyle w:val="2"/>
        <w:ind w:firstLine="480" w:firstLineChars="200"/>
        <w:rPr>
          <w:rFonts w:ascii="宋体" w:hAnsi="宋体"/>
          <w:bCs/>
          <w:sz w:val="24"/>
          <w:szCs w:val="24"/>
        </w:rPr>
      </w:pPr>
      <w:r>
        <w:rPr>
          <w:rFonts w:hint="eastAsia" w:ascii="宋体" w:hAnsi="宋体"/>
          <w:bCs/>
          <w:sz w:val="24"/>
          <w:szCs w:val="24"/>
        </w:rPr>
        <w:t>九</w:t>
      </w:r>
      <w:r>
        <w:rPr>
          <w:rFonts w:ascii="宋体" w:hAnsi="宋体"/>
          <w:bCs/>
          <w:sz w:val="24"/>
          <w:szCs w:val="24"/>
        </w:rPr>
        <w:t>、我单位</w:t>
      </w:r>
      <w:r>
        <w:rPr>
          <w:rFonts w:hint="eastAsia" w:ascii="宋体" w:hAnsi="宋体"/>
          <w:b/>
          <w:bCs/>
          <w:sz w:val="24"/>
          <w:szCs w:val="24"/>
          <w:u w:val="single"/>
        </w:rPr>
        <w:t>（说明：填写“有”或“无”）</w:t>
      </w:r>
      <w:r>
        <w:rPr>
          <w:rFonts w:hint="eastAsia" w:ascii="宋体" w:hAnsi="宋体"/>
          <w:bCs/>
          <w:sz w:val="24"/>
          <w:szCs w:val="24"/>
        </w:rPr>
        <w:t>依法缴纳税收</w:t>
      </w:r>
      <w:r>
        <w:rPr>
          <w:rFonts w:ascii="宋体" w:hAnsi="宋体"/>
          <w:bCs/>
          <w:sz w:val="24"/>
          <w:szCs w:val="24"/>
        </w:rPr>
        <w:t>的良好记录。</w:t>
      </w:r>
    </w:p>
    <w:p>
      <w:pPr>
        <w:tabs>
          <w:tab w:val="left" w:pos="1260"/>
        </w:tabs>
        <w:spacing w:line="360" w:lineRule="auto"/>
        <w:ind w:firstLine="480" w:firstLineChars="200"/>
        <w:rPr>
          <w:rFonts w:ascii="宋体" w:hAnsi="宋体"/>
          <w:sz w:val="24"/>
          <w:szCs w:val="24"/>
        </w:rPr>
      </w:pPr>
      <w:r>
        <w:rPr>
          <w:rFonts w:hint="eastAsia" w:ascii="宋体" w:hAnsi="宋体"/>
          <w:sz w:val="24"/>
          <w:szCs w:val="24"/>
        </w:rPr>
        <w:t>特此声明。</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供应商名称：</w:t>
      </w:r>
      <w:r>
        <w:rPr>
          <w:rFonts w:hint="eastAsia" w:ascii="宋体" w:hAnsi="宋体"/>
          <w:sz w:val="24"/>
          <w:szCs w:val="24"/>
          <w:u w:val="single"/>
        </w:rPr>
        <w:t>XXXX</w:t>
      </w:r>
    </w:p>
    <w:p>
      <w:pPr>
        <w:tabs>
          <w:tab w:val="left" w:pos="1260"/>
        </w:tabs>
        <w:spacing w:line="560" w:lineRule="exact"/>
        <w:ind w:firstLine="480" w:firstLineChars="200"/>
        <w:rPr>
          <w:rFonts w:ascii="宋体" w:hAnsi="宋体"/>
          <w:sz w:val="24"/>
          <w:szCs w:val="24"/>
          <w:u w:val="single"/>
        </w:rPr>
      </w:pPr>
      <w:r>
        <w:rPr>
          <w:rFonts w:hint="eastAsia" w:ascii="宋体" w:hAnsi="宋体"/>
          <w:sz w:val="24"/>
          <w:szCs w:val="24"/>
        </w:rPr>
        <w:t>日    期：202</w:t>
      </w:r>
      <w:r>
        <w:rPr>
          <w:rFonts w:hint="eastAsia" w:ascii="宋体" w:hAnsi="宋体"/>
          <w:sz w:val="24"/>
          <w:szCs w:val="24"/>
          <w:u w:val="single"/>
        </w:rPr>
        <w:t>X</w:t>
      </w:r>
      <w:r>
        <w:rPr>
          <w:rFonts w:hint="eastAsia" w:ascii="宋体" w:hAnsi="宋体"/>
          <w:sz w:val="24"/>
          <w:szCs w:val="24"/>
        </w:rPr>
        <w:t>年</w:t>
      </w:r>
      <w:r>
        <w:rPr>
          <w:rFonts w:hint="eastAsia" w:ascii="宋体" w:hAnsi="宋体"/>
          <w:sz w:val="24"/>
          <w:szCs w:val="24"/>
          <w:u w:val="single"/>
        </w:rPr>
        <w:t>XX</w:t>
      </w:r>
      <w:r>
        <w:rPr>
          <w:rFonts w:hint="eastAsia" w:ascii="宋体" w:hAnsi="宋体"/>
          <w:sz w:val="24"/>
          <w:szCs w:val="24"/>
        </w:rPr>
        <w:t>月</w:t>
      </w:r>
      <w:r>
        <w:rPr>
          <w:rFonts w:hint="eastAsia" w:ascii="宋体" w:hAnsi="宋体"/>
          <w:sz w:val="24"/>
          <w:szCs w:val="24"/>
          <w:u w:val="single"/>
        </w:rPr>
        <w:t>XX</w:t>
      </w:r>
      <w:r>
        <w:rPr>
          <w:rFonts w:hint="eastAsia" w:ascii="宋体" w:hAnsi="宋体"/>
          <w:sz w:val="24"/>
          <w:szCs w:val="24"/>
        </w:rPr>
        <w:t>日</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说明：</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1.对声明中第一条的说明：如供应商在参加政府采购活动前三年内，在经营活动中有重大违法记录的，应填写“有”，供应商响应</w:t>
      </w:r>
      <w:r>
        <w:rPr>
          <w:rFonts w:ascii="宋体" w:hAnsi="宋体"/>
          <w:sz w:val="24"/>
          <w:szCs w:val="24"/>
        </w:rPr>
        <w:t>文件</w:t>
      </w:r>
      <w:r>
        <w:rPr>
          <w:rFonts w:hint="eastAsia" w:ascii="宋体" w:hAnsi="宋体"/>
          <w:sz w:val="24"/>
          <w:szCs w:val="24"/>
        </w:rPr>
        <w:t>将被认定为无效；</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2. 对声明中第三条的说明：单位负责人为同一人或者存在直接控股、管理关系的不同供应商，不得参加同一合同项下的政府采购活动；</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3.对声明中第四条的说明：在行贿犯罪信息查询期限内，供应商根据中国裁判文书网（https://wenshu.court.gov.cn）查询结果，如果供应商及其现任法定代表人、主要负责人有行贿犯罪记录的，供应商应填写“有”，供应商响应文件将被认定为无效；</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4.对声明中第五条的说明：供应商如被列入失信被执行人、重大税收违法案件当事人名单，应填写“被列入”，供应商响应文件将被认定为无效；供应商如被列入政府采购严重违法失信行为记录名单，应填写“被列入”，供应商响应文件将被认定为无效；</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5.对声明中第六条的说明：如供应商处于被行政部门禁止参加政府采购活动期限内的，该声明填“处于”，供应商响应文件将被认定为无效；</w:t>
      </w:r>
    </w:p>
    <w:p>
      <w:pPr>
        <w:spacing w:line="360" w:lineRule="auto"/>
        <w:ind w:firstLine="480" w:firstLineChars="200"/>
        <w:rPr>
          <w:rFonts w:ascii="宋体" w:hAnsi="宋体"/>
          <w:sz w:val="24"/>
          <w:szCs w:val="24"/>
        </w:rPr>
      </w:pPr>
      <w:r>
        <w:rPr>
          <w:rFonts w:ascii="宋体" w:hAnsi="宋体"/>
          <w:sz w:val="24"/>
          <w:szCs w:val="24"/>
        </w:rPr>
        <w:t>6.对声明中第七条的说明：供应商不具有健全的财务会计制度的，应填写“</w:t>
      </w:r>
      <w:r>
        <w:rPr>
          <w:rFonts w:hint="eastAsia" w:ascii="宋体" w:hAnsi="宋体"/>
          <w:sz w:val="24"/>
          <w:szCs w:val="24"/>
        </w:rPr>
        <w:t>不具有</w:t>
      </w:r>
      <w:r>
        <w:rPr>
          <w:rFonts w:ascii="宋体" w:hAnsi="宋体"/>
          <w:sz w:val="24"/>
          <w:szCs w:val="24"/>
        </w:rPr>
        <w:t>”</w:t>
      </w:r>
      <w:r>
        <w:rPr>
          <w:rFonts w:hint="eastAsia" w:ascii="宋体" w:hAnsi="宋体"/>
          <w:sz w:val="24"/>
          <w:szCs w:val="24"/>
        </w:rPr>
        <w:t>，供应商响应</w:t>
      </w:r>
      <w:r>
        <w:rPr>
          <w:rFonts w:ascii="宋体" w:hAnsi="宋体"/>
          <w:sz w:val="24"/>
          <w:szCs w:val="24"/>
        </w:rPr>
        <w:t>文件</w:t>
      </w:r>
      <w:r>
        <w:rPr>
          <w:rFonts w:hint="eastAsia" w:ascii="宋体" w:hAnsi="宋体"/>
          <w:sz w:val="24"/>
          <w:szCs w:val="24"/>
        </w:rPr>
        <w:t>将被认定为无效；</w:t>
      </w:r>
    </w:p>
    <w:p>
      <w:pPr>
        <w:spacing w:line="360" w:lineRule="auto"/>
        <w:ind w:firstLine="480" w:firstLineChars="200"/>
        <w:rPr>
          <w:rFonts w:ascii="宋体" w:hAnsi="宋体"/>
          <w:sz w:val="24"/>
          <w:szCs w:val="24"/>
        </w:rPr>
      </w:pPr>
      <w:r>
        <w:rPr>
          <w:rFonts w:ascii="宋体" w:hAnsi="宋体"/>
          <w:sz w:val="24"/>
          <w:szCs w:val="24"/>
        </w:rPr>
        <w:t>7、对声明中第八条的说明：如供应</w:t>
      </w:r>
      <w:r>
        <w:rPr>
          <w:rFonts w:hint="eastAsia" w:ascii="宋体" w:hAnsi="宋体"/>
          <w:sz w:val="24"/>
          <w:szCs w:val="24"/>
        </w:rPr>
        <w:t>商无依法缴纳社会</w:t>
      </w:r>
      <w:r>
        <w:rPr>
          <w:rFonts w:ascii="宋体" w:hAnsi="宋体"/>
          <w:sz w:val="24"/>
          <w:szCs w:val="24"/>
        </w:rPr>
        <w:t>保障资金的良好记录</w:t>
      </w:r>
      <w:r>
        <w:rPr>
          <w:rFonts w:hint="eastAsia" w:ascii="宋体" w:hAnsi="宋体"/>
          <w:sz w:val="24"/>
          <w:szCs w:val="24"/>
        </w:rPr>
        <w:t>，</w:t>
      </w:r>
      <w:r>
        <w:rPr>
          <w:rFonts w:ascii="宋体" w:hAnsi="宋体"/>
          <w:sz w:val="24"/>
          <w:szCs w:val="24"/>
        </w:rPr>
        <w:t>应填写“</w:t>
      </w:r>
      <w:r>
        <w:rPr>
          <w:rFonts w:hint="eastAsia" w:ascii="宋体" w:hAnsi="宋体"/>
          <w:sz w:val="24"/>
          <w:szCs w:val="24"/>
        </w:rPr>
        <w:t>无</w:t>
      </w:r>
      <w:r>
        <w:rPr>
          <w:rFonts w:ascii="宋体" w:hAnsi="宋体"/>
          <w:sz w:val="24"/>
          <w:szCs w:val="24"/>
        </w:rPr>
        <w:t>”</w:t>
      </w:r>
      <w:r>
        <w:rPr>
          <w:rFonts w:hint="eastAsia" w:ascii="宋体" w:hAnsi="宋体"/>
          <w:sz w:val="24"/>
          <w:szCs w:val="24"/>
        </w:rPr>
        <w:t>，供应商响应</w:t>
      </w:r>
      <w:r>
        <w:rPr>
          <w:rFonts w:ascii="宋体" w:hAnsi="宋体"/>
          <w:sz w:val="24"/>
          <w:szCs w:val="24"/>
        </w:rPr>
        <w:t>文件</w:t>
      </w:r>
      <w:r>
        <w:rPr>
          <w:rFonts w:hint="eastAsia" w:ascii="宋体" w:hAnsi="宋体"/>
          <w:sz w:val="24"/>
          <w:szCs w:val="24"/>
        </w:rPr>
        <w:t>将被认定为</w:t>
      </w:r>
      <w:r>
        <w:rPr>
          <w:rFonts w:ascii="宋体" w:hAnsi="宋体"/>
          <w:sz w:val="24"/>
          <w:szCs w:val="24"/>
        </w:rPr>
        <w:t>无效</w:t>
      </w:r>
      <w:r>
        <w:rPr>
          <w:rFonts w:hint="eastAsia"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8、对声明中第九条的说明：如供应</w:t>
      </w:r>
      <w:r>
        <w:rPr>
          <w:rFonts w:hint="eastAsia" w:ascii="宋体" w:hAnsi="宋体"/>
          <w:sz w:val="24"/>
          <w:szCs w:val="24"/>
        </w:rPr>
        <w:t>商无依法缴纳税收</w:t>
      </w:r>
      <w:r>
        <w:rPr>
          <w:rFonts w:ascii="宋体" w:hAnsi="宋体"/>
          <w:sz w:val="24"/>
          <w:szCs w:val="24"/>
        </w:rPr>
        <w:t>的良好记录</w:t>
      </w:r>
      <w:r>
        <w:rPr>
          <w:rFonts w:hint="eastAsia" w:ascii="宋体" w:hAnsi="宋体"/>
          <w:sz w:val="24"/>
          <w:szCs w:val="24"/>
        </w:rPr>
        <w:t>，</w:t>
      </w:r>
      <w:r>
        <w:rPr>
          <w:rFonts w:ascii="宋体" w:hAnsi="宋体"/>
          <w:sz w:val="24"/>
          <w:szCs w:val="24"/>
        </w:rPr>
        <w:t>应填写“</w:t>
      </w:r>
      <w:r>
        <w:rPr>
          <w:rFonts w:hint="eastAsia" w:ascii="宋体" w:hAnsi="宋体"/>
          <w:sz w:val="24"/>
          <w:szCs w:val="24"/>
        </w:rPr>
        <w:t>无</w:t>
      </w:r>
      <w:r>
        <w:rPr>
          <w:rFonts w:ascii="宋体" w:hAnsi="宋体"/>
          <w:sz w:val="24"/>
          <w:szCs w:val="24"/>
        </w:rPr>
        <w:t>”</w:t>
      </w:r>
      <w:r>
        <w:rPr>
          <w:rFonts w:hint="eastAsia" w:ascii="宋体" w:hAnsi="宋体"/>
          <w:sz w:val="24"/>
          <w:szCs w:val="24"/>
        </w:rPr>
        <w:t>，供应商响应</w:t>
      </w:r>
      <w:r>
        <w:rPr>
          <w:rFonts w:ascii="宋体" w:hAnsi="宋体"/>
          <w:sz w:val="24"/>
          <w:szCs w:val="24"/>
        </w:rPr>
        <w:t>文件</w:t>
      </w:r>
      <w:r>
        <w:rPr>
          <w:rFonts w:hint="eastAsia" w:ascii="宋体" w:hAnsi="宋体"/>
          <w:sz w:val="24"/>
          <w:szCs w:val="24"/>
        </w:rPr>
        <w:t>将被认定为</w:t>
      </w:r>
      <w:r>
        <w:rPr>
          <w:rFonts w:ascii="宋体" w:hAnsi="宋体"/>
          <w:sz w:val="24"/>
          <w:szCs w:val="24"/>
        </w:rPr>
        <w:t>无效</w:t>
      </w:r>
      <w:r>
        <w:rPr>
          <w:rFonts w:hint="eastAsia" w:ascii="宋体" w:hAnsi="宋体"/>
          <w:sz w:val="24"/>
          <w:szCs w:val="24"/>
        </w:rPr>
        <w:t>。</w:t>
      </w:r>
    </w:p>
    <w:p>
      <w:pPr>
        <w:spacing w:line="360" w:lineRule="auto"/>
        <w:ind w:firstLine="400" w:firstLineChars="200"/>
        <w:rPr>
          <w:rFonts w:ascii="宋体" w:hAnsi="宋体"/>
          <w:sz w:val="20"/>
          <w:szCs w:val="21"/>
        </w:rPr>
      </w:pPr>
    </w:p>
    <w:p>
      <w:pPr>
        <w:snapToGrid w:val="0"/>
        <w:spacing w:line="360" w:lineRule="auto"/>
        <w:ind w:right="-624" w:rightChars="-297"/>
        <w:rPr>
          <w:rFonts w:ascii="宋体" w:hAnsi="宋体"/>
          <w:sz w:val="22"/>
          <w:szCs w:val="22"/>
        </w:rPr>
      </w:pPr>
    </w:p>
    <w:p>
      <w:pPr>
        <w:rPr>
          <w:rFonts w:ascii="宋体" w:hAnsi="宋体"/>
          <w:sz w:val="20"/>
          <w:szCs w:val="21"/>
        </w:rPr>
      </w:pPr>
      <w:r>
        <w:rPr>
          <w:rFonts w:ascii="宋体" w:hAnsi="宋体"/>
          <w:sz w:val="20"/>
          <w:szCs w:val="21"/>
        </w:rPr>
        <w:br w:type="page"/>
      </w:r>
    </w:p>
    <w:p>
      <w:pPr>
        <w:pStyle w:val="6"/>
        <w:numPr>
          <w:ilvl w:val="2"/>
          <w:numId w:val="5"/>
        </w:numPr>
        <w:tabs>
          <w:tab w:val="left" w:pos="709"/>
        </w:tabs>
        <w:spacing w:after="200"/>
        <w:ind w:left="1135" w:hanging="1135"/>
        <w:rPr>
          <w:color w:val="auto"/>
          <w:sz w:val="24"/>
          <w:szCs w:val="24"/>
        </w:rPr>
      </w:pPr>
      <w:r>
        <w:rPr>
          <w:rFonts w:hint="eastAsia"/>
          <w:color w:val="auto"/>
          <w:sz w:val="24"/>
          <w:szCs w:val="24"/>
        </w:rPr>
        <w:t>中小企业声明函</w:t>
      </w:r>
    </w:p>
    <w:p>
      <w:pPr>
        <w:spacing w:line="440" w:lineRule="exact"/>
        <w:ind w:firstLine="496" w:firstLineChars="196"/>
        <w:jc w:val="center"/>
        <w:rPr>
          <w:rFonts w:ascii="宋体" w:hAnsi="宋体"/>
          <w:b/>
          <w:sz w:val="24"/>
          <w:szCs w:val="24"/>
        </w:rPr>
      </w:pPr>
      <w:r>
        <w:rPr>
          <w:rFonts w:hint="eastAsia" w:ascii="宋体" w:hAnsi="宋体"/>
          <w:b/>
          <w:spacing w:val="6"/>
          <w:sz w:val="24"/>
          <w:szCs w:val="24"/>
        </w:rPr>
        <w:t>中小企业声明函</w:t>
      </w:r>
    </w:p>
    <w:p>
      <w:pPr>
        <w:spacing w:line="480" w:lineRule="exact"/>
        <w:ind w:firstLine="561"/>
        <w:rPr>
          <w:rFonts w:ascii="宋体" w:hAnsi="宋体"/>
          <w:sz w:val="24"/>
          <w:szCs w:val="24"/>
        </w:rPr>
      </w:pPr>
      <w:r>
        <w:rPr>
          <w:rFonts w:hint="eastAsia" w:ascii="宋体" w:hAnsi="宋体"/>
          <w:sz w:val="24"/>
          <w:szCs w:val="24"/>
        </w:rPr>
        <w:t>本公司郑重声明，根据《政府采购促进中小企业发展管理办法》（财库﹝2020﹞46 号）的规定，本公司参加</w:t>
      </w:r>
      <w:r>
        <w:rPr>
          <w:rFonts w:hint="eastAsia" w:ascii="宋体" w:hAnsi="宋体"/>
          <w:b/>
          <w:sz w:val="24"/>
          <w:szCs w:val="24"/>
          <w:u w:val="single"/>
        </w:rPr>
        <w:t>XX</w:t>
      </w:r>
      <w:r>
        <w:rPr>
          <w:rFonts w:hint="eastAsia" w:ascii="宋体" w:hAnsi="宋体"/>
          <w:sz w:val="24"/>
          <w:szCs w:val="24"/>
        </w:rPr>
        <w:t>（单位名称）的</w:t>
      </w:r>
      <w:r>
        <w:rPr>
          <w:rFonts w:hint="eastAsia" w:ascii="宋体" w:hAnsi="宋体"/>
          <w:b/>
          <w:sz w:val="24"/>
          <w:szCs w:val="24"/>
          <w:u w:val="single"/>
        </w:rPr>
        <w:t>XX</w:t>
      </w:r>
      <w:r>
        <w:rPr>
          <w:rFonts w:hint="eastAsia" w:ascii="宋体" w:hAnsi="宋体"/>
          <w:sz w:val="24"/>
          <w:szCs w:val="24"/>
        </w:rPr>
        <w:t>（项目名称）采购活动，</w:t>
      </w:r>
      <w:r>
        <w:rPr>
          <w:rFonts w:hint="eastAsia" w:ascii="宋体" w:hAnsi="宋体"/>
          <w:b/>
          <w:sz w:val="24"/>
          <w:szCs w:val="24"/>
        </w:rPr>
        <w:t>提供的</w:t>
      </w:r>
      <w:r>
        <w:rPr>
          <w:rFonts w:hint="eastAsia" w:ascii="宋体" w:hAnsi="宋体"/>
          <w:b/>
          <w:sz w:val="24"/>
          <w:szCs w:val="24"/>
          <w:highlight w:val="yellow"/>
        </w:rPr>
        <w:t>货物</w:t>
      </w:r>
      <w:r>
        <w:rPr>
          <w:rFonts w:hint="eastAsia" w:ascii="宋体" w:hAnsi="宋体"/>
          <w:b/>
          <w:sz w:val="24"/>
          <w:szCs w:val="24"/>
        </w:rPr>
        <w:t>全部由符合政策要求的中小企业制造。</w:t>
      </w:r>
      <w:r>
        <w:rPr>
          <w:rFonts w:hint="eastAsia" w:ascii="宋体" w:hAnsi="宋体"/>
          <w:sz w:val="24"/>
          <w:szCs w:val="24"/>
        </w:rPr>
        <w:t>相关企业的具体情况如下：</w:t>
      </w:r>
    </w:p>
    <w:p>
      <w:pPr>
        <w:spacing w:line="480" w:lineRule="exact"/>
        <w:ind w:firstLine="561"/>
        <w:rPr>
          <w:rFonts w:ascii="宋体" w:hAnsi="宋体"/>
          <w:sz w:val="24"/>
          <w:szCs w:val="24"/>
        </w:rPr>
      </w:pPr>
      <w:r>
        <w:rPr>
          <w:rFonts w:hint="eastAsia" w:ascii="宋体" w:hAnsi="宋体"/>
          <w:sz w:val="24"/>
          <w:szCs w:val="24"/>
        </w:rPr>
        <w:t xml:space="preserve"> 1. </w:t>
      </w:r>
      <w:r>
        <w:rPr>
          <w:rFonts w:hint="eastAsia" w:ascii="宋体" w:hAnsi="宋体"/>
          <w:sz w:val="24"/>
          <w:szCs w:val="24"/>
          <w:u w:val="single"/>
        </w:rPr>
        <w:t>___XXXX____</w:t>
      </w:r>
      <w:r>
        <w:rPr>
          <w:rFonts w:hint="eastAsia" w:ascii="宋体" w:hAnsi="宋体"/>
          <w:sz w:val="24"/>
          <w:szCs w:val="24"/>
        </w:rPr>
        <w:t>（标的名称），属于</w:t>
      </w:r>
      <w:r>
        <w:rPr>
          <w:rFonts w:hint="eastAsia" w:ascii="宋体" w:hAnsi="宋体"/>
          <w:sz w:val="24"/>
          <w:szCs w:val="24"/>
          <w:u w:val="single"/>
        </w:rPr>
        <w:t>___XXXX____</w:t>
      </w:r>
      <w:r>
        <w:rPr>
          <w:rFonts w:hint="eastAsia" w:ascii="宋体" w:hAnsi="宋体"/>
          <w:sz w:val="24"/>
          <w:szCs w:val="24"/>
        </w:rPr>
        <w:t>（采购文件中明确的所属行业）行业；制造商为</w:t>
      </w:r>
      <w:r>
        <w:rPr>
          <w:rFonts w:hint="eastAsia" w:ascii="宋体" w:hAnsi="宋体"/>
          <w:sz w:val="24"/>
          <w:szCs w:val="24"/>
          <w:u w:val="single"/>
        </w:rPr>
        <w:t>___XXXX__</w:t>
      </w:r>
      <w:r>
        <w:rPr>
          <w:rFonts w:hint="eastAsia" w:ascii="宋体" w:hAnsi="宋体"/>
          <w:sz w:val="24"/>
          <w:szCs w:val="24"/>
        </w:rPr>
        <w:t>（企业名称），从业人员</w:t>
      </w:r>
      <w:r>
        <w:rPr>
          <w:rFonts w:hint="eastAsia" w:ascii="宋体" w:hAnsi="宋体"/>
          <w:sz w:val="24"/>
          <w:szCs w:val="24"/>
          <w:u w:val="single"/>
        </w:rPr>
        <w:t>___XXXX___</w:t>
      </w:r>
      <w:r>
        <w:rPr>
          <w:rFonts w:hint="eastAsia" w:ascii="宋体" w:hAnsi="宋体"/>
          <w:sz w:val="24"/>
          <w:szCs w:val="24"/>
        </w:rPr>
        <w:t>人，营业收入为</w:t>
      </w:r>
      <w:r>
        <w:rPr>
          <w:rFonts w:hint="eastAsia" w:ascii="宋体" w:hAnsi="宋体"/>
          <w:sz w:val="24"/>
          <w:szCs w:val="24"/>
          <w:u w:val="single"/>
        </w:rPr>
        <w:t>__XXXX__</w:t>
      </w:r>
      <w:r>
        <w:rPr>
          <w:rFonts w:hint="eastAsia" w:ascii="宋体" w:hAnsi="宋体"/>
          <w:sz w:val="24"/>
          <w:szCs w:val="24"/>
        </w:rPr>
        <w:t>万元，资产总额为</w:t>
      </w:r>
      <w:r>
        <w:rPr>
          <w:rFonts w:hint="eastAsia" w:ascii="宋体" w:hAnsi="宋体"/>
          <w:sz w:val="24"/>
          <w:szCs w:val="24"/>
          <w:u w:val="single"/>
        </w:rPr>
        <w:t>___XXXX___</w:t>
      </w:r>
      <w:r>
        <w:rPr>
          <w:rFonts w:hint="eastAsia" w:ascii="宋体" w:hAnsi="宋体"/>
          <w:sz w:val="24"/>
          <w:szCs w:val="24"/>
        </w:rPr>
        <w:t>万元</w:t>
      </w:r>
      <w:r>
        <w:rPr>
          <w:rFonts w:hint="eastAsia" w:ascii="宋体" w:hAnsi="宋体"/>
          <w:sz w:val="24"/>
          <w:szCs w:val="24"/>
          <w:vertAlign w:val="superscript"/>
        </w:rPr>
        <w:t>1</w:t>
      </w:r>
      <w:r>
        <w:rPr>
          <w:rFonts w:hint="eastAsia" w:ascii="宋体" w:hAnsi="宋体"/>
          <w:sz w:val="24"/>
          <w:szCs w:val="24"/>
        </w:rPr>
        <w:t>，属于</w:t>
      </w:r>
      <w:r>
        <w:rPr>
          <w:rFonts w:hint="eastAsia" w:ascii="宋体" w:hAnsi="宋体"/>
          <w:sz w:val="24"/>
          <w:szCs w:val="24"/>
          <w:u w:val="single"/>
        </w:rPr>
        <w:t>___XXXX__</w:t>
      </w:r>
      <w:r>
        <w:rPr>
          <w:rFonts w:hint="eastAsia" w:ascii="宋体" w:hAnsi="宋体"/>
          <w:sz w:val="24"/>
          <w:szCs w:val="24"/>
        </w:rPr>
        <w:t>（中型企业、小型企业、微型企业）。</w:t>
      </w:r>
    </w:p>
    <w:p>
      <w:pPr>
        <w:spacing w:line="480" w:lineRule="exact"/>
        <w:ind w:firstLine="561"/>
        <w:rPr>
          <w:rFonts w:ascii="宋体" w:hAnsi="宋体"/>
          <w:sz w:val="24"/>
          <w:szCs w:val="24"/>
        </w:rPr>
      </w:pPr>
      <w:r>
        <w:rPr>
          <w:rFonts w:hint="eastAsia" w:ascii="宋体" w:hAnsi="宋体"/>
          <w:sz w:val="24"/>
          <w:szCs w:val="24"/>
        </w:rPr>
        <w:t xml:space="preserve">2. </w:t>
      </w:r>
      <w:r>
        <w:rPr>
          <w:rFonts w:hint="eastAsia" w:ascii="宋体" w:hAnsi="宋体"/>
          <w:sz w:val="24"/>
          <w:szCs w:val="24"/>
          <w:u w:val="single"/>
        </w:rPr>
        <w:t>___XXXX____</w:t>
      </w:r>
      <w:r>
        <w:rPr>
          <w:rFonts w:hint="eastAsia" w:ascii="宋体" w:hAnsi="宋体"/>
          <w:sz w:val="24"/>
          <w:szCs w:val="24"/>
        </w:rPr>
        <w:t>（标的名称），属于</w:t>
      </w:r>
      <w:r>
        <w:rPr>
          <w:rFonts w:hint="eastAsia" w:ascii="宋体" w:hAnsi="宋体"/>
          <w:sz w:val="24"/>
          <w:szCs w:val="24"/>
          <w:u w:val="single"/>
        </w:rPr>
        <w:t>___XXXX____</w:t>
      </w:r>
      <w:r>
        <w:rPr>
          <w:rFonts w:hint="eastAsia" w:ascii="宋体" w:hAnsi="宋体"/>
          <w:sz w:val="24"/>
          <w:szCs w:val="24"/>
        </w:rPr>
        <w:t>（采购文件中明确的所属行业）行业；制造商为</w:t>
      </w:r>
      <w:r>
        <w:rPr>
          <w:rFonts w:hint="eastAsia" w:ascii="宋体" w:hAnsi="宋体"/>
          <w:sz w:val="24"/>
          <w:szCs w:val="24"/>
          <w:u w:val="single"/>
        </w:rPr>
        <w:t>___XXXX__</w:t>
      </w:r>
      <w:r>
        <w:rPr>
          <w:rFonts w:hint="eastAsia" w:ascii="宋体" w:hAnsi="宋体"/>
          <w:sz w:val="24"/>
          <w:szCs w:val="24"/>
        </w:rPr>
        <w:t>（企业名称），从业人员</w:t>
      </w:r>
      <w:r>
        <w:rPr>
          <w:rFonts w:hint="eastAsia" w:ascii="宋体" w:hAnsi="宋体"/>
          <w:sz w:val="24"/>
          <w:szCs w:val="24"/>
          <w:u w:val="single"/>
        </w:rPr>
        <w:t>___XXXX___</w:t>
      </w:r>
      <w:r>
        <w:rPr>
          <w:rFonts w:hint="eastAsia" w:ascii="宋体" w:hAnsi="宋体"/>
          <w:sz w:val="24"/>
          <w:szCs w:val="24"/>
        </w:rPr>
        <w:t>人，营业收入为</w:t>
      </w:r>
      <w:r>
        <w:rPr>
          <w:rFonts w:hint="eastAsia" w:ascii="宋体" w:hAnsi="宋体"/>
          <w:sz w:val="24"/>
          <w:szCs w:val="24"/>
          <w:u w:val="single"/>
        </w:rPr>
        <w:t>__XXXX__</w:t>
      </w:r>
      <w:r>
        <w:rPr>
          <w:rFonts w:hint="eastAsia" w:ascii="宋体" w:hAnsi="宋体"/>
          <w:sz w:val="24"/>
          <w:szCs w:val="24"/>
        </w:rPr>
        <w:t>万元，资产总额为</w:t>
      </w:r>
      <w:r>
        <w:rPr>
          <w:rFonts w:hint="eastAsia" w:ascii="宋体" w:hAnsi="宋体"/>
          <w:sz w:val="24"/>
          <w:szCs w:val="24"/>
          <w:u w:val="single"/>
        </w:rPr>
        <w:t>___XXXX___</w:t>
      </w:r>
      <w:r>
        <w:rPr>
          <w:rFonts w:hint="eastAsia" w:ascii="宋体" w:hAnsi="宋体"/>
          <w:sz w:val="24"/>
          <w:szCs w:val="24"/>
        </w:rPr>
        <w:t>万元</w:t>
      </w:r>
      <w:r>
        <w:rPr>
          <w:rFonts w:hint="eastAsia" w:ascii="宋体" w:hAnsi="宋体"/>
          <w:sz w:val="24"/>
          <w:szCs w:val="24"/>
          <w:vertAlign w:val="superscript"/>
        </w:rPr>
        <w:t>1</w:t>
      </w:r>
      <w:r>
        <w:rPr>
          <w:rFonts w:hint="eastAsia" w:ascii="宋体" w:hAnsi="宋体"/>
          <w:sz w:val="24"/>
          <w:szCs w:val="24"/>
        </w:rPr>
        <w:t>，属于</w:t>
      </w:r>
      <w:r>
        <w:rPr>
          <w:rFonts w:hint="eastAsia" w:ascii="宋体" w:hAnsi="宋体"/>
          <w:sz w:val="24"/>
          <w:szCs w:val="24"/>
          <w:u w:val="single"/>
        </w:rPr>
        <w:t>___XXXX__</w:t>
      </w:r>
      <w:r>
        <w:rPr>
          <w:rFonts w:hint="eastAsia" w:ascii="宋体" w:hAnsi="宋体"/>
          <w:sz w:val="24"/>
          <w:szCs w:val="24"/>
        </w:rPr>
        <w:t>（中型企业、小型企业、微型企业）。</w:t>
      </w:r>
    </w:p>
    <w:p>
      <w:pPr>
        <w:spacing w:line="480" w:lineRule="exact"/>
        <w:ind w:firstLine="561"/>
        <w:rPr>
          <w:rFonts w:ascii="宋体" w:hAnsi="宋体"/>
          <w:sz w:val="24"/>
          <w:szCs w:val="24"/>
        </w:rPr>
      </w:pPr>
      <w:r>
        <w:rPr>
          <w:rFonts w:hint="eastAsia" w:ascii="宋体" w:hAnsi="宋体"/>
          <w:sz w:val="24"/>
          <w:szCs w:val="24"/>
        </w:rPr>
        <w:t>…………</w:t>
      </w:r>
    </w:p>
    <w:p>
      <w:pPr>
        <w:spacing w:line="480" w:lineRule="exact"/>
        <w:ind w:firstLine="561"/>
        <w:rPr>
          <w:rFonts w:ascii="宋体" w:hAnsi="宋体"/>
          <w:sz w:val="24"/>
          <w:szCs w:val="24"/>
        </w:rPr>
      </w:pPr>
      <w:r>
        <w:rPr>
          <w:rFonts w:hint="eastAsia" w:ascii="宋体" w:hAnsi="宋体"/>
          <w:sz w:val="24"/>
          <w:szCs w:val="24"/>
        </w:rPr>
        <w:t>以上企业，不属于大企业的分支机构，不存在控股股东 为大企业的情形，也不存在与大企业的负责人为同一人的情形。</w:t>
      </w:r>
    </w:p>
    <w:p>
      <w:pPr>
        <w:spacing w:line="480" w:lineRule="exact"/>
        <w:ind w:firstLine="561"/>
        <w:rPr>
          <w:rFonts w:ascii="宋体" w:hAnsi="宋体"/>
          <w:sz w:val="24"/>
          <w:szCs w:val="24"/>
        </w:rPr>
      </w:pPr>
      <w:r>
        <w:rPr>
          <w:rFonts w:hint="eastAsia" w:ascii="宋体" w:hAnsi="宋体"/>
          <w:sz w:val="24"/>
          <w:szCs w:val="24"/>
        </w:rPr>
        <w:t>本企业对上述声明内容的真实性负责。如有虚假，将依法承担相应责任。</w:t>
      </w:r>
    </w:p>
    <w:p>
      <w:pPr>
        <w:spacing w:line="480" w:lineRule="exact"/>
        <w:ind w:right="280" w:firstLine="561"/>
        <w:jc w:val="right"/>
        <w:rPr>
          <w:rFonts w:ascii="宋体" w:hAnsi="宋体"/>
          <w:sz w:val="24"/>
          <w:szCs w:val="24"/>
        </w:rPr>
      </w:pPr>
      <w:r>
        <w:rPr>
          <w:rFonts w:hint="eastAsia" w:ascii="宋体" w:hAnsi="宋体"/>
          <w:sz w:val="24"/>
          <w:szCs w:val="24"/>
        </w:rPr>
        <w:t>企业名称：</w:t>
      </w:r>
      <w:r>
        <w:rPr>
          <w:rFonts w:hint="eastAsia" w:ascii="宋体" w:hAnsi="宋体"/>
          <w:sz w:val="24"/>
          <w:szCs w:val="24"/>
          <w:u w:val="single"/>
        </w:rPr>
        <w:t>___XXXX____</w:t>
      </w:r>
    </w:p>
    <w:p>
      <w:pPr>
        <w:spacing w:line="480" w:lineRule="exact"/>
        <w:ind w:firstLine="561"/>
        <w:rPr>
          <w:rFonts w:ascii="宋体" w:hAnsi="宋体"/>
          <w:sz w:val="24"/>
          <w:szCs w:val="24"/>
        </w:rPr>
      </w:pPr>
      <w:r>
        <w:rPr>
          <w:rFonts w:hint="eastAsia" w:ascii="宋体" w:hAnsi="宋体"/>
          <w:sz w:val="24"/>
          <w:szCs w:val="24"/>
        </w:rPr>
        <w:t xml:space="preserve">                                日 期：202X年XX月XX日</w:t>
      </w:r>
    </w:p>
    <w:p>
      <w:pPr>
        <w:pStyle w:val="81"/>
        <w:tabs>
          <w:tab w:val="left" w:pos="567"/>
          <w:tab w:val="left" w:pos="709"/>
          <w:tab w:val="left" w:pos="851"/>
        </w:tabs>
        <w:spacing w:line="520" w:lineRule="exact"/>
        <w:ind w:firstLine="0" w:firstLineChars="0"/>
        <w:rPr>
          <w:rFonts w:ascii="宋体" w:hAnsi="宋体" w:eastAsia="宋体"/>
          <w:b/>
          <w:sz w:val="24"/>
          <w:szCs w:val="24"/>
        </w:rPr>
      </w:pPr>
    </w:p>
    <w:p>
      <w:pPr>
        <w:pStyle w:val="81"/>
        <w:tabs>
          <w:tab w:val="left" w:pos="567"/>
          <w:tab w:val="left" w:pos="709"/>
          <w:tab w:val="left" w:pos="851"/>
        </w:tabs>
        <w:spacing w:line="520" w:lineRule="exact"/>
        <w:ind w:firstLine="0" w:firstLineChars="0"/>
        <w:rPr>
          <w:rFonts w:hint="eastAsia" w:ascii="宋体" w:hAnsi="宋体" w:eastAsia="宋体"/>
          <w:b/>
          <w:sz w:val="24"/>
          <w:szCs w:val="24"/>
          <w:lang w:val="en-US" w:eastAsia="zh-CN"/>
        </w:rPr>
      </w:pPr>
      <w:r>
        <w:rPr>
          <w:rFonts w:hint="eastAsia" w:ascii="宋体" w:hAnsi="宋体" w:eastAsia="宋体"/>
          <w:b/>
          <w:sz w:val="24"/>
          <w:szCs w:val="24"/>
        </w:rPr>
        <w:t>说明：</w:t>
      </w:r>
      <w:r>
        <w:rPr>
          <w:rFonts w:hint="eastAsia" w:ascii="宋体" w:hAnsi="宋体" w:eastAsia="宋体"/>
          <w:b/>
          <w:sz w:val="24"/>
          <w:szCs w:val="24"/>
          <w:vertAlign w:val="superscript"/>
        </w:rPr>
        <w:t>1</w:t>
      </w:r>
      <w:r>
        <w:rPr>
          <w:rFonts w:hint="eastAsia" w:ascii="宋体" w:hAnsi="宋体" w:eastAsia="宋体"/>
          <w:b/>
          <w:sz w:val="24"/>
          <w:szCs w:val="24"/>
        </w:rPr>
        <w:t>从业人员、营业收入、资产总额填报上一年度数据，无上一年度数据的新成立企业可不填报。</w:t>
      </w:r>
      <w:r>
        <w:rPr>
          <w:rFonts w:hint="eastAsia" w:ascii="宋体" w:hAnsi="宋体" w:eastAsia="宋体"/>
          <w:b/>
          <w:sz w:val="24"/>
          <w:szCs w:val="24"/>
        </w:rPr>
        <w:br w:type="textWrapping"/>
      </w:r>
      <w:r>
        <w:rPr>
          <w:rFonts w:hint="eastAsia" w:ascii="宋体" w:hAnsi="宋体" w:eastAsia="宋体"/>
          <w:b/>
          <w:sz w:val="24"/>
          <w:szCs w:val="24"/>
          <w:lang w:val="en-US" w:eastAsia="zh-CN"/>
        </w:rPr>
        <w:t xml:space="preserve">   </w:t>
      </w:r>
    </w:p>
    <w:p>
      <w:pPr>
        <w:pStyle w:val="81"/>
        <w:tabs>
          <w:tab w:val="left" w:pos="567"/>
          <w:tab w:val="left" w:pos="709"/>
          <w:tab w:val="left" w:pos="851"/>
        </w:tabs>
        <w:spacing w:line="520" w:lineRule="exact"/>
        <w:ind w:left="0" w:leftChars="0" w:firstLine="0" w:firstLineChars="0"/>
        <w:rPr>
          <w:rFonts w:hint="eastAsia" w:ascii="宋体" w:hAnsi="宋体" w:eastAsia="宋体"/>
          <w:b/>
          <w:sz w:val="24"/>
          <w:szCs w:val="24"/>
          <w:lang w:val="en-US" w:eastAsia="zh-CN"/>
        </w:rPr>
      </w:pPr>
      <w:r>
        <w:rPr>
          <w:rFonts w:hint="eastAsia" w:ascii="宋体" w:hAnsi="宋体" w:eastAsia="宋体"/>
          <w:b/>
          <w:sz w:val="24"/>
          <w:szCs w:val="24"/>
          <w:lang w:eastAsia="zh-CN"/>
        </w:rPr>
        <w:t>注：</w:t>
      </w:r>
      <w:r>
        <w:rPr>
          <w:rFonts w:hint="default" w:ascii="宋体" w:hAnsi="宋体" w:eastAsia="宋体"/>
          <w:b/>
          <w:sz w:val="24"/>
          <w:szCs w:val="24"/>
        </w:rPr>
        <w:t>提供了《残疾人福利性单位声明函》或监狱企业证明文件复印件的不需提供</w:t>
      </w:r>
      <w:r>
        <w:rPr>
          <w:rFonts w:hint="eastAsia" w:ascii="宋体" w:hAnsi="宋体" w:eastAsia="宋体"/>
          <w:b/>
          <w:sz w:val="24"/>
          <w:szCs w:val="24"/>
          <w:lang w:eastAsia="zh-CN"/>
        </w:rPr>
        <w:t>。</w:t>
      </w:r>
    </w:p>
    <w:p>
      <w:pPr>
        <w:rPr>
          <w:rFonts w:ascii="宋体" w:hAnsi="宋体" w:eastAsia="宋体"/>
          <w:b/>
          <w:sz w:val="24"/>
          <w:szCs w:val="24"/>
        </w:rPr>
      </w:pPr>
      <w:r>
        <w:rPr>
          <w:rFonts w:ascii="宋体" w:hAnsi="宋体" w:eastAsia="宋体"/>
          <w:b/>
          <w:sz w:val="24"/>
          <w:szCs w:val="24"/>
        </w:rPr>
        <w:br w:type="page"/>
      </w:r>
    </w:p>
    <w:p>
      <w:pPr>
        <w:pStyle w:val="6"/>
        <w:numPr>
          <w:ilvl w:val="2"/>
          <w:numId w:val="5"/>
        </w:numPr>
        <w:tabs>
          <w:tab w:val="left" w:pos="709"/>
        </w:tabs>
        <w:spacing w:after="200"/>
        <w:ind w:left="1135" w:hanging="1135"/>
        <w:rPr>
          <w:color w:val="auto"/>
          <w:sz w:val="24"/>
          <w:szCs w:val="24"/>
        </w:rPr>
      </w:pPr>
      <w:r>
        <w:rPr>
          <w:rFonts w:hint="eastAsia"/>
          <w:color w:val="auto"/>
          <w:sz w:val="24"/>
          <w:szCs w:val="24"/>
        </w:rPr>
        <w:t>残疾人福利性单位声明函</w:t>
      </w:r>
    </w:p>
    <w:p>
      <w:pPr>
        <w:spacing w:line="500" w:lineRule="exact"/>
        <w:jc w:val="center"/>
        <w:rPr>
          <w:rFonts w:ascii="宋体" w:hAnsi="宋体"/>
          <w:b/>
          <w:spacing w:val="6"/>
          <w:sz w:val="24"/>
          <w:szCs w:val="24"/>
        </w:rPr>
      </w:pPr>
      <w:r>
        <w:rPr>
          <w:rFonts w:hint="eastAsia" w:ascii="宋体" w:hAnsi="宋体"/>
          <w:b/>
          <w:spacing w:val="6"/>
          <w:sz w:val="24"/>
          <w:szCs w:val="24"/>
        </w:rPr>
        <w:t>残疾人福利性单位声明函</w:t>
      </w:r>
    </w:p>
    <w:p>
      <w:pPr>
        <w:spacing w:line="440" w:lineRule="exact"/>
        <w:rPr>
          <w:rFonts w:ascii="仿宋_GB2312" w:eastAsia="仿宋_GB2312"/>
          <w:b/>
          <w:spacing w:val="6"/>
          <w:sz w:val="28"/>
          <w:szCs w:val="28"/>
        </w:rPr>
      </w:pPr>
    </w:p>
    <w:p>
      <w:pPr>
        <w:spacing w:line="588" w:lineRule="exact"/>
        <w:ind w:firstLine="504" w:firstLineChars="200"/>
        <w:rPr>
          <w:rFonts w:ascii="宋体" w:hAnsi="宋体"/>
          <w:spacing w:val="6"/>
          <w:sz w:val="24"/>
          <w:szCs w:val="24"/>
        </w:rPr>
      </w:pPr>
      <w:r>
        <w:rPr>
          <w:rFonts w:hint="eastAsia" w:ascii="宋体" w:hAnsi="宋体"/>
          <w:spacing w:val="6"/>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b/>
          <w:sz w:val="24"/>
          <w:szCs w:val="24"/>
          <w:u w:val="single"/>
        </w:rPr>
        <w:t>XX</w:t>
      </w:r>
      <w:r>
        <w:rPr>
          <w:rFonts w:hint="eastAsia" w:ascii="宋体" w:hAnsi="宋体"/>
          <w:spacing w:val="6"/>
          <w:sz w:val="24"/>
          <w:szCs w:val="24"/>
        </w:rPr>
        <w:t>单位</w:t>
      </w:r>
      <w:r>
        <w:rPr>
          <w:rFonts w:ascii="宋体" w:hAnsi="宋体"/>
          <w:spacing w:val="6"/>
          <w:sz w:val="24"/>
          <w:szCs w:val="24"/>
        </w:rPr>
        <w:t>的</w:t>
      </w:r>
      <w:r>
        <w:rPr>
          <w:rFonts w:hint="eastAsia" w:ascii="宋体" w:hAnsi="宋体"/>
          <w:b/>
          <w:sz w:val="24"/>
          <w:szCs w:val="24"/>
          <w:u w:val="single"/>
        </w:rPr>
        <w:t>XX</w:t>
      </w:r>
      <w:r>
        <w:rPr>
          <w:rFonts w:hint="eastAsia" w:ascii="宋体" w:hAnsi="宋体"/>
          <w:spacing w:val="6"/>
          <w:sz w:val="24"/>
          <w:szCs w:val="24"/>
        </w:rPr>
        <w:t>采购活动提供本单位制造的货物，或者提供其他残疾人福利性单位制造的货物（不包括使用非残疾人福利性单位注册商标的货物）。</w:t>
      </w:r>
    </w:p>
    <w:p>
      <w:pPr>
        <w:spacing w:line="588" w:lineRule="exact"/>
        <w:ind w:firstLine="504" w:firstLineChars="200"/>
        <w:rPr>
          <w:rFonts w:ascii="宋体" w:hAnsi="宋体"/>
          <w:spacing w:val="6"/>
          <w:sz w:val="24"/>
          <w:szCs w:val="24"/>
        </w:rPr>
      </w:pPr>
      <w:r>
        <w:rPr>
          <w:rFonts w:hint="eastAsia" w:ascii="宋体" w:hAnsi="宋体"/>
          <w:spacing w:val="6"/>
          <w:sz w:val="24"/>
          <w:szCs w:val="24"/>
        </w:rPr>
        <w:t>本单位对上述声明的真实性负责。如有虚假，将依法承担相应责任。</w:t>
      </w:r>
    </w:p>
    <w:p>
      <w:pPr>
        <w:overflowPunct w:val="0"/>
        <w:spacing w:line="520" w:lineRule="exact"/>
        <w:ind w:firstLine="480" w:firstLineChars="200"/>
        <w:rPr>
          <w:rFonts w:ascii="Times New Roman" w:hAnsi="Times New Roman" w:eastAsia="仿宋_GB2312"/>
          <w:bCs/>
          <w:sz w:val="24"/>
          <w:szCs w:val="24"/>
        </w:rPr>
      </w:pPr>
    </w:p>
    <w:p>
      <w:pPr>
        <w:overflowPunct w:val="0"/>
        <w:spacing w:line="546" w:lineRule="exact"/>
        <w:ind w:firstLine="480" w:firstLineChars="200"/>
        <w:rPr>
          <w:rFonts w:ascii="Times New Roman" w:hAnsi="Times New Roman" w:eastAsia="仿宋_GB2312"/>
          <w:bCs/>
          <w:sz w:val="24"/>
          <w:szCs w:val="24"/>
        </w:rPr>
      </w:pPr>
    </w:p>
    <w:p>
      <w:pPr>
        <w:overflowPunct w:val="0"/>
        <w:spacing w:line="546" w:lineRule="exact"/>
        <w:ind w:firstLine="480" w:firstLineChars="200"/>
        <w:rPr>
          <w:rFonts w:ascii="Times New Roman" w:hAnsi="Times New Roman" w:eastAsia="仿宋_GB2312"/>
          <w:bCs/>
          <w:sz w:val="24"/>
          <w:szCs w:val="24"/>
        </w:rPr>
      </w:pPr>
    </w:p>
    <w:p>
      <w:pPr>
        <w:overflowPunct w:val="0"/>
        <w:spacing w:line="546" w:lineRule="exact"/>
        <w:ind w:firstLine="480" w:firstLineChars="200"/>
        <w:rPr>
          <w:rFonts w:ascii="Times New Roman" w:hAnsi="Times New Roman" w:eastAsia="仿宋_GB2312"/>
          <w:bCs/>
          <w:sz w:val="24"/>
          <w:szCs w:val="24"/>
        </w:rPr>
      </w:pPr>
    </w:p>
    <w:p>
      <w:pPr>
        <w:overflowPunct w:val="0"/>
        <w:spacing w:line="546" w:lineRule="exact"/>
        <w:rPr>
          <w:rFonts w:ascii="Times New Roman" w:hAnsi="Times New Roman" w:eastAsia="仿宋_GB2312"/>
          <w:bCs/>
          <w:sz w:val="24"/>
          <w:szCs w:val="24"/>
        </w:rPr>
      </w:pPr>
    </w:p>
    <w:p>
      <w:pPr>
        <w:tabs>
          <w:tab w:val="left" w:pos="3969"/>
        </w:tabs>
        <w:spacing w:line="500" w:lineRule="exact"/>
        <w:ind w:right="-58" w:firstLine="504" w:firstLineChars="200"/>
        <w:jc w:val="left"/>
        <w:rPr>
          <w:rFonts w:ascii="宋体" w:hAnsi="宋体"/>
          <w:spacing w:val="6"/>
          <w:sz w:val="24"/>
          <w:szCs w:val="24"/>
        </w:rPr>
      </w:pPr>
      <w:r>
        <w:rPr>
          <w:rFonts w:hint="eastAsia" w:ascii="宋体" w:hAnsi="宋体"/>
          <w:spacing w:val="6"/>
          <w:sz w:val="24"/>
          <w:szCs w:val="24"/>
        </w:rPr>
        <w:t>单位名称：</w:t>
      </w:r>
      <w:r>
        <w:rPr>
          <w:rFonts w:ascii="宋体" w:hAnsi="宋体"/>
          <w:sz w:val="24"/>
          <w:szCs w:val="24"/>
          <w:u w:val="single"/>
        </w:rPr>
        <w:t>XXXX</w:t>
      </w:r>
    </w:p>
    <w:p>
      <w:pPr>
        <w:tabs>
          <w:tab w:val="left" w:pos="3969"/>
        </w:tabs>
        <w:spacing w:line="500" w:lineRule="exact"/>
        <w:ind w:right="-58" w:firstLine="504" w:firstLineChars="200"/>
        <w:jc w:val="left"/>
        <w:rPr>
          <w:sz w:val="24"/>
          <w:szCs w:val="24"/>
        </w:rPr>
      </w:pPr>
      <w:r>
        <w:rPr>
          <w:rFonts w:hint="eastAsia" w:ascii="宋体" w:hAnsi="宋体"/>
          <w:spacing w:val="6"/>
          <w:sz w:val="24"/>
          <w:szCs w:val="24"/>
        </w:rPr>
        <w:t>日期：</w:t>
      </w:r>
      <w:r>
        <w:rPr>
          <w:rFonts w:ascii="宋体" w:hAnsi="宋体"/>
          <w:sz w:val="24"/>
          <w:szCs w:val="24"/>
        </w:rPr>
        <w:t>20</w:t>
      </w:r>
      <w:r>
        <w:rPr>
          <w:rFonts w:ascii="宋体" w:hAnsi="宋体"/>
          <w:sz w:val="24"/>
          <w:szCs w:val="24"/>
          <w:u w:val="single"/>
        </w:rPr>
        <w:t>XX</w:t>
      </w:r>
      <w:r>
        <w:rPr>
          <w:rFonts w:ascii="宋体" w:hAnsi="宋体"/>
          <w:sz w:val="24"/>
          <w:szCs w:val="24"/>
        </w:rPr>
        <w:t>年</w:t>
      </w:r>
      <w:r>
        <w:rPr>
          <w:rFonts w:ascii="宋体" w:hAnsi="宋体"/>
          <w:sz w:val="24"/>
          <w:szCs w:val="24"/>
          <w:u w:val="single"/>
        </w:rPr>
        <w:t>XX</w:t>
      </w:r>
      <w:r>
        <w:rPr>
          <w:rFonts w:ascii="宋体" w:hAnsi="宋体"/>
          <w:sz w:val="24"/>
          <w:szCs w:val="24"/>
        </w:rPr>
        <w:t>月</w:t>
      </w:r>
      <w:r>
        <w:rPr>
          <w:rFonts w:ascii="宋体" w:hAnsi="宋体"/>
          <w:sz w:val="24"/>
          <w:szCs w:val="24"/>
          <w:u w:val="single"/>
        </w:rPr>
        <w:t>XX</w:t>
      </w:r>
      <w:r>
        <w:rPr>
          <w:rFonts w:ascii="宋体" w:hAnsi="宋体"/>
          <w:sz w:val="24"/>
          <w:szCs w:val="24"/>
        </w:rPr>
        <w:t>日</w:t>
      </w:r>
    </w:p>
    <w:p>
      <w:pPr>
        <w:ind w:firstLine="563"/>
        <w:rPr>
          <w:rFonts w:ascii="宋体" w:hAnsi="宋体"/>
          <w:b/>
          <w:kern w:val="0"/>
          <w:sz w:val="24"/>
          <w:szCs w:val="24"/>
        </w:rPr>
      </w:pPr>
    </w:p>
    <w:p>
      <w:pPr>
        <w:tabs>
          <w:tab w:val="left" w:pos="1260"/>
        </w:tabs>
        <w:spacing w:line="560" w:lineRule="exact"/>
        <w:ind w:firstLine="482" w:firstLineChars="200"/>
        <w:rPr>
          <w:rFonts w:ascii="宋体" w:hAnsi="宋体"/>
          <w:b/>
          <w:sz w:val="24"/>
          <w:szCs w:val="24"/>
        </w:rPr>
      </w:pPr>
      <w:r>
        <w:rPr>
          <w:rFonts w:hint="eastAsia" w:ascii="宋体" w:hAnsi="宋体"/>
          <w:b/>
          <w:sz w:val="24"/>
          <w:szCs w:val="24"/>
        </w:rPr>
        <w:t>说明</w:t>
      </w:r>
      <w:r>
        <w:rPr>
          <w:rFonts w:ascii="宋体" w:hAnsi="宋体"/>
          <w:b/>
          <w:sz w:val="24"/>
          <w:szCs w:val="24"/>
        </w:rPr>
        <w:t>：</w:t>
      </w:r>
      <w:r>
        <w:rPr>
          <w:rFonts w:hint="eastAsia" w:ascii="宋体" w:hAnsi="宋体"/>
          <w:b/>
          <w:sz w:val="24"/>
          <w:szCs w:val="24"/>
        </w:rPr>
        <w:t>提供了《中小</w:t>
      </w:r>
      <w:r>
        <w:rPr>
          <w:rFonts w:ascii="宋体" w:hAnsi="宋体"/>
          <w:b/>
          <w:sz w:val="24"/>
          <w:szCs w:val="24"/>
        </w:rPr>
        <w:t>企业声明函</w:t>
      </w:r>
      <w:r>
        <w:rPr>
          <w:rFonts w:hint="eastAsia" w:ascii="宋体" w:hAnsi="宋体"/>
          <w:b/>
          <w:sz w:val="24"/>
          <w:szCs w:val="24"/>
        </w:rPr>
        <w:t>》或监狱企业证明文件复印件的无需提供。</w:t>
      </w:r>
    </w:p>
    <w:p>
      <w:pPr>
        <w:tabs>
          <w:tab w:val="left" w:pos="1260"/>
        </w:tabs>
        <w:spacing w:line="560" w:lineRule="exact"/>
        <w:ind w:firstLine="482" w:firstLineChars="200"/>
        <w:rPr>
          <w:rFonts w:ascii="宋体" w:hAnsi="宋体"/>
          <w:b/>
          <w:sz w:val="24"/>
          <w:szCs w:val="24"/>
        </w:rPr>
      </w:pPr>
    </w:p>
    <w:p>
      <w:pPr>
        <w:tabs>
          <w:tab w:val="left" w:pos="1260"/>
        </w:tabs>
        <w:spacing w:line="560" w:lineRule="exact"/>
        <w:ind w:firstLine="482" w:firstLineChars="200"/>
        <w:rPr>
          <w:rFonts w:ascii="宋体" w:hAnsi="宋体"/>
          <w:b/>
          <w:sz w:val="24"/>
          <w:szCs w:val="24"/>
        </w:rPr>
      </w:pPr>
    </w:p>
    <w:p>
      <w:pPr>
        <w:rPr>
          <w:rFonts w:ascii="宋体" w:hAnsi="宋体"/>
          <w:b/>
          <w:sz w:val="24"/>
          <w:szCs w:val="24"/>
        </w:rPr>
      </w:pPr>
      <w:r>
        <w:rPr>
          <w:rFonts w:ascii="宋体" w:hAnsi="宋体"/>
          <w:b/>
          <w:sz w:val="24"/>
          <w:szCs w:val="24"/>
        </w:rPr>
        <w:br w:type="page"/>
      </w:r>
    </w:p>
    <w:p>
      <w:pPr>
        <w:pStyle w:val="6"/>
        <w:numPr>
          <w:ilvl w:val="2"/>
          <w:numId w:val="5"/>
        </w:numPr>
        <w:tabs>
          <w:tab w:val="left" w:pos="709"/>
        </w:tabs>
        <w:spacing w:after="200"/>
        <w:ind w:left="1135" w:hanging="1135"/>
        <w:rPr>
          <w:color w:val="auto"/>
        </w:rPr>
      </w:pPr>
      <w:r>
        <w:rPr>
          <w:rFonts w:hint="eastAsia"/>
          <w:color w:val="auto"/>
        </w:rPr>
        <w:t>法定代表人或主要负责人身份证明书</w:t>
      </w:r>
    </w:p>
    <w:p>
      <w:pPr>
        <w:rPr>
          <w:sz w:val="20"/>
          <w:szCs w:val="21"/>
        </w:rPr>
      </w:pPr>
    </w:p>
    <w:p>
      <w:pPr>
        <w:tabs>
          <w:tab w:val="left" w:pos="6300"/>
        </w:tabs>
        <w:spacing w:line="360" w:lineRule="auto"/>
        <w:ind w:firstLine="573"/>
        <w:rPr>
          <w:rFonts w:ascii="宋体" w:hAnsi="宋体"/>
          <w:sz w:val="28"/>
          <w:szCs w:val="28"/>
          <w:lang w:val="zh-CN"/>
        </w:rPr>
      </w:pPr>
      <w:r>
        <w:rPr>
          <w:rFonts w:ascii="宋体" w:hAnsi="宋体"/>
          <w:sz w:val="28"/>
          <w:szCs w:val="28"/>
          <w:u w:val="single"/>
          <w:lang w:val="zh-CN"/>
        </w:rPr>
        <w:t xml:space="preserve">       （</w:t>
      </w:r>
      <w:r>
        <w:rPr>
          <w:rFonts w:hint="eastAsia" w:ascii="宋体" w:hAnsi="宋体"/>
          <w:sz w:val="28"/>
          <w:szCs w:val="28"/>
          <w:u w:val="single"/>
        </w:rPr>
        <w:t>法定代表人或</w:t>
      </w:r>
      <w:r>
        <w:rPr>
          <w:rFonts w:ascii="宋体" w:hAnsi="宋体"/>
          <w:sz w:val="28"/>
          <w:szCs w:val="28"/>
          <w:u w:val="single"/>
        </w:rPr>
        <w:t>主要负责人</w:t>
      </w:r>
      <w:r>
        <w:rPr>
          <w:rFonts w:hint="eastAsia" w:ascii="宋体" w:hAnsi="宋体"/>
          <w:sz w:val="28"/>
          <w:szCs w:val="28"/>
          <w:u w:val="single"/>
          <w:lang w:val="zh-CN"/>
        </w:rPr>
        <w:t>姓名）</w:t>
      </w:r>
      <w:r>
        <w:rPr>
          <w:rFonts w:ascii="宋体" w:hAnsi="宋体"/>
          <w:sz w:val="28"/>
          <w:szCs w:val="28"/>
          <w:u w:val="single"/>
          <w:lang w:val="zh-CN"/>
        </w:rPr>
        <w:t xml:space="preserve">       </w:t>
      </w:r>
      <w:r>
        <w:rPr>
          <w:rFonts w:hint="eastAsia" w:ascii="宋体" w:hAnsi="宋体"/>
          <w:sz w:val="28"/>
          <w:szCs w:val="28"/>
          <w:lang w:val="zh-CN"/>
        </w:rPr>
        <w:t>在</w:t>
      </w:r>
      <w:r>
        <w:rPr>
          <w:rFonts w:ascii="宋体" w:hAnsi="宋体"/>
          <w:sz w:val="28"/>
          <w:szCs w:val="28"/>
          <w:u w:val="single"/>
          <w:lang w:val="zh-CN"/>
        </w:rPr>
        <w:t xml:space="preserve">       （供应商名称）       </w:t>
      </w:r>
      <w:r>
        <w:rPr>
          <w:rFonts w:hint="eastAsia" w:ascii="宋体" w:hAnsi="宋体"/>
          <w:sz w:val="28"/>
          <w:szCs w:val="28"/>
          <w:lang w:val="zh-CN"/>
        </w:rPr>
        <w:t>处任</w:t>
      </w:r>
      <w:r>
        <w:rPr>
          <w:rFonts w:ascii="宋体" w:hAnsi="宋体"/>
          <w:sz w:val="28"/>
          <w:szCs w:val="28"/>
          <w:u w:val="single"/>
          <w:lang w:val="zh-CN"/>
        </w:rPr>
        <w:t xml:space="preserve">       （职务名称）       </w:t>
      </w:r>
      <w:r>
        <w:rPr>
          <w:rFonts w:hint="eastAsia" w:ascii="宋体" w:hAnsi="宋体"/>
          <w:sz w:val="28"/>
          <w:szCs w:val="28"/>
          <w:lang w:val="zh-CN"/>
        </w:rPr>
        <w:t>职务，是</w:t>
      </w:r>
      <w:r>
        <w:rPr>
          <w:rFonts w:ascii="宋体" w:hAnsi="宋体"/>
          <w:sz w:val="28"/>
          <w:szCs w:val="28"/>
          <w:u w:val="single"/>
          <w:lang w:val="zh-CN"/>
        </w:rPr>
        <w:t xml:space="preserve">       （供应商名称）       </w:t>
      </w:r>
      <w:r>
        <w:rPr>
          <w:rFonts w:hint="eastAsia" w:ascii="宋体" w:hAnsi="宋体"/>
          <w:sz w:val="28"/>
          <w:szCs w:val="28"/>
          <w:lang w:val="zh-CN"/>
        </w:rPr>
        <w:t>的（</w:t>
      </w:r>
      <w:r>
        <w:rPr>
          <w:rFonts w:hint="eastAsia" w:ascii="宋体" w:hAnsi="宋体"/>
          <w:sz w:val="28"/>
          <w:szCs w:val="28"/>
        </w:rPr>
        <w:t>法定代表人或</w:t>
      </w:r>
      <w:r>
        <w:rPr>
          <w:rFonts w:ascii="宋体" w:hAnsi="宋体"/>
          <w:sz w:val="28"/>
          <w:szCs w:val="28"/>
        </w:rPr>
        <w:t>主要负责人</w:t>
      </w:r>
      <w:r>
        <w:rPr>
          <w:rFonts w:hint="eastAsia" w:ascii="宋体" w:hAnsi="宋体"/>
          <w:sz w:val="28"/>
          <w:szCs w:val="28"/>
          <w:lang w:val="zh-CN"/>
        </w:rPr>
        <w:t>）。</w:t>
      </w:r>
    </w:p>
    <w:p>
      <w:pPr>
        <w:tabs>
          <w:tab w:val="left" w:pos="6300"/>
        </w:tabs>
        <w:spacing w:line="360" w:lineRule="auto"/>
        <w:ind w:firstLine="573"/>
        <w:rPr>
          <w:rFonts w:ascii="宋体" w:hAnsi="宋体"/>
          <w:sz w:val="24"/>
          <w:szCs w:val="24"/>
          <w:lang w:val="zh-CN"/>
        </w:rPr>
      </w:pPr>
      <w:r>
        <w:rPr>
          <w:rFonts w:hint="eastAsia" w:ascii="宋体" w:hAnsi="宋体"/>
          <w:sz w:val="24"/>
          <w:szCs w:val="24"/>
          <w:lang w:val="zh-CN"/>
        </w:rPr>
        <w:t>特此证明。</w:t>
      </w:r>
    </w:p>
    <w:p>
      <w:pPr>
        <w:tabs>
          <w:tab w:val="left" w:pos="6300"/>
        </w:tabs>
        <w:spacing w:line="360" w:lineRule="auto"/>
        <w:ind w:firstLine="573"/>
        <w:rPr>
          <w:rFonts w:ascii="宋体" w:hAnsi="宋体"/>
          <w:sz w:val="24"/>
          <w:szCs w:val="24"/>
          <w:lang w:val="zh-CN"/>
        </w:rPr>
      </w:pPr>
    </w:p>
    <w:p>
      <w:pPr>
        <w:tabs>
          <w:tab w:val="left" w:pos="6300"/>
        </w:tabs>
        <w:spacing w:line="360" w:lineRule="auto"/>
        <w:ind w:firstLine="573"/>
        <w:rPr>
          <w:rFonts w:ascii="宋体" w:hAnsi="宋体"/>
          <w:sz w:val="24"/>
          <w:szCs w:val="24"/>
          <w:lang w:val="zh-CN"/>
        </w:rPr>
      </w:pPr>
    </w:p>
    <w:p>
      <w:pPr>
        <w:tabs>
          <w:tab w:val="left" w:pos="6300"/>
        </w:tabs>
        <w:spacing w:line="360" w:lineRule="auto"/>
        <w:ind w:firstLine="573"/>
        <w:rPr>
          <w:rFonts w:ascii="宋体" w:hAnsi="宋体"/>
          <w:sz w:val="24"/>
          <w:szCs w:val="24"/>
          <w:lang w:val="zh-CN"/>
        </w:rPr>
      </w:pPr>
    </w:p>
    <w:p>
      <w:pPr>
        <w:spacing w:line="360" w:lineRule="auto"/>
        <w:rPr>
          <w:rFonts w:ascii="宋体" w:hAnsi="宋体"/>
          <w:sz w:val="24"/>
          <w:szCs w:val="24"/>
          <w:lang w:val="zh-CN"/>
        </w:rPr>
      </w:pPr>
      <w:r>
        <w:rPr>
          <w:rFonts w:hint="eastAsia" w:ascii="宋体" w:hAnsi="宋体"/>
          <w:sz w:val="24"/>
          <w:szCs w:val="24"/>
          <w:lang w:val="zh-CN"/>
        </w:rPr>
        <w:t>供应商名称：</w:t>
      </w:r>
      <w:r>
        <w:rPr>
          <w:rFonts w:hint="eastAsia" w:ascii="宋体" w:hAnsi="宋体"/>
          <w:sz w:val="24"/>
          <w:szCs w:val="24"/>
          <w:u w:val="single"/>
          <w:lang w:val="zh-CN"/>
        </w:rPr>
        <w:t>XXXX</w:t>
      </w:r>
    </w:p>
    <w:p>
      <w:pPr>
        <w:spacing w:line="500" w:lineRule="exact"/>
        <w:ind w:right="560"/>
        <w:rPr>
          <w:rFonts w:ascii="宋体" w:hAnsi="宋体"/>
          <w:sz w:val="24"/>
          <w:szCs w:val="24"/>
        </w:rPr>
      </w:pPr>
      <w:r>
        <w:rPr>
          <w:rFonts w:hint="eastAsia" w:ascii="宋体" w:hAnsi="宋体"/>
          <w:sz w:val="24"/>
          <w:szCs w:val="24"/>
        </w:rPr>
        <w:t>日      期：202</w:t>
      </w:r>
      <w:r>
        <w:rPr>
          <w:rFonts w:hint="eastAsia" w:ascii="宋体" w:hAnsi="宋体"/>
          <w:sz w:val="24"/>
          <w:szCs w:val="24"/>
          <w:u w:val="single"/>
          <w:lang w:val="zh-CN"/>
        </w:rPr>
        <w:t>X</w:t>
      </w:r>
      <w:r>
        <w:rPr>
          <w:rFonts w:hint="eastAsia" w:ascii="宋体" w:hAnsi="宋体"/>
          <w:sz w:val="24"/>
          <w:szCs w:val="24"/>
        </w:rPr>
        <w:t>年</w:t>
      </w:r>
      <w:r>
        <w:rPr>
          <w:rFonts w:hint="eastAsia" w:ascii="宋体" w:hAnsi="宋体"/>
          <w:sz w:val="24"/>
          <w:szCs w:val="24"/>
          <w:u w:val="single"/>
          <w:lang w:val="zh-CN"/>
        </w:rPr>
        <w:t>XX</w:t>
      </w:r>
      <w:r>
        <w:rPr>
          <w:rFonts w:hint="eastAsia" w:ascii="宋体" w:hAnsi="宋体"/>
          <w:sz w:val="24"/>
          <w:szCs w:val="24"/>
        </w:rPr>
        <w:t>月</w:t>
      </w:r>
      <w:r>
        <w:rPr>
          <w:rFonts w:hint="eastAsia" w:ascii="宋体" w:hAnsi="宋体"/>
          <w:sz w:val="24"/>
          <w:szCs w:val="24"/>
          <w:u w:val="single"/>
          <w:lang w:val="zh-CN"/>
        </w:rPr>
        <w:t>XX</w:t>
      </w:r>
      <w:r>
        <w:rPr>
          <w:rFonts w:hint="eastAsia" w:ascii="宋体" w:hAnsi="宋体"/>
          <w:sz w:val="24"/>
          <w:szCs w:val="24"/>
        </w:rPr>
        <w:t>日</w:t>
      </w:r>
    </w:p>
    <w:p>
      <w:pPr>
        <w:spacing w:line="360" w:lineRule="auto"/>
        <w:ind w:firstLine="487" w:firstLineChars="202"/>
        <w:rPr>
          <w:rFonts w:ascii="宋体" w:hAnsi="宋体"/>
          <w:b/>
          <w:sz w:val="24"/>
          <w:szCs w:val="24"/>
          <w:lang w:val="zh-CN"/>
        </w:rPr>
      </w:pPr>
    </w:p>
    <w:p>
      <w:pPr>
        <w:spacing w:line="360" w:lineRule="auto"/>
        <w:ind w:firstLine="487" w:firstLineChars="202"/>
        <w:rPr>
          <w:rFonts w:ascii="宋体" w:hAnsi="宋体"/>
          <w:b/>
          <w:sz w:val="24"/>
          <w:szCs w:val="24"/>
          <w:lang w:val="zh-CN"/>
        </w:rPr>
      </w:pPr>
      <w:r>
        <w:rPr>
          <w:rFonts w:hint="eastAsia" w:ascii="宋体" w:hAnsi="宋体"/>
          <w:b/>
          <w:sz w:val="24"/>
          <w:szCs w:val="24"/>
          <w:lang w:val="zh-CN"/>
        </w:rPr>
        <w:t>说明：</w:t>
      </w:r>
      <w:r>
        <w:rPr>
          <w:rFonts w:hint="eastAsia" w:ascii="宋体" w:hAnsi="宋体"/>
          <w:b/>
          <w:sz w:val="28"/>
          <w:szCs w:val="28"/>
          <w:lang w:val="zh-CN"/>
        </w:rPr>
        <w:t>（</w:t>
      </w:r>
      <w:r>
        <w:rPr>
          <w:rFonts w:ascii="宋体" w:hAnsi="宋体"/>
          <w:b/>
          <w:sz w:val="28"/>
          <w:szCs w:val="28"/>
          <w:lang w:val="zh-CN"/>
        </w:rPr>
        <w:t>1）上述证明文件在资格性响应文件中附有法定代表人</w:t>
      </w:r>
      <w:r>
        <w:rPr>
          <w:rFonts w:hint="eastAsia" w:ascii="宋体" w:hAnsi="宋体"/>
          <w:b/>
          <w:sz w:val="28"/>
          <w:szCs w:val="28"/>
          <w:lang w:val="zh-CN"/>
        </w:rPr>
        <w:t>或</w:t>
      </w:r>
      <w:r>
        <w:rPr>
          <w:rFonts w:ascii="宋体" w:hAnsi="宋体"/>
          <w:b/>
          <w:sz w:val="28"/>
          <w:szCs w:val="28"/>
          <w:lang w:val="zh-CN"/>
        </w:rPr>
        <w:t>主要负责人</w:t>
      </w:r>
      <w:r>
        <w:rPr>
          <w:rFonts w:hint="eastAsia" w:ascii="宋体" w:hAnsi="宋体"/>
          <w:b/>
          <w:sz w:val="28"/>
          <w:szCs w:val="28"/>
          <w:lang w:val="zh-CN"/>
        </w:rPr>
        <w:t>身份证复印件（身份证两面均应复印）或护照复印件（供应商的法定代表人或</w:t>
      </w:r>
      <w:r>
        <w:rPr>
          <w:rFonts w:ascii="宋体" w:hAnsi="宋体"/>
          <w:b/>
          <w:sz w:val="28"/>
          <w:szCs w:val="28"/>
          <w:lang w:val="zh-CN"/>
        </w:rPr>
        <w:t>主要负责人</w:t>
      </w:r>
      <w:r>
        <w:rPr>
          <w:rFonts w:hint="eastAsia" w:ascii="宋体" w:hAnsi="宋体"/>
          <w:b/>
          <w:sz w:val="28"/>
          <w:szCs w:val="28"/>
          <w:lang w:val="zh-CN"/>
        </w:rPr>
        <w:t>为外籍人士的，则提供护照复印件）时才能生效；（</w:t>
      </w:r>
      <w:r>
        <w:rPr>
          <w:rFonts w:ascii="宋体" w:hAnsi="宋体"/>
          <w:b/>
          <w:sz w:val="28"/>
          <w:szCs w:val="28"/>
          <w:lang w:val="zh-CN"/>
        </w:rPr>
        <w:t>2）主要负责人为供应商提供的其</w:t>
      </w:r>
      <w:r>
        <w:rPr>
          <w:rFonts w:hint="eastAsia" w:ascii="宋体" w:hAnsi="宋体"/>
          <w:b/>
          <w:sz w:val="28"/>
          <w:szCs w:val="28"/>
          <w:lang w:val="zh-CN"/>
        </w:rPr>
        <w:t>具有独立承担民事责任能力的</w:t>
      </w:r>
      <w:r>
        <w:rPr>
          <w:rFonts w:ascii="宋体" w:hAnsi="宋体"/>
          <w:b/>
          <w:sz w:val="28"/>
          <w:szCs w:val="28"/>
          <w:lang w:val="zh-CN"/>
        </w:rPr>
        <w:t>证明材料中</w:t>
      </w:r>
      <w:r>
        <w:rPr>
          <w:rFonts w:hint="eastAsia" w:ascii="宋体" w:hAnsi="宋体"/>
          <w:b/>
          <w:sz w:val="28"/>
          <w:szCs w:val="28"/>
          <w:lang w:val="zh-CN"/>
        </w:rPr>
        <w:t>的</w:t>
      </w:r>
      <w:r>
        <w:rPr>
          <w:rFonts w:ascii="宋体" w:hAnsi="宋体"/>
          <w:b/>
          <w:sz w:val="28"/>
          <w:szCs w:val="28"/>
          <w:lang w:val="zh-CN"/>
        </w:rPr>
        <w:t>主要</w:t>
      </w:r>
      <w:r>
        <w:rPr>
          <w:rFonts w:hint="eastAsia" w:ascii="宋体" w:hAnsi="宋体"/>
          <w:b/>
          <w:sz w:val="28"/>
          <w:szCs w:val="28"/>
          <w:lang w:val="zh-CN"/>
        </w:rPr>
        <w:t>负责</w:t>
      </w:r>
      <w:r>
        <w:rPr>
          <w:rFonts w:ascii="宋体" w:hAnsi="宋体"/>
          <w:b/>
          <w:sz w:val="28"/>
          <w:szCs w:val="28"/>
          <w:lang w:val="zh-CN"/>
        </w:rPr>
        <w:t>人员</w:t>
      </w:r>
      <w:r>
        <w:rPr>
          <w:rFonts w:hint="eastAsia" w:ascii="宋体" w:hAnsi="宋体"/>
          <w:b/>
          <w:sz w:val="24"/>
          <w:szCs w:val="24"/>
          <w:lang w:val="zh-CN"/>
        </w:rPr>
        <w:t>。</w:t>
      </w:r>
    </w:p>
    <w:p>
      <w:pPr>
        <w:spacing w:line="360" w:lineRule="auto"/>
        <w:ind w:firstLine="487" w:firstLineChars="202"/>
        <w:rPr>
          <w:rFonts w:ascii="宋体" w:hAnsi="宋体"/>
          <w:b/>
          <w:sz w:val="24"/>
          <w:szCs w:val="24"/>
          <w:lang w:val="zh-CN"/>
        </w:rPr>
      </w:pPr>
    </w:p>
    <w:p>
      <w:pPr>
        <w:spacing w:line="360" w:lineRule="auto"/>
        <w:ind w:firstLine="487" w:firstLineChars="202"/>
        <w:rPr>
          <w:rFonts w:ascii="宋体" w:hAnsi="宋体"/>
          <w:b/>
          <w:sz w:val="24"/>
          <w:szCs w:val="24"/>
          <w:lang w:val="zh-CN"/>
        </w:rPr>
      </w:pPr>
    </w:p>
    <w:p>
      <w:r>
        <w:rPr>
          <w:rFonts w:ascii="宋体" w:hAnsi="宋体"/>
          <w:b/>
          <w:sz w:val="24"/>
          <w:szCs w:val="24"/>
          <w:lang w:val="zh-CN"/>
        </w:rPr>
        <w:br w:type="page"/>
      </w:r>
    </w:p>
    <w:p>
      <w:pPr>
        <w:pStyle w:val="6"/>
        <w:numPr>
          <w:ilvl w:val="2"/>
          <w:numId w:val="5"/>
        </w:numPr>
        <w:tabs>
          <w:tab w:val="left" w:pos="709"/>
        </w:tabs>
        <w:spacing w:after="200"/>
        <w:ind w:left="709" w:hanging="709"/>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供应商应提交的其他相关资格证明材料：</w:t>
      </w:r>
    </w:p>
    <w:p>
      <w:pPr>
        <w:tabs>
          <w:tab w:val="left" w:pos="1134"/>
        </w:tabs>
        <w:spacing w:line="360" w:lineRule="auto"/>
        <w:ind w:firstLine="472" w:firstLineChars="196"/>
        <w:rPr>
          <w:rFonts w:ascii="宋体" w:hAnsi="宋体"/>
          <w:b/>
          <w:sz w:val="24"/>
          <w:szCs w:val="24"/>
        </w:rPr>
      </w:pPr>
      <w:r>
        <w:rPr>
          <w:rFonts w:hint="eastAsia" w:ascii="宋体" w:hAnsi="宋体"/>
          <w:b/>
          <w:sz w:val="24"/>
          <w:szCs w:val="24"/>
        </w:rPr>
        <w:t>（一）营业执照或法人登记证或其他能够证明</w:t>
      </w:r>
      <w:r>
        <w:rPr>
          <w:rFonts w:ascii="宋体" w:hAnsi="宋体"/>
          <w:b/>
          <w:sz w:val="24"/>
          <w:szCs w:val="24"/>
        </w:rPr>
        <w:t>供应商具有独立承担民事责任能力的</w:t>
      </w:r>
      <w:r>
        <w:rPr>
          <w:rFonts w:hint="eastAsia" w:ascii="宋体" w:hAnsi="宋体"/>
          <w:b/>
          <w:sz w:val="24"/>
          <w:szCs w:val="24"/>
        </w:rPr>
        <w:t>相关证明材料复印件；</w:t>
      </w:r>
    </w:p>
    <w:p>
      <w:pPr>
        <w:tabs>
          <w:tab w:val="left" w:pos="1134"/>
        </w:tabs>
        <w:spacing w:line="360" w:lineRule="auto"/>
        <w:ind w:firstLine="472" w:firstLineChars="196"/>
        <w:rPr>
          <w:rFonts w:ascii="宋体" w:hAnsi="宋体"/>
          <w:b/>
          <w:sz w:val="24"/>
          <w:szCs w:val="24"/>
        </w:rPr>
      </w:pPr>
      <w:r>
        <w:rPr>
          <w:rFonts w:hint="eastAsia" w:ascii="宋体" w:hAnsi="宋体"/>
          <w:b/>
          <w:sz w:val="24"/>
          <w:szCs w:val="24"/>
        </w:rPr>
        <w:t>（二）采购人对供应商履行合同所必须的设备和专业技术能力无特殊要求，</w:t>
      </w:r>
      <w:r>
        <w:rPr>
          <w:rFonts w:hint="eastAsia" w:ascii="宋体" w:hAnsi="宋体"/>
          <w:b/>
          <w:sz w:val="24"/>
          <w:szCs w:val="24"/>
          <w:lang w:eastAsia="zh-CN"/>
        </w:rPr>
        <w:t>供应商</w:t>
      </w:r>
      <w:r>
        <w:rPr>
          <w:rFonts w:hint="eastAsia" w:ascii="宋体" w:hAnsi="宋体"/>
          <w:b/>
          <w:sz w:val="24"/>
          <w:szCs w:val="24"/>
        </w:rPr>
        <w:t>具有有效的营业执照或法人证书</w:t>
      </w:r>
      <w:r>
        <w:rPr>
          <w:rFonts w:hint="eastAsia" w:ascii="宋体" w:hAnsi="宋体"/>
          <w:b/>
          <w:sz w:val="24"/>
          <w:szCs w:val="24"/>
          <w:lang w:eastAsia="zh-CN"/>
        </w:rPr>
        <w:t>，</w:t>
      </w:r>
      <w:r>
        <w:rPr>
          <w:rFonts w:hint="eastAsia" w:ascii="宋体" w:hAnsi="宋体"/>
          <w:b/>
          <w:sz w:val="24"/>
          <w:szCs w:val="24"/>
        </w:rPr>
        <w:t>可不提供证明材料；</w:t>
      </w:r>
    </w:p>
    <w:p>
      <w:pPr>
        <w:adjustRightInd w:val="0"/>
        <w:spacing w:line="360" w:lineRule="auto"/>
        <w:ind w:firstLine="484" w:firstLineChars="201"/>
        <w:rPr>
          <w:rFonts w:ascii="宋体" w:hAnsi="宋体"/>
          <w:b/>
          <w:sz w:val="24"/>
          <w:szCs w:val="24"/>
        </w:rPr>
      </w:pPr>
      <w:r>
        <w:rPr>
          <w:rFonts w:hint="eastAsia" w:ascii="宋体" w:hAnsi="宋体"/>
          <w:b/>
          <w:sz w:val="24"/>
          <w:szCs w:val="24"/>
        </w:rPr>
        <w:t>（三）采购人对法律、行政法规规定的其他条件无特殊要求，</w:t>
      </w:r>
      <w:r>
        <w:rPr>
          <w:rFonts w:hint="eastAsia" w:ascii="宋体" w:hAnsi="宋体"/>
          <w:b/>
          <w:sz w:val="24"/>
          <w:szCs w:val="24"/>
          <w:lang w:eastAsia="zh-CN"/>
        </w:rPr>
        <w:t>供应商</w:t>
      </w:r>
      <w:r>
        <w:rPr>
          <w:rFonts w:hint="eastAsia" w:ascii="宋体" w:hAnsi="宋体"/>
          <w:b/>
          <w:sz w:val="24"/>
          <w:szCs w:val="24"/>
        </w:rPr>
        <w:t>具有有效的营业执照或法人证书</w:t>
      </w:r>
      <w:r>
        <w:rPr>
          <w:rFonts w:hint="eastAsia" w:ascii="宋体" w:hAnsi="宋体"/>
          <w:b/>
          <w:sz w:val="24"/>
          <w:szCs w:val="24"/>
          <w:lang w:eastAsia="zh-CN"/>
        </w:rPr>
        <w:t>，</w:t>
      </w:r>
      <w:r>
        <w:rPr>
          <w:rFonts w:hint="eastAsia" w:ascii="宋体" w:hAnsi="宋体"/>
          <w:b/>
          <w:sz w:val="24"/>
          <w:szCs w:val="24"/>
        </w:rPr>
        <w:t>供应商可不提供其他证明材料；</w:t>
      </w:r>
    </w:p>
    <w:p>
      <w:pPr>
        <w:ind w:left="0" w:leftChars="0" w:firstLine="566" w:firstLineChars="235"/>
      </w:pPr>
      <w:r>
        <w:rPr>
          <w:rFonts w:hint="eastAsia" w:ascii="宋体" w:hAnsi="宋体"/>
          <w:b/>
          <w:sz w:val="24"/>
          <w:szCs w:val="24"/>
        </w:rPr>
        <w:t>（四）由省级以上监狱管理局、戒毒管理局（含新疆生产建设兵团）出具的供应商属于监狱企业的证明文件复印件（说明：提供了《中小企业声明函》或《残疾人福利性单位声明函》的不需提供）</w:t>
      </w:r>
      <w:r>
        <w:rPr>
          <w:rFonts w:hint="eastAsia" w:ascii="宋体" w:hAnsi="宋体"/>
          <w:b/>
          <w:sz w:val="28"/>
          <w:szCs w:val="28"/>
        </w:rPr>
        <w:t>。</w:t>
      </w:r>
    </w:p>
    <w:p>
      <w:pPr>
        <w:rPr>
          <w:color w:val="000000" w:themeColor="text1"/>
          <w:sz w:val="20"/>
          <w:szCs w:val="21"/>
          <w14:textFill>
            <w14:solidFill>
              <w14:schemeClr w14:val="tx1"/>
            </w14:solidFill>
          </w14:textFill>
        </w:rPr>
      </w:pPr>
      <w:r>
        <w:rPr>
          <w:color w:val="000000" w:themeColor="text1"/>
          <w:sz w:val="20"/>
          <w:szCs w:val="21"/>
          <w14:textFill>
            <w14:solidFill>
              <w14:schemeClr w14:val="tx1"/>
            </w14:solidFill>
          </w14:textFill>
        </w:rPr>
        <w:br w:type="page"/>
      </w:r>
    </w:p>
    <w:p>
      <w:pPr>
        <w:pStyle w:val="2"/>
      </w:pPr>
    </w:p>
    <w:p>
      <w:pPr>
        <w:pStyle w:val="5"/>
        <w:numPr>
          <w:ilvl w:val="1"/>
          <w:numId w:val="5"/>
        </w:numPr>
        <w:tabs>
          <w:tab w:val="left" w:pos="426"/>
          <w:tab w:val="left" w:pos="567"/>
        </w:tabs>
        <w:spacing w:before="0" w:after="200"/>
        <w:ind w:left="1985" w:hanging="1985"/>
        <w:jc w:val="both"/>
        <w:rPr>
          <w:sz w:val="24"/>
          <w:szCs w:val="24"/>
        </w:rPr>
      </w:pPr>
      <w:bookmarkStart w:id="78" w:name="_Toc58943337"/>
      <w:bookmarkStart w:id="79" w:name="_Toc79742132"/>
      <w:bookmarkStart w:id="80" w:name="_Toc448403805"/>
      <w:r>
        <w:rPr>
          <w:rFonts w:hint="eastAsia"/>
          <w:sz w:val="24"/>
          <w:szCs w:val="24"/>
        </w:rPr>
        <w:t>技术、商务性响应文件格式</w:t>
      </w:r>
      <w:bookmarkEnd w:id="78"/>
      <w:bookmarkEnd w:id="79"/>
      <w:bookmarkEnd w:id="80"/>
    </w:p>
    <w:p>
      <w:pPr>
        <w:pStyle w:val="6"/>
        <w:numPr>
          <w:ilvl w:val="2"/>
          <w:numId w:val="5"/>
        </w:numPr>
        <w:tabs>
          <w:tab w:val="left" w:pos="709"/>
        </w:tabs>
        <w:spacing w:after="200"/>
        <w:ind w:left="1135" w:hanging="1135"/>
        <w:jc w:val="left"/>
        <w:rPr>
          <w:color w:val="auto"/>
          <w:sz w:val="24"/>
          <w:szCs w:val="24"/>
        </w:rPr>
      </w:pPr>
      <w:r>
        <w:rPr>
          <w:rFonts w:hint="eastAsia"/>
          <w:color w:val="auto"/>
          <w:sz w:val="24"/>
          <w:szCs w:val="24"/>
        </w:rPr>
        <w:t>技术、商务性响应文件封面格式</w:t>
      </w:r>
    </w:p>
    <w:p>
      <w:pPr>
        <w:spacing w:line="360" w:lineRule="auto"/>
        <w:jc w:val="center"/>
        <w:rPr>
          <w:rFonts w:ascii="宋体" w:hAnsi="宋体"/>
          <w:spacing w:val="78"/>
          <w:sz w:val="72"/>
          <w:szCs w:val="96"/>
        </w:rPr>
      </w:pPr>
    </w:p>
    <w:p>
      <w:pPr>
        <w:spacing w:line="360" w:lineRule="auto"/>
        <w:jc w:val="center"/>
        <w:rPr>
          <w:rFonts w:ascii="宋体" w:hAnsi="宋体"/>
          <w:spacing w:val="78"/>
          <w:sz w:val="72"/>
          <w:szCs w:val="96"/>
        </w:rPr>
      </w:pPr>
    </w:p>
    <w:p>
      <w:pPr>
        <w:spacing w:line="360" w:lineRule="auto"/>
        <w:jc w:val="center"/>
        <w:rPr>
          <w:rFonts w:ascii="宋体" w:hAnsi="宋体"/>
          <w:spacing w:val="78"/>
          <w:sz w:val="72"/>
          <w:szCs w:val="96"/>
        </w:rPr>
      </w:pPr>
      <w:r>
        <w:rPr>
          <w:rFonts w:hint="eastAsia" w:ascii="宋体" w:hAnsi="宋体"/>
          <w:spacing w:val="78"/>
          <w:sz w:val="52"/>
          <w:szCs w:val="96"/>
        </w:rPr>
        <w:t>技术、商务性响应文件</w:t>
      </w:r>
    </w:p>
    <w:p>
      <w:pPr>
        <w:rPr>
          <w:sz w:val="20"/>
          <w:szCs w:val="21"/>
        </w:rPr>
      </w:pPr>
    </w:p>
    <w:p>
      <w:pPr>
        <w:rPr>
          <w:sz w:val="20"/>
          <w:szCs w:val="21"/>
        </w:rPr>
      </w:pPr>
    </w:p>
    <w:p>
      <w:pPr>
        <w:rPr>
          <w:sz w:val="20"/>
          <w:szCs w:val="21"/>
        </w:rPr>
      </w:pPr>
    </w:p>
    <w:p>
      <w:pPr>
        <w:spacing w:line="360" w:lineRule="auto"/>
        <w:jc w:val="center"/>
        <w:rPr>
          <w:rFonts w:ascii="宋体" w:hAnsi="宋体"/>
          <w:bCs/>
          <w:sz w:val="32"/>
          <w:szCs w:val="21"/>
        </w:rPr>
      </w:pPr>
    </w:p>
    <w:p>
      <w:pPr>
        <w:spacing w:line="360" w:lineRule="auto"/>
        <w:jc w:val="center"/>
        <w:rPr>
          <w:rFonts w:ascii="宋体" w:hAnsi="宋体"/>
          <w:bCs/>
          <w:sz w:val="32"/>
          <w:szCs w:val="21"/>
        </w:rPr>
      </w:pPr>
    </w:p>
    <w:p>
      <w:pPr>
        <w:spacing w:line="360" w:lineRule="auto"/>
        <w:jc w:val="center"/>
        <w:rPr>
          <w:rFonts w:ascii="宋体" w:hAnsi="宋体"/>
          <w:bCs/>
          <w:sz w:val="32"/>
          <w:szCs w:val="21"/>
        </w:rPr>
      </w:pPr>
    </w:p>
    <w:p>
      <w:pPr>
        <w:spacing w:line="360" w:lineRule="auto"/>
        <w:ind w:firstLine="551" w:firstLineChars="196"/>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项目名称：XX</w:t>
      </w:r>
    </w:p>
    <w:p>
      <w:pPr>
        <w:spacing w:line="360" w:lineRule="auto"/>
        <w:rPr>
          <w:rFonts w:ascii="宋体" w:hAnsi="宋体"/>
          <w:b/>
          <w:color w:val="000000" w:themeColor="text1"/>
          <w:sz w:val="28"/>
          <w:szCs w:val="28"/>
          <w:u w:val="single"/>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 xml:space="preserve">    项目编号：武侯政采（202</w:t>
      </w:r>
      <w:r>
        <w:rPr>
          <w:rFonts w:hint="eastAsia" w:ascii="宋体" w:hAnsi="宋体"/>
          <w:b/>
          <w:bCs/>
          <w:color w:val="000000" w:themeColor="text1"/>
          <w:sz w:val="28"/>
          <w:szCs w:val="28"/>
          <w:lang w:val="en-US" w:eastAsia="zh-CN"/>
          <w14:textFill>
            <w14:solidFill>
              <w14:schemeClr w14:val="tx1"/>
            </w14:solidFill>
          </w14:textFill>
        </w:rPr>
        <w:t>x</w:t>
      </w:r>
      <w:r>
        <w:rPr>
          <w:rFonts w:hint="eastAsia" w:ascii="宋体" w:hAnsi="宋体"/>
          <w:b/>
          <w:bCs/>
          <w:color w:val="000000" w:themeColor="text1"/>
          <w:sz w:val="28"/>
          <w:szCs w:val="28"/>
          <w14:textFill>
            <w14:solidFill>
              <w14:schemeClr w14:val="tx1"/>
            </w14:solidFill>
          </w14:textFill>
        </w:rPr>
        <w:t>）A</w:t>
      </w:r>
      <w:r>
        <w:rPr>
          <w:rFonts w:hint="eastAsia" w:ascii="宋体" w:hAnsi="宋体"/>
          <w:b/>
          <w:bCs/>
          <w:color w:val="000000" w:themeColor="text1"/>
          <w:sz w:val="28"/>
          <w:szCs w:val="28"/>
          <w:lang w:val="en-US" w:eastAsia="zh-CN"/>
          <w14:textFill>
            <w14:solidFill>
              <w14:schemeClr w14:val="tx1"/>
            </w14:solidFill>
          </w14:textFill>
        </w:rPr>
        <w:t>xxxx</w:t>
      </w:r>
      <w:r>
        <w:rPr>
          <w:rFonts w:hint="eastAsia" w:ascii="宋体" w:hAnsi="宋体"/>
          <w:b/>
          <w:bCs/>
          <w:color w:val="000000" w:themeColor="text1"/>
          <w:sz w:val="28"/>
          <w:szCs w:val="28"/>
          <w14:textFill>
            <w14:solidFill>
              <w14:schemeClr w14:val="tx1"/>
            </w14:solidFill>
          </w14:textFill>
        </w:rPr>
        <w:t>号</w:t>
      </w:r>
    </w:p>
    <w:p>
      <w:pPr>
        <w:spacing w:line="360" w:lineRule="auto"/>
        <w:rPr>
          <w:rFonts w:ascii="宋体" w:hAnsi="宋体"/>
          <w:b/>
          <w:bCs/>
          <w:sz w:val="28"/>
          <w:szCs w:val="28"/>
        </w:rPr>
      </w:pPr>
    </w:p>
    <w:p>
      <w:pPr>
        <w:spacing w:line="360" w:lineRule="auto"/>
        <w:rPr>
          <w:rFonts w:ascii="宋体" w:hAnsi="宋体"/>
          <w:b/>
          <w:bCs/>
          <w:sz w:val="28"/>
          <w:szCs w:val="28"/>
        </w:rPr>
      </w:pPr>
    </w:p>
    <w:p>
      <w:pPr>
        <w:spacing w:line="360" w:lineRule="auto"/>
        <w:rPr>
          <w:rFonts w:ascii="宋体" w:hAnsi="宋体"/>
          <w:b/>
          <w:bCs/>
          <w:sz w:val="28"/>
          <w:szCs w:val="28"/>
        </w:rPr>
      </w:pPr>
    </w:p>
    <w:p>
      <w:pPr>
        <w:spacing w:line="360" w:lineRule="auto"/>
        <w:ind w:firstLine="551" w:firstLineChars="196"/>
        <w:rPr>
          <w:rFonts w:ascii="宋体" w:hAnsi="宋体"/>
          <w:b/>
          <w:bCs/>
          <w:sz w:val="28"/>
          <w:szCs w:val="28"/>
        </w:rPr>
      </w:pPr>
      <w:r>
        <w:rPr>
          <w:rFonts w:hint="eastAsia" w:ascii="宋体" w:hAnsi="宋体"/>
          <w:b/>
          <w:bCs/>
          <w:sz w:val="28"/>
          <w:szCs w:val="28"/>
        </w:rPr>
        <w:t>供应商名称：XXXX</w:t>
      </w:r>
    </w:p>
    <w:p>
      <w:pPr>
        <w:spacing w:line="360" w:lineRule="auto"/>
        <w:ind w:firstLine="495" w:firstLineChars="176"/>
        <w:rPr>
          <w:rFonts w:ascii="宋体" w:hAnsi="宋体"/>
          <w:b/>
          <w:bCs/>
          <w:sz w:val="28"/>
          <w:szCs w:val="28"/>
        </w:rPr>
      </w:pPr>
      <w:r>
        <w:rPr>
          <w:rFonts w:hint="eastAsia" w:ascii="宋体" w:hAnsi="宋体"/>
          <w:b/>
          <w:bCs/>
          <w:sz w:val="28"/>
          <w:szCs w:val="28"/>
        </w:rPr>
        <w:t>日      期：202X年XX月XX日</w:t>
      </w:r>
    </w:p>
    <w:p>
      <w:pPr>
        <w:rPr>
          <w:rFonts w:ascii="宋体" w:hAnsi="宋体"/>
          <w:b/>
          <w:sz w:val="24"/>
          <w:szCs w:val="24"/>
        </w:rPr>
      </w:pPr>
      <w:r>
        <w:rPr>
          <w:rFonts w:ascii="宋体" w:hAnsi="宋体"/>
          <w:b/>
          <w:sz w:val="24"/>
          <w:szCs w:val="24"/>
        </w:rPr>
        <w:br w:type="page"/>
      </w:r>
    </w:p>
    <w:bookmarkEnd w:id="77"/>
    <w:p>
      <w:pPr>
        <w:pStyle w:val="6"/>
        <w:numPr>
          <w:ilvl w:val="2"/>
          <w:numId w:val="5"/>
        </w:numPr>
        <w:tabs>
          <w:tab w:val="left" w:pos="709"/>
        </w:tabs>
        <w:spacing w:after="200"/>
        <w:ind w:left="709" w:hanging="709"/>
        <w:rPr>
          <w:bCs w:val="0"/>
          <w:color w:val="auto"/>
          <w:sz w:val="24"/>
          <w:szCs w:val="24"/>
        </w:rPr>
      </w:pPr>
      <w:bookmarkStart w:id="81" w:name="_Toc320698766"/>
      <w:bookmarkStart w:id="82" w:name="_Toc386099146"/>
      <w:r>
        <w:rPr>
          <w:rFonts w:hint="eastAsia"/>
          <w:bCs w:val="0"/>
          <w:color w:val="auto"/>
          <w:sz w:val="24"/>
          <w:szCs w:val="24"/>
        </w:rPr>
        <w:t>报价表</w:t>
      </w:r>
    </w:p>
    <w:p>
      <w:pPr>
        <w:spacing w:line="360" w:lineRule="auto"/>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项目名称：</w:t>
      </w:r>
      <w:r>
        <w:rPr>
          <w:rFonts w:hint="eastAsia" w:ascii="宋体" w:hAnsi="宋体"/>
          <w:b/>
          <w:bCs/>
          <w:color w:val="000000" w:themeColor="text1"/>
          <w:sz w:val="28"/>
          <w:szCs w:val="28"/>
          <w14:textFill>
            <w14:solidFill>
              <w14:schemeClr w14:val="tx1"/>
            </w14:solidFill>
          </w14:textFill>
        </w:rPr>
        <w:t>XXXX</w:t>
      </w:r>
    </w:p>
    <w:p>
      <w:pPr>
        <w:spacing w:line="360" w:lineRule="auto"/>
        <w:rPr>
          <w:rFonts w:ascii="宋体" w:hAnsi="宋体"/>
          <w:b/>
          <w:color w:val="000000" w:themeColor="text1"/>
          <w:sz w:val="24"/>
          <w:szCs w:val="24"/>
          <w:u w:val="single"/>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项目编号：武侯政采（202</w:t>
      </w:r>
      <w:r>
        <w:rPr>
          <w:rFonts w:hint="eastAsia" w:ascii="宋体" w:hAnsi="宋体"/>
          <w:b/>
          <w:color w:val="000000" w:themeColor="text1"/>
          <w:sz w:val="24"/>
          <w:szCs w:val="24"/>
          <w:lang w:val="en-US" w:eastAsia="zh-CN"/>
          <w14:textFill>
            <w14:solidFill>
              <w14:schemeClr w14:val="tx1"/>
            </w14:solidFill>
          </w14:textFill>
        </w:rPr>
        <w:t>x</w:t>
      </w:r>
      <w:r>
        <w:rPr>
          <w:rFonts w:hint="eastAsia" w:ascii="宋体" w:hAnsi="宋体"/>
          <w:b/>
          <w:color w:val="000000" w:themeColor="text1"/>
          <w:sz w:val="24"/>
          <w:szCs w:val="24"/>
          <w14:textFill>
            <w14:solidFill>
              <w14:schemeClr w14:val="tx1"/>
            </w14:solidFill>
          </w14:textFill>
        </w:rPr>
        <w:t>）A</w:t>
      </w:r>
      <w:r>
        <w:rPr>
          <w:rFonts w:hint="eastAsia" w:ascii="宋体" w:hAnsi="宋体"/>
          <w:b/>
          <w:color w:val="000000" w:themeColor="text1"/>
          <w:sz w:val="24"/>
          <w:szCs w:val="24"/>
          <w:lang w:val="en-US" w:eastAsia="zh-CN"/>
          <w14:textFill>
            <w14:solidFill>
              <w14:schemeClr w14:val="tx1"/>
            </w14:solidFill>
          </w14:textFill>
        </w:rPr>
        <w:t>xxxx</w:t>
      </w:r>
      <w:r>
        <w:rPr>
          <w:rFonts w:hint="eastAsia" w:ascii="宋体" w:hAnsi="宋体"/>
          <w:b/>
          <w:color w:val="000000" w:themeColor="text1"/>
          <w:sz w:val="24"/>
          <w:szCs w:val="24"/>
          <w14:textFill>
            <w14:solidFill>
              <w14:schemeClr w14:val="tx1"/>
            </w14:solidFill>
          </w14:textFill>
        </w:rPr>
        <w:t>号</w:t>
      </w:r>
    </w:p>
    <w:tbl>
      <w:tblPr>
        <w:tblStyle w:val="41"/>
        <w:tblpPr w:leftFromText="180" w:rightFromText="180" w:vertAnchor="text" w:horzAnchor="page" w:tblpX="322" w:tblpY="525"/>
        <w:tblOverlap w:val="never"/>
        <w:tblW w:w="10424" w:type="dxa"/>
        <w:tblInd w:w="0" w:type="dxa"/>
        <w:tblLayout w:type="fixed"/>
        <w:tblCellMar>
          <w:top w:w="0" w:type="dxa"/>
          <w:left w:w="0" w:type="dxa"/>
          <w:bottom w:w="0" w:type="dxa"/>
          <w:right w:w="0" w:type="dxa"/>
        </w:tblCellMar>
      </w:tblPr>
      <w:tblGrid>
        <w:gridCol w:w="523"/>
        <w:gridCol w:w="1245"/>
        <w:gridCol w:w="1620"/>
        <w:gridCol w:w="675"/>
        <w:gridCol w:w="736"/>
        <w:gridCol w:w="1125"/>
        <w:gridCol w:w="1065"/>
        <w:gridCol w:w="1256"/>
        <w:gridCol w:w="1305"/>
        <w:gridCol w:w="874"/>
      </w:tblGrid>
      <w:tr>
        <w:tblPrEx>
          <w:tblCellMar>
            <w:top w:w="0" w:type="dxa"/>
            <w:left w:w="0" w:type="dxa"/>
            <w:bottom w:w="0" w:type="dxa"/>
            <w:right w:w="0" w:type="dxa"/>
          </w:tblCellMar>
        </w:tblPrEx>
        <w:trPr>
          <w:trHeight w:val="930" w:hRule="atLeast"/>
        </w:trPr>
        <w:tc>
          <w:tcPr>
            <w:tcW w:w="5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000000"/>
                <w:sz w:val="22"/>
                <w:szCs w:val="21"/>
              </w:rPr>
            </w:pPr>
            <w:r>
              <w:rPr>
                <w:rFonts w:hint="eastAsia"/>
                <w:color w:val="000000"/>
                <w:sz w:val="22"/>
                <w:szCs w:val="21"/>
              </w:rPr>
              <w:t>序号</w:t>
            </w:r>
          </w:p>
        </w:tc>
        <w:tc>
          <w:tcPr>
            <w:tcW w:w="12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000000"/>
                <w:sz w:val="22"/>
                <w:szCs w:val="21"/>
              </w:rPr>
            </w:pPr>
            <w:r>
              <w:rPr>
                <w:rFonts w:hint="eastAsia"/>
                <w:color w:val="000000"/>
                <w:sz w:val="22"/>
                <w:szCs w:val="21"/>
              </w:rPr>
              <w:t>产品名称</w:t>
            </w:r>
          </w:p>
        </w:tc>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000000"/>
                <w:sz w:val="22"/>
                <w:szCs w:val="21"/>
              </w:rPr>
            </w:pPr>
            <w:r>
              <w:rPr>
                <w:rFonts w:hint="eastAsia"/>
                <w:color w:val="000000"/>
                <w:sz w:val="22"/>
                <w:szCs w:val="21"/>
              </w:rPr>
              <w:t>制造商家、品牌（如有）及规格型号</w:t>
            </w:r>
          </w:p>
        </w:tc>
        <w:tc>
          <w:tcPr>
            <w:tcW w:w="6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000000"/>
                <w:sz w:val="22"/>
                <w:szCs w:val="21"/>
              </w:rPr>
            </w:pPr>
            <w:r>
              <w:rPr>
                <w:rFonts w:hint="eastAsia"/>
                <w:color w:val="000000"/>
                <w:sz w:val="22"/>
                <w:szCs w:val="21"/>
              </w:rPr>
              <w:t>数量</w:t>
            </w:r>
          </w:p>
        </w:tc>
        <w:tc>
          <w:tcPr>
            <w:tcW w:w="7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000000"/>
                <w:sz w:val="22"/>
                <w:szCs w:val="21"/>
              </w:rPr>
            </w:pPr>
            <w:r>
              <w:rPr>
                <w:rFonts w:hint="eastAsia"/>
                <w:color w:val="000000"/>
                <w:sz w:val="22"/>
                <w:szCs w:val="21"/>
              </w:rPr>
              <w:t>单位</w:t>
            </w:r>
          </w:p>
        </w:tc>
        <w:tc>
          <w:tcPr>
            <w:tcW w:w="11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000000"/>
                <w:sz w:val="22"/>
                <w:szCs w:val="21"/>
              </w:rPr>
            </w:pPr>
            <w:r>
              <w:rPr>
                <w:rFonts w:hint="eastAsia"/>
                <w:color w:val="000000"/>
                <w:sz w:val="22"/>
                <w:szCs w:val="21"/>
              </w:rPr>
              <w:t>单价</w:t>
            </w:r>
          </w:p>
          <w:p>
            <w:pPr>
              <w:snapToGrid w:val="0"/>
              <w:jc w:val="center"/>
              <w:rPr>
                <w:color w:val="000000"/>
                <w:sz w:val="22"/>
                <w:szCs w:val="21"/>
              </w:rPr>
            </w:pPr>
            <w:r>
              <w:rPr>
                <w:rFonts w:hint="eastAsia"/>
                <w:color w:val="000000"/>
                <w:sz w:val="22"/>
                <w:szCs w:val="21"/>
              </w:rPr>
              <w:t>（元）</w:t>
            </w: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000000"/>
                <w:sz w:val="22"/>
                <w:szCs w:val="21"/>
              </w:rPr>
            </w:pPr>
            <w:r>
              <w:rPr>
                <w:rFonts w:hint="eastAsia"/>
                <w:color w:val="000000"/>
                <w:sz w:val="22"/>
                <w:szCs w:val="21"/>
              </w:rPr>
              <w:t>总价</w:t>
            </w:r>
          </w:p>
          <w:p>
            <w:pPr>
              <w:snapToGrid w:val="0"/>
              <w:jc w:val="center"/>
              <w:rPr>
                <w:color w:val="000000"/>
                <w:sz w:val="22"/>
                <w:szCs w:val="21"/>
              </w:rPr>
            </w:pPr>
            <w:r>
              <w:rPr>
                <w:rFonts w:hint="eastAsia"/>
                <w:color w:val="000000"/>
                <w:sz w:val="22"/>
                <w:szCs w:val="21"/>
              </w:rPr>
              <w:t>（元）</w:t>
            </w: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000000"/>
                <w:sz w:val="22"/>
                <w:szCs w:val="21"/>
              </w:rPr>
            </w:pPr>
            <w:r>
              <w:rPr>
                <w:rFonts w:hint="eastAsia"/>
                <w:color w:val="000000"/>
                <w:sz w:val="22"/>
                <w:szCs w:val="21"/>
              </w:rPr>
              <w:t>项目完成时间</w:t>
            </w:r>
          </w:p>
        </w:tc>
        <w:tc>
          <w:tcPr>
            <w:tcW w:w="13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ind w:left="355" w:hanging="355"/>
              <w:jc w:val="center"/>
              <w:rPr>
                <w:color w:val="000000"/>
                <w:sz w:val="22"/>
                <w:szCs w:val="21"/>
              </w:rPr>
            </w:pPr>
            <w:r>
              <w:rPr>
                <w:rFonts w:hint="eastAsia"/>
                <w:color w:val="000000"/>
                <w:sz w:val="22"/>
                <w:szCs w:val="21"/>
              </w:rPr>
              <w:t>是否属于</w:t>
            </w:r>
          </w:p>
          <w:p>
            <w:pPr>
              <w:snapToGrid w:val="0"/>
              <w:ind w:left="355" w:hanging="355"/>
              <w:jc w:val="center"/>
              <w:rPr>
                <w:color w:val="000000"/>
                <w:sz w:val="22"/>
                <w:szCs w:val="21"/>
              </w:rPr>
            </w:pPr>
            <w:r>
              <w:rPr>
                <w:rFonts w:hint="eastAsia"/>
                <w:color w:val="000000"/>
                <w:sz w:val="22"/>
                <w:szCs w:val="21"/>
              </w:rPr>
              <w:t>进口产品</w:t>
            </w:r>
          </w:p>
        </w:tc>
        <w:tc>
          <w:tcPr>
            <w:tcW w:w="8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ind w:left="355" w:hanging="355"/>
              <w:jc w:val="center"/>
              <w:rPr>
                <w:color w:val="000000"/>
                <w:sz w:val="22"/>
                <w:szCs w:val="21"/>
              </w:rPr>
            </w:pPr>
            <w:r>
              <w:rPr>
                <w:rFonts w:hint="eastAsia"/>
                <w:color w:val="000000"/>
                <w:sz w:val="22"/>
                <w:szCs w:val="21"/>
              </w:rPr>
              <w:t>备注</w:t>
            </w:r>
          </w:p>
        </w:tc>
      </w:tr>
      <w:tr>
        <w:tblPrEx>
          <w:tblCellMar>
            <w:top w:w="0" w:type="dxa"/>
            <w:left w:w="0" w:type="dxa"/>
            <w:bottom w:w="0" w:type="dxa"/>
            <w:right w:w="0" w:type="dxa"/>
          </w:tblCellMar>
        </w:tblPrEx>
        <w:trPr>
          <w:trHeight w:val="725" w:hRule="atLeast"/>
        </w:trPr>
        <w:tc>
          <w:tcPr>
            <w:tcW w:w="5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2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6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7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1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3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8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r>
      <w:tr>
        <w:tblPrEx>
          <w:tblCellMar>
            <w:top w:w="0" w:type="dxa"/>
            <w:left w:w="0" w:type="dxa"/>
            <w:bottom w:w="0" w:type="dxa"/>
            <w:right w:w="0" w:type="dxa"/>
          </w:tblCellMar>
        </w:tblPrEx>
        <w:trPr>
          <w:trHeight w:val="680" w:hRule="atLeast"/>
        </w:trPr>
        <w:tc>
          <w:tcPr>
            <w:tcW w:w="5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2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6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7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1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3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8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r>
      <w:tr>
        <w:tblPrEx>
          <w:tblCellMar>
            <w:top w:w="0" w:type="dxa"/>
            <w:left w:w="0" w:type="dxa"/>
            <w:bottom w:w="0" w:type="dxa"/>
            <w:right w:w="0" w:type="dxa"/>
          </w:tblCellMar>
        </w:tblPrEx>
        <w:trPr>
          <w:trHeight w:val="575" w:hRule="atLeast"/>
        </w:trPr>
        <w:tc>
          <w:tcPr>
            <w:tcW w:w="5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245"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tcPr>
          <w:p>
            <w:pPr>
              <w:snapToGrid w:val="0"/>
              <w:rPr>
                <w:color w:val="000000"/>
                <w:sz w:val="22"/>
                <w:szCs w:val="21"/>
              </w:rPr>
            </w:pPr>
          </w:p>
        </w:tc>
        <w:tc>
          <w:tcPr>
            <w:tcW w:w="1620"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6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7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1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3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8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r>
      <w:tr>
        <w:tblPrEx>
          <w:tblCellMar>
            <w:top w:w="0" w:type="dxa"/>
            <w:left w:w="0" w:type="dxa"/>
            <w:bottom w:w="0" w:type="dxa"/>
            <w:right w:w="0" w:type="dxa"/>
          </w:tblCellMar>
        </w:tblPrEx>
        <w:trPr>
          <w:trHeight w:val="1643" w:hRule="atLeast"/>
        </w:trPr>
        <w:tc>
          <w:tcPr>
            <w:tcW w:w="1768" w:type="dxa"/>
            <w:gridSpan w:val="2"/>
            <w:tcBorders>
              <w:top w:val="single" w:color="000000" w:sz="4" w:space="0"/>
              <w:left w:val="single" w:color="000000" w:sz="4" w:space="0"/>
              <w:bottom w:val="single" w:color="000000" w:sz="4" w:space="0"/>
              <w:right w:val="single" w:color="auto" w:sz="4" w:space="0"/>
            </w:tcBorders>
            <w:vAlign w:val="center"/>
          </w:tcPr>
          <w:p>
            <w:pPr>
              <w:snapToGrid w:val="0"/>
              <w:rPr>
                <w:color w:val="000000"/>
                <w:sz w:val="22"/>
                <w:szCs w:val="21"/>
              </w:rPr>
            </w:pPr>
            <w:r>
              <w:rPr>
                <w:rFonts w:hint="eastAsia"/>
                <w:color w:val="000000"/>
                <w:sz w:val="22"/>
                <w:szCs w:val="21"/>
              </w:rPr>
              <w:t>合计金额：</w:t>
            </w:r>
          </w:p>
        </w:tc>
        <w:tc>
          <w:tcPr>
            <w:tcW w:w="8656" w:type="dxa"/>
            <w:gridSpan w:val="8"/>
            <w:tcBorders>
              <w:top w:val="single" w:color="000000" w:sz="4" w:space="0"/>
              <w:left w:val="single" w:color="auto" w:sz="4" w:space="0"/>
              <w:bottom w:val="single" w:color="000000" w:sz="4" w:space="0"/>
              <w:right w:val="single" w:color="000000" w:sz="4" w:space="0"/>
            </w:tcBorders>
            <w:vAlign w:val="center"/>
          </w:tcPr>
          <w:p>
            <w:pPr>
              <w:spacing w:line="400" w:lineRule="exact"/>
              <w:jc w:val="left"/>
              <w:rPr>
                <w:rFonts w:ascii="宋体" w:hAnsi="宋体"/>
                <w:sz w:val="22"/>
                <w:szCs w:val="22"/>
              </w:rPr>
            </w:pPr>
          </w:p>
          <w:p>
            <w:pPr>
              <w:spacing w:line="400" w:lineRule="exact"/>
              <w:jc w:val="left"/>
              <w:rPr>
                <w:rFonts w:ascii="宋体" w:hAnsi="宋体"/>
                <w:sz w:val="22"/>
                <w:szCs w:val="22"/>
                <w:u w:val="single"/>
              </w:rPr>
            </w:pPr>
            <w:r>
              <w:rPr>
                <w:rFonts w:hint="eastAsia" w:ascii="宋体" w:hAnsi="宋体"/>
                <w:sz w:val="22"/>
                <w:szCs w:val="22"/>
              </w:rPr>
              <w:t>小写：</w:t>
            </w:r>
            <w:r>
              <w:rPr>
                <w:rFonts w:hint="eastAsia" w:ascii="宋体" w:hAnsi="宋体"/>
                <w:sz w:val="22"/>
                <w:szCs w:val="22"/>
                <w:u w:val="single"/>
              </w:rPr>
              <w:t xml:space="preserve">                 </w:t>
            </w:r>
            <w:r>
              <w:rPr>
                <w:rFonts w:hint="eastAsia"/>
                <w:color w:val="000000"/>
                <w:sz w:val="22"/>
                <w:szCs w:val="21"/>
                <w:u w:val="single"/>
              </w:rPr>
              <w:t>元</w:t>
            </w:r>
            <w:r>
              <w:rPr>
                <w:rFonts w:hint="eastAsia" w:ascii="宋体" w:hAnsi="宋体"/>
                <w:sz w:val="22"/>
                <w:szCs w:val="22"/>
                <w:u w:val="single"/>
              </w:rPr>
              <w:t xml:space="preserve">     </w:t>
            </w:r>
          </w:p>
          <w:p>
            <w:pPr>
              <w:pStyle w:val="81"/>
              <w:rPr>
                <w:sz w:val="20"/>
                <w:szCs w:val="21"/>
              </w:rPr>
            </w:pPr>
          </w:p>
          <w:p>
            <w:pPr>
              <w:spacing w:line="400" w:lineRule="exact"/>
              <w:jc w:val="left"/>
              <w:rPr>
                <w:rFonts w:ascii="宋体" w:hAnsi="宋体"/>
                <w:sz w:val="22"/>
                <w:szCs w:val="22"/>
                <w:u w:val="single"/>
              </w:rPr>
            </w:pPr>
            <w:r>
              <w:rPr>
                <w:rFonts w:hint="eastAsia" w:ascii="宋体" w:hAnsi="宋体"/>
                <w:sz w:val="22"/>
                <w:szCs w:val="22"/>
              </w:rPr>
              <w:t>大写：</w:t>
            </w:r>
            <w:r>
              <w:rPr>
                <w:rFonts w:hint="eastAsia" w:ascii="宋体" w:hAnsi="宋体"/>
                <w:sz w:val="22"/>
                <w:szCs w:val="22"/>
                <w:u w:val="single"/>
              </w:rPr>
              <w:t xml:space="preserve">   </w:t>
            </w:r>
            <w:r>
              <w:rPr>
                <w:rFonts w:hint="eastAsia"/>
                <w:color w:val="000000"/>
                <w:sz w:val="22"/>
                <w:szCs w:val="21"/>
                <w:u w:val="single"/>
              </w:rPr>
              <w:t xml:space="preserve">亿    仟  佰    拾   万  仟  佰  拾  元   角   分 </w:t>
            </w:r>
            <w:r>
              <w:rPr>
                <w:rFonts w:hint="eastAsia" w:ascii="宋体" w:hAnsi="宋体"/>
                <w:sz w:val="22"/>
                <w:szCs w:val="22"/>
                <w:u w:val="single"/>
              </w:rPr>
              <w:t xml:space="preserve">                  </w:t>
            </w:r>
          </w:p>
          <w:p>
            <w:pPr>
              <w:spacing w:line="400" w:lineRule="exact"/>
              <w:rPr>
                <w:rFonts w:ascii="宋体" w:hAnsi="宋体"/>
                <w:sz w:val="22"/>
                <w:szCs w:val="22"/>
                <w:u w:val="single"/>
              </w:rPr>
            </w:pPr>
          </w:p>
          <w:p>
            <w:pPr>
              <w:snapToGrid w:val="0"/>
              <w:rPr>
                <w:color w:val="000000"/>
                <w:sz w:val="22"/>
                <w:szCs w:val="21"/>
              </w:rPr>
            </w:pPr>
            <w:r>
              <w:rPr>
                <w:rFonts w:hint="eastAsia"/>
                <w:color w:val="000000"/>
                <w:sz w:val="22"/>
                <w:szCs w:val="21"/>
              </w:rPr>
              <w:t xml:space="preserve"> </w:t>
            </w:r>
          </w:p>
        </w:tc>
      </w:tr>
    </w:tbl>
    <w:p>
      <w:pPr>
        <w:spacing w:line="360" w:lineRule="auto"/>
        <w:rPr>
          <w:rFonts w:ascii="宋体" w:hAnsi="宋体"/>
          <w:b/>
          <w:sz w:val="24"/>
          <w:szCs w:val="24"/>
          <w:u w:val="single"/>
        </w:rPr>
      </w:pPr>
    </w:p>
    <w:p>
      <w:pPr>
        <w:tabs>
          <w:tab w:val="left" w:pos="1134"/>
        </w:tabs>
        <w:spacing w:line="560" w:lineRule="exact"/>
        <w:ind w:firstLine="364" w:firstLineChars="152"/>
        <w:rPr>
          <w:rFonts w:ascii="宋体" w:hAnsi="宋体"/>
          <w:sz w:val="24"/>
          <w:szCs w:val="24"/>
        </w:rPr>
      </w:pPr>
    </w:p>
    <w:p>
      <w:pPr>
        <w:ind w:firstLine="400" w:firstLineChars="200"/>
        <w:rPr>
          <w:rFonts w:ascii="宋体" w:hAnsi="宋体" w:cs="宋体"/>
          <w:sz w:val="20"/>
          <w:szCs w:val="21"/>
        </w:rPr>
      </w:pPr>
    </w:p>
    <w:p>
      <w:pPr>
        <w:pStyle w:val="199"/>
        <w:ind w:firstLine="482" w:firstLineChars="200"/>
        <w:rPr>
          <w:b/>
          <w:sz w:val="24"/>
          <w:szCs w:val="22"/>
        </w:rPr>
      </w:pPr>
      <w:r>
        <w:rPr>
          <w:rFonts w:hint="eastAsia"/>
          <w:b/>
          <w:sz w:val="24"/>
          <w:szCs w:val="22"/>
        </w:rPr>
        <w:t>说明：1、报价应是包括磋商文件规定的全部响应内容的报价。</w:t>
      </w:r>
    </w:p>
    <w:p>
      <w:pPr>
        <w:tabs>
          <w:tab w:val="left" w:pos="1134"/>
        </w:tabs>
        <w:spacing w:line="560" w:lineRule="exact"/>
        <w:ind w:firstLine="366" w:firstLineChars="152"/>
        <w:rPr>
          <w:rFonts w:ascii="宋体" w:hAnsi="宋体"/>
          <w:b/>
          <w:bCs/>
          <w:sz w:val="24"/>
          <w:szCs w:val="21"/>
        </w:rPr>
      </w:pPr>
      <w:r>
        <w:rPr>
          <w:rFonts w:hint="eastAsia" w:ascii="宋体" w:hAnsi="宋体"/>
          <w:b/>
          <w:sz w:val="24"/>
          <w:szCs w:val="24"/>
        </w:rPr>
        <w:t>2、报价以供应商在政府采购云平台开标一览表中填写的报价为准。</w:t>
      </w:r>
    </w:p>
    <w:p>
      <w:pPr>
        <w:pStyle w:val="199"/>
        <w:ind w:firstLine="482" w:firstLineChars="200"/>
        <w:rPr>
          <w:b/>
          <w:sz w:val="24"/>
          <w:szCs w:val="22"/>
        </w:rPr>
      </w:pPr>
    </w:p>
    <w:p>
      <w:pPr>
        <w:pStyle w:val="199"/>
        <w:ind w:firstLine="482" w:firstLineChars="200"/>
        <w:rPr>
          <w:b/>
          <w:sz w:val="24"/>
          <w:szCs w:val="22"/>
        </w:rPr>
      </w:pPr>
    </w:p>
    <w:p>
      <w:pPr>
        <w:pStyle w:val="199"/>
        <w:ind w:firstLine="482" w:firstLineChars="200"/>
        <w:rPr>
          <w:b/>
          <w:sz w:val="24"/>
          <w:szCs w:val="22"/>
        </w:rPr>
      </w:pPr>
    </w:p>
    <w:p>
      <w:pPr>
        <w:pStyle w:val="199"/>
        <w:ind w:firstLine="482" w:firstLineChars="200"/>
        <w:rPr>
          <w:b/>
          <w:sz w:val="24"/>
          <w:szCs w:val="22"/>
        </w:rPr>
      </w:pPr>
    </w:p>
    <w:p>
      <w:pPr>
        <w:rPr>
          <w:b/>
          <w:sz w:val="24"/>
          <w:szCs w:val="22"/>
        </w:rPr>
      </w:pPr>
      <w:r>
        <w:rPr>
          <w:b/>
          <w:sz w:val="24"/>
          <w:szCs w:val="22"/>
        </w:rPr>
        <w:br w:type="page"/>
      </w:r>
    </w:p>
    <w:p>
      <w:pPr>
        <w:pStyle w:val="6"/>
        <w:tabs>
          <w:tab w:val="left" w:pos="709"/>
        </w:tabs>
        <w:ind w:left="709" w:hanging="709"/>
        <w:rPr>
          <w:color w:val="auto"/>
          <w:sz w:val="24"/>
          <w:szCs w:val="24"/>
        </w:rPr>
      </w:pPr>
      <w:r>
        <w:rPr>
          <w:rFonts w:hint="eastAsia"/>
          <w:sz w:val="22"/>
          <w:szCs w:val="24"/>
        </w:rPr>
        <w:t>技术参数响应表</w:t>
      </w:r>
    </w:p>
    <w:p>
      <w:pPr>
        <w:spacing w:line="360" w:lineRule="auto"/>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项目名称：</w:t>
      </w:r>
      <w:r>
        <w:rPr>
          <w:rFonts w:hint="eastAsia" w:ascii="宋体" w:hAnsi="宋体"/>
          <w:b/>
          <w:color w:val="000000" w:themeColor="text1"/>
          <w:spacing w:val="-20"/>
          <w:sz w:val="24"/>
          <w:szCs w:val="24"/>
          <w:u w:val="single"/>
          <w14:textFill>
            <w14:solidFill>
              <w14:schemeClr w14:val="tx1"/>
            </w14:solidFill>
          </w14:textFill>
        </w:rPr>
        <w:t>XX</w:t>
      </w:r>
    </w:p>
    <w:p>
      <w:pPr>
        <w:spacing w:line="360" w:lineRule="auto"/>
        <w:rPr>
          <w:rFonts w:ascii="宋体" w:hAnsi="宋体"/>
          <w:b/>
          <w:color w:val="000000" w:themeColor="text1"/>
          <w:sz w:val="24"/>
          <w:szCs w:val="24"/>
          <w:u w:val="single"/>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项目编号：武侯政采（202</w:t>
      </w:r>
      <w:r>
        <w:rPr>
          <w:rFonts w:hint="eastAsia" w:ascii="宋体" w:hAnsi="宋体"/>
          <w:b/>
          <w:color w:val="000000" w:themeColor="text1"/>
          <w:sz w:val="24"/>
          <w:szCs w:val="24"/>
          <w:lang w:val="en-US" w:eastAsia="zh-CN"/>
          <w14:textFill>
            <w14:solidFill>
              <w14:schemeClr w14:val="tx1"/>
            </w14:solidFill>
          </w14:textFill>
        </w:rPr>
        <w:t>x</w:t>
      </w:r>
      <w:r>
        <w:rPr>
          <w:rFonts w:hint="eastAsia" w:ascii="宋体" w:hAnsi="宋体"/>
          <w:b/>
          <w:color w:val="000000" w:themeColor="text1"/>
          <w:sz w:val="24"/>
          <w:szCs w:val="24"/>
          <w14:textFill>
            <w14:solidFill>
              <w14:schemeClr w14:val="tx1"/>
            </w14:solidFill>
          </w14:textFill>
        </w:rPr>
        <w:t>）A</w:t>
      </w:r>
      <w:r>
        <w:rPr>
          <w:rFonts w:hint="eastAsia" w:ascii="宋体" w:hAnsi="宋体"/>
          <w:b/>
          <w:color w:val="000000" w:themeColor="text1"/>
          <w:sz w:val="24"/>
          <w:szCs w:val="24"/>
          <w:lang w:val="en-US" w:eastAsia="zh-CN"/>
          <w14:textFill>
            <w14:solidFill>
              <w14:schemeClr w14:val="tx1"/>
            </w14:solidFill>
          </w14:textFill>
        </w:rPr>
        <w:t>xxxx</w:t>
      </w:r>
      <w:r>
        <w:rPr>
          <w:rFonts w:hint="eastAsia" w:ascii="宋体" w:hAnsi="宋体"/>
          <w:b/>
          <w:color w:val="000000" w:themeColor="text1"/>
          <w:sz w:val="24"/>
          <w:szCs w:val="24"/>
          <w14:textFill>
            <w14:solidFill>
              <w14:schemeClr w14:val="tx1"/>
            </w14:solidFill>
          </w14:textFill>
        </w:rPr>
        <w:t>号</w:t>
      </w:r>
    </w:p>
    <w:p>
      <w:pPr>
        <w:pStyle w:val="2"/>
        <w:rPr>
          <w:sz w:val="20"/>
          <w:szCs w:val="21"/>
        </w:rPr>
      </w:pPr>
    </w:p>
    <w:tbl>
      <w:tblPr>
        <w:tblStyle w:val="41"/>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2240"/>
        <w:gridCol w:w="2512"/>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992"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序号</w:t>
            </w:r>
          </w:p>
        </w:tc>
        <w:tc>
          <w:tcPr>
            <w:tcW w:w="2240"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文件要求</w:t>
            </w:r>
          </w:p>
        </w:tc>
        <w:tc>
          <w:tcPr>
            <w:tcW w:w="2512"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响应应答</w:t>
            </w:r>
          </w:p>
        </w:tc>
        <w:tc>
          <w:tcPr>
            <w:tcW w:w="1276"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偏离情况</w:t>
            </w:r>
          </w:p>
        </w:tc>
        <w:tc>
          <w:tcPr>
            <w:tcW w:w="1276" w:type="dxa"/>
          </w:tcPr>
          <w:p>
            <w:pPr>
              <w:spacing w:line="360" w:lineRule="auto"/>
              <w:jc w:val="center"/>
              <w:rPr>
                <w:rFonts w:ascii="方正小标宋简体" w:hAnsi="宋体" w:eastAsia="方正小标宋简体"/>
                <w:sz w:val="20"/>
                <w:szCs w:val="20"/>
              </w:rPr>
            </w:pPr>
            <w:r>
              <w:rPr>
                <w:rFonts w:hint="eastAsia" w:ascii="方正小标宋简体" w:eastAsia="方正小标宋简体"/>
                <w:sz w:val="16"/>
                <w:szCs w:val="16"/>
              </w:rPr>
              <w:t>支撑材料所在页码（1.仅部分需提供；2.相应条款没有支撑材料的请填写“/”）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92"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1</w:t>
            </w:r>
          </w:p>
        </w:tc>
        <w:tc>
          <w:tcPr>
            <w:tcW w:w="2240" w:type="dxa"/>
            <w:vAlign w:val="center"/>
          </w:tcPr>
          <w:p>
            <w:pPr>
              <w:spacing w:line="360" w:lineRule="auto"/>
              <w:jc w:val="center"/>
              <w:rPr>
                <w:rFonts w:ascii="方正小标宋简体" w:hAnsi="宋体" w:eastAsia="方正小标宋简体"/>
                <w:sz w:val="20"/>
                <w:szCs w:val="20"/>
              </w:rPr>
            </w:pPr>
          </w:p>
        </w:tc>
        <w:tc>
          <w:tcPr>
            <w:tcW w:w="2512" w:type="dxa"/>
            <w:vAlign w:val="center"/>
          </w:tcPr>
          <w:p>
            <w:pPr>
              <w:spacing w:line="360" w:lineRule="auto"/>
              <w:ind w:left="277" w:hanging="264" w:hangingChars="132"/>
              <w:jc w:val="center"/>
              <w:rPr>
                <w:rFonts w:ascii="方正小标宋简体" w:hAnsi="宋体" w:eastAsia="方正小标宋简体"/>
                <w:sz w:val="20"/>
                <w:szCs w:val="20"/>
              </w:rPr>
            </w:pPr>
          </w:p>
        </w:tc>
        <w:tc>
          <w:tcPr>
            <w:tcW w:w="1276" w:type="dxa"/>
            <w:vAlign w:val="center"/>
          </w:tcPr>
          <w:p>
            <w:pPr>
              <w:spacing w:line="360" w:lineRule="auto"/>
              <w:ind w:left="277" w:hanging="264" w:hangingChars="132"/>
              <w:jc w:val="center"/>
              <w:rPr>
                <w:rFonts w:ascii="方正小标宋简体" w:hAnsi="宋体" w:eastAsia="方正小标宋简体"/>
                <w:sz w:val="20"/>
                <w:szCs w:val="20"/>
              </w:rPr>
            </w:pPr>
          </w:p>
        </w:tc>
        <w:tc>
          <w:tcPr>
            <w:tcW w:w="1276" w:type="dxa"/>
          </w:tcPr>
          <w:p>
            <w:pPr>
              <w:spacing w:line="360" w:lineRule="auto"/>
              <w:ind w:left="277" w:hanging="264" w:hangingChars="132"/>
              <w:jc w:val="center"/>
              <w:rPr>
                <w:rFonts w:ascii="方正小标宋简体" w:hAnsi="宋体" w:eastAsia="方正小标宋简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92"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2</w:t>
            </w:r>
          </w:p>
        </w:tc>
        <w:tc>
          <w:tcPr>
            <w:tcW w:w="2240" w:type="dxa"/>
            <w:vAlign w:val="center"/>
          </w:tcPr>
          <w:p>
            <w:pPr>
              <w:spacing w:line="360" w:lineRule="auto"/>
              <w:jc w:val="center"/>
              <w:rPr>
                <w:rFonts w:ascii="方正小标宋简体" w:hAnsi="宋体" w:eastAsia="方正小标宋简体"/>
                <w:sz w:val="20"/>
                <w:szCs w:val="20"/>
              </w:rPr>
            </w:pPr>
          </w:p>
        </w:tc>
        <w:tc>
          <w:tcPr>
            <w:tcW w:w="2512" w:type="dxa"/>
            <w:vAlign w:val="center"/>
          </w:tcPr>
          <w:p>
            <w:pPr>
              <w:spacing w:line="360" w:lineRule="auto"/>
              <w:ind w:left="277" w:hanging="264" w:hangingChars="132"/>
              <w:jc w:val="center"/>
              <w:rPr>
                <w:rFonts w:ascii="方正小标宋简体" w:hAnsi="宋体" w:eastAsia="方正小标宋简体"/>
                <w:sz w:val="20"/>
                <w:szCs w:val="20"/>
              </w:rPr>
            </w:pPr>
          </w:p>
        </w:tc>
        <w:tc>
          <w:tcPr>
            <w:tcW w:w="1276" w:type="dxa"/>
            <w:vAlign w:val="center"/>
          </w:tcPr>
          <w:p>
            <w:pPr>
              <w:spacing w:line="360" w:lineRule="auto"/>
              <w:ind w:left="277" w:hanging="264" w:hangingChars="132"/>
              <w:jc w:val="center"/>
              <w:rPr>
                <w:rFonts w:ascii="方正小标宋简体" w:hAnsi="宋体" w:eastAsia="方正小标宋简体"/>
                <w:sz w:val="20"/>
                <w:szCs w:val="20"/>
              </w:rPr>
            </w:pPr>
          </w:p>
        </w:tc>
        <w:tc>
          <w:tcPr>
            <w:tcW w:w="1276" w:type="dxa"/>
          </w:tcPr>
          <w:p>
            <w:pPr>
              <w:spacing w:line="360" w:lineRule="auto"/>
              <w:ind w:left="277" w:hanging="264" w:hangingChars="132"/>
              <w:jc w:val="center"/>
              <w:rPr>
                <w:rFonts w:ascii="方正小标宋简体" w:hAnsi="宋体" w:eastAsia="方正小标宋简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992"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3</w:t>
            </w:r>
          </w:p>
        </w:tc>
        <w:tc>
          <w:tcPr>
            <w:tcW w:w="2240" w:type="dxa"/>
            <w:vAlign w:val="center"/>
          </w:tcPr>
          <w:p>
            <w:pPr>
              <w:spacing w:line="360" w:lineRule="auto"/>
              <w:jc w:val="center"/>
              <w:rPr>
                <w:rFonts w:ascii="方正小标宋简体" w:hAnsi="宋体" w:eastAsia="方正小标宋简体"/>
                <w:sz w:val="20"/>
                <w:szCs w:val="20"/>
              </w:rPr>
            </w:pPr>
          </w:p>
        </w:tc>
        <w:tc>
          <w:tcPr>
            <w:tcW w:w="2512" w:type="dxa"/>
            <w:vAlign w:val="center"/>
          </w:tcPr>
          <w:p>
            <w:pPr>
              <w:spacing w:line="360" w:lineRule="auto"/>
              <w:jc w:val="center"/>
              <w:rPr>
                <w:rFonts w:ascii="方正小标宋简体" w:hAnsi="宋体" w:eastAsia="方正小标宋简体"/>
                <w:sz w:val="20"/>
                <w:szCs w:val="20"/>
              </w:rPr>
            </w:pPr>
          </w:p>
        </w:tc>
        <w:tc>
          <w:tcPr>
            <w:tcW w:w="1276" w:type="dxa"/>
            <w:vAlign w:val="center"/>
          </w:tcPr>
          <w:p>
            <w:pPr>
              <w:spacing w:line="360" w:lineRule="auto"/>
              <w:jc w:val="center"/>
              <w:rPr>
                <w:rFonts w:ascii="方正小标宋简体" w:hAnsi="宋体" w:eastAsia="方正小标宋简体"/>
                <w:sz w:val="20"/>
                <w:szCs w:val="20"/>
              </w:rPr>
            </w:pPr>
          </w:p>
        </w:tc>
        <w:tc>
          <w:tcPr>
            <w:tcW w:w="1276" w:type="dxa"/>
          </w:tcPr>
          <w:p>
            <w:pPr>
              <w:spacing w:line="360" w:lineRule="auto"/>
              <w:jc w:val="center"/>
              <w:rPr>
                <w:rFonts w:ascii="方正小标宋简体" w:hAnsi="宋体" w:eastAsia="方正小标宋简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992"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4</w:t>
            </w:r>
          </w:p>
        </w:tc>
        <w:tc>
          <w:tcPr>
            <w:tcW w:w="2240" w:type="dxa"/>
            <w:vAlign w:val="center"/>
          </w:tcPr>
          <w:p>
            <w:pPr>
              <w:spacing w:line="360" w:lineRule="auto"/>
              <w:jc w:val="center"/>
              <w:rPr>
                <w:rFonts w:ascii="方正小标宋简体" w:hAnsi="宋体" w:eastAsia="方正小标宋简体"/>
                <w:sz w:val="20"/>
                <w:szCs w:val="20"/>
              </w:rPr>
            </w:pPr>
          </w:p>
        </w:tc>
        <w:tc>
          <w:tcPr>
            <w:tcW w:w="2512" w:type="dxa"/>
            <w:vAlign w:val="center"/>
          </w:tcPr>
          <w:p>
            <w:pPr>
              <w:spacing w:line="360" w:lineRule="auto"/>
              <w:jc w:val="center"/>
              <w:rPr>
                <w:rFonts w:ascii="方正小标宋简体" w:hAnsi="宋体" w:eastAsia="方正小标宋简体"/>
                <w:sz w:val="20"/>
                <w:szCs w:val="20"/>
              </w:rPr>
            </w:pPr>
          </w:p>
        </w:tc>
        <w:tc>
          <w:tcPr>
            <w:tcW w:w="1276" w:type="dxa"/>
            <w:vAlign w:val="center"/>
          </w:tcPr>
          <w:p>
            <w:pPr>
              <w:spacing w:line="360" w:lineRule="auto"/>
              <w:jc w:val="center"/>
              <w:rPr>
                <w:rFonts w:ascii="方正小标宋简体" w:hAnsi="宋体" w:eastAsia="方正小标宋简体"/>
                <w:sz w:val="20"/>
                <w:szCs w:val="20"/>
              </w:rPr>
            </w:pPr>
          </w:p>
        </w:tc>
        <w:tc>
          <w:tcPr>
            <w:tcW w:w="1276" w:type="dxa"/>
          </w:tcPr>
          <w:p>
            <w:pPr>
              <w:spacing w:line="360" w:lineRule="auto"/>
              <w:jc w:val="center"/>
              <w:rPr>
                <w:rFonts w:ascii="方正小标宋简体" w:hAnsi="宋体" w:eastAsia="方正小标宋简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992"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5</w:t>
            </w:r>
          </w:p>
        </w:tc>
        <w:tc>
          <w:tcPr>
            <w:tcW w:w="2240" w:type="dxa"/>
            <w:vAlign w:val="center"/>
          </w:tcPr>
          <w:p>
            <w:pPr>
              <w:spacing w:line="360" w:lineRule="auto"/>
              <w:jc w:val="center"/>
              <w:rPr>
                <w:rFonts w:ascii="方正小标宋简体" w:hAnsi="宋体" w:eastAsia="方正小标宋简体"/>
                <w:sz w:val="20"/>
                <w:szCs w:val="20"/>
              </w:rPr>
            </w:pPr>
          </w:p>
        </w:tc>
        <w:tc>
          <w:tcPr>
            <w:tcW w:w="2512" w:type="dxa"/>
            <w:vAlign w:val="center"/>
          </w:tcPr>
          <w:p>
            <w:pPr>
              <w:spacing w:line="360" w:lineRule="auto"/>
              <w:jc w:val="center"/>
              <w:rPr>
                <w:rFonts w:ascii="方正小标宋简体" w:hAnsi="宋体" w:eastAsia="方正小标宋简体"/>
                <w:sz w:val="20"/>
                <w:szCs w:val="20"/>
              </w:rPr>
            </w:pPr>
          </w:p>
        </w:tc>
        <w:tc>
          <w:tcPr>
            <w:tcW w:w="1276" w:type="dxa"/>
            <w:vAlign w:val="center"/>
          </w:tcPr>
          <w:p>
            <w:pPr>
              <w:spacing w:line="360" w:lineRule="auto"/>
              <w:jc w:val="center"/>
              <w:rPr>
                <w:rFonts w:ascii="方正小标宋简体" w:hAnsi="宋体" w:eastAsia="方正小标宋简体"/>
                <w:sz w:val="20"/>
                <w:szCs w:val="20"/>
              </w:rPr>
            </w:pPr>
          </w:p>
        </w:tc>
        <w:tc>
          <w:tcPr>
            <w:tcW w:w="1276" w:type="dxa"/>
          </w:tcPr>
          <w:p>
            <w:pPr>
              <w:spacing w:line="360" w:lineRule="auto"/>
              <w:jc w:val="center"/>
              <w:rPr>
                <w:rFonts w:ascii="方正小标宋简体" w:hAnsi="宋体" w:eastAsia="方正小标宋简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992"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w:t>
            </w:r>
          </w:p>
        </w:tc>
        <w:tc>
          <w:tcPr>
            <w:tcW w:w="2240" w:type="dxa"/>
            <w:vAlign w:val="center"/>
          </w:tcPr>
          <w:p>
            <w:pPr>
              <w:spacing w:line="360" w:lineRule="auto"/>
              <w:jc w:val="center"/>
              <w:rPr>
                <w:rFonts w:ascii="方正小标宋简体" w:hAnsi="宋体" w:eastAsia="方正小标宋简体"/>
                <w:sz w:val="20"/>
                <w:szCs w:val="20"/>
              </w:rPr>
            </w:pPr>
          </w:p>
        </w:tc>
        <w:tc>
          <w:tcPr>
            <w:tcW w:w="2512" w:type="dxa"/>
            <w:vAlign w:val="center"/>
          </w:tcPr>
          <w:p>
            <w:pPr>
              <w:spacing w:line="360" w:lineRule="auto"/>
              <w:jc w:val="center"/>
              <w:rPr>
                <w:rFonts w:ascii="方正小标宋简体" w:hAnsi="宋体" w:eastAsia="方正小标宋简体"/>
                <w:sz w:val="20"/>
                <w:szCs w:val="20"/>
              </w:rPr>
            </w:pPr>
          </w:p>
        </w:tc>
        <w:tc>
          <w:tcPr>
            <w:tcW w:w="1276" w:type="dxa"/>
            <w:vAlign w:val="center"/>
          </w:tcPr>
          <w:p>
            <w:pPr>
              <w:spacing w:line="360" w:lineRule="auto"/>
              <w:jc w:val="center"/>
              <w:rPr>
                <w:rFonts w:ascii="方正小标宋简体" w:hAnsi="宋体" w:eastAsia="方正小标宋简体"/>
                <w:sz w:val="20"/>
                <w:szCs w:val="20"/>
              </w:rPr>
            </w:pPr>
          </w:p>
        </w:tc>
        <w:tc>
          <w:tcPr>
            <w:tcW w:w="1276" w:type="dxa"/>
          </w:tcPr>
          <w:p>
            <w:pPr>
              <w:spacing w:line="360" w:lineRule="auto"/>
              <w:jc w:val="center"/>
              <w:rPr>
                <w:rFonts w:ascii="方正小标宋简体" w:hAnsi="宋体" w:eastAsia="方正小标宋简体"/>
                <w:sz w:val="20"/>
                <w:szCs w:val="20"/>
              </w:rPr>
            </w:pPr>
          </w:p>
        </w:tc>
      </w:tr>
    </w:tbl>
    <w:p>
      <w:pPr>
        <w:pStyle w:val="199"/>
        <w:ind w:firstLine="422" w:firstLineChars="176"/>
        <w:rPr>
          <w:sz w:val="24"/>
          <w:szCs w:val="22"/>
        </w:rPr>
      </w:pPr>
    </w:p>
    <w:p>
      <w:pPr>
        <w:spacing w:line="360" w:lineRule="auto"/>
        <w:ind w:firstLine="364" w:firstLineChars="152"/>
        <w:rPr>
          <w:rFonts w:ascii="宋体" w:hAnsi="宋体"/>
          <w:sz w:val="24"/>
          <w:szCs w:val="24"/>
        </w:rPr>
      </w:pPr>
      <w:r>
        <w:rPr>
          <w:rFonts w:hint="eastAsia" w:ascii="宋体" w:hAnsi="宋体"/>
          <w:sz w:val="24"/>
          <w:szCs w:val="24"/>
        </w:rPr>
        <w:t>供应商名称：</w:t>
      </w:r>
      <w:r>
        <w:rPr>
          <w:rFonts w:hint="eastAsia" w:ascii="宋体" w:hAnsi="宋体"/>
          <w:sz w:val="24"/>
          <w:szCs w:val="24"/>
          <w:u w:val="single"/>
        </w:rPr>
        <w:t>XXXX</w:t>
      </w:r>
    </w:p>
    <w:p>
      <w:pPr>
        <w:spacing w:line="360" w:lineRule="auto"/>
        <w:ind w:firstLine="364" w:firstLineChars="152"/>
        <w:rPr>
          <w:rFonts w:ascii="宋体" w:hAnsi="宋体"/>
          <w:sz w:val="24"/>
          <w:szCs w:val="21"/>
        </w:rPr>
      </w:pPr>
      <w:r>
        <w:rPr>
          <w:rFonts w:hint="eastAsia" w:ascii="宋体" w:hAnsi="宋体"/>
          <w:sz w:val="24"/>
          <w:szCs w:val="24"/>
        </w:rPr>
        <w:t>日期：202</w:t>
      </w:r>
      <w:r>
        <w:rPr>
          <w:rFonts w:hint="eastAsia" w:ascii="宋体" w:hAnsi="宋体"/>
          <w:sz w:val="24"/>
          <w:szCs w:val="24"/>
          <w:u w:val="single"/>
        </w:rPr>
        <w:t>X</w:t>
      </w:r>
      <w:r>
        <w:rPr>
          <w:rFonts w:hint="eastAsia" w:ascii="宋体" w:hAnsi="宋体"/>
          <w:sz w:val="24"/>
          <w:szCs w:val="24"/>
        </w:rPr>
        <w:t>年</w:t>
      </w:r>
      <w:r>
        <w:rPr>
          <w:rFonts w:hint="eastAsia" w:ascii="宋体" w:hAnsi="宋体"/>
          <w:sz w:val="24"/>
          <w:szCs w:val="24"/>
          <w:u w:val="single"/>
        </w:rPr>
        <w:t>XX</w:t>
      </w:r>
      <w:r>
        <w:rPr>
          <w:rFonts w:hint="eastAsia" w:ascii="宋体" w:hAnsi="宋体"/>
          <w:sz w:val="24"/>
          <w:szCs w:val="24"/>
        </w:rPr>
        <w:t>月</w:t>
      </w:r>
      <w:r>
        <w:rPr>
          <w:rFonts w:hint="eastAsia" w:ascii="宋体" w:hAnsi="宋体"/>
          <w:sz w:val="24"/>
          <w:szCs w:val="24"/>
          <w:u w:val="single"/>
        </w:rPr>
        <w:t>XX</w:t>
      </w:r>
      <w:r>
        <w:rPr>
          <w:rFonts w:hint="eastAsia" w:ascii="宋体" w:hAnsi="宋体"/>
          <w:sz w:val="24"/>
          <w:szCs w:val="24"/>
        </w:rPr>
        <w:t>日</w:t>
      </w:r>
    </w:p>
    <w:p>
      <w:pPr>
        <w:pStyle w:val="199"/>
        <w:ind w:firstLine="422" w:firstLineChars="176"/>
        <w:rPr>
          <w:sz w:val="24"/>
          <w:szCs w:val="22"/>
        </w:rPr>
      </w:pPr>
    </w:p>
    <w:p>
      <w:pPr>
        <w:pStyle w:val="199"/>
        <w:ind w:firstLine="422" w:firstLineChars="176"/>
        <w:rPr>
          <w:sz w:val="24"/>
          <w:szCs w:val="22"/>
        </w:rPr>
      </w:pPr>
    </w:p>
    <w:p>
      <w:pPr>
        <w:rPr>
          <w:sz w:val="24"/>
          <w:szCs w:val="22"/>
        </w:rPr>
      </w:pPr>
      <w:r>
        <w:rPr>
          <w:sz w:val="24"/>
          <w:szCs w:val="22"/>
        </w:rPr>
        <w:br w:type="page"/>
      </w:r>
    </w:p>
    <w:bookmarkEnd w:id="81"/>
    <w:bookmarkEnd w:id="82"/>
    <w:p>
      <w:pPr>
        <w:pStyle w:val="6"/>
        <w:tabs>
          <w:tab w:val="left" w:pos="709"/>
        </w:tabs>
        <w:ind w:left="709" w:hanging="709"/>
        <w:rPr>
          <w:bCs w:val="0"/>
          <w:color w:val="000000" w:themeColor="text1"/>
          <w:sz w:val="24"/>
          <w:szCs w:val="24"/>
          <w14:textFill>
            <w14:solidFill>
              <w14:schemeClr w14:val="tx1"/>
            </w14:solidFill>
          </w14:textFill>
        </w:rPr>
      </w:pPr>
      <w:r>
        <w:rPr>
          <w:rFonts w:hint="eastAsia"/>
          <w:bCs w:val="0"/>
          <w:color w:val="000000" w:themeColor="text1"/>
          <w:sz w:val="24"/>
          <w:szCs w:val="24"/>
          <w14:textFill>
            <w14:solidFill>
              <w14:schemeClr w14:val="tx1"/>
            </w14:solidFill>
          </w14:textFill>
        </w:rPr>
        <w:t>商务</w:t>
      </w:r>
      <w:r>
        <w:rPr>
          <w:rFonts w:hint="eastAsia"/>
          <w:bCs w:val="0"/>
          <w:sz w:val="24"/>
          <w:szCs w:val="24"/>
        </w:rPr>
        <w:t>、</w:t>
      </w:r>
      <w:r>
        <w:rPr>
          <w:rFonts w:hint="eastAsia"/>
          <w:bCs w:val="0"/>
          <w:color w:val="000000" w:themeColor="text1"/>
          <w:sz w:val="24"/>
          <w:szCs w:val="24"/>
          <w14:textFill>
            <w14:solidFill>
              <w14:schemeClr w14:val="tx1"/>
            </w14:solidFill>
          </w14:textFill>
        </w:rPr>
        <w:t>服务应答表</w:t>
      </w:r>
    </w:p>
    <w:tbl>
      <w:tblPr>
        <w:tblStyle w:val="41"/>
        <w:tblpPr w:leftFromText="180" w:rightFromText="180" w:vertAnchor="text" w:horzAnchor="page" w:tblpX="1417" w:tblpY="553"/>
        <w:tblOverlap w:val="never"/>
        <w:tblW w:w="91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1680"/>
        <w:gridCol w:w="2775"/>
        <w:gridCol w:w="2175"/>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90" w:type="dxa"/>
            <w:vAlign w:val="center"/>
          </w:tcPr>
          <w:p>
            <w:pPr>
              <w:spacing w:line="360" w:lineRule="auto"/>
              <w:jc w:val="center"/>
              <w:rPr>
                <w:rFonts w:ascii="方正小标宋简体" w:hAnsi="宋体" w:eastAsia="方正小标宋简体"/>
                <w:color w:val="000000" w:themeColor="text1"/>
                <w:sz w:val="20"/>
                <w:szCs w:val="20"/>
                <w14:textFill>
                  <w14:solidFill>
                    <w14:schemeClr w14:val="tx1"/>
                  </w14:solidFill>
                </w14:textFill>
              </w:rPr>
            </w:pPr>
            <w:r>
              <w:rPr>
                <w:rFonts w:hint="eastAsia" w:ascii="方正小标宋简体" w:hAnsi="宋体" w:eastAsia="方正小标宋简体"/>
                <w:color w:val="000000" w:themeColor="text1"/>
                <w:sz w:val="20"/>
                <w:szCs w:val="20"/>
                <w14:textFill>
                  <w14:solidFill>
                    <w14:schemeClr w14:val="tx1"/>
                  </w14:solidFill>
                </w14:textFill>
              </w:rPr>
              <w:t>序号</w:t>
            </w:r>
          </w:p>
        </w:tc>
        <w:tc>
          <w:tcPr>
            <w:tcW w:w="1680" w:type="dxa"/>
            <w:vAlign w:val="center"/>
          </w:tcPr>
          <w:p>
            <w:pPr>
              <w:spacing w:line="360" w:lineRule="auto"/>
              <w:jc w:val="center"/>
              <w:rPr>
                <w:rFonts w:ascii="方正小标宋简体" w:hAnsi="宋体" w:eastAsia="方正小标宋简体"/>
                <w:color w:val="000000" w:themeColor="text1"/>
                <w:sz w:val="20"/>
                <w:szCs w:val="20"/>
                <w14:textFill>
                  <w14:solidFill>
                    <w14:schemeClr w14:val="tx1"/>
                  </w14:solidFill>
                </w14:textFill>
              </w:rPr>
            </w:pPr>
            <w:r>
              <w:rPr>
                <w:rFonts w:hint="eastAsia" w:ascii="方正小标宋简体" w:hAnsi="宋体" w:eastAsia="方正小标宋简体"/>
                <w:color w:val="000000" w:themeColor="text1"/>
                <w:sz w:val="20"/>
                <w:szCs w:val="20"/>
                <w14:textFill>
                  <w14:solidFill>
                    <w14:schemeClr w14:val="tx1"/>
                  </w14:solidFill>
                </w14:textFill>
              </w:rPr>
              <w:t>文件要求</w:t>
            </w:r>
          </w:p>
        </w:tc>
        <w:tc>
          <w:tcPr>
            <w:tcW w:w="2775" w:type="dxa"/>
            <w:vAlign w:val="center"/>
          </w:tcPr>
          <w:p>
            <w:pPr>
              <w:spacing w:line="360" w:lineRule="auto"/>
              <w:jc w:val="center"/>
              <w:rPr>
                <w:rFonts w:ascii="方正小标宋简体" w:hAnsi="宋体" w:eastAsia="方正小标宋简体"/>
                <w:color w:val="000000" w:themeColor="text1"/>
                <w:sz w:val="20"/>
                <w:szCs w:val="20"/>
                <w14:textFill>
                  <w14:solidFill>
                    <w14:schemeClr w14:val="tx1"/>
                  </w14:solidFill>
                </w14:textFill>
              </w:rPr>
            </w:pPr>
            <w:r>
              <w:rPr>
                <w:rFonts w:hint="eastAsia" w:ascii="方正小标宋简体" w:hAnsi="宋体" w:eastAsia="方正小标宋简体"/>
                <w:color w:val="000000" w:themeColor="text1"/>
                <w:sz w:val="20"/>
                <w:szCs w:val="20"/>
                <w14:textFill>
                  <w14:solidFill>
                    <w14:schemeClr w14:val="tx1"/>
                  </w14:solidFill>
                </w14:textFill>
              </w:rPr>
              <w:t>响应应答</w:t>
            </w:r>
          </w:p>
        </w:tc>
        <w:tc>
          <w:tcPr>
            <w:tcW w:w="2175" w:type="dxa"/>
            <w:vAlign w:val="center"/>
          </w:tcPr>
          <w:p>
            <w:pPr>
              <w:spacing w:line="360" w:lineRule="auto"/>
              <w:jc w:val="center"/>
              <w:rPr>
                <w:rFonts w:ascii="方正小标宋简体" w:hAnsi="宋体" w:eastAsia="方正小标宋简体"/>
                <w:color w:val="000000" w:themeColor="text1"/>
                <w:sz w:val="20"/>
                <w:szCs w:val="20"/>
                <w14:textFill>
                  <w14:solidFill>
                    <w14:schemeClr w14:val="tx1"/>
                  </w14:solidFill>
                </w14:textFill>
              </w:rPr>
            </w:pPr>
            <w:r>
              <w:rPr>
                <w:rFonts w:hint="eastAsia" w:ascii="方正小标宋简体" w:hAnsi="宋体" w:eastAsia="方正小标宋简体"/>
                <w:color w:val="000000" w:themeColor="text1"/>
                <w:sz w:val="20"/>
                <w:szCs w:val="20"/>
                <w14:textFill>
                  <w14:solidFill>
                    <w14:schemeClr w14:val="tx1"/>
                  </w14:solidFill>
                </w14:textFill>
              </w:rPr>
              <w:t>偏离情况</w:t>
            </w:r>
          </w:p>
        </w:tc>
        <w:tc>
          <w:tcPr>
            <w:tcW w:w="1507" w:type="dxa"/>
            <w:vAlign w:val="center"/>
          </w:tcPr>
          <w:p>
            <w:pPr>
              <w:spacing w:line="500" w:lineRule="exact"/>
              <w:jc w:val="center"/>
              <w:rPr>
                <w:color w:val="000000" w:themeColor="text1"/>
                <w:sz w:val="22"/>
                <w:szCs w:val="21"/>
                <w14:textFill>
                  <w14:solidFill>
                    <w14:schemeClr w14:val="tx1"/>
                  </w14:solidFill>
                </w14:textFill>
              </w:rPr>
            </w:pPr>
            <w:r>
              <w:rPr>
                <w:rFonts w:hint="eastAsia"/>
                <w:color w:val="000000" w:themeColor="text1"/>
                <w:sz w:val="22"/>
                <w:szCs w:val="21"/>
                <w14:textFill>
                  <w14:solidFill>
                    <w14:schemeClr w14:val="tx1"/>
                  </w14:solidFill>
                </w14:textFill>
              </w:rPr>
              <w:t>备注</w:t>
            </w:r>
          </w:p>
          <w:p>
            <w:pPr>
              <w:spacing w:line="360" w:lineRule="auto"/>
              <w:jc w:val="center"/>
              <w:rPr>
                <w:rFonts w:ascii="方正小标宋简体" w:hAnsi="宋体" w:eastAsia="方正小标宋简体"/>
                <w:color w:val="000000" w:themeColor="text1"/>
                <w:sz w:val="20"/>
                <w:szCs w:val="20"/>
                <w14:textFill>
                  <w14:solidFill>
                    <w14:schemeClr w14:val="tx1"/>
                  </w14:solidFill>
                </w14:textFill>
              </w:rPr>
            </w:pPr>
            <w:r>
              <w:rPr>
                <w:rFonts w:hint="eastAsia" w:ascii="方正小标宋简体" w:eastAsia="方正小标宋简体"/>
                <w:color w:val="000000" w:themeColor="text1"/>
                <w:sz w:val="16"/>
                <w:szCs w:val="16"/>
                <w14:textFill>
                  <w14:solidFill>
                    <w14:schemeClr w14:val="tx1"/>
                  </w14:solidFill>
                </w14:textFill>
              </w:rPr>
              <w:t>支撑材料所在页码（1.仅部分需提供；2.相应条款没有支撑材料的请填写“/”）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90"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1</w:t>
            </w:r>
          </w:p>
        </w:tc>
        <w:tc>
          <w:tcPr>
            <w:tcW w:w="1680" w:type="dxa"/>
            <w:vAlign w:val="center"/>
          </w:tcPr>
          <w:p>
            <w:pPr>
              <w:spacing w:line="360" w:lineRule="auto"/>
              <w:jc w:val="center"/>
              <w:rPr>
                <w:rFonts w:ascii="方正小标宋简体" w:hAnsi="宋体" w:eastAsia="方正小标宋简体"/>
                <w:sz w:val="20"/>
                <w:szCs w:val="20"/>
              </w:rPr>
            </w:pPr>
          </w:p>
        </w:tc>
        <w:tc>
          <w:tcPr>
            <w:tcW w:w="2775" w:type="dxa"/>
            <w:vAlign w:val="center"/>
          </w:tcPr>
          <w:p>
            <w:pPr>
              <w:spacing w:line="360" w:lineRule="auto"/>
              <w:ind w:left="277" w:hanging="264" w:hangingChars="132"/>
              <w:jc w:val="center"/>
              <w:rPr>
                <w:rFonts w:ascii="方正小标宋简体" w:hAnsi="宋体" w:eastAsia="方正小标宋简体"/>
                <w:sz w:val="20"/>
                <w:szCs w:val="20"/>
              </w:rPr>
            </w:pPr>
          </w:p>
        </w:tc>
        <w:tc>
          <w:tcPr>
            <w:tcW w:w="2175" w:type="dxa"/>
            <w:vAlign w:val="center"/>
          </w:tcPr>
          <w:p>
            <w:pPr>
              <w:spacing w:line="360" w:lineRule="auto"/>
              <w:ind w:left="277" w:hanging="264" w:hangingChars="132"/>
              <w:jc w:val="center"/>
              <w:rPr>
                <w:rFonts w:ascii="方正小标宋简体" w:hAnsi="宋体" w:eastAsia="方正小标宋简体"/>
                <w:sz w:val="20"/>
                <w:szCs w:val="20"/>
              </w:rPr>
            </w:pPr>
          </w:p>
        </w:tc>
        <w:tc>
          <w:tcPr>
            <w:tcW w:w="1507" w:type="dxa"/>
            <w:vAlign w:val="center"/>
          </w:tcPr>
          <w:p>
            <w:pPr>
              <w:spacing w:line="360" w:lineRule="auto"/>
              <w:ind w:left="277" w:hanging="264" w:hangingChars="132"/>
              <w:jc w:val="center"/>
              <w:rPr>
                <w:rFonts w:ascii="方正小标宋简体" w:hAnsi="宋体" w:eastAsia="方正小标宋简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990"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2</w:t>
            </w:r>
          </w:p>
        </w:tc>
        <w:tc>
          <w:tcPr>
            <w:tcW w:w="1680" w:type="dxa"/>
            <w:vAlign w:val="center"/>
          </w:tcPr>
          <w:p>
            <w:pPr>
              <w:spacing w:line="360" w:lineRule="auto"/>
              <w:jc w:val="center"/>
              <w:rPr>
                <w:rFonts w:ascii="方正小标宋简体" w:hAnsi="宋体" w:eastAsia="方正小标宋简体"/>
                <w:sz w:val="20"/>
                <w:szCs w:val="20"/>
              </w:rPr>
            </w:pPr>
          </w:p>
        </w:tc>
        <w:tc>
          <w:tcPr>
            <w:tcW w:w="2775" w:type="dxa"/>
            <w:vAlign w:val="center"/>
          </w:tcPr>
          <w:p>
            <w:pPr>
              <w:spacing w:line="360" w:lineRule="auto"/>
              <w:ind w:left="277" w:hanging="264" w:hangingChars="132"/>
              <w:jc w:val="center"/>
              <w:rPr>
                <w:rFonts w:ascii="方正小标宋简体" w:hAnsi="宋体" w:eastAsia="方正小标宋简体"/>
                <w:sz w:val="20"/>
                <w:szCs w:val="20"/>
              </w:rPr>
            </w:pPr>
          </w:p>
        </w:tc>
        <w:tc>
          <w:tcPr>
            <w:tcW w:w="2175" w:type="dxa"/>
            <w:vAlign w:val="center"/>
          </w:tcPr>
          <w:p>
            <w:pPr>
              <w:spacing w:line="360" w:lineRule="auto"/>
              <w:ind w:left="277" w:hanging="264" w:hangingChars="132"/>
              <w:jc w:val="center"/>
              <w:rPr>
                <w:rFonts w:ascii="方正小标宋简体" w:hAnsi="宋体" w:eastAsia="方正小标宋简体"/>
                <w:sz w:val="20"/>
                <w:szCs w:val="20"/>
              </w:rPr>
            </w:pPr>
          </w:p>
        </w:tc>
        <w:tc>
          <w:tcPr>
            <w:tcW w:w="1507" w:type="dxa"/>
            <w:vAlign w:val="center"/>
          </w:tcPr>
          <w:p>
            <w:pPr>
              <w:spacing w:line="360" w:lineRule="auto"/>
              <w:ind w:left="277" w:hanging="264" w:hangingChars="132"/>
              <w:jc w:val="center"/>
              <w:rPr>
                <w:rFonts w:ascii="方正小标宋简体" w:hAnsi="宋体" w:eastAsia="方正小标宋简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990"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3</w:t>
            </w:r>
          </w:p>
        </w:tc>
        <w:tc>
          <w:tcPr>
            <w:tcW w:w="1680" w:type="dxa"/>
            <w:vAlign w:val="center"/>
          </w:tcPr>
          <w:p>
            <w:pPr>
              <w:spacing w:line="360" w:lineRule="auto"/>
              <w:jc w:val="center"/>
              <w:rPr>
                <w:rFonts w:ascii="方正小标宋简体" w:hAnsi="宋体" w:eastAsia="方正小标宋简体"/>
                <w:sz w:val="20"/>
                <w:szCs w:val="20"/>
              </w:rPr>
            </w:pPr>
          </w:p>
        </w:tc>
        <w:tc>
          <w:tcPr>
            <w:tcW w:w="2775" w:type="dxa"/>
            <w:vAlign w:val="center"/>
          </w:tcPr>
          <w:p>
            <w:pPr>
              <w:spacing w:line="360" w:lineRule="auto"/>
              <w:jc w:val="center"/>
              <w:rPr>
                <w:rFonts w:ascii="方正小标宋简体" w:hAnsi="宋体" w:eastAsia="方正小标宋简体"/>
                <w:sz w:val="20"/>
                <w:szCs w:val="20"/>
              </w:rPr>
            </w:pPr>
          </w:p>
        </w:tc>
        <w:tc>
          <w:tcPr>
            <w:tcW w:w="2175" w:type="dxa"/>
            <w:vAlign w:val="center"/>
          </w:tcPr>
          <w:p>
            <w:pPr>
              <w:spacing w:line="360" w:lineRule="auto"/>
              <w:jc w:val="center"/>
              <w:rPr>
                <w:rFonts w:ascii="方正小标宋简体" w:hAnsi="宋体" w:eastAsia="方正小标宋简体"/>
                <w:sz w:val="20"/>
                <w:szCs w:val="20"/>
              </w:rPr>
            </w:pPr>
          </w:p>
        </w:tc>
        <w:tc>
          <w:tcPr>
            <w:tcW w:w="1507" w:type="dxa"/>
            <w:vAlign w:val="center"/>
          </w:tcPr>
          <w:p>
            <w:pPr>
              <w:spacing w:line="360" w:lineRule="auto"/>
              <w:jc w:val="center"/>
              <w:rPr>
                <w:rFonts w:ascii="方正小标宋简体" w:hAnsi="宋体" w:eastAsia="方正小标宋简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90"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4</w:t>
            </w:r>
          </w:p>
        </w:tc>
        <w:tc>
          <w:tcPr>
            <w:tcW w:w="1680" w:type="dxa"/>
            <w:vAlign w:val="center"/>
          </w:tcPr>
          <w:p>
            <w:pPr>
              <w:spacing w:line="360" w:lineRule="auto"/>
              <w:jc w:val="center"/>
              <w:rPr>
                <w:rFonts w:ascii="方正小标宋简体" w:hAnsi="宋体" w:eastAsia="方正小标宋简体"/>
                <w:sz w:val="20"/>
                <w:szCs w:val="20"/>
              </w:rPr>
            </w:pPr>
          </w:p>
        </w:tc>
        <w:tc>
          <w:tcPr>
            <w:tcW w:w="2775" w:type="dxa"/>
            <w:vAlign w:val="center"/>
          </w:tcPr>
          <w:p>
            <w:pPr>
              <w:spacing w:line="360" w:lineRule="auto"/>
              <w:jc w:val="center"/>
              <w:rPr>
                <w:rFonts w:ascii="方正小标宋简体" w:hAnsi="宋体" w:eastAsia="方正小标宋简体"/>
                <w:sz w:val="20"/>
                <w:szCs w:val="20"/>
              </w:rPr>
            </w:pPr>
          </w:p>
        </w:tc>
        <w:tc>
          <w:tcPr>
            <w:tcW w:w="2175" w:type="dxa"/>
            <w:vAlign w:val="center"/>
          </w:tcPr>
          <w:p>
            <w:pPr>
              <w:spacing w:line="360" w:lineRule="auto"/>
              <w:jc w:val="center"/>
              <w:rPr>
                <w:rFonts w:ascii="方正小标宋简体" w:hAnsi="宋体" w:eastAsia="方正小标宋简体"/>
                <w:sz w:val="20"/>
                <w:szCs w:val="20"/>
              </w:rPr>
            </w:pPr>
          </w:p>
        </w:tc>
        <w:tc>
          <w:tcPr>
            <w:tcW w:w="1507" w:type="dxa"/>
            <w:vAlign w:val="center"/>
          </w:tcPr>
          <w:p>
            <w:pPr>
              <w:spacing w:line="360" w:lineRule="auto"/>
              <w:jc w:val="center"/>
              <w:rPr>
                <w:rFonts w:ascii="方正小标宋简体" w:hAnsi="宋体" w:eastAsia="方正小标宋简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90"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5</w:t>
            </w:r>
          </w:p>
        </w:tc>
        <w:tc>
          <w:tcPr>
            <w:tcW w:w="1680" w:type="dxa"/>
            <w:vAlign w:val="center"/>
          </w:tcPr>
          <w:p>
            <w:pPr>
              <w:spacing w:line="360" w:lineRule="auto"/>
              <w:jc w:val="center"/>
              <w:rPr>
                <w:rFonts w:ascii="方正小标宋简体" w:hAnsi="宋体" w:eastAsia="方正小标宋简体"/>
                <w:sz w:val="20"/>
                <w:szCs w:val="20"/>
              </w:rPr>
            </w:pPr>
          </w:p>
        </w:tc>
        <w:tc>
          <w:tcPr>
            <w:tcW w:w="2775" w:type="dxa"/>
            <w:vAlign w:val="center"/>
          </w:tcPr>
          <w:p>
            <w:pPr>
              <w:spacing w:line="360" w:lineRule="auto"/>
              <w:jc w:val="center"/>
              <w:rPr>
                <w:rFonts w:ascii="方正小标宋简体" w:hAnsi="宋体" w:eastAsia="方正小标宋简体"/>
                <w:sz w:val="20"/>
                <w:szCs w:val="20"/>
              </w:rPr>
            </w:pPr>
          </w:p>
        </w:tc>
        <w:tc>
          <w:tcPr>
            <w:tcW w:w="2175" w:type="dxa"/>
            <w:vAlign w:val="center"/>
          </w:tcPr>
          <w:p>
            <w:pPr>
              <w:spacing w:line="360" w:lineRule="auto"/>
              <w:jc w:val="center"/>
              <w:rPr>
                <w:rFonts w:ascii="方正小标宋简体" w:hAnsi="宋体" w:eastAsia="方正小标宋简体"/>
                <w:sz w:val="20"/>
                <w:szCs w:val="20"/>
              </w:rPr>
            </w:pPr>
          </w:p>
        </w:tc>
        <w:tc>
          <w:tcPr>
            <w:tcW w:w="1507" w:type="dxa"/>
            <w:vAlign w:val="center"/>
          </w:tcPr>
          <w:p>
            <w:pPr>
              <w:spacing w:line="360" w:lineRule="auto"/>
              <w:jc w:val="center"/>
              <w:rPr>
                <w:rFonts w:ascii="方正小标宋简体" w:hAnsi="宋体" w:eastAsia="方正小标宋简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990"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w:t>
            </w:r>
          </w:p>
        </w:tc>
        <w:tc>
          <w:tcPr>
            <w:tcW w:w="1680" w:type="dxa"/>
            <w:vAlign w:val="center"/>
          </w:tcPr>
          <w:p>
            <w:pPr>
              <w:spacing w:line="360" w:lineRule="auto"/>
              <w:jc w:val="center"/>
              <w:rPr>
                <w:rFonts w:ascii="方正小标宋简体" w:hAnsi="宋体" w:eastAsia="方正小标宋简体"/>
                <w:sz w:val="20"/>
                <w:szCs w:val="20"/>
              </w:rPr>
            </w:pPr>
          </w:p>
        </w:tc>
        <w:tc>
          <w:tcPr>
            <w:tcW w:w="2775" w:type="dxa"/>
            <w:vAlign w:val="center"/>
          </w:tcPr>
          <w:p>
            <w:pPr>
              <w:spacing w:line="360" w:lineRule="auto"/>
              <w:jc w:val="center"/>
              <w:rPr>
                <w:rFonts w:ascii="方正小标宋简体" w:hAnsi="宋体" w:eastAsia="方正小标宋简体"/>
                <w:sz w:val="20"/>
                <w:szCs w:val="20"/>
              </w:rPr>
            </w:pPr>
          </w:p>
        </w:tc>
        <w:tc>
          <w:tcPr>
            <w:tcW w:w="2175" w:type="dxa"/>
            <w:vAlign w:val="center"/>
          </w:tcPr>
          <w:p>
            <w:pPr>
              <w:spacing w:line="360" w:lineRule="auto"/>
              <w:jc w:val="center"/>
              <w:rPr>
                <w:rFonts w:ascii="方正小标宋简体" w:hAnsi="宋体" w:eastAsia="方正小标宋简体"/>
                <w:sz w:val="20"/>
                <w:szCs w:val="20"/>
              </w:rPr>
            </w:pPr>
          </w:p>
        </w:tc>
        <w:tc>
          <w:tcPr>
            <w:tcW w:w="1507" w:type="dxa"/>
            <w:vAlign w:val="center"/>
          </w:tcPr>
          <w:p>
            <w:pPr>
              <w:spacing w:line="360" w:lineRule="auto"/>
              <w:jc w:val="center"/>
              <w:rPr>
                <w:rFonts w:ascii="方正小标宋简体" w:hAnsi="宋体" w:eastAsia="方正小标宋简体"/>
                <w:sz w:val="20"/>
                <w:szCs w:val="20"/>
              </w:rPr>
            </w:pPr>
          </w:p>
        </w:tc>
      </w:tr>
    </w:tbl>
    <w:p>
      <w:pPr>
        <w:pStyle w:val="2"/>
        <w:rPr>
          <w:sz w:val="20"/>
          <w:szCs w:val="21"/>
        </w:rPr>
      </w:pPr>
    </w:p>
    <w:p>
      <w:pPr>
        <w:pStyle w:val="2"/>
        <w:rPr>
          <w:sz w:val="20"/>
          <w:szCs w:val="21"/>
        </w:rPr>
      </w:pPr>
    </w:p>
    <w:p>
      <w:pPr>
        <w:spacing w:line="360" w:lineRule="auto"/>
        <w:rPr>
          <w:rFonts w:hint="eastAsia"/>
          <w:sz w:val="24"/>
        </w:rPr>
      </w:pPr>
      <w:r>
        <w:rPr>
          <w:rFonts w:hint="eastAsia"/>
          <w:sz w:val="24"/>
        </w:rPr>
        <w:t>注：1、</w:t>
      </w:r>
      <w:r>
        <w:rPr>
          <w:rFonts w:hint="eastAsia" w:ascii="Times New Roman" w:hAnsi="Times New Roman"/>
          <w:sz w:val="24"/>
        </w:rPr>
        <w:t xml:space="preserve"> 此表必须编入</w:t>
      </w:r>
      <w:r>
        <w:rPr>
          <w:rFonts w:hint="eastAsia" w:ascii="Times New Roman" w:hAnsi="Times New Roman"/>
          <w:sz w:val="24"/>
          <w:lang w:eastAsia="zh-CN"/>
        </w:rPr>
        <w:t>响应</w:t>
      </w:r>
      <w:r>
        <w:rPr>
          <w:rFonts w:hint="eastAsia" w:ascii="Times New Roman" w:hAnsi="Times New Roman"/>
          <w:sz w:val="24"/>
        </w:rPr>
        <w:t>文件中，若</w:t>
      </w:r>
      <w:r>
        <w:rPr>
          <w:rFonts w:hint="eastAsia" w:ascii="Times New Roman" w:hAnsi="Times New Roman"/>
          <w:sz w:val="24"/>
          <w:lang w:eastAsia="zh-CN"/>
        </w:rPr>
        <w:t>商务、服务</w:t>
      </w:r>
      <w:r>
        <w:rPr>
          <w:rFonts w:hint="eastAsia" w:ascii="Times New Roman" w:hAnsi="Times New Roman"/>
          <w:sz w:val="24"/>
        </w:rPr>
        <w:t>无偏离，可不填写内容。</w:t>
      </w:r>
      <w:r>
        <w:rPr>
          <w:rFonts w:hint="eastAsia"/>
          <w:sz w:val="24"/>
        </w:rPr>
        <w:t>否则供应商必须根据第</w:t>
      </w:r>
      <w:r>
        <w:rPr>
          <w:rFonts w:hint="eastAsia"/>
          <w:sz w:val="24"/>
          <w:lang w:eastAsia="zh-CN"/>
        </w:rPr>
        <w:t>四</w:t>
      </w:r>
      <w:r>
        <w:rPr>
          <w:rFonts w:hint="eastAsia"/>
          <w:sz w:val="24"/>
        </w:rPr>
        <w:t>章商务要求逐一据实填写，虚假应答将取消其响应或成交资格。如第</w:t>
      </w:r>
      <w:r>
        <w:rPr>
          <w:rFonts w:hint="eastAsia"/>
          <w:sz w:val="24"/>
          <w:lang w:eastAsia="zh-CN"/>
        </w:rPr>
        <w:t>四</w:t>
      </w:r>
      <w:r>
        <w:rPr>
          <w:rFonts w:hint="eastAsia"/>
          <w:sz w:val="24"/>
        </w:rPr>
        <w:t>章有要求证明材料的，还需提供对应证明材料。</w:t>
      </w:r>
    </w:p>
    <w:p>
      <w:pPr>
        <w:spacing w:line="360" w:lineRule="auto"/>
        <w:rPr>
          <w:rFonts w:ascii="宋体" w:hAnsi="宋体"/>
          <w:sz w:val="24"/>
          <w:szCs w:val="24"/>
        </w:rPr>
      </w:pPr>
      <w:r>
        <w:rPr>
          <w:rFonts w:hint="eastAsia"/>
          <w:sz w:val="24"/>
          <w:lang w:val="en-US" w:eastAsia="zh-CN"/>
        </w:rPr>
        <w:t>2、</w:t>
      </w:r>
      <w:r>
        <w:rPr>
          <w:rFonts w:hint="eastAsia"/>
          <w:sz w:val="24"/>
        </w:rPr>
        <w:t>偏离情况一列填写“无偏离”或“负偏离”或“正偏离”</w:t>
      </w:r>
      <w:r>
        <w:rPr>
          <w:rFonts w:hint="eastAsia" w:ascii="宋体" w:hAnsi="宋体"/>
          <w:sz w:val="24"/>
          <w:szCs w:val="24"/>
        </w:rPr>
        <w:t>。</w:t>
      </w:r>
    </w:p>
    <w:p>
      <w:pPr>
        <w:numPr>
          <w:ilvl w:val="0"/>
          <w:numId w:val="0"/>
        </w:numPr>
        <w:spacing w:line="360" w:lineRule="auto"/>
        <w:rPr>
          <w:rFonts w:hint="eastAsia"/>
          <w:sz w:val="24"/>
        </w:rPr>
      </w:pPr>
      <w:r>
        <w:rPr>
          <w:rFonts w:hint="eastAsia"/>
          <w:sz w:val="24"/>
          <w:lang w:val="en-US" w:eastAsia="zh-CN"/>
        </w:rPr>
        <w:t>3、</w:t>
      </w:r>
      <w:r>
        <w:rPr>
          <w:rFonts w:hint="eastAsia"/>
          <w:sz w:val="24"/>
        </w:rPr>
        <w:t>.</w:t>
      </w:r>
      <w:bookmarkStart w:id="83" w:name="_Hlk527459744"/>
      <w:r>
        <w:rPr>
          <w:rFonts w:hint="eastAsia"/>
          <w:sz w:val="24"/>
        </w:rPr>
        <w:t>若此表篇幅不足，由供应商自行添加。</w:t>
      </w:r>
      <w:bookmarkEnd w:id="83"/>
    </w:p>
    <w:p>
      <w:pPr>
        <w:numPr>
          <w:ilvl w:val="0"/>
          <w:numId w:val="0"/>
        </w:numPr>
        <w:spacing w:line="360" w:lineRule="auto"/>
        <w:rPr>
          <w:rFonts w:hint="eastAsia"/>
          <w:sz w:val="24"/>
        </w:rPr>
      </w:pPr>
    </w:p>
    <w:p>
      <w:pPr>
        <w:spacing w:line="360" w:lineRule="auto"/>
        <w:ind w:firstLine="364" w:firstLineChars="152"/>
        <w:rPr>
          <w:rFonts w:ascii="宋体" w:hAnsi="宋体"/>
          <w:sz w:val="24"/>
          <w:szCs w:val="24"/>
        </w:rPr>
      </w:pPr>
      <w:r>
        <w:rPr>
          <w:rFonts w:hint="eastAsia" w:ascii="宋体" w:hAnsi="宋体"/>
          <w:sz w:val="24"/>
          <w:szCs w:val="24"/>
        </w:rPr>
        <w:t>供应商名称：</w:t>
      </w:r>
      <w:r>
        <w:rPr>
          <w:rFonts w:hint="eastAsia" w:ascii="宋体" w:hAnsi="宋体"/>
          <w:sz w:val="24"/>
          <w:szCs w:val="24"/>
          <w:u w:val="single"/>
        </w:rPr>
        <w:t>XXXX</w:t>
      </w:r>
    </w:p>
    <w:p>
      <w:pPr>
        <w:spacing w:line="360" w:lineRule="auto"/>
        <w:ind w:firstLine="364" w:firstLineChars="152"/>
        <w:rPr>
          <w:rFonts w:ascii="宋体" w:hAnsi="宋体"/>
          <w:sz w:val="24"/>
          <w:szCs w:val="21"/>
        </w:rPr>
      </w:pPr>
      <w:r>
        <w:rPr>
          <w:rFonts w:hint="eastAsia" w:ascii="宋体" w:hAnsi="宋体"/>
          <w:sz w:val="24"/>
          <w:szCs w:val="24"/>
        </w:rPr>
        <w:t>日期：202</w:t>
      </w:r>
      <w:r>
        <w:rPr>
          <w:rFonts w:hint="eastAsia" w:ascii="宋体" w:hAnsi="宋体"/>
          <w:sz w:val="24"/>
          <w:szCs w:val="24"/>
          <w:u w:val="single"/>
        </w:rPr>
        <w:t>X</w:t>
      </w:r>
      <w:r>
        <w:rPr>
          <w:rFonts w:hint="eastAsia" w:ascii="宋体" w:hAnsi="宋体"/>
          <w:sz w:val="24"/>
          <w:szCs w:val="24"/>
        </w:rPr>
        <w:t>年</w:t>
      </w:r>
      <w:r>
        <w:rPr>
          <w:rFonts w:hint="eastAsia" w:ascii="宋体" w:hAnsi="宋体"/>
          <w:sz w:val="24"/>
          <w:szCs w:val="24"/>
          <w:u w:val="single"/>
        </w:rPr>
        <w:t>XX</w:t>
      </w:r>
      <w:r>
        <w:rPr>
          <w:rFonts w:hint="eastAsia" w:ascii="宋体" w:hAnsi="宋体"/>
          <w:sz w:val="24"/>
          <w:szCs w:val="24"/>
        </w:rPr>
        <w:t>月</w:t>
      </w:r>
      <w:r>
        <w:rPr>
          <w:rFonts w:hint="eastAsia" w:ascii="宋体" w:hAnsi="宋体"/>
          <w:sz w:val="24"/>
          <w:szCs w:val="24"/>
          <w:u w:val="single"/>
        </w:rPr>
        <w:t>XX</w:t>
      </w:r>
      <w:r>
        <w:rPr>
          <w:rFonts w:hint="eastAsia" w:ascii="宋体" w:hAnsi="宋体"/>
          <w:sz w:val="24"/>
          <w:szCs w:val="24"/>
        </w:rPr>
        <w:t>日</w:t>
      </w:r>
    </w:p>
    <w:p>
      <w:pPr>
        <w:rPr>
          <w:sz w:val="20"/>
          <w:szCs w:val="21"/>
        </w:rPr>
      </w:pPr>
      <w:r>
        <w:rPr>
          <w:sz w:val="20"/>
          <w:szCs w:val="21"/>
        </w:rPr>
        <w:br w:type="page"/>
      </w:r>
    </w:p>
    <w:p>
      <w:pPr>
        <w:pStyle w:val="3"/>
      </w:pPr>
    </w:p>
    <w:p>
      <w:pPr>
        <w:pStyle w:val="6"/>
        <w:tabs>
          <w:tab w:val="left" w:pos="709"/>
        </w:tabs>
        <w:ind w:left="709" w:hanging="709"/>
        <w:rPr>
          <w:bCs w:val="0"/>
          <w:color w:val="000000" w:themeColor="text1"/>
          <w:sz w:val="24"/>
          <w:szCs w:val="24"/>
          <w14:textFill>
            <w14:solidFill>
              <w14:schemeClr w14:val="tx1"/>
            </w14:solidFill>
          </w14:textFill>
        </w:rPr>
      </w:pPr>
      <w:r>
        <w:rPr>
          <w:rFonts w:hint="eastAsia"/>
          <w:bCs w:val="0"/>
          <w:color w:val="000000" w:themeColor="text1"/>
          <w:sz w:val="24"/>
          <w:szCs w:val="24"/>
          <w14:textFill>
            <w14:solidFill>
              <w14:schemeClr w14:val="tx1"/>
            </w14:solidFill>
          </w14:textFill>
        </w:rPr>
        <w:t>承诺函</w:t>
      </w:r>
    </w:p>
    <w:p>
      <w:pPr>
        <w:snapToGrid w:val="0"/>
        <w:spacing w:line="560" w:lineRule="exact"/>
        <w:rPr>
          <w:rFonts w:ascii="宋体" w:hAnsi="宋体"/>
          <w:b/>
          <w:sz w:val="24"/>
          <w:szCs w:val="24"/>
        </w:rPr>
      </w:pPr>
      <w:r>
        <w:rPr>
          <w:rFonts w:hint="eastAsia" w:ascii="宋体" w:hAnsi="宋体"/>
          <w:b/>
          <w:sz w:val="24"/>
          <w:szCs w:val="24"/>
        </w:rPr>
        <w:t>项目名称：</w:t>
      </w:r>
      <w:r>
        <w:rPr>
          <w:rFonts w:hint="eastAsia" w:ascii="宋体" w:hAnsi="宋体"/>
          <w:b/>
          <w:sz w:val="24"/>
          <w:szCs w:val="24"/>
          <w:u w:val="single"/>
        </w:rPr>
        <w:t>XX</w:t>
      </w:r>
    </w:p>
    <w:p>
      <w:pPr>
        <w:snapToGrid w:val="0"/>
        <w:spacing w:line="560" w:lineRule="exact"/>
        <w:rPr>
          <w:rFonts w:ascii="宋体" w:hAnsi="宋体"/>
          <w:b/>
          <w:sz w:val="24"/>
          <w:szCs w:val="24"/>
        </w:rPr>
      </w:pPr>
      <w:r>
        <w:rPr>
          <w:rFonts w:hint="eastAsia" w:ascii="宋体" w:hAnsi="宋体"/>
          <w:b/>
          <w:sz w:val="24"/>
          <w:szCs w:val="24"/>
        </w:rPr>
        <w:t>项目编号：武侯政采（202</w:t>
      </w:r>
      <w:r>
        <w:rPr>
          <w:rFonts w:hint="eastAsia" w:ascii="宋体" w:hAnsi="宋体"/>
          <w:b/>
          <w:sz w:val="24"/>
          <w:szCs w:val="24"/>
          <w:lang w:val="en-US" w:eastAsia="zh-CN"/>
        </w:rPr>
        <w:t>x</w:t>
      </w:r>
      <w:r>
        <w:rPr>
          <w:rFonts w:hint="eastAsia" w:ascii="宋体" w:hAnsi="宋体"/>
          <w:b/>
          <w:sz w:val="24"/>
          <w:szCs w:val="24"/>
        </w:rPr>
        <w:t>）A</w:t>
      </w:r>
      <w:r>
        <w:rPr>
          <w:rFonts w:hint="eastAsia" w:ascii="宋体" w:hAnsi="宋体"/>
          <w:b/>
          <w:sz w:val="24"/>
          <w:szCs w:val="24"/>
          <w:lang w:val="en-US" w:eastAsia="zh-CN"/>
        </w:rPr>
        <w:t>xxxx</w:t>
      </w:r>
      <w:r>
        <w:rPr>
          <w:rFonts w:hint="eastAsia" w:ascii="宋体" w:hAnsi="宋体"/>
          <w:b/>
          <w:sz w:val="24"/>
          <w:szCs w:val="24"/>
        </w:rPr>
        <w:t>号</w:t>
      </w:r>
    </w:p>
    <w:p>
      <w:pPr>
        <w:snapToGrid w:val="0"/>
        <w:spacing w:line="560" w:lineRule="exact"/>
        <w:ind w:firstLine="480" w:firstLineChars="200"/>
        <w:rPr>
          <w:rFonts w:ascii="宋体" w:hAnsi="宋体"/>
          <w:sz w:val="24"/>
          <w:szCs w:val="21"/>
        </w:rPr>
      </w:pPr>
      <w:r>
        <w:rPr>
          <w:rFonts w:hint="eastAsia" w:ascii="宋体" w:hAnsi="宋体"/>
          <w:sz w:val="24"/>
          <w:szCs w:val="21"/>
        </w:rPr>
        <w:t>我单位作为参加XX采购项目的竞争性磋商的供应商，在此郑重承诺：</w:t>
      </w:r>
    </w:p>
    <w:p>
      <w:pPr>
        <w:pStyle w:val="207"/>
        <w:numPr>
          <w:ilvl w:val="0"/>
          <w:numId w:val="30"/>
        </w:numPr>
        <w:tabs>
          <w:tab w:val="left" w:pos="1134"/>
        </w:tabs>
        <w:snapToGrid w:val="0"/>
        <w:spacing w:before="60" w:after="200" w:line="560" w:lineRule="exact"/>
        <w:ind w:left="0" w:right="210" w:firstLine="567" w:firstLineChars="0"/>
        <w:rPr>
          <w:rFonts w:ascii="宋体" w:hAnsi="宋体"/>
          <w:sz w:val="24"/>
          <w:szCs w:val="24"/>
        </w:rPr>
      </w:pPr>
      <w:r>
        <w:rPr>
          <w:rFonts w:hint="eastAsia" w:ascii="宋体" w:hAnsi="宋体"/>
          <w:sz w:val="24"/>
          <w:szCs w:val="24"/>
        </w:rPr>
        <w:t>为本项目提供的所有产品、辅材中</w:t>
      </w:r>
      <w:r>
        <w:rPr>
          <w:rFonts w:ascii="宋体" w:hAnsi="宋体" w:cs="宋体"/>
          <w:kern w:val="0"/>
          <w:sz w:val="24"/>
          <w:szCs w:val="24"/>
        </w:rPr>
        <w:t>属于《国家强制性产品认证目录》范围内产品的，均通过国家强制性产品认证并取得认证证书。</w:t>
      </w:r>
    </w:p>
    <w:p>
      <w:pPr>
        <w:pStyle w:val="207"/>
        <w:numPr>
          <w:ilvl w:val="0"/>
          <w:numId w:val="30"/>
        </w:numPr>
        <w:tabs>
          <w:tab w:val="left" w:pos="1134"/>
        </w:tabs>
        <w:snapToGrid w:val="0"/>
        <w:spacing w:before="60" w:after="200" w:line="560" w:lineRule="exact"/>
        <w:ind w:left="0" w:right="210" w:firstLine="567" w:firstLineChars="0"/>
        <w:rPr>
          <w:rFonts w:ascii="宋体" w:hAnsi="宋体" w:cs="宋体"/>
          <w:kern w:val="0"/>
          <w:sz w:val="24"/>
          <w:szCs w:val="24"/>
        </w:rPr>
      </w:pPr>
      <w:r>
        <w:rPr>
          <w:rFonts w:hint="eastAsia" w:ascii="宋体" w:hAnsi="宋体"/>
          <w:sz w:val="24"/>
          <w:szCs w:val="24"/>
        </w:rPr>
        <w:t>为本项目提供的所有产品、辅材符合现行的强制性国家相关标准、行业标准。</w:t>
      </w:r>
    </w:p>
    <w:p>
      <w:pPr>
        <w:pStyle w:val="207"/>
        <w:numPr>
          <w:ilvl w:val="0"/>
          <w:numId w:val="30"/>
        </w:numPr>
        <w:tabs>
          <w:tab w:val="left" w:pos="1134"/>
        </w:tabs>
        <w:snapToGrid w:val="0"/>
        <w:spacing w:before="60" w:after="200" w:line="560" w:lineRule="exact"/>
        <w:ind w:left="0" w:right="210" w:firstLine="567" w:firstLineChars="0"/>
        <w:rPr>
          <w:rFonts w:hint="default" w:ascii="宋体" w:hAnsi="宋体" w:eastAsia="宋体"/>
          <w:sz w:val="24"/>
          <w:szCs w:val="24"/>
          <w:lang w:val="en-US" w:eastAsia="zh-CN"/>
        </w:rPr>
      </w:pPr>
      <w:r>
        <w:rPr>
          <w:rFonts w:hint="eastAsia" w:ascii="宋体" w:hAnsi="宋体"/>
          <w:sz w:val="24"/>
          <w:szCs w:val="24"/>
          <w:lang w:val="en-US" w:eastAsia="zh-CN"/>
        </w:rPr>
        <w:t>本项目其他需要承诺的事项(如有此处可自行添加）</w:t>
      </w:r>
      <w:r>
        <w:rPr>
          <w:rFonts w:hint="eastAsia" w:ascii="宋体" w:hAnsi="宋体"/>
          <w:sz w:val="24"/>
          <w:szCs w:val="24"/>
          <w:u w:val="single"/>
          <w:lang w:val="en-US" w:eastAsia="zh-CN"/>
        </w:rPr>
        <w:t xml:space="preserve">            </w:t>
      </w:r>
    </w:p>
    <w:p>
      <w:pPr>
        <w:snapToGrid w:val="0"/>
        <w:spacing w:line="560" w:lineRule="exact"/>
        <w:ind w:firstLine="480" w:firstLineChars="200"/>
        <w:rPr>
          <w:sz w:val="20"/>
          <w:szCs w:val="21"/>
        </w:rPr>
      </w:pPr>
      <w:r>
        <w:rPr>
          <w:rFonts w:hint="eastAsia" w:ascii="宋体" w:hAnsi="宋体"/>
          <w:sz w:val="24"/>
          <w:szCs w:val="24"/>
        </w:rPr>
        <w:t>特此承诺。</w:t>
      </w:r>
    </w:p>
    <w:p>
      <w:pPr>
        <w:snapToGrid w:val="0"/>
        <w:spacing w:line="560" w:lineRule="exact"/>
        <w:ind w:firstLine="480" w:firstLineChars="200"/>
        <w:rPr>
          <w:rFonts w:ascii="宋体" w:hAnsi="宋体"/>
          <w:sz w:val="24"/>
          <w:szCs w:val="24"/>
        </w:rPr>
      </w:pPr>
    </w:p>
    <w:p>
      <w:pPr>
        <w:snapToGrid w:val="0"/>
        <w:spacing w:line="560" w:lineRule="exact"/>
        <w:ind w:firstLine="480" w:firstLineChars="200"/>
        <w:rPr>
          <w:rFonts w:ascii="宋体" w:hAnsi="宋体"/>
          <w:sz w:val="24"/>
          <w:szCs w:val="24"/>
        </w:rPr>
      </w:pPr>
    </w:p>
    <w:p>
      <w:pPr>
        <w:spacing w:after="120" w:line="560" w:lineRule="exact"/>
        <w:ind w:left="420" w:leftChars="200"/>
        <w:rPr>
          <w:rFonts w:ascii="宋体" w:hAnsi="宋体"/>
          <w:bCs/>
          <w:sz w:val="24"/>
          <w:szCs w:val="24"/>
        </w:rPr>
      </w:pPr>
      <w:r>
        <w:rPr>
          <w:rFonts w:hint="eastAsia" w:ascii="宋体" w:hAnsi="宋体"/>
          <w:bCs/>
          <w:sz w:val="24"/>
          <w:szCs w:val="24"/>
          <w:lang w:eastAsia="zh-CN"/>
        </w:rPr>
        <w:t>供应商</w:t>
      </w:r>
      <w:r>
        <w:rPr>
          <w:rFonts w:hint="eastAsia" w:ascii="宋体" w:hAnsi="宋体"/>
          <w:bCs/>
          <w:sz w:val="24"/>
          <w:szCs w:val="24"/>
        </w:rPr>
        <w:t>名称：</w:t>
      </w:r>
      <w:r>
        <w:rPr>
          <w:rFonts w:hint="eastAsia" w:ascii="宋体" w:hAnsi="宋体"/>
          <w:bCs/>
          <w:sz w:val="24"/>
          <w:szCs w:val="24"/>
          <w:u w:val="single"/>
        </w:rPr>
        <w:t>XXXX</w:t>
      </w:r>
    </w:p>
    <w:p>
      <w:pPr>
        <w:adjustRightInd w:val="0"/>
        <w:spacing w:line="560" w:lineRule="exact"/>
        <w:ind w:firstLine="360" w:firstLineChars="150"/>
        <w:rPr>
          <w:rFonts w:ascii="宋体" w:hAnsi="宋体"/>
          <w:bCs/>
          <w:sz w:val="24"/>
          <w:szCs w:val="21"/>
        </w:rPr>
      </w:pPr>
      <w:r>
        <w:rPr>
          <w:rFonts w:hint="eastAsia" w:ascii="宋体" w:hAnsi="宋体"/>
          <w:sz w:val="24"/>
          <w:szCs w:val="21"/>
        </w:rPr>
        <w:t>日期：</w:t>
      </w:r>
      <w:r>
        <w:rPr>
          <w:rFonts w:hint="eastAsia" w:ascii="宋体" w:hAnsi="宋体"/>
          <w:bCs/>
          <w:sz w:val="24"/>
          <w:szCs w:val="21"/>
          <w:lang w:eastAsia="zh-CN"/>
        </w:rPr>
        <w:t>2022</w:t>
      </w:r>
      <w:r>
        <w:rPr>
          <w:rFonts w:hint="eastAsia" w:ascii="宋体" w:hAnsi="宋体"/>
          <w:bCs/>
          <w:sz w:val="24"/>
          <w:szCs w:val="21"/>
        </w:rPr>
        <w:t>年</w:t>
      </w:r>
      <w:r>
        <w:rPr>
          <w:rFonts w:hint="eastAsia" w:ascii="宋体" w:hAnsi="宋体"/>
          <w:bCs/>
          <w:sz w:val="24"/>
          <w:szCs w:val="21"/>
          <w:u w:val="single"/>
        </w:rPr>
        <w:t>XX</w:t>
      </w:r>
      <w:r>
        <w:rPr>
          <w:rFonts w:hint="eastAsia" w:ascii="宋体" w:hAnsi="宋体"/>
          <w:bCs/>
          <w:sz w:val="24"/>
          <w:szCs w:val="21"/>
        </w:rPr>
        <w:t>月</w:t>
      </w:r>
      <w:r>
        <w:rPr>
          <w:rFonts w:hint="eastAsia" w:ascii="宋体" w:hAnsi="宋体"/>
          <w:bCs/>
          <w:sz w:val="24"/>
          <w:szCs w:val="21"/>
          <w:u w:val="single"/>
        </w:rPr>
        <w:t>XX</w:t>
      </w:r>
      <w:r>
        <w:rPr>
          <w:rFonts w:hint="eastAsia" w:ascii="宋体" w:hAnsi="宋体"/>
          <w:bCs/>
          <w:sz w:val="24"/>
          <w:szCs w:val="21"/>
        </w:rPr>
        <w:t>日</w:t>
      </w:r>
    </w:p>
    <w:p>
      <w:pPr>
        <w:rPr>
          <w:rFonts w:ascii="宋体" w:hAnsi="宋体"/>
          <w:bCs/>
          <w:sz w:val="24"/>
          <w:szCs w:val="21"/>
        </w:rPr>
      </w:pPr>
      <w:r>
        <w:rPr>
          <w:rFonts w:ascii="宋体" w:hAnsi="宋体"/>
          <w:bCs/>
          <w:sz w:val="24"/>
          <w:szCs w:val="21"/>
        </w:rPr>
        <w:br w:type="page"/>
      </w:r>
    </w:p>
    <w:p>
      <w:pPr>
        <w:pStyle w:val="2"/>
        <w:rPr>
          <w:sz w:val="20"/>
          <w:szCs w:val="21"/>
        </w:rPr>
      </w:pPr>
    </w:p>
    <w:p>
      <w:pPr>
        <w:pStyle w:val="6"/>
        <w:tabs>
          <w:tab w:val="left" w:pos="709"/>
        </w:tabs>
        <w:ind w:left="709" w:hanging="709"/>
        <w:rPr>
          <w:color w:val="auto"/>
          <w:sz w:val="24"/>
          <w:szCs w:val="24"/>
        </w:rPr>
      </w:pPr>
      <w:r>
        <w:rPr>
          <w:rFonts w:hint="eastAsia"/>
          <w:color w:val="auto"/>
          <w:sz w:val="24"/>
          <w:szCs w:val="24"/>
        </w:rPr>
        <w:t>供应商本项目管理、技术、服务人员情况表</w:t>
      </w:r>
    </w:p>
    <w:p>
      <w:pPr>
        <w:spacing w:line="360" w:lineRule="auto"/>
        <w:rPr>
          <w:rFonts w:ascii="宋体" w:hAnsi="宋体"/>
          <w:b/>
          <w:color w:val="000000" w:themeColor="text1"/>
          <w:sz w:val="24"/>
          <w:szCs w:val="24"/>
          <w:u w:val="single"/>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项</w:t>
      </w:r>
      <w:r>
        <w:rPr>
          <w:rFonts w:hint="eastAsia" w:ascii="宋体" w:hAnsi="宋体"/>
          <w:b/>
          <w:color w:val="000000" w:themeColor="text1"/>
          <w:spacing w:val="-20"/>
          <w:sz w:val="24"/>
          <w:szCs w:val="24"/>
          <w14:textFill>
            <w14:solidFill>
              <w14:schemeClr w14:val="tx1"/>
            </w14:solidFill>
          </w14:textFill>
        </w:rPr>
        <w:t>目名称：</w:t>
      </w:r>
      <w:r>
        <w:rPr>
          <w:rFonts w:hint="eastAsia" w:ascii="宋体" w:hAnsi="宋体"/>
          <w:b/>
          <w:color w:val="000000" w:themeColor="text1"/>
          <w:sz w:val="24"/>
          <w:szCs w:val="24"/>
          <w:u w:val="single"/>
          <w14:textFill>
            <w14:solidFill>
              <w14:schemeClr w14:val="tx1"/>
            </w14:solidFill>
          </w14:textFill>
        </w:rPr>
        <w:t>XXX</w:t>
      </w:r>
    </w:p>
    <w:p>
      <w:pPr>
        <w:rPr>
          <w:color w:val="000000" w:themeColor="text1"/>
          <w:sz w:val="20"/>
          <w:szCs w:val="21"/>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项目编号：武侯政采（202</w:t>
      </w:r>
      <w:r>
        <w:rPr>
          <w:rFonts w:hint="eastAsia" w:ascii="宋体" w:hAnsi="宋体"/>
          <w:b/>
          <w:color w:val="000000" w:themeColor="text1"/>
          <w:sz w:val="24"/>
          <w:szCs w:val="24"/>
          <w:lang w:val="en-US" w:eastAsia="zh-CN"/>
          <w14:textFill>
            <w14:solidFill>
              <w14:schemeClr w14:val="tx1"/>
            </w14:solidFill>
          </w14:textFill>
        </w:rPr>
        <w:t>x</w:t>
      </w:r>
      <w:r>
        <w:rPr>
          <w:rFonts w:hint="eastAsia" w:ascii="宋体" w:hAnsi="宋体"/>
          <w:b/>
          <w:color w:val="000000" w:themeColor="text1"/>
          <w:sz w:val="24"/>
          <w:szCs w:val="24"/>
          <w14:textFill>
            <w14:solidFill>
              <w14:schemeClr w14:val="tx1"/>
            </w14:solidFill>
          </w14:textFill>
        </w:rPr>
        <w:t>）A</w:t>
      </w:r>
      <w:r>
        <w:rPr>
          <w:rFonts w:hint="eastAsia" w:ascii="宋体" w:hAnsi="宋体"/>
          <w:b/>
          <w:color w:val="000000" w:themeColor="text1"/>
          <w:sz w:val="24"/>
          <w:szCs w:val="24"/>
          <w:lang w:val="en-US" w:eastAsia="zh-CN"/>
          <w14:textFill>
            <w14:solidFill>
              <w14:schemeClr w14:val="tx1"/>
            </w14:solidFill>
          </w14:textFill>
        </w:rPr>
        <w:t>xxxx</w:t>
      </w:r>
      <w:r>
        <w:rPr>
          <w:rFonts w:hint="eastAsia" w:ascii="宋体" w:hAnsi="宋体"/>
          <w:b/>
          <w:color w:val="000000" w:themeColor="text1"/>
          <w:sz w:val="24"/>
          <w:szCs w:val="24"/>
          <w14:textFill>
            <w14:solidFill>
              <w14:schemeClr w14:val="tx1"/>
            </w14:solidFill>
          </w14:textFill>
        </w:rPr>
        <w:t>号</w:t>
      </w:r>
    </w:p>
    <w:tbl>
      <w:tblPr>
        <w:tblStyle w:val="41"/>
        <w:tblpPr w:leftFromText="180" w:rightFromText="180" w:vertAnchor="text" w:horzAnchor="page" w:tblpX="1373" w:tblpY="449"/>
        <w:tblOverlap w:val="never"/>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005"/>
        <w:gridCol w:w="1134"/>
        <w:gridCol w:w="992"/>
        <w:gridCol w:w="1276"/>
        <w:gridCol w:w="1134"/>
        <w:gridCol w:w="1134"/>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spacing w:line="360" w:lineRule="auto"/>
              <w:jc w:val="center"/>
              <w:rPr>
                <w:rFonts w:ascii="宋体" w:hAnsi="宋体"/>
                <w:sz w:val="22"/>
                <w:szCs w:val="21"/>
              </w:rPr>
            </w:pPr>
            <w:r>
              <w:rPr>
                <w:rFonts w:hint="eastAsia" w:ascii="宋体" w:hAnsi="宋体"/>
                <w:sz w:val="22"/>
                <w:szCs w:val="21"/>
              </w:rPr>
              <w:t>类别</w:t>
            </w:r>
          </w:p>
        </w:tc>
        <w:tc>
          <w:tcPr>
            <w:tcW w:w="1005" w:type="dxa"/>
            <w:vMerge w:val="restart"/>
            <w:vAlign w:val="center"/>
          </w:tcPr>
          <w:p>
            <w:pPr>
              <w:spacing w:line="360" w:lineRule="auto"/>
              <w:jc w:val="center"/>
              <w:rPr>
                <w:rFonts w:ascii="宋体" w:hAnsi="宋体"/>
                <w:sz w:val="22"/>
                <w:szCs w:val="21"/>
              </w:rPr>
            </w:pPr>
            <w:r>
              <w:rPr>
                <w:rFonts w:hint="eastAsia" w:ascii="宋体" w:hAnsi="宋体"/>
                <w:sz w:val="22"/>
                <w:szCs w:val="21"/>
              </w:rPr>
              <w:t>职务</w:t>
            </w:r>
          </w:p>
        </w:tc>
        <w:tc>
          <w:tcPr>
            <w:tcW w:w="1134" w:type="dxa"/>
            <w:vMerge w:val="restart"/>
            <w:vAlign w:val="center"/>
          </w:tcPr>
          <w:p>
            <w:pPr>
              <w:spacing w:line="360" w:lineRule="auto"/>
              <w:jc w:val="center"/>
              <w:rPr>
                <w:rFonts w:ascii="宋体" w:hAnsi="宋体"/>
                <w:sz w:val="22"/>
                <w:szCs w:val="21"/>
              </w:rPr>
            </w:pPr>
            <w:r>
              <w:rPr>
                <w:rFonts w:hint="eastAsia" w:ascii="宋体" w:hAnsi="宋体"/>
                <w:sz w:val="22"/>
                <w:szCs w:val="21"/>
              </w:rPr>
              <w:t>姓名</w:t>
            </w:r>
          </w:p>
        </w:tc>
        <w:tc>
          <w:tcPr>
            <w:tcW w:w="992" w:type="dxa"/>
            <w:vMerge w:val="restart"/>
            <w:vAlign w:val="center"/>
          </w:tcPr>
          <w:p>
            <w:pPr>
              <w:spacing w:line="360" w:lineRule="auto"/>
              <w:jc w:val="center"/>
              <w:rPr>
                <w:rFonts w:ascii="宋体" w:hAnsi="宋体"/>
                <w:sz w:val="22"/>
                <w:szCs w:val="21"/>
              </w:rPr>
            </w:pPr>
            <w:r>
              <w:rPr>
                <w:rFonts w:hint="eastAsia" w:ascii="宋体" w:hAnsi="宋体"/>
                <w:sz w:val="22"/>
                <w:szCs w:val="21"/>
              </w:rPr>
              <w:t>职称</w:t>
            </w:r>
          </w:p>
        </w:tc>
        <w:tc>
          <w:tcPr>
            <w:tcW w:w="1276" w:type="dxa"/>
            <w:vMerge w:val="restart"/>
            <w:vAlign w:val="center"/>
          </w:tcPr>
          <w:p>
            <w:pPr>
              <w:spacing w:line="360" w:lineRule="auto"/>
              <w:jc w:val="center"/>
              <w:rPr>
                <w:rFonts w:ascii="宋体" w:hAnsi="宋体"/>
                <w:sz w:val="22"/>
                <w:szCs w:val="21"/>
              </w:rPr>
            </w:pPr>
            <w:r>
              <w:rPr>
                <w:rFonts w:hint="eastAsia" w:ascii="宋体" w:hAnsi="宋体"/>
                <w:sz w:val="22"/>
                <w:szCs w:val="21"/>
              </w:rPr>
              <w:t>常住地</w:t>
            </w:r>
          </w:p>
        </w:tc>
        <w:tc>
          <w:tcPr>
            <w:tcW w:w="4394" w:type="dxa"/>
            <w:gridSpan w:val="4"/>
            <w:vAlign w:val="center"/>
          </w:tcPr>
          <w:p>
            <w:pPr>
              <w:spacing w:line="360" w:lineRule="auto"/>
              <w:jc w:val="center"/>
              <w:rPr>
                <w:rFonts w:ascii="宋体" w:hAnsi="宋体"/>
                <w:sz w:val="22"/>
                <w:szCs w:val="21"/>
              </w:rPr>
            </w:pPr>
            <w:r>
              <w:rPr>
                <w:rFonts w:hint="eastAsia" w:ascii="宋体" w:hAnsi="宋体"/>
                <w:sz w:val="22"/>
                <w:szCs w:val="21"/>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spacing w:line="360" w:lineRule="auto"/>
              <w:rPr>
                <w:rFonts w:ascii="宋体" w:hAnsi="宋体"/>
                <w:sz w:val="22"/>
                <w:szCs w:val="21"/>
              </w:rPr>
            </w:pPr>
          </w:p>
        </w:tc>
        <w:tc>
          <w:tcPr>
            <w:tcW w:w="1005" w:type="dxa"/>
            <w:vMerge w:val="continue"/>
            <w:vAlign w:val="center"/>
          </w:tcPr>
          <w:p>
            <w:pPr>
              <w:spacing w:line="360" w:lineRule="auto"/>
              <w:rPr>
                <w:rFonts w:ascii="宋体" w:hAnsi="宋体"/>
                <w:sz w:val="22"/>
                <w:szCs w:val="21"/>
              </w:rPr>
            </w:pPr>
          </w:p>
        </w:tc>
        <w:tc>
          <w:tcPr>
            <w:tcW w:w="1134" w:type="dxa"/>
            <w:vMerge w:val="continue"/>
            <w:vAlign w:val="center"/>
          </w:tcPr>
          <w:p>
            <w:pPr>
              <w:spacing w:line="360" w:lineRule="auto"/>
              <w:rPr>
                <w:rFonts w:ascii="宋体" w:hAnsi="宋体"/>
                <w:sz w:val="22"/>
                <w:szCs w:val="21"/>
              </w:rPr>
            </w:pPr>
          </w:p>
        </w:tc>
        <w:tc>
          <w:tcPr>
            <w:tcW w:w="992" w:type="dxa"/>
            <w:vMerge w:val="continue"/>
            <w:vAlign w:val="center"/>
          </w:tcPr>
          <w:p>
            <w:pPr>
              <w:spacing w:line="360" w:lineRule="auto"/>
              <w:rPr>
                <w:rFonts w:ascii="宋体" w:hAnsi="宋体"/>
                <w:sz w:val="22"/>
                <w:szCs w:val="21"/>
              </w:rPr>
            </w:pPr>
          </w:p>
        </w:tc>
        <w:tc>
          <w:tcPr>
            <w:tcW w:w="1276" w:type="dxa"/>
            <w:vMerge w:val="continue"/>
            <w:vAlign w:val="center"/>
          </w:tcPr>
          <w:p>
            <w:pPr>
              <w:spacing w:line="360" w:lineRule="auto"/>
              <w:rPr>
                <w:rFonts w:ascii="宋体" w:hAnsi="宋体"/>
                <w:sz w:val="22"/>
                <w:szCs w:val="21"/>
              </w:rPr>
            </w:pPr>
          </w:p>
        </w:tc>
        <w:tc>
          <w:tcPr>
            <w:tcW w:w="1134" w:type="dxa"/>
            <w:vAlign w:val="center"/>
          </w:tcPr>
          <w:p>
            <w:pPr>
              <w:spacing w:line="360" w:lineRule="auto"/>
              <w:jc w:val="center"/>
              <w:rPr>
                <w:rFonts w:ascii="宋体" w:hAnsi="宋体"/>
                <w:sz w:val="22"/>
                <w:szCs w:val="21"/>
              </w:rPr>
            </w:pPr>
            <w:r>
              <w:rPr>
                <w:rFonts w:hint="eastAsia" w:ascii="宋体" w:hAnsi="宋体"/>
                <w:sz w:val="22"/>
                <w:szCs w:val="21"/>
              </w:rPr>
              <w:t>证书</w:t>
            </w:r>
          </w:p>
          <w:p>
            <w:pPr>
              <w:spacing w:line="360" w:lineRule="auto"/>
              <w:jc w:val="center"/>
              <w:rPr>
                <w:rFonts w:ascii="宋体" w:hAnsi="宋体"/>
                <w:sz w:val="22"/>
                <w:szCs w:val="21"/>
              </w:rPr>
            </w:pPr>
            <w:r>
              <w:rPr>
                <w:rFonts w:hint="eastAsia" w:ascii="宋体" w:hAnsi="宋体"/>
                <w:sz w:val="22"/>
                <w:szCs w:val="21"/>
              </w:rPr>
              <w:t>名称</w:t>
            </w:r>
          </w:p>
        </w:tc>
        <w:tc>
          <w:tcPr>
            <w:tcW w:w="1134" w:type="dxa"/>
            <w:vAlign w:val="center"/>
          </w:tcPr>
          <w:p>
            <w:pPr>
              <w:spacing w:line="360" w:lineRule="auto"/>
              <w:jc w:val="center"/>
              <w:rPr>
                <w:rFonts w:ascii="宋体" w:hAnsi="宋体"/>
                <w:sz w:val="22"/>
                <w:szCs w:val="21"/>
              </w:rPr>
            </w:pPr>
            <w:r>
              <w:rPr>
                <w:rFonts w:hint="eastAsia" w:ascii="宋体" w:hAnsi="宋体"/>
                <w:sz w:val="22"/>
                <w:szCs w:val="21"/>
              </w:rPr>
              <w:t>级别</w:t>
            </w:r>
          </w:p>
        </w:tc>
        <w:tc>
          <w:tcPr>
            <w:tcW w:w="1134" w:type="dxa"/>
            <w:vAlign w:val="center"/>
          </w:tcPr>
          <w:p>
            <w:pPr>
              <w:spacing w:line="360" w:lineRule="auto"/>
              <w:jc w:val="center"/>
              <w:rPr>
                <w:rFonts w:ascii="宋体" w:hAnsi="宋体"/>
                <w:sz w:val="22"/>
                <w:szCs w:val="21"/>
              </w:rPr>
            </w:pPr>
            <w:r>
              <w:rPr>
                <w:rFonts w:hint="eastAsia" w:ascii="宋体" w:hAnsi="宋体"/>
                <w:sz w:val="22"/>
                <w:szCs w:val="21"/>
              </w:rPr>
              <w:t>证号</w:t>
            </w:r>
          </w:p>
        </w:tc>
        <w:tc>
          <w:tcPr>
            <w:tcW w:w="992" w:type="dxa"/>
            <w:vAlign w:val="center"/>
          </w:tcPr>
          <w:p>
            <w:pPr>
              <w:spacing w:line="360" w:lineRule="auto"/>
              <w:jc w:val="center"/>
              <w:rPr>
                <w:rFonts w:ascii="宋体" w:hAnsi="宋体"/>
                <w:sz w:val="22"/>
                <w:szCs w:val="21"/>
              </w:rPr>
            </w:pPr>
            <w:r>
              <w:rPr>
                <w:rFonts w:hint="eastAsia" w:ascii="宋体" w:hAnsi="宋体"/>
                <w:sz w:val="22"/>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946" w:type="dxa"/>
            <w:vMerge w:val="restart"/>
            <w:vAlign w:val="center"/>
          </w:tcPr>
          <w:p>
            <w:pPr>
              <w:spacing w:line="360" w:lineRule="auto"/>
              <w:jc w:val="center"/>
              <w:rPr>
                <w:rFonts w:ascii="宋体" w:hAnsi="宋体"/>
                <w:sz w:val="22"/>
                <w:szCs w:val="21"/>
              </w:rPr>
            </w:pPr>
            <w:r>
              <w:rPr>
                <w:rFonts w:hint="eastAsia" w:ascii="宋体" w:hAnsi="宋体"/>
                <w:sz w:val="22"/>
                <w:szCs w:val="21"/>
              </w:rPr>
              <w:t>管理</w:t>
            </w:r>
          </w:p>
          <w:p>
            <w:pPr>
              <w:spacing w:line="360" w:lineRule="auto"/>
              <w:jc w:val="center"/>
              <w:rPr>
                <w:rFonts w:ascii="宋体" w:hAnsi="宋体"/>
                <w:sz w:val="22"/>
                <w:szCs w:val="21"/>
              </w:rPr>
            </w:pPr>
            <w:r>
              <w:rPr>
                <w:rFonts w:hint="eastAsia" w:ascii="宋体" w:hAnsi="宋体"/>
                <w:sz w:val="22"/>
                <w:szCs w:val="21"/>
              </w:rPr>
              <w:t>人员</w:t>
            </w:r>
          </w:p>
        </w:tc>
        <w:tc>
          <w:tcPr>
            <w:tcW w:w="1005" w:type="dxa"/>
          </w:tcPr>
          <w:p>
            <w:pPr>
              <w:spacing w:line="360" w:lineRule="auto"/>
              <w:jc w:val="center"/>
              <w:rPr>
                <w:rFonts w:ascii="宋体" w:hAnsi="宋体"/>
                <w:sz w:val="22"/>
                <w:szCs w:val="21"/>
              </w:rPr>
            </w:pPr>
          </w:p>
        </w:tc>
        <w:tc>
          <w:tcPr>
            <w:tcW w:w="1134" w:type="dxa"/>
          </w:tcPr>
          <w:p>
            <w:pPr>
              <w:spacing w:line="360" w:lineRule="auto"/>
              <w:jc w:val="center"/>
              <w:rPr>
                <w:rFonts w:ascii="宋体" w:hAnsi="宋体"/>
                <w:sz w:val="22"/>
                <w:szCs w:val="21"/>
              </w:rPr>
            </w:pPr>
          </w:p>
        </w:tc>
        <w:tc>
          <w:tcPr>
            <w:tcW w:w="992" w:type="dxa"/>
          </w:tcPr>
          <w:p>
            <w:pPr>
              <w:spacing w:line="360" w:lineRule="auto"/>
              <w:jc w:val="center"/>
              <w:rPr>
                <w:rFonts w:ascii="宋体" w:hAnsi="宋体"/>
                <w:sz w:val="22"/>
                <w:szCs w:val="21"/>
              </w:rPr>
            </w:pPr>
          </w:p>
        </w:tc>
        <w:tc>
          <w:tcPr>
            <w:tcW w:w="1276" w:type="dxa"/>
          </w:tcPr>
          <w:p>
            <w:pPr>
              <w:spacing w:line="360" w:lineRule="auto"/>
              <w:jc w:val="center"/>
              <w:rPr>
                <w:rFonts w:ascii="宋体" w:hAnsi="宋体"/>
                <w:sz w:val="22"/>
                <w:szCs w:val="21"/>
              </w:rPr>
            </w:pPr>
          </w:p>
        </w:tc>
        <w:tc>
          <w:tcPr>
            <w:tcW w:w="1134" w:type="dxa"/>
          </w:tcPr>
          <w:p>
            <w:pPr>
              <w:spacing w:line="360" w:lineRule="auto"/>
              <w:jc w:val="center"/>
              <w:rPr>
                <w:rFonts w:ascii="宋体" w:hAnsi="宋体"/>
                <w:sz w:val="22"/>
                <w:szCs w:val="21"/>
              </w:rPr>
            </w:pPr>
          </w:p>
        </w:tc>
        <w:tc>
          <w:tcPr>
            <w:tcW w:w="1134" w:type="dxa"/>
          </w:tcPr>
          <w:p>
            <w:pPr>
              <w:spacing w:line="360" w:lineRule="auto"/>
              <w:jc w:val="center"/>
              <w:rPr>
                <w:rFonts w:ascii="宋体" w:hAnsi="宋体"/>
                <w:sz w:val="22"/>
                <w:szCs w:val="21"/>
              </w:rPr>
            </w:pPr>
          </w:p>
        </w:tc>
        <w:tc>
          <w:tcPr>
            <w:tcW w:w="1134" w:type="dxa"/>
          </w:tcPr>
          <w:p>
            <w:pPr>
              <w:spacing w:line="360" w:lineRule="auto"/>
              <w:jc w:val="center"/>
              <w:rPr>
                <w:rFonts w:ascii="宋体" w:hAnsi="宋体"/>
                <w:sz w:val="22"/>
                <w:szCs w:val="21"/>
              </w:rPr>
            </w:pPr>
          </w:p>
        </w:tc>
        <w:tc>
          <w:tcPr>
            <w:tcW w:w="992" w:type="dxa"/>
          </w:tcPr>
          <w:p>
            <w:pPr>
              <w:spacing w:line="360" w:lineRule="auto"/>
              <w:jc w:val="center"/>
              <w:rPr>
                <w:rFonts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46" w:type="dxa"/>
            <w:vMerge w:val="continue"/>
            <w:vAlign w:val="center"/>
          </w:tcPr>
          <w:p>
            <w:pPr>
              <w:spacing w:line="360" w:lineRule="auto"/>
              <w:rPr>
                <w:rFonts w:ascii="宋体" w:hAnsi="宋体"/>
                <w:sz w:val="22"/>
                <w:szCs w:val="21"/>
              </w:rPr>
            </w:pPr>
          </w:p>
        </w:tc>
        <w:tc>
          <w:tcPr>
            <w:tcW w:w="1005"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c>
          <w:tcPr>
            <w:tcW w:w="1276"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946" w:type="dxa"/>
            <w:vMerge w:val="continue"/>
            <w:vAlign w:val="center"/>
          </w:tcPr>
          <w:p>
            <w:pPr>
              <w:spacing w:line="360" w:lineRule="auto"/>
              <w:rPr>
                <w:rFonts w:ascii="宋体" w:hAnsi="宋体"/>
                <w:sz w:val="22"/>
                <w:szCs w:val="21"/>
              </w:rPr>
            </w:pPr>
          </w:p>
        </w:tc>
        <w:tc>
          <w:tcPr>
            <w:tcW w:w="1005"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c>
          <w:tcPr>
            <w:tcW w:w="1276"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46" w:type="dxa"/>
            <w:vMerge w:val="restart"/>
            <w:vAlign w:val="center"/>
          </w:tcPr>
          <w:p>
            <w:pPr>
              <w:spacing w:line="360" w:lineRule="auto"/>
              <w:jc w:val="center"/>
              <w:rPr>
                <w:rFonts w:ascii="宋体" w:hAnsi="宋体"/>
                <w:sz w:val="22"/>
                <w:szCs w:val="21"/>
              </w:rPr>
            </w:pPr>
            <w:r>
              <w:rPr>
                <w:rFonts w:hint="eastAsia" w:ascii="宋体" w:hAnsi="宋体"/>
                <w:sz w:val="22"/>
                <w:szCs w:val="21"/>
              </w:rPr>
              <w:t>技术</w:t>
            </w:r>
          </w:p>
          <w:p>
            <w:pPr>
              <w:spacing w:line="360" w:lineRule="auto"/>
              <w:jc w:val="center"/>
              <w:rPr>
                <w:rFonts w:ascii="宋体" w:hAnsi="宋体"/>
                <w:sz w:val="22"/>
                <w:szCs w:val="21"/>
              </w:rPr>
            </w:pPr>
            <w:r>
              <w:rPr>
                <w:rFonts w:hint="eastAsia" w:ascii="宋体" w:hAnsi="宋体"/>
                <w:sz w:val="22"/>
                <w:szCs w:val="21"/>
              </w:rPr>
              <w:t>人员</w:t>
            </w:r>
          </w:p>
        </w:tc>
        <w:tc>
          <w:tcPr>
            <w:tcW w:w="1005"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c>
          <w:tcPr>
            <w:tcW w:w="1276"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946" w:type="dxa"/>
            <w:vMerge w:val="continue"/>
            <w:vAlign w:val="center"/>
          </w:tcPr>
          <w:p>
            <w:pPr>
              <w:spacing w:line="360" w:lineRule="auto"/>
              <w:jc w:val="center"/>
              <w:rPr>
                <w:rFonts w:ascii="宋体" w:hAnsi="宋体"/>
                <w:sz w:val="22"/>
                <w:szCs w:val="21"/>
              </w:rPr>
            </w:pPr>
          </w:p>
        </w:tc>
        <w:tc>
          <w:tcPr>
            <w:tcW w:w="1005"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c>
          <w:tcPr>
            <w:tcW w:w="1276"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946" w:type="dxa"/>
            <w:vMerge w:val="continue"/>
            <w:vAlign w:val="center"/>
          </w:tcPr>
          <w:p>
            <w:pPr>
              <w:spacing w:line="360" w:lineRule="auto"/>
              <w:jc w:val="center"/>
              <w:rPr>
                <w:rFonts w:ascii="宋体" w:hAnsi="宋体"/>
                <w:sz w:val="22"/>
                <w:szCs w:val="21"/>
              </w:rPr>
            </w:pPr>
          </w:p>
        </w:tc>
        <w:tc>
          <w:tcPr>
            <w:tcW w:w="1005"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c>
          <w:tcPr>
            <w:tcW w:w="1276"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46" w:type="dxa"/>
            <w:vMerge w:val="restart"/>
            <w:vAlign w:val="center"/>
          </w:tcPr>
          <w:p>
            <w:pPr>
              <w:spacing w:line="360" w:lineRule="auto"/>
              <w:jc w:val="center"/>
              <w:rPr>
                <w:rFonts w:ascii="宋体" w:hAnsi="宋体"/>
                <w:sz w:val="22"/>
                <w:szCs w:val="21"/>
              </w:rPr>
            </w:pPr>
            <w:r>
              <w:rPr>
                <w:rFonts w:hint="eastAsia" w:ascii="宋体" w:hAnsi="宋体"/>
                <w:sz w:val="22"/>
                <w:szCs w:val="21"/>
              </w:rPr>
              <w:t>售后服务人员</w:t>
            </w:r>
          </w:p>
        </w:tc>
        <w:tc>
          <w:tcPr>
            <w:tcW w:w="1005"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c>
          <w:tcPr>
            <w:tcW w:w="1276"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46" w:type="dxa"/>
            <w:vMerge w:val="continue"/>
          </w:tcPr>
          <w:p>
            <w:pPr>
              <w:spacing w:line="360" w:lineRule="auto"/>
              <w:rPr>
                <w:rFonts w:ascii="宋体" w:hAnsi="宋体"/>
                <w:sz w:val="22"/>
                <w:szCs w:val="21"/>
              </w:rPr>
            </w:pPr>
          </w:p>
        </w:tc>
        <w:tc>
          <w:tcPr>
            <w:tcW w:w="1005"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c>
          <w:tcPr>
            <w:tcW w:w="1276"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946" w:type="dxa"/>
            <w:vMerge w:val="continue"/>
          </w:tcPr>
          <w:p>
            <w:pPr>
              <w:spacing w:line="360" w:lineRule="auto"/>
              <w:rPr>
                <w:rFonts w:ascii="宋体" w:hAnsi="宋体"/>
                <w:sz w:val="22"/>
                <w:szCs w:val="21"/>
              </w:rPr>
            </w:pPr>
          </w:p>
        </w:tc>
        <w:tc>
          <w:tcPr>
            <w:tcW w:w="1005"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c>
          <w:tcPr>
            <w:tcW w:w="1276"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r>
    </w:tbl>
    <w:p>
      <w:pPr>
        <w:rPr>
          <w:sz w:val="20"/>
          <w:szCs w:val="21"/>
        </w:rPr>
      </w:pPr>
    </w:p>
    <w:p>
      <w:pPr>
        <w:rPr>
          <w:sz w:val="20"/>
          <w:szCs w:val="21"/>
        </w:rPr>
      </w:pPr>
    </w:p>
    <w:p>
      <w:pPr>
        <w:rPr>
          <w:sz w:val="20"/>
          <w:szCs w:val="21"/>
        </w:rPr>
      </w:pPr>
    </w:p>
    <w:p>
      <w:pPr>
        <w:pStyle w:val="26"/>
        <w:spacing w:line="360" w:lineRule="auto"/>
        <w:ind w:left="0" w:leftChars="0"/>
        <w:rPr>
          <w:rFonts w:ascii="宋体" w:hAnsi="宋体"/>
          <w:bCs/>
          <w:sz w:val="24"/>
          <w:szCs w:val="24"/>
        </w:rPr>
      </w:pPr>
      <w:r>
        <w:rPr>
          <w:rFonts w:hint="eastAsia" w:ascii="宋体" w:hAnsi="宋体"/>
          <w:bCs/>
          <w:sz w:val="24"/>
          <w:szCs w:val="24"/>
        </w:rPr>
        <w:t>供应商名称：</w:t>
      </w:r>
      <w:r>
        <w:rPr>
          <w:rFonts w:hint="eastAsia" w:ascii="宋体" w:hAnsi="宋体"/>
          <w:bCs/>
          <w:sz w:val="24"/>
          <w:szCs w:val="24"/>
          <w:u w:val="single"/>
        </w:rPr>
        <w:t xml:space="preserve"> XXXXXX</w:t>
      </w:r>
    </w:p>
    <w:p>
      <w:pPr>
        <w:adjustRightInd w:val="0"/>
        <w:spacing w:line="400" w:lineRule="exact"/>
        <w:ind w:firstLine="240" w:firstLineChars="100"/>
        <w:rPr>
          <w:rFonts w:ascii="宋体" w:hAnsi="宋体"/>
          <w:bCs/>
          <w:sz w:val="24"/>
          <w:szCs w:val="24"/>
        </w:rPr>
      </w:pPr>
      <w:r>
        <w:rPr>
          <w:rFonts w:ascii="宋体" w:hAnsi="宋体"/>
          <w:sz w:val="24"/>
          <w:szCs w:val="21"/>
        </w:rPr>
        <w:t>日期：</w:t>
      </w:r>
      <w:r>
        <w:rPr>
          <w:rFonts w:hint="eastAsia" w:ascii="宋体" w:hAnsi="宋体"/>
          <w:sz w:val="24"/>
          <w:szCs w:val="21"/>
        </w:rPr>
        <w:t>202</w:t>
      </w:r>
      <w:r>
        <w:rPr>
          <w:rFonts w:ascii="宋体" w:hAnsi="宋体"/>
          <w:bCs/>
          <w:sz w:val="24"/>
          <w:szCs w:val="21"/>
          <w:u w:val="single"/>
        </w:rPr>
        <w:t>X</w:t>
      </w:r>
      <w:r>
        <w:rPr>
          <w:rFonts w:hint="eastAsia" w:ascii="宋体" w:hAnsi="宋体"/>
          <w:bCs/>
          <w:sz w:val="24"/>
          <w:szCs w:val="21"/>
        </w:rPr>
        <w:t>年XX月XX日</w:t>
      </w:r>
    </w:p>
    <w:p>
      <w:pPr>
        <w:rPr>
          <w:sz w:val="20"/>
          <w:szCs w:val="21"/>
        </w:rPr>
      </w:pPr>
    </w:p>
    <w:p>
      <w:pPr>
        <w:rPr>
          <w:sz w:val="20"/>
          <w:szCs w:val="21"/>
        </w:rPr>
      </w:pPr>
    </w:p>
    <w:p>
      <w:pPr>
        <w:rPr>
          <w:b/>
          <w:sz w:val="24"/>
          <w:szCs w:val="21"/>
        </w:rPr>
      </w:pPr>
      <w:r>
        <w:rPr>
          <w:rFonts w:hint="eastAsia"/>
          <w:b/>
          <w:sz w:val="24"/>
          <w:szCs w:val="21"/>
        </w:rPr>
        <w:t>说明：以上表格格式行数可自行增减。</w:t>
      </w:r>
    </w:p>
    <w:p>
      <w:pPr>
        <w:rPr>
          <w:sz w:val="20"/>
          <w:szCs w:val="21"/>
        </w:rPr>
      </w:pPr>
      <w:r>
        <w:rPr>
          <w:sz w:val="20"/>
          <w:szCs w:val="21"/>
        </w:rPr>
        <w:br w:type="page"/>
      </w:r>
    </w:p>
    <w:p>
      <w:pPr>
        <w:pStyle w:val="6"/>
        <w:numPr>
          <w:ilvl w:val="2"/>
          <w:numId w:val="5"/>
        </w:numPr>
        <w:tabs>
          <w:tab w:val="left" w:pos="709"/>
        </w:tabs>
        <w:spacing w:after="200"/>
        <w:ind w:left="709" w:hanging="709"/>
        <w:rPr>
          <w:color w:val="auto"/>
          <w:sz w:val="24"/>
          <w:szCs w:val="24"/>
        </w:rPr>
      </w:pPr>
      <w:r>
        <w:rPr>
          <w:rFonts w:hint="eastAsia"/>
          <w:color w:val="auto"/>
          <w:sz w:val="24"/>
          <w:szCs w:val="24"/>
        </w:rPr>
        <w:t>供应商基本情况表</w:t>
      </w:r>
    </w:p>
    <w:tbl>
      <w:tblPr>
        <w:tblStyle w:val="41"/>
        <w:tblW w:w="852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80"/>
        <w:gridCol w:w="992"/>
        <w:gridCol w:w="935"/>
        <w:gridCol w:w="1248"/>
        <w:gridCol w:w="8"/>
        <w:gridCol w:w="1318"/>
        <w:gridCol w:w="489"/>
        <w:gridCol w:w="683"/>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780" w:type="dxa"/>
            <w:tcBorders>
              <w:top w:val="doub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供应商名称</w:t>
            </w:r>
          </w:p>
        </w:tc>
        <w:tc>
          <w:tcPr>
            <w:tcW w:w="6740" w:type="dxa"/>
            <w:gridSpan w:val="8"/>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注册地址</w:t>
            </w:r>
          </w:p>
        </w:tc>
        <w:tc>
          <w:tcPr>
            <w:tcW w:w="3183"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3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邮政编码</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780" w:type="dxa"/>
            <w:vMerge w:val="restart"/>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联系方式</w:t>
            </w: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联系人</w:t>
            </w:r>
          </w:p>
        </w:tc>
        <w:tc>
          <w:tcPr>
            <w:tcW w:w="218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电话</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780" w:type="dxa"/>
            <w:vMerge w:val="continue"/>
            <w:tcBorders>
              <w:top w:val="single" w:color="auto" w:sz="6" w:space="0"/>
              <w:left w:val="double" w:color="auto" w:sz="4" w:space="0"/>
              <w:bottom w:val="single" w:color="auto" w:sz="6" w:space="0"/>
              <w:right w:val="single" w:color="auto" w:sz="6" w:space="0"/>
            </w:tcBorders>
            <w:vAlign w:val="center"/>
          </w:tcPr>
          <w:p>
            <w:pPr>
              <w:rPr>
                <w:rFonts w:ascii="宋体" w:hAnsi="宋体"/>
                <w:sz w:val="20"/>
                <w:szCs w:val="20"/>
              </w:rPr>
            </w:pP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传真</w:t>
            </w:r>
          </w:p>
        </w:tc>
        <w:tc>
          <w:tcPr>
            <w:tcW w:w="218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网址</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单位性质</w:t>
            </w:r>
          </w:p>
        </w:tc>
        <w:tc>
          <w:tcPr>
            <w:tcW w:w="6740"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1"/>
              </w:rPr>
              <w:t>法定代表人（或</w:t>
            </w:r>
            <w:r>
              <w:rPr>
                <w:rFonts w:ascii="宋体" w:hAnsi="宋体"/>
                <w:sz w:val="20"/>
                <w:szCs w:val="21"/>
              </w:rPr>
              <w:t>负责人</w:t>
            </w:r>
            <w:r>
              <w:rPr>
                <w:rFonts w:hint="eastAsia" w:ascii="宋体" w:hAnsi="宋体"/>
                <w:sz w:val="20"/>
                <w:szCs w:val="21"/>
              </w:rPr>
              <w:t>）</w:t>
            </w: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姓名</w:t>
            </w:r>
          </w:p>
        </w:tc>
        <w:tc>
          <w:tcPr>
            <w:tcW w:w="9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2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技术职称</w:t>
            </w: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17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电话</w:t>
            </w:r>
          </w:p>
        </w:tc>
        <w:tc>
          <w:tcPr>
            <w:tcW w:w="1067"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2" w:hRule="atLeast"/>
          <w:jc w:val="center"/>
        </w:trPr>
        <w:tc>
          <w:tcPr>
            <w:tcW w:w="1780" w:type="dxa"/>
            <w:tcBorders>
              <w:top w:val="single" w:color="auto" w:sz="6" w:space="0"/>
              <w:left w:val="double" w:color="auto" w:sz="4"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技术负责人</w:t>
            </w:r>
          </w:p>
        </w:tc>
        <w:tc>
          <w:tcPr>
            <w:tcW w:w="992"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姓名</w:t>
            </w:r>
          </w:p>
        </w:tc>
        <w:tc>
          <w:tcPr>
            <w:tcW w:w="935"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24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技术职称</w:t>
            </w:r>
          </w:p>
        </w:tc>
        <w:tc>
          <w:tcPr>
            <w:tcW w:w="1326"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172"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电话</w:t>
            </w:r>
          </w:p>
        </w:tc>
        <w:tc>
          <w:tcPr>
            <w:tcW w:w="1067" w:type="dxa"/>
            <w:tcBorders>
              <w:top w:val="single" w:color="auto" w:sz="6" w:space="0"/>
              <w:left w:val="single" w:color="auto" w:sz="6" w:space="0"/>
              <w:bottom w:val="single" w:color="auto" w:sz="4" w:space="0"/>
              <w:right w:val="double" w:color="auto" w:sz="4" w:space="0"/>
            </w:tcBorders>
            <w:vAlign w:val="center"/>
          </w:tcPr>
          <w:p>
            <w:pPr>
              <w:autoSpaceDE w:val="0"/>
              <w:autoSpaceDN w:val="0"/>
              <w:adjustRightInd w:val="0"/>
              <w:spacing w:line="400" w:lineRule="exact"/>
              <w:jc w:val="center"/>
              <w:rPr>
                <w:rFonts w:ascii="宋体" w:hAnsi="宋体"/>
                <w:bCs/>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8" w:hRule="atLeast"/>
          <w:jc w:val="center"/>
        </w:trPr>
        <w:tc>
          <w:tcPr>
            <w:tcW w:w="1780" w:type="dxa"/>
            <w:tcBorders>
              <w:top w:val="sing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财务负责人</w:t>
            </w:r>
          </w:p>
        </w:tc>
        <w:tc>
          <w:tcPr>
            <w:tcW w:w="992"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姓名</w:t>
            </w:r>
          </w:p>
        </w:tc>
        <w:tc>
          <w:tcPr>
            <w:tcW w:w="935"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24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技术职称</w:t>
            </w:r>
          </w:p>
        </w:tc>
        <w:tc>
          <w:tcPr>
            <w:tcW w:w="1326"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172"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电话</w:t>
            </w:r>
          </w:p>
        </w:tc>
        <w:tc>
          <w:tcPr>
            <w:tcW w:w="1067" w:type="dxa"/>
            <w:tcBorders>
              <w:top w:val="sing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成立时间</w:t>
            </w:r>
          </w:p>
        </w:tc>
        <w:tc>
          <w:tcPr>
            <w:tcW w:w="192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4813" w:type="dxa"/>
            <w:gridSpan w:val="6"/>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rPr>
                <w:rFonts w:ascii="宋体" w:hAnsi="宋体"/>
                <w:sz w:val="20"/>
                <w:szCs w:val="20"/>
              </w:rPr>
            </w:pPr>
            <w:r>
              <w:rPr>
                <w:rFonts w:hint="eastAsia" w:ascii="宋体" w:hAnsi="宋体"/>
                <w:sz w:val="20"/>
                <w:szCs w:val="20"/>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企业资质等级</w:t>
            </w:r>
          </w:p>
        </w:tc>
        <w:tc>
          <w:tcPr>
            <w:tcW w:w="192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248"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其中</w:t>
            </w:r>
          </w:p>
        </w:tc>
        <w:tc>
          <w:tcPr>
            <w:tcW w:w="18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项目经理</w:t>
            </w:r>
          </w:p>
        </w:tc>
        <w:tc>
          <w:tcPr>
            <w:tcW w:w="1750"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统一</w:t>
            </w:r>
            <w:r>
              <w:rPr>
                <w:rFonts w:ascii="宋体" w:hAnsi="宋体"/>
                <w:sz w:val="20"/>
                <w:szCs w:val="20"/>
              </w:rPr>
              <w:t>社会</w:t>
            </w:r>
            <w:r>
              <w:rPr>
                <w:rFonts w:hint="eastAsia" w:ascii="宋体" w:hAnsi="宋体"/>
                <w:sz w:val="20"/>
                <w:szCs w:val="20"/>
              </w:rPr>
              <w:t>信用</w:t>
            </w:r>
            <w:r>
              <w:rPr>
                <w:rFonts w:ascii="宋体" w:hAnsi="宋体"/>
                <w:sz w:val="20"/>
                <w:szCs w:val="20"/>
              </w:rPr>
              <w:t>代码</w:t>
            </w:r>
          </w:p>
        </w:tc>
        <w:tc>
          <w:tcPr>
            <w:tcW w:w="192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 w:val="20"/>
                <w:szCs w:val="20"/>
              </w:rPr>
            </w:pPr>
          </w:p>
        </w:tc>
        <w:tc>
          <w:tcPr>
            <w:tcW w:w="18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高级职称人员</w:t>
            </w:r>
          </w:p>
        </w:tc>
        <w:tc>
          <w:tcPr>
            <w:tcW w:w="1750"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注册资金</w:t>
            </w:r>
          </w:p>
        </w:tc>
        <w:tc>
          <w:tcPr>
            <w:tcW w:w="192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 w:val="20"/>
                <w:szCs w:val="20"/>
              </w:rPr>
            </w:pPr>
          </w:p>
        </w:tc>
        <w:tc>
          <w:tcPr>
            <w:tcW w:w="18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中级职称人员</w:t>
            </w:r>
          </w:p>
        </w:tc>
        <w:tc>
          <w:tcPr>
            <w:tcW w:w="1750"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开户银行</w:t>
            </w:r>
          </w:p>
        </w:tc>
        <w:tc>
          <w:tcPr>
            <w:tcW w:w="192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 w:val="20"/>
                <w:szCs w:val="20"/>
              </w:rPr>
            </w:pPr>
          </w:p>
        </w:tc>
        <w:tc>
          <w:tcPr>
            <w:tcW w:w="18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初级职称人员</w:t>
            </w:r>
          </w:p>
        </w:tc>
        <w:tc>
          <w:tcPr>
            <w:tcW w:w="1750"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账号</w:t>
            </w:r>
          </w:p>
        </w:tc>
        <w:tc>
          <w:tcPr>
            <w:tcW w:w="192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 w:val="20"/>
                <w:szCs w:val="20"/>
              </w:rPr>
            </w:pPr>
          </w:p>
        </w:tc>
        <w:tc>
          <w:tcPr>
            <w:tcW w:w="18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技工</w:t>
            </w:r>
          </w:p>
        </w:tc>
        <w:tc>
          <w:tcPr>
            <w:tcW w:w="1750"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86"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经营范围</w:t>
            </w:r>
          </w:p>
        </w:tc>
        <w:tc>
          <w:tcPr>
            <w:tcW w:w="6740"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rPr>
                <w:rFonts w:ascii="宋体" w:hAnsi="宋体"/>
                <w:bCs/>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72" w:hRule="atLeast"/>
          <w:jc w:val="center"/>
        </w:trPr>
        <w:tc>
          <w:tcPr>
            <w:tcW w:w="1780" w:type="dxa"/>
            <w:tcBorders>
              <w:top w:val="single" w:color="auto" w:sz="6" w:space="0"/>
              <w:left w:val="double" w:color="auto" w:sz="4" w:space="0"/>
              <w:bottom w:val="double" w:color="auto" w:sz="4" w:space="0"/>
              <w:right w:val="single" w:color="auto" w:sz="6" w:space="0"/>
            </w:tcBorders>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备注</w:t>
            </w:r>
          </w:p>
        </w:tc>
        <w:tc>
          <w:tcPr>
            <w:tcW w:w="6740" w:type="dxa"/>
            <w:gridSpan w:val="8"/>
            <w:tcBorders>
              <w:top w:val="single" w:color="auto" w:sz="6" w:space="0"/>
              <w:left w:val="single" w:color="auto" w:sz="6" w:space="0"/>
              <w:bottom w:val="double" w:color="auto" w:sz="4" w:space="0"/>
              <w:right w:val="double" w:color="auto" w:sz="4" w:space="0"/>
            </w:tcBorders>
          </w:tcPr>
          <w:p>
            <w:pPr>
              <w:autoSpaceDE w:val="0"/>
              <w:autoSpaceDN w:val="0"/>
              <w:adjustRightInd w:val="0"/>
              <w:spacing w:line="400" w:lineRule="exact"/>
              <w:rPr>
                <w:rFonts w:ascii="宋体" w:hAnsi="宋体"/>
                <w:sz w:val="20"/>
                <w:szCs w:val="20"/>
              </w:rPr>
            </w:pPr>
          </w:p>
        </w:tc>
      </w:tr>
    </w:tbl>
    <w:p>
      <w:pPr>
        <w:pStyle w:val="26"/>
        <w:spacing w:line="360" w:lineRule="auto"/>
        <w:ind w:firstLine="247" w:firstLineChars="103"/>
        <w:rPr>
          <w:rFonts w:ascii="宋体" w:hAnsi="宋体"/>
          <w:bCs/>
          <w:sz w:val="24"/>
          <w:szCs w:val="24"/>
        </w:rPr>
      </w:pPr>
      <w:r>
        <w:rPr>
          <w:rFonts w:hint="eastAsia" w:ascii="宋体" w:hAnsi="宋体"/>
          <w:bCs/>
          <w:sz w:val="24"/>
          <w:szCs w:val="24"/>
        </w:rPr>
        <w:t>供应商名称：</w:t>
      </w:r>
      <w:r>
        <w:rPr>
          <w:rFonts w:hint="eastAsia" w:ascii="宋体" w:hAnsi="宋体"/>
          <w:bCs/>
          <w:sz w:val="24"/>
          <w:szCs w:val="24"/>
          <w:u w:val="single"/>
        </w:rPr>
        <w:t xml:space="preserve"> XXXXXX</w:t>
      </w:r>
    </w:p>
    <w:p>
      <w:pPr>
        <w:pStyle w:val="26"/>
        <w:spacing w:line="360" w:lineRule="auto"/>
        <w:ind w:firstLine="247" w:firstLineChars="103"/>
        <w:rPr>
          <w:rFonts w:ascii="宋体" w:hAnsi="宋体"/>
          <w:bCs/>
          <w:sz w:val="24"/>
          <w:szCs w:val="24"/>
        </w:rPr>
      </w:pPr>
      <w:r>
        <w:rPr>
          <w:rFonts w:hint="eastAsia" w:ascii="宋体" w:hAnsi="宋体"/>
          <w:sz w:val="24"/>
          <w:szCs w:val="21"/>
        </w:rPr>
        <w:t>日期：202</w:t>
      </w:r>
      <w:r>
        <w:rPr>
          <w:rFonts w:hint="eastAsia" w:ascii="宋体" w:hAnsi="宋体"/>
          <w:bCs/>
          <w:sz w:val="24"/>
          <w:szCs w:val="21"/>
          <w:u w:val="single"/>
        </w:rPr>
        <w:t>X</w:t>
      </w:r>
      <w:r>
        <w:rPr>
          <w:rFonts w:hint="eastAsia" w:ascii="宋体" w:hAnsi="宋体"/>
          <w:bCs/>
          <w:sz w:val="24"/>
          <w:szCs w:val="21"/>
        </w:rPr>
        <w:t>年</w:t>
      </w:r>
      <w:r>
        <w:rPr>
          <w:rFonts w:hint="eastAsia" w:ascii="宋体" w:hAnsi="宋体"/>
          <w:bCs/>
          <w:sz w:val="24"/>
          <w:szCs w:val="21"/>
          <w:u w:val="single"/>
        </w:rPr>
        <w:t>XX</w:t>
      </w:r>
      <w:r>
        <w:rPr>
          <w:rFonts w:hint="eastAsia" w:ascii="宋体" w:hAnsi="宋体"/>
          <w:bCs/>
          <w:sz w:val="24"/>
          <w:szCs w:val="21"/>
        </w:rPr>
        <w:t>月</w:t>
      </w:r>
      <w:r>
        <w:rPr>
          <w:rFonts w:hint="eastAsia" w:ascii="宋体" w:hAnsi="宋体"/>
          <w:bCs/>
          <w:sz w:val="24"/>
          <w:szCs w:val="21"/>
          <w:u w:val="single"/>
        </w:rPr>
        <w:t>XX</w:t>
      </w:r>
      <w:r>
        <w:rPr>
          <w:rFonts w:hint="eastAsia" w:ascii="宋体" w:hAnsi="宋体"/>
          <w:bCs/>
          <w:sz w:val="24"/>
          <w:szCs w:val="21"/>
        </w:rPr>
        <w:t>日</w:t>
      </w:r>
    </w:p>
    <w:p>
      <w:r>
        <w:br w:type="page"/>
      </w:r>
    </w:p>
    <w:p>
      <w:pPr>
        <w:pStyle w:val="3"/>
      </w:pPr>
    </w:p>
    <w:p>
      <w:pPr>
        <w:pStyle w:val="6"/>
        <w:tabs>
          <w:tab w:val="left" w:pos="709"/>
        </w:tabs>
        <w:ind w:left="709" w:hanging="709"/>
        <w:rPr>
          <w:bCs w:val="0"/>
          <w:color w:val="000000" w:themeColor="text1"/>
          <w:sz w:val="24"/>
          <w:szCs w:val="24"/>
          <w14:textFill>
            <w14:solidFill>
              <w14:schemeClr w14:val="tx1"/>
            </w14:solidFill>
          </w14:textFill>
        </w:rPr>
      </w:pPr>
      <w:r>
        <w:rPr>
          <w:rFonts w:hint="eastAsia"/>
          <w:bCs w:val="0"/>
          <w:color w:val="000000" w:themeColor="text1"/>
          <w:sz w:val="24"/>
          <w:szCs w:val="24"/>
          <w14:textFill>
            <w14:solidFill>
              <w14:schemeClr w14:val="tx1"/>
            </w14:solidFill>
          </w14:textFill>
        </w:rPr>
        <w:t>其他表格（如涉及）</w:t>
      </w:r>
    </w:p>
    <w:p>
      <w:pPr>
        <w:spacing w:line="360" w:lineRule="auto"/>
        <w:rPr>
          <w:rFonts w:ascii="宋体" w:hAnsi="宋体"/>
          <w:b/>
          <w:sz w:val="24"/>
          <w:szCs w:val="24"/>
          <w:u w:val="single"/>
        </w:rPr>
      </w:pPr>
      <w:r>
        <w:rPr>
          <w:rFonts w:hint="eastAsia" w:ascii="宋体" w:hAnsi="宋体"/>
          <w:b/>
          <w:sz w:val="24"/>
          <w:szCs w:val="24"/>
        </w:rPr>
        <w:t>项</w:t>
      </w:r>
      <w:r>
        <w:rPr>
          <w:rFonts w:hint="eastAsia" w:ascii="宋体" w:hAnsi="宋体"/>
          <w:b/>
          <w:spacing w:val="-20"/>
          <w:sz w:val="24"/>
          <w:szCs w:val="24"/>
        </w:rPr>
        <w:t>目名称：</w:t>
      </w:r>
      <w:r>
        <w:rPr>
          <w:rFonts w:hint="eastAsia" w:ascii="宋体" w:hAnsi="宋体"/>
          <w:b/>
          <w:sz w:val="24"/>
          <w:szCs w:val="24"/>
          <w:u w:val="single"/>
        </w:rPr>
        <w:t>XX</w:t>
      </w:r>
    </w:p>
    <w:p>
      <w:pPr>
        <w:spacing w:line="360" w:lineRule="auto"/>
        <w:rPr>
          <w:rFonts w:ascii="宋体" w:hAnsi="宋体"/>
          <w:b/>
          <w:sz w:val="24"/>
          <w:szCs w:val="24"/>
          <w:u w:val="single"/>
        </w:rPr>
      </w:pPr>
      <w:r>
        <w:rPr>
          <w:rFonts w:hint="eastAsia" w:ascii="宋体" w:hAnsi="宋体"/>
          <w:b/>
          <w:sz w:val="24"/>
          <w:szCs w:val="24"/>
        </w:rPr>
        <w:t>项目编号：武侯政采（202</w:t>
      </w:r>
      <w:r>
        <w:rPr>
          <w:rFonts w:hint="eastAsia" w:ascii="宋体" w:hAnsi="宋体"/>
          <w:b/>
          <w:sz w:val="24"/>
          <w:szCs w:val="24"/>
          <w:lang w:val="en-US" w:eastAsia="zh-CN"/>
        </w:rPr>
        <w:t>x</w:t>
      </w:r>
      <w:r>
        <w:rPr>
          <w:rFonts w:hint="eastAsia" w:ascii="宋体" w:hAnsi="宋体"/>
          <w:b/>
          <w:sz w:val="24"/>
          <w:szCs w:val="24"/>
        </w:rPr>
        <w:t>）A</w:t>
      </w:r>
      <w:r>
        <w:rPr>
          <w:rFonts w:hint="eastAsia" w:ascii="宋体" w:hAnsi="宋体"/>
          <w:b/>
          <w:sz w:val="24"/>
          <w:szCs w:val="24"/>
          <w:lang w:val="en-US" w:eastAsia="zh-CN"/>
        </w:rPr>
        <w:t>xxxx</w:t>
      </w:r>
    </w:p>
    <w:tbl>
      <w:tblPr>
        <w:tblStyle w:val="41"/>
        <w:tblW w:w="9449" w:type="dxa"/>
        <w:tblInd w:w="-574" w:type="dxa"/>
        <w:tblLayout w:type="fixed"/>
        <w:tblCellMar>
          <w:top w:w="0" w:type="dxa"/>
          <w:left w:w="108" w:type="dxa"/>
          <w:bottom w:w="0" w:type="dxa"/>
          <w:right w:w="108" w:type="dxa"/>
        </w:tblCellMar>
      </w:tblPr>
      <w:tblGrid>
        <w:gridCol w:w="841"/>
        <w:gridCol w:w="841"/>
        <w:gridCol w:w="1392"/>
        <w:gridCol w:w="1160"/>
        <w:gridCol w:w="1417"/>
        <w:gridCol w:w="1276"/>
        <w:gridCol w:w="1559"/>
        <w:gridCol w:w="963"/>
      </w:tblGrid>
      <w:tr>
        <w:tblPrEx>
          <w:tblCellMar>
            <w:top w:w="0" w:type="dxa"/>
            <w:left w:w="108" w:type="dxa"/>
            <w:bottom w:w="0" w:type="dxa"/>
            <w:right w:w="108" w:type="dxa"/>
          </w:tblCellMar>
        </w:tblPrEx>
        <w:trPr>
          <w:trHeight w:val="1140" w:hRule="atLeast"/>
        </w:trPr>
        <w:tc>
          <w:tcPr>
            <w:tcW w:w="841" w:type="dxa"/>
            <w:tcBorders>
              <w:top w:val="single" w:color="auto" w:sz="8" w:space="0"/>
              <w:left w:val="single" w:color="auto" w:sz="8" w:space="0"/>
              <w:bottom w:val="single" w:color="auto" w:sz="8" w:space="0"/>
              <w:right w:val="single" w:color="auto" w:sz="8" w:space="0"/>
            </w:tcBorders>
          </w:tcPr>
          <w:p>
            <w:pPr>
              <w:spacing w:line="400" w:lineRule="exact"/>
              <w:jc w:val="center"/>
              <w:rPr>
                <w:rFonts w:ascii="宋体" w:hAnsi="宋体"/>
                <w:b/>
                <w:sz w:val="20"/>
                <w:szCs w:val="21"/>
              </w:rPr>
            </w:pPr>
          </w:p>
          <w:p>
            <w:pPr>
              <w:spacing w:line="400" w:lineRule="exact"/>
              <w:jc w:val="center"/>
              <w:rPr>
                <w:rFonts w:ascii="宋体" w:hAnsi="宋体"/>
                <w:b/>
                <w:sz w:val="20"/>
                <w:szCs w:val="21"/>
              </w:rPr>
            </w:pPr>
            <w:r>
              <w:rPr>
                <w:rFonts w:hint="eastAsia" w:ascii="宋体" w:hAnsi="宋体"/>
                <w:b/>
                <w:sz w:val="20"/>
                <w:szCs w:val="21"/>
              </w:rPr>
              <w:t>序号</w:t>
            </w:r>
          </w:p>
        </w:tc>
        <w:tc>
          <w:tcPr>
            <w:tcW w:w="841"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00" w:lineRule="exact"/>
              <w:jc w:val="center"/>
              <w:rPr>
                <w:rFonts w:ascii="宋体" w:hAnsi="宋体"/>
                <w:b/>
                <w:sz w:val="20"/>
                <w:szCs w:val="21"/>
              </w:rPr>
            </w:pPr>
          </w:p>
        </w:tc>
        <w:tc>
          <w:tcPr>
            <w:tcW w:w="1392" w:type="dxa"/>
            <w:tcBorders>
              <w:top w:val="single" w:color="auto" w:sz="8" w:space="0"/>
              <w:left w:val="nil"/>
              <w:bottom w:val="single" w:color="auto" w:sz="8" w:space="0"/>
              <w:right w:val="single" w:color="auto" w:sz="8" w:space="0"/>
            </w:tcBorders>
            <w:shd w:val="clear" w:color="auto" w:fill="auto"/>
            <w:vAlign w:val="center"/>
          </w:tcPr>
          <w:p>
            <w:pPr>
              <w:spacing w:line="400" w:lineRule="exact"/>
              <w:jc w:val="center"/>
              <w:rPr>
                <w:rFonts w:ascii="宋体" w:hAnsi="宋体"/>
                <w:b/>
                <w:sz w:val="20"/>
                <w:szCs w:val="21"/>
              </w:rPr>
            </w:pPr>
          </w:p>
        </w:tc>
        <w:tc>
          <w:tcPr>
            <w:tcW w:w="1160" w:type="dxa"/>
            <w:tcBorders>
              <w:top w:val="single" w:color="auto" w:sz="8" w:space="0"/>
              <w:left w:val="nil"/>
              <w:bottom w:val="single" w:color="auto" w:sz="8" w:space="0"/>
              <w:right w:val="single" w:color="auto" w:sz="8" w:space="0"/>
            </w:tcBorders>
            <w:shd w:val="clear" w:color="auto" w:fill="auto"/>
            <w:vAlign w:val="center"/>
          </w:tcPr>
          <w:p>
            <w:pPr>
              <w:spacing w:line="400" w:lineRule="exact"/>
              <w:jc w:val="center"/>
              <w:rPr>
                <w:rFonts w:ascii="宋体" w:hAnsi="宋体"/>
                <w:b/>
                <w:sz w:val="20"/>
                <w:szCs w:val="21"/>
              </w:rPr>
            </w:pPr>
          </w:p>
        </w:tc>
        <w:tc>
          <w:tcPr>
            <w:tcW w:w="1417" w:type="dxa"/>
            <w:tcBorders>
              <w:top w:val="single" w:color="auto" w:sz="8" w:space="0"/>
              <w:left w:val="nil"/>
              <w:bottom w:val="single" w:color="auto" w:sz="8" w:space="0"/>
              <w:right w:val="single" w:color="auto" w:sz="8" w:space="0"/>
            </w:tcBorders>
            <w:shd w:val="clear" w:color="auto" w:fill="auto"/>
            <w:vAlign w:val="center"/>
          </w:tcPr>
          <w:p>
            <w:pPr>
              <w:spacing w:line="400" w:lineRule="exact"/>
              <w:jc w:val="center"/>
              <w:rPr>
                <w:rFonts w:ascii="宋体" w:hAnsi="宋体"/>
                <w:b/>
                <w:sz w:val="20"/>
                <w:szCs w:val="21"/>
              </w:rPr>
            </w:pPr>
          </w:p>
        </w:tc>
        <w:tc>
          <w:tcPr>
            <w:tcW w:w="1276" w:type="dxa"/>
            <w:tcBorders>
              <w:top w:val="single" w:color="auto" w:sz="8" w:space="0"/>
              <w:left w:val="nil"/>
              <w:bottom w:val="single" w:color="auto" w:sz="8" w:space="0"/>
              <w:right w:val="single" w:color="auto" w:sz="8" w:space="0"/>
            </w:tcBorders>
            <w:shd w:val="clear" w:color="auto" w:fill="auto"/>
            <w:vAlign w:val="center"/>
          </w:tcPr>
          <w:p>
            <w:pPr>
              <w:spacing w:line="400" w:lineRule="exact"/>
              <w:jc w:val="center"/>
              <w:rPr>
                <w:rFonts w:ascii="宋体" w:hAnsi="宋体"/>
                <w:b/>
                <w:sz w:val="20"/>
                <w:szCs w:val="21"/>
              </w:rPr>
            </w:pPr>
          </w:p>
        </w:tc>
        <w:tc>
          <w:tcPr>
            <w:tcW w:w="1559" w:type="dxa"/>
            <w:tcBorders>
              <w:top w:val="single" w:color="auto" w:sz="8" w:space="0"/>
              <w:left w:val="nil"/>
              <w:bottom w:val="single" w:color="auto" w:sz="8" w:space="0"/>
              <w:right w:val="single" w:color="auto" w:sz="8" w:space="0"/>
            </w:tcBorders>
            <w:shd w:val="clear" w:color="auto" w:fill="auto"/>
            <w:vAlign w:val="center"/>
          </w:tcPr>
          <w:p>
            <w:pPr>
              <w:spacing w:line="400" w:lineRule="exact"/>
              <w:jc w:val="center"/>
              <w:rPr>
                <w:rFonts w:ascii="宋体" w:hAnsi="宋体"/>
                <w:b/>
                <w:sz w:val="20"/>
                <w:szCs w:val="21"/>
              </w:rPr>
            </w:pPr>
          </w:p>
        </w:tc>
        <w:tc>
          <w:tcPr>
            <w:tcW w:w="963" w:type="dxa"/>
            <w:tcBorders>
              <w:top w:val="single" w:color="auto" w:sz="8" w:space="0"/>
              <w:left w:val="nil"/>
              <w:bottom w:val="single" w:color="auto" w:sz="8" w:space="0"/>
              <w:right w:val="single" w:color="auto" w:sz="8" w:space="0"/>
            </w:tcBorders>
            <w:shd w:val="clear" w:color="auto" w:fill="auto"/>
            <w:vAlign w:val="center"/>
          </w:tcPr>
          <w:p>
            <w:pPr>
              <w:spacing w:line="400" w:lineRule="exact"/>
              <w:jc w:val="center"/>
              <w:rPr>
                <w:rFonts w:ascii="宋体" w:hAnsi="宋体"/>
                <w:b/>
                <w:sz w:val="20"/>
                <w:szCs w:val="21"/>
              </w:rPr>
            </w:pPr>
          </w:p>
        </w:tc>
      </w:tr>
      <w:tr>
        <w:tblPrEx>
          <w:tblCellMar>
            <w:top w:w="0" w:type="dxa"/>
            <w:left w:w="108" w:type="dxa"/>
            <w:bottom w:w="0" w:type="dxa"/>
            <w:right w:w="108" w:type="dxa"/>
          </w:tblCellMar>
        </w:tblPrEx>
        <w:trPr>
          <w:trHeight w:val="698" w:hRule="atLeast"/>
        </w:trPr>
        <w:tc>
          <w:tcPr>
            <w:tcW w:w="841" w:type="dxa"/>
            <w:tcBorders>
              <w:top w:val="nil"/>
              <w:left w:val="single" w:color="auto" w:sz="8" w:space="0"/>
              <w:bottom w:val="single" w:color="auto" w:sz="8" w:space="0"/>
              <w:right w:val="single" w:color="auto" w:sz="8" w:space="0"/>
            </w:tcBorders>
          </w:tcPr>
          <w:p>
            <w:pPr>
              <w:rPr>
                <w:rFonts w:ascii="宋体" w:hAnsi="宋体" w:cs="宋体"/>
                <w:sz w:val="24"/>
                <w:szCs w:val="24"/>
              </w:rPr>
            </w:pPr>
          </w:p>
        </w:tc>
        <w:tc>
          <w:tcPr>
            <w:tcW w:w="841"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392"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p>
        </w:tc>
        <w:tc>
          <w:tcPr>
            <w:tcW w:w="1160"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417"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276"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559"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963"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r>
      <w:tr>
        <w:tblPrEx>
          <w:tblCellMar>
            <w:top w:w="0" w:type="dxa"/>
            <w:left w:w="108" w:type="dxa"/>
            <w:bottom w:w="0" w:type="dxa"/>
            <w:right w:w="108" w:type="dxa"/>
          </w:tblCellMar>
        </w:tblPrEx>
        <w:trPr>
          <w:trHeight w:val="698" w:hRule="atLeast"/>
        </w:trPr>
        <w:tc>
          <w:tcPr>
            <w:tcW w:w="841" w:type="dxa"/>
            <w:tcBorders>
              <w:top w:val="nil"/>
              <w:left w:val="single" w:color="auto" w:sz="8" w:space="0"/>
              <w:bottom w:val="single" w:color="auto" w:sz="8" w:space="0"/>
              <w:right w:val="single" w:color="auto" w:sz="8" w:space="0"/>
            </w:tcBorders>
          </w:tcPr>
          <w:p>
            <w:pPr>
              <w:rPr>
                <w:rFonts w:ascii="宋体" w:hAnsi="宋体" w:cs="宋体"/>
                <w:sz w:val="24"/>
                <w:szCs w:val="24"/>
              </w:rPr>
            </w:pPr>
          </w:p>
        </w:tc>
        <w:tc>
          <w:tcPr>
            <w:tcW w:w="841"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392"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p>
        </w:tc>
        <w:tc>
          <w:tcPr>
            <w:tcW w:w="1160"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417"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276"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559"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963"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r>
      <w:tr>
        <w:tblPrEx>
          <w:tblCellMar>
            <w:top w:w="0" w:type="dxa"/>
            <w:left w:w="108" w:type="dxa"/>
            <w:bottom w:w="0" w:type="dxa"/>
            <w:right w:w="108" w:type="dxa"/>
          </w:tblCellMar>
        </w:tblPrEx>
        <w:trPr>
          <w:trHeight w:val="698" w:hRule="atLeast"/>
        </w:trPr>
        <w:tc>
          <w:tcPr>
            <w:tcW w:w="841" w:type="dxa"/>
            <w:tcBorders>
              <w:top w:val="nil"/>
              <w:left w:val="single" w:color="auto" w:sz="8" w:space="0"/>
              <w:bottom w:val="single" w:color="auto" w:sz="8" w:space="0"/>
              <w:right w:val="single" w:color="auto" w:sz="8" w:space="0"/>
            </w:tcBorders>
          </w:tcPr>
          <w:p>
            <w:pPr>
              <w:rPr>
                <w:rFonts w:ascii="宋体" w:hAnsi="宋体" w:cs="宋体"/>
                <w:sz w:val="24"/>
                <w:szCs w:val="24"/>
              </w:rPr>
            </w:pPr>
          </w:p>
        </w:tc>
        <w:tc>
          <w:tcPr>
            <w:tcW w:w="841"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392"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p>
        </w:tc>
        <w:tc>
          <w:tcPr>
            <w:tcW w:w="1160"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417"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276"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559"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963"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r>
      <w:tr>
        <w:tblPrEx>
          <w:tblCellMar>
            <w:top w:w="0" w:type="dxa"/>
            <w:left w:w="108" w:type="dxa"/>
            <w:bottom w:w="0" w:type="dxa"/>
            <w:right w:w="108" w:type="dxa"/>
          </w:tblCellMar>
        </w:tblPrEx>
        <w:trPr>
          <w:trHeight w:val="698" w:hRule="atLeast"/>
        </w:trPr>
        <w:tc>
          <w:tcPr>
            <w:tcW w:w="841" w:type="dxa"/>
            <w:tcBorders>
              <w:top w:val="nil"/>
              <w:left w:val="single" w:color="auto" w:sz="8" w:space="0"/>
              <w:bottom w:val="single" w:color="auto" w:sz="8" w:space="0"/>
              <w:right w:val="single" w:color="auto" w:sz="8" w:space="0"/>
            </w:tcBorders>
          </w:tcPr>
          <w:p>
            <w:pPr>
              <w:rPr>
                <w:rFonts w:ascii="宋体" w:hAnsi="宋体" w:cs="宋体"/>
                <w:sz w:val="24"/>
                <w:szCs w:val="24"/>
              </w:rPr>
            </w:pPr>
          </w:p>
        </w:tc>
        <w:tc>
          <w:tcPr>
            <w:tcW w:w="841"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392"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p>
        </w:tc>
        <w:tc>
          <w:tcPr>
            <w:tcW w:w="1160"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417"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276"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559"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963"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r>
    </w:tbl>
    <w:p>
      <w:pPr>
        <w:spacing w:line="360" w:lineRule="auto"/>
        <w:rPr>
          <w:sz w:val="20"/>
          <w:szCs w:val="21"/>
        </w:rPr>
      </w:pPr>
    </w:p>
    <w:p>
      <w:pPr>
        <w:spacing w:line="360" w:lineRule="auto"/>
        <w:rPr>
          <w:sz w:val="20"/>
          <w:szCs w:val="21"/>
        </w:rPr>
      </w:pPr>
    </w:p>
    <w:p>
      <w:pPr>
        <w:pStyle w:val="26"/>
        <w:spacing w:line="360" w:lineRule="auto"/>
        <w:rPr>
          <w:rFonts w:ascii="宋体" w:hAnsi="宋体"/>
          <w:bCs/>
          <w:sz w:val="24"/>
          <w:szCs w:val="24"/>
        </w:rPr>
      </w:pPr>
      <w:r>
        <w:rPr>
          <w:rFonts w:hint="eastAsia" w:ascii="宋体" w:hAnsi="宋体"/>
          <w:bCs/>
          <w:sz w:val="24"/>
          <w:szCs w:val="24"/>
        </w:rPr>
        <w:t>供应商名称：</w:t>
      </w:r>
      <w:r>
        <w:rPr>
          <w:rFonts w:hint="eastAsia" w:ascii="宋体" w:hAnsi="宋体"/>
          <w:bCs/>
          <w:sz w:val="24"/>
          <w:szCs w:val="24"/>
          <w:u w:val="single"/>
        </w:rPr>
        <w:t xml:space="preserve"> XXXXXX</w:t>
      </w:r>
    </w:p>
    <w:p>
      <w:pPr>
        <w:adjustRightInd w:val="0"/>
        <w:spacing w:line="400" w:lineRule="exact"/>
        <w:ind w:firstLine="240" w:firstLineChars="100"/>
        <w:rPr>
          <w:rFonts w:ascii="宋体" w:hAnsi="宋体"/>
          <w:bCs/>
          <w:sz w:val="24"/>
          <w:szCs w:val="24"/>
        </w:rPr>
      </w:pPr>
      <w:r>
        <w:rPr>
          <w:rFonts w:ascii="宋体" w:hAnsi="宋体"/>
          <w:sz w:val="24"/>
          <w:szCs w:val="21"/>
        </w:rPr>
        <w:t>日期：</w:t>
      </w:r>
      <w:r>
        <w:rPr>
          <w:rFonts w:hint="eastAsia" w:ascii="宋体" w:hAnsi="宋体"/>
          <w:sz w:val="24"/>
          <w:szCs w:val="21"/>
        </w:rPr>
        <w:t>202</w:t>
      </w:r>
      <w:r>
        <w:rPr>
          <w:rFonts w:ascii="宋体" w:hAnsi="宋体"/>
          <w:bCs/>
          <w:sz w:val="24"/>
          <w:szCs w:val="21"/>
          <w:u w:val="single"/>
        </w:rPr>
        <w:t>X</w:t>
      </w:r>
      <w:r>
        <w:rPr>
          <w:rFonts w:hint="eastAsia" w:ascii="宋体" w:hAnsi="宋体"/>
          <w:bCs/>
          <w:sz w:val="24"/>
          <w:szCs w:val="21"/>
        </w:rPr>
        <w:t>年XX月XX日</w:t>
      </w:r>
    </w:p>
    <w:p>
      <w:pPr>
        <w:spacing w:line="360" w:lineRule="auto"/>
        <w:rPr>
          <w:sz w:val="20"/>
          <w:szCs w:val="21"/>
        </w:rPr>
      </w:pPr>
    </w:p>
    <w:p>
      <w:pPr>
        <w:spacing w:line="360" w:lineRule="auto"/>
        <w:rPr>
          <w:sz w:val="20"/>
          <w:szCs w:val="21"/>
          <w:lang w:val="zh-CN"/>
        </w:rPr>
      </w:pPr>
      <w:r>
        <w:rPr>
          <w:rFonts w:hint="eastAsia" w:ascii="宋体" w:hAnsi="宋体"/>
          <w:b/>
          <w:sz w:val="24"/>
          <w:szCs w:val="24"/>
          <w:lang w:val="zh-CN"/>
        </w:rPr>
        <w:t>说明</w:t>
      </w:r>
      <w:r>
        <w:rPr>
          <w:rFonts w:ascii="宋体" w:hAnsi="宋体"/>
          <w:b/>
          <w:sz w:val="24"/>
          <w:szCs w:val="24"/>
          <w:lang w:val="zh-CN"/>
        </w:rPr>
        <w:t>：</w:t>
      </w:r>
    </w:p>
    <w:p>
      <w:pPr>
        <w:pStyle w:val="199"/>
        <w:ind w:firstLine="0"/>
        <w:rPr>
          <w:sz w:val="22"/>
          <w:szCs w:val="22"/>
        </w:rPr>
      </w:pPr>
      <w:r>
        <w:rPr>
          <w:b/>
          <w:sz w:val="24"/>
          <w:szCs w:val="22"/>
        </w:rPr>
        <w:t>1</w:t>
      </w:r>
      <w:r>
        <w:rPr>
          <w:rFonts w:hint="eastAsia"/>
          <w:b/>
          <w:sz w:val="24"/>
          <w:szCs w:val="22"/>
        </w:rPr>
        <w:t>、以上表格格式行数可自行增减。</w:t>
      </w:r>
    </w:p>
    <w:p>
      <w:pPr>
        <w:pStyle w:val="199"/>
        <w:ind w:firstLine="0"/>
        <w:rPr>
          <w:rFonts w:ascii="宋体" w:hAnsi="宋体"/>
          <w:b/>
          <w:sz w:val="24"/>
          <w:szCs w:val="22"/>
        </w:rPr>
      </w:pPr>
      <w:r>
        <w:rPr>
          <w:b/>
          <w:sz w:val="24"/>
          <w:szCs w:val="22"/>
        </w:rPr>
        <w:t>2</w:t>
      </w:r>
      <w:r>
        <w:rPr>
          <w:rFonts w:hint="eastAsia"/>
          <w:b/>
          <w:sz w:val="24"/>
          <w:szCs w:val="22"/>
        </w:rPr>
        <w:t>、未提供服务团队人员业绩一览表的，不予</w:t>
      </w:r>
      <w:r>
        <w:rPr>
          <w:b/>
          <w:sz w:val="24"/>
          <w:szCs w:val="22"/>
        </w:rPr>
        <w:t>加分</w:t>
      </w:r>
      <w:r>
        <w:rPr>
          <w:rFonts w:hint="eastAsia"/>
          <w:b/>
          <w:sz w:val="24"/>
          <w:szCs w:val="22"/>
        </w:rPr>
        <w:t>，但不影响供应商响应文件的有效性。</w:t>
      </w:r>
    </w:p>
    <w:p>
      <w:pPr>
        <w:pStyle w:val="4"/>
        <w:widowControl/>
        <w:numPr>
          <w:ilvl w:val="0"/>
          <w:numId w:val="5"/>
        </w:numPr>
        <w:spacing w:line="360" w:lineRule="auto"/>
        <w:ind w:left="0" w:firstLine="0"/>
        <w:rPr>
          <w:color w:val="FF0000"/>
          <w:sz w:val="28"/>
          <w:szCs w:val="28"/>
        </w:rPr>
        <w:sectPr>
          <w:footerReference r:id="rId4" w:type="default"/>
          <w:pgSz w:w="11906" w:h="16838"/>
          <w:pgMar w:top="1440" w:right="1800" w:bottom="1440" w:left="1800" w:header="851" w:footer="992" w:gutter="0"/>
          <w:cols w:space="425" w:num="1"/>
          <w:docGrid w:type="lines" w:linePitch="312" w:charSpace="0"/>
        </w:sectPr>
      </w:pPr>
      <w:bookmarkStart w:id="84" w:name="_Toc58943339"/>
    </w:p>
    <w:p>
      <w:pPr>
        <w:pStyle w:val="4"/>
        <w:widowControl/>
        <w:numPr>
          <w:ilvl w:val="0"/>
          <w:numId w:val="5"/>
        </w:numPr>
        <w:spacing w:line="360" w:lineRule="auto"/>
        <w:ind w:left="0" w:firstLine="0"/>
        <w:rPr>
          <w:color w:val="000000" w:themeColor="text1"/>
          <w:sz w:val="28"/>
          <w:szCs w:val="28"/>
          <w14:textFill>
            <w14:solidFill>
              <w14:schemeClr w14:val="tx1"/>
            </w14:solidFill>
          </w14:textFill>
        </w:rPr>
      </w:pPr>
      <w:bookmarkStart w:id="85" w:name="_Toc79742133"/>
      <w:r>
        <w:rPr>
          <w:rFonts w:hint="eastAsia"/>
          <w:color w:val="000000" w:themeColor="text1"/>
          <w:sz w:val="28"/>
          <w:szCs w:val="28"/>
          <w14:textFill>
            <w14:solidFill>
              <w14:schemeClr w14:val="tx1"/>
            </w14:solidFill>
          </w14:textFill>
        </w:rPr>
        <w:t>技术、商务、服务及其他要求</w:t>
      </w:r>
      <w:bookmarkEnd w:id="84"/>
      <w:bookmarkEnd w:id="85"/>
    </w:p>
    <w:p>
      <w:pPr>
        <w:bidi w:val="0"/>
        <w:rPr>
          <w:b/>
          <w:bCs/>
        </w:rPr>
      </w:pPr>
      <w:r>
        <w:rPr>
          <w:rFonts w:hint="eastAsia"/>
          <w:b/>
          <w:bCs/>
          <w:lang w:eastAsia="zh-CN"/>
        </w:rPr>
        <w:t>供应商</w:t>
      </w:r>
      <w:r>
        <w:rPr>
          <w:rFonts w:hint="eastAsia"/>
          <w:b/>
          <w:bCs/>
        </w:rPr>
        <w:t>资格、资质性及其他类似效力要求</w:t>
      </w:r>
    </w:p>
    <w:p>
      <w:pPr>
        <w:pStyle w:val="150"/>
        <w:spacing w:line="420" w:lineRule="exact"/>
        <w:ind w:firstLine="0" w:firstLineChars="0"/>
        <w:rPr>
          <w:rFonts w:ascii="仿宋" w:hAnsi="仿宋" w:eastAsia="仿宋"/>
          <w:b/>
          <w:bCs/>
          <w:sz w:val="24"/>
        </w:rPr>
      </w:pPr>
      <w:r>
        <w:rPr>
          <w:rFonts w:ascii="仿宋" w:hAnsi="仿宋" w:eastAsia="仿宋"/>
          <w:b/>
          <w:bCs/>
          <w:sz w:val="24"/>
        </w:rPr>
        <w:t>（一）</w:t>
      </w:r>
      <w:r>
        <w:rPr>
          <w:rFonts w:hint="eastAsia" w:ascii="仿宋" w:hAnsi="仿宋" w:eastAsia="仿宋"/>
          <w:b/>
          <w:bCs/>
          <w:sz w:val="24"/>
        </w:rPr>
        <w:t>资格要求：</w:t>
      </w:r>
    </w:p>
    <w:p>
      <w:pPr>
        <w:pStyle w:val="150"/>
        <w:spacing w:line="420" w:lineRule="exact"/>
        <w:ind w:firstLine="480"/>
        <w:rPr>
          <w:rFonts w:ascii="仿宋" w:hAnsi="仿宋" w:eastAsia="仿宋"/>
          <w:sz w:val="24"/>
        </w:rPr>
      </w:pPr>
      <w:r>
        <w:rPr>
          <w:rFonts w:hint="eastAsia" w:ascii="仿宋" w:hAnsi="仿宋" w:eastAsia="仿宋"/>
          <w:sz w:val="24"/>
        </w:rPr>
        <w:t>1、</w:t>
      </w:r>
      <w:r>
        <w:rPr>
          <w:rFonts w:hint="eastAsia" w:ascii="仿宋" w:hAnsi="仿宋" w:eastAsia="仿宋" w:cs="宋体"/>
          <w:sz w:val="24"/>
        </w:rPr>
        <w:t>满足《中华人民共和国政府采购法》第二十二条规定</w:t>
      </w:r>
      <w:r>
        <w:rPr>
          <w:rFonts w:ascii="仿宋" w:hAnsi="仿宋" w:eastAsia="仿宋" w:cs="宋体"/>
          <w:sz w:val="24"/>
        </w:rPr>
        <w:t>；</w:t>
      </w:r>
    </w:p>
    <w:p>
      <w:pPr>
        <w:pStyle w:val="17"/>
        <w:ind w:left="0" w:leftChars="0" w:firstLine="499" w:firstLineChars="208"/>
        <w:rPr>
          <w:rFonts w:hint="eastAsia" w:eastAsia="宋体"/>
          <w:lang w:eastAsia="zh-CN"/>
        </w:rPr>
      </w:pPr>
      <w:r>
        <w:rPr>
          <w:rFonts w:hint="eastAsia" w:ascii="仿宋" w:hAnsi="仿宋" w:eastAsia="仿宋"/>
          <w:sz w:val="24"/>
        </w:rPr>
        <w:t>2、</w:t>
      </w:r>
      <w:r>
        <w:rPr>
          <w:rFonts w:hint="eastAsia" w:ascii="仿宋" w:hAnsi="仿宋" w:eastAsia="仿宋" w:cs="宋体"/>
          <w:sz w:val="24"/>
        </w:rPr>
        <w:t>落实政府采购政策需满足的资格要求：</w:t>
      </w:r>
      <w:r>
        <w:rPr>
          <w:rFonts w:hint="eastAsia"/>
          <w:lang w:eastAsia="zh-CN"/>
        </w:rPr>
        <w:t>本项目专门面向中小企业采购</w:t>
      </w:r>
    </w:p>
    <w:p>
      <w:pPr>
        <w:tabs>
          <w:tab w:val="left" w:pos="7665"/>
        </w:tabs>
        <w:spacing w:line="400" w:lineRule="exact"/>
        <w:ind w:firstLine="480" w:firstLineChars="200"/>
        <w:rPr>
          <w:rFonts w:ascii="仿宋" w:hAnsi="仿宋" w:eastAsia="仿宋" w:cs="宋体"/>
          <w:sz w:val="24"/>
        </w:rPr>
      </w:pPr>
      <w:r>
        <w:rPr>
          <w:rFonts w:ascii="仿宋" w:hAnsi="仿宋" w:eastAsia="仿宋"/>
          <w:sz w:val="24"/>
        </w:rPr>
        <w:t>3</w:t>
      </w:r>
      <w:r>
        <w:rPr>
          <w:rFonts w:hint="eastAsia" w:ascii="仿宋" w:hAnsi="仿宋" w:eastAsia="仿宋"/>
          <w:sz w:val="24"/>
        </w:rPr>
        <w:t>、</w:t>
      </w:r>
      <w:r>
        <w:rPr>
          <w:rFonts w:hint="eastAsia" w:ascii="仿宋" w:hAnsi="仿宋" w:eastAsia="仿宋" w:cs="宋体"/>
          <w:sz w:val="24"/>
        </w:rPr>
        <w:t>本项目的特定资格要求：无。</w:t>
      </w:r>
    </w:p>
    <w:p>
      <w:pPr>
        <w:pStyle w:val="150"/>
        <w:spacing w:line="420" w:lineRule="exact"/>
        <w:ind w:firstLine="0" w:firstLineChars="0"/>
        <w:rPr>
          <w:rFonts w:ascii="仿宋" w:hAnsi="仿宋" w:eastAsia="仿宋"/>
          <w:b/>
          <w:bCs/>
          <w:sz w:val="24"/>
        </w:rPr>
      </w:pPr>
      <w:r>
        <w:rPr>
          <w:rFonts w:hint="eastAsia" w:ascii="仿宋" w:hAnsi="仿宋" w:eastAsia="仿宋"/>
          <w:b/>
          <w:bCs/>
          <w:sz w:val="24"/>
        </w:rPr>
        <w:t>（二）资质性要求：无</w:t>
      </w:r>
    </w:p>
    <w:p>
      <w:pPr>
        <w:pStyle w:val="150"/>
        <w:spacing w:line="420" w:lineRule="exact"/>
        <w:ind w:firstLine="0" w:firstLineChars="0"/>
        <w:rPr>
          <w:rFonts w:hint="eastAsia" w:ascii="仿宋" w:hAnsi="仿宋" w:eastAsia="仿宋"/>
          <w:b/>
          <w:sz w:val="24"/>
          <w:lang w:eastAsia="zh-CN"/>
        </w:rPr>
      </w:pPr>
      <w:r>
        <w:rPr>
          <w:rFonts w:hint="eastAsia" w:ascii="仿宋" w:hAnsi="仿宋" w:eastAsia="仿宋"/>
          <w:b/>
          <w:bCs/>
          <w:sz w:val="24"/>
        </w:rPr>
        <w:t>（三）其他类似效力要求：</w:t>
      </w:r>
      <w:r>
        <w:rPr>
          <w:rFonts w:hint="eastAsia" w:ascii="仿宋" w:hAnsi="仿宋" w:eastAsia="仿宋"/>
          <w:b w:val="0"/>
          <w:bCs w:val="0"/>
          <w:sz w:val="24"/>
          <w:szCs w:val="24"/>
          <w:lang w:eastAsia="zh-CN"/>
        </w:rPr>
        <w:t>无</w:t>
      </w:r>
    </w:p>
    <w:p>
      <w:pPr>
        <w:bidi w:val="0"/>
        <w:rPr>
          <w:rFonts w:ascii="仿宋" w:hAnsi="仿宋" w:eastAsia="仿宋"/>
          <w:sz w:val="24"/>
          <w:szCs w:val="24"/>
        </w:rPr>
      </w:pPr>
      <w:bookmarkStart w:id="86" w:name="_Toc217446094"/>
      <w:r>
        <w:rPr>
          <w:rFonts w:hint="eastAsia" w:ascii="仿宋" w:hAnsi="仿宋" w:eastAsia="仿宋"/>
          <w:b/>
          <w:bCs/>
          <w:sz w:val="24"/>
          <w:szCs w:val="24"/>
        </w:rPr>
        <w:t>前提：本章中标注“★”的条款为本项目的实质性条款，</w:t>
      </w:r>
      <w:r>
        <w:rPr>
          <w:rFonts w:hint="eastAsia" w:ascii="仿宋" w:hAnsi="仿宋" w:eastAsia="仿宋"/>
          <w:b/>
          <w:bCs/>
          <w:sz w:val="24"/>
          <w:szCs w:val="24"/>
          <w:lang w:eastAsia="zh-CN"/>
        </w:rPr>
        <w:t>供应商</w:t>
      </w:r>
      <w:r>
        <w:rPr>
          <w:rFonts w:hint="eastAsia" w:ascii="仿宋" w:hAnsi="仿宋" w:eastAsia="仿宋"/>
          <w:b/>
          <w:bCs/>
          <w:sz w:val="24"/>
          <w:szCs w:val="24"/>
        </w:rPr>
        <w:t>不满足的，将按照无效</w:t>
      </w:r>
      <w:r>
        <w:rPr>
          <w:rFonts w:hint="eastAsia" w:ascii="仿宋" w:hAnsi="仿宋" w:eastAsia="仿宋"/>
          <w:b/>
          <w:bCs/>
          <w:sz w:val="24"/>
          <w:szCs w:val="24"/>
          <w:lang w:eastAsia="zh-CN"/>
        </w:rPr>
        <w:t>响应</w:t>
      </w:r>
      <w:r>
        <w:rPr>
          <w:rFonts w:hint="eastAsia" w:ascii="仿宋" w:hAnsi="仿宋" w:eastAsia="仿宋"/>
          <w:b/>
          <w:bCs/>
          <w:sz w:val="24"/>
          <w:szCs w:val="24"/>
        </w:rPr>
        <w:t>处理</w:t>
      </w:r>
      <w:r>
        <w:rPr>
          <w:rFonts w:hint="eastAsia" w:ascii="仿宋" w:hAnsi="仿宋" w:eastAsia="仿宋"/>
          <w:sz w:val="24"/>
          <w:szCs w:val="24"/>
        </w:rPr>
        <w:t>。</w:t>
      </w:r>
    </w:p>
    <w:p>
      <w:pPr>
        <w:bidi w:val="0"/>
        <w:rPr>
          <w:rFonts w:hint="eastAsia" w:ascii="仿宋" w:hAnsi="仿宋" w:eastAsia="仿宋"/>
          <w:b/>
          <w:bCs/>
          <w:sz w:val="24"/>
          <w:szCs w:val="24"/>
        </w:rPr>
      </w:pPr>
      <w:r>
        <w:rPr>
          <w:rFonts w:hint="eastAsia" w:ascii="仿宋" w:hAnsi="仿宋" w:eastAsia="仿宋"/>
          <w:sz w:val="28"/>
          <w:szCs w:val="28"/>
        </w:rPr>
        <w:t>一、</w:t>
      </w:r>
      <w:r>
        <w:rPr>
          <w:rFonts w:hint="eastAsia"/>
          <w:b/>
          <w:bCs/>
          <w:sz w:val="28"/>
          <w:szCs w:val="32"/>
        </w:rPr>
        <w:t>项目概述</w:t>
      </w:r>
      <w:bookmarkEnd w:id="86"/>
    </w:p>
    <w:p>
      <w:pPr>
        <w:pStyle w:val="14"/>
        <w:spacing w:line="400" w:lineRule="exact"/>
        <w:ind w:firstLine="0" w:firstLineChars="0"/>
        <w:rPr>
          <w:rFonts w:ascii="仿宋" w:hAnsi="仿宋" w:eastAsia="仿宋"/>
          <w:bCs/>
          <w:sz w:val="24"/>
        </w:rPr>
      </w:pPr>
      <w:r>
        <w:rPr>
          <w:rFonts w:hint="eastAsia" w:ascii="仿宋" w:hAnsi="仿宋" w:eastAsia="仿宋"/>
          <w:bCs/>
          <w:sz w:val="24"/>
        </w:rPr>
        <w:t>【一】项目</w:t>
      </w:r>
      <w:r>
        <w:rPr>
          <w:rFonts w:ascii="仿宋" w:hAnsi="仿宋" w:eastAsia="仿宋"/>
          <w:bCs/>
          <w:sz w:val="24"/>
        </w:rPr>
        <w:t>概况</w:t>
      </w:r>
      <w:r>
        <w:rPr>
          <w:rFonts w:hint="eastAsia" w:ascii="仿宋" w:hAnsi="仿宋" w:eastAsia="仿宋"/>
          <w:bCs/>
          <w:sz w:val="24"/>
        </w:rPr>
        <w:t>：</w:t>
      </w:r>
    </w:p>
    <w:p>
      <w:pPr>
        <w:pStyle w:val="14"/>
        <w:spacing w:line="400" w:lineRule="exact"/>
        <w:ind w:firstLine="480"/>
        <w:rPr>
          <w:rFonts w:ascii="仿宋" w:hAnsi="仿宋" w:eastAsia="仿宋"/>
          <w:bCs/>
          <w:color w:val="FF0000"/>
          <w:sz w:val="24"/>
        </w:rPr>
      </w:pPr>
      <w:r>
        <w:rPr>
          <w:rFonts w:hint="eastAsia" w:ascii="仿宋" w:hAnsi="仿宋" w:eastAsia="仿宋"/>
          <w:bCs/>
          <w:sz w:val="24"/>
        </w:rPr>
        <w:t>为落实 《成都市儿童青少年近视综合防控工作行动方案》，根据《成都市教育局等三部门关于印发成都市中小学（幼儿园）光环境提升工程实施方案的通知》要求，做好学校光环境提升工程相关工作，现拟对校园灯光设备进行改造。包含各类教室21间，各类功能室（含阅览室）13间。</w:t>
      </w:r>
    </w:p>
    <w:p>
      <w:pPr>
        <w:pStyle w:val="14"/>
        <w:spacing w:line="400" w:lineRule="exact"/>
        <w:ind w:firstLine="199" w:firstLineChars="83"/>
        <w:rPr>
          <w:rFonts w:ascii="仿宋" w:hAnsi="仿宋" w:eastAsia="仿宋"/>
          <w:bCs/>
          <w:sz w:val="24"/>
        </w:rPr>
      </w:pPr>
      <w:r>
        <w:rPr>
          <w:rFonts w:hint="eastAsia" w:ascii="仿宋" w:hAnsi="仿宋" w:eastAsia="仿宋"/>
          <w:bCs/>
          <w:sz w:val="24"/>
        </w:rPr>
        <w:t>【二】采购清单</w:t>
      </w:r>
    </w:p>
    <w:tbl>
      <w:tblPr>
        <w:tblStyle w:val="41"/>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843"/>
        <w:gridCol w:w="1417"/>
        <w:gridCol w:w="2410"/>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6" w:type="dxa"/>
            <w:shd w:val="clear" w:color="auto" w:fill="auto"/>
            <w:vAlign w:val="center"/>
          </w:tcPr>
          <w:p>
            <w:pPr>
              <w:pStyle w:val="2"/>
              <w:jc w:val="center"/>
              <w:rPr>
                <w:rFonts w:ascii="仿宋" w:hAnsi="仿宋" w:eastAsia="仿宋" w:cs="宋体"/>
                <w:sz w:val="24"/>
              </w:rPr>
            </w:pPr>
            <w:r>
              <w:rPr>
                <w:rFonts w:hint="eastAsia" w:ascii="仿宋" w:hAnsi="仿宋" w:eastAsia="仿宋" w:cs="宋体"/>
                <w:sz w:val="24"/>
              </w:rPr>
              <w:t>序号</w:t>
            </w:r>
          </w:p>
        </w:tc>
        <w:tc>
          <w:tcPr>
            <w:tcW w:w="1843" w:type="dxa"/>
            <w:shd w:val="clear" w:color="auto" w:fill="auto"/>
            <w:vAlign w:val="center"/>
          </w:tcPr>
          <w:p>
            <w:pPr>
              <w:pStyle w:val="2"/>
              <w:jc w:val="center"/>
              <w:rPr>
                <w:rFonts w:ascii="仿宋" w:hAnsi="仿宋" w:eastAsia="仿宋" w:cs="宋体"/>
                <w:sz w:val="24"/>
              </w:rPr>
            </w:pPr>
            <w:r>
              <w:rPr>
                <w:rFonts w:hint="eastAsia" w:ascii="仿宋" w:hAnsi="仿宋" w:eastAsia="仿宋" w:cs="宋体"/>
                <w:sz w:val="24"/>
              </w:rPr>
              <w:t>标的名称</w:t>
            </w:r>
          </w:p>
        </w:tc>
        <w:tc>
          <w:tcPr>
            <w:tcW w:w="1417" w:type="dxa"/>
            <w:shd w:val="clear" w:color="auto" w:fill="auto"/>
            <w:vAlign w:val="center"/>
          </w:tcPr>
          <w:p>
            <w:pPr>
              <w:pStyle w:val="2"/>
              <w:jc w:val="center"/>
              <w:rPr>
                <w:rFonts w:ascii="仿宋" w:hAnsi="仿宋" w:eastAsia="仿宋" w:cs="宋体"/>
                <w:sz w:val="24"/>
              </w:rPr>
            </w:pPr>
            <w:r>
              <w:rPr>
                <w:rFonts w:hint="eastAsia" w:ascii="仿宋" w:hAnsi="仿宋" w:eastAsia="仿宋" w:cs="宋体"/>
                <w:sz w:val="24"/>
                <w:highlight w:val="yellow"/>
                <w:lang w:val="en-US" w:eastAsia="zh-CN"/>
              </w:rPr>
              <w:t>预估</w:t>
            </w:r>
            <w:r>
              <w:rPr>
                <w:rFonts w:hint="eastAsia" w:ascii="仿宋" w:hAnsi="仿宋" w:eastAsia="仿宋" w:cs="宋体"/>
                <w:sz w:val="24"/>
                <w:highlight w:val="yellow"/>
              </w:rPr>
              <w:t>数量</w:t>
            </w:r>
            <w:r>
              <w:rPr>
                <w:rFonts w:hint="eastAsia" w:ascii="仿宋" w:hAnsi="仿宋" w:eastAsia="仿宋" w:cs="宋体"/>
                <w:sz w:val="24"/>
              </w:rPr>
              <w:t>（套）</w:t>
            </w:r>
          </w:p>
        </w:tc>
        <w:tc>
          <w:tcPr>
            <w:tcW w:w="2410" w:type="dxa"/>
            <w:shd w:val="clear" w:color="auto" w:fill="auto"/>
            <w:vAlign w:val="center"/>
          </w:tcPr>
          <w:p>
            <w:pPr>
              <w:pStyle w:val="2"/>
              <w:jc w:val="center"/>
              <w:rPr>
                <w:rFonts w:ascii="仿宋" w:hAnsi="仿宋" w:eastAsia="仿宋" w:cs="宋体"/>
                <w:sz w:val="24"/>
              </w:rPr>
            </w:pPr>
            <w:r>
              <w:rPr>
                <w:rFonts w:hint="eastAsia" w:ascii="仿宋" w:hAnsi="仿宋" w:eastAsia="仿宋" w:cs="宋体"/>
                <w:sz w:val="24"/>
              </w:rPr>
              <w:t>单价最高限价（元）</w:t>
            </w:r>
          </w:p>
        </w:tc>
        <w:tc>
          <w:tcPr>
            <w:tcW w:w="1780" w:type="dxa"/>
            <w:vAlign w:val="center"/>
          </w:tcPr>
          <w:p>
            <w:pPr>
              <w:pStyle w:val="2"/>
              <w:jc w:val="center"/>
              <w:rPr>
                <w:rFonts w:ascii="仿宋" w:hAnsi="仿宋" w:eastAsia="仿宋" w:cs="宋体"/>
                <w:sz w:val="24"/>
              </w:rPr>
            </w:pPr>
            <w:r>
              <w:rPr>
                <w:rFonts w:hint="eastAsia" w:ascii="仿宋" w:hAnsi="仿宋" w:eastAsia="仿宋" w:cs="宋体"/>
                <w:sz w:val="24"/>
              </w:rPr>
              <w:t>标的所属行业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6" w:type="dxa"/>
            <w:shd w:val="clear" w:color="auto" w:fill="auto"/>
            <w:vAlign w:val="center"/>
          </w:tcPr>
          <w:p>
            <w:pPr>
              <w:pStyle w:val="2"/>
              <w:jc w:val="center"/>
              <w:rPr>
                <w:rFonts w:ascii="仿宋" w:hAnsi="仿宋" w:eastAsia="仿宋" w:cs="宋体"/>
                <w:sz w:val="24"/>
              </w:rPr>
            </w:pPr>
            <w:r>
              <w:rPr>
                <w:rFonts w:hint="eastAsia" w:ascii="仿宋" w:hAnsi="仿宋" w:eastAsia="仿宋" w:cs="宋体"/>
                <w:sz w:val="24"/>
              </w:rPr>
              <w:t>1</w:t>
            </w:r>
          </w:p>
        </w:tc>
        <w:tc>
          <w:tcPr>
            <w:tcW w:w="1843" w:type="dxa"/>
            <w:shd w:val="clear" w:color="auto" w:fill="auto"/>
            <w:vAlign w:val="center"/>
          </w:tcPr>
          <w:p>
            <w:pPr>
              <w:pStyle w:val="2"/>
              <w:jc w:val="center"/>
              <w:rPr>
                <w:rFonts w:ascii="仿宋" w:hAnsi="仿宋" w:eastAsia="仿宋" w:cs="宋体"/>
                <w:sz w:val="24"/>
              </w:rPr>
            </w:pPr>
            <w:r>
              <w:rPr>
                <w:rFonts w:hint="eastAsia" w:ascii="仿宋" w:hAnsi="仿宋" w:eastAsia="仿宋" w:cs="宋体"/>
                <w:sz w:val="24"/>
              </w:rPr>
              <w:t>LED教室灯</w:t>
            </w:r>
          </w:p>
        </w:tc>
        <w:tc>
          <w:tcPr>
            <w:tcW w:w="1417" w:type="dxa"/>
            <w:shd w:val="clear" w:color="auto" w:fill="auto"/>
            <w:vAlign w:val="center"/>
          </w:tcPr>
          <w:p>
            <w:pPr>
              <w:pStyle w:val="2"/>
              <w:jc w:val="center"/>
              <w:rPr>
                <w:rFonts w:ascii="仿宋" w:hAnsi="仿宋" w:eastAsia="仿宋" w:cs="宋体"/>
                <w:sz w:val="24"/>
                <w:highlight w:val="yellow"/>
              </w:rPr>
            </w:pPr>
            <w:r>
              <w:rPr>
                <w:rFonts w:ascii="仿宋" w:hAnsi="仿宋" w:eastAsia="仿宋" w:cs="宋体"/>
                <w:sz w:val="24"/>
                <w:highlight w:val="yellow"/>
              </w:rPr>
              <w:t>342</w:t>
            </w:r>
          </w:p>
        </w:tc>
        <w:tc>
          <w:tcPr>
            <w:tcW w:w="2410" w:type="dxa"/>
            <w:shd w:val="clear" w:color="auto" w:fill="auto"/>
            <w:vAlign w:val="center"/>
          </w:tcPr>
          <w:p>
            <w:pPr>
              <w:pStyle w:val="2"/>
              <w:jc w:val="center"/>
              <w:rPr>
                <w:rFonts w:ascii="仿宋" w:hAnsi="仿宋" w:eastAsia="仿宋" w:cs="宋体"/>
                <w:sz w:val="24"/>
              </w:rPr>
            </w:pPr>
            <w:r>
              <w:rPr>
                <w:rFonts w:hint="eastAsia" w:ascii="仿宋" w:hAnsi="仿宋" w:eastAsia="仿宋" w:cs="宋体"/>
                <w:sz w:val="24"/>
              </w:rPr>
              <w:t>1200</w:t>
            </w:r>
          </w:p>
        </w:tc>
        <w:tc>
          <w:tcPr>
            <w:tcW w:w="1780" w:type="dxa"/>
            <w:vAlign w:val="center"/>
          </w:tcPr>
          <w:p>
            <w:pPr>
              <w:pStyle w:val="2"/>
              <w:jc w:val="center"/>
              <w:rPr>
                <w:rFonts w:ascii="仿宋" w:hAnsi="仿宋" w:eastAsia="仿宋" w:cs="宋体"/>
                <w:sz w:val="24"/>
              </w:rPr>
            </w:pPr>
            <w:r>
              <w:rPr>
                <w:rFonts w:hint="eastAsia" w:ascii="仿宋" w:hAnsi="仿宋" w:eastAsia="仿宋" w:cs="宋体"/>
                <w:sz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6" w:type="dxa"/>
            <w:shd w:val="clear" w:color="auto" w:fill="auto"/>
            <w:vAlign w:val="center"/>
          </w:tcPr>
          <w:p>
            <w:pPr>
              <w:pStyle w:val="2"/>
              <w:jc w:val="center"/>
              <w:rPr>
                <w:rFonts w:ascii="仿宋" w:hAnsi="仿宋" w:eastAsia="仿宋" w:cs="宋体"/>
                <w:sz w:val="24"/>
              </w:rPr>
            </w:pPr>
            <w:r>
              <w:rPr>
                <w:rFonts w:hint="eastAsia" w:ascii="仿宋" w:hAnsi="仿宋" w:eastAsia="仿宋" w:cs="宋体"/>
                <w:sz w:val="24"/>
              </w:rPr>
              <w:t>2</w:t>
            </w:r>
          </w:p>
        </w:tc>
        <w:tc>
          <w:tcPr>
            <w:tcW w:w="1843" w:type="dxa"/>
            <w:shd w:val="clear" w:color="auto" w:fill="auto"/>
            <w:vAlign w:val="center"/>
          </w:tcPr>
          <w:p>
            <w:pPr>
              <w:pStyle w:val="2"/>
              <w:jc w:val="center"/>
              <w:rPr>
                <w:rFonts w:ascii="仿宋" w:hAnsi="仿宋" w:eastAsia="仿宋" w:cs="宋体"/>
                <w:sz w:val="24"/>
              </w:rPr>
            </w:pPr>
            <w:r>
              <w:rPr>
                <w:rFonts w:hint="eastAsia" w:ascii="仿宋" w:hAnsi="仿宋" w:eastAsia="仿宋" w:cs="宋体"/>
                <w:sz w:val="24"/>
              </w:rPr>
              <w:t>LED黑板灯</w:t>
            </w:r>
          </w:p>
        </w:tc>
        <w:tc>
          <w:tcPr>
            <w:tcW w:w="1417" w:type="dxa"/>
            <w:shd w:val="clear" w:color="auto" w:fill="auto"/>
            <w:vAlign w:val="center"/>
          </w:tcPr>
          <w:p>
            <w:pPr>
              <w:pStyle w:val="2"/>
              <w:jc w:val="center"/>
              <w:rPr>
                <w:rFonts w:ascii="仿宋" w:hAnsi="仿宋" w:eastAsia="仿宋" w:cs="宋体"/>
                <w:sz w:val="24"/>
                <w:highlight w:val="yellow"/>
              </w:rPr>
            </w:pPr>
            <w:r>
              <w:rPr>
                <w:rFonts w:ascii="仿宋" w:hAnsi="仿宋" w:eastAsia="仿宋" w:cs="宋体"/>
                <w:sz w:val="24"/>
                <w:highlight w:val="yellow"/>
              </w:rPr>
              <w:t>102</w:t>
            </w:r>
          </w:p>
        </w:tc>
        <w:tc>
          <w:tcPr>
            <w:tcW w:w="2410" w:type="dxa"/>
            <w:shd w:val="clear" w:color="auto" w:fill="auto"/>
            <w:vAlign w:val="center"/>
          </w:tcPr>
          <w:p>
            <w:pPr>
              <w:pStyle w:val="2"/>
              <w:jc w:val="center"/>
              <w:rPr>
                <w:rFonts w:ascii="仿宋" w:hAnsi="仿宋" w:eastAsia="仿宋" w:cs="宋体"/>
                <w:sz w:val="24"/>
              </w:rPr>
            </w:pPr>
            <w:r>
              <w:rPr>
                <w:rFonts w:hint="eastAsia" w:ascii="仿宋" w:hAnsi="仿宋" w:eastAsia="仿宋" w:cs="宋体"/>
                <w:sz w:val="24"/>
              </w:rPr>
              <w:t>1000</w:t>
            </w:r>
          </w:p>
        </w:tc>
        <w:tc>
          <w:tcPr>
            <w:tcW w:w="1780" w:type="dxa"/>
          </w:tcPr>
          <w:p>
            <w:pPr>
              <w:pStyle w:val="2"/>
              <w:jc w:val="center"/>
              <w:rPr>
                <w:rFonts w:ascii="仿宋" w:hAnsi="仿宋" w:eastAsia="仿宋" w:cs="宋体"/>
                <w:sz w:val="24"/>
              </w:rPr>
            </w:pPr>
            <w:r>
              <w:rPr>
                <w:rFonts w:hint="eastAsia" w:ascii="仿宋" w:hAnsi="仿宋" w:eastAsia="仿宋" w:cs="宋体"/>
                <w:sz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6" w:type="dxa"/>
            <w:shd w:val="clear" w:color="auto" w:fill="auto"/>
            <w:vAlign w:val="center"/>
          </w:tcPr>
          <w:p>
            <w:pPr>
              <w:pStyle w:val="2"/>
              <w:jc w:val="center"/>
              <w:rPr>
                <w:rFonts w:ascii="仿宋" w:hAnsi="仿宋" w:eastAsia="仿宋" w:cs="宋体"/>
                <w:sz w:val="24"/>
              </w:rPr>
            </w:pPr>
            <w:r>
              <w:rPr>
                <w:rFonts w:hint="eastAsia" w:ascii="仿宋" w:hAnsi="仿宋" w:eastAsia="仿宋" w:cs="宋体"/>
                <w:sz w:val="24"/>
              </w:rPr>
              <w:t>3</w:t>
            </w:r>
          </w:p>
        </w:tc>
        <w:tc>
          <w:tcPr>
            <w:tcW w:w="1843" w:type="dxa"/>
            <w:shd w:val="clear" w:color="auto" w:fill="auto"/>
            <w:vAlign w:val="center"/>
          </w:tcPr>
          <w:p>
            <w:pPr>
              <w:pStyle w:val="2"/>
              <w:jc w:val="center"/>
              <w:rPr>
                <w:rFonts w:ascii="仿宋" w:hAnsi="仿宋" w:eastAsia="仿宋" w:cs="宋体"/>
                <w:sz w:val="24"/>
              </w:rPr>
            </w:pPr>
            <w:r>
              <w:rPr>
                <w:rFonts w:hint="eastAsia" w:ascii="仿宋" w:hAnsi="仿宋" w:eastAsia="仿宋" w:cs="宋体"/>
                <w:sz w:val="24"/>
              </w:rPr>
              <w:t>LED面板灯</w:t>
            </w:r>
          </w:p>
        </w:tc>
        <w:tc>
          <w:tcPr>
            <w:tcW w:w="1417" w:type="dxa"/>
            <w:shd w:val="clear" w:color="auto" w:fill="auto"/>
            <w:vAlign w:val="center"/>
          </w:tcPr>
          <w:p>
            <w:pPr>
              <w:pStyle w:val="2"/>
              <w:jc w:val="center"/>
              <w:rPr>
                <w:rFonts w:ascii="仿宋" w:hAnsi="仿宋" w:eastAsia="仿宋" w:cs="宋体"/>
                <w:sz w:val="24"/>
                <w:highlight w:val="yellow"/>
              </w:rPr>
            </w:pPr>
            <w:r>
              <w:rPr>
                <w:rFonts w:ascii="仿宋" w:hAnsi="仿宋" w:eastAsia="仿宋" w:cs="宋体"/>
                <w:sz w:val="24"/>
                <w:highlight w:val="yellow"/>
              </w:rPr>
              <w:t>120</w:t>
            </w:r>
          </w:p>
        </w:tc>
        <w:tc>
          <w:tcPr>
            <w:tcW w:w="2410" w:type="dxa"/>
            <w:shd w:val="clear" w:color="auto" w:fill="auto"/>
            <w:vAlign w:val="center"/>
          </w:tcPr>
          <w:p>
            <w:pPr>
              <w:pStyle w:val="2"/>
              <w:jc w:val="center"/>
              <w:rPr>
                <w:rFonts w:ascii="仿宋" w:hAnsi="仿宋" w:eastAsia="仿宋" w:cs="宋体"/>
                <w:sz w:val="24"/>
              </w:rPr>
            </w:pPr>
            <w:r>
              <w:rPr>
                <w:rFonts w:hint="eastAsia" w:ascii="仿宋" w:hAnsi="仿宋" w:eastAsia="仿宋" w:cs="宋体"/>
                <w:sz w:val="24"/>
              </w:rPr>
              <w:t>450</w:t>
            </w:r>
          </w:p>
        </w:tc>
        <w:tc>
          <w:tcPr>
            <w:tcW w:w="1780" w:type="dxa"/>
          </w:tcPr>
          <w:p>
            <w:pPr>
              <w:pStyle w:val="2"/>
              <w:jc w:val="center"/>
              <w:rPr>
                <w:rFonts w:ascii="仿宋" w:hAnsi="仿宋" w:eastAsia="仿宋" w:cs="宋体"/>
                <w:sz w:val="24"/>
              </w:rPr>
            </w:pPr>
            <w:r>
              <w:rPr>
                <w:rFonts w:hint="eastAsia" w:ascii="仿宋" w:hAnsi="仿宋" w:eastAsia="仿宋" w:cs="宋体"/>
                <w:sz w:val="24"/>
              </w:rPr>
              <w:t>工业</w:t>
            </w:r>
          </w:p>
        </w:tc>
      </w:tr>
    </w:tbl>
    <w:p>
      <w:pPr>
        <w:pStyle w:val="14"/>
        <w:spacing w:line="400" w:lineRule="exact"/>
        <w:ind w:firstLineChars="83"/>
        <w:rPr>
          <w:rFonts w:ascii="仿宋" w:hAnsi="仿宋" w:eastAsia="仿宋"/>
          <w:b/>
          <w:sz w:val="24"/>
        </w:rPr>
      </w:pPr>
      <w:r>
        <w:rPr>
          <w:rFonts w:hint="eastAsia" w:ascii="仿宋" w:hAnsi="仿宋" w:eastAsia="仿宋"/>
          <w:b/>
          <w:sz w:val="24"/>
        </w:rPr>
        <w:t>说明：因学校办学需要，功能室和教室数量可能会产生调整变化，因此本项目以固定单价方式签订采购合同，货款按照实际安装灯具的数量及种类进行结算，LED教室灯及LED黑板灯、LED面板灯不限于安装位置，应以保证学校房间的视觉环境符合《成都市中小学健康教室视觉环境规范建设指南》。但不得超过政府采购预算。</w:t>
      </w:r>
    </w:p>
    <w:p>
      <w:pPr>
        <w:pStyle w:val="14"/>
        <w:spacing w:line="400" w:lineRule="exact"/>
        <w:ind w:firstLine="199" w:firstLineChars="83"/>
        <w:rPr>
          <w:rFonts w:ascii="方正小标宋_GBK" w:hAnsi="方正小标宋_GBK" w:eastAsia="仿宋" w:cs="方正小标宋_GBK"/>
        </w:rPr>
      </w:pPr>
      <w:r>
        <w:rPr>
          <w:rFonts w:hint="eastAsia" w:ascii="仿宋" w:hAnsi="仿宋" w:eastAsia="仿宋"/>
          <w:bCs/>
          <w:sz w:val="24"/>
        </w:rPr>
        <w:t>【三】采购要求</w:t>
      </w:r>
    </w:p>
    <w:p>
      <w:pPr>
        <w:spacing w:line="360" w:lineRule="exact"/>
        <w:ind w:firstLine="560"/>
        <w:rPr>
          <w:rFonts w:hint="default" w:ascii="仿宋" w:hAnsi="仿宋" w:eastAsia="仿宋" w:cstheme="minorBidi"/>
          <w:bCs/>
          <w:sz w:val="24"/>
          <w:szCs w:val="24"/>
          <w:highlight w:val="yellow"/>
          <w:lang w:val="en-US" w:eastAsia="zh-CN"/>
        </w:rPr>
      </w:pPr>
      <w:r>
        <w:rPr>
          <w:rFonts w:hint="eastAsia" w:ascii="仿宋" w:hAnsi="仿宋" w:eastAsia="仿宋" w:cstheme="minorBidi"/>
          <w:bCs/>
          <w:sz w:val="24"/>
          <w:szCs w:val="24"/>
          <w:highlight w:val="yellow"/>
        </w:rPr>
        <w:t>预算资金:</w:t>
      </w:r>
      <w:r>
        <w:rPr>
          <w:rFonts w:hint="eastAsia" w:ascii="仿宋" w:hAnsi="仿宋" w:eastAsia="仿宋" w:cstheme="minorBidi"/>
          <w:bCs/>
          <w:sz w:val="24"/>
          <w:szCs w:val="24"/>
          <w:highlight w:val="yellow"/>
          <w:lang w:val="en-US" w:eastAsia="zh-CN"/>
        </w:rPr>
        <w:t>5</w:t>
      </w:r>
      <w:r>
        <w:rPr>
          <w:rFonts w:ascii="仿宋" w:hAnsi="仿宋" w:eastAsia="仿宋" w:cstheme="minorBidi"/>
          <w:bCs/>
          <w:sz w:val="24"/>
          <w:szCs w:val="24"/>
          <w:highlight w:val="yellow"/>
        </w:rPr>
        <w:t>7.8</w:t>
      </w:r>
      <w:r>
        <w:rPr>
          <w:rFonts w:hint="eastAsia" w:ascii="仿宋" w:hAnsi="仿宋" w:eastAsia="仿宋" w:cstheme="minorBidi"/>
          <w:bCs/>
          <w:sz w:val="24"/>
          <w:szCs w:val="24"/>
          <w:highlight w:val="yellow"/>
        </w:rPr>
        <w:t xml:space="preserve">万元 </w:t>
      </w:r>
      <w:r>
        <w:rPr>
          <w:rFonts w:hint="eastAsia" w:ascii="仿宋" w:hAnsi="仿宋" w:eastAsia="仿宋" w:cstheme="minorBidi"/>
          <w:bCs/>
          <w:sz w:val="24"/>
          <w:szCs w:val="24"/>
          <w:highlight w:val="yellow"/>
          <w:lang w:eastAsia="zh-CN"/>
        </w:rPr>
        <w:t>，</w:t>
      </w:r>
      <w:r>
        <w:rPr>
          <w:rFonts w:hint="eastAsia" w:ascii="仿宋" w:hAnsi="仿宋" w:eastAsia="仿宋" w:cstheme="minorBidi"/>
          <w:bCs/>
          <w:sz w:val="24"/>
          <w:szCs w:val="24"/>
          <w:highlight w:val="yellow"/>
          <w:lang w:val="en-US" w:eastAsia="zh-CN"/>
        </w:rPr>
        <w:t>总价最高限价：56.64万元</w:t>
      </w:r>
    </w:p>
    <w:p>
      <w:pPr>
        <w:spacing w:line="360" w:lineRule="exact"/>
        <w:ind w:firstLine="560"/>
        <w:rPr>
          <w:rFonts w:ascii="仿宋" w:hAnsi="仿宋" w:eastAsia="仿宋" w:cstheme="minorBidi"/>
          <w:bCs/>
          <w:sz w:val="24"/>
          <w:szCs w:val="24"/>
          <w:highlight w:val="yellow"/>
        </w:rPr>
      </w:pPr>
      <w:r>
        <w:rPr>
          <w:rFonts w:hint="eastAsia" w:ascii="仿宋" w:hAnsi="仿宋" w:eastAsia="仿宋" w:cstheme="minorBidi"/>
          <w:bCs/>
          <w:sz w:val="24"/>
          <w:szCs w:val="24"/>
          <w:highlight w:val="yellow"/>
        </w:rPr>
        <w:t>1、本项目为固定单价采购项目，结算按照实际安装的灯具套数进行结算；</w:t>
      </w:r>
    </w:p>
    <w:p>
      <w:pPr>
        <w:spacing w:line="360" w:lineRule="exact"/>
        <w:ind w:firstLine="560"/>
        <w:rPr>
          <w:rFonts w:ascii="仿宋" w:hAnsi="仿宋" w:eastAsia="仿宋" w:cstheme="minorBidi"/>
          <w:bCs/>
          <w:sz w:val="24"/>
          <w:szCs w:val="24"/>
          <w:highlight w:val="yellow"/>
        </w:rPr>
      </w:pPr>
      <w:r>
        <w:rPr>
          <w:rFonts w:hint="eastAsia" w:ascii="仿宋" w:hAnsi="仿宋" w:eastAsia="仿宋" w:cstheme="minorBidi"/>
          <w:bCs/>
          <w:sz w:val="24"/>
          <w:szCs w:val="24"/>
          <w:highlight w:val="yellow"/>
        </w:rPr>
        <w:t>2、供应商的报价超过采购文件中单价最高限价</w:t>
      </w:r>
      <w:r>
        <w:rPr>
          <w:rFonts w:hint="eastAsia" w:ascii="仿宋" w:hAnsi="仿宋" w:eastAsia="仿宋" w:cstheme="minorBidi"/>
          <w:bCs/>
          <w:sz w:val="24"/>
          <w:szCs w:val="24"/>
          <w:highlight w:val="yellow"/>
          <w:lang w:val="en-US" w:eastAsia="zh-CN"/>
        </w:rPr>
        <w:t>或总价最高限价</w:t>
      </w:r>
      <w:r>
        <w:rPr>
          <w:rFonts w:hint="eastAsia" w:ascii="仿宋" w:hAnsi="仿宋" w:eastAsia="仿宋" w:cstheme="minorBidi"/>
          <w:bCs/>
          <w:sz w:val="24"/>
          <w:szCs w:val="24"/>
          <w:highlight w:val="yellow"/>
        </w:rPr>
        <w:t>的，其投标文件作为无效投标处理。（单价最高限价*数量即为本次项目预算额度内的总价最高限价）</w:t>
      </w:r>
    </w:p>
    <w:p>
      <w:pPr>
        <w:bidi w:val="0"/>
        <w:rPr>
          <w:rFonts w:hint="eastAsia" w:ascii="仿宋" w:hAnsi="仿宋" w:eastAsia="仿宋"/>
          <w:sz w:val="28"/>
          <w:szCs w:val="28"/>
        </w:rPr>
      </w:pPr>
      <w:r>
        <w:rPr>
          <w:rFonts w:hint="eastAsia" w:ascii="仿宋" w:hAnsi="仿宋" w:eastAsia="仿宋"/>
          <w:sz w:val="28"/>
          <w:szCs w:val="28"/>
          <w:lang w:eastAsia="zh-CN"/>
        </w:rPr>
        <w:t>二、</w:t>
      </w:r>
      <w:r>
        <w:rPr>
          <w:rFonts w:hint="eastAsia" w:ascii="仿宋" w:hAnsi="仿宋" w:eastAsia="仿宋"/>
          <w:sz w:val="28"/>
          <w:szCs w:val="28"/>
        </w:rPr>
        <w:t>技术参数及要求（磋商过程中可实质性变动的事项）</w:t>
      </w:r>
    </w:p>
    <w:tbl>
      <w:tblPr>
        <w:tblStyle w:val="41"/>
        <w:tblW w:w="9339"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1480"/>
        <w:gridCol w:w="7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3" w:type="dxa"/>
            <w:shd w:val="clear" w:color="auto" w:fill="auto"/>
            <w:vAlign w:val="center"/>
          </w:tcPr>
          <w:p>
            <w:pPr>
              <w:contextualSpacing/>
              <w:jc w:val="center"/>
              <w:rPr>
                <w:rFonts w:ascii="仿宋" w:hAnsi="仿宋" w:eastAsia="仿宋"/>
                <w:b/>
                <w:bCs/>
                <w:szCs w:val="21"/>
              </w:rPr>
            </w:pPr>
            <w:r>
              <w:rPr>
                <w:rFonts w:ascii="仿宋" w:hAnsi="仿宋" w:eastAsia="仿宋"/>
                <w:b/>
                <w:bCs/>
                <w:szCs w:val="21"/>
              </w:rPr>
              <w:t>序号</w:t>
            </w:r>
          </w:p>
        </w:tc>
        <w:tc>
          <w:tcPr>
            <w:tcW w:w="1480" w:type="dxa"/>
            <w:shd w:val="clear" w:color="auto" w:fill="auto"/>
            <w:vAlign w:val="center"/>
          </w:tcPr>
          <w:p>
            <w:pPr>
              <w:contextualSpacing/>
              <w:jc w:val="center"/>
              <w:rPr>
                <w:rFonts w:ascii="仿宋" w:hAnsi="仿宋" w:eastAsia="仿宋"/>
                <w:b/>
                <w:bCs/>
                <w:szCs w:val="21"/>
              </w:rPr>
            </w:pPr>
            <w:r>
              <w:rPr>
                <w:rFonts w:ascii="仿宋" w:hAnsi="仿宋" w:eastAsia="仿宋"/>
                <w:b/>
                <w:bCs/>
                <w:szCs w:val="21"/>
              </w:rPr>
              <w:t>产品名称</w:t>
            </w:r>
          </w:p>
        </w:tc>
        <w:tc>
          <w:tcPr>
            <w:tcW w:w="7036" w:type="dxa"/>
            <w:shd w:val="clear" w:color="auto" w:fill="auto"/>
            <w:vAlign w:val="center"/>
          </w:tcPr>
          <w:p>
            <w:pPr>
              <w:contextualSpacing/>
              <w:jc w:val="center"/>
              <w:rPr>
                <w:rFonts w:ascii="仿宋" w:hAnsi="仿宋" w:eastAsia="仿宋"/>
                <w:b/>
                <w:bCs/>
                <w:szCs w:val="21"/>
              </w:rPr>
            </w:pPr>
            <w:r>
              <w:rPr>
                <w:rFonts w:ascii="仿宋" w:hAnsi="仿宋" w:eastAsia="仿宋"/>
                <w:b/>
                <w:bCs/>
                <w:szCs w:val="21"/>
              </w:rPr>
              <w:t>技术参数</w:t>
            </w:r>
            <w:r>
              <w:rPr>
                <w:rFonts w:hint="eastAsia" w:ascii="仿宋" w:hAnsi="仿宋" w:eastAsia="仿宋"/>
                <w:b/>
                <w:bCs/>
                <w:szCs w:val="21"/>
              </w:rPr>
              <w:t>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3" w:type="dxa"/>
            <w:shd w:val="clear" w:color="auto" w:fill="auto"/>
            <w:vAlign w:val="center"/>
          </w:tcPr>
          <w:p>
            <w:pPr>
              <w:contextualSpacing/>
              <w:jc w:val="center"/>
              <w:rPr>
                <w:rFonts w:ascii="仿宋" w:hAnsi="仿宋" w:eastAsia="仿宋"/>
                <w:szCs w:val="21"/>
              </w:rPr>
            </w:pPr>
            <w:r>
              <w:rPr>
                <w:rFonts w:hint="eastAsia" w:ascii="仿宋" w:hAnsi="仿宋" w:eastAsia="仿宋"/>
                <w:szCs w:val="21"/>
              </w:rPr>
              <w:t>1</w:t>
            </w:r>
          </w:p>
        </w:tc>
        <w:tc>
          <w:tcPr>
            <w:tcW w:w="1480" w:type="dxa"/>
            <w:shd w:val="clear" w:color="auto" w:fill="auto"/>
            <w:vAlign w:val="center"/>
          </w:tcPr>
          <w:p>
            <w:pPr>
              <w:contextualSpacing/>
              <w:jc w:val="center"/>
              <w:rPr>
                <w:rFonts w:ascii="仿宋" w:hAnsi="仿宋" w:eastAsia="仿宋"/>
                <w:szCs w:val="21"/>
              </w:rPr>
            </w:pPr>
            <w:r>
              <w:rPr>
                <w:rFonts w:hint="eastAsia" w:ascii="仿宋" w:hAnsi="仿宋" w:eastAsia="仿宋"/>
                <w:szCs w:val="21"/>
              </w:rPr>
              <w:t>LED教室灯</w:t>
            </w:r>
          </w:p>
        </w:tc>
        <w:tc>
          <w:tcPr>
            <w:tcW w:w="7036" w:type="dxa"/>
            <w:shd w:val="clear" w:color="auto" w:fill="auto"/>
          </w:tcPr>
          <w:p>
            <w:pPr>
              <w:contextualSpacing/>
              <w:jc w:val="left"/>
              <w:rPr>
                <w:rStyle w:val="284"/>
                <w:rFonts w:hint="default" w:ascii="仿宋" w:hAnsi="仿宋" w:eastAsia="仿宋"/>
                <w:color w:val="auto"/>
                <w:sz w:val="21"/>
                <w:szCs w:val="21"/>
              </w:rPr>
            </w:pPr>
            <w:r>
              <w:rPr>
                <w:rStyle w:val="284"/>
                <w:rFonts w:hint="default" w:ascii="仿宋" w:hAnsi="仿宋" w:eastAsia="仿宋"/>
                <w:color w:val="auto"/>
                <w:sz w:val="21"/>
                <w:szCs w:val="21"/>
              </w:rPr>
              <w:t>1、</w:t>
            </w:r>
            <w:r>
              <w:rPr>
                <w:rFonts w:hint="eastAsia" w:ascii="仿宋" w:hAnsi="仿宋" w:eastAsia="仿宋" w:cs="Arial"/>
                <w:szCs w:val="21"/>
              </w:rPr>
              <w:t>一体式LED灯具；尺寸长度≥1200mm；</w:t>
            </w:r>
            <w:r>
              <w:rPr>
                <w:rFonts w:ascii="仿宋" w:hAnsi="仿宋" w:eastAsia="仿宋" w:cs="Arial"/>
                <w:szCs w:val="21"/>
              </w:rPr>
              <w:t>灯</w:t>
            </w:r>
            <w:r>
              <w:rPr>
                <w:rStyle w:val="284"/>
                <w:rFonts w:hint="default" w:ascii="仿宋" w:hAnsi="仿宋" w:eastAsia="仿宋"/>
                <w:color w:val="auto"/>
                <w:sz w:val="21"/>
                <w:szCs w:val="21"/>
              </w:rPr>
              <w:t>具的壳体应采用≥0.04mm铝型材等轻型、坚固金属材料，并经喷涂或氧化处理，具备防锈功能；</w:t>
            </w:r>
          </w:p>
          <w:p>
            <w:pPr>
              <w:contextualSpacing/>
              <w:jc w:val="left"/>
              <w:rPr>
                <w:rFonts w:ascii="仿宋" w:hAnsi="仿宋" w:eastAsia="仿宋" w:cs="Arial"/>
                <w:szCs w:val="21"/>
              </w:rPr>
            </w:pPr>
            <w:r>
              <w:rPr>
                <w:rFonts w:hint="eastAsia" w:ascii="仿宋" w:hAnsi="仿宋" w:eastAsia="仿宋"/>
                <w:szCs w:val="21"/>
              </w:rPr>
              <w:t>2、照明功率密度</w:t>
            </w:r>
            <w:r>
              <w:rPr>
                <w:rFonts w:hint="eastAsia" w:ascii="仿宋" w:hAnsi="仿宋" w:eastAsia="仿宋" w:cs="Arial"/>
                <w:szCs w:val="21"/>
              </w:rPr>
              <w:t>≤9W/㎡；</w:t>
            </w:r>
          </w:p>
          <w:p>
            <w:pPr>
              <w:contextualSpacing/>
              <w:rPr>
                <w:rFonts w:ascii="仿宋" w:hAnsi="仿宋" w:eastAsia="仿宋" w:cs="Arial"/>
                <w:szCs w:val="21"/>
              </w:rPr>
            </w:pPr>
            <w:r>
              <w:rPr>
                <w:rFonts w:hint="eastAsia" w:ascii="仿宋" w:hAnsi="仿宋" w:eastAsia="仿宋"/>
                <w:szCs w:val="21"/>
              </w:rPr>
              <w:t>3、</w:t>
            </w:r>
            <w:r>
              <w:rPr>
                <w:rFonts w:hint="eastAsia" w:ascii="仿宋" w:hAnsi="仿宋" w:eastAsia="仿宋" w:cs="Arial"/>
                <w:szCs w:val="21"/>
              </w:rPr>
              <w:t>寿命≥25000小时；</w:t>
            </w:r>
          </w:p>
          <w:p>
            <w:pPr>
              <w:contextualSpacing/>
              <w:jc w:val="left"/>
              <w:rPr>
                <w:rFonts w:ascii="仿宋" w:hAnsi="仿宋" w:eastAsia="仿宋" w:cs="Arial"/>
                <w:szCs w:val="21"/>
              </w:rPr>
            </w:pPr>
            <w:r>
              <w:rPr>
                <w:rFonts w:hint="eastAsia" w:ascii="仿宋" w:hAnsi="仿宋" w:eastAsia="仿宋"/>
                <w:szCs w:val="21"/>
              </w:rPr>
              <w:t>4、</w:t>
            </w:r>
            <w:r>
              <w:rPr>
                <w:rStyle w:val="284"/>
                <w:rFonts w:hint="default" w:ascii="仿宋" w:hAnsi="仿宋" w:eastAsia="仿宋"/>
                <w:color w:val="auto"/>
                <w:sz w:val="21"/>
                <w:szCs w:val="21"/>
              </w:rPr>
              <w:t>维持平均照度≥300lx</w:t>
            </w:r>
            <w:r>
              <w:rPr>
                <w:rFonts w:hint="eastAsia" w:ascii="仿宋" w:hAnsi="仿宋" w:eastAsia="仿宋" w:cs="Arial"/>
                <w:szCs w:val="21"/>
              </w:rPr>
              <w:t>；</w:t>
            </w:r>
            <w:r>
              <w:rPr>
                <w:rFonts w:ascii="仿宋" w:hAnsi="仿宋" w:eastAsia="仿宋" w:cs="Arial"/>
                <w:szCs w:val="21"/>
              </w:rPr>
              <w:br w:type="textWrapping"/>
            </w:r>
            <w:r>
              <w:rPr>
                <w:rStyle w:val="284"/>
                <w:rFonts w:hint="default" w:ascii="仿宋" w:hAnsi="仿宋" w:eastAsia="仿宋"/>
                <w:color w:val="auto"/>
                <w:sz w:val="21"/>
                <w:szCs w:val="21"/>
              </w:rPr>
              <w:t>5、均匀度≥0.7</w:t>
            </w:r>
            <w:r>
              <w:rPr>
                <w:rFonts w:hint="eastAsia" w:ascii="仿宋" w:hAnsi="仿宋" w:eastAsia="仿宋" w:cs="Arial"/>
                <w:szCs w:val="21"/>
              </w:rPr>
              <w:t>；</w:t>
            </w:r>
            <w:r>
              <w:rPr>
                <w:rFonts w:ascii="仿宋" w:hAnsi="仿宋" w:eastAsia="仿宋" w:cs="Arial"/>
                <w:szCs w:val="21"/>
              </w:rPr>
              <w:br w:type="textWrapping"/>
            </w:r>
            <w:r>
              <w:rPr>
                <w:rFonts w:hint="eastAsia" w:ascii="仿宋" w:hAnsi="仿宋" w:eastAsia="仿宋" w:cs="Arial"/>
                <w:szCs w:val="21"/>
              </w:rPr>
              <w:t>6</w:t>
            </w:r>
            <w:r>
              <w:rPr>
                <w:rFonts w:hint="eastAsia" w:ascii="仿宋" w:hAnsi="仿宋" w:eastAsia="仿宋"/>
                <w:szCs w:val="21"/>
              </w:rPr>
              <w:t>、统一眩光值≤16</w:t>
            </w:r>
            <w:r>
              <w:rPr>
                <w:rFonts w:hint="eastAsia" w:ascii="仿宋" w:hAnsi="仿宋" w:eastAsia="仿宋" w:cs="Arial"/>
                <w:szCs w:val="21"/>
              </w:rPr>
              <w:t>；</w:t>
            </w:r>
          </w:p>
          <w:p>
            <w:pPr>
              <w:contextualSpacing/>
              <w:jc w:val="left"/>
              <w:rPr>
                <w:rFonts w:ascii="仿宋" w:hAnsi="仿宋" w:eastAsia="仿宋" w:cs="Arial"/>
                <w:szCs w:val="21"/>
              </w:rPr>
            </w:pPr>
            <w:r>
              <w:rPr>
                <w:rFonts w:hint="eastAsia" w:ascii="仿宋" w:hAnsi="仿宋" w:eastAsia="仿宋"/>
                <w:szCs w:val="21"/>
              </w:rPr>
              <w:t>7、</w:t>
            </w:r>
            <w:r>
              <w:rPr>
                <w:rFonts w:hint="eastAsia" w:ascii="仿宋" w:hAnsi="仿宋" w:eastAsia="仿宋" w:cs="Arial"/>
                <w:szCs w:val="21"/>
              </w:rPr>
              <w:t>LED教室灯色温满足3300K——5300K；</w:t>
            </w:r>
          </w:p>
          <w:p>
            <w:pPr>
              <w:contextualSpacing/>
              <w:rPr>
                <w:rFonts w:ascii="仿宋" w:hAnsi="仿宋" w:eastAsia="仿宋" w:cs="Arial"/>
                <w:szCs w:val="21"/>
              </w:rPr>
            </w:pPr>
            <w:r>
              <w:rPr>
                <w:rFonts w:hint="eastAsia" w:ascii="仿宋" w:hAnsi="仿宋" w:eastAsia="仿宋" w:cs="Arial"/>
                <w:szCs w:val="21"/>
              </w:rPr>
              <w:t>8、LED教室灯显色指数满足Ra≥80；</w:t>
            </w:r>
          </w:p>
          <w:p>
            <w:pPr>
              <w:contextualSpacing/>
              <w:rPr>
                <w:rFonts w:ascii="仿宋" w:hAnsi="仿宋" w:eastAsia="仿宋" w:cs="Arial"/>
                <w:szCs w:val="21"/>
              </w:rPr>
            </w:pPr>
            <w:r>
              <w:rPr>
                <w:rFonts w:hint="eastAsia" w:ascii="仿宋" w:hAnsi="仿宋" w:eastAsia="仿宋" w:cs="Arial"/>
                <w:szCs w:val="21"/>
              </w:rPr>
              <w:t>9、LED教室灯频闪质量特征认证结果为无显著影响或无频闪危害；</w:t>
            </w:r>
          </w:p>
          <w:p>
            <w:pPr>
              <w:contextualSpacing/>
              <w:rPr>
                <w:rFonts w:ascii="仿宋" w:hAnsi="仿宋" w:eastAsia="仿宋" w:cs="Arial"/>
                <w:szCs w:val="21"/>
              </w:rPr>
            </w:pPr>
            <w:r>
              <w:rPr>
                <w:rFonts w:hint="eastAsia" w:ascii="仿宋" w:hAnsi="仿宋" w:eastAsia="仿宋" w:cs="Arial"/>
                <w:szCs w:val="21"/>
              </w:rPr>
              <w:t>10、LED教室灯蓝光危害等级为RG0（0类危险）；</w:t>
            </w:r>
          </w:p>
          <w:p>
            <w:pPr>
              <w:contextualSpacing/>
              <w:rPr>
                <w:rFonts w:ascii="仿宋" w:hAnsi="仿宋" w:eastAsia="仿宋"/>
                <w:szCs w:val="21"/>
              </w:rPr>
            </w:pPr>
            <w:r>
              <w:rPr>
                <w:rFonts w:hint="eastAsia" w:ascii="仿宋" w:hAnsi="仿宋" w:eastAsia="仿宋"/>
                <w:szCs w:val="21"/>
              </w:rPr>
              <w:t>11、</w:t>
            </w:r>
            <w:r>
              <w:rPr>
                <w:rFonts w:hint="eastAsia" w:ascii="仿宋" w:hAnsi="仿宋" w:eastAsia="仿宋" w:cs="Arial"/>
                <w:szCs w:val="21"/>
              </w:rPr>
              <w:t>LED教室灯密封防尘满足IP40或以上等级要求；</w:t>
            </w:r>
            <w:r>
              <w:rPr>
                <w:rFonts w:ascii="仿宋" w:hAnsi="仿宋" w:eastAsia="仿宋" w:cs="Arial"/>
                <w:szCs w:val="21"/>
              </w:rPr>
              <w:br w:type="textWrapping"/>
            </w:r>
            <w:r>
              <w:rPr>
                <w:rFonts w:hint="eastAsia" w:ascii="仿宋" w:hAnsi="仿宋" w:eastAsia="仿宋"/>
                <w:szCs w:val="21"/>
              </w:rPr>
              <w:t>说明：第2至11项技术参数需</w:t>
            </w:r>
            <w:r>
              <w:rPr>
                <w:rFonts w:hint="eastAsia" w:ascii="仿宋" w:hAnsi="仿宋" w:eastAsia="仿宋" w:cs="Arial"/>
                <w:szCs w:val="21"/>
              </w:rPr>
              <w:t>提供国家认可的第三方检测机构出具封面带有CMA标志的完整检测报告复印件，加盖</w:t>
            </w:r>
            <w:r>
              <w:rPr>
                <w:rFonts w:hint="eastAsia" w:ascii="仿宋" w:hAnsi="仿宋" w:eastAsia="仿宋" w:cs="Arial"/>
                <w:szCs w:val="21"/>
                <w:lang w:eastAsia="zh-CN"/>
              </w:rPr>
              <w:t>供应商公章</w:t>
            </w:r>
            <w:r>
              <w:rPr>
                <w:rFonts w:hint="eastAsia" w:ascii="仿宋" w:hAnsi="仿宋" w:eastAsia="仿宋" w:cs="Arial"/>
                <w:szCs w:val="21"/>
              </w:rPr>
              <w:t>，签订采购合同时提供检测报告原件。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3" w:type="dxa"/>
            <w:shd w:val="clear" w:color="auto" w:fill="auto"/>
            <w:vAlign w:val="center"/>
          </w:tcPr>
          <w:p>
            <w:pPr>
              <w:contextualSpacing/>
              <w:jc w:val="center"/>
              <w:rPr>
                <w:rFonts w:ascii="仿宋" w:hAnsi="仿宋" w:eastAsia="仿宋"/>
                <w:szCs w:val="21"/>
              </w:rPr>
            </w:pPr>
            <w:r>
              <w:rPr>
                <w:rFonts w:hint="eastAsia" w:ascii="仿宋" w:hAnsi="仿宋" w:eastAsia="仿宋"/>
                <w:szCs w:val="21"/>
              </w:rPr>
              <w:t>2</w:t>
            </w:r>
          </w:p>
        </w:tc>
        <w:tc>
          <w:tcPr>
            <w:tcW w:w="1480" w:type="dxa"/>
            <w:shd w:val="clear" w:color="auto" w:fill="auto"/>
            <w:vAlign w:val="center"/>
          </w:tcPr>
          <w:p>
            <w:pPr>
              <w:contextualSpacing/>
              <w:jc w:val="center"/>
              <w:rPr>
                <w:rFonts w:ascii="仿宋" w:hAnsi="仿宋" w:eastAsia="仿宋"/>
                <w:szCs w:val="21"/>
              </w:rPr>
            </w:pPr>
            <w:r>
              <w:rPr>
                <w:rFonts w:hint="eastAsia" w:ascii="仿宋" w:hAnsi="仿宋" w:eastAsia="仿宋"/>
                <w:szCs w:val="21"/>
              </w:rPr>
              <w:t>LED黑板灯</w:t>
            </w:r>
          </w:p>
        </w:tc>
        <w:tc>
          <w:tcPr>
            <w:tcW w:w="7036" w:type="dxa"/>
            <w:shd w:val="clear" w:color="auto" w:fill="auto"/>
          </w:tcPr>
          <w:p>
            <w:pPr>
              <w:contextualSpacing/>
              <w:jc w:val="left"/>
              <w:rPr>
                <w:rStyle w:val="284"/>
                <w:rFonts w:hint="default" w:ascii="仿宋" w:hAnsi="仿宋" w:eastAsia="仿宋"/>
                <w:color w:val="auto"/>
                <w:sz w:val="21"/>
                <w:szCs w:val="21"/>
              </w:rPr>
            </w:pPr>
            <w:r>
              <w:rPr>
                <w:rStyle w:val="284"/>
                <w:rFonts w:hint="default" w:ascii="仿宋" w:hAnsi="仿宋" w:eastAsia="仿宋"/>
                <w:color w:val="auto"/>
                <w:sz w:val="21"/>
                <w:szCs w:val="21"/>
              </w:rPr>
              <w:t>1、</w:t>
            </w:r>
            <w:r>
              <w:rPr>
                <w:rFonts w:hint="eastAsia" w:ascii="仿宋" w:hAnsi="仿宋" w:eastAsia="仿宋" w:cs="Arial"/>
                <w:szCs w:val="21"/>
              </w:rPr>
              <w:t>一体式LED灯具；尺寸长度≥1200mm；</w:t>
            </w:r>
            <w:r>
              <w:rPr>
                <w:rFonts w:ascii="仿宋" w:hAnsi="仿宋" w:eastAsia="仿宋" w:cs="Arial"/>
                <w:szCs w:val="21"/>
              </w:rPr>
              <w:t>灯</w:t>
            </w:r>
            <w:r>
              <w:rPr>
                <w:rStyle w:val="284"/>
                <w:rFonts w:hint="default" w:ascii="仿宋" w:hAnsi="仿宋" w:eastAsia="仿宋"/>
                <w:color w:val="auto"/>
                <w:sz w:val="21"/>
                <w:szCs w:val="21"/>
              </w:rPr>
              <w:t>具的壳体应采用≥0.04mm铝型材等轻型、坚固金属材料，并经喷涂处理，具备防锈功能；</w:t>
            </w:r>
          </w:p>
          <w:p>
            <w:pPr>
              <w:contextualSpacing/>
              <w:rPr>
                <w:rFonts w:ascii="仿宋" w:hAnsi="仿宋" w:eastAsia="仿宋" w:cs="Arial"/>
                <w:szCs w:val="21"/>
              </w:rPr>
            </w:pPr>
            <w:r>
              <w:rPr>
                <w:rFonts w:hint="eastAsia" w:ascii="仿宋" w:hAnsi="仿宋" w:eastAsia="仿宋"/>
                <w:szCs w:val="21"/>
              </w:rPr>
              <w:t>2、</w:t>
            </w:r>
            <w:r>
              <w:rPr>
                <w:rFonts w:hint="eastAsia" w:ascii="仿宋" w:hAnsi="仿宋" w:eastAsia="仿宋" w:cs="Arial"/>
                <w:szCs w:val="21"/>
              </w:rPr>
              <w:t>寿命≥25000小时；</w:t>
            </w:r>
          </w:p>
          <w:p>
            <w:pPr>
              <w:contextualSpacing/>
              <w:jc w:val="left"/>
              <w:rPr>
                <w:rFonts w:ascii="仿宋" w:hAnsi="仿宋" w:eastAsia="仿宋" w:cs="Arial"/>
                <w:szCs w:val="21"/>
              </w:rPr>
            </w:pPr>
            <w:r>
              <w:rPr>
                <w:rFonts w:hint="eastAsia" w:ascii="仿宋" w:hAnsi="仿宋" w:eastAsia="仿宋"/>
                <w:szCs w:val="21"/>
              </w:rPr>
              <w:t>3、</w:t>
            </w:r>
            <w:r>
              <w:rPr>
                <w:rStyle w:val="284"/>
                <w:rFonts w:hint="default" w:ascii="仿宋" w:hAnsi="仿宋" w:eastAsia="仿宋"/>
                <w:color w:val="auto"/>
                <w:sz w:val="21"/>
                <w:szCs w:val="21"/>
              </w:rPr>
              <w:t>维持平均照度≥500lx</w:t>
            </w:r>
            <w:r>
              <w:rPr>
                <w:rFonts w:hint="eastAsia" w:ascii="仿宋" w:hAnsi="仿宋" w:eastAsia="仿宋" w:cs="Arial"/>
                <w:szCs w:val="21"/>
              </w:rPr>
              <w:t>；</w:t>
            </w:r>
          </w:p>
          <w:p>
            <w:pPr>
              <w:contextualSpacing/>
              <w:jc w:val="left"/>
              <w:rPr>
                <w:rFonts w:ascii="仿宋" w:hAnsi="仿宋" w:eastAsia="仿宋" w:cs="Arial"/>
                <w:szCs w:val="21"/>
              </w:rPr>
            </w:pPr>
            <w:r>
              <w:rPr>
                <w:rStyle w:val="284"/>
                <w:rFonts w:hint="default" w:ascii="仿宋" w:hAnsi="仿宋" w:eastAsia="仿宋"/>
                <w:color w:val="auto"/>
                <w:sz w:val="21"/>
                <w:szCs w:val="21"/>
              </w:rPr>
              <w:t>4、均匀度≥0.8；</w:t>
            </w:r>
          </w:p>
          <w:p>
            <w:pPr>
              <w:contextualSpacing/>
              <w:jc w:val="left"/>
              <w:rPr>
                <w:rFonts w:ascii="仿宋" w:hAnsi="仿宋" w:eastAsia="仿宋" w:cs="Arial"/>
                <w:szCs w:val="21"/>
              </w:rPr>
            </w:pPr>
            <w:r>
              <w:rPr>
                <w:rFonts w:hint="eastAsia" w:ascii="仿宋" w:hAnsi="仿宋" w:eastAsia="仿宋"/>
                <w:szCs w:val="21"/>
              </w:rPr>
              <w:t>5、LED黑板灯</w:t>
            </w:r>
            <w:r>
              <w:rPr>
                <w:rFonts w:hint="eastAsia" w:ascii="仿宋" w:hAnsi="仿宋" w:eastAsia="仿宋" w:cs="Arial"/>
                <w:szCs w:val="21"/>
              </w:rPr>
              <w:t>色温满足3300-5300K；</w:t>
            </w:r>
          </w:p>
          <w:p>
            <w:pPr>
              <w:contextualSpacing/>
              <w:jc w:val="left"/>
              <w:rPr>
                <w:rFonts w:ascii="仿宋" w:hAnsi="仿宋" w:eastAsia="仿宋" w:cs="Arial"/>
                <w:szCs w:val="21"/>
              </w:rPr>
            </w:pPr>
            <w:r>
              <w:rPr>
                <w:rFonts w:hint="eastAsia" w:ascii="仿宋" w:hAnsi="仿宋" w:eastAsia="仿宋" w:cs="Arial"/>
                <w:szCs w:val="21"/>
              </w:rPr>
              <w:t>6、</w:t>
            </w:r>
            <w:r>
              <w:rPr>
                <w:rFonts w:hint="eastAsia" w:ascii="仿宋" w:hAnsi="仿宋" w:eastAsia="仿宋"/>
                <w:szCs w:val="21"/>
              </w:rPr>
              <w:t>LED黑板灯</w:t>
            </w:r>
            <w:r>
              <w:rPr>
                <w:rFonts w:hint="eastAsia" w:ascii="仿宋" w:hAnsi="仿宋" w:eastAsia="仿宋" w:cs="Arial"/>
                <w:szCs w:val="21"/>
              </w:rPr>
              <w:t>显色满足Ra≥80；</w:t>
            </w:r>
          </w:p>
          <w:p>
            <w:pPr>
              <w:contextualSpacing/>
              <w:rPr>
                <w:rFonts w:ascii="仿宋" w:hAnsi="仿宋" w:eastAsia="仿宋" w:cs="Arial"/>
                <w:szCs w:val="21"/>
              </w:rPr>
            </w:pPr>
            <w:r>
              <w:rPr>
                <w:rFonts w:hint="eastAsia" w:ascii="仿宋" w:hAnsi="仿宋" w:eastAsia="仿宋" w:cs="Arial"/>
                <w:szCs w:val="21"/>
              </w:rPr>
              <w:t>7、LED</w:t>
            </w:r>
            <w:r>
              <w:rPr>
                <w:rFonts w:hint="eastAsia" w:ascii="仿宋" w:hAnsi="仿宋" w:eastAsia="仿宋"/>
                <w:szCs w:val="21"/>
              </w:rPr>
              <w:t>黑板</w:t>
            </w:r>
            <w:r>
              <w:rPr>
                <w:rFonts w:hint="eastAsia" w:ascii="仿宋" w:hAnsi="仿宋" w:eastAsia="仿宋" w:cs="Arial"/>
                <w:szCs w:val="21"/>
              </w:rPr>
              <w:t>灯频闪质量特征认证结果为无显著影响或无频闪危害；</w:t>
            </w:r>
          </w:p>
          <w:p>
            <w:pPr>
              <w:contextualSpacing/>
              <w:rPr>
                <w:rFonts w:ascii="仿宋" w:hAnsi="仿宋" w:eastAsia="仿宋" w:cs="Arial"/>
                <w:szCs w:val="21"/>
              </w:rPr>
            </w:pPr>
            <w:r>
              <w:rPr>
                <w:rFonts w:hint="eastAsia" w:ascii="仿宋" w:hAnsi="仿宋" w:eastAsia="仿宋" w:cs="Arial"/>
                <w:szCs w:val="21"/>
              </w:rPr>
              <w:t>8、</w:t>
            </w:r>
            <w:r>
              <w:rPr>
                <w:rFonts w:hint="eastAsia" w:ascii="仿宋" w:hAnsi="仿宋" w:eastAsia="仿宋"/>
                <w:szCs w:val="21"/>
              </w:rPr>
              <w:t>LED黑板灯</w:t>
            </w:r>
            <w:r>
              <w:rPr>
                <w:rFonts w:hint="eastAsia" w:ascii="仿宋" w:hAnsi="仿宋" w:eastAsia="仿宋" w:cs="Arial"/>
                <w:szCs w:val="21"/>
              </w:rPr>
              <w:t>蓝光危害等级为RG0（0类危险）；</w:t>
            </w:r>
          </w:p>
          <w:p>
            <w:pPr>
              <w:contextualSpacing/>
              <w:rPr>
                <w:rFonts w:ascii="仿宋" w:hAnsi="仿宋" w:eastAsia="仿宋" w:cs="Arial"/>
                <w:szCs w:val="21"/>
              </w:rPr>
            </w:pPr>
            <w:r>
              <w:rPr>
                <w:rFonts w:hint="eastAsia" w:ascii="仿宋" w:hAnsi="仿宋" w:eastAsia="仿宋"/>
                <w:szCs w:val="21"/>
              </w:rPr>
              <w:t>9、</w:t>
            </w:r>
            <w:r>
              <w:rPr>
                <w:rFonts w:hint="eastAsia" w:ascii="仿宋" w:hAnsi="仿宋" w:eastAsia="仿宋" w:cs="Arial"/>
                <w:szCs w:val="21"/>
              </w:rPr>
              <w:t>LED黑板灯密封防尘满足IP40或以上等级要求；</w:t>
            </w:r>
          </w:p>
          <w:p>
            <w:pPr>
              <w:pStyle w:val="17"/>
              <w:rPr>
                <w:rFonts w:ascii="仿宋" w:hAnsi="仿宋" w:eastAsia="仿宋"/>
                <w:szCs w:val="21"/>
              </w:rPr>
            </w:pPr>
            <w:r>
              <w:rPr>
                <w:rFonts w:hint="eastAsia" w:ascii="仿宋" w:hAnsi="仿宋" w:eastAsia="仿宋" w:cs="Arial"/>
                <w:szCs w:val="21"/>
              </w:rPr>
              <w:t>说明：第2至9项技术参数需提供国家认可的第三方检测机构出具封面带有CMA及CNAS标志的完整检测报告复印件，加盖</w:t>
            </w:r>
            <w:r>
              <w:rPr>
                <w:rFonts w:hint="eastAsia" w:ascii="仿宋" w:hAnsi="仿宋" w:eastAsia="仿宋" w:cs="Arial"/>
                <w:szCs w:val="21"/>
                <w:lang w:eastAsia="zh-CN"/>
              </w:rPr>
              <w:t>供应商公章</w:t>
            </w:r>
            <w:r>
              <w:rPr>
                <w:rFonts w:hint="eastAsia" w:ascii="仿宋" w:hAnsi="仿宋" w:eastAsia="仿宋" w:cs="Arial"/>
                <w:szCs w:val="21"/>
              </w:rPr>
              <w:t>，签订采购合同时提供检测报告原件。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3" w:type="dxa"/>
            <w:shd w:val="clear" w:color="auto" w:fill="auto"/>
            <w:vAlign w:val="center"/>
          </w:tcPr>
          <w:p>
            <w:pPr>
              <w:contextualSpacing/>
              <w:jc w:val="center"/>
              <w:rPr>
                <w:rFonts w:ascii="仿宋" w:hAnsi="仿宋" w:eastAsia="仿宋"/>
                <w:szCs w:val="21"/>
              </w:rPr>
            </w:pPr>
            <w:r>
              <w:rPr>
                <w:rFonts w:hint="eastAsia" w:ascii="仿宋" w:hAnsi="仿宋" w:eastAsia="仿宋"/>
                <w:szCs w:val="21"/>
              </w:rPr>
              <w:t>3</w:t>
            </w:r>
          </w:p>
        </w:tc>
        <w:tc>
          <w:tcPr>
            <w:tcW w:w="1480" w:type="dxa"/>
            <w:shd w:val="clear" w:color="auto" w:fill="auto"/>
            <w:vAlign w:val="center"/>
          </w:tcPr>
          <w:p>
            <w:pPr>
              <w:contextualSpacing/>
              <w:jc w:val="center"/>
              <w:rPr>
                <w:rFonts w:ascii="仿宋" w:hAnsi="仿宋" w:eastAsia="仿宋"/>
                <w:szCs w:val="21"/>
              </w:rPr>
            </w:pPr>
            <w:r>
              <w:rPr>
                <w:rFonts w:hint="eastAsia" w:ascii="仿宋" w:hAnsi="仿宋" w:eastAsia="仿宋" w:cs="Arial"/>
                <w:szCs w:val="21"/>
              </w:rPr>
              <w:t>LED面板灯</w:t>
            </w:r>
          </w:p>
        </w:tc>
        <w:tc>
          <w:tcPr>
            <w:tcW w:w="7036" w:type="dxa"/>
            <w:shd w:val="clear" w:color="auto" w:fill="auto"/>
          </w:tcPr>
          <w:p>
            <w:pPr>
              <w:contextualSpacing/>
              <w:jc w:val="left"/>
              <w:rPr>
                <w:rStyle w:val="284"/>
                <w:rFonts w:hint="default" w:ascii="仿宋" w:hAnsi="仿宋" w:eastAsia="仿宋"/>
                <w:color w:val="auto"/>
                <w:sz w:val="21"/>
                <w:szCs w:val="21"/>
              </w:rPr>
            </w:pPr>
            <w:r>
              <w:rPr>
                <w:rStyle w:val="284"/>
                <w:rFonts w:hint="default" w:ascii="仿宋" w:hAnsi="仿宋" w:eastAsia="仿宋"/>
                <w:color w:val="auto"/>
                <w:sz w:val="21"/>
                <w:szCs w:val="21"/>
              </w:rPr>
              <w:t>1、</w:t>
            </w:r>
            <w:r>
              <w:rPr>
                <w:rFonts w:hint="eastAsia" w:ascii="仿宋" w:hAnsi="仿宋" w:eastAsia="仿宋" w:cs="Arial"/>
                <w:szCs w:val="21"/>
              </w:rPr>
              <w:t>一体式LED灯具；尺寸长度≥600mm；</w:t>
            </w:r>
            <w:r>
              <w:rPr>
                <w:rFonts w:ascii="仿宋" w:hAnsi="仿宋" w:eastAsia="仿宋" w:cs="Arial"/>
                <w:szCs w:val="21"/>
              </w:rPr>
              <w:t>灯</w:t>
            </w:r>
            <w:r>
              <w:rPr>
                <w:rStyle w:val="284"/>
                <w:rFonts w:hint="default" w:ascii="仿宋" w:hAnsi="仿宋" w:eastAsia="仿宋"/>
                <w:color w:val="auto"/>
                <w:sz w:val="21"/>
                <w:szCs w:val="21"/>
              </w:rPr>
              <w:t>具的壳体应采用≥0.04mm铝型材等轻型、坚固金属材料，并经喷涂处理，具备防锈功能；</w:t>
            </w:r>
          </w:p>
          <w:p>
            <w:pPr>
              <w:contextualSpacing/>
              <w:jc w:val="left"/>
              <w:rPr>
                <w:rFonts w:ascii="仿宋" w:hAnsi="仿宋" w:eastAsia="仿宋" w:cs="Arial"/>
                <w:szCs w:val="21"/>
              </w:rPr>
            </w:pPr>
            <w:r>
              <w:rPr>
                <w:rFonts w:hint="eastAsia" w:ascii="仿宋" w:hAnsi="仿宋" w:eastAsia="仿宋"/>
                <w:szCs w:val="21"/>
              </w:rPr>
              <w:t>2、照明功率密度</w:t>
            </w:r>
            <w:r>
              <w:rPr>
                <w:rFonts w:hint="eastAsia" w:ascii="仿宋" w:hAnsi="仿宋" w:eastAsia="仿宋" w:cs="Arial"/>
                <w:szCs w:val="21"/>
              </w:rPr>
              <w:t>≤9W/㎡；</w:t>
            </w:r>
          </w:p>
          <w:p>
            <w:pPr>
              <w:contextualSpacing/>
              <w:rPr>
                <w:rFonts w:ascii="仿宋" w:hAnsi="仿宋" w:eastAsia="仿宋" w:cs="Arial"/>
                <w:szCs w:val="21"/>
              </w:rPr>
            </w:pPr>
            <w:r>
              <w:rPr>
                <w:rFonts w:hint="eastAsia" w:ascii="仿宋" w:hAnsi="仿宋" w:eastAsia="仿宋"/>
                <w:szCs w:val="21"/>
              </w:rPr>
              <w:t>3、</w:t>
            </w:r>
            <w:r>
              <w:rPr>
                <w:rFonts w:hint="eastAsia" w:ascii="仿宋" w:hAnsi="仿宋" w:eastAsia="仿宋" w:cs="Arial"/>
                <w:szCs w:val="21"/>
              </w:rPr>
              <w:t>寿命≥25000小时；</w:t>
            </w:r>
          </w:p>
          <w:p>
            <w:pPr>
              <w:contextualSpacing/>
              <w:jc w:val="left"/>
              <w:rPr>
                <w:rFonts w:ascii="仿宋" w:hAnsi="仿宋" w:eastAsia="仿宋" w:cs="Arial"/>
                <w:szCs w:val="21"/>
              </w:rPr>
            </w:pPr>
            <w:r>
              <w:rPr>
                <w:rFonts w:hint="eastAsia" w:ascii="仿宋" w:hAnsi="仿宋" w:eastAsia="仿宋"/>
                <w:szCs w:val="21"/>
              </w:rPr>
              <w:t>4、</w:t>
            </w:r>
            <w:r>
              <w:rPr>
                <w:rStyle w:val="284"/>
                <w:rFonts w:hint="default" w:ascii="仿宋" w:hAnsi="仿宋" w:eastAsia="仿宋"/>
                <w:color w:val="auto"/>
                <w:sz w:val="21"/>
                <w:szCs w:val="21"/>
              </w:rPr>
              <w:t>维持平均照度≥300lx；</w:t>
            </w:r>
            <w:r>
              <w:rPr>
                <w:rStyle w:val="284"/>
                <w:rFonts w:hint="default" w:ascii="仿宋" w:hAnsi="仿宋" w:eastAsia="仿宋"/>
                <w:color w:val="auto"/>
                <w:sz w:val="21"/>
                <w:szCs w:val="21"/>
              </w:rPr>
              <w:br w:type="textWrapping"/>
            </w:r>
            <w:r>
              <w:rPr>
                <w:rStyle w:val="284"/>
                <w:rFonts w:hint="default" w:ascii="仿宋" w:hAnsi="仿宋" w:eastAsia="仿宋"/>
                <w:color w:val="auto"/>
                <w:sz w:val="21"/>
                <w:szCs w:val="21"/>
              </w:rPr>
              <w:t>5、均匀度≥0.7；</w:t>
            </w:r>
            <w:r>
              <w:rPr>
                <w:rStyle w:val="284"/>
                <w:rFonts w:hint="default" w:ascii="仿宋" w:hAnsi="仿宋" w:eastAsia="仿宋"/>
                <w:color w:val="auto"/>
                <w:sz w:val="21"/>
                <w:szCs w:val="21"/>
              </w:rPr>
              <w:br w:type="textWrapping"/>
            </w:r>
            <w:r>
              <w:rPr>
                <w:rFonts w:hint="eastAsia" w:ascii="仿宋" w:hAnsi="仿宋" w:eastAsia="仿宋" w:cs="Arial"/>
                <w:szCs w:val="21"/>
              </w:rPr>
              <w:t>6</w:t>
            </w:r>
            <w:r>
              <w:rPr>
                <w:rFonts w:hint="eastAsia" w:ascii="仿宋" w:hAnsi="仿宋" w:eastAsia="仿宋"/>
                <w:szCs w:val="21"/>
              </w:rPr>
              <w:t>、统一眩光值≤16；</w:t>
            </w:r>
          </w:p>
          <w:p>
            <w:pPr>
              <w:contextualSpacing/>
              <w:jc w:val="left"/>
              <w:rPr>
                <w:rFonts w:ascii="仿宋" w:hAnsi="仿宋" w:eastAsia="仿宋" w:cs="Arial"/>
                <w:szCs w:val="21"/>
              </w:rPr>
            </w:pPr>
            <w:r>
              <w:rPr>
                <w:rFonts w:hint="eastAsia" w:ascii="仿宋" w:hAnsi="仿宋" w:eastAsia="仿宋"/>
                <w:szCs w:val="21"/>
              </w:rPr>
              <w:t>7、</w:t>
            </w:r>
            <w:r>
              <w:rPr>
                <w:rFonts w:hint="eastAsia" w:ascii="仿宋" w:hAnsi="仿宋" w:eastAsia="仿宋" w:cs="Arial"/>
                <w:szCs w:val="21"/>
              </w:rPr>
              <w:t>LED面板灯色温满足3300K——5300K；</w:t>
            </w:r>
          </w:p>
          <w:p>
            <w:pPr>
              <w:contextualSpacing/>
              <w:rPr>
                <w:rFonts w:ascii="仿宋" w:hAnsi="仿宋" w:eastAsia="仿宋" w:cs="Arial"/>
                <w:szCs w:val="21"/>
              </w:rPr>
            </w:pPr>
            <w:r>
              <w:rPr>
                <w:rFonts w:hint="eastAsia" w:ascii="仿宋" w:hAnsi="仿宋" w:eastAsia="仿宋" w:cs="Arial"/>
                <w:szCs w:val="21"/>
              </w:rPr>
              <w:t>8、LED面板灯显色指数满足Ra≥80；</w:t>
            </w:r>
          </w:p>
          <w:p>
            <w:pPr>
              <w:contextualSpacing/>
              <w:rPr>
                <w:rFonts w:ascii="仿宋" w:hAnsi="仿宋" w:eastAsia="仿宋" w:cs="Arial"/>
                <w:szCs w:val="21"/>
              </w:rPr>
            </w:pPr>
            <w:r>
              <w:rPr>
                <w:rFonts w:hint="eastAsia" w:ascii="仿宋" w:hAnsi="仿宋" w:eastAsia="仿宋" w:cs="Arial"/>
                <w:szCs w:val="21"/>
              </w:rPr>
              <w:t>9、LED面板灯频闪质量特征认证结果为无显著影响或无频闪危害；</w:t>
            </w:r>
          </w:p>
          <w:p>
            <w:pPr>
              <w:pStyle w:val="17"/>
              <w:rPr>
                <w:rFonts w:ascii="仿宋" w:hAnsi="仿宋" w:eastAsia="仿宋"/>
                <w:szCs w:val="21"/>
              </w:rPr>
            </w:pPr>
            <w:r>
              <w:rPr>
                <w:rFonts w:hint="eastAsia" w:ascii="仿宋" w:hAnsi="仿宋" w:eastAsia="仿宋" w:cs="Arial"/>
                <w:szCs w:val="21"/>
              </w:rPr>
              <w:t>10、LED面板灯蓝光危害等级为RG0（0类危险）；</w:t>
            </w:r>
            <w:r>
              <w:rPr>
                <w:rFonts w:ascii="仿宋" w:hAnsi="仿宋" w:eastAsia="仿宋" w:cs="Arial"/>
                <w:szCs w:val="21"/>
              </w:rPr>
              <w:br w:type="textWrapping"/>
            </w:r>
            <w:r>
              <w:rPr>
                <w:rFonts w:hint="eastAsia" w:ascii="仿宋" w:hAnsi="仿宋" w:eastAsia="仿宋"/>
                <w:szCs w:val="21"/>
              </w:rPr>
              <w:t>11、</w:t>
            </w:r>
            <w:r>
              <w:rPr>
                <w:rFonts w:hint="eastAsia" w:ascii="仿宋" w:hAnsi="仿宋" w:eastAsia="仿宋" w:cs="Arial"/>
                <w:szCs w:val="21"/>
              </w:rPr>
              <w:t>LED面板灯密封防尘满足IP40或以上等级要求；</w:t>
            </w:r>
            <w:r>
              <w:rPr>
                <w:rFonts w:ascii="仿宋" w:hAnsi="仿宋" w:eastAsia="仿宋" w:cs="Arial"/>
                <w:szCs w:val="21"/>
              </w:rPr>
              <w:br w:type="textWrapping"/>
            </w:r>
            <w:r>
              <w:rPr>
                <w:rFonts w:hint="eastAsia" w:ascii="仿宋" w:hAnsi="仿宋" w:eastAsia="仿宋" w:cs="Arial"/>
                <w:szCs w:val="21"/>
              </w:rPr>
              <w:t>说明：第2至11项技术参数需提供国家认可的第三方检测机构出具封面带有CMA及CNAS标志的完整检测报告复印件，加盖</w:t>
            </w:r>
            <w:r>
              <w:rPr>
                <w:rFonts w:hint="eastAsia" w:ascii="仿宋" w:hAnsi="仿宋" w:eastAsia="仿宋" w:cs="Arial"/>
                <w:szCs w:val="21"/>
                <w:lang w:eastAsia="zh-CN"/>
              </w:rPr>
              <w:t>供应商公章</w:t>
            </w:r>
            <w:r>
              <w:rPr>
                <w:rFonts w:hint="eastAsia" w:ascii="仿宋" w:hAnsi="仿宋" w:eastAsia="仿宋" w:cs="Arial"/>
                <w:szCs w:val="21"/>
              </w:rPr>
              <w:t>，签订采购合同时提供检测报告原件</w:t>
            </w:r>
            <w:r>
              <w:rPr>
                <w:rFonts w:hint="eastAsia" w:ascii="仿宋" w:hAnsi="仿宋"/>
                <w:color w:val="FF0000"/>
              </w:rPr>
              <w:t>。</w:t>
            </w:r>
          </w:p>
        </w:tc>
      </w:tr>
    </w:tbl>
    <w:p/>
    <w:p>
      <w:pPr>
        <w:bidi w:val="0"/>
        <w:rPr>
          <w:rFonts w:ascii="仿宋" w:hAnsi="仿宋" w:eastAsia="仿宋"/>
          <w:sz w:val="28"/>
          <w:szCs w:val="28"/>
        </w:rPr>
      </w:pPr>
      <w:r>
        <w:rPr>
          <w:rFonts w:hint="eastAsia" w:ascii="仿宋" w:hAnsi="仿宋" w:eastAsia="仿宋"/>
          <w:sz w:val="24"/>
        </w:rPr>
        <w:t>★</w:t>
      </w:r>
      <w:r>
        <w:rPr>
          <w:rFonts w:hint="eastAsia" w:ascii="仿宋" w:hAnsi="仿宋" w:eastAsia="仿宋"/>
          <w:sz w:val="28"/>
          <w:szCs w:val="28"/>
        </w:rPr>
        <w:t>三、商务要求</w:t>
      </w:r>
      <w:r>
        <w:rPr>
          <w:rFonts w:hint="eastAsia" w:ascii="仿宋" w:hAnsi="仿宋" w:eastAsia="仿宋"/>
          <w:sz w:val="28"/>
          <w:szCs w:val="28"/>
          <w:highlight w:val="yellow"/>
        </w:rPr>
        <w:t>（磋商过程中可实质性变动的事项）</w:t>
      </w:r>
    </w:p>
    <w:p>
      <w:pPr>
        <w:spacing w:line="480" w:lineRule="exact"/>
        <w:contextualSpacing/>
        <w:rPr>
          <w:rFonts w:ascii="仿宋" w:hAnsi="仿宋" w:eastAsia="仿宋"/>
          <w:b/>
          <w:sz w:val="24"/>
        </w:rPr>
      </w:pPr>
      <w:r>
        <w:rPr>
          <w:rFonts w:hint="eastAsia" w:ascii="仿宋" w:hAnsi="仿宋" w:eastAsia="仿宋"/>
          <w:b/>
          <w:sz w:val="24"/>
        </w:rPr>
        <w:t>1、交货期及地点：</w:t>
      </w:r>
    </w:p>
    <w:p>
      <w:pPr>
        <w:spacing w:line="480" w:lineRule="exact"/>
        <w:contextualSpacing/>
        <w:rPr>
          <w:rFonts w:ascii="仿宋" w:hAnsi="仿宋" w:eastAsia="仿宋"/>
          <w:sz w:val="24"/>
        </w:rPr>
      </w:pPr>
      <w:r>
        <w:rPr>
          <w:rFonts w:hint="eastAsia" w:ascii="仿宋" w:hAnsi="仿宋" w:eastAsia="仿宋"/>
          <w:sz w:val="24"/>
        </w:rPr>
        <w:t xml:space="preserve">1.1. </w:t>
      </w:r>
      <w:r>
        <w:rPr>
          <w:rFonts w:hint="eastAsia"/>
          <w:lang w:eastAsia="zh-CN"/>
        </w:rPr>
        <w:t>合同履行期限</w:t>
      </w:r>
      <w:r>
        <w:rPr>
          <w:rFonts w:hint="eastAsia" w:ascii="仿宋" w:hAnsi="仿宋" w:eastAsia="仿宋"/>
          <w:sz w:val="24"/>
        </w:rPr>
        <w:t>：</w:t>
      </w:r>
    </w:p>
    <w:p>
      <w:pPr>
        <w:spacing w:line="480" w:lineRule="exact"/>
        <w:ind w:firstLine="240" w:firstLineChars="100"/>
        <w:contextualSpacing/>
        <w:rPr>
          <w:rFonts w:ascii="仿宋" w:hAnsi="仿宋" w:eastAsia="仿宋"/>
          <w:sz w:val="24"/>
        </w:rPr>
      </w:pPr>
      <w:r>
        <w:rPr>
          <w:rFonts w:hint="eastAsia" w:ascii="仿宋" w:hAnsi="仿宋" w:eastAsia="仿宋"/>
          <w:sz w:val="24"/>
        </w:rPr>
        <w:t>① 采购合同生效之日起</w:t>
      </w:r>
      <w:r>
        <w:rPr>
          <w:rFonts w:ascii="仿宋" w:hAnsi="仿宋" w:eastAsia="仿宋"/>
          <w:sz w:val="24"/>
        </w:rPr>
        <w:t>1</w:t>
      </w:r>
      <w:r>
        <w:rPr>
          <w:rFonts w:hint="eastAsia" w:ascii="仿宋" w:hAnsi="仿宋" w:eastAsia="仿宋"/>
          <w:sz w:val="24"/>
        </w:rPr>
        <w:t>5日内完成供货并安装完毕。其中样板间需在采购合同生效之日起一个日历日内安装完毕，在</w:t>
      </w:r>
      <w:r>
        <w:rPr>
          <w:rFonts w:ascii="仿宋" w:hAnsi="仿宋" w:eastAsia="仿宋"/>
          <w:sz w:val="24"/>
        </w:rPr>
        <w:t>2</w:t>
      </w:r>
      <w:r>
        <w:rPr>
          <w:rFonts w:hint="eastAsia" w:ascii="仿宋" w:hAnsi="仿宋" w:eastAsia="仿宋"/>
          <w:sz w:val="24"/>
        </w:rPr>
        <w:t>个日历日内完成检测并出具</w:t>
      </w:r>
      <w:r>
        <w:rPr>
          <w:rFonts w:hint="eastAsia" w:ascii="仿宋" w:hAnsi="仿宋" w:eastAsia="仿宋"/>
          <w:sz w:val="24"/>
          <w:lang w:val="en-US" w:eastAsia="zh-CN"/>
        </w:rPr>
        <w:t>带CMA标识的合格</w:t>
      </w:r>
      <w:r>
        <w:rPr>
          <w:rFonts w:hint="eastAsia" w:ascii="仿宋" w:hAnsi="仿宋" w:eastAsia="仿宋"/>
          <w:sz w:val="24"/>
        </w:rPr>
        <w:t>检测报告</w:t>
      </w:r>
      <w:r>
        <w:rPr>
          <w:rFonts w:hint="eastAsia" w:ascii="仿宋" w:hAnsi="仿宋" w:eastAsia="仿宋"/>
          <w:sz w:val="24"/>
          <w:lang w:eastAsia="zh-CN"/>
        </w:rPr>
        <w:t>（</w:t>
      </w:r>
      <w:r>
        <w:rPr>
          <w:rFonts w:ascii="仿宋" w:hAnsi="仿宋" w:eastAsia="仿宋" w:cs="宋体"/>
        </w:rPr>
        <w:t>检测指标至少包括①课桌面维持平均照度；②黑板面维持平均照度；③课桌面均匀度；④黑板面均匀度；⑤照明功率密度；⑥统一眩光值；⑦频闪</w:t>
      </w:r>
      <w:r>
        <w:rPr>
          <w:rFonts w:hint="eastAsia" w:ascii="仿宋" w:hAnsi="仿宋" w:eastAsia="仿宋"/>
          <w:sz w:val="24"/>
          <w:lang w:eastAsia="zh-CN"/>
        </w:rPr>
        <w:t>）</w:t>
      </w:r>
      <w:r>
        <w:rPr>
          <w:rFonts w:hint="eastAsia" w:ascii="仿宋" w:hAnsi="仿宋" w:eastAsia="仿宋"/>
          <w:sz w:val="24"/>
        </w:rPr>
        <w:t>。</w:t>
      </w:r>
    </w:p>
    <w:p>
      <w:pPr>
        <w:spacing w:line="480" w:lineRule="exact"/>
        <w:ind w:firstLine="240" w:firstLineChars="100"/>
        <w:contextualSpacing/>
        <w:rPr>
          <w:rFonts w:ascii="仿宋" w:hAnsi="仿宋" w:eastAsia="仿宋"/>
          <w:sz w:val="24"/>
        </w:rPr>
      </w:pPr>
      <w:r>
        <w:rPr>
          <w:rFonts w:hint="eastAsia" w:ascii="仿宋" w:hAnsi="仿宋" w:eastAsia="仿宋"/>
          <w:sz w:val="24"/>
        </w:rPr>
        <w:t>②安装需分三个阶段：</w:t>
      </w:r>
    </w:p>
    <w:p>
      <w:pPr>
        <w:spacing w:line="480" w:lineRule="exact"/>
        <w:ind w:firstLine="240" w:firstLineChars="100"/>
        <w:contextualSpacing/>
        <w:rPr>
          <w:rFonts w:ascii="仿宋" w:hAnsi="仿宋" w:eastAsia="仿宋"/>
          <w:sz w:val="24"/>
        </w:rPr>
      </w:pPr>
      <w:r>
        <w:rPr>
          <w:rFonts w:hint="eastAsia" w:ascii="仿宋" w:hAnsi="仿宋" w:eastAsia="仿宋"/>
          <w:sz w:val="24"/>
        </w:rPr>
        <w:t>第一阶段：样板间（1间）安装，安装检验合格（须具有检测资质的第三方检测机构出具</w:t>
      </w:r>
      <w:r>
        <w:rPr>
          <w:rFonts w:hint="eastAsia" w:ascii="仿宋" w:hAnsi="仿宋" w:eastAsia="仿宋"/>
          <w:sz w:val="24"/>
          <w:lang w:val="en-US" w:eastAsia="zh-CN"/>
        </w:rPr>
        <w:t>带CMA标识的</w:t>
      </w:r>
      <w:r>
        <w:rPr>
          <w:rFonts w:hint="eastAsia" w:ascii="仿宋" w:hAnsi="仿宋" w:eastAsia="仿宋"/>
          <w:sz w:val="24"/>
        </w:rPr>
        <w:t>检测报告，且结论为合格）后进行第二阶段；</w:t>
      </w:r>
    </w:p>
    <w:p>
      <w:pPr>
        <w:spacing w:line="480" w:lineRule="exact"/>
        <w:ind w:firstLine="240" w:firstLineChars="100"/>
        <w:contextualSpacing/>
        <w:rPr>
          <w:rFonts w:ascii="仿宋" w:hAnsi="仿宋" w:eastAsia="仿宋"/>
          <w:sz w:val="24"/>
        </w:rPr>
      </w:pPr>
      <w:r>
        <w:rPr>
          <w:rFonts w:hint="eastAsia" w:ascii="仿宋" w:hAnsi="仿宋" w:eastAsia="仿宋"/>
          <w:sz w:val="24"/>
        </w:rPr>
        <w:t>第二阶段：完成其余场室安装；</w:t>
      </w:r>
    </w:p>
    <w:p>
      <w:pPr>
        <w:spacing w:line="480" w:lineRule="exact"/>
        <w:ind w:firstLine="240" w:firstLineChars="100"/>
        <w:contextualSpacing/>
        <w:rPr>
          <w:rFonts w:ascii="仿宋" w:hAnsi="仿宋" w:eastAsia="仿宋"/>
          <w:sz w:val="24"/>
        </w:rPr>
      </w:pPr>
      <w:r>
        <w:rPr>
          <w:rFonts w:hint="eastAsia" w:ascii="仿宋" w:hAnsi="仿宋" w:eastAsia="仿宋"/>
          <w:sz w:val="24"/>
        </w:rPr>
        <w:t>第三阶段：除样板间外，</w:t>
      </w:r>
      <w:r>
        <w:rPr>
          <w:rFonts w:hint="eastAsia" w:ascii="仿宋" w:hAnsi="仿宋" w:eastAsia="仿宋"/>
          <w:sz w:val="24"/>
          <w:lang w:eastAsia="zh-CN"/>
        </w:rPr>
        <w:t>成交供应商</w:t>
      </w:r>
      <w:r>
        <w:rPr>
          <w:rFonts w:hint="eastAsia" w:ascii="仿宋" w:hAnsi="仿宋" w:eastAsia="仿宋"/>
          <w:sz w:val="24"/>
        </w:rPr>
        <w:t>对所有场室进行第三方检测或自行检测，检测合格并移交设计方案、建设方案、产品合格证明材料等后，通知</w:t>
      </w:r>
      <w:r>
        <w:rPr>
          <w:rFonts w:hint="eastAsia" w:ascii="仿宋" w:hAnsi="仿宋" w:eastAsia="仿宋"/>
          <w:sz w:val="24"/>
          <w:highlight w:val="yellow"/>
          <w:lang w:val="en-US" w:eastAsia="zh-CN"/>
        </w:rPr>
        <w:t>采购人</w:t>
      </w:r>
      <w:r>
        <w:rPr>
          <w:rFonts w:hint="eastAsia" w:ascii="仿宋" w:hAnsi="仿宋" w:eastAsia="仿宋"/>
          <w:sz w:val="24"/>
        </w:rPr>
        <w:t>进行初步验收的工作。</w:t>
      </w:r>
    </w:p>
    <w:p>
      <w:pPr>
        <w:spacing w:line="480" w:lineRule="exact"/>
        <w:ind w:firstLine="240" w:firstLineChars="100"/>
        <w:contextualSpacing/>
        <w:rPr>
          <w:rFonts w:ascii="仿宋" w:hAnsi="仿宋" w:eastAsia="仿宋"/>
          <w:sz w:val="24"/>
        </w:rPr>
      </w:pPr>
      <w:r>
        <w:rPr>
          <w:rFonts w:hint="eastAsia" w:ascii="仿宋" w:hAnsi="仿宋" w:eastAsia="仿宋"/>
          <w:sz w:val="24"/>
        </w:rPr>
        <w:t>③初步验收合格后，</w:t>
      </w:r>
      <w:r>
        <w:rPr>
          <w:rFonts w:hint="eastAsia" w:ascii="仿宋" w:hAnsi="仿宋" w:eastAsia="仿宋"/>
          <w:sz w:val="24"/>
          <w:highlight w:val="yellow"/>
        </w:rPr>
        <w:t>试运行一个月</w:t>
      </w:r>
      <w:r>
        <w:rPr>
          <w:rFonts w:hint="eastAsia" w:ascii="仿宋" w:hAnsi="仿宋" w:eastAsia="仿宋"/>
          <w:sz w:val="24"/>
        </w:rPr>
        <w:t>，且无质量问题，</w:t>
      </w:r>
      <w:r>
        <w:rPr>
          <w:rFonts w:hint="eastAsia" w:ascii="仿宋" w:hAnsi="仿宋" w:eastAsia="仿宋"/>
          <w:sz w:val="24"/>
          <w:lang w:eastAsia="zh-CN"/>
        </w:rPr>
        <w:t>成交供应商</w:t>
      </w:r>
      <w:r>
        <w:rPr>
          <w:rFonts w:hint="eastAsia" w:ascii="仿宋" w:hAnsi="仿宋" w:eastAsia="仿宋"/>
          <w:sz w:val="24"/>
        </w:rPr>
        <w:t>书面通知采购人进行最终验收。</w:t>
      </w:r>
    </w:p>
    <w:p>
      <w:pPr>
        <w:spacing w:line="480" w:lineRule="exact"/>
        <w:contextualSpacing/>
        <w:rPr>
          <w:rFonts w:ascii="仿宋" w:hAnsi="仿宋" w:eastAsia="仿宋"/>
          <w:sz w:val="24"/>
        </w:rPr>
      </w:pPr>
      <w:r>
        <w:rPr>
          <w:rFonts w:hint="eastAsia" w:ascii="仿宋" w:hAnsi="仿宋" w:eastAsia="仿宋"/>
          <w:sz w:val="24"/>
        </w:rPr>
        <w:t>1.2</w:t>
      </w:r>
      <w:r>
        <w:rPr>
          <w:rFonts w:ascii="仿宋" w:hAnsi="仿宋" w:eastAsia="仿宋"/>
          <w:sz w:val="24"/>
        </w:rPr>
        <w:t>.</w:t>
      </w:r>
      <w:r>
        <w:rPr>
          <w:rFonts w:hint="eastAsia" w:ascii="仿宋" w:hAnsi="仿宋" w:eastAsia="仿宋"/>
          <w:sz w:val="24"/>
        </w:rPr>
        <w:t xml:space="preserve"> 交货地点: 学校</w:t>
      </w:r>
    </w:p>
    <w:p>
      <w:pPr>
        <w:spacing w:line="480" w:lineRule="exact"/>
        <w:contextualSpacing/>
        <w:rPr>
          <w:rFonts w:ascii="仿宋" w:hAnsi="仿宋" w:eastAsia="仿宋"/>
          <w:bCs/>
          <w:sz w:val="24"/>
        </w:rPr>
      </w:pPr>
      <w:r>
        <w:rPr>
          <w:rFonts w:hint="eastAsia" w:ascii="仿宋" w:hAnsi="仿宋" w:eastAsia="仿宋"/>
          <w:b/>
          <w:sz w:val="24"/>
        </w:rPr>
        <w:t>2、付款方法和条件：</w:t>
      </w:r>
    </w:p>
    <w:p>
      <w:pPr>
        <w:spacing w:line="480" w:lineRule="exact"/>
        <w:contextualSpacing/>
        <w:rPr>
          <w:rFonts w:ascii="仿宋" w:hAnsi="仿宋" w:eastAsia="仿宋"/>
          <w:bCs/>
          <w:sz w:val="24"/>
        </w:rPr>
      </w:pPr>
      <w:r>
        <w:rPr>
          <w:rFonts w:hint="eastAsia" w:ascii="仿宋" w:hAnsi="仿宋" w:eastAsia="仿宋"/>
          <w:bCs/>
          <w:sz w:val="24"/>
        </w:rPr>
        <w:t>2.1</w:t>
      </w:r>
      <w:r>
        <w:rPr>
          <w:rFonts w:ascii="仿宋" w:hAnsi="仿宋" w:eastAsia="仿宋"/>
          <w:bCs/>
          <w:sz w:val="24"/>
        </w:rPr>
        <w:t>.</w:t>
      </w:r>
      <w:r>
        <w:rPr>
          <w:rFonts w:hint="eastAsia" w:ascii="仿宋" w:hAnsi="仿宋" w:eastAsia="仿宋"/>
          <w:bCs/>
          <w:sz w:val="24"/>
        </w:rPr>
        <w:t>采购人以转账方式向</w:t>
      </w:r>
      <w:r>
        <w:rPr>
          <w:rFonts w:hint="eastAsia" w:ascii="仿宋" w:hAnsi="仿宋" w:eastAsia="仿宋"/>
          <w:bCs/>
          <w:sz w:val="24"/>
          <w:lang w:eastAsia="zh-CN"/>
        </w:rPr>
        <w:t>成交供应商</w:t>
      </w:r>
      <w:r>
        <w:rPr>
          <w:rFonts w:hint="eastAsia" w:ascii="仿宋" w:hAnsi="仿宋" w:eastAsia="仿宋"/>
          <w:bCs/>
          <w:sz w:val="24"/>
        </w:rPr>
        <w:t>指定账户支付。</w:t>
      </w:r>
    </w:p>
    <w:p>
      <w:pPr>
        <w:spacing w:line="480" w:lineRule="exact"/>
        <w:contextualSpacing/>
        <w:rPr>
          <w:rFonts w:ascii="仿宋" w:hAnsi="仿宋" w:eastAsia="仿宋"/>
          <w:bCs/>
          <w:sz w:val="24"/>
          <w:highlight w:val="yellow"/>
        </w:rPr>
      </w:pPr>
      <w:r>
        <w:rPr>
          <w:rFonts w:hint="eastAsia" w:ascii="仿宋" w:hAnsi="仿宋" w:eastAsia="仿宋"/>
          <w:bCs/>
          <w:sz w:val="24"/>
        </w:rPr>
        <w:t>2</w:t>
      </w:r>
      <w:r>
        <w:rPr>
          <w:rFonts w:ascii="仿宋" w:hAnsi="仿宋" w:eastAsia="仿宋"/>
          <w:bCs/>
          <w:sz w:val="24"/>
        </w:rPr>
        <w:t>.2.</w:t>
      </w:r>
      <w:r>
        <w:rPr>
          <w:rFonts w:hint="eastAsia" w:ascii="仿宋" w:hAnsi="仿宋" w:eastAsia="仿宋"/>
          <w:bCs/>
          <w:sz w:val="24"/>
        </w:rPr>
        <w:t>初验合格后</w:t>
      </w:r>
      <w:r>
        <w:rPr>
          <w:rFonts w:hint="eastAsia" w:ascii="仿宋" w:hAnsi="仿宋" w:eastAsia="仿宋"/>
          <w:bCs/>
          <w:sz w:val="24"/>
          <w:lang w:val="en-US" w:eastAsia="zh-CN"/>
        </w:rPr>
        <w:t>且</w:t>
      </w:r>
      <w:r>
        <w:rPr>
          <w:rFonts w:hint="eastAsia"/>
          <w:lang w:eastAsia="zh-CN"/>
        </w:rPr>
        <w:t>收到发票后</w:t>
      </w:r>
      <w:r>
        <w:rPr>
          <w:rFonts w:hint="eastAsia"/>
          <w:lang w:val="en-US" w:eastAsia="zh-CN"/>
        </w:rPr>
        <w:t>30日内</w:t>
      </w:r>
      <w:r>
        <w:rPr>
          <w:rFonts w:hint="eastAsia" w:ascii="仿宋" w:hAnsi="仿宋" w:eastAsia="仿宋"/>
          <w:bCs/>
          <w:sz w:val="24"/>
        </w:rPr>
        <w:t>，采购人向</w:t>
      </w:r>
      <w:r>
        <w:rPr>
          <w:rFonts w:hint="eastAsia" w:ascii="仿宋" w:hAnsi="仿宋" w:eastAsia="仿宋"/>
          <w:bCs/>
          <w:sz w:val="24"/>
          <w:lang w:eastAsia="zh-CN"/>
        </w:rPr>
        <w:t>成交供应商</w:t>
      </w:r>
      <w:r>
        <w:rPr>
          <w:rFonts w:hint="eastAsia" w:ascii="仿宋" w:hAnsi="仿宋" w:eastAsia="仿宋"/>
          <w:bCs/>
          <w:sz w:val="24"/>
        </w:rPr>
        <w:t>支付据实结算货款的50%，</w:t>
      </w:r>
      <w:r>
        <w:rPr>
          <w:rFonts w:hint="eastAsia" w:ascii="仿宋" w:hAnsi="仿宋" w:eastAsia="仿宋"/>
          <w:bCs/>
          <w:sz w:val="24"/>
          <w:highlight w:val="yellow"/>
        </w:rPr>
        <w:t>其余50%的货款在终验合格且</w:t>
      </w:r>
      <w:r>
        <w:rPr>
          <w:rFonts w:hint="eastAsia"/>
          <w:lang w:eastAsia="zh-CN"/>
        </w:rPr>
        <w:t>收到发票后</w:t>
      </w:r>
      <w:r>
        <w:rPr>
          <w:rFonts w:hint="eastAsia"/>
          <w:lang w:val="en-US" w:eastAsia="zh-CN"/>
        </w:rPr>
        <w:t>30日内</w:t>
      </w:r>
      <w:r>
        <w:rPr>
          <w:rFonts w:hint="eastAsia" w:ascii="仿宋" w:hAnsi="仿宋" w:eastAsia="仿宋"/>
          <w:bCs/>
          <w:sz w:val="24"/>
          <w:highlight w:val="yellow"/>
        </w:rPr>
        <w:t>支付给</w:t>
      </w:r>
      <w:r>
        <w:rPr>
          <w:rFonts w:hint="eastAsia" w:ascii="仿宋" w:hAnsi="仿宋" w:eastAsia="仿宋"/>
          <w:bCs/>
          <w:sz w:val="24"/>
          <w:highlight w:val="yellow"/>
          <w:lang w:eastAsia="zh-CN"/>
        </w:rPr>
        <w:t>成交供应商</w:t>
      </w:r>
      <w:r>
        <w:rPr>
          <w:rFonts w:hint="eastAsia" w:ascii="仿宋" w:hAnsi="仿宋" w:eastAsia="仿宋"/>
          <w:bCs/>
          <w:sz w:val="24"/>
          <w:highlight w:val="yellow"/>
        </w:rPr>
        <w:t>。</w:t>
      </w:r>
    </w:p>
    <w:p>
      <w:pPr>
        <w:spacing w:line="480" w:lineRule="exact"/>
        <w:contextualSpacing/>
        <w:rPr>
          <w:rFonts w:ascii="仿宋" w:hAnsi="仿宋" w:eastAsia="仿宋"/>
          <w:bCs/>
          <w:sz w:val="24"/>
        </w:rPr>
      </w:pPr>
      <w:r>
        <w:rPr>
          <w:rFonts w:hint="eastAsia" w:ascii="仿宋" w:hAnsi="仿宋" w:eastAsia="仿宋"/>
          <w:bCs/>
          <w:sz w:val="24"/>
        </w:rPr>
        <w:t>2</w:t>
      </w:r>
      <w:r>
        <w:rPr>
          <w:rFonts w:ascii="仿宋" w:hAnsi="仿宋" w:eastAsia="仿宋"/>
          <w:bCs/>
          <w:sz w:val="24"/>
        </w:rPr>
        <w:t>.3</w:t>
      </w:r>
      <w:r>
        <w:rPr>
          <w:rFonts w:hint="eastAsia" w:ascii="仿宋" w:hAnsi="仿宋" w:eastAsia="仿宋"/>
          <w:bCs/>
          <w:sz w:val="24"/>
        </w:rPr>
        <w:t>开票要求：</w:t>
      </w:r>
    </w:p>
    <w:p>
      <w:pPr>
        <w:spacing w:line="480" w:lineRule="exact"/>
        <w:ind w:firstLine="240" w:firstLineChars="100"/>
        <w:contextualSpacing/>
        <w:rPr>
          <w:rFonts w:ascii="仿宋" w:hAnsi="仿宋" w:eastAsia="仿宋"/>
          <w:bCs/>
          <w:sz w:val="24"/>
        </w:rPr>
      </w:pPr>
      <w:r>
        <w:rPr>
          <w:rFonts w:hint="eastAsia" w:ascii="仿宋" w:hAnsi="仿宋" w:eastAsia="仿宋"/>
          <w:bCs/>
          <w:sz w:val="24"/>
        </w:rPr>
        <w:t>①</w:t>
      </w:r>
      <w:r>
        <w:rPr>
          <w:rFonts w:hint="eastAsia" w:ascii="仿宋" w:hAnsi="仿宋" w:eastAsia="仿宋"/>
          <w:bCs/>
          <w:sz w:val="24"/>
          <w:lang w:eastAsia="zh-CN"/>
        </w:rPr>
        <w:t>成交供应商</w:t>
      </w:r>
      <w:r>
        <w:rPr>
          <w:rFonts w:hint="eastAsia" w:ascii="仿宋" w:hAnsi="仿宋" w:eastAsia="仿宋"/>
          <w:bCs/>
          <w:sz w:val="24"/>
        </w:rPr>
        <w:t>必须在付款要素均具备的情况下才能开票，包括验收达到采购人要求、提供经采购人认可的验收合格报告（初验或终验）、设备正常运行期达到付款期限等，如果条件不具备，</w:t>
      </w:r>
      <w:r>
        <w:rPr>
          <w:rFonts w:hint="eastAsia" w:ascii="仿宋" w:hAnsi="仿宋" w:eastAsia="仿宋"/>
          <w:bCs/>
          <w:sz w:val="24"/>
          <w:lang w:eastAsia="zh-CN"/>
        </w:rPr>
        <w:t>成交供应商</w:t>
      </w:r>
      <w:r>
        <w:rPr>
          <w:rFonts w:hint="eastAsia" w:ascii="仿宋" w:hAnsi="仿宋" w:eastAsia="仿宋"/>
          <w:bCs/>
          <w:sz w:val="24"/>
        </w:rPr>
        <w:t>提前开票，采购人将拒绝接收。</w:t>
      </w:r>
    </w:p>
    <w:p>
      <w:pPr>
        <w:spacing w:line="480" w:lineRule="exact"/>
        <w:ind w:firstLine="240" w:firstLineChars="100"/>
        <w:contextualSpacing/>
        <w:rPr>
          <w:rFonts w:hint="eastAsia" w:ascii="仿宋" w:hAnsi="仿宋" w:eastAsia="仿宋"/>
          <w:bCs/>
          <w:sz w:val="24"/>
        </w:rPr>
      </w:pPr>
      <w:r>
        <w:rPr>
          <w:rFonts w:hint="eastAsia" w:ascii="仿宋" w:hAnsi="仿宋" w:eastAsia="仿宋"/>
          <w:bCs/>
          <w:sz w:val="24"/>
        </w:rPr>
        <w:t>②达到开票条件后，开具本项目采购内容对应的发票。发票必须由</w:t>
      </w:r>
      <w:r>
        <w:rPr>
          <w:rFonts w:hint="eastAsia" w:ascii="仿宋" w:hAnsi="仿宋" w:eastAsia="仿宋"/>
          <w:bCs/>
          <w:sz w:val="24"/>
          <w:lang w:eastAsia="zh-CN"/>
        </w:rPr>
        <w:t>成交供应商</w:t>
      </w:r>
      <w:r>
        <w:rPr>
          <w:rFonts w:hint="eastAsia" w:ascii="仿宋" w:hAnsi="仿宋" w:eastAsia="仿宋"/>
          <w:bCs/>
          <w:sz w:val="24"/>
        </w:rPr>
        <w:t>专人送达，采购人不接受邮寄和快递等方式。</w:t>
      </w:r>
    </w:p>
    <w:p>
      <w:pPr>
        <w:spacing w:line="480" w:lineRule="exact"/>
        <w:ind w:firstLine="241" w:firstLineChars="100"/>
        <w:contextualSpacing/>
        <w:rPr>
          <w:rFonts w:hint="eastAsia" w:ascii="仿宋" w:hAnsi="仿宋" w:eastAsia="仿宋"/>
          <w:b/>
          <w:bCs w:val="0"/>
          <w:sz w:val="24"/>
          <w:lang w:eastAsia="zh-CN"/>
        </w:rPr>
      </w:pPr>
      <w:r>
        <w:rPr>
          <w:rFonts w:hint="eastAsia" w:ascii="仿宋" w:hAnsi="仿宋" w:eastAsia="仿宋"/>
          <w:b/>
          <w:bCs w:val="0"/>
          <w:sz w:val="24"/>
          <w:lang w:eastAsia="zh-CN"/>
        </w:rPr>
        <w:t>逾期支付的违约责任</w:t>
      </w:r>
    </w:p>
    <w:p>
      <w:pPr>
        <w:spacing w:line="480" w:lineRule="exact"/>
        <w:ind w:firstLine="240" w:firstLineChars="100"/>
        <w:contextualSpacing/>
        <w:rPr>
          <w:rFonts w:hint="eastAsia" w:ascii="仿宋" w:hAnsi="仿宋" w:eastAsia="仿宋"/>
          <w:bCs/>
          <w:sz w:val="24"/>
        </w:rPr>
      </w:pPr>
      <w:r>
        <w:rPr>
          <w:rFonts w:hint="eastAsia" w:ascii="仿宋" w:hAnsi="仿宋" w:eastAsia="仿宋"/>
          <w:bCs/>
          <w:sz w:val="24"/>
        </w:rPr>
        <w:t>甲方无正当理由拒收货物的，甲方应偿付合同总价百分之五的违约金；</w:t>
      </w:r>
      <w:r>
        <w:rPr>
          <w:rFonts w:hint="eastAsia" w:ascii="仿宋" w:hAnsi="仿宋" w:eastAsia="仿宋"/>
          <w:bCs/>
          <w:sz w:val="24"/>
        </w:rPr>
        <w:br w:type="textWrapping"/>
      </w:r>
      <w:r>
        <w:rPr>
          <w:rFonts w:hint="eastAsia" w:ascii="仿宋" w:hAnsi="仿宋" w:eastAsia="仿宋"/>
          <w:bCs/>
          <w:sz w:val="24"/>
        </w:rPr>
        <w:t>甲方逾期支付货款的，除应及时付足货款外，应向乙方偿付欠款总额万分之五/天的违约金；逾期付款超过六十 天的，乙方有权终止合同；</w:t>
      </w:r>
    </w:p>
    <w:p>
      <w:pPr>
        <w:spacing w:line="480" w:lineRule="exact"/>
        <w:contextualSpacing/>
        <w:rPr>
          <w:rFonts w:ascii="仿宋" w:hAnsi="仿宋" w:eastAsia="仿宋"/>
          <w:b/>
          <w:sz w:val="24"/>
        </w:rPr>
      </w:pPr>
      <w:r>
        <w:rPr>
          <w:rFonts w:hint="eastAsia" w:ascii="仿宋" w:hAnsi="仿宋" w:eastAsia="仿宋"/>
          <w:b/>
          <w:sz w:val="24"/>
        </w:rPr>
        <w:t>3、质保期及服务要求：</w:t>
      </w:r>
    </w:p>
    <w:p>
      <w:pPr>
        <w:spacing w:line="480" w:lineRule="exact"/>
        <w:contextualSpacing/>
        <w:rPr>
          <w:rFonts w:ascii="仿宋" w:hAnsi="仿宋" w:eastAsia="仿宋"/>
          <w:sz w:val="24"/>
        </w:rPr>
      </w:pPr>
      <w:r>
        <w:rPr>
          <w:rFonts w:hint="eastAsia" w:ascii="仿宋" w:hAnsi="仿宋" w:eastAsia="仿宋"/>
          <w:sz w:val="24"/>
        </w:rPr>
        <w:t>3</w:t>
      </w:r>
      <w:r>
        <w:rPr>
          <w:rFonts w:ascii="仿宋" w:hAnsi="仿宋" w:eastAsia="仿宋"/>
          <w:sz w:val="24"/>
        </w:rPr>
        <w:t>.1</w:t>
      </w:r>
      <w:r>
        <w:rPr>
          <w:rFonts w:hint="eastAsia" w:ascii="仿宋" w:hAnsi="仿宋" w:eastAsia="仿宋"/>
          <w:sz w:val="24"/>
        </w:rPr>
        <w:t>.本项目整体质保期为终验验收合格签字之日起</w:t>
      </w:r>
      <w:r>
        <w:rPr>
          <w:rFonts w:hint="eastAsia" w:ascii="仿宋" w:hAnsi="仿宋" w:eastAsia="仿宋"/>
          <w:sz w:val="24"/>
          <w:highlight w:val="yellow"/>
        </w:rPr>
        <w:t>72</w:t>
      </w:r>
      <w:r>
        <w:rPr>
          <w:rFonts w:hint="eastAsia" w:ascii="仿宋" w:hAnsi="仿宋" w:eastAsia="仿宋"/>
          <w:sz w:val="24"/>
        </w:rPr>
        <w:t>个月（实际的质保期按照</w:t>
      </w:r>
      <w:r>
        <w:rPr>
          <w:rFonts w:hint="eastAsia" w:ascii="仿宋" w:hAnsi="仿宋" w:eastAsia="仿宋"/>
          <w:sz w:val="24"/>
          <w:lang w:eastAsia="zh-CN"/>
        </w:rPr>
        <w:t>成交供应商</w:t>
      </w:r>
      <w:r>
        <w:rPr>
          <w:rFonts w:hint="eastAsia" w:ascii="仿宋" w:hAnsi="仿宋" w:eastAsia="仿宋"/>
          <w:sz w:val="24"/>
        </w:rPr>
        <w:t>在投标文件中的承诺（响应）为准，但不能少于</w:t>
      </w:r>
      <w:r>
        <w:rPr>
          <w:rFonts w:hint="eastAsia" w:ascii="仿宋" w:hAnsi="仿宋" w:eastAsia="仿宋"/>
          <w:sz w:val="24"/>
          <w:highlight w:val="yellow"/>
        </w:rPr>
        <w:t>72</w:t>
      </w:r>
      <w:r>
        <w:rPr>
          <w:rFonts w:hint="eastAsia" w:ascii="仿宋" w:hAnsi="仿宋" w:eastAsia="仿宋"/>
          <w:sz w:val="24"/>
        </w:rPr>
        <w:t>个月，否则做</w:t>
      </w:r>
      <w:r>
        <w:rPr>
          <w:rFonts w:hint="eastAsia" w:ascii="仿宋" w:hAnsi="仿宋" w:eastAsia="仿宋"/>
          <w:sz w:val="24"/>
          <w:highlight w:val="yellow"/>
        </w:rPr>
        <w:t>无效响应</w:t>
      </w:r>
      <w:r>
        <w:rPr>
          <w:rFonts w:hint="eastAsia" w:ascii="仿宋" w:hAnsi="仿宋" w:eastAsia="仿宋"/>
          <w:sz w:val="24"/>
        </w:rPr>
        <w:t>处理）。</w:t>
      </w:r>
    </w:p>
    <w:p>
      <w:pPr>
        <w:spacing w:line="480" w:lineRule="exact"/>
        <w:contextualSpacing/>
        <w:rPr>
          <w:rFonts w:ascii="仿宋" w:hAnsi="仿宋" w:eastAsia="仿宋"/>
          <w:sz w:val="24"/>
        </w:rPr>
      </w:pPr>
      <w:r>
        <w:rPr>
          <w:rFonts w:ascii="仿宋" w:hAnsi="仿宋" w:eastAsia="仿宋"/>
          <w:sz w:val="24"/>
        </w:rPr>
        <w:t>3.2.</w:t>
      </w:r>
      <w:r>
        <w:rPr>
          <w:rFonts w:hint="eastAsia" w:ascii="仿宋" w:hAnsi="仿宋" w:eastAsia="仿宋"/>
          <w:sz w:val="24"/>
        </w:rPr>
        <w:t>质保期内，</w:t>
      </w:r>
      <w:r>
        <w:rPr>
          <w:rFonts w:hint="eastAsia" w:ascii="仿宋" w:hAnsi="仿宋" w:eastAsia="仿宋"/>
          <w:sz w:val="24"/>
          <w:lang w:eastAsia="zh-CN"/>
        </w:rPr>
        <w:t>成交供应商</w:t>
      </w:r>
      <w:r>
        <w:rPr>
          <w:rFonts w:hint="eastAsia" w:ascii="仿宋" w:hAnsi="仿宋" w:eastAsia="仿宋"/>
          <w:sz w:val="24"/>
        </w:rPr>
        <w:t>应提供7*24小时的小时响应服务，维护人员随时保持通讯畅通，响应时间在30分钟以内，同时派经验丰富的维护工程师在初步判断故障部件后，1小时内携带备件以最快的交通工具到达现场，进行故障检测、定位、维护与排除，保障教学的正常运行。如果故障在短时间内无法排除，提供替代整机，恢复教学正常工作。</w:t>
      </w:r>
      <w:r>
        <w:rPr>
          <w:rFonts w:hint="eastAsia" w:ascii="仿宋" w:hAnsi="仿宋" w:eastAsia="仿宋"/>
          <w:sz w:val="24"/>
          <w:highlight w:val="yellow"/>
        </w:rPr>
        <w:t>同时提供无偿更换备件，无偿人工，无偿上门服务。</w:t>
      </w:r>
    </w:p>
    <w:p>
      <w:pPr>
        <w:spacing w:line="480" w:lineRule="exact"/>
        <w:contextualSpacing/>
        <w:rPr>
          <w:rFonts w:ascii="仿宋" w:hAnsi="仿宋" w:eastAsia="仿宋"/>
          <w:sz w:val="24"/>
        </w:rPr>
      </w:pPr>
      <w:r>
        <w:rPr>
          <w:rFonts w:ascii="仿宋" w:hAnsi="仿宋" w:eastAsia="仿宋"/>
          <w:sz w:val="24"/>
        </w:rPr>
        <w:t>3.3.</w:t>
      </w:r>
      <w:r>
        <w:rPr>
          <w:rFonts w:hint="eastAsia" w:ascii="仿宋" w:hAnsi="仿宋" w:eastAsia="仿宋"/>
          <w:sz w:val="24"/>
        </w:rPr>
        <w:t xml:space="preserve"> 质保期内，</w:t>
      </w:r>
      <w:r>
        <w:rPr>
          <w:rFonts w:hint="eastAsia" w:ascii="仿宋" w:hAnsi="仿宋" w:eastAsia="仿宋"/>
          <w:sz w:val="24"/>
          <w:lang w:eastAsia="zh-CN"/>
        </w:rPr>
        <w:t>成交供应商</w:t>
      </w:r>
      <w:r>
        <w:rPr>
          <w:rFonts w:ascii="仿宋" w:hAnsi="仿宋" w:eastAsia="仿宋"/>
          <w:sz w:val="24"/>
        </w:rPr>
        <w:t>应定期对</w:t>
      </w:r>
      <w:r>
        <w:rPr>
          <w:rFonts w:hint="eastAsia" w:ascii="仿宋" w:hAnsi="仿宋" w:eastAsia="仿宋"/>
          <w:sz w:val="24"/>
        </w:rPr>
        <w:t>产品</w:t>
      </w:r>
      <w:r>
        <w:rPr>
          <w:rFonts w:ascii="仿宋" w:hAnsi="仿宋" w:eastAsia="仿宋"/>
          <w:sz w:val="24"/>
        </w:rPr>
        <w:t>进行日常维护保养，至少每季度到用户现场进行现场巡检和调研,及时跟踪</w:t>
      </w:r>
      <w:r>
        <w:rPr>
          <w:rFonts w:hint="eastAsia" w:ascii="仿宋" w:hAnsi="仿宋" w:eastAsia="仿宋"/>
          <w:sz w:val="24"/>
        </w:rPr>
        <w:t>产品使用及</w:t>
      </w:r>
      <w:r>
        <w:rPr>
          <w:rFonts w:ascii="仿宋" w:hAnsi="仿宋" w:eastAsia="仿宋"/>
          <w:sz w:val="24"/>
        </w:rPr>
        <w:t>质量</w:t>
      </w:r>
      <w:r>
        <w:rPr>
          <w:rFonts w:hint="eastAsia" w:ascii="仿宋" w:hAnsi="仿宋" w:eastAsia="仿宋"/>
          <w:sz w:val="24"/>
        </w:rPr>
        <w:t>的</w:t>
      </w:r>
      <w:r>
        <w:rPr>
          <w:rFonts w:ascii="仿宋" w:hAnsi="仿宋" w:eastAsia="仿宋"/>
          <w:sz w:val="24"/>
        </w:rPr>
        <w:t>变化情况，定期提供《巡检报告》；</w:t>
      </w:r>
      <w:r>
        <w:rPr>
          <w:rFonts w:hint="eastAsia" w:ascii="仿宋" w:hAnsi="仿宋" w:eastAsia="仿宋"/>
          <w:sz w:val="24"/>
        </w:rPr>
        <w:t>更换损坏、有缺陷的光源或灯具。当光源或灯具因光衰不能满足要求时，应及时更新光源或灯具，</w:t>
      </w:r>
      <w:r>
        <w:rPr>
          <w:rFonts w:ascii="仿宋" w:hAnsi="仿宋" w:eastAsia="仿宋"/>
          <w:sz w:val="24"/>
        </w:rPr>
        <w:t>消除设备（系统）运行（使用）故障及安全隐患，确保学校教育教学工作正常开展。</w:t>
      </w:r>
    </w:p>
    <w:p>
      <w:pPr>
        <w:spacing w:line="480" w:lineRule="exact"/>
        <w:contextualSpacing/>
        <w:rPr>
          <w:rFonts w:ascii="仿宋" w:hAnsi="仿宋" w:eastAsia="仿宋"/>
          <w:sz w:val="24"/>
        </w:rPr>
      </w:pPr>
      <w:r>
        <w:rPr>
          <w:rFonts w:hint="eastAsia" w:ascii="仿宋" w:hAnsi="仿宋" w:eastAsia="仿宋"/>
          <w:sz w:val="24"/>
        </w:rPr>
        <w:t>3</w:t>
      </w:r>
      <w:r>
        <w:rPr>
          <w:rFonts w:ascii="仿宋" w:hAnsi="仿宋" w:eastAsia="仿宋"/>
          <w:sz w:val="24"/>
        </w:rPr>
        <w:t>.4.</w:t>
      </w:r>
      <w:r>
        <w:rPr>
          <w:rFonts w:hint="eastAsia" w:ascii="仿宋" w:hAnsi="仿宋" w:eastAsia="仿宋"/>
          <w:sz w:val="24"/>
        </w:rPr>
        <w:t>质保期内，</w:t>
      </w:r>
      <w:r>
        <w:rPr>
          <w:rFonts w:hint="eastAsia" w:ascii="仿宋" w:hAnsi="仿宋" w:eastAsia="仿宋"/>
          <w:sz w:val="24"/>
          <w:highlight w:val="yellow"/>
          <w:lang w:eastAsia="zh-CN"/>
        </w:rPr>
        <w:t>成交供应商</w:t>
      </w:r>
      <w:r>
        <w:rPr>
          <w:rFonts w:hint="eastAsia" w:ascii="仿宋" w:hAnsi="仿宋" w:eastAsia="仿宋"/>
          <w:sz w:val="24"/>
          <w:highlight w:val="yellow"/>
        </w:rPr>
        <w:t>每年3月</w:t>
      </w:r>
      <w:r>
        <w:rPr>
          <w:rFonts w:hint="eastAsia" w:ascii="仿宋" w:hAnsi="仿宋" w:eastAsia="仿宋"/>
          <w:sz w:val="24"/>
          <w:highlight w:val="yellow"/>
          <w:lang w:val="en-US" w:eastAsia="zh-CN"/>
        </w:rPr>
        <w:t>份</w:t>
      </w:r>
      <w:r>
        <w:rPr>
          <w:rFonts w:hint="eastAsia" w:ascii="仿宋" w:hAnsi="仿宋" w:eastAsia="仿宋"/>
          <w:sz w:val="24"/>
          <w:highlight w:val="yellow"/>
        </w:rPr>
        <w:t>至少</w:t>
      </w:r>
      <w:r>
        <w:rPr>
          <w:rFonts w:ascii="仿宋" w:hAnsi="仿宋" w:eastAsia="仿宋"/>
          <w:sz w:val="24"/>
          <w:highlight w:val="yellow"/>
        </w:rPr>
        <w:t>检测</w:t>
      </w:r>
      <w:r>
        <w:rPr>
          <w:rFonts w:hint="eastAsia" w:ascii="仿宋" w:hAnsi="仿宋" w:eastAsia="仿宋"/>
          <w:sz w:val="24"/>
          <w:highlight w:val="yellow"/>
        </w:rPr>
        <w:t>一次</w:t>
      </w:r>
      <w:r>
        <w:rPr>
          <w:rFonts w:hint="eastAsia" w:ascii="仿宋" w:hAnsi="仿宋" w:eastAsia="仿宋"/>
          <w:sz w:val="24"/>
        </w:rPr>
        <w:t>，委托具有</w:t>
      </w:r>
      <w:r>
        <w:rPr>
          <w:rFonts w:ascii="仿宋" w:hAnsi="仿宋" w:eastAsia="仿宋"/>
          <w:sz w:val="24"/>
        </w:rPr>
        <w:t>检测资质的第三方检测机构</w:t>
      </w:r>
      <w:r>
        <w:rPr>
          <w:rFonts w:hint="eastAsia" w:ascii="仿宋" w:hAnsi="仿宋" w:eastAsia="仿宋"/>
          <w:sz w:val="24"/>
          <w:highlight w:val="yellow"/>
        </w:rPr>
        <w:t>抽检1间教室</w:t>
      </w:r>
      <w:r>
        <w:rPr>
          <w:rFonts w:hint="eastAsia" w:ascii="仿宋" w:hAnsi="仿宋" w:eastAsia="仿宋"/>
          <w:sz w:val="24"/>
        </w:rPr>
        <w:t>，</w:t>
      </w:r>
      <w:r>
        <w:rPr>
          <w:rFonts w:ascii="仿宋" w:hAnsi="仿宋" w:eastAsia="仿宋"/>
          <w:sz w:val="24"/>
        </w:rPr>
        <w:t>检测指标至少包括</w:t>
      </w:r>
      <w:r>
        <w:rPr>
          <w:rFonts w:hint="eastAsia" w:ascii="仿宋" w:hAnsi="仿宋" w:eastAsia="仿宋"/>
          <w:sz w:val="24"/>
        </w:rPr>
        <w:t>：①</w:t>
      </w:r>
      <w:r>
        <w:rPr>
          <w:rFonts w:ascii="仿宋" w:hAnsi="仿宋" w:eastAsia="仿宋"/>
          <w:sz w:val="24"/>
        </w:rPr>
        <w:t>课桌面维持平均照度</w:t>
      </w:r>
      <w:r>
        <w:rPr>
          <w:rFonts w:hint="eastAsia" w:ascii="仿宋" w:hAnsi="仿宋" w:eastAsia="仿宋"/>
          <w:sz w:val="24"/>
        </w:rPr>
        <w:t>；②</w:t>
      </w:r>
      <w:r>
        <w:rPr>
          <w:rFonts w:ascii="仿宋" w:hAnsi="仿宋" w:eastAsia="仿宋"/>
          <w:sz w:val="24"/>
        </w:rPr>
        <w:t>黑板面维持平均照度</w:t>
      </w:r>
      <w:r>
        <w:rPr>
          <w:rFonts w:hint="eastAsia" w:ascii="仿宋" w:hAnsi="仿宋" w:eastAsia="仿宋"/>
          <w:sz w:val="24"/>
        </w:rPr>
        <w:t>；③</w:t>
      </w:r>
      <w:r>
        <w:rPr>
          <w:rFonts w:ascii="仿宋" w:hAnsi="仿宋" w:eastAsia="仿宋"/>
          <w:sz w:val="24"/>
        </w:rPr>
        <w:t>课桌面均匀度</w:t>
      </w:r>
      <w:r>
        <w:rPr>
          <w:rFonts w:hint="eastAsia" w:ascii="仿宋" w:hAnsi="仿宋" w:eastAsia="仿宋"/>
          <w:sz w:val="24"/>
        </w:rPr>
        <w:t>；④</w:t>
      </w:r>
      <w:r>
        <w:rPr>
          <w:rFonts w:ascii="仿宋" w:hAnsi="仿宋" w:eastAsia="仿宋"/>
          <w:sz w:val="24"/>
        </w:rPr>
        <w:t>黑板面均匀度</w:t>
      </w:r>
      <w:r>
        <w:rPr>
          <w:rFonts w:hint="eastAsia" w:ascii="仿宋" w:hAnsi="仿宋" w:eastAsia="仿宋"/>
          <w:sz w:val="24"/>
        </w:rPr>
        <w:t>；⑤</w:t>
      </w:r>
      <w:r>
        <w:rPr>
          <w:rFonts w:ascii="仿宋" w:hAnsi="仿宋" w:eastAsia="仿宋"/>
          <w:sz w:val="24"/>
        </w:rPr>
        <w:t>照明功率密度</w:t>
      </w:r>
      <w:r>
        <w:rPr>
          <w:rFonts w:hint="eastAsia" w:ascii="仿宋" w:hAnsi="仿宋" w:eastAsia="仿宋"/>
          <w:sz w:val="24"/>
        </w:rPr>
        <w:t>；⑥</w:t>
      </w:r>
      <w:r>
        <w:rPr>
          <w:rFonts w:ascii="仿宋" w:hAnsi="仿宋" w:eastAsia="仿宋"/>
          <w:sz w:val="24"/>
        </w:rPr>
        <w:t>统一眩光值</w:t>
      </w:r>
      <w:r>
        <w:rPr>
          <w:rFonts w:hint="eastAsia" w:ascii="仿宋" w:hAnsi="仿宋" w:eastAsia="仿宋"/>
          <w:sz w:val="24"/>
        </w:rPr>
        <w:t>；⑦</w:t>
      </w:r>
      <w:r>
        <w:rPr>
          <w:rFonts w:ascii="仿宋" w:hAnsi="仿宋" w:eastAsia="仿宋"/>
          <w:sz w:val="24"/>
        </w:rPr>
        <w:t>频闪等指标</w:t>
      </w:r>
      <w:r>
        <w:rPr>
          <w:rFonts w:hint="eastAsia" w:ascii="仿宋" w:hAnsi="仿宋" w:eastAsia="仿宋"/>
          <w:sz w:val="24"/>
        </w:rPr>
        <w:t>。抽检情况须书面告知学校。质保期内抽检不合格，须进行全面检测和整改。</w:t>
      </w:r>
      <w:r>
        <w:rPr>
          <w:rFonts w:hint="eastAsia" w:ascii="仿宋" w:hAnsi="仿宋" w:eastAsia="仿宋"/>
          <w:sz w:val="24"/>
          <w:highlight w:val="yellow"/>
        </w:rPr>
        <w:t>质保期内的检测费用均由</w:t>
      </w:r>
      <w:r>
        <w:rPr>
          <w:rFonts w:hint="eastAsia" w:ascii="仿宋" w:hAnsi="仿宋" w:eastAsia="仿宋"/>
          <w:sz w:val="24"/>
          <w:highlight w:val="yellow"/>
          <w:lang w:eastAsia="zh-CN"/>
        </w:rPr>
        <w:t>成交供应商</w:t>
      </w:r>
      <w:r>
        <w:rPr>
          <w:rFonts w:hint="eastAsia" w:ascii="仿宋" w:hAnsi="仿宋" w:eastAsia="仿宋"/>
          <w:sz w:val="24"/>
          <w:highlight w:val="yellow"/>
        </w:rPr>
        <w:t>承担。</w:t>
      </w:r>
    </w:p>
    <w:p>
      <w:pPr>
        <w:spacing w:line="480" w:lineRule="exact"/>
        <w:contextualSpacing/>
        <w:rPr>
          <w:rFonts w:hint="eastAsia" w:ascii="仿宋" w:hAnsi="仿宋" w:eastAsia="仿宋"/>
          <w:sz w:val="24"/>
          <w:lang w:eastAsia="zh-CN"/>
        </w:rPr>
      </w:pPr>
      <w:r>
        <w:rPr>
          <w:rFonts w:hint="eastAsia" w:ascii="仿宋" w:hAnsi="仿宋" w:eastAsia="仿宋"/>
          <w:sz w:val="24"/>
        </w:rPr>
        <w:t>3</w:t>
      </w:r>
      <w:r>
        <w:rPr>
          <w:rFonts w:ascii="仿宋" w:hAnsi="仿宋" w:eastAsia="仿宋"/>
          <w:sz w:val="24"/>
        </w:rPr>
        <w:t>.5</w:t>
      </w:r>
      <w:r>
        <w:rPr>
          <w:rFonts w:hint="eastAsia" w:ascii="仿宋" w:hAnsi="仿宋" w:eastAsia="仿宋"/>
          <w:sz w:val="24"/>
        </w:rPr>
        <w:t>本项目的报价必须包括为完成质保期内所有服务内容而产生直接或间接的任何费用，因此在质保期内，采购人将不再为</w:t>
      </w:r>
      <w:r>
        <w:rPr>
          <w:rFonts w:hint="eastAsia" w:ascii="仿宋" w:hAnsi="仿宋" w:eastAsia="仿宋"/>
          <w:sz w:val="24"/>
          <w:lang w:eastAsia="zh-CN"/>
        </w:rPr>
        <w:t>成交供应商</w:t>
      </w:r>
      <w:r>
        <w:rPr>
          <w:rFonts w:hint="eastAsia" w:ascii="仿宋" w:hAnsi="仿宋" w:eastAsia="仿宋"/>
          <w:sz w:val="24"/>
        </w:rPr>
        <w:t>支付任何费用。确认为人为损坏或超过质保期的维修所产生费用除外</w:t>
      </w:r>
      <w:r>
        <w:rPr>
          <w:rFonts w:hint="eastAsia" w:ascii="仿宋" w:hAnsi="仿宋" w:eastAsia="仿宋"/>
          <w:sz w:val="24"/>
          <w:lang w:eastAsia="zh-CN"/>
        </w:rPr>
        <w:t>。</w:t>
      </w:r>
    </w:p>
    <w:p>
      <w:pPr>
        <w:spacing w:line="480" w:lineRule="exact"/>
        <w:contextualSpacing/>
        <w:rPr>
          <w:rFonts w:ascii="仿宋" w:hAnsi="仿宋" w:eastAsia="仿宋"/>
          <w:b/>
          <w:sz w:val="24"/>
        </w:rPr>
      </w:pPr>
      <w:r>
        <w:rPr>
          <w:rFonts w:hint="eastAsia" w:ascii="仿宋" w:hAnsi="仿宋" w:eastAsia="仿宋"/>
          <w:b/>
          <w:sz w:val="24"/>
        </w:rPr>
        <w:t>4、交货时应提供以下技术资料（如涉及）</w:t>
      </w:r>
    </w:p>
    <w:p>
      <w:pPr>
        <w:spacing w:line="480" w:lineRule="exact"/>
        <w:contextualSpacing/>
        <w:rPr>
          <w:rFonts w:ascii="仿宋" w:hAnsi="仿宋" w:eastAsia="仿宋"/>
          <w:sz w:val="24"/>
          <w:highlight w:val="yellow"/>
        </w:rPr>
      </w:pPr>
      <w:r>
        <w:rPr>
          <w:rFonts w:hint="eastAsia" w:ascii="仿宋" w:hAnsi="仿宋" w:eastAsia="仿宋"/>
          <w:sz w:val="24"/>
          <w:highlight w:val="yellow"/>
        </w:rPr>
        <w:t>4.1</w:t>
      </w:r>
      <w:r>
        <w:rPr>
          <w:rFonts w:ascii="仿宋" w:hAnsi="仿宋" w:eastAsia="仿宋"/>
          <w:sz w:val="24"/>
          <w:highlight w:val="yellow"/>
        </w:rPr>
        <w:t>.</w:t>
      </w:r>
      <w:r>
        <w:rPr>
          <w:rFonts w:hint="eastAsia" w:ascii="仿宋" w:hAnsi="仿宋" w:eastAsia="仿宋"/>
          <w:sz w:val="24"/>
          <w:highlight w:val="yellow"/>
        </w:rPr>
        <w:t>原产地证明书；</w:t>
      </w:r>
    </w:p>
    <w:p>
      <w:pPr>
        <w:spacing w:line="480" w:lineRule="exact"/>
        <w:contextualSpacing/>
        <w:rPr>
          <w:rFonts w:ascii="仿宋" w:hAnsi="仿宋" w:eastAsia="仿宋"/>
          <w:sz w:val="24"/>
        </w:rPr>
      </w:pPr>
      <w:r>
        <w:rPr>
          <w:rFonts w:hint="eastAsia" w:ascii="仿宋" w:hAnsi="仿宋" w:eastAsia="仿宋"/>
          <w:sz w:val="24"/>
        </w:rPr>
        <w:t>4.2</w:t>
      </w:r>
      <w:r>
        <w:rPr>
          <w:rFonts w:ascii="仿宋" w:hAnsi="仿宋" w:eastAsia="仿宋"/>
          <w:sz w:val="24"/>
        </w:rPr>
        <w:t>.</w:t>
      </w:r>
      <w:r>
        <w:rPr>
          <w:rFonts w:hint="eastAsia" w:ascii="仿宋" w:hAnsi="仿宋" w:eastAsia="仿宋"/>
          <w:sz w:val="24"/>
        </w:rPr>
        <w:t>提供产品及配套设备</w:t>
      </w:r>
      <w:r>
        <w:rPr>
          <w:rFonts w:ascii="仿宋" w:hAnsi="仿宋" w:eastAsia="仿宋"/>
          <w:sz w:val="24"/>
        </w:rPr>
        <w:t>的安装图纸及说明</w:t>
      </w:r>
      <w:r>
        <w:rPr>
          <w:rFonts w:hint="eastAsia" w:ascii="仿宋" w:hAnsi="仿宋" w:eastAsia="仿宋"/>
          <w:sz w:val="24"/>
        </w:rPr>
        <w:t>；</w:t>
      </w:r>
    </w:p>
    <w:p>
      <w:pPr>
        <w:spacing w:line="480" w:lineRule="exact"/>
        <w:contextualSpacing/>
        <w:rPr>
          <w:rFonts w:ascii="仿宋" w:hAnsi="仿宋" w:eastAsia="仿宋"/>
          <w:sz w:val="24"/>
        </w:rPr>
      </w:pPr>
      <w:r>
        <w:rPr>
          <w:rFonts w:hint="eastAsia" w:ascii="仿宋" w:hAnsi="仿宋" w:eastAsia="仿宋"/>
          <w:sz w:val="24"/>
        </w:rPr>
        <w:t>4.3</w:t>
      </w:r>
      <w:r>
        <w:rPr>
          <w:rFonts w:ascii="仿宋" w:hAnsi="仿宋" w:eastAsia="仿宋"/>
          <w:sz w:val="24"/>
        </w:rPr>
        <w:t>.</w:t>
      </w:r>
      <w:r>
        <w:rPr>
          <w:rFonts w:hint="eastAsia" w:ascii="仿宋" w:hAnsi="仿宋" w:eastAsia="仿宋"/>
          <w:sz w:val="24"/>
        </w:rPr>
        <w:t>提供产品及配套设备使用</w:t>
      </w:r>
      <w:r>
        <w:rPr>
          <w:rFonts w:ascii="仿宋" w:hAnsi="仿宋" w:eastAsia="仿宋"/>
          <w:sz w:val="24"/>
        </w:rPr>
        <w:t>说明书</w:t>
      </w:r>
      <w:r>
        <w:rPr>
          <w:rFonts w:hint="eastAsia" w:ascii="仿宋" w:hAnsi="仿宋" w:eastAsia="仿宋"/>
          <w:sz w:val="24"/>
        </w:rPr>
        <w:t>、维护手册；</w:t>
      </w:r>
    </w:p>
    <w:p>
      <w:pPr>
        <w:spacing w:line="480" w:lineRule="exact"/>
        <w:contextualSpacing/>
        <w:rPr>
          <w:rFonts w:ascii="仿宋" w:hAnsi="仿宋" w:eastAsia="仿宋"/>
          <w:sz w:val="24"/>
        </w:rPr>
      </w:pPr>
      <w:r>
        <w:rPr>
          <w:rFonts w:hint="eastAsia" w:ascii="仿宋" w:hAnsi="仿宋" w:eastAsia="仿宋"/>
          <w:sz w:val="24"/>
        </w:rPr>
        <w:t>4.4</w:t>
      </w:r>
      <w:r>
        <w:rPr>
          <w:rFonts w:ascii="仿宋" w:hAnsi="仿宋" w:eastAsia="仿宋"/>
          <w:sz w:val="24"/>
        </w:rPr>
        <w:t>.</w:t>
      </w:r>
      <w:r>
        <w:rPr>
          <w:rFonts w:hint="eastAsia" w:ascii="仿宋" w:hAnsi="仿宋" w:eastAsia="仿宋"/>
          <w:sz w:val="24"/>
        </w:rPr>
        <w:t>备件手册、零件及易损件的图纸及相关资料；</w:t>
      </w:r>
    </w:p>
    <w:p>
      <w:pPr>
        <w:spacing w:line="480" w:lineRule="exact"/>
        <w:contextualSpacing/>
        <w:rPr>
          <w:rFonts w:ascii="仿宋" w:hAnsi="仿宋" w:eastAsia="仿宋"/>
          <w:sz w:val="24"/>
        </w:rPr>
      </w:pPr>
      <w:r>
        <w:rPr>
          <w:rFonts w:hint="eastAsia" w:ascii="仿宋" w:hAnsi="仿宋" w:eastAsia="仿宋"/>
          <w:sz w:val="24"/>
        </w:rPr>
        <w:t>4.5</w:t>
      </w:r>
      <w:r>
        <w:rPr>
          <w:rFonts w:ascii="仿宋" w:hAnsi="仿宋" w:eastAsia="仿宋"/>
          <w:sz w:val="24"/>
        </w:rPr>
        <w:t>.</w:t>
      </w:r>
      <w:r>
        <w:rPr>
          <w:rFonts w:hint="eastAsia" w:ascii="仿宋" w:hAnsi="仿宋" w:eastAsia="仿宋"/>
          <w:sz w:val="24"/>
        </w:rPr>
        <w:t>其它相关技术资料。</w:t>
      </w:r>
    </w:p>
    <w:p>
      <w:pPr>
        <w:spacing w:line="480" w:lineRule="exact"/>
        <w:contextualSpacing/>
        <w:rPr>
          <w:rFonts w:ascii="仿宋" w:hAnsi="仿宋" w:eastAsia="仿宋"/>
          <w:b/>
          <w:sz w:val="24"/>
        </w:rPr>
      </w:pPr>
      <w:r>
        <w:rPr>
          <w:rFonts w:hint="eastAsia" w:ascii="仿宋" w:hAnsi="仿宋" w:eastAsia="仿宋"/>
          <w:b/>
          <w:sz w:val="24"/>
        </w:rPr>
        <w:t>5、安装调试要求：</w:t>
      </w:r>
    </w:p>
    <w:p>
      <w:pPr>
        <w:spacing w:line="480" w:lineRule="exact"/>
        <w:contextualSpacing/>
        <w:rPr>
          <w:rFonts w:ascii="仿宋" w:hAnsi="仿宋" w:eastAsia="仿宋"/>
          <w:bCs/>
          <w:sz w:val="24"/>
        </w:rPr>
      </w:pPr>
      <w:r>
        <w:rPr>
          <w:rFonts w:hint="eastAsia" w:ascii="仿宋" w:hAnsi="仿宋" w:eastAsia="仿宋"/>
          <w:bCs/>
          <w:sz w:val="24"/>
        </w:rPr>
        <w:t>5</w:t>
      </w:r>
      <w:r>
        <w:rPr>
          <w:rFonts w:ascii="仿宋" w:hAnsi="仿宋" w:eastAsia="仿宋"/>
          <w:bCs/>
          <w:sz w:val="24"/>
        </w:rPr>
        <w:t>.1.</w:t>
      </w:r>
      <w:r>
        <w:rPr>
          <w:rFonts w:hint="eastAsia" w:ascii="仿宋" w:hAnsi="仿宋" w:eastAsia="仿宋"/>
          <w:bCs/>
          <w:sz w:val="24"/>
        </w:rPr>
        <w:t>采购合同生效后，</w:t>
      </w:r>
      <w:r>
        <w:rPr>
          <w:rFonts w:hint="eastAsia" w:ascii="仿宋" w:hAnsi="仿宋" w:eastAsia="仿宋"/>
          <w:bCs/>
          <w:sz w:val="24"/>
          <w:lang w:eastAsia="zh-CN"/>
        </w:rPr>
        <w:t>成交供应商</w:t>
      </w:r>
      <w:r>
        <w:rPr>
          <w:rFonts w:hint="eastAsia" w:ascii="仿宋" w:hAnsi="仿宋" w:eastAsia="仿宋"/>
          <w:bCs/>
          <w:sz w:val="24"/>
        </w:rPr>
        <w:t>必须协调相关资源，在</w:t>
      </w:r>
      <w:r>
        <w:rPr>
          <w:rFonts w:ascii="仿宋" w:hAnsi="仿宋" w:eastAsia="仿宋"/>
          <w:bCs/>
          <w:sz w:val="24"/>
        </w:rPr>
        <w:t>2</w:t>
      </w:r>
      <w:r>
        <w:rPr>
          <w:rFonts w:hint="eastAsia" w:ascii="仿宋" w:hAnsi="仿宋" w:eastAsia="仿宋"/>
          <w:bCs/>
          <w:sz w:val="24"/>
        </w:rPr>
        <w:t>个工作日内派遣项目经理到采购人处就建设校点的实施内容、计划及安排等内容进行全面沟通，并完善整体实施方案。</w:t>
      </w:r>
    </w:p>
    <w:p>
      <w:pPr>
        <w:pStyle w:val="2"/>
        <w:adjustRightInd w:val="0"/>
        <w:snapToGrid w:val="0"/>
        <w:spacing w:line="480" w:lineRule="exact"/>
        <w:contextualSpacing/>
        <w:rPr>
          <w:rFonts w:ascii="仿宋" w:hAnsi="仿宋" w:eastAsia="仿宋"/>
          <w:sz w:val="24"/>
        </w:rPr>
      </w:pPr>
      <w:r>
        <w:rPr>
          <w:rFonts w:ascii="仿宋" w:hAnsi="仿宋" w:eastAsia="仿宋"/>
          <w:sz w:val="24"/>
        </w:rPr>
        <w:t>5.2</w:t>
      </w:r>
      <w:r>
        <w:rPr>
          <w:rFonts w:hint="eastAsia" w:ascii="仿宋" w:hAnsi="仿宋" w:eastAsia="仿宋"/>
          <w:sz w:val="24"/>
        </w:rPr>
        <w:t>.教室灯安装要求</w:t>
      </w:r>
    </w:p>
    <w:p>
      <w:pPr>
        <w:pStyle w:val="2"/>
        <w:adjustRightInd w:val="0"/>
        <w:snapToGrid w:val="0"/>
        <w:spacing w:line="480" w:lineRule="exact"/>
        <w:ind w:firstLine="240" w:firstLineChars="100"/>
        <w:contextualSpacing/>
        <w:rPr>
          <w:rFonts w:ascii="仿宋" w:hAnsi="仿宋" w:eastAsia="仿宋"/>
          <w:sz w:val="24"/>
        </w:rPr>
      </w:pPr>
      <w:r>
        <w:rPr>
          <w:rFonts w:hint="eastAsia" w:ascii="仿宋" w:hAnsi="仿宋" w:eastAsia="仿宋"/>
          <w:sz w:val="24"/>
        </w:rPr>
        <w:t>①</w:t>
      </w:r>
      <w:r>
        <w:rPr>
          <w:rFonts w:ascii="仿宋" w:hAnsi="仿宋" w:eastAsia="仿宋"/>
          <w:sz w:val="24"/>
        </w:rPr>
        <w:t>应根据</w:t>
      </w:r>
      <w:r>
        <w:rPr>
          <w:rFonts w:hint="eastAsia" w:ascii="仿宋" w:hAnsi="仿宋" w:eastAsia="仿宋"/>
          <w:sz w:val="24"/>
        </w:rPr>
        <w:t>场</w:t>
      </w:r>
      <w:r>
        <w:rPr>
          <w:rFonts w:ascii="仿宋" w:hAnsi="仿宋" w:eastAsia="仿宋"/>
          <w:sz w:val="24"/>
        </w:rPr>
        <w:t>室</w:t>
      </w:r>
      <w:r>
        <w:rPr>
          <w:rFonts w:hint="eastAsia" w:ascii="仿宋" w:hAnsi="仿宋" w:eastAsia="仿宋"/>
          <w:sz w:val="24"/>
        </w:rPr>
        <w:t>（教室、功能室、阅览室）</w:t>
      </w:r>
      <w:r>
        <w:rPr>
          <w:rFonts w:ascii="仿宋" w:hAnsi="仿宋" w:eastAsia="仿宋"/>
          <w:sz w:val="24"/>
        </w:rPr>
        <w:t>实际情况，选择内嵌或吊杆安装的方式，采用吊杆方式时，吊杆应与灯面垂直，不得倾斜。照明灯具距教室参考平面的最低悬挂高度不应低于 1.70m。</w:t>
      </w:r>
    </w:p>
    <w:p>
      <w:pPr>
        <w:pStyle w:val="2"/>
        <w:spacing w:line="480" w:lineRule="exact"/>
        <w:ind w:firstLine="240" w:firstLineChars="100"/>
        <w:contextualSpacing/>
        <w:rPr>
          <w:rFonts w:ascii="仿宋" w:hAnsi="仿宋" w:eastAsia="仿宋"/>
          <w:sz w:val="24"/>
        </w:rPr>
      </w:pPr>
      <w:r>
        <w:rPr>
          <w:rFonts w:hint="eastAsia" w:ascii="仿宋" w:hAnsi="仿宋" w:eastAsia="仿宋"/>
          <w:sz w:val="24"/>
        </w:rPr>
        <w:t>②</w:t>
      </w:r>
      <w:r>
        <w:rPr>
          <w:rFonts w:ascii="仿宋" w:hAnsi="仿宋" w:eastAsia="仿宋"/>
          <w:sz w:val="24"/>
        </w:rPr>
        <w:t>教室灯具排列宜采用其长轴垂直于黑板面布置</w:t>
      </w:r>
      <w:r>
        <w:rPr>
          <w:rFonts w:hint="eastAsia" w:ascii="仿宋" w:hAnsi="仿宋" w:eastAsia="仿宋"/>
          <w:sz w:val="24"/>
        </w:rPr>
        <w:t>。</w:t>
      </w:r>
    </w:p>
    <w:p>
      <w:pPr>
        <w:pStyle w:val="2"/>
        <w:spacing w:line="480" w:lineRule="exact"/>
        <w:ind w:firstLine="240" w:firstLineChars="100"/>
        <w:contextualSpacing/>
        <w:rPr>
          <w:rFonts w:ascii="仿宋" w:hAnsi="仿宋" w:eastAsia="仿宋"/>
          <w:sz w:val="24"/>
        </w:rPr>
      </w:pPr>
      <w:r>
        <w:rPr>
          <w:rFonts w:hint="eastAsia" w:ascii="仿宋" w:hAnsi="仿宋" w:eastAsia="仿宋"/>
          <w:sz w:val="24"/>
        </w:rPr>
        <w:t>③</w:t>
      </w:r>
      <w:r>
        <w:rPr>
          <w:rFonts w:ascii="仿宋" w:hAnsi="仿宋" w:eastAsia="仿宋"/>
          <w:sz w:val="24"/>
        </w:rPr>
        <w:t>教室安装有风扇，灯具出光面宜低于风扇，且应使用刚性安装。（灯具出光面水平横向距离风扇叶片 25cm 以上除外）。</w:t>
      </w:r>
      <w:r>
        <w:rPr>
          <w:rFonts w:hint="eastAsia" w:ascii="仿宋" w:hAnsi="仿宋" w:eastAsia="仿宋"/>
          <w:sz w:val="24"/>
        </w:rPr>
        <w:br w:type="textWrapping"/>
      </w:r>
      <w:r>
        <w:rPr>
          <w:rFonts w:hint="eastAsia" w:ascii="仿宋" w:hAnsi="仿宋" w:eastAsia="仿宋"/>
          <w:sz w:val="24"/>
        </w:rPr>
        <w:t xml:space="preserve"> ④线路须穿管或扣板保护，不得有裸露电线。</w:t>
      </w:r>
    </w:p>
    <w:p>
      <w:pPr>
        <w:pStyle w:val="2"/>
        <w:spacing w:line="480" w:lineRule="exact"/>
        <w:ind w:firstLine="210" w:firstLineChars="100"/>
        <w:contextualSpacing/>
        <w:rPr>
          <w:rFonts w:ascii="仿宋" w:hAnsi="仿宋" w:eastAsia="仿宋"/>
          <w:sz w:val="24"/>
        </w:rPr>
      </w:pPr>
      <w:r>
        <w:rPr>
          <w:rFonts w:ascii="仿宋" w:hAnsi="仿宋" w:eastAsia="仿宋"/>
        </w:rPr>
        <w:drawing>
          <wp:anchor distT="0" distB="0" distL="114300" distR="114300" simplePos="0" relativeHeight="251659264" behindDoc="0" locked="0" layoutInCell="1" allowOverlap="1">
            <wp:simplePos x="0" y="0"/>
            <wp:positionH relativeFrom="margin">
              <wp:align>left</wp:align>
            </wp:positionH>
            <wp:positionV relativeFrom="paragraph">
              <wp:posOffset>67945</wp:posOffset>
            </wp:positionV>
            <wp:extent cx="3599815" cy="1621155"/>
            <wp:effectExtent l="0" t="0" r="12065" b="9525"/>
            <wp:wrapNone/>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599815" cy="1621155"/>
                    </a:xfrm>
                    <a:prstGeom prst="rect">
                      <a:avLst/>
                    </a:prstGeom>
                    <a:noFill/>
                    <a:ln>
                      <a:noFill/>
                    </a:ln>
                  </pic:spPr>
                </pic:pic>
              </a:graphicData>
            </a:graphic>
          </wp:anchor>
        </w:drawing>
      </w:r>
    </w:p>
    <w:p>
      <w:pPr>
        <w:pStyle w:val="2"/>
        <w:spacing w:line="480" w:lineRule="exact"/>
        <w:ind w:firstLine="240" w:firstLineChars="100"/>
        <w:contextualSpacing/>
        <w:rPr>
          <w:rFonts w:ascii="仿宋" w:hAnsi="仿宋"/>
          <w:sz w:val="24"/>
        </w:rPr>
      </w:pPr>
    </w:p>
    <w:p>
      <w:pPr>
        <w:pStyle w:val="2"/>
        <w:spacing w:line="480" w:lineRule="exact"/>
        <w:ind w:firstLine="240" w:firstLineChars="100"/>
        <w:contextualSpacing/>
        <w:rPr>
          <w:rFonts w:ascii="仿宋" w:hAnsi="仿宋"/>
          <w:sz w:val="24"/>
        </w:rPr>
      </w:pPr>
    </w:p>
    <w:p>
      <w:pPr>
        <w:spacing w:line="480" w:lineRule="exact"/>
        <w:contextualSpacing/>
        <w:rPr>
          <w:rFonts w:ascii="仿宋" w:hAnsi="仿宋" w:eastAsia="仿宋"/>
          <w:lang w:val="zh-CN"/>
        </w:rPr>
      </w:pPr>
    </w:p>
    <w:p>
      <w:pPr>
        <w:spacing w:line="480" w:lineRule="exact"/>
        <w:contextualSpacing/>
        <w:rPr>
          <w:rFonts w:ascii="仿宋" w:hAnsi="仿宋" w:eastAsia="仿宋"/>
          <w:lang w:val="zh-CN"/>
        </w:rPr>
      </w:pPr>
    </w:p>
    <w:p>
      <w:pPr>
        <w:spacing w:line="480" w:lineRule="exact"/>
        <w:contextualSpacing/>
        <w:rPr>
          <w:rFonts w:ascii="仿宋" w:hAnsi="仿宋" w:eastAsia="仿宋"/>
          <w:lang w:val="zh-CN"/>
        </w:rPr>
      </w:pPr>
    </w:p>
    <w:p>
      <w:pPr>
        <w:pStyle w:val="2"/>
        <w:spacing w:line="480" w:lineRule="exact"/>
        <w:contextualSpacing/>
        <w:rPr>
          <w:rFonts w:ascii="仿宋" w:hAnsi="仿宋" w:eastAsia="仿宋"/>
          <w:sz w:val="24"/>
        </w:rPr>
      </w:pPr>
      <w:r>
        <w:rPr>
          <w:rFonts w:ascii="仿宋" w:hAnsi="仿宋" w:eastAsia="仿宋"/>
          <w:sz w:val="24"/>
        </w:rPr>
        <w:t>5.3</w:t>
      </w:r>
      <w:r>
        <w:rPr>
          <w:rFonts w:hint="eastAsia" w:ascii="仿宋" w:hAnsi="仿宋" w:eastAsia="仿宋"/>
          <w:sz w:val="24"/>
        </w:rPr>
        <w:t>.黑板灯安装要求</w:t>
      </w:r>
    </w:p>
    <w:p>
      <w:pPr>
        <w:pStyle w:val="2"/>
        <w:spacing w:line="480" w:lineRule="exact"/>
        <w:ind w:firstLine="240" w:firstLineChars="100"/>
        <w:contextualSpacing/>
        <w:rPr>
          <w:rFonts w:ascii="仿宋" w:hAnsi="仿宋" w:eastAsia="仿宋"/>
          <w:sz w:val="24"/>
        </w:rPr>
      </w:pPr>
      <w:r>
        <w:rPr>
          <w:rFonts w:hint="eastAsia" w:ascii="仿宋" w:hAnsi="仿宋" w:eastAsia="仿宋"/>
          <w:sz w:val="24"/>
        </w:rPr>
        <w:t>①</w:t>
      </w:r>
      <w:r>
        <w:rPr>
          <w:rFonts w:ascii="仿宋" w:hAnsi="仿宋" w:eastAsia="仿宋"/>
          <w:sz w:val="24"/>
        </w:rPr>
        <w:t>宜采用吊杆安装方式，灯具平行于黑板安装，灯具距黑板平行间 d</w:t>
      </w:r>
      <w:r>
        <w:rPr>
          <w:rFonts w:hint="eastAsia" w:ascii="仿宋" w:hAnsi="仿宋" w:eastAsia="仿宋"/>
          <w:sz w:val="24"/>
        </w:rPr>
        <w:t>≤</w:t>
      </w:r>
      <w:r>
        <w:rPr>
          <w:rFonts w:ascii="仿宋" w:hAnsi="仿宋" w:eastAsia="仿宋"/>
          <w:sz w:val="24"/>
        </w:rPr>
        <w:t>1000mm，距黑板上缘垂直距离 h</w:t>
      </w:r>
      <w:r>
        <w:rPr>
          <w:rFonts w:hint="eastAsia" w:ascii="仿宋" w:hAnsi="仿宋" w:eastAsia="仿宋"/>
          <w:sz w:val="24"/>
        </w:rPr>
        <w:t>≥</w:t>
      </w:r>
      <w:r>
        <w:rPr>
          <w:rFonts w:ascii="仿宋" w:hAnsi="仿宋" w:eastAsia="仿宋"/>
          <w:sz w:val="24"/>
        </w:rPr>
        <w:t>100mm，以防黑板灯具遮挡投影仪或对授课老师产生直接眩光</w:t>
      </w:r>
      <w:r>
        <w:rPr>
          <w:rFonts w:hint="eastAsia" w:ascii="仿宋" w:hAnsi="仿宋" w:eastAsia="仿宋"/>
          <w:sz w:val="24"/>
        </w:rPr>
        <w:t>。</w:t>
      </w:r>
    </w:p>
    <w:p>
      <w:pPr>
        <w:pStyle w:val="2"/>
        <w:spacing w:line="480" w:lineRule="exact"/>
        <w:ind w:firstLine="240" w:firstLineChars="100"/>
        <w:contextualSpacing/>
        <w:rPr>
          <w:rFonts w:ascii="仿宋" w:hAnsi="仿宋" w:eastAsia="仿宋"/>
          <w:sz w:val="24"/>
        </w:rPr>
      </w:pPr>
      <w:r>
        <w:rPr>
          <w:rFonts w:hint="eastAsia" w:ascii="仿宋" w:hAnsi="仿宋" w:eastAsia="仿宋"/>
          <w:sz w:val="24"/>
        </w:rPr>
        <w:t>②</w:t>
      </w:r>
      <w:r>
        <w:rPr>
          <w:rFonts w:ascii="仿宋" w:hAnsi="仿宋" w:eastAsia="仿宋"/>
          <w:sz w:val="24"/>
        </w:rPr>
        <w:t>黑板照明灯具的投射角，安装高度应可调节以满足黑板不同照明要求。投射角及高度双向调节可以满足有（无）电子白板（或投影仪）等视觉显示终端不同教室的黑板照明要求。</w:t>
      </w:r>
      <w:r>
        <w:rPr>
          <w:rFonts w:hint="eastAsia" w:ascii="仿宋" w:hAnsi="仿宋" w:eastAsia="仿宋"/>
          <w:sz w:val="24"/>
        </w:rPr>
        <w:t>（注：教室内都安装有投影设备或交互大屏）</w:t>
      </w:r>
    </w:p>
    <w:p>
      <w:pPr>
        <w:pStyle w:val="2"/>
        <w:spacing w:line="480" w:lineRule="exact"/>
        <w:ind w:firstLine="240" w:firstLineChars="100"/>
        <w:contextualSpacing/>
        <w:rPr>
          <w:rFonts w:ascii="仿宋" w:hAnsi="仿宋" w:eastAsia="仿宋"/>
          <w:sz w:val="24"/>
        </w:rPr>
      </w:pPr>
      <w:r>
        <w:rPr>
          <w:rFonts w:hint="eastAsia" w:ascii="仿宋" w:hAnsi="仿宋" w:eastAsia="仿宋"/>
          <w:sz w:val="24"/>
        </w:rPr>
        <w:t>③线路须穿管或扣板保护，不得有裸露电线。</w:t>
      </w:r>
    </w:p>
    <w:p>
      <w:pPr>
        <w:pStyle w:val="2"/>
        <w:adjustRightInd w:val="0"/>
        <w:snapToGrid w:val="0"/>
        <w:spacing w:line="480" w:lineRule="exact"/>
        <w:contextualSpacing/>
        <w:rPr>
          <w:rFonts w:ascii="仿宋" w:hAnsi="仿宋" w:eastAsia="仿宋"/>
          <w:sz w:val="24"/>
        </w:rPr>
      </w:pPr>
      <w:r>
        <w:rPr>
          <w:rFonts w:ascii="仿宋" w:hAnsi="仿宋" w:eastAsia="仿宋"/>
          <w:sz w:val="24"/>
        </w:rPr>
        <w:t>5.4</w:t>
      </w:r>
      <w:r>
        <w:rPr>
          <w:rFonts w:hint="eastAsia" w:ascii="仿宋" w:hAnsi="仿宋" w:eastAsia="仿宋"/>
          <w:sz w:val="24"/>
        </w:rPr>
        <w:t>.照明控制安装要求</w:t>
      </w:r>
    </w:p>
    <w:p>
      <w:pPr>
        <w:spacing w:line="480" w:lineRule="exact"/>
        <w:ind w:left="210" w:leftChars="100"/>
        <w:contextualSpacing/>
        <w:rPr>
          <w:rFonts w:ascii="仿宋" w:hAnsi="仿宋" w:eastAsia="仿宋"/>
          <w:sz w:val="24"/>
          <w:lang w:val="zh-CN"/>
        </w:rPr>
      </w:pPr>
      <w:r>
        <w:rPr>
          <w:rFonts w:hint="eastAsia" w:ascii="仿宋" w:hAnsi="仿宋" w:eastAsia="仿宋"/>
          <w:sz w:val="24"/>
          <w:lang w:val="zh-CN"/>
        </w:rPr>
        <w:t>①</w:t>
      </w:r>
      <w:r>
        <w:rPr>
          <w:rFonts w:ascii="仿宋" w:hAnsi="仿宋" w:eastAsia="仿宋"/>
          <w:sz w:val="24"/>
          <w:lang w:val="zh-CN"/>
        </w:rPr>
        <w:t>教室照明控制应符合 GB50034-2013</w:t>
      </w:r>
      <w:r>
        <w:rPr>
          <w:rFonts w:hint="eastAsia" w:ascii="仿宋" w:hAnsi="仿宋" w:eastAsia="仿宋"/>
          <w:sz w:val="24"/>
          <w:lang w:val="zh-CN"/>
        </w:rPr>
        <w:t>《建筑照明设计标准》</w:t>
      </w:r>
      <w:r>
        <w:rPr>
          <w:rFonts w:ascii="仿宋" w:hAnsi="仿宋" w:eastAsia="仿宋"/>
          <w:sz w:val="24"/>
          <w:lang w:val="zh-CN"/>
        </w:rPr>
        <w:t>、GB50099-2011</w:t>
      </w:r>
      <w:r>
        <w:rPr>
          <w:rFonts w:hint="eastAsia" w:ascii="仿宋" w:hAnsi="仿宋" w:eastAsia="仿宋"/>
          <w:sz w:val="24"/>
          <w:lang w:val="zh-CN"/>
        </w:rPr>
        <w:t>《中小学校设计规范》</w:t>
      </w:r>
      <w:r>
        <w:rPr>
          <w:rFonts w:ascii="仿宋" w:hAnsi="仿宋" w:eastAsia="仿宋"/>
          <w:sz w:val="24"/>
          <w:lang w:val="zh-CN"/>
        </w:rPr>
        <w:t xml:space="preserve">和GB50303-2015 </w:t>
      </w:r>
      <w:r>
        <w:rPr>
          <w:rFonts w:hint="eastAsia" w:ascii="仿宋" w:hAnsi="仿宋" w:eastAsia="仿宋"/>
          <w:sz w:val="24"/>
          <w:lang w:val="zh-CN"/>
        </w:rPr>
        <w:t>《建筑电气工程施工质量验收规范》</w:t>
      </w:r>
      <w:r>
        <w:rPr>
          <w:rFonts w:ascii="仿宋" w:hAnsi="仿宋" w:eastAsia="仿宋"/>
          <w:sz w:val="24"/>
          <w:lang w:val="zh-CN"/>
        </w:rPr>
        <w:t>规定。</w:t>
      </w:r>
      <w:r>
        <w:rPr>
          <w:rFonts w:hint="eastAsia" w:ascii="仿宋" w:hAnsi="仿宋" w:eastAsia="仿宋"/>
          <w:sz w:val="24"/>
          <w:lang w:val="zh-CN"/>
        </w:rPr>
        <w:br w:type="textWrapping"/>
      </w:r>
      <w:r>
        <w:rPr>
          <w:rFonts w:hint="eastAsia" w:ascii="仿宋" w:hAnsi="仿宋" w:eastAsia="仿宋"/>
          <w:sz w:val="24"/>
          <w:lang w:val="zh-CN"/>
        </w:rPr>
        <w:t>②</w:t>
      </w:r>
      <w:r>
        <w:rPr>
          <w:rFonts w:ascii="仿宋" w:hAnsi="仿宋" w:eastAsia="仿宋"/>
          <w:sz w:val="24"/>
          <w:lang w:val="zh-CN"/>
        </w:rPr>
        <w:t>教室内的黑板灯具、靠窗户的灯具以及靠内侧的灯具应分别设置电源开关，能独立的开和关。</w:t>
      </w:r>
    </w:p>
    <w:p>
      <w:pPr>
        <w:spacing w:line="480" w:lineRule="exact"/>
        <w:ind w:firstLine="240" w:firstLineChars="100"/>
        <w:contextualSpacing/>
        <w:rPr>
          <w:rFonts w:ascii="仿宋" w:hAnsi="仿宋" w:eastAsia="仿宋"/>
          <w:sz w:val="24"/>
          <w:lang w:val="zh-CN"/>
        </w:rPr>
      </w:pPr>
      <w:r>
        <w:rPr>
          <w:rFonts w:hint="eastAsia" w:ascii="仿宋" w:hAnsi="仿宋" w:eastAsia="仿宋"/>
          <w:sz w:val="24"/>
          <w:lang w:val="zh-CN"/>
        </w:rPr>
        <w:t>③</w:t>
      </w:r>
      <w:r>
        <w:rPr>
          <w:rFonts w:ascii="仿宋" w:hAnsi="仿宋" w:eastAsia="仿宋"/>
          <w:sz w:val="24"/>
          <w:lang w:val="zh-CN"/>
        </w:rPr>
        <w:t>教室照明调光系统分多个回路控制。教室照明灯具第一横排的每个灯具应由单独回路开关控制，在使用多媒体教学时，可分别调节照明、照度。其余每一纵列灯具由独立回路开关控制。</w:t>
      </w:r>
    </w:p>
    <w:p>
      <w:pPr>
        <w:spacing w:line="480" w:lineRule="exact"/>
        <w:ind w:firstLine="240" w:firstLineChars="100"/>
        <w:contextualSpacing/>
        <w:rPr>
          <w:rFonts w:ascii="仿宋" w:hAnsi="仿宋" w:eastAsia="仿宋"/>
          <w:sz w:val="24"/>
          <w:lang w:val="zh-CN"/>
        </w:rPr>
      </w:pPr>
      <w:r>
        <w:rPr>
          <w:rFonts w:hint="eastAsia" w:ascii="仿宋" w:hAnsi="仿宋" w:eastAsia="仿宋"/>
          <w:sz w:val="24"/>
          <w:lang w:val="zh-CN"/>
        </w:rPr>
        <w:t>④</w:t>
      </w:r>
      <w:r>
        <w:rPr>
          <w:rFonts w:ascii="仿宋" w:hAnsi="仿宋" w:eastAsia="仿宋"/>
          <w:sz w:val="24"/>
          <w:lang w:val="zh-CN"/>
        </w:rPr>
        <w:t>黑板照明应分多个回路控制，每个灯具应由单独回路开关控制，在使用多媒体教学时，可分别调节照明、照度。</w:t>
      </w:r>
    </w:p>
    <w:p>
      <w:pPr>
        <w:pStyle w:val="2"/>
        <w:spacing w:line="480" w:lineRule="exact"/>
        <w:ind w:firstLine="240" w:firstLineChars="100"/>
        <w:contextualSpacing/>
        <w:rPr>
          <w:rFonts w:ascii="仿宋" w:hAnsi="仿宋" w:eastAsia="仿宋"/>
          <w:sz w:val="24"/>
        </w:rPr>
      </w:pPr>
      <w:r>
        <w:rPr>
          <w:rFonts w:hint="eastAsia" w:ascii="仿宋" w:hAnsi="仿宋" w:eastAsia="仿宋"/>
          <w:sz w:val="24"/>
        </w:rPr>
        <w:t>⑤线路须穿管或扣板保护，不得有裸露电线。</w:t>
      </w:r>
      <w:r>
        <w:rPr>
          <w:rFonts w:ascii="仿宋" w:hAnsi="仿宋" w:eastAsia="仿宋"/>
          <w:sz w:val="24"/>
        </w:rPr>
        <w:t>教室照明系统供电线路设计、线缆选型、施工安装等不得存有安全隐患。</w:t>
      </w:r>
    </w:p>
    <w:p>
      <w:pPr>
        <w:pStyle w:val="2"/>
        <w:spacing w:line="480" w:lineRule="exact"/>
        <w:contextualSpacing/>
        <w:rPr>
          <w:rFonts w:ascii="仿宋" w:hAnsi="仿宋" w:eastAsia="仿宋"/>
          <w:sz w:val="24"/>
        </w:rPr>
      </w:pPr>
      <w:r>
        <w:rPr>
          <w:rFonts w:ascii="仿宋" w:hAnsi="仿宋" w:eastAsia="仿宋"/>
        </w:rPr>
        <w:drawing>
          <wp:anchor distT="0" distB="0" distL="114300" distR="114300" simplePos="0" relativeHeight="251660288" behindDoc="0" locked="0" layoutInCell="1" allowOverlap="1">
            <wp:simplePos x="0" y="0"/>
            <wp:positionH relativeFrom="column">
              <wp:posOffset>384175</wp:posOffset>
            </wp:positionH>
            <wp:positionV relativeFrom="paragraph">
              <wp:posOffset>95885</wp:posOffset>
            </wp:positionV>
            <wp:extent cx="2912110" cy="3170555"/>
            <wp:effectExtent l="0" t="0" r="13970" b="14605"/>
            <wp:wrapNone/>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912012" cy="3170582"/>
                    </a:xfrm>
                    <a:prstGeom prst="rect">
                      <a:avLst/>
                    </a:prstGeom>
                    <a:noFill/>
                    <a:ln>
                      <a:noFill/>
                    </a:ln>
                  </pic:spPr>
                </pic:pic>
              </a:graphicData>
            </a:graphic>
          </wp:anchor>
        </w:drawing>
      </w:r>
    </w:p>
    <w:p>
      <w:pPr>
        <w:pStyle w:val="2"/>
        <w:spacing w:line="480" w:lineRule="exact"/>
        <w:contextualSpacing/>
        <w:rPr>
          <w:rFonts w:ascii="仿宋" w:hAnsi="仿宋" w:eastAsia="仿宋"/>
          <w:sz w:val="24"/>
        </w:rPr>
      </w:pPr>
    </w:p>
    <w:p>
      <w:pPr>
        <w:pStyle w:val="2"/>
        <w:spacing w:line="480" w:lineRule="exact"/>
        <w:contextualSpacing/>
        <w:rPr>
          <w:rFonts w:ascii="仿宋" w:hAnsi="仿宋" w:eastAsia="仿宋"/>
          <w:sz w:val="24"/>
        </w:rPr>
      </w:pPr>
    </w:p>
    <w:p>
      <w:pPr>
        <w:pStyle w:val="2"/>
        <w:spacing w:line="480" w:lineRule="exact"/>
        <w:contextualSpacing/>
        <w:rPr>
          <w:rFonts w:ascii="仿宋" w:hAnsi="仿宋" w:eastAsia="仿宋"/>
          <w:sz w:val="24"/>
        </w:rPr>
      </w:pPr>
    </w:p>
    <w:p>
      <w:pPr>
        <w:pStyle w:val="2"/>
        <w:spacing w:line="480" w:lineRule="exact"/>
        <w:contextualSpacing/>
        <w:rPr>
          <w:rFonts w:ascii="仿宋" w:hAnsi="仿宋" w:eastAsia="仿宋"/>
          <w:sz w:val="24"/>
        </w:rPr>
      </w:pPr>
    </w:p>
    <w:p>
      <w:pPr>
        <w:pStyle w:val="2"/>
        <w:spacing w:line="480" w:lineRule="exact"/>
        <w:contextualSpacing/>
        <w:rPr>
          <w:rFonts w:ascii="仿宋" w:hAnsi="仿宋" w:eastAsia="仿宋"/>
          <w:sz w:val="24"/>
        </w:rPr>
      </w:pPr>
    </w:p>
    <w:p>
      <w:pPr>
        <w:pStyle w:val="2"/>
        <w:spacing w:line="480" w:lineRule="exact"/>
        <w:contextualSpacing/>
        <w:rPr>
          <w:rFonts w:ascii="仿宋" w:hAnsi="仿宋" w:eastAsia="仿宋"/>
          <w:sz w:val="24"/>
        </w:rPr>
      </w:pPr>
    </w:p>
    <w:p>
      <w:pPr>
        <w:pStyle w:val="2"/>
        <w:spacing w:line="480" w:lineRule="exact"/>
        <w:contextualSpacing/>
        <w:rPr>
          <w:rFonts w:ascii="仿宋" w:hAnsi="仿宋" w:eastAsia="仿宋"/>
          <w:sz w:val="24"/>
        </w:rPr>
      </w:pPr>
    </w:p>
    <w:p>
      <w:pPr>
        <w:pStyle w:val="2"/>
        <w:spacing w:line="480" w:lineRule="exact"/>
        <w:contextualSpacing/>
        <w:rPr>
          <w:rFonts w:ascii="仿宋" w:hAnsi="仿宋" w:eastAsia="仿宋"/>
          <w:sz w:val="24"/>
        </w:rPr>
      </w:pPr>
    </w:p>
    <w:p>
      <w:pPr>
        <w:pStyle w:val="2"/>
        <w:spacing w:line="480" w:lineRule="exact"/>
        <w:contextualSpacing/>
        <w:rPr>
          <w:rFonts w:ascii="仿宋" w:hAnsi="仿宋" w:eastAsia="仿宋"/>
          <w:sz w:val="24"/>
        </w:rPr>
      </w:pPr>
    </w:p>
    <w:p>
      <w:pPr>
        <w:pStyle w:val="2"/>
        <w:spacing w:line="480" w:lineRule="exact"/>
        <w:contextualSpacing/>
        <w:rPr>
          <w:rFonts w:ascii="仿宋" w:hAnsi="仿宋" w:eastAsia="仿宋"/>
          <w:sz w:val="24"/>
        </w:rPr>
      </w:pPr>
    </w:p>
    <w:p>
      <w:pPr>
        <w:pStyle w:val="2"/>
        <w:spacing w:line="480" w:lineRule="exact"/>
        <w:contextualSpacing/>
        <w:rPr>
          <w:rFonts w:ascii="仿宋" w:hAnsi="仿宋" w:eastAsia="仿宋"/>
          <w:sz w:val="24"/>
          <w:highlight w:val="yellow"/>
        </w:rPr>
      </w:pPr>
      <w:r>
        <w:rPr>
          <w:rFonts w:hint="eastAsia" w:ascii="仿宋" w:hAnsi="仿宋" w:eastAsia="仿宋"/>
          <w:sz w:val="24"/>
          <w:highlight w:val="yellow"/>
        </w:rPr>
        <w:t>5.5 学校特殊要求</w:t>
      </w:r>
    </w:p>
    <w:p>
      <w:pPr>
        <w:pStyle w:val="2"/>
        <w:spacing w:line="480" w:lineRule="exact"/>
        <w:contextualSpacing/>
        <w:rPr>
          <w:rFonts w:ascii="仿宋" w:hAnsi="仿宋" w:eastAsia="仿宋"/>
          <w:sz w:val="24"/>
          <w:highlight w:val="yellow"/>
        </w:rPr>
      </w:pP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highlight w:val="yellow"/>
        </w:rPr>
        <w:t>如</w:t>
      </w:r>
      <w:r>
        <w:rPr>
          <w:rFonts w:hint="eastAsia" w:ascii="仿宋" w:hAnsi="仿宋" w:eastAsia="仿宋"/>
          <w:sz w:val="24"/>
          <w:highlight w:val="yellow"/>
          <w:lang w:eastAsia="zh-CN"/>
        </w:rPr>
        <w:t>成交</w:t>
      </w:r>
      <w:r>
        <w:rPr>
          <w:rFonts w:hint="eastAsia" w:ascii="仿宋" w:hAnsi="仿宋" w:eastAsia="仿宋"/>
          <w:sz w:val="24"/>
          <w:highlight w:val="yellow"/>
        </w:rPr>
        <w:t>供应商因安装照明设备对学校教室、功能室、阅览室墙面、吊顶、电路等原装饰装修部分造成了影响或破坏，供应商须将所影响或破坏的部分恢复原貌。</w:t>
      </w:r>
    </w:p>
    <w:p>
      <w:pPr>
        <w:pStyle w:val="2"/>
        <w:spacing w:line="480" w:lineRule="exact"/>
        <w:contextualSpacing/>
        <w:rPr>
          <w:rFonts w:ascii="仿宋" w:hAnsi="仿宋" w:eastAsia="仿宋"/>
          <w:sz w:val="24"/>
        </w:rPr>
      </w:pPr>
      <w:r>
        <w:rPr>
          <w:rFonts w:hint="eastAsia" w:ascii="仿宋" w:hAnsi="仿宋" w:eastAsia="仿宋"/>
          <w:sz w:val="24"/>
        </w:rPr>
        <w:t>6、验收要求：</w:t>
      </w:r>
    </w:p>
    <w:p>
      <w:pPr>
        <w:pStyle w:val="285"/>
        <w:tabs>
          <w:tab w:val="left" w:pos="312"/>
        </w:tabs>
        <w:spacing w:line="480" w:lineRule="exact"/>
        <w:ind w:right="-216" w:rightChars="-103" w:firstLine="0" w:firstLineChars="0"/>
        <w:contextualSpacing/>
        <w:rPr>
          <w:rFonts w:hint="default" w:ascii="仿宋" w:hAnsi="仿宋" w:eastAsia="仿宋" w:cs="宋体"/>
        </w:rPr>
      </w:pPr>
      <w:r>
        <w:rPr>
          <w:rFonts w:ascii="仿宋" w:hAnsi="仿宋" w:eastAsia="仿宋"/>
        </w:rPr>
        <w:t>6.1.</w:t>
      </w:r>
      <w:r>
        <w:rPr>
          <w:rFonts w:ascii="仿宋" w:hAnsi="仿宋" w:eastAsia="仿宋" w:cs="宋体"/>
        </w:rPr>
        <w:t>本项目严格按照《财政部关于进一步加强政府采购需求和履约验收管理的指导意见》（财库[2016]205号）的相关规定进行验收。</w:t>
      </w:r>
      <w:r>
        <w:rPr>
          <w:rFonts w:hint="eastAsia" w:ascii="仿宋" w:hAnsi="仿宋" w:eastAsia="仿宋" w:cs="宋体"/>
          <w:lang w:eastAsia="zh-CN"/>
        </w:rPr>
        <w:t>成交供应商</w:t>
      </w:r>
      <w:r>
        <w:rPr>
          <w:rFonts w:ascii="仿宋" w:hAnsi="仿宋" w:eastAsia="仿宋" w:cs="宋体"/>
        </w:rPr>
        <w:t>交货安装完毕后</w:t>
      </w:r>
      <w:r>
        <w:rPr>
          <w:rFonts w:hint="eastAsia" w:ascii="仿宋" w:hAnsi="仿宋" w:eastAsia="仿宋" w:cs="宋体"/>
          <w:lang w:val="en-US" w:eastAsia="zh-CN"/>
        </w:rPr>
        <w:t>7个工作日内</w:t>
      </w:r>
      <w:r>
        <w:rPr>
          <w:rFonts w:hint="eastAsia" w:ascii="仿宋" w:hAnsi="仿宋" w:eastAsia="仿宋" w:cs="宋体"/>
          <w:lang w:eastAsia="zh-CN"/>
        </w:rPr>
        <w:t>，采购人将聘请专业检</w:t>
      </w:r>
      <w:r>
        <w:rPr>
          <w:rFonts w:ascii="仿宋" w:hAnsi="仿宋" w:eastAsia="仿宋" w:cs="宋体"/>
        </w:rPr>
        <w:t>测机构、相关专家、学校相关负责人组建验收小组。验收专业检测机构（具有检测资质的第三方检测机构），按照采购约定的标准进行检测，并出具合格的检测报告。委托的检测机构抽测教室比例不低于场室总数的10%，抽测兼顾不同类型的教室。检测指标至少包括①课桌面维持平均照度；②黑板面维持平均照度；③课桌面均匀度；④黑板面均匀度；⑤照明功率密度；⑥统一眩光值；⑦频闪等指标。检测不符合要求的视为验收不合格。检测费用由</w:t>
      </w:r>
      <w:r>
        <w:rPr>
          <w:rFonts w:hint="eastAsia" w:ascii="仿宋" w:hAnsi="仿宋" w:eastAsia="仿宋" w:cs="宋体"/>
          <w:lang w:eastAsia="zh-CN"/>
        </w:rPr>
        <w:t>成交供应商</w:t>
      </w:r>
      <w:r>
        <w:rPr>
          <w:rFonts w:ascii="仿宋" w:hAnsi="仿宋" w:eastAsia="仿宋" w:cs="宋体"/>
        </w:rPr>
        <w:t>负责支付。抽测合格后，</w:t>
      </w:r>
      <w:r>
        <w:rPr>
          <w:rFonts w:hint="eastAsia" w:ascii="仿宋" w:hAnsi="仿宋" w:eastAsia="仿宋" w:cs="宋体"/>
          <w:lang w:eastAsia="zh-CN"/>
        </w:rPr>
        <w:t>成交供应商</w:t>
      </w:r>
      <w:r>
        <w:rPr>
          <w:rFonts w:ascii="仿宋" w:hAnsi="仿宋" w:eastAsia="仿宋" w:cs="宋体"/>
        </w:rPr>
        <w:t>方可申请</w:t>
      </w:r>
      <w:r>
        <w:rPr>
          <w:rFonts w:hint="eastAsia" w:ascii="仿宋" w:hAnsi="仿宋" w:eastAsia="仿宋" w:cs="宋体"/>
          <w:lang w:val="en-US" w:eastAsia="zh-CN"/>
        </w:rPr>
        <w:t>终验</w:t>
      </w:r>
      <w:r>
        <w:rPr>
          <w:rFonts w:ascii="仿宋" w:hAnsi="仿宋" w:eastAsia="仿宋" w:cs="宋体"/>
        </w:rPr>
        <w:t>。</w:t>
      </w:r>
    </w:p>
    <w:p>
      <w:pPr>
        <w:pStyle w:val="285"/>
        <w:tabs>
          <w:tab w:val="left" w:pos="312"/>
        </w:tabs>
        <w:spacing w:line="480" w:lineRule="exact"/>
        <w:ind w:right="-216" w:rightChars="-103" w:firstLine="0" w:firstLineChars="0"/>
        <w:contextualSpacing/>
        <w:rPr>
          <w:rFonts w:hint="default" w:ascii="仿宋" w:hAnsi="仿宋" w:eastAsia="仿宋" w:cs="宋体"/>
        </w:rPr>
      </w:pPr>
      <w:r>
        <w:rPr>
          <w:rFonts w:ascii="仿宋" w:hAnsi="仿宋" w:eastAsia="仿宋" w:cs="宋体"/>
        </w:rPr>
        <w:t>6</w:t>
      </w:r>
      <w:r>
        <w:rPr>
          <w:rFonts w:hint="default" w:ascii="仿宋" w:hAnsi="仿宋" w:eastAsia="仿宋" w:cs="宋体"/>
        </w:rPr>
        <w:t>.2.</w:t>
      </w:r>
      <w:r>
        <w:rPr>
          <w:rFonts w:ascii="仿宋" w:hAnsi="仿宋" w:eastAsia="仿宋" w:cs="宋体"/>
        </w:rPr>
        <w:t>第一次验收不合格，</w:t>
      </w:r>
      <w:r>
        <w:rPr>
          <w:rFonts w:hint="eastAsia" w:ascii="仿宋" w:hAnsi="仿宋" w:eastAsia="仿宋" w:cs="宋体"/>
          <w:lang w:eastAsia="zh-CN"/>
        </w:rPr>
        <w:t>成交供应商</w:t>
      </w:r>
      <w:r>
        <w:rPr>
          <w:rFonts w:ascii="仿宋" w:hAnsi="仿宋" w:eastAsia="仿宋" w:cs="宋体"/>
        </w:rPr>
        <w:t>须在15天内完成全面整改，并委托专业机构检测抽测场室比例不低于场室总数的20%，并提供整改后质量检测合格报告。不合格继续按以上方式整改，每整改一次，检测抽测比例增加10%。整改合格后采购人组织其他人员进行整改后的验收。</w:t>
      </w:r>
      <w:r>
        <w:rPr>
          <w:rFonts w:hint="eastAsia" w:ascii="仿宋" w:hAnsi="仿宋" w:eastAsia="仿宋" w:cs="宋体"/>
          <w:lang w:val="en-US" w:eastAsia="zh-CN"/>
        </w:rPr>
        <w:t>验收结束</w:t>
      </w:r>
      <w:r>
        <w:rPr>
          <w:rFonts w:ascii="仿宋" w:hAnsi="仿宋" w:eastAsia="仿宋" w:cs="宋体"/>
        </w:rPr>
        <w:t>后，采购人委托的专业检测机构进行的检测费用，由</w:t>
      </w:r>
      <w:r>
        <w:rPr>
          <w:rFonts w:hint="eastAsia" w:ascii="仿宋" w:hAnsi="仿宋" w:eastAsia="仿宋" w:cs="宋体"/>
          <w:lang w:eastAsia="zh-CN"/>
        </w:rPr>
        <w:t>成交供应商</w:t>
      </w:r>
      <w:r>
        <w:rPr>
          <w:rFonts w:ascii="仿宋" w:hAnsi="仿宋" w:eastAsia="仿宋" w:cs="宋体"/>
        </w:rPr>
        <w:t>负责支付。</w:t>
      </w:r>
    </w:p>
    <w:p>
      <w:pPr>
        <w:pStyle w:val="285"/>
        <w:tabs>
          <w:tab w:val="left" w:pos="312"/>
        </w:tabs>
        <w:spacing w:line="480" w:lineRule="exact"/>
        <w:ind w:left="1" w:right="-216" w:rightChars="-103" w:firstLine="0" w:firstLineChars="0"/>
        <w:contextualSpacing/>
        <w:rPr>
          <w:rFonts w:hint="default" w:ascii="仿宋" w:hAnsi="仿宋" w:eastAsia="仿宋" w:cs="宋体"/>
        </w:rPr>
      </w:pPr>
      <w:r>
        <w:rPr>
          <w:rFonts w:ascii="仿宋" w:hAnsi="仿宋" w:eastAsia="仿宋" w:cs="宋体"/>
        </w:rPr>
        <w:t>6</w:t>
      </w:r>
      <w:r>
        <w:rPr>
          <w:rFonts w:hint="default" w:ascii="仿宋" w:hAnsi="仿宋" w:eastAsia="仿宋" w:cs="宋体"/>
        </w:rPr>
        <w:t>.3.</w:t>
      </w:r>
      <w:r>
        <w:rPr>
          <w:rFonts w:ascii="仿宋" w:hAnsi="仿宋" w:eastAsia="仿宋" w:cs="宋体"/>
        </w:rPr>
        <w:t>验收前</w:t>
      </w:r>
      <w:r>
        <w:rPr>
          <w:rFonts w:hint="eastAsia" w:ascii="仿宋" w:hAnsi="仿宋" w:eastAsia="仿宋" w:cs="宋体"/>
          <w:lang w:eastAsia="zh-CN"/>
        </w:rPr>
        <w:t>成交供应商</w:t>
      </w:r>
      <w:r>
        <w:rPr>
          <w:rFonts w:ascii="仿宋" w:hAnsi="仿宋" w:eastAsia="仿宋" w:cs="宋体"/>
        </w:rPr>
        <w:t>需提供教室光照系统设计方案。</w:t>
      </w:r>
    </w:p>
    <w:p>
      <w:pPr>
        <w:pStyle w:val="285"/>
        <w:tabs>
          <w:tab w:val="left" w:pos="312"/>
        </w:tabs>
        <w:spacing w:line="480" w:lineRule="exact"/>
        <w:ind w:right="-216" w:rightChars="-103" w:firstLine="0" w:firstLineChars="0"/>
        <w:contextualSpacing/>
        <w:rPr>
          <w:rFonts w:hint="default" w:ascii="仿宋" w:hAnsi="仿宋" w:eastAsia="仿宋" w:cs="宋体"/>
        </w:rPr>
      </w:pPr>
      <w:r>
        <w:rPr>
          <w:rFonts w:ascii="仿宋" w:hAnsi="仿宋" w:eastAsia="仿宋" w:cs="宋体"/>
        </w:rPr>
        <w:t>6</w:t>
      </w:r>
      <w:r>
        <w:rPr>
          <w:rFonts w:hint="default" w:ascii="仿宋" w:hAnsi="仿宋" w:eastAsia="仿宋" w:cs="宋体"/>
        </w:rPr>
        <w:t>.4.</w:t>
      </w:r>
      <w:r>
        <w:rPr>
          <w:rFonts w:ascii="仿宋" w:hAnsi="仿宋" w:eastAsia="仿宋" w:cs="宋体"/>
        </w:rPr>
        <w:t>验收前</w:t>
      </w:r>
      <w:r>
        <w:rPr>
          <w:rFonts w:hint="eastAsia" w:ascii="仿宋" w:hAnsi="仿宋" w:eastAsia="仿宋" w:cs="宋体"/>
          <w:lang w:eastAsia="zh-CN"/>
        </w:rPr>
        <w:t>成交供应商</w:t>
      </w:r>
      <w:r>
        <w:rPr>
          <w:rFonts w:ascii="仿宋" w:hAnsi="仿宋" w:eastAsia="仿宋" w:cs="宋体"/>
        </w:rPr>
        <w:t>需提供视觉环境建设施工方案。</w:t>
      </w:r>
    </w:p>
    <w:p>
      <w:pPr>
        <w:pStyle w:val="285"/>
        <w:tabs>
          <w:tab w:val="left" w:pos="312"/>
        </w:tabs>
        <w:spacing w:line="480" w:lineRule="exact"/>
        <w:ind w:left="1" w:right="-216" w:rightChars="-103" w:firstLine="0" w:firstLineChars="0"/>
        <w:contextualSpacing/>
        <w:rPr>
          <w:rFonts w:hint="default" w:ascii="仿宋" w:hAnsi="仿宋" w:eastAsia="仿宋" w:cs="宋体"/>
        </w:rPr>
      </w:pPr>
      <w:r>
        <w:rPr>
          <w:rFonts w:ascii="仿宋" w:hAnsi="仿宋" w:eastAsia="仿宋" w:cs="宋体"/>
        </w:rPr>
        <w:t>6</w:t>
      </w:r>
      <w:r>
        <w:rPr>
          <w:rFonts w:hint="default" w:ascii="仿宋" w:hAnsi="仿宋" w:eastAsia="仿宋" w:cs="宋体"/>
        </w:rPr>
        <w:t>.5.</w:t>
      </w:r>
      <w:r>
        <w:rPr>
          <w:rFonts w:ascii="仿宋" w:hAnsi="仿宋" w:eastAsia="仿宋" w:cs="宋体"/>
        </w:rPr>
        <w:t>验收前</w:t>
      </w:r>
      <w:r>
        <w:rPr>
          <w:rFonts w:hint="eastAsia" w:ascii="仿宋" w:hAnsi="仿宋" w:eastAsia="仿宋" w:cs="宋体"/>
          <w:lang w:eastAsia="zh-CN"/>
        </w:rPr>
        <w:t>成交供应商</w:t>
      </w:r>
      <w:r>
        <w:rPr>
          <w:rFonts w:ascii="仿宋" w:hAnsi="仿宋" w:eastAsia="仿宋" w:cs="宋体"/>
        </w:rPr>
        <w:t>需提供配置设备产品合格证明材料。</w:t>
      </w:r>
    </w:p>
    <w:p>
      <w:pPr>
        <w:pStyle w:val="285"/>
        <w:tabs>
          <w:tab w:val="left" w:pos="312"/>
        </w:tabs>
        <w:spacing w:line="480" w:lineRule="exact"/>
        <w:ind w:left="1" w:right="-216" w:rightChars="-103" w:firstLine="0" w:firstLineChars="0"/>
        <w:contextualSpacing/>
        <w:rPr>
          <w:rFonts w:hint="default" w:ascii="仿宋" w:hAnsi="仿宋" w:eastAsia="仿宋" w:cs="宋体"/>
        </w:rPr>
      </w:pPr>
      <w:r>
        <w:rPr>
          <w:rFonts w:ascii="仿宋" w:hAnsi="仿宋" w:eastAsia="仿宋" w:cs="宋体"/>
        </w:rPr>
        <w:t>6</w:t>
      </w:r>
      <w:r>
        <w:rPr>
          <w:rFonts w:hint="default" w:ascii="仿宋" w:hAnsi="仿宋" w:eastAsia="仿宋" w:cs="宋体"/>
        </w:rPr>
        <w:t>.6.</w:t>
      </w:r>
      <w:r>
        <w:rPr>
          <w:rFonts w:ascii="仿宋" w:hAnsi="仿宋" w:eastAsia="仿宋" w:cs="宋体"/>
        </w:rPr>
        <w:t>验收前</w:t>
      </w:r>
      <w:r>
        <w:rPr>
          <w:rFonts w:hint="eastAsia" w:ascii="仿宋" w:hAnsi="仿宋" w:eastAsia="仿宋" w:cs="宋体"/>
          <w:lang w:eastAsia="zh-CN"/>
        </w:rPr>
        <w:t>成交供应商</w:t>
      </w:r>
      <w:r>
        <w:rPr>
          <w:rFonts w:ascii="仿宋" w:hAnsi="仿宋" w:eastAsia="仿宋" w:cs="宋体"/>
        </w:rPr>
        <w:t>需提供配置设备安装规范性证明材料。</w:t>
      </w:r>
    </w:p>
    <w:p>
      <w:pPr>
        <w:spacing w:line="480" w:lineRule="exact"/>
        <w:contextualSpacing/>
        <w:rPr>
          <w:rFonts w:ascii="仿宋" w:hAnsi="仿宋" w:eastAsia="仿宋" w:cs="宋体"/>
          <w:sz w:val="24"/>
        </w:rPr>
      </w:pPr>
      <w:r>
        <w:rPr>
          <w:rFonts w:hint="eastAsia" w:ascii="仿宋" w:hAnsi="仿宋" w:eastAsia="仿宋" w:cs="宋体"/>
          <w:sz w:val="24"/>
        </w:rPr>
        <w:t>6</w:t>
      </w:r>
      <w:r>
        <w:rPr>
          <w:rFonts w:ascii="仿宋" w:hAnsi="仿宋" w:eastAsia="仿宋" w:cs="宋体"/>
          <w:sz w:val="24"/>
        </w:rPr>
        <w:t>.7.验收前</w:t>
      </w:r>
      <w:r>
        <w:rPr>
          <w:rFonts w:hint="eastAsia" w:ascii="仿宋" w:hAnsi="仿宋" w:eastAsia="仿宋" w:cs="宋体"/>
          <w:sz w:val="24"/>
          <w:lang w:eastAsia="zh-CN"/>
        </w:rPr>
        <w:t>成交供应商</w:t>
      </w:r>
      <w:r>
        <w:rPr>
          <w:rFonts w:ascii="仿宋" w:hAnsi="仿宋" w:eastAsia="仿宋" w:cs="宋体"/>
          <w:sz w:val="24"/>
        </w:rPr>
        <w:t>需提供其它与教室视觉环境建设有关的材料</w:t>
      </w:r>
      <w:r>
        <w:rPr>
          <w:rFonts w:hint="eastAsia" w:ascii="仿宋" w:hAnsi="仿宋" w:eastAsia="仿宋" w:cs="宋体"/>
          <w:sz w:val="24"/>
        </w:rPr>
        <w:t>（含投标时提供的检测报告原件及全国认证认可信息公共服务平台检测报告编号查询截图等）</w:t>
      </w:r>
      <w:r>
        <w:rPr>
          <w:rFonts w:ascii="仿宋" w:hAnsi="仿宋" w:eastAsia="仿宋" w:cs="宋体"/>
          <w:sz w:val="24"/>
        </w:rPr>
        <w:t>。</w:t>
      </w:r>
    </w:p>
    <w:p>
      <w:pPr>
        <w:spacing w:line="480" w:lineRule="exact"/>
        <w:contextualSpacing/>
        <w:rPr>
          <w:rFonts w:ascii="仿宋" w:hAnsi="仿宋" w:eastAsia="仿宋"/>
          <w:bCs/>
          <w:sz w:val="24"/>
        </w:rPr>
      </w:pPr>
      <w:r>
        <w:rPr>
          <w:rFonts w:ascii="仿宋" w:hAnsi="仿宋" w:eastAsia="仿宋"/>
          <w:bCs/>
          <w:sz w:val="24"/>
        </w:rPr>
        <w:t>7</w:t>
      </w:r>
      <w:r>
        <w:rPr>
          <w:rFonts w:hint="eastAsia" w:ascii="仿宋" w:hAnsi="仿宋" w:eastAsia="仿宋"/>
          <w:bCs/>
          <w:sz w:val="24"/>
        </w:rPr>
        <w:t>、售后服务：</w:t>
      </w:r>
    </w:p>
    <w:p>
      <w:pPr>
        <w:spacing w:line="480" w:lineRule="exact"/>
        <w:contextualSpacing/>
        <w:rPr>
          <w:rFonts w:ascii="仿宋" w:hAnsi="仿宋" w:eastAsia="仿宋"/>
          <w:sz w:val="24"/>
        </w:rPr>
      </w:pPr>
      <w:r>
        <w:rPr>
          <w:rFonts w:ascii="仿宋" w:hAnsi="仿宋" w:eastAsia="仿宋"/>
          <w:sz w:val="24"/>
        </w:rPr>
        <w:t>7.1.</w:t>
      </w:r>
      <w:r>
        <w:rPr>
          <w:rFonts w:hint="eastAsia" w:ascii="仿宋" w:hAnsi="仿宋" w:eastAsia="仿宋"/>
          <w:sz w:val="24"/>
        </w:rPr>
        <w:t>零配件供应：</w:t>
      </w:r>
      <w:r>
        <w:rPr>
          <w:rFonts w:hint="eastAsia" w:ascii="仿宋" w:hAnsi="仿宋" w:eastAsia="仿宋"/>
          <w:sz w:val="24"/>
          <w:lang w:eastAsia="zh-CN"/>
        </w:rPr>
        <w:t>成交供应商</w:t>
      </w:r>
      <w:r>
        <w:rPr>
          <w:rFonts w:hint="eastAsia" w:ascii="仿宋" w:hAnsi="仿宋" w:eastAsia="仿宋"/>
          <w:sz w:val="24"/>
        </w:rPr>
        <w:t>应保证设备停产后的备件供应保证10年，质保期满后以优惠的价格提供该设备所需的维修零配件。</w:t>
      </w:r>
    </w:p>
    <w:p>
      <w:pPr>
        <w:spacing w:line="480" w:lineRule="exact"/>
        <w:contextualSpacing/>
        <w:rPr>
          <w:rFonts w:ascii="仿宋" w:hAnsi="仿宋" w:eastAsia="仿宋"/>
          <w:sz w:val="24"/>
        </w:rPr>
      </w:pPr>
      <w:r>
        <w:rPr>
          <w:rFonts w:ascii="仿宋" w:hAnsi="仿宋" w:eastAsia="仿宋"/>
          <w:sz w:val="24"/>
        </w:rPr>
        <w:t>7.2.</w:t>
      </w:r>
      <w:r>
        <w:rPr>
          <w:rFonts w:hint="eastAsia" w:ascii="仿宋" w:hAnsi="仿宋" w:eastAsia="仿宋"/>
          <w:sz w:val="24"/>
          <w:lang w:eastAsia="zh-CN"/>
        </w:rPr>
        <w:t>成交供应商</w:t>
      </w:r>
      <w:r>
        <w:rPr>
          <w:rFonts w:hint="eastAsia" w:ascii="仿宋" w:hAnsi="仿宋" w:eastAsia="仿宋"/>
          <w:sz w:val="24"/>
        </w:rPr>
        <w:t>在国内应有24小时电话维修系统，并列出工程师名单、联系电话、通讯地址及备件库地址和备件的详细目录。</w:t>
      </w:r>
    </w:p>
    <w:p>
      <w:pPr>
        <w:spacing w:line="480" w:lineRule="exact"/>
        <w:contextualSpacing/>
        <w:rPr>
          <w:rFonts w:ascii="仿宋" w:hAnsi="仿宋" w:eastAsia="仿宋"/>
          <w:sz w:val="24"/>
        </w:rPr>
      </w:pPr>
      <w:r>
        <w:rPr>
          <w:rFonts w:ascii="仿宋" w:hAnsi="仿宋" w:eastAsia="仿宋"/>
          <w:sz w:val="24"/>
        </w:rPr>
        <w:t>7.3.</w:t>
      </w:r>
      <w:r>
        <w:rPr>
          <w:rFonts w:hint="eastAsia" w:ascii="仿宋" w:hAnsi="仿宋" w:eastAsia="仿宋"/>
          <w:sz w:val="24"/>
          <w:lang w:eastAsia="zh-CN"/>
        </w:rPr>
        <w:t>成交供应商</w:t>
      </w:r>
      <w:r>
        <w:rPr>
          <w:rFonts w:hint="eastAsia" w:ascii="仿宋" w:hAnsi="仿宋" w:eastAsia="仿宋"/>
          <w:sz w:val="24"/>
        </w:rPr>
        <w:t>为本项目提供终身维护的服务。</w:t>
      </w:r>
    </w:p>
    <w:p/>
    <w:p>
      <w:pPr>
        <w:bidi w:val="0"/>
        <w:rPr>
          <w:sz w:val="32"/>
          <w:szCs w:val="36"/>
        </w:rPr>
      </w:pPr>
      <w:r>
        <w:rPr>
          <w:rFonts w:hint="eastAsia"/>
          <w:sz w:val="32"/>
          <w:szCs w:val="36"/>
        </w:rPr>
        <w:t>四、其他要求</w:t>
      </w:r>
    </w:p>
    <w:p>
      <w:pPr>
        <w:spacing w:line="460" w:lineRule="exact"/>
        <w:contextualSpacing/>
        <w:rPr>
          <w:rFonts w:ascii="仿宋" w:hAnsi="仿宋" w:eastAsia="仿宋"/>
          <w:bCs/>
          <w:sz w:val="24"/>
          <w:lang w:val="zh-CN"/>
        </w:rPr>
      </w:pPr>
      <w:r>
        <w:rPr>
          <w:rFonts w:hint="eastAsia" w:ascii="仿宋" w:hAnsi="仿宋" w:eastAsia="仿宋"/>
          <w:bCs/>
          <w:sz w:val="24"/>
          <w:lang w:val="zh-CN"/>
        </w:rPr>
        <w:t>【一】设计方案要求</w:t>
      </w:r>
    </w:p>
    <w:p>
      <w:pPr>
        <w:spacing w:line="460" w:lineRule="exact"/>
        <w:ind w:left="-20" w:firstLine="240" w:firstLineChars="100"/>
        <w:contextualSpacing/>
        <w:rPr>
          <w:rFonts w:ascii="仿宋" w:hAnsi="仿宋" w:eastAsia="仿宋" w:cs="宋体"/>
          <w:kern w:val="0"/>
          <w:sz w:val="24"/>
        </w:rPr>
      </w:pPr>
      <w:r>
        <w:rPr>
          <w:rFonts w:hint="eastAsia" w:ascii="仿宋" w:hAnsi="仿宋" w:eastAsia="仿宋" w:cs="宋体"/>
          <w:sz w:val="24"/>
        </w:rPr>
        <w:t>1、每间教室数据采集，至少包含：教室空间数据测量、课桌面照度数据采集、黑板数据照度采集等指标和过程资料。</w:t>
      </w:r>
    </w:p>
    <w:p>
      <w:pPr>
        <w:spacing w:line="460" w:lineRule="exact"/>
        <w:ind w:left="-20" w:firstLine="240" w:firstLineChars="100"/>
        <w:contextualSpacing/>
        <w:rPr>
          <w:rFonts w:ascii="仿宋" w:hAnsi="仿宋" w:eastAsia="仿宋" w:cs="宋体"/>
          <w:sz w:val="24"/>
        </w:rPr>
      </w:pPr>
      <w:r>
        <w:rPr>
          <w:rFonts w:hint="eastAsia" w:ascii="仿宋" w:hAnsi="仿宋" w:eastAsia="仿宋" w:cs="宋体"/>
          <w:kern w:val="0"/>
          <w:sz w:val="24"/>
        </w:rPr>
        <w:t>2、专业光学照明设计，至少包含模拟效果图、等照度图、点照度图、伪色图。</w:t>
      </w:r>
    </w:p>
    <w:p>
      <w:pPr>
        <w:spacing w:line="460" w:lineRule="exact"/>
        <w:ind w:left="-20" w:firstLine="240" w:firstLineChars="100"/>
        <w:contextualSpacing/>
        <w:rPr>
          <w:rFonts w:ascii="仿宋" w:hAnsi="仿宋" w:eastAsia="仿宋" w:cs="宋体"/>
          <w:kern w:val="0"/>
          <w:sz w:val="24"/>
        </w:rPr>
      </w:pPr>
      <w:r>
        <w:rPr>
          <w:rFonts w:hint="eastAsia" w:ascii="仿宋" w:hAnsi="仿宋" w:eastAsia="仿宋" w:cs="宋体"/>
          <w:kern w:val="0"/>
          <w:sz w:val="24"/>
        </w:rPr>
        <w:t>3、健康照明环境设计，至少包含学校整体布局图、楼层布局图、教室布局图。</w:t>
      </w:r>
    </w:p>
    <w:p>
      <w:pPr>
        <w:pStyle w:val="2"/>
        <w:spacing w:line="460" w:lineRule="exact"/>
        <w:contextualSpacing/>
        <w:rPr>
          <w:rFonts w:ascii="仿宋" w:hAnsi="仿宋" w:eastAsia="仿宋"/>
          <w:b/>
          <w:sz w:val="24"/>
        </w:rPr>
      </w:pPr>
      <w:r>
        <w:rPr>
          <w:rFonts w:hint="eastAsia" w:ascii="仿宋" w:hAnsi="仿宋" w:eastAsia="仿宋"/>
          <w:b/>
          <w:sz w:val="24"/>
        </w:rPr>
        <w:t>【二】建设方案</w:t>
      </w:r>
    </w:p>
    <w:p>
      <w:pPr>
        <w:pStyle w:val="2"/>
        <w:spacing w:line="460" w:lineRule="exact"/>
        <w:ind w:firstLine="240" w:firstLineChars="100"/>
        <w:contextualSpacing/>
        <w:rPr>
          <w:rFonts w:ascii="仿宋" w:hAnsi="仿宋" w:eastAsia="仿宋"/>
          <w:sz w:val="24"/>
        </w:rPr>
      </w:pPr>
      <w:r>
        <w:rPr>
          <w:rFonts w:ascii="仿宋" w:hAnsi="仿宋" w:eastAsia="仿宋"/>
          <w:sz w:val="24"/>
        </w:rPr>
        <w:t>1</w:t>
      </w:r>
      <w:r>
        <w:rPr>
          <w:rFonts w:hint="eastAsia" w:ascii="仿宋" w:hAnsi="仿宋" w:eastAsia="仿宋"/>
          <w:sz w:val="24"/>
        </w:rPr>
        <w:t>、建设方案至少包含人员配置、安全管理、施工进度、质量保证措施及承诺等。</w:t>
      </w:r>
      <w:r>
        <w:rPr>
          <w:rFonts w:ascii="仿宋" w:hAnsi="仿宋" w:eastAsia="仿宋"/>
          <w:sz w:val="24"/>
        </w:rPr>
        <w:t>其中</w:t>
      </w:r>
      <w:r>
        <w:rPr>
          <w:rFonts w:hint="eastAsia" w:ascii="仿宋" w:hAnsi="仿宋" w:eastAsia="仿宋"/>
          <w:sz w:val="24"/>
        </w:rPr>
        <w:t>，</w:t>
      </w:r>
      <w:r>
        <w:rPr>
          <w:rFonts w:ascii="仿宋" w:hAnsi="仿宋" w:eastAsia="仿宋"/>
          <w:sz w:val="24"/>
        </w:rPr>
        <w:t>人员配置至少</w:t>
      </w:r>
      <w:r>
        <w:rPr>
          <w:rFonts w:hint="eastAsia" w:ascii="仿宋" w:hAnsi="仿宋" w:eastAsia="仿宋"/>
          <w:sz w:val="24"/>
        </w:rPr>
        <w:t>安排一组完整的施工</w:t>
      </w:r>
      <w:r>
        <w:rPr>
          <w:rFonts w:ascii="仿宋" w:hAnsi="仿宋" w:eastAsia="仿宋"/>
          <w:sz w:val="24"/>
        </w:rPr>
        <w:t>人员队伍</w:t>
      </w:r>
      <w:r>
        <w:rPr>
          <w:rFonts w:hint="eastAsia" w:ascii="仿宋" w:hAnsi="仿宋" w:eastAsia="仿宋"/>
          <w:sz w:val="24"/>
        </w:rPr>
        <w:t>，每组施工</w:t>
      </w:r>
      <w:r>
        <w:rPr>
          <w:rFonts w:ascii="仿宋" w:hAnsi="仿宋" w:eastAsia="仿宋"/>
          <w:sz w:val="24"/>
        </w:rPr>
        <w:t>人员</w:t>
      </w:r>
      <w:r>
        <w:rPr>
          <w:rFonts w:hint="eastAsia" w:ascii="仿宋" w:hAnsi="仿宋" w:eastAsia="仿宋"/>
          <w:sz w:val="24"/>
        </w:rPr>
        <w:t>至少</w:t>
      </w:r>
      <w:r>
        <w:rPr>
          <w:rFonts w:ascii="仿宋" w:hAnsi="仿宋" w:eastAsia="仿宋"/>
          <w:sz w:val="24"/>
        </w:rPr>
        <w:t>包含</w:t>
      </w:r>
      <w:r>
        <w:rPr>
          <w:rFonts w:hint="eastAsia" w:ascii="仿宋" w:hAnsi="仿宋" w:eastAsia="仿宋"/>
          <w:sz w:val="24"/>
        </w:rPr>
        <w:t>：</w:t>
      </w:r>
      <w:r>
        <w:rPr>
          <w:rFonts w:ascii="仿宋" w:hAnsi="仿宋" w:eastAsia="仿宋"/>
          <w:sz w:val="24"/>
        </w:rPr>
        <w:t>货物配送</w:t>
      </w:r>
      <w:r>
        <w:rPr>
          <w:rFonts w:hint="eastAsia" w:ascii="仿宋" w:hAnsi="仿宋" w:eastAsia="仿宋"/>
          <w:sz w:val="24"/>
        </w:rPr>
        <w:t>、</w:t>
      </w:r>
      <w:r>
        <w:rPr>
          <w:rFonts w:ascii="仿宋" w:hAnsi="仿宋" w:eastAsia="仿宋"/>
          <w:sz w:val="24"/>
        </w:rPr>
        <w:t>勘测定位设计</w:t>
      </w:r>
      <w:r>
        <w:rPr>
          <w:rFonts w:hint="eastAsia" w:ascii="仿宋" w:hAnsi="仿宋" w:eastAsia="仿宋"/>
          <w:sz w:val="24"/>
        </w:rPr>
        <w:t>、线路改造、灯具</w:t>
      </w:r>
      <w:r>
        <w:rPr>
          <w:rFonts w:ascii="仿宋" w:hAnsi="仿宋" w:eastAsia="仿宋"/>
          <w:sz w:val="24"/>
        </w:rPr>
        <w:t>安装</w:t>
      </w:r>
      <w:r>
        <w:rPr>
          <w:rFonts w:hint="eastAsia" w:ascii="仿宋" w:hAnsi="仿宋" w:eastAsia="仿宋"/>
          <w:sz w:val="24"/>
        </w:rPr>
        <w:t>、光环境</w:t>
      </w:r>
      <w:r>
        <w:rPr>
          <w:rFonts w:ascii="仿宋" w:hAnsi="仿宋" w:eastAsia="仿宋"/>
          <w:sz w:val="24"/>
        </w:rPr>
        <w:t>检测等岗位</w:t>
      </w:r>
      <w:r>
        <w:rPr>
          <w:rFonts w:hint="eastAsia" w:ascii="仿宋" w:hAnsi="仿宋" w:eastAsia="仿宋"/>
          <w:sz w:val="24"/>
        </w:rPr>
        <w:t>，且每组人数不能少于</w:t>
      </w:r>
      <w:r>
        <w:rPr>
          <w:rFonts w:hint="eastAsia" w:ascii="仿宋" w:hAnsi="仿宋" w:eastAsia="仿宋"/>
          <w:sz w:val="24"/>
          <w:highlight w:val="yellow"/>
        </w:rPr>
        <w:t>6</w:t>
      </w:r>
      <w:r>
        <w:rPr>
          <w:rFonts w:hint="eastAsia" w:ascii="仿宋" w:hAnsi="仿宋" w:eastAsia="仿宋"/>
          <w:sz w:val="24"/>
        </w:rPr>
        <w:t>人</w:t>
      </w:r>
      <w:r>
        <w:rPr>
          <w:rFonts w:ascii="仿宋" w:hAnsi="仿宋" w:eastAsia="仿宋"/>
          <w:sz w:val="24"/>
        </w:rPr>
        <w:t>；施工进度</w:t>
      </w:r>
      <w:r>
        <w:rPr>
          <w:rFonts w:hint="eastAsia" w:ascii="仿宋" w:hAnsi="仿宋" w:eastAsia="仿宋"/>
          <w:sz w:val="24"/>
        </w:rPr>
        <w:t>至少参</w:t>
      </w:r>
      <w:r>
        <w:rPr>
          <w:rFonts w:ascii="仿宋" w:hAnsi="仿宋" w:eastAsia="仿宋"/>
          <w:sz w:val="24"/>
        </w:rPr>
        <w:t>照学校场室数量</w:t>
      </w:r>
      <w:r>
        <w:rPr>
          <w:rFonts w:hint="eastAsia" w:ascii="仿宋" w:hAnsi="仿宋" w:eastAsia="仿宋"/>
          <w:sz w:val="24"/>
        </w:rPr>
        <w:t>，</w:t>
      </w:r>
      <w:r>
        <w:rPr>
          <w:rFonts w:ascii="仿宋" w:hAnsi="仿宋" w:eastAsia="仿宋"/>
          <w:sz w:val="24"/>
        </w:rPr>
        <w:t>按</w:t>
      </w:r>
      <w:r>
        <w:rPr>
          <w:rFonts w:hint="eastAsia" w:ascii="仿宋" w:hAnsi="仿宋" w:eastAsia="仿宋"/>
          <w:color w:val="FF0000"/>
          <w:sz w:val="24"/>
        </w:rPr>
        <w:t>采购</w:t>
      </w:r>
      <w:r>
        <w:rPr>
          <w:rFonts w:ascii="仿宋" w:hAnsi="仿宋" w:eastAsia="仿宋"/>
          <w:color w:val="FF0000"/>
          <w:sz w:val="24"/>
        </w:rPr>
        <w:t>文件</w:t>
      </w:r>
      <w:r>
        <w:rPr>
          <w:rFonts w:ascii="仿宋" w:hAnsi="仿宋" w:eastAsia="仿宋"/>
          <w:sz w:val="24"/>
        </w:rPr>
        <w:t>送货及安装的时间要求</w:t>
      </w:r>
      <w:r>
        <w:rPr>
          <w:rFonts w:hint="eastAsia" w:ascii="仿宋" w:hAnsi="仿宋" w:eastAsia="仿宋"/>
          <w:sz w:val="24"/>
        </w:rPr>
        <w:t>，</w:t>
      </w:r>
      <w:r>
        <w:rPr>
          <w:rFonts w:ascii="仿宋" w:hAnsi="仿宋" w:eastAsia="仿宋"/>
          <w:sz w:val="24"/>
        </w:rPr>
        <w:t>科学设置进度安排以及设置建设中的应急</w:t>
      </w:r>
      <w:r>
        <w:rPr>
          <w:rFonts w:hint="eastAsia" w:ascii="仿宋" w:hAnsi="仿宋" w:eastAsia="仿宋"/>
          <w:sz w:val="24"/>
        </w:rPr>
        <w:t>处置</w:t>
      </w:r>
      <w:r>
        <w:rPr>
          <w:rFonts w:ascii="仿宋" w:hAnsi="仿宋" w:eastAsia="仿宋"/>
          <w:sz w:val="24"/>
        </w:rPr>
        <w:t>措施</w:t>
      </w:r>
      <w:r>
        <w:rPr>
          <w:rFonts w:hint="eastAsia" w:ascii="仿宋" w:hAnsi="仿宋" w:eastAsia="仿宋"/>
          <w:sz w:val="24"/>
        </w:rPr>
        <w:t>；</w:t>
      </w:r>
      <w:r>
        <w:rPr>
          <w:rFonts w:ascii="仿宋" w:hAnsi="仿宋" w:eastAsia="仿宋"/>
          <w:sz w:val="24"/>
        </w:rPr>
        <w:t>质量保证措施和承诺</w:t>
      </w:r>
      <w:r>
        <w:rPr>
          <w:rFonts w:hint="eastAsia" w:ascii="仿宋" w:hAnsi="仿宋" w:eastAsia="仿宋"/>
          <w:sz w:val="24"/>
        </w:rPr>
        <w:t>包含（1）</w:t>
      </w:r>
      <w:r>
        <w:rPr>
          <w:rFonts w:ascii="仿宋" w:hAnsi="仿宋" w:eastAsia="仿宋"/>
          <w:sz w:val="24"/>
        </w:rPr>
        <w:t>灯具原材料的质量保证到生产</w:t>
      </w:r>
      <w:r>
        <w:rPr>
          <w:rFonts w:hint="eastAsia" w:ascii="仿宋" w:hAnsi="仿宋" w:eastAsia="仿宋"/>
          <w:sz w:val="24"/>
        </w:rPr>
        <w:t>灯具</w:t>
      </w:r>
      <w:r>
        <w:rPr>
          <w:rFonts w:ascii="仿宋" w:hAnsi="仿宋" w:eastAsia="仿宋"/>
          <w:sz w:val="24"/>
        </w:rPr>
        <w:t>到成品等每一步质量控制措施</w:t>
      </w:r>
      <w:r>
        <w:rPr>
          <w:rFonts w:hint="eastAsia" w:ascii="仿宋" w:hAnsi="仿宋" w:eastAsia="仿宋"/>
          <w:sz w:val="24"/>
        </w:rPr>
        <w:t>；（2）灯具</w:t>
      </w:r>
      <w:r>
        <w:rPr>
          <w:rFonts w:ascii="仿宋" w:hAnsi="仿宋" w:eastAsia="仿宋"/>
          <w:sz w:val="24"/>
        </w:rPr>
        <w:t>安装中定位设计</w:t>
      </w:r>
      <w:r>
        <w:rPr>
          <w:rFonts w:hint="eastAsia" w:ascii="仿宋" w:hAnsi="仿宋" w:eastAsia="仿宋"/>
          <w:sz w:val="24"/>
        </w:rPr>
        <w:t>、</w:t>
      </w:r>
      <w:r>
        <w:rPr>
          <w:rFonts w:ascii="仿宋" w:hAnsi="仿宋" w:eastAsia="仿宋"/>
          <w:sz w:val="24"/>
        </w:rPr>
        <w:t>线路改造</w:t>
      </w:r>
      <w:r>
        <w:rPr>
          <w:rFonts w:hint="eastAsia" w:ascii="仿宋" w:hAnsi="仿宋" w:eastAsia="仿宋"/>
          <w:sz w:val="24"/>
        </w:rPr>
        <w:t>、</w:t>
      </w:r>
      <w:r>
        <w:rPr>
          <w:rFonts w:ascii="仿宋" w:hAnsi="仿宋" w:eastAsia="仿宋"/>
          <w:sz w:val="24"/>
        </w:rPr>
        <w:t>开关控制</w:t>
      </w:r>
      <w:r>
        <w:rPr>
          <w:rFonts w:hint="eastAsia" w:ascii="仿宋" w:hAnsi="仿宋" w:eastAsia="仿宋"/>
          <w:sz w:val="24"/>
        </w:rPr>
        <w:t>、</w:t>
      </w:r>
      <w:r>
        <w:rPr>
          <w:rFonts w:ascii="仿宋" w:hAnsi="仿宋" w:eastAsia="仿宋"/>
          <w:sz w:val="24"/>
        </w:rPr>
        <w:t xml:space="preserve">达标检测等每一个环节的质量控制措施 </w:t>
      </w:r>
      <w:r>
        <w:rPr>
          <w:rFonts w:hint="eastAsia" w:ascii="仿宋" w:hAnsi="仿宋" w:eastAsia="仿宋"/>
          <w:sz w:val="24"/>
        </w:rPr>
        <w:t>。</w:t>
      </w:r>
      <w:r>
        <w:rPr>
          <w:rFonts w:ascii="仿宋" w:hAnsi="仿宋" w:eastAsia="仿宋"/>
          <w:sz w:val="24"/>
        </w:rPr>
        <w:br w:type="textWrapping"/>
      </w:r>
      <w:r>
        <w:rPr>
          <w:rFonts w:hint="eastAsia" w:ascii="仿宋" w:hAnsi="仿宋" w:eastAsia="仿宋"/>
          <w:bCs/>
          <w:sz w:val="24"/>
          <w:lang w:val="zh-CN"/>
        </w:rPr>
        <w:t>★</w:t>
      </w:r>
      <w:r>
        <w:rPr>
          <w:rFonts w:ascii="仿宋" w:hAnsi="仿宋" w:eastAsia="仿宋"/>
          <w:sz w:val="24"/>
        </w:rPr>
        <w:t xml:space="preserve"> 2</w:t>
      </w:r>
      <w:r>
        <w:rPr>
          <w:rFonts w:hint="eastAsia" w:ascii="仿宋" w:hAnsi="仿宋" w:eastAsia="仿宋"/>
          <w:sz w:val="24"/>
        </w:rPr>
        <w:t>、</w:t>
      </w:r>
      <w:r>
        <w:rPr>
          <w:rFonts w:ascii="仿宋" w:hAnsi="仿宋" w:eastAsia="仿宋"/>
          <w:sz w:val="24"/>
        </w:rPr>
        <w:t>供应商对所提供的设施设备，向用户进行技术培训，培训内容包括运行操作、维修保养及设备简易故障的判别、排除</w:t>
      </w:r>
      <w:r>
        <w:rPr>
          <w:rFonts w:hint="eastAsia" w:ascii="仿宋" w:hAnsi="仿宋" w:eastAsia="仿宋"/>
          <w:sz w:val="24"/>
        </w:rPr>
        <w:t>。</w:t>
      </w:r>
    </w:p>
    <w:p>
      <w:pPr>
        <w:pStyle w:val="2"/>
        <w:spacing w:line="460" w:lineRule="exact"/>
        <w:contextualSpacing/>
        <w:rPr>
          <w:rFonts w:ascii="仿宋" w:hAnsi="仿宋" w:eastAsia="仿宋"/>
          <w:sz w:val="24"/>
        </w:rPr>
      </w:pPr>
      <w:r>
        <w:rPr>
          <w:rFonts w:hint="eastAsia" w:ascii="仿宋" w:hAnsi="仿宋"/>
          <w:sz w:val="24"/>
          <w:lang w:val="zh-CN"/>
        </w:rPr>
        <w:t>★</w:t>
      </w:r>
      <w:r>
        <w:rPr>
          <w:rFonts w:hint="eastAsia" w:ascii="仿宋" w:hAnsi="仿宋" w:eastAsia="仿宋"/>
          <w:bCs/>
          <w:sz w:val="24"/>
        </w:rPr>
        <w:t>3、供应商需考虑各类教室、功能室的面积差异</w:t>
      </w:r>
      <w:r>
        <w:rPr>
          <w:rFonts w:hint="eastAsia" w:ascii="仿宋" w:hAnsi="仿宋" w:eastAsia="仿宋"/>
          <w:bCs/>
          <w:sz w:val="24"/>
          <w:lang w:val="en-US" w:eastAsia="zh-CN"/>
        </w:rPr>
        <w:t>所</w:t>
      </w:r>
      <w:r>
        <w:rPr>
          <w:rFonts w:hint="eastAsia" w:ascii="仿宋" w:hAnsi="仿宋" w:eastAsia="仿宋"/>
          <w:bCs/>
          <w:sz w:val="24"/>
        </w:rPr>
        <w:t>成设计及安装要求的难度，为保证教学工作的正常开展，原则上</w:t>
      </w:r>
      <w:r>
        <w:rPr>
          <w:rFonts w:ascii="仿宋" w:hAnsi="仿宋" w:eastAsia="仿宋"/>
          <w:bCs/>
          <w:sz w:val="24"/>
        </w:rPr>
        <w:t>本项目建设完</w:t>
      </w:r>
      <w:r>
        <w:rPr>
          <w:rFonts w:hint="eastAsia" w:ascii="仿宋" w:hAnsi="仿宋" w:eastAsia="仿宋"/>
          <w:bCs/>
          <w:sz w:val="24"/>
        </w:rPr>
        <w:t>成</w:t>
      </w:r>
      <w:r>
        <w:rPr>
          <w:rFonts w:ascii="仿宋" w:hAnsi="仿宋" w:eastAsia="仿宋"/>
          <w:bCs/>
          <w:sz w:val="24"/>
        </w:rPr>
        <w:t>时间为</w:t>
      </w:r>
      <w:r>
        <w:rPr>
          <w:rFonts w:hint="eastAsia" w:ascii="仿宋" w:hAnsi="仿宋" w:eastAsia="仿宋"/>
          <w:bCs/>
          <w:color w:val="FF0000"/>
          <w:sz w:val="24"/>
        </w:rPr>
        <w:t>2</w:t>
      </w:r>
      <w:r>
        <w:rPr>
          <w:rFonts w:ascii="仿宋" w:hAnsi="仿宋" w:eastAsia="仿宋"/>
          <w:bCs/>
          <w:color w:val="FF0000"/>
          <w:sz w:val="24"/>
        </w:rPr>
        <w:t>02</w:t>
      </w:r>
      <w:r>
        <w:rPr>
          <w:rFonts w:hint="eastAsia" w:ascii="仿宋" w:hAnsi="仿宋" w:eastAsia="仿宋"/>
          <w:bCs/>
          <w:color w:val="FF0000"/>
          <w:sz w:val="24"/>
        </w:rPr>
        <w:t>2</w:t>
      </w:r>
      <w:r>
        <w:rPr>
          <w:rFonts w:ascii="仿宋" w:hAnsi="仿宋" w:eastAsia="仿宋"/>
          <w:bCs/>
          <w:color w:val="FF0000"/>
          <w:sz w:val="24"/>
        </w:rPr>
        <w:t>年</w:t>
      </w:r>
      <w:r>
        <w:rPr>
          <w:rFonts w:hint="eastAsia" w:ascii="仿宋" w:hAnsi="仿宋" w:eastAsia="仿宋"/>
          <w:bCs/>
          <w:color w:val="FF0000"/>
          <w:sz w:val="24"/>
        </w:rPr>
        <w:t>2月16日</w:t>
      </w:r>
      <w:r>
        <w:rPr>
          <w:rFonts w:hint="eastAsia" w:ascii="仿宋" w:hAnsi="仿宋" w:eastAsia="仿宋"/>
          <w:bCs/>
          <w:sz w:val="24"/>
        </w:rPr>
        <w:t>开学之前，如因不可抗拒的原因造成项目建设要在教学期间进行的，供应商应该充分考虑建设过程中的难度和不确定因素，教学期间建设原则：①必须保证学生、老师的人身安全；②不能影响学校正常的教学工作，较大噪声的施工必须安排在下课时间或周末进行，同时也不能对周边的居民造成不良的影响；③建设人员不能在校内现场居住，同时在建设期间未经学校允许不得进入校园的非建设区域；④建设期间做好疫情防控工作。</w:t>
      </w:r>
    </w:p>
    <w:p>
      <w:pPr>
        <w:bidi w:val="0"/>
        <w:rPr>
          <w:sz w:val="36"/>
          <w:szCs w:val="40"/>
        </w:rPr>
      </w:pPr>
      <w:r>
        <w:rPr>
          <w:rFonts w:hint="eastAsia"/>
          <w:sz w:val="36"/>
          <w:szCs w:val="40"/>
        </w:rPr>
        <w:t>五、样品要求</w:t>
      </w:r>
    </w:p>
    <w:p>
      <w:pPr>
        <w:spacing w:line="460" w:lineRule="exact"/>
        <w:contextualSpacing/>
        <w:jc w:val="center"/>
        <w:rPr>
          <w:rFonts w:ascii="仿宋" w:hAnsi="仿宋" w:eastAsia="仿宋"/>
          <w:bCs/>
          <w:sz w:val="24"/>
          <w:highlight w:val="yellow"/>
        </w:rPr>
      </w:pPr>
      <w:r>
        <w:rPr>
          <w:rFonts w:hint="eastAsia" w:ascii="仿宋" w:hAnsi="仿宋" w:eastAsia="仿宋"/>
          <w:bCs/>
          <w:sz w:val="24"/>
          <w:highlight w:val="yellow"/>
          <w:lang w:val="en-US" w:eastAsia="zh-CN"/>
        </w:rPr>
        <w:t>送样须知</w:t>
      </w:r>
    </w:p>
    <w:p>
      <w:pPr>
        <w:numPr>
          <w:ilvl w:val="0"/>
          <w:numId w:val="31"/>
        </w:numPr>
        <w:spacing w:line="460" w:lineRule="exact"/>
        <w:ind w:firstLine="480" w:firstLineChars="200"/>
        <w:contextualSpacing/>
        <w:rPr>
          <w:rFonts w:hint="eastAsia" w:ascii="仿宋" w:hAnsi="仿宋" w:eastAsia="仿宋"/>
          <w:bCs/>
          <w:sz w:val="24"/>
        </w:rPr>
      </w:pPr>
      <w:r>
        <w:rPr>
          <w:rFonts w:hint="eastAsia" w:ascii="仿宋" w:hAnsi="仿宋" w:eastAsia="仿宋"/>
          <w:bCs/>
          <w:sz w:val="24"/>
        </w:rPr>
        <w:t>样品清单:</w:t>
      </w:r>
    </w:p>
    <w:tbl>
      <w:tblPr>
        <w:tblStyle w:val="41"/>
        <w:tblW w:w="9063"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5"/>
        <w:gridCol w:w="695"/>
        <w:gridCol w:w="6192"/>
        <w:gridCol w:w="860"/>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385" w:type="dxa"/>
            <w:shd w:val="clear" w:color="auto" w:fill="auto"/>
            <w:vAlign w:val="center"/>
          </w:tcPr>
          <w:p>
            <w:pPr>
              <w:contextualSpacing/>
              <w:jc w:val="center"/>
              <w:rPr>
                <w:rFonts w:ascii="仿宋" w:hAnsi="仿宋" w:eastAsia="仿宋"/>
                <w:b/>
                <w:bCs/>
                <w:szCs w:val="21"/>
              </w:rPr>
            </w:pPr>
            <w:r>
              <w:rPr>
                <w:rFonts w:ascii="仿宋" w:hAnsi="仿宋" w:eastAsia="仿宋"/>
                <w:b/>
                <w:bCs/>
                <w:szCs w:val="21"/>
              </w:rPr>
              <w:t>序号</w:t>
            </w:r>
          </w:p>
        </w:tc>
        <w:tc>
          <w:tcPr>
            <w:tcW w:w="695" w:type="dxa"/>
            <w:shd w:val="clear" w:color="auto" w:fill="auto"/>
            <w:vAlign w:val="center"/>
          </w:tcPr>
          <w:p>
            <w:pPr>
              <w:contextualSpacing/>
              <w:jc w:val="center"/>
              <w:rPr>
                <w:rFonts w:ascii="仿宋" w:hAnsi="仿宋" w:eastAsia="仿宋"/>
                <w:b/>
                <w:bCs/>
                <w:szCs w:val="21"/>
              </w:rPr>
            </w:pPr>
            <w:r>
              <w:rPr>
                <w:rFonts w:hint="eastAsia" w:ascii="仿宋" w:hAnsi="仿宋" w:eastAsia="仿宋"/>
                <w:b/>
                <w:bCs/>
                <w:szCs w:val="21"/>
                <w:lang w:val="en-US" w:eastAsia="zh-CN"/>
              </w:rPr>
              <w:t>样品</w:t>
            </w:r>
            <w:r>
              <w:rPr>
                <w:rFonts w:ascii="仿宋" w:hAnsi="仿宋" w:eastAsia="仿宋"/>
                <w:b/>
                <w:bCs/>
                <w:szCs w:val="21"/>
              </w:rPr>
              <w:t>名称</w:t>
            </w:r>
          </w:p>
        </w:tc>
        <w:tc>
          <w:tcPr>
            <w:tcW w:w="6192" w:type="dxa"/>
            <w:shd w:val="clear" w:color="auto" w:fill="auto"/>
            <w:vAlign w:val="center"/>
          </w:tcPr>
          <w:p>
            <w:pPr>
              <w:contextualSpacing/>
              <w:jc w:val="center"/>
              <w:rPr>
                <w:rFonts w:ascii="仿宋" w:hAnsi="仿宋" w:eastAsia="仿宋"/>
                <w:b/>
                <w:bCs/>
                <w:szCs w:val="21"/>
              </w:rPr>
            </w:pPr>
            <w:r>
              <w:rPr>
                <w:rFonts w:hint="eastAsia" w:ascii="仿宋" w:hAnsi="仿宋" w:eastAsia="仿宋"/>
                <w:b/>
                <w:bCs/>
                <w:szCs w:val="21"/>
              </w:rPr>
              <w:t>要求</w:t>
            </w:r>
          </w:p>
        </w:tc>
        <w:tc>
          <w:tcPr>
            <w:tcW w:w="860" w:type="dxa"/>
            <w:shd w:val="clear" w:color="auto" w:fill="auto"/>
            <w:vAlign w:val="center"/>
          </w:tcPr>
          <w:p>
            <w:pPr>
              <w:contextualSpacing/>
              <w:jc w:val="center"/>
              <w:rPr>
                <w:rFonts w:hint="eastAsia" w:ascii="仿宋" w:hAnsi="仿宋" w:eastAsia="仿宋"/>
                <w:b/>
                <w:bCs/>
                <w:szCs w:val="21"/>
                <w:lang w:val="en-US" w:eastAsia="zh-CN"/>
              </w:rPr>
            </w:pPr>
            <w:r>
              <w:rPr>
                <w:rFonts w:hint="eastAsia" w:ascii="仿宋" w:hAnsi="仿宋" w:eastAsia="仿宋"/>
                <w:b/>
                <w:bCs/>
                <w:szCs w:val="21"/>
                <w:lang w:val="en-US" w:eastAsia="zh-CN"/>
              </w:rPr>
              <w:t>数量</w:t>
            </w:r>
          </w:p>
        </w:tc>
        <w:tc>
          <w:tcPr>
            <w:tcW w:w="931" w:type="dxa"/>
            <w:shd w:val="clear" w:color="auto" w:fill="auto"/>
            <w:vAlign w:val="center"/>
          </w:tcPr>
          <w:p>
            <w:pPr>
              <w:contextualSpacing/>
              <w:jc w:val="center"/>
              <w:rPr>
                <w:rFonts w:hint="default" w:ascii="仿宋" w:hAnsi="仿宋" w:eastAsia="仿宋"/>
                <w:b/>
                <w:bCs/>
                <w:szCs w:val="21"/>
                <w:lang w:val="en-US" w:eastAsia="zh-CN"/>
              </w:rPr>
            </w:pPr>
            <w:r>
              <w:rPr>
                <w:rFonts w:hint="eastAsia" w:ascii="仿宋" w:hAnsi="仿宋" w:eastAsia="仿宋"/>
                <w:b/>
                <w:bCs/>
                <w:szCs w:val="21"/>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385" w:type="dxa"/>
            <w:shd w:val="clear" w:color="auto" w:fill="auto"/>
            <w:vAlign w:val="center"/>
          </w:tcPr>
          <w:p>
            <w:pPr>
              <w:contextualSpacing/>
              <w:jc w:val="center"/>
              <w:rPr>
                <w:rFonts w:ascii="仿宋" w:hAnsi="仿宋" w:eastAsia="仿宋"/>
                <w:szCs w:val="21"/>
              </w:rPr>
            </w:pPr>
            <w:r>
              <w:rPr>
                <w:rFonts w:hint="eastAsia" w:ascii="仿宋" w:hAnsi="仿宋" w:eastAsia="仿宋"/>
                <w:szCs w:val="21"/>
              </w:rPr>
              <w:t>1</w:t>
            </w:r>
          </w:p>
        </w:tc>
        <w:tc>
          <w:tcPr>
            <w:tcW w:w="695" w:type="dxa"/>
            <w:shd w:val="clear" w:color="auto" w:fill="auto"/>
            <w:vAlign w:val="center"/>
          </w:tcPr>
          <w:p>
            <w:pPr>
              <w:contextualSpacing/>
              <w:jc w:val="center"/>
              <w:rPr>
                <w:rFonts w:ascii="仿宋" w:hAnsi="仿宋" w:eastAsia="仿宋"/>
                <w:szCs w:val="21"/>
              </w:rPr>
            </w:pPr>
            <w:r>
              <w:rPr>
                <w:rFonts w:hint="eastAsia" w:ascii="仿宋" w:hAnsi="仿宋" w:eastAsia="仿宋"/>
                <w:szCs w:val="21"/>
              </w:rPr>
              <w:t>LED教室灯</w:t>
            </w:r>
          </w:p>
        </w:tc>
        <w:tc>
          <w:tcPr>
            <w:tcW w:w="6192" w:type="dxa"/>
            <w:shd w:val="clear" w:color="auto" w:fill="auto"/>
          </w:tcPr>
          <w:p>
            <w:pPr>
              <w:pStyle w:val="17"/>
              <w:rPr>
                <w:rFonts w:ascii="仿宋" w:hAnsi="仿宋" w:eastAsia="仿宋"/>
                <w:szCs w:val="21"/>
              </w:rPr>
            </w:pPr>
            <w:r>
              <w:rPr>
                <w:rStyle w:val="284"/>
                <w:rFonts w:hint="default" w:ascii="仿宋" w:hAnsi="仿宋" w:eastAsia="仿宋"/>
                <w:color w:val="auto"/>
                <w:sz w:val="21"/>
                <w:szCs w:val="21"/>
              </w:rPr>
              <w:t>1、</w:t>
            </w:r>
            <w:r>
              <w:rPr>
                <w:rFonts w:hint="eastAsia" w:ascii="仿宋" w:hAnsi="仿宋" w:eastAsia="仿宋" w:cs="Arial"/>
                <w:szCs w:val="21"/>
              </w:rPr>
              <w:t>一体式LED灯具；尺寸长度≥1200mm；</w:t>
            </w:r>
            <w:r>
              <w:rPr>
                <w:rFonts w:ascii="仿宋" w:hAnsi="仿宋" w:eastAsia="仿宋" w:cs="Arial"/>
                <w:szCs w:val="21"/>
              </w:rPr>
              <w:t>灯</w:t>
            </w:r>
            <w:r>
              <w:rPr>
                <w:rStyle w:val="284"/>
                <w:rFonts w:hint="default" w:ascii="仿宋" w:hAnsi="仿宋" w:eastAsia="仿宋"/>
                <w:color w:val="auto"/>
                <w:sz w:val="21"/>
                <w:szCs w:val="21"/>
              </w:rPr>
              <w:t>具的壳体应采用≥0.04mm铝型材等轻型、坚固金属材料，并经喷涂或氧化处理，具备防锈功能；</w:t>
            </w:r>
            <w:r>
              <w:rPr>
                <w:rStyle w:val="284"/>
                <w:rFonts w:hint="eastAsia" w:ascii="仿宋" w:hAnsi="仿宋" w:eastAsia="仿宋"/>
                <w:color w:val="auto"/>
                <w:sz w:val="21"/>
                <w:szCs w:val="21"/>
                <w:lang w:eastAsia="zh-CN"/>
              </w:rPr>
              <w:t>（无需提供样品检测报告）</w:t>
            </w:r>
          </w:p>
        </w:tc>
        <w:tc>
          <w:tcPr>
            <w:tcW w:w="860" w:type="dxa"/>
            <w:shd w:val="clear" w:color="auto" w:fill="auto"/>
            <w:vAlign w:val="center"/>
          </w:tcPr>
          <w:p>
            <w:pPr>
              <w:contextualSpacing/>
              <w:jc w:val="center"/>
              <w:rPr>
                <w:rStyle w:val="284"/>
                <w:rFonts w:hint="eastAsia" w:ascii="仿宋" w:hAnsi="仿宋" w:eastAsia="仿宋"/>
                <w:color w:val="auto"/>
                <w:sz w:val="21"/>
                <w:szCs w:val="21"/>
                <w:lang w:val="en-US" w:eastAsia="zh-CN"/>
              </w:rPr>
            </w:pPr>
            <w:r>
              <w:rPr>
                <w:rStyle w:val="284"/>
                <w:rFonts w:hint="eastAsia" w:ascii="仿宋" w:hAnsi="仿宋" w:eastAsia="仿宋"/>
                <w:color w:val="auto"/>
                <w:sz w:val="21"/>
                <w:szCs w:val="21"/>
                <w:lang w:val="en-US" w:eastAsia="zh-CN"/>
              </w:rPr>
              <w:t>1</w:t>
            </w:r>
          </w:p>
        </w:tc>
        <w:tc>
          <w:tcPr>
            <w:tcW w:w="931" w:type="dxa"/>
            <w:shd w:val="clear" w:color="auto" w:fill="auto"/>
            <w:vAlign w:val="center"/>
          </w:tcPr>
          <w:p>
            <w:pPr>
              <w:contextualSpacing/>
              <w:jc w:val="center"/>
              <w:rPr>
                <w:rStyle w:val="284"/>
                <w:rFonts w:hint="default" w:ascii="仿宋" w:hAnsi="仿宋" w:eastAsia="仿宋"/>
                <w:color w:val="auto"/>
                <w:sz w:val="21"/>
                <w:szCs w:val="21"/>
                <w:lang w:val="en-US" w:eastAsia="zh-CN"/>
              </w:rPr>
            </w:pPr>
            <w:r>
              <w:rPr>
                <w:rStyle w:val="284"/>
                <w:rFonts w:hint="eastAsia" w:ascii="仿宋" w:hAnsi="仿宋" w:eastAsia="仿宋"/>
                <w:color w:val="auto"/>
                <w:sz w:val="21"/>
                <w:szCs w:val="21"/>
                <w:lang w:val="en-US" w:eastAsia="zh-CN"/>
              </w:rPr>
              <w:t>套</w:t>
            </w:r>
          </w:p>
        </w:tc>
      </w:tr>
    </w:tbl>
    <w:p>
      <w:pPr>
        <w:pStyle w:val="2"/>
        <w:numPr>
          <w:ilvl w:val="0"/>
          <w:numId w:val="0"/>
        </w:numPr>
      </w:pPr>
    </w:p>
    <w:p>
      <w:pPr>
        <w:pStyle w:val="2"/>
        <w:rPr>
          <w:rFonts w:hint="eastAsia" w:ascii="仿宋" w:hAnsi="仿宋" w:eastAsia="仿宋"/>
          <w:bCs/>
          <w:sz w:val="24"/>
        </w:rPr>
      </w:pPr>
      <w:r>
        <w:rPr>
          <w:rFonts w:hint="eastAsia" w:ascii="仿宋" w:hAnsi="仿宋" w:eastAsia="仿宋"/>
          <w:bCs/>
          <w:sz w:val="24"/>
        </w:rPr>
        <w:t>(2)</w:t>
      </w:r>
      <w:r>
        <w:rPr>
          <w:rFonts w:hint="eastAsia" w:ascii="仿宋" w:hAnsi="仿宋" w:eastAsia="仿宋"/>
          <w:bCs/>
          <w:sz w:val="24"/>
          <w:lang w:eastAsia="zh-CN"/>
        </w:rPr>
        <w:t>供应商参加采购活动</w:t>
      </w:r>
      <w:r>
        <w:rPr>
          <w:rFonts w:hint="eastAsia" w:ascii="仿宋" w:hAnsi="仿宋" w:eastAsia="仿宋"/>
          <w:bCs/>
          <w:sz w:val="24"/>
        </w:rPr>
        <w:t>时需按“样品清单”的要求提供样品(封样验收)，样品于</w:t>
      </w:r>
      <w:r>
        <w:rPr>
          <w:rFonts w:hint="eastAsia" w:ascii="仿宋" w:hAnsi="仿宋" w:eastAsia="仿宋"/>
          <w:bCs/>
          <w:sz w:val="24"/>
          <w:lang w:val="en-US" w:eastAsia="zh-CN"/>
        </w:rPr>
        <w:t>响应文件解密</w:t>
      </w:r>
      <w:r>
        <w:rPr>
          <w:rFonts w:hint="eastAsia" w:ascii="仿宋" w:hAnsi="仿宋" w:eastAsia="仿宋"/>
          <w:bCs/>
          <w:sz w:val="24"/>
        </w:rPr>
        <w:t>前</w:t>
      </w:r>
      <w:r>
        <w:rPr>
          <w:rFonts w:hint="eastAsia"/>
          <w:highlight w:val="yellow"/>
          <w:lang w:val="en-US" w:eastAsia="zh-CN"/>
        </w:rPr>
        <w:t>2022年1月24</w:t>
      </w:r>
      <w:bookmarkStart w:id="164" w:name="_GoBack"/>
      <w:bookmarkEnd w:id="164"/>
      <w:r>
        <w:rPr>
          <w:rFonts w:hint="eastAsia"/>
          <w:highlight w:val="yellow"/>
          <w:lang w:val="en-US" w:eastAsia="zh-CN"/>
        </w:rPr>
        <w:t>日</w:t>
      </w:r>
      <w:r>
        <w:rPr>
          <w:rFonts w:hint="eastAsia"/>
          <w:lang w:val="en-US" w:eastAsia="zh-CN"/>
        </w:rPr>
        <w:t>9:10-10:00</w:t>
      </w:r>
      <w:r>
        <w:rPr>
          <w:rFonts w:hint="eastAsia" w:ascii="仿宋" w:hAnsi="仿宋" w:eastAsia="仿宋"/>
          <w:bCs/>
          <w:sz w:val="24"/>
        </w:rPr>
        <w:t>递交至</w:t>
      </w:r>
      <w:r>
        <w:rPr>
          <w:rFonts w:hint="eastAsia" w:ascii="仿宋" w:hAnsi="仿宋" w:eastAsia="仿宋"/>
          <w:bCs/>
          <w:sz w:val="24"/>
          <w:lang w:eastAsia="zh-CN"/>
        </w:rPr>
        <w:t>武侯区</w:t>
      </w:r>
      <w:r>
        <w:rPr>
          <w:rFonts w:hint="eastAsia" w:ascii="仿宋" w:hAnsi="仿宋" w:eastAsia="仿宋"/>
          <w:bCs/>
          <w:sz w:val="24"/>
          <w:lang w:val="en-US" w:eastAsia="zh-CN"/>
        </w:rPr>
        <w:t>采购中心样品室</w:t>
      </w:r>
      <w:r>
        <w:rPr>
          <w:rFonts w:hint="eastAsia" w:ascii="仿宋" w:hAnsi="仿宋" w:eastAsia="仿宋"/>
          <w:bCs/>
          <w:sz w:val="24"/>
        </w:rPr>
        <w:t>，由采购</w:t>
      </w:r>
      <w:r>
        <w:rPr>
          <w:rFonts w:hint="eastAsia" w:ascii="仿宋" w:hAnsi="仿宋" w:eastAsia="仿宋"/>
          <w:bCs/>
          <w:sz w:val="24"/>
          <w:lang w:eastAsia="zh-CN"/>
        </w:rPr>
        <w:t>中心</w:t>
      </w:r>
      <w:r>
        <w:rPr>
          <w:rFonts w:hint="eastAsia" w:ascii="仿宋" w:hAnsi="仿宋" w:eastAsia="仿宋"/>
          <w:bCs/>
          <w:sz w:val="24"/>
        </w:rPr>
        <w:t>工作人员统一接收；</w:t>
      </w:r>
    </w:p>
    <w:p>
      <w:pPr>
        <w:pStyle w:val="2"/>
        <w:rPr>
          <w:rFonts w:hint="eastAsia" w:ascii="仿宋" w:hAnsi="仿宋" w:eastAsia="仿宋"/>
          <w:bCs/>
          <w:sz w:val="24"/>
        </w:rPr>
      </w:pPr>
      <w:r>
        <w:rPr>
          <w:rFonts w:hint="eastAsia" w:ascii="仿宋" w:hAnsi="仿宋" w:eastAsia="仿宋"/>
          <w:bCs/>
          <w:sz w:val="24"/>
        </w:rPr>
        <w:t>(3)所送样品不能有可以识别</w:t>
      </w:r>
      <w:r>
        <w:rPr>
          <w:rFonts w:hint="eastAsia" w:ascii="仿宋" w:hAnsi="仿宋" w:eastAsia="仿宋"/>
          <w:bCs/>
          <w:sz w:val="24"/>
          <w:lang w:eastAsia="zh-CN"/>
        </w:rPr>
        <w:t>供应商</w:t>
      </w:r>
      <w:r>
        <w:rPr>
          <w:rFonts w:hint="eastAsia" w:ascii="仿宋" w:hAnsi="仿宋" w:eastAsia="仿宋"/>
          <w:bCs/>
          <w:sz w:val="24"/>
        </w:rPr>
        <w:t>的任何标记，否则视为无效投标，样品产生的一切费用由</w:t>
      </w:r>
      <w:r>
        <w:rPr>
          <w:rFonts w:hint="eastAsia" w:ascii="仿宋" w:hAnsi="仿宋" w:eastAsia="仿宋"/>
          <w:bCs/>
          <w:sz w:val="24"/>
          <w:lang w:eastAsia="zh-CN"/>
        </w:rPr>
        <w:t>供应商</w:t>
      </w:r>
      <w:r>
        <w:rPr>
          <w:rFonts w:hint="eastAsia" w:ascii="仿宋" w:hAnsi="仿宋" w:eastAsia="仿宋"/>
          <w:bCs/>
          <w:sz w:val="24"/>
        </w:rPr>
        <w:t>自行承担。</w:t>
      </w:r>
    </w:p>
    <w:p>
      <w:pPr>
        <w:pStyle w:val="2"/>
        <w:rPr>
          <w:rFonts w:hint="eastAsia" w:ascii="仿宋" w:hAnsi="仿宋" w:eastAsia="仿宋"/>
          <w:bCs/>
          <w:sz w:val="24"/>
        </w:rPr>
      </w:pPr>
      <w:r>
        <w:rPr>
          <w:rFonts w:hint="eastAsia" w:ascii="仿宋" w:hAnsi="仿宋" w:eastAsia="仿宋"/>
          <w:bCs/>
          <w:sz w:val="24"/>
        </w:rPr>
        <w:t>(4)样品实行盲样编号打分。</w:t>
      </w:r>
    </w:p>
    <w:p>
      <w:pPr>
        <w:pStyle w:val="2"/>
        <w:rPr>
          <w:rFonts w:hint="eastAsia" w:ascii="仿宋" w:hAnsi="仿宋" w:eastAsia="仿宋"/>
          <w:bCs/>
          <w:sz w:val="24"/>
        </w:rPr>
      </w:pPr>
      <w:r>
        <w:rPr>
          <w:rFonts w:hint="eastAsia" w:ascii="仿宋" w:hAnsi="仿宋" w:eastAsia="仿宋"/>
          <w:bCs/>
          <w:sz w:val="24"/>
        </w:rPr>
        <w:t>(5)</w:t>
      </w:r>
      <w:r>
        <w:rPr>
          <w:rFonts w:hint="eastAsia" w:ascii="仿宋" w:hAnsi="仿宋" w:eastAsia="仿宋"/>
          <w:bCs/>
          <w:sz w:val="24"/>
          <w:lang w:val="en-US" w:eastAsia="zh-CN"/>
        </w:rPr>
        <w:t>本项目质疑期结束后</w:t>
      </w:r>
      <w:r>
        <w:rPr>
          <w:rFonts w:hint="eastAsia" w:ascii="仿宋" w:hAnsi="仿宋" w:eastAsia="仿宋"/>
          <w:bCs/>
          <w:sz w:val="24"/>
          <w:lang w:eastAsia="zh-CN"/>
        </w:rPr>
        <w:t>成交供应商</w:t>
      </w:r>
      <w:r>
        <w:rPr>
          <w:rFonts w:hint="eastAsia" w:ascii="仿宋" w:hAnsi="仿宋" w:eastAsia="仿宋"/>
          <w:bCs/>
          <w:sz w:val="24"/>
        </w:rPr>
        <w:t>的样品采购人留存，用于验收时与货品比对。其他样品由</w:t>
      </w:r>
      <w:r>
        <w:rPr>
          <w:rFonts w:hint="eastAsia" w:ascii="仿宋" w:hAnsi="仿宋" w:eastAsia="仿宋"/>
          <w:bCs/>
          <w:sz w:val="24"/>
          <w:lang w:eastAsia="zh-CN"/>
        </w:rPr>
        <w:t>待采购中心通知后</w:t>
      </w:r>
      <w:r>
        <w:rPr>
          <w:rFonts w:hint="eastAsia" w:ascii="仿宋" w:hAnsi="仿宋" w:eastAsia="仿宋"/>
          <w:bCs/>
          <w:sz w:val="24"/>
        </w:rPr>
        <w:t>自行取回，若接到领取通知 7 个工作日内未前往领取，视为放弃，留存样品由采购人自行处理。</w:t>
      </w:r>
    </w:p>
    <w:p>
      <w:pPr>
        <w:pStyle w:val="3"/>
      </w:pPr>
    </w:p>
    <w:p>
      <w:pPr>
        <w:spacing w:line="460" w:lineRule="exact"/>
        <w:ind w:firstLine="240" w:firstLineChars="100"/>
        <w:contextualSpacing/>
        <w:rPr>
          <w:rFonts w:ascii="仿宋" w:hAnsi="仿宋" w:eastAsia="仿宋"/>
          <w:bCs/>
          <w:sz w:val="24"/>
        </w:rPr>
      </w:pPr>
      <w:r>
        <w:rPr>
          <w:rFonts w:hint="eastAsia" w:ascii="仿宋" w:hAnsi="仿宋" w:eastAsia="仿宋"/>
          <w:bCs/>
          <w:sz w:val="24"/>
        </w:rPr>
        <w:t>说明：供应商若未按</w:t>
      </w:r>
      <w:r>
        <w:rPr>
          <w:rFonts w:hint="eastAsia" w:ascii="仿宋" w:hAnsi="仿宋" w:eastAsia="仿宋"/>
          <w:bCs/>
          <w:sz w:val="24"/>
          <w:highlight w:val="yellow"/>
          <w:lang w:val="en-US" w:eastAsia="zh-CN"/>
        </w:rPr>
        <w:t>送样须知</w:t>
      </w:r>
      <w:r>
        <w:rPr>
          <w:rFonts w:hint="eastAsia" w:ascii="仿宋" w:hAnsi="仿宋" w:eastAsia="仿宋"/>
          <w:bCs/>
          <w:sz w:val="24"/>
        </w:rPr>
        <w:t>送样，给本次</w:t>
      </w:r>
      <w:r>
        <w:rPr>
          <w:rFonts w:hint="eastAsia" w:ascii="仿宋" w:hAnsi="仿宋" w:eastAsia="仿宋"/>
          <w:bCs/>
          <w:sz w:val="24"/>
          <w:lang w:eastAsia="zh-CN"/>
        </w:rPr>
        <w:t>评审</w:t>
      </w:r>
      <w:r>
        <w:rPr>
          <w:rFonts w:hint="eastAsia" w:ascii="仿宋" w:hAnsi="仿宋" w:eastAsia="仿宋"/>
          <w:bCs/>
          <w:sz w:val="24"/>
        </w:rPr>
        <w:t>造成影响的由其自身承担。</w:t>
      </w:r>
    </w:p>
    <w:p>
      <w:pPr>
        <w:pStyle w:val="2"/>
        <w:rPr>
          <w:rFonts w:ascii="仿宋" w:hAnsi="仿宋" w:eastAsia="仿宋"/>
          <w:bCs/>
          <w:sz w:val="24"/>
        </w:rPr>
      </w:pPr>
    </w:p>
    <w:p>
      <w:pPr>
        <w:pStyle w:val="3"/>
        <w:ind w:firstLine="180"/>
      </w:pPr>
    </w:p>
    <w:p/>
    <w:p>
      <w:pPr>
        <w:keepNext/>
        <w:keepLines/>
        <w:tabs>
          <w:tab w:val="left" w:pos="0"/>
          <w:tab w:val="left" w:pos="426"/>
          <w:tab w:val="left" w:pos="576"/>
          <w:tab w:val="left" w:pos="786"/>
        </w:tabs>
        <w:spacing w:line="360" w:lineRule="auto"/>
        <w:jc w:val="center"/>
        <w:outlineLvl w:val="1"/>
        <w:rPr>
          <w:rFonts w:hint="default" w:ascii="宋体" w:hAnsi="宋体" w:eastAsia="宋体"/>
          <w:b/>
          <w:sz w:val="32"/>
          <w:szCs w:val="32"/>
          <w:highlight w:val="yellow"/>
          <w:lang w:val="en-US" w:eastAsia="zh-CN"/>
        </w:rPr>
      </w:pPr>
      <w:bookmarkStart w:id="87" w:name="_Toc85122597"/>
      <w:r>
        <w:rPr>
          <w:rFonts w:hint="eastAsia" w:ascii="宋体" w:hAnsi="宋体"/>
          <w:b/>
          <w:sz w:val="32"/>
          <w:szCs w:val="32"/>
          <w:highlight w:val="yellow"/>
        </w:rPr>
        <w:t>其他</w:t>
      </w:r>
      <w:bookmarkEnd w:id="87"/>
      <w:r>
        <w:rPr>
          <w:rFonts w:hint="eastAsia" w:ascii="宋体" w:hAnsi="宋体"/>
          <w:b/>
          <w:sz w:val="32"/>
          <w:szCs w:val="32"/>
          <w:highlight w:val="yellow"/>
          <w:lang w:val="en-US" w:eastAsia="zh-CN"/>
        </w:rPr>
        <w:t>与制作文件相关条款</w:t>
      </w:r>
    </w:p>
    <w:p>
      <w:pPr>
        <w:pStyle w:val="81"/>
        <w:numPr>
          <w:ilvl w:val="0"/>
          <w:numId w:val="32"/>
        </w:numPr>
        <w:tabs>
          <w:tab w:val="left" w:pos="1134"/>
        </w:tabs>
        <w:snapToGrid w:val="0"/>
        <w:spacing w:line="360" w:lineRule="auto"/>
        <w:ind w:left="11" w:firstLine="629" w:firstLineChars="0"/>
        <w:rPr>
          <w:rFonts w:asciiTheme="minorEastAsia" w:hAnsiTheme="minorEastAsia"/>
          <w:b/>
          <w:sz w:val="24"/>
          <w:szCs w:val="24"/>
          <w:highlight w:val="yellow"/>
        </w:rPr>
      </w:pPr>
      <w:r>
        <w:rPr>
          <w:rFonts w:hint="eastAsia" w:asciiTheme="minorEastAsia" w:hAnsiTheme="minorEastAsia"/>
          <w:b/>
          <w:sz w:val="24"/>
          <w:szCs w:val="24"/>
        </w:rPr>
        <w:t>★</w:t>
      </w:r>
      <w:r>
        <w:rPr>
          <w:rFonts w:hint="eastAsia" w:asciiTheme="minorEastAsia" w:hAnsiTheme="minorEastAsia"/>
          <w:b/>
          <w:sz w:val="24"/>
          <w:szCs w:val="24"/>
          <w:lang w:eastAsia="zh-CN"/>
        </w:rPr>
        <w:t>供应商</w:t>
      </w:r>
      <w:r>
        <w:rPr>
          <w:rFonts w:hint="eastAsia" w:asciiTheme="minorEastAsia" w:hAnsiTheme="minorEastAsia"/>
          <w:b/>
          <w:sz w:val="24"/>
          <w:szCs w:val="24"/>
        </w:rPr>
        <w:t>为本项目提供的所有产品、辅材中属于《国家强制性产品认证目录》范围内产品的，均通过国家强制性产品认证并取得认证证书。（</w:t>
      </w:r>
      <w:r>
        <w:rPr>
          <w:rFonts w:hint="eastAsia" w:asciiTheme="minorEastAsia" w:hAnsiTheme="minorEastAsia"/>
          <w:b/>
          <w:sz w:val="24"/>
          <w:szCs w:val="24"/>
          <w:highlight w:val="yellow"/>
          <w:lang w:val="en-US" w:eastAsia="zh-CN"/>
        </w:rPr>
        <w:t>提供</w:t>
      </w:r>
      <w:r>
        <w:rPr>
          <w:rFonts w:hint="eastAsia" w:asciiTheme="minorEastAsia" w:hAnsiTheme="minorEastAsia"/>
          <w:b/>
          <w:sz w:val="24"/>
          <w:szCs w:val="24"/>
          <w:highlight w:val="yellow"/>
        </w:rPr>
        <w:t>承诺函）</w:t>
      </w:r>
    </w:p>
    <w:p>
      <w:pPr>
        <w:rPr>
          <w:rFonts w:ascii="仿宋_GB2312" w:hAnsi="仿宋_GB2312" w:eastAsia="仿宋_GB2312" w:cs="仿宋_GB2312"/>
          <w:sz w:val="32"/>
          <w:szCs w:val="32"/>
        </w:rPr>
      </w:pPr>
      <w:r>
        <w:rPr>
          <w:rFonts w:hint="eastAsia" w:asciiTheme="minorEastAsia" w:hAnsiTheme="minorEastAsia"/>
          <w:b/>
          <w:sz w:val="24"/>
          <w:szCs w:val="24"/>
        </w:rPr>
        <w:t>★</w:t>
      </w:r>
      <w:r>
        <w:rPr>
          <w:rFonts w:hint="eastAsia" w:asciiTheme="minorEastAsia" w:hAnsiTheme="minorEastAsia"/>
          <w:b/>
          <w:sz w:val="24"/>
          <w:szCs w:val="24"/>
          <w:lang w:eastAsia="zh-CN"/>
        </w:rPr>
        <w:t>供应商</w:t>
      </w:r>
      <w:r>
        <w:rPr>
          <w:rFonts w:hint="eastAsia" w:asciiTheme="minorEastAsia" w:hAnsiTheme="minorEastAsia"/>
          <w:b/>
          <w:sz w:val="24"/>
          <w:szCs w:val="24"/>
        </w:rPr>
        <w:t>为本项目提供的所有产品、辅材符合现行的强制性国家相关标准、行业标准。（</w:t>
      </w:r>
      <w:r>
        <w:rPr>
          <w:rFonts w:hint="eastAsia" w:asciiTheme="minorEastAsia" w:hAnsiTheme="minorEastAsia"/>
          <w:b/>
          <w:sz w:val="24"/>
          <w:szCs w:val="24"/>
          <w:highlight w:val="yellow"/>
        </w:rPr>
        <w:t>提供承诺函</w:t>
      </w:r>
      <w:r>
        <w:rPr>
          <w:rFonts w:hint="eastAsia" w:asciiTheme="minorEastAsia" w:hAnsiTheme="minorEastAsia"/>
          <w:b/>
          <w:sz w:val="24"/>
          <w:szCs w:val="24"/>
        </w:rPr>
        <w:t>）</w:t>
      </w:r>
      <w:r>
        <w:rPr>
          <w:rFonts w:hint="eastAsia" w:ascii="仿宋_GB2312" w:hAnsi="仿宋_GB2312" w:eastAsia="仿宋_GB2312" w:cs="仿宋_GB2312"/>
          <w:sz w:val="32"/>
          <w:szCs w:val="32"/>
        </w:rPr>
        <w:t>。</w:t>
      </w:r>
    </w:p>
    <w:p>
      <w:pPr>
        <w:pStyle w:val="81"/>
        <w:numPr>
          <w:ilvl w:val="0"/>
          <w:numId w:val="32"/>
        </w:numPr>
        <w:tabs>
          <w:tab w:val="left" w:pos="1134"/>
        </w:tabs>
        <w:snapToGrid w:val="0"/>
        <w:spacing w:line="360" w:lineRule="auto"/>
        <w:ind w:left="11" w:firstLine="629" w:firstLineChars="0"/>
        <w:rPr>
          <w:rFonts w:hint="eastAsia" w:asciiTheme="minorEastAsia" w:hAnsiTheme="minorEastAsia"/>
          <w:b/>
          <w:sz w:val="24"/>
          <w:szCs w:val="24"/>
        </w:rPr>
      </w:pPr>
      <w:r>
        <w:rPr>
          <w:rFonts w:hint="eastAsia" w:asciiTheme="minorEastAsia" w:hAnsiTheme="minorEastAsia"/>
          <w:b/>
          <w:sz w:val="24"/>
          <w:szCs w:val="24"/>
          <w:lang w:eastAsia="zh-CN"/>
        </w:rPr>
        <w:t>本项目</w:t>
      </w:r>
      <w:r>
        <w:rPr>
          <w:rFonts w:hint="eastAsia" w:asciiTheme="minorEastAsia" w:hAnsiTheme="minorEastAsia"/>
          <w:b/>
          <w:sz w:val="24"/>
          <w:szCs w:val="24"/>
        </w:rPr>
        <w:t>是专门面向中小企业采购：</w:t>
      </w:r>
    </w:p>
    <w:p>
      <w:pPr>
        <w:pStyle w:val="81"/>
        <w:numPr>
          <w:ilvl w:val="0"/>
          <w:numId w:val="32"/>
        </w:numPr>
        <w:tabs>
          <w:tab w:val="left" w:pos="1134"/>
        </w:tabs>
        <w:snapToGrid w:val="0"/>
        <w:spacing w:line="360" w:lineRule="auto"/>
        <w:ind w:left="11" w:firstLine="629" w:firstLineChars="0"/>
        <w:rPr>
          <w:rFonts w:hint="eastAsia" w:asciiTheme="minorEastAsia" w:hAnsiTheme="minorEastAsia"/>
          <w:b/>
          <w:sz w:val="24"/>
          <w:szCs w:val="24"/>
        </w:rPr>
      </w:pPr>
      <w:r>
        <w:rPr>
          <w:rFonts w:hint="eastAsia" w:asciiTheme="minorEastAsia" w:hAnsiTheme="minorEastAsia"/>
          <w:b/>
          <w:sz w:val="24"/>
          <w:szCs w:val="24"/>
        </w:rPr>
        <w:t>采购标的对应的中小企业划分标准所属行业：工业</w:t>
      </w:r>
    </w:p>
    <w:p>
      <w:pPr>
        <w:pStyle w:val="81"/>
        <w:numPr>
          <w:ilvl w:val="0"/>
          <w:numId w:val="32"/>
        </w:numPr>
        <w:tabs>
          <w:tab w:val="left" w:pos="1134"/>
        </w:tabs>
        <w:snapToGrid w:val="0"/>
        <w:spacing w:line="360" w:lineRule="auto"/>
        <w:ind w:left="11" w:firstLine="629" w:firstLineChars="0"/>
        <w:rPr>
          <w:rFonts w:hint="eastAsia" w:asciiTheme="minorEastAsia" w:hAnsiTheme="minorEastAsia"/>
          <w:b/>
          <w:sz w:val="24"/>
          <w:szCs w:val="24"/>
        </w:rPr>
      </w:pPr>
      <w:r>
        <w:rPr>
          <w:rFonts w:hint="eastAsia" w:asciiTheme="minorEastAsia" w:hAnsiTheme="minorEastAsia"/>
          <w:b/>
          <w:sz w:val="24"/>
          <w:szCs w:val="24"/>
          <w:lang w:val="en-US" w:eastAsia="zh-CN"/>
        </w:rPr>
        <w:t>本项目不收取履约保证金</w:t>
      </w:r>
    </w:p>
    <w:p>
      <w:pPr>
        <w:pStyle w:val="81"/>
        <w:numPr>
          <w:ilvl w:val="0"/>
          <w:numId w:val="32"/>
        </w:numPr>
        <w:tabs>
          <w:tab w:val="left" w:pos="1134"/>
        </w:tabs>
        <w:snapToGrid w:val="0"/>
        <w:spacing w:line="360" w:lineRule="auto"/>
        <w:ind w:left="11" w:firstLine="629" w:firstLineChars="0"/>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本项目不允许分包履行合同</w:t>
      </w:r>
    </w:p>
    <w:p>
      <w:pPr>
        <w:pStyle w:val="17"/>
        <w:rPr>
          <w:rFonts w:hint="eastAsia" w:eastAsia="宋体"/>
          <w:lang w:eastAsia="zh-CN"/>
        </w:rPr>
      </w:pPr>
      <w:r>
        <w:rPr>
          <w:rFonts w:hint="eastAsia" w:ascii="宋体" w:hAnsi="宋体" w:cs="宋体"/>
          <w:b/>
          <w:bCs/>
          <w:sz w:val="24"/>
        </w:rPr>
        <w:t>★</w:t>
      </w:r>
      <w:r>
        <w:rPr>
          <w:rFonts w:hint="eastAsia" w:ascii="宋体" w:hAnsi="宋体" w:cs="宋体"/>
          <w:b/>
          <w:bCs/>
          <w:sz w:val="24"/>
          <w:lang w:eastAsia="zh-CN"/>
        </w:rPr>
        <w:t>为本项目的实质性要求，必须完全响应，否则响应文件无效。</w:t>
      </w:r>
    </w:p>
    <w:p>
      <w:pPr>
        <w:bidi w:val="0"/>
      </w:pPr>
    </w:p>
    <w:p>
      <w:pPr>
        <w:rPr>
          <w:color w:val="FF0000"/>
          <w:sz w:val="28"/>
          <w:szCs w:val="28"/>
        </w:rPr>
      </w:pPr>
    </w:p>
    <w:p>
      <w:pPr>
        <w:pStyle w:val="2"/>
        <w:sectPr>
          <w:pgSz w:w="11906" w:h="16838"/>
          <w:pgMar w:top="1440" w:right="1797" w:bottom="1440" w:left="1797" w:header="851" w:footer="992" w:gutter="0"/>
          <w:cols w:space="425" w:num="1"/>
          <w:docGrid w:type="lines" w:linePitch="312" w:charSpace="0"/>
        </w:sectPr>
      </w:pPr>
    </w:p>
    <w:p>
      <w:pPr>
        <w:pStyle w:val="4"/>
        <w:widowControl/>
        <w:numPr>
          <w:ilvl w:val="0"/>
          <w:numId w:val="5"/>
        </w:numPr>
        <w:spacing w:before="0" w:after="0" w:line="360" w:lineRule="auto"/>
        <w:ind w:left="0" w:firstLine="0"/>
        <w:rPr>
          <w:sz w:val="28"/>
          <w:szCs w:val="28"/>
        </w:rPr>
      </w:pPr>
      <w:bookmarkStart w:id="88" w:name="_Toc79742134"/>
      <w:bookmarkStart w:id="89" w:name="_Toc58943344"/>
      <w:bookmarkStart w:id="90" w:name="_Toc205604899"/>
      <w:bookmarkStart w:id="91" w:name="_Toc360696963"/>
      <w:bookmarkStart w:id="92" w:name="_Toc238273564"/>
      <w:bookmarkStart w:id="93" w:name="_Toc236285891"/>
      <w:r>
        <w:rPr>
          <w:rFonts w:hint="eastAsia"/>
          <w:sz w:val="28"/>
          <w:szCs w:val="28"/>
        </w:rPr>
        <w:t>磋商办法</w:t>
      </w:r>
      <w:bookmarkEnd w:id="88"/>
      <w:bookmarkEnd w:id="89"/>
    </w:p>
    <w:p>
      <w:pPr>
        <w:pStyle w:val="5"/>
        <w:numPr>
          <w:ilvl w:val="1"/>
          <w:numId w:val="5"/>
        </w:numPr>
        <w:tabs>
          <w:tab w:val="left" w:pos="426"/>
          <w:tab w:val="left" w:pos="567"/>
        </w:tabs>
        <w:spacing w:before="0" w:after="200"/>
        <w:ind w:left="1985" w:hanging="1985"/>
        <w:jc w:val="both"/>
        <w:rPr>
          <w:sz w:val="24"/>
          <w:szCs w:val="24"/>
        </w:rPr>
      </w:pPr>
      <w:bookmarkStart w:id="94" w:name="_Toc79742135"/>
      <w:bookmarkStart w:id="95" w:name="_Toc58943345"/>
      <w:r>
        <w:rPr>
          <w:rFonts w:hint="eastAsia"/>
          <w:sz w:val="24"/>
          <w:szCs w:val="24"/>
        </w:rPr>
        <w:t>总则</w:t>
      </w:r>
      <w:bookmarkEnd w:id="94"/>
      <w:bookmarkEnd w:id="95"/>
    </w:p>
    <w:p>
      <w:pPr>
        <w:numPr>
          <w:ilvl w:val="0"/>
          <w:numId w:val="33"/>
        </w:numPr>
        <w:tabs>
          <w:tab w:val="left" w:pos="1134"/>
        </w:tabs>
        <w:spacing w:after="200" w:line="400" w:lineRule="exact"/>
        <w:ind w:left="0" w:firstLine="484" w:firstLineChars="202"/>
        <w:rPr>
          <w:rFonts w:ascii="宋体" w:hAnsi="宋体"/>
          <w:sz w:val="24"/>
          <w:szCs w:val="24"/>
        </w:rPr>
      </w:pPr>
      <w:r>
        <w:rPr>
          <w:rFonts w:hint="eastAsia" w:ascii="宋体" w:hAnsi="宋体"/>
          <w:sz w:val="24"/>
          <w:szCs w:val="24"/>
        </w:rPr>
        <w:t>根据《中华人民共和国政府采购法》、《中华人民共和国政府采购法实施条例》和《政府采购竞争性磋商采购方式管理暂行办法》等法律及规范性文件，结合采购项目特点制定本办法。</w:t>
      </w:r>
    </w:p>
    <w:p>
      <w:pPr>
        <w:numPr>
          <w:ilvl w:val="0"/>
          <w:numId w:val="33"/>
        </w:numPr>
        <w:tabs>
          <w:tab w:val="left" w:pos="1134"/>
        </w:tabs>
        <w:spacing w:after="200" w:line="400" w:lineRule="exact"/>
        <w:ind w:left="0" w:firstLine="484" w:firstLineChars="202"/>
        <w:rPr>
          <w:rFonts w:ascii="宋体" w:hAnsi="宋体"/>
          <w:sz w:val="24"/>
          <w:szCs w:val="24"/>
        </w:rPr>
      </w:pPr>
      <w:r>
        <w:rPr>
          <w:rFonts w:hint="eastAsia" w:ascii="宋体" w:hAnsi="宋体"/>
          <w:sz w:val="24"/>
          <w:szCs w:val="24"/>
        </w:rPr>
        <w:t>评审</w:t>
      </w:r>
      <w:r>
        <w:rPr>
          <w:rFonts w:hint="eastAsia" w:ascii="宋体" w:hAnsi="宋体"/>
          <w:color w:val="000000" w:themeColor="text1"/>
          <w:sz w:val="24"/>
          <w:szCs w:val="24"/>
          <w14:textFill>
            <w14:solidFill>
              <w14:schemeClr w14:val="tx1"/>
            </w14:solidFill>
          </w14:textFill>
        </w:rPr>
        <w:t>工作由区政府采购中心负责组织，具体评审事务由采购人和区政府采购中心</w:t>
      </w:r>
      <w:r>
        <w:rPr>
          <w:rFonts w:hint="eastAsia" w:ascii="宋体" w:hAnsi="宋体"/>
          <w:sz w:val="24"/>
          <w:szCs w:val="24"/>
        </w:rPr>
        <w:t>依法组建的磋商小组负责。磋商小组由采购人代表和评审专家组成。</w:t>
      </w:r>
    </w:p>
    <w:p>
      <w:pPr>
        <w:numPr>
          <w:ilvl w:val="0"/>
          <w:numId w:val="33"/>
        </w:numPr>
        <w:tabs>
          <w:tab w:val="left" w:pos="1134"/>
        </w:tabs>
        <w:spacing w:after="200" w:line="400" w:lineRule="exact"/>
        <w:ind w:left="0" w:firstLine="484" w:firstLineChars="202"/>
        <w:rPr>
          <w:rFonts w:ascii="宋体" w:hAnsi="宋体"/>
          <w:sz w:val="24"/>
          <w:szCs w:val="24"/>
        </w:rPr>
      </w:pPr>
      <w:r>
        <w:rPr>
          <w:rFonts w:hint="eastAsia" w:ascii="宋体" w:hAnsi="宋体"/>
          <w:sz w:val="24"/>
          <w:szCs w:val="24"/>
        </w:rPr>
        <w:t>评审工作应遵循公平、公正、科学及择优的原则，并以相同的评审程序和标准对待所有供应商。</w:t>
      </w:r>
    </w:p>
    <w:p>
      <w:pPr>
        <w:numPr>
          <w:ilvl w:val="0"/>
          <w:numId w:val="33"/>
        </w:numPr>
        <w:tabs>
          <w:tab w:val="left" w:pos="1134"/>
        </w:tabs>
        <w:spacing w:after="200" w:line="400" w:lineRule="exact"/>
        <w:ind w:left="0" w:firstLine="484" w:firstLineChars="202"/>
        <w:rPr>
          <w:rFonts w:ascii="宋体" w:hAnsi="宋体"/>
          <w:sz w:val="24"/>
          <w:szCs w:val="24"/>
        </w:rPr>
      </w:pPr>
      <w:r>
        <w:rPr>
          <w:rFonts w:hint="eastAsia" w:ascii="宋体" w:hAnsi="宋体"/>
          <w:sz w:val="24"/>
          <w:szCs w:val="24"/>
        </w:rPr>
        <w:t>磋商小组按照磋商文件规定的磋商程序、评审方法和标准进行独立评审，并独立履行下列职责：</w:t>
      </w:r>
    </w:p>
    <w:p>
      <w:pPr>
        <w:numPr>
          <w:ilvl w:val="1"/>
          <w:numId w:val="34"/>
        </w:numPr>
        <w:spacing w:after="200" w:line="400" w:lineRule="exact"/>
        <w:ind w:left="0" w:firstLine="567"/>
        <w:rPr>
          <w:rFonts w:ascii="宋体" w:hAnsi="宋体"/>
          <w:sz w:val="24"/>
          <w:szCs w:val="24"/>
        </w:rPr>
      </w:pPr>
      <w:r>
        <w:rPr>
          <w:rFonts w:hint="eastAsia" w:ascii="宋体" w:hAnsi="宋体"/>
          <w:sz w:val="24"/>
          <w:szCs w:val="24"/>
        </w:rPr>
        <w:t>从符合相应资格条件并通过符合性审查的供应商名单中确定不少于三家的供应商参加磋商；</w:t>
      </w:r>
    </w:p>
    <w:p>
      <w:pPr>
        <w:numPr>
          <w:ilvl w:val="1"/>
          <w:numId w:val="34"/>
        </w:numPr>
        <w:spacing w:after="200" w:line="400" w:lineRule="exact"/>
        <w:ind w:left="0" w:firstLine="567"/>
        <w:rPr>
          <w:rFonts w:ascii="宋体" w:hAnsi="宋体"/>
          <w:sz w:val="24"/>
          <w:szCs w:val="24"/>
        </w:rPr>
      </w:pPr>
      <w:r>
        <w:rPr>
          <w:rFonts w:hint="eastAsia" w:ascii="宋体" w:hAnsi="宋体" w:cs="宋体"/>
          <w:sz w:val="24"/>
          <w:szCs w:val="24"/>
        </w:rPr>
        <w:t>审查供应商的响应文件并作出评价</w:t>
      </w:r>
      <w:r>
        <w:rPr>
          <w:rFonts w:hint="eastAsia" w:ascii="宋体" w:hAnsi="宋体"/>
          <w:sz w:val="24"/>
          <w:szCs w:val="24"/>
        </w:rPr>
        <w:t>；</w:t>
      </w:r>
    </w:p>
    <w:p>
      <w:pPr>
        <w:numPr>
          <w:ilvl w:val="1"/>
          <w:numId w:val="34"/>
        </w:numPr>
        <w:spacing w:after="200" w:line="400" w:lineRule="exact"/>
        <w:ind w:left="0" w:firstLine="567"/>
        <w:rPr>
          <w:rFonts w:ascii="宋体" w:hAnsi="宋体"/>
          <w:sz w:val="24"/>
          <w:szCs w:val="24"/>
        </w:rPr>
      </w:pPr>
      <w:r>
        <w:rPr>
          <w:rFonts w:hint="eastAsia" w:ascii="宋体" w:hAnsi="宋体" w:cs="宋体"/>
          <w:sz w:val="24"/>
          <w:szCs w:val="24"/>
        </w:rPr>
        <w:t>要求供应商解释或者澄清其响应文件</w:t>
      </w:r>
      <w:r>
        <w:rPr>
          <w:rFonts w:hint="eastAsia" w:ascii="宋体" w:hAnsi="宋体"/>
          <w:sz w:val="24"/>
          <w:szCs w:val="24"/>
        </w:rPr>
        <w:t>；</w:t>
      </w:r>
    </w:p>
    <w:p>
      <w:pPr>
        <w:numPr>
          <w:ilvl w:val="1"/>
          <w:numId w:val="34"/>
        </w:numPr>
        <w:spacing w:after="200" w:line="400" w:lineRule="exact"/>
        <w:ind w:left="0" w:firstLine="567"/>
        <w:rPr>
          <w:rFonts w:ascii="宋体" w:hAnsi="宋体"/>
          <w:sz w:val="24"/>
          <w:szCs w:val="24"/>
        </w:rPr>
      </w:pPr>
      <w:r>
        <w:rPr>
          <w:rFonts w:hint="eastAsia" w:ascii="宋体" w:hAnsi="宋体" w:cs="宋体"/>
          <w:sz w:val="24"/>
          <w:szCs w:val="24"/>
        </w:rPr>
        <w:t>依法、客观、公平、公正开展供应商资格性审查、符合性审查、磋商和推荐成交候选供应商</w:t>
      </w:r>
      <w:r>
        <w:rPr>
          <w:rFonts w:hint="eastAsia" w:ascii="宋体" w:hAnsi="宋体"/>
          <w:sz w:val="24"/>
          <w:szCs w:val="24"/>
        </w:rPr>
        <w:t>；</w:t>
      </w:r>
    </w:p>
    <w:p>
      <w:pPr>
        <w:numPr>
          <w:ilvl w:val="1"/>
          <w:numId w:val="34"/>
        </w:numPr>
        <w:spacing w:after="200" w:line="400" w:lineRule="exact"/>
        <w:ind w:left="0" w:firstLine="567"/>
        <w:rPr>
          <w:rFonts w:ascii="宋体" w:hAnsi="宋体"/>
          <w:sz w:val="24"/>
          <w:szCs w:val="24"/>
        </w:rPr>
      </w:pPr>
      <w:r>
        <w:rPr>
          <w:rFonts w:hint="eastAsia" w:ascii="宋体" w:hAnsi="宋体" w:cs="宋体"/>
          <w:sz w:val="24"/>
          <w:szCs w:val="24"/>
        </w:rPr>
        <w:t>编写评审报告</w:t>
      </w:r>
      <w:r>
        <w:rPr>
          <w:rFonts w:hint="eastAsia" w:ascii="宋体" w:hAnsi="宋体"/>
          <w:sz w:val="24"/>
          <w:szCs w:val="24"/>
        </w:rPr>
        <w:t>；</w:t>
      </w:r>
    </w:p>
    <w:p>
      <w:pPr>
        <w:numPr>
          <w:ilvl w:val="1"/>
          <w:numId w:val="34"/>
        </w:numPr>
        <w:spacing w:after="200" w:line="400" w:lineRule="exact"/>
        <w:ind w:left="0" w:firstLine="567"/>
        <w:rPr>
          <w:rFonts w:ascii="宋体" w:hAnsi="宋体"/>
          <w:sz w:val="24"/>
          <w:szCs w:val="24"/>
        </w:rPr>
      </w:pPr>
      <w:r>
        <w:rPr>
          <w:rFonts w:hint="eastAsia" w:ascii="宋体" w:hAnsi="宋体" w:cs="宋体"/>
          <w:sz w:val="24"/>
          <w:szCs w:val="24"/>
        </w:rPr>
        <w:t>告知采购人、采购代理机构在评审过程中发现的供应商的违法违规行为</w:t>
      </w:r>
      <w:r>
        <w:rPr>
          <w:rFonts w:hint="eastAsia" w:ascii="宋体" w:hAnsi="宋体"/>
          <w:sz w:val="24"/>
          <w:szCs w:val="24"/>
        </w:rPr>
        <w:t>；</w:t>
      </w:r>
    </w:p>
    <w:p>
      <w:pPr>
        <w:numPr>
          <w:ilvl w:val="1"/>
          <w:numId w:val="34"/>
        </w:numPr>
        <w:spacing w:after="200" w:line="400" w:lineRule="exact"/>
        <w:ind w:left="0" w:firstLine="567"/>
        <w:rPr>
          <w:rFonts w:ascii="宋体" w:hAnsi="宋体"/>
          <w:sz w:val="24"/>
          <w:szCs w:val="24"/>
        </w:rPr>
      </w:pPr>
      <w:r>
        <w:rPr>
          <w:rFonts w:hint="eastAsia" w:ascii="宋体" w:hAnsi="宋体"/>
          <w:sz w:val="24"/>
          <w:szCs w:val="24"/>
        </w:rPr>
        <w:t>保守供应商的商业秘密；</w:t>
      </w:r>
    </w:p>
    <w:p>
      <w:pPr>
        <w:numPr>
          <w:ilvl w:val="1"/>
          <w:numId w:val="34"/>
        </w:numPr>
        <w:spacing w:after="200" w:line="400" w:lineRule="exact"/>
        <w:ind w:left="0" w:firstLine="567"/>
        <w:rPr>
          <w:rFonts w:ascii="宋体" w:hAnsi="宋体"/>
          <w:sz w:val="24"/>
          <w:szCs w:val="24"/>
        </w:rPr>
      </w:pPr>
      <w:r>
        <w:rPr>
          <w:rFonts w:hint="eastAsia" w:ascii="宋体" w:hAnsi="宋体"/>
          <w:sz w:val="24"/>
          <w:szCs w:val="24"/>
        </w:rPr>
        <w:t>配合处理供应商质疑；</w:t>
      </w:r>
    </w:p>
    <w:p>
      <w:pPr>
        <w:numPr>
          <w:ilvl w:val="1"/>
          <w:numId w:val="34"/>
        </w:numPr>
        <w:spacing w:after="200" w:line="400" w:lineRule="exact"/>
        <w:ind w:left="0" w:firstLine="567"/>
        <w:rPr>
          <w:rFonts w:ascii="宋体" w:hAnsi="宋体"/>
          <w:sz w:val="24"/>
          <w:szCs w:val="24"/>
        </w:rPr>
      </w:pPr>
      <w:r>
        <w:rPr>
          <w:rFonts w:hint="eastAsia" w:ascii="宋体" w:hAnsi="宋体"/>
          <w:sz w:val="24"/>
          <w:szCs w:val="24"/>
        </w:rPr>
        <w:t>配合处理供应商投诉；</w:t>
      </w:r>
    </w:p>
    <w:p>
      <w:pPr>
        <w:numPr>
          <w:ilvl w:val="1"/>
          <w:numId w:val="34"/>
        </w:numPr>
        <w:tabs>
          <w:tab w:val="left" w:pos="1418"/>
        </w:tabs>
        <w:spacing w:after="200" w:line="400" w:lineRule="exact"/>
        <w:ind w:left="0" w:firstLine="567"/>
        <w:rPr>
          <w:rFonts w:ascii="宋体" w:hAnsi="宋体"/>
          <w:sz w:val="24"/>
          <w:szCs w:val="24"/>
        </w:rPr>
      </w:pPr>
      <w:r>
        <w:rPr>
          <w:rFonts w:hint="eastAsia" w:ascii="宋体" w:hAnsi="宋体" w:cs="宋体"/>
          <w:sz w:val="24"/>
          <w:szCs w:val="24"/>
        </w:rPr>
        <w:t>其他需要履行的工作职责</w:t>
      </w:r>
      <w:r>
        <w:rPr>
          <w:rFonts w:hint="eastAsia" w:ascii="宋体" w:hAnsi="宋体"/>
          <w:sz w:val="24"/>
          <w:szCs w:val="24"/>
        </w:rPr>
        <w:t>。</w:t>
      </w:r>
    </w:p>
    <w:p>
      <w:pPr>
        <w:numPr>
          <w:ilvl w:val="0"/>
          <w:numId w:val="33"/>
        </w:numPr>
        <w:tabs>
          <w:tab w:val="left" w:pos="1134"/>
        </w:tabs>
        <w:spacing w:after="200" w:line="400" w:lineRule="exact"/>
        <w:ind w:left="0" w:firstLine="484" w:firstLineChars="202"/>
        <w:rPr>
          <w:rFonts w:ascii="宋体" w:hAnsi="宋体"/>
          <w:sz w:val="24"/>
          <w:szCs w:val="24"/>
        </w:rPr>
      </w:pPr>
      <w:r>
        <w:rPr>
          <w:rFonts w:hint="eastAsia" w:ascii="宋体" w:hAnsi="宋体"/>
          <w:sz w:val="24"/>
          <w:szCs w:val="24"/>
        </w:rPr>
        <w:t>评审过程独立、保密。供应商非法干预评审过程的行为将导致其响应文件作无效处理。</w:t>
      </w:r>
    </w:p>
    <w:p>
      <w:pPr>
        <w:numPr>
          <w:ilvl w:val="0"/>
          <w:numId w:val="33"/>
        </w:numPr>
        <w:tabs>
          <w:tab w:val="left" w:pos="1134"/>
        </w:tabs>
        <w:spacing w:after="200" w:line="400" w:lineRule="exact"/>
        <w:ind w:left="0" w:firstLine="484" w:firstLineChars="202"/>
        <w:rPr>
          <w:rFonts w:ascii="宋体" w:hAnsi="宋体"/>
          <w:color w:val="000000" w:themeColor="text1"/>
          <w:sz w:val="24"/>
          <w:szCs w:val="24"/>
          <w14:textFill>
            <w14:solidFill>
              <w14:schemeClr w14:val="tx1"/>
            </w14:solidFill>
          </w14:textFill>
        </w:rPr>
      </w:pPr>
      <w:r>
        <w:rPr>
          <w:rFonts w:hint="eastAsia" w:ascii="宋体" w:hAnsi="宋体"/>
          <w:sz w:val="24"/>
          <w:szCs w:val="24"/>
        </w:rPr>
        <w:t>磋商小组审查响应文件的响应性依据响应文件本身的内容，而不寻求外部的</w:t>
      </w:r>
      <w:r>
        <w:rPr>
          <w:rFonts w:hint="eastAsia" w:ascii="宋体" w:hAnsi="宋体"/>
          <w:color w:val="000000" w:themeColor="text1"/>
          <w:sz w:val="24"/>
          <w:szCs w:val="24"/>
          <w14:textFill>
            <w14:solidFill>
              <w14:schemeClr w14:val="tx1"/>
            </w14:solidFill>
          </w14:textFill>
        </w:rPr>
        <w:t>证据，磋商文件有明确约定的除外。</w:t>
      </w:r>
    </w:p>
    <w:p>
      <w:pPr>
        <w:numPr>
          <w:ilvl w:val="0"/>
          <w:numId w:val="33"/>
        </w:numPr>
        <w:tabs>
          <w:tab w:val="left" w:pos="1134"/>
        </w:tabs>
        <w:spacing w:after="200" w:line="400" w:lineRule="exact"/>
        <w:ind w:left="0" w:firstLine="484" w:firstLineChars="202"/>
        <w:rPr>
          <w:rFonts w:ascii="宋体" w:hAnsi="宋体"/>
          <w:sz w:val="24"/>
          <w:szCs w:val="24"/>
        </w:rPr>
      </w:pPr>
      <w:r>
        <w:rPr>
          <w:rFonts w:hint="eastAsia" w:ascii="宋体" w:hAnsi="宋体"/>
          <w:color w:val="000000" w:themeColor="text1"/>
          <w:sz w:val="24"/>
          <w:szCs w:val="24"/>
          <w14:textFill>
            <w14:solidFill>
              <w14:schemeClr w14:val="tx1"/>
            </w14:solidFill>
          </w14:textFill>
        </w:rPr>
        <w:t>磋商小组发现磋商文件表述不明确或需要说明的事项，可提请采购人和区政府采购中心书面解释</w:t>
      </w:r>
      <w:r>
        <w:rPr>
          <w:rFonts w:hint="eastAsia" w:ascii="宋体" w:hAnsi="宋体"/>
          <w:sz w:val="24"/>
          <w:szCs w:val="24"/>
        </w:rPr>
        <w:t>说明。</w:t>
      </w:r>
      <w:bookmarkStart w:id="96" w:name="_Toc58943346"/>
    </w:p>
    <w:p>
      <w:pPr>
        <w:pStyle w:val="5"/>
        <w:numPr>
          <w:ilvl w:val="1"/>
          <w:numId w:val="5"/>
        </w:numPr>
        <w:tabs>
          <w:tab w:val="left" w:pos="426"/>
          <w:tab w:val="left" w:pos="567"/>
        </w:tabs>
        <w:spacing w:before="0" w:after="200" w:line="400" w:lineRule="exact"/>
        <w:ind w:left="1985" w:hanging="1985"/>
        <w:jc w:val="both"/>
        <w:rPr>
          <w:sz w:val="24"/>
          <w:szCs w:val="24"/>
        </w:rPr>
      </w:pPr>
      <w:r>
        <w:rPr>
          <w:rFonts w:hint="eastAsia"/>
          <w:sz w:val="24"/>
          <w:szCs w:val="24"/>
        </w:rPr>
        <w:t xml:space="preserve"> </w:t>
      </w:r>
      <w:bookmarkStart w:id="97" w:name="_Toc79742136"/>
      <w:r>
        <w:rPr>
          <w:rFonts w:hint="eastAsia"/>
          <w:sz w:val="24"/>
          <w:szCs w:val="24"/>
        </w:rPr>
        <w:t>评审程序</w:t>
      </w:r>
      <w:bookmarkEnd w:id="96"/>
      <w:bookmarkEnd w:id="97"/>
    </w:p>
    <w:p>
      <w:pPr>
        <w:pStyle w:val="6"/>
        <w:numPr>
          <w:ilvl w:val="2"/>
          <w:numId w:val="5"/>
        </w:numPr>
        <w:spacing w:after="200" w:line="400" w:lineRule="exact"/>
        <w:ind w:left="1135" w:hanging="1135"/>
        <w:rPr>
          <w:color w:val="auto"/>
          <w:sz w:val="24"/>
          <w:szCs w:val="24"/>
        </w:rPr>
      </w:pPr>
      <w:bookmarkStart w:id="98" w:name="_Toc287623646"/>
      <w:r>
        <w:rPr>
          <w:rFonts w:hint="eastAsia"/>
          <w:color w:val="auto"/>
          <w:sz w:val="24"/>
          <w:szCs w:val="24"/>
        </w:rPr>
        <w:t>磋商小组</w:t>
      </w:r>
      <w:bookmarkEnd w:id="98"/>
    </w:p>
    <w:p>
      <w:pPr>
        <w:pStyle w:val="23"/>
        <w:spacing w:line="400" w:lineRule="exact"/>
        <w:ind w:firstLine="480" w:firstLineChars="200"/>
        <w:rPr>
          <w:rFonts w:hAnsi="宋体"/>
          <w:sz w:val="24"/>
          <w:szCs w:val="24"/>
        </w:rPr>
      </w:pPr>
      <w:r>
        <w:rPr>
          <w:rFonts w:hint="eastAsia" w:hAnsi="宋体"/>
          <w:sz w:val="24"/>
          <w:szCs w:val="24"/>
        </w:rPr>
        <w:t>磋商小组由采购人代表和根据采购项目情况确定的技术或经济或法律等有关专家</w:t>
      </w:r>
      <w:r>
        <w:rPr>
          <w:rFonts w:hAnsi="宋体"/>
          <w:sz w:val="24"/>
          <w:szCs w:val="24"/>
        </w:rPr>
        <w:t>3</w:t>
      </w:r>
      <w:r>
        <w:rPr>
          <w:rFonts w:hint="eastAsia" w:hAnsi="宋体"/>
          <w:sz w:val="24"/>
          <w:szCs w:val="24"/>
        </w:rPr>
        <w:t>人以上的单数组成。磋商小组负责本项目的磋商和评审工作。</w:t>
      </w:r>
    </w:p>
    <w:p>
      <w:pPr>
        <w:pStyle w:val="6"/>
        <w:numPr>
          <w:ilvl w:val="2"/>
          <w:numId w:val="5"/>
        </w:numPr>
        <w:spacing w:after="200" w:line="400" w:lineRule="exact"/>
        <w:ind w:left="1135" w:hanging="1135"/>
        <w:rPr>
          <w:color w:val="auto"/>
          <w:sz w:val="24"/>
          <w:szCs w:val="24"/>
        </w:rPr>
      </w:pPr>
      <w:r>
        <w:rPr>
          <w:rFonts w:hint="eastAsia"/>
          <w:color w:val="auto"/>
          <w:sz w:val="24"/>
          <w:szCs w:val="24"/>
        </w:rPr>
        <w:t>资格审查</w:t>
      </w:r>
    </w:p>
    <w:p>
      <w:pPr>
        <w:spacing w:line="400" w:lineRule="exact"/>
        <w:ind w:firstLine="513" w:firstLineChars="214"/>
        <w:rPr>
          <w:rFonts w:ascii="宋体" w:hAnsi="宋体"/>
          <w:sz w:val="24"/>
          <w:szCs w:val="24"/>
        </w:rPr>
      </w:pPr>
      <w:r>
        <w:rPr>
          <w:rFonts w:hint="eastAsia" w:ascii="宋体" w:hAnsi="宋体"/>
          <w:sz w:val="24"/>
          <w:szCs w:val="24"/>
        </w:rPr>
        <w:t>首次递交响应文件截止时间结束后，由磋商小组对递交响应文件的供应商进行资格性审查。磋商小组在资格性审查过程中，磋商小组成员对供应商资格是否符合规定存在争议的，应当以少数服从多数的原则处理，但不得违反政府采购法和磋商文件规定。</w:t>
      </w:r>
    </w:p>
    <w:p>
      <w:pPr>
        <w:spacing w:line="400" w:lineRule="exact"/>
        <w:ind w:firstLine="513" w:firstLineChars="214"/>
        <w:rPr>
          <w:rFonts w:hint="eastAsia" w:ascii="宋体" w:hAnsi="宋体"/>
          <w:sz w:val="24"/>
          <w:szCs w:val="24"/>
        </w:rPr>
      </w:pPr>
      <w:r>
        <w:rPr>
          <w:rFonts w:hint="eastAsia" w:ascii="宋体" w:hAnsi="宋体"/>
          <w:sz w:val="24"/>
          <w:szCs w:val="24"/>
        </w:rPr>
        <w:t>供应商资格审查的标准：</w:t>
      </w:r>
    </w:p>
    <w:tbl>
      <w:tblPr>
        <w:tblStyle w:val="4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427"/>
        <w:gridCol w:w="1681"/>
        <w:gridCol w:w="5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803" w:type="dxa"/>
            <w:gridSpan w:val="3"/>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jc w:val="center"/>
              <w:rPr>
                <w:b/>
                <w:sz w:val="20"/>
              </w:rPr>
            </w:pPr>
            <w:r>
              <w:rPr>
                <w:rFonts w:hint="eastAsia"/>
                <w:b/>
                <w:sz w:val="20"/>
              </w:rPr>
              <w:t>资格性审查项</w:t>
            </w:r>
          </w:p>
        </w:tc>
        <w:tc>
          <w:tcPr>
            <w:tcW w:w="5719" w:type="dxa"/>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jc w:val="center"/>
              <w:rPr>
                <w:sz w:val="20"/>
              </w:rPr>
            </w:pPr>
            <w:r>
              <w:rPr>
                <w:rFonts w:hint="eastAsia"/>
                <w:b/>
                <w:sz w:val="20"/>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Borders>
              <w:top w:val="single" w:color="auto" w:sz="2" w:space="0"/>
              <w:left w:val="single" w:color="auto" w:sz="2" w:space="0"/>
              <w:right w:val="single" w:color="auto" w:sz="2" w:space="0"/>
            </w:tcBorders>
            <w:vAlign w:val="center"/>
          </w:tcPr>
          <w:p>
            <w:pPr>
              <w:tabs>
                <w:tab w:val="left" w:pos="851"/>
              </w:tabs>
              <w:spacing w:line="360" w:lineRule="auto"/>
              <w:jc w:val="center"/>
              <w:rPr>
                <w:sz w:val="20"/>
              </w:rPr>
            </w:pPr>
            <w:r>
              <w:rPr>
                <w:sz w:val="20"/>
              </w:rPr>
              <w:t>1</w:t>
            </w:r>
          </w:p>
        </w:tc>
        <w:tc>
          <w:tcPr>
            <w:tcW w:w="2108" w:type="dxa"/>
            <w:gridSpan w:val="2"/>
            <w:tcBorders>
              <w:top w:val="single" w:color="auto" w:sz="2" w:space="0"/>
              <w:left w:val="single" w:color="auto" w:sz="2" w:space="0"/>
              <w:right w:val="single" w:color="auto" w:sz="2" w:space="0"/>
            </w:tcBorders>
            <w:vAlign w:val="center"/>
          </w:tcPr>
          <w:p>
            <w:pPr>
              <w:tabs>
                <w:tab w:val="left" w:pos="851"/>
              </w:tabs>
              <w:spacing w:line="240" w:lineRule="atLeast"/>
              <w:rPr>
                <w:rFonts w:ascii="宋体" w:hAnsi="宋体"/>
                <w:sz w:val="20"/>
                <w:szCs w:val="20"/>
              </w:rPr>
            </w:pPr>
            <w:r>
              <w:rPr>
                <w:rFonts w:hint="eastAsia" w:ascii="宋体" w:hAnsi="宋体"/>
                <w:sz w:val="20"/>
                <w:szCs w:val="20"/>
              </w:rPr>
              <w:t>供应商应具有独立承担</w:t>
            </w:r>
            <w:r>
              <w:rPr>
                <w:rFonts w:ascii="宋体" w:hAnsi="宋体"/>
                <w:sz w:val="20"/>
                <w:szCs w:val="20"/>
              </w:rPr>
              <w:t>民事</w:t>
            </w:r>
            <w:r>
              <w:rPr>
                <w:rFonts w:hint="eastAsia" w:ascii="宋体" w:hAnsi="宋体"/>
                <w:sz w:val="20"/>
                <w:szCs w:val="20"/>
              </w:rPr>
              <w:t>责任的</w:t>
            </w:r>
            <w:r>
              <w:rPr>
                <w:rFonts w:ascii="宋体" w:hAnsi="宋体"/>
                <w:sz w:val="20"/>
                <w:szCs w:val="20"/>
              </w:rPr>
              <w:t>能力</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ascii="宋体" w:hAnsi="宋体"/>
                <w:sz w:val="20"/>
                <w:szCs w:val="20"/>
              </w:rPr>
            </w:pPr>
            <w:r>
              <w:rPr>
                <w:rFonts w:hint="eastAsia" w:ascii="宋体" w:hAnsi="宋体"/>
                <w:sz w:val="20"/>
                <w:szCs w:val="20"/>
              </w:rPr>
              <w:t>营业</w:t>
            </w:r>
            <w:r>
              <w:rPr>
                <w:rFonts w:ascii="宋体" w:hAnsi="宋体"/>
                <w:sz w:val="20"/>
                <w:szCs w:val="20"/>
              </w:rPr>
              <w:t>执照</w:t>
            </w:r>
            <w:r>
              <w:rPr>
                <w:rFonts w:hint="eastAsia" w:ascii="宋体" w:hAnsi="宋体"/>
                <w:sz w:val="20"/>
                <w:szCs w:val="20"/>
              </w:rPr>
              <w:t>（正本</w:t>
            </w:r>
            <w:r>
              <w:rPr>
                <w:rFonts w:ascii="宋体" w:hAnsi="宋体"/>
                <w:sz w:val="20"/>
                <w:szCs w:val="20"/>
              </w:rPr>
              <w:t>或副本</w:t>
            </w:r>
            <w:r>
              <w:rPr>
                <w:rFonts w:hint="eastAsia" w:ascii="宋体" w:hAnsi="宋体"/>
                <w:sz w:val="20"/>
                <w:szCs w:val="20"/>
              </w:rPr>
              <w:t>）</w:t>
            </w:r>
            <w:r>
              <w:rPr>
                <w:rFonts w:ascii="宋体" w:hAnsi="宋体"/>
                <w:sz w:val="20"/>
                <w:szCs w:val="20"/>
              </w:rPr>
              <w:t>或</w:t>
            </w:r>
            <w:r>
              <w:rPr>
                <w:rFonts w:hint="eastAsia" w:ascii="宋体" w:hAnsi="宋体"/>
                <w:sz w:val="20"/>
                <w:szCs w:val="20"/>
              </w:rPr>
              <w:t>法人登记证（正本</w:t>
            </w:r>
            <w:r>
              <w:rPr>
                <w:rFonts w:ascii="宋体" w:hAnsi="宋体"/>
                <w:sz w:val="20"/>
                <w:szCs w:val="20"/>
              </w:rPr>
              <w:t>或副本</w:t>
            </w:r>
            <w:r>
              <w:rPr>
                <w:rFonts w:hint="eastAsia" w:ascii="宋体" w:hAnsi="宋体"/>
                <w:sz w:val="20"/>
                <w:szCs w:val="20"/>
              </w:rPr>
              <w:t>）或其他能够证明</w:t>
            </w:r>
            <w:r>
              <w:rPr>
                <w:rFonts w:ascii="宋体" w:hAnsi="宋体"/>
                <w:sz w:val="20"/>
                <w:szCs w:val="20"/>
              </w:rPr>
              <w:t>供应商具有独立承担民事责任能力的相关证明</w:t>
            </w:r>
            <w:r>
              <w:rPr>
                <w:rFonts w:hint="eastAsia" w:ascii="宋体" w:hAnsi="宋体"/>
                <w:sz w:val="20"/>
                <w:szCs w:val="20"/>
              </w:rPr>
              <w:t>材料</w:t>
            </w:r>
            <w:r>
              <w:rPr>
                <w:rFonts w:ascii="宋体" w:hAnsi="宋体"/>
                <w:sz w:val="20"/>
                <w:szCs w:val="20"/>
              </w:rPr>
              <w:t>复印件【</w:t>
            </w:r>
            <w:r>
              <w:rPr>
                <w:rFonts w:hint="eastAsia" w:ascii="宋体" w:hAnsi="宋体"/>
                <w:sz w:val="20"/>
                <w:szCs w:val="20"/>
              </w:rPr>
              <w:t>注：</w:t>
            </w:r>
            <w:r>
              <w:rPr>
                <w:rFonts w:ascii="宋体" w:hAnsi="宋体"/>
                <w:sz w:val="20"/>
                <w:szCs w:val="20"/>
              </w:rPr>
              <w:t>（1）</w:t>
            </w:r>
            <w:r>
              <w:rPr>
                <w:rFonts w:hint="eastAsia" w:ascii="宋体" w:hAnsi="宋体"/>
                <w:sz w:val="20"/>
                <w:szCs w:val="20"/>
              </w:rPr>
              <w:t>营业</w:t>
            </w:r>
            <w:r>
              <w:rPr>
                <w:rFonts w:ascii="宋体" w:hAnsi="宋体"/>
                <w:sz w:val="20"/>
                <w:szCs w:val="20"/>
              </w:rPr>
              <w:t>执照或</w:t>
            </w:r>
            <w:r>
              <w:rPr>
                <w:rFonts w:hint="eastAsia" w:ascii="宋体" w:hAnsi="宋体"/>
                <w:sz w:val="20"/>
                <w:szCs w:val="20"/>
              </w:rPr>
              <w:t>法人登记证</w:t>
            </w:r>
            <w:r>
              <w:rPr>
                <w:rFonts w:ascii="宋体" w:hAnsi="宋体"/>
                <w:sz w:val="20"/>
                <w:szCs w:val="20"/>
              </w:rPr>
              <w:t>或其他证明</w:t>
            </w:r>
            <w:r>
              <w:rPr>
                <w:rFonts w:hint="eastAsia" w:ascii="宋体" w:hAnsi="宋体"/>
                <w:sz w:val="20"/>
                <w:szCs w:val="20"/>
              </w:rPr>
              <w:t>材料</w:t>
            </w:r>
            <w:r>
              <w:rPr>
                <w:rFonts w:ascii="宋体" w:hAnsi="宋体"/>
                <w:sz w:val="20"/>
                <w:szCs w:val="20"/>
              </w:rPr>
              <w:t>载明有</w:t>
            </w:r>
            <w:r>
              <w:rPr>
                <w:rFonts w:hint="eastAsia" w:ascii="宋体" w:hAnsi="宋体"/>
                <w:sz w:val="20"/>
                <w:szCs w:val="20"/>
              </w:rPr>
              <w:t>期限</w:t>
            </w:r>
            <w:r>
              <w:rPr>
                <w:rFonts w:ascii="宋体" w:hAnsi="宋体"/>
                <w:sz w:val="20"/>
                <w:szCs w:val="20"/>
              </w:rPr>
              <w:t>的，应在有效期限内；（2）</w:t>
            </w:r>
            <w:r>
              <w:rPr>
                <w:rFonts w:hint="eastAsia" w:ascii="宋体" w:hAnsi="宋体"/>
                <w:sz w:val="20"/>
                <w:szCs w:val="20"/>
              </w:rPr>
              <w:t>在</w:t>
            </w:r>
            <w:r>
              <w:rPr>
                <w:rFonts w:ascii="宋体" w:hAnsi="宋体"/>
                <w:sz w:val="20"/>
                <w:szCs w:val="20"/>
              </w:rPr>
              <w:t>中华人民共和国境内注册。】</w:t>
            </w:r>
            <w:r>
              <w:rPr>
                <w:rFonts w:hint="eastAsia" w:ascii="宋体" w:hAnsi="宋体"/>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restart"/>
            <w:tcBorders>
              <w:left w:val="single" w:color="auto" w:sz="2" w:space="0"/>
              <w:right w:val="single" w:color="auto" w:sz="2" w:space="0"/>
            </w:tcBorders>
            <w:vAlign w:val="center"/>
          </w:tcPr>
          <w:p>
            <w:pPr>
              <w:tabs>
                <w:tab w:val="left" w:pos="851"/>
              </w:tabs>
              <w:spacing w:line="360" w:lineRule="auto"/>
              <w:rPr>
                <w:sz w:val="20"/>
              </w:rPr>
            </w:pPr>
            <w:r>
              <w:rPr>
                <w:sz w:val="20"/>
              </w:rPr>
              <w:t>2</w:t>
            </w:r>
          </w:p>
        </w:tc>
        <w:tc>
          <w:tcPr>
            <w:tcW w:w="427" w:type="dxa"/>
            <w:vMerge w:val="restart"/>
            <w:tcBorders>
              <w:left w:val="single" w:color="auto" w:sz="2" w:space="0"/>
              <w:right w:val="single" w:color="auto" w:sz="2" w:space="0"/>
            </w:tcBorders>
            <w:vAlign w:val="center"/>
          </w:tcPr>
          <w:p>
            <w:pPr>
              <w:tabs>
                <w:tab w:val="left" w:pos="851"/>
              </w:tabs>
              <w:spacing w:line="360" w:lineRule="auto"/>
              <w:rPr>
                <w:sz w:val="20"/>
              </w:rPr>
            </w:pPr>
            <w:r>
              <w:rPr>
                <w:rFonts w:hint="eastAsia"/>
                <w:sz w:val="20"/>
              </w:rPr>
              <w:t>书面声明材料</w:t>
            </w: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hint="eastAsia" w:ascii="宋体" w:hAnsi="宋体"/>
                <w:sz w:val="20"/>
                <w:szCs w:val="20"/>
              </w:rPr>
            </w:pPr>
            <w:r>
              <w:rPr>
                <w:rFonts w:hint="eastAsia" w:ascii="宋体" w:hAnsi="宋体"/>
                <w:sz w:val="20"/>
                <w:szCs w:val="20"/>
              </w:rPr>
              <w:t>1、参加政府采购活动前三年内，在经营活动中没有重大违法记录</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hint="eastAsia" w:ascii="宋体" w:hAnsi="宋体"/>
                <w:sz w:val="20"/>
                <w:szCs w:val="20"/>
              </w:rPr>
            </w:pPr>
            <w:r>
              <w:rPr>
                <w:rFonts w:hint="eastAsia" w:ascii="宋体" w:hAnsi="宋体"/>
                <w:sz w:val="20"/>
                <w:szCs w:val="20"/>
              </w:rPr>
              <w:t>1.供应商参加政府采购活动前三年内，在经营活动中没有重大违法记录的书面声明材料。【说明：①按磋商文件3.1.3声明的内容提供书面声明材料；②供应商参加政府采购活动前三年内，在经营活动中没有重大违法记录。】</w:t>
            </w:r>
          </w:p>
          <w:p>
            <w:pPr>
              <w:tabs>
                <w:tab w:val="left" w:pos="851"/>
              </w:tabs>
              <w:spacing w:line="240" w:lineRule="atLeast"/>
              <w:rPr>
                <w:rFonts w:hint="eastAsia" w:ascii="宋体" w:hAnsi="宋体"/>
                <w:sz w:val="20"/>
                <w:szCs w:val="20"/>
              </w:rPr>
            </w:pPr>
            <w:r>
              <w:rPr>
                <w:rFonts w:hint="eastAsia" w:ascii="宋体" w:hAnsi="宋体"/>
                <w:sz w:val="20"/>
                <w:szCs w:val="20"/>
              </w:rPr>
              <w:t>2. 磋商小组根据“信用中国”和“中国政府采购网”网站的查询结果，在资格审查期间对供应商在参加政府采购活动前三年内，在经营活动中是否有重大违法记录进行审查。【说明：供应商参加政府采购活动前三年内，在经营活动中没有重大违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hint="eastAsia" w:ascii="宋体" w:hAnsi="宋体"/>
                <w:sz w:val="20"/>
                <w:szCs w:val="20"/>
              </w:rPr>
            </w:pPr>
            <w:r>
              <w:rPr>
                <w:rFonts w:hint="eastAsia" w:ascii="宋体" w:hAnsi="宋体"/>
                <w:sz w:val="20"/>
                <w:szCs w:val="20"/>
              </w:rPr>
              <w:t>2、具有良好的商业信誉的证明材料</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hint="eastAsia" w:ascii="宋体" w:hAnsi="宋体"/>
                <w:sz w:val="20"/>
                <w:szCs w:val="20"/>
              </w:rPr>
            </w:pPr>
            <w:r>
              <w:rPr>
                <w:rFonts w:hint="eastAsia" w:ascii="宋体" w:hAnsi="宋体"/>
                <w:sz w:val="20"/>
                <w:szCs w:val="20"/>
              </w:rPr>
              <w:t>供应商具有良好的商业信誉的书面声明材料。【说明：①按磋商文件3.1.3声明的内容提供书面声明材料；②供应商具有良好的商业信誉。】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3</w:t>
            </w:r>
            <w:r>
              <w:rPr>
                <w:rFonts w:hint="eastAsia"/>
                <w:sz w:val="20"/>
              </w:rPr>
              <w:t>、单位负</w:t>
            </w:r>
            <w:r>
              <w:rPr>
                <w:rFonts w:hint="eastAsia" w:ascii="宋体" w:hAnsi="宋体" w:eastAsia="宋体" w:cs="Times New Roman"/>
                <w:sz w:val="20"/>
                <w:szCs w:val="20"/>
              </w:rPr>
              <w:t>责人为同一人或者存在直接控股、管理关系的不同供应商，不得参加同一项目的政府采购活动</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hint="eastAsia" w:ascii="宋体" w:hAnsi="宋体" w:eastAsia="宋体" w:cs="Times New Roman"/>
                <w:sz w:val="20"/>
                <w:szCs w:val="20"/>
              </w:rPr>
            </w:pPr>
            <w:r>
              <w:rPr>
                <w:rFonts w:hint="eastAsia" w:ascii="宋体" w:hAnsi="宋体" w:eastAsia="宋体" w:cs="Times New Roman"/>
                <w:sz w:val="20"/>
                <w:szCs w:val="20"/>
              </w:rPr>
              <w:t>负责人为同一人或者存在直接控股、管理关系的不同供应商未同时参加本项目书面声明材料。【说明：①按磋商文件3.1.3声明内容提供书面声明材料；②参加本项目采购活动的供应商中无与其他同时参加本项目的供应商负责人为同一人的情况，不存在直接控股、管理关系的供应商参加本项目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4</w:t>
            </w:r>
            <w:r>
              <w:rPr>
                <w:rFonts w:hint="eastAsia"/>
                <w:sz w:val="20"/>
              </w:rPr>
              <w:t>、行贿犯罪记录</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在行贿犯罪信息查询期限内，供应商及其现任法定代表人、主要负责人没有行贿犯罪记录的书面声明材料。【说明：</w:t>
            </w:r>
            <w:r>
              <w:rPr>
                <w:rFonts w:hint="eastAsia" w:ascii="宋体" w:hAnsi="宋体"/>
                <w:sz w:val="20"/>
                <w:szCs w:val="28"/>
              </w:rPr>
              <w:t>①</w:t>
            </w:r>
            <w:r>
              <w:rPr>
                <w:rFonts w:hint="eastAsia"/>
                <w:sz w:val="20"/>
              </w:rPr>
              <w:t>按磋商文件</w:t>
            </w:r>
            <w:r>
              <w:rPr>
                <w:sz w:val="20"/>
              </w:rPr>
              <w:t>3.1.3</w:t>
            </w:r>
            <w:r>
              <w:rPr>
                <w:rFonts w:hint="eastAsia"/>
                <w:sz w:val="20"/>
              </w:rPr>
              <w:t>声明内容提供书面声明材料，响应文件中不需提供中国裁判文书网（</w:t>
            </w:r>
            <w:r>
              <w:rPr>
                <w:sz w:val="20"/>
              </w:rPr>
              <w:t>https://wenshu.court.gov.cn</w:t>
            </w:r>
            <w:r>
              <w:rPr>
                <w:rFonts w:hint="eastAsia"/>
                <w:sz w:val="20"/>
              </w:rPr>
              <w:t>）查询结果的证明材料；</w:t>
            </w:r>
            <w:r>
              <w:rPr>
                <w:rFonts w:hint="eastAsia" w:ascii="宋体" w:hAnsi="宋体"/>
                <w:sz w:val="20"/>
                <w:szCs w:val="28"/>
              </w:rPr>
              <w:t>②在行贿犯罪信息查询期限内，供应商及其现任法定代表人、主要负责人没有行贿犯罪记录</w:t>
            </w:r>
            <w:r>
              <w:rPr>
                <w:rFonts w:hint="eastAsia"/>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hint="eastAsia" w:ascii="宋体" w:hAnsi="宋体"/>
                <w:sz w:val="20"/>
                <w:szCs w:val="20"/>
              </w:rPr>
            </w:pPr>
            <w:r>
              <w:rPr>
                <w:rFonts w:hint="eastAsia" w:ascii="宋体" w:hAnsi="宋体"/>
                <w:sz w:val="20"/>
                <w:szCs w:val="20"/>
              </w:rPr>
              <w:t>5、未被列入失信被执行人、重大税收违法案件当事人名单、政府采购严重违法失信行为记录名单</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hint="eastAsia" w:ascii="宋体" w:hAnsi="宋体"/>
                <w:sz w:val="20"/>
                <w:szCs w:val="20"/>
              </w:rPr>
            </w:pPr>
            <w:r>
              <w:rPr>
                <w:rFonts w:hint="eastAsia" w:ascii="宋体" w:hAnsi="宋体"/>
                <w:sz w:val="20"/>
                <w:szCs w:val="20"/>
              </w:rPr>
              <w:t>1.供应商未被列入失信被执行人、重大税收违法案件当事人名单、政府采购严重违法失信行为记录名单的书面声明材料。【说明：①供应商未列入失信被执行人、重大税收违法案件当事人名单、政府采购严重违法失信行为记录名单；②按磋商文件3.1.3声明内容提供书面声明材料。】</w:t>
            </w:r>
          </w:p>
          <w:p>
            <w:pPr>
              <w:tabs>
                <w:tab w:val="left" w:pos="851"/>
              </w:tabs>
              <w:spacing w:line="240" w:lineRule="atLeast"/>
              <w:rPr>
                <w:rFonts w:hint="eastAsia" w:ascii="宋体" w:hAnsi="宋体"/>
                <w:sz w:val="20"/>
                <w:szCs w:val="20"/>
              </w:rPr>
            </w:pPr>
            <w:r>
              <w:rPr>
                <w:rFonts w:hint="eastAsia" w:ascii="宋体" w:hAnsi="宋体"/>
                <w:sz w:val="20"/>
                <w:szCs w:val="20"/>
              </w:rPr>
              <w:t>2. 磋商小组根据“信用中国”和“中国政府采购网”网站的查询结果，在资格审查期间对供应商是否被列入失信被执行人、重大税收违法案件当事人名单、政府采购严重违法失信行为记录名单进行审查。【说明：供应商未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hint="eastAsia" w:ascii="宋体" w:hAnsi="宋体"/>
                <w:sz w:val="20"/>
                <w:szCs w:val="20"/>
              </w:rPr>
            </w:pPr>
            <w:r>
              <w:rPr>
                <w:rFonts w:hint="eastAsia" w:ascii="宋体" w:hAnsi="宋体"/>
                <w:sz w:val="20"/>
                <w:szCs w:val="20"/>
              </w:rPr>
              <w:t>6、未处于被行政部门禁止参与政府采购活动的期限内</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hint="eastAsia" w:ascii="宋体" w:hAnsi="宋体"/>
                <w:sz w:val="20"/>
                <w:szCs w:val="20"/>
              </w:rPr>
            </w:pPr>
            <w:r>
              <w:rPr>
                <w:rFonts w:hint="eastAsia" w:ascii="宋体" w:hAnsi="宋体"/>
                <w:sz w:val="20"/>
                <w:szCs w:val="20"/>
              </w:rPr>
              <w:t>供应商未处于被行政部门禁止参与政府采购活动的期限内。【说明：①按磋商文件3.1.3声明内容提供书面声明材料；②供应商未处于被行政部门禁止参与政府采购活动的期限内。】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7</w:t>
            </w:r>
            <w:r>
              <w:rPr>
                <w:rFonts w:hint="eastAsia"/>
                <w:sz w:val="20"/>
              </w:rPr>
              <w:t>、具有健全的财务会计制度的证明材料</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hint="eastAsia" w:ascii="宋体" w:hAnsi="宋体" w:eastAsia="宋体" w:cs="Times New Roman"/>
                <w:sz w:val="20"/>
                <w:szCs w:val="20"/>
              </w:rPr>
            </w:pPr>
            <w:r>
              <w:rPr>
                <w:rFonts w:hint="eastAsia" w:ascii="宋体" w:hAnsi="宋体" w:eastAsia="宋体" w:cs="Times New Roman"/>
                <w:sz w:val="20"/>
                <w:szCs w:val="20"/>
              </w:rPr>
              <w:t>供应商具有健全的财务会计制度的书面声明材料【说明：①按磋商文件3.1.3声明的内容提供书面声明材料；②供应商具有健全的财务会计制度。】。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8</w:t>
            </w:r>
            <w:r>
              <w:rPr>
                <w:rFonts w:hint="eastAsia"/>
                <w:sz w:val="20"/>
              </w:rPr>
              <w:t>、缴纳社会保障资金的证明材料</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hint="eastAsia" w:ascii="宋体" w:hAnsi="宋体" w:eastAsia="宋体" w:cs="Times New Roman"/>
                <w:sz w:val="20"/>
                <w:szCs w:val="20"/>
              </w:rPr>
            </w:pPr>
            <w:r>
              <w:rPr>
                <w:rFonts w:hint="eastAsia" w:ascii="宋体" w:hAnsi="宋体" w:eastAsia="宋体" w:cs="Times New Roman"/>
                <w:sz w:val="20"/>
                <w:szCs w:val="20"/>
              </w:rPr>
              <w:t>供应商具有依法缴纳社会保障资金良好记录的书面声明材料【说明：①按磋商文件3.1.3声明的内容提供书面声明材料；②供应商有依法缴纳社会保障资金的良好记录。】。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9</w:t>
            </w:r>
            <w:r>
              <w:rPr>
                <w:rFonts w:hint="eastAsia"/>
                <w:sz w:val="20"/>
              </w:rPr>
              <w:t>、缴纳税收的证明材料</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ascii="宋体" w:hAnsi="宋体" w:eastAsia="宋体" w:cs="Times New Roman"/>
                <w:sz w:val="20"/>
                <w:szCs w:val="20"/>
              </w:rPr>
              <w:t>供应商具有依法缴纳税收良好记录的书面声明材料【说明：①按磋商文件3.1.3声明的内容提供书面声明材料；②供应商有依法缴纳税收的良好记录。】。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restart"/>
            <w:tcBorders>
              <w:left w:val="single" w:color="auto" w:sz="2" w:space="0"/>
              <w:right w:val="single" w:color="auto" w:sz="2" w:space="0"/>
            </w:tcBorders>
            <w:vAlign w:val="center"/>
          </w:tcPr>
          <w:p>
            <w:pPr>
              <w:tabs>
                <w:tab w:val="left" w:pos="851"/>
              </w:tabs>
              <w:spacing w:line="360" w:lineRule="auto"/>
              <w:jc w:val="center"/>
              <w:rPr>
                <w:sz w:val="20"/>
              </w:rPr>
            </w:pPr>
            <w:r>
              <w:rPr>
                <w:sz w:val="20"/>
              </w:rPr>
              <w:t>3</w:t>
            </w:r>
          </w:p>
        </w:tc>
        <w:tc>
          <w:tcPr>
            <w:tcW w:w="427" w:type="dxa"/>
            <w:vMerge w:val="restart"/>
            <w:tcBorders>
              <w:left w:val="single" w:color="auto" w:sz="2" w:space="0"/>
              <w:right w:val="single" w:color="auto" w:sz="2" w:space="0"/>
            </w:tcBorders>
            <w:vAlign w:val="center"/>
          </w:tcPr>
          <w:p>
            <w:pPr>
              <w:tabs>
                <w:tab w:val="left" w:pos="851"/>
              </w:tabs>
              <w:spacing w:line="360" w:lineRule="auto"/>
              <w:rPr>
                <w:sz w:val="20"/>
              </w:rPr>
            </w:pPr>
            <w:r>
              <w:rPr>
                <w:rFonts w:hint="eastAsia"/>
                <w:sz w:val="20"/>
              </w:rPr>
              <w:t>其他</w:t>
            </w: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w:t>
            </w:r>
            <w:r>
              <w:rPr>
                <w:rFonts w:hint="eastAsia"/>
                <w:sz w:val="20"/>
              </w:rPr>
              <w:t>、具有履行合同所必须的设备和专业技术能力</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采购人对供应商履行合同所必须的设备和专业技术能力无其他特殊要求</w:t>
            </w:r>
            <w:r>
              <w:rPr>
                <w:rFonts w:hint="eastAsia"/>
                <w:sz w:val="20"/>
                <w:lang w:eastAsia="zh-CN"/>
              </w:rPr>
              <w:t>，供应商</w:t>
            </w:r>
            <w:r>
              <w:rPr>
                <w:sz w:val="20"/>
              </w:rPr>
              <w:t>具有有效的营业执照或法人证书即可</w:t>
            </w:r>
            <w:r>
              <w:rPr>
                <w:rFonts w:hint="eastAsia"/>
                <w:sz w:val="20"/>
              </w:rPr>
              <w:t>，供应商可不提供证明材料。【说明：无须提供证明材料，上传空白页即可，不对本项上传的材料作资格审查】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jc w:val="center"/>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2</w:t>
            </w:r>
            <w:r>
              <w:rPr>
                <w:rFonts w:hint="eastAsia"/>
                <w:sz w:val="20"/>
              </w:rPr>
              <w:t>、法律、行政法规规定的其他条件</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采购人对法律、行政法规规定的其他条件无其他特殊要求，</w:t>
            </w:r>
            <w:r>
              <w:rPr>
                <w:rFonts w:hint="eastAsia"/>
                <w:sz w:val="20"/>
                <w:lang w:eastAsia="zh-CN"/>
              </w:rPr>
              <w:t>供应商</w:t>
            </w:r>
            <w:r>
              <w:rPr>
                <w:sz w:val="20"/>
              </w:rPr>
              <w:t>具有有效的营业执照或法人证书即可</w:t>
            </w:r>
            <w:r>
              <w:rPr>
                <w:rFonts w:hint="eastAsia"/>
                <w:sz w:val="20"/>
                <w:lang w:eastAsia="zh-CN"/>
              </w:rPr>
              <w:t>，</w:t>
            </w:r>
            <w:r>
              <w:rPr>
                <w:rFonts w:hint="eastAsia"/>
                <w:sz w:val="20"/>
              </w:rPr>
              <w:t>可不提供证明材料。【说明：无须提供证明材料，上传空白页即可，不对本项上传的材料作资格审查】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jc w:val="center"/>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3</w:t>
            </w:r>
            <w:r>
              <w:rPr>
                <w:rFonts w:hint="eastAsia"/>
                <w:sz w:val="20"/>
              </w:rPr>
              <w:t>、不属于其他国家相关法律法规规定的禁止参加政府采购活动的供应商</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w:t>
            </w:r>
            <w:r>
              <w:rPr>
                <w:rFonts w:hint="eastAsia"/>
                <w:sz w:val="20"/>
              </w:rPr>
              <w:t>、根据磋商文件的要求不属于禁止参加政府采购活动的供应商；</w:t>
            </w:r>
          </w:p>
          <w:p>
            <w:pPr>
              <w:tabs>
                <w:tab w:val="left" w:pos="851"/>
              </w:tabs>
              <w:spacing w:line="360" w:lineRule="auto"/>
              <w:rPr>
                <w:sz w:val="20"/>
              </w:rPr>
            </w:pPr>
            <w:r>
              <w:rPr>
                <w:sz w:val="20"/>
              </w:rPr>
              <w:t>2</w:t>
            </w:r>
            <w:r>
              <w:rPr>
                <w:rFonts w:hint="eastAsia"/>
                <w:sz w:val="20"/>
              </w:rPr>
              <w:t>、磋商小组未发现或者未知晓供应商存在属于国家相关法律法规规定的禁止参加磋商的供应商。</w:t>
            </w:r>
          </w:p>
          <w:p>
            <w:pPr>
              <w:tabs>
                <w:tab w:val="left" w:pos="851"/>
              </w:tabs>
              <w:spacing w:line="360" w:lineRule="auto"/>
              <w:rPr>
                <w:sz w:val="20"/>
              </w:rPr>
            </w:pP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4</w:t>
            </w:r>
            <w:r>
              <w:rPr>
                <w:rFonts w:hint="eastAsia"/>
                <w:sz w:val="20"/>
              </w:rPr>
              <w:t>、非联合体参加</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非联合体参加本次政府采购活动。【说明：无须提供证明材料，上传空白页即可，不对本项上传的材料作资格审查】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5</w:t>
            </w:r>
            <w:r>
              <w:rPr>
                <w:rFonts w:hint="eastAsia"/>
                <w:sz w:val="20"/>
              </w:rPr>
              <w:t>、资质要求</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6</w:t>
            </w:r>
            <w:r>
              <w:rPr>
                <w:rFonts w:hint="eastAsia"/>
                <w:sz w:val="20"/>
              </w:rPr>
              <w:t>、磋商保证金</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7、响应文件签章</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响应文件加盖有供应商（法定名称）电子签章。【说明：无须提供证明材料，上传空白页即可，不对本项上传的材料作资格审查】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8、响应文件的语言、有效期</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语言符合采购文件的要求。【说明：无须提供证明材料，上传空白页即可，不对本项上传的材料作资格审查】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Borders>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4</w:t>
            </w:r>
          </w:p>
        </w:tc>
        <w:tc>
          <w:tcPr>
            <w:tcW w:w="2108" w:type="dxa"/>
            <w:gridSpan w:val="2"/>
            <w:tcBorders>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资格性响应</w:t>
            </w:r>
            <w:r>
              <w:rPr>
                <w:sz w:val="20"/>
              </w:rPr>
              <w:t>文件</w:t>
            </w:r>
            <w:r>
              <w:rPr>
                <w:rFonts w:hint="eastAsia"/>
                <w:sz w:val="20"/>
              </w:rPr>
              <w:t>组成</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ascii="宋体" w:hAnsi="宋体"/>
                <w:sz w:val="20"/>
                <w:szCs w:val="28"/>
              </w:rPr>
              <w:t>符合磋商文件“</w:t>
            </w:r>
            <w:r>
              <w:rPr>
                <w:rFonts w:ascii="宋体" w:hAnsi="宋体"/>
                <w:sz w:val="20"/>
                <w:szCs w:val="28"/>
              </w:rPr>
              <w:t>2.4.5</w:t>
            </w:r>
            <w:r>
              <w:rPr>
                <w:rFonts w:hint="eastAsia" w:ascii="宋体" w:hAnsi="宋体"/>
                <w:sz w:val="20"/>
                <w:szCs w:val="28"/>
              </w:rPr>
              <w:t>响应</w:t>
            </w:r>
            <w:r>
              <w:rPr>
                <w:rFonts w:ascii="宋体" w:hAnsi="宋体"/>
                <w:sz w:val="20"/>
                <w:szCs w:val="28"/>
              </w:rPr>
              <w:t>文件的组成”规定要求。</w:t>
            </w:r>
            <w:r>
              <w:rPr>
                <w:rFonts w:hint="eastAsia" w:ascii="宋体" w:hAnsi="宋体"/>
                <w:sz w:val="20"/>
                <w:szCs w:val="28"/>
              </w:rPr>
              <w:t>【说明①供应商按磋商文件</w:t>
            </w:r>
            <w:r>
              <w:rPr>
                <w:rFonts w:ascii="宋体" w:hAnsi="宋体"/>
                <w:sz w:val="20"/>
                <w:szCs w:val="28"/>
              </w:rPr>
              <w:t>3.1.2</w:t>
            </w:r>
            <w:r>
              <w:rPr>
                <w:rFonts w:hint="eastAsia" w:ascii="宋体" w:hAnsi="宋体"/>
                <w:sz w:val="20"/>
                <w:szCs w:val="28"/>
              </w:rPr>
              <w:t>关于供应商申明的</w:t>
            </w:r>
            <w:r>
              <w:rPr>
                <w:rFonts w:hint="eastAsia"/>
                <w:sz w:val="20"/>
              </w:rPr>
              <w:t>内容</w:t>
            </w:r>
            <w:r>
              <w:rPr>
                <w:rFonts w:hint="eastAsia" w:ascii="宋体" w:hAnsi="宋体"/>
                <w:sz w:val="20"/>
                <w:szCs w:val="28"/>
              </w:rPr>
              <w:t>提供供应商申明函</w:t>
            </w:r>
            <w:r>
              <w:rPr>
                <w:rFonts w:hint="eastAsia" w:ascii="宋体" w:hAnsi="宋体"/>
                <w:sz w:val="20"/>
                <w:szCs w:val="28"/>
                <w:lang w:eastAsia="zh-CN"/>
              </w:rPr>
              <w:t>。</w:t>
            </w:r>
            <w:r>
              <w:rPr>
                <w:rFonts w:hint="eastAsia" w:ascii="宋体" w:hAnsi="宋体"/>
                <w:sz w:val="20"/>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sz w:val="20"/>
              </w:rPr>
            </w:pPr>
            <w:r>
              <w:rPr>
                <w:sz w:val="20"/>
              </w:rPr>
              <w:t>5</w:t>
            </w:r>
          </w:p>
        </w:tc>
        <w:tc>
          <w:tcPr>
            <w:tcW w:w="2108"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Times New Roman"/>
                <w:sz w:val="20"/>
                <w:szCs w:val="28"/>
              </w:rPr>
            </w:pPr>
            <w:r>
              <w:rPr>
                <w:rFonts w:hint="eastAsia" w:ascii="宋体" w:hAnsi="宋体" w:eastAsia="宋体" w:cs="Times New Roman"/>
                <w:sz w:val="20"/>
                <w:szCs w:val="28"/>
              </w:rPr>
              <w:t>法定代表人或主要负责人身份证明书及法定代表人</w:t>
            </w:r>
            <w:r>
              <w:rPr>
                <w:rFonts w:hint="eastAsia" w:ascii="宋体" w:hAnsi="宋体" w:eastAsia="宋体" w:cs="Times New Roman"/>
                <w:sz w:val="20"/>
                <w:szCs w:val="28"/>
                <w:lang w:eastAsia="zh-CN"/>
              </w:rPr>
              <w:t>或</w:t>
            </w:r>
            <w:r>
              <w:rPr>
                <w:rFonts w:hint="eastAsia" w:ascii="宋体" w:hAnsi="宋体" w:eastAsia="宋体" w:cs="Times New Roman"/>
                <w:sz w:val="20"/>
                <w:szCs w:val="28"/>
              </w:rPr>
              <w:t>主要负责人身份证复印件或护照复印件</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cs="Times New Roman"/>
                <w:sz w:val="20"/>
                <w:szCs w:val="28"/>
              </w:rPr>
            </w:pPr>
            <w:r>
              <w:rPr>
                <w:rFonts w:hint="eastAsia" w:ascii="宋体" w:hAnsi="宋体" w:eastAsia="宋体" w:cs="Times New Roman"/>
                <w:sz w:val="20"/>
                <w:szCs w:val="28"/>
              </w:rPr>
              <w:t>1、供应商按磋商文件3.1.6关于法定代表人或主要负责人身份证明书的内容提供法定代表人或主要负责人等身份证明书；2、身份证复印件或护照复印件【注：①法定代表人或主要负责人身份证复印件（身份证两面均应复印，在有效期内）或护照复印件（法定代表人或主要负责人为外籍人士的，按此提供）；②主要负责人为供应商提供的其具有独立承担民事责任的能力的证明材料中的主要负责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sz w:val="20"/>
              </w:rPr>
            </w:pPr>
            <w:r>
              <w:rPr>
                <w:sz w:val="20"/>
              </w:rPr>
              <w:t>6</w:t>
            </w:r>
          </w:p>
        </w:tc>
        <w:tc>
          <w:tcPr>
            <w:tcW w:w="2108" w:type="dxa"/>
            <w:gridSpan w:val="2"/>
            <w:tcBorders>
              <w:top w:val="single" w:color="auto" w:sz="2" w:space="0"/>
              <w:left w:val="single" w:color="auto" w:sz="2" w:space="0"/>
              <w:bottom w:val="single" w:color="auto" w:sz="2" w:space="0"/>
              <w:right w:val="single" w:color="auto" w:sz="2" w:space="0"/>
            </w:tcBorders>
            <w:vAlign w:val="center"/>
          </w:tcPr>
          <w:p>
            <w:pPr>
              <w:spacing w:line="360" w:lineRule="auto"/>
              <w:rPr>
                <w:sz w:val="20"/>
              </w:rPr>
            </w:pPr>
            <w:r>
              <w:rPr>
                <w:rFonts w:hint="eastAsia"/>
                <w:sz w:val="20"/>
              </w:rPr>
              <w:t>本项目为专门面向中小企业采购项目</w:t>
            </w:r>
            <w:r>
              <w:rPr>
                <w:rFonts w:hint="eastAsia"/>
                <w:sz w:val="20"/>
                <w:lang w:eastAsia="zh-CN"/>
              </w:rPr>
              <w:t>，提供的货物全部由符合政策要求的中小企业制造</w:t>
            </w:r>
            <w:r>
              <w:rPr>
                <w:rFonts w:hint="eastAsia"/>
                <w:sz w:val="20"/>
              </w:rPr>
              <w:t>（说明：监狱企业、残疾人福利性单位视同小型、微型企业）</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sz w:val="20"/>
                <w:szCs w:val="28"/>
              </w:rPr>
            </w:pPr>
            <w:r>
              <w:rPr>
                <w:rFonts w:hint="eastAsia" w:ascii="宋体" w:hAnsi="宋体"/>
                <w:sz w:val="20"/>
                <w:szCs w:val="28"/>
              </w:rPr>
              <w:t>专门面向中小企业采购项目:</w:t>
            </w:r>
          </w:p>
          <w:p>
            <w:pPr>
              <w:tabs>
                <w:tab w:val="left" w:pos="851"/>
              </w:tabs>
              <w:spacing w:line="360" w:lineRule="auto"/>
              <w:rPr>
                <w:rFonts w:hint="eastAsia" w:ascii="宋体" w:hAnsi="宋体"/>
                <w:sz w:val="20"/>
                <w:szCs w:val="28"/>
              </w:rPr>
            </w:pPr>
            <w:r>
              <w:rPr>
                <w:rFonts w:hint="eastAsia" w:ascii="宋体" w:hAnsi="宋体"/>
                <w:sz w:val="20"/>
                <w:szCs w:val="28"/>
              </w:rPr>
              <w:t>1.《中小企业声明函》中声明提供的货物全部由符合政策要求的中小企业制造；</w:t>
            </w:r>
          </w:p>
          <w:p>
            <w:pPr>
              <w:tabs>
                <w:tab w:val="left" w:pos="851"/>
              </w:tabs>
              <w:spacing w:line="360" w:lineRule="auto"/>
              <w:rPr>
                <w:rFonts w:hint="eastAsia" w:ascii="宋体" w:hAnsi="宋体"/>
                <w:sz w:val="20"/>
                <w:szCs w:val="28"/>
              </w:rPr>
            </w:pPr>
            <w:r>
              <w:rPr>
                <w:rFonts w:hint="eastAsia" w:ascii="宋体" w:hAnsi="宋体"/>
                <w:sz w:val="20"/>
                <w:szCs w:val="28"/>
              </w:rPr>
              <w:t>2.残疾人福利性单位视同为小型、微型企业，《残疾人福利性单位声明函》中声明供应商为符合条件的残疾人福利性单位，其参加本项目采购活动由本单位提供</w:t>
            </w:r>
            <w:r>
              <w:rPr>
                <w:rFonts w:hint="eastAsia" w:ascii="宋体" w:hAnsi="宋体"/>
                <w:sz w:val="20"/>
                <w:szCs w:val="28"/>
                <w:lang w:eastAsia="zh-CN"/>
              </w:rPr>
              <w:t>货物</w:t>
            </w:r>
            <w:r>
              <w:rPr>
                <w:rFonts w:hint="eastAsia" w:ascii="宋体" w:hAnsi="宋体"/>
                <w:sz w:val="20"/>
                <w:szCs w:val="28"/>
              </w:rPr>
              <w:t>；</w:t>
            </w:r>
          </w:p>
          <w:p>
            <w:pPr>
              <w:tabs>
                <w:tab w:val="left" w:pos="851"/>
              </w:tabs>
              <w:spacing w:line="360" w:lineRule="auto"/>
              <w:rPr>
                <w:sz w:val="20"/>
              </w:rPr>
            </w:pPr>
            <w:r>
              <w:rPr>
                <w:rFonts w:hint="eastAsia" w:ascii="宋体" w:hAnsi="宋体"/>
                <w:sz w:val="20"/>
                <w:szCs w:val="28"/>
              </w:rPr>
              <w:t>3.监狱企业视同为小型、微型企业，提供由省级以上监狱管理局、戒毒管理局（含新疆生产建设兵团）出具的供应商属于监狱企业的证明文件复印件。</w:t>
            </w:r>
          </w:p>
        </w:tc>
      </w:tr>
    </w:tbl>
    <w:p>
      <w:pPr>
        <w:pStyle w:val="2"/>
      </w:pPr>
    </w:p>
    <w:p>
      <w:pPr>
        <w:tabs>
          <w:tab w:val="left" w:pos="851"/>
        </w:tabs>
        <w:spacing w:line="400" w:lineRule="exact"/>
        <w:ind w:firstLine="484" w:firstLineChars="202"/>
        <w:rPr>
          <w:rFonts w:ascii="宋体" w:hAnsi="宋体"/>
          <w:sz w:val="24"/>
          <w:szCs w:val="24"/>
        </w:rPr>
      </w:pPr>
      <w:r>
        <w:rPr>
          <w:rFonts w:hint="eastAsia" w:ascii="宋体" w:hAnsi="宋体"/>
          <w:sz w:val="24"/>
          <w:szCs w:val="24"/>
        </w:rPr>
        <w:t>一、以上每一项结论均为“合格”的，则供应商的响应文件通过资格审查，如有任意一项结论为“不合格”的，则供应商的响应文件按无效响应文件处理。如果磋商小组认为供应商有任意一项不合格的，应在评审报告中载明不合格的具体原因。</w:t>
      </w:r>
    </w:p>
    <w:p>
      <w:pPr>
        <w:spacing w:line="400" w:lineRule="exact"/>
        <w:ind w:firstLine="513" w:firstLineChars="214"/>
        <w:rPr>
          <w:rFonts w:ascii="宋体" w:hAnsi="宋体"/>
          <w:sz w:val="24"/>
          <w:szCs w:val="24"/>
        </w:rPr>
      </w:pPr>
      <w:r>
        <w:rPr>
          <w:rFonts w:hint="eastAsia" w:ascii="宋体" w:hAnsi="宋体"/>
          <w:sz w:val="24"/>
          <w:szCs w:val="24"/>
        </w:rPr>
        <w:t>二、“信用中国” “中国政府采购网”网站的查询结果，将以电子介质的形式留存。</w:t>
      </w:r>
    </w:p>
    <w:p>
      <w:pPr>
        <w:spacing w:line="400" w:lineRule="exact"/>
        <w:ind w:firstLine="513" w:firstLineChars="214"/>
        <w:rPr>
          <w:rFonts w:ascii="宋体" w:hAnsi="宋体"/>
          <w:sz w:val="24"/>
          <w:szCs w:val="24"/>
        </w:rPr>
      </w:pPr>
      <w:r>
        <w:rPr>
          <w:rFonts w:hint="eastAsia" w:ascii="宋体" w:hAnsi="宋体"/>
          <w:sz w:val="24"/>
          <w:szCs w:val="24"/>
        </w:rPr>
        <w:t>三、磋商小组资格审查结束后，应当出具资格审查报告。没有通过资格审查的供应商，磋商小组应当在资格审查报告中说明原因。</w:t>
      </w:r>
    </w:p>
    <w:p>
      <w:pPr>
        <w:spacing w:line="400" w:lineRule="exact"/>
        <w:ind w:firstLine="513" w:firstLineChars="214"/>
        <w:rPr>
          <w:rFonts w:ascii="宋体" w:hAnsi="宋体"/>
          <w:sz w:val="24"/>
          <w:szCs w:val="24"/>
        </w:rPr>
      </w:pPr>
      <w:r>
        <w:rPr>
          <w:rFonts w:hint="eastAsia" w:ascii="宋体" w:hAnsi="宋体"/>
          <w:sz w:val="24"/>
          <w:szCs w:val="24"/>
        </w:rPr>
        <w:t>通过资格审查的供应商不足三家的，采购失败。</w:t>
      </w:r>
    </w:p>
    <w:p>
      <w:pPr>
        <w:spacing w:line="400" w:lineRule="exact"/>
        <w:ind w:firstLine="516" w:firstLineChars="214"/>
        <w:rPr>
          <w:rFonts w:ascii="宋体" w:hAnsi="宋体"/>
          <w:b/>
          <w:color w:val="FF0000"/>
          <w:sz w:val="24"/>
          <w:szCs w:val="24"/>
        </w:rPr>
      </w:pPr>
      <w:r>
        <w:rPr>
          <w:rFonts w:hint="eastAsia" w:ascii="宋体" w:hAnsi="宋体"/>
          <w:b/>
          <w:sz w:val="24"/>
          <w:szCs w:val="24"/>
        </w:rPr>
        <w:t>特别说明：1、磋商文件中要求提供复印件的证明材料的，包含原件的影印件或复印件。</w:t>
      </w:r>
    </w:p>
    <w:p>
      <w:pPr>
        <w:pStyle w:val="6"/>
        <w:numPr>
          <w:ilvl w:val="2"/>
          <w:numId w:val="5"/>
        </w:numPr>
        <w:spacing w:after="200" w:line="400" w:lineRule="exact"/>
        <w:ind w:left="1135" w:hanging="1135"/>
        <w:rPr>
          <w:color w:val="auto"/>
          <w:sz w:val="24"/>
          <w:szCs w:val="24"/>
        </w:rPr>
      </w:pPr>
      <w:r>
        <w:rPr>
          <w:rFonts w:hint="eastAsia"/>
          <w:color w:val="auto"/>
          <w:sz w:val="24"/>
          <w:szCs w:val="24"/>
        </w:rPr>
        <w:t>符合性审查</w:t>
      </w:r>
    </w:p>
    <w:p>
      <w:pPr>
        <w:pStyle w:val="81"/>
        <w:numPr>
          <w:ilvl w:val="0"/>
          <w:numId w:val="35"/>
        </w:numPr>
        <w:tabs>
          <w:tab w:val="left" w:pos="1134"/>
          <w:tab w:val="left" w:pos="1276"/>
          <w:tab w:val="left" w:pos="1418"/>
        </w:tabs>
        <w:spacing w:after="200" w:line="400" w:lineRule="exact"/>
        <w:ind w:left="0" w:firstLine="567" w:firstLineChars="0"/>
        <w:rPr>
          <w:rFonts w:ascii="宋体" w:hAnsi="宋体" w:eastAsia="宋体"/>
          <w:sz w:val="24"/>
          <w:szCs w:val="24"/>
        </w:rPr>
      </w:pPr>
      <w:r>
        <w:rPr>
          <w:rFonts w:hint="eastAsia" w:ascii="宋体" w:hAnsi="宋体" w:eastAsia="宋体"/>
          <w:sz w:val="24"/>
          <w:szCs w:val="24"/>
        </w:rPr>
        <w:t>资格</w:t>
      </w:r>
      <w:r>
        <w:rPr>
          <w:rFonts w:ascii="宋体" w:hAnsi="宋体" w:eastAsia="宋体"/>
          <w:sz w:val="24"/>
          <w:szCs w:val="24"/>
        </w:rPr>
        <w:t>审查</w:t>
      </w:r>
      <w:r>
        <w:rPr>
          <w:rFonts w:hint="eastAsia" w:ascii="宋体" w:hAnsi="宋体" w:eastAsia="宋体"/>
          <w:sz w:val="24"/>
          <w:szCs w:val="24"/>
        </w:rPr>
        <w:t>结束后，由磋商小组对供应商响应文件进行符合性审查。</w:t>
      </w:r>
    </w:p>
    <w:p>
      <w:pPr>
        <w:pStyle w:val="81"/>
        <w:numPr>
          <w:ilvl w:val="0"/>
          <w:numId w:val="35"/>
        </w:numPr>
        <w:tabs>
          <w:tab w:val="left" w:pos="1134"/>
          <w:tab w:val="left" w:pos="1276"/>
          <w:tab w:val="left" w:pos="1418"/>
        </w:tabs>
        <w:spacing w:after="200" w:line="400" w:lineRule="exact"/>
        <w:ind w:left="0" w:firstLine="567" w:firstLineChars="0"/>
        <w:rPr>
          <w:rFonts w:ascii="宋体" w:hAnsi="宋体" w:eastAsia="宋体"/>
          <w:sz w:val="24"/>
          <w:szCs w:val="24"/>
        </w:rPr>
      </w:pPr>
      <w:r>
        <w:rPr>
          <w:rFonts w:hint="eastAsia" w:ascii="宋体" w:hAnsi="宋体" w:eastAsia="宋体"/>
          <w:sz w:val="24"/>
          <w:szCs w:val="24"/>
        </w:rPr>
        <w:t>磋商小组在符合性审查过程中，磋商小组成员对供应商是否符合规定存在争议的，应当以少数服从多数的原则处理，但不得违背政府采购法和磋商文件规定。</w:t>
      </w:r>
    </w:p>
    <w:p>
      <w:pPr>
        <w:pStyle w:val="81"/>
        <w:numPr>
          <w:ilvl w:val="0"/>
          <w:numId w:val="35"/>
        </w:numPr>
        <w:tabs>
          <w:tab w:val="left" w:pos="1134"/>
          <w:tab w:val="left" w:pos="1276"/>
          <w:tab w:val="left" w:pos="1418"/>
        </w:tabs>
        <w:spacing w:after="200" w:line="400" w:lineRule="exact"/>
        <w:ind w:left="0" w:firstLine="567" w:firstLineChars="0"/>
        <w:rPr>
          <w:rFonts w:ascii="宋体" w:hAnsi="宋体" w:eastAsia="宋体"/>
          <w:sz w:val="24"/>
          <w:szCs w:val="24"/>
        </w:rPr>
      </w:pPr>
      <w:r>
        <w:rPr>
          <w:rFonts w:hint="eastAsia" w:ascii="宋体" w:hAnsi="宋体" w:eastAsia="宋体"/>
          <w:sz w:val="24"/>
          <w:szCs w:val="24"/>
        </w:rPr>
        <w:t xml:space="preserve">供应商符合性审查标准（按以下顺序审查）： </w:t>
      </w:r>
    </w:p>
    <w:tbl>
      <w:tblPr>
        <w:tblStyle w:val="41"/>
        <w:tblW w:w="882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4218"/>
        <w:gridCol w:w="3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jc w:val="center"/>
              <w:rPr>
                <w:rFonts w:ascii="宋体" w:hAnsi="宋体"/>
                <w:b/>
                <w:sz w:val="22"/>
                <w:szCs w:val="24"/>
              </w:rPr>
            </w:pPr>
            <w:r>
              <w:rPr>
                <w:rFonts w:hint="eastAsia" w:ascii="宋体" w:hAnsi="宋体"/>
                <w:b/>
                <w:sz w:val="22"/>
                <w:szCs w:val="24"/>
              </w:rPr>
              <w:t>序号</w:t>
            </w:r>
          </w:p>
        </w:tc>
        <w:tc>
          <w:tcPr>
            <w:tcW w:w="421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jc w:val="center"/>
              <w:rPr>
                <w:rFonts w:ascii="宋体" w:hAnsi="宋体"/>
                <w:b/>
                <w:sz w:val="22"/>
                <w:szCs w:val="24"/>
              </w:rPr>
            </w:pPr>
            <w:r>
              <w:rPr>
                <w:rFonts w:hint="eastAsia" w:ascii="宋体" w:hAnsi="宋体"/>
                <w:b/>
                <w:sz w:val="22"/>
                <w:szCs w:val="24"/>
              </w:rPr>
              <w:t>符合性审查项</w:t>
            </w:r>
          </w:p>
        </w:tc>
        <w:tc>
          <w:tcPr>
            <w:tcW w:w="382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ind w:firstLine="446" w:firstLineChars="202"/>
              <w:jc w:val="center"/>
              <w:rPr>
                <w:rFonts w:ascii="宋体" w:hAnsi="宋体"/>
                <w:sz w:val="22"/>
                <w:szCs w:val="24"/>
              </w:rPr>
            </w:pPr>
            <w:r>
              <w:rPr>
                <w:rFonts w:hint="eastAsia" w:ascii="宋体" w:hAnsi="宋体"/>
                <w:b/>
                <w:sz w:val="22"/>
                <w:szCs w:val="24"/>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jc w:val="center"/>
              <w:rPr>
                <w:rFonts w:ascii="宋体" w:hAnsi="宋体"/>
                <w:sz w:val="22"/>
                <w:szCs w:val="24"/>
              </w:rPr>
            </w:pPr>
            <w:r>
              <w:rPr>
                <w:rFonts w:hint="eastAsia" w:ascii="宋体" w:hAnsi="宋体"/>
                <w:sz w:val="22"/>
                <w:szCs w:val="24"/>
              </w:rPr>
              <w:t>1</w:t>
            </w:r>
          </w:p>
        </w:tc>
        <w:tc>
          <w:tcPr>
            <w:tcW w:w="421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rPr>
                <w:rFonts w:ascii="宋体" w:hAnsi="宋体"/>
                <w:sz w:val="22"/>
                <w:szCs w:val="24"/>
              </w:rPr>
            </w:pPr>
            <w:r>
              <w:rPr>
                <w:rFonts w:hint="eastAsia" w:asciiTheme="minorEastAsia" w:hAnsiTheme="minorEastAsia"/>
                <w:sz w:val="21"/>
                <w:szCs w:val="21"/>
              </w:rPr>
              <w:t>技术、商务性响应文件的组成</w:t>
            </w:r>
          </w:p>
        </w:tc>
        <w:tc>
          <w:tcPr>
            <w:tcW w:w="382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rPr>
                <w:rFonts w:ascii="宋体" w:hAnsi="宋体"/>
                <w:sz w:val="22"/>
                <w:szCs w:val="24"/>
              </w:rPr>
            </w:pPr>
            <w:r>
              <w:rPr>
                <w:rFonts w:hint="eastAsia" w:ascii="宋体" w:hAnsi="宋体"/>
                <w:sz w:val="22"/>
                <w:szCs w:val="24"/>
              </w:rPr>
              <w:t>符合磋商文件“2.4.5响应文件的组成”规定要求（最后报价文件除外）。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jc w:val="center"/>
              <w:rPr>
                <w:rFonts w:ascii="宋体" w:hAnsi="宋体"/>
                <w:sz w:val="22"/>
                <w:szCs w:val="24"/>
              </w:rPr>
            </w:pPr>
            <w:r>
              <w:rPr>
                <w:rFonts w:hint="eastAsia" w:ascii="宋体" w:hAnsi="宋体"/>
                <w:sz w:val="22"/>
                <w:szCs w:val="24"/>
              </w:rPr>
              <w:t>2</w:t>
            </w:r>
          </w:p>
        </w:tc>
        <w:tc>
          <w:tcPr>
            <w:tcW w:w="421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rPr>
                <w:rFonts w:ascii="宋体" w:hAnsi="宋体"/>
                <w:sz w:val="22"/>
                <w:szCs w:val="24"/>
              </w:rPr>
            </w:pPr>
            <w:r>
              <w:rPr>
                <w:rFonts w:hint="eastAsia" w:asciiTheme="minorEastAsia" w:hAnsiTheme="minorEastAsia"/>
                <w:sz w:val="21"/>
                <w:szCs w:val="21"/>
              </w:rPr>
              <w:t>技术、商务性响应文件计量单位、语言</w:t>
            </w:r>
          </w:p>
        </w:tc>
        <w:tc>
          <w:tcPr>
            <w:tcW w:w="382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rPr>
                <w:rFonts w:ascii="宋体" w:hAnsi="宋体"/>
                <w:sz w:val="22"/>
                <w:szCs w:val="24"/>
              </w:rPr>
            </w:pPr>
            <w:r>
              <w:rPr>
                <w:rFonts w:hint="eastAsia" w:asciiTheme="minorEastAsia" w:hAnsiTheme="minorEastAsia"/>
                <w:sz w:val="21"/>
                <w:szCs w:val="21"/>
              </w:rPr>
              <w:t>计量单位、语言满足磋商文件要求。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jc w:val="center"/>
              <w:rPr>
                <w:rFonts w:ascii="宋体" w:hAnsi="宋体"/>
                <w:sz w:val="22"/>
                <w:szCs w:val="24"/>
              </w:rPr>
            </w:pPr>
            <w:r>
              <w:rPr>
                <w:rFonts w:ascii="宋体" w:hAnsi="宋体"/>
                <w:sz w:val="22"/>
                <w:szCs w:val="24"/>
              </w:rPr>
              <w:t>3</w:t>
            </w:r>
          </w:p>
        </w:tc>
        <w:tc>
          <w:tcPr>
            <w:tcW w:w="421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rPr>
                <w:rFonts w:ascii="宋体" w:hAnsi="宋体"/>
                <w:sz w:val="22"/>
                <w:szCs w:val="24"/>
              </w:rPr>
            </w:pPr>
            <w:r>
              <w:rPr>
                <w:rFonts w:hint="eastAsia" w:ascii="宋体" w:hAnsi="宋体"/>
                <w:sz w:val="22"/>
                <w:szCs w:val="24"/>
              </w:rPr>
              <w:t>技术、商务性响应文件对磋商文件规定的采购项目实质性</w:t>
            </w:r>
            <w:r>
              <w:rPr>
                <w:rFonts w:ascii="宋体" w:hAnsi="宋体"/>
                <w:sz w:val="22"/>
                <w:szCs w:val="24"/>
              </w:rPr>
              <w:t>响应</w:t>
            </w:r>
            <w:r>
              <w:rPr>
                <w:rFonts w:hint="eastAsia" w:ascii="宋体" w:hAnsi="宋体"/>
                <w:sz w:val="22"/>
                <w:szCs w:val="24"/>
              </w:rPr>
              <w:t>要求的响应情况</w:t>
            </w:r>
          </w:p>
        </w:tc>
        <w:tc>
          <w:tcPr>
            <w:tcW w:w="382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rPr>
                <w:rFonts w:ascii="宋体" w:hAnsi="宋体"/>
                <w:sz w:val="22"/>
                <w:szCs w:val="24"/>
              </w:rPr>
            </w:pPr>
            <w:r>
              <w:rPr>
                <w:rFonts w:hint="eastAsia" w:ascii="宋体" w:hAnsi="宋体"/>
                <w:sz w:val="22"/>
                <w:szCs w:val="24"/>
              </w:rPr>
              <w:t>符合磋商文件规定的采购项目实质性响应要求。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jc w:val="center"/>
              <w:rPr>
                <w:rFonts w:hint="eastAsia" w:ascii="宋体" w:hAnsi="宋体" w:eastAsia="宋体"/>
                <w:sz w:val="22"/>
                <w:szCs w:val="24"/>
                <w:lang w:val="en-US" w:eastAsia="zh-CN"/>
              </w:rPr>
            </w:pPr>
            <w:r>
              <w:rPr>
                <w:rFonts w:hint="eastAsia" w:ascii="宋体" w:hAnsi="宋体"/>
                <w:sz w:val="22"/>
                <w:szCs w:val="24"/>
                <w:lang w:val="en-US" w:eastAsia="zh-CN"/>
              </w:rPr>
              <w:t>4</w:t>
            </w:r>
          </w:p>
        </w:tc>
        <w:tc>
          <w:tcPr>
            <w:tcW w:w="421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rPr>
                <w:rFonts w:hint="eastAsia" w:ascii="宋体" w:hAnsi="宋体"/>
                <w:sz w:val="22"/>
                <w:szCs w:val="24"/>
                <w:lang w:val="en-US" w:eastAsia="zh-CN"/>
              </w:rPr>
            </w:pPr>
            <w:r>
              <w:rPr>
                <w:rFonts w:hint="eastAsia" w:ascii="宋体" w:hAnsi="宋体"/>
                <w:sz w:val="22"/>
                <w:szCs w:val="24"/>
                <w:lang w:val="en-US" w:eastAsia="zh-CN"/>
              </w:rPr>
              <w:t>《关于印发节能产品政府采购品目清单的通知》（财库〔2019〕19号）品目清单范围内强制采购的产品品目（以下仅供参考）</w:t>
            </w:r>
          </w:p>
          <w:p>
            <w:pPr>
              <w:tabs>
                <w:tab w:val="left" w:pos="851"/>
              </w:tabs>
              <w:spacing w:line="400" w:lineRule="exact"/>
              <w:rPr>
                <w:rFonts w:hint="eastAsia" w:ascii="宋体" w:hAnsi="宋体"/>
                <w:sz w:val="22"/>
                <w:szCs w:val="24"/>
                <w:lang w:val="en-US" w:eastAsia="zh-CN"/>
              </w:rPr>
            </w:pPr>
            <w:r>
              <w:rPr>
                <w:rFonts w:hint="eastAsia" w:ascii="宋体" w:hAnsi="宋体"/>
                <w:sz w:val="22"/>
                <w:szCs w:val="24"/>
                <w:lang w:val="en-US" w:eastAsia="zh-CN"/>
              </w:rPr>
              <w:t>★A02010104 台式计算机</w:t>
            </w:r>
          </w:p>
          <w:p>
            <w:pPr>
              <w:tabs>
                <w:tab w:val="left" w:pos="851"/>
              </w:tabs>
              <w:spacing w:line="400" w:lineRule="exact"/>
              <w:rPr>
                <w:rFonts w:hint="eastAsia" w:ascii="宋体" w:hAnsi="宋体"/>
                <w:sz w:val="22"/>
                <w:szCs w:val="24"/>
                <w:lang w:val="en-US" w:eastAsia="zh-CN"/>
              </w:rPr>
            </w:pPr>
            <w:r>
              <w:rPr>
                <w:rFonts w:hint="eastAsia" w:ascii="宋体" w:hAnsi="宋体"/>
                <w:sz w:val="22"/>
                <w:szCs w:val="24"/>
                <w:lang w:val="en-US" w:eastAsia="zh-CN"/>
              </w:rPr>
              <w:t>★A02010105 便携式计算机</w:t>
            </w:r>
          </w:p>
          <w:p>
            <w:pPr>
              <w:tabs>
                <w:tab w:val="left" w:pos="851"/>
              </w:tabs>
              <w:spacing w:line="400" w:lineRule="exact"/>
              <w:rPr>
                <w:rFonts w:hint="eastAsia" w:ascii="宋体" w:hAnsi="宋体"/>
                <w:sz w:val="22"/>
                <w:szCs w:val="24"/>
                <w:lang w:val="en-US" w:eastAsia="zh-CN"/>
              </w:rPr>
            </w:pPr>
            <w:r>
              <w:rPr>
                <w:rFonts w:hint="eastAsia" w:ascii="宋体" w:hAnsi="宋体"/>
                <w:sz w:val="22"/>
                <w:szCs w:val="24"/>
                <w:lang w:val="en-US" w:eastAsia="zh-CN"/>
              </w:rPr>
              <w:t>★A02010107 平板式微型计算机</w:t>
            </w:r>
          </w:p>
          <w:p>
            <w:pPr>
              <w:tabs>
                <w:tab w:val="left" w:pos="851"/>
              </w:tabs>
              <w:spacing w:line="400" w:lineRule="exact"/>
              <w:rPr>
                <w:rFonts w:hint="eastAsia" w:ascii="宋体" w:hAnsi="宋体"/>
                <w:sz w:val="22"/>
                <w:szCs w:val="24"/>
                <w:lang w:val="en-US" w:eastAsia="zh-CN"/>
              </w:rPr>
            </w:pPr>
            <w:r>
              <w:rPr>
                <w:rFonts w:hint="eastAsia" w:ascii="宋体" w:hAnsi="宋体"/>
                <w:sz w:val="22"/>
                <w:szCs w:val="24"/>
                <w:lang w:val="en-US" w:eastAsia="zh-CN"/>
              </w:rPr>
              <w:t>★A0201060102 激光打印机</w:t>
            </w:r>
          </w:p>
          <w:p>
            <w:pPr>
              <w:tabs>
                <w:tab w:val="left" w:pos="851"/>
              </w:tabs>
              <w:spacing w:line="400" w:lineRule="exact"/>
              <w:rPr>
                <w:rFonts w:hint="eastAsia" w:ascii="宋体" w:hAnsi="宋体"/>
                <w:sz w:val="22"/>
                <w:szCs w:val="24"/>
                <w:lang w:val="en-US" w:eastAsia="zh-CN"/>
              </w:rPr>
            </w:pPr>
            <w:r>
              <w:rPr>
                <w:rFonts w:hint="eastAsia" w:ascii="宋体" w:hAnsi="宋体"/>
                <w:sz w:val="22"/>
                <w:szCs w:val="24"/>
                <w:lang w:val="en-US" w:eastAsia="zh-CN"/>
              </w:rPr>
              <w:t>★A0201060104 针式打印机</w:t>
            </w:r>
          </w:p>
          <w:p>
            <w:pPr>
              <w:tabs>
                <w:tab w:val="left" w:pos="851"/>
              </w:tabs>
              <w:spacing w:line="400" w:lineRule="exact"/>
              <w:rPr>
                <w:rFonts w:hint="eastAsia" w:ascii="宋体" w:hAnsi="宋体"/>
                <w:sz w:val="22"/>
                <w:szCs w:val="24"/>
                <w:lang w:val="en-US" w:eastAsia="zh-CN"/>
              </w:rPr>
            </w:pPr>
            <w:r>
              <w:rPr>
                <w:rFonts w:hint="eastAsia" w:ascii="宋体" w:hAnsi="宋体"/>
                <w:sz w:val="22"/>
                <w:szCs w:val="24"/>
                <w:lang w:val="en-US" w:eastAsia="zh-CN"/>
              </w:rPr>
              <w:t>★A0201060401 液晶显示器</w:t>
            </w:r>
          </w:p>
          <w:p>
            <w:pPr>
              <w:tabs>
                <w:tab w:val="left" w:pos="851"/>
              </w:tabs>
              <w:spacing w:line="400" w:lineRule="exact"/>
              <w:rPr>
                <w:rFonts w:hint="eastAsia" w:ascii="宋体" w:hAnsi="宋体"/>
                <w:sz w:val="22"/>
                <w:szCs w:val="24"/>
                <w:lang w:val="en-US" w:eastAsia="zh-CN"/>
              </w:rPr>
            </w:pPr>
            <w:r>
              <w:rPr>
                <w:rFonts w:hint="eastAsia" w:ascii="宋体" w:hAnsi="宋体"/>
                <w:sz w:val="22"/>
                <w:szCs w:val="24"/>
                <w:lang w:val="en-US" w:eastAsia="zh-CN"/>
              </w:rPr>
              <w:t>★A02052301 制冷压缩机（冷水机组、水源热泵机组、溴化锂吸收式冷水机组）</w:t>
            </w:r>
          </w:p>
          <w:p>
            <w:pPr>
              <w:tabs>
                <w:tab w:val="left" w:pos="851"/>
              </w:tabs>
              <w:spacing w:line="400" w:lineRule="exact"/>
              <w:rPr>
                <w:rFonts w:hint="eastAsia" w:ascii="宋体" w:hAnsi="宋体"/>
                <w:sz w:val="22"/>
                <w:szCs w:val="24"/>
                <w:lang w:val="en-US" w:eastAsia="zh-CN"/>
              </w:rPr>
            </w:pPr>
            <w:r>
              <w:rPr>
                <w:rFonts w:hint="eastAsia" w:ascii="宋体" w:hAnsi="宋体"/>
                <w:sz w:val="22"/>
                <w:szCs w:val="24"/>
                <w:lang w:val="en-US" w:eastAsia="zh-CN"/>
              </w:rPr>
              <w:t>★A02052305 空调机组（多联式空调（热泵）机组（制冷量&gt;14000W）、单元式空气调节机（制冷量&gt;14000W））</w:t>
            </w:r>
          </w:p>
          <w:p>
            <w:pPr>
              <w:tabs>
                <w:tab w:val="left" w:pos="851"/>
              </w:tabs>
              <w:spacing w:line="400" w:lineRule="exact"/>
              <w:rPr>
                <w:rFonts w:hint="eastAsia" w:ascii="宋体" w:hAnsi="宋体"/>
                <w:sz w:val="22"/>
                <w:szCs w:val="24"/>
                <w:lang w:val="en-US" w:eastAsia="zh-CN"/>
              </w:rPr>
            </w:pPr>
            <w:r>
              <w:rPr>
                <w:rFonts w:hint="eastAsia" w:ascii="宋体" w:hAnsi="宋体"/>
                <w:sz w:val="22"/>
                <w:szCs w:val="24"/>
                <w:lang w:val="en-US" w:eastAsia="zh-CN"/>
              </w:rPr>
              <w:t>★A02052309 专用制冷、空调设备（机房空调）</w:t>
            </w:r>
          </w:p>
          <w:p>
            <w:pPr>
              <w:tabs>
                <w:tab w:val="left" w:pos="851"/>
              </w:tabs>
              <w:spacing w:line="400" w:lineRule="exact"/>
              <w:rPr>
                <w:rFonts w:hint="eastAsia" w:ascii="宋体" w:hAnsi="宋体"/>
                <w:sz w:val="22"/>
                <w:szCs w:val="24"/>
                <w:lang w:val="en-US" w:eastAsia="zh-CN"/>
              </w:rPr>
            </w:pPr>
            <w:r>
              <w:rPr>
                <w:rFonts w:hint="eastAsia" w:ascii="宋体" w:hAnsi="宋体"/>
                <w:sz w:val="22"/>
                <w:szCs w:val="24"/>
                <w:lang w:val="en-US" w:eastAsia="zh-CN"/>
              </w:rPr>
              <w:t>★A020609 镇流器（管型荧光灯镇流器）</w:t>
            </w:r>
          </w:p>
          <w:p>
            <w:pPr>
              <w:tabs>
                <w:tab w:val="left" w:pos="851"/>
              </w:tabs>
              <w:spacing w:line="400" w:lineRule="exact"/>
              <w:rPr>
                <w:rFonts w:hint="eastAsia" w:ascii="宋体" w:hAnsi="宋体"/>
                <w:sz w:val="22"/>
                <w:szCs w:val="24"/>
                <w:lang w:val="en-US" w:eastAsia="zh-CN"/>
              </w:rPr>
            </w:pPr>
            <w:r>
              <w:rPr>
                <w:rFonts w:hint="eastAsia" w:ascii="宋体" w:hAnsi="宋体"/>
                <w:sz w:val="22"/>
                <w:szCs w:val="24"/>
                <w:lang w:val="en-US" w:eastAsia="zh-CN"/>
              </w:rPr>
              <w:t>★A0206180203 空调机（房间空气调节器、多联式空调（热泵）机组（制冷量≦14000W）、单元式空气调节机（制冷量≦14000W））</w:t>
            </w:r>
          </w:p>
          <w:p>
            <w:pPr>
              <w:tabs>
                <w:tab w:val="left" w:pos="851"/>
              </w:tabs>
              <w:spacing w:line="400" w:lineRule="exact"/>
              <w:rPr>
                <w:rFonts w:hint="eastAsia" w:ascii="宋体" w:hAnsi="宋体"/>
                <w:sz w:val="22"/>
                <w:szCs w:val="24"/>
                <w:lang w:val="en-US" w:eastAsia="zh-CN"/>
              </w:rPr>
            </w:pPr>
            <w:r>
              <w:rPr>
                <w:rFonts w:hint="eastAsia" w:ascii="宋体" w:hAnsi="宋体"/>
                <w:sz w:val="22"/>
                <w:szCs w:val="24"/>
                <w:lang w:val="en-US" w:eastAsia="zh-CN"/>
              </w:rPr>
              <w:t>★电热水器</w:t>
            </w:r>
          </w:p>
          <w:p>
            <w:pPr>
              <w:tabs>
                <w:tab w:val="left" w:pos="851"/>
              </w:tabs>
              <w:spacing w:line="400" w:lineRule="exact"/>
              <w:rPr>
                <w:rFonts w:hint="eastAsia" w:ascii="宋体" w:hAnsi="宋体"/>
                <w:sz w:val="22"/>
                <w:szCs w:val="24"/>
                <w:lang w:val="en-US" w:eastAsia="zh-CN"/>
              </w:rPr>
            </w:pPr>
            <w:r>
              <w:rPr>
                <w:rFonts w:hint="eastAsia" w:ascii="宋体" w:hAnsi="宋体"/>
                <w:sz w:val="22"/>
                <w:szCs w:val="24"/>
                <w:lang w:val="en-US" w:eastAsia="zh-CN"/>
              </w:rPr>
              <w:t>★普通照明用双端荧光灯</w:t>
            </w:r>
          </w:p>
          <w:p>
            <w:pPr>
              <w:tabs>
                <w:tab w:val="left" w:pos="851"/>
              </w:tabs>
              <w:spacing w:line="400" w:lineRule="exact"/>
              <w:rPr>
                <w:rFonts w:hint="eastAsia" w:ascii="宋体" w:hAnsi="宋体"/>
                <w:sz w:val="22"/>
                <w:szCs w:val="24"/>
                <w:lang w:val="en-US" w:eastAsia="zh-CN"/>
              </w:rPr>
            </w:pPr>
            <w:r>
              <w:rPr>
                <w:rFonts w:hint="eastAsia" w:ascii="宋体" w:hAnsi="宋体"/>
                <w:sz w:val="22"/>
                <w:szCs w:val="24"/>
                <w:lang w:val="en-US" w:eastAsia="zh-CN"/>
              </w:rPr>
              <w:t>★A020910电视设备（A02091001普通电视设备（电视机））</w:t>
            </w:r>
          </w:p>
          <w:p>
            <w:pPr>
              <w:tabs>
                <w:tab w:val="left" w:pos="851"/>
              </w:tabs>
              <w:spacing w:line="400" w:lineRule="exact"/>
              <w:rPr>
                <w:rFonts w:hint="eastAsia" w:ascii="宋体" w:hAnsi="宋体"/>
                <w:sz w:val="22"/>
                <w:szCs w:val="24"/>
                <w:lang w:val="en-US" w:eastAsia="zh-CN"/>
              </w:rPr>
            </w:pPr>
            <w:r>
              <w:rPr>
                <w:rFonts w:hint="eastAsia" w:ascii="宋体" w:hAnsi="宋体"/>
                <w:sz w:val="22"/>
                <w:szCs w:val="24"/>
                <w:lang w:val="en-US" w:eastAsia="zh-CN"/>
              </w:rPr>
              <w:t>★A020911 视频设备（A02091107视频监控设备（监视器））</w:t>
            </w:r>
          </w:p>
          <w:p>
            <w:pPr>
              <w:tabs>
                <w:tab w:val="left" w:pos="851"/>
              </w:tabs>
              <w:spacing w:line="400" w:lineRule="exact"/>
              <w:rPr>
                <w:rFonts w:hint="eastAsia" w:ascii="宋体" w:hAnsi="宋体"/>
                <w:sz w:val="22"/>
                <w:szCs w:val="24"/>
                <w:lang w:val="en-US" w:eastAsia="zh-CN"/>
              </w:rPr>
            </w:pPr>
            <w:r>
              <w:rPr>
                <w:rFonts w:hint="eastAsia" w:ascii="宋体" w:hAnsi="宋体"/>
                <w:sz w:val="22"/>
                <w:szCs w:val="24"/>
                <w:lang w:val="en-US" w:eastAsia="zh-CN"/>
              </w:rPr>
              <w:t>★A060805 便器（坐便器、蹲便器、小便器）</w:t>
            </w:r>
          </w:p>
          <w:p>
            <w:pPr>
              <w:tabs>
                <w:tab w:val="left" w:pos="851"/>
              </w:tabs>
              <w:spacing w:line="400" w:lineRule="exact"/>
              <w:rPr>
                <w:rFonts w:hint="eastAsia" w:ascii="宋体" w:hAnsi="宋体"/>
                <w:sz w:val="22"/>
                <w:szCs w:val="24"/>
                <w:lang w:val="en-US" w:eastAsia="zh-CN"/>
              </w:rPr>
            </w:pPr>
            <w:r>
              <w:rPr>
                <w:rFonts w:hint="eastAsia" w:ascii="宋体" w:hAnsi="宋体"/>
                <w:sz w:val="22"/>
                <w:szCs w:val="24"/>
                <w:lang w:val="en-US" w:eastAsia="zh-CN"/>
              </w:rPr>
              <w:t>★A060806 水嘴</w:t>
            </w:r>
          </w:p>
          <w:p>
            <w:pPr>
              <w:tabs>
                <w:tab w:val="left" w:pos="851"/>
              </w:tabs>
              <w:spacing w:line="400" w:lineRule="exact"/>
              <w:rPr>
                <w:rFonts w:hint="eastAsia" w:ascii="宋体" w:hAnsi="宋体"/>
                <w:sz w:val="22"/>
                <w:szCs w:val="24"/>
              </w:rPr>
            </w:pPr>
            <w:r>
              <w:rPr>
                <w:rFonts w:hint="eastAsia" w:ascii="宋体" w:hAnsi="宋体"/>
                <w:sz w:val="22"/>
                <w:szCs w:val="24"/>
                <w:lang w:val="en-US" w:eastAsia="zh-CN"/>
              </w:rPr>
              <w:t>（如涉及）</w:t>
            </w:r>
          </w:p>
        </w:tc>
        <w:tc>
          <w:tcPr>
            <w:tcW w:w="382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rPr>
                <w:rFonts w:hint="eastAsia" w:ascii="宋体" w:hAnsi="宋体"/>
                <w:sz w:val="22"/>
                <w:szCs w:val="24"/>
                <w:lang w:val="en-US" w:eastAsia="zh-CN"/>
              </w:rPr>
            </w:pPr>
            <w:r>
              <w:rPr>
                <w:rFonts w:hint="eastAsia" w:ascii="宋体" w:hAnsi="宋体"/>
                <w:sz w:val="22"/>
                <w:szCs w:val="24"/>
                <w:lang w:val="en-US" w:eastAsia="zh-CN"/>
              </w:rPr>
              <w:t>本项目采购的产品若属于清单范围内强制采购的产品，供应商须提供产品认证证书复印件并加盖供应商单位公章。</w:t>
            </w:r>
          </w:p>
          <w:p>
            <w:pPr>
              <w:tabs>
                <w:tab w:val="left" w:pos="851"/>
              </w:tabs>
              <w:spacing w:line="400" w:lineRule="exact"/>
              <w:rPr>
                <w:rFonts w:hint="eastAsia" w:ascii="宋体" w:hAnsi="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jc w:val="center"/>
              <w:rPr>
                <w:rFonts w:hint="default" w:ascii="宋体" w:hAnsi="宋体"/>
                <w:sz w:val="22"/>
                <w:szCs w:val="24"/>
                <w:lang w:val="en-US" w:eastAsia="zh-CN"/>
              </w:rPr>
            </w:pPr>
            <w:r>
              <w:rPr>
                <w:rFonts w:hint="eastAsia" w:ascii="宋体" w:hAnsi="宋体"/>
                <w:sz w:val="22"/>
                <w:szCs w:val="24"/>
                <w:lang w:val="en-US" w:eastAsia="zh-CN"/>
              </w:rPr>
              <w:t>5</w:t>
            </w:r>
          </w:p>
        </w:tc>
        <w:tc>
          <w:tcPr>
            <w:tcW w:w="421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rPr>
                <w:rFonts w:hint="eastAsia" w:ascii="宋体" w:hAnsi="宋体"/>
                <w:sz w:val="22"/>
                <w:szCs w:val="24"/>
                <w:lang w:val="en-US" w:eastAsia="zh-CN"/>
              </w:rPr>
            </w:pPr>
            <w:r>
              <w:rPr>
                <w:rFonts w:ascii="宋体" w:hAnsi="宋体" w:eastAsia="宋体" w:cs="宋体"/>
                <w:sz w:val="24"/>
                <w:szCs w:val="24"/>
              </w:rPr>
              <w:t>除资格性审查要求的证明材料外，磋商文件要求提供的其他证明材料</w:t>
            </w:r>
          </w:p>
        </w:tc>
        <w:tc>
          <w:tcPr>
            <w:tcW w:w="382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rPr>
                <w:rFonts w:hint="eastAsia" w:ascii="宋体" w:hAnsi="宋体"/>
                <w:sz w:val="22"/>
                <w:szCs w:val="24"/>
              </w:rPr>
            </w:pPr>
            <w:r>
              <w:rPr>
                <w:rFonts w:ascii="宋体" w:hAnsi="宋体" w:eastAsia="宋体" w:cs="宋体"/>
                <w:sz w:val="24"/>
                <w:szCs w:val="24"/>
              </w:rPr>
              <w:t>1.承诺函【注：①按3.2.5的格式及要求提供承诺函；②承诺的内容满足磋商文件的要求。】。</w:t>
            </w:r>
          </w:p>
        </w:tc>
      </w:tr>
    </w:tbl>
    <w:p>
      <w:pPr>
        <w:tabs>
          <w:tab w:val="left" w:pos="851"/>
        </w:tabs>
        <w:spacing w:line="400" w:lineRule="exact"/>
        <w:ind w:firstLine="480" w:firstLineChars="200"/>
        <w:rPr>
          <w:rFonts w:ascii="宋体" w:hAnsi="宋体"/>
          <w:sz w:val="24"/>
          <w:szCs w:val="24"/>
        </w:rPr>
      </w:pPr>
      <w:r>
        <w:rPr>
          <w:rFonts w:hint="eastAsia" w:ascii="宋体" w:hAnsi="宋体"/>
          <w:sz w:val="24"/>
          <w:szCs w:val="24"/>
        </w:rPr>
        <w:t>一、以上每一项结论均为“通过”的，则供应商的响应文件通过符合性审查，才能允许其参加磋商；如有任意一项结论为“不通过”的，则供应商的响应文件按无效响应文件处理，不允许其参加磋商。如果磋商小组认为供应商有任意一项不通过的，应在评审报告中载明不通过的具体原因。</w:t>
      </w:r>
    </w:p>
    <w:p>
      <w:pPr>
        <w:pStyle w:val="81"/>
        <w:numPr>
          <w:ilvl w:val="0"/>
          <w:numId w:val="36"/>
        </w:numPr>
        <w:spacing w:line="400" w:lineRule="exact"/>
        <w:ind w:left="0" w:firstLine="560" w:firstLineChars="0"/>
        <w:rPr>
          <w:rFonts w:ascii="宋体" w:hAnsi="宋体" w:eastAsia="宋体"/>
          <w:sz w:val="24"/>
          <w:szCs w:val="24"/>
        </w:rPr>
      </w:pPr>
      <w:r>
        <w:rPr>
          <w:rFonts w:hint="eastAsia" w:ascii="宋体" w:hAnsi="宋体" w:eastAsia="宋体"/>
          <w:sz w:val="24"/>
          <w:szCs w:val="24"/>
        </w:rPr>
        <w:t>磋商小组符合性审查结束后，应当出具符合性审查报告，确定参加磋商的供应商名单。</w:t>
      </w:r>
    </w:p>
    <w:p>
      <w:pPr>
        <w:pStyle w:val="81"/>
        <w:numPr>
          <w:ilvl w:val="0"/>
          <w:numId w:val="36"/>
        </w:numPr>
        <w:tabs>
          <w:tab w:val="left" w:pos="1134"/>
          <w:tab w:val="left" w:pos="1418"/>
        </w:tabs>
        <w:spacing w:after="200" w:line="400" w:lineRule="exact"/>
        <w:ind w:firstLineChars="0"/>
        <w:rPr>
          <w:rFonts w:ascii="宋体" w:hAnsi="宋体" w:eastAsia="宋体"/>
          <w:sz w:val="24"/>
          <w:szCs w:val="24"/>
        </w:rPr>
      </w:pPr>
      <w:r>
        <w:rPr>
          <w:rFonts w:hint="eastAsia" w:ascii="宋体" w:hAnsi="宋体" w:eastAsia="宋体"/>
          <w:sz w:val="24"/>
          <w:szCs w:val="24"/>
        </w:rPr>
        <w:t>通过符合性审查的供应商不足三家的，采购失败。</w:t>
      </w:r>
    </w:p>
    <w:p>
      <w:pPr>
        <w:spacing w:line="400" w:lineRule="exact"/>
        <w:ind w:firstLine="516" w:firstLineChars="214"/>
        <w:rPr>
          <w:rFonts w:ascii="宋体" w:hAnsi="宋体"/>
          <w:b/>
          <w:sz w:val="24"/>
          <w:szCs w:val="24"/>
        </w:rPr>
      </w:pPr>
      <w:r>
        <w:rPr>
          <w:rFonts w:hint="eastAsia" w:ascii="宋体" w:hAnsi="宋体"/>
          <w:b/>
          <w:sz w:val="24"/>
          <w:szCs w:val="24"/>
        </w:rPr>
        <w:t>特别说明：1、磋商文件中要求提供复印件的证明材料的，包含原件的影印件或复印件。</w:t>
      </w:r>
    </w:p>
    <w:p>
      <w:pPr>
        <w:pStyle w:val="6"/>
        <w:numPr>
          <w:ilvl w:val="2"/>
          <w:numId w:val="5"/>
        </w:numPr>
        <w:spacing w:after="200" w:line="400" w:lineRule="exact"/>
        <w:ind w:left="1135" w:hanging="1135"/>
        <w:rPr>
          <w:color w:val="auto"/>
          <w:sz w:val="24"/>
          <w:szCs w:val="24"/>
        </w:rPr>
      </w:pPr>
      <w:r>
        <w:rPr>
          <w:rFonts w:hint="eastAsia"/>
          <w:color w:val="auto"/>
          <w:sz w:val="24"/>
          <w:szCs w:val="24"/>
        </w:rPr>
        <w:t>磋商</w:t>
      </w:r>
    </w:p>
    <w:p>
      <w:pPr>
        <w:spacing w:line="400" w:lineRule="exact"/>
        <w:ind w:firstLine="570"/>
        <w:rPr>
          <w:rFonts w:ascii="宋体" w:hAnsi="宋体"/>
          <w:sz w:val="24"/>
          <w:szCs w:val="24"/>
        </w:rPr>
      </w:pPr>
      <w:r>
        <w:rPr>
          <w:rFonts w:hint="eastAsia" w:ascii="宋体" w:hAnsi="宋体"/>
          <w:sz w:val="24"/>
          <w:szCs w:val="24"/>
        </w:rPr>
        <w:t>磋商会议在成都市公共资源交易服务中心“政府采购云平台”进行。磋商</w:t>
      </w:r>
      <w:r>
        <w:rPr>
          <w:rFonts w:hint="eastAsia" w:ascii="宋体" w:hAnsi="宋体"/>
          <w:color w:val="000000" w:themeColor="text1"/>
          <w:sz w:val="24"/>
          <w:szCs w:val="24"/>
          <w14:textFill>
            <w14:solidFill>
              <w14:schemeClr w14:val="tx1"/>
            </w14:solidFill>
          </w14:textFill>
        </w:rPr>
        <w:t>会议由区政府采购中心在</w:t>
      </w:r>
      <w:r>
        <w:rPr>
          <w:rFonts w:hint="eastAsia" w:ascii="宋体" w:hAnsi="宋体"/>
          <w:sz w:val="24"/>
          <w:szCs w:val="24"/>
        </w:rPr>
        <w:t>线主持，供应商代表在线参加。评审结束之前，供应商应随时关注系统提示，及时通过“政府采购云平台”在线响应磋商小组发出的磋商，签章并确认提交成功。</w:t>
      </w:r>
    </w:p>
    <w:p>
      <w:pPr>
        <w:numPr>
          <w:ilvl w:val="1"/>
          <w:numId w:val="37"/>
        </w:numPr>
        <w:tabs>
          <w:tab w:val="left" w:pos="1134"/>
        </w:tabs>
        <w:spacing w:after="200" w:line="400" w:lineRule="exact"/>
        <w:ind w:left="0" w:firstLine="480" w:firstLineChars="200"/>
        <w:rPr>
          <w:rFonts w:ascii="宋体" w:hAnsi="宋体"/>
          <w:sz w:val="24"/>
          <w:szCs w:val="24"/>
        </w:rPr>
      </w:pPr>
      <w:r>
        <w:rPr>
          <w:rFonts w:hint="eastAsia" w:ascii="宋体" w:hAnsi="宋体"/>
          <w:sz w:val="24"/>
          <w:szCs w:val="24"/>
        </w:rPr>
        <w:t>磋商小组按照磋商文件的规定与邀请参加磋商的供应商分别进行磋商，磋商顺序由磋商小组确定，磋商通过“政府采购云平台”在线进行。供应商应随时关注“政府采购云平台”站内信息或短信提醒，及时参与在线磋商。登录政府采购云平台(www.zcygov.cn)—我的工作台</w:t>
      </w:r>
      <w:r>
        <w:rPr>
          <w:rFonts w:ascii="宋体" w:hAnsi="宋体"/>
          <w:sz w:val="24"/>
          <w:szCs w:val="24"/>
        </w:rPr>
        <w:t>—项目采购—开标评标—进入开标大厅（找到对应项目）。磋商小组可通过“发起视频评审”“询标”功能，向供应商发起在线磋商邀请，供应商可使用“视频评审”“澄清”功能，与专家进行在线磋商、</w:t>
      </w:r>
      <w:r>
        <w:rPr>
          <w:rFonts w:hint="eastAsia" w:ascii="宋体" w:hAnsi="宋体"/>
          <w:sz w:val="24"/>
          <w:szCs w:val="24"/>
        </w:rPr>
        <w:t>递交磋商承诺函，承诺函应加盖供应商（法定名称）电子签章（评审结束之前，供应商应随时关注系统提示，及时通过</w:t>
      </w:r>
      <w:r>
        <w:rPr>
          <w:rFonts w:ascii="宋体" w:hAnsi="宋体"/>
          <w:sz w:val="24"/>
          <w:szCs w:val="24"/>
        </w:rPr>
        <w:t>“</w:t>
      </w:r>
      <w:r>
        <w:rPr>
          <w:rFonts w:hint="eastAsia" w:ascii="宋体" w:hAnsi="宋体"/>
          <w:sz w:val="24"/>
          <w:szCs w:val="24"/>
        </w:rPr>
        <w:t>政府采购云平台</w:t>
      </w:r>
      <w:r>
        <w:rPr>
          <w:rFonts w:ascii="宋体" w:hAnsi="宋体"/>
          <w:sz w:val="24"/>
          <w:szCs w:val="24"/>
        </w:rPr>
        <w:t>”</w:t>
      </w:r>
      <w:r>
        <w:rPr>
          <w:rFonts w:hint="eastAsia" w:ascii="宋体" w:hAnsi="宋体"/>
          <w:sz w:val="24"/>
          <w:szCs w:val="24"/>
        </w:rPr>
        <w:t>在线响应磋商小组发出的磋商邀请，签章并确认提交成功。逾时回复将不能提交，视为供应商自行放弃该轮磋商，其损失由供应商承担）</w:t>
      </w:r>
      <w:r>
        <w:rPr>
          <w:rFonts w:ascii="宋体" w:hAnsi="宋体"/>
          <w:sz w:val="24"/>
          <w:szCs w:val="24"/>
        </w:rPr>
        <w:t>。</w:t>
      </w:r>
    </w:p>
    <w:p>
      <w:pPr>
        <w:numPr>
          <w:ilvl w:val="1"/>
          <w:numId w:val="37"/>
        </w:numPr>
        <w:tabs>
          <w:tab w:val="left" w:pos="1134"/>
        </w:tabs>
        <w:spacing w:after="200" w:line="400" w:lineRule="exact"/>
        <w:ind w:left="0" w:firstLine="480" w:firstLineChars="200"/>
        <w:rPr>
          <w:rFonts w:ascii="宋体" w:hAnsi="宋体"/>
          <w:sz w:val="24"/>
          <w:szCs w:val="24"/>
        </w:rPr>
      </w:pPr>
      <w:r>
        <w:rPr>
          <w:rFonts w:hint="eastAsia" w:ascii="宋体" w:hAnsi="宋体"/>
          <w:sz w:val="24"/>
          <w:szCs w:val="24"/>
        </w:rPr>
        <w:t>磋商小组所有成员集中与单一供应商对技术、服务、合同条款等分别进行一轮或多轮的磋商。在磋商中，磋商的任何一方不得透露与磋商有关的其他供应商的技术资料、价格和其他信息。</w:t>
      </w:r>
    </w:p>
    <w:p>
      <w:pPr>
        <w:numPr>
          <w:ilvl w:val="1"/>
          <w:numId w:val="37"/>
        </w:numPr>
        <w:tabs>
          <w:tab w:val="left" w:pos="1134"/>
        </w:tabs>
        <w:spacing w:after="200" w:line="400" w:lineRule="exact"/>
        <w:ind w:left="0" w:firstLine="480" w:firstLineChars="200"/>
        <w:rPr>
          <w:rFonts w:ascii="宋体" w:hAnsi="宋体"/>
          <w:sz w:val="24"/>
          <w:szCs w:val="24"/>
        </w:rPr>
      </w:pPr>
      <w:r>
        <w:rPr>
          <w:rFonts w:hint="eastAsia" w:ascii="宋体" w:hAnsi="宋体"/>
          <w:sz w:val="24"/>
          <w:szCs w:val="24"/>
        </w:rPr>
        <w:t>磋商内容为第4章中“技术、服务、商务及其他要求”、第6章“合同草案条款”。其中第4章中加★号的条款为采购项目的</w:t>
      </w:r>
      <w:r>
        <w:rPr>
          <w:rFonts w:hint="eastAsia" w:ascii="宋体" w:hAnsi="宋体" w:cs="宋体"/>
          <w:sz w:val="24"/>
          <w:szCs w:val="24"/>
        </w:rPr>
        <w:t>实质性</w:t>
      </w:r>
      <w:r>
        <w:rPr>
          <w:rFonts w:ascii="宋体" w:hAnsi="宋体" w:cs="宋体"/>
          <w:sz w:val="24"/>
          <w:szCs w:val="24"/>
        </w:rPr>
        <w:t>响应</w:t>
      </w:r>
      <w:r>
        <w:rPr>
          <w:rFonts w:hint="eastAsia" w:ascii="宋体" w:hAnsi="宋体" w:cs="宋体"/>
          <w:sz w:val="24"/>
          <w:szCs w:val="24"/>
        </w:rPr>
        <w:t>要求</w:t>
      </w:r>
      <w:r>
        <w:rPr>
          <w:rFonts w:hint="eastAsia" w:ascii="宋体" w:hAnsi="宋体"/>
          <w:sz w:val="24"/>
          <w:szCs w:val="24"/>
        </w:rPr>
        <w:t>，不允许实质性</w:t>
      </w:r>
      <w:r>
        <w:rPr>
          <w:rFonts w:ascii="宋体" w:hAnsi="宋体"/>
          <w:sz w:val="24"/>
          <w:szCs w:val="24"/>
        </w:rPr>
        <w:t>变动。为非磋商可以降低标准的内容。</w:t>
      </w:r>
    </w:p>
    <w:p>
      <w:pPr>
        <w:numPr>
          <w:ilvl w:val="1"/>
          <w:numId w:val="37"/>
        </w:numPr>
        <w:tabs>
          <w:tab w:val="left" w:pos="1134"/>
        </w:tabs>
        <w:spacing w:after="200" w:line="400" w:lineRule="exact"/>
        <w:ind w:left="0" w:firstLine="480" w:firstLineChars="200"/>
        <w:rPr>
          <w:rFonts w:ascii="宋体" w:hAnsi="宋体"/>
          <w:sz w:val="24"/>
          <w:szCs w:val="24"/>
        </w:rPr>
      </w:pPr>
      <w:r>
        <w:rPr>
          <w:rFonts w:hint="eastAsia" w:ascii="宋体" w:hAnsi="宋体"/>
          <w:sz w:val="24"/>
          <w:szCs w:val="24"/>
        </w:rPr>
        <w:t>磋商过程中，磋商小组获得采购人同意（由采购人代表签字确认）后，可以根据磋商文件和磋商情况实质性变动磋商文件中的第4章技术、服务、商务及其他要求、第6章合同草案条款可</w:t>
      </w:r>
      <w:r>
        <w:rPr>
          <w:rFonts w:ascii="宋体" w:hAnsi="宋体"/>
          <w:sz w:val="24"/>
          <w:szCs w:val="24"/>
        </w:rPr>
        <w:t>实质性变动的内容</w:t>
      </w:r>
      <w:r>
        <w:rPr>
          <w:rFonts w:hint="eastAsia" w:ascii="宋体" w:hAnsi="宋体"/>
          <w:sz w:val="24"/>
          <w:szCs w:val="24"/>
        </w:rPr>
        <w:t>，但不得变动磋商文件中的其他内容。对磋商文件作出的实质性变动是磋商文件的有效组成部分，磋商小组应通过“询标”功能，将变动情况通知所有参加磋商的供应商。磋商过程中，磋商小组可以根据磋商情况调整磋商轮次。</w:t>
      </w:r>
    </w:p>
    <w:p>
      <w:pPr>
        <w:numPr>
          <w:ilvl w:val="1"/>
          <w:numId w:val="37"/>
        </w:numPr>
        <w:tabs>
          <w:tab w:val="left" w:pos="1134"/>
        </w:tabs>
        <w:spacing w:after="200" w:line="400" w:lineRule="exact"/>
        <w:ind w:left="0" w:firstLine="480" w:firstLineChars="200"/>
        <w:rPr>
          <w:rFonts w:ascii="宋体" w:hAnsi="宋体"/>
          <w:sz w:val="24"/>
          <w:szCs w:val="24"/>
        </w:rPr>
      </w:pPr>
      <w:r>
        <w:rPr>
          <w:rFonts w:hint="eastAsia" w:ascii="宋体" w:hAnsi="宋体"/>
          <w:sz w:val="24"/>
          <w:szCs w:val="24"/>
        </w:rPr>
        <w:t>磋商过程中，供应商可以根据磋商情况变更其响应文件，并将变更内容通过“澄清”功能送磋商小组。变更内容作为响应文件的一部分。供应商书面材料应加盖供应商（法定名称）电子签章，否则无效。</w:t>
      </w:r>
    </w:p>
    <w:p>
      <w:pPr>
        <w:numPr>
          <w:ilvl w:val="1"/>
          <w:numId w:val="37"/>
        </w:numPr>
        <w:tabs>
          <w:tab w:val="left" w:pos="1134"/>
        </w:tabs>
        <w:spacing w:after="200" w:line="400" w:lineRule="exact"/>
        <w:ind w:left="0" w:firstLine="480" w:firstLineChars="200"/>
        <w:rPr>
          <w:rFonts w:ascii="宋体" w:hAnsi="宋体"/>
          <w:b w:val="0"/>
          <w:bCs/>
          <w:sz w:val="24"/>
          <w:szCs w:val="24"/>
        </w:rPr>
      </w:pPr>
      <w:r>
        <w:rPr>
          <w:rFonts w:ascii="宋体" w:hAnsi="宋体"/>
          <w:b w:val="0"/>
          <w:bCs/>
          <w:sz w:val="24"/>
          <w:szCs w:val="24"/>
        </w:rPr>
        <w:t>经最终磋商后</w:t>
      </w:r>
      <w:r>
        <w:rPr>
          <w:rFonts w:hint="eastAsia" w:ascii="宋体" w:hAnsi="宋体"/>
          <w:b w:val="0"/>
          <w:bCs/>
          <w:sz w:val="24"/>
          <w:szCs w:val="24"/>
        </w:rPr>
        <w:t>，</w:t>
      </w:r>
      <w:r>
        <w:rPr>
          <w:rFonts w:ascii="宋体" w:hAnsi="宋体"/>
          <w:b w:val="0"/>
          <w:bCs/>
          <w:sz w:val="24"/>
          <w:szCs w:val="24"/>
        </w:rPr>
        <w:t>响应文件</w:t>
      </w:r>
      <w:r>
        <w:rPr>
          <w:rFonts w:hint="eastAsia" w:ascii="宋体" w:hAnsi="宋体"/>
          <w:b w:val="0"/>
          <w:bCs/>
          <w:sz w:val="24"/>
          <w:szCs w:val="24"/>
        </w:rPr>
        <w:t>仍有下列情况之一的，应按照无效响应文件处理：</w:t>
      </w:r>
    </w:p>
    <w:p>
      <w:pPr>
        <w:spacing w:line="360" w:lineRule="auto"/>
        <w:ind w:firstLine="513" w:firstLineChars="214"/>
        <w:rPr>
          <w:rFonts w:ascii="宋体" w:hAnsi="宋体"/>
          <w:b w:val="0"/>
          <w:bCs/>
          <w:sz w:val="24"/>
          <w:szCs w:val="24"/>
        </w:rPr>
      </w:pPr>
      <w:r>
        <w:rPr>
          <w:rFonts w:hint="eastAsia" w:ascii="宋体" w:hAnsi="宋体"/>
          <w:b w:val="0"/>
          <w:bCs/>
          <w:sz w:val="24"/>
          <w:szCs w:val="24"/>
        </w:rPr>
        <w:t>（一）响应文件仍不能实质响应磋商文件的实质性要求的；</w:t>
      </w:r>
    </w:p>
    <w:p>
      <w:pPr>
        <w:spacing w:line="360" w:lineRule="auto"/>
        <w:ind w:firstLine="513" w:firstLineChars="214"/>
      </w:pPr>
      <w:r>
        <w:rPr>
          <w:rFonts w:hint="eastAsia" w:ascii="宋体" w:hAnsi="宋体"/>
          <w:b w:val="0"/>
          <w:bCs/>
          <w:sz w:val="24"/>
          <w:szCs w:val="24"/>
        </w:rPr>
        <w:t>（二）响应文件中仍有磋商文件规定的其他无效响应情形的</w:t>
      </w:r>
    </w:p>
    <w:p>
      <w:pPr>
        <w:numPr>
          <w:ilvl w:val="1"/>
          <w:numId w:val="37"/>
        </w:numPr>
        <w:tabs>
          <w:tab w:val="left" w:pos="1134"/>
        </w:tabs>
        <w:spacing w:after="200" w:line="400" w:lineRule="exact"/>
        <w:ind w:left="0" w:firstLine="480" w:firstLineChars="200"/>
        <w:rPr>
          <w:rFonts w:ascii="宋体" w:hAnsi="宋体"/>
          <w:b/>
          <w:bCs/>
          <w:sz w:val="24"/>
          <w:szCs w:val="24"/>
        </w:rPr>
      </w:pPr>
      <w:r>
        <w:rPr>
          <w:rFonts w:hint="eastAsia" w:ascii="宋体" w:hAnsi="宋体"/>
          <w:sz w:val="24"/>
          <w:szCs w:val="24"/>
        </w:rPr>
        <w:t>磋商过程中，磋商的任何一方不得透露与磋商有关的其他供应商的技术资料、价格和其他信息。</w:t>
      </w:r>
    </w:p>
    <w:p>
      <w:pPr>
        <w:numPr>
          <w:ilvl w:val="1"/>
          <w:numId w:val="37"/>
        </w:numPr>
        <w:tabs>
          <w:tab w:val="left" w:pos="1134"/>
        </w:tabs>
        <w:spacing w:after="200" w:line="400" w:lineRule="exact"/>
        <w:ind w:left="0" w:firstLine="480" w:firstLineChars="200"/>
        <w:rPr>
          <w:rFonts w:ascii="宋体" w:hAnsi="宋体"/>
          <w:sz w:val="24"/>
          <w:szCs w:val="24"/>
        </w:rPr>
      </w:pPr>
      <w:r>
        <w:rPr>
          <w:rFonts w:hint="eastAsia" w:ascii="宋体" w:hAnsi="宋体"/>
          <w:sz w:val="24"/>
          <w:szCs w:val="24"/>
        </w:rPr>
        <w:t>磋商过程中，磋商小组发现或者知晓供应商存在违法行为的，应当在评审报告中予以记录，并向财政部门报告，依法应将该供应商响应文件作无效处理的，应当作无效处理。</w:t>
      </w:r>
    </w:p>
    <w:p>
      <w:pPr>
        <w:pStyle w:val="6"/>
        <w:numPr>
          <w:ilvl w:val="2"/>
          <w:numId w:val="5"/>
        </w:numPr>
        <w:spacing w:after="200" w:line="400" w:lineRule="exact"/>
        <w:ind w:left="1135" w:hanging="1135"/>
        <w:rPr>
          <w:color w:val="auto"/>
          <w:sz w:val="24"/>
          <w:szCs w:val="24"/>
        </w:rPr>
      </w:pPr>
      <w:r>
        <w:rPr>
          <w:rFonts w:hint="eastAsia"/>
          <w:color w:val="auto"/>
          <w:sz w:val="24"/>
          <w:szCs w:val="24"/>
        </w:rPr>
        <w:t>最后报价</w:t>
      </w:r>
    </w:p>
    <w:p>
      <w:pPr>
        <w:widowControl/>
        <w:numPr>
          <w:ilvl w:val="0"/>
          <w:numId w:val="38"/>
        </w:numPr>
        <w:tabs>
          <w:tab w:val="left" w:pos="1134"/>
        </w:tabs>
        <w:snapToGrid w:val="0"/>
        <w:spacing w:after="200" w:line="400" w:lineRule="exact"/>
        <w:ind w:left="0" w:firstLine="480" w:firstLineChars="200"/>
        <w:jc w:val="left"/>
        <w:rPr>
          <w:rFonts w:ascii="宋体" w:hAnsi="宋体"/>
          <w:sz w:val="24"/>
          <w:szCs w:val="24"/>
        </w:rPr>
      </w:pPr>
      <w:r>
        <w:rPr>
          <w:rFonts w:hint="eastAsia" w:ascii="宋体" w:hAnsi="宋体"/>
          <w:sz w:val="24"/>
          <w:szCs w:val="24"/>
        </w:rPr>
        <w:t>磋商结束后，磋商小组应当要求所有实质性响应的供应商在规定时间内进行最后报价。磋商小组开启报价后，供应商应随时关注“政府采购云平台”站内信息或短信提醒，登录“政府采购云平台”，通过“开标大厅”进行报价。登录政府采购云平台(www.zcygov.cn)—我的工作台—政府采购云平台—项目采购—开标评标—开标大厅（找到对应项目）—报价，进行报价并签章后递交。报价时间截止后，系统统一公布报价。提示：供应商未按时登录不见面开标系统，未在报价截止时间内递交报价或未按要求进行报价的，视为供应商响应文件无效，由供应商自行承担不利后果。。</w:t>
      </w:r>
    </w:p>
    <w:p>
      <w:pPr>
        <w:widowControl/>
        <w:numPr>
          <w:ilvl w:val="0"/>
          <w:numId w:val="38"/>
        </w:numPr>
        <w:tabs>
          <w:tab w:val="left" w:pos="1134"/>
        </w:tabs>
        <w:snapToGrid w:val="0"/>
        <w:spacing w:after="200" w:line="400" w:lineRule="exact"/>
        <w:ind w:left="0" w:firstLine="480" w:firstLineChars="200"/>
        <w:jc w:val="left"/>
        <w:rPr>
          <w:rFonts w:ascii="宋体" w:hAnsi="宋体"/>
          <w:sz w:val="24"/>
          <w:szCs w:val="24"/>
        </w:rPr>
      </w:pPr>
      <w:r>
        <w:rPr>
          <w:rFonts w:hint="eastAsia" w:ascii="宋体" w:hAnsi="宋体"/>
          <w:sz w:val="24"/>
          <w:szCs w:val="24"/>
        </w:rPr>
        <w:t>已提交响应文件的供应商，在提交最后报价之前，可以根据磋商情况退出磋商。</w:t>
      </w:r>
    </w:p>
    <w:p>
      <w:pPr>
        <w:widowControl/>
        <w:numPr>
          <w:ilvl w:val="0"/>
          <w:numId w:val="38"/>
        </w:numPr>
        <w:tabs>
          <w:tab w:val="left" w:pos="1134"/>
        </w:tabs>
        <w:snapToGrid w:val="0"/>
        <w:spacing w:after="200" w:line="400" w:lineRule="exact"/>
        <w:ind w:left="0" w:firstLine="480" w:firstLineChars="200"/>
        <w:jc w:val="left"/>
        <w:rPr>
          <w:rFonts w:ascii="宋体" w:hAnsi="宋体"/>
          <w:sz w:val="24"/>
          <w:szCs w:val="24"/>
        </w:rPr>
      </w:pPr>
      <w:r>
        <w:rPr>
          <w:rFonts w:hint="eastAsia" w:ascii="宋体" w:hAnsi="宋体"/>
          <w:sz w:val="24"/>
          <w:szCs w:val="24"/>
        </w:rPr>
        <w:t>供应商未按磋商小组要求在规定时间内提交最后报价的，视为其退出磋商。</w:t>
      </w:r>
    </w:p>
    <w:p>
      <w:pPr>
        <w:widowControl/>
        <w:numPr>
          <w:ilvl w:val="0"/>
          <w:numId w:val="38"/>
        </w:numPr>
        <w:tabs>
          <w:tab w:val="left" w:pos="1134"/>
        </w:tabs>
        <w:snapToGrid w:val="0"/>
        <w:spacing w:after="200" w:line="400" w:lineRule="exact"/>
        <w:ind w:left="0" w:firstLine="480" w:firstLineChars="200"/>
        <w:jc w:val="left"/>
        <w:rPr>
          <w:rFonts w:ascii="宋体" w:hAnsi="宋体"/>
          <w:sz w:val="24"/>
          <w:szCs w:val="24"/>
        </w:rPr>
      </w:pPr>
      <w:r>
        <w:rPr>
          <w:rFonts w:hint="eastAsia" w:ascii="宋体" w:hAnsi="宋体"/>
          <w:sz w:val="24"/>
          <w:szCs w:val="24"/>
        </w:rPr>
        <w:t>最后报价一旦递交后，供应商不得以任何理由撤回。</w:t>
      </w:r>
    </w:p>
    <w:p>
      <w:pPr>
        <w:widowControl/>
        <w:numPr>
          <w:ilvl w:val="0"/>
          <w:numId w:val="38"/>
        </w:numPr>
        <w:tabs>
          <w:tab w:val="left" w:pos="1134"/>
        </w:tabs>
        <w:snapToGrid w:val="0"/>
        <w:spacing w:after="200" w:line="400" w:lineRule="exact"/>
        <w:ind w:left="0" w:firstLine="480" w:firstLineChars="200"/>
        <w:jc w:val="left"/>
        <w:rPr>
          <w:rFonts w:ascii="宋体" w:hAnsi="宋体"/>
          <w:sz w:val="24"/>
          <w:szCs w:val="24"/>
        </w:rPr>
      </w:pPr>
      <w:r>
        <w:rPr>
          <w:rFonts w:hint="eastAsia" w:ascii="宋体" w:hAnsi="宋体"/>
          <w:sz w:val="24"/>
          <w:szCs w:val="24"/>
        </w:rPr>
        <w:t>最后报价为有效报价应符合下列条件：</w:t>
      </w:r>
    </w:p>
    <w:p>
      <w:pPr>
        <w:widowControl/>
        <w:numPr>
          <w:ilvl w:val="0"/>
          <w:numId w:val="39"/>
        </w:numPr>
        <w:tabs>
          <w:tab w:val="left" w:pos="-2127"/>
          <w:tab w:val="left" w:pos="1134"/>
        </w:tabs>
        <w:snapToGrid w:val="0"/>
        <w:spacing w:after="200" w:line="400" w:lineRule="exact"/>
        <w:ind w:left="0" w:firstLine="557"/>
        <w:rPr>
          <w:rFonts w:ascii="宋体" w:hAnsi="宋体" w:cs="宋体"/>
          <w:sz w:val="24"/>
          <w:szCs w:val="24"/>
        </w:rPr>
      </w:pPr>
      <w:r>
        <w:rPr>
          <w:rFonts w:hint="eastAsia" w:ascii="宋体" w:hAnsi="宋体" w:cs="宋体"/>
          <w:sz w:val="24"/>
          <w:szCs w:val="24"/>
        </w:rPr>
        <w:t>供应商所提供的最后报价是在规定的时间内提交。</w:t>
      </w:r>
    </w:p>
    <w:p>
      <w:pPr>
        <w:widowControl/>
        <w:numPr>
          <w:ilvl w:val="0"/>
          <w:numId w:val="39"/>
        </w:numPr>
        <w:tabs>
          <w:tab w:val="left" w:pos="-2127"/>
          <w:tab w:val="left" w:pos="1134"/>
        </w:tabs>
        <w:snapToGrid w:val="0"/>
        <w:spacing w:after="200" w:line="400" w:lineRule="exact"/>
        <w:ind w:left="0" w:firstLine="557"/>
        <w:rPr>
          <w:rFonts w:ascii="宋体" w:hAnsi="宋体" w:cs="宋体"/>
          <w:sz w:val="24"/>
          <w:szCs w:val="24"/>
        </w:rPr>
      </w:pPr>
      <w:r>
        <w:rPr>
          <w:rFonts w:hint="eastAsia" w:ascii="宋体" w:hAnsi="宋体" w:cs="宋体"/>
          <w:sz w:val="24"/>
          <w:szCs w:val="24"/>
        </w:rPr>
        <w:t>供应商的最后报价应加盖供应商（法定名称）电子签章。</w:t>
      </w:r>
    </w:p>
    <w:p>
      <w:pPr>
        <w:widowControl/>
        <w:numPr>
          <w:ilvl w:val="0"/>
          <w:numId w:val="39"/>
        </w:numPr>
        <w:tabs>
          <w:tab w:val="left" w:pos="-2127"/>
          <w:tab w:val="left" w:pos="1134"/>
        </w:tabs>
        <w:snapToGrid w:val="0"/>
        <w:spacing w:after="200" w:line="400" w:lineRule="exact"/>
        <w:ind w:left="0" w:firstLine="557"/>
        <w:rPr>
          <w:rFonts w:ascii="宋体" w:hAnsi="宋体" w:cs="宋体"/>
          <w:sz w:val="24"/>
          <w:szCs w:val="24"/>
        </w:rPr>
      </w:pPr>
      <w:r>
        <w:rPr>
          <w:rFonts w:hint="eastAsia" w:ascii="宋体" w:hAnsi="宋体" w:cs="宋体"/>
          <w:sz w:val="24"/>
          <w:szCs w:val="24"/>
        </w:rPr>
        <w:t>供应商的最后报价符合磋商文件的要求。</w:t>
      </w:r>
    </w:p>
    <w:p>
      <w:pPr>
        <w:widowControl/>
        <w:numPr>
          <w:ilvl w:val="0"/>
          <w:numId w:val="39"/>
        </w:numPr>
        <w:tabs>
          <w:tab w:val="left" w:pos="-2127"/>
          <w:tab w:val="left" w:pos="1134"/>
        </w:tabs>
        <w:snapToGrid w:val="0"/>
        <w:spacing w:after="200" w:line="400" w:lineRule="exact"/>
        <w:ind w:left="0" w:firstLine="557"/>
        <w:rPr>
          <w:rFonts w:ascii="宋体" w:hAnsi="宋体" w:cs="宋体"/>
          <w:sz w:val="24"/>
          <w:szCs w:val="24"/>
        </w:rPr>
      </w:pPr>
      <w:r>
        <w:rPr>
          <w:rFonts w:hint="eastAsia" w:ascii="宋体" w:hAnsi="宋体" w:cs="宋体"/>
          <w:sz w:val="24"/>
          <w:szCs w:val="24"/>
        </w:rPr>
        <w:t>最后报价唯一，且不高于最高限价。</w:t>
      </w:r>
    </w:p>
    <w:p>
      <w:pPr>
        <w:pStyle w:val="81"/>
        <w:numPr>
          <w:ilvl w:val="0"/>
          <w:numId w:val="38"/>
        </w:numPr>
        <w:spacing w:line="400" w:lineRule="exact"/>
        <w:ind w:left="0" w:firstLine="568" w:firstLineChars="0"/>
        <w:rPr>
          <w:rFonts w:ascii="宋体" w:hAnsi="宋体" w:eastAsia="宋体" w:cs="宋体"/>
          <w:sz w:val="24"/>
          <w:szCs w:val="24"/>
        </w:rPr>
      </w:pPr>
      <w:r>
        <w:rPr>
          <w:rFonts w:hint="eastAsia" w:ascii="宋体" w:hAnsi="宋体" w:eastAsia="宋体" w:cs="宋体"/>
          <w:sz w:val="24"/>
          <w:szCs w:val="24"/>
        </w:rPr>
        <w:t>在未提高响应文件中承诺的服务质量的情况下，最后报价不高于技术、商务性响应文件中的报价，否则，磋商小组应当对其响应文件按无效处理。</w:t>
      </w:r>
    </w:p>
    <w:p>
      <w:pPr>
        <w:widowControl/>
        <w:numPr>
          <w:ilvl w:val="0"/>
          <w:numId w:val="38"/>
        </w:numPr>
        <w:tabs>
          <w:tab w:val="left" w:pos="-2127"/>
          <w:tab w:val="left" w:pos="1134"/>
        </w:tabs>
        <w:snapToGrid w:val="0"/>
        <w:spacing w:line="400" w:lineRule="exact"/>
        <w:ind w:left="0" w:firstLine="480" w:firstLineChars="200"/>
        <w:jc w:val="left"/>
        <w:rPr>
          <w:rFonts w:ascii="宋体" w:hAnsi="宋体"/>
          <w:sz w:val="24"/>
          <w:szCs w:val="24"/>
        </w:rPr>
      </w:pPr>
      <w:r>
        <w:rPr>
          <w:rFonts w:hint="eastAsia" w:ascii="宋体" w:hAnsi="宋体"/>
          <w:sz w:val="24"/>
          <w:szCs w:val="24"/>
        </w:rPr>
        <w:t>最后报价出现下列情况的，不需要供应商澄清，按以下原则处理：</w:t>
      </w:r>
    </w:p>
    <w:p>
      <w:pPr>
        <w:pStyle w:val="83"/>
        <w:numPr>
          <w:ilvl w:val="0"/>
          <w:numId w:val="40"/>
        </w:numPr>
        <w:tabs>
          <w:tab w:val="left" w:pos="1134"/>
          <w:tab w:val="clear" w:pos="846"/>
        </w:tabs>
        <w:snapToGrid w:val="0"/>
        <w:spacing w:line="400" w:lineRule="exact"/>
        <w:ind w:left="0" w:firstLine="567" w:firstLineChars="0"/>
        <w:rPr>
          <w:rFonts w:ascii="宋体" w:hAnsi="宋体" w:eastAsia="宋体"/>
          <w:sz w:val="24"/>
          <w:szCs w:val="24"/>
        </w:rPr>
      </w:pPr>
      <w:r>
        <w:rPr>
          <w:rFonts w:hint="eastAsia" w:ascii="宋体" w:hAnsi="宋体" w:eastAsia="宋体"/>
          <w:sz w:val="24"/>
          <w:szCs w:val="24"/>
        </w:rPr>
        <w:t>最后报价中的大写金额和小写金额不一致的，以大写金额为准，但大写金额出现文字错误，导致金额无法判断的除外；</w:t>
      </w:r>
    </w:p>
    <w:p>
      <w:pPr>
        <w:pStyle w:val="83"/>
        <w:numPr>
          <w:ilvl w:val="0"/>
          <w:numId w:val="40"/>
        </w:numPr>
        <w:tabs>
          <w:tab w:val="left" w:pos="1134"/>
          <w:tab w:val="clear" w:pos="846"/>
        </w:tabs>
        <w:snapToGrid w:val="0"/>
        <w:spacing w:line="400" w:lineRule="exact"/>
        <w:ind w:left="0" w:firstLine="525" w:firstLineChars="0"/>
        <w:rPr>
          <w:rFonts w:ascii="宋体" w:hAnsi="宋体" w:eastAsia="宋体"/>
          <w:sz w:val="24"/>
          <w:szCs w:val="24"/>
        </w:rPr>
      </w:pPr>
      <w:r>
        <w:rPr>
          <w:rFonts w:hint="eastAsia" w:ascii="宋体" w:hAnsi="宋体" w:eastAsia="宋体"/>
          <w:sz w:val="24"/>
          <w:szCs w:val="24"/>
        </w:rPr>
        <w:t>单价金额小数点或者百分比有明显错位的，应以总价为准，并修改单价；</w:t>
      </w:r>
    </w:p>
    <w:p>
      <w:pPr>
        <w:pStyle w:val="83"/>
        <w:numPr>
          <w:ilvl w:val="0"/>
          <w:numId w:val="40"/>
        </w:numPr>
        <w:tabs>
          <w:tab w:val="left" w:pos="1134"/>
          <w:tab w:val="clear" w:pos="846"/>
        </w:tabs>
        <w:snapToGrid w:val="0"/>
        <w:spacing w:line="400" w:lineRule="exact"/>
        <w:ind w:left="0" w:firstLine="525" w:firstLineChars="0"/>
        <w:rPr>
          <w:rFonts w:ascii="宋体" w:hAnsi="宋体" w:eastAsia="宋体"/>
          <w:sz w:val="24"/>
          <w:szCs w:val="24"/>
        </w:rPr>
      </w:pPr>
      <w:r>
        <w:rPr>
          <w:rFonts w:hint="eastAsia" w:ascii="宋体" w:hAnsi="宋体" w:eastAsia="宋体"/>
          <w:sz w:val="24"/>
          <w:szCs w:val="24"/>
        </w:rPr>
        <w:t>总价金额与按单价汇总金额不一致的，以单价汇总金额计算结果为准；</w:t>
      </w:r>
    </w:p>
    <w:p>
      <w:pPr>
        <w:snapToGrid w:val="0"/>
        <w:spacing w:line="400" w:lineRule="exact"/>
        <w:ind w:firstLine="480" w:firstLineChars="200"/>
        <w:rPr>
          <w:sz w:val="20"/>
          <w:szCs w:val="21"/>
        </w:rPr>
      </w:pPr>
      <w:r>
        <w:rPr>
          <w:rFonts w:hint="eastAsia" w:cs="Arial"/>
          <w:sz w:val="24"/>
          <w:szCs w:val="24"/>
        </w:rPr>
        <w:t>同时出现两种以上不一致的，按照前款规定的顺序修正。修正后的</w:t>
      </w:r>
      <w:r>
        <w:rPr>
          <w:rFonts w:hint="eastAsia" w:ascii="宋体" w:hAnsi="宋体"/>
          <w:sz w:val="24"/>
          <w:szCs w:val="24"/>
        </w:rPr>
        <w:t>最后</w:t>
      </w:r>
      <w:r>
        <w:rPr>
          <w:rFonts w:hint="eastAsia" w:cs="Arial"/>
          <w:sz w:val="24"/>
          <w:szCs w:val="24"/>
        </w:rPr>
        <w:t>报价经加盖供应商（法定名称）电子签章后产生约束力，供应商不确认的，其</w:t>
      </w:r>
      <w:r>
        <w:rPr>
          <w:rFonts w:hint="eastAsia" w:ascii="宋体" w:hAnsi="宋体"/>
          <w:sz w:val="24"/>
          <w:szCs w:val="24"/>
        </w:rPr>
        <w:t>最后</w:t>
      </w:r>
      <w:r>
        <w:rPr>
          <w:rFonts w:hint="eastAsia" w:cs="Arial"/>
          <w:sz w:val="24"/>
          <w:szCs w:val="24"/>
        </w:rPr>
        <w:t>报价无效。</w:t>
      </w:r>
    </w:p>
    <w:p>
      <w:pPr>
        <w:pStyle w:val="2"/>
        <w:spacing w:line="400" w:lineRule="exact"/>
        <w:ind w:firstLine="484" w:firstLineChars="202"/>
        <w:rPr>
          <w:rFonts w:ascii="宋体" w:hAnsi="宋体"/>
          <w:sz w:val="24"/>
          <w:szCs w:val="24"/>
        </w:rPr>
      </w:pPr>
      <w:r>
        <w:rPr>
          <w:rFonts w:hint="eastAsia" w:ascii="宋体" w:hAnsi="宋体"/>
          <w:sz w:val="24"/>
          <w:szCs w:val="24"/>
        </w:rPr>
        <w:t>对不同语言文本响应文件的解释发生异议的，以中文文本为准。</w:t>
      </w:r>
    </w:p>
    <w:p>
      <w:pPr>
        <w:widowControl/>
        <w:numPr>
          <w:ilvl w:val="0"/>
          <w:numId w:val="38"/>
        </w:numPr>
        <w:tabs>
          <w:tab w:val="left" w:pos="-2127"/>
          <w:tab w:val="left" w:pos="1134"/>
        </w:tabs>
        <w:snapToGrid w:val="0"/>
        <w:spacing w:line="400" w:lineRule="exact"/>
        <w:ind w:left="0" w:firstLine="480" w:firstLineChars="200"/>
        <w:jc w:val="left"/>
        <w:rPr>
          <w:rFonts w:ascii="宋体" w:hAnsi="宋体"/>
          <w:sz w:val="24"/>
          <w:szCs w:val="24"/>
        </w:rPr>
      </w:pPr>
      <w:r>
        <w:rPr>
          <w:rFonts w:hint="eastAsia" w:ascii="宋体" w:hAnsi="宋体"/>
          <w:sz w:val="24"/>
          <w:szCs w:val="24"/>
        </w:rPr>
        <w:t>有效最后报价的供应商不足三家的，采购失败。</w:t>
      </w:r>
    </w:p>
    <w:p>
      <w:pPr>
        <w:pStyle w:val="6"/>
        <w:numPr>
          <w:ilvl w:val="2"/>
          <w:numId w:val="5"/>
        </w:numPr>
        <w:spacing w:after="200" w:line="400" w:lineRule="exact"/>
        <w:ind w:left="1135" w:hanging="1135"/>
        <w:rPr>
          <w:color w:val="auto"/>
          <w:sz w:val="24"/>
          <w:szCs w:val="24"/>
        </w:rPr>
      </w:pPr>
      <w:r>
        <w:rPr>
          <w:rFonts w:hint="eastAsia"/>
          <w:color w:val="auto"/>
          <w:sz w:val="24"/>
          <w:szCs w:val="24"/>
        </w:rPr>
        <w:t>解释、澄清、说明的有关问题</w:t>
      </w:r>
    </w:p>
    <w:p>
      <w:pPr>
        <w:numPr>
          <w:ilvl w:val="0"/>
          <w:numId w:val="41"/>
        </w:numPr>
        <w:tabs>
          <w:tab w:val="left" w:pos="1134"/>
        </w:tabs>
        <w:spacing w:after="200" w:line="400" w:lineRule="exact"/>
        <w:ind w:left="0" w:firstLine="567"/>
        <w:rPr>
          <w:rFonts w:ascii="宋体" w:hAnsi="宋体"/>
          <w:sz w:val="24"/>
          <w:szCs w:val="24"/>
        </w:rPr>
      </w:pPr>
      <w:r>
        <w:rPr>
          <w:rFonts w:hint="eastAsia" w:ascii="宋体" w:hAnsi="宋体"/>
          <w:sz w:val="24"/>
          <w:szCs w:val="24"/>
        </w:rPr>
        <w:t>评审过程中，磋商小组认为磋商文件有关事项表述不明确或需要说明的，可以</w:t>
      </w:r>
      <w:r>
        <w:rPr>
          <w:rFonts w:hint="eastAsia" w:ascii="宋体" w:hAnsi="宋体"/>
          <w:color w:val="000000" w:themeColor="text1"/>
          <w:sz w:val="24"/>
          <w:szCs w:val="24"/>
          <w14:textFill>
            <w14:solidFill>
              <w14:schemeClr w14:val="tx1"/>
            </w14:solidFill>
          </w14:textFill>
        </w:rPr>
        <w:t>提请区政府采购中心书面解释。区政府采购中心的解释不得改变磋商文件的原义或者影响公平、公正，解释事项如果涉及供应商权益的以有利于供应商的原则进行解释。</w:t>
      </w:r>
    </w:p>
    <w:p>
      <w:pPr>
        <w:numPr>
          <w:ilvl w:val="0"/>
          <w:numId w:val="41"/>
        </w:numPr>
        <w:tabs>
          <w:tab w:val="left" w:pos="1134"/>
        </w:tabs>
        <w:spacing w:after="200" w:line="400" w:lineRule="exact"/>
        <w:ind w:left="0" w:firstLine="567"/>
        <w:rPr>
          <w:rFonts w:ascii="宋体" w:hAnsi="宋体"/>
          <w:sz w:val="24"/>
          <w:szCs w:val="24"/>
        </w:rPr>
      </w:pPr>
      <w:r>
        <w:rPr>
          <w:rFonts w:hint="eastAsia" w:ascii="宋体" w:hAnsi="宋体"/>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2" w:firstLineChars="200"/>
        <w:rPr>
          <w:rFonts w:ascii="宋体" w:hAnsi="宋体"/>
          <w:b/>
          <w:sz w:val="24"/>
          <w:szCs w:val="24"/>
        </w:rPr>
      </w:pPr>
      <w:r>
        <w:rPr>
          <w:rFonts w:hint="eastAsia" w:ascii="宋体" w:hAnsi="宋体"/>
          <w:b/>
          <w:sz w:val="24"/>
          <w:szCs w:val="24"/>
        </w:rPr>
        <w:t>三、评审结束前，供应商应随时关注系统提示，及时通过“政府采购云平台”在线响应磋商小组发出的澄清、说明或补正要求，签章并确认提交成功。逾时回复将不能提交，视为供应商自行放弃，其损失由供应商承担。磋商小组应当积极履行澄清、说明或者更正的职责，不得滥用权力。</w:t>
      </w:r>
    </w:p>
    <w:p>
      <w:pPr>
        <w:pStyle w:val="6"/>
        <w:numPr>
          <w:ilvl w:val="2"/>
          <w:numId w:val="5"/>
        </w:numPr>
        <w:spacing w:after="200" w:line="400" w:lineRule="exact"/>
        <w:ind w:left="1135" w:hanging="1135"/>
        <w:rPr>
          <w:color w:val="auto"/>
          <w:sz w:val="24"/>
          <w:szCs w:val="24"/>
        </w:rPr>
      </w:pPr>
      <w:r>
        <w:rPr>
          <w:rFonts w:hint="eastAsia"/>
          <w:color w:val="auto"/>
          <w:sz w:val="24"/>
          <w:szCs w:val="24"/>
        </w:rPr>
        <w:t>复核</w:t>
      </w:r>
    </w:p>
    <w:p>
      <w:pPr>
        <w:spacing w:line="4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sz w:val="24"/>
          <w:szCs w:val="24"/>
        </w:rPr>
        <w:t>评审结束后，磋商小组应当进行复核，特别要对拟推荐为成交候选供应商的、报价最低的、响应文件被认定为无</w:t>
      </w:r>
      <w:r>
        <w:rPr>
          <w:rFonts w:hint="eastAsia" w:ascii="宋体" w:hAnsi="宋体"/>
          <w:color w:val="000000" w:themeColor="text1"/>
          <w:sz w:val="24"/>
          <w:szCs w:val="24"/>
          <w14:textFill>
            <w14:solidFill>
              <w14:schemeClr w14:val="tx1"/>
            </w14:solidFill>
          </w14:textFill>
        </w:rPr>
        <w:t>效的进行重点复核。</w:t>
      </w:r>
    </w:p>
    <w:p>
      <w:pPr>
        <w:spacing w:line="400" w:lineRule="exact"/>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评审结果汇总完成后，磋商小组拟出具评审报告前，区政府采购中心应当组织2名以上的工作人员，在采购现场</w:t>
      </w:r>
      <w:r>
        <w:rPr>
          <w:rFonts w:hint="eastAsia" w:ascii="宋体" w:hAnsi="宋体"/>
          <w:sz w:val="24"/>
          <w:szCs w:val="24"/>
        </w:rPr>
        <w:t>监督人员的监督之下，依据有关的法律制度</w:t>
      </w:r>
      <w:r>
        <w:rPr>
          <w:rFonts w:hint="eastAsia" w:ascii="宋体" w:hAnsi="宋体"/>
          <w:color w:val="000000" w:themeColor="text1"/>
          <w:sz w:val="24"/>
          <w:szCs w:val="24"/>
          <w14:textFill>
            <w14:solidFill>
              <w14:schemeClr w14:val="tx1"/>
            </w14:solidFill>
          </w14:textFill>
        </w:rPr>
        <w:t>和采购文件对评审结果进行复核，出具复核报告。</w:t>
      </w:r>
    </w:p>
    <w:p>
      <w:pPr>
        <w:spacing w:line="400" w:lineRule="exact"/>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除资格性检查认定错误、分值汇总计算错误、分项评分超出评分标准范围、客观评分不一致、经磋商小组一致认定评分畸高、畸低的情形外，采购人或者采购代理机构不得以任何理由组织重新评审。采购人、采购代理机构发现磋商小组未按照磋商文件规定的评审标准进行评审的，应当重新开展采购活动，并同时书面报告本级财政部门</w:t>
      </w:r>
    </w:p>
    <w:p>
      <w:pPr>
        <w:tabs>
          <w:tab w:val="left" w:pos="851"/>
        </w:tabs>
        <w:spacing w:line="400" w:lineRule="exact"/>
        <w:ind w:firstLine="480" w:firstLineChars="200"/>
        <w:rPr>
          <w:rFonts w:ascii="宋体" w:hAnsi="宋体"/>
          <w:sz w:val="24"/>
          <w:szCs w:val="24"/>
        </w:rPr>
      </w:pPr>
      <w:r>
        <w:rPr>
          <w:rFonts w:hint="eastAsia" w:ascii="宋体" w:hAnsi="宋体"/>
          <w:color w:val="000000" w:themeColor="text1"/>
          <w:sz w:val="24"/>
          <w:szCs w:val="24"/>
          <w14:textFill>
            <w14:solidFill>
              <w14:schemeClr w14:val="tx1"/>
            </w14:solidFill>
          </w14:textFill>
        </w:rPr>
        <w:t>区政府采购中心复核过程中，磋商</w:t>
      </w:r>
      <w:r>
        <w:rPr>
          <w:rFonts w:hint="eastAsia" w:ascii="宋体" w:hAnsi="宋体"/>
          <w:sz w:val="24"/>
          <w:szCs w:val="24"/>
        </w:rPr>
        <w:t>小组成员不得离开评审现场。</w:t>
      </w:r>
    </w:p>
    <w:p>
      <w:pPr>
        <w:pStyle w:val="6"/>
        <w:numPr>
          <w:ilvl w:val="2"/>
          <w:numId w:val="5"/>
        </w:numPr>
        <w:spacing w:after="200" w:line="400" w:lineRule="exact"/>
        <w:ind w:left="1135" w:hanging="1135"/>
        <w:rPr>
          <w:color w:val="auto"/>
          <w:sz w:val="24"/>
          <w:szCs w:val="24"/>
        </w:rPr>
      </w:pPr>
      <w:r>
        <w:rPr>
          <w:rFonts w:hint="eastAsia"/>
          <w:color w:val="auto"/>
          <w:sz w:val="24"/>
          <w:szCs w:val="24"/>
        </w:rPr>
        <w:t>推荐成交候选供应商</w:t>
      </w:r>
    </w:p>
    <w:p>
      <w:pPr>
        <w:spacing w:line="400" w:lineRule="exact"/>
        <w:ind w:firstLine="480" w:firstLineChars="200"/>
        <w:rPr>
          <w:rFonts w:ascii="宋体" w:hAnsi="宋体"/>
          <w:color w:val="000000"/>
          <w:sz w:val="22"/>
          <w:szCs w:val="21"/>
        </w:rPr>
      </w:pPr>
      <w:r>
        <w:rPr>
          <w:rFonts w:hint="eastAsia" w:ascii="宋体" w:hAnsi="宋体"/>
          <w:sz w:val="24"/>
          <w:szCs w:val="24"/>
        </w:rPr>
        <w:t>磋商小组应当根据综合评分情况，按照评审得分由高到低顺序推荐3名以上成交候选供应商，并编写评审报告。评审得分相同的，按照最后报价由低到高的顺序推荐。评审得分且最后报价相同的，按照技术指标优劣（技术类分项得分高低）顺序推荐。评审得分且最后报价且技术指标得分均相同的，成交候选供应商并列</w:t>
      </w:r>
      <w:r>
        <w:rPr>
          <w:rFonts w:hint="eastAsia" w:ascii="宋体" w:hAnsi="宋体"/>
          <w:sz w:val="24"/>
          <w:szCs w:val="24"/>
          <w:lang w:eastAsia="zh-CN"/>
        </w:rPr>
        <w:t>。</w:t>
      </w:r>
    </w:p>
    <w:p>
      <w:pPr>
        <w:pStyle w:val="6"/>
        <w:numPr>
          <w:ilvl w:val="2"/>
          <w:numId w:val="5"/>
        </w:numPr>
        <w:spacing w:after="200" w:line="400" w:lineRule="exact"/>
        <w:ind w:left="1135" w:hanging="1135"/>
        <w:rPr>
          <w:color w:val="auto"/>
          <w:sz w:val="24"/>
          <w:szCs w:val="24"/>
        </w:rPr>
      </w:pPr>
      <w:r>
        <w:rPr>
          <w:rFonts w:hint="eastAsia"/>
          <w:color w:val="auto"/>
          <w:sz w:val="24"/>
          <w:szCs w:val="24"/>
        </w:rPr>
        <w:t>编写评审报告</w:t>
      </w:r>
    </w:p>
    <w:p>
      <w:pPr>
        <w:spacing w:line="400" w:lineRule="exact"/>
        <w:ind w:firstLine="480" w:firstLineChars="200"/>
        <w:rPr>
          <w:rFonts w:ascii="宋体" w:hAnsi="宋体"/>
          <w:sz w:val="24"/>
          <w:szCs w:val="24"/>
        </w:rPr>
      </w:pPr>
      <w:r>
        <w:rPr>
          <w:rFonts w:hint="eastAsia" w:ascii="宋体" w:hAnsi="宋体"/>
          <w:sz w:val="24"/>
          <w:szCs w:val="24"/>
        </w:rPr>
        <w:t>评审报告是磋商小组根据全体成员签字的原始评审记录和评审结果编写的报告，其主要内容包括：</w:t>
      </w:r>
    </w:p>
    <w:p>
      <w:pPr>
        <w:pStyle w:val="81"/>
        <w:widowControl/>
        <w:numPr>
          <w:ilvl w:val="0"/>
          <w:numId w:val="42"/>
        </w:numPr>
        <w:tabs>
          <w:tab w:val="left" w:pos="1134"/>
        </w:tabs>
        <w:spacing w:after="200" w:line="400" w:lineRule="exact"/>
        <w:ind w:firstLineChars="0"/>
        <w:jc w:val="left"/>
        <w:rPr>
          <w:rFonts w:ascii="宋体" w:hAnsi="宋体" w:eastAsia="宋体"/>
          <w:sz w:val="24"/>
          <w:szCs w:val="24"/>
        </w:rPr>
      </w:pPr>
      <w:r>
        <w:rPr>
          <w:rFonts w:hint="eastAsia" w:ascii="宋体" w:hAnsi="宋体" w:eastAsia="宋体"/>
          <w:sz w:val="24"/>
          <w:szCs w:val="24"/>
        </w:rPr>
        <w:t>邀请供应商参加采购活动的具体方式和相关情况；</w:t>
      </w:r>
    </w:p>
    <w:p>
      <w:pPr>
        <w:pStyle w:val="81"/>
        <w:widowControl/>
        <w:numPr>
          <w:ilvl w:val="0"/>
          <w:numId w:val="42"/>
        </w:numPr>
        <w:tabs>
          <w:tab w:val="left" w:pos="1134"/>
        </w:tabs>
        <w:spacing w:after="200" w:line="400" w:lineRule="exact"/>
        <w:ind w:firstLineChars="0"/>
        <w:jc w:val="left"/>
        <w:rPr>
          <w:rFonts w:ascii="宋体" w:hAnsi="宋体" w:eastAsia="宋体"/>
          <w:sz w:val="24"/>
          <w:szCs w:val="24"/>
        </w:rPr>
      </w:pPr>
      <w:r>
        <w:rPr>
          <w:rFonts w:hint="eastAsia" w:ascii="宋体" w:hAnsi="宋体" w:eastAsia="宋体"/>
          <w:sz w:val="24"/>
          <w:szCs w:val="24"/>
        </w:rPr>
        <w:t>响应文件开启日期和地点；</w:t>
      </w:r>
    </w:p>
    <w:p>
      <w:pPr>
        <w:pStyle w:val="81"/>
        <w:widowControl/>
        <w:numPr>
          <w:ilvl w:val="0"/>
          <w:numId w:val="42"/>
        </w:numPr>
        <w:tabs>
          <w:tab w:val="left" w:pos="1134"/>
        </w:tabs>
        <w:spacing w:after="200" w:line="400" w:lineRule="exact"/>
        <w:ind w:left="0" w:firstLine="560" w:firstLineChars="0"/>
        <w:jc w:val="left"/>
        <w:rPr>
          <w:rFonts w:ascii="宋体" w:hAnsi="宋体" w:eastAsia="宋体"/>
          <w:sz w:val="24"/>
          <w:szCs w:val="24"/>
        </w:rPr>
      </w:pPr>
      <w:r>
        <w:rPr>
          <w:rFonts w:hint="eastAsia" w:ascii="宋体" w:hAnsi="宋体" w:eastAsia="宋体"/>
          <w:sz w:val="24"/>
          <w:szCs w:val="24"/>
        </w:rPr>
        <w:t>获取磋商文件的供应商名单和磋商小组成员名单；</w:t>
      </w:r>
    </w:p>
    <w:p>
      <w:pPr>
        <w:pStyle w:val="81"/>
        <w:widowControl/>
        <w:numPr>
          <w:ilvl w:val="0"/>
          <w:numId w:val="42"/>
        </w:numPr>
        <w:tabs>
          <w:tab w:val="left" w:pos="1134"/>
        </w:tabs>
        <w:spacing w:after="200" w:line="400" w:lineRule="exact"/>
        <w:ind w:left="0" w:firstLine="560" w:firstLineChars="0"/>
        <w:jc w:val="left"/>
        <w:rPr>
          <w:rFonts w:ascii="宋体" w:hAnsi="宋体" w:eastAsia="宋体"/>
          <w:sz w:val="24"/>
          <w:szCs w:val="24"/>
        </w:rPr>
      </w:pPr>
      <w:r>
        <w:rPr>
          <w:rFonts w:hint="eastAsia" w:ascii="宋体" w:hAnsi="宋体" w:eastAsia="宋体"/>
          <w:sz w:val="24"/>
          <w:szCs w:val="24"/>
        </w:rPr>
        <w:t>评审情况记录和说明，包括对供应商的资格审查情况、供应商响应文件评审情况、磋商情况、报价情况等；</w:t>
      </w:r>
    </w:p>
    <w:p>
      <w:pPr>
        <w:pStyle w:val="81"/>
        <w:widowControl/>
        <w:numPr>
          <w:ilvl w:val="0"/>
          <w:numId w:val="42"/>
        </w:numPr>
        <w:tabs>
          <w:tab w:val="left" w:pos="1134"/>
        </w:tabs>
        <w:spacing w:after="200" w:line="400" w:lineRule="exact"/>
        <w:ind w:left="0" w:firstLine="560" w:firstLineChars="0"/>
        <w:jc w:val="left"/>
        <w:rPr>
          <w:rFonts w:ascii="宋体" w:hAnsi="宋体" w:eastAsia="宋体"/>
          <w:sz w:val="24"/>
          <w:szCs w:val="24"/>
        </w:rPr>
      </w:pPr>
      <w:r>
        <w:rPr>
          <w:rFonts w:hint="eastAsia" w:ascii="宋体" w:hAnsi="宋体" w:eastAsia="宋体"/>
          <w:sz w:val="24"/>
          <w:szCs w:val="24"/>
        </w:rPr>
        <w:t>提出的成交候选供应商的排序名单及理由。</w:t>
      </w:r>
    </w:p>
    <w:p>
      <w:pPr>
        <w:tabs>
          <w:tab w:val="left" w:pos="1155"/>
        </w:tabs>
        <w:spacing w:line="400" w:lineRule="exact"/>
        <w:ind w:firstLine="448" w:firstLineChars="187"/>
        <w:rPr>
          <w:rFonts w:ascii="宋体" w:hAnsi="宋体"/>
          <w:sz w:val="24"/>
          <w:szCs w:val="24"/>
        </w:rPr>
      </w:pPr>
      <w:r>
        <w:rPr>
          <w:rFonts w:hint="eastAsia" w:ascii="宋体" w:hAnsi="宋体"/>
          <w:sz w:val="24"/>
          <w:szCs w:val="24"/>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评审报告上签字又不书面说明其不同意见和理由的，视为同意评审报告。</w:t>
      </w:r>
    </w:p>
    <w:p>
      <w:pPr>
        <w:pStyle w:val="6"/>
        <w:numPr>
          <w:ilvl w:val="2"/>
          <w:numId w:val="5"/>
        </w:numPr>
        <w:spacing w:after="200" w:line="400" w:lineRule="exact"/>
        <w:ind w:left="1135" w:hanging="1135"/>
        <w:rPr>
          <w:sz w:val="24"/>
          <w:szCs w:val="24"/>
        </w:rPr>
      </w:pPr>
      <w:bookmarkStart w:id="99" w:name="_Toc494357018"/>
      <w:bookmarkEnd w:id="99"/>
      <w:bookmarkStart w:id="100" w:name="_Toc494095665"/>
      <w:bookmarkEnd w:id="100"/>
      <w:bookmarkStart w:id="101" w:name="_Toc79742137"/>
      <w:bookmarkStart w:id="102" w:name="_Toc58943347"/>
      <w:r>
        <w:rPr>
          <w:rFonts w:hint="eastAsia"/>
          <w:sz w:val="24"/>
          <w:szCs w:val="24"/>
        </w:rPr>
        <w:t>磋商</w:t>
      </w:r>
      <w:r>
        <w:rPr>
          <w:sz w:val="24"/>
          <w:szCs w:val="24"/>
        </w:rPr>
        <w:t>异议</w:t>
      </w:r>
      <w:r>
        <w:rPr>
          <w:rFonts w:hint="eastAsia"/>
          <w:sz w:val="24"/>
          <w:szCs w:val="24"/>
        </w:rPr>
        <w:t>处理</w:t>
      </w:r>
      <w:bookmarkEnd w:id="101"/>
      <w:bookmarkEnd w:id="102"/>
    </w:p>
    <w:p>
      <w:pPr>
        <w:tabs>
          <w:tab w:val="left" w:pos="1155"/>
        </w:tabs>
        <w:spacing w:line="400" w:lineRule="exact"/>
        <w:ind w:firstLine="484" w:firstLineChars="202"/>
        <w:rPr>
          <w:rFonts w:ascii="宋体" w:hAnsi="宋体"/>
          <w:kern w:val="0"/>
          <w:sz w:val="24"/>
          <w:szCs w:val="24"/>
        </w:rPr>
      </w:pPr>
      <w:r>
        <w:rPr>
          <w:rFonts w:hint="eastAsia" w:ascii="宋体" w:hAnsi="宋体"/>
          <w:kern w:val="0"/>
          <w:sz w:val="24"/>
          <w:szCs w:val="24"/>
        </w:rPr>
        <w:t>在磋商过程中，磋商小组成员对响应文件是否符合磋商文件规定存在争议的，应当以少数服从多数的原则处理，但不得违背磋商文件规定。有不同意见的磋商小组成员认为认定过程和结果不符合法律法规或者磋商文件规定的，应当在磋商报告中予以反映。</w:t>
      </w:r>
    </w:p>
    <w:p>
      <w:pPr>
        <w:pStyle w:val="5"/>
        <w:numPr>
          <w:ilvl w:val="1"/>
          <w:numId w:val="5"/>
        </w:numPr>
        <w:tabs>
          <w:tab w:val="left" w:pos="426"/>
          <w:tab w:val="left" w:pos="567"/>
        </w:tabs>
        <w:spacing w:before="0" w:after="200" w:line="400" w:lineRule="exact"/>
        <w:ind w:left="1985" w:hanging="1985"/>
        <w:jc w:val="both"/>
        <w:rPr>
          <w:sz w:val="24"/>
          <w:szCs w:val="24"/>
        </w:rPr>
      </w:pPr>
      <w:bookmarkStart w:id="103" w:name="_Toc79742138"/>
      <w:bookmarkStart w:id="104" w:name="_Toc58943348"/>
      <w:r>
        <w:rPr>
          <w:rFonts w:hint="eastAsia"/>
          <w:sz w:val="24"/>
          <w:szCs w:val="24"/>
        </w:rPr>
        <w:t>评审办法和标准</w:t>
      </w:r>
      <w:bookmarkEnd w:id="103"/>
      <w:bookmarkEnd w:id="104"/>
    </w:p>
    <w:p>
      <w:pPr>
        <w:pStyle w:val="23"/>
        <w:snapToGrid w:val="0"/>
        <w:spacing w:line="400" w:lineRule="exact"/>
        <w:ind w:firstLine="480" w:firstLineChars="200"/>
        <w:rPr>
          <w:rFonts w:hAnsi="宋体"/>
          <w:sz w:val="24"/>
          <w:szCs w:val="24"/>
        </w:rPr>
      </w:pPr>
      <w:r>
        <w:rPr>
          <w:rFonts w:hint="eastAsia" w:hAnsi="宋体"/>
          <w:sz w:val="24"/>
          <w:szCs w:val="24"/>
        </w:rPr>
        <w:t>一、由磋商小组根据磋商文件的要求采用相同的评审程序、评分办法及标准对提交最后报价的供应商的响应文件和最后报价进行综合评分；</w:t>
      </w:r>
    </w:p>
    <w:p>
      <w:pPr>
        <w:tabs>
          <w:tab w:val="left" w:pos="1155"/>
        </w:tabs>
        <w:spacing w:line="400" w:lineRule="exact"/>
        <w:ind w:firstLine="480" w:firstLineChars="200"/>
        <w:rPr>
          <w:rFonts w:ascii="宋体" w:hAnsi="宋体"/>
          <w:sz w:val="24"/>
          <w:szCs w:val="24"/>
        </w:rPr>
      </w:pPr>
      <w:r>
        <w:rPr>
          <w:rFonts w:hint="eastAsia" w:ascii="宋体" w:hAnsi="宋体"/>
          <w:sz w:val="24"/>
          <w:szCs w:val="24"/>
        </w:rPr>
        <w:t>二、本次综合评分的因素是：价格、技术、服务等；</w:t>
      </w:r>
    </w:p>
    <w:p>
      <w:pPr>
        <w:tabs>
          <w:tab w:val="left" w:pos="1155"/>
        </w:tabs>
        <w:spacing w:line="400" w:lineRule="exact"/>
        <w:ind w:firstLine="480" w:firstLineChars="200"/>
        <w:rPr>
          <w:sz w:val="20"/>
          <w:szCs w:val="21"/>
        </w:rPr>
      </w:pPr>
      <w:r>
        <w:rPr>
          <w:rFonts w:hint="eastAsia" w:ascii="宋体" w:hAnsi="宋体"/>
          <w:sz w:val="24"/>
          <w:szCs w:val="24"/>
        </w:rPr>
        <w:t>三、评审时，磋商小组各成员应当独立对每个有效响应的文件进行评价、打分，然后汇总每个供应商每项评分因素的得分。</w:t>
      </w:r>
    </w:p>
    <w:p>
      <w:pPr>
        <w:pStyle w:val="6"/>
        <w:numPr>
          <w:ilvl w:val="2"/>
          <w:numId w:val="5"/>
        </w:numPr>
        <w:spacing w:after="200" w:line="400" w:lineRule="exact"/>
        <w:ind w:left="1135" w:hanging="1135"/>
        <w:rPr>
          <w:color w:val="auto"/>
          <w:sz w:val="24"/>
          <w:szCs w:val="24"/>
        </w:rPr>
      </w:pPr>
      <w:r>
        <w:rPr>
          <w:rFonts w:hint="eastAsia"/>
          <w:color w:val="auto"/>
          <w:sz w:val="24"/>
          <w:szCs w:val="24"/>
        </w:rPr>
        <w:t>评分办法</w:t>
      </w:r>
    </w:p>
    <w:p>
      <w:pPr>
        <w:pStyle w:val="23"/>
        <w:snapToGrid w:val="0"/>
        <w:spacing w:line="400" w:lineRule="exact"/>
        <w:ind w:firstLine="480" w:firstLineChars="200"/>
        <w:rPr>
          <w:rFonts w:hAnsi="宋体"/>
          <w:sz w:val="24"/>
          <w:szCs w:val="24"/>
        </w:rPr>
      </w:pPr>
      <w:r>
        <w:rPr>
          <w:rFonts w:hint="eastAsia" w:hAnsi="宋体"/>
          <w:sz w:val="24"/>
          <w:szCs w:val="24"/>
        </w:rPr>
        <w:t>本次评审采用综合评分法，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pPr>
        <w:spacing w:line="360" w:lineRule="auto"/>
        <w:ind w:firstLine="540" w:firstLineChars="225"/>
        <w:rPr>
          <w:rFonts w:ascii="宋体" w:hAnsi="宋体"/>
          <w:sz w:val="24"/>
          <w:szCs w:val="24"/>
        </w:rPr>
      </w:pPr>
      <w:r>
        <w:rPr>
          <w:rFonts w:hint="eastAsia" w:ascii="宋体" w:hAnsi="宋体"/>
          <w:sz w:val="24"/>
          <w:szCs w:val="24"/>
        </w:rPr>
        <w:t>评审得分＝（</w:t>
      </w:r>
      <w:r>
        <w:rPr>
          <w:rFonts w:ascii="宋体" w:hAnsi="宋体"/>
          <w:sz w:val="24"/>
          <w:szCs w:val="24"/>
        </w:rPr>
        <w:t>A</w:t>
      </w:r>
      <w:r>
        <w:rPr>
          <w:rFonts w:ascii="宋体" w:hAnsi="宋体"/>
          <w:sz w:val="24"/>
          <w:szCs w:val="24"/>
          <w:vertAlign w:val="subscript"/>
        </w:rPr>
        <w:t>1</w:t>
      </w:r>
      <w:r>
        <w:rPr>
          <w:rFonts w:hint="eastAsia" w:ascii="宋体" w:hAnsi="宋体"/>
          <w:sz w:val="24"/>
          <w:szCs w:val="24"/>
        </w:rPr>
        <w:t>＋</w:t>
      </w:r>
      <w:r>
        <w:rPr>
          <w:rFonts w:ascii="宋体" w:hAnsi="宋体"/>
          <w:sz w:val="24"/>
          <w:szCs w:val="24"/>
        </w:rPr>
        <w:t>A</w:t>
      </w:r>
      <w:r>
        <w:rPr>
          <w:rFonts w:ascii="宋体" w:hAnsi="宋体"/>
          <w:sz w:val="24"/>
          <w:szCs w:val="24"/>
          <w:vertAlign w:val="subscript"/>
        </w:rPr>
        <w:t>2</w:t>
      </w:r>
      <w:r>
        <w:rPr>
          <w:rFonts w:hint="eastAsia" w:ascii="宋体" w:hAnsi="宋体"/>
          <w:sz w:val="24"/>
          <w:szCs w:val="24"/>
        </w:rPr>
        <w:t>＋……＋</w:t>
      </w:r>
      <w:r>
        <w:rPr>
          <w:rFonts w:ascii="宋体" w:hAnsi="宋体"/>
          <w:sz w:val="24"/>
          <w:szCs w:val="24"/>
        </w:rPr>
        <w:t>A</w:t>
      </w:r>
      <w:r>
        <w:rPr>
          <w:rFonts w:ascii="宋体" w:hAnsi="宋体"/>
          <w:sz w:val="24"/>
          <w:szCs w:val="24"/>
          <w:vertAlign w:val="subscript"/>
        </w:rPr>
        <w:t>n</w:t>
      </w:r>
      <w:r>
        <w:rPr>
          <w:rFonts w:hint="eastAsia" w:ascii="宋体" w:hAnsi="宋体"/>
          <w:sz w:val="24"/>
          <w:szCs w:val="24"/>
        </w:rPr>
        <w:t>）</w:t>
      </w:r>
      <w:r>
        <w:rPr>
          <w:rFonts w:ascii="宋体" w:hAnsi="宋体"/>
          <w:sz w:val="24"/>
          <w:szCs w:val="24"/>
        </w:rPr>
        <w:t>/n</w:t>
      </w:r>
      <w:r>
        <w:rPr>
          <w:rFonts w:ascii="宋体" w:hAnsi="宋体"/>
          <w:sz w:val="24"/>
          <w:szCs w:val="24"/>
          <w:vertAlign w:val="subscript"/>
        </w:rPr>
        <w:t>1</w:t>
      </w:r>
      <w:r>
        <w:rPr>
          <w:rFonts w:ascii="宋体" w:hAnsi="宋体"/>
          <w:sz w:val="24"/>
          <w:szCs w:val="24"/>
        </w:rPr>
        <w:t>+（B</w:t>
      </w:r>
      <w:r>
        <w:rPr>
          <w:rFonts w:ascii="宋体" w:hAnsi="宋体"/>
          <w:sz w:val="24"/>
          <w:szCs w:val="24"/>
          <w:vertAlign w:val="subscript"/>
        </w:rPr>
        <w:t>1</w:t>
      </w:r>
      <w:r>
        <w:rPr>
          <w:rFonts w:hint="eastAsia" w:ascii="宋体" w:hAnsi="宋体"/>
          <w:sz w:val="24"/>
          <w:szCs w:val="24"/>
        </w:rPr>
        <w:t>＋</w:t>
      </w:r>
      <w:r>
        <w:rPr>
          <w:rFonts w:ascii="宋体" w:hAnsi="宋体"/>
          <w:sz w:val="24"/>
          <w:szCs w:val="24"/>
        </w:rPr>
        <w:t>B</w:t>
      </w:r>
      <w:r>
        <w:rPr>
          <w:rFonts w:ascii="宋体" w:hAnsi="宋体"/>
          <w:sz w:val="24"/>
          <w:szCs w:val="24"/>
          <w:vertAlign w:val="subscript"/>
        </w:rPr>
        <w:t>2</w:t>
      </w:r>
      <w:r>
        <w:rPr>
          <w:rFonts w:hint="eastAsia" w:ascii="宋体" w:hAnsi="宋体"/>
          <w:sz w:val="24"/>
          <w:szCs w:val="24"/>
        </w:rPr>
        <w:t>＋……＋</w:t>
      </w:r>
      <w:r>
        <w:rPr>
          <w:rFonts w:ascii="宋体" w:hAnsi="宋体"/>
          <w:sz w:val="24"/>
          <w:szCs w:val="24"/>
        </w:rPr>
        <w:t>B</w:t>
      </w:r>
      <w:r>
        <w:rPr>
          <w:rFonts w:ascii="宋体" w:hAnsi="宋体"/>
          <w:sz w:val="24"/>
          <w:szCs w:val="24"/>
          <w:vertAlign w:val="subscript"/>
        </w:rPr>
        <w:t>n</w:t>
      </w:r>
      <w:r>
        <w:rPr>
          <w:rFonts w:hint="eastAsia" w:ascii="宋体" w:hAnsi="宋体"/>
          <w:sz w:val="24"/>
          <w:szCs w:val="24"/>
        </w:rPr>
        <w:t>）</w:t>
      </w:r>
      <w:r>
        <w:rPr>
          <w:rFonts w:ascii="宋体" w:hAnsi="宋体"/>
          <w:sz w:val="24"/>
          <w:szCs w:val="24"/>
        </w:rPr>
        <w:t>/ n</w:t>
      </w:r>
      <w:r>
        <w:rPr>
          <w:rFonts w:ascii="宋体" w:hAnsi="宋体"/>
          <w:sz w:val="24"/>
          <w:szCs w:val="24"/>
          <w:vertAlign w:val="subscript"/>
        </w:rPr>
        <w:t>2</w:t>
      </w:r>
    </w:p>
    <w:p>
      <w:pPr>
        <w:spacing w:line="400" w:lineRule="exact"/>
        <w:ind w:firstLine="480" w:firstLineChars="200"/>
        <w:rPr>
          <w:rFonts w:ascii="宋体" w:hAnsi="宋体" w:cs="宋体"/>
          <w:sz w:val="24"/>
          <w:szCs w:val="24"/>
        </w:rPr>
      </w:pPr>
      <w:r>
        <w:rPr>
          <w:rFonts w:ascii="宋体" w:hAnsi="宋体"/>
          <w:sz w:val="24"/>
          <w:szCs w:val="24"/>
        </w:rPr>
        <w:t>A</w:t>
      </w:r>
      <w:r>
        <w:rPr>
          <w:rFonts w:ascii="宋体" w:hAnsi="宋体"/>
          <w:sz w:val="24"/>
          <w:szCs w:val="24"/>
          <w:vertAlign w:val="subscript"/>
        </w:rPr>
        <w:t>1</w:t>
      </w:r>
      <w:r>
        <w:rPr>
          <w:rFonts w:hint="eastAsia" w:ascii="宋体" w:hAnsi="宋体"/>
          <w:sz w:val="24"/>
          <w:szCs w:val="24"/>
        </w:rPr>
        <w:t>、</w:t>
      </w:r>
      <w:r>
        <w:rPr>
          <w:rFonts w:ascii="宋体" w:hAnsi="宋体"/>
          <w:sz w:val="24"/>
          <w:szCs w:val="24"/>
        </w:rPr>
        <w:t>A</w:t>
      </w:r>
      <w:r>
        <w:rPr>
          <w:rFonts w:ascii="宋体" w:hAnsi="宋体"/>
          <w:sz w:val="24"/>
          <w:szCs w:val="24"/>
          <w:vertAlign w:val="subscript"/>
        </w:rPr>
        <w:t>2</w:t>
      </w:r>
      <w:r>
        <w:rPr>
          <w:rFonts w:hint="eastAsia" w:ascii="宋体" w:hAnsi="宋体"/>
          <w:sz w:val="24"/>
          <w:szCs w:val="24"/>
        </w:rPr>
        <w:t>……</w:t>
      </w:r>
      <w:r>
        <w:rPr>
          <w:rFonts w:ascii="宋体" w:hAnsi="宋体"/>
          <w:sz w:val="24"/>
          <w:szCs w:val="24"/>
        </w:rPr>
        <w:t>A</w:t>
      </w:r>
      <w:r>
        <w:rPr>
          <w:rFonts w:ascii="宋体" w:hAnsi="宋体"/>
          <w:sz w:val="24"/>
          <w:szCs w:val="24"/>
          <w:vertAlign w:val="subscript"/>
        </w:rPr>
        <w:t>n</w:t>
      </w:r>
      <w:r>
        <w:rPr>
          <w:rFonts w:hint="eastAsia" w:ascii="宋体" w:hAnsi="宋体"/>
          <w:sz w:val="24"/>
          <w:szCs w:val="24"/>
        </w:rPr>
        <w:t>分别为磋商小组每个成员的打分，</w:t>
      </w:r>
      <w:r>
        <w:rPr>
          <w:rFonts w:ascii="宋体" w:hAnsi="宋体"/>
          <w:sz w:val="24"/>
          <w:szCs w:val="24"/>
        </w:rPr>
        <w:t>n</w:t>
      </w:r>
      <w:r>
        <w:rPr>
          <w:rFonts w:ascii="宋体" w:hAnsi="宋体"/>
          <w:sz w:val="24"/>
          <w:szCs w:val="24"/>
          <w:vertAlign w:val="subscript"/>
        </w:rPr>
        <w:t>1</w:t>
      </w:r>
      <w:r>
        <w:rPr>
          <w:rFonts w:hint="eastAsia" w:ascii="宋体" w:hAnsi="宋体"/>
          <w:sz w:val="24"/>
          <w:szCs w:val="24"/>
        </w:rPr>
        <w:t>为磋商小组人数；</w:t>
      </w:r>
      <w:r>
        <w:rPr>
          <w:rFonts w:ascii="宋体" w:hAnsi="宋体"/>
          <w:sz w:val="24"/>
          <w:szCs w:val="24"/>
        </w:rPr>
        <w:t>B</w:t>
      </w:r>
      <w:r>
        <w:rPr>
          <w:rFonts w:ascii="宋体" w:hAnsi="宋体"/>
          <w:sz w:val="24"/>
          <w:szCs w:val="24"/>
          <w:vertAlign w:val="subscript"/>
        </w:rPr>
        <w:t>1</w:t>
      </w:r>
      <w:r>
        <w:rPr>
          <w:rFonts w:hint="eastAsia" w:ascii="宋体" w:hAnsi="宋体"/>
          <w:sz w:val="24"/>
          <w:szCs w:val="24"/>
        </w:rPr>
        <w:t>、</w:t>
      </w:r>
      <w:r>
        <w:rPr>
          <w:rFonts w:ascii="宋体" w:hAnsi="宋体"/>
          <w:sz w:val="24"/>
          <w:szCs w:val="24"/>
        </w:rPr>
        <w:t>B</w:t>
      </w:r>
      <w:r>
        <w:rPr>
          <w:rFonts w:ascii="宋体" w:hAnsi="宋体"/>
          <w:sz w:val="24"/>
          <w:szCs w:val="24"/>
          <w:vertAlign w:val="subscript"/>
        </w:rPr>
        <w:t>2</w:t>
      </w:r>
      <w:r>
        <w:rPr>
          <w:rFonts w:hint="eastAsia" w:ascii="宋体" w:hAnsi="宋体"/>
          <w:sz w:val="24"/>
          <w:szCs w:val="24"/>
        </w:rPr>
        <w:t>＋……</w:t>
      </w:r>
      <w:r>
        <w:rPr>
          <w:rFonts w:ascii="宋体" w:hAnsi="宋体"/>
          <w:sz w:val="24"/>
          <w:szCs w:val="24"/>
        </w:rPr>
        <w:t>B</w:t>
      </w:r>
      <w:r>
        <w:rPr>
          <w:rFonts w:ascii="宋体" w:hAnsi="宋体"/>
          <w:sz w:val="24"/>
          <w:szCs w:val="24"/>
          <w:vertAlign w:val="subscript"/>
        </w:rPr>
        <w:t>n</w:t>
      </w:r>
      <w:r>
        <w:rPr>
          <w:rFonts w:ascii="宋体" w:hAnsi="宋体"/>
          <w:sz w:val="24"/>
          <w:szCs w:val="24"/>
        </w:rPr>
        <w:t xml:space="preserve"> 分别为每个技术类评委（含采购人代表）的打分，n</w:t>
      </w:r>
      <w:r>
        <w:rPr>
          <w:rFonts w:ascii="宋体" w:hAnsi="宋体"/>
          <w:sz w:val="24"/>
          <w:szCs w:val="24"/>
          <w:vertAlign w:val="subscript"/>
        </w:rPr>
        <w:t>2</w:t>
      </w:r>
      <w:r>
        <w:rPr>
          <w:rFonts w:hint="eastAsia" w:ascii="宋体" w:hAnsi="宋体"/>
          <w:sz w:val="24"/>
          <w:szCs w:val="24"/>
        </w:rPr>
        <w:t>为</w:t>
      </w:r>
      <w:r>
        <w:rPr>
          <w:rFonts w:hint="eastAsia" w:ascii="宋体" w:hAnsi="宋体" w:cs="宋体"/>
          <w:sz w:val="24"/>
          <w:szCs w:val="24"/>
        </w:rPr>
        <w:t>技术类</w:t>
      </w:r>
      <w:r>
        <w:rPr>
          <w:rFonts w:hint="eastAsia" w:ascii="宋体" w:hAnsi="宋体"/>
          <w:sz w:val="24"/>
          <w:szCs w:val="24"/>
        </w:rPr>
        <w:t xml:space="preserve">评委（含采购人代表）人数。 </w:t>
      </w:r>
    </w:p>
    <w:p>
      <w:pPr>
        <w:pStyle w:val="6"/>
        <w:numPr>
          <w:ilvl w:val="2"/>
          <w:numId w:val="5"/>
        </w:numPr>
        <w:spacing w:after="200" w:line="400" w:lineRule="exact"/>
        <w:ind w:left="1135" w:hanging="1135"/>
        <w:rPr>
          <w:color w:val="auto"/>
          <w:sz w:val="24"/>
          <w:szCs w:val="24"/>
        </w:rPr>
      </w:pPr>
      <w:r>
        <w:rPr>
          <w:rFonts w:hint="eastAsia"/>
          <w:color w:val="auto"/>
          <w:sz w:val="24"/>
          <w:szCs w:val="24"/>
        </w:rPr>
        <w:t>评分标准</w:t>
      </w:r>
    </w:p>
    <w:tbl>
      <w:tblPr>
        <w:tblStyle w:val="41"/>
        <w:tblW w:w="8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1275"/>
        <w:gridCol w:w="650"/>
        <w:gridCol w:w="4188"/>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4" w:hRule="atLeast"/>
        </w:trPr>
        <w:tc>
          <w:tcPr>
            <w:tcW w:w="619" w:type="dxa"/>
            <w:vAlign w:val="center"/>
          </w:tcPr>
          <w:p>
            <w:pPr>
              <w:spacing w:line="360" w:lineRule="auto"/>
              <w:rPr>
                <w:rFonts w:hint="eastAsia" w:ascii="宋体" w:hAnsi="宋体"/>
                <w:sz w:val="22"/>
                <w:szCs w:val="21"/>
              </w:rPr>
            </w:pPr>
            <w:r>
              <w:rPr>
                <w:rFonts w:hint="eastAsia" w:ascii="宋体" w:hAnsi="宋体"/>
                <w:sz w:val="22"/>
                <w:szCs w:val="21"/>
              </w:rPr>
              <w:t>序号</w:t>
            </w:r>
          </w:p>
        </w:tc>
        <w:tc>
          <w:tcPr>
            <w:tcW w:w="1275" w:type="dxa"/>
            <w:vAlign w:val="center"/>
          </w:tcPr>
          <w:p>
            <w:pPr>
              <w:spacing w:line="360" w:lineRule="auto"/>
              <w:rPr>
                <w:rFonts w:hint="eastAsia" w:ascii="宋体" w:hAnsi="宋体"/>
                <w:sz w:val="22"/>
                <w:szCs w:val="21"/>
              </w:rPr>
            </w:pPr>
            <w:r>
              <w:rPr>
                <w:rFonts w:hint="eastAsia" w:ascii="宋体" w:hAnsi="宋体"/>
                <w:sz w:val="22"/>
                <w:szCs w:val="21"/>
              </w:rPr>
              <w:t>评分因素</w:t>
            </w:r>
          </w:p>
          <w:p>
            <w:pPr>
              <w:spacing w:line="360" w:lineRule="auto"/>
              <w:rPr>
                <w:rFonts w:hint="eastAsia" w:ascii="宋体" w:hAnsi="宋体"/>
                <w:sz w:val="22"/>
                <w:szCs w:val="21"/>
              </w:rPr>
            </w:pPr>
            <w:r>
              <w:rPr>
                <w:rFonts w:hint="eastAsia" w:ascii="宋体" w:hAnsi="宋体"/>
                <w:sz w:val="22"/>
                <w:szCs w:val="21"/>
              </w:rPr>
              <w:t>及权重</w:t>
            </w:r>
          </w:p>
        </w:tc>
        <w:tc>
          <w:tcPr>
            <w:tcW w:w="650" w:type="dxa"/>
            <w:vAlign w:val="center"/>
          </w:tcPr>
          <w:p>
            <w:pPr>
              <w:spacing w:line="360" w:lineRule="auto"/>
              <w:rPr>
                <w:rFonts w:hint="eastAsia" w:ascii="宋体" w:hAnsi="宋体"/>
                <w:sz w:val="22"/>
                <w:szCs w:val="21"/>
              </w:rPr>
            </w:pPr>
            <w:r>
              <w:rPr>
                <w:rFonts w:hint="eastAsia" w:ascii="宋体" w:hAnsi="宋体"/>
                <w:sz w:val="22"/>
                <w:szCs w:val="21"/>
              </w:rPr>
              <w:t>分　值</w:t>
            </w:r>
          </w:p>
        </w:tc>
        <w:tc>
          <w:tcPr>
            <w:tcW w:w="4188" w:type="dxa"/>
            <w:vAlign w:val="center"/>
          </w:tcPr>
          <w:p>
            <w:pPr>
              <w:spacing w:line="360" w:lineRule="auto"/>
              <w:rPr>
                <w:rFonts w:hint="eastAsia" w:ascii="宋体" w:hAnsi="宋体"/>
                <w:sz w:val="22"/>
                <w:szCs w:val="21"/>
              </w:rPr>
            </w:pPr>
            <w:r>
              <w:rPr>
                <w:rFonts w:hint="eastAsia" w:ascii="宋体" w:hAnsi="宋体"/>
                <w:sz w:val="22"/>
                <w:szCs w:val="21"/>
              </w:rPr>
              <w:t>评分标准</w:t>
            </w:r>
          </w:p>
        </w:tc>
        <w:tc>
          <w:tcPr>
            <w:tcW w:w="1925" w:type="dxa"/>
            <w:vAlign w:val="center"/>
          </w:tcPr>
          <w:p>
            <w:pPr>
              <w:spacing w:line="360" w:lineRule="auto"/>
              <w:rPr>
                <w:rFonts w:hint="eastAsia" w:ascii="宋体" w:hAnsi="宋体"/>
                <w:sz w:val="22"/>
                <w:szCs w:val="21"/>
              </w:rPr>
            </w:pPr>
            <w:r>
              <w:rPr>
                <w:rFonts w:hint="eastAsia" w:ascii="宋体" w:hAnsi="宋体"/>
                <w:sz w:val="22"/>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1" w:hRule="atLeast"/>
        </w:trPr>
        <w:tc>
          <w:tcPr>
            <w:tcW w:w="619" w:type="dxa"/>
            <w:vAlign w:val="center"/>
          </w:tcPr>
          <w:p>
            <w:pPr>
              <w:spacing w:line="360" w:lineRule="auto"/>
              <w:rPr>
                <w:rFonts w:hint="eastAsia" w:ascii="宋体" w:hAnsi="宋体"/>
                <w:sz w:val="22"/>
                <w:szCs w:val="21"/>
              </w:rPr>
            </w:pPr>
            <w:r>
              <w:rPr>
                <w:rFonts w:hint="eastAsia" w:ascii="宋体" w:hAnsi="宋体"/>
                <w:sz w:val="22"/>
                <w:szCs w:val="21"/>
              </w:rPr>
              <w:t>1</w:t>
            </w:r>
          </w:p>
        </w:tc>
        <w:tc>
          <w:tcPr>
            <w:tcW w:w="1275" w:type="dxa"/>
            <w:vAlign w:val="center"/>
          </w:tcPr>
          <w:p>
            <w:pPr>
              <w:spacing w:line="360" w:lineRule="auto"/>
              <w:rPr>
                <w:rFonts w:hint="eastAsia" w:ascii="宋体" w:hAnsi="宋体"/>
                <w:sz w:val="22"/>
                <w:szCs w:val="21"/>
              </w:rPr>
            </w:pPr>
            <w:r>
              <w:rPr>
                <w:rFonts w:hint="eastAsia" w:ascii="宋体" w:hAnsi="宋体"/>
                <w:sz w:val="22"/>
                <w:szCs w:val="21"/>
              </w:rPr>
              <w:t>报价</w:t>
            </w:r>
            <w:r>
              <w:rPr>
                <w:rFonts w:hint="eastAsia" w:ascii="宋体" w:hAnsi="宋体"/>
                <w:sz w:val="22"/>
                <w:szCs w:val="21"/>
                <w:lang w:val="en-US" w:eastAsia="zh-CN"/>
              </w:rPr>
              <w:t>30</w:t>
            </w:r>
            <w:r>
              <w:rPr>
                <w:rFonts w:hint="eastAsia" w:ascii="宋体" w:hAnsi="宋体"/>
                <w:sz w:val="22"/>
                <w:szCs w:val="21"/>
              </w:rPr>
              <w:t>%</w:t>
            </w:r>
          </w:p>
          <w:p>
            <w:pPr>
              <w:spacing w:line="360" w:lineRule="auto"/>
              <w:rPr>
                <w:rFonts w:hint="eastAsia" w:ascii="宋体" w:hAnsi="宋体"/>
                <w:sz w:val="22"/>
                <w:szCs w:val="21"/>
              </w:rPr>
            </w:pPr>
            <w:r>
              <w:rPr>
                <w:rFonts w:hint="eastAsia" w:ascii="宋体" w:hAnsi="宋体"/>
                <w:sz w:val="22"/>
                <w:szCs w:val="21"/>
              </w:rPr>
              <w:t>（共同评分因素）</w:t>
            </w:r>
          </w:p>
        </w:tc>
        <w:tc>
          <w:tcPr>
            <w:tcW w:w="650" w:type="dxa"/>
            <w:vAlign w:val="center"/>
          </w:tcPr>
          <w:p>
            <w:pPr>
              <w:spacing w:line="360" w:lineRule="auto"/>
              <w:rPr>
                <w:rFonts w:hint="eastAsia" w:ascii="宋体" w:hAnsi="宋体"/>
                <w:sz w:val="22"/>
                <w:szCs w:val="21"/>
              </w:rPr>
            </w:pPr>
            <w:r>
              <w:rPr>
                <w:rFonts w:hint="eastAsia" w:ascii="宋体" w:hAnsi="宋体"/>
                <w:sz w:val="22"/>
                <w:szCs w:val="21"/>
                <w:lang w:val="en-US" w:eastAsia="zh-CN"/>
              </w:rPr>
              <w:t>30</w:t>
            </w:r>
            <w:r>
              <w:rPr>
                <w:rFonts w:hint="eastAsia" w:ascii="宋体" w:hAnsi="宋体"/>
                <w:sz w:val="22"/>
                <w:szCs w:val="21"/>
              </w:rPr>
              <w:t>分</w:t>
            </w:r>
          </w:p>
        </w:tc>
        <w:tc>
          <w:tcPr>
            <w:tcW w:w="4188" w:type="dxa"/>
            <w:vAlign w:val="center"/>
          </w:tcPr>
          <w:p>
            <w:pPr>
              <w:spacing w:line="360" w:lineRule="auto"/>
              <w:rPr>
                <w:rFonts w:hint="default" w:ascii="宋体" w:hAnsi="宋体" w:eastAsia="宋体"/>
                <w:sz w:val="22"/>
                <w:szCs w:val="21"/>
                <w:lang w:val="en-US" w:eastAsia="zh-CN"/>
              </w:rPr>
            </w:pPr>
            <w:r>
              <w:rPr>
                <w:rFonts w:hint="eastAsia" w:ascii="宋体" w:hAnsi="宋体"/>
                <w:sz w:val="22"/>
                <w:szCs w:val="21"/>
              </w:rPr>
              <w:t>以本次有效的最低磋商报价为基准价，磋商报价得分=(磋商基准价／最后磋商报价)*</w:t>
            </w:r>
            <w:r>
              <w:rPr>
                <w:rFonts w:hint="eastAsia" w:ascii="宋体" w:hAnsi="宋体"/>
                <w:sz w:val="22"/>
                <w:szCs w:val="21"/>
                <w:lang w:val="en-US" w:eastAsia="zh-CN"/>
              </w:rPr>
              <w:t>30</w:t>
            </w:r>
          </w:p>
        </w:tc>
        <w:tc>
          <w:tcPr>
            <w:tcW w:w="1925" w:type="dxa"/>
            <w:vAlign w:val="center"/>
          </w:tcPr>
          <w:p>
            <w:pPr>
              <w:spacing w:line="360" w:lineRule="auto"/>
              <w:rPr>
                <w:rFonts w:hint="eastAsia" w:ascii="宋体" w:hAnsi="宋体"/>
                <w:sz w:val="22"/>
                <w:szCs w:val="21"/>
              </w:rPr>
            </w:pPr>
            <w:r>
              <w:rPr>
                <w:rFonts w:hint="eastAsia" w:ascii="宋体" w:hAnsi="宋体"/>
                <w:kern w:val="0"/>
                <w:sz w:val="22"/>
                <w:szCs w:val="21"/>
              </w:rPr>
              <w:t>小微企业（监狱企业、残疾人福利性单位视同小微企业）价格扣除按照磋商文件须知附表规定执行。</w:t>
            </w:r>
          </w:p>
          <w:p>
            <w:pPr>
              <w:spacing w:line="360" w:lineRule="auto"/>
              <w:rPr>
                <w:rFonts w:hint="eastAsia"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3" w:hRule="atLeast"/>
        </w:trPr>
        <w:tc>
          <w:tcPr>
            <w:tcW w:w="619" w:type="dxa"/>
            <w:vAlign w:val="center"/>
          </w:tcPr>
          <w:p>
            <w:pPr>
              <w:spacing w:line="360" w:lineRule="auto"/>
              <w:rPr>
                <w:rFonts w:hint="eastAsia" w:ascii="宋体" w:hAnsi="宋体"/>
                <w:sz w:val="22"/>
                <w:szCs w:val="21"/>
              </w:rPr>
            </w:pPr>
            <w:r>
              <w:rPr>
                <w:rFonts w:hint="eastAsia" w:ascii="宋体" w:hAnsi="宋体"/>
                <w:sz w:val="22"/>
                <w:szCs w:val="21"/>
              </w:rPr>
              <w:t>2</w:t>
            </w:r>
          </w:p>
        </w:tc>
        <w:tc>
          <w:tcPr>
            <w:tcW w:w="1275" w:type="dxa"/>
            <w:vAlign w:val="center"/>
          </w:tcPr>
          <w:p>
            <w:pPr>
              <w:spacing w:line="360" w:lineRule="auto"/>
              <w:rPr>
                <w:rFonts w:hint="eastAsia" w:ascii="宋体" w:hAnsi="宋体"/>
                <w:sz w:val="22"/>
                <w:szCs w:val="21"/>
                <w:lang w:eastAsia="zh-CN"/>
              </w:rPr>
            </w:pPr>
            <w:r>
              <w:rPr>
                <w:rFonts w:hint="eastAsia" w:ascii="宋体" w:hAnsi="宋体"/>
                <w:sz w:val="22"/>
                <w:szCs w:val="21"/>
              </w:rPr>
              <w:t>技术参数及要求</w:t>
            </w:r>
            <w:r>
              <w:rPr>
                <w:rFonts w:hint="eastAsia" w:ascii="宋体" w:hAnsi="宋体"/>
                <w:sz w:val="22"/>
                <w:szCs w:val="21"/>
                <w:lang w:val="en-US" w:eastAsia="zh-CN"/>
              </w:rPr>
              <w:t>15.5%</w:t>
            </w:r>
            <w:r>
              <w:rPr>
                <w:rFonts w:hint="eastAsia" w:ascii="宋体" w:hAnsi="宋体"/>
                <w:sz w:val="22"/>
                <w:szCs w:val="21"/>
                <w:lang w:eastAsia="zh-CN"/>
              </w:rPr>
              <w:t>（</w:t>
            </w:r>
            <w:r>
              <w:rPr>
                <w:rFonts w:hint="eastAsia" w:ascii="宋体" w:hAnsi="宋体"/>
                <w:sz w:val="22"/>
                <w:szCs w:val="21"/>
              </w:rPr>
              <w:t>技术类评分因素</w:t>
            </w:r>
            <w:r>
              <w:rPr>
                <w:rFonts w:hint="eastAsia" w:ascii="宋体" w:hAnsi="宋体"/>
                <w:sz w:val="22"/>
                <w:szCs w:val="21"/>
                <w:lang w:eastAsia="zh-CN"/>
              </w:rPr>
              <w:t>含采购人代表</w:t>
            </w:r>
          </w:p>
          <w:p>
            <w:pPr>
              <w:spacing w:line="360" w:lineRule="auto"/>
              <w:rPr>
                <w:rFonts w:hint="eastAsia" w:ascii="宋体" w:hAnsi="宋体"/>
                <w:sz w:val="22"/>
                <w:szCs w:val="21"/>
              </w:rPr>
            </w:pPr>
            <w:r>
              <w:rPr>
                <w:rFonts w:hint="eastAsia" w:ascii="宋体" w:hAnsi="宋体"/>
                <w:sz w:val="22"/>
                <w:szCs w:val="21"/>
                <w:lang w:eastAsia="zh-CN"/>
              </w:rPr>
              <w:t>）</w:t>
            </w:r>
          </w:p>
        </w:tc>
        <w:tc>
          <w:tcPr>
            <w:tcW w:w="650" w:type="dxa"/>
            <w:vAlign w:val="center"/>
          </w:tcPr>
          <w:p>
            <w:pPr>
              <w:spacing w:line="360" w:lineRule="auto"/>
              <w:rPr>
                <w:rFonts w:hint="eastAsia" w:ascii="宋体" w:hAnsi="宋体"/>
                <w:sz w:val="22"/>
                <w:szCs w:val="21"/>
              </w:rPr>
            </w:pPr>
            <w:r>
              <w:rPr>
                <w:rFonts w:hint="eastAsia" w:ascii="宋体" w:hAnsi="宋体"/>
                <w:sz w:val="21"/>
                <w:szCs w:val="20"/>
                <w:lang w:val="en-US" w:eastAsia="zh-CN"/>
              </w:rPr>
              <w:t>15.5</w:t>
            </w:r>
            <w:r>
              <w:rPr>
                <w:rFonts w:hint="eastAsia" w:ascii="宋体" w:hAnsi="宋体"/>
                <w:sz w:val="21"/>
                <w:szCs w:val="20"/>
              </w:rPr>
              <w:t>分</w:t>
            </w:r>
          </w:p>
        </w:tc>
        <w:tc>
          <w:tcPr>
            <w:tcW w:w="4188" w:type="dxa"/>
            <w:vAlign w:val="center"/>
          </w:tcPr>
          <w:p>
            <w:pPr>
              <w:contextualSpacing/>
              <w:rPr>
                <w:rFonts w:ascii="仿宋" w:hAnsi="仿宋" w:eastAsia="仿宋"/>
                <w:szCs w:val="21"/>
              </w:rPr>
            </w:pPr>
            <w:r>
              <w:rPr>
                <w:rFonts w:hint="eastAsia" w:ascii="仿宋" w:hAnsi="仿宋" w:eastAsia="仿宋"/>
                <w:szCs w:val="21"/>
              </w:rPr>
              <w:t>满足采购文件第六章“技术参数及要求”中技术参数及要求的得</w:t>
            </w:r>
            <w:r>
              <w:rPr>
                <w:rFonts w:ascii="仿宋" w:hAnsi="仿宋" w:eastAsia="仿宋"/>
                <w:szCs w:val="21"/>
              </w:rPr>
              <w:t>15.5</w:t>
            </w:r>
            <w:r>
              <w:rPr>
                <w:rFonts w:hint="eastAsia" w:ascii="仿宋" w:hAnsi="仿宋" w:eastAsia="仿宋"/>
                <w:szCs w:val="21"/>
              </w:rPr>
              <w:t>分，技术参数及要求低于采购文件“技术参数及要求”的（负偏离）按照以下原则扣分：“技术参数及要求”条款数量共</w:t>
            </w:r>
            <w:r>
              <w:rPr>
                <w:rFonts w:ascii="仿宋" w:hAnsi="仿宋" w:eastAsia="仿宋"/>
                <w:szCs w:val="21"/>
              </w:rPr>
              <w:t>31</w:t>
            </w:r>
            <w:r>
              <w:rPr>
                <w:rFonts w:hint="eastAsia" w:ascii="仿宋" w:hAnsi="仿宋" w:eastAsia="仿宋"/>
                <w:szCs w:val="21"/>
              </w:rPr>
              <w:t>条，负偏离一项扣0</w:t>
            </w:r>
            <w:r>
              <w:rPr>
                <w:rFonts w:ascii="仿宋" w:hAnsi="仿宋" w:eastAsia="仿宋"/>
                <w:szCs w:val="21"/>
              </w:rPr>
              <w:t>.</w:t>
            </w:r>
            <w:r>
              <w:rPr>
                <w:rFonts w:hint="eastAsia" w:ascii="仿宋" w:hAnsi="仿宋" w:eastAsia="仿宋"/>
                <w:szCs w:val="21"/>
              </w:rPr>
              <w:t>5分；扣完为止。</w:t>
            </w:r>
            <w:r>
              <w:rPr>
                <w:rFonts w:ascii="仿宋" w:hAnsi="仿宋" w:eastAsia="仿宋"/>
                <w:szCs w:val="21"/>
              </w:rPr>
              <w:br w:type="textWrapping"/>
            </w:r>
            <w:r>
              <w:rPr>
                <w:rFonts w:hint="eastAsia" w:ascii="仿宋" w:hAnsi="仿宋" w:eastAsia="仿宋"/>
                <w:szCs w:val="21"/>
              </w:rPr>
              <w:t>说明：1</w:t>
            </w:r>
            <w:r>
              <w:rPr>
                <w:rFonts w:ascii="仿宋" w:hAnsi="仿宋" w:eastAsia="仿宋"/>
                <w:szCs w:val="21"/>
              </w:rPr>
              <w:t>.</w:t>
            </w:r>
            <w:r>
              <w:rPr>
                <w:rFonts w:hint="eastAsia" w:ascii="仿宋" w:hAnsi="仿宋" w:eastAsia="仿宋"/>
                <w:szCs w:val="21"/>
              </w:rPr>
              <w:t>采购文件第六章“技术参数及要求”中有明确规定，则按照规定提供技术参数及要求的佐证材料，否则不予认定。</w:t>
            </w:r>
          </w:p>
          <w:p>
            <w:pPr>
              <w:spacing w:line="360" w:lineRule="auto"/>
              <w:rPr>
                <w:rFonts w:hint="eastAsia" w:ascii="宋体" w:hAnsi="宋体"/>
                <w:sz w:val="22"/>
                <w:szCs w:val="21"/>
              </w:rPr>
            </w:pPr>
            <w:r>
              <w:rPr>
                <w:rFonts w:hint="eastAsia" w:ascii="仿宋" w:hAnsi="仿宋" w:eastAsia="仿宋"/>
                <w:szCs w:val="21"/>
              </w:rPr>
              <w:t>2</w:t>
            </w:r>
            <w:r>
              <w:rPr>
                <w:rFonts w:ascii="仿宋" w:hAnsi="仿宋" w:eastAsia="仿宋"/>
                <w:szCs w:val="21"/>
              </w:rPr>
              <w:t>.</w:t>
            </w:r>
            <w:r>
              <w:rPr>
                <w:rFonts w:hint="eastAsia" w:ascii="仿宋" w:hAnsi="仿宋" w:eastAsia="仿宋"/>
                <w:szCs w:val="21"/>
              </w:rPr>
              <w:t>标记“★”为本项目实质性要求，在符合性审查时审查，不参与本项评审。</w:t>
            </w:r>
          </w:p>
        </w:tc>
        <w:tc>
          <w:tcPr>
            <w:tcW w:w="1925" w:type="dxa"/>
            <w:vAlign w:val="center"/>
          </w:tcPr>
          <w:p>
            <w:pPr>
              <w:spacing w:line="360" w:lineRule="auto"/>
              <w:rPr>
                <w:rFonts w:hint="eastAsia"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3" w:hRule="atLeast"/>
        </w:trPr>
        <w:tc>
          <w:tcPr>
            <w:tcW w:w="619" w:type="dxa"/>
            <w:vAlign w:val="center"/>
          </w:tcPr>
          <w:p>
            <w:pPr>
              <w:spacing w:line="360" w:lineRule="auto"/>
              <w:rPr>
                <w:rFonts w:hint="eastAsia" w:ascii="宋体" w:hAnsi="宋体"/>
                <w:sz w:val="22"/>
                <w:szCs w:val="21"/>
              </w:rPr>
            </w:pPr>
            <w:r>
              <w:rPr>
                <w:rFonts w:hint="eastAsia" w:ascii="宋体" w:hAnsi="宋体"/>
                <w:sz w:val="22"/>
                <w:szCs w:val="21"/>
              </w:rPr>
              <w:t>3</w:t>
            </w:r>
          </w:p>
        </w:tc>
        <w:tc>
          <w:tcPr>
            <w:tcW w:w="1275" w:type="dxa"/>
            <w:vAlign w:val="center"/>
          </w:tcPr>
          <w:p>
            <w:pPr>
              <w:spacing w:line="360" w:lineRule="auto"/>
              <w:rPr>
                <w:rFonts w:hint="eastAsia" w:ascii="宋体" w:hAnsi="宋体"/>
                <w:sz w:val="22"/>
                <w:szCs w:val="21"/>
              </w:rPr>
            </w:pPr>
            <w:r>
              <w:rPr>
                <w:rFonts w:hint="eastAsia" w:ascii="仿宋" w:hAnsi="仿宋" w:eastAsia="仿宋"/>
                <w:szCs w:val="21"/>
              </w:rPr>
              <w:t>产品综合实力</w:t>
            </w:r>
            <w:r>
              <w:rPr>
                <w:rFonts w:hint="eastAsia" w:ascii="仿宋" w:hAnsi="仿宋" w:eastAsia="仿宋"/>
                <w:szCs w:val="21"/>
                <w:lang w:val="en-US" w:eastAsia="zh-CN"/>
              </w:rPr>
              <w:t>12%</w:t>
            </w:r>
            <w:r>
              <w:rPr>
                <w:rFonts w:hint="eastAsia" w:ascii="仿宋" w:hAnsi="仿宋" w:eastAsia="仿宋"/>
                <w:szCs w:val="21"/>
                <w:lang w:eastAsia="zh-CN"/>
              </w:rPr>
              <w:t>（</w:t>
            </w:r>
            <w:r>
              <w:rPr>
                <w:rFonts w:hint="eastAsia" w:ascii="仿宋" w:hAnsi="仿宋" w:eastAsia="仿宋"/>
                <w:szCs w:val="21"/>
              </w:rPr>
              <w:t>共同评分因素</w:t>
            </w:r>
            <w:r>
              <w:rPr>
                <w:rFonts w:hint="eastAsia" w:ascii="仿宋" w:hAnsi="仿宋" w:eastAsia="仿宋"/>
                <w:szCs w:val="21"/>
                <w:lang w:eastAsia="zh-CN"/>
              </w:rPr>
              <w:t>）</w:t>
            </w:r>
          </w:p>
        </w:tc>
        <w:tc>
          <w:tcPr>
            <w:tcW w:w="650" w:type="dxa"/>
            <w:vAlign w:val="center"/>
          </w:tcPr>
          <w:p>
            <w:pPr>
              <w:spacing w:line="360" w:lineRule="auto"/>
              <w:rPr>
                <w:rFonts w:hint="eastAsia" w:ascii="宋体" w:hAnsi="宋体"/>
                <w:sz w:val="22"/>
                <w:szCs w:val="21"/>
              </w:rPr>
            </w:pPr>
            <w:r>
              <w:rPr>
                <w:rFonts w:hint="eastAsia" w:ascii="宋体" w:hAnsi="宋体"/>
                <w:sz w:val="22"/>
                <w:szCs w:val="21"/>
                <w:lang w:val="en-US" w:eastAsia="zh-CN"/>
              </w:rPr>
              <w:t>12</w:t>
            </w:r>
            <w:r>
              <w:rPr>
                <w:rFonts w:hint="eastAsia" w:ascii="宋体" w:hAnsi="宋体"/>
                <w:sz w:val="22"/>
                <w:szCs w:val="21"/>
              </w:rPr>
              <w:t>分</w:t>
            </w:r>
          </w:p>
        </w:tc>
        <w:tc>
          <w:tcPr>
            <w:tcW w:w="4188" w:type="dxa"/>
            <w:vAlign w:val="center"/>
          </w:tcPr>
          <w:p>
            <w:pPr>
              <w:pStyle w:val="286"/>
              <w:ind w:firstLine="0" w:firstLineChars="0"/>
              <w:contextualSpacing/>
              <w:jc w:val="left"/>
              <w:rPr>
                <w:rFonts w:ascii="仿宋" w:hAnsi="仿宋" w:eastAsia="仿宋"/>
                <w:szCs w:val="21"/>
              </w:rPr>
            </w:pPr>
            <w:r>
              <w:rPr>
                <w:rFonts w:hint="eastAsia" w:ascii="仿宋" w:hAnsi="仿宋" w:eastAsia="仿宋"/>
                <w:szCs w:val="21"/>
              </w:rPr>
              <w:t>1、供应商</w:t>
            </w:r>
            <w:r>
              <w:rPr>
                <w:rFonts w:hint="eastAsia" w:ascii="仿宋" w:hAnsi="仿宋" w:eastAsia="仿宋"/>
                <w:szCs w:val="21"/>
                <w:lang w:eastAsia="zh-CN"/>
              </w:rPr>
              <w:t>提供的</w:t>
            </w:r>
            <w:r>
              <w:rPr>
                <w:rFonts w:hint="eastAsia" w:ascii="仿宋" w:hAnsi="仿宋" w:eastAsia="仿宋"/>
                <w:szCs w:val="21"/>
              </w:rPr>
              <w:t>LED教室灯和LED黑板灯的光通维持率能达到：①在0小时(不含)—8000（含）小时期间，光通维持率≥90%的，得1分；②在8000小时的基础上，每增加1000小时的，且光通量维持率≥90%的，加0.5分。此项最多得3分。</w:t>
            </w:r>
          </w:p>
          <w:p>
            <w:pPr>
              <w:pStyle w:val="286"/>
              <w:ind w:firstLine="0" w:firstLineChars="0"/>
              <w:contextualSpacing/>
              <w:jc w:val="left"/>
              <w:rPr>
                <w:rFonts w:ascii="仿宋" w:hAnsi="仿宋" w:eastAsia="仿宋"/>
                <w:szCs w:val="21"/>
              </w:rPr>
            </w:pPr>
            <w:r>
              <w:rPr>
                <w:rFonts w:hint="eastAsia" w:ascii="仿宋" w:hAnsi="仿宋" w:eastAsia="仿宋"/>
                <w:szCs w:val="21"/>
              </w:rPr>
              <w:t>说明：①提供国家认可的第三方检测机构出具封面带有CMA标志的完整检测报告复印件，并加盖</w:t>
            </w:r>
            <w:r>
              <w:rPr>
                <w:rFonts w:hint="eastAsia" w:ascii="仿宋" w:hAnsi="仿宋" w:eastAsia="仿宋"/>
                <w:szCs w:val="21"/>
                <w:lang w:eastAsia="zh-CN"/>
              </w:rPr>
              <w:t>供应商公章</w:t>
            </w:r>
            <w:r>
              <w:rPr>
                <w:rFonts w:hint="eastAsia" w:ascii="仿宋" w:hAnsi="仿宋" w:eastAsia="仿宋"/>
                <w:szCs w:val="21"/>
              </w:rPr>
              <w:t>；②不足1000个小时的，按1000个小时计算，如：1300小时，视为2000小时，进行计算。</w:t>
            </w:r>
          </w:p>
          <w:p>
            <w:pPr>
              <w:contextualSpacing/>
              <w:rPr>
                <w:rFonts w:ascii="仿宋" w:hAnsi="仿宋" w:eastAsia="仿宋"/>
                <w:szCs w:val="21"/>
              </w:rPr>
            </w:pPr>
            <w:r>
              <w:rPr>
                <w:rFonts w:hint="eastAsia" w:ascii="仿宋" w:hAnsi="仿宋" w:eastAsia="仿宋"/>
                <w:szCs w:val="21"/>
              </w:rPr>
              <w:t>2、供应商</w:t>
            </w:r>
            <w:r>
              <w:rPr>
                <w:rFonts w:hint="eastAsia" w:ascii="仿宋" w:hAnsi="仿宋" w:eastAsia="仿宋"/>
                <w:szCs w:val="21"/>
                <w:lang w:eastAsia="zh-CN"/>
              </w:rPr>
              <w:t>提供的</w:t>
            </w:r>
            <w:r>
              <w:rPr>
                <w:rFonts w:hint="eastAsia" w:ascii="仿宋" w:hAnsi="仿宋" w:eastAsia="仿宋"/>
                <w:szCs w:val="21"/>
              </w:rPr>
              <w:t>LED教室灯和LED黑板灯的显色指数能达到：①在0小时(不含)—10000（含）小时期间，Ra≥90的，得1分；②在10000小时的基础上，每增加1000小时的，且显色指数Ra≥90的，加0.5分。此项最多得3分。</w:t>
            </w:r>
          </w:p>
          <w:p>
            <w:pPr>
              <w:contextualSpacing/>
              <w:rPr>
                <w:rFonts w:ascii="仿宋" w:hAnsi="仿宋" w:eastAsia="仿宋"/>
                <w:szCs w:val="21"/>
              </w:rPr>
            </w:pPr>
            <w:r>
              <w:rPr>
                <w:rFonts w:hint="eastAsia" w:ascii="仿宋" w:hAnsi="仿宋" w:eastAsia="仿宋"/>
                <w:szCs w:val="21"/>
              </w:rPr>
              <w:t>说明：①提供国家认可的第三方检测机构出具封面带有CMA及CNAS标志的完整检测报告复印件，并加盖</w:t>
            </w:r>
            <w:r>
              <w:rPr>
                <w:rFonts w:hint="eastAsia" w:ascii="仿宋" w:hAnsi="仿宋" w:eastAsia="仿宋"/>
                <w:szCs w:val="21"/>
                <w:lang w:eastAsia="zh-CN"/>
              </w:rPr>
              <w:t>供应商公章</w:t>
            </w:r>
            <w:r>
              <w:rPr>
                <w:rFonts w:hint="eastAsia" w:ascii="仿宋" w:hAnsi="仿宋" w:eastAsia="仿宋"/>
                <w:szCs w:val="21"/>
              </w:rPr>
              <w:t>；②不足1000个小时的，按1000个小时计算，如：1300小时，视为2000小时，进行计算。</w:t>
            </w:r>
          </w:p>
          <w:p>
            <w:pPr>
              <w:contextualSpacing/>
              <w:rPr>
                <w:rFonts w:ascii="仿宋" w:hAnsi="仿宋" w:eastAsia="仿宋" w:cstheme="minorBidi"/>
                <w:szCs w:val="21"/>
              </w:rPr>
            </w:pPr>
            <w:r>
              <w:rPr>
                <w:rFonts w:hint="eastAsia" w:ascii="仿宋" w:hAnsi="仿宋" w:eastAsia="仿宋"/>
                <w:szCs w:val="21"/>
              </w:rPr>
              <w:t>3.</w:t>
            </w:r>
            <w:r>
              <w:rPr>
                <w:rFonts w:hint="eastAsia" w:ascii="仿宋" w:hAnsi="仿宋" w:eastAsia="仿宋" w:cstheme="minorBidi"/>
                <w:szCs w:val="21"/>
                <w:lang w:eastAsia="zh-CN"/>
              </w:rPr>
              <w:t>供应商提供的</w:t>
            </w:r>
            <w:r>
              <w:rPr>
                <w:rFonts w:hint="eastAsia" w:ascii="仿宋" w:hAnsi="仿宋" w:eastAsia="仿宋" w:cstheme="minorBidi"/>
                <w:szCs w:val="21"/>
              </w:rPr>
              <w:t>LED教室灯在0h及1000h试验后，相关色温两者差值≤20K；一般显色指数两者差值≤1；特殊显色指数R9两者差值≤2。【1000h验证试验条件：持续时间1000h】。提供</w:t>
            </w:r>
            <w:r>
              <w:rPr>
                <w:rFonts w:hint="eastAsia" w:ascii="仿宋" w:hAnsi="仿宋" w:eastAsia="仿宋" w:cstheme="minorBidi"/>
                <w:szCs w:val="21"/>
                <w:lang w:eastAsia="zh-CN"/>
              </w:rPr>
              <w:t>国家认可的</w:t>
            </w:r>
            <w:r>
              <w:rPr>
                <w:rFonts w:hint="eastAsia" w:ascii="仿宋" w:hAnsi="仿宋" w:eastAsia="仿宋" w:cstheme="minorBidi"/>
                <w:szCs w:val="21"/>
              </w:rPr>
              <w:t>检测机构出具的检测报告复印件（该检测报告有CMA标志）的得3分，未提供不得分。</w:t>
            </w:r>
          </w:p>
          <w:p>
            <w:pPr>
              <w:spacing w:line="360" w:lineRule="auto"/>
              <w:rPr>
                <w:rFonts w:hint="eastAsia" w:ascii="宋体" w:hAnsi="宋体"/>
                <w:sz w:val="22"/>
                <w:szCs w:val="21"/>
              </w:rPr>
            </w:pPr>
            <w:r>
              <w:rPr>
                <w:rFonts w:hint="eastAsia" w:ascii="仿宋" w:hAnsi="仿宋" w:eastAsia="仿宋" w:cstheme="minorBidi"/>
                <w:szCs w:val="21"/>
              </w:rPr>
              <w:t>4.</w:t>
            </w:r>
            <w:r>
              <w:rPr>
                <w:rFonts w:hint="eastAsia" w:ascii="仿宋" w:hAnsi="仿宋" w:eastAsia="仿宋" w:cstheme="minorBidi"/>
                <w:szCs w:val="21"/>
                <w:lang w:eastAsia="zh-CN"/>
              </w:rPr>
              <w:t>供应商提供的</w:t>
            </w:r>
            <w:r>
              <w:rPr>
                <w:rFonts w:hint="eastAsia" w:ascii="仿宋" w:hAnsi="仿宋" w:eastAsia="仿宋" w:cstheme="minorBidi"/>
                <w:szCs w:val="21"/>
              </w:rPr>
              <w:t>LED教室灯在0h及1000h试验后，功率因数两者差值≤0.002；发光效能两者差值≤1LM/W【1000h验证试验条件：持续时间1000h】。提供</w:t>
            </w:r>
            <w:r>
              <w:rPr>
                <w:rFonts w:hint="eastAsia" w:ascii="仿宋" w:hAnsi="仿宋" w:eastAsia="仿宋" w:cstheme="minorBidi"/>
                <w:szCs w:val="21"/>
                <w:lang w:eastAsia="zh-CN"/>
              </w:rPr>
              <w:t>国家认可的</w:t>
            </w:r>
            <w:r>
              <w:rPr>
                <w:rFonts w:hint="eastAsia" w:ascii="仿宋" w:hAnsi="仿宋" w:eastAsia="仿宋" w:cstheme="minorBidi"/>
                <w:szCs w:val="21"/>
              </w:rPr>
              <w:t>检测机构出具的检测报告复印件（该检测报告有CMA标志）的得3分，否则不得分。</w:t>
            </w:r>
          </w:p>
        </w:tc>
        <w:tc>
          <w:tcPr>
            <w:tcW w:w="1925" w:type="dxa"/>
            <w:vAlign w:val="center"/>
          </w:tcPr>
          <w:p>
            <w:pPr>
              <w:spacing w:line="360" w:lineRule="auto"/>
              <w:rPr>
                <w:rFonts w:hint="eastAsia"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3" w:hRule="atLeast"/>
        </w:trPr>
        <w:tc>
          <w:tcPr>
            <w:tcW w:w="619" w:type="dxa"/>
            <w:vAlign w:val="center"/>
          </w:tcPr>
          <w:p>
            <w:pPr>
              <w:spacing w:line="360" w:lineRule="auto"/>
              <w:rPr>
                <w:rFonts w:hint="eastAsia" w:ascii="宋体" w:hAnsi="宋体"/>
                <w:sz w:val="22"/>
                <w:szCs w:val="21"/>
              </w:rPr>
            </w:pPr>
            <w:r>
              <w:rPr>
                <w:rFonts w:hint="eastAsia" w:ascii="宋体" w:hAnsi="宋体"/>
                <w:sz w:val="22"/>
                <w:szCs w:val="21"/>
              </w:rPr>
              <w:t>4</w:t>
            </w:r>
          </w:p>
        </w:tc>
        <w:tc>
          <w:tcPr>
            <w:tcW w:w="1275" w:type="dxa"/>
            <w:vAlign w:val="center"/>
          </w:tcPr>
          <w:p>
            <w:pPr>
              <w:spacing w:line="360" w:lineRule="auto"/>
              <w:rPr>
                <w:rFonts w:hint="eastAsia" w:ascii="宋体" w:hAnsi="宋体"/>
                <w:sz w:val="22"/>
                <w:szCs w:val="21"/>
              </w:rPr>
            </w:pPr>
            <w:r>
              <w:rPr>
                <w:rFonts w:hint="eastAsia" w:ascii="仿宋" w:hAnsi="仿宋" w:eastAsia="仿宋"/>
                <w:szCs w:val="21"/>
                <w:lang w:eastAsia="zh-CN"/>
              </w:rPr>
              <w:t>供应商</w:t>
            </w:r>
            <w:r>
              <w:rPr>
                <w:rFonts w:hint="eastAsia" w:ascii="仿宋" w:hAnsi="仿宋" w:eastAsia="仿宋"/>
                <w:szCs w:val="21"/>
              </w:rPr>
              <w:t>资信能力</w:t>
            </w:r>
            <w:r>
              <w:rPr>
                <w:rFonts w:hint="eastAsia" w:ascii="仿宋" w:hAnsi="仿宋" w:eastAsia="仿宋"/>
                <w:szCs w:val="21"/>
                <w:lang w:val="en-US" w:eastAsia="zh-CN"/>
              </w:rPr>
              <w:t>4%</w:t>
            </w:r>
            <w:r>
              <w:rPr>
                <w:rFonts w:hint="eastAsia" w:ascii="仿宋" w:hAnsi="仿宋" w:eastAsia="仿宋"/>
                <w:szCs w:val="21"/>
                <w:lang w:eastAsia="zh-CN"/>
              </w:rPr>
              <w:t>（</w:t>
            </w:r>
            <w:r>
              <w:rPr>
                <w:rFonts w:hint="eastAsia" w:ascii="仿宋" w:hAnsi="仿宋" w:eastAsia="仿宋"/>
                <w:szCs w:val="21"/>
              </w:rPr>
              <w:t>共同评分因素</w:t>
            </w:r>
            <w:r>
              <w:rPr>
                <w:rFonts w:hint="eastAsia" w:ascii="仿宋" w:hAnsi="仿宋" w:eastAsia="仿宋"/>
                <w:szCs w:val="21"/>
                <w:lang w:eastAsia="zh-CN"/>
              </w:rPr>
              <w:t>）</w:t>
            </w:r>
          </w:p>
        </w:tc>
        <w:tc>
          <w:tcPr>
            <w:tcW w:w="650" w:type="dxa"/>
            <w:vAlign w:val="center"/>
          </w:tcPr>
          <w:p>
            <w:pPr>
              <w:spacing w:line="360" w:lineRule="auto"/>
              <w:rPr>
                <w:rFonts w:hint="eastAsia" w:ascii="宋体" w:hAnsi="宋体"/>
                <w:sz w:val="22"/>
                <w:szCs w:val="21"/>
              </w:rPr>
            </w:pPr>
            <w:r>
              <w:rPr>
                <w:rFonts w:hint="eastAsia" w:ascii="宋体" w:hAnsi="宋体"/>
                <w:sz w:val="22"/>
                <w:szCs w:val="21"/>
                <w:lang w:val="en-US" w:eastAsia="zh-CN"/>
              </w:rPr>
              <w:t>4</w:t>
            </w:r>
            <w:r>
              <w:rPr>
                <w:rFonts w:hint="eastAsia" w:ascii="宋体" w:hAnsi="宋体"/>
                <w:sz w:val="22"/>
                <w:szCs w:val="21"/>
              </w:rPr>
              <w:t>分</w:t>
            </w:r>
          </w:p>
        </w:tc>
        <w:tc>
          <w:tcPr>
            <w:tcW w:w="4188" w:type="dxa"/>
            <w:vAlign w:val="center"/>
          </w:tcPr>
          <w:p>
            <w:pPr>
              <w:spacing w:line="360" w:lineRule="auto"/>
              <w:rPr>
                <w:rFonts w:hint="eastAsia" w:ascii="宋体" w:hAnsi="宋体"/>
                <w:sz w:val="22"/>
                <w:szCs w:val="21"/>
              </w:rPr>
            </w:pPr>
            <w:r>
              <w:rPr>
                <w:rFonts w:hint="eastAsia" w:ascii="仿宋" w:hAnsi="仿宋" w:eastAsia="仿宋"/>
                <w:szCs w:val="21"/>
                <w:lang w:eastAsia="zh-CN"/>
              </w:rPr>
              <w:t>供应商或产品生产厂家具有有效期内的①质量管理体系认证得 2分；②环境管理体系认证得 1分；③职业健康安全管理体系认证得1分；以上认证范围至少包含LED灯具（或灯带、灯珠）。</w:t>
            </w:r>
            <w:r>
              <w:rPr>
                <w:rFonts w:ascii="仿宋" w:hAnsi="仿宋" w:eastAsia="仿宋"/>
                <w:szCs w:val="21"/>
              </w:rPr>
              <w:br w:type="textWrapping"/>
            </w:r>
            <w:r>
              <w:rPr>
                <w:rFonts w:hint="eastAsia" w:ascii="仿宋" w:hAnsi="仿宋" w:eastAsia="仿宋"/>
                <w:szCs w:val="21"/>
              </w:rPr>
              <w:t>说明：提供证书复印件并加盖</w:t>
            </w:r>
            <w:r>
              <w:rPr>
                <w:rFonts w:hint="eastAsia" w:ascii="仿宋" w:hAnsi="仿宋" w:eastAsia="仿宋"/>
                <w:szCs w:val="21"/>
                <w:lang w:eastAsia="zh-CN"/>
              </w:rPr>
              <w:t>供应商公章</w:t>
            </w:r>
            <w:r>
              <w:rPr>
                <w:rFonts w:hint="eastAsia" w:ascii="仿宋" w:hAnsi="仿宋" w:eastAsia="仿宋"/>
                <w:szCs w:val="21"/>
              </w:rPr>
              <w:t>。</w:t>
            </w:r>
          </w:p>
        </w:tc>
        <w:tc>
          <w:tcPr>
            <w:tcW w:w="1925" w:type="dxa"/>
            <w:vAlign w:val="center"/>
          </w:tcPr>
          <w:p>
            <w:pPr>
              <w:spacing w:line="360" w:lineRule="auto"/>
              <w:rPr>
                <w:rFonts w:hint="eastAsia"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0" w:hRule="atLeast"/>
        </w:trPr>
        <w:tc>
          <w:tcPr>
            <w:tcW w:w="619" w:type="dxa"/>
            <w:vAlign w:val="center"/>
          </w:tcPr>
          <w:p>
            <w:pPr>
              <w:spacing w:line="360" w:lineRule="auto"/>
              <w:rPr>
                <w:rFonts w:hint="eastAsia" w:ascii="宋体" w:hAnsi="宋体" w:eastAsia="宋体" w:cs="Times New Roman"/>
                <w:sz w:val="22"/>
                <w:szCs w:val="21"/>
              </w:rPr>
            </w:pPr>
            <w:r>
              <w:rPr>
                <w:rFonts w:hint="eastAsia" w:ascii="宋体" w:hAnsi="宋体" w:eastAsia="宋体" w:cs="Times New Roman"/>
                <w:sz w:val="22"/>
                <w:szCs w:val="21"/>
              </w:rPr>
              <w:t>5</w:t>
            </w:r>
          </w:p>
        </w:tc>
        <w:tc>
          <w:tcPr>
            <w:tcW w:w="1275" w:type="dxa"/>
            <w:vAlign w:val="center"/>
          </w:tcPr>
          <w:p>
            <w:pPr>
              <w:spacing w:line="360" w:lineRule="auto"/>
              <w:rPr>
                <w:rFonts w:hint="eastAsia" w:ascii="宋体" w:hAnsi="宋体"/>
                <w:sz w:val="22"/>
                <w:szCs w:val="21"/>
                <w:lang w:eastAsia="zh-CN"/>
              </w:rPr>
            </w:pPr>
            <w:r>
              <w:rPr>
                <w:rFonts w:hint="eastAsia" w:ascii="宋体" w:hAnsi="宋体" w:eastAsia="宋体" w:cs="Times New Roman"/>
                <w:sz w:val="22"/>
                <w:szCs w:val="21"/>
              </w:rPr>
              <w:t>样品</w:t>
            </w:r>
            <w:r>
              <w:rPr>
                <w:rFonts w:hint="eastAsia" w:ascii="宋体" w:hAnsi="宋体" w:eastAsia="宋体" w:cs="Times New Roman"/>
                <w:sz w:val="22"/>
                <w:szCs w:val="21"/>
                <w:lang w:val="en-US" w:eastAsia="zh-CN"/>
              </w:rPr>
              <w:t>4%</w:t>
            </w:r>
            <w:r>
              <w:rPr>
                <w:rFonts w:hint="eastAsia" w:ascii="宋体" w:hAnsi="宋体" w:eastAsia="宋体" w:cs="Times New Roman"/>
                <w:sz w:val="22"/>
                <w:szCs w:val="21"/>
                <w:lang w:eastAsia="zh-CN"/>
              </w:rPr>
              <w:t>（</w:t>
            </w:r>
            <w:r>
              <w:rPr>
                <w:rFonts w:hint="eastAsia" w:ascii="宋体" w:hAnsi="宋体"/>
                <w:sz w:val="22"/>
                <w:szCs w:val="21"/>
              </w:rPr>
              <w:t>技术类评分因素</w:t>
            </w:r>
            <w:r>
              <w:rPr>
                <w:rFonts w:hint="eastAsia" w:ascii="宋体" w:hAnsi="宋体"/>
                <w:sz w:val="22"/>
                <w:szCs w:val="21"/>
                <w:lang w:eastAsia="zh-CN"/>
              </w:rPr>
              <w:t>含采购人代表</w:t>
            </w:r>
          </w:p>
          <w:p>
            <w:pPr>
              <w:spacing w:line="360" w:lineRule="auto"/>
              <w:rPr>
                <w:rFonts w:hint="eastAsia" w:ascii="宋体" w:hAnsi="宋体" w:eastAsia="宋体" w:cs="Times New Roman"/>
                <w:sz w:val="22"/>
                <w:szCs w:val="21"/>
              </w:rPr>
            </w:pPr>
            <w:r>
              <w:rPr>
                <w:rFonts w:hint="eastAsia" w:ascii="宋体" w:hAnsi="宋体"/>
                <w:sz w:val="22"/>
                <w:szCs w:val="21"/>
                <w:lang w:eastAsia="zh-CN"/>
              </w:rPr>
              <w:t>）</w:t>
            </w:r>
          </w:p>
        </w:tc>
        <w:tc>
          <w:tcPr>
            <w:tcW w:w="650" w:type="dxa"/>
            <w:vAlign w:val="center"/>
          </w:tcPr>
          <w:p>
            <w:pPr>
              <w:spacing w:line="360" w:lineRule="auto"/>
              <w:rPr>
                <w:rFonts w:hint="eastAsia" w:ascii="宋体" w:hAnsi="宋体"/>
                <w:sz w:val="22"/>
                <w:szCs w:val="21"/>
              </w:rPr>
            </w:pPr>
            <w:r>
              <w:rPr>
                <w:rFonts w:hint="eastAsia" w:ascii="宋体" w:hAnsi="宋体"/>
                <w:sz w:val="22"/>
                <w:szCs w:val="21"/>
                <w:lang w:val="en-US" w:eastAsia="zh-CN"/>
              </w:rPr>
              <w:t>4</w:t>
            </w:r>
            <w:r>
              <w:rPr>
                <w:rFonts w:hint="eastAsia" w:ascii="宋体" w:hAnsi="宋体"/>
                <w:sz w:val="22"/>
                <w:szCs w:val="21"/>
              </w:rPr>
              <w:t>分</w:t>
            </w:r>
          </w:p>
        </w:tc>
        <w:tc>
          <w:tcPr>
            <w:tcW w:w="4188" w:type="dxa"/>
            <w:vAlign w:val="center"/>
          </w:tcPr>
          <w:p>
            <w:pPr>
              <w:pStyle w:val="286"/>
              <w:ind w:firstLine="0" w:firstLineChars="0"/>
              <w:contextualSpacing/>
              <w:rPr>
                <w:rFonts w:ascii="仿宋" w:hAnsi="仿宋" w:eastAsia="仿宋"/>
                <w:szCs w:val="21"/>
              </w:rPr>
            </w:pPr>
            <w:r>
              <w:rPr>
                <w:rFonts w:hint="eastAsia" w:ascii="仿宋" w:hAnsi="仿宋" w:eastAsia="仿宋"/>
                <w:szCs w:val="21"/>
              </w:rPr>
              <w:t>评审委员会根据供应商提供的LED样品灯具进行评审：①外形平整，表面无凹陷、毛刺；②整体稳固；③焊缝无透光现象；④喷涂后表面均匀、光洁，无流挂现象；样品满足以上4项中的每一项要求的得1分，最高4分。</w:t>
            </w:r>
          </w:p>
          <w:p>
            <w:pPr>
              <w:spacing w:line="360" w:lineRule="auto"/>
              <w:rPr>
                <w:rFonts w:hint="eastAsia" w:ascii="宋体" w:hAnsi="宋体"/>
                <w:sz w:val="22"/>
                <w:szCs w:val="21"/>
              </w:rPr>
            </w:pPr>
            <w:r>
              <w:rPr>
                <w:rFonts w:hint="eastAsia" w:ascii="仿宋" w:hAnsi="仿宋" w:eastAsia="仿宋"/>
                <w:szCs w:val="21"/>
              </w:rPr>
              <w:t>说明：没按</w:t>
            </w:r>
            <w:r>
              <w:rPr>
                <w:rFonts w:hint="eastAsia" w:ascii="仿宋" w:hAnsi="仿宋" w:eastAsia="仿宋"/>
                <w:szCs w:val="21"/>
                <w:lang w:eastAsia="zh-CN"/>
              </w:rPr>
              <w:t>须知</w:t>
            </w:r>
            <w:r>
              <w:rPr>
                <w:rFonts w:hint="eastAsia" w:ascii="仿宋" w:hAnsi="仿宋" w:eastAsia="仿宋"/>
                <w:szCs w:val="21"/>
              </w:rPr>
              <w:t>规定送样的（不送样、样品不符合</w:t>
            </w:r>
            <w:r>
              <w:rPr>
                <w:rFonts w:hint="eastAsia" w:ascii="仿宋" w:hAnsi="仿宋" w:eastAsia="仿宋"/>
                <w:szCs w:val="21"/>
                <w:lang w:eastAsia="zh-CN"/>
              </w:rPr>
              <w:t>采购</w:t>
            </w:r>
            <w:r>
              <w:rPr>
                <w:rFonts w:hint="eastAsia" w:ascii="仿宋" w:hAnsi="仿宋" w:eastAsia="仿宋"/>
                <w:szCs w:val="21"/>
              </w:rPr>
              <w:t>文件的技术参数及要求、样品出现错误的、未按样品封装和标注要求提供的）本项不得分。</w:t>
            </w:r>
          </w:p>
        </w:tc>
        <w:tc>
          <w:tcPr>
            <w:tcW w:w="1925" w:type="dxa"/>
            <w:vAlign w:val="center"/>
          </w:tcPr>
          <w:p>
            <w:pPr>
              <w:spacing w:line="360" w:lineRule="auto"/>
              <w:rPr>
                <w:rFonts w:hint="eastAsia"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3" w:hRule="atLeast"/>
        </w:trPr>
        <w:tc>
          <w:tcPr>
            <w:tcW w:w="61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2"/>
                <w:szCs w:val="21"/>
              </w:rPr>
            </w:pPr>
            <w:r>
              <w:rPr>
                <w:rFonts w:hint="eastAsia" w:ascii="宋体" w:hAnsi="宋体"/>
                <w:sz w:val="22"/>
                <w:szCs w:val="21"/>
              </w:rPr>
              <w:t>6</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2"/>
                <w:szCs w:val="21"/>
                <w:lang w:eastAsia="zh-CN"/>
              </w:rPr>
            </w:pPr>
            <w:r>
              <w:rPr>
                <w:rFonts w:hint="eastAsia" w:ascii="宋体" w:hAnsi="宋体"/>
                <w:sz w:val="22"/>
                <w:szCs w:val="21"/>
              </w:rPr>
              <w:t>设计能力</w:t>
            </w:r>
            <w:r>
              <w:rPr>
                <w:rFonts w:hint="eastAsia" w:ascii="宋体" w:hAnsi="宋体"/>
                <w:sz w:val="22"/>
                <w:szCs w:val="21"/>
                <w:lang w:val="en-US" w:eastAsia="zh-CN"/>
              </w:rPr>
              <w:t>11%</w:t>
            </w:r>
            <w:r>
              <w:rPr>
                <w:rFonts w:hint="eastAsia" w:ascii="宋体" w:hAnsi="宋体"/>
                <w:sz w:val="22"/>
                <w:szCs w:val="21"/>
                <w:lang w:eastAsia="zh-CN"/>
              </w:rPr>
              <w:t>（</w:t>
            </w:r>
            <w:r>
              <w:rPr>
                <w:rFonts w:hint="eastAsia" w:ascii="宋体" w:hAnsi="宋体"/>
                <w:sz w:val="22"/>
                <w:szCs w:val="21"/>
              </w:rPr>
              <w:t>技术类评分因素</w:t>
            </w:r>
            <w:r>
              <w:rPr>
                <w:rFonts w:hint="eastAsia" w:ascii="宋体" w:hAnsi="宋体"/>
                <w:sz w:val="22"/>
                <w:szCs w:val="21"/>
                <w:lang w:eastAsia="zh-CN"/>
              </w:rPr>
              <w:t>含采购人代表</w:t>
            </w:r>
          </w:p>
          <w:p>
            <w:pPr>
              <w:spacing w:line="360" w:lineRule="auto"/>
              <w:rPr>
                <w:rFonts w:hint="eastAsia" w:ascii="宋体" w:hAnsi="宋体"/>
                <w:sz w:val="22"/>
                <w:szCs w:val="21"/>
              </w:rPr>
            </w:pPr>
            <w:r>
              <w:rPr>
                <w:rFonts w:hint="eastAsia" w:ascii="宋体" w:hAnsi="宋体"/>
                <w:sz w:val="22"/>
                <w:szCs w:val="21"/>
                <w:lang w:eastAsia="zh-CN"/>
              </w:rPr>
              <w:t>）</w:t>
            </w:r>
          </w:p>
        </w:tc>
        <w:tc>
          <w:tcPr>
            <w:tcW w:w="65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eastAsia="宋体"/>
                <w:sz w:val="22"/>
                <w:szCs w:val="21"/>
                <w:lang w:val="en-US" w:eastAsia="zh-CN"/>
              </w:rPr>
            </w:pPr>
            <w:r>
              <w:rPr>
                <w:rFonts w:hint="eastAsia" w:ascii="宋体" w:hAnsi="宋体"/>
                <w:sz w:val="22"/>
                <w:szCs w:val="21"/>
                <w:lang w:val="en-US" w:eastAsia="zh-CN"/>
              </w:rPr>
              <w:t>11分</w:t>
            </w:r>
          </w:p>
        </w:tc>
        <w:tc>
          <w:tcPr>
            <w:tcW w:w="4188" w:type="dxa"/>
            <w:tcBorders>
              <w:top w:val="single" w:color="auto" w:sz="4" w:space="0"/>
              <w:left w:val="single" w:color="auto" w:sz="4" w:space="0"/>
              <w:bottom w:val="single" w:color="auto" w:sz="4" w:space="0"/>
              <w:right w:val="single" w:color="auto" w:sz="4" w:space="0"/>
            </w:tcBorders>
            <w:vAlign w:val="center"/>
          </w:tcPr>
          <w:p>
            <w:pPr>
              <w:adjustRightInd w:val="0"/>
              <w:snapToGrid w:val="0"/>
              <w:contextualSpacing/>
              <w:rPr>
                <w:rFonts w:hint="eastAsia"/>
                <w:lang w:eastAsia="zh-CN"/>
              </w:rPr>
            </w:pPr>
            <w:r>
              <w:rPr>
                <w:rFonts w:hint="eastAsia"/>
                <w:lang w:eastAsia="zh-CN"/>
              </w:rPr>
              <w:t>1、为了实现青少年近视综合防控（灯光改造），供应商每提供一份包含①教室数据采集；</w:t>
            </w:r>
            <w:r>
              <w:rPr>
                <w:rFonts w:hint="eastAsia"/>
                <w:lang w:val="zh-CN" w:eastAsia="zh-CN"/>
              </w:rPr>
              <w:t>②</w:t>
            </w:r>
            <w:r>
              <w:rPr>
                <w:rFonts w:hint="eastAsia"/>
                <w:lang w:eastAsia="zh-CN"/>
              </w:rPr>
              <w:t>光学照明设计；③健康照明环境设计；且设计能满足本项目采购文件要求的完整设计方案的，得</w:t>
            </w:r>
            <w:r>
              <w:rPr>
                <w:rFonts w:hint="eastAsia"/>
                <w:lang w:val="en-US" w:eastAsia="zh-CN"/>
              </w:rPr>
              <w:t>2</w:t>
            </w:r>
            <w:r>
              <w:rPr>
                <w:rFonts w:hint="eastAsia"/>
                <w:lang w:eastAsia="zh-CN"/>
              </w:rPr>
              <w:t>分，最高的6分。</w:t>
            </w:r>
          </w:p>
          <w:p>
            <w:pPr>
              <w:adjustRightInd w:val="0"/>
              <w:snapToGrid w:val="0"/>
              <w:contextualSpacing/>
              <w:rPr>
                <w:rFonts w:hint="eastAsia"/>
                <w:lang w:eastAsia="zh-CN"/>
              </w:rPr>
            </w:pPr>
            <w:r>
              <w:rPr>
                <w:rFonts w:hint="eastAsia"/>
                <w:lang w:eastAsia="zh-CN"/>
              </w:rPr>
              <w:t>说明：（</w:t>
            </w:r>
            <w:r>
              <w:rPr>
                <w:rFonts w:hint="eastAsia"/>
                <w:lang w:val="en-US" w:eastAsia="zh-CN"/>
              </w:rPr>
              <w:t>1</w:t>
            </w:r>
            <w:r>
              <w:rPr>
                <w:rFonts w:hint="eastAsia"/>
                <w:lang w:eastAsia="zh-CN"/>
              </w:rPr>
              <w:t>）设计方案必须是为义务教育阶段的中学或小学的学校进行设计；</w:t>
            </w:r>
          </w:p>
          <w:p>
            <w:pPr>
              <w:adjustRightInd w:val="0"/>
              <w:snapToGrid w:val="0"/>
              <w:contextualSpacing/>
              <w:rPr>
                <w:rFonts w:hint="eastAsia"/>
                <w:lang w:eastAsia="zh-CN"/>
              </w:rPr>
            </w:pPr>
            <w:r>
              <w:rPr>
                <w:rFonts w:hint="eastAsia"/>
                <w:lang w:eastAsia="zh-CN"/>
              </w:rPr>
              <w:t>（</w:t>
            </w:r>
            <w:r>
              <w:rPr>
                <w:rFonts w:hint="eastAsia"/>
                <w:lang w:val="en-US" w:eastAsia="zh-CN"/>
              </w:rPr>
              <w:t>2</w:t>
            </w:r>
            <w:r>
              <w:rPr>
                <w:rFonts w:hint="eastAsia"/>
                <w:lang w:eastAsia="zh-CN"/>
              </w:rPr>
              <w:t>）提供设计方案复印件并加盖学校和供应商公章。</w:t>
            </w:r>
          </w:p>
          <w:p>
            <w:pPr>
              <w:adjustRightInd w:val="0"/>
              <w:snapToGrid w:val="0"/>
              <w:contextualSpacing/>
              <w:rPr>
                <w:rFonts w:hint="eastAsia"/>
                <w:lang w:eastAsia="zh-CN"/>
              </w:rPr>
            </w:pPr>
            <w:r>
              <w:rPr>
                <w:rFonts w:hint="eastAsia"/>
                <w:lang w:eastAsia="zh-CN"/>
              </w:rPr>
              <w:t>2、供应商针对本项目的LED教室灯和LED黑板灯的进行管控设计，并达到：①可以通过无线控制每盏灯的开关;②可以获取灯具相关状态;③可以整体控制开关和管理运行模式，且承诺在项目履约过程中按照以上三点的设计内容进行实施建设的，得</w:t>
            </w:r>
            <w:r>
              <w:rPr>
                <w:rFonts w:hint="eastAsia"/>
                <w:lang w:val="en-US" w:eastAsia="zh-CN"/>
              </w:rPr>
              <w:t>3</w:t>
            </w:r>
            <w:r>
              <w:rPr>
                <w:rFonts w:hint="eastAsia"/>
                <w:lang w:eastAsia="zh-CN"/>
              </w:rPr>
              <w:t>分。</w:t>
            </w:r>
            <w:r>
              <w:rPr>
                <w:rFonts w:hint="eastAsia"/>
                <w:lang w:eastAsia="zh-CN"/>
              </w:rPr>
              <w:br w:type="textWrapping"/>
            </w:r>
            <w:r>
              <w:rPr>
                <w:rFonts w:hint="eastAsia"/>
                <w:lang w:eastAsia="zh-CN"/>
              </w:rPr>
              <w:t>说明：提供国家认可的第三方检测机构出具的无线组网和无线通讯的功能检测报告复印件，加盖供应商公章，检测报告可通过二维码在官方检测网站查询（提供官网链接和截图）。</w:t>
            </w:r>
          </w:p>
          <w:p>
            <w:pPr>
              <w:spacing w:line="360" w:lineRule="auto"/>
              <w:rPr>
                <w:rFonts w:hint="eastAsia" w:ascii="宋体" w:hAnsi="宋体"/>
                <w:sz w:val="22"/>
                <w:szCs w:val="21"/>
              </w:rPr>
            </w:pPr>
            <w:r>
              <w:rPr>
                <w:rFonts w:hint="eastAsia" w:eastAsia="宋体" w:cs="Times New Roman"/>
                <w:lang w:eastAsia="zh-CN"/>
              </w:rPr>
              <w:t>3、供应商针对本项目的LED教室灯和LED黑板灯进行运行设计，并达到：①可实现智能调光；②环境光发生变化时,每盏灯根据环境的变化,自动调光，且承诺在项目履约过程中按照以上二点的设计内容进行实施建设的（提供承诺函），得</w:t>
            </w:r>
            <w:r>
              <w:rPr>
                <w:rFonts w:hint="eastAsia" w:eastAsia="宋体" w:cs="Times New Roman"/>
                <w:lang w:val="en-US" w:eastAsia="zh-CN"/>
              </w:rPr>
              <w:t>2</w:t>
            </w:r>
            <w:r>
              <w:rPr>
                <w:rFonts w:hint="eastAsia" w:eastAsia="宋体" w:cs="Times New Roman"/>
                <w:lang w:eastAsia="zh-CN"/>
              </w:rPr>
              <w:t>分。</w:t>
            </w:r>
            <w:r>
              <w:rPr>
                <w:rFonts w:hint="eastAsia" w:eastAsia="宋体" w:cs="Times New Roman"/>
                <w:lang w:eastAsia="zh-CN"/>
              </w:rPr>
              <w:br w:type="textWrapping"/>
            </w:r>
            <w:r>
              <w:rPr>
                <w:rFonts w:hint="eastAsia" w:eastAsia="宋体" w:cs="Times New Roman"/>
                <w:lang w:eastAsia="zh-CN"/>
              </w:rPr>
              <w:t>说明：提供国家认可的第三方检测机构出具的无线组网和无线通讯的功能检测报告复印件，加盖供应商</w:t>
            </w:r>
            <w:r>
              <w:rPr>
                <w:rFonts w:hint="eastAsia" w:cs="Times New Roman"/>
                <w:lang w:eastAsia="zh-CN"/>
              </w:rPr>
              <w:t>公章</w:t>
            </w:r>
            <w:r>
              <w:rPr>
                <w:rFonts w:hint="eastAsia" w:eastAsia="宋体" w:cs="Times New Roman"/>
                <w:lang w:eastAsia="zh-CN"/>
              </w:rPr>
              <w:t>，需提供检测报告的官网链接和截图复印件，提供承诺函。</w:t>
            </w:r>
          </w:p>
        </w:tc>
        <w:tc>
          <w:tcPr>
            <w:tcW w:w="19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2"/>
                <w:szCs w:val="21"/>
              </w:rPr>
            </w:pPr>
            <w:r>
              <w:rPr>
                <w:rFonts w:hint="eastAsia"/>
                <w:lang w:eastAsia="zh-CN"/>
              </w:rPr>
              <w:t>需提供佐证材料的按要求提供，不提供或少提供对应评分项不得分。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7" w:hRule="atLeast"/>
        </w:trPr>
        <w:tc>
          <w:tcPr>
            <w:tcW w:w="61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2"/>
                <w:szCs w:val="21"/>
              </w:rPr>
            </w:pPr>
            <w:r>
              <w:rPr>
                <w:rFonts w:hint="eastAsia" w:ascii="宋体" w:hAnsi="宋体"/>
                <w:sz w:val="22"/>
                <w:szCs w:val="21"/>
              </w:rPr>
              <w:t>7</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sz w:val="22"/>
                <w:szCs w:val="21"/>
                <w:lang w:eastAsia="zh-CN"/>
              </w:rPr>
            </w:pPr>
            <w:r>
              <w:rPr>
                <w:rFonts w:hint="eastAsia" w:ascii="仿宋" w:hAnsi="仿宋" w:eastAsia="仿宋"/>
                <w:szCs w:val="21"/>
              </w:rPr>
              <w:t>建设方案</w:t>
            </w:r>
            <w:r>
              <w:rPr>
                <w:rFonts w:hint="eastAsia" w:ascii="仿宋" w:hAnsi="仿宋" w:eastAsia="仿宋"/>
                <w:szCs w:val="21"/>
                <w:lang w:val="en-US" w:eastAsia="zh-CN"/>
              </w:rPr>
              <w:t>14.5%</w:t>
            </w:r>
            <w:r>
              <w:rPr>
                <w:rFonts w:hint="eastAsia" w:ascii="宋体" w:hAnsi="宋体"/>
                <w:sz w:val="22"/>
                <w:szCs w:val="21"/>
                <w:lang w:eastAsia="zh-CN"/>
              </w:rPr>
              <w:t>（</w:t>
            </w:r>
            <w:r>
              <w:rPr>
                <w:rFonts w:hint="eastAsia" w:ascii="宋体" w:hAnsi="宋体"/>
                <w:sz w:val="22"/>
                <w:szCs w:val="21"/>
              </w:rPr>
              <w:t>技术类评分因素</w:t>
            </w:r>
            <w:r>
              <w:rPr>
                <w:rFonts w:hint="eastAsia" w:ascii="宋体" w:hAnsi="宋体"/>
                <w:sz w:val="22"/>
                <w:szCs w:val="21"/>
                <w:lang w:eastAsia="zh-CN"/>
              </w:rPr>
              <w:t>含采购人代表）</w:t>
            </w:r>
          </w:p>
        </w:tc>
        <w:tc>
          <w:tcPr>
            <w:tcW w:w="65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2"/>
                <w:szCs w:val="21"/>
              </w:rPr>
            </w:pPr>
            <w:r>
              <w:rPr>
                <w:rFonts w:hint="eastAsia" w:ascii="宋体" w:hAnsi="宋体"/>
                <w:sz w:val="22"/>
                <w:szCs w:val="21"/>
                <w:lang w:val="en-US" w:eastAsia="zh-CN"/>
              </w:rPr>
              <w:t>14.5</w:t>
            </w:r>
            <w:r>
              <w:rPr>
                <w:rFonts w:hint="eastAsia" w:ascii="宋体" w:hAnsi="宋体"/>
                <w:sz w:val="22"/>
                <w:szCs w:val="21"/>
              </w:rPr>
              <w:t>分</w:t>
            </w:r>
          </w:p>
        </w:tc>
        <w:tc>
          <w:tcPr>
            <w:tcW w:w="4188" w:type="dxa"/>
            <w:tcBorders>
              <w:top w:val="single" w:color="auto" w:sz="4" w:space="0"/>
              <w:left w:val="single" w:color="auto" w:sz="4" w:space="0"/>
              <w:bottom w:val="single" w:color="auto" w:sz="4" w:space="0"/>
              <w:right w:val="single" w:color="auto" w:sz="4" w:space="0"/>
            </w:tcBorders>
            <w:vAlign w:val="center"/>
          </w:tcPr>
          <w:p>
            <w:pPr>
              <w:adjustRightInd w:val="0"/>
              <w:snapToGrid w:val="0"/>
              <w:contextualSpacing/>
            </w:pPr>
            <w:r>
              <w:rPr>
                <w:rFonts w:hint="eastAsia"/>
              </w:rPr>
              <w:t>根据</w:t>
            </w:r>
            <w:r>
              <w:rPr>
                <w:rFonts w:hint="eastAsia"/>
                <w:lang w:eastAsia="zh-CN"/>
              </w:rPr>
              <w:t>供应商</w:t>
            </w:r>
            <w:r>
              <w:rPr>
                <w:rFonts w:hint="eastAsia"/>
              </w:rPr>
              <w:t>针对本项目的建设方案打分，方案中：</w:t>
            </w:r>
          </w:p>
          <w:p>
            <w:pPr>
              <w:adjustRightInd w:val="0"/>
              <w:snapToGrid w:val="0"/>
              <w:contextualSpacing/>
            </w:pPr>
            <w:r>
              <w:rPr>
                <w:rFonts w:hint="eastAsia"/>
              </w:rPr>
              <w:t>（1）人员岗位配置满足采购人要求得1.5分。（针对学校，提供</w:t>
            </w:r>
            <w:r>
              <w:t>货物配送</w:t>
            </w:r>
            <w:r>
              <w:rPr>
                <w:rFonts w:hint="eastAsia"/>
              </w:rPr>
              <w:t>、</w:t>
            </w:r>
            <w:r>
              <w:t>勘测定位设计</w:t>
            </w:r>
            <w:r>
              <w:rPr>
                <w:rFonts w:hint="eastAsia"/>
              </w:rPr>
              <w:t>、线路改造、灯具</w:t>
            </w:r>
            <w:r>
              <w:t>安装</w:t>
            </w:r>
            <w:r>
              <w:rPr>
                <w:rFonts w:hint="eastAsia"/>
              </w:rPr>
              <w:t>、光环境</w:t>
            </w:r>
            <w:r>
              <w:t>检测等岗位</w:t>
            </w:r>
            <w:r>
              <w:rPr>
                <w:rFonts w:hint="eastAsia"/>
              </w:rPr>
              <w:t>专职人员姓名、身份证复印件、电话等信息）；</w:t>
            </w:r>
            <w:r>
              <w:rPr>
                <w:rFonts w:hint="eastAsia"/>
                <w:lang w:eastAsia="zh-CN"/>
              </w:rPr>
              <w:t>方案</w:t>
            </w:r>
            <w:r>
              <w:rPr>
                <w:rFonts w:hint="eastAsia"/>
              </w:rPr>
              <w:t>描述有缺项或描述有缺陷的不得分</w:t>
            </w:r>
          </w:p>
          <w:p>
            <w:pPr>
              <w:adjustRightInd w:val="0"/>
              <w:snapToGrid w:val="0"/>
              <w:contextualSpacing/>
            </w:pPr>
            <w:r>
              <w:rPr>
                <w:rFonts w:hint="eastAsia"/>
              </w:rPr>
              <w:t>（2）</w:t>
            </w:r>
            <w:r>
              <w:t>施工进度</w:t>
            </w:r>
            <w:r>
              <w:rPr>
                <w:rFonts w:hint="eastAsia"/>
              </w:rPr>
              <w:t>应按照①</w:t>
            </w:r>
            <w:r>
              <w:t>学校场室数量</w:t>
            </w:r>
            <w:r>
              <w:rPr>
                <w:rFonts w:hint="eastAsia"/>
              </w:rPr>
              <w:t>，</w:t>
            </w:r>
            <w:r>
              <w:rPr>
                <w:rFonts w:hint="eastAsia"/>
                <w:lang w:val="zh-CN"/>
              </w:rPr>
              <w:t>②</w:t>
            </w:r>
            <w:r>
              <w:t>按</w:t>
            </w:r>
            <w:r>
              <w:rPr>
                <w:rFonts w:hint="eastAsia"/>
              </w:rPr>
              <w:t>采购</w:t>
            </w:r>
            <w:r>
              <w:t>文件送货及安装的时间要求</w:t>
            </w:r>
            <w:r>
              <w:rPr>
                <w:rFonts w:hint="eastAsia"/>
              </w:rPr>
              <w:t>，③</w:t>
            </w:r>
            <w:r>
              <w:t>科学设置进度安排</w:t>
            </w:r>
            <w:r>
              <w:rPr>
                <w:rFonts w:hint="eastAsia"/>
              </w:rPr>
              <w:t>，符合采购人需求得1.5分，方案描述有缺项或描述有缺陷的不得分。</w:t>
            </w:r>
          </w:p>
          <w:p>
            <w:pPr>
              <w:adjustRightInd w:val="0"/>
              <w:snapToGrid w:val="0"/>
              <w:contextualSpacing/>
            </w:pPr>
            <w:r>
              <w:rPr>
                <w:rFonts w:hint="eastAsia"/>
              </w:rPr>
              <w:t>（3）质量保证措施和承诺（从原材料：如支架、电源、面板、背板、反光材料、光珠等的质量保证到生产灯具到成品等，做好每一步质量控制措施方案），方案描述</w:t>
            </w:r>
            <w:r>
              <w:rPr>
                <w:rFonts w:hint="eastAsia"/>
                <w:lang w:eastAsia="zh-CN"/>
              </w:rPr>
              <w:t>包含上述内容的</w:t>
            </w:r>
            <w:r>
              <w:rPr>
                <w:rFonts w:hint="eastAsia"/>
              </w:rPr>
              <w:t>得1.5分，方案描述有缺项或描述有缺陷的不得分；</w:t>
            </w:r>
          </w:p>
          <w:p>
            <w:pPr>
              <w:adjustRightInd w:val="0"/>
              <w:snapToGrid w:val="0"/>
              <w:contextualSpacing/>
            </w:pPr>
            <w:r>
              <w:rPr>
                <w:rFonts w:hint="eastAsia"/>
              </w:rPr>
              <w:t>（4）质量保证措施和承诺（灯具</w:t>
            </w:r>
            <w:r>
              <w:t>安装中定位设计</w:t>
            </w:r>
            <w:r>
              <w:rPr>
                <w:rFonts w:hint="eastAsia"/>
              </w:rPr>
              <w:t>、</w:t>
            </w:r>
            <w:r>
              <w:t>线路改造</w:t>
            </w:r>
            <w:r>
              <w:rPr>
                <w:rFonts w:hint="eastAsia"/>
              </w:rPr>
              <w:t>、</w:t>
            </w:r>
            <w:r>
              <w:t>开关控制</w:t>
            </w:r>
            <w:r>
              <w:rPr>
                <w:rFonts w:hint="eastAsia"/>
              </w:rPr>
              <w:t>、</w:t>
            </w:r>
            <w:r>
              <w:t>达标检测等每一个环节的质量控制措施</w:t>
            </w:r>
            <w:r>
              <w:rPr>
                <w:rFonts w:hint="eastAsia"/>
              </w:rPr>
              <w:t>），方案描述</w:t>
            </w:r>
            <w:r>
              <w:rPr>
                <w:rFonts w:hint="eastAsia"/>
                <w:lang w:eastAsia="zh-CN"/>
              </w:rPr>
              <w:t>包含上述内容</w:t>
            </w:r>
            <w:r>
              <w:rPr>
                <w:rFonts w:hint="eastAsia"/>
              </w:rPr>
              <w:t>得3分，方案描述有缺项或描述有缺陷的不得分；</w:t>
            </w:r>
          </w:p>
          <w:p>
            <w:pPr>
              <w:adjustRightInd w:val="0"/>
              <w:snapToGrid w:val="0"/>
              <w:contextualSpacing/>
              <w:rPr>
                <w:lang w:val="zh-CN"/>
              </w:rPr>
            </w:pPr>
            <w:r>
              <w:rPr>
                <w:rFonts w:hint="eastAsia"/>
              </w:rPr>
              <w:t>（5）</w:t>
            </w:r>
            <w:r>
              <w:rPr>
                <w:rFonts w:hint="eastAsia"/>
                <w:lang w:val="zh-CN"/>
              </w:rPr>
              <w:t>采用</w:t>
            </w:r>
            <w:r>
              <w:rPr>
                <w:lang w:val="zh-CN"/>
              </w:rPr>
              <w:t>自动智能控制系统实现照明控制的</w:t>
            </w:r>
            <w:r>
              <w:rPr>
                <w:rFonts w:hint="eastAsia"/>
                <w:lang w:val="zh-CN"/>
              </w:rPr>
              <w:t>，且</w:t>
            </w:r>
            <w:r>
              <w:rPr>
                <w:lang w:val="zh-CN"/>
              </w:rPr>
              <w:t>符合</w:t>
            </w:r>
            <w:r>
              <w:rPr>
                <w:rFonts w:hint="eastAsia"/>
                <w:lang w:val="zh-CN"/>
              </w:rPr>
              <w:t>采购</w:t>
            </w:r>
            <w:r>
              <w:rPr>
                <w:lang w:val="zh-CN"/>
              </w:rPr>
              <w:t>文件</w:t>
            </w:r>
            <w:r>
              <w:rPr>
                <w:rFonts w:hint="eastAsia"/>
                <w:lang w:val="zh-CN"/>
              </w:rPr>
              <w:t>“照明控制安装要求”的，控制设备需与灯具同一品牌，确保良好兼容性，得1分（提供相关技术材料及检测报告，加盖供应商公章，并提供成交后按自动智能控制方案实施建设的承诺函。）</w:t>
            </w:r>
          </w:p>
          <w:p>
            <w:pPr>
              <w:adjustRightInd w:val="0"/>
              <w:snapToGrid w:val="0"/>
              <w:contextualSpacing/>
              <w:rPr>
                <w:lang w:val="zh-CN"/>
              </w:rPr>
            </w:pPr>
            <w:r>
              <w:rPr>
                <w:rFonts w:hint="eastAsia"/>
                <w:lang w:val="zh-CN"/>
              </w:rPr>
              <w:t>（6）供应商每提供一份国家认可</w:t>
            </w:r>
            <w:r>
              <w:rPr>
                <w:lang w:val="zh-CN"/>
              </w:rPr>
              <w:t>第三方检测机构出具</w:t>
            </w:r>
            <w:r>
              <w:rPr>
                <w:rFonts w:hint="eastAsia"/>
                <w:lang w:val="zh-CN"/>
              </w:rPr>
              <w:t>对一间教室光环境改造的</w:t>
            </w:r>
            <w:r>
              <w:rPr>
                <w:lang w:val="zh-CN"/>
              </w:rPr>
              <w:t>检测合格报告</w:t>
            </w:r>
            <w:r>
              <w:rPr>
                <w:rFonts w:hint="eastAsia"/>
                <w:lang w:val="zh-CN"/>
              </w:rPr>
              <w:t>的，</w:t>
            </w:r>
            <w:r>
              <w:rPr>
                <w:lang w:val="zh-CN"/>
              </w:rPr>
              <w:t>得</w:t>
            </w:r>
            <w:r>
              <w:rPr>
                <w:rFonts w:hint="eastAsia"/>
                <w:lang w:val="zh-CN"/>
              </w:rPr>
              <w:t>0.3分，最多得6分。说明：</w:t>
            </w:r>
            <w:r>
              <w:rPr>
                <w:rFonts w:hint="eastAsia"/>
              </w:rPr>
              <w:t>①提供国家认可第三方检测机构出具</w:t>
            </w:r>
            <w:r>
              <w:rPr>
                <w:rFonts w:hint="eastAsia"/>
                <w:lang w:val="zh-CN"/>
              </w:rPr>
              <w:t>封面带有CMA标志的完整检测报告复印件，并加盖供应商公章；</w:t>
            </w:r>
          </w:p>
          <w:p>
            <w:pPr>
              <w:adjustRightInd w:val="0"/>
              <w:snapToGrid w:val="0"/>
              <w:contextualSpacing/>
            </w:pPr>
            <w:r>
              <w:rPr>
                <w:rFonts w:hint="eastAsia"/>
                <w:lang w:val="zh-CN"/>
              </w:rPr>
              <w:t>②检测报告的检测依据为</w:t>
            </w:r>
            <w:r>
              <w:t>GB/T 36876-2018《中小学校普通教室照明设计安装卫生要求》</w:t>
            </w:r>
            <w:r>
              <w:rPr>
                <w:rFonts w:hint="eastAsia"/>
              </w:rPr>
              <w:t>或</w:t>
            </w:r>
            <w:r>
              <w:t>T/JYBZ 005-2018《中小学教室照明技术规范</w:t>
            </w:r>
            <w:r>
              <w:rPr>
                <w:rFonts w:hint="eastAsia"/>
              </w:rPr>
              <w:t>》，</w:t>
            </w:r>
          </w:p>
          <w:p>
            <w:pPr>
              <w:adjustRightInd w:val="0"/>
              <w:snapToGrid w:val="0"/>
              <w:contextualSpacing/>
            </w:pPr>
            <w:r>
              <w:rPr>
                <w:rFonts w:hint="eastAsia"/>
              </w:rPr>
              <w:t>③</w:t>
            </w:r>
            <w:r>
              <w:t>检测指标至少包括</w:t>
            </w:r>
            <w:r>
              <w:rPr>
                <w:rFonts w:hint="eastAsia"/>
              </w:rPr>
              <w:t>：3</w:t>
            </w:r>
            <w:r>
              <w:t>.1.课桌面维持平均照度</w:t>
            </w:r>
            <w:r>
              <w:rPr>
                <w:rFonts w:hint="eastAsia"/>
              </w:rPr>
              <w:t>；3</w:t>
            </w:r>
            <w:r>
              <w:t>.2.黑板面维持平均照度</w:t>
            </w:r>
            <w:r>
              <w:rPr>
                <w:rFonts w:hint="eastAsia"/>
              </w:rPr>
              <w:t>；3</w:t>
            </w:r>
            <w:r>
              <w:t>.3.课桌面均匀度</w:t>
            </w:r>
            <w:r>
              <w:rPr>
                <w:rFonts w:hint="eastAsia"/>
              </w:rPr>
              <w:t>；3</w:t>
            </w:r>
            <w:r>
              <w:t>.4.黑板面均匀度</w:t>
            </w:r>
            <w:r>
              <w:rPr>
                <w:rFonts w:hint="eastAsia"/>
              </w:rPr>
              <w:t>；3</w:t>
            </w:r>
            <w:r>
              <w:t>.5.照明功率密度</w:t>
            </w:r>
            <w:r>
              <w:rPr>
                <w:rFonts w:hint="eastAsia"/>
              </w:rPr>
              <w:t>；3</w:t>
            </w:r>
            <w:r>
              <w:t>.6.统一眩光值</w:t>
            </w:r>
            <w:r>
              <w:rPr>
                <w:rFonts w:hint="eastAsia"/>
              </w:rPr>
              <w:t>；3</w:t>
            </w:r>
            <w:r>
              <w:t>.7.频闪。</w:t>
            </w:r>
          </w:p>
          <w:p>
            <w:pPr>
              <w:adjustRightInd w:val="0"/>
              <w:snapToGrid w:val="0"/>
              <w:contextualSpacing/>
              <w:rPr>
                <w:rFonts w:hint="eastAsia"/>
                <w:lang w:val="zh-CN"/>
              </w:rPr>
            </w:pPr>
            <w:r>
              <w:rPr>
                <w:rFonts w:hint="eastAsia"/>
              </w:rPr>
              <w:t>④送</w:t>
            </w:r>
            <w:r>
              <w:rPr>
                <w:rFonts w:hint="eastAsia"/>
                <w:lang w:val="zh-CN"/>
              </w:rPr>
              <w:t>检（委托）单位为供应商或所投产品制造商。</w:t>
            </w:r>
          </w:p>
          <w:p>
            <w:pPr>
              <w:spacing w:line="360" w:lineRule="auto"/>
              <w:rPr>
                <w:rFonts w:hint="eastAsia" w:ascii="宋体" w:hAnsi="宋体"/>
                <w:sz w:val="22"/>
                <w:szCs w:val="21"/>
              </w:rPr>
            </w:pPr>
            <w:r>
              <w:rPr>
                <w:rFonts w:hint="eastAsia" w:ascii="宋体" w:hAnsi="宋体" w:eastAsia="宋体" w:cs="宋体"/>
                <w:szCs w:val="21"/>
                <w:lang w:val="en-US" w:eastAsia="zh-CN"/>
              </w:rPr>
              <w:t>注：(缺陷指:项目名称、实施地点、涉及的规范、实施的内容、标准与本项目要求不一致、进度计划超期等)</w:t>
            </w:r>
          </w:p>
        </w:tc>
        <w:tc>
          <w:tcPr>
            <w:tcW w:w="19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2"/>
                <w:szCs w:val="21"/>
              </w:rPr>
            </w:pPr>
            <w:r>
              <w:rPr>
                <w:rFonts w:hint="eastAsia"/>
                <w:lang w:eastAsia="zh-CN"/>
              </w:rPr>
              <w:t>需提供佐证材料的按要求提供，不提供或少提供对应评分项不得分。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7" w:hRule="atLeast"/>
        </w:trPr>
        <w:tc>
          <w:tcPr>
            <w:tcW w:w="61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sz w:val="22"/>
                <w:szCs w:val="21"/>
                <w:lang w:val="en-US" w:eastAsia="zh-CN"/>
              </w:rPr>
            </w:pPr>
            <w:r>
              <w:rPr>
                <w:rFonts w:hint="eastAsia" w:ascii="宋体" w:hAnsi="宋体"/>
                <w:sz w:val="22"/>
                <w:szCs w:val="21"/>
                <w:lang w:val="en-US" w:eastAsia="zh-CN"/>
              </w:rPr>
              <w:t>8</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szCs w:val="21"/>
              </w:rPr>
            </w:pPr>
            <w:r>
              <w:rPr>
                <w:rFonts w:hint="eastAsia" w:ascii="仿宋" w:hAnsi="仿宋" w:eastAsia="仿宋" w:cs="宋体"/>
                <w:bCs/>
                <w:szCs w:val="21"/>
              </w:rPr>
              <w:t>售后服务方案</w:t>
            </w:r>
            <w:r>
              <w:rPr>
                <w:rFonts w:hint="eastAsia" w:ascii="仿宋" w:hAnsi="仿宋" w:eastAsia="仿宋" w:cs="宋体"/>
                <w:bCs/>
                <w:szCs w:val="21"/>
                <w:lang w:val="en-US" w:eastAsia="zh-CN"/>
              </w:rPr>
              <w:t>7%</w:t>
            </w:r>
            <w:r>
              <w:rPr>
                <w:rFonts w:hint="eastAsia" w:ascii="仿宋" w:hAnsi="仿宋" w:eastAsia="仿宋" w:cs="宋体"/>
                <w:bCs/>
                <w:szCs w:val="21"/>
                <w:lang w:eastAsia="zh-CN"/>
              </w:rPr>
              <w:t>（</w:t>
            </w:r>
            <w:r>
              <w:rPr>
                <w:rFonts w:hint="eastAsia" w:ascii="仿宋" w:hAnsi="仿宋" w:eastAsia="仿宋"/>
                <w:szCs w:val="21"/>
              </w:rPr>
              <w:t>共同评分因素</w:t>
            </w:r>
            <w:r>
              <w:rPr>
                <w:rFonts w:hint="eastAsia" w:ascii="仿宋" w:hAnsi="仿宋" w:eastAsia="仿宋" w:cs="宋体"/>
                <w:bCs/>
                <w:szCs w:val="21"/>
                <w:lang w:eastAsia="zh-CN"/>
              </w:rPr>
              <w:t>）</w:t>
            </w:r>
          </w:p>
        </w:tc>
        <w:tc>
          <w:tcPr>
            <w:tcW w:w="65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sz w:val="22"/>
                <w:szCs w:val="21"/>
                <w:lang w:val="en-US" w:eastAsia="zh-CN"/>
              </w:rPr>
            </w:pPr>
            <w:r>
              <w:rPr>
                <w:rFonts w:hint="eastAsia" w:ascii="宋体" w:hAnsi="宋体"/>
                <w:sz w:val="22"/>
                <w:szCs w:val="21"/>
                <w:lang w:val="en-US" w:eastAsia="zh-CN"/>
              </w:rPr>
              <w:t>7分</w:t>
            </w:r>
          </w:p>
        </w:tc>
        <w:tc>
          <w:tcPr>
            <w:tcW w:w="4188" w:type="dxa"/>
            <w:tcBorders>
              <w:top w:val="single" w:color="auto" w:sz="4" w:space="0"/>
              <w:left w:val="single" w:color="auto" w:sz="4" w:space="0"/>
              <w:bottom w:val="single" w:color="auto" w:sz="4" w:space="0"/>
              <w:right w:val="single" w:color="auto" w:sz="4" w:space="0"/>
            </w:tcBorders>
            <w:vAlign w:val="center"/>
          </w:tcPr>
          <w:p>
            <w:pPr>
              <w:adjustRightInd w:val="0"/>
              <w:snapToGrid w:val="0"/>
              <w:contextualSpacing/>
              <w:rPr>
                <w:rFonts w:hint="eastAsia"/>
                <w:lang w:val="zh-CN"/>
              </w:rPr>
            </w:pPr>
            <w:r>
              <w:rPr>
                <w:rFonts w:hint="eastAsia"/>
                <w:lang w:val="en-US" w:eastAsia="zh-CN"/>
              </w:rPr>
              <w:t>1、</w:t>
            </w:r>
            <w:r>
              <w:rPr>
                <w:rFonts w:hint="eastAsia"/>
                <w:lang w:val="zh-CN" w:eastAsia="zh-CN"/>
              </w:rPr>
              <w:t>供应商</w:t>
            </w:r>
            <w:r>
              <w:rPr>
                <w:rFonts w:hint="eastAsia"/>
                <w:lang w:val="zh-CN"/>
              </w:rPr>
              <w:t>具有本地化的备品备件仓储场地或承诺</w:t>
            </w:r>
            <w:r>
              <w:rPr>
                <w:rFonts w:hint="eastAsia"/>
                <w:lang w:val="zh-CN" w:eastAsia="zh-CN"/>
              </w:rPr>
              <w:t>成交</w:t>
            </w:r>
            <w:r>
              <w:rPr>
                <w:rFonts w:hint="eastAsia"/>
                <w:lang w:val="zh-CN"/>
              </w:rPr>
              <w:t>后设立本地化的备品备件仓储场地，得1分。</w:t>
            </w:r>
            <w:r>
              <w:rPr>
                <w:rFonts w:hint="eastAsia"/>
                <w:lang w:val="zh-CN"/>
              </w:rPr>
              <w:br w:type="textWrapping"/>
            </w:r>
            <w:r>
              <w:rPr>
                <w:rFonts w:hint="eastAsia"/>
                <w:lang w:val="zh-CN"/>
              </w:rPr>
              <w:t>说明：提供相关证明材料复印件或承诺并加盖</w:t>
            </w:r>
            <w:r>
              <w:rPr>
                <w:rFonts w:hint="eastAsia"/>
                <w:lang w:val="zh-CN" w:eastAsia="zh-CN"/>
              </w:rPr>
              <w:t>供应商</w:t>
            </w:r>
            <w:r>
              <w:rPr>
                <w:rFonts w:hint="eastAsia"/>
                <w:lang w:val="zh-CN"/>
              </w:rPr>
              <w:t>公章。</w:t>
            </w:r>
            <w:r>
              <w:rPr>
                <w:rFonts w:hint="eastAsia"/>
                <w:lang w:val="zh-CN"/>
              </w:rPr>
              <w:br w:type="textWrapping"/>
            </w:r>
            <w:r>
              <w:rPr>
                <w:rFonts w:hint="eastAsia"/>
                <w:lang w:val="zh-CN"/>
              </w:rPr>
              <w:t>2、根据</w:t>
            </w:r>
            <w:r>
              <w:rPr>
                <w:rFonts w:hint="eastAsia"/>
                <w:lang w:val="zh-CN" w:eastAsia="zh-CN"/>
              </w:rPr>
              <w:t>供应商</w:t>
            </w:r>
            <w:r>
              <w:rPr>
                <w:rFonts w:hint="eastAsia"/>
                <w:lang w:val="zh-CN"/>
              </w:rPr>
              <w:t>为本项目制定的售后服务方案打分，方案包括（1）应急措施；（2）本地化售后服务网点（提供网点证明材料及网点地址）</w:t>
            </w:r>
            <w:r>
              <w:rPr>
                <w:rFonts w:hint="eastAsia"/>
                <w:lang w:val="en-US" w:eastAsia="zh-CN"/>
              </w:rPr>
              <w:t>或</w:t>
            </w:r>
            <w:r>
              <w:rPr>
                <w:rFonts w:hint="eastAsia"/>
                <w:lang w:val="zh-CN"/>
              </w:rPr>
              <w:t>承诺在成交后设立售后服务网点</w:t>
            </w:r>
            <w:r>
              <w:rPr>
                <w:rFonts w:hint="eastAsia"/>
                <w:lang w:val="en-US" w:eastAsia="zh-CN"/>
              </w:rPr>
              <w:t>的承诺函</w:t>
            </w:r>
            <w:r>
              <w:rPr>
                <w:rFonts w:hint="eastAsia"/>
                <w:lang w:val="zh-CN"/>
              </w:rPr>
              <w:t>及售后服务流程及售后服务人员安排及相关设施设备</w:t>
            </w:r>
            <w:r>
              <w:rPr>
                <w:rFonts w:hint="eastAsia"/>
                <w:lang w:val="zh-CN" w:eastAsia="zh-CN"/>
              </w:rPr>
              <w:t>；</w:t>
            </w:r>
            <w:r>
              <w:rPr>
                <w:rFonts w:hint="eastAsia"/>
                <w:lang w:val="zh-CN"/>
              </w:rPr>
              <w:t>（3）备货供应和响应保障；（4）巡检方案</w:t>
            </w:r>
            <w:r>
              <w:rPr>
                <w:rFonts w:hint="eastAsia"/>
                <w:lang w:val="zh-CN" w:eastAsia="zh-CN"/>
              </w:rPr>
              <w:t>；</w:t>
            </w:r>
            <w:r>
              <w:rPr>
                <w:rFonts w:hint="eastAsia"/>
                <w:lang w:val="zh-CN"/>
              </w:rPr>
              <w:t>每项</w:t>
            </w:r>
            <w:r>
              <w:rPr>
                <w:rFonts w:hint="eastAsia"/>
                <w:lang w:val="zh-CN" w:eastAsia="zh-CN"/>
              </w:rPr>
              <w:t>方案</w:t>
            </w:r>
            <w:r>
              <w:rPr>
                <w:rFonts w:hint="eastAsia"/>
                <w:lang w:val="zh-CN"/>
              </w:rPr>
              <w:t>描述要结合本项目的实际特点进行综合考虑，每</w:t>
            </w:r>
            <w:r>
              <w:rPr>
                <w:rFonts w:hint="eastAsia"/>
                <w:lang w:val="zh-CN" w:eastAsia="zh-CN"/>
              </w:rPr>
              <w:t>有一</w:t>
            </w:r>
            <w:r>
              <w:rPr>
                <w:rFonts w:hint="eastAsia"/>
                <w:lang w:val="zh-CN"/>
              </w:rPr>
              <w:t>项</w:t>
            </w:r>
            <w:r>
              <w:rPr>
                <w:rFonts w:hint="eastAsia"/>
                <w:lang w:val="zh-CN" w:eastAsia="zh-CN"/>
              </w:rPr>
              <w:t>方案</w:t>
            </w:r>
            <w:r>
              <w:rPr>
                <w:rFonts w:hint="eastAsia"/>
                <w:lang w:val="zh-CN"/>
              </w:rPr>
              <w:t>描述</w:t>
            </w:r>
            <w:r>
              <w:rPr>
                <w:rFonts w:hint="eastAsia"/>
                <w:lang w:val="zh-CN" w:eastAsia="zh-CN"/>
              </w:rPr>
              <w:t>包含上述内容且</w:t>
            </w:r>
            <w:r>
              <w:rPr>
                <w:rFonts w:hint="eastAsia"/>
                <w:lang w:val="zh-CN"/>
              </w:rPr>
              <w:t>符合采购人采购需求的得1分，每项</w:t>
            </w:r>
            <w:r>
              <w:rPr>
                <w:rFonts w:hint="eastAsia"/>
                <w:lang w:val="zh-CN" w:eastAsia="zh-CN"/>
              </w:rPr>
              <w:t>方案</w:t>
            </w:r>
            <w:r>
              <w:rPr>
                <w:rFonts w:hint="eastAsia"/>
                <w:lang w:val="zh-CN"/>
              </w:rPr>
              <w:t>描述有缺陷或缺项该项不得分；本项共4分。</w:t>
            </w:r>
          </w:p>
          <w:p>
            <w:pPr>
              <w:adjustRightInd w:val="0"/>
              <w:snapToGrid w:val="0"/>
              <w:contextualSpacing/>
              <w:rPr>
                <w:rFonts w:hint="eastAsia"/>
                <w:lang w:val="zh-CN"/>
              </w:rPr>
            </w:pPr>
            <w:r>
              <w:rPr>
                <w:rFonts w:hint="eastAsia"/>
                <w:lang w:val="en-US" w:eastAsia="zh-CN"/>
              </w:rPr>
              <w:t>注：(缺陷指:项目名称、实施地点、涉及的规范、实施的内容、标准与本项目要求不一致等）</w:t>
            </w:r>
          </w:p>
          <w:p>
            <w:pPr>
              <w:adjustRightInd w:val="0"/>
              <w:snapToGrid w:val="0"/>
              <w:contextualSpacing/>
              <w:rPr>
                <w:rFonts w:hint="eastAsia" w:ascii="仿宋" w:hAnsi="仿宋" w:eastAsia="仿宋" w:cs="宋体"/>
                <w:kern w:val="0"/>
                <w:sz w:val="21"/>
                <w:szCs w:val="21"/>
                <w:lang w:val="en-US" w:eastAsia="zh-CN" w:bidi="ar-SA"/>
              </w:rPr>
            </w:pPr>
            <w:r>
              <w:rPr>
                <w:rFonts w:hint="eastAsia"/>
                <w:lang w:val="zh-CN"/>
              </w:rPr>
              <w:t>3.具有生产厂家</w:t>
            </w:r>
            <w:r>
              <w:rPr>
                <w:rFonts w:hint="eastAsia"/>
                <w:lang w:val="en-US" w:eastAsia="zh-CN"/>
              </w:rPr>
              <w:t>能在质保期内稳定提供零配件及技术支持服务的</w:t>
            </w:r>
            <w:r>
              <w:rPr>
                <w:rFonts w:hint="eastAsia"/>
                <w:lang w:val="zh-CN"/>
              </w:rPr>
              <w:t>售后服务承诺函，得2分。</w:t>
            </w:r>
            <w:r>
              <w:rPr>
                <w:rFonts w:hint="eastAsia"/>
                <w:lang w:val="zh-CN" w:eastAsia="zh-CN"/>
              </w:rPr>
              <w:t>（提供承诺函，未按要求提供不得分）</w:t>
            </w:r>
          </w:p>
        </w:tc>
        <w:tc>
          <w:tcPr>
            <w:tcW w:w="19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7" w:hRule="atLeast"/>
        </w:trPr>
        <w:tc>
          <w:tcPr>
            <w:tcW w:w="61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sz w:val="22"/>
                <w:szCs w:val="21"/>
                <w:lang w:val="en-US" w:eastAsia="zh-CN"/>
              </w:rPr>
            </w:pPr>
            <w:r>
              <w:rPr>
                <w:rFonts w:hint="eastAsia" w:ascii="宋体" w:hAnsi="宋体"/>
                <w:sz w:val="22"/>
                <w:szCs w:val="21"/>
                <w:lang w:val="en-US" w:eastAsia="zh-CN"/>
              </w:rPr>
              <w:t>9</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contextualSpacing/>
              <w:rPr>
                <w:rFonts w:hint="eastAsia" w:eastAsia="宋体" w:cs="Times New Roman"/>
                <w:lang w:val="zh-CN"/>
              </w:rPr>
            </w:pPr>
            <w:r>
              <w:rPr>
                <w:rFonts w:hint="eastAsia" w:eastAsia="宋体" w:cs="Times New Roman"/>
                <w:lang w:val="zh-CN"/>
              </w:rPr>
              <w:t>节能、环境标志、无线局域网产品</w:t>
            </w:r>
            <w:r>
              <w:rPr>
                <w:rFonts w:hint="eastAsia" w:eastAsia="宋体" w:cs="Times New Roman"/>
                <w:lang w:val="en-US" w:eastAsia="zh-CN"/>
              </w:rPr>
              <w:t>2%</w:t>
            </w:r>
            <w:r>
              <w:rPr>
                <w:rFonts w:hint="eastAsia" w:eastAsia="宋体" w:cs="Times New Roman"/>
                <w:lang w:val="zh-CN" w:eastAsia="zh-CN"/>
              </w:rPr>
              <w:t>（共同评审因素）</w:t>
            </w:r>
          </w:p>
        </w:tc>
        <w:tc>
          <w:tcPr>
            <w:tcW w:w="650" w:type="dxa"/>
            <w:tcBorders>
              <w:top w:val="single" w:color="auto" w:sz="4" w:space="0"/>
              <w:left w:val="single" w:color="auto" w:sz="4" w:space="0"/>
              <w:bottom w:val="single" w:color="auto" w:sz="4" w:space="0"/>
              <w:right w:val="single" w:color="auto" w:sz="4" w:space="0"/>
            </w:tcBorders>
            <w:vAlign w:val="center"/>
          </w:tcPr>
          <w:p>
            <w:pPr>
              <w:adjustRightInd w:val="0"/>
              <w:snapToGrid w:val="0"/>
              <w:contextualSpacing/>
              <w:rPr>
                <w:rFonts w:hint="eastAsia" w:eastAsia="宋体" w:cs="Times New Roman"/>
                <w:lang w:val="en-US" w:eastAsia="zh-CN"/>
              </w:rPr>
            </w:pPr>
            <w:r>
              <w:rPr>
                <w:rFonts w:hint="eastAsia" w:ascii="宋体" w:hAnsi="宋体"/>
                <w:sz w:val="22"/>
                <w:szCs w:val="21"/>
                <w:lang w:val="en-US" w:eastAsia="zh-CN"/>
              </w:rPr>
              <w:t>2分</w:t>
            </w:r>
          </w:p>
        </w:tc>
        <w:tc>
          <w:tcPr>
            <w:tcW w:w="4188" w:type="dxa"/>
            <w:tcBorders>
              <w:top w:val="single" w:color="auto" w:sz="4" w:space="0"/>
              <w:left w:val="single" w:color="auto" w:sz="4" w:space="0"/>
              <w:bottom w:val="single" w:color="auto" w:sz="4" w:space="0"/>
              <w:right w:val="single" w:color="auto" w:sz="4" w:space="0"/>
            </w:tcBorders>
            <w:vAlign w:val="center"/>
          </w:tcPr>
          <w:p>
            <w:pPr>
              <w:adjustRightInd w:val="0"/>
              <w:snapToGrid w:val="0"/>
              <w:contextualSpacing/>
              <w:rPr>
                <w:rFonts w:hint="eastAsia" w:eastAsia="宋体" w:cs="Times New Roman"/>
                <w:lang w:val="zh-CN"/>
              </w:rPr>
            </w:pPr>
            <w:r>
              <w:rPr>
                <w:rFonts w:hint="eastAsia" w:eastAsia="宋体" w:cs="Times New Roman"/>
                <w:lang w:val="zh-CN" w:eastAsia="zh-CN"/>
              </w:rPr>
              <w:t>提供的</w:t>
            </w:r>
            <w:r>
              <w:rPr>
                <w:rFonts w:hint="eastAsia" w:eastAsia="宋体" w:cs="Times New Roman"/>
                <w:lang w:val="zh-CN"/>
              </w:rPr>
              <w:t>产品中属于政府采购优先采购范围的，则每有一项为节能产品或者环境标志产品或者无线局域网产品的得0.5分，非节能、环境标志产品的、无线局域网产品的不得分。本项最多得2分。</w:t>
            </w:r>
          </w:p>
          <w:p>
            <w:pPr>
              <w:adjustRightInd w:val="0"/>
              <w:snapToGrid w:val="0"/>
              <w:contextualSpacing/>
              <w:rPr>
                <w:rFonts w:hint="eastAsia" w:eastAsia="宋体" w:cs="Times New Roman"/>
                <w:lang w:val="zh-CN"/>
              </w:rPr>
            </w:pPr>
            <w:r>
              <w:rPr>
                <w:rFonts w:hint="eastAsia" w:eastAsia="宋体" w:cs="Times New Roman"/>
                <w:lang w:val="zh-CN"/>
              </w:rPr>
              <w:t>注：1. 节能产品</w:t>
            </w:r>
            <w:r>
              <w:rPr>
                <w:rFonts w:hint="eastAsia" w:eastAsia="宋体" w:cs="Times New Roman"/>
                <w:lang w:val="zh-CN" w:eastAsia="zh-CN"/>
              </w:rPr>
              <w:t>（强制节能除外）</w:t>
            </w:r>
            <w:r>
              <w:rPr>
                <w:rFonts w:hint="eastAsia" w:eastAsia="宋体" w:cs="Times New Roman"/>
                <w:lang w:val="zh-CN"/>
              </w:rPr>
              <w:t>、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为准。</w:t>
            </w:r>
          </w:p>
          <w:p>
            <w:pPr>
              <w:adjustRightInd w:val="0"/>
              <w:snapToGrid w:val="0"/>
              <w:contextualSpacing/>
              <w:rPr>
                <w:rFonts w:hint="eastAsia" w:eastAsia="宋体" w:cs="Times New Roman"/>
                <w:lang w:val="zh-CN"/>
              </w:rPr>
            </w:pPr>
            <w:r>
              <w:rPr>
                <w:rFonts w:hint="eastAsia" w:eastAsia="宋体" w:cs="Times New Roman"/>
                <w:lang w:val="zh-CN"/>
              </w:rPr>
              <w:t>2. 投标产品属于优先采购范围内的节能产品或者环境标志产品的，提供国家确定的认证机构出具的、处于有效期之内的节能产品、环境标志产品认证证书复印件加盖供应商公章（鲜章）。</w:t>
            </w:r>
          </w:p>
          <w:p>
            <w:pPr>
              <w:adjustRightInd w:val="0"/>
              <w:snapToGrid w:val="0"/>
              <w:contextualSpacing/>
              <w:rPr>
                <w:rFonts w:hint="eastAsia" w:eastAsia="宋体" w:cs="Times New Roman"/>
                <w:lang w:val="zh-CN"/>
              </w:rPr>
            </w:pPr>
            <w:r>
              <w:rPr>
                <w:rFonts w:hint="eastAsia" w:eastAsia="宋体" w:cs="Times New Roman"/>
                <w:lang w:val="zh-CN"/>
              </w:rPr>
              <w:t>3. 投标产品属于优先采购范围内的无线局域网产品的，提供政府采购清单对应页并加盖供应商单位公章（鲜章）。</w:t>
            </w:r>
          </w:p>
        </w:tc>
        <w:tc>
          <w:tcPr>
            <w:tcW w:w="19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lang w:eastAsia="zh-CN"/>
              </w:rPr>
            </w:pPr>
          </w:p>
        </w:tc>
      </w:tr>
    </w:tbl>
    <w:p>
      <w:pPr>
        <w:spacing w:line="400" w:lineRule="exact"/>
        <w:rPr>
          <w:rFonts w:ascii="宋体" w:hAnsi="宋体"/>
          <w:sz w:val="24"/>
          <w:szCs w:val="21"/>
        </w:rPr>
      </w:pPr>
    </w:p>
    <w:p>
      <w:pPr>
        <w:spacing w:line="400" w:lineRule="exact"/>
        <w:ind w:firstLine="484" w:firstLineChars="202"/>
        <w:rPr>
          <w:rFonts w:ascii="宋体" w:hAnsi="宋体"/>
          <w:sz w:val="24"/>
          <w:szCs w:val="21"/>
        </w:rPr>
      </w:pPr>
      <w:r>
        <w:rPr>
          <w:rFonts w:hint="eastAsia" w:ascii="宋体" w:hAnsi="宋体"/>
          <w:sz w:val="24"/>
          <w:szCs w:val="21"/>
        </w:rPr>
        <w:t>说明：</w:t>
      </w:r>
    </w:p>
    <w:p>
      <w:pPr>
        <w:spacing w:line="400" w:lineRule="exact"/>
        <w:ind w:firstLine="484" w:firstLineChars="202"/>
        <w:rPr>
          <w:rFonts w:ascii="宋体" w:hAnsi="宋体"/>
          <w:sz w:val="24"/>
          <w:szCs w:val="21"/>
        </w:rPr>
      </w:pPr>
      <w:r>
        <w:rPr>
          <w:rFonts w:hint="eastAsia" w:ascii="宋体" w:hAnsi="宋体"/>
          <w:sz w:val="24"/>
          <w:szCs w:val="21"/>
        </w:rPr>
        <w:t>1、评分的取值按四舍五入法，保留小数点后两位；</w:t>
      </w:r>
    </w:p>
    <w:p>
      <w:pPr>
        <w:spacing w:line="400" w:lineRule="exact"/>
        <w:ind w:firstLine="484" w:firstLineChars="202"/>
        <w:rPr>
          <w:rFonts w:ascii="宋体" w:hAnsi="宋体"/>
          <w:sz w:val="24"/>
          <w:szCs w:val="21"/>
        </w:rPr>
      </w:pPr>
      <w:r>
        <w:rPr>
          <w:rFonts w:hint="eastAsia" w:ascii="宋体" w:hAnsi="宋体"/>
          <w:sz w:val="24"/>
          <w:szCs w:val="21"/>
        </w:rPr>
        <w:t>2、评分标准中要求提供复印件的证明材料须清晰可辨。</w:t>
      </w:r>
    </w:p>
    <w:p>
      <w:pPr>
        <w:pStyle w:val="5"/>
        <w:numPr>
          <w:ilvl w:val="1"/>
          <w:numId w:val="5"/>
        </w:numPr>
        <w:tabs>
          <w:tab w:val="left" w:pos="426"/>
          <w:tab w:val="left" w:pos="567"/>
        </w:tabs>
        <w:spacing w:before="0" w:after="200" w:line="400" w:lineRule="exact"/>
        <w:ind w:left="1985" w:hanging="1985"/>
        <w:jc w:val="both"/>
        <w:rPr>
          <w:sz w:val="24"/>
          <w:szCs w:val="24"/>
        </w:rPr>
      </w:pPr>
      <w:bookmarkStart w:id="105" w:name="_Toc494095668"/>
      <w:bookmarkEnd w:id="105"/>
      <w:bookmarkStart w:id="106" w:name="_Toc494357024"/>
      <w:bookmarkEnd w:id="106"/>
      <w:bookmarkStart w:id="107" w:name="_Toc494095681"/>
      <w:bookmarkEnd w:id="107"/>
      <w:bookmarkStart w:id="108" w:name="_Toc494357031"/>
      <w:bookmarkEnd w:id="108"/>
      <w:bookmarkStart w:id="109" w:name="_Toc494095675"/>
      <w:bookmarkEnd w:id="109"/>
      <w:bookmarkStart w:id="110" w:name="_Toc494357026"/>
      <w:bookmarkEnd w:id="110"/>
      <w:bookmarkStart w:id="111" w:name="_Toc494095673"/>
      <w:bookmarkEnd w:id="111"/>
      <w:bookmarkStart w:id="112" w:name="_Toc494357032"/>
      <w:bookmarkEnd w:id="112"/>
      <w:bookmarkStart w:id="113" w:name="_Toc494095680"/>
      <w:bookmarkEnd w:id="113"/>
      <w:bookmarkStart w:id="114" w:name="_Toc494095671"/>
      <w:bookmarkEnd w:id="114"/>
      <w:bookmarkStart w:id="115" w:name="_Toc494095677"/>
      <w:bookmarkEnd w:id="115"/>
      <w:bookmarkStart w:id="116" w:name="_Toc494357034"/>
      <w:bookmarkEnd w:id="116"/>
      <w:bookmarkStart w:id="117" w:name="_Toc494095672"/>
      <w:bookmarkEnd w:id="117"/>
      <w:bookmarkStart w:id="118" w:name="_Toc494095679"/>
      <w:bookmarkEnd w:id="118"/>
      <w:bookmarkStart w:id="119" w:name="_Toc494095678"/>
      <w:bookmarkEnd w:id="119"/>
      <w:bookmarkStart w:id="120" w:name="_Toc494095682"/>
      <w:bookmarkEnd w:id="120"/>
      <w:bookmarkStart w:id="121" w:name="_Toc494357028"/>
      <w:bookmarkEnd w:id="121"/>
      <w:bookmarkStart w:id="122" w:name="_Toc494357027"/>
      <w:bookmarkEnd w:id="122"/>
      <w:bookmarkStart w:id="123" w:name="_Toc494357025"/>
      <w:bookmarkEnd w:id="123"/>
      <w:bookmarkStart w:id="124" w:name="_Toc494095669"/>
      <w:bookmarkEnd w:id="124"/>
      <w:bookmarkStart w:id="125" w:name="_Toc494095670"/>
      <w:bookmarkEnd w:id="125"/>
      <w:bookmarkStart w:id="126" w:name="_Toc494095674"/>
      <w:bookmarkEnd w:id="126"/>
      <w:bookmarkStart w:id="127" w:name="_Toc494357023"/>
      <w:bookmarkEnd w:id="127"/>
      <w:bookmarkStart w:id="128" w:name="_Toc494357033"/>
      <w:bookmarkEnd w:id="128"/>
      <w:bookmarkStart w:id="129" w:name="_Toc494357022"/>
      <w:bookmarkEnd w:id="129"/>
      <w:bookmarkStart w:id="130" w:name="_Toc494357035"/>
      <w:bookmarkEnd w:id="130"/>
      <w:bookmarkStart w:id="131" w:name="_Toc494357030"/>
      <w:bookmarkEnd w:id="131"/>
      <w:bookmarkStart w:id="132" w:name="_Toc494357029"/>
      <w:bookmarkEnd w:id="132"/>
      <w:bookmarkStart w:id="133" w:name="_Toc494095676"/>
      <w:bookmarkEnd w:id="133"/>
      <w:bookmarkStart w:id="134" w:name="_Toc494357021"/>
      <w:bookmarkEnd w:id="134"/>
      <w:bookmarkStart w:id="135" w:name="_Toc79742139"/>
      <w:bookmarkStart w:id="136" w:name="_Toc58943349"/>
      <w:r>
        <w:rPr>
          <w:rFonts w:hint="eastAsia"/>
          <w:sz w:val="24"/>
          <w:szCs w:val="24"/>
        </w:rPr>
        <w:t>采购失败情形</w:t>
      </w:r>
      <w:bookmarkEnd w:id="135"/>
      <w:bookmarkEnd w:id="136"/>
    </w:p>
    <w:p>
      <w:pPr>
        <w:snapToGrid w:val="0"/>
        <w:spacing w:line="400" w:lineRule="exact"/>
        <w:ind w:firstLine="475" w:firstLineChars="198"/>
        <w:rPr>
          <w:rFonts w:ascii="宋体" w:hAnsi="宋体" w:cs="宋体"/>
          <w:sz w:val="24"/>
          <w:szCs w:val="24"/>
        </w:rPr>
      </w:pPr>
      <w:r>
        <w:rPr>
          <w:rFonts w:hint="eastAsia" w:ascii="宋体" w:hAnsi="宋体" w:cs="宋体"/>
          <w:sz w:val="24"/>
          <w:szCs w:val="24"/>
        </w:rPr>
        <w:t>有下列情形之一的，本项目采购失败：</w:t>
      </w:r>
    </w:p>
    <w:p>
      <w:pPr>
        <w:tabs>
          <w:tab w:val="left" w:pos="851"/>
        </w:tabs>
        <w:snapToGrid w:val="0"/>
        <w:spacing w:line="400" w:lineRule="exact"/>
        <w:ind w:firstLine="484" w:firstLineChars="202"/>
        <w:rPr>
          <w:rFonts w:ascii="宋体" w:hAnsi="宋体" w:cs="宋体"/>
          <w:sz w:val="24"/>
          <w:szCs w:val="24"/>
        </w:rPr>
      </w:pPr>
      <w:r>
        <w:rPr>
          <w:rFonts w:hint="eastAsia" w:ascii="宋体" w:hAnsi="宋体" w:cs="宋体"/>
          <w:sz w:val="24"/>
          <w:szCs w:val="24"/>
        </w:rPr>
        <w:t>一、因情况变化，不再符合规定的竞争性磋商采购方式适用情形的；</w:t>
      </w:r>
    </w:p>
    <w:p>
      <w:pPr>
        <w:tabs>
          <w:tab w:val="left" w:pos="851"/>
        </w:tabs>
        <w:snapToGrid w:val="0"/>
        <w:spacing w:line="400" w:lineRule="exact"/>
        <w:ind w:firstLine="484" w:firstLineChars="202"/>
        <w:rPr>
          <w:rFonts w:ascii="宋体" w:hAnsi="宋体" w:cs="宋体"/>
          <w:sz w:val="24"/>
          <w:szCs w:val="24"/>
        </w:rPr>
      </w:pPr>
      <w:r>
        <w:rPr>
          <w:rFonts w:hint="eastAsia" w:ascii="宋体" w:hAnsi="宋体" w:cs="宋体"/>
          <w:sz w:val="24"/>
          <w:szCs w:val="24"/>
        </w:rPr>
        <w:t>二、出现影响采购公正的违法、违规行为的；</w:t>
      </w:r>
    </w:p>
    <w:p>
      <w:pPr>
        <w:tabs>
          <w:tab w:val="left" w:pos="851"/>
        </w:tabs>
        <w:snapToGrid w:val="0"/>
        <w:spacing w:line="400" w:lineRule="exact"/>
        <w:ind w:firstLine="484" w:firstLineChars="202"/>
        <w:rPr>
          <w:rFonts w:ascii="宋体" w:hAnsi="宋体" w:cs="宋体"/>
          <w:sz w:val="24"/>
          <w:szCs w:val="24"/>
        </w:rPr>
      </w:pPr>
      <w:r>
        <w:rPr>
          <w:rFonts w:hint="eastAsia" w:ascii="宋体" w:hAnsi="宋体" w:cs="宋体"/>
          <w:sz w:val="24"/>
          <w:szCs w:val="24"/>
        </w:rPr>
        <w:t>三、首次</w:t>
      </w:r>
      <w:r>
        <w:rPr>
          <w:rFonts w:hint="eastAsia" w:ascii="宋体" w:hAnsi="宋体"/>
          <w:sz w:val="24"/>
          <w:szCs w:val="24"/>
        </w:rPr>
        <w:t>递交响应文件的供应商不足三家的</w:t>
      </w:r>
      <w:r>
        <w:rPr>
          <w:rFonts w:hint="eastAsia" w:ascii="宋体" w:hAnsi="宋体" w:cs="宋体"/>
          <w:sz w:val="24"/>
          <w:szCs w:val="24"/>
        </w:rPr>
        <w:t>；</w:t>
      </w:r>
    </w:p>
    <w:p>
      <w:pPr>
        <w:tabs>
          <w:tab w:val="left" w:pos="851"/>
        </w:tabs>
        <w:snapToGrid w:val="0"/>
        <w:spacing w:line="400" w:lineRule="exact"/>
        <w:ind w:firstLine="484" w:firstLineChars="202"/>
        <w:rPr>
          <w:rFonts w:ascii="宋体" w:hAnsi="宋体" w:cs="宋体"/>
          <w:sz w:val="24"/>
          <w:szCs w:val="24"/>
        </w:rPr>
      </w:pPr>
      <w:r>
        <w:rPr>
          <w:rFonts w:hint="eastAsia" w:ascii="宋体" w:hAnsi="宋体" w:cs="宋体"/>
          <w:sz w:val="24"/>
          <w:szCs w:val="24"/>
        </w:rPr>
        <w:t>四、通过资格性审查</w:t>
      </w:r>
      <w:r>
        <w:rPr>
          <w:rFonts w:hint="eastAsia" w:ascii="宋体" w:hAnsi="宋体"/>
          <w:sz w:val="24"/>
          <w:szCs w:val="24"/>
        </w:rPr>
        <w:t>的供应商</w:t>
      </w:r>
      <w:r>
        <w:rPr>
          <w:rFonts w:hint="eastAsia" w:ascii="宋体" w:hAnsi="宋体" w:cs="宋体"/>
          <w:sz w:val="24"/>
          <w:szCs w:val="24"/>
        </w:rPr>
        <w:t>不足三家的；</w:t>
      </w:r>
    </w:p>
    <w:p>
      <w:pPr>
        <w:tabs>
          <w:tab w:val="left" w:pos="851"/>
        </w:tabs>
        <w:snapToGrid w:val="0"/>
        <w:spacing w:line="400" w:lineRule="exact"/>
        <w:ind w:firstLine="484" w:firstLineChars="202"/>
        <w:rPr>
          <w:rFonts w:ascii="宋体" w:hAnsi="宋体" w:cs="宋体"/>
          <w:sz w:val="24"/>
          <w:szCs w:val="24"/>
        </w:rPr>
      </w:pPr>
      <w:r>
        <w:rPr>
          <w:rFonts w:hint="eastAsia" w:ascii="宋体" w:hAnsi="宋体" w:cs="宋体"/>
          <w:sz w:val="24"/>
          <w:szCs w:val="24"/>
        </w:rPr>
        <w:t>五、通过符合性审查</w:t>
      </w:r>
      <w:r>
        <w:rPr>
          <w:rFonts w:hint="eastAsia" w:ascii="宋体" w:hAnsi="宋体"/>
          <w:sz w:val="24"/>
          <w:szCs w:val="24"/>
        </w:rPr>
        <w:t>的供应商</w:t>
      </w:r>
      <w:r>
        <w:rPr>
          <w:rFonts w:hint="eastAsia" w:ascii="宋体" w:hAnsi="宋体" w:cs="宋体"/>
          <w:sz w:val="24"/>
          <w:szCs w:val="24"/>
        </w:rPr>
        <w:t>不足三家</w:t>
      </w:r>
      <w:r>
        <w:rPr>
          <w:rFonts w:hint="eastAsia" w:ascii="宋体" w:hAnsi="宋体"/>
          <w:sz w:val="24"/>
          <w:szCs w:val="24"/>
        </w:rPr>
        <w:t>的</w:t>
      </w:r>
      <w:r>
        <w:rPr>
          <w:rFonts w:hint="eastAsia" w:ascii="宋体" w:hAnsi="宋体" w:cs="宋体"/>
          <w:sz w:val="24"/>
          <w:szCs w:val="24"/>
        </w:rPr>
        <w:t>；</w:t>
      </w:r>
    </w:p>
    <w:p>
      <w:pPr>
        <w:tabs>
          <w:tab w:val="left" w:pos="851"/>
        </w:tabs>
        <w:snapToGrid w:val="0"/>
        <w:spacing w:line="400" w:lineRule="exact"/>
        <w:ind w:firstLine="484" w:firstLineChars="202"/>
        <w:rPr>
          <w:rFonts w:ascii="宋体" w:hAnsi="宋体" w:cs="宋体"/>
          <w:sz w:val="24"/>
          <w:szCs w:val="24"/>
        </w:rPr>
      </w:pPr>
      <w:r>
        <w:rPr>
          <w:rFonts w:hint="eastAsia" w:ascii="宋体" w:hAnsi="宋体" w:cs="宋体"/>
          <w:sz w:val="24"/>
          <w:szCs w:val="24"/>
        </w:rPr>
        <w:t>六、提交最后报价的供应商不足三家的；</w:t>
      </w:r>
    </w:p>
    <w:p>
      <w:pPr>
        <w:tabs>
          <w:tab w:val="left" w:pos="851"/>
        </w:tabs>
        <w:snapToGrid w:val="0"/>
        <w:spacing w:line="400" w:lineRule="exact"/>
        <w:ind w:firstLine="484" w:firstLineChars="202"/>
        <w:rPr>
          <w:rFonts w:ascii="宋体" w:hAnsi="宋体" w:cs="宋体"/>
          <w:sz w:val="24"/>
          <w:szCs w:val="24"/>
        </w:rPr>
      </w:pPr>
      <w:r>
        <w:rPr>
          <w:rFonts w:hint="eastAsia" w:ascii="宋体" w:hAnsi="宋体" w:cs="宋体"/>
          <w:sz w:val="24"/>
          <w:szCs w:val="24"/>
        </w:rPr>
        <w:t>七、通过最后报价审查的供应商不足三家的。</w:t>
      </w:r>
    </w:p>
    <w:p>
      <w:pPr>
        <w:pStyle w:val="5"/>
        <w:numPr>
          <w:ilvl w:val="1"/>
          <w:numId w:val="5"/>
        </w:numPr>
        <w:tabs>
          <w:tab w:val="left" w:pos="426"/>
          <w:tab w:val="left" w:pos="567"/>
        </w:tabs>
        <w:spacing w:before="0" w:after="200" w:line="400" w:lineRule="exact"/>
        <w:ind w:left="1985" w:hanging="1985"/>
        <w:jc w:val="both"/>
        <w:rPr>
          <w:sz w:val="24"/>
          <w:szCs w:val="24"/>
        </w:rPr>
      </w:pPr>
      <w:bookmarkStart w:id="137" w:name="_Toc79742140"/>
      <w:bookmarkStart w:id="138" w:name="_Toc58943350"/>
      <w:r>
        <w:rPr>
          <w:rFonts w:hint="eastAsia"/>
          <w:sz w:val="24"/>
          <w:szCs w:val="24"/>
        </w:rPr>
        <w:t>确定成交供应商</w:t>
      </w:r>
      <w:bookmarkEnd w:id="137"/>
      <w:bookmarkEnd w:id="138"/>
    </w:p>
    <w:p>
      <w:pPr>
        <w:widowControl/>
        <w:numPr>
          <w:ilvl w:val="0"/>
          <w:numId w:val="43"/>
        </w:numPr>
        <w:tabs>
          <w:tab w:val="left" w:pos="1134"/>
        </w:tabs>
        <w:snapToGrid w:val="0"/>
        <w:spacing w:after="200" w:line="400" w:lineRule="exact"/>
        <w:ind w:left="0" w:firstLine="480" w:firstLineChars="200"/>
        <w:jc w:val="left"/>
        <w:rPr>
          <w:rFonts w:ascii="宋体" w:hAnsi="宋体" w:cs="宋体"/>
          <w:sz w:val="24"/>
          <w:szCs w:val="24"/>
        </w:rPr>
      </w:pPr>
      <w:r>
        <w:rPr>
          <w:rFonts w:hint="eastAsia" w:ascii="宋体" w:hAnsi="宋体" w:cs="宋体"/>
          <w:sz w:val="24"/>
          <w:szCs w:val="24"/>
        </w:rPr>
        <w:t>采购人根据磋商小组推荐的成交候选供应商名单，按顺序确定1名成交供应商。成交候选供应商并列的，采购人采取随机抽取的方式确定。</w:t>
      </w:r>
    </w:p>
    <w:p>
      <w:pPr>
        <w:widowControl/>
        <w:numPr>
          <w:ilvl w:val="0"/>
          <w:numId w:val="43"/>
        </w:numPr>
        <w:tabs>
          <w:tab w:val="left" w:pos="1134"/>
        </w:tabs>
        <w:snapToGrid w:val="0"/>
        <w:spacing w:after="200" w:line="400" w:lineRule="exact"/>
        <w:ind w:left="0" w:firstLine="480" w:firstLineChars="200"/>
        <w:jc w:val="left"/>
        <w:rPr>
          <w:rFonts w:ascii="宋体" w:hAnsi="宋体" w:cs="宋体"/>
          <w:sz w:val="24"/>
          <w:szCs w:val="24"/>
        </w:rPr>
      </w:pPr>
      <w:r>
        <w:rPr>
          <w:rFonts w:hint="eastAsia" w:ascii="宋体" w:hAnsi="宋体" w:cs="宋体"/>
          <w:sz w:val="24"/>
          <w:szCs w:val="24"/>
        </w:rPr>
        <w:t>评审结束后，区政府采购中心在评审结束之日起2个工作日内将评审报告及有关资料送交采购人确定1名成交供应商。</w:t>
      </w:r>
    </w:p>
    <w:p>
      <w:pPr>
        <w:widowControl/>
        <w:numPr>
          <w:ilvl w:val="0"/>
          <w:numId w:val="43"/>
        </w:numPr>
        <w:tabs>
          <w:tab w:val="left" w:pos="1134"/>
        </w:tabs>
        <w:snapToGrid w:val="0"/>
        <w:spacing w:after="200" w:line="400" w:lineRule="exact"/>
        <w:ind w:left="0" w:firstLine="480" w:firstLineChars="200"/>
        <w:jc w:val="left"/>
        <w:rPr>
          <w:rFonts w:ascii="宋体" w:hAnsi="宋体" w:cs="宋体"/>
          <w:sz w:val="24"/>
          <w:szCs w:val="24"/>
        </w:rPr>
      </w:pPr>
      <w:r>
        <w:rPr>
          <w:rFonts w:hint="eastAsia" w:ascii="宋体" w:hAnsi="宋体"/>
          <w:color w:val="000000"/>
          <w:sz w:val="24"/>
          <w:szCs w:val="24"/>
        </w:rPr>
        <w:t>采购人收到</w:t>
      </w:r>
      <w:r>
        <w:rPr>
          <w:rFonts w:hint="eastAsia" w:ascii="宋体" w:hAnsi="宋体"/>
          <w:sz w:val="24"/>
          <w:szCs w:val="24"/>
        </w:rPr>
        <w:t>评审</w:t>
      </w:r>
      <w:r>
        <w:rPr>
          <w:rFonts w:hint="eastAsia" w:ascii="宋体" w:hAnsi="宋体"/>
          <w:color w:val="000000"/>
          <w:sz w:val="24"/>
          <w:szCs w:val="24"/>
        </w:rPr>
        <w:t>报告及有关资料后，将在5个工作日内按照磋商报告中推荐的成交候选供应商顺序确定成交供应商。成交候选供应商并列的，</w:t>
      </w:r>
      <w:r>
        <w:rPr>
          <w:rFonts w:hint="eastAsia" w:ascii="宋体" w:hAnsi="宋体"/>
          <w:sz w:val="24"/>
          <w:szCs w:val="24"/>
        </w:rPr>
        <w:t>供应商属于不发达地区或者少数民族地区的优先，或</w:t>
      </w:r>
      <w:r>
        <w:rPr>
          <w:rFonts w:hint="eastAsia" w:ascii="宋体" w:hAnsi="宋体"/>
          <w:color w:val="000000"/>
          <w:sz w:val="24"/>
          <w:szCs w:val="24"/>
        </w:rPr>
        <w:t>由采购人自主采取公平、择优的方式选择成交供应商。</w:t>
      </w:r>
      <w:r>
        <w:rPr>
          <w:rFonts w:hint="eastAsia" w:ascii="宋体" w:hAnsi="宋体" w:cs="宋体"/>
          <w:sz w:val="24"/>
          <w:szCs w:val="24"/>
        </w:rPr>
        <w:t>若成交候选供应商及其现任法定代表人、主要负责人存在行贿犯罪记录，采购人将不确定其为成交</w:t>
      </w:r>
      <w:r>
        <w:rPr>
          <w:rFonts w:ascii="宋体" w:hAnsi="宋体" w:cs="宋体"/>
          <w:sz w:val="24"/>
          <w:szCs w:val="24"/>
        </w:rPr>
        <w:t>供应商</w:t>
      </w:r>
      <w:r>
        <w:rPr>
          <w:rFonts w:hint="eastAsia" w:ascii="宋体" w:hAnsi="宋体" w:cs="宋体"/>
          <w:sz w:val="24"/>
          <w:szCs w:val="24"/>
        </w:rPr>
        <w:t>。</w:t>
      </w:r>
    </w:p>
    <w:p>
      <w:pPr>
        <w:widowControl/>
        <w:numPr>
          <w:ilvl w:val="0"/>
          <w:numId w:val="43"/>
        </w:numPr>
        <w:tabs>
          <w:tab w:val="left" w:pos="1134"/>
        </w:tabs>
        <w:snapToGrid w:val="0"/>
        <w:spacing w:after="200" w:line="400" w:lineRule="exact"/>
        <w:ind w:left="0" w:firstLine="480" w:firstLineChars="200"/>
        <w:jc w:val="left"/>
        <w:rPr>
          <w:rFonts w:ascii="宋体" w:hAnsi="宋体" w:cs="宋体"/>
          <w:sz w:val="24"/>
          <w:szCs w:val="24"/>
        </w:rPr>
      </w:pPr>
      <w:r>
        <w:rPr>
          <w:rFonts w:hint="eastAsia" w:ascii="宋体" w:hAnsi="宋体" w:cs="宋体"/>
          <w:sz w:val="24"/>
          <w:szCs w:val="24"/>
        </w:rPr>
        <w:t>采购人逾期未确定成交供应商且不提出异议的，视为确定评审报告提出的排序第一的供应商为成交供应商。</w:t>
      </w:r>
    </w:p>
    <w:p>
      <w:pPr>
        <w:pStyle w:val="5"/>
        <w:numPr>
          <w:ilvl w:val="1"/>
          <w:numId w:val="5"/>
        </w:numPr>
        <w:tabs>
          <w:tab w:val="left" w:pos="426"/>
          <w:tab w:val="left" w:pos="567"/>
        </w:tabs>
        <w:spacing w:before="0" w:after="200" w:line="400" w:lineRule="exact"/>
        <w:ind w:left="1985" w:hanging="1985"/>
        <w:rPr>
          <w:sz w:val="24"/>
          <w:szCs w:val="24"/>
        </w:rPr>
      </w:pPr>
      <w:bookmarkStart w:id="139" w:name="_Toc77688504"/>
      <w:bookmarkEnd w:id="139"/>
      <w:bookmarkStart w:id="140" w:name="_Toc77688501"/>
      <w:bookmarkEnd w:id="140"/>
      <w:bookmarkStart w:id="141" w:name="_Toc77688502"/>
      <w:bookmarkEnd w:id="141"/>
      <w:bookmarkStart w:id="142" w:name="_Toc77688503"/>
      <w:bookmarkEnd w:id="142"/>
      <w:bookmarkStart w:id="143" w:name="_Toc58943351"/>
      <w:bookmarkStart w:id="144" w:name="_Toc79742141"/>
      <w:r>
        <w:rPr>
          <w:rFonts w:hint="eastAsia"/>
          <w:sz w:val="24"/>
          <w:szCs w:val="24"/>
        </w:rPr>
        <w:t>磋商小组成员义务</w:t>
      </w:r>
      <w:bookmarkEnd w:id="143"/>
      <w:bookmarkEnd w:id="144"/>
    </w:p>
    <w:p>
      <w:pPr>
        <w:snapToGrid w:val="0"/>
        <w:spacing w:line="400" w:lineRule="exact"/>
        <w:ind w:firstLine="480" w:firstLineChars="200"/>
        <w:rPr>
          <w:sz w:val="24"/>
          <w:szCs w:val="24"/>
        </w:rPr>
      </w:pPr>
      <w:r>
        <w:rPr>
          <w:rFonts w:hint="eastAsia"/>
          <w:sz w:val="24"/>
          <w:szCs w:val="24"/>
        </w:rPr>
        <w:t>磋商小组成员在政府采购活动中承担以下义务：</w:t>
      </w:r>
    </w:p>
    <w:p>
      <w:pPr>
        <w:pStyle w:val="81"/>
        <w:numPr>
          <w:ilvl w:val="0"/>
          <w:numId w:val="44"/>
        </w:numPr>
        <w:spacing w:line="400" w:lineRule="exact"/>
        <w:ind w:hanging="573" w:firstLineChars="0"/>
        <w:rPr>
          <w:rFonts w:eastAsia="宋体" w:cs="Times New Roman"/>
          <w:sz w:val="24"/>
          <w:szCs w:val="24"/>
        </w:rPr>
      </w:pPr>
      <w:r>
        <w:rPr>
          <w:rFonts w:hint="eastAsia" w:eastAsia="宋体" w:cs="Times New Roman"/>
          <w:sz w:val="24"/>
          <w:szCs w:val="24"/>
        </w:rPr>
        <w:t>遵守评审工作纪律；</w:t>
      </w:r>
    </w:p>
    <w:p>
      <w:pPr>
        <w:pStyle w:val="81"/>
        <w:numPr>
          <w:ilvl w:val="0"/>
          <w:numId w:val="44"/>
        </w:numPr>
        <w:tabs>
          <w:tab w:val="left" w:pos="284"/>
        </w:tabs>
        <w:spacing w:line="400" w:lineRule="exact"/>
        <w:ind w:left="0" w:firstLine="567" w:firstLineChars="0"/>
        <w:rPr>
          <w:rFonts w:eastAsia="宋体" w:cs="Times New Roman"/>
          <w:sz w:val="24"/>
          <w:szCs w:val="24"/>
        </w:rPr>
      </w:pPr>
      <w:r>
        <w:rPr>
          <w:rFonts w:hint="eastAsia" w:eastAsia="宋体" w:cs="Times New Roman"/>
          <w:sz w:val="24"/>
          <w:szCs w:val="24"/>
        </w:rPr>
        <w:t>按照客观、公正、审慎的原则，根据磋商文件规定的评审程序、评审方法和评审标准进行独立评审；</w:t>
      </w:r>
    </w:p>
    <w:p>
      <w:pPr>
        <w:pStyle w:val="81"/>
        <w:numPr>
          <w:ilvl w:val="0"/>
          <w:numId w:val="44"/>
        </w:numPr>
        <w:tabs>
          <w:tab w:val="left" w:pos="284"/>
        </w:tabs>
        <w:spacing w:line="400" w:lineRule="exact"/>
        <w:ind w:left="0" w:firstLine="567" w:firstLineChars="0"/>
        <w:rPr>
          <w:rFonts w:eastAsia="宋体" w:cs="Times New Roman"/>
          <w:sz w:val="24"/>
          <w:szCs w:val="24"/>
        </w:rPr>
      </w:pPr>
      <w:r>
        <w:rPr>
          <w:rFonts w:hint="eastAsia" w:eastAsia="宋体" w:cs="Times New Roman"/>
          <w:sz w:val="24"/>
          <w:szCs w:val="24"/>
        </w:rPr>
        <w:t>不得泄露评审文件、评审情况和在评审过程中获悉的商业秘密；</w:t>
      </w:r>
    </w:p>
    <w:p>
      <w:pPr>
        <w:pStyle w:val="81"/>
        <w:numPr>
          <w:ilvl w:val="0"/>
          <w:numId w:val="44"/>
        </w:numPr>
        <w:tabs>
          <w:tab w:val="left" w:pos="284"/>
        </w:tabs>
        <w:spacing w:line="400" w:lineRule="exact"/>
        <w:ind w:left="0" w:firstLine="567" w:firstLineChars="0"/>
        <w:rPr>
          <w:rFonts w:eastAsia="宋体" w:cs="Times New Roman"/>
          <w:sz w:val="24"/>
          <w:szCs w:val="24"/>
        </w:rPr>
      </w:pPr>
      <w:r>
        <w:rPr>
          <w:rFonts w:hint="eastAsia" w:eastAsia="宋体" w:cs="Times New Roman"/>
          <w:sz w:val="24"/>
          <w:szCs w:val="24"/>
        </w:rPr>
        <w:t>及时向财政部门报告评审过程中发现的采购人、采购代理机构向评审专家做倾向性、误导性的解释或者说明，以及供应商行贿、提供虚假材料或者串通等违法行为；</w:t>
      </w:r>
    </w:p>
    <w:p>
      <w:pPr>
        <w:pStyle w:val="81"/>
        <w:numPr>
          <w:ilvl w:val="0"/>
          <w:numId w:val="44"/>
        </w:numPr>
        <w:tabs>
          <w:tab w:val="left" w:pos="284"/>
        </w:tabs>
        <w:spacing w:line="400" w:lineRule="exact"/>
        <w:ind w:left="0" w:firstLine="567" w:firstLineChars="0"/>
        <w:rPr>
          <w:rFonts w:eastAsia="宋体" w:cs="Times New Roman"/>
          <w:sz w:val="24"/>
          <w:szCs w:val="24"/>
        </w:rPr>
      </w:pPr>
      <w:r>
        <w:rPr>
          <w:rFonts w:hint="eastAsia" w:eastAsia="宋体" w:cs="Times New Roman"/>
          <w:sz w:val="24"/>
          <w:szCs w:val="24"/>
        </w:rPr>
        <w:t>发现磋商文件内容违反国家有关强制性规定或者磋商文件存在歧义、重大缺陷导致评审工作无法进行时，停止评审并向采购人或者采购代理机构书面说明情况；</w:t>
      </w:r>
    </w:p>
    <w:p>
      <w:pPr>
        <w:pStyle w:val="81"/>
        <w:numPr>
          <w:ilvl w:val="0"/>
          <w:numId w:val="44"/>
        </w:numPr>
        <w:tabs>
          <w:tab w:val="left" w:pos="284"/>
        </w:tabs>
        <w:spacing w:line="400" w:lineRule="exact"/>
        <w:ind w:left="0" w:firstLine="567" w:firstLineChars="0"/>
        <w:rPr>
          <w:rFonts w:eastAsia="宋体" w:cs="Times New Roman"/>
          <w:sz w:val="24"/>
          <w:szCs w:val="24"/>
        </w:rPr>
      </w:pPr>
      <w:r>
        <w:rPr>
          <w:rFonts w:hint="eastAsia" w:eastAsia="宋体" w:cs="Times New Roman"/>
          <w:sz w:val="24"/>
          <w:szCs w:val="24"/>
        </w:rPr>
        <w:t>及时向财政、监察等部门举报在评审过程中受到非法干预的情况；</w:t>
      </w:r>
    </w:p>
    <w:p>
      <w:pPr>
        <w:pStyle w:val="81"/>
        <w:numPr>
          <w:ilvl w:val="0"/>
          <w:numId w:val="44"/>
        </w:numPr>
        <w:tabs>
          <w:tab w:val="left" w:pos="284"/>
        </w:tabs>
        <w:spacing w:line="400" w:lineRule="exact"/>
        <w:ind w:left="0" w:firstLine="567" w:firstLineChars="0"/>
        <w:rPr>
          <w:rFonts w:eastAsia="宋体" w:cs="Times New Roman"/>
          <w:sz w:val="24"/>
          <w:szCs w:val="24"/>
        </w:rPr>
      </w:pPr>
      <w:r>
        <w:rPr>
          <w:rFonts w:hint="eastAsia" w:eastAsia="宋体" w:cs="Times New Roman"/>
          <w:sz w:val="24"/>
          <w:szCs w:val="24"/>
        </w:rPr>
        <w:t>配合答复处理供应商的询问、质疑和投诉等事项；</w:t>
      </w:r>
    </w:p>
    <w:p>
      <w:pPr>
        <w:pStyle w:val="81"/>
        <w:numPr>
          <w:ilvl w:val="0"/>
          <w:numId w:val="44"/>
        </w:numPr>
        <w:tabs>
          <w:tab w:val="left" w:pos="284"/>
        </w:tabs>
        <w:spacing w:line="400" w:lineRule="exact"/>
        <w:ind w:left="0" w:firstLine="567" w:firstLineChars="0"/>
        <w:rPr>
          <w:rFonts w:eastAsia="宋体" w:cs="Times New Roman"/>
          <w:sz w:val="24"/>
          <w:szCs w:val="24"/>
        </w:rPr>
      </w:pPr>
      <w:r>
        <w:rPr>
          <w:rFonts w:hint="eastAsia" w:eastAsia="宋体" w:cs="Times New Roman"/>
          <w:sz w:val="24"/>
          <w:szCs w:val="24"/>
        </w:rPr>
        <w:t>法律、法规和规章规定的其他义务。</w:t>
      </w:r>
    </w:p>
    <w:p>
      <w:pPr>
        <w:pStyle w:val="5"/>
        <w:numPr>
          <w:ilvl w:val="1"/>
          <w:numId w:val="5"/>
        </w:numPr>
        <w:tabs>
          <w:tab w:val="left" w:pos="426"/>
          <w:tab w:val="left" w:pos="567"/>
        </w:tabs>
        <w:spacing w:before="0" w:after="200" w:line="400" w:lineRule="exact"/>
        <w:ind w:left="1985" w:hanging="1985"/>
        <w:rPr>
          <w:sz w:val="24"/>
          <w:szCs w:val="24"/>
        </w:rPr>
      </w:pPr>
      <w:bookmarkStart w:id="145" w:name="_Toc77688507"/>
      <w:bookmarkEnd w:id="145"/>
      <w:bookmarkStart w:id="146" w:name="_Toc77688510"/>
      <w:bookmarkEnd w:id="146"/>
      <w:bookmarkStart w:id="147" w:name="_Toc77688517"/>
      <w:bookmarkEnd w:id="147"/>
      <w:bookmarkStart w:id="148" w:name="_Toc77688520"/>
      <w:bookmarkEnd w:id="148"/>
      <w:bookmarkStart w:id="149" w:name="_Toc77688506"/>
      <w:bookmarkEnd w:id="149"/>
      <w:bookmarkStart w:id="150" w:name="_Toc77688513"/>
      <w:bookmarkEnd w:id="150"/>
      <w:bookmarkStart w:id="151" w:name="_Toc77688515"/>
      <w:bookmarkEnd w:id="151"/>
      <w:bookmarkStart w:id="152" w:name="_Toc77688508"/>
      <w:bookmarkEnd w:id="152"/>
      <w:bookmarkStart w:id="153" w:name="_Toc77688518"/>
      <w:bookmarkEnd w:id="153"/>
      <w:bookmarkStart w:id="154" w:name="_Toc77688519"/>
      <w:bookmarkEnd w:id="154"/>
      <w:bookmarkStart w:id="155" w:name="_Toc77688509"/>
      <w:bookmarkEnd w:id="155"/>
      <w:bookmarkStart w:id="156" w:name="_Toc77688516"/>
      <w:bookmarkEnd w:id="156"/>
      <w:bookmarkStart w:id="157" w:name="_Toc77688511"/>
      <w:bookmarkEnd w:id="157"/>
      <w:bookmarkStart w:id="158" w:name="_Toc77688512"/>
      <w:bookmarkEnd w:id="158"/>
      <w:bookmarkStart w:id="159" w:name="_Toc77688514"/>
      <w:bookmarkEnd w:id="159"/>
      <w:bookmarkStart w:id="160" w:name="_Toc79742142"/>
      <w:bookmarkStart w:id="161" w:name="_Toc58943353"/>
      <w:r>
        <w:rPr>
          <w:rFonts w:hint="eastAsia"/>
          <w:sz w:val="24"/>
          <w:szCs w:val="24"/>
        </w:rPr>
        <w:t>磋商纪律</w:t>
      </w:r>
      <w:bookmarkEnd w:id="160"/>
      <w:bookmarkEnd w:id="161"/>
    </w:p>
    <w:p>
      <w:pPr>
        <w:snapToGrid w:val="0"/>
        <w:spacing w:line="400" w:lineRule="exact"/>
        <w:ind w:firstLine="480" w:firstLineChars="200"/>
        <w:rPr>
          <w:sz w:val="24"/>
          <w:szCs w:val="24"/>
        </w:rPr>
      </w:pPr>
      <w:r>
        <w:rPr>
          <w:rFonts w:hint="eastAsia"/>
          <w:sz w:val="24"/>
          <w:szCs w:val="24"/>
        </w:rPr>
        <w:t>磋商小组成员在政府采购活动中应当遵守以下工作纪律：</w:t>
      </w:r>
    </w:p>
    <w:p>
      <w:pPr>
        <w:tabs>
          <w:tab w:val="left" w:pos="7665"/>
        </w:tabs>
        <w:spacing w:line="400" w:lineRule="exact"/>
        <w:ind w:firstLine="480" w:firstLineChars="200"/>
        <w:rPr>
          <w:rFonts w:ascii="宋体" w:hAnsi="宋体"/>
          <w:sz w:val="24"/>
          <w:szCs w:val="24"/>
        </w:rPr>
      </w:pPr>
      <w:r>
        <w:rPr>
          <w:rFonts w:hint="eastAsia" w:ascii="宋体" w:hAnsi="宋体"/>
          <w:sz w:val="24"/>
          <w:szCs w:val="24"/>
        </w:rPr>
        <w:t>一、不得参加与自己有《中华人民共和国政府采购法实施条例》第九条规定的利害关系的政府采购项目的评审活动。发现参加了与自己有利害关系的评审活动，须主动提出回避，退出评审；</w:t>
      </w:r>
    </w:p>
    <w:p>
      <w:pPr>
        <w:tabs>
          <w:tab w:val="left" w:pos="7665"/>
        </w:tabs>
        <w:spacing w:line="4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sz w:val="24"/>
          <w:szCs w:val="24"/>
        </w:rPr>
        <w:t>二、评审前，应当将通</w:t>
      </w:r>
      <w:r>
        <w:rPr>
          <w:rFonts w:hint="eastAsia" w:ascii="宋体" w:hAnsi="宋体"/>
          <w:color w:val="000000" w:themeColor="text1"/>
          <w:sz w:val="24"/>
          <w:szCs w:val="24"/>
          <w14:textFill>
            <w14:solidFill>
              <w14:schemeClr w14:val="tx1"/>
            </w14:solidFill>
          </w14:textFill>
        </w:rPr>
        <w:t>讯工具或者相关电子设备交由采购代理机构统一保管。进入评标区之前应将所有的通信设备存入区政府采购中心指定的存放处。评审专家不得以任何方式将通信设备带入评标区，否则将被取消本项目的评审资格。遇特殊情况不能出席或途中遇阻不能按时参加评审或咨询的，应及时告知财政部门或者采购人或者区政府采购中心，不得私自转托他人；</w:t>
      </w:r>
    </w:p>
    <w:p>
      <w:pPr>
        <w:tabs>
          <w:tab w:val="left" w:pos="7665"/>
        </w:tabs>
        <w:spacing w:line="4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三</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对需要专业</w:t>
      </w:r>
      <w:r>
        <w:rPr>
          <w:rFonts w:ascii="宋体" w:hAnsi="宋体"/>
          <w:color w:val="000000" w:themeColor="text1"/>
          <w:sz w:val="24"/>
          <w:szCs w:val="24"/>
          <w14:textFill>
            <w14:solidFill>
              <w14:schemeClr w14:val="tx1"/>
            </w14:solidFill>
          </w14:textFill>
        </w:rPr>
        <w:t>判断的主管评审因素不得协商评分；</w:t>
      </w:r>
    </w:p>
    <w:p>
      <w:pPr>
        <w:tabs>
          <w:tab w:val="left" w:pos="7665"/>
        </w:tabs>
        <w:spacing w:line="400" w:lineRule="exact"/>
        <w:ind w:firstLine="480" w:firstLineChars="200"/>
        <w:rPr>
          <w:rFonts w:ascii="宋体" w:hAnsi="宋体"/>
          <w:sz w:val="24"/>
          <w:szCs w:val="24"/>
        </w:rPr>
      </w:pPr>
      <w:r>
        <w:rPr>
          <w:rFonts w:hint="eastAsia" w:ascii="宋体" w:hAnsi="宋体"/>
          <w:color w:val="000000" w:themeColor="text1"/>
          <w:sz w:val="24"/>
          <w:szCs w:val="24"/>
          <w14:textFill>
            <w14:solidFill>
              <w14:schemeClr w14:val="tx1"/>
            </w14:solidFill>
          </w14:textFill>
        </w:rPr>
        <w:t>四</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在</w:t>
      </w:r>
      <w:r>
        <w:rPr>
          <w:rFonts w:ascii="宋体" w:hAnsi="宋体"/>
          <w:color w:val="000000" w:themeColor="text1"/>
          <w:sz w:val="24"/>
          <w:szCs w:val="24"/>
          <w14:textFill>
            <w14:solidFill>
              <w14:schemeClr w14:val="tx1"/>
            </w14:solidFill>
          </w14:textFill>
        </w:rPr>
        <w:t>评审过程中不得擅离职守，影响磋商</w:t>
      </w:r>
      <w:r>
        <w:rPr>
          <w:rFonts w:ascii="宋体" w:hAnsi="宋体"/>
          <w:sz w:val="24"/>
          <w:szCs w:val="24"/>
        </w:rPr>
        <w:t>程序</w:t>
      </w:r>
      <w:r>
        <w:rPr>
          <w:rFonts w:hint="eastAsia" w:ascii="宋体" w:hAnsi="宋体"/>
          <w:sz w:val="24"/>
          <w:szCs w:val="24"/>
        </w:rPr>
        <w:t>正常进行；</w:t>
      </w:r>
    </w:p>
    <w:p>
      <w:pPr>
        <w:tabs>
          <w:tab w:val="left" w:pos="7665"/>
        </w:tabs>
        <w:spacing w:line="400" w:lineRule="exact"/>
        <w:ind w:firstLine="480" w:firstLineChars="200"/>
        <w:rPr>
          <w:rFonts w:ascii="宋体" w:hAnsi="宋体"/>
          <w:sz w:val="24"/>
          <w:szCs w:val="24"/>
        </w:rPr>
      </w:pPr>
      <w:r>
        <w:rPr>
          <w:rFonts w:hint="eastAsia" w:ascii="宋体" w:hAnsi="宋体"/>
          <w:sz w:val="24"/>
          <w:szCs w:val="24"/>
        </w:rPr>
        <w:t>五</w:t>
      </w:r>
      <w:r>
        <w:rPr>
          <w:rFonts w:ascii="宋体" w:hAnsi="宋体"/>
          <w:sz w:val="24"/>
          <w:szCs w:val="24"/>
        </w:rPr>
        <w:t>、</w:t>
      </w:r>
      <w:r>
        <w:rPr>
          <w:rFonts w:hint="eastAsia" w:ascii="宋体" w:hAnsi="宋体"/>
          <w:sz w:val="24"/>
          <w:szCs w:val="24"/>
        </w:rPr>
        <w:t>评审过程中，不得与外界联系，因发生不可预见情况，确实需要与外界联系的，应当在监督人员监督之下办理；</w:t>
      </w:r>
    </w:p>
    <w:p>
      <w:pPr>
        <w:tabs>
          <w:tab w:val="left" w:pos="7665"/>
        </w:tabs>
        <w:spacing w:line="400" w:lineRule="exact"/>
        <w:ind w:firstLine="480" w:firstLineChars="200"/>
        <w:rPr>
          <w:rFonts w:ascii="宋体" w:hAnsi="宋体"/>
          <w:sz w:val="24"/>
          <w:szCs w:val="24"/>
        </w:rPr>
      </w:pPr>
      <w:r>
        <w:rPr>
          <w:rFonts w:hint="eastAsia" w:ascii="宋体" w:hAnsi="宋体"/>
          <w:sz w:val="24"/>
          <w:szCs w:val="24"/>
        </w:rPr>
        <w:t>六</w:t>
      </w:r>
      <w:r>
        <w:rPr>
          <w:rFonts w:ascii="宋体" w:hAnsi="宋体"/>
          <w:sz w:val="24"/>
          <w:szCs w:val="24"/>
        </w:rPr>
        <w:t>、</w:t>
      </w:r>
      <w:r>
        <w:rPr>
          <w:rFonts w:hint="eastAsia" w:ascii="宋体" w:hAnsi="宋体"/>
          <w:sz w:val="24"/>
          <w:szCs w:val="24"/>
        </w:rPr>
        <w:t>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400" w:lineRule="exact"/>
        <w:ind w:firstLine="480" w:firstLineChars="200"/>
        <w:rPr>
          <w:rFonts w:ascii="宋体" w:hAnsi="宋体"/>
          <w:sz w:val="24"/>
          <w:szCs w:val="24"/>
        </w:rPr>
      </w:pPr>
      <w:r>
        <w:rPr>
          <w:rFonts w:hint="eastAsia" w:ascii="宋体" w:hAnsi="宋体"/>
          <w:sz w:val="24"/>
          <w:szCs w:val="24"/>
        </w:rPr>
        <w:t>七</w:t>
      </w:r>
      <w:r>
        <w:rPr>
          <w:rFonts w:ascii="宋体" w:hAnsi="宋体"/>
          <w:sz w:val="24"/>
          <w:szCs w:val="24"/>
        </w:rPr>
        <w:t>、</w:t>
      </w:r>
      <w:r>
        <w:rPr>
          <w:rFonts w:hint="eastAsia" w:ascii="宋体" w:hAnsi="宋体"/>
          <w:sz w:val="24"/>
          <w:szCs w:val="24"/>
        </w:rPr>
        <w:t>在评审过程中和评审结束后，不得记录、复制或带走任何评审资料，不得向外界透露评审内容；</w:t>
      </w:r>
    </w:p>
    <w:p>
      <w:pPr>
        <w:tabs>
          <w:tab w:val="left" w:pos="7665"/>
        </w:tabs>
        <w:spacing w:line="400" w:lineRule="exact"/>
        <w:ind w:firstLine="480" w:firstLineChars="200"/>
        <w:rPr>
          <w:rFonts w:ascii="宋体" w:hAnsi="宋体"/>
          <w:sz w:val="24"/>
          <w:szCs w:val="24"/>
        </w:rPr>
      </w:pPr>
      <w:r>
        <w:rPr>
          <w:rFonts w:hint="eastAsia" w:ascii="宋体" w:hAnsi="宋体"/>
          <w:sz w:val="24"/>
          <w:szCs w:val="24"/>
        </w:rPr>
        <w:t>八</w:t>
      </w:r>
      <w:r>
        <w:rPr>
          <w:rFonts w:ascii="宋体" w:hAnsi="宋体"/>
          <w:sz w:val="24"/>
          <w:szCs w:val="24"/>
        </w:rPr>
        <w:t>、</w:t>
      </w:r>
      <w:r>
        <w:rPr>
          <w:rFonts w:hint="eastAsia" w:ascii="宋体" w:hAnsi="宋体"/>
          <w:sz w:val="24"/>
          <w:szCs w:val="24"/>
        </w:rPr>
        <w:t>评审现场服从采购代理机构工作人员的管理，接受现场监督人员的合法监督；</w:t>
      </w:r>
    </w:p>
    <w:p>
      <w:pPr>
        <w:tabs>
          <w:tab w:val="left" w:pos="7665"/>
        </w:tabs>
        <w:spacing w:line="400" w:lineRule="exact"/>
        <w:ind w:firstLine="480" w:firstLineChars="200"/>
        <w:rPr>
          <w:rFonts w:ascii="宋体" w:hAnsi="宋体"/>
          <w:sz w:val="24"/>
          <w:szCs w:val="24"/>
        </w:rPr>
      </w:pPr>
      <w:r>
        <w:rPr>
          <w:rFonts w:hint="eastAsia" w:ascii="宋体" w:hAnsi="宋体"/>
          <w:sz w:val="24"/>
          <w:szCs w:val="24"/>
        </w:rPr>
        <w:t>九</w:t>
      </w:r>
      <w:r>
        <w:rPr>
          <w:rFonts w:ascii="宋体" w:hAnsi="宋体"/>
          <w:sz w:val="24"/>
          <w:szCs w:val="24"/>
        </w:rPr>
        <w:t>、</w:t>
      </w:r>
      <w:r>
        <w:rPr>
          <w:rFonts w:hint="eastAsia" w:ascii="宋体" w:hAnsi="宋体"/>
          <w:sz w:val="24"/>
          <w:szCs w:val="24"/>
        </w:rPr>
        <w:t>遵守有关廉洁自律规定，不得私下接触供应商，不得收受供应商及有关业务单位和个人的财物或好处，不得接受采购代理机构的请托。</w:t>
      </w:r>
    </w:p>
    <w:p>
      <w:pPr>
        <w:pStyle w:val="156"/>
        <w:rPr>
          <w:color w:val="auto"/>
          <w:sz w:val="22"/>
          <w:szCs w:val="22"/>
        </w:rPr>
      </w:pPr>
    </w:p>
    <w:p>
      <w:pPr>
        <w:pStyle w:val="156"/>
        <w:rPr>
          <w:color w:val="auto"/>
          <w:sz w:val="22"/>
          <w:szCs w:val="22"/>
        </w:rPr>
      </w:pPr>
    </w:p>
    <w:p>
      <w:pPr>
        <w:pStyle w:val="156"/>
        <w:rPr>
          <w:color w:val="auto"/>
          <w:sz w:val="22"/>
          <w:szCs w:val="22"/>
        </w:rPr>
      </w:pPr>
    </w:p>
    <w:p>
      <w:pPr>
        <w:pStyle w:val="156"/>
        <w:rPr>
          <w:color w:val="auto"/>
          <w:sz w:val="22"/>
          <w:szCs w:val="22"/>
        </w:rPr>
      </w:pPr>
    </w:p>
    <w:p>
      <w:pPr>
        <w:pStyle w:val="156"/>
        <w:rPr>
          <w:color w:val="auto"/>
          <w:sz w:val="22"/>
          <w:szCs w:val="22"/>
        </w:rPr>
        <w:sectPr>
          <w:pgSz w:w="11906" w:h="16838"/>
          <w:pgMar w:top="1440" w:right="1797" w:bottom="1440" w:left="1797" w:header="851" w:footer="992" w:gutter="0"/>
          <w:cols w:space="425" w:num="1"/>
          <w:docGrid w:type="lines" w:linePitch="312" w:charSpace="0"/>
        </w:sectPr>
      </w:pPr>
    </w:p>
    <w:p>
      <w:pPr>
        <w:pStyle w:val="156"/>
        <w:rPr>
          <w:color w:val="auto"/>
          <w:sz w:val="22"/>
          <w:szCs w:val="22"/>
        </w:rPr>
      </w:pPr>
    </w:p>
    <w:p>
      <w:pPr>
        <w:pStyle w:val="4"/>
        <w:widowControl/>
        <w:numPr>
          <w:ilvl w:val="0"/>
          <w:numId w:val="5"/>
        </w:numPr>
        <w:spacing w:before="0" w:after="0" w:line="360" w:lineRule="auto"/>
        <w:ind w:left="0" w:firstLine="0"/>
        <w:rPr>
          <w:sz w:val="28"/>
          <w:szCs w:val="28"/>
        </w:rPr>
      </w:pPr>
      <w:bookmarkStart w:id="162" w:name="_Toc58943354"/>
      <w:bookmarkStart w:id="163" w:name="_Toc79742143"/>
      <w:r>
        <w:rPr>
          <w:rFonts w:hint="eastAsia"/>
          <w:sz w:val="28"/>
          <w:szCs w:val="28"/>
        </w:rPr>
        <w:t>合同草案条款</w:t>
      </w:r>
      <w:bookmarkEnd w:id="90"/>
      <w:bookmarkEnd w:id="91"/>
      <w:bookmarkEnd w:id="92"/>
      <w:bookmarkEnd w:id="93"/>
      <w:bookmarkEnd w:id="162"/>
      <w:bookmarkEnd w:id="163"/>
    </w:p>
    <w:p>
      <w:pPr>
        <w:rPr>
          <w:rFonts w:hint="eastAsia"/>
          <w:sz w:val="28"/>
          <w:szCs w:val="28"/>
        </w:rPr>
      </w:pPr>
    </w:p>
    <w:p>
      <w:pPr>
        <w:pStyle w:val="2"/>
        <w:spacing w:before="1"/>
        <w:ind w:left="742"/>
      </w:pPr>
      <w:r>
        <w:t>（说明：本合同由采购人和投标人根据《中华人民共和国民法典》及《政府采购需求管理办法》</w:t>
      </w:r>
    </w:p>
    <w:p>
      <w:pPr>
        <w:pStyle w:val="2"/>
        <w:spacing w:before="43"/>
        <w:ind w:left="319"/>
      </w:pPr>
      <w:r>
        <w:t>（财库〔</w:t>
      </w:r>
      <w:r>
        <w:rPr>
          <w:rFonts w:ascii="Times New Roman" w:eastAsia="Times New Roman"/>
        </w:rPr>
        <w:t>2021</w:t>
      </w:r>
      <w:r>
        <w:t>〕</w:t>
      </w:r>
      <w:r>
        <w:rPr>
          <w:rFonts w:ascii="Times New Roman" w:eastAsia="Times New Roman"/>
        </w:rPr>
        <w:t xml:space="preserve">22 </w:t>
      </w:r>
      <w:r>
        <w:t>号）等相关规定，按照采购文件的要求和投标文件的响应科学合理签订）</w:t>
      </w:r>
    </w:p>
    <w:p>
      <w:pPr>
        <w:pStyle w:val="2"/>
        <w:spacing w:before="8"/>
        <w:rPr>
          <w:sz w:val="27"/>
        </w:rPr>
      </w:pPr>
    </w:p>
    <w:p>
      <w:pPr>
        <w:pStyle w:val="2"/>
        <w:spacing w:before="1" w:line="278" w:lineRule="auto"/>
        <w:ind w:left="742" w:right="7893"/>
        <w:rPr>
          <w:rFonts w:ascii="Times New Roman" w:eastAsia="Times New Roman"/>
        </w:rPr>
      </w:pPr>
      <w:r>
        <w:t>合同编号：</w:t>
      </w:r>
      <w:r>
        <w:rPr>
          <w:rFonts w:ascii="Times New Roman" w:eastAsia="Times New Roman"/>
        </w:rPr>
        <w:t xml:space="preserve">XXX </w:t>
      </w:r>
      <w:r>
        <w:t>签订地点：</w:t>
      </w:r>
      <w:r>
        <w:rPr>
          <w:rFonts w:ascii="Times New Roman" w:eastAsia="Times New Roman"/>
        </w:rPr>
        <w:t>XXX</w:t>
      </w:r>
    </w:p>
    <w:p>
      <w:pPr>
        <w:pStyle w:val="2"/>
        <w:spacing w:line="278" w:lineRule="auto"/>
        <w:ind w:left="742" w:right="6240"/>
        <w:rPr>
          <w:rFonts w:ascii="Times New Roman" w:eastAsia="Times New Roman"/>
        </w:rPr>
      </w:pPr>
      <w:r>
        <w:t>签订时间：</w:t>
      </w:r>
      <w:r>
        <w:rPr>
          <w:rFonts w:ascii="Times New Roman" w:eastAsia="Times New Roman"/>
        </w:rPr>
        <w:t>XXXX</w:t>
      </w:r>
      <w:r>
        <w:rPr>
          <w:rFonts w:ascii="Times New Roman" w:eastAsia="Times New Roman"/>
          <w:spacing w:val="3"/>
        </w:rPr>
        <w:t xml:space="preserve"> </w:t>
      </w:r>
      <w:r>
        <w:rPr>
          <w:spacing w:val="48"/>
        </w:rPr>
        <w:t>年</w:t>
      </w:r>
      <w:r>
        <w:rPr>
          <w:rFonts w:ascii="Times New Roman" w:eastAsia="Times New Roman"/>
        </w:rPr>
        <w:t>XX</w:t>
      </w:r>
      <w:r>
        <w:rPr>
          <w:rFonts w:ascii="Times New Roman" w:eastAsia="Times New Roman"/>
          <w:spacing w:val="-1"/>
        </w:rPr>
        <w:t xml:space="preserve"> </w:t>
      </w:r>
      <w:r>
        <w:rPr>
          <w:spacing w:val="-26"/>
        </w:rPr>
        <w:t xml:space="preserve">月 </w:t>
      </w:r>
      <w:r>
        <w:rPr>
          <w:rFonts w:ascii="Times New Roman" w:eastAsia="Times New Roman"/>
        </w:rPr>
        <w:t>XX</w:t>
      </w:r>
      <w:r>
        <w:rPr>
          <w:rFonts w:ascii="Times New Roman" w:eastAsia="Times New Roman"/>
          <w:spacing w:val="-2"/>
        </w:rPr>
        <w:t xml:space="preserve"> </w:t>
      </w:r>
      <w:r>
        <w:rPr>
          <w:spacing w:val="-12"/>
        </w:rPr>
        <w:t>日</w:t>
      </w:r>
      <w:r>
        <w:rPr>
          <w:w w:val="100"/>
        </w:rPr>
        <w:t>采购人（</w:t>
      </w:r>
      <w:r>
        <w:rPr>
          <w:spacing w:val="-3"/>
          <w:w w:val="100"/>
        </w:rPr>
        <w:t>甲方</w:t>
      </w:r>
      <w:r>
        <w:rPr>
          <w:spacing w:val="-106"/>
          <w:w w:val="100"/>
        </w:rPr>
        <w:t>）</w:t>
      </w:r>
      <w:r>
        <w:rPr>
          <w:w w:val="100"/>
        </w:rPr>
        <w:t>：</w:t>
      </w:r>
      <w:r>
        <w:rPr>
          <w:rFonts w:ascii="Times New Roman" w:eastAsia="Times New Roman"/>
          <w:spacing w:val="-4"/>
          <w:w w:val="100"/>
        </w:rPr>
        <w:t>X</w:t>
      </w:r>
      <w:r>
        <w:rPr>
          <w:rFonts w:ascii="Times New Roman" w:eastAsia="Times New Roman"/>
          <w:w w:val="100"/>
        </w:rPr>
        <w:t>XX</w:t>
      </w:r>
    </w:p>
    <w:p>
      <w:pPr>
        <w:pStyle w:val="2"/>
        <w:spacing w:line="269" w:lineRule="exact"/>
        <w:ind w:left="742"/>
        <w:rPr>
          <w:rFonts w:ascii="Times New Roman" w:eastAsia="Times New Roman"/>
        </w:rPr>
      </w:pPr>
      <w:r>
        <w:rPr>
          <w:w w:val="100"/>
        </w:rPr>
        <w:t>投标人（</w:t>
      </w:r>
      <w:r>
        <w:rPr>
          <w:spacing w:val="-3"/>
          <w:w w:val="100"/>
        </w:rPr>
        <w:t>乙方</w:t>
      </w:r>
      <w:r>
        <w:rPr>
          <w:spacing w:val="-106"/>
          <w:w w:val="100"/>
        </w:rPr>
        <w:t>）</w:t>
      </w:r>
      <w:r>
        <w:rPr>
          <w:w w:val="100"/>
        </w:rPr>
        <w:t>：</w:t>
      </w:r>
      <w:r>
        <w:rPr>
          <w:rFonts w:ascii="Times New Roman" w:eastAsia="Times New Roman"/>
          <w:spacing w:val="-4"/>
          <w:w w:val="100"/>
        </w:rPr>
        <w:t>X</w:t>
      </w:r>
      <w:r>
        <w:rPr>
          <w:rFonts w:ascii="Times New Roman" w:eastAsia="Times New Roman"/>
          <w:w w:val="100"/>
        </w:rPr>
        <w:t>XX</w:t>
      </w:r>
    </w:p>
    <w:p>
      <w:pPr>
        <w:pStyle w:val="2"/>
        <w:spacing w:before="9"/>
        <w:rPr>
          <w:rFonts w:ascii="Times New Roman"/>
          <w:sz w:val="30"/>
        </w:rPr>
      </w:pPr>
    </w:p>
    <w:p>
      <w:pPr>
        <w:pStyle w:val="2"/>
        <w:spacing w:before="1" w:line="278" w:lineRule="auto"/>
        <w:ind w:left="319" w:right="641" w:firstLine="422"/>
      </w:pPr>
      <w:r>
        <w:rPr>
          <w:spacing w:val="-17"/>
        </w:rPr>
        <w:t xml:space="preserve">根据《中华人民共和国政府采购法》、《中华人民共和国民法典》及 </w:t>
      </w:r>
      <w:r>
        <w:rPr>
          <w:rFonts w:ascii="Times New Roman" w:eastAsia="Times New Roman"/>
        </w:rPr>
        <w:t xml:space="preserve">XXX </w:t>
      </w:r>
      <w:r>
        <w:rPr>
          <w:spacing w:val="-2"/>
        </w:rPr>
        <w:t>采购项目</w:t>
      </w:r>
      <w:r>
        <w:t>（</w:t>
      </w:r>
      <w:r>
        <w:rPr>
          <w:spacing w:val="-4"/>
        </w:rPr>
        <w:t xml:space="preserve">项目编号： </w:t>
      </w:r>
      <w:r>
        <w:rPr>
          <w:rFonts w:ascii="Times New Roman" w:eastAsia="Times New Roman"/>
        </w:rPr>
        <w:t>XXX</w:t>
      </w:r>
      <w:r>
        <w:t>）</w:t>
      </w:r>
      <w:r>
        <w:rPr>
          <w:spacing w:val="-15"/>
        </w:rPr>
        <w:t>的《招标文件》、乙方的《投标文件》及《中标通知书》，甲、乙双方同意签订本合同。详细技术说明及其他有关合同项目的特定信息由合同附件予以说明，合同附件及本项目的招标文件、投</w:t>
      </w:r>
      <w:r>
        <w:rPr>
          <w:spacing w:val="-14"/>
        </w:rPr>
        <w:t>标文件、《中标通知书》等均为本合同不可分割的部分。双方同意共同遵守如下条款：</w:t>
      </w:r>
    </w:p>
    <w:p>
      <w:pPr>
        <w:bidi w:val="0"/>
      </w:pPr>
      <w:r>
        <w:t>一、合同货物</w:t>
      </w:r>
    </w:p>
    <w:tbl>
      <w:tblPr>
        <w:tblStyle w:val="41"/>
        <w:tblW w:w="9292" w:type="dxa"/>
        <w:tblInd w:w="2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6"/>
        <w:gridCol w:w="831"/>
        <w:gridCol w:w="576"/>
        <w:gridCol w:w="576"/>
        <w:gridCol w:w="1191"/>
        <w:gridCol w:w="1186"/>
        <w:gridCol w:w="831"/>
        <w:gridCol w:w="706"/>
        <w:gridCol w:w="705"/>
        <w:gridCol w:w="701"/>
        <w:gridCol w:w="576"/>
        <w:gridCol w:w="5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836" w:type="dxa"/>
            <w:vMerge w:val="restart"/>
          </w:tcPr>
          <w:p>
            <w:pPr>
              <w:pStyle w:val="287"/>
              <w:spacing w:before="1"/>
              <w:rPr>
                <w:b/>
                <w:sz w:val="19"/>
              </w:rPr>
            </w:pPr>
          </w:p>
          <w:p>
            <w:pPr>
              <w:pStyle w:val="287"/>
              <w:spacing w:before="1" w:line="266" w:lineRule="auto"/>
              <w:ind w:left="196" w:right="185"/>
              <w:rPr>
                <w:b/>
                <w:sz w:val="22"/>
              </w:rPr>
            </w:pPr>
            <w:r>
              <w:rPr>
                <w:b/>
                <w:sz w:val="22"/>
              </w:rPr>
              <w:t>货物品名</w:t>
            </w:r>
          </w:p>
        </w:tc>
        <w:tc>
          <w:tcPr>
            <w:tcW w:w="831" w:type="dxa"/>
            <w:vMerge w:val="restart"/>
          </w:tcPr>
          <w:p>
            <w:pPr>
              <w:pStyle w:val="287"/>
              <w:spacing w:before="1"/>
              <w:rPr>
                <w:b/>
                <w:sz w:val="19"/>
              </w:rPr>
            </w:pPr>
          </w:p>
          <w:p>
            <w:pPr>
              <w:pStyle w:val="287"/>
              <w:spacing w:before="1" w:line="266" w:lineRule="auto"/>
              <w:ind w:left="196" w:right="181"/>
              <w:rPr>
                <w:b/>
                <w:sz w:val="22"/>
              </w:rPr>
            </w:pPr>
            <w:r>
              <w:rPr>
                <w:b/>
                <w:sz w:val="22"/>
              </w:rPr>
              <w:t>规格型号</w:t>
            </w:r>
          </w:p>
        </w:tc>
        <w:tc>
          <w:tcPr>
            <w:tcW w:w="576" w:type="dxa"/>
            <w:vMerge w:val="restart"/>
          </w:tcPr>
          <w:p>
            <w:pPr>
              <w:pStyle w:val="287"/>
              <w:spacing w:before="1"/>
              <w:rPr>
                <w:b/>
                <w:sz w:val="19"/>
              </w:rPr>
            </w:pPr>
          </w:p>
          <w:p>
            <w:pPr>
              <w:pStyle w:val="287"/>
              <w:spacing w:before="1" w:line="266" w:lineRule="auto"/>
              <w:ind w:left="176" w:right="166"/>
              <w:rPr>
                <w:b/>
                <w:sz w:val="22"/>
              </w:rPr>
            </w:pPr>
            <w:r>
              <w:rPr>
                <w:b/>
                <w:sz w:val="22"/>
              </w:rPr>
              <w:t>单位</w:t>
            </w:r>
          </w:p>
        </w:tc>
        <w:tc>
          <w:tcPr>
            <w:tcW w:w="576" w:type="dxa"/>
            <w:vMerge w:val="restart"/>
            <w:tcBorders>
              <w:right w:val="single" w:color="000000" w:sz="6" w:space="0"/>
            </w:tcBorders>
          </w:tcPr>
          <w:p>
            <w:pPr>
              <w:pStyle w:val="287"/>
              <w:spacing w:before="1"/>
              <w:rPr>
                <w:b/>
                <w:sz w:val="19"/>
              </w:rPr>
            </w:pPr>
          </w:p>
          <w:p>
            <w:pPr>
              <w:pStyle w:val="287"/>
              <w:spacing w:before="1" w:line="266" w:lineRule="auto"/>
              <w:ind w:left="176" w:right="163"/>
              <w:rPr>
                <w:b/>
                <w:sz w:val="22"/>
              </w:rPr>
            </w:pPr>
            <w:r>
              <w:rPr>
                <w:b/>
                <w:sz w:val="22"/>
              </w:rPr>
              <w:t>数量</w:t>
            </w:r>
          </w:p>
        </w:tc>
        <w:tc>
          <w:tcPr>
            <w:tcW w:w="1191" w:type="dxa"/>
            <w:vMerge w:val="restart"/>
            <w:tcBorders>
              <w:left w:val="single" w:color="000000" w:sz="6" w:space="0"/>
            </w:tcBorders>
          </w:tcPr>
          <w:p>
            <w:pPr>
              <w:pStyle w:val="287"/>
              <w:spacing w:before="1"/>
              <w:rPr>
                <w:b/>
                <w:sz w:val="19"/>
              </w:rPr>
            </w:pPr>
          </w:p>
          <w:p>
            <w:pPr>
              <w:pStyle w:val="287"/>
              <w:spacing w:before="1" w:line="266" w:lineRule="auto"/>
              <w:ind w:left="371" w:right="142" w:hanging="221"/>
              <w:rPr>
                <w:b/>
                <w:sz w:val="22"/>
              </w:rPr>
            </w:pPr>
            <w:r>
              <w:rPr>
                <w:b/>
                <w:sz w:val="22"/>
              </w:rPr>
              <w:t>单价（万元）</w:t>
            </w:r>
          </w:p>
        </w:tc>
        <w:tc>
          <w:tcPr>
            <w:tcW w:w="1186" w:type="dxa"/>
            <w:vMerge w:val="restart"/>
          </w:tcPr>
          <w:p>
            <w:pPr>
              <w:pStyle w:val="287"/>
              <w:spacing w:before="1"/>
              <w:rPr>
                <w:b/>
                <w:sz w:val="19"/>
              </w:rPr>
            </w:pPr>
          </w:p>
          <w:p>
            <w:pPr>
              <w:pStyle w:val="287"/>
              <w:spacing w:before="1" w:line="266" w:lineRule="auto"/>
              <w:ind w:left="374" w:right="137" w:hanging="221"/>
              <w:rPr>
                <w:b/>
                <w:sz w:val="22"/>
              </w:rPr>
            </w:pPr>
            <w:r>
              <w:rPr>
                <w:b/>
                <w:sz w:val="22"/>
              </w:rPr>
              <w:t>总价（万元）</w:t>
            </w:r>
          </w:p>
        </w:tc>
        <w:tc>
          <w:tcPr>
            <w:tcW w:w="831" w:type="dxa"/>
            <w:vMerge w:val="restart"/>
          </w:tcPr>
          <w:p>
            <w:pPr>
              <w:pStyle w:val="287"/>
              <w:spacing w:before="1"/>
              <w:rPr>
                <w:b/>
                <w:sz w:val="19"/>
              </w:rPr>
            </w:pPr>
          </w:p>
          <w:p>
            <w:pPr>
              <w:pStyle w:val="287"/>
              <w:spacing w:before="1" w:line="266" w:lineRule="auto"/>
              <w:ind w:left="196" w:right="180"/>
              <w:rPr>
                <w:b/>
                <w:sz w:val="22"/>
              </w:rPr>
            </w:pPr>
            <w:r>
              <w:rPr>
                <w:b/>
                <w:sz w:val="22"/>
              </w:rPr>
              <w:t>随机配件</w:t>
            </w:r>
          </w:p>
        </w:tc>
        <w:tc>
          <w:tcPr>
            <w:tcW w:w="706" w:type="dxa"/>
            <w:vMerge w:val="restart"/>
          </w:tcPr>
          <w:p>
            <w:pPr>
              <w:pStyle w:val="287"/>
              <w:spacing w:before="1"/>
              <w:rPr>
                <w:b/>
                <w:sz w:val="19"/>
              </w:rPr>
            </w:pPr>
          </w:p>
          <w:p>
            <w:pPr>
              <w:pStyle w:val="287"/>
              <w:spacing w:before="1" w:line="266" w:lineRule="auto"/>
              <w:ind w:left="243" w:right="118" w:hanging="111"/>
              <w:rPr>
                <w:b/>
                <w:sz w:val="22"/>
              </w:rPr>
            </w:pPr>
            <w:r>
              <w:rPr>
                <w:b/>
                <w:sz w:val="22"/>
              </w:rPr>
              <w:t>交货期</w:t>
            </w:r>
          </w:p>
        </w:tc>
        <w:tc>
          <w:tcPr>
            <w:tcW w:w="2559" w:type="dxa"/>
            <w:gridSpan w:val="4"/>
          </w:tcPr>
          <w:p>
            <w:pPr>
              <w:pStyle w:val="287"/>
              <w:spacing w:before="82"/>
              <w:ind w:left="397"/>
              <w:rPr>
                <w:b/>
                <w:sz w:val="22"/>
              </w:rPr>
            </w:pPr>
            <w:r>
              <w:rPr>
                <w:b/>
                <w:sz w:val="22"/>
              </w:rPr>
              <w:t>资金来源（万元）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36" w:type="dxa"/>
            <w:vMerge w:val="continue"/>
            <w:tcBorders>
              <w:top w:val="nil"/>
            </w:tcBorders>
          </w:tcPr>
          <w:p>
            <w:pPr>
              <w:rPr>
                <w:sz w:val="2"/>
                <w:szCs w:val="2"/>
              </w:rPr>
            </w:pPr>
          </w:p>
        </w:tc>
        <w:tc>
          <w:tcPr>
            <w:tcW w:w="831" w:type="dxa"/>
            <w:vMerge w:val="continue"/>
            <w:tcBorders>
              <w:top w:val="nil"/>
            </w:tcBorders>
          </w:tcPr>
          <w:p>
            <w:pPr>
              <w:rPr>
                <w:sz w:val="2"/>
                <w:szCs w:val="2"/>
              </w:rPr>
            </w:pPr>
          </w:p>
        </w:tc>
        <w:tc>
          <w:tcPr>
            <w:tcW w:w="576" w:type="dxa"/>
            <w:vMerge w:val="continue"/>
            <w:tcBorders>
              <w:top w:val="nil"/>
            </w:tcBorders>
          </w:tcPr>
          <w:p>
            <w:pPr>
              <w:rPr>
                <w:sz w:val="2"/>
                <w:szCs w:val="2"/>
              </w:rPr>
            </w:pPr>
          </w:p>
        </w:tc>
        <w:tc>
          <w:tcPr>
            <w:tcW w:w="576" w:type="dxa"/>
            <w:vMerge w:val="continue"/>
            <w:tcBorders>
              <w:top w:val="nil"/>
              <w:right w:val="single" w:color="000000" w:sz="6" w:space="0"/>
            </w:tcBorders>
          </w:tcPr>
          <w:p>
            <w:pPr>
              <w:rPr>
                <w:sz w:val="2"/>
                <w:szCs w:val="2"/>
              </w:rPr>
            </w:pPr>
          </w:p>
        </w:tc>
        <w:tc>
          <w:tcPr>
            <w:tcW w:w="1191" w:type="dxa"/>
            <w:vMerge w:val="continue"/>
            <w:tcBorders>
              <w:top w:val="nil"/>
              <w:left w:val="single" w:color="000000" w:sz="6" w:space="0"/>
            </w:tcBorders>
          </w:tcPr>
          <w:p>
            <w:pPr>
              <w:rPr>
                <w:sz w:val="2"/>
                <w:szCs w:val="2"/>
              </w:rPr>
            </w:pPr>
          </w:p>
        </w:tc>
        <w:tc>
          <w:tcPr>
            <w:tcW w:w="1186" w:type="dxa"/>
            <w:vMerge w:val="continue"/>
            <w:tcBorders>
              <w:top w:val="nil"/>
            </w:tcBorders>
          </w:tcPr>
          <w:p>
            <w:pPr>
              <w:rPr>
                <w:sz w:val="2"/>
                <w:szCs w:val="2"/>
              </w:rPr>
            </w:pPr>
          </w:p>
        </w:tc>
        <w:tc>
          <w:tcPr>
            <w:tcW w:w="831"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705" w:type="dxa"/>
          </w:tcPr>
          <w:p>
            <w:pPr>
              <w:pStyle w:val="287"/>
              <w:spacing w:before="15"/>
              <w:ind w:left="133"/>
              <w:rPr>
                <w:b/>
                <w:sz w:val="22"/>
              </w:rPr>
            </w:pPr>
            <w:r>
              <w:rPr>
                <w:b/>
                <w:sz w:val="22"/>
              </w:rPr>
              <w:t>预算</w:t>
            </w:r>
          </w:p>
          <w:p>
            <w:pPr>
              <w:pStyle w:val="287"/>
              <w:spacing w:before="30" w:line="277" w:lineRule="exact"/>
              <w:ind w:left="244"/>
              <w:rPr>
                <w:b/>
                <w:sz w:val="22"/>
              </w:rPr>
            </w:pPr>
            <w:r>
              <w:rPr>
                <w:b/>
                <w:w w:val="99"/>
                <w:sz w:val="22"/>
              </w:rPr>
              <w:t>内</w:t>
            </w:r>
          </w:p>
        </w:tc>
        <w:tc>
          <w:tcPr>
            <w:tcW w:w="701" w:type="dxa"/>
          </w:tcPr>
          <w:p>
            <w:pPr>
              <w:pStyle w:val="287"/>
              <w:spacing w:before="15"/>
              <w:ind w:left="129"/>
              <w:rPr>
                <w:b/>
                <w:sz w:val="22"/>
              </w:rPr>
            </w:pPr>
            <w:r>
              <w:rPr>
                <w:b/>
                <w:sz w:val="22"/>
              </w:rPr>
              <w:t>预算</w:t>
            </w:r>
          </w:p>
          <w:p>
            <w:pPr>
              <w:pStyle w:val="287"/>
              <w:spacing w:before="30" w:line="277" w:lineRule="exact"/>
              <w:ind w:left="239"/>
              <w:rPr>
                <w:b/>
                <w:sz w:val="22"/>
              </w:rPr>
            </w:pPr>
            <w:r>
              <w:rPr>
                <w:b/>
                <w:w w:val="99"/>
                <w:sz w:val="22"/>
              </w:rPr>
              <w:t>外</w:t>
            </w:r>
          </w:p>
        </w:tc>
        <w:tc>
          <w:tcPr>
            <w:tcW w:w="576" w:type="dxa"/>
          </w:tcPr>
          <w:p>
            <w:pPr>
              <w:pStyle w:val="287"/>
              <w:spacing w:before="15"/>
              <w:ind w:left="177"/>
              <w:rPr>
                <w:b/>
                <w:sz w:val="22"/>
              </w:rPr>
            </w:pPr>
            <w:r>
              <w:rPr>
                <w:b/>
                <w:w w:val="99"/>
                <w:sz w:val="22"/>
              </w:rPr>
              <w:t>自</w:t>
            </w:r>
          </w:p>
          <w:p>
            <w:pPr>
              <w:pStyle w:val="287"/>
              <w:spacing w:before="30" w:line="277" w:lineRule="exact"/>
              <w:ind w:left="177"/>
              <w:rPr>
                <w:b/>
                <w:sz w:val="22"/>
              </w:rPr>
            </w:pPr>
            <w:r>
              <w:rPr>
                <w:b/>
                <w:w w:val="99"/>
                <w:sz w:val="22"/>
              </w:rPr>
              <w:t>筹</w:t>
            </w:r>
          </w:p>
        </w:tc>
        <w:tc>
          <w:tcPr>
            <w:tcW w:w="577" w:type="dxa"/>
          </w:tcPr>
          <w:p>
            <w:pPr>
              <w:pStyle w:val="287"/>
              <w:spacing w:before="15"/>
              <w:ind w:left="177"/>
              <w:rPr>
                <w:b/>
                <w:sz w:val="22"/>
              </w:rPr>
            </w:pPr>
            <w:r>
              <w:rPr>
                <w:b/>
                <w:w w:val="99"/>
                <w:sz w:val="22"/>
              </w:rPr>
              <w:t>其</w:t>
            </w:r>
          </w:p>
          <w:p>
            <w:pPr>
              <w:pStyle w:val="287"/>
              <w:spacing w:before="30" w:line="277" w:lineRule="exact"/>
              <w:ind w:left="177"/>
              <w:rPr>
                <w:b/>
                <w:sz w:val="22"/>
              </w:rPr>
            </w:pPr>
            <w:r>
              <w:rPr>
                <w:b/>
                <w:w w:val="99"/>
                <w:sz w:val="22"/>
              </w:rPr>
              <w:t>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836" w:type="dxa"/>
          </w:tcPr>
          <w:p>
            <w:pPr>
              <w:pStyle w:val="287"/>
              <w:rPr>
                <w:rFonts w:ascii="Times New Roman"/>
                <w:sz w:val="20"/>
              </w:rPr>
            </w:pPr>
          </w:p>
        </w:tc>
        <w:tc>
          <w:tcPr>
            <w:tcW w:w="831" w:type="dxa"/>
          </w:tcPr>
          <w:p>
            <w:pPr>
              <w:pStyle w:val="287"/>
              <w:rPr>
                <w:rFonts w:ascii="Times New Roman"/>
                <w:sz w:val="20"/>
              </w:rPr>
            </w:pPr>
          </w:p>
        </w:tc>
        <w:tc>
          <w:tcPr>
            <w:tcW w:w="576" w:type="dxa"/>
          </w:tcPr>
          <w:p>
            <w:pPr>
              <w:pStyle w:val="287"/>
              <w:rPr>
                <w:rFonts w:ascii="Times New Roman"/>
                <w:sz w:val="20"/>
              </w:rPr>
            </w:pPr>
          </w:p>
        </w:tc>
        <w:tc>
          <w:tcPr>
            <w:tcW w:w="576" w:type="dxa"/>
            <w:tcBorders>
              <w:right w:val="single" w:color="000000" w:sz="6" w:space="0"/>
            </w:tcBorders>
          </w:tcPr>
          <w:p>
            <w:pPr>
              <w:pStyle w:val="287"/>
              <w:rPr>
                <w:rFonts w:ascii="Times New Roman"/>
                <w:sz w:val="20"/>
              </w:rPr>
            </w:pPr>
          </w:p>
        </w:tc>
        <w:tc>
          <w:tcPr>
            <w:tcW w:w="1191" w:type="dxa"/>
            <w:tcBorders>
              <w:left w:val="single" w:color="000000" w:sz="6" w:space="0"/>
            </w:tcBorders>
          </w:tcPr>
          <w:p>
            <w:pPr>
              <w:pStyle w:val="287"/>
              <w:rPr>
                <w:rFonts w:ascii="Times New Roman"/>
                <w:sz w:val="20"/>
              </w:rPr>
            </w:pPr>
          </w:p>
        </w:tc>
        <w:tc>
          <w:tcPr>
            <w:tcW w:w="1186" w:type="dxa"/>
          </w:tcPr>
          <w:p>
            <w:pPr>
              <w:pStyle w:val="287"/>
              <w:rPr>
                <w:rFonts w:ascii="Times New Roman"/>
                <w:sz w:val="20"/>
              </w:rPr>
            </w:pPr>
          </w:p>
        </w:tc>
        <w:tc>
          <w:tcPr>
            <w:tcW w:w="831" w:type="dxa"/>
          </w:tcPr>
          <w:p>
            <w:pPr>
              <w:pStyle w:val="287"/>
              <w:rPr>
                <w:rFonts w:ascii="Times New Roman"/>
                <w:sz w:val="20"/>
              </w:rPr>
            </w:pPr>
          </w:p>
        </w:tc>
        <w:tc>
          <w:tcPr>
            <w:tcW w:w="706" w:type="dxa"/>
          </w:tcPr>
          <w:p>
            <w:pPr>
              <w:pStyle w:val="287"/>
              <w:rPr>
                <w:rFonts w:ascii="Times New Roman"/>
                <w:sz w:val="20"/>
              </w:rPr>
            </w:pPr>
          </w:p>
        </w:tc>
        <w:tc>
          <w:tcPr>
            <w:tcW w:w="705" w:type="dxa"/>
          </w:tcPr>
          <w:p>
            <w:pPr>
              <w:pStyle w:val="287"/>
              <w:rPr>
                <w:rFonts w:ascii="Times New Roman"/>
                <w:sz w:val="20"/>
              </w:rPr>
            </w:pPr>
          </w:p>
        </w:tc>
        <w:tc>
          <w:tcPr>
            <w:tcW w:w="701" w:type="dxa"/>
          </w:tcPr>
          <w:p>
            <w:pPr>
              <w:pStyle w:val="287"/>
              <w:rPr>
                <w:rFonts w:ascii="Times New Roman"/>
                <w:sz w:val="20"/>
              </w:rPr>
            </w:pPr>
          </w:p>
        </w:tc>
        <w:tc>
          <w:tcPr>
            <w:tcW w:w="576" w:type="dxa"/>
          </w:tcPr>
          <w:p>
            <w:pPr>
              <w:pStyle w:val="287"/>
              <w:rPr>
                <w:rFonts w:ascii="Times New Roman"/>
                <w:sz w:val="20"/>
              </w:rPr>
            </w:pPr>
          </w:p>
        </w:tc>
        <w:tc>
          <w:tcPr>
            <w:tcW w:w="577" w:type="dxa"/>
          </w:tcPr>
          <w:p>
            <w:pPr>
              <w:pStyle w:val="28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836" w:type="dxa"/>
          </w:tcPr>
          <w:p>
            <w:pPr>
              <w:pStyle w:val="287"/>
              <w:spacing w:before="197"/>
              <w:ind w:left="9"/>
              <w:jc w:val="center"/>
              <w:rPr>
                <w:rFonts w:ascii="Times New Roman" w:hAnsi="Times New Roman"/>
                <w:sz w:val="22"/>
              </w:rPr>
            </w:pPr>
            <w:r>
              <w:rPr>
                <w:rFonts w:ascii="Times New Roman" w:hAnsi="Times New Roman"/>
                <w:w w:val="100"/>
                <w:sz w:val="22"/>
              </w:rPr>
              <w:t>…</w:t>
            </w:r>
          </w:p>
        </w:tc>
        <w:tc>
          <w:tcPr>
            <w:tcW w:w="831" w:type="dxa"/>
          </w:tcPr>
          <w:p>
            <w:pPr>
              <w:pStyle w:val="287"/>
              <w:spacing w:before="197"/>
              <w:ind w:left="13"/>
              <w:jc w:val="center"/>
              <w:rPr>
                <w:rFonts w:ascii="Times New Roman" w:hAnsi="Times New Roman"/>
                <w:sz w:val="22"/>
              </w:rPr>
            </w:pPr>
            <w:r>
              <w:rPr>
                <w:rFonts w:ascii="Times New Roman" w:hAnsi="Times New Roman"/>
                <w:w w:val="100"/>
                <w:sz w:val="22"/>
              </w:rPr>
              <w:t>…</w:t>
            </w:r>
          </w:p>
        </w:tc>
        <w:tc>
          <w:tcPr>
            <w:tcW w:w="576" w:type="dxa"/>
          </w:tcPr>
          <w:p>
            <w:pPr>
              <w:pStyle w:val="287"/>
              <w:spacing w:before="197"/>
              <w:ind w:left="176"/>
              <w:rPr>
                <w:rFonts w:ascii="Times New Roman" w:hAnsi="Times New Roman"/>
                <w:sz w:val="22"/>
              </w:rPr>
            </w:pPr>
            <w:r>
              <w:rPr>
                <w:rFonts w:ascii="Times New Roman" w:hAnsi="Times New Roman"/>
                <w:w w:val="100"/>
                <w:sz w:val="22"/>
              </w:rPr>
              <w:t>…</w:t>
            </w:r>
          </w:p>
        </w:tc>
        <w:tc>
          <w:tcPr>
            <w:tcW w:w="576" w:type="dxa"/>
            <w:tcBorders>
              <w:right w:val="single" w:color="000000" w:sz="6" w:space="0"/>
            </w:tcBorders>
          </w:tcPr>
          <w:p>
            <w:pPr>
              <w:pStyle w:val="287"/>
              <w:spacing w:before="197"/>
              <w:ind w:left="176"/>
              <w:rPr>
                <w:rFonts w:ascii="Times New Roman" w:hAnsi="Times New Roman"/>
                <w:sz w:val="22"/>
              </w:rPr>
            </w:pPr>
            <w:r>
              <w:rPr>
                <w:rFonts w:ascii="Times New Roman" w:hAnsi="Times New Roman"/>
                <w:w w:val="100"/>
                <w:sz w:val="22"/>
              </w:rPr>
              <w:t>…</w:t>
            </w:r>
          </w:p>
        </w:tc>
        <w:tc>
          <w:tcPr>
            <w:tcW w:w="1191" w:type="dxa"/>
            <w:tcBorders>
              <w:left w:val="single" w:color="000000" w:sz="6" w:space="0"/>
            </w:tcBorders>
          </w:tcPr>
          <w:p>
            <w:pPr>
              <w:pStyle w:val="287"/>
              <w:spacing w:before="197"/>
              <w:ind w:left="6"/>
              <w:jc w:val="center"/>
              <w:rPr>
                <w:rFonts w:ascii="Times New Roman" w:hAnsi="Times New Roman"/>
                <w:sz w:val="22"/>
              </w:rPr>
            </w:pPr>
            <w:r>
              <w:rPr>
                <w:rFonts w:ascii="Times New Roman" w:hAnsi="Times New Roman"/>
                <w:w w:val="100"/>
                <w:sz w:val="22"/>
              </w:rPr>
              <w:t>…</w:t>
            </w:r>
          </w:p>
        </w:tc>
        <w:tc>
          <w:tcPr>
            <w:tcW w:w="1186" w:type="dxa"/>
          </w:tcPr>
          <w:p>
            <w:pPr>
              <w:pStyle w:val="287"/>
              <w:spacing w:before="197"/>
              <w:ind w:left="13"/>
              <w:jc w:val="center"/>
              <w:rPr>
                <w:rFonts w:ascii="Times New Roman" w:hAnsi="Times New Roman"/>
                <w:sz w:val="22"/>
              </w:rPr>
            </w:pPr>
            <w:r>
              <w:rPr>
                <w:rFonts w:ascii="Times New Roman" w:hAnsi="Times New Roman"/>
                <w:w w:val="100"/>
                <w:sz w:val="22"/>
              </w:rPr>
              <w:t>…</w:t>
            </w:r>
          </w:p>
        </w:tc>
        <w:tc>
          <w:tcPr>
            <w:tcW w:w="831" w:type="dxa"/>
          </w:tcPr>
          <w:p>
            <w:pPr>
              <w:pStyle w:val="287"/>
              <w:spacing w:before="197"/>
              <w:ind w:left="13"/>
              <w:jc w:val="center"/>
              <w:rPr>
                <w:rFonts w:ascii="Times New Roman" w:hAnsi="Times New Roman"/>
                <w:sz w:val="22"/>
              </w:rPr>
            </w:pPr>
            <w:r>
              <w:rPr>
                <w:rFonts w:ascii="Times New Roman" w:hAnsi="Times New Roman"/>
                <w:w w:val="100"/>
                <w:sz w:val="22"/>
              </w:rPr>
              <w:t>…</w:t>
            </w:r>
          </w:p>
        </w:tc>
        <w:tc>
          <w:tcPr>
            <w:tcW w:w="706" w:type="dxa"/>
          </w:tcPr>
          <w:p>
            <w:pPr>
              <w:pStyle w:val="287"/>
              <w:spacing w:before="197"/>
              <w:ind w:left="243"/>
              <w:rPr>
                <w:rFonts w:ascii="Times New Roman" w:hAnsi="Times New Roman"/>
                <w:sz w:val="22"/>
              </w:rPr>
            </w:pPr>
            <w:r>
              <w:rPr>
                <w:rFonts w:ascii="Times New Roman" w:hAnsi="Times New Roman"/>
                <w:w w:val="100"/>
                <w:sz w:val="22"/>
              </w:rPr>
              <w:t>…</w:t>
            </w:r>
          </w:p>
        </w:tc>
        <w:tc>
          <w:tcPr>
            <w:tcW w:w="705" w:type="dxa"/>
          </w:tcPr>
          <w:p>
            <w:pPr>
              <w:pStyle w:val="287"/>
              <w:spacing w:before="197"/>
              <w:ind w:left="244"/>
              <w:rPr>
                <w:rFonts w:ascii="Times New Roman" w:hAnsi="Times New Roman"/>
                <w:sz w:val="22"/>
              </w:rPr>
            </w:pPr>
            <w:r>
              <w:rPr>
                <w:rFonts w:ascii="Times New Roman" w:hAnsi="Times New Roman"/>
                <w:w w:val="100"/>
                <w:sz w:val="22"/>
              </w:rPr>
              <w:t>…</w:t>
            </w:r>
          </w:p>
        </w:tc>
        <w:tc>
          <w:tcPr>
            <w:tcW w:w="701" w:type="dxa"/>
          </w:tcPr>
          <w:p>
            <w:pPr>
              <w:pStyle w:val="287"/>
              <w:spacing w:before="197"/>
              <w:ind w:left="239"/>
              <w:rPr>
                <w:rFonts w:ascii="Times New Roman" w:hAnsi="Times New Roman"/>
                <w:sz w:val="22"/>
              </w:rPr>
            </w:pPr>
            <w:r>
              <w:rPr>
                <w:rFonts w:ascii="Times New Roman" w:hAnsi="Times New Roman"/>
                <w:w w:val="100"/>
                <w:sz w:val="22"/>
              </w:rPr>
              <w:t>…</w:t>
            </w:r>
          </w:p>
        </w:tc>
        <w:tc>
          <w:tcPr>
            <w:tcW w:w="576" w:type="dxa"/>
          </w:tcPr>
          <w:p>
            <w:pPr>
              <w:pStyle w:val="287"/>
              <w:spacing w:before="197"/>
              <w:ind w:left="177"/>
              <w:rPr>
                <w:rFonts w:ascii="Times New Roman" w:hAnsi="Times New Roman"/>
                <w:sz w:val="22"/>
              </w:rPr>
            </w:pPr>
            <w:r>
              <w:rPr>
                <w:rFonts w:ascii="Times New Roman" w:hAnsi="Times New Roman"/>
                <w:w w:val="100"/>
                <w:sz w:val="22"/>
              </w:rPr>
              <w:t>…</w:t>
            </w:r>
          </w:p>
        </w:tc>
        <w:tc>
          <w:tcPr>
            <w:tcW w:w="577" w:type="dxa"/>
          </w:tcPr>
          <w:p>
            <w:pPr>
              <w:pStyle w:val="287"/>
              <w:spacing w:before="197"/>
              <w:ind w:left="177"/>
              <w:rPr>
                <w:rFonts w:ascii="Times New Roman" w:hAnsi="Times New Roman"/>
                <w:sz w:val="22"/>
              </w:rPr>
            </w:pPr>
            <w:r>
              <w:rPr>
                <w:rFonts w:ascii="Times New Roman" w:hAnsi="Times New Roman"/>
                <w:w w:val="100"/>
                <w:sz w:val="22"/>
              </w:rPr>
              <w:t>…</w:t>
            </w:r>
          </w:p>
        </w:tc>
      </w:tr>
    </w:tbl>
    <w:p>
      <w:pPr>
        <w:pStyle w:val="2"/>
        <w:spacing w:before="12"/>
        <w:rPr>
          <w:b/>
          <w:sz w:val="25"/>
        </w:rPr>
      </w:pPr>
    </w:p>
    <w:p>
      <w:pPr>
        <w:bidi w:val="0"/>
      </w:pPr>
      <w:r>
        <w:t>二、合同总价</w:t>
      </w:r>
    </w:p>
    <w:p>
      <w:pPr>
        <w:pStyle w:val="2"/>
        <w:spacing w:before="43" w:line="278" w:lineRule="auto"/>
        <w:ind w:left="319" w:right="743" w:firstLine="422"/>
        <w:jc w:val="both"/>
      </w:pPr>
      <w:r>
        <w:rPr>
          <w:spacing w:val="-2"/>
        </w:rPr>
        <w:t>合同总价为人民币大写：</w:t>
      </w:r>
      <w:r>
        <w:rPr>
          <w:rFonts w:ascii="Times New Roman" w:hAnsi="Times New Roman" w:eastAsia="Times New Roman"/>
        </w:rPr>
        <w:t xml:space="preserve">XXX </w:t>
      </w:r>
      <w:r>
        <w:rPr>
          <w:spacing w:val="-4"/>
        </w:rPr>
        <w:t xml:space="preserve">元，即 </w:t>
      </w:r>
      <w:r>
        <w:rPr>
          <w:rFonts w:ascii="Times New Roman" w:hAnsi="Times New Roman" w:eastAsia="Times New Roman"/>
          <w:spacing w:val="-6"/>
        </w:rPr>
        <w:t xml:space="preserve">RMB¥XXX </w:t>
      </w:r>
      <w:r>
        <w:rPr>
          <w:spacing w:val="-5"/>
        </w:rPr>
        <w:t>元；该合同总价已包括货物设计、材料、制</w:t>
      </w:r>
      <w:r>
        <w:rPr>
          <w:spacing w:val="-6"/>
        </w:rPr>
        <w:t>造、包装、运输、安装、调试、检测、验收合格交付使用之前及保修期内保修服务与备用物件等所</w:t>
      </w:r>
      <w:r>
        <w:rPr>
          <w:spacing w:val="-2"/>
        </w:rPr>
        <w:t>有其他有关各项的含税费用。本合同执行期间合同总价不变，甲方无须另向乙方支付本合同规定之</w:t>
      </w:r>
      <w:r>
        <w:rPr>
          <w:spacing w:val="-1"/>
        </w:rPr>
        <w:t>外的其他任何费用。</w:t>
      </w:r>
    </w:p>
    <w:p>
      <w:pPr>
        <w:pStyle w:val="2"/>
        <w:spacing w:before="5"/>
        <w:rPr>
          <w:sz w:val="24"/>
        </w:rPr>
      </w:pPr>
    </w:p>
    <w:p>
      <w:pPr>
        <w:bidi w:val="0"/>
      </w:pPr>
      <w:r>
        <w:t>三、质量要求</w:t>
      </w:r>
    </w:p>
    <w:p>
      <w:pPr>
        <w:pStyle w:val="288"/>
        <w:numPr>
          <w:ilvl w:val="0"/>
          <w:numId w:val="45"/>
        </w:numPr>
        <w:tabs>
          <w:tab w:val="left" w:pos="902"/>
        </w:tabs>
        <w:spacing w:before="43" w:after="0" w:line="278" w:lineRule="auto"/>
        <w:ind w:left="319" w:right="745" w:firstLine="422"/>
        <w:jc w:val="left"/>
        <w:rPr>
          <w:sz w:val="21"/>
        </w:rPr>
      </w:pPr>
      <w:r>
        <w:rPr>
          <w:spacing w:val="-3"/>
          <w:w w:val="100"/>
          <w:sz w:val="21"/>
        </w:rPr>
        <w:t>乙方应当提供全新的货物</w:t>
      </w:r>
      <w:r>
        <w:rPr>
          <w:w w:val="100"/>
          <w:sz w:val="21"/>
        </w:rPr>
        <w:t>（</w:t>
      </w:r>
      <w:r>
        <w:rPr>
          <w:spacing w:val="-3"/>
          <w:w w:val="100"/>
          <w:sz w:val="21"/>
        </w:rPr>
        <w:t>含零部件、配件等</w:t>
      </w:r>
      <w:r>
        <w:rPr>
          <w:spacing w:val="-111"/>
          <w:w w:val="100"/>
          <w:sz w:val="21"/>
        </w:rPr>
        <w:t>）</w:t>
      </w:r>
      <w:r>
        <w:rPr>
          <w:spacing w:val="-6"/>
          <w:w w:val="100"/>
          <w:sz w:val="21"/>
        </w:rPr>
        <w:t>，表面无划伤、无碰撞痕迹，且权属清楚，不</w:t>
      </w:r>
      <w:r>
        <w:rPr>
          <w:spacing w:val="-2"/>
          <w:sz w:val="21"/>
        </w:rPr>
        <w:t>得侵害他人的知识产权。</w:t>
      </w:r>
    </w:p>
    <w:p>
      <w:pPr>
        <w:pStyle w:val="288"/>
        <w:numPr>
          <w:ilvl w:val="0"/>
          <w:numId w:val="45"/>
        </w:numPr>
        <w:tabs>
          <w:tab w:val="left" w:pos="902"/>
        </w:tabs>
        <w:spacing w:before="0" w:after="0" w:line="278" w:lineRule="auto"/>
        <w:ind w:left="319" w:right="743" w:firstLine="422"/>
        <w:jc w:val="left"/>
        <w:rPr>
          <w:sz w:val="21"/>
        </w:rPr>
      </w:pPr>
      <w:r>
        <w:rPr>
          <w:spacing w:val="-2"/>
          <w:sz w:val="21"/>
        </w:rPr>
        <w:t>货物应当符合或优于国家</w:t>
      </w:r>
      <w:r>
        <w:rPr>
          <w:spacing w:val="-5"/>
          <w:sz w:val="21"/>
        </w:rPr>
        <w:t>（</w:t>
      </w:r>
      <w:r>
        <w:rPr>
          <w:sz w:val="21"/>
        </w:rPr>
        <w:t>行业）</w:t>
      </w:r>
      <w:r>
        <w:rPr>
          <w:rFonts w:ascii="Times New Roman" w:eastAsia="Times New Roman"/>
          <w:sz w:val="21"/>
        </w:rPr>
        <w:t>XXX</w:t>
      </w:r>
      <w:r>
        <w:rPr>
          <w:rFonts w:ascii="Times New Roman" w:eastAsia="Times New Roman"/>
          <w:spacing w:val="38"/>
          <w:sz w:val="21"/>
        </w:rPr>
        <w:t xml:space="preserve"> </w:t>
      </w:r>
      <w:r>
        <w:rPr>
          <w:spacing w:val="-6"/>
          <w:sz w:val="21"/>
        </w:rPr>
        <w:t>标准，以及本项目招标文件的质量要求和技术指标与</w:t>
      </w:r>
      <w:r>
        <w:rPr>
          <w:sz w:val="21"/>
        </w:rPr>
        <w:t>出厂标准。</w:t>
      </w:r>
    </w:p>
    <w:p>
      <w:pPr>
        <w:pStyle w:val="288"/>
        <w:numPr>
          <w:ilvl w:val="0"/>
          <w:numId w:val="45"/>
        </w:numPr>
        <w:tabs>
          <w:tab w:val="left" w:pos="902"/>
        </w:tabs>
        <w:spacing w:before="0" w:after="0" w:line="278" w:lineRule="auto"/>
        <w:ind w:left="319" w:right="744" w:firstLine="422"/>
        <w:jc w:val="both"/>
        <w:rPr>
          <w:sz w:val="21"/>
        </w:rPr>
      </w:pPr>
      <w:r>
        <w:rPr>
          <w:spacing w:val="-6"/>
          <w:sz w:val="21"/>
        </w:rPr>
        <w:t xml:space="preserve">乙方应当在本合同签订之日起 </w:t>
      </w:r>
      <w:r>
        <w:rPr>
          <w:rFonts w:ascii="Times New Roman" w:eastAsia="Times New Roman"/>
          <w:sz w:val="21"/>
        </w:rPr>
        <w:t>XXX</w:t>
      </w:r>
      <w:r>
        <w:rPr>
          <w:rFonts w:ascii="Times New Roman" w:eastAsia="Times New Roman"/>
          <w:spacing w:val="19"/>
          <w:sz w:val="21"/>
        </w:rPr>
        <w:t xml:space="preserve"> </w:t>
      </w:r>
      <w:r>
        <w:rPr>
          <w:spacing w:val="-9"/>
          <w:sz w:val="21"/>
        </w:rPr>
        <w:t>日内送交货物成品样品给甲方确认，在甲方出具样品确认</w:t>
      </w:r>
      <w:r>
        <w:rPr>
          <w:spacing w:val="-2"/>
          <w:sz w:val="21"/>
        </w:rPr>
        <w:t>书并封存成品样品外观尺寸后，乙方才能按样生产，并以此样品作为验收样品；每台货物上均应有产品质量检验合格标志。</w:t>
      </w:r>
    </w:p>
    <w:p>
      <w:pPr>
        <w:pStyle w:val="288"/>
        <w:numPr>
          <w:ilvl w:val="0"/>
          <w:numId w:val="45"/>
        </w:numPr>
        <w:tabs>
          <w:tab w:val="left" w:pos="902"/>
        </w:tabs>
        <w:spacing w:before="0" w:after="0" w:line="278" w:lineRule="auto"/>
        <w:ind w:left="319" w:right="742" w:firstLine="422"/>
        <w:jc w:val="left"/>
        <w:rPr>
          <w:sz w:val="21"/>
        </w:rPr>
      </w:pPr>
      <w:r>
        <w:rPr>
          <w:spacing w:val="-5"/>
          <w:w w:val="100"/>
          <w:sz w:val="21"/>
        </w:rPr>
        <w:t>货物制造质量出现问题，乙方应负责三包</w:t>
      </w:r>
      <w:r>
        <w:rPr>
          <w:w w:val="100"/>
          <w:sz w:val="21"/>
        </w:rPr>
        <w:t>（</w:t>
      </w:r>
      <w:r>
        <w:rPr>
          <w:spacing w:val="-4"/>
          <w:w w:val="100"/>
          <w:sz w:val="21"/>
        </w:rPr>
        <w:t>包修、包换、包退</w:t>
      </w:r>
      <w:r>
        <w:rPr>
          <w:spacing w:val="-106"/>
          <w:w w:val="100"/>
          <w:sz w:val="21"/>
        </w:rPr>
        <w:t>）</w:t>
      </w:r>
      <w:r>
        <w:rPr>
          <w:spacing w:val="-6"/>
          <w:w w:val="100"/>
          <w:sz w:val="21"/>
        </w:rPr>
        <w:t>，费用由乙方负担，甲方有权</w:t>
      </w:r>
      <w:r>
        <w:rPr>
          <w:spacing w:val="-4"/>
          <w:sz w:val="21"/>
        </w:rPr>
        <w:t>到乙方生产场地检查货物质量和生产进度。</w:t>
      </w:r>
    </w:p>
    <w:p>
      <w:pPr>
        <w:pStyle w:val="288"/>
        <w:numPr>
          <w:ilvl w:val="0"/>
          <w:numId w:val="45"/>
        </w:numPr>
        <w:tabs>
          <w:tab w:val="left" w:pos="902"/>
        </w:tabs>
        <w:spacing w:before="0" w:after="0" w:line="240" w:lineRule="auto"/>
        <w:ind w:left="902" w:right="0" w:hanging="160"/>
        <w:jc w:val="left"/>
        <w:rPr>
          <w:sz w:val="21"/>
        </w:rPr>
      </w:pPr>
      <w:r>
        <w:rPr>
          <w:spacing w:val="-5"/>
          <w:sz w:val="21"/>
        </w:rPr>
        <w:t>货物到现场后由于甲方保管不当造成的质量问题，乙方亦应负责修理，但费用由甲方负担。</w:t>
      </w:r>
    </w:p>
    <w:p>
      <w:pPr>
        <w:pStyle w:val="2"/>
        <w:rPr>
          <w:sz w:val="8"/>
        </w:rPr>
      </w:pPr>
    </w:p>
    <w:p>
      <w:pPr>
        <w:bidi w:val="0"/>
      </w:pPr>
      <w:r>
        <w:t>四、交货及验收</w:t>
      </w:r>
    </w:p>
    <w:p>
      <w:pPr>
        <w:pStyle w:val="288"/>
        <w:numPr>
          <w:ilvl w:val="0"/>
          <w:numId w:val="46"/>
        </w:numPr>
        <w:tabs>
          <w:tab w:val="left" w:pos="902"/>
        </w:tabs>
        <w:spacing w:before="0" w:after="0" w:line="278" w:lineRule="auto"/>
        <w:ind w:left="319" w:right="745" w:firstLine="422"/>
        <w:jc w:val="both"/>
        <w:rPr>
          <w:sz w:val="21"/>
          <w:highlight w:val="yellow"/>
        </w:rPr>
      </w:pPr>
      <w:r>
        <w:rPr>
          <w:rFonts w:hint="eastAsia"/>
          <w:spacing w:val="-6"/>
          <w:sz w:val="21"/>
          <w:highlight w:val="yellow"/>
          <w:lang w:val="en-US" w:eastAsia="zh-CN"/>
        </w:rPr>
        <w:t>严格按照磋商文件相关要求执行</w:t>
      </w:r>
      <w:r>
        <w:rPr>
          <w:spacing w:val="-6"/>
          <w:sz w:val="21"/>
          <w:highlight w:val="yellow"/>
        </w:rPr>
        <w:t>。</w:t>
      </w:r>
    </w:p>
    <w:p>
      <w:pPr>
        <w:pStyle w:val="288"/>
        <w:numPr>
          <w:ilvl w:val="0"/>
          <w:numId w:val="46"/>
        </w:numPr>
        <w:tabs>
          <w:tab w:val="left" w:pos="902"/>
        </w:tabs>
        <w:spacing w:before="0" w:after="0" w:line="269" w:lineRule="exact"/>
        <w:ind w:left="902" w:right="0" w:hanging="160"/>
        <w:jc w:val="left"/>
        <w:rPr>
          <w:sz w:val="21"/>
        </w:rPr>
      </w:pPr>
      <w:r>
        <w:rPr>
          <w:spacing w:val="-5"/>
          <w:sz w:val="21"/>
        </w:rPr>
        <w:t>其他未尽事宜应严格按照《财政部关于进一步加强政府采购需求和履约验收管理的指导意见》</w:t>
      </w:r>
    </w:p>
    <w:p>
      <w:pPr>
        <w:pStyle w:val="2"/>
        <w:spacing w:before="43"/>
        <w:ind w:left="319"/>
      </w:pPr>
      <w:r>
        <w:t>（财库〔</w:t>
      </w:r>
      <w:r>
        <w:rPr>
          <w:rFonts w:ascii="Times New Roman" w:eastAsia="Times New Roman"/>
        </w:rPr>
        <w:t>2016</w:t>
      </w:r>
      <w:r>
        <w:t>〕</w:t>
      </w:r>
      <w:r>
        <w:rPr>
          <w:rFonts w:ascii="Times New Roman" w:eastAsia="Times New Roman"/>
        </w:rPr>
        <w:t xml:space="preserve">205 </w:t>
      </w:r>
      <w:r>
        <w:t>号）的要求进行。</w:t>
      </w:r>
    </w:p>
    <w:p>
      <w:pPr>
        <w:pStyle w:val="2"/>
        <w:spacing w:before="10"/>
        <w:rPr>
          <w:sz w:val="27"/>
        </w:rPr>
      </w:pPr>
    </w:p>
    <w:p>
      <w:pPr>
        <w:bidi w:val="0"/>
      </w:pPr>
      <w:r>
        <w:t>五、付款方式</w:t>
      </w:r>
    </w:p>
    <w:p>
      <w:pPr>
        <w:pStyle w:val="288"/>
        <w:numPr>
          <w:ilvl w:val="0"/>
          <w:numId w:val="47"/>
        </w:numPr>
        <w:tabs>
          <w:tab w:val="left" w:pos="902"/>
        </w:tabs>
        <w:spacing w:before="43" w:after="0" w:line="278" w:lineRule="auto"/>
        <w:ind w:left="319" w:right="747" w:firstLine="422"/>
        <w:jc w:val="both"/>
        <w:rPr>
          <w:sz w:val="21"/>
        </w:rPr>
      </w:pPr>
      <w:r>
        <w:rPr>
          <w:sz w:val="21"/>
        </w:rPr>
        <w:t>甲方在本合同签订生效之日起接到乙方通知和票据凭证资料以及乙方交给甲方的合同履约保</w:t>
      </w:r>
      <w:r>
        <w:rPr>
          <w:spacing w:val="-13"/>
          <w:sz w:val="21"/>
        </w:rPr>
        <w:t>证金</w:t>
      </w:r>
      <w:r>
        <w:rPr>
          <w:sz w:val="21"/>
        </w:rPr>
        <w:t>（</w:t>
      </w:r>
      <w:r>
        <w:rPr>
          <w:spacing w:val="-8"/>
          <w:sz w:val="21"/>
        </w:rPr>
        <w:t xml:space="preserve">按合同总价的百分之 </w:t>
      </w:r>
      <w:r>
        <w:rPr>
          <w:rFonts w:ascii="Times New Roman" w:hAnsi="Times New Roman" w:eastAsia="Times New Roman"/>
          <w:sz w:val="21"/>
        </w:rPr>
        <w:t>XXX</w:t>
      </w:r>
      <w:r>
        <w:rPr>
          <w:rFonts w:ascii="Times New Roman" w:hAnsi="Times New Roman" w:eastAsia="Times New Roman"/>
          <w:spacing w:val="9"/>
          <w:sz w:val="21"/>
        </w:rPr>
        <w:t xml:space="preserve"> </w:t>
      </w:r>
      <w:r>
        <w:rPr>
          <w:spacing w:val="-2"/>
          <w:sz w:val="21"/>
        </w:rPr>
        <w:t>计算款额</w:t>
      </w:r>
      <w:r>
        <w:rPr>
          <w:rFonts w:ascii="Times New Roman" w:hAnsi="Times New Roman" w:eastAsia="Times New Roman"/>
          <w:spacing w:val="-10"/>
          <w:sz w:val="21"/>
        </w:rPr>
        <w:t>¥XXX</w:t>
      </w:r>
      <w:r>
        <w:rPr>
          <w:rFonts w:ascii="Times New Roman" w:hAnsi="Times New Roman" w:eastAsia="Times New Roman"/>
          <w:spacing w:val="-1"/>
          <w:sz w:val="21"/>
        </w:rPr>
        <w:t xml:space="preserve"> </w:t>
      </w:r>
      <w:r>
        <w:rPr>
          <w:spacing w:val="-7"/>
          <w:sz w:val="21"/>
        </w:rPr>
        <w:t>元，人民币大写：</w:t>
      </w:r>
      <w:r>
        <w:rPr>
          <w:rFonts w:ascii="Times New Roman" w:hAnsi="Times New Roman" w:eastAsia="Times New Roman"/>
          <w:spacing w:val="-7"/>
          <w:sz w:val="21"/>
        </w:rPr>
        <w:t>XXX</w:t>
      </w:r>
      <w:r>
        <w:rPr>
          <w:rFonts w:ascii="Times New Roman" w:hAnsi="Times New Roman" w:eastAsia="Times New Roman"/>
          <w:spacing w:val="9"/>
          <w:sz w:val="21"/>
        </w:rPr>
        <w:t xml:space="preserve"> </w:t>
      </w:r>
      <w:r>
        <w:rPr>
          <w:spacing w:val="-3"/>
          <w:sz w:val="21"/>
        </w:rPr>
        <w:t>元整</w:t>
      </w:r>
      <w:r>
        <w:rPr>
          <w:spacing w:val="-25"/>
          <w:sz w:val="21"/>
        </w:rPr>
        <w:t>）</w:t>
      </w:r>
      <w:r>
        <w:rPr>
          <w:spacing w:val="-17"/>
          <w:sz w:val="21"/>
        </w:rPr>
        <w:t xml:space="preserve">后的 </w:t>
      </w:r>
      <w:r>
        <w:rPr>
          <w:rFonts w:ascii="Times New Roman" w:hAnsi="Times New Roman" w:eastAsia="Times New Roman"/>
          <w:sz w:val="21"/>
        </w:rPr>
        <w:t>XXX</w:t>
      </w:r>
      <w:r>
        <w:rPr>
          <w:rFonts w:ascii="Times New Roman" w:hAnsi="Times New Roman" w:eastAsia="Times New Roman"/>
          <w:spacing w:val="8"/>
          <w:sz w:val="21"/>
        </w:rPr>
        <w:t xml:space="preserve"> </w:t>
      </w:r>
      <w:r>
        <w:rPr>
          <w:spacing w:val="-2"/>
          <w:sz w:val="21"/>
        </w:rPr>
        <w:t>日内支付</w:t>
      </w:r>
      <w:r>
        <w:rPr>
          <w:spacing w:val="-10"/>
          <w:sz w:val="21"/>
        </w:rPr>
        <w:t xml:space="preserve">合同金额百分之 </w:t>
      </w:r>
      <w:r>
        <w:rPr>
          <w:rFonts w:ascii="Times New Roman" w:hAnsi="Times New Roman" w:eastAsia="Times New Roman"/>
          <w:sz w:val="21"/>
        </w:rPr>
        <w:t>XXX</w:t>
      </w:r>
      <w:r>
        <w:rPr>
          <w:rFonts w:ascii="Times New Roman" w:hAnsi="Times New Roman" w:eastAsia="Times New Roman"/>
          <w:spacing w:val="1"/>
          <w:sz w:val="21"/>
        </w:rPr>
        <w:t xml:space="preserve"> </w:t>
      </w:r>
      <w:r>
        <w:rPr>
          <w:spacing w:val="-2"/>
          <w:sz w:val="21"/>
        </w:rPr>
        <w:t>的价款。</w:t>
      </w:r>
    </w:p>
    <w:p>
      <w:pPr>
        <w:pStyle w:val="288"/>
        <w:numPr>
          <w:ilvl w:val="0"/>
          <w:numId w:val="47"/>
        </w:numPr>
        <w:tabs>
          <w:tab w:val="left" w:pos="902"/>
        </w:tabs>
        <w:spacing w:before="0" w:after="0" w:line="278" w:lineRule="auto"/>
        <w:ind w:left="319" w:right="733" w:firstLine="422"/>
        <w:jc w:val="both"/>
        <w:rPr>
          <w:sz w:val="21"/>
        </w:rPr>
      </w:pPr>
      <w:r>
        <w:rPr>
          <w:spacing w:val="-8"/>
          <w:sz w:val="21"/>
        </w:rPr>
        <w:t xml:space="preserve">全部货物安装调试完毕并验收合格之日起，甲方接到乙方通知与票据凭证资料以后的 </w:t>
      </w:r>
      <w:r>
        <w:rPr>
          <w:rFonts w:ascii="Times New Roman" w:hAnsi="Times New Roman" w:eastAsia="Times New Roman"/>
          <w:sz w:val="21"/>
        </w:rPr>
        <w:t>XXX</w:t>
      </w:r>
      <w:r>
        <w:rPr>
          <w:rFonts w:ascii="Times New Roman" w:hAnsi="Times New Roman" w:eastAsia="Times New Roman"/>
          <w:spacing w:val="20"/>
          <w:sz w:val="21"/>
        </w:rPr>
        <w:t xml:space="preserve"> </w:t>
      </w:r>
      <w:r>
        <w:rPr>
          <w:sz w:val="21"/>
        </w:rPr>
        <w:t>日</w:t>
      </w:r>
      <w:r>
        <w:rPr>
          <w:spacing w:val="-11"/>
          <w:sz w:val="21"/>
        </w:rPr>
        <w:t xml:space="preserve">内，提交支付凭证资料给 </w:t>
      </w:r>
      <w:r>
        <w:rPr>
          <w:rFonts w:ascii="Times New Roman" w:hAnsi="Times New Roman" w:eastAsia="Times New Roman"/>
          <w:sz w:val="21"/>
        </w:rPr>
        <w:t>XXX</w:t>
      </w:r>
      <w:r>
        <w:rPr>
          <w:rFonts w:ascii="Times New Roman" w:hAnsi="Times New Roman" w:eastAsia="Times New Roman"/>
          <w:spacing w:val="18"/>
          <w:sz w:val="21"/>
        </w:rPr>
        <w:t xml:space="preserve"> </w:t>
      </w:r>
      <w:r>
        <w:rPr>
          <w:spacing w:val="-8"/>
          <w:sz w:val="21"/>
        </w:rPr>
        <w:t>财政国库支付执行机构办理财政国库支付手续，并由其向乙方核拨合</w:t>
      </w:r>
      <w:r>
        <w:rPr>
          <w:spacing w:val="-11"/>
          <w:sz w:val="21"/>
        </w:rPr>
        <w:t xml:space="preserve">同总价的百分之 </w:t>
      </w:r>
      <w:r>
        <w:rPr>
          <w:rFonts w:ascii="Times New Roman" w:hAnsi="Times New Roman" w:eastAsia="Times New Roman"/>
          <w:sz w:val="21"/>
        </w:rPr>
        <w:t>XXX</w:t>
      </w:r>
      <w:r>
        <w:rPr>
          <w:rFonts w:ascii="Times New Roman" w:hAnsi="Times New Roman" w:eastAsia="Times New Roman"/>
          <w:spacing w:val="11"/>
          <w:sz w:val="21"/>
        </w:rPr>
        <w:t xml:space="preserve"> </w:t>
      </w:r>
      <w:r>
        <w:rPr>
          <w:spacing w:val="-5"/>
          <w:sz w:val="21"/>
        </w:rPr>
        <w:t>款项：</w:t>
      </w:r>
      <w:r>
        <w:rPr>
          <w:rFonts w:ascii="Times New Roman" w:hAnsi="Times New Roman" w:eastAsia="Times New Roman"/>
          <w:spacing w:val="-7"/>
          <w:sz w:val="21"/>
        </w:rPr>
        <w:t>¥XXX</w:t>
      </w:r>
      <w:r>
        <w:rPr>
          <w:rFonts w:ascii="Times New Roman" w:hAnsi="Times New Roman" w:eastAsia="Times New Roman"/>
          <w:spacing w:val="-4"/>
          <w:sz w:val="21"/>
        </w:rPr>
        <w:t xml:space="preserve"> </w:t>
      </w:r>
      <w:r>
        <w:rPr>
          <w:spacing w:val="5"/>
          <w:sz w:val="21"/>
        </w:rPr>
        <w:t>元，人民币大写</w:t>
      </w:r>
      <w:r>
        <w:rPr>
          <w:rFonts w:ascii="Times New Roman" w:hAnsi="Times New Roman" w:eastAsia="Times New Roman"/>
          <w:sz w:val="21"/>
        </w:rPr>
        <w:t>XXX</w:t>
      </w:r>
      <w:r>
        <w:rPr>
          <w:rFonts w:ascii="Times New Roman" w:hAnsi="Times New Roman" w:eastAsia="Times New Roman"/>
          <w:spacing w:val="6"/>
          <w:sz w:val="21"/>
        </w:rPr>
        <w:t xml:space="preserve"> </w:t>
      </w:r>
      <w:r>
        <w:rPr>
          <w:spacing w:val="-5"/>
          <w:sz w:val="21"/>
        </w:rPr>
        <w:t>元整；自筹资金由甲方直接支付给乙方。</w:t>
      </w:r>
    </w:p>
    <w:p>
      <w:pPr>
        <w:pStyle w:val="288"/>
        <w:numPr>
          <w:ilvl w:val="0"/>
          <w:numId w:val="47"/>
        </w:numPr>
        <w:tabs>
          <w:tab w:val="left" w:pos="902"/>
        </w:tabs>
        <w:spacing w:before="0" w:after="0" w:line="240" w:lineRule="auto"/>
        <w:ind w:left="902" w:right="0" w:hanging="160"/>
        <w:jc w:val="left"/>
        <w:rPr>
          <w:sz w:val="21"/>
        </w:rPr>
      </w:pPr>
      <w:r>
        <w:rPr>
          <w:spacing w:val="-5"/>
          <w:sz w:val="21"/>
        </w:rPr>
        <w:t>乙方应当向甲方出具合法有效完整的完税发票及凭证资料进行支付结算。</w:t>
      </w:r>
    </w:p>
    <w:p>
      <w:pPr>
        <w:pStyle w:val="288"/>
        <w:numPr>
          <w:ilvl w:val="0"/>
          <w:numId w:val="47"/>
        </w:numPr>
        <w:tabs>
          <w:tab w:val="left" w:pos="902"/>
        </w:tabs>
        <w:spacing w:before="43" w:after="0" w:line="278" w:lineRule="auto"/>
        <w:ind w:left="319" w:right="695" w:firstLine="422"/>
        <w:jc w:val="both"/>
        <w:rPr>
          <w:sz w:val="21"/>
        </w:rPr>
      </w:pPr>
      <w:r>
        <w:rPr>
          <w:spacing w:val="-6"/>
          <w:sz w:val="21"/>
        </w:rPr>
        <w:t xml:space="preserve">履约保证金：在货物验收合格满 </w:t>
      </w:r>
      <w:r>
        <w:rPr>
          <w:rFonts w:ascii="Times New Roman" w:hAnsi="Times New Roman" w:eastAsia="Times New Roman"/>
          <w:sz w:val="21"/>
        </w:rPr>
        <w:t>XXX</w:t>
      </w:r>
      <w:r>
        <w:rPr>
          <w:rFonts w:ascii="Times New Roman" w:hAnsi="Times New Roman" w:eastAsia="Times New Roman"/>
          <w:spacing w:val="19"/>
          <w:sz w:val="21"/>
        </w:rPr>
        <w:t xml:space="preserve"> </w:t>
      </w:r>
      <w:r>
        <w:rPr>
          <w:spacing w:val="-6"/>
          <w:sz w:val="21"/>
        </w:rPr>
        <w:t xml:space="preserve">后，甲方财务部门接到乙方通知和支付凭证资料文件， 以及由甲方确认本合同货物质量与服务等约定事项已经履行完毕的正式书面文件后的 </w:t>
      </w:r>
      <w:r>
        <w:rPr>
          <w:rFonts w:ascii="Times New Roman" w:hAnsi="Times New Roman" w:eastAsia="Times New Roman"/>
          <w:sz w:val="21"/>
        </w:rPr>
        <w:t>XXX</w:t>
      </w:r>
      <w:r>
        <w:rPr>
          <w:rFonts w:ascii="Times New Roman" w:hAnsi="Times New Roman" w:eastAsia="Times New Roman"/>
          <w:spacing w:val="15"/>
          <w:sz w:val="21"/>
        </w:rPr>
        <w:t xml:space="preserve"> </w:t>
      </w:r>
      <w:r>
        <w:rPr>
          <w:spacing w:val="-27"/>
          <w:sz w:val="21"/>
        </w:rPr>
        <w:t>日内，递</w:t>
      </w:r>
      <w:r>
        <w:rPr>
          <w:spacing w:val="-12"/>
          <w:sz w:val="21"/>
        </w:rPr>
        <w:t>交结算凭证资料给银行并由其向乙方支付价款</w:t>
      </w:r>
      <w:r>
        <w:rPr>
          <w:rFonts w:ascii="Times New Roman" w:hAnsi="Times New Roman" w:eastAsia="Times New Roman"/>
          <w:spacing w:val="-11"/>
          <w:sz w:val="21"/>
        </w:rPr>
        <w:t>¥XXX</w:t>
      </w:r>
      <w:r>
        <w:rPr>
          <w:rFonts w:ascii="Times New Roman" w:hAnsi="Times New Roman" w:eastAsia="Times New Roman"/>
          <w:spacing w:val="28"/>
          <w:sz w:val="21"/>
        </w:rPr>
        <w:t xml:space="preserve"> </w:t>
      </w:r>
      <w:r>
        <w:rPr>
          <w:spacing w:val="-1"/>
          <w:sz w:val="21"/>
        </w:rPr>
        <w:t>元，人民币大写：</w:t>
      </w:r>
      <w:r>
        <w:rPr>
          <w:rFonts w:ascii="Times New Roman" w:hAnsi="Times New Roman" w:eastAsia="Times New Roman"/>
          <w:sz w:val="21"/>
        </w:rPr>
        <w:t>XXX</w:t>
      </w:r>
      <w:r>
        <w:rPr>
          <w:rFonts w:ascii="Times New Roman" w:hAnsi="Times New Roman" w:eastAsia="Times New Roman"/>
          <w:spacing w:val="-3"/>
          <w:sz w:val="21"/>
        </w:rPr>
        <w:t xml:space="preserve"> </w:t>
      </w:r>
      <w:r>
        <w:rPr>
          <w:sz w:val="21"/>
        </w:rPr>
        <w:t>元整。</w:t>
      </w:r>
    </w:p>
    <w:p>
      <w:pPr>
        <w:pStyle w:val="2"/>
        <w:spacing w:before="4"/>
        <w:rPr>
          <w:sz w:val="24"/>
        </w:rPr>
      </w:pPr>
    </w:p>
    <w:p>
      <w:pPr>
        <w:bidi w:val="0"/>
      </w:pPr>
      <w:r>
        <w:t>六、售后服务</w:t>
      </w:r>
    </w:p>
    <w:p>
      <w:pPr>
        <w:pStyle w:val="288"/>
        <w:numPr>
          <w:ilvl w:val="0"/>
          <w:numId w:val="48"/>
        </w:numPr>
        <w:tabs>
          <w:tab w:val="left" w:pos="902"/>
        </w:tabs>
        <w:spacing w:before="43" w:after="0" w:line="278" w:lineRule="auto"/>
        <w:ind w:left="319" w:right="742" w:firstLine="422"/>
        <w:jc w:val="both"/>
        <w:rPr>
          <w:sz w:val="21"/>
        </w:rPr>
      </w:pPr>
      <w:r>
        <w:rPr>
          <w:spacing w:val="-6"/>
          <w:sz w:val="21"/>
        </w:rPr>
        <w:t xml:space="preserve">质保期为验收合格后 </w:t>
      </w:r>
      <w:r>
        <w:rPr>
          <w:rFonts w:ascii="Times New Roman" w:eastAsia="Times New Roman"/>
          <w:sz w:val="21"/>
        </w:rPr>
        <w:t>XX</w:t>
      </w:r>
      <w:r>
        <w:rPr>
          <w:rFonts w:ascii="Times New Roman" w:eastAsia="Times New Roman"/>
          <w:spacing w:val="10"/>
          <w:sz w:val="21"/>
        </w:rPr>
        <w:t xml:space="preserve"> </w:t>
      </w:r>
      <w:r>
        <w:rPr>
          <w:spacing w:val="-5"/>
          <w:sz w:val="21"/>
        </w:rPr>
        <w:t>年，质保期内出现质量问题，乙方在接到通知后</w:t>
      </w:r>
      <w:r>
        <w:rPr>
          <w:rFonts w:ascii="Times New Roman" w:eastAsia="Times New Roman"/>
          <w:sz w:val="21"/>
        </w:rPr>
        <w:t>XXX</w:t>
      </w:r>
      <w:r>
        <w:rPr>
          <w:rFonts w:ascii="Times New Roman" w:eastAsia="Times New Roman"/>
          <w:spacing w:val="15"/>
          <w:sz w:val="21"/>
        </w:rPr>
        <w:t xml:space="preserve"> </w:t>
      </w:r>
      <w:r>
        <w:rPr>
          <w:spacing w:val="-2"/>
          <w:sz w:val="21"/>
        </w:rPr>
        <w:t>小时内响应到场，</w:t>
      </w:r>
      <w:r>
        <w:rPr>
          <w:rFonts w:ascii="Times New Roman" w:eastAsia="Times New Roman"/>
          <w:spacing w:val="-2"/>
          <w:sz w:val="21"/>
        </w:rPr>
        <w:t>XXX</w:t>
      </w:r>
      <w:r>
        <w:rPr>
          <w:rFonts w:ascii="Times New Roman" w:eastAsia="Times New Roman"/>
          <w:spacing w:val="25"/>
          <w:sz w:val="21"/>
        </w:rPr>
        <w:t xml:space="preserve"> </w:t>
      </w:r>
      <w:r>
        <w:rPr>
          <w:spacing w:val="-6"/>
          <w:sz w:val="21"/>
        </w:rPr>
        <w:t xml:space="preserve">小时内完成维修或更换，并承担修理调换的费用；如货物经乙方 </w:t>
      </w:r>
      <w:r>
        <w:rPr>
          <w:rFonts w:ascii="Times New Roman" w:eastAsia="Times New Roman"/>
          <w:spacing w:val="-3"/>
          <w:sz w:val="21"/>
        </w:rPr>
        <w:t>XXX</w:t>
      </w:r>
      <w:r>
        <w:rPr>
          <w:rFonts w:ascii="Times New Roman" w:eastAsia="Times New Roman"/>
          <w:spacing w:val="25"/>
          <w:sz w:val="21"/>
        </w:rPr>
        <w:t xml:space="preserve"> </w:t>
      </w:r>
      <w:r>
        <w:rPr>
          <w:spacing w:val="-3"/>
          <w:sz w:val="21"/>
        </w:rPr>
        <w:t>次维修仍不能达到</w:t>
      </w:r>
      <w:r>
        <w:rPr>
          <w:spacing w:val="-5"/>
          <w:sz w:val="21"/>
        </w:rPr>
        <w:t>本合同约定的质量标准，视作乙方未能按时交货，甲方有权退货并追究乙方的违约责任。货到现场后由于甲方保管不当造成的问题，乙方亦应负责修复，但费用由甲方负担乙方应当指派专人负责与甲方联系售后服务事宜。</w:t>
      </w:r>
    </w:p>
    <w:p>
      <w:pPr>
        <w:pStyle w:val="2"/>
        <w:spacing w:before="9"/>
        <w:rPr>
          <w:sz w:val="27"/>
        </w:rPr>
      </w:pPr>
    </w:p>
    <w:p>
      <w:pPr>
        <w:pStyle w:val="288"/>
        <w:numPr>
          <w:ilvl w:val="0"/>
          <w:numId w:val="48"/>
        </w:numPr>
        <w:tabs>
          <w:tab w:val="left" w:pos="902"/>
        </w:tabs>
        <w:spacing w:before="43" w:after="0" w:line="278" w:lineRule="auto"/>
        <w:ind w:left="319" w:right="742" w:firstLine="422"/>
        <w:jc w:val="both"/>
        <w:rPr>
          <w:spacing w:val="-5"/>
          <w:sz w:val="21"/>
          <w:lang w:val="zh-CN" w:eastAsia="zh-CN"/>
        </w:rPr>
      </w:pPr>
      <w:r>
        <w:t>七、违约责任</w:t>
      </w:r>
      <w:r>
        <w:rPr>
          <w:sz w:val="24"/>
        </w:rPr>
        <w:br w:type="textWrapping"/>
      </w:r>
      <w:r>
        <w:rPr>
          <w:rFonts w:ascii="宋体" w:hAnsi="宋体" w:eastAsia="宋体" w:cs="宋体"/>
          <w:spacing w:val="-5"/>
          <w:kern w:val="2"/>
          <w:sz w:val="21"/>
          <w:szCs w:val="22"/>
          <w:lang w:val="zh-CN" w:eastAsia="zh-CN" w:bidi="zh-CN"/>
        </w:rPr>
        <w:t>1.</w:t>
      </w:r>
      <w:r>
        <w:rPr>
          <w:spacing w:val="-5"/>
          <w:sz w:val="21"/>
          <w:lang w:val="zh-CN" w:eastAsia="zh-CN"/>
        </w:rPr>
        <w:t>甲方违约责任</w:t>
      </w:r>
      <w:r>
        <w:rPr>
          <w:spacing w:val="-5"/>
          <w:sz w:val="21"/>
          <w:lang w:val="zh-CN" w:eastAsia="zh-CN"/>
        </w:rPr>
        <w:br w:type="textWrapping"/>
      </w:r>
      <w:r>
        <w:rPr>
          <w:spacing w:val="-5"/>
          <w:sz w:val="21"/>
          <w:lang w:val="zh-CN" w:eastAsia="zh-CN"/>
        </w:rPr>
        <w:t>（1）甲方无正当理由拒收货物的，甲方应偿付合同总价百分之五的违约金；</w:t>
      </w:r>
      <w:r>
        <w:rPr>
          <w:spacing w:val="-5"/>
          <w:sz w:val="21"/>
          <w:lang w:val="zh-CN" w:eastAsia="zh-CN"/>
        </w:rPr>
        <w:br w:type="textWrapping"/>
      </w:r>
      <w:r>
        <w:rPr>
          <w:spacing w:val="-5"/>
          <w:sz w:val="21"/>
          <w:lang w:val="zh-CN" w:eastAsia="zh-CN"/>
        </w:rPr>
        <w:t>（2）甲方逾期支付货款的，除应及时付足货款外，应向乙方偿付欠款总额万分之五/天的违约金；逾期付款超过六十 天的，乙方有权终止合同；</w:t>
      </w:r>
      <w:r>
        <w:rPr>
          <w:spacing w:val="-5"/>
          <w:sz w:val="21"/>
          <w:lang w:val="zh-CN" w:eastAsia="zh-CN"/>
        </w:rPr>
        <w:br w:type="textWrapping"/>
      </w:r>
      <w:r>
        <w:rPr>
          <w:spacing w:val="-5"/>
          <w:sz w:val="21"/>
          <w:lang w:val="zh-CN" w:eastAsia="zh-CN"/>
        </w:rPr>
        <w:t>（3）甲方偿付的违约金不足以弥补乙方损失的，还应按乙方损失尚未弥补的部分，支付赔偿金给乙方。</w:t>
      </w:r>
      <w:r>
        <w:rPr>
          <w:spacing w:val="-5"/>
          <w:sz w:val="21"/>
          <w:lang w:val="zh-CN" w:eastAsia="zh-CN"/>
        </w:rPr>
        <w:br w:type="textWrapping"/>
      </w:r>
      <w:r>
        <w:rPr>
          <w:spacing w:val="-5"/>
          <w:sz w:val="21"/>
          <w:lang w:val="zh-CN" w:eastAsia="zh-CN"/>
        </w:rPr>
        <w:t>2.乙方违约责任</w:t>
      </w:r>
      <w:r>
        <w:rPr>
          <w:spacing w:val="-5"/>
          <w:sz w:val="21"/>
          <w:lang w:val="zh-CN" w:eastAsia="zh-CN"/>
        </w:rPr>
        <w:br w:type="textWrapping"/>
      </w:r>
      <w:r>
        <w:rPr>
          <w:spacing w:val="-5"/>
          <w:sz w:val="21"/>
          <w:lang w:val="zh-CN" w:eastAsia="zh-CN"/>
        </w:rPr>
        <w:t>(1)乙方交付的货物质量不符合合同规定的，乙方应向甲方支付合同总价的百分之五 的违约金，并应当在合同规定的交货时间内更换合格的货物给甲方，否则，视作乙方不能交付货物而违约，按本条本款下述第“（2）”项规定由乙方偿付违约赔偿金给甲方。</w:t>
      </w:r>
      <w:r>
        <w:rPr>
          <w:spacing w:val="-5"/>
          <w:sz w:val="21"/>
          <w:lang w:val="zh-CN" w:eastAsia="zh-CN"/>
        </w:rPr>
        <w:br w:type="textWrapping"/>
      </w:r>
      <w:r>
        <w:rPr>
          <w:spacing w:val="-5"/>
          <w:sz w:val="21"/>
          <w:lang w:val="zh-CN" w:eastAsia="zh-CN"/>
        </w:rPr>
        <w:t>(2)乙方不能交付货物或逾期交付货物而违约的，除应及时交足货物外，应向甲方偿付逾期交货部分货款总额的万分之 五 /天的违约金；逾期交货超过 三十 天，甲方有权终止合同，乙方则应按合同总价的百分之十 的款额向甲方偿付赔偿金，并应当全额退还甲方已经付给乙方的货款及其利息。</w:t>
      </w:r>
      <w:r>
        <w:rPr>
          <w:spacing w:val="-5"/>
          <w:sz w:val="21"/>
          <w:lang w:val="zh-CN" w:eastAsia="zh-CN"/>
        </w:rPr>
        <w:br w:type="textWrapping"/>
      </w:r>
      <w:r>
        <w:rPr>
          <w:spacing w:val="-5"/>
          <w:sz w:val="21"/>
          <w:lang w:val="zh-CN" w:eastAsia="zh-CN"/>
        </w:rPr>
        <w:t>(3)乙方货物经甲方送交具有法定资格条件的质量技术监督机构检测后，如检测结果认定货 物质量不符合本合同规定标准的，则视为乙方没有按时交货而违约，乙方应当在 五 天内无条件更换合格的货物，如逾期不能更换合格的货物，甲方有权终止本合同，乙方应另付合同总价的百分之十的赔偿金给甲方。</w:t>
      </w:r>
      <w:r>
        <w:rPr>
          <w:spacing w:val="-5"/>
          <w:sz w:val="21"/>
          <w:lang w:val="zh-CN" w:eastAsia="zh-CN"/>
        </w:rPr>
        <w:br w:type="textWrapping"/>
      </w:r>
      <w:r>
        <w:rPr>
          <w:spacing w:val="-5"/>
          <w:sz w:val="21"/>
          <w:lang w:val="zh-CN" w:eastAsia="zh-CN"/>
        </w:rPr>
        <w:t>(4)乙方保证本合同货物的权利无瑕疵，包括货物所有权及知识产权等权利无瑕疵。如任何第三方经法院（或仲裁机构）裁决有权对上述货物主张权利或国家机关依法对货物进行没收查处的， 乙方除应向甲方返还已收款项外，还应另按合同总价的百分之十 向甲方支付违约金。</w:t>
      </w:r>
      <w:r>
        <w:rPr>
          <w:spacing w:val="-5"/>
          <w:sz w:val="21"/>
          <w:lang w:val="zh-CN" w:eastAsia="zh-CN"/>
        </w:rPr>
        <w:br w:type="textWrapping"/>
      </w:r>
      <w:r>
        <w:rPr>
          <w:spacing w:val="-5"/>
          <w:sz w:val="21"/>
          <w:lang w:val="zh-CN" w:eastAsia="zh-CN"/>
        </w:rPr>
        <w:t>(5)乙方偿付的违约金不足以弥补甲方损失的，还应按甲方损失尚未弥补的部分，支付赔偿金给甲方。</w:t>
      </w:r>
    </w:p>
    <w:p>
      <w:pPr>
        <w:pStyle w:val="288"/>
        <w:numPr>
          <w:ilvl w:val="0"/>
          <w:numId w:val="48"/>
        </w:numPr>
        <w:tabs>
          <w:tab w:val="left" w:pos="902"/>
        </w:tabs>
        <w:spacing w:before="43" w:after="0" w:line="278" w:lineRule="auto"/>
        <w:ind w:left="319" w:right="742" w:firstLine="422"/>
        <w:jc w:val="both"/>
        <w:rPr>
          <w:spacing w:val="-5"/>
          <w:sz w:val="21"/>
        </w:rPr>
      </w:pPr>
      <w:r>
        <w:rPr>
          <w:spacing w:val="-5"/>
          <w:sz w:val="21"/>
        </w:rPr>
        <w:t>八、争议解决办法</w:t>
      </w:r>
    </w:p>
    <w:p>
      <w:pPr>
        <w:pStyle w:val="288"/>
        <w:numPr>
          <w:ilvl w:val="0"/>
          <w:numId w:val="48"/>
        </w:numPr>
        <w:tabs>
          <w:tab w:val="left" w:pos="902"/>
        </w:tabs>
        <w:spacing w:before="43" w:after="0" w:line="278" w:lineRule="auto"/>
        <w:ind w:left="319" w:right="742" w:firstLine="422"/>
        <w:jc w:val="both"/>
        <w:rPr>
          <w:spacing w:val="-5"/>
          <w:sz w:val="21"/>
        </w:rPr>
      </w:pPr>
      <w:r>
        <w:rPr>
          <w:spacing w:val="-5"/>
          <w:sz w:val="21"/>
        </w:rPr>
        <w:t>因货物的质量问题发生争议，由质量技术监督部门或其指定的质量鉴定机构进行质量鉴定。货物符合标准的，鉴定费由甲方承担；货物不符合质量标准的，鉴定费由乙方承担。</w:t>
      </w:r>
    </w:p>
    <w:p>
      <w:pPr>
        <w:pStyle w:val="288"/>
        <w:numPr>
          <w:ilvl w:val="0"/>
          <w:numId w:val="48"/>
        </w:numPr>
        <w:tabs>
          <w:tab w:val="left" w:pos="902"/>
        </w:tabs>
        <w:spacing w:before="43" w:after="0" w:line="278" w:lineRule="auto"/>
        <w:ind w:left="319" w:right="742" w:firstLine="422"/>
        <w:jc w:val="both"/>
        <w:rPr>
          <w:spacing w:val="-5"/>
          <w:sz w:val="21"/>
        </w:rPr>
      </w:pPr>
      <w:r>
        <w:rPr>
          <w:spacing w:val="-5"/>
          <w:sz w:val="21"/>
        </w:rPr>
        <w:t>合同履行期间，若双方发生争议，可协商或由有关部门调解解决，协商或调解不成的，由当事人依法维护其合法权益。</w:t>
      </w:r>
    </w:p>
    <w:p>
      <w:pPr>
        <w:pStyle w:val="288"/>
        <w:numPr>
          <w:ilvl w:val="0"/>
          <w:numId w:val="48"/>
        </w:numPr>
        <w:tabs>
          <w:tab w:val="left" w:pos="902"/>
        </w:tabs>
        <w:spacing w:before="43" w:after="0" w:line="278" w:lineRule="auto"/>
        <w:ind w:left="319" w:right="742" w:firstLine="422"/>
        <w:jc w:val="both"/>
        <w:rPr>
          <w:spacing w:val="-5"/>
          <w:sz w:val="21"/>
        </w:rPr>
      </w:pPr>
    </w:p>
    <w:p>
      <w:pPr>
        <w:bidi w:val="0"/>
      </w:pPr>
      <w:r>
        <w:t>九、其他</w:t>
      </w:r>
    </w:p>
    <w:p>
      <w:pPr>
        <w:pStyle w:val="288"/>
        <w:numPr>
          <w:ilvl w:val="0"/>
          <w:numId w:val="49"/>
        </w:numPr>
        <w:tabs>
          <w:tab w:val="left" w:pos="902"/>
        </w:tabs>
        <w:spacing w:before="43" w:after="0" w:line="240" w:lineRule="auto"/>
        <w:ind w:left="902" w:right="0" w:hanging="160"/>
        <w:jc w:val="left"/>
        <w:rPr>
          <w:sz w:val="21"/>
        </w:rPr>
      </w:pPr>
      <w:r>
        <w:rPr>
          <w:spacing w:val="-4"/>
          <w:sz w:val="21"/>
        </w:rPr>
        <w:t>如有未尽事宜，由双方依法订立补充合同。</w:t>
      </w:r>
    </w:p>
    <w:p>
      <w:pPr>
        <w:pStyle w:val="288"/>
        <w:numPr>
          <w:ilvl w:val="0"/>
          <w:numId w:val="49"/>
        </w:numPr>
        <w:tabs>
          <w:tab w:val="left" w:pos="902"/>
        </w:tabs>
        <w:spacing w:before="43" w:after="0" w:line="240" w:lineRule="auto"/>
        <w:ind w:left="902" w:right="0" w:hanging="160"/>
        <w:jc w:val="left"/>
        <w:rPr>
          <w:sz w:val="21"/>
        </w:rPr>
      </w:pPr>
      <w:r>
        <w:rPr>
          <w:spacing w:val="-2"/>
          <w:sz w:val="21"/>
        </w:rPr>
        <w:t>本合同双方应加盖骑缝章。</w:t>
      </w:r>
    </w:p>
    <w:p>
      <w:pPr>
        <w:pStyle w:val="288"/>
        <w:numPr>
          <w:ilvl w:val="0"/>
          <w:numId w:val="49"/>
        </w:numPr>
        <w:tabs>
          <w:tab w:val="left" w:pos="902"/>
        </w:tabs>
        <w:spacing w:before="43" w:after="0" w:line="278" w:lineRule="auto"/>
        <w:ind w:left="319" w:right="755" w:firstLine="422"/>
        <w:jc w:val="left"/>
        <w:rPr>
          <w:sz w:val="21"/>
        </w:rPr>
      </w:pPr>
      <w:r>
        <w:rPr>
          <w:spacing w:val="-1"/>
          <w:sz w:val="21"/>
        </w:rPr>
        <w:t>本合同一式四份，自双方完成签字盖章之日起生效。甲方、乙方、政府采购管理部门、省采购中心机构各一份。</w:t>
      </w:r>
    </w:p>
    <w:p>
      <w:pPr>
        <w:pStyle w:val="288"/>
        <w:numPr>
          <w:ilvl w:val="0"/>
          <w:numId w:val="49"/>
        </w:numPr>
        <w:tabs>
          <w:tab w:val="left" w:pos="902"/>
        </w:tabs>
        <w:spacing w:before="0" w:after="0" w:line="278" w:lineRule="auto"/>
        <w:ind w:left="319" w:right="744" w:firstLine="422"/>
        <w:jc w:val="left"/>
        <w:rPr>
          <w:sz w:val="21"/>
        </w:rPr>
      </w:pPr>
      <w:r>
        <w:rPr>
          <w:spacing w:val="-2"/>
          <w:sz w:val="21"/>
        </w:rPr>
        <w:t xml:space="preserve">采购人应当自本合同签订之日起 </w:t>
      </w:r>
      <w:r>
        <w:rPr>
          <w:rFonts w:ascii="Times New Roman" w:eastAsia="Times New Roman"/>
          <w:sz w:val="21"/>
        </w:rPr>
        <w:t>2</w:t>
      </w:r>
      <w:r>
        <w:rPr>
          <w:rFonts w:ascii="Times New Roman" w:eastAsia="Times New Roman"/>
          <w:spacing w:val="17"/>
          <w:sz w:val="21"/>
        </w:rPr>
        <w:t xml:space="preserve"> </w:t>
      </w:r>
      <w:r>
        <w:rPr>
          <w:spacing w:val="-6"/>
          <w:sz w:val="21"/>
        </w:rPr>
        <w:t>个工作日内，在四川政府采购网公告本合同，但合同中涉</w:t>
      </w:r>
      <w:r>
        <w:rPr>
          <w:spacing w:val="-3"/>
          <w:sz w:val="21"/>
        </w:rPr>
        <w:t>及国家秘密、商业秘密的内容除外。</w:t>
      </w:r>
    </w:p>
    <w:p>
      <w:pPr>
        <w:pStyle w:val="288"/>
        <w:numPr>
          <w:ilvl w:val="0"/>
          <w:numId w:val="49"/>
        </w:numPr>
        <w:tabs>
          <w:tab w:val="left" w:pos="902"/>
        </w:tabs>
        <w:spacing w:before="0" w:after="0" w:line="269" w:lineRule="exact"/>
        <w:ind w:left="902" w:right="0" w:hanging="160"/>
        <w:jc w:val="left"/>
        <w:rPr>
          <w:sz w:val="21"/>
        </w:rPr>
      </w:pPr>
      <w:r>
        <w:rPr>
          <w:spacing w:val="-7"/>
          <w:sz w:val="21"/>
        </w:rPr>
        <w:t xml:space="preserve">采购人应当自本合同签订之日起 </w:t>
      </w:r>
      <w:r>
        <w:rPr>
          <w:rFonts w:ascii="Times New Roman" w:eastAsia="Times New Roman"/>
          <w:sz w:val="21"/>
        </w:rPr>
        <w:t>7</w:t>
      </w:r>
      <w:r>
        <w:rPr>
          <w:rFonts w:ascii="Times New Roman" w:eastAsia="Times New Roman"/>
          <w:spacing w:val="1"/>
          <w:sz w:val="21"/>
        </w:rPr>
        <w:t xml:space="preserve"> </w:t>
      </w:r>
      <w:r>
        <w:rPr>
          <w:spacing w:val="-5"/>
          <w:sz w:val="21"/>
        </w:rPr>
        <w:t>个工作日内，将本合同报财政厅备案。</w:t>
      </w:r>
    </w:p>
    <w:p>
      <w:pPr>
        <w:spacing w:after="0" w:line="269" w:lineRule="exact"/>
        <w:jc w:val="left"/>
        <w:rPr>
          <w:sz w:val="21"/>
        </w:rPr>
        <w:sectPr>
          <w:pgSz w:w="11910" w:h="16840"/>
          <w:pgMar w:top="1380" w:right="380" w:bottom="1440" w:left="1380" w:header="0" w:footer="1174" w:gutter="0"/>
          <w:cols w:space="720" w:num="1"/>
        </w:sectPr>
      </w:pPr>
    </w:p>
    <w:tbl>
      <w:tblPr>
        <w:tblStyle w:val="41"/>
        <w:tblW w:w="8472" w:type="dxa"/>
        <w:tblInd w:w="12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236"/>
        <w:gridCol w:w="4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28" w:hRule="atLeast"/>
        </w:trPr>
        <w:tc>
          <w:tcPr>
            <w:tcW w:w="4236" w:type="dxa"/>
          </w:tcPr>
          <w:p>
            <w:pPr>
              <w:pStyle w:val="287"/>
              <w:spacing w:line="231" w:lineRule="exact"/>
              <w:ind w:left="200"/>
              <w:rPr>
                <w:sz w:val="21"/>
              </w:rPr>
            </w:pPr>
            <w:r>
              <w:rPr>
                <w:sz w:val="21"/>
              </w:rPr>
              <w:t>甲方：</w:t>
            </w:r>
          </w:p>
          <w:p>
            <w:pPr>
              <w:pStyle w:val="287"/>
              <w:spacing w:before="9"/>
              <w:rPr>
                <w:sz w:val="27"/>
              </w:rPr>
            </w:pPr>
          </w:p>
          <w:p>
            <w:pPr>
              <w:pStyle w:val="287"/>
              <w:ind w:left="1991"/>
              <w:rPr>
                <w:sz w:val="21"/>
              </w:rPr>
            </w:pPr>
            <w:r>
              <w:rPr>
                <w:sz w:val="21"/>
              </w:rPr>
              <w:t>（公章）</w:t>
            </w:r>
          </w:p>
        </w:tc>
        <w:tc>
          <w:tcPr>
            <w:tcW w:w="4236" w:type="dxa"/>
          </w:tcPr>
          <w:p>
            <w:pPr>
              <w:pStyle w:val="287"/>
              <w:spacing w:line="231" w:lineRule="exact"/>
              <w:ind w:left="612"/>
              <w:rPr>
                <w:sz w:val="21"/>
              </w:rPr>
            </w:pPr>
            <w:r>
              <w:rPr>
                <w:sz w:val="21"/>
              </w:rPr>
              <w:t>乙方：</w:t>
            </w:r>
          </w:p>
          <w:p>
            <w:pPr>
              <w:pStyle w:val="287"/>
              <w:spacing w:before="9"/>
              <w:rPr>
                <w:sz w:val="27"/>
              </w:rPr>
            </w:pPr>
          </w:p>
          <w:p>
            <w:pPr>
              <w:pStyle w:val="287"/>
              <w:ind w:left="2403"/>
              <w:rPr>
                <w:sz w:val="21"/>
              </w:rPr>
            </w:pPr>
            <w:r>
              <w:rPr>
                <w:sz w:val="21"/>
              </w:rPr>
              <w:t>（公章）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73" w:hRule="atLeast"/>
        </w:trPr>
        <w:tc>
          <w:tcPr>
            <w:tcW w:w="4236" w:type="dxa"/>
          </w:tcPr>
          <w:p>
            <w:pPr>
              <w:pStyle w:val="287"/>
              <w:rPr>
                <w:sz w:val="22"/>
              </w:rPr>
            </w:pPr>
          </w:p>
          <w:p>
            <w:pPr>
              <w:pStyle w:val="287"/>
              <w:spacing w:before="8"/>
              <w:rPr>
                <w:sz w:val="29"/>
              </w:rPr>
            </w:pPr>
          </w:p>
          <w:p>
            <w:pPr>
              <w:pStyle w:val="287"/>
              <w:ind w:left="200"/>
              <w:rPr>
                <w:sz w:val="21"/>
              </w:rPr>
            </w:pPr>
            <w:r>
              <w:rPr>
                <w:sz w:val="21"/>
              </w:rPr>
              <w:t>法定代表人</w:t>
            </w:r>
            <w:r>
              <w:rPr>
                <w:rFonts w:ascii="Times New Roman" w:eastAsia="Times New Roman"/>
                <w:sz w:val="21"/>
              </w:rPr>
              <w:t>/</w:t>
            </w:r>
            <w:r>
              <w:rPr>
                <w:sz w:val="21"/>
              </w:rPr>
              <w:t>负责人或其委托代理人：</w:t>
            </w:r>
          </w:p>
          <w:p>
            <w:pPr>
              <w:pStyle w:val="287"/>
              <w:spacing w:before="43"/>
              <w:ind w:left="1991"/>
              <w:rPr>
                <w:sz w:val="21"/>
              </w:rPr>
            </w:pPr>
            <w:r>
              <w:rPr>
                <w:sz w:val="21"/>
              </w:rPr>
              <w:t>（签字）</w:t>
            </w:r>
          </w:p>
        </w:tc>
        <w:tc>
          <w:tcPr>
            <w:tcW w:w="4236" w:type="dxa"/>
          </w:tcPr>
          <w:p>
            <w:pPr>
              <w:pStyle w:val="287"/>
              <w:rPr>
                <w:sz w:val="22"/>
              </w:rPr>
            </w:pPr>
          </w:p>
          <w:p>
            <w:pPr>
              <w:pStyle w:val="287"/>
              <w:spacing w:before="8"/>
              <w:rPr>
                <w:sz w:val="29"/>
              </w:rPr>
            </w:pPr>
          </w:p>
          <w:p>
            <w:pPr>
              <w:pStyle w:val="287"/>
              <w:ind w:left="612"/>
              <w:rPr>
                <w:sz w:val="21"/>
              </w:rPr>
            </w:pPr>
            <w:r>
              <w:rPr>
                <w:sz w:val="21"/>
              </w:rPr>
              <w:t>法定代表人</w:t>
            </w:r>
            <w:r>
              <w:rPr>
                <w:rFonts w:ascii="Times New Roman" w:eastAsia="Times New Roman"/>
                <w:sz w:val="21"/>
              </w:rPr>
              <w:t>/</w:t>
            </w:r>
            <w:r>
              <w:rPr>
                <w:sz w:val="21"/>
              </w:rPr>
              <w:t>负责人或其委托代理人：</w:t>
            </w:r>
          </w:p>
          <w:p>
            <w:pPr>
              <w:pStyle w:val="287"/>
              <w:spacing w:before="43"/>
              <w:ind w:left="2403"/>
              <w:rPr>
                <w:sz w:val="21"/>
              </w:rPr>
            </w:pPr>
            <w:r>
              <w:rPr>
                <w:sz w:val="21"/>
              </w:rPr>
              <w:t>（签字）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4236" w:type="dxa"/>
          </w:tcPr>
          <w:p>
            <w:pPr>
              <w:pStyle w:val="287"/>
              <w:spacing w:before="13"/>
              <w:ind w:left="200"/>
              <w:rPr>
                <w:sz w:val="21"/>
              </w:rPr>
            </w:pPr>
            <w:r>
              <w:rPr>
                <w:sz w:val="21"/>
              </w:rPr>
              <w:t>统一社会信用代码编号：</w:t>
            </w:r>
          </w:p>
        </w:tc>
        <w:tc>
          <w:tcPr>
            <w:tcW w:w="4236" w:type="dxa"/>
          </w:tcPr>
          <w:p>
            <w:pPr>
              <w:pStyle w:val="287"/>
              <w:spacing w:before="13"/>
              <w:ind w:left="612"/>
              <w:rPr>
                <w:sz w:val="21"/>
              </w:rPr>
            </w:pPr>
            <w:r>
              <w:rPr>
                <w:sz w:val="21"/>
              </w:rPr>
              <w:t>统一社会信用代码编号：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4236" w:type="dxa"/>
          </w:tcPr>
          <w:p>
            <w:pPr>
              <w:pStyle w:val="287"/>
              <w:spacing w:before="13"/>
              <w:ind w:left="200"/>
              <w:rPr>
                <w:sz w:val="21"/>
              </w:rPr>
            </w:pPr>
            <w:r>
              <w:rPr>
                <w:sz w:val="21"/>
              </w:rPr>
              <w:t>邮政编码：</w:t>
            </w:r>
          </w:p>
        </w:tc>
        <w:tc>
          <w:tcPr>
            <w:tcW w:w="4236" w:type="dxa"/>
          </w:tcPr>
          <w:p>
            <w:pPr>
              <w:pStyle w:val="287"/>
              <w:spacing w:before="13"/>
              <w:ind w:left="612"/>
              <w:rPr>
                <w:sz w:val="21"/>
              </w:rPr>
            </w:pPr>
            <w:r>
              <w:rPr>
                <w:sz w:val="21"/>
              </w:rPr>
              <w:t>邮政编码：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4236" w:type="dxa"/>
          </w:tcPr>
          <w:p>
            <w:pPr>
              <w:pStyle w:val="287"/>
              <w:spacing w:before="12"/>
              <w:ind w:left="200"/>
              <w:rPr>
                <w:sz w:val="21"/>
              </w:rPr>
            </w:pPr>
            <w:r>
              <w:rPr>
                <w:sz w:val="21"/>
              </w:rPr>
              <w:t>法定代表人姓名：</w:t>
            </w:r>
          </w:p>
        </w:tc>
        <w:tc>
          <w:tcPr>
            <w:tcW w:w="4236" w:type="dxa"/>
          </w:tcPr>
          <w:p>
            <w:pPr>
              <w:pStyle w:val="287"/>
              <w:spacing w:before="12"/>
              <w:ind w:left="612"/>
              <w:rPr>
                <w:sz w:val="21"/>
              </w:rPr>
            </w:pPr>
            <w:r>
              <w:rPr>
                <w:sz w:val="21"/>
              </w:rPr>
              <w:t>法定代表人姓名：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4236" w:type="dxa"/>
          </w:tcPr>
          <w:p>
            <w:pPr>
              <w:pStyle w:val="287"/>
              <w:spacing w:before="13"/>
              <w:ind w:left="200"/>
              <w:rPr>
                <w:sz w:val="21"/>
              </w:rPr>
            </w:pPr>
            <w:r>
              <w:rPr>
                <w:sz w:val="21"/>
              </w:rPr>
              <w:t>委托代理人姓名：</w:t>
            </w:r>
          </w:p>
        </w:tc>
        <w:tc>
          <w:tcPr>
            <w:tcW w:w="4236" w:type="dxa"/>
          </w:tcPr>
          <w:p>
            <w:pPr>
              <w:pStyle w:val="287"/>
              <w:spacing w:before="13"/>
              <w:ind w:left="612"/>
              <w:rPr>
                <w:sz w:val="21"/>
              </w:rPr>
            </w:pPr>
            <w:r>
              <w:rPr>
                <w:sz w:val="21"/>
              </w:rPr>
              <w:t>委托代理人姓名：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4236" w:type="dxa"/>
          </w:tcPr>
          <w:p>
            <w:pPr>
              <w:pStyle w:val="287"/>
              <w:spacing w:before="13"/>
              <w:ind w:left="200"/>
              <w:rPr>
                <w:sz w:val="21"/>
              </w:rPr>
            </w:pPr>
            <w:r>
              <w:rPr>
                <w:sz w:val="21"/>
              </w:rPr>
              <w:t>联系电话：</w:t>
            </w:r>
          </w:p>
        </w:tc>
        <w:tc>
          <w:tcPr>
            <w:tcW w:w="4236" w:type="dxa"/>
          </w:tcPr>
          <w:p>
            <w:pPr>
              <w:pStyle w:val="287"/>
              <w:spacing w:before="13"/>
              <w:ind w:left="612"/>
              <w:rPr>
                <w:sz w:val="21"/>
              </w:rPr>
            </w:pPr>
            <w:r>
              <w:rPr>
                <w:sz w:val="21"/>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4236" w:type="dxa"/>
          </w:tcPr>
          <w:p>
            <w:pPr>
              <w:pStyle w:val="287"/>
              <w:spacing w:before="12"/>
              <w:ind w:left="200"/>
              <w:rPr>
                <w:sz w:val="21"/>
              </w:rPr>
            </w:pPr>
            <w:r>
              <w:rPr>
                <w:sz w:val="21"/>
              </w:rPr>
              <w:t>传真：</w:t>
            </w:r>
          </w:p>
        </w:tc>
        <w:tc>
          <w:tcPr>
            <w:tcW w:w="4236" w:type="dxa"/>
          </w:tcPr>
          <w:p>
            <w:pPr>
              <w:pStyle w:val="287"/>
              <w:spacing w:before="12"/>
              <w:ind w:left="612"/>
              <w:rPr>
                <w:sz w:val="21"/>
              </w:rPr>
            </w:pPr>
            <w:r>
              <w:rPr>
                <w:sz w:val="21"/>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4236" w:type="dxa"/>
          </w:tcPr>
          <w:p>
            <w:pPr>
              <w:pStyle w:val="287"/>
              <w:spacing w:before="13"/>
              <w:ind w:left="200"/>
              <w:rPr>
                <w:sz w:val="21"/>
              </w:rPr>
            </w:pPr>
            <w:r>
              <w:rPr>
                <w:sz w:val="21"/>
              </w:rPr>
              <w:t>电子信箱：</w:t>
            </w:r>
          </w:p>
        </w:tc>
        <w:tc>
          <w:tcPr>
            <w:tcW w:w="4236" w:type="dxa"/>
          </w:tcPr>
          <w:p>
            <w:pPr>
              <w:pStyle w:val="287"/>
              <w:spacing w:before="13"/>
              <w:ind w:left="612"/>
              <w:rPr>
                <w:sz w:val="21"/>
              </w:rPr>
            </w:pPr>
            <w:r>
              <w:rPr>
                <w:sz w:val="21"/>
              </w:rPr>
              <w:t>电子信箱：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4236" w:type="dxa"/>
          </w:tcPr>
          <w:p>
            <w:pPr>
              <w:pStyle w:val="287"/>
              <w:spacing w:before="12"/>
              <w:ind w:left="200"/>
              <w:rPr>
                <w:sz w:val="21"/>
              </w:rPr>
            </w:pPr>
            <w:r>
              <w:rPr>
                <w:sz w:val="21"/>
              </w:rPr>
              <w:t>开户银行：</w:t>
            </w:r>
          </w:p>
        </w:tc>
        <w:tc>
          <w:tcPr>
            <w:tcW w:w="4236" w:type="dxa"/>
          </w:tcPr>
          <w:p>
            <w:pPr>
              <w:pStyle w:val="287"/>
              <w:spacing w:before="12"/>
              <w:ind w:left="612"/>
              <w:rPr>
                <w:sz w:val="21"/>
              </w:rPr>
            </w:pPr>
            <w:r>
              <w:rPr>
                <w:sz w:val="21"/>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1" w:hRule="atLeast"/>
        </w:trPr>
        <w:tc>
          <w:tcPr>
            <w:tcW w:w="4236" w:type="dxa"/>
          </w:tcPr>
          <w:p>
            <w:pPr>
              <w:pStyle w:val="287"/>
              <w:spacing w:before="12" w:line="229" w:lineRule="exact"/>
              <w:ind w:left="200"/>
              <w:rPr>
                <w:sz w:val="21"/>
              </w:rPr>
            </w:pPr>
            <w:r>
              <w:rPr>
                <w:sz w:val="21"/>
              </w:rPr>
              <w:t>账号：</w:t>
            </w:r>
          </w:p>
        </w:tc>
        <w:tc>
          <w:tcPr>
            <w:tcW w:w="4236" w:type="dxa"/>
          </w:tcPr>
          <w:p>
            <w:pPr>
              <w:pStyle w:val="287"/>
              <w:spacing w:before="12" w:line="229" w:lineRule="exact"/>
              <w:ind w:left="612"/>
              <w:rPr>
                <w:sz w:val="21"/>
              </w:rPr>
            </w:pPr>
            <w:r>
              <w:rPr>
                <w:sz w:val="21"/>
              </w:rPr>
              <w:t>账号：</w:t>
            </w:r>
          </w:p>
        </w:tc>
      </w:tr>
    </w:tbl>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panose1 w:val="020B0606020202030204"/>
    <w:charset w:val="00"/>
    <w:family w:val="swiss"/>
    <w:pitch w:val="default"/>
    <w:sig w:usb0="00000287" w:usb1="00000800" w:usb2="00000000" w:usb3="00000000" w:csb0="2000009F" w:csb1="DFD7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Times New (W1)">
    <w:altName w:val="Times New Roman"/>
    <w:panose1 w:val="00000000000000000000"/>
    <w:charset w:val="00"/>
    <w:family w:val="roman"/>
    <w:pitch w:val="default"/>
    <w:sig w:usb0="00000000" w:usb1="00000000" w:usb2="00000000" w:usb3="00000000" w:csb0="00000000" w:csb1="00000000"/>
  </w:font>
  <w:font w:name="Arial (W1)">
    <w:altName w:val="Arial"/>
    <w:panose1 w:val="00000000000000000000"/>
    <w:charset w:val="00"/>
    <w:family w:val="swiss"/>
    <w:pitch w:val="default"/>
    <w:sig w:usb0="00000000" w:usb1="00000000" w:usb2="00000008" w:usb3="00000000" w:csb0="000001FF" w:csb1="00000000"/>
  </w:font>
  <w:font w:name="隶书">
    <w:panose1 w:val="02010509060101010101"/>
    <w:charset w:val="86"/>
    <w:family w:val="modern"/>
    <w:pitch w:val="default"/>
    <w:sig w:usb0="00000001" w:usb1="080E0000" w:usb2="0000000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6850672"/>
    </w:sdtPr>
    <w:sdtEndPr>
      <w:rPr>
        <w:sz w:val="24"/>
        <w:szCs w:val="24"/>
      </w:rPr>
    </w:sdtEndPr>
    <w:sdtContent>
      <w:p>
        <w:pPr>
          <w:pStyle w:val="28"/>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3</w:t>
        </w:r>
        <w:r>
          <w:rPr>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3261384"/>
    </w:sdtPr>
    <w:sdtContent>
      <w:p>
        <w:pPr>
          <w:pStyle w:val="28"/>
          <w:ind w:firstLine="420"/>
          <w:jc w:val="center"/>
        </w:pPr>
        <w:r>
          <w:fldChar w:fldCharType="begin"/>
        </w:r>
        <w:r>
          <w:instrText xml:space="preserve">PAGE   \* MERGEFORMAT</w:instrText>
        </w:r>
        <w:r>
          <w:fldChar w:fldCharType="separate"/>
        </w:r>
        <w:r>
          <w:rPr>
            <w:lang w:val="zh-CN"/>
          </w:rPr>
          <w:t>51</w:t>
        </w:r>
        <w:r>
          <w:rPr>
            <w:lang w:val="zh-CN"/>
          </w:rPr>
          <w:fldChar w:fldCharType="end"/>
        </w:r>
      </w:p>
    </w:sdtContent>
  </w:sdt>
  <w:p>
    <w:pPr>
      <w:pStyle w:val="2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915F4F"/>
    <w:multiLevelType w:val="multilevel"/>
    <w:tmpl w:val="C0915F4F"/>
    <w:lvl w:ilvl="0" w:tentative="0">
      <w:start w:val="1"/>
      <w:numFmt w:val="decimal"/>
      <w:lvlText w:val="%1."/>
      <w:lvlJc w:val="left"/>
      <w:pPr>
        <w:ind w:left="319" w:hanging="160"/>
        <w:jc w:val="left"/>
      </w:pPr>
      <w:rPr>
        <w:rFonts w:hint="default" w:ascii="Times New Roman" w:hAnsi="Times New Roman" w:eastAsia="Times New Roman" w:cs="Times New Roman"/>
        <w:w w:val="100"/>
        <w:sz w:val="19"/>
        <w:szCs w:val="19"/>
        <w:lang w:val="zh-CN" w:eastAsia="zh-CN" w:bidi="zh-CN"/>
      </w:rPr>
    </w:lvl>
    <w:lvl w:ilvl="1" w:tentative="0">
      <w:start w:val="0"/>
      <w:numFmt w:val="bullet"/>
      <w:lvlText w:val="•"/>
      <w:lvlJc w:val="left"/>
      <w:pPr>
        <w:ind w:left="1302" w:hanging="160"/>
      </w:pPr>
      <w:rPr>
        <w:rFonts w:hint="default"/>
        <w:lang w:val="zh-CN" w:eastAsia="zh-CN" w:bidi="zh-CN"/>
      </w:rPr>
    </w:lvl>
    <w:lvl w:ilvl="2" w:tentative="0">
      <w:start w:val="0"/>
      <w:numFmt w:val="bullet"/>
      <w:lvlText w:val="•"/>
      <w:lvlJc w:val="left"/>
      <w:pPr>
        <w:ind w:left="2284" w:hanging="160"/>
      </w:pPr>
      <w:rPr>
        <w:rFonts w:hint="default"/>
        <w:lang w:val="zh-CN" w:eastAsia="zh-CN" w:bidi="zh-CN"/>
      </w:rPr>
    </w:lvl>
    <w:lvl w:ilvl="3" w:tentative="0">
      <w:start w:val="0"/>
      <w:numFmt w:val="bullet"/>
      <w:lvlText w:val="•"/>
      <w:lvlJc w:val="left"/>
      <w:pPr>
        <w:ind w:left="3267" w:hanging="160"/>
      </w:pPr>
      <w:rPr>
        <w:rFonts w:hint="default"/>
        <w:lang w:val="zh-CN" w:eastAsia="zh-CN" w:bidi="zh-CN"/>
      </w:rPr>
    </w:lvl>
    <w:lvl w:ilvl="4" w:tentative="0">
      <w:start w:val="0"/>
      <w:numFmt w:val="bullet"/>
      <w:lvlText w:val="•"/>
      <w:lvlJc w:val="left"/>
      <w:pPr>
        <w:ind w:left="4249" w:hanging="160"/>
      </w:pPr>
      <w:rPr>
        <w:rFonts w:hint="default"/>
        <w:lang w:val="zh-CN" w:eastAsia="zh-CN" w:bidi="zh-CN"/>
      </w:rPr>
    </w:lvl>
    <w:lvl w:ilvl="5" w:tentative="0">
      <w:start w:val="0"/>
      <w:numFmt w:val="bullet"/>
      <w:lvlText w:val="•"/>
      <w:lvlJc w:val="left"/>
      <w:pPr>
        <w:ind w:left="5232" w:hanging="160"/>
      </w:pPr>
      <w:rPr>
        <w:rFonts w:hint="default"/>
        <w:lang w:val="zh-CN" w:eastAsia="zh-CN" w:bidi="zh-CN"/>
      </w:rPr>
    </w:lvl>
    <w:lvl w:ilvl="6" w:tentative="0">
      <w:start w:val="0"/>
      <w:numFmt w:val="bullet"/>
      <w:lvlText w:val="•"/>
      <w:lvlJc w:val="left"/>
      <w:pPr>
        <w:ind w:left="6214" w:hanging="160"/>
      </w:pPr>
      <w:rPr>
        <w:rFonts w:hint="default"/>
        <w:lang w:val="zh-CN" w:eastAsia="zh-CN" w:bidi="zh-CN"/>
      </w:rPr>
    </w:lvl>
    <w:lvl w:ilvl="7" w:tentative="0">
      <w:start w:val="0"/>
      <w:numFmt w:val="bullet"/>
      <w:lvlText w:val="•"/>
      <w:lvlJc w:val="left"/>
      <w:pPr>
        <w:ind w:left="7196" w:hanging="160"/>
      </w:pPr>
      <w:rPr>
        <w:rFonts w:hint="default"/>
        <w:lang w:val="zh-CN" w:eastAsia="zh-CN" w:bidi="zh-CN"/>
      </w:rPr>
    </w:lvl>
    <w:lvl w:ilvl="8" w:tentative="0">
      <w:start w:val="0"/>
      <w:numFmt w:val="bullet"/>
      <w:lvlText w:val="•"/>
      <w:lvlJc w:val="left"/>
      <w:pPr>
        <w:ind w:left="8179" w:hanging="160"/>
      </w:pPr>
      <w:rPr>
        <w:rFonts w:hint="default"/>
        <w:lang w:val="zh-CN" w:eastAsia="zh-CN" w:bidi="zh-CN"/>
      </w:rPr>
    </w:lvl>
  </w:abstractNum>
  <w:abstractNum w:abstractNumId="1">
    <w:nsid w:val="F689643B"/>
    <w:multiLevelType w:val="multilevel"/>
    <w:tmpl w:val="F689643B"/>
    <w:lvl w:ilvl="0" w:tentative="0">
      <w:start w:val="1"/>
      <w:numFmt w:val="decimal"/>
      <w:lvlText w:val="%1."/>
      <w:lvlJc w:val="left"/>
      <w:pPr>
        <w:ind w:left="902" w:hanging="160"/>
        <w:jc w:val="left"/>
      </w:pPr>
      <w:rPr>
        <w:rFonts w:hint="default" w:ascii="Times New Roman" w:hAnsi="Times New Roman" w:eastAsia="Times New Roman" w:cs="Times New Roman"/>
        <w:w w:val="100"/>
        <w:sz w:val="19"/>
        <w:szCs w:val="19"/>
        <w:lang w:val="zh-CN" w:eastAsia="zh-CN" w:bidi="zh-CN"/>
      </w:rPr>
    </w:lvl>
    <w:lvl w:ilvl="1" w:tentative="0">
      <w:start w:val="0"/>
      <w:numFmt w:val="bullet"/>
      <w:lvlText w:val="•"/>
      <w:lvlJc w:val="left"/>
      <w:pPr>
        <w:ind w:left="1824" w:hanging="160"/>
      </w:pPr>
      <w:rPr>
        <w:rFonts w:hint="default"/>
        <w:lang w:val="zh-CN" w:eastAsia="zh-CN" w:bidi="zh-CN"/>
      </w:rPr>
    </w:lvl>
    <w:lvl w:ilvl="2" w:tentative="0">
      <w:start w:val="0"/>
      <w:numFmt w:val="bullet"/>
      <w:lvlText w:val="•"/>
      <w:lvlJc w:val="left"/>
      <w:pPr>
        <w:ind w:left="2748" w:hanging="160"/>
      </w:pPr>
      <w:rPr>
        <w:rFonts w:hint="default"/>
        <w:lang w:val="zh-CN" w:eastAsia="zh-CN" w:bidi="zh-CN"/>
      </w:rPr>
    </w:lvl>
    <w:lvl w:ilvl="3" w:tentative="0">
      <w:start w:val="0"/>
      <w:numFmt w:val="bullet"/>
      <w:lvlText w:val="•"/>
      <w:lvlJc w:val="left"/>
      <w:pPr>
        <w:ind w:left="3673" w:hanging="160"/>
      </w:pPr>
      <w:rPr>
        <w:rFonts w:hint="default"/>
        <w:lang w:val="zh-CN" w:eastAsia="zh-CN" w:bidi="zh-CN"/>
      </w:rPr>
    </w:lvl>
    <w:lvl w:ilvl="4" w:tentative="0">
      <w:start w:val="0"/>
      <w:numFmt w:val="bullet"/>
      <w:lvlText w:val="•"/>
      <w:lvlJc w:val="left"/>
      <w:pPr>
        <w:ind w:left="4597" w:hanging="160"/>
      </w:pPr>
      <w:rPr>
        <w:rFonts w:hint="default"/>
        <w:lang w:val="zh-CN" w:eastAsia="zh-CN" w:bidi="zh-CN"/>
      </w:rPr>
    </w:lvl>
    <w:lvl w:ilvl="5" w:tentative="0">
      <w:start w:val="0"/>
      <w:numFmt w:val="bullet"/>
      <w:lvlText w:val="•"/>
      <w:lvlJc w:val="left"/>
      <w:pPr>
        <w:ind w:left="5522" w:hanging="160"/>
      </w:pPr>
      <w:rPr>
        <w:rFonts w:hint="default"/>
        <w:lang w:val="zh-CN" w:eastAsia="zh-CN" w:bidi="zh-CN"/>
      </w:rPr>
    </w:lvl>
    <w:lvl w:ilvl="6" w:tentative="0">
      <w:start w:val="0"/>
      <w:numFmt w:val="bullet"/>
      <w:lvlText w:val="•"/>
      <w:lvlJc w:val="left"/>
      <w:pPr>
        <w:ind w:left="6446" w:hanging="160"/>
      </w:pPr>
      <w:rPr>
        <w:rFonts w:hint="default"/>
        <w:lang w:val="zh-CN" w:eastAsia="zh-CN" w:bidi="zh-CN"/>
      </w:rPr>
    </w:lvl>
    <w:lvl w:ilvl="7" w:tentative="0">
      <w:start w:val="0"/>
      <w:numFmt w:val="bullet"/>
      <w:lvlText w:val="•"/>
      <w:lvlJc w:val="left"/>
      <w:pPr>
        <w:ind w:left="7370" w:hanging="160"/>
      </w:pPr>
      <w:rPr>
        <w:rFonts w:hint="default"/>
        <w:lang w:val="zh-CN" w:eastAsia="zh-CN" w:bidi="zh-CN"/>
      </w:rPr>
    </w:lvl>
    <w:lvl w:ilvl="8" w:tentative="0">
      <w:start w:val="0"/>
      <w:numFmt w:val="bullet"/>
      <w:lvlText w:val="•"/>
      <w:lvlJc w:val="left"/>
      <w:pPr>
        <w:ind w:left="8295" w:hanging="160"/>
      </w:pPr>
      <w:rPr>
        <w:rFonts w:hint="default"/>
        <w:lang w:val="zh-CN" w:eastAsia="zh-CN" w:bidi="zh-CN"/>
      </w:rPr>
    </w:lvl>
  </w:abstractNum>
  <w:abstractNum w:abstractNumId="2">
    <w:nsid w:val="00000013"/>
    <w:multiLevelType w:val="multilevel"/>
    <w:tmpl w:val="00000013"/>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16"/>
    <w:multiLevelType w:val="multilevel"/>
    <w:tmpl w:val="00000016"/>
    <w:lvl w:ilvl="0" w:tentative="0">
      <w:start w:val="1"/>
      <w:numFmt w:val="decimal"/>
      <w:lvlText w:val="%1."/>
      <w:lvlJc w:val="left"/>
      <w:pPr>
        <w:tabs>
          <w:tab w:val="left" w:pos="704"/>
        </w:tabs>
        <w:ind w:left="704" w:hanging="420"/>
      </w:pPr>
    </w:lvl>
    <w:lvl w:ilvl="1" w:tentative="0">
      <w:start w:val="1"/>
      <w:numFmt w:val="lowerLetter"/>
      <w:pStyle w:val="92"/>
      <w:lvlText w:val="%2)"/>
      <w:lvlJc w:val="left"/>
      <w:pPr>
        <w:tabs>
          <w:tab w:val="left" w:pos="1124"/>
        </w:tabs>
        <w:ind w:left="1124" w:hanging="420"/>
      </w:pPr>
    </w:lvl>
    <w:lvl w:ilvl="2" w:tentative="0">
      <w:start w:val="1"/>
      <w:numFmt w:val="lowerRoman"/>
      <w:lvlText w:val="%3."/>
      <w:lvlJc w:val="right"/>
      <w:pPr>
        <w:tabs>
          <w:tab w:val="left" w:pos="1544"/>
        </w:tabs>
        <w:ind w:left="1544" w:hanging="420"/>
      </w:pPr>
    </w:lvl>
    <w:lvl w:ilvl="3" w:tentative="0">
      <w:start w:val="1"/>
      <w:numFmt w:val="decimal"/>
      <w:lvlText w:val="%4."/>
      <w:lvlJc w:val="left"/>
      <w:pPr>
        <w:tabs>
          <w:tab w:val="left" w:pos="1964"/>
        </w:tabs>
        <w:ind w:left="1964" w:hanging="420"/>
      </w:pPr>
    </w:lvl>
    <w:lvl w:ilvl="4" w:tentative="0">
      <w:start w:val="1"/>
      <w:numFmt w:val="lowerLetter"/>
      <w:lvlText w:val="%5)"/>
      <w:lvlJc w:val="left"/>
      <w:pPr>
        <w:tabs>
          <w:tab w:val="left" w:pos="2384"/>
        </w:tabs>
        <w:ind w:left="2384" w:hanging="420"/>
      </w:pPr>
    </w:lvl>
    <w:lvl w:ilvl="5" w:tentative="0">
      <w:start w:val="1"/>
      <w:numFmt w:val="lowerRoman"/>
      <w:lvlText w:val="%6."/>
      <w:lvlJc w:val="right"/>
      <w:pPr>
        <w:tabs>
          <w:tab w:val="left" w:pos="2804"/>
        </w:tabs>
        <w:ind w:left="2804" w:hanging="420"/>
      </w:pPr>
    </w:lvl>
    <w:lvl w:ilvl="6" w:tentative="0">
      <w:start w:val="1"/>
      <w:numFmt w:val="decimal"/>
      <w:lvlText w:val="%7."/>
      <w:lvlJc w:val="left"/>
      <w:pPr>
        <w:tabs>
          <w:tab w:val="left" w:pos="3224"/>
        </w:tabs>
        <w:ind w:left="3224" w:hanging="420"/>
      </w:pPr>
    </w:lvl>
    <w:lvl w:ilvl="7" w:tentative="0">
      <w:start w:val="1"/>
      <w:numFmt w:val="lowerLetter"/>
      <w:lvlText w:val="%8)"/>
      <w:lvlJc w:val="left"/>
      <w:pPr>
        <w:tabs>
          <w:tab w:val="left" w:pos="3644"/>
        </w:tabs>
        <w:ind w:left="3644" w:hanging="420"/>
      </w:pPr>
    </w:lvl>
    <w:lvl w:ilvl="8" w:tentative="0">
      <w:start w:val="1"/>
      <w:numFmt w:val="lowerRoman"/>
      <w:lvlText w:val="%9."/>
      <w:lvlJc w:val="right"/>
      <w:pPr>
        <w:tabs>
          <w:tab w:val="left" w:pos="4064"/>
        </w:tabs>
        <w:ind w:left="4064" w:hanging="420"/>
      </w:pPr>
    </w:lvl>
  </w:abstractNum>
  <w:abstractNum w:abstractNumId="4">
    <w:nsid w:val="00000017"/>
    <w:multiLevelType w:val="multilevel"/>
    <w:tmpl w:val="00000017"/>
    <w:lvl w:ilvl="0" w:tentative="0">
      <w:start w:val="1"/>
      <w:numFmt w:val="chineseCountingThousand"/>
      <w:lvlText w:val="%1、"/>
      <w:lvlJc w:val="left"/>
      <w:pPr>
        <w:ind w:left="113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00000022"/>
    <w:multiLevelType w:val="multilevel"/>
    <w:tmpl w:val="00000022"/>
    <w:lvl w:ilvl="0" w:tentative="0">
      <w:start w:val="1"/>
      <w:numFmt w:val="decimal"/>
      <w:lvlText w:val="第%1章"/>
      <w:lvlJc w:val="left"/>
      <w:pPr>
        <w:tabs>
          <w:tab w:val="left" w:pos="2630"/>
        </w:tabs>
        <w:ind w:left="2630" w:hanging="425"/>
      </w:pPr>
      <w:rPr>
        <w:rFonts w:hint="eastAsia" w:ascii="宋体" w:hAnsi="宋体" w:eastAsia="宋体" w:cs="Times New Roman"/>
        <w:i w:val="0"/>
        <w:iCs w:val="0"/>
        <w:caps w:val="0"/>
        <w:smallCaps w:val="0"/>
        <w:strike w:val="0"/>
        <w:dstrike w:val="0"/>
        <w:vanish w:val="0"/>
        <w:color w:val="000000"/>
        <w:spacing w:val="0"/>
        <w:kern w:val="0"/>
        <w:position w:val="0"/>
        <w:u w:val="none"/>
        <w:vertAlign w:val="baseline"/>
      </w:rPr>
    </w:lvl>
    <w:lvl w:ilvl="1" w:tentative="0">
      <w:start w:val="1"/>
      <w:numFmt w:val="decimal"/>
      <w:suff w:val="space"/>
      <w:lvlText w:val="%1.%2."/>
      <w:lvlJc w:val="left"/>
      <w:pPr>
        <w:ind w:left="4538" w:hanging="567"/>
      </w:pPr>
      <w:rPr>
        <w:rFonts w:hint="default" w:ascii="Times New Roman" w:hAnsi="Times New Roman" w:eastAsia="宋体" w:cs="Times New Roman"/>
        <w:b/>
        <w:i w:val="0"/>
        <w:sz w:val="28"/>
        <w:szCs w:val="28"/>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1779"/>
        </w:tabs>
        <w:ind w:left="1779" w:hanging="851"/>
      </w:pPr>
      <w:rPr>
        <w:rFonts w:hint="default" w:ascii="Times New Roman" w:hAnsi="Times New Roman" w:cs="Times New Roman"/>
        <w:i w:val="0"/>
        <w:iCs w:val="0"/>
        <w:caps w:val="0"/>
        <w:smallCaps w:val="0"/>
        <w:strike w:val="0"/>
        <w:dstrike w:val="0"/>
        <w:vanish w:val="0"/>
        <w:color w:val="000000"/>
        <w:spacing w:val="0"/>
        <w:kern w:val="0"/>
        <w:position w:val="0"/>
        <w:u w:val="none"/>
        <w:vertAlign w:val="baseline"/>
      </w:rPr>
    </w:lvl>
    <w:lvl w:ilvl="4" w:tentative="0">
      <w:start w:val="1"/>
      <w:numFmt w:val="decimal"/>
      <w:pStyle w:val="8"/>
      <w:lvlText w:val="%1.%2.%3.%4.%5."/>
      <w:lvlJc w:val="left"/>
      <w:pPr>
        <w:tabs>
          <w:tab w:val="left" w:pos="1560"/>
        </w:tabs>
        <w:ind w:left="1560" w:hanging="992"/>
      </w:pPr>
      <w:rPr>
        <w:rFonts w:hint="default" w:ascii="Times New Roman" w:hAnsi="Times New Roman" w:eastAsia="宋体" w:cs="Times New Roman"/>
        <w:b/>
        <w:i w:val="0"/>
        <w:sz w:val="28"/>
        <w:szCs w:val="28"/>
      </w:rPr>
    </w:lvl>
    <w:lvl w:ilvl="5" w:tentative="0">
      <w:start w:val="1"/>
      <w:numFmt w:val="decimal"/>
      <w:pStyle w:val="9"/>
      <w:lvlText w:val="%1.%2.%3.%4.%5.%6."/>
      <w:lvlJc w:val="left"/>
      <w:pPr>
        <w:tabs>
          <w:tab w:val="left" w:pos="1702"/>
        </w:tabs>
        <w:ind w:left="1702" w:hanging="1134"/>
      </w:pPr>
      <w:rPr>
        <w:rFonts w:cs="Times New Roman"/>
        <w:i w:val="0"/>
        <w:iCs w:val="0"/>
        <w:caps w:val="0"/>
        <w:smallCaps w:val="0"/>
        <w:strike w:val="0"/>
        <w:dstrike w:val="0"/>
        <w:vanish w:val="0"/>
        <w:color w:val="000000"/>
        <w:spacing w:val="0"/>
        <w:kern w:val="0"/>
        <w:position w:val="0"/>
        <w:u w:val="none"/>
        <w:vertAlign w:val="baseline"/>
      </w:rPr>
    </w:lvl>
    <w:lvl w:ilvl="6" w:tentative="0">
      <w:start w:val="1"/>
      <w:numFmt w:val="decimal"/>
      <w:lvlText w:val="%1.%2.%3.%4.%5.%6.%7."/>
      <w:lvlJc w:val="left"/>
      <w:pPr>
        <w:tabs>
          <w:tab w:val="left" w:pos="1844"/>
        </w:tabs>
        <w:ind w:left="1844" w:hanging="1276"/>
      </w:pPr>
    </w:lvl>
    <w:lvl w:ilvl="7" w:tentative="0">
      <w:start w:val="1"/>
      <w:numFmt w:val="decimal"/>
      <w:lvlText w:val="%1.%2.%3.%4.%5.%6.%7.%8."/>
      <w:lvlJc w:val="left"/>
      <w:pPr>
        <w:tabs>
          <w:tab w:val="left" w:pos="1986"/>
        </w:tabs>
        <w:ind w:left="1986" w:hanging="1418"/>
      </w:pPr>
    </w:lvl>
    <w:lvl w:ilvl="8" w:tentative="0">
      <w:start w:val="1"/>
      <w:numFmt w:val="decimal"/>
      <w:lvlText w:val="%1.%2.%3.%4.%5.%6.%7.%8.%9."/>
      <w:lvlJc w:val="left"/>
      <w:pPr>
        <w:tabs>
          <w:tab w:val="left" w:pos="2127"/>
        </w:tabs>
        <w:ind w:left="2127" w:hanging="1559"/>
      </w:pPr>
    </w:lvl>
  </w:abstractNum>
  <w:abstractNum w:abstractNumId="6">
    <w:nsid w:val="00000024"/>
    <w:multiLevelType w:val="multilevel"/>
    <w:tmpl w:val="00000024"/>
    <w:lvl w:ilvl="0" w:tentative="0">
      <w:start w:val="1"/>
      <w:numFmt w:val="decimal"/>
      <w:lvlText w:val="%1."/>
      <w:lvlJc w:val="left"/>
      <w:pPr>
        <w:ind w:left="958" w:hanging="420"/>
      </w:pPr>
    </w:lvl>
    <w:lvl w:ilvl="1" w:tentative="0">
      <w:start w:val="1"/>
      <w:numFmt w:val="chineseCountingThousand"/>
      <w:lvlText w:val="%2、"/>
      <w:lvlJc w:val="left"/>
      <w:pPr>
        <w:ind w:left="1130"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7">
    <w:nsid w:val="00000025"/>
    <w:multiLevelType w:val="multilevel"/>
    <w:tmpl w:val="00000025"/>
    <w:lvl w:ilvl="0" w:tentative="0">
      <w:start w:val="1"/>
      <w:numFmt w:val="chineseCountingThousand"/>
      <w:lvlText w:val="%1、"/>
      <w:lvlJc w:val="left"/>
      <w:pPr>
        <w:ind w:left="1130" w:hanging="420"/>
      </w:pPr>
      <w:rPr>
        <w:b w:val="0"/>
        <w:sz w:val="28"/>
        <w:szCs w:val="28"/>
      </w:rPr>
    </w:lvl>
    <w:lvl w:ilvl="1" w:tentative="0">
      <w:start w:val="1"/>
      <w:numFmt w:val="lowerLetter"/>
      <w:lvlText w:val="%2)"/>
      <w:lvlJc w:val="left"/>
      <w:pPr>
        <w:ind w:left="1563" w:hanging="420"/>
      </w:pPr>
    </w:lvl>
    <w:lvl w:ilvl="2" w:tentative="0">
      <w:start w:val="1"/>
      <w:numFmt w:val="lowerRoman"/>
      <w:lvlText w:val="%3."/>
      <w:lvlJc w:val="right"/>
      <w:pPr>
        <w:ind w:left="1983" w:hanging="420"/>
      </w:pPr>
    </w:lvl>
    <w:lvl w:ilvl="3" w:tentative="0">
      <w:start w:val="1"/>
      <w:numFmt w:val="decimal"/>
      <w:lvlText w:val="%4."/>
      <w:lvlJc w:val="left"/>
      <w:pPr>
        <w:ind w:left="2403" w:hanging="420"/>
      </w:pPr>
    </w:lvl>
    <w:lvl w:ilvl="4" w:tentative="0">
      <w:start w:val="1"/>
      <w:numFmt w:val="lowerLetter"/>
      <w:lvlText w:val="%5)"/>
      <w:lvlJc w:val="left"/>
      <w:pPr>
        <w:ind w:left="2823" w:hanging="420"/>
      </w:pPr>
    </w:lvl>
    <w:lvl w:ilvl="5" w:tentative="0">
      <w:start w:val="1"/>
      <w:numFmt w:val="lowerRoman"/>
      <w:lvlText w:val="%6."/>
      <w:lvlJc w:val="right"/>
      <w:pPr>
        <w:ind w:left="3243" w:hanging="420"/>
      </w:pPr>
    </w:lvl>
    <w:lvl w:ilvl="6" w:tentative="0">
      <w:start w:val="1"/>
      <w:numFmt w:val="decimal"/>
      <w:lvlText w:val="%7."/>
      <w:lvlJc w:val="left"/>
      <w:pPr>
        <w:ind w:left="3663" w:hanging="420"/>
      </w:pPr>
    </w:lvl>
    <w:lvl w:ilvl="7" w:tentative="0">
      <w:start w:val="1"/>
      <w:numFmt w:val="lowerLetter"/>
      <w:lvlText w:val="%8)"/>
      <w:lvlJc w:val="left"/>
      <w:pPr>
        <w:ind w:left="4083" w:hanging="420"/>
      </w:pPr>
    </w:lvl>
    <w:lvl w:ilvl="8" w:tentative="0">
      <w:start w:val="1"/>
      <w:numFmt w:val="lowerRoman"/>
      <w:lvlText w:val="%9."/>
      <w:lvlJc w:val="right"/>
      <w:pPr>
        <w:ind w:left="4503" w:hanging="420"/>
      </w:pPr>
    </w:lvl>
  </w:abstractNum>
  <w:abstractNum w:abstractNumId="8">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988"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00000029"/>
    <w:multiLevelType w:val="multilevel"/>
    <w:tmpl w:val="00000029"/>
    <w:lvl w:ilvl="0" w:tentative="0">
      <w:start w:val="1"/>
      <w:numFmt w:val="decimal"/>
      <w:lvlText w:val="%1."/>
      <w:lvlJc w:val="left"/>
      <w:pPr>
        <w:ind w:left="1413"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000002E"/>
    <w:multiLevelType w:val="multilevel"/>
    <w:tmpl w:val="0000002E"/>
    <w:lvl w:ilvl="0" w:tentative="0">
      <w:start w:val="1"/>
      <w:numFmt w:val="decimal"/>
      <w:pStyle w:val="4"/>
      <w:lvlText w:val="第%1章"/>
      <w:lvlJc w:val="left"/>
      <w:pPr>
        <w:ind w:left="283" w:hanging="425"/>
      </w:pPr>
      <w:rPr>
        <w:rFonts w:hint="default" w:ascii="Times New Roman" w:hAnsi="Times New Roman" w:eastAsia="宋体" w:cs="Times New Roman"/>
        <w:b/>
        <w:i w:val="0"/>
        <w:sz w:val="32"/>
        <w:szCs w:val="28"/>
      </w:rPr>
    </w:lvl>
    <w:lvl w:ilvl="1" w:tentative="0">
      <w:start w:val="1"/>
      <w:numFmt w:val="decimal"/>
      <w:pStyle w:val="5"/>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6"/>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pStyle w:val="7"/>
      <w:suff w:val="nothing"/>
      <w:lvlText w:val="%1.%2.%3.%4"/>
      <w:lvlJc w:val="left"/>
      <w:pPr>
        <w:ind w:left="1701" w:hanging="708"/>
      </w:pPr>
      <w:rPr>
        <w:rFonts w:hint="default" w:ascii="Times New Roman" w:hAnsi="Times New Roman" w:eastAsia="宋体" w:cs="Times New Roman"/>
        <w:b/>
        <w:i w:val="0"/>
        <w:strike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11">
    <w:nsid w:val="0000003E"/>
    <w:multiLevelType w:val="multilevel"/>
    <w:tmpl w:val="0000003E"/>
    <w:lvl w:ilvl="0" w:tentative="0">
      <w:start w:val="1"/>
      <w:numFmt w:val="chineseCountingThousand"/>
      <w:suff w:val="nothing"/>
      <w:lvlText w:val="%1、"/>
      <w:lvlJc w:val="left"/>
      <w:pPr>
        <w:ind w:left="1697" w:hanging="420"/>
      </w:pPr>
      <w:rPr>
        <w:b/>
        <w:lang w:val="en-US"/>
      </w:rPr>
    </w:lvl>
    <w:lvl w:ilvl="1" w:tentative="0">
      <w:start w:val="1"/>
      <w:numFmt w:val="decimal"/>
      <w:lvlText w:val="%2、"/>
      <w:lvlJc w:val="left"/>
      <w:pPr>
        <w:ind w:left="1125" w:hanging="1125"/>
      </w:pPr>
    </w:lvl>
    <w:lvl w:ilvl="2" w:tentative="0">
      <w:start w:val="1"/>
      <w:numFmt w:val="lowerRoman"/>
      <w:lvlText w:val="%3."/>
      <w:lvlJc w:val="right"/>
      <w:pPr>
        <w:ind w:left="1971" w:hanging="420"/>
      </w:pPr>
    </w:lvl>
    <w:lvl w:ilvl="3" w:tentative="0">
      <w:start w:val="1"/>
      <w:numFmt w:val="decimal"/>
      <w:lvlText w:val="%4."/>
      <w:lvlJc w:val="left"/>
      <w:pPr>
        <w:ind w:left="2391" w:hanging="420"/>
      </w:pPr>
    </w:lvl>
    <w:lvl w:ilvl="4" w:tentative="0">
      <w:start w:val="1"/>
      <w:numFmt w:val="lowerLetter"/>
      <w:lvlText w:val="%5)"/>
      <w:lvlJc w:val="left"/>
      <w:pPr>
        <w:ind w:left="2811" w:hanging="420"/>
      </w:pPr>
    </w:lvl>
    <w:lvl w:ilvl="5" w:tentative="0">
      <w:start w:val="1"/>
      <w:numFmt w:val="lowerRoman"/>
      <w:lvlText w:val="%6."/>
      <w:lvlJc w:val="right"/>
      <w:pPr>
        <w:ind w:left="3231" w:hanging="420"/>
      </w:pPr>
    </w:lvl>
    <w:lvl w:ilvl="6" w:tentative="0">
      <w:start w:val="1"/>
      <w:numFmt w:val="decimal"/>
      <w:lvlText w:val="%7."/>
      <w:lvlJc w:val="left"/>
      <w:pPr>
        <w:ind w:left="3651" w:hanging="420"/>
      </w:pPr>
    </w:lvl>
    <w:lvl w:ilvl="7" w:tentative="0">
      <w:start w:val="1"/>
      <w:numFmt w:val="lowerLetter"/>
      <w:lvlText w:val="%8)"/>
      <w:lvlJc w:val="left"/>
      <w:pPr>
        <w:ind w:left="4071" w:hanging="420"/>
      </w:pPr>
    </w:lvl>
    <w:lvl w:ilvl="8" w:tentative="0">
      <w:start w:val="1"/>
      <w:numFmt w:val="lowerRoman"/>
      <w:lvlText w:val="%9."/>
      <w:lvlJc w:val="right"/>
      <w:pPr>
        <w:ind w:left="4491" w:hanging="420"/>
      </w:pPr>
    </w:lvl>
  </w:abstractNum>
  <w:abstractNum w:abstractNumId="12">
    <w:nsid w:val="00000041"/>
    <w:multiLevelType w:val="multilevel"/>
    <w:tmpl w:val="00000041"/>
    <w:lvl w:ilvl="0" w:tentative="0">
      <w:start w:val="1"/>
      <w:numFmt w:val="chineseCountingThousand"/>
      <w:lvlText w:val="%1、"/>
      <w:lvlJc w:val="left"/>
      <w:pPr>
        <w:ind w:left="2689" w:hanging="420"/>
      </w:pPr>
    </w:lvl>
    <w:lvl w:ilvl="1" w:tentative="0">
      <w:start w:val="1"/>
      <w:numFmt w:val="lowerLetter"/>
      <w:lvlText w:val="%2)"/>
      <w:lvlJc w:val="left"/>
      <w:pPr>
        <w:ind w:left="3109" w:hanging="420"/>
      </w:pPr>
    </w:lvl>
    <w:lvl w:ilvl="2" w:tentative="0">
      <w:start w:val="1"/>
      <w:numFmt w:val="lowerRoman"/>
      <w:lvlText w:val="%3."/>
      <w:lvlJc w:val="right"/>
      <w:pPr>
        <w:ind w:left="3529" w:hanging="420"/>
      </w:pPr>
    </w:lvl>
    <w:lvl w:ilvl="3" w:tentative="0">
      <w:start w:val="1"/>
      <w:numFmt w:val="decimal"/>
      <w:lvlText w:val="%4."/>
      <w:lvlJc w:val="left"/>
      <w:pPr>
        <w:ind w:left="3949" w:hanging="420"/>
      </w:pPr>
    </w:lvl>
    <w:lvl w:ilvl="4" w:tentative="0">
      <w:start w:val="1"/>
      <w:numFmt w:val="lowerLetter"/>
      <w:lvlText w:val="%5)"/>
      <w:lvlJc w:val="left"/>
      <w:pPr>
        <w:ind w:left="4369" w:hanging="420"/>
      </w:pPr>
    </w:lvl>
    <w:lvl w:ilvl="5" w:tentative="0">
      <w:start w:val="1"/>
      <w:numFmt w:val="lowerRoman"/>
      <w:lvlText w:val="%6."/>
      <w:lvlJc w:val="right"/>
      <w:pPr>
        <w:ind w:left="4789" w:hanging="420"/>
      </w:pPr>
    </w:lvl>
    <w:lvl w:ilvl="6" w:tentative="0">
      <w:start w:val="1"/>
      <w:numFmt w:val="decimal"/>
      <w:lvlText w:val="%7."/>
      <w:lvlJc w:val="left"/>
      <w:pPr>
        <w:ind w:left="5209" w:hanging="420"/>
      </w:pPr>
    </w:lvl>
    <w:lvl w:ilvl="7" w:tentative="0">
      <w:start w:val="1"/>
      <w:numFmt w:val="lowerLetter"/>
      <w:lvlText w:val="%8)"/>
      <w:lvlJc w:val="left"/>
      <w:pPr>
        <w:ind w:left="5629" w:hanging="420"/>
      </w:pPr>
    </w:lvl>
    <w:lvl w:ilvl="8" w:tentative="0">
      <w:start w:val="1"/>
      <w:numFmt w:val="lowerRoman"/>
      <w:lvlText w:val="%9."/>
      <w:lvlJc w:val="right"/>
      <w:pPr>
        <w:ind w:left="6049" w:hanging="420"/>
      </w:pPr>
    </w:lvl>
  </w:abstractNum>
  <w:abstractNum w:abstractNumId="13">
    <w:nsid w:val="03A63A41"/>
    <w:multiLevelType w:val="multilevel"/>
    <w:tmpl w:val="03A63A41"/>
    <w:lvl w:ilvl="0" w:tentative="0">
      <w:start w:val="1"/>
      <w:numFmt w:val="decimal"/>
      <w:lvlText w:val="%1."/>
      <w:lvlJc w:val="left"/>
      <w:pPr>
        <w:ind w:left="319" w:hanging="160"/>
        <w:jc w:val="left"/>
      </w:pPr>
      <w:rPr>
        <w:rFonts w:hint="default" w:ascii="Times New Roman" w:hAnsi="Times New Roman" w:eastAsia="Times New Roman" w:cs="Times New Roman"/>
        <w:w w:val="100"/>
        <w:sz w:val="19"/>
        <w:szCs w:val="19"/>
        <w:lang w:val="zh-CN" w:eastAsia="zh-CN" w:bidi="zh-CN"/>
      </w:rPr>
    </w:lvl>
    <w:lvl w:ilvl="1" w:tentative="0">
      <w:start w:val="0"/>
      <w:numFmt w:val="bullet"/>
      <w:lvlText w:val="•"/>
      <w:lvlJc w:val="left"/>
      <w:pPr>
        <w:ind w:left="1302" w:hanging="160"/>
      </w:pPr>
      <w:rPr>
        <w:rFonts w:hint="default"/>
        <w:lang w:val="zh-CN" w:eastAsia="zh-CN" w:bidi="zh-CN"/>
      </w:rPr>
    </w:lvl>
    <w:lvl w:ilvl="2" w:tentative="0">
      <w:start w:val="0"/>
      <w:numFmt w:val="bullet"/>
      <w:lvlText w:val="•"/>
      <w:lvlJc w:val="left"/>
      <w:pPr>
        <w:ind w:left="2284" w:hanging="160"/>
      </w:pPr>
      <w:rPr>
        <w:rFonts w:hint="default"/>
        <w:lang w:val="zh-CN" w:eastAsia="zh-CN" w:bidi="zh-CN"/>
      </w:rPr>
    </w:lvl>
    <w:lvl w:ilvl="3" w:tentative="0">
      <w:start w:val="0"/>
      <w:numFmt w:val="bullet"/>
      <w:lvlText w:val="•"/>
      <w:lvlJc w:val="left"/>
      <w:pPr>
        <w:ind w:left="3267" w:hanging="160"/>
      </w:pPr>
      <w:rPr>
        <w:rFonts w:hint="default"/>
        <w:lang w:val="zh-CN" w:eastAsia="zh-CN" w:bidi="zh-CN"/>
      </w:rPr>
    </w:lvl>
    <w:lvl w:ilvl="4" w:tentative="0">
      <w:start w:val="0"/>
      <w:numFmt w:val="bullet"/>
      <w:lvlText w:val="•"/>
      <w:lvlJc w:val="left"/>
      <w:pPr>
        <w:ind w:left="4249" w:hanging="160"/>
      </w:pPr>
      <w:rPr>
        <w:rFonts w:hint="default"/>
        <w:lang w:val="zh-CN" w:eastAsia="zh-CN" w:bidi="zh-CN"/>
      </w:rPr>
    </w:lvl>
    <w:lvl w:ilvl="5" w:tentative="0">
      <w:start w:val="0"/>
      <w:numFmt w:val="bullet"/>
      <w:lvlText w:val="•"/>
      <w:lvlJc w:val="left"/>
      <w:pPr>
        <w:ind w:left="5232" w:hanging="160"/>
      </w:pPr>
      <w:rPr>
        <w:rFonts w:hint="default"/>
        <w:lang w:val="zh-CN" w:eastAsia="zh-CN" w:bidi="zh-CN"/>
      </w:rPr>
    </w:lvl>
    <w:lvl w:ilvl="6" w:tentative="0">
      <w:start w:val="0"/>
      <w:numFmt w:val="bullet"/>
      <w:lvlText w:val="•"/>
      <w:lvlJc w:val="left"/>
      <w:pPr>
        <w:ind w:left="6214" w:hanging="160"/>
      </w:pPr>
      <w:rPr>
        <w:rFonts w:hint="default"/>
        <w:lang w:val="zh-CN" w:eastAsia="zh-CN" w:bidi="zh-CN"/>
      </w:rPr>
    </w:lvl>
    <w:lvl w:ilvl="7" w:tentative="0">
      <w:start w:val="0"/>
      <w:numFmt w:val="bullet"/>
      <w:lvlText w:val="•"/>
      <w:lvlJc w:val="left"/>
      <w:pPr>
        <w:ind w:left="7196" w:hanging="160"/>
      </w:pPr>
      <w:rPr>
        <w:rFonts w:hint="default"/>
        <w:lang w:val="zh-CN" w:eastAsia="zh-CN" w:bidi="zh-CN"/>
      </w:rPr>
    </w:lvl>
    <w:lvl w:ilvl="8" w:tentative="0">
      <w:start w:val="0"/>
      <w:numFmt w:val="bullet"/>
      <w:lvlText w:val="•"/>
      <w:lvlJc w:val="left"/>
      <w:pPr>
        <w:ind w:left="8179" w:hanging="160"/>
      </w:pPr>
      <w:rPr>
        <w:rFonts w:hint="default"/>
        <w:lang w:val="zh-CN" w:eastAsia="zh-CN" w:bidi="zh-CN"/>
      </w:rPr>
    </w:lvl>
  </w:abstractNum>
  <w:abstractNum w:abstractNumId="14">
    <w:nsid w:val="09065E2B"/>
    <w:multiLevelType w:val="multilevel"/>
    <w:tmpl w:val="09065E2B"/>
    <w:lvl w:ilvl="0" w:tentative="0">
      <w:start w:val="1"/>
      <w:numFmt w:val="decimal"/>
      <w:lvlText w:val="%1."/>
      <w:lvlJc w:val="left"/>
      <w:pPr>
        <w:ind w:left="980" w:hanging="420"/>
      </w:pPr>
      <w:rPr>
        <w:rFonts w:hint="eastAsia"/>
      </w:rPr>
    </w:lvl>
    <w:lvl w:ilvl="1" w:tentative="0">
      <w:start w:val="1"/>
      <w:numFmt w:val="chineseCountingThousand"/>
      <w:lvlText w:val="%2、"/>
      <w:lvlJc w:val="left"/>
      <w:pPr>
        <w:ind w:left="988" w:hanging="4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502" w:hanging="360"/>
      </w:pPr>
      <w:rPr>
        <w:rFonts w:hint="default"/>
      </w:r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5">
    <w:nsid w:val="0A807349"/>
    <w:multiLevelType w:val="multilevel"/>
    <w:tmpl w:val="0A807349"/>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6">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7">
    <w:nsid w:val="0F9F9CCA"/>
    <w:multiLevelType w:val="multilevel"/>
    <w:tmpl w:val="0F9F9CCA"/>
    <w:lvl w:ilvl="0" w:tentative="0">
      <w:start w:val="1"/>
      <w:numFmt w:val="decimal"/>
      <w:lvlText w:val="%1."/>
      <w:lvlJc w:val="left"/>
      <w:pPr>
        <w:ind w:left="319" w:hanging="160"/>
        <w:jc w:val="left"/>
      </w:pPr>
      <w:rPr>
        <w:rFonts w:hint="default" w:ascii="Times New Roman" w:hAnsi="Times New Roman" w:eastAsia="Times New Roman" w:cs="Times New Roman"/>
        <w:w w:val="100"/>
        <w:sz w:val="19"/>
        <w:szCs w:val="19"/>
        <w:lang w:val="zh-CN" w:eastAsia="zh-CN" w:bidi="zh-CN"/>
      </w:rPr>
    </w:lvl>
    <w:lvl w:ilvl="1" w:tentative="0">
      <w:start w:val="0"/>
      <w:numFmt w:val="bullet"/>
      <w:lvlText w:val="•"/>
      <w:lvlJc w:val="left"/>
      <w:pPr>
        <w:ind w:left="1302" w:hanging="160"/>
      </w:pPr>
      <w:rPr>
        <w:rFonts w:hint="default"/>
        <w:lang w:val="zh-CN" w:eastAsia="zh-CN" w:bidi="zh-CN"/>
      </w:rPr>
    </w:lvl>
    <w:lvl w:ilvl="2" w:tentative="0">
      <w:start w:val="0"/>
      <w:numFmt w:val="bullet"/>
      <w:lvlText w:val="•"/>
      <w:lvlJc w:val="left"/>
      <w:pPr>
        <w:ind w:left="2284" w:hanging="160"/>
      </w:pPr>
      <w:rPr>
        <w:rFonts w:hint="default"/>
        <w:lang w:val="zh-CN" w:eastAsia="zh-CN" w:bidi="zh-CN"/>
      </w:rPr>
    </w:lvl>
    <w:lvl w:ilvl="3" w:tentative="0">
      <w:start w:val="0"/>
      <w:numFmt w:val="bullet"/>
      <w:lvlText w:val="•"/>
      <w:lvlJc w:val="left"/>
      <w:pPr>
        <w:ind w:left="3267" w:hanging="160"/>
      </w:pPr>
      <w:rPr>
        <w:rFonts w:hint="default"/>
        <w:lang w:val="zh-CN" w:eastAsia="zh-CN" w:bidi="zh-CN"/>
      </w:rPr>
    </w:lvl>
    <w:lvl w:ilvl="4" w:tentative="0">
      <w:start w:val="0"/>
      <w:numFmt w:val="bullet"/>
      <w:lvlText w:val="•"/>
      <w:lvlJc w:val="left"/>
      <w:pPr>
        <w:ind w:left="4249" w:hanging="160"/>
      </w:pPr>
      <w:rPr>
        <w:rFonts w:hint="default"/>
        <w:lang w:val="zh-CN" w:eastAsia="zh-CN" w:bidi="zh-CN"/>
      </w:rPr>
    </w:lvl>
    <w:lvl w:ilvl="5" w:tentative="0">
      <w:start w:val="0"/>
      <w:numFmt w:val="bullet"/>
      <w:lvlText w:val="•"/>
      <w:lvlJc w:val="left"/>
      <w:pPr>
        <w:ind w:left="5232" w:hanging="160"/>
      </w:pPr>
      <w:rPr>
        <w:rFonts w:hint="default"/>
        <w:lang w:val="zh-CN" w:eastAsia="zh-CN" w:bidi="zh-CN"/>
      </w:rPr>
    </w:lvl>
    <w:lvl w:ilvl="6" w:tentative="0">
      <w:start w:val="0"/>
      <w:numFmt w:val="bullet"/>
      <w:lvlText w:val="•"/>
      <w:lvlJc w:val="left"/>
      <w:pPr>
        <w:ind w:left="6214" w:hanging="160"/>
      </w:pPr>
      <w:rPr>
        <w:rFonts w:hint="default"/>
        <w:lang w:val="zh-CN" w:eastAsia="zh-CN" w:bidi="zh-CN"/>
      </w:rPr>
    </w:lvl>
    <w:lvl w:ilvl="7" w:tentative="0">
      <w:start w:val="0"/>
      <w:numFmt w:val="bullet"/>
      <w:lvlText w:val="•"/>
      <w:lvlJc w:val="left"/>
      <w:pPr>
        <w:ind w:left="7196" w:hanging="160"/>
      </w:pPr>
      <w:rPr>
        <w:rFonts w:hint="default"/>
        <w:lang w:val="zh-CN" w:eastAsia="zh-CN" w:bidi="zh-CN"/>
      </w:rPr>
    </w:lvl>
    <w:lvl w:ilvl="8" w:tentative="0">
      <w:start w:val="0"/>
      <w:numFmt w:val="bullet"/>
      <w:lvlText w:val="•"/>
      <w:lvlJc w:val="left"/>
      <w:pPr>
        <w:ind w:left="8179" w:hanging="160"/>
      </w:pPr>
      <w:rPr>
        <w:rFonts w:hint="default"/>
        <w:lang w:val="zh-CN" w:eastAsia="zh-CN" w:bidi="zh-CN"/>
      </w:rPr>
    </w:lvl>
  </w:abstractNum>
  <w:abstractNum w:abstractNumId="18">
    <w:nsid w:val="114B0B5E"/>
    <w:multiLevelType w:val="multilevel"/>
    <w:tmpl w:val="114B0B5E"/>
    <w:lvl w:ilvl="0" w:tentative="0">
      <w:start w:val="1"/>
      <w:numFmt w:val="decimal"/>
      <w:lvlText w:val="%1."/>
      <w:lvlJc w:val="left"/>
      <w:pPr>
        <w:ind w:left="980" w:hanging="420"/>
      </w:pPr>
      <w:rPr>
        <w:rFonts w:hint="eastAsia"/>
      </w:rPr>
    </w:lvl>
    <w:lvl w:ilvl="1" w:tentative="0">
      <w:start w:val="1"/>
      <w:numFmt w:val="chineseCountingThousand"/>
      <w:lvlText w:val="%2、"/>
      <w:lvlJc w:val="left"/>
      <w:pPr>
        <w:ind w:left="988" w:hanging="4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502" w:hanging="360"/>
      </w:pPr>
      <w:rPr>
        <w:rFonts w:hint="default"/>
      </w:r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9">
    <w:nsid w:val="1C5C2941"/>
    <w:multiLevelType w:val="multilevel"/>
    <w:tmpl w:val="1C5C2941"/>
    <w:lvl w:ilvl="0" w:tentative="0">
      <w:start w:val="1"/>
      <w:numFmt w:val="japaneseCounting"/>
      <w:lvlText w:val="%1、"/>
      <w:lvlJc w:val="left"/>
      <w:pPr>
        <w:ind w:left="2000" w:hanging="720"/>
      </w:pPr>
      <w:rPr>
        <w:rFonts w:hint="default"/>
      </w:rPr>
    </w:lvl>
    <w:lvl w:ilvl="1" w:tentative="0">
      <w:start w:val="1"/>
      <w:numFmt w:val="lowerLetter"/>
      <w:lvlText w:val="%2)"/>
      <w:lvlJc w:val="left"/>
      <w:pPr>
        <w:ind w:left="2120" w:hanging="420"/>
      </w:pPr>
    </w:lvl>
    <w:lvl w:ilvl="2" w:tentative="0">
      <w:start w:val="1"/>
      <w:numFmt w:val="lowerRoman"/>
      <w:lvlText w:val="%3."/>
      <w:lvlJc w:val="right"/>
      <w:pPr>
        <w:ind w:left="2540" w:hanging="420"/>
      </w:pPr>
    </w:lvl>
    <w:lvl w:ilvl="3" w:tentative="0">
      <w:start w:val="1"/>
      <w:numFmt w:val="decimal"/>
      <w:lvlText w:val="%4."/>
      <w:lvlJc w:val="left"/>
      <w:pPr>
        <w:ind w:left="2960" w:hanging="420"/>
      </w:pPr>
    </w:lvl>
    <w:lvl w:ilvl="4" w:tentative="0">
      <w:start w:val="1"/>
      <w:numFmt w:val="lowerLetter"/>
      <w:lvlText w:val="%5)"/>
      <w:lvlJc w:val="left"/>
      <w:pPr>
        <w:ind w:left="3380" w:hanging="420"/>
      </w:pPr>
    </w:lvl>
    <w:lvl w:ilvl="5" w:tentative="0">
      <w:start w:val="1"/>
      <w:numFmt w:val="lowerRoman"/>
      <w:lvlText w:val="%6."/>
      <w:lvlJc w:val="right"/>
      <w:pPr>
        <w:ind w:left="3800" w:hanging="420"/>
      </w:pPr>
    </w:lvl>
    <w:lvl w:ilvl="6" w:tentative="0">
      <w:start w:val="1"/>
      <w:numFmt w:val="decimal"/>
      <w:lvlText w:val="%7."/>
      <w:lvlJc w:val="left"/>
      <w:pPr>
        <w:ind w:left="4220" w:hanging="420"/>
      </w:pPr>
    </w:lvl>
    <w:lvl w:ilvl="7" w:tentative="0">
      <w:start w:val="1"/>
      <w:numFmt w:val="lowerLetter"/>
      <w:lvlText w:val="%8)"/>
      <w:lvlJc w:val="left"/>
      <w:pPr>
        <w:ind w:left="4640" w:hanging="420"/>
      </w:pPr>
    </w:lvl>
    <w:lvl w:ilvl="8" w:tentative="0">
      <w:start w:val="1"/>
      <w:numFmt w:val="lowerRoman"/>
      <w:lvlText w:val="%9."/>
      <w:lvlJc w:val="right"/>
      <w:pPr>
        <w:ind w:left="5060" w:hanging="420"/>
      </w:pPr>
    </w:lvl>
  </w:abstractNum>
  <w:abstractNum w:abstractNumId="20">
    <w:nsid w:val="22FF369C"/>
    <w:multiLevelType w:val="singleLevel"/>
    <w:tmpl w:val="22FF369C"/>
    <w:lvl w:ilvl="0" w:tentative="0">
      <w:start w:val="1"/>
      <w:numFmt w:val="decimal"/>
      <w:suff w:val="nothing"/>
      <w:lvlText w:val="（%1）"/>
      <w:lvlJc w:val="left"/>
    </w:lvl>
  </w:abstractNum>
  <w:abstractNum w:abstractNumId="21">
    <w:nsid w:val="26567281"/>
    <w:multiLevelType w:val="multilevel"/>
    <w:tmpl w:val="26567281"/>
    <w:lvl w:ilvl="0" w:tentative="0">
      <w:start w:val="1"/>
      <w:numFmt w:val="decimal"/>
      <w:lvlText w:val="%1."/>
      <w:lvlJc w:val="left"/>
      <w:pPr>
        <w:ind w:left="958" w:hanging="420"/>
      </w:pPr>
    </w:lvl>
    <w:lvl w:ilvl="1" w:tentative="0">
      <w:start w:val="1"/>
      <w:numFmt w:val="chineseCountingThousand"/>
      <w:lvlText w:val="%2、"/>
      <w:lvlJc w:val="left"/>
      <w:pPr>
        <w:ind w:left="988" w:hanging="420"/>
      </w:pPr>
      <w:rPr>
        <w:rFonts w:hint="eastAsia"/>
        <w:lang w:val="en-US"/>
      </w:rPr>
    </w:lvl>
    <w:lvl w:ilvl="2" w:tentative="0">
      <w:start w:val="1"/>
      <w:numFmt w:val="decimal"/>
      <w:lvlText w:val="%3．"/>
      <w:lvlJc w:val="left"/>
      <w:pPr>
        <w:ind w:left="2098" w:hanging="720"/>
      </w:pPr>
    </w:lvl>
    <w:lvl w:ilvl="3" w:tentative="0">
      <w:start w:val="1"/>
      <w:numFmt w:val="decimal"/>
      <w:lvlText w:val="%4、"/>
      <w:lvlJc w:val="left"/>
      <w:pPr>
        <w:ind w:left="2158" w:hanging="360"/>
      </w:pPr>
      <w:rPr>
        <w:rFonts w:hint="default"/>
      </w:r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22">
    <w:nsid w:val="27297F69"/>
    <w:multiLevelType w:val="multilevel"/>
    <w:tmpl w:val="27297F69"/>
    <w:lvl w:ilvl="0" w:tentative="0">
      <w:start w:val="1"/>
      <w:numFmt w:val="chineseCountingThousand"/>
      <w:suff w:val="nothing"/>
      <w:lvlText w:val="%1、"/>
      <w:lvlJc w:val="left"/>
      <w:pPr>
        <w:ind w:left="1413" w:hanging="420"/>
      </w:pPr>
      <w:rPr>
        <w:rFonts w:hint="eastAsia"/>
        <w:b/>
        <w:lang w:val="en-US"/>
      </w:rPr>
    </w:lvl>
    <w:lvl w:ilvl="1" w:tentative="0">
      <w:start w:val="1"/>
      <w:numFmt w:val="lowerLetter"/>
      <w:lvlText w:val="%2)"/>
      <w:lvlJc w:val="left"/>
      <w:pPr>
        <w:ind w:left="1731" w:hanging="420"/>
      </w:pPr>
    </w:lvl>
    <w:lvl w:ilvl="2" w:tentative="0">
      <w:start w:val="1"/>
      <w:numFmt w:val="lowerRoman"/>
      <w:lvlText w:val="%3."/>
      <w:lvlJc w:val="right"/>
      <w:pPr>
        <w:ind w:left="2151" w:hanging="420"/>
      </w:pPr>
    </w:lvl>
    <w:lvl w:ilvl="3" w:tentative="0">
      <w:start w:val="1"/>
      <w:numFmt w:val="decimal"/>
      <w:lvlText w:val="%4."/>
      <w:lvlJc w:val="left"/>
      <w:pPr>
        <w:ind w:left="2571" w:hanging="420"/>
      </w:pPr>
    </w:lvl>
    <w:lvl w:ilvl="4" w:tentative="0">
      <w:start w:val="1"/>
      <w:numFmt w:val="lowerLetter"/>
      <w:lvlText w:val="%5)"/>
      <w:lvlJc w:val="left"/>
      <w:pPr>
        <w:ind w:left="2991" w:hanging="420"/>
      </w:pPr>
    </w:lvl>
    <w:lvl w:ilvl="5" w:tentative="0">
      <w:start w:val="1"/>
      <w:numFmt w:val="lowerRoman"/>
      <w:lvlText w:val="%6."/>
      <w:lvlJc w:val="right"/>
      <w:pPr>
        <w:ind w:left="3411" w:hanging="420"/>
      </w:pPr>
    </w:lvl>
    <w:lvl w:ilvl="6" w:tentative="0">
      <w:start w:val="1"/>
      <w:numFmt w:val="decimal"/>
      <w:lvlText w:val="%7."/>
      <w:lvlJc w:val="left"/>
      <w:pPr>
        <w:ind w:left="3831" w:hanging="420"/>
      </w:pPr>
    </w:lvl>
    <w:lvl w:ilvl="7" w:tentative="0">
      <w:start w:val="1"/>
      <w:numFmt w:val="lowerLetter"/>
      <w:lvlText w:val="%8)"/>
      <w:lvlJc w:val="left"/>
      <w:pPr>
        <w:ind w:left="4251" w:hanging="420"/>
      </w:pPr>
    </w:lvl>
    <w:lvl w:ilvl="8" w:tentative="0">
      <w:start w:val="1"/>
      <w:numFmt w:val="lowerRoman"/>
      <w:lvlText w:val="%9."/>
      <w:lvlJc w:val="right"/>
      <w:pPr>
        <w:ind w:left="4671" w:hanging="420"/>
      </w:pPr>
    </w:lvl>
  </w:abstractNum>
  <w:abstractNum w:abstractNumId="23">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4">
    <w:nsid w:val="2C5917C3"/>
    <w:multiLevelType w:val="multilevel"/>
    <w:tmpl w:val="2C5917C3"/>
    <w:lvl w:ilvl="0" w:tentative="0">
      <w:start w:val="1"/>
      <w:numFmt w:val="none"/>
      <w:pStyle w:val="158"/>
      <w:suff w:val="nothing"/>
      <w:lvlText w:val="%1——"/>
      <w:lvlJc w:val="left"/>
      <w:pPr>
        <w:ind w:left="833" w:hanging="408"/>
      </w:p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lvl>
    <w:lvl w:ilvl="4" w:tentative="0">
      <w:start w:val="1"/>
      <w:numFmt w:val="lowerLetter"/>
      <w:lvlText w:val="%5)"/>
      <w:lvlJc w:val="left"/>
      <w:pPr>
        <w:tabs>
          <w:tab w:val="left" w:pos="2383"/>
        </w:tabs>
        <w:ind w:left="2196" w:hanging="528"/>
      </w:pPr>
    </w:lvl>
    <w:lvl w:ilvl="5" w:tentative="0">
      <w:start w:val="1"/>
      <w:numFmt w:val="lowerRoman"/>
      <w:lvlText w:val="%6."/>
      <w:lvlJc w:val="right"/>
      <w:pPr>
        <w:tabs>
          <w:tab w:val="left" w:pos="2695"/>
        </w:tabs>
        <w:ind w:left="2508" w:hanging="528"/>
      </w:pPr>
    </w:lvl>
    <w:lvl w:ilvl="6" w:tentative="0">
      <w:start w:val="1"/>
      <w:numFmt w:val="decimal"/>
      <w:lvlText w:val="%7."/>
      <w:lvlJc w:val="left"/>
      <w:pPr>
        <w:tabs>
          <w:tab w:val="left" w:pos="3007"/>
        </w:tabs>
        <w:ind w:left="2820" w:hanging="528"/>
      </w:pPr>
    </w:lvl>
    <w:lvl w:ilvl="7" w:tentative="0">
      <w:start w:val="1"/>
      <w:numFmt w:val="lowerLetter"/>
      <w:lvlText w:val="%8)"/>
      <w:lvlJc w:val="left"/>
      <w:pPr>
        <w:tabs>
          <w:tab w:val="left" w:pos="3319"/>
        </w:tabs>
        <w:ind w:left="3132" w:hanging="528"/>
      </w:pPr>
    </w:lvl>
    <w:lvl w:ilvl="8" w:tentative="0">
      <w:start w:val="1"/>
      <w:numFmt w:val="lowerRoman"/>
      <w:lvlText w:val="%9."/>
      <w:lvlJc w:val="right"/>
      <w:pPr>
        <w:tabs>
          <w:tab w:val="left" w:pos="3631"/>
        </w:tabs>
        <w:ind w:left="3444" w:hanging="528"/>
      </w:pPr>
    </w:lvl>
  </w:abstractNum>
  <w:abstractNum w:abstractNumId="25">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26">
    <w:nsid w:val="3907789F"/>
    <w:multiLevelType w:val="multilevel"/>
    <w:tmpl w:val="3907789F"/>
    <w:lvl w:ilvl="0" w:tentative="0">
      <w:start w:val="1"/>
      <w:numFmt w:val="chineseCountingThousand"/>
      <w:lvlText w:val="%1、"/>
      <w:lvlJc w:val="left"/>
      <w:pPr>
        <w:tabs>
          <w:tab w:val="left" w:pos="420"/>
        </w:tabs>
        <w:ind w:left="420" w:hanging="420"/>
      </w:pPr>
    </w:lvl>
    <w:lvl w:ilvl="1" w:tentative="0">
      <w:start w:val="3"/>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394E3612"/>
    <w:multiLevelType w:val="multilevel"/>
    <w:tmpl w:val="394E3612"/>
    <w:lvl w:ilvl="0" w:tentative="0">
      <w:start w:val="1"/>
      <w:numFmt w:val="chineseCountingThousand"/>
      <w:lvlText w:val="%1、"/>
      <w:lvlJc w:val="left"/>
      <w:pPr>
        <w:ind w:left="1130" w:hanging="420"/>
      </w:pPr>
      <w:rPr>
        <w:rFonts w:hint="eastAsia"/>
        <w:color w:val="auto"/>
        <w:sz w:val="24"/>
        <w:szCs w:val="24"/>
        <w:lang w:val="en-US"/>
      </w:rPr>
    </w:lvl>
    <w:lvl w:ilvl="1" w:tentative="0">
      <w:start w:val="1"/>
      <w:numFmt w:val="decimal"/>
      <w:lvlText w:val="（%2）"/>
      <w:lvlJc w:val="left"/>
      <w:pPr>
        <w:ind w:left="1049" w:hanging="420"/>
      </w:pPr>
      <w:rPr>
        <w:rFonts w:hint="default"/>
        <w:color w:val="000000"/>
      </w:rPr>
    </w:lvl>
    <w:lvl w:ilvl="2" w:tentative="0">
      <w:start w:val="1"/>
      <w:numFmt w:val="lowerRoman"/>
      <w:lvlText w:val="%3."/>
      <w:lvlJc w:val="right"/>
      <w:pPr>
        <w:ind w:left="1469" w:hanging="420"/>
      </w:pPr>
    </w:lvl>
    <w:lvl w:ilvl="3" w:tentative="0">
      <w:start w:val="1"/>
      <w:numFmt w:val="decimal"/>
      <w:lvlText w:val="%4."/>
      <w:lvlJc w:val="left"/>
      <w:pPr>
        <w:ind w:left="1889" w:hanging="420"/>
      </w:pPr>
    </w:lvl>
    <w:lvl w:ilvl="4" w:tentative="0">
      <w:start w:val="1"/>
      <w:numFmt w:val="lowerLetter"/>
      <w:lvlText w:val="%5)"/>
      <w:lvlJc w:val="left"/>
      <w:pPr>
        <w:ind w:left="2309" w:hanging="420"/>
      </w:pPr>
    </w:lvl>
    <w:lvl w:ilvl="5" w:tentative="0">
      <w:start w:val="1"/>
      <w:numFmt w:val="lowerRoman"/>
      <w:lvlText w:val="%6."/>
      <w:lvlJc w:val="right"/>
      <w:pPr>
        <w:ind w:left="2729" w:hanging="420"/>
      </w:pPr>
    </w:lvl>
    <w:lvl w:ilvl="6" w:tentative="0">
      <w:start w:val="1"/>
      <w:numFmt w:val="decimal"/>
      <w:lvlText w:val="%7."/>
      <w:lvlJc w:val="left"/>
      <w:pPr>
        <w:ind w:left="3149" w:hanging="420"/>
      </w:pPr>
    </w:lvl>
    <w:lvl w:ilvl="7" w:tentative="0">
      <w:start w:val="1"/>
      <w:numFmt w:val="lowerLetter"/>
      <w:lvlText w:val="%8)"/>
      <w:lvlJc w:val="left"/>
      <w:pPr>
        <w:ind w:left="3569" w:hanging="420"/>
      </w:pPr>
    </w:lvl>
    <w:lvl w:ilvl="8" w:tentative="0">
      <w:start w:val="1"/>
      <w:numFmt w:val="lowerRoman"/>
      <w:lvlText w:val="%9."/>
      <w:lvlJc w:val="right"/>
      <w:pPr>
        <w:ind w:left="3989" w:hanging="420"/>
      </w:pPr>
    </w:lvl>
  </w:abstractNum>
  <w:abstractNum w:abstractNumId="28">
    <w:nsid w:val="3A7F4B0B"/>
    <w:multiLevelType w:val="multilevel"/>
    <w:tmpl w:val="3A7F4B0B"/>
    <w:lvl w:ilvl="0" w:tentative="0">
      <w:start w:val="1"/>
      <w:numFmt w:val="chineseCountingThousand"/>
      <w:lvlText w:val="%1、"/>
      <w:lvlJc w:val="left"/>
      <w:pPr>
        <w:ind w:left="960" w:hanging="420"/>
      </w:pPr>
      <w:rPr>
        <w:color w:val="auto"/>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abstractNum w:abstractNumId="29">
    <w:nsid w:val="40B249F9"/>
    <w:multiLevelType w:val="multilevel"/>
    <w:tmpl w:val="40B249F9"/>
    <w:lvl w:ilvl="0" w:tentative="0">
      <w:start w:val="1"/>
      <w:numFmt w:val="decimal"/>
      <w:lvlText w:val="%1."/>
      <w:lvlJc w:val="left"/>
      <w:pPr>
        <w:ind w:left="319" w:hanging="160"/>
        <w:jc w:val="left"/>
      </w:pPr>
      <w:rPr>
        <w:rFonts w:hint="default" w:ascii="Times New Roman" w:hAnsi="Times New Roman" w:eastAsia="Times New Roman" w:cs="Times New Roman"/>
        <w:w w:val="100"/>
        <w:sz w:val="19"/>
        <w:szCs w:val="19"/>
        <w:lang w:val="zh-CN" w:eastAsia="zh-CN" w:bidi="zh-CN"/>
      </w:rPr>
    </w:lvl>
    <w:lvl w:ilvl="1" w:tentative="0">
      <w:start w:val="0"/>
      <w:numFmt w:val="bullet"/>
      <w:lvlText w:val="•"/>
      <w:lvlJc w:val="left"/>
      <w:pPr>
        <w:ind w:left="1302" w:hanging="160"/>
      </w:pPr>
      <w:rPr>
        <w:rFonts w:hint="default"/>
        <w:lang w:val="zh-CN" w:eastAsia="zh-CN" w:bidi="zh-CN"/>
      </w:rPr>
    </w:lvl>
    <w:lvl w:ilvl="2" w:tentative="0">
      <w:start w:val="0"/>
      <w:numFmt w:val="bullet"/>
      <w:lvlText w:val="•"/>
      <w:lvlJc w:val="left"/>
      <w:pPr>
        <w:ind w:left="2284" w:hanging="160"/>
      </w:pPr>
      <w:rPr>
        <w:rFonts w:hint="default"/>
        <w:lang w:val="zh-CN" w:eastAsia="zh-CN" w:bidi="zh-CN"/>
      </w:rPr>
    </w:lvl>
    <w:lvl w:ilvl="3" w:tentative="0">
      <w:start w:val="0"/>
      <w:numFmt w:val="bullet"/>
      <w:lvlText w:val="•"/>
      <w:lvlJc w:val="left"/>
      <w:pPr>
        <w:ind w:left="3267" w:hanging="160"/>
      </w:pPr>
      <w:rPr>
        <w:rFonts w:hint="default"/>
        <w:lang w:val="zh-CN" w:eastAsia="zh-CN" w:bidi="zh-CN"/>
      </w:rPr>
    </w:lvl>
    <w:lvl w:ilvl="4" w:tentative="0">
      <w:start w:val="0"/>
      <w:numFmt w:val="bullet"/>
      <w:lvlText w:val="•"/>
      <w:lvlJc w:val="left"/>
      <w:pPr>
        <w:ind w:left="4249" w:hanging="160"/>
      </w:pPr>
      <w:rPr>
        <w:rFonts w:hint="default"/>
        <w:lang w:val="zh-CN" w:eastAsia="zh-CN" w:bidi="zh-CN"/>
      </w:rPr>
    </w:lvl>
    <w:lvl w:ilvl="5" w:tentative="0">
      <w:start w:val="0"/>
      <w:numFmt w:val="bullet"/>
      <w:lvlText w:val="•"/>
      <w:lvlJc w:val="left"/>
      <w:pPr>
        <w:ind w:left="5232" w:hanging="160"/>
      </w:pPr>
      <w:rPr>
        <w:rFonts w:hint="default"/>
        <w:lang w:val="zh-CN" w:eastAsia="zh-CN" w:bidi="zh-CN"/>
      </w:rPr>
    </w:lvl>
    <w:lvl w:ilvl="6" w:tentative="0">
      <w:start w:val="0"/>
      <w:numFmt w:val="bullet"/>
      <w:lvlText w:val="•"/>
      <w:lvlJc w:val="left"/>
      <w:pPr>
        <w:ind w:left="6214" w:hanging="160"/>
      </w:pPr>
      <w:rPr>
        <w:rFonts w:hint="default"/>
        <w:lang w:val="zh-CN" w:eastAsia="zh-CN" w:bidi="zh-CN"/>
      </w:rPr>
    </w:lvl>
    <w:lvl w:ilvl="7" w:tentative="0">
      <w:start w:val="0"/>
      <w:numFmt w:val="bullet"/>
      <w:lvlText w:val="•"/>
      <w:lvlJc w:val="left"/>
      <w:pPr>
        <w:ind w:left="7196" w:hanging="160"/>
      </w:pPr>
      <w:rPr>
        <w:rFonts w:hint="default"/>
        <w:lang w:val="zh-CN" w:eastAsia="zh-CN" w:bidi="zh-CN"/>
      </w:rPr>
    </w:lvl>
    <w:lvl w:ilvl="8" w:tentative="0">
      <w:start w:val="0"/>
      <w:numFmt w:val="bullet"/>
      <w:lvlText w:val="•"/>
      <w:lvlJc w:val="left"/>
      <w:pPr>
        <w:ind w:left="8179" w:hanging="160"/>
      </w:pPr>
      <w:rPr>
        <w:rFonts w:hint="default"/>
        <w:lang w:val="zh-CN" w:eastAsia="zh-CN" w:bidi="zh-CN"/>
      </w:rPr>
    </w:lvl>
  </w:abstractNum>
  <w:abstractNum w:abstractNumId="30">
    <w:nsid w:val="443D2B39"/>
    <w:multiLevelType w:val="multilevel"/>
    <w:tmpl w:val="443D2B39"/>
    <w:lvl w:ilvl="0" w:tentative="0">
      <w:start w:val="1"/>
      <w:numFmt w:val="chineseCountingThousand"/>
      <w:lvlText w:val="%1、"/>
      <w:lvlJc w:val="left"/>
      <w:pPr>
        <w:ind w:left="988" w:hanging="420"/>
      </w:pPr>
      <w:rPr>
        <w:rFonts w:hint="eastAsia" w:ascii="宋体" w:hAnsi="宋体" w:eastAsia="宋体"/>
        <w:i w:val="0"/>
        <w:sz w:val="24"/>
        <w:szCs w:val="24"/>
      </w:rPr>
    </w:lvl>
    <w:lvl w:ilvl="1" w:tentative="0">
      <w:start w:val="1"/>
      <w:numFmt w:val="lowerLetter"/>
      <w:lvlText w:val="%2)"/>
      <w:lvlJc w:val="left"/>
      <w:pPr>
        <w:ind w:left="482" w:hanging="420"/>
      </w:pPr>
    </w:lvl>
    <w:lvl w:ilvl="2" w:tentative="0">
      <w:start w:val="1"/>
      <w:numFmt w:val="lowerRoman"/>
      <w:lvlText w:val="%3."/>
      <w:lvlJc w:val="right"/>
      <w:pPr>
        <w:ind w:left="902" w:hanging="420"/>
      </w:pPr>
    </w:lvl>
    <w:lvl w:ilvl="3" w:tentative="0">
      <w:start w:val="1"/>
      <w:numFmt w:val="decimal"/>
      <w:lvlText w:val="%4."/>
      <w:lvlJc w:val="left"/>
      <w:pPr>
        <w:ind w:left="1322" w:hanging="420"/>
      </w:pPr>
    </w:lvl>
    <w:lvl w:ilvl="4" w:tentative="0">
      <w:start w:val="1"/>
      <w:numFmt w:val="lowerLetter"/>
      <w:lvlText w:val="%5)"/>
      <w:lvlJc w:val="left"/>
      <w:pPr>
        <w:ind w:left="1742" w:hanging="420"/>
      </w:pPr>
    </w:lvl>
    <w:lvl w:ilvl="5" w:tentative="0">
      <w:start w:val="1"/>
      <w:numFmt w:val="lowerRoman"/>
      <w:lvlText w:val="%6."/>
      <w:lvlJc w:val="right"/>
      <w:pPr>
        <w:ind w:left="2162" w:hanging="420"/>
      </w:pPr>
    </w:lvl>
    <w:lvl w:ilvl="6" w:tentative="0">
      <w:start w:val="1"/>
      <w:numFmt w:val="decimal"/>
      <w:lvlText w:val="%7."/>
      <w:lvlJc w:val="left"/>
      <w:pPr>
        <w:ind w:left="2582" w:hanging="420"/>
      </w:pPr>
    </w:lvl>
    <w:lvl w:ilvl="7" w:tentative="0">
      <w:start w:val="1"/>
      <w:numFmt w:val="lowerLetter"/>
      <w:lvlText w:val="%8)"/>
      <w:lvlJc w:val="left"/>
      <w:pPr>
        <w:ind w:left="3002" w:hanging="420"/>
      </w:pPr>
    </w:lvl>
    <w:lvl w:ilvl="8" w:tentative="0">
      <w:start w:val="1"/>
      <w:numFmt w:val="lowerRoman"/>
      <w:lvlText w:val="%9."/>
      <w:lvlJc w:val="right"/>
      <w:pPr>
        <w:ind w:left="3422" w:hanging="420"/>
      </w:pPr>
    </w:lvl>
  </w:abstractNum>
  <w:abstractNum w:abstractNumId="31">
    <w:nsid w:val="484A0618"/>
    <w:multiLevelType w:val="multilevel"/>
    <w:tmpl w:val="484A0618"/>
    <w:lvl w:ilvl="0" w:tentative="0">
      <w:start w:val="1"/>
      <w:numFmt w:val="chineseCountingThousand"/>
      <w:lvlText w:val="(%1)"/>
      <w:lvlJc w:val="left"/>
      <w:pPr>
        <w:ind w:left="840" w:hanging="420"/>
      </w:pPr>
    </w:lvl>
    <w:lvl w:ilvl="1" w:tentative="0">
      <w:start w:val="1"/>
      <w:numFmt w:val="chineseCountingThousand"/>
      <w:lvlText w:val="(%2)"/>
      <w:lvlJc w:val="left"/>
      <w:pPr>
        <w:ind w:left="1260" w:hanging="420"/>
      </w:pPr>
      <w:rPr>
        <w:color w:val="auto"/>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2">
    <w:nsid w:val="4D3C4E8D"/>
    <w:multiLevelType w:val="multilevel"/>
    <w:tmpl w:val="4D3C4E8D"/>
    <w:lvl w:ilvl="0" w:tentative="0">
      <w:start w:val="1"/>
      <w:numFmt w:val="chineseCountingThousand"/>
      <w:lvlText w:val="(%1)"/>
      <w:lvlJc w:val="left"/>
      <w:pPr>
        <w:tabs>
          <w:tab w:val="left" w:pos="846"/>
        </w:tabs>
        <w:ind w:left="846" w:hanging="420"/>
      </w:p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33">
    <w:nsid w:val="4FC6300F"/>
    <w:multiLevelType w:val="multilevel"/>
    <w:tmpl w:val="4FC6300F"/>
    <w:lvl w:ilvl="0" w:tentative="0">
      <w:start w:val="1"/>
      <w:numFmt w:val="chineseCountingThousand"/>
      <w:lvlText w:val="%1、"/>
      <w:lvlJc w:val="left"/>
      <w:pPr>
        <w:ind w:left="113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50841406"/>
    <w:multiLevelType w:val="multilevel"/>
    <w:tmpl w:val="50841406"/>
    <w:lvl w:ilvl="0" w:tentative="0">
      <w:start w:val="1"/>
      <w:numFmt w:val="japaneseCounting"/>
      <w:lvlText w:val="%1、"/>
      <w:lvlJc w:val="left"/>
      <w:pPr>
        <w:ind w:left="3980" w:hanging="720"/>
      </w:pPr>
      <w:rPr>
        <w:rFonts w:hint="default" w:ascii="宋体" w:hAnsi="宋体" w:eastAsia="宋体"/>
        <w:b w:val="0"/>
        <w:sz w:val="28"/>
        <w:szCs w:val="28"/>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35">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6">
    <w:nsid w:val="54410692"/>
    <w:multiLevelType w:val="multilevel"/>
    <w:tmpl w:val="54410692"/>
    <w:lvl w:ilvl="0" w:tentative="0">
      <w:start w:val="1"/>
      <w:numFmt w:val="japaneseCounting"/>
      <w:lvlText w:val="%1、"/>
      <w:lvlJc w:val="left"/>
      <w:pPr>
        <w:ind w:left="3394" w:hanging="1125"/>
      </w:pPr>
      <w:rPr>
        <w:rFonts w:hint="eastAsia" w:ascii="宋体" w:hAnsi="宋体" w:eastAsia="宋体" w:cs="宋体"/>
        <w:b/>
        <w:sz w:val="28"/>
      </w:rPr>
    </w:lvl>
    <w:lvl w:ilvl="1" w:tentative="0">
      <w:start w:val="1"/>
      <w:numFmt w:val="lowerLetter"/>
      <w:lvlText w:val="%2)"/>
      <w:lvlJc w:val="left"/>
      <w:pPr>
        <w:ind w:left="2242" w:hanging="420"/>
      </w:pPr>
    </w:lvl>
    <w:lvl w:ilvl="2" w:tentative="0">
      <w:start w:val="1"/>
      <w:numFmt w:val="lowerRoman"/>
      <w:lvlText w:val="%3."/>
      <w:lvlJc w:val="right"/>
      <w:pPr>
        <w:ind w:left="2662" w:hanging="420"/>
      </w:pPr>
    </w:lvl>
    <w:lvl w:ilvl="3" w:tentative="0">
      <w:start w:val="1"/>
      <w:numFmt w:val="decimal"/>
      <w:lvlText w:val="%4."/>
      <w:lvlJc w:val="left"/>
      <w:pPr>
        <w:ind w:left="3082" w:hanging="420"/>
      </w:pPr>
    </w:lvl>
    <w:lvl w:ilvl="4" w:tentative="0">
      <w:start w:val="1"/>
      <w:numFmt w:val="lowerLetter"/>
      <w:lvlText w:val="%5)"/>
      <w:lvlJc w:val="left"/>
      <w:pPr>
        <w:ind w:left="3502" w:hanging="420"/>
      </w:pPr>
    </w:lvl>
    <w:lvl w:ilvl="5" w:tentative="0">
      <w:start w:val="1"/>
      <w:numFmt w:val="lowerRoman"/>
      <w:lvlText w:val="%6."/>
      <w:lvlJc w:val="right"/>
      <w:pPr>
        <w:ind w:left="3922" w:hanging="420"/>
      </w:pPr>
    </w:lvl>
    <w:lvl w:ilvl="6" w:tentative="0">
      <w:start w:val="1"/>
      <w:numFmt w:val="decimal"/>
      <w:lvlText w:val="%7."/>
      <w:lvlJc w:val="left"/>
      <w:pPr>
        <w:ind w:left="4342" w:hanging="420"/>
      </w:pPr>
    </w:lvl>
    <w:lvl w:ilvl="7" w:tentative="0">
      <w:start w:val="1"/>
      <w:numFmt w:val="lowerLetter"/>
      <w:lvlText w:val="%8)"/>
      <w:lvlJc w:val="left"/>
      <w:pPr>
        <w:ind w:left="4762" w:hanging="420"/>
      </w:pPr>
    </w:lvl>
    <w:lvl w:ilvl="8" w:tentative="0">
      <w:start w:val="1"/>
      <w:numFmt w:val="lowerRoman"/>
      <w:lvlText w:val="%9."/>
      <w:lvlJc w:val="right"/>
      <w:pPr>
        <w:ind w:left="5182" w:hanging="420"/>
      </w:pPr>
    </w:lvl>
  </w:abstractNum>
  <w:abstractNum w:abstractNumId="37">
    <w:nsid w:val="5A792747"/>
    <w:multiLevelType w:val="multilevel"/>
    <w:tmpl w:val="5A792747"/>
    <w:lvl w:ilvl="0" w:tentative="0">
      <w:start w:val="1"/>
      <w:numFmt w:val="chineseCountingThousand"/>
      <w:lvlText w:val="(%1)"/>
      <w:lvlJc w:val="left"/>
      <w:pPr>
        <w:ind w:left="928" w:hanging="360"/>
      </w:pPr>
      <w:rPr>
        <w:rFonts w:hint="default"/>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38">
    <w:nsid w:val="5C1C6488"/>
    <w:multiLevelType w:val="multilevel"/>
    <w:tmpl w:val="5C1C6488"/>
    <w:lvl w:ilvl="0" w:tentative="0">
      <w:start w:val="1"/>
      <w:numFmt w:val="chineseCountingThousand"/>
      <w:lvlText w:val="(%1)"/>
      <w:lvlJc w:val="left"/>
      <w:pPr>
        <w:ind w:left="986" w:hanging="420"/>
      </w:pPr>
    </w:lvl>
    <w:lvl w:ilvl="1" w:tentative="0">
      <w:start w:val="1"/>
      <w:numFmt w:val="chineseCountingThousand"/>
      <w:lvlText w:val="(%2)"/>
      <w:lvlJc w:val="left"/>
      <w:pPr>
        <w:ind w:left="2547" w:hanging="420"/>
      </w:pPr>
      <w:rPr>
        <w:rFonts w:ascii="宋体" w:hAnsi="宋体" w:eastAsia="宋体"/>
        <w:color w:val="auto"/>
      </w:rPr>
    </w:lvl>
    <w:lvl w:ilvl="2" w:tentative="0">
      <w:start w:val="1"/>
      <w:numFmt w:val="decimalEnclosedFullstop"/>
      <w:lvlText w:val="%3"/>
      <w:lvlJc w:val="left"/>
      <w:pPr>
        <w:ind w:left="1766" w:hanging="360"/>
      </w:pPr>
      <w:rPr>
        <w:rFonts w:hint="default"/>
      </w:r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9">
    <w:nsid w:val="638064AA"/>
    <w:multiLevelType w:val="multilevel"/>
    <w:tmpl w:val="638064AA"/>
    <w:lvl w:ilvl="0" w:tentative="0">
      <w:start w:val="1"/>
      <w:numFmt w:val="japaneseCounting"/>
      <w:lvlText w:val="%1、"/>
      <w:lvlJc w:val="left"/>
      <w:pPr>
        <w:ind w:left="1856"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0">
    <w:nsid w:val="6A47046A"/>
    <w:multiLevelType w:val="multilevel"/>
    <w:tmpl w:val="6A47046A"/>
    <w:lvl w:ilvl="0" w:tentative="0">
      <w:start w:val="1"/>
      <w:numFmt w:val="chineseCountingThousand"/>
      <w:lvlText w:val="%1、"/>
      <w:lvlJc w:val="left"/>
      <w:pPr>
        <w:ind w:left="1271" w:hanging="420"/>
      </w:pPr>
      <w:rPr>
        <w:rFonts w:hint="eastAsia"/>
        <w:i w:val="0"/>
        <w:sz w:val="28"/>
        <w:szCs w:val="28"/>
      </w:rPr>
    </w:lvl>
    <w:lvl w:ilvl="1" w:tentative="0">
      <w:start w:val="1"/>
      <w:numFmt w:val="lowerLetter"/>
      <w:lvlText w:val="%2)"/>
      <w:lvlJc w:val="left"/>
      <w:pPr>
        <w:ind w:left="1049" w:hanging="420"/>
      </w:pPr>
    </w:lvl>
    <w:lvl w:ilvl="2" w:tentative="0">
      <w:start w:val="1"/>
      <w:numFmt w:val="lowerRoman"/>
      <w:lvlText w:val="%3."/>
      <w:lvlJc w:val="right"/>
      <w:pPr>
        <w:ind w:left="1469" w:hanging="420"/>
      </w:pPr>
    </w:lvl>
    <w:lvl w:ilvl="3" w:tentative="0">
      <w:start w:val="1"/>
      <w:numFmt w:val="decimal"/>
      <w:lvlText w:val="%4."/>
      <w:lvlJc w:val="left"/>
      <w:pPr>
        <w:ind w:left="1889" w:hanging="420"/>
      </w:pPr>
    </w:lvl>
    <w:lvl w:ilvl="4" w:tentative="0">
      <w:start w:val="1"/>
      <w:numFmt w:val="lowerLetter"/>
      <w:lvlText w:val="%5)"/>
      <w:lvlJc w:val="left"/>
      <w:pPr>
        <w:ind w:left="2309" w:hanging="420"/>
      </w:pPr>
    </w:lvl>
    <w:lvl w:ilvl="5" w:tentative="0">
      <w:start w:val="1"/>
      <w:numFmt w:val="lowerRoman"/>
      <w:lvlText w:val="%6."/>
      <w:lvlJc w:val="right"/>
      <w:pPr>
        <w:ind w:left="2729" w:hanging="420"/>
      </w:pPr>
    </w:lvl>
    <w:lvl w:ilvl="6" w:tentative="0">
      <w:start w:val="1"/>
      <w:numFmt w:val="decimal"/>
      <w:lvlText w:val="%7."/>
      <w:lvlJc w:val="left"/>
      <w:pPr>
        <w:ind w:left="3149" w:hanging="420"/>
      </w:pPr>
    </w:lvl>
    <w:lvl w:ilvl="7" w:tentative="0">
      <w:start w:val="1"/>
      <w:numFmt w:val="lowerLetter"/>
      <w:lvlText w:val="%8)"/>
      <w:lvlJc w:val="left"/>
      <w:pPr>
        <w:ind w:left="3569" w:hanging="420"/>
      </w:pPr>
    </w:lvl>
    <w:lvl w:ilvl="8" w:tentative="0">
      <w:start w:val="1"/>
      <w:numFmt w:val="lowerRoman"/>
      <w:lvlText w:val="%9."/>
      <w:lvlJc w:val="right"/>
      <w:pPr>
        <w:ind w:left="3989" w:hanging="420"/>
      </w:pPr>
    </w:lvl>
  </w:abstractNum>
  <w:abstractNum w:abstractNumId="41">
    <w:nsid w:val="721A25D2"/>
    <w:multiLevelType w:val="multilevel"/>
    <w:tmpl w:val="721A25D2"/>
    <w:lvl w:ilvl="0" w:tentative="0">
      <w:start w:val="1"/>
      <w:numFmt w:val="chineseCountingThousand"/>
      <w:lvlText w:val="%1、"/>
      <w:lvlJc w:val="left"/>
      <w:pPr>
        <w:ind w:left="988" w:hanging="420"/>
      </w:p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42">
    <w:nsid w:val="74C1646E"/>
    <w:multiLevelType w:val="multilevel"/>
    <w:tmpl w:val="74C1646E"/>
    <w:lvl w:ilvl="0" w:tentative="0">
      <w:start w:val="1"/>
      <w:numFmt w:val="chineseCountingThousand"/>
      <w:lvlText w:val="%1、"/>
      <w:lvlJc w:val="left"/>
      <w:pPr>
        <w:ind w:left="1413" w:hanging="420"/>
      </w:pPr>
      <w:rPr>
        <w:color w:val="auto"/>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43">
    <w:nsid w:val="77D85A8A"/>
    <w:multiLevelType w:val="multilevel"/>
    <w:tmpl w:val="77D85A8A"/>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4">
    <w:nsid w:val="78645AC5"/>
    <w:multiLevelType w:val="multilevel"/>
    <w:tmpl w:val="78645AC5"/>
    <w:lvl w:ilvl="0" w:tentative="0">
      <w:start w:val="2"/>
      <w:numFmt w:val="japaneseCounting"/>
      <w:lvlText w:val="%1、"/>
      <w:lvlJc w:val="left"/>
      <w:pPr>
        <w:ind w:left="1280" w:hanging="720"/>
      </w:pPr>
    </w:lvl>
    <w:lvl w:ilvl="1" w:tentative="0">
      <w:start w:val="1"/>
      <w:numFmt w:val="japaneseCounting"/>
      <w:lvlText w:val="（%2）"/>
      <w:lvlJc w:val="left"/>
      <w:pPr>
        <w:ind w:left="1820" w:hanging="84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5">
    <w:nsid w:val="7B511F5D"/>
    <w:multiLevelType w:val="multilevel"/>
    <w:tmpl w:val="7B511F5D"/>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6">
    <w:nsid w:val="7B652295"/>
    <w:multiLevelType w:val="multilevel"/>
    <w:tmpl w:val="7B652295"/>
    <w:lvl w:ilvl="0" w:tentative="0">
      <w:start w:val="1"/>
      <w:numFmt w:val="chineseCountingThousand"/>
      <w:lvlText w:val="(%1)"/>
      <w:lvlJc w:val="left"/>
      <w:pPr>
        <w:ind w:left="988" w:hanging="420"/>
      </w:pPr>
    </w:lvl>
    <w:lvl w:ilvl="1" w:tentative="0">
      <w:start w:val="1"/>
      <w:numFmt w:val="lowerLetter"/>
      <w:lvlText w:val="%2)"/>
      <w:lvlJc w:val="left"/>
      <w:pPr>
        <w:ind w:left="1397" w:hanging="420"/>
      </w:pPr>
    </w:lvl>
    <w:lvl w:ilvl="2" w:tentative="0">
      <w:start w:val="1"/>
      <w:numFmt w:val="lowerRoman"/>
      <w:lvlText w:val="%3."/>
      <w:lvlJc w:val="right"/>
      <w:pPr>
        <w:ind w:left="1817" w:hanging="420"/>
      </w:pPr>
    </w:lvl>
    <w:lvl w:ilvl="3" w:tentative="0">
      <w:start w:val="1"/>
      <w:numFmt w:val="decimal"/>
      <w:lvlText w:val="%4."/>
      <w:lvlJc w:val="left"/>
      <w:pPr>
        <w:ind w:left="2237" w:hanging="420"/>
      </w:pPr>
    </w:lvl>
    <w:lvl w:ilvl="4" w:tentative="0">
      <w:start w:val="1"/>
      <w:numFmt w:val="lowerLetter"/>
      <w:lvlText w:val="%5)"/>
      <w:lvlJc w:val="left"/>
      <w:pPr>
        <w:ind w:left="2657" w:hanging="420"/>
      </w:pPr>
    </w:lvl>
    <w:lvl w:ilvl="5" w:tentative="0">
      <w:start w:val="1"/>
      <w:numFmt w:val="lowerRoman"/>
      <w:lvlText w:val="%6."/>
      <w:lvlJc w:val="right"/>
      <w:pPr>
        <w:ind w:left="3077" w:hanging="420"/>
      </w:pPr>
    </w:lvl>
    <w:lvl w:ilvl="6" w:tentative="0">
      <w:start w:val="1"/>
      <w:numFmt w:val="decimal"/>
      <w:lvlText w:val="%7."/>
      <w:lvlJc w:val="left"/>
      <w:pPr>
        <w:ind w:left="3497" w:hanging="420"/>
      </w:pPr>
    </w:lvl>
    <w:lvl w:ilvl="7" w:tentative="0">
      <w:start w:val="1"/>
      <w:numFmt w:val="lowerLetter"/>
      <w:lvlText w:val="%8)"/>
      <w:lvlJc w:val="left"/>
      <w:pPr>
        <w:ind w:left="3917" w:hanging="420"/>
      </w:pPr>
    </w:lvl>
    <w:lvl w:ilvl="8" w:tentative="0">
      <w:start w:val="1"/>
      <w:numFmt w:val="lowerRoman"/>
      <w:lvlText w:val="%9."/>
      <w:lvlJc w:val="right"/>
      <w:pPr>
        <w:ind w:left="4337" w:hanging="420"/>
      </w:pPr>
    </w:lvl>
  </w:abstractNum>
  <w:num w:numId="1">
    <w:abstractNumId w:val="10"/>
  </w:num>
  <w:num w:numId="2">
    <w:abstractNumId w:val="5"/>
  </w:num>
  <w:num w:numId="3">
    <w:abstractNumId w:val="3"/>
  </w:num>
  <w:num w:numId="4">
    <w:abstractNumId w:val="2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31"/>
  </w:num>
  <w:num w:numId="28">
    <w:abstractNumId w:val="38"/>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20"/>
  </w:num>
  <w:num w:numId="32">
    <w:abstractNumId w:val="3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29"/>
  </w:num>
  <w:num w:numId="46">
    <w:abstractNumId w:val="17"/>
  </w:num>
  <w:num w:numId="47">
    <w:abstractNumId w:val="13"/>
  </w:num>
  <w:num w:numId="48">
    <w:abstractNumId w:val="0"/>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portal.cdggzy.com/iWebOffice2015/OfficeHandler.ashx?directory=/CgProject/BidFile/File/%e6%88%90%e9%83%bd%e5%b8%82%e6%94%bf%e9%87%87%e6%8b%9b%e3%80%942021%e3%80%95003%e5%8f%b7/"/>
  </w:docVars>
  <w:rsids>
    <w:rsidRoot w:val="00CF1ACE"/>
    <w:rsid w:val="000023F9"/>
    <w:rsid w:val="00002CDF"/>
    <w:rsid w:val="00005E54"/>
    <w:rsid w:val="00006E4B"/>
    <w:rsid w:val="00012FF9"/>
    <w:rsid w:val="000140DB"/>
    <w:rsid w:val="00022FB1"/>
    <w:rsid w:val="00025EA6"/>
    <w:rsid w:val="00030818"/>
    <w:rsid w:val="00036334"/>
    <w:rsid w:val="00040DED"/>
    <w:rsid w:val="0005000F"/>
    <w:rsid w:val="000650D8"/>
    <w:rsid w:val="00070192"/>
    <w:rsid w:val="00070C97"/>
    <w:rsid w:val="00073445"/>
    <w:rsid w:val="00076B8E"/>
    <w:rsid w:val="0008129E"/>
    <w:rsid w:val="000817D3"/>
    <w:rsid w:val="00084EFF"/>
    <w:rsid w:val="000A2C01"/>
    <w:rsid w:val="000A4FAD"/>
    <w:rsid w:val="000A602F"/>
    <w:rsid w:val="000A6441"/>
    <w:rsid w:val="000B0265"/>
    <w:rsid w:val="000B0BF3"/>
    <w:rsid w:val="000B59E7"/>
    <w:rsid w:val="000B5DED"/>
    <w:rsid w:val="000C5D32"/>
    <w:rsid w:val="000D2F64"/>
    <w:rsid w:val="000E06F3"/>
    <w:rsid w:val="000E5E9A"/>
    <w:rsid w:val="000F0158"/>
    <w:rsid w:val="000F0878"/>
    <w:rsid w:val="000F2A4E"/>
    <w:rsid w:val="000F336A"/>
    <w:rsid w:val="000F686B"/>
    <w:rsid w:val="00103FFF"/>
    <w:rsid w:val="00112E33"/>
    <w:rsid w:val="001220B4"/>
    <w:rsid w:val="00126780"/>
    <w:rsid w:val="00126E6F"/>
    <w:rsid w:val="001274E9"/>
    <w:rsid w:val="0013135C"/>
    <w:rsid w:val="00131474"/>
    <w:rsid w:val="001316AB"/>
    <w:rsid w:val="00133328"/>
    <w:rsid w:val="001337D8"/>
    <w:rsid w:val="00136382"/>
    <w:rsid w:val="001367DE"/>
    <w:rsid w:val="00145B5F"/>
    <w:rsid w:val="001464BA"/>
    <w:rsid w:val="0015033A"/>
    <w:rsid w:val="00152E60"/>
    <w:rsid w:val="001530AA"/>
    <w:rsid w:val="00153D39"/>
    <w:rsid w:val="0016006D"/>
    <w:rsid w:val="00166DA8"/>
    <w:rsid w:val="001743A0"/>
    <w:rsid w:val="00180E99"/>
    <w:rsid w:val="00183954"/>
    <w:rsid w:val="00183A31"/>
    <w:rsid w:val="001907A3"/>
    <w:rsid w:val="00190C2D"/>
    <w:rsid w:val="001A3E67"/>
    <w:rsid w:val="001A4E6B"/>
    <w:rsid w:val="001B01EE"/>
    <w:rsid w:val="001C0380"/>
    <w:rsid w:val="001C0AF5"/>
    <w:rsid w:val="001C0B5E"/>
    <w:rsid w:val="001C2396"/>
    <w:rsid w:val="001C3E7D"/>
    <w:rsid w:val="001C567B"/>
    <w:rsid w:val="001D0C72"/>
    <w:rsid w:val="001D2B00"/>
    <w:rsid w:val="001D5B62"/>
    <w:rsid w:val="001F14AD"/>
    <w:rsid w:val="001F7934"/>
    <w:rsid w:val="00204D7E"/>
    <w:rsid w:val="00207A7A"/>
    <w:rsid w:val="00212B28"/>
    <w:rsid w:val="0022190C"/>
    <w:rsid w:val="00226005"/>
    <w:rsid w:val="00226664"/>
    <w:rsid w:val="00226D7F"/>
    <w:rsid w:val="00226F69"/>
    <w:rsid w:val="00231B3B"/>
    <w:rsid w:val="00236441"/>
    <w:rsid w:val="002408FF"/>
    <w:rsid w:val="00241712"/>
    <w:rsid w:val="002419AF"/>
    <w:rsid w:val="002469A9"/>
    <w:rsid w:val="00253A79"/>
    <w:rsid w:val="002709D2"/>
    <w:rsid w:val="002748C9"/>
    <w:rsid w:val="00280356"/>
    <w:rsid w:val="002917C6"/>
    <w:rsid w:val="00293DA8"/>
    <w:rsid w:val="00294C53"/>
    <w:rsid w:val="002A0BB4"/>
    <w:rsid w:val="002A27F2"/>
    <w:rsid w:val="002A28EB"/>
    <w:rsid w:val="002A5ED8"/>
    <w:rsid w:val="002A7A11"/>
    <w:rsid w:val="002B065F"/>
    <w:rsid w:val="002B0D84"/>
    <w:rsid w:val="002B6646"/>
    <w:rsid w:val="002D08C9"/>
    <w:rsid w:val="002D3B63"/>
    <w:rsid w:val="002D4A3A"/>
    <w:rsid w:val="002D5C2A"/>
    <w:rsid w:val="002D68D5"/>
    <w:rsid w:val="002E594F"/>
    <w:rsid w:val="002E7EF8"/>
    <w:rsid w:val="002F0048"/>
    <w:rsid w:val="002F365D"/>
    <w:rsid w:val="002F5781"/>
    <w:rsid w:val="002F5AE2"/>
    <w:rsid w:val="003014F1"/>
    <w:rsid w:val="00302FDF"/>
    <w:rsid w:val="00306686"/>
    <w:rsid w:val="00312B9F"/>
    <w:rsid w:val="003241A4"/>
    <w:rsid w:val="003271A0"/>
    <w:rsid w:val="00332F29"/>
    <w:rsid w:val="00333069"/>
    <w:rsid w:val="003441C5"/>
    <w:rsid w:val="00346A64"/>
    <w:rsid w:val="00355C5F"/>
    <w:rsid w:val="00357B01"/>
    <w:rsid w:val="00361FF7"/>
    <w:rsid w:val="003667AA"/>
    <w:rsid w:val="00367A16"/>
    <w:rsid w:val="0037060B"/>
    <w:rsid w:val="003723A0"/>
    <w:rsid w:val="00380C03"/>
    <w:rsid w:val="00383618"/>
    <w:rsid w:val="00384717"/>
    <w:rsid w:val="003847E2"/>
    <w:rsid w:val="0039389A"/>
    <w:rsid w:val="003978F7"/>
    <w:rsid w:val="003A0C19"/>
    <w:rsid w:val="003B6F68"/>
    <w:rsid w:val="003C157A"/>
    <w:rsid w:val="003C2F76"/>
    <w:rsid w:val="003C6834"/>
    <w:rsid w:val="003C6FC5"/>
    <w:rsid w:val="003C758A"/>
    <w:rsid w:val="003C7640"/>
    <w:rsid w:val="003D410A"/>
    <w:rsid w:val="003D4733"/>
    <w:rsid w:val="003D6343"/>
    <w:rsid w:val="003D6807"/>
    <w:rsid w:val="003E239A"/>
    <w:rsid w:val="003E3DC4"/>
    <w:rsid w:val="003F06D0"/>
    <w:rsid w:val="00404B00"/>
    <w:rsid w:val="00406310"/>
    <w:rsid w:val="00417C0C"/>
    <w:rsid w:val="004214EC"/>
    <w:rsid w:val="004222DB"/>
    <w:rsid w:val="00441320"/>
    <w:rsid w:val="00450245"/>
    <w:rsid w:val="0045575C"/>
    <w:rsid w:val="004572F9"/>
    <w:rsid w:val="00470681"/>
    <w:rsid w:val="00480888"/>
    <w:rsid w:val="00481CD4"/>
    <w:rsid w:val="004834D3"/>
    <w:rsid w:val="00486F8F"/>
    <w:rsid w:val="0048799A"/>
    <w:rsid w:val="004879B8"/>
    <w:rsid w:val="00495441"/>
    <w:rsid w:val="0049698E"/>
    <w:rsid w:val="004A4D58"/>
    <w:rsid w:val="004A52E7"/>
    <w:rsid w:val="004B0F02"/>
    <w:rsid w:val="004B2947"/>
    <w:rsid w:val="004B3F32"/>
    <w:rsid w:val="004C0763"/>
    <w:rsid w:val="004C6669"/>
    <w:rsid w:val="004D5647"/>
    <w:rsid w:val="004D7054"/>
    <w:rsid w:val="004D7FA3"/>
    <w:rsid w:val="004E422C"/>
    <w:rsid w:val="004F707E"/>
    <w:rsid w:val="0050068E"/>
    <w:rsid w:val="00500750"/>
    <w:rsid w:val="00503AB1"/>
    <w:rsid w:val="00503D28"/>
    <w:rsid w:val="005125D6"/>
    <w:rsid w:val="0051275C"/>
    <w:rsid w:val="00512B9D"/>
    <w:rsid w:val="00515400"/>
    <w:rsid w:val="0051654F"/>
    <w:rsid w:val="00521CC9"/>
    <w:rsid w:val="00531010"/>
    <w:rsid w:val="005368EA"/>
    <w:rsid w:val="00537341"/>
    <w:rsid w:val="005402A8"/>
    <w:rsid w:val="0054100B"/>
    <w:rsid w:val="0054294B"/>
    <w:rsid w:val="0054512E"/>
    <w:rsid w:val="0055041E"/>
    <w:rsid w:val="00555E87"/>
    <w:rsid w:val="005675AB"/>
    <w:rsid w:val="0057140D"/>
    <w:rsid w:val="00576795"/>
    <w:rsid w:val="0057684A"/>
    <w:rsid w:val="0058272F"/>
    <w:rsid w:val="0059270E"/>
    <w:rsid w:val="00594456"/>
    <w:rsid w:val="005974FA"/>
    <w:rsid w:val="005A4591"/>
    <w:rsid w:val="005A6408"/>
    <w:rsid w:val="005B1A0A"/>
    <w:rsid w:val="005B5A54"/>
    <w:rsid w:val="005C1ED5"/>
    <w:rsid w:val="005C2B9F"/>
    <w:rsid w:val="005D46D4"/>
    <w:rsid w:val="005E1190"/>
    <w:rsid w:val="005E1A9E"/>
    <w:rsid w:val="005E3293"/>
    <w:rsid w:val="005E3C5C"/>
    <w:rsid w:val="005E4DE6"/>
    <w:rsid w:val="005F163A"/>
    <w:rsid w:val="005F206A"/>
    <w:rsid w:val="00603BCA"/>
    <w:rsid w:val="0061249C"/>
    <w:rsid w:val="00617AD9"/>
    <w:rsid w:val="00623E7E"/>
    <w:rsid w:val="00624BDE"/>
    <w:rsid w:val="006268C8"/>
    <w:rsid w:val="006275A3"/>
    <w:rsid w:val="0063068E"/>
    <w:rsid w:val="00633BE1"/>
    <w:rsid w:val="00635A31"/>
    <w:rsid w:val="006367A3"/>
    <w:rsid w:val="00644EA6"/>
    <w:rsid w:val="00646D4B"/>
    <w:rsid w:val="00653D81"/>
    <w:rsid w:val="00657A1F"/>
    <w:rsid w:val="0066784B"/>
    <w:rsid w:val="006679BD"/>
    <w:rsid w:val="00672774"/>
    <w:rsid w:val="006804DA"/>
    <w:rsid w:val="00681C63"/>
    <w:rsid w:val="006822B5"/>
    <w:rsid w:val="00684663"/>
    <w:rsid w:val="006854DF"/>
    <w:rsid w:val="006869ED"/>
    <w:rsid w:val="0068737C"/>
    <w:rsid w:val="00690078"/>
    <w:rsid w:val="0069210A"/>
    <w:rsid w:val="006A0990"/>
    <w:rsid w:val="006A0F6C"/>
    <w:rsid w:val="006A5A4D"/>
    <w:rsid w:val="006A6101"/>
    <w:rsid w:val="006B0229"/>
    <w:rsid w:val="006B20BE"/>
    <w:rsid w:val="006C5386"/>
    <w:rsid w:val="006C6752"/>
    <w:rsid w:val="006D71FB"/>
    <w:rsid w:val="006E0449"/>
    <w:rsid w:val="006E5ED4"/>
    <w:rsid w:val="006E6AA9"/>
    <w:rsid w:val="006E7230"/>
    <w:rsid w:val="006E7724"/>
    <w:rsid w:val="006F63C3"/>
    <w:rsid w:val="007038DE"/>
    <w:rsid w:val="007049B2"/>
    <w:rsid w:val="00704C6D"/>
    <w:rsid w:val="00704DC4"/>
    <w:rsid w:val="0070638A"/>
    <w:rsid w:val="007072F2"/>
    <w:rsid w:val="00715052"/>
    <w:rsid w:val="00724DA7"/>
    <w:rsid w:val="007251FB"/>
    <w:rsid w:val="00726D6C"/>
    <w:rsid w:val="007317F8"/>
    <w:rsid w:val="0073347E"/>
    <w:rsid w:val="0073447D"/>
    <w:rsid w:val="00736727"/>
    <w:rsid w:val="00736873"/>
    <w:rsid w:val="00741E81"/>
    <w:rsid w:val="007510B7"/>
    <w:rsid w:val="007518F3"/>
    <w:rsid w:val="00752697"/>
    <w:rsid w:val="00755470"/>
    <w:rsid w:val="007664BE"/>
    <w:rsid w:val="00771076"/>
    <w:rsid w:val="00771A0E"/>
    <w:rsid w:val="007724E1"/>
    <w:rsid w:val="00773306"/>
    <w:rsid w:val="00775A5A"/>
    <w:rsid w:val="00780F0C"/>
    <w:rsid w:val="00781319"/>
    <w:rsid w:val="007837F1"/>
    <w:rsid w:val="00783BD0"/>
    <w:rsid w:val="00786C69"/>
    <w:rsid w:val="00791F5B"/>
    <w:rsid w:val="00796DB8"/>
    <w:rsid w:val="007A7A8E"/>
    <w:rsid w:val="007B02D1"/>
    <w:rsid w:val="007B3E88"/>
    <w:rsid w:val="007C2382"/>
    <w:rsid w:val="007C38F7"/>
    <w:rsid w:val="007C4162"/>
    <w:rsid w:val="007C4BE7"/>
    <w:rsid w:val="007C539B"/>
    <w:rsid w:val="007C7FD2"/>
    <w:rsid w:val="007D0DB8"/>
    <w:rsid w:val="007D24B7"/>
    <w:rsid w:val="007D67DA"/>
    <w:rsid w:val="007D757F"/>
    <w:rsid w:val="007E211F"/>
    <w:rsid w:val="007E5A29"/>
    <w:rsid w:val="007F0578"/>
    <w:rsid w:val="007F230E"/>
    <w:rsid w:val="007F7DA1"/>
    <w:rsid w:val="00806685"/>
    <w:rsid w:val="008110C4"/>
    <w:rsid w:val="00814890"/>
    <w:rsid w:val="00816672"/>
    <w:rsid w:val="00816FA6"/>
    <w:rsid w:val="00820A16"/>
    <w:rsid w:val="008225C9"/>
    <w:rsid w:val="0082518D"/>
    <w:rsid w:val="00836F98"/>
    <w:rsid w:val="00841C2A"/>
    <w:rsid w:val="00844E49"/>
    <w:rsid w:val="00847674"/>
    <w:rsid w:val="00847F32"/>
    <w:rsid w:val="00850C91"/>
    <w:rsid w:val="00851D06"/>
    <w:rsid w:val="0086413F"/>
    <w:rsid w:val="00864D5A"/>
    <w:rsid w:val="008670B6"/>
    <w:rsid w:val="00870A43"/>
    <w:rsid w:val="00874701"/>
    <w:rsid w:val="008762FC"/>
    <w:rsid w:val="00880D33"/>
    <w:rsid w:val="00882538"/>
    <w:rsid w:val="00882D71"/>
    <w:rsid w:val="00885E0D"/>
    <w:rsid w:val="0088663E"/>
    <w:rsid w:val="008870ED"/>
    <w:rsid w:val="00895A9B"/>
    <w:rsid w:val="008A0B3C"/>
    <w:rsid w:val="008A358E"/>
    <w:rsid w:val="008A6979"/>
    <w:rsid w:val="008A7E20"/>
    <w:rsid w:val="008B1ED4"/>
    <w:rsid w:val="008B3DF8"/>
    <w:rsid w:val="008C1C28"/>
    <w:rsid w:val="008C2151"/>
    <w:rsid w:val="008C6E65"/>
    <w:rsid w:val="008D0972"/>
    <w:rsid w:val="008D1CC4"/>
    <w:rsid w:val="008D727A"/>
    <w:rsid w:val="008E3FC2"/>
    <w:rsid w:val="008E42E6"/>
    <w:rsid w:val="0090256B"/>
    <w:rsid w:val="0090294D"/>
    <w:rsid w:val="00907471"/>
    <w:rsid w:val="00920064"/>
    <w:rsid w:val="00925952"/>
    <w:rsid w:val="00930935"/>
    <w:rsid w:val="00933BE2"/>
    <w:rsid w:val="009369D5"/>
    <w:rsid w:val="00940298"/>
    <w:rsid w:val="0094034D"/>
    <w:rsid w:val="00940475"/>
    <w:rsid w:val="0094251A"/>
    <w:rsid w:val="0094290D"/>
    <w:rsid w:val="00945727"/>
    <w:rsid w:val="00954424"/>
    <w:rsid w:val="00954825"/>
    <w:rsid w:val="009565EE"/>
    <w:rsid w:val="00956A25"/>
    <w:rsid w:val="00962D88"/>
    <w:rsid w:val="00966388"/>
    <w:rsid w:val="009777B4"/>
    <w:rsid w:val="00981875"/>
    <w:rsid w:val="0098764D"/>
    <w:rsid w:val="00987A66"/>
    <w:rsid w:val="009959C6"/>
    <w:rsid w:val="00996427"/>
    <w:rsid w:val="009A0264"/>
    <w:rsid w:val="009A340D"/>
    <w:rsid w:val="009A4AB3"/>
    <w:rsid w:val="009B0A57"/>
    <w:rsid w:val="009B3392"/>
    <w:rsid w:val="009B6112"/>
    <w:rsid w:val="009D63B9"/>
    <w:rsid w:val="009D74E4"/>
    <w:rsid w:val="009E1613"/>
    <w:rsid w:val="009F376F"/>
    <w:rsid w:val="009F45D0"/>
    <w:rsid w:val="009F560A"/>
    <w:rsid w:val="00A0406F"/>
    <w:rsid w:val="00A04D30"/>
    <w:rsid w:val="00A06B57"/>
    <w:rsid w:val="00A10A62"/>
    <w:rsid w:val="00A11F13"/>
    <w:rsid w:val="00A1367E"/>
    <w:rsid w:val="00A17914"/>
    <w:rsid w:val="00A20B2B"/>
    <w:rsid w:val="00A265A5"/>
    <w:rsid w:val="00A277DE"/>
    <w:rsid w:val="00A32366"/>
    <w:rsid w:val="00A3488E"/>
    <w:rsid w:val="00A37974"/>
    <w:rsid w:val="00A43C13"/>
    <w:rsid w:val="00A5162F"/>
    <w:rsid w:val="00A57B55"/>
    <w:rsid w:val="00A616EA"/>
    <w:rsid w:val="00A64431"/>
    <w:rsid w:val="00A84AEB"/>
    <w:rsid w:val="00A92CC5"/>
    <w:rsid w:val="00AA1F89"/>
    <w:rsid w:val="00AA5692"/>
    <w:rsid w:val="00AA74AC"/>
    <w:rsid w:val="00AA7A00"/>
    <w:rsid w:val="00AC126F"/>
    <w:rsid w:val="00AC3FD6"/>
    <w:rsid w:val="00AC60A7"/>
    <w:rsid w:val="00AD1925"/>
    <w:rsid w:val="00AD612C"/>
    <w:rsid w:val="00AD7D30"/>
    <w:rsid w:val="00AE2FCC"/>
    <w:rsid w:val="00AE402F"/>
    <w:rsid w:val="00AE4041"/>
    <w:rsid w:val="00AF2F9F"/>
    <w:rsid w:val="00AF394A"/>
    <w:rsid w:val="00AF5C62"/>
    <w:rsid w:val="00B01868"/>
    <w:rsid w:val="00B15145"/>
    <w:rsid w:val="00B252FE"/>
    <w:rsid w:val="00B253B6"/>
    <w:rsid w:val="00B33A49"/>
    <w:rsid w:val="00B35C9B"/>
    <w:rsid w:val="00B36256"/>
    <w:rsid w:val="00B36966"/>
    <w:rsid w:val="00B36B0C"/>
    <w:rsid w:val="00B46060"/>
    <w:rsid w:val="00B46EE1"/>
    <w:rsid w:val="00B54844"/>
    <w:rsid w:val="00B5671B"/>
    <w:rsid w:val="00B614BA"/>
    <w:rsid w:val="00B62815"/>
    <w:rsid w:val="00B65528"/>
    <w:rsid w:val="00B66708"/>
    <w:rsid w:val="00B66E92"/>
    <w:rsid w:val="00B70C14"/>
    <w:rsid w:val="00B745ED"/>
    <w:rsid w:val="00B75AD4"/>
    <w:rsid w:val="00B83AD5"/>
    <w:rsid w:val="00B83F96"/>
    <w:rsid w:val="00B85A12"/>
    <w:rsid w:val="00B90DFE"/>
    <w:rsid w:val="00B92377"/>
    <w:rsid w:val="00B924E0"/>
    <w:rsid w:val="00B92A54"/>
    <w:rsid w:val="00B92C73"/>
    <w:rsid w:val="00B93C0F"/>
    <w:rsid w:val="00BA2579"/>
    <w:rsid w:val="00BB3CEB"/>
    <w:rsid w:val="00BB7B8B"/>
    <w:rsid w:val="00BB7FCC"/>
    <w:rsid w:val="00BC5447"/>
    <w:rsid w:val="00BC570B"/>
    <w:rsid w:val="00BD127B"/>
    <w:rsid w:val="00BD4028"/>
    <w:rsid w:val="00BD479D"/>
    <w:rsid w:val="00BD5843"/>
    <w:rsid w:val="00BE4E49"/>
    <w:rsid w:val="00BE516D"/>
    <w:rsid w:val="00BF2FB8"/>
    <w:rsid w:val="00BF3877"/>
    <w:rsid w:val="00BF64A7"/>
    <w:rsid w:val="00C00525"/>
    <w:rsid w:val="00C0150D"/>
    <w:rsid w:val="00C015E3"/>
    <w:rsid w:val="00C10E55"/>
    <w:rsid w:val="00C16E69"/>
    <w:rsid w:val="00C171D1"/>
    <w:rsid w:val="00C24887"/>
    <w:rsid w:val="00C308CB"/>
    <w:rsid w:val="00C30B14"/>
    <w:rsid w:val="00C32FD2"/>
    <w:rsid w:val="00C33C53"/>
    <w:rsid w:val="00C361C7"/>
    <w:rsid w:val="00C420D5"/>
    <w:rsid w:val="00C42B05"/>
    <w:rsid w:val="00C430D7"/>
    <w:rsid w:val="00C544EB"/>
    <w:rsid w:val="00C64B3A"/>
    <w:rsid w:val="00C724E3"/>
    <w:rsid w:val="00C76138"/>
    <w:rsid w:val="00C77B0B"/>
    <w:rsid w:val="00C81972"/>
    <w:rsid w:val="00C81AC3"/>
    <w:rsid w:val="00C856BB"/>
    <w:rsid w:val="00C94102"/>
    <w:rsid w:val="00C97BE3"/>
    <w:rsid w:val="00CA2F4A"/>
    <w:rsid w:val="00CA5B10"/>
    <w:rsid w:val="00CB540D"/>
    <w:rsid w:val="00CB75A1"/>
    <w:rsid w:val="00CC0591"/>
    <w:rsid w:val="00CC3BA6"/>
    <w:rsid w:val="00CD0088"/>
    <w:rsid w:val="00CD7300"/>
    <w:rsid w:val="00CE50DF"/>
    <w:rsid w:val="00CE73EE"/>
    <w:rsid w:val="00CE7DDF"/>
    <w:rsid w:val="00CF1ACE"/>
    <w:rsid w:val="00CF1FE5"/>
    <w:rsid w:val="00CF3520"/>
    <w:rsid w:val="00CF63CC"/>
    <w:rsid w:val="00D01F8C"/>
    <w:rsid w:val="00D02130"/>
    <w:rsid w:val="00D03862"/>
    <w:rsid w:val="00D0537E"/>
    <w:rsid w:val="00D06771"/>
    <w:rsid w:val="00D06780"/>
    <w:rsid w:val="00D07B2A"/>
    <w:rsid w:val="00D1371B"/>
    <w:rsid w:val="00D1414E"/>
    <w:rsid w:val="00D15A38"/>
    <w:rsid w:val="00D17262"/>
    <w:rsid w:val="00D20679"/>
    <w:rsid w:val="00D20709"/>
    <w:rsid w:val="00D23840"/>
    <w:rsid w:val="00D238CE"/>
    <w:rsid w:val="00D27849"/>
    <w:rsid w:val="00D27B76"/>
    <w:rsid w:val="00D33BCA"/>
    <w:rsid w:val="00D33EF8"/>
    <w:rsid w:val="00D35E4E"/>
    <w:rsid w:val="00D36148"/>
    <w:rsid w:val="00D40189"/>
    <w:rsid w:val="00D475C4"/>
    <w:rsid w:val="00D478E4"/>
    <w:rsid w:val="00D47A92"/>
    <w:rsid w:val="00D5013F"/>
    <w:rsid w:val="00D71663"/>
    <w:rsid w:val="00D80581"/>
    <w:rsid w:val="00D84A01"/>
    <w:rsid w:val="00D854F6"/>
    <w:rsid w:val="00D961E3"/>
    <w:rsid w:val="00DA1A2A"/>
    <w:rsid w:val="00DB0E6C"/>
    <w:rsid w:val="00DB5183"/>
    <w:rsid w:val="00DB692D"/>
    <w:rsid w:val="00DC6DA2"/>
    <w:rsid w:val="00DC74C9"/>
    <w:rsid w:val="00DD645D"/>
    <w:rsid w:val="00DD71B2"/>
    <w:rsid w:val="00DE2A55"/>
    <w:rsid w:val="00DE4E2A"/>
    <w:rsid w:val="00DE5921"/>
    <w:rsid w:val="00DE6CC2"/>
    <w:rsid w:val="00DF5559"/>
    <w:rsid w:val="00E05FDD"/>
    <w:rsid w:val="00E17B5E"/>
    <w:rsid w:val="00E22020"/>
    <w:rsid w:val="00E2305B"/>
    <w:rsid w:val="00E3001E"/>
    <w:rsid w:val="00E356EE"/>
    <w:rsid w:val="00E36494"/>
    <w:rsid w:val="00E4047E"/>
    <w:rsid w:val="00E42C71"/>
    <w:rsid w:val="00E469A5"/>
    <w:rsid w:val="00E508A4"/>
    <w:rsid w:val="00E538C0"/>
    <w:rsid w:val="00E5505F"/>
    <w:rsid w:val="00E6293D"/>
    <w:rsid w:val="00E67B07"/>
    <w:rsid w:val="00E74BDC"/>
    <w:rsid w:val="00E805F4"/>
    <w:rsid w:val="00E84049"/>
    <w:rsid w:val="00E8564C"/>
    <w:rsid w:val="00E864B5"/>
    <w:rsid w:val="00E9566D"/>
    <w:rsid w:val="00E975B6"/>
    <w:rsid w:val="00EB0801"/>
    <w:rsid w:val="00EB6F5B"/>
    <w:rsid w:val="00EC39FF"/>
    <w:rsid w:val="00EC5E09"/>
    <w:rsid w:val="00ED0CD9"/>
    <w:rsid w:val="00ED39F5"/>
    <w:rsid w:val="00ED7F01"/>
    <w:rsid w:val="00EE1F53"/>
    <w:rsid w:val="00EE495A"/>
    <w:rsid w:val="00EF28FE"/>
    <w:rsid w:val="00EF4128"/>
    <w:rsid w:val="00F212C9"/>
    <w:rsid w:val="00F2478E"/>
    <w:rsid w:val="00F247EE"/>
    <w:rsid w:val="00F27328"/>
    <w:rsid w:val="00F34199"/>
    <w:rsid w:val="00F3668F"/>
    <w:rsid w:val="00F36B04"/>
    <w:rsid w:val="00F4168B"/>
    <w:rsid w:val="00F42E2F"/>
    <w:rsid w:val="00F44B02"/>
    <w:rsid w:val="00F5518D"/>
    <w:rsid w:val="00F57DB9"/>
    <w:rsid w:val="00F60810"/>
    <w:rsid w:val="00F60C5F"/>
    <w:rsid w:val="00F61DE3"/>
    <w:rsid w:val="00F627A1"/>
    <w:rsid w:val="00F63413"/>
    <w:rsid w:val="00F70DD5"/>
    <w:rsid w:val="00F8060D"/>
    <w:rsid w:val="00F861BA"/>
    <w:rsid w:val="00F9124B"/>
    <w:rsid w:val="00F93BA9"/>
    <w:rsid w:val="00F95C19"/>
    <w:rsid w:val="00F96084"/>
    <w:rsid w:val="00F96842"/>
    <w:rsid w:val="00F96ACD"/>
    <w:rsid w:val="00FA0891"/>
    <w:rsid w:val="00FA47EC"/>
    <w:rsid w:val="00FA7099"/>
    <w:rsid w:val="00FB0BB4"/>
    <w:rsid w:val="00FC0784"/>
    <w:rsid w:val="00FC7227"/>
    <w:rsid w:val="00FC7A22"/>
    <w:rsid w:val="00FD00E8"/>
    <w:rsid w:val="00FD0D2A"/>
    <w:rsid w:val="00FD10E8"/>
    <w:rsid w:val="00FD50D8"/>
    <w:rsid w:val="00FD686A"/>
    <w:rsid w:val="00FE38C2"/>
    <w:rsid w:val="00FE697E"/>
    <w:rsid w:val="00FF0E0E"/>
    <w:rsid w:val="00FF3CA8"/>
    <w:rsid w:val="00FF4600"/>
    <w:rsid w:val="00FF7CD8"/>
    <w:rsid w:val="01434435"/>
    <w:rsid w:val="014F62CB"/>
    <w:rsid w:val="01757401"/>
    <w:rsid w:val="02051C4D"/>
    <w:rsid w:val="023257B4"/>
    <w:rsid w:val="032E12BD"/>
    <w:rsid w:val="03C01BD8"/>
    <w:rsid w:val="03C74FB0"/>
    <w:rsid w:val="03FB4359"/>
    <w:rsid w:val="03FE2C64"/>
    <w:rsid w:val="04172455"/>
    <w:rsid w:val="04533689"/>
    <w:rsid w:val="05A672A6"/>
    <w:rsid w:val="0781151E"/>
    <w:rsid w:val="079B3BAC"/>
    <w:rsid w:val="08071023"/>
    <w:rsid w:val="08516397"/>
    <w:rsid w:val="0AE27A86"/>
    <w:rsid w:val="0BCD4004"/>
    <w:rsid w:val="0C4F5B9A"/>
    <w:rsid w:val="0C9327B6"/>
    <w:rsid w:val="0CD76436"/>
    <w:rsid w:val="0CFF7B5C"/>
    <w:rsid w:val="0E10157D"/>
    <w:rsid w:val="0E1C0EE5"/>
    <w:rsid w:val="0E6C0832"/>
    <w:rsid w:val="0E9E39B7"/>
    <w:rsid w:val="108A7CAC"/>
    <w:rsid w:val="12494C82"/>
    <w:rsid w:val="12887028"/>
    <w:rsid w:val="128F5807"/>
    <w:rsid w:val="12EA0C0E"/>
    <w:rsid w:val="138D30C0"/>
    <w:rsid w:val="139606A9"/>
    <w:rsid w:val="13C965F4"/>
    <w:rsid w:val="141E0255"/>
    <w:rsid w:val="14370E44"/>
    <w:rsid w:val="145D76A8"/>
    <w:rsid w:val="148C0BAA"/>
    <w:rsid w:val="149E1509"/>
    <w:rsid w:val="15E22DEA"/>
    <w:rsid w:val="16024B2E"/>
    <w:rsid w:val="161879B8"/>
    <w:rsid w:val="16A42F3D"/>
    <w:rsid w:val="175975D9"/>
    <w:rsid w:val="17842D50"/>
    <w:rsid w:val="17E459A4"/>
    <w:rsid w:val="18597893"/>
    <w:rsid w:val="18D86AC4"/>
    <w:rsid w:val="19257F5C"/>
    <w:rsid w:val="19312903"/>
    <w:rsid w:val="193F3E15"/>
    <w:rsid w:val="19E51499"/>
    <w:rsid w:val="19F25EA9"/>
    <w:rsid w:val="1B7367E2"/>
    <w:rsid w:val="1B7877E9"/>
    <w:rsid w:val="1C674EEC"/>
    <w:rsid w:val="1E185427"/>
    <w:rsid w:val="1E484981"/>
    <w:rsid w:val="1E617CA6"/>
    <w:rsid w:val="1ED40637"/>
    <w:rsid w:val="1FFC5D10"/>
    <w:rsid w:val="20385957"/>
    <w:rsid w:val="203C2940"/>
    <w:rsid w:val="20501F55"/>
    <w:rsid w:val="20EC135F"/>
    <w:rsid w:val="21535083"/>
    <w:rsid w:val="222B5EB7"/>
    <w:rsid w:val="22A00653"/>
    <w:rsid w:val="23330A80"/>
    <w:rsid w:val="246F13CD"/>
    <w:rsid w:val="25D15B76"/>
    <w:rsid w:val="25F929BB"/>
    <w:rsid w:val="26534F18"/>
    <w:rsid w:val="26B03A89"/>
    <w:rsid w:val="26B81ACA"/>
    <w:rsid w:val="28E032B8"/>
    <w:rsid w:val="28EA642F"/>
    <w:rsid w:val="292818E4"/>
    <w:rsid w:val="2A675B3E"/>
    <w:rsid w:val="2BC50549"/>
    <w:rsid w:val="2CCE20E1"/>
    <w:rsid w:val="2CDA7095"/>
    <w:rsid w:val="2D4D127F"/>
    <w:rsid w:val="2DD94DA6"/>
    <w:rsid w:val="2EA17C2D"/>
    <w:rsid w:val="2F254DFF"/>
    <w:rsid w:val="2F523225"/>
    <w:rsid w:val="2F885AC5"/>
    <w:rsid w:val="30577ED5"/>
    <w:rsid w:val="30757898"/>
    <w:rsid w:val="30AC6B51"/>
    <w:rsid w:val="31496359"/>
    <w:rsid w:val="32BA517E"/>
    <w:rsid w:val="367077C6"/>
    <w:rsid w:val="36F94750"/>
    <w:rsid w:val="3754021E"/>
    <w:rsid w:val="37B05FEB"/>
    <w:rsid w:val="37ED2775"/>
    <w:rsid w:val="380B30C9"/>
    <w:rsid w:val="388445D0"/>
    <w:rsid w:val="394064DD"/>
    <w:rsid w:val="3AC42C9A"/>
    <w:rsid w:val="3BE34134"/>
    <w:rsid w:val="3C092FF4"/>
    <w:rsid w:val="3C2A7F0C"/>
    <w:rsid w:val="3C402A81"/>
    <w:rsid w:val="3C593B0D"/>
    <w:rsid w:val="3CB32653"/>
    <w:rsid w:val="3D712EC0"/>
    <w:rsid w:val="3E677374"/>
    <w:rsid w:val="3F5331F4"/>
    <w:rsid w:val="40416418"/>
    <w:rsid w:val="40A33779"/>
    <w:rsid w:val="41666DF9"/>
    <w:rsid w:val="420A607E"/>
    <w:rsid w:val="42175C2F"/>
    <w:rsid w:val="422C509C"/>
    <w:rsid w:val="42E41A4D"/>
    <w:rsid w:val="446B3109"/>
    <w:rsid w:val="44746CE0"/>
    <w:rsid w:val="44A26DB3"/>
    <w:rsid w:val="44E7637C"/>
    <w:rsid w:val="44E95B9E"/>
    <w:rsid w:val="450435C7"/>
    <w:rsid w:val="454B396B"/>
    <w:rsid w:val="45A130A3"/>
    <w:rsid w:val="46376792"/>
    <w:rsid w:val="467544A8"/>
    <w:rsid w:val="47EF01A4"/>
    <w:rsid w:val="4875348B"/>
    <w:rsid w:val="491B31B8"/>
    <w:rsid w:val="493E326C"/>
    <w:rsid w:val="4C66024A"/>
    <w:rsid w:val="4C7C5F07"/>
    <w:rsid w:val="4CEB1585"/>
    <w:rsid w:val="4D0D05AC"/>
    <w:rsid w:val="4D6A72FE"/>
    <w:rsid w:val="4E332B0B"/>
    <w:rsid w:val="4E3A498B"/>
    <w:rsid w:val="4EC5049D"/>
    <w:rsid w:val="4F6345DD"/>
    <w:rsid w:val="4F9D3910"/>
    <w:rsid w:val="50090642"/>
    <w:rsid w:val="505C3C20"/>
    <w:rsid w:val="508C3B44"/>
    <w:rsid w:val="50E76D58"/>
    <w:rsid w:val="52333FB1"/>
    <w:rsid w:val="52950649"/>
    <w:rsid w:val="55CF3663"/>
    <w:rsid w:val="56837EEB"/>
    <w:rsid w:val="568453E2"/>
    <w:rsid w:val="56C715EB"/>
    <w:rsid w:val="56E06658"/>
    <w:rsid w:val="57FF4D17"/>
    <w:rsid w:val="58825832"/>
    <w:rsid w:val="58951B8A"/>
    <w:rsid w:val="58B42CD1"/>
    <w:rsid w:val="592F46C3"/>
    <w:rsid w:val="5A2F437A"/>
    <w:rsid w:val="5A6630CB"/>
    <w:rsid w:val="5A744A5D"/>
    <w:rsid w:val="5A912109"/>
    <w:rsid w:val="5B1C23F9"/>
    <w:rsid w:val="5B1F7E64"/>
    <w:rsid w:val="5B7268AB"/>
    <w:rsid w:val="5CA67D28"/>
    <w:rsid w:val="5CB56471"/>
    <w:rsid w:val="5DAB6126"/>
    <w:rsid w:val="5DB6074F"/>
    <w:rsid w:val="5DBF6E54"/>
    <w:rsid w:val="5DC57088"/>
    <w:rsid w:val="5DD45D5A"/>
    <w:rsid w:val="5E683B8A"/>
    <w:rsid w:val="5ECF60D5"/>
    <w:rsid w:val="5FD867B5"/>
    <w:rsid w:val="60011A2A"/>
    <w:rsid w:val="60B97D90"/>
    <w:rsid w:val="60DE34FD"/>
    <w:rsid w:val="6108399C"/>
    <w:rsid w:val="612A3AC0"/>
    <w:rsid w:val="61E22D20"/>
    <w:rsid w:val="61FA337C"/>
    <w:rsid w:val="626A32B0"/>
    <w:rsid w:val="62C1637C"/>
    <w:rsid w:val="62DB4FE1"/>
    <w:rsid w:val="634C2388"/>
    <w:rsid w:val="63685E0F"/>
    <w:rsid w:val="638971CF"/>
    <w:rsid w:val="63951280"/>
    <w:rsid w:val="63F25A11"/>
    <w:rsid w:val="65691208"/>
    <w:rsid w:val="664B0DD9"/>
    <w:rsid w:val="67985409"/>
    <w:rsid w:val="681E0551"/>
    <w:rsid w:val="6A903C60"/>
    <w:rsid w:val="6BF92815"/>
    <w:rsid w:val="6C930D1F"/>
    <w:rsid w:val="6CA65CE3"/>
    <w:rsid w:val="6CB73D86"/>
    <w:rsid w:val="6D373E6C"/>
    <w:rsid w:val="6E087BC2"/>
    <w:rsid w:val="6E2D7260"/>
    <w:rsid w:val="6E5D2AC0"/>
    <w:rsid w:val="713E6586"/>
    <w:rsid w:val="71F550B6"/>
    <w:rsid w:val="720535FB"/>
    <w:rsid w:val="720E111A"/>
    <w:rsid w:val="723C2C9F"/>
    <w:rsid w:val="72D926E1"/>
    <w:rsid w:val="72EB7D1D"/>
    <w:rsid w:val="730562ED"/>
    <w:rsid w:val="732A7626"/>
    <w:rsid w:val="73746428"/>
    <w:rsid w:val="74752363"/>
    <w:rsid w:val="74DB409D"/>
    <w:rsid w:val="754B57C9"/>
    <w:rsid w:val="76373520"/>
    <w:rsid w:val="77165125"/>
    <w:rsid w:val="77645927"/>
    <w:rsid w:val="77682B43"/>
    <w:rsid w:val="77910F2F"/>
    <w:rsid w:val="779F3E4B"/>
    <w:rsid w:val="77F405AC"/>
    <w:rsid w:val="78DA400E"/>
    <w:rsid w:val="79082B7E"/>
    <w:rsid w:val="79405E83"/>
    <w:rsid w:val="79E33246"/>
    <w:rsid w:val="7B052139"/>
    <w:rsid w:val="7BDB50BC"/>
    <w:rsid w:val="7C125A1D"/>
    <w:rsid w:val="7C5E2AFB"/>
    <w:rsid w:val="7C9B54D0"/>
    <w:rsid w:val="7D2A660C"/>
    <w:rsid w:val="7E747B6D"/>
    <w:rsid w:val="7E9E5DEC"/>
    <w:rsid w:val="7EBB54C0"/>
    <w:rsid w:val="7F671451"/>
    <w:rsid w:val="7F945C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qFormat="1" w:uiPriority="0" w:semiHidden="0"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qFormat="1" w:uiPriority="0" w:semiHidden="0"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50"/>
    <w:qFormat/>
    <w:uiPriority w:val="0"/>
    <w:pPr>
      <w:keepNext/>
      <w:keepLines/>
      <w:numPr>
        <w:ilvl w:val="0"/>
        <w:numId w:val="1"/>
      </w:numPr>
      <w:spacing w:before="340" w:after="330" w:line="400" w:lineRule="exact"/>
      <w:jc w:val="center"/>
      <w:outlineLvl w:val="0"/>
    </w:pPr>
    <w:rPr>
      <w:rFonts w:ascii="宋体" w:hAnsi="宋体" w:cs="宋体"/>
      <w:b/>
      <w:bCs/>
      <w:spacing w:val="-20"/>
      <w:kern w:val="44"/>
      <w:sz w:val="32"/>
      <w:szCs w:val="32"/>
    </w:rPr>
  </w:style>
  <w:style w:type="paragraph" w:styleId="5">
    <w:name w:val="heading 2"/>
    <w:basedOn w:val="1"/>
    <w:next w:val="1"/>
    <w:link w:val="51"/>
    <w:unhideWhenUsed/>
    <w:qFormat/>
    <w:uiPriority w:val="0"/>
    <w:pPr>
      <w:keepNext/>
      <w:keepLines/>
      <w:numPr>
        <w:ilvl w:val="1"/>
        <w:numId w:val="1"/>
      </w:numPr>
      <w:spacing w:before="260" w:after="260" w:line="360" w:lineRule="auto"/>
      <w:jc w:val="left"/>
      <w:outlineLvl w:val="1"/>
    </w:pPr>
    <w:rPr>
      <w:rFonts w:ascii="宋体" w:hAnsi="宋体" w:cs="宋体"/>
      <w:b/>
      <w:bCs/>
      <w:sz w:val="28"/>
      <w:szCs w:val="28"/>
    </w:rPr>
  </w:style>
  <w:style w:type="paragraph" w:styleId="6">
    <w:name w:val="heading 3"/>
    <w:basedOn w:val="1"/>
    <w:next w:val="1"/>
    <w:link w:val="52"/>
    <w:unhideWhenUsed/>
    <w:qFormat/>
    <w:uiPriority w:val="0"/>
    <w:pPr>
      <w:keepNext/>
      <w:keepLines/>
      <w:numPr>
        <w:ilvl w:val="2"/>
        <w:numId w:val="1"/>
      </w:numPr>
      <w:spacing w:line="360" w:lineRule="auto"/>
      <w:outlineLvl w:val="2"/>
    </w:pPr>
    <w:rPr>
      <w:rFonts w:ascii="宋体" w:hAnsi="宋体" w:cs="宋体"/>
      <w:b/>
      <w:bCs/>
      <w:color w:val="000000"/>
      <w:kern w:val="0"/>
      <w:sz w:val="28"/>
      <w:szCs w:val="28"/>
    </w:rPr>
  </w:style>
  <w:style w:type="paragraph" w:styleId="7">
    <w:name w:val="heading 4"/>
    <w:basedOn w:val="1"/>
    <w:next w:val="1"/>
    <w:link w:val="53"/>
    <w:unhideWhenUsed/>
    <w:qFormat/>
    <w:uiPriority w:val="9"/>
    <w:pPr>
      <w:keepNext/>
      <w:keepLines/>
      <w:numPr>
        <w:ilvl w:val="3"/>
        <w:numId w:val="1"/>
      </w:numPr>
      <w:spacing w:before="120" w:after="120" w:line="360" w:lineRule="auto"/>
      <w:jc w:val="left"/>
      <w:outlineLvl w:val="3"/>
    </w:pPr>
    <w:rPr>
      <w:rFonts w:ascii="Arial" w:hAnsi="Arial"/>
      <w:b/>
      <w:bCs/>
      <w:kern w:val="0"/>
      <w:sz w:val="28"/>
      <w:szCs w:val="28"/>
    </w:rPr>
  </w:style>
  <w:style w:type="paragraph" w:styleId="8">
    <w:name w:val="heading 5"/>
    <w:basedOn w:val="1"/>
    <w:next w:val="1"/>
    <w:link w:val="54"/>
    <w:unhideWhenUsed/>
    <w:qFormat/>
    <w:uiPriority w:val="9"/>
    <w:pPr>
      <w:numPr>
        <w:ilvl w:val="4"/>
        <w:numId w:val="2"/>
      </w:numPr>
      <w:tabs>
        <w:tab w:val="left" w:pos="1134"/>
      </w:tabs>
      <w:spacing w:before="280" w:after="290" w:line="360" w:lineRule="auto"/>
      <w:outlineLvl w:val="4"/>
    </w:pPr>
    <w:rPr>
      <w:rFonts w:cs="宋体"/>
      <w:b/>
      <w:bCs/>
      <w:kern w:val="0"/>
      <w:sz w:val="28"/>
      <w:szCs w:val="28"/>
    </w:rPr>
  </w:style>
  <w:style w:type="paragraph" w:styleId="9">
    <w:name w:val="heading 6"/>
    <w:basedOn w:val="1"/>
    <w:next w:val="1"/>
    <w:link w:val="55"/>
    <w:unhideWhenUsed/>
    <w:qFormat/>
    <w:uiPriority w:val="9"/>
    <w:pPr>
      <w:keepNext/>
      <w:keepLines/>
      <w:numPr>
        <w:ilvl w:val="5"/>
        <w:numId w:val="2"/>
      </w:numPr>
      <w:spacing w:before="240" w:after="64" w:line="314" w:lineRule="auto"/>
      <w:outlineLvl w:val="5"/>
    </w:pPr>
    <w:rPr>
      <w:rFonts w:ascii="Arial" w:hAnsi="Arial"/>
      <w:b/>
      <w:bCs/>
      <w:kern w:val="0"/>
      <w:sz w:val="28"/>
      <w:szCs w:val="18"/>
    </w:rPr>
  </w:style>
  <w:style w:type="paragraph" w:styleId="10">
    <w:name w:val="heading 7"/>
    <w:basedOn w:val="1"/>
    <w:next w:val="1"/>
    <w:link w:val="56"/>
    <w:unhideWhenUsed/>
    <w:qFormat/>
    <w:uiPriority w:val="9"/>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11">
    <w:name w:val="heading 8"/>
    <w:basedOn w:val="1"/>
    <w:next w:val="1"/>
    <w:link w:val="57"/>
    <w:unhideWhenUsed/>
    <w:qFormat/>
    <w:uiPriority w:val="0"/>
    <w:pPr>
      <w:keepNext/>
      <w:keepLines/>
      <w:spacing w:before="240" w:after="64" w:line="314" w:lineRule="auto"/>
      <w:outlineLvl w:val="7"/>
    </w:pPr>
    <w:rPr>
      <w:rFonts w:ascii="Arial" w:hAnsi="Arial" w:eastAsia="黑体"/>
      <w:kern w:val="0"/>
      <w:sz w:val="24"/>
      <w:szCs w:val="24"/>
    </w:rPr>
  </w:style>
  <w:style w:type="paragraph" w:styleId="12">
    <w:name w:val="heading 9"/>
    <w:basedOn w:val="1"/>
    <w:next w:val="1"/>
    <w:link w:val="58"/>
    <w:unhideWhenUsed/>
    <w:qFormat/>
    <w:uiPriority w:val="0"/>
    <w:pPr>
      <w:keepNext/>
      <w:keepLines/>
      <w:spacing w:before="240" w:after="64" w:line="314" w:lineRule="auto"/>
      <w:outlineLvl w:val="8"/>
    </w:pPr>
    <w:rPr>
      <w:rFonts w:ascii="Arial" w:hAnsi="Arial" w:eastAsia="黑体"/>
      <w:kern w:val="0"/>
      <w:sz w:val="20"/>
      <w:szCs w:val="21"/>
    </w:rPr>
  </w:style>
  <w:style w:type="character" w:default="1" w:styleId="43">
    <w:name w:val="Default Paragraph Font"/>
    <w:unhideWhenUsed/>
    <w:qFormat/>
    <w:uiPriority w:val="1"/>
  </w:style>
  <w:style w:type="table" w:default="1" w:styleId="41">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64"/>
    <w:unhideWhenUsed/>
    <w:qFormat/>
    <w:uiPriority w:val="0"/>
    <w:pPr>
      <w:spacing w:after="120"/>
    </w:pPr>
  </w:style>
  <w:style w:type="paragraph" w:styleId="3">
    <w:name w:val="Body Text First Indent"/>
    <w:basedOn w:val="2"/>
    <w:link w:val="69"/>
    <w:unhideWhenUsed/>
    <w:qFormat/>
    <w:uiPriority w:val="0"/>
    <w:pPr>
      <w:ind w:firstLine="420" w:firstLineChars="100"/>
    </w:pPr>
    <w:rPr>
      <w:rFonts w:ascii="Times New Roman" w:hAnsi="Times New Roman"/>
      <w:kern w:val="0"/>
      <w:sz w:val="18"/>
      <w:szCs w:val="18"/>
    </w:rPr>
  </w:style>
  <w:style w:type="paragraph" w:styleId="13">
    <w:name w:val="toc 7"/>
    <w:basedOn w:val="1"/>
    <w:next w:val="1"/>
    <w:unhideWhenUsed/>
    <w:qFormat/>
    <w:uiPriority w:val="0"/>
    <w:pPr>
      <w:ind w:left="2520" w:leftChars="1200"/>
    </w:pPr>
    <w:rPr>
      <w:rFonts w:ascii="Times New Roman" w:hAnsi="Times New Roman"/>
      <w:szCs w:val="24"/>
    </w:rPr>
  </w:style>
  <w:style w:type="paragraph" w:styleId="14">
    <w:name w:val="Normal Indent"/>
    <w:basedOn w:val="1"/>
    <w:link w:val="59"/>
    <w:unhideWhenUsed/>
    <w:qFormat/>
    <w:uiPriority w:val="0"/>
    <w:pPr>
      <w:spacing w:after="180" w:line="307" w:lineRule="auto"/>
      <w:ind w:firstLine="420"/>
    </w:pPr>
    <w:rPr>
      <w:rFonts w:asciiTheme="minorHAnsi" w:hAnsiTheme="minorHAnsi" w:eastAsiaTheme="minorEastAsia" w:cstheme="minorBidi"/>
    </w:rPr>
  </w:style>
  <w:style w:type="paragraph" w:styleId="15">
    <w:name w:val="caption"/>
    <w:basedOn w:val="1"/>
    <w:next w:val="1"/>
    <w:unhideWhenUsed/>
    <w:qFormat/>
    <w:uiPriority w:val="0"/>
    <w:pPr>
      <w:spacing w:before="152" w:after="160" w:line="360" w:lineRule="auto"/>
    </w:pPr>
    <w:rPr>
      <w:rFonts w:ascii="Arial" w:hAnsi="Arial" w:eastAsia="黑体" w:cs="Arial"/>
      <w:sz w:val="20"/>
      <w:szCs w:val="20"/>
    </w:rPr>
  </w:style>
  <w:style w:type="paragraph" w:styleId="16">
    <w:name w:val="Document Map"/>
    <w:basedOn w:val="1"/>
    <w:link w:val="74"/>
    <w:unhideWhenUsed/>
    <w:qFormat/>
    <w:uiPriority w:val="0"/>
    <w:pPr>
      <w:shd w:val="clear" w:color="auto" w:fill="000080"/>
    </w:pPr>
    <w:rPr>
      <w:rFonts w:ascii="Times New Roman" w:hAnsi="Times New Roman"/>
      <w:kern w:val="0"/>
      <w:sz w:val="18"/>
      <w:szCs w:val="18"/>
    </w:rPr>
  </w:style>
  <w:style w:type="paragraph" w:styleId="17">
    <w:name w:val="annotation text"/>
    <w:basedOn w:val="1"/>
    <w:next w:val="1"/>
    <w:link w:val="61"/>
    <w:unhideWhenUsed/>
    <w:qFormat/>
    <w:uiPriority w:val="99"/>
    <w:pPr>
      <w:jc w:val="left"/>
    </w:pPr>
    <w:rPr>
      <w:rFonts w:ascii="Times New Roman" w:hAnsi="Times New Roman"/>
      <w:kern w:val="0"/>
      <w:sz w:val="18"/>
      <w:szCs w:val="18"/>
    </w:rPr>
  </w:style>
  <w:style w:type="paragraph" w:styleId="18">
    <w:name w:val="Body Text 3"/>
    <w:basedOn w:val="1"/>
    <w:link w:val="71"/>
    <w:unhideWhenUsed/>
    <w:qFormat/>
    <w:uiPriority w:val="0"/>
    <w:pPr>
      <w:jc w:val="center"/>
    </w:pPr>
    <w:rPr>
      <w:rFonts w:ascii="Times New Roman" w:hAnsi="Times New Roman" w:eastAsia="黑体"/>
      <w:sz w:val="44"/>
      <w:szCs w:val="24"/>
    </w:rPr>
  </w:style>
  <w:style w:type="paragraph" w:styleId="19">
    <w:name w:val="Body Text Indent"/>
    <w:basedOn w:val="1"/>
    <w:link w:val="66"/>
    <w:unhideWhenUsed/>
    <w:qFormat/>
    <w:uiPriority w:val="0"/>
    <w:pPr>
      <w:spacing w:after="120"/>
      <w:ind w:left="420" w:leftChars="200"/>
    </w:pPr>
    <w:rPr>
      <w:rFonts w:ascii="Times New Roman" w:hAnsi="Times New Roman"/>
      <w:kern w:val="0"/>
      <w:sz w:val="20"/>
      <w:szCs w:val="24"/>
    </w:rPr>
  </w:style>
  <w:style w:type="paragraph" w:styleId="20">
    <w:name w:val="Block Text"/>
    <w:basedOn w:val="1"/>
    <w:unhideWhenUsed/>
    <w:qFormat/>
    <w:uiPriority w:val="0"/>
    <w:pPr>
      <w:ind w:left="-540" w:leftChars="-257" w:right="-334" w:rightChars="-159" w:firstLine="540" w:firstLineChars="180"/>
    </w:pPr>
    <w:rPr>
      <w:rFonts w:ascii="Times New Roman" w:hAnsi="Times New Roman"/>
      <w:sz w:val="30"/>
      <w:szCs w:val="24"/>
    </w:rPr>
  </w:style>
  <w:style w:type="paragraph" w:styleId="21">
    <w:name w:val="toc 5"/>
    <w:basedOn w:val="1"/>
    <w:next w:val="1"/>
    <w:unhideWhenUsed/>
    <w:qFormat/>
    <w:uiPriority w:val="0"/>
    <w:pPr>
      <w:ind w:left="1680" w:leftChars="800"/>
    </w:pPr>
    <w:rPr>
      <w:rFonts w:ascii="Times New Roman" w:hAnsi="Times New Roman"/>
      <w:sz w:val="18"/>
      <w:szCs w:val="18"/>
    </w:rPr>
  </w:style>
  <w:style w:type="paragraph" w:styleId="22">
    <w:name w:val="toc 3"/>
    <w:basedOn w:val="1"/>
    <w:next w:val="1"/>
    <w:unhideWhenUsed/>
    <w:qFormat/>
    <w:uiPriority w:val="0"/>
    <w:pPr>
      <w:tabs>
        <w:tab w:val="left" w:pos="709"/>
        <w:tab w:val="left" w:pos="993"/>
        <w:tab w:val="right" w:leader="dot" w:pos="8364"/>
      </w:tabs>
      <w:ind w:left="360"/>
      <w:jc w:val="left"/>
    </w:pPr>
    <w:rPr>
      <w:rFonts w:ascii="Times New Roman" w:hAnsi="Times New Roman" w:eastAsia="楷体_GB2312"/>
      <w:iCs/>
      <w:sz w:val="20"/>
      <w:szCs w:val="20"/>
    </w:rPr>
  </w:style>
  <w:style w:type="paragraph" w:styleId="23">
    <w:name w:val="Plain Text"/>
    <w:basedOn w:val="1"/>
    <w:link w:val="75"/>
    <w:unhideWhenUsed/>
    <w:qFormat/>
    <w:uiPriority w:val="0"/>
    <w:rPr>
      <w:rFonts w:ascii="宋体" w:hAnsi="Courier New"/>
      <w:kern w:val="0"/>
      <w:sz w:val="20"/>
      <w:szCs w:val="18"/>
    </w:rPr>
  </w:style>
  <w:style w:type="paragraph" w:styleId="24">
    <w:name w:val="toc 8"/>
    <w:basedOn w:val="1"/>
    <w:next w:val="1"/>
    <w:unhideWhenUsed/>
    <w:qFormat/>
    <w:uiPriority w:val="0"/>
    <w:pPr>
      <w:ind w:left="2940" w:leftChars="1400"/>
    </w:pPr>
    <w:rPr>
      <w:rFonts w:ascii="Times New Roman" w:hAnsi="Times New Roman"/>
      <w:szCs w:val="24"/>
    </w:rPr>
  </w:style>
  <w:style w:type="paragraph" w:styleId="25">
    <w:name w:val="Date"/>
    <w:basedOn w:val="1"/>
    <w:next w:val="1"/>
    <w:link w:val="68"/>
    <w:unhideWhenUsed/>
    <w:qFormat/>
    <w:uiPriority w:val="0"/>
    <w:pPr>
      <w:ind w:left="100" w:leftChars="2500"/>
    </w:pPr>
    <w:rPr>
      <w:rFonts w:ascii="Times New Roman" w:hAnsi="Times New Roman"/>
      <w:kern w:val="0"/>
      <w:sz w:val="24"/>
      <w:szCs w:val="24"/>
    </w:rPr>
  </w:style>
  <w:style w:type="paragraph" w:styleId="26">
    <w:name w:val="Body Text Indent 2"/>
    <w:basedOn w:val="1"/>
    <w:link w:val="72"/>
    <w:unhideWhenUsed/>
    <w:qFormat/>
    <w:uiPriority w:val="0"/>
    <w:pPr>
      <w:spacing w:after="120" w:line="480" w:lineRule="auto"/>
      <w:ind w:left="420" w:leftChars="200"/>
    </w:pPr>
  </w:style>
  <w:style w:type="paragraph" w:styleId="27">
    <w:name w:val="Balloon Text"/>
    <w:basedOn w:val="1"/>
    <w:link w:val="78"/>
    <w:unhideWhenUsed/>
    <w:qFormat/>
    <w:uiPriority w:val="0"/>
    <w:rPr>
      <w:rFonts w:ascii="Times New Roman" w:hAnsi="Times New Roman"/>
      <w:kern w:val="0"/>
      <w:sz w:val="18"/>
      <w:szCs w:val="18"/>
    </w:rPr>
  </w:style>
  <w:style w:type="paragraph" w:styleId="28">
    <w:name w:val="footer"/>
    <w:basedOn w:val="1"/>
    <w:link w:val="63"/>
    <w:unhideWhenUsed/>
    <w:qFormat/>
    <w:uiPriority w:val="99"/>
    <w:pPr>
      <w:tabs>
        <w:tab w:val="center" w:pos="4153"/>
        <w:tab w:val="right" w:pos="8306"/>
      </w:tabs>
      <w:snapToGrid w:val="0"/>
      <w:jc w:val="left"/>
    </w:pPr>
    <w:rPr>
      <w:kern w:val="0"/>
      <w:sz w:val="18"/>
      <w:szCs w:val="18"/>
    </w:rPr>
  </w:style>
  <w:style w:type="paragraph" w:styleId="29">
    <w:name w:val="header"/>
    <w:basedOn w:val="1"/>
    <w:link w:val="62"/>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30">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31">
    <w:name w:val="toc 4"/>
    <w:basedOn w:val="1"/>
    <w:next w:val="1"/>
    <w:unhideWhenUsed/>
    <w:qFormat/>
    <w:uiPriority w:val="0"/>
    <w:pPr>
      <w:ind w:left="1260" w:leftChars="600"/>
    </w:pPr>
    <w:rPr>
      <w:rFonts w:ascii="Times New Roman" w:hAnsi="Times New Roman"/>
      <w:sz w:val="18"/>
      <w:szCs w:val="18"/>
    </w:rPr>
  </w:style>
  <w:style w:type="paragraph" w:styleId="32">
    <w:name w:val="Subtitle"/>
    <w:basedOn w:val="1"/>
    <w:next w:val="1"/>
    <w:link w:val="67"/>
    <w:qFormat/>
    <w:uiPriority w:val="0"/>
    <w:pPr>
      <w:spacing w:before="240" w:after="60" w:line="312" w:lineRule="auto"/>
      <w:jc w:val="center"/>
      <w:outlineLvl w:val="1"/>
    </w:pPr>
    <w:rPr>
      <w:rFonts w:ascii="Cambria" w:hAnsi="Cambria"/>
      <w:b/>
      <w:bCs/>
      <w:kern w:val="28"/>
      <w:sz w:val="32"/>
      <w:szCs w:val="32"/>
    </w:rPr>
  </w:style>
  <w:style w:type="paragraph" w:styleId="33">
    <w:name w:val="footnote text"/>
    <w:basedOn w:val="1"/>
    <w:link w:val="60"/>
    <w:unhideWhenUsed/>
    <w:qFormat/>
    <w:uiPriority w:val="0"/>
    <w:pPr>
      <w:snapToGrid w:val="0"/>
      <w:jc w:val="left"/>
    </w:pPr>
    <w:rPr>
      <w:sz w:val="18"/>
      <w:szCs w:val="18"/>
    </w:rPr>
  </w:style>
  <w:style w:type="paragraph" w:styleId="34">
    <w:name w:val="toc 6"/>
    <w:basedOn w:val="1"/>
    <w:next w:val="1"/>
    <w:unhideWhenUsed/>
    <w:qFormat/>
    <w:uiPriority w:val="0"/>
    <w:pPr>
      <w:ind w:left="2100" w:leftChars="1000"/>
    </w:pPr>
    <w:rPr>
      <w:rFonts w:ascii="Times New Roman" w:hAnsi="Times New Roman"/>
      <w:szCs w:val="24"/>
    </w:rPr>
  </w:style>
  <w:style w:type="paragraph" w:styleId="35">
    <w:name w:val="Body Text Indent 3"/>
    <w:basedOn w:val="1"/>
    <w:link w:val="73"/>
    <w:unhideWhenUsed/>
    <w:qFormat/>
    <w:uiPriority w:val="0"/>
    <w:pPr>
      <w:spacing w:line="360" w:lineRule="auto"/>
      <w:ind w:left="153" w:leftChars="85" w:firstLine="560" w:firstLineChars="200"/>
    </w:pPr>
    <w:rPr>
      <w:rFonts w:ascii="宋体" w:hAnsi="宋体"/>
      <w:kern w:val="0"/>
      <w:sz w:val="28"/>
      <w:szCs w:val="28"/>
    </w:rPr>
  </w:style>
  <w:style w:type="paragraph" w:styleId="36">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37">
    <w:name w:val="toc 9"/>
    <w:basedOn w:val="1"/>
    <w:next w:val="1"/>
    <w:unhideWhenUsed/>
    <w:qFormat/>
    <w:uiPriority w:val="0"/>
    <w:pPr>
      <w:ind w:left="3360" w:leftChars="1600"/>
    </w:pPr>
    <w:rPr>
      <w:rFonts w:ascii="Times New Roman" w:hAnsi="Times New Roman"/>
      <w:szCs w:val="24"/>
    </w:rPr>
  </w:style>
  <w:style w:type="paragraph" w:styleId="38">
    <w:name w:val="Body Text 2"/>
    <w:basedOn w:val="1"/>
    <w:link w:val="70"/>
    <w:unhideWhenUsed/>
    <w:qFormat/>
    <w:uiPriority w:val="0"/>
    <w:pPr>
      <w:spacing w:after="120" w:line="480" w:lineRule="auto"/>
    </w:pPr>
    <w:rPr>
      <w:rFonts w:ascii="Times New Roman" w:hAnsi="Times New Roman"/>
      <w:kern w:val="0"/>
      <w:sz w:val="18"/>
      <w:szCs w:val="18"/>
    </w:rPr>
  </w:style>
  <w:style w:type="paragraph" w:styleId="39">
    <w:name w:val="Normal (Web)"/>
    <w:basedOn w:val="1"/>
    <w:unhideWhenUsed/>
    <w:qFormat/>
    <w:uiPriority w:val="0"/>
    <w:pPr>
      <w:widowControl/>
      <w:spacing w:before="100" w:beforeAutospacing="1" w:after="100" w:afterAutospacing="1"/>
      <w:jc w:val="left"/>
    </w:pPr>
    <w:rPr>
      <w:rFonts w:ascii="宋体" w:hAnsi="宋体"/>
      <w:color w:val="000000"/>
      <w:kern w:val="0"/>
      <w:sz w:val="24"/>
      <w:szCs w:val="24"/>
    </w:rPr>
  </w:style>
  <w:style w:type="paragraph" w:styleId="40">
    <w:name w:val="annotation subject"/>
    <w:basedOn w:val="17"/>
    <w:next w:val="17"/>
    <w:link w:val="77"/>
    <w:unhideWhenUsed/>
    <w:qFormat/>
    <w:uiPriority w:val="0"/>
    <w:rPr>
      <w:rFonts w:ascii="Calibri" w:hAnsi="Calibri"/>
      <w:b/>
      <w:bCs/>
      <w:kern w:val="2"/>
      <w:sz w:val="21"/>
      <w:szCs w:val="22"/>
    </w:rPr>
  </w:style>
  <w:style w:type="table" w:styleId="42">
    <w:name w:val="Table Grid"/>
    <w:basedOn w:val="41"/>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Strong"/>
    <w:qFormat/>
    <w:uiPriority w:val="0"/>
    <w:rPr>
      <w:b/>
      <w:bCs/>
    </w:rPr>
  </w:style>
  <w:style w:type="character" w:styleId="45">
    <w:name w:val="page number"/>
    <w:basedOn w:val="43"/>
    <w:qFormat/>
    <w:uiPriority w:val="0"/>
  </w:style>
  <w:style w:type="character" w:styleId="46">
    <w:name w:val="FollowedHyperlink"/>
    <w:basedOn w:val="43"/>
    <w:unhideWhenUsed/>
    <w:qFormat/>
    <w:uiPriority w:val="99"/>
    <w:rPr>
      <w:color w:val="954F72" w:themeColor="followedHyperlink"/>
      <w:u w:val="single"/>
      <w14:textFill>
        <w14:solidFill>
          <w14:schemeClr w14:val="folHlink"/>
        </w14:solidFill>
      </w14:textFill>
    </w:rPr>
  </w:style>
  <w:style w:type="character" w:styleId="47">
    <w:name w:val="Hyperlink"/>
    <w:unhideWhenUsed/>
    <w:qFormat/>
    <w:uiPriority w:val="99"/>
    <w:rPr>
      <w:color w:val="0000FF"/>
      <w:u w:val="single"/>
    </w:rPr>
  </w:style>
  <w:style w:type="character" w:styleId="48">
    <w:name w:val="annotation reference"/>
    <w:unhideWhenUsed/>
    <w:qFormat/>
    <w:uiPriority w:val="0"/>
    <w:rPr>
      <w:sz w:val="21"/>
      <w:szCs w:val="21"/>
    </w:rPr>
  </w:style>
  <w:style w:type="character" w:styleId="49">
    <w:name w:val="footnote reference"/>
    <w:unhideWhenUsed/>
    <w:qFormat/>
    <w:uiPriority w:val="0"/>
    <w:rPr>
      <w:vertAlign w:val="superscript"/>
    </w:rPr>
  </w:style>
  <w:style w:type="character" w:customStyle="1" w:styleId="50">
    <w:name w:val="标题 1 Char"/>
    <w:basedOn w:val="43"/>
    <w:link w:val="4"/>
    <w:qFormat/>
    <w:uiPriority w:val="0"/>
    <w:rPr>
      <w:rFonts w:ascii="宋体" w:hAnsi="宋体" w:eastAsia="宋体" w:cs="宋体"/>
      <w:b/>
      <w:bCs/>
      <w:spacing w:val="-20"/>
      <w:kern w:val="44"/>
      <w:sz w:val="32"/>
      <w:szCs w:val="32"/>
    </w:rPr>
  </w:style>
  <w:style w:type="character" w:customStyle="1" w:styleId="51">
    <w:name w:val="标题 2 Char"/>
    <w:basedOn w:val="43"/>
    <w:link w:val="5"/>
    <w:qFormat/>
    <w:uiPriority w:val="0"/>
    <w:rPr>
      <w:rFonts w:ascii="宋体" w:hAnsi="宋体" w:eastAsia="宋体" w:cs="宋体"/>
      <w:b/>
      <w:bCs/>
      <w:kern w:val="2"/>
      <w:sz w:val="28"/>
      <w:szCs w:val="28"/>
    </w:rPr>
  </w:style>
  <w:style w:type="character" w:customStyle="1" w:styleId="52">
    <w:name w:val="标题 3 Char"/>
    <w:basedOn w:val="43"/>
    <w:link w:val="6"/>
    <w:qFormat/>
    <w:uiPriority w:val="0"/>
    <w:rPr>
      <w:rFonts w:ascii="宋体" w:hAnsi="宋体" w:eastAsia="宋体" w:cs="宋体"/>
      <w:b/>
      <w:bCs/>
      <w:color w:val="000000"/>
      <w:sz w:val="28"/>
      <w:szCs w:val="28"/>
    </w:rPr>
  </w:style>
  <w:style w:type="character" w:customStyle="1" w:styleId="53">
    <w:name w:val="标题 4 Char"/>
    <w:basedOn w:val="43"/>
    <w:link w:val="7"/>
    <w:qFormat/>
    <w:uiPriority w:val="9"/>
    <w:rPr>
      <w:rFonts w:ascii="Arial" w:hAnsi="Arial" w:eastAsia="宋体" w:cs="Times New Roman"/>
      <w:b/>
      <w:bCs/>
      <w:sz w:val="28"/>
      <w:szCs w:val="28"/>
    </w:rPr>
  </w:style>
  <w:style w:type="character" w:customStyle="1" w:styleId="54">
    <w:name w:val="标题 5 Char"/>
    <w:basedOn w:val="43"/>
    <w:link w:val="8"/>
    <w:qFormat/>
    <w:uiPriority w:val="9"/>
    <w:rPr>
      <w:rFonts w:ascii="Calibri" w:hAnsi="Calibri" w:eastAsia="宋体" w:cs="宋体"/>
      <w:b/>
      <w:bCs/>
      <w:sz w:val="28"/>
      <w:szCs w:val="28"/>
    </w:rPr>
  </w:style>
  <w:style w:type="character" w:customStyle="1" w:styleId="55">
    <w:name w:val="标题 6 Char"/>
    <w:basedOn w:val="43"/>
    <w:link w:val="9"/>
    <w:qFormat/>
    <w:uiPriority w:val="9"/>
    <w:rPr>
      <w:rFonts w:ascii="Arial" w:hAnsi="Arial" w:eastAsia="宋体" w:cs="Times New Roman"/>
      <w:b/>
      <w:bCs/>
      <w:sz w:val="28"/>
      <w:szCs w:val="18"/>
    </w:rPr>
  </w:style>
  <w:style w:type="character" w:customStyle="1" w:styleId="56">
    <w:name w:val="标题 7 Char"/>
    <w:basedOn w:val="43"/>
    <w:link w:val="10"/>
    <w:qFormat/>
    <w:uiPriority w:val="9"/>
    <w:rPr>
      <w:rFonts w:ascii="Arial Narrow" w:hAnsi="Arial Narrow" w:eastAsia="宋体" w:cs="Times New Roman"/>
      <w:b/>
      <w:bCs/>
      <w:iCs/>
      <w:kern w:val="0"/>
      <w:sz w:val="20"/>
      <w:szCs w:val="24"/>
      <w:lang w:eastAsia="en-US"/>
    </w:rPr>
  </w:style>
  <w:style w:type="character" w:customStyle="1" w:styleId="57">
    <w:name w:val="标题 8 Char"/>
    <w:basedOn w:val="43"/>
    <w:link w:val="11"/>
    <w:qFormat/>
    <w:uiPriority w:val="0"/>
    <w:rPr>
      <w:rFonts w:ascii="Arial" w:hAnsi="Arial" w:eastAsia="黑体" w:cs="Times New Roman"/>
      <w:kern w:val="0"/>
      <w:sz w:val="24"/>
      <w:szCs w:val="24"/>
    </w:rPr>
  </w:style>
  <w:style w:type="character" w:customStyle="1" w:styleId="58">
    <w:name w:val="标题 9 Char"/>
    <w:basedOn w:val="43"/>
    <w:link w:val="12"/>
    <w:qFormat/>
    <w:uiPriority w:val="0"/>
    <w:rPr>
      <w:rFonts w:ascii="Arial" w:hAnsi="Arial" w:eastAsia="黑体" w:cs="Times New Roman"/>
      <w:kern w:val="0"/>
      <w:sz w:val="20"/>
      <w:szCs w:val="21"/>
    </w:rPr>
  </w:style>
  <w:style w:type="character" w:customStyle="1" w:styleId="59">
    <w:name w:val="正文缩进 Char1"/>
    <w:link w:val="14"/>
    <w:qFormat/>
    <w:locked/>
    <w:uiPriority w:val="0"/>
  </w:style>
  <w:style w:type="character" w:customStyle="1" w:styleId="60">
    <w:name w:val="脚注文本 Char"/>
    <w:basedOn w:val="43"/>
    <w:link w:val="33"/>
    <w:qFormat/>
    <w:uiPriority w:val="0"/>
    <w:rPr>
      <w:rFonts w:ascii="Calibri" w:hAnsi="Calibri" w:eastAsia="宋体" w:cs="Times New Roman"/>
      <w:sz w:val="18"/>
      <w:szCs w:val="18"/>
    </w:rPr>
  </w:style>
  <w:style w:type="character" w:customStyle="1" w:styleId="61">
    <w:name w:val="批注文字 Char"/>
    <w:basedOn w:val="43"/>
    <w:link w:val="17"/>
    <w:qFormat/>
    <w:uiPriority w:val="99"/>
    <w:rPr>
      <w:rFonts w:ascii="Times New Roman" w:hAnsi="Times New Roman" w:eastAsia="宋体" w:cs="Times New Roman"/>
      <w:kern w:val="0"/>
      <w:sz w:val="18"/>
      <w:szCs w:val="18"/>
    </w:rPr>
  </w:style>
  <w:style w:type="character" w:customStyle="1" w:styleId="62">
    <w:name w:val="页眉 Char"/>
    <w:basedOn w:val="43"/>
    <w:link w:val="29"/>
    <w:qFormat/>
    <w:uiPriority w:val="0"/>
    <w:rPr>
      <w:rFonts w:ascii="Calibri" w:hAnsi="Calibri" w:eastAsia="宋体" w:cs="Times New Roman"/>
      <w:kern w:val="0"/>
      <w:sz w:val="18"/>
      <w:szCs w:val="18"/>
    </w:rPr>
  </w:style>
  <w:style w:type="character" w:customStyle="1" w:styleId="63">
    <w:name w:val="页脚 Char"/>
    <w:basedOn w:val="43"/>
    <w:link w:val="28"/>
    <w:qFormat/>
    <w:uiPriority w:val="99"/>
    <w:rPr>
      <w:rFonts w:ascii="Calibri" w:hAnsi="Calibri" w:eastAsia="宋体" w:cs="Times New Roman"/>
      <w:kern w:val="0"/>
      <w:sz w:val="18"/>
      <w:szCs w:val="18"/>
    </w:rPr>
  </w:style>
  <w:style w:type="character" w:customStyle="1" w:styleId="64">
    <w:name w:val="正文文本 Char2"/>
    <w:basedOn w:val="43"/>
    <w:link w:val="2"/>
    <w:qFormat/>
    <w:uiPriority w:val="0"/>
    <w:rPr>
      <w:rFonts w:ascii="Calibri" w:hAnsi="Calibri" w:eastAsia="宋体" w:cs="Times New Roman"/>
    </w:rPr>
  </w:style>
  <w:style w:type="character" w:customStyle="1" w:styleId="65">
    <w:name w:val="正文文本 Char"/>
    <w:basedOn w:val="43"/>
    <w:qFormat/>
    <w:uiPriority w:val="0"/>
    <w:rPr>
      <w:rFonts w:ascii="Times New Roman" w:hAnsi="Times New Roman" w:cs="Times New Roman"/>
      <w:kern w:val="0"/>
      <w:sz w:val="24"/>
      <w:szCs w:val="24"/>
    </w:rPr>
  </w:style>
  <w:style w:type="character" w:customStyle="1" w:styleId="66">
    <w:name w:val="正文文本缩进 Char"/>
    <w:basedOn w:val="43"/>
    <w:link w:val="19"/>
    <w:qFormat/>
    <w:uiPriority w:val="0"/>
    <w:rPr>
      <w:rFonts w:ascii="Times New Roman" w:hAnsi="Times New Roman" w:eastAsia="宋体" w:cs="Times New Roman"/>
      <w:kern w:val="0"/>
      <w:sz w:val="20"/>
      <w:szCs w:val="24"/>
    </w:rPr>
  </w:style>
  <w:style w:type="character" w:customStyle="1" w:styleId="67">
    <w:name w:val="副标题 Char"/>
    <w:basedOn w:val="43"/>
    <w:link w:val="32"/>
    <w:qFormat/>
    <w:uiPriority w:val="0"/>
    <w:rPr>
      <w:rFonts w:ascii="Cambria" w:hAnsi="Cambria" w:eastAsia="宋体" w:cs="Times New Roman"/>
      <w:b/>
      <w:bCs/>
      <w:kern w:val="28"/>
      <w:sz w:val="32"/>
      <w:szCs w:val="32"/>
    </w:rPr>
  </w:style>
  <w:style w:type="character" w:customStyle="1" w:styleId="68">
    <w:name w:val="日期 Char"/>
    <w:basedOn w:val="43"/>
    <w:link w:val="25"/>
    <w:qFormat/>
    <w:uiPriority w:val="0"/>
    <w:rPr>
      <w:rFonts w:ascii="Times New Roman" w:hAnsi="Times New Roman" w:eastAsia="宋体" w:cs="Times New Roman"/>
      <w:kern w:val="0"/>
      <w:sz w:val="24"/>
      <w:szCs w:val="24"/>
    </w:rPr>
  </w:style>
  <w:style w:type="character" w:customStyle="1" w:styleId="69">
    <w:name w:val="正文首行缩进 Char"/>
    <w:basedOn w:val="64"/>
    <w:link w:val="3"/>
    <w:qFormat/>
    <w:uiPriority w:val="0"/>
    <w:rPr>
      <w:rFonts w:ascii="Times New Roman" w:hAnsi="Times New Roman" w:eastAsia="宋体" w:cs="Times New Roman"/>
      <w:kern w:val="0"/>
      <w:sz w:val="18"/>
      <w:szCs w:val="18"/>
    </w:rPr>
  </w:style>
  <w:style w:type="character" w:customStyle="1" w:styleId="70">
    <w:name w:val="正文文本 2 Char"/>
    <w:basedOn w:val="43"/>
    <w:link w:val="38"/>
    <w:qFormat/>
    <w:uiPriority w:val="0"/>
    <w:rPr>
      <w:rFonts w:ascii="Times New Roman" w:hAnsi="Times New Roman" w:eastAsia="宋体" w:cs="Times New Roman"/>
      <w:kern w:val="0"/>
      <w:sz w:val="18"/>
      <w:szCs w:val="18"/>
    </w:rPr>
  </w:style>
  <w:style w:type="character" w:customStyle="1" w:styleId="71">
    <w:name w:val="正文文本 3 Char"/>
    <w:basedOn w:val="43"/>
    <w:link w:val="18"/>
    <w:qFormat/>
    <w:uiPriority w:val="0"/>
    <w:rPr>
      <w:rFonts w:ascii="Times New Roman" w:hAnsi="Times New Roman" w:eastAsia="黑体" w:cs="Times New Roman"/>
      <w:sz w:val="44"/>
      <w:szCs w:val="24"/>
    </w:rPr>
  </w:style>
  <w:style w:type="character" w:customStyle="1" w:styleId="72">
    <w:name w:val="正文文本缩进 2 Char"/>
    <w:basedOn w:val="43"/>
    <w:link w:val="26"/>
    <w:qFormat/>
    <w:uiPriority w:val="0"/>
    <w:rPr>
      <w:rFonts w:ascii="Calibri" w:hAnsi="Calibri" w:eastAsia="宋体" w:cs="Times New Roman"/>
    </w:rPr>
  </w:style>
  <w:style w:type="character" w:customStyle="1" w:styleId="73">
    <w:name w:val="正文文本缩进 3 Char"/>
    <w:basedOn w:val="43"/>
    <w:link w:val="35"/>
    <w:qFormat/>
    <w:uiPriority w:val="0"/>
    <w:rPr>
      <w:rFonts w:ascii="宋体" w:hAnsi="宋体" w:eastAsia="宋体" w:cs="Times New Roman"/>
      <w:kern w:val="0"/>
      <w:sz w:val="28"/>
      <w:szCs w:val="28"/>
    </w:rPr>
  </w:style>
  <w:style w:type="character" w:customStyle="1" w:styleId="74">
    <w:name w:val="文档结构图 Char"/>
    <w:basedOn w:val="43"/>
    <w:link w:val="16"/>
    <w:qFormat/>
    <w:uiPriority w:val="0"/>
    <w:rPr>
      <w:rFonts w:ascii="Times New Roman" w:hAnsi="Times New Roman" w:eastAsia="宋体" w:cs="Times New Roman"/>
      <w:kern w:val="0"/>
      <w:sz w:val="18"/>
      <w:szCs w:val="18"/>
      <w:shd w:val="clear" w:color="auto" w:fill="000080"/>
    </w:rPr>
  </w:style>
  <w:style w:type="character" w:customStyle="1" w:styleId="75">
    <w:name w:val="纯文本 Char1"/>
    <w:basedOn w:val="43"/>
    <w:link w:val="23"/>
    <w:qFormat/>
    <w:uiPriority w:val="0"/>
    <w:rPr>
      <w:rFonts w:ascii="宋体" w:hAnsi="Courier New" w:eastAsia="宋体" w:cs="Times New Roman"/>
      <w:kern w:val="0"/>
      <w:sz w:val="20"/>
      <w:szCs w:val="18"/>
    </w:rPr>
  </w:style>
  <w:style w:type="character" w:customStyle="1" w:styleId="76">
    <w:name w:val="纯文本 Char"/>
    <w:basedOn w:val="43"/>
    <w:qFormat/>
    <w:uiPriority w:val="0"/>
    <w:rPr>
      <w:rFonts w:ascii="宋体" w:hAnsi="Courier New" w:eastAsia="宋体" w:cs="Courier New"/>
      <w:kern w:val="0"/>
      <w:szCs w:val="21"/>
    </w:rPr>
  </w:style>
  <w:style w:type="character" w:customStyle="1" w:styleId="77">
    <w:name w:val="批注主题 Char"/>
    <w:basedOn w:val="61"/>
    <w:link w:val="40"/>
    <w:qFormat/>
    <w:uiPriority w:val="0"/>
    <w:rPr>
      <w:rFonts w:ascii="Calibri" w:hAnsi="Calibri" w:eastAsia="宋体" w:cs="Times New Roman"/>
      <w:b/>
      <w:bCs/>
      <w:kern w:val="0"/>
      <w:sz w:val="18"/>
      <w:szCs w:val="18"/>
    </w:rPr>
  </w:style>
  <w:style w:type="character" w:customStyle="1" w:styleId="78">
    <w:name w:val="批注框文本 Char"/>
    <w:basedOn w:val="43"/>
    <w:link w:val="27"/>
    <w:qFormat/>
    <w:uiPriority w:val="0"/>
    <w:rPr>
      <w:rFonts w:ascii="Times New Roman" w:hAnsi="Times New Roman" w:eastAsia="宋体" w:cs="Times New Roman"/>
      <w:kern w:val="0"/>
      <w:sz w:val="18"/>
      <w:szCs w:val="18"/>
    </w:rPr>
  </w:style>
  <w:style w:type="paragraph" w:customStyle="1" w:styleId="79">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80">
    <w:name w:val="列出段落 字符"/>
    <w:link w:val="81"/>
    <w:qFormat/>
    <w:locked/>
    <w:uiPriority w:val="1"/>
    <w:rPr>
      <w:rFonts w:ascii="Calibri" w:hAnsi="Calibri"/>
    </w:rPr>
  </w:style>
  <w:style w:type="paragraph" w:customStyle="1" w:styleId="81">
    <w:name w:val="列出段落1"/>
    <w:basedOn w:val="1"/>
    <w:link w:val="80"/>
    <w:qFormat/>
    <w:uiPriority w:val="99"/>
    <w:pPr>
      <w:ind w:firstLine="420" w:firstLineChars="200"/>
    </w:pPr>
    <w:rPr>
      <w:rFonts w:eastAsiaTheme="minorEastAsia" w:cstheme="minorBidi"/>
    </w:rPr>
  </w:style>
  <w:style w:type="character" w:customStyle="1" w:styleId="82">
    <w:name w:val="彩色列表 - 强调文字颜色 1 Char"/>
    <w:link w:val="83"/>
    <w:qFormat/>
    <w:locked/>
    <w:uiPriority w:val="0"/>
    <w:rPr>
      <w:rFonts w:ascii="Calibri" w:hAnsi="Calibri"/>
    </w:rPr>
  </w:style>
  <w:style w:type="paragraph" w:customStyle="1" w:styleId="83">
    <w:name w:val="彩色列表 - 强调文字颜色 11"/>
    <w:basedOn w:val="1"/>
    <w:link w:val="82"/>
    <w:qFormat/>
    <w:uiPriority w:val="0"/>
    <w:pPr>
      <w:ind w:firstLine="420" w:firstLineChars="200"/>
    </w:pPr>
    <w:rPr>
      <w:rFonts w:eastAsiaTheme="minorEastAsia" w:cstheme="minorBidi"/>
    </w:rPr>
  </w:style>
  <w:style w:type="paragraph" w:customStyle="1" w:styleId="84">
    <w:name w:val="样式 右侧:  1 字符1"/>
    <w:basedOn w:val="1"/>
    <w:qFormat/>
    <w:uiPriority w:val="0"/>
    <w:pPr>
      <w:ind w:left="240" w:leftChars="100" w:right="240" w:rightChars="100"/>
    </w:pPr>
    <w:rPr>
      <w:rFonts w:ascii="Times New Roman" w:hAnsi="Times New Roman" w:eastAsia="仿宋_GB2312" w:cs="宋体"/>
      <w:sz w:val="28"/>
      <w:szCs w:val="20"/>
    </w:rPr>
  </w:style>
  <w:style w:type="paragraph" w:customStyle="1" w:styleId="85">
    <w:name w:val="MM Title"/>
    <w:basedOn w:val="1"/>
    <w:qFormat/>
    <w:uiPriority w:val="0"/>
    <w:pPr>
      <w:spacing w:before="240" w:after="60"/>
      <w:jc w:val="center"/>
      <w:outlineLvl w:val="0"/>
    </w:pPr>
    <w:rPr>
      <w:rFonts w:ascii="Arial" w:hAnsi="Arial" w:cs="Arial"/>
      <w:b/>
      <w:bCs/>
      <w:sz w:val="32"/>
      <w:szCs w:val="32"/>
    </w:rPr>
  </w:style>
  <w:style w:type="paragraph" w:customStyle="1" w:styleId="86">
    <w:name w:val="正文格式"/>
    <w:basedOn w:val="1"/>
    <w:qFormat/>
    <w:uiPriority w:val="0"/>
    <w:pPr>
      <w:widowControl/>
      <w:adjustRightInd w:val="0"/>
      <w:snapToGrid w:val="0"/>
      <w:spacing w:beforeLines="25" w:line="360" w:lineRule="auto"/>
      <w:ind w:firstLine="480" w:firstLineChars="200"/>
    </w:pPr>
    <w:rPr>
      <w:rFonts w:ascii="宋体" w:hAnsi="宋体"/>
      <w:bCs/>
      <w:color w:val="000000"/>
      <w:kern w:val="0"/>
      <w:sz w:val="24"/>
      <w:szCs w:val="24"/>
    </w:rPr>
  </w:style>
  <w:style w:type="paragraph" w:customStyle="1" w:styleId="87">
    <w:name w:val="默认段落字体 Para Char Char Char1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88">
    <w:name w:val="gb_master正文"/>
    <w:basedOn w:val="1"/>
    <w:qFormat/>
    <w:uiPriority w:val="0"/>
    <w:pPr>
      <w:ind w:firstLine="200" w:firstLineChars="200"/>
    </w:pPr>
    <w:rPr>
      <w:rFonts w:ascii="Times New Roman" w:hAnsi="Times New Roman"/>
      <w:szCs w:val="24"/>
    </w:rPr>
  </w:style>
  <w:style w:type="paragraph" w:customStyle="1" w:styleId="89">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0">
    <w:name w:val="无间隔11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91">
    <w:name w:val="Char2 Char Char Char"/>
    <w:basedOn w:val="1"/>
    <w:qFormat/>
    <w:uiPriority w:val="0"/>
    <w:rPr>
      <w:rFonts w:ascii="仿宋_GB2312" w:hAnsi="Times New Roman"/>
      <w:b/>
      <w:sz w:val="30"/>
      <w:szCs w:val="32"/>
    </w:rPr>
  </w:style>
  <w:style w:type="paragraph" w:customStyle="1" w:styleId="92">
    <w:name w:val="样式 样式 样式 标题 2 + 宋体 五号 非加粗 黑色 + 段前: 6 磅 段后: 0 磅 行距: 单倍行距 + 段前: 12..."/>
    <w:basedOn w:val="1"/>
    <w:qFormat/>
    <w:uiPriority w:val="0"/>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93">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94">
    <w:name w:val="默认段落字体 Para Char"/>
    <w:basedOn w:val="1"/>
    <w:qFormat/>
    <w:uiPriority w:val="0"/>
    <w:rPr>
      <w:rFonts w:ascii="Tahoma" w:hAnsi="Tahoma"/>
      <w:sz w:val="24"/>
      <w:szCs w:val="20"/>
    </w:rPr>
  </w:style>
  <w:style w:type="paragraph" w:customStyle="1" w:styleId="95">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6">
    <w:name w:val="样式 行距: 1.5 倍行距 左  3.42 字符"/>
    <w:basedOn w:val="1"/>
    <w:qFormat/>
    <w:uiPriority w:val="0"/>
    <w:pPr>
      <w:spacing w:line="360" w:lineRule="auto"/>
      <w:ind w:left="200" w:leftChars="200" w:firstLine="200" w:firstLineChars="200"/>
    </w:pPr>
    <w:rPr>
      <w:rFonts w:ascii="Times New Roman" w:hAnsi="Times New Roman" w:cs="宋体"/>
      <w:szCs w:val="20"/>
    </w:rPr>
  </w:style>
  <w:style w:type="paragraph" w:customStyle="1" w:styleId="97">
    <w:name w:val="样式 正文缩进 + (中文) 仿宋_GB2312 小四 Char"/>
    <w:basedOn w:val="14"/>
    <w:qFormat/>
    <w:uiPriority w:val="0"/>
    <w:pPr>
      <w:spacing w:after="0" w:line="360" w:lineRule="auto"/>
      <w:ind w:firstLine="480" w:firstLineChars="200"/>
    </w:pPr>
    <w:rPr>
      <w:rFonts w:ascii="宋体" w:hAnsi="宋体"/>
      <w:sz w:val="24"/>
      <w:szCs w:val="24"/>
    </w:rPr>
  </w:style>
  <w:style w:type="paragraph" w:customStyle="1" w:styleId="98">
    <w:name w:val="表格文字"/>
    <w:basedOn w:val="1"/>
    <w:qFormat/>
    <w:uiPriority w:val="0"/>
    <w:pPr>
      <w:spacing w:beforeLines="25"/>
    </w:pPr>
    <w:rPr>
      <w:rFonts w:ascii="Times New (W1)" w:hAnsi="Times New (W1)"/>
      <w:spacing w:val="10"/>
      <w:szCs w:val="24"/>
    </w:rPr>
  </w:style>
  <w:style w:type="paragraph" w:customStyle="1" w:styleId="99">
    <w:name w:val="文章正文"/>
    <w:basedOn w:val="1"/>
    <w:qFormat/>
    <w:uiPriority w:val="0"/>
    <w:pPr>
      <w:spacing w:line="360" w:lineRule="auto"/>
      <w:ind w:firstLine="420"/>
    </w:pPr>
    <w:rPr>
      <w:rFonts w:ascii="Times New Roman" w:hAnsi="Times New Roman"/>
      <w:sz w:val="24"/>
      <w:szCs w:val="24"/>
    </w:rPr>
  </w:style>
  <w:style w:type="paragraph" w:customStyle="1" w:styleId="100">
    <w:name w:val="标书正文:  0.74 厘米"/>
    <w:basedOn w:val="1"/>
    <w:qFormat/>
    <w:uiPriority w:val="0"/>
    <w:pPr>
      <w:snapToGrid w:val="0"/>
      <w:spacing w:line="360" w:lineRule="auto"/>
      <w:ind w:firstLine="420"/>
    </w:pPr>
    <w:rPr>
      <w:rFonts w:ascii="Times New Roman" w:hAnsi="Times New Roman"/>
      <w:sz w:val="24"/>
      <w:szCs w:val="18"/>
    </w:rPr>
  </w:style>
  <w:style w:type="paragraph" w:customStyle="1" w:styleId="101">
    <w:name w:val="默认段落字体 Para Char Char"/>
    <w:basedOn w:val="1"/>
    <w:qFormat/>
    <w:uiPriority w:val="0"/>
    <w:rPr>
      <w:rFonts w:ascii="Times New Roman" w:hAnsi="Times New Roman"/>
      <w:szCs w:val="24"/>
    </w:rPr>
  </w:style>
  <w:style w:type="paragraph" w:customStyle="1" w:styleId="102">
    <w:name w:val="MM Topic 6"/>
    <w:basedOn w:val="9"/>
    <w:qFormat/>
    <w:uiPriority w:val="0"/>
    <w:pPr>
      <w:tabs>
        <w:tab w:val="left" w:pos="3260"/>
        <w:tab w:val="clear" w:pos="1702"/>
      </w:tabs>
      <w:ind w:left="0" w:firstLine="0"/>
    </w:pPr>
    <w:rPr>
      <w:rFonts w:eastAsia="黑体"/>
    </w:rPr>
  </w:style>
  <w:style w:type="paragraph" w:customStyle="1" w:styleId="103">
    <w:name w:val="Char1 Char Char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4">
    <w:name w:val="样式 首行缩进:  2 字符"/>
    <w:basedOn w:val="1"/>
    <w:qFormat/>
    <w:uiPriority w:val="0"/>
    <w:pPr>
      <w:spacing w:line="400" w:lineRule="exact"/>
      <w:ind w:firstLine="200" w:firstLineChars="200"/>
    </w:pPr>
    <w:rPr>
      <w:rFonts w:ascii="Times New Roman" w:hAnsi="Times New Roman" w:cs="宋体"/>
      <w:sz w:val="24"/>
      <w:szCs w:val="24"/>
    </w:rPr>
  </w:style>
  <w:style w:type="paragraph" w:customStyle="1" w:styleId="105">
    <w:name w:val="Char1"/>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6">
    <w:name w:val="标题 5 + 首行缩进:  2 字符"/>
    <w:basedOn w:val="8"/>
    <w:next w:val="19"/>
    <w:qFormat/>
    <w:uiPriority w:val="0"/>
    <w:pPr>
      <w:tabs>
        <w:tab w:val="left" w:pos="992"/>
        <w:tab w:val="clear" w:pos="1134"/>
      </w:tabs>
      <w:snapToGrid w:val="0"/>
      <w:spacing w:beforeLines="50" w:afterLines="50"/>
      <w:ind w:left="3570" w:firstLine="482" w:firstLineChars="200"/>
    </w:pPr>
    <w:rPr>
      <w:rFonts w:cs="Times New Roman"/>
      <w:color w:val="000000"/>
      <w:szCs w:val="20"/>
    </w:rPr>
  </w:style>
  <w:style w:type="paragraph" w:customStyle="1" w:styleId="107">
    <w:name w:val="Char2 Char Char Char Char Char Char"/>
    <w:basedOn w:val="1"/>
    <w:qFormat/>
    <w:uiPriority w:val="0"/>
    <w:rPr>
      <w:rFonts w:ascii="仿宋_GB2312" w:hAnsi="Times New Roman"/>
      <w:b/>
      <w:sz w:val="30"/>
      <w:szCs w:val="32"/>
    </w:rPr>
  </w:style>
  <w:style w:type="paragraph" w:customStyle="1" w:styleId="108">
    <w:name w:val="MM Topic 2"/>
    <w:basedOn w:val="5"/>
    <w:qFormat/>
    <w:uiPriority w:val="0"/>
    <w:pPr>
      <w:numPr>
        <w:ilvl w:val="0"/>
        <w:numId w:val="0"/>
      </w:numPr>
      <w:tabs>
        <w:tab w:val="left" w:pos="992"/>
      </w:tabs>
    </w:pPr>
    <w:rPr>
      <w:rFonts w:cs="Times New Roman"/>
    </w:rPr>
  </w:style>
  <w:style w:type="paragraph" w:customStyle="1" w:styleId="109">
    <w:name w:val="Style Style4 + First line:  2 ch Before:  0.5 line After:  0.5 li..."/>
    <w:basedOn w:val="1"/>
    <w:qFormat/>
    <w:uiPriority w:val="0"/>
    <w:pPr>
      <w:spacing w:beforeLines="50" w:line="276" w:lineRule="auto"/>
      <w:ind w:firstLine="480" w:firstLineChars="200"/>
    </w:pPr>
    <w:rPr>
      <w:rFonts w:ascii="Arial" w:hAnsi="Arial"/>
      <w:sz w:val="24"/>
      <w:szCs w:val="20"/>
    </w:rPr>
  </w:style>
  <w:style w:type="paragraph" w:customStyle="1" w:styleId="110">
    <w:name w:val="正文 首行缩进:  2 字符 Char Char"/>
    <w:basedOn w:val="1"/>
    <w:qFormat/>
    <w:uiPriority w:val="0"/>
    <w:pPr>
      <w:spacing w:line="360" w:lineRule="auto"/>
      <w:ind w:firstLine="480"/>
    </w:pPr>
    <w:rPr>
      <w:rFonts w:ascii="Times New Roman" w:hAnsi="Times New Roman" w:cs="宋体"/>
      <w:sz w:val="24"/>
      <w:szCs w:val="20"/>
    </w:rPr>
  </w:style>
  <w:style w:type="paragraph" w:customStyle="1" w:styleId="111">
    <w:name w:val="MM Topic 8"/>
    <w:basedOn w:val="11"/>
    <w:qFormat/>
    <w:uiPriority w:val="0"/>
    <w:pPr>
      <w:tabs>
        <w:tab w:val="left" w:pos="4394"/>
      </w:tabs>
    </w:pPr>
  </w:style>
  <w:style w:type="paragraph" w:customStyle="1" w:styleId="112">
    <w:name w:val="Char1 Char Char Char Char Char Char"/>
    <w:basedOn w:val="1"/>
    <w:qFormat/>
    <w:uiPriority w:val="0"/>
    <w:rPr>
      <w:rFonts w:ascii="Tahoma" w:hAnsi="Tahoma"/>
      <w:sz w:val="24"/>
      <w:szCs w:val="20"/>
    </w:rPr>
  </w:style>
  <w:style w:type="paragraph" w:customStyle="1" w:styleId="113">
    <w:name w:val="RFI Heading 3rd Level"/>
    <w:basedOn w:val="1"/>
    <w:qFormat/>
    <w:uiPriority w:val="0"/>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114">
    <w:name w:val="样式 小四2"/>
    <w:basedOn w:val="1"/>
    <w:qFormat/>
    <w:uiPriority w:val="0"/>
    <w:rPr>
      <w:rFonts w:ascii="宋体" w:hAnsi="宋体"/>
      <w:sz w:val="24"/>
      <w:szCs w:val="24"/>
    </w:rPr>
  </w:style>
  <w:style w:type="paragraph" w:customStyle="1" w:styleId="115">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16">
    <w:name w:val="Char Char1"/>
    <w:basedOn w:val="1"/>
    <w:next w:val="1"/>
    <w:qFormat/>
    <w:uiPriority w:val="0"/>
    <w:pPr>
      <w:spacing w:line="240" w:lineRule="atLeast"/>
      <w:ind w:left="420" w:firstLine="420"/>
      <w:jc w:val="left"/>
    </w:pPr>
    <w:rPr>
      <w:rFonts w:ascii="楷体_GB2312" w:hAnsi="宋体" w:eastAsia="楷体_GB2312"/>
      <w:bCs/>
      <w:color w:val="000000"/>
      <w:kern w:val="0"/>
      <w:sz w:val="28"/>
      <w:szCs w:val="28"/>
    </w:rPr>
  </w:style>
  <w:style w:type="paragraph" w:customStyle="1" w:styleId="117">
    <w:name w:val="1 Char"/>
    <w:basedOn w:val="1"/>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118">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19">
    <w:name w:val="文章正文 Char Char1"/>
    <w:basedOn w:val="1"/>
    <w:qFormat/>
    <w:uiPriority w:val="0"/>
    <w:pPr>
      <w:spacing w:line="360" w:lineRule="auto"/>
      <w:ind w:firstLine="420"/>
    </w:pPr>
    <w:rPr>
      <w:rFonts w:ascii="Times New Roman" w:hAnsi="Times New Roman"/>
      <w:sz w:val="24"/>
      <w:szCs w:val="24"/>
    </w:rPr>
  </w:style>
  <w:style w:type="paragraph" w:customStyle="1" w:styleId="120">
    <w:name w:val="标题2-1"/>
    <w:basedOn w:val="1"/>
    <w:qFormat/>
    <w:uiPriority w:val="0"/>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121">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122">
    <w:name w:val="图"/>
    <w:basedOn w:val="1"/>
    <w:qFormat/>
    <w:uiPriority w:val="0"/>
    <w:pPr>
      <w:widowControl/>
      <w:adjustRightInd w:val="0"/>
      <w:snapToGrid w:val="0"/>
      <w:jc w:val="center"/>
    </w:pPr>
    <w:rPr>
      <w:rFonts w:ascii="宋体" w:hAnsi="宋体"/>
      <w:bCs/>
      <w:szCs w:val="24"/>
    </w:rPr>
  </w:style>
  <w:style w:type="paragraph" w:customStyle="1" w:styleId="123">
    <w:name w:val="Char1 Char Char Char Char Char Char1"/>
    <w:basedOn w:val="1"/>
    <w:qFormat/>
    <w:uiPriority w:val="0"/>
    <w:rPr>
      <w:rFonts w:ascii="Tahoma" w:hAnsi="Tahoma"/>
      <w:sz w:val="24"/>
      <w:szCs w:val="20"/>
    </w:rPr>
  </w:style>
  <w:style w:type="paragraph" w:customStyle="1" w:styleId="124">
    <w:name w:val="zw1"/>
    <w:basedOn w:val="1"/>
    <w:qFormat/>
    <w:uiPriority w:val="0"/>
    <w:pPr>
      <w:widowControl/>
      <w:spacing w:line="360" w:lineRule="auto"/>
      <w:ind w:firstLine="480" w:firstLineChars="200"/>
    </w:pPr>
    <w:rPr>
      <w:rFonts w:ascii="Times New Roman" w:hAnsi="Times New Roman"/>
      <w:kern w:val="0"/>
      <w:sz w:val="24"/>
      <w:szCs w:val="20"/>
    </w:rPr>
  </w:style>
  <w:style w:type="paragraph" w:customStyle="1" w:styleId="125">
    <w:name w:val="Char Char Char Char Char Char Char"/>
    <w:basedOn w:val="1"/>
    <w:qFormat/>
    <w:uiPriority w:val="0"/>
    <w:pPr>
      <w:widowControl/>
      <w:snapToGrid w:val="0"/>
      <w:spacing w:line="240" w:lineRule="exact"/>
      <w:jc w:val="left"/>
    </w:pPr>
    <w:rPr>
      <w:rFonts w:ascii="Verdana" w:hAnsi="Verdana"/>
      <w:kern w:val="0"/>
      <w:sz w:val="20"/>
      <w:szCs w:val="20"/>
      <w:lang w:eastAsia="en-US"/>
    </w:rPr>
  </w:style>
  <w:style w:type="paragraph" w:customStyle="1" w:styleId="126">
    <w:name w:val="MM Topic 1"/>
    <w:basedOn w:val="4"/>
    <w:qFormat/>
    <w:uiPriority w:val="0"/>
    <w:pPr>
      <w:tabs>
        <w:tab w:val="left" w:pos="425"/>
      </w:tabs>
    </w:pPr>
    <w:rPr>
      <w:rFonts w:cs="Times New Roman"/>
      <w:sz w:val="44"/>
    </w:rPr>
  </w:style>
  <w:style w:type="paragraph" w:customStyle="1" w:styleId="127">
    <w:name w:val="样式 标题 5 + 倾斜"/>
    <w:basedOn w:val="8"/>
    <w:qFormat/>
    <w:uiPriority w:val="0"/>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128">
    <w:name w:val="我的正文"/>
    <w:basedOn w:val="1"/>
    <w:qFormat/>
    <w:uiPriority w:val="0"/>
    <w:pPr>
      <w:spacing w:line="360" w:lineRule="auto"/>
      <w:ind w:firstLine="420" w:firstLineChars="200"/>
    </w:pPr>
    <w:rPr>
      <w:rFonts w:ascii="宋体" w:hAnsi="宋体"/>
      <w:szCs w:val="24"/>
    </w:rPr>
  </w:style>
  <w:style w:type="paragraph" w:customStyle="1" w:styleId="129">
    <w:name w:val="MM Topic 7"/>
    <w:basedOn w:val="10"/>
    <w:qFormat/>
    <w:uiPriority w:val="0"/>
    <w:pPr>
      <w:keepLines/>
      <w:widowControl w:val="0"/>
      <w:tabs>
        <w:tab w:val="left" w:pos="3827"/>
        <w:tab w:val="clear" w:pos="3600"/>
      </w:tabs>
      <w:spacing w:before="240" w:after="64" w:line="314" w:lineRule="auto"/>
      <w:jc w:val="both"/>
    </w:pPr>
    <w:rPr>
      <w:rFonts w:ascii="Times New Roman" w:hAnsi="Times New Roman"/>
      <w:iCs w:val="0"/>
      <w:kern w:val="2"/>
      <w:sz w:val="24"/>
      <w:lang w:eastAsia="zh-CN"/>
    </w:rPr>
  </w:style>
  <w:style w:type="paragraph" w:customStyle="1" w:styleId="130">
    <w:name w:val="标书（正文）"/>
    <w:basedOn w:val="1"/>
    <w:qFormat/>
    <w:uiPriority w:val="0"/>
    <w:pPr>
      <w:spacing w:line="360" w:lineRule="auto"/>
      <w:ind w:firstLine="560" w:firstLineChars="200"/>
    </w:pPr>
    <w:rPr>
      <w:rFonts w:ascii="宋体" w:hAnsi="宋体"/>
      <w:kern w:val="10"/>
      <w:sz w:val="28"/>
      <w:szCs w:val="28"/>
    </w:rPr>
  </w:style>
  <w:style w:type="paragraph" w:customStyle="1" w:styleId="131">
    <w:name w:val="样式 标题 3 + (西文) 仿宋_GB2312 (中文) 仿宋_GB2312 四号"/>
    <w:basedOn w:val="6"/>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s="Times New Roman"/>
      <w:color w:val="auto"/>
    </w:rPr>
  </w:style>
  <w:style w:type="paragraph" w:customStyle="1" w:styleId="132">
    <w:name w:val="论文正文"/>
    <w:basedOn w:val="1"/>
    <w:qFormat/>
    <w:uiPriority w:val="0"/>
    <w:pPr>
      <w:spacing w:line="360" w:lineRule="auto"/>
      <w:ind w:firstLine="700" w:firstLineChars="250"/>
    </w:pPr>
    <w:rPr>
      <w:rFonts w:ascii="宋体" w:hAnsi="宋体"/>
      <w:bCs/>
      <w:sz w:val="28"/>
      <w:szCs w:val="28"/>
    </w:rPr>
  </w:style>
  <w:style w:type="paragraph" w:customStyle="1" w:styleId="133">
    <w:name w:val="样式1"/>
    <w:basedOn w:val="1"/>
    <w:qFormat/>
    <w:uiPriority w:val="0"/>
    <w:rPr>
      <w:rFonts w:ascii="Times New Roman" w:hAnsi="Times New Roman" w:eastAsia="隶书"/>
      <w:i/>
      <w:dstrike/>
      <w:sz w:val="28"/>
      <w:szCs w:val="18"/>
    </w:rPr>
  </w:style>
  <w:style w:type="paragraph" w:customStyle="1" w:styleId="134">
    <w:name w:val="表格"/>
    <w:basedOn w:val="1"/>
    <w:qFormat/>
    <w:uiPriority w:val="0"/>
    <w:pPr>
      <w:spacing w:line="400" w:lineRule="exact"/>
    </w:pPr>
    <w:rPr>
      <w:rFonts w:ascii="Times New Roman" w:hAnsi="Times New Roman"/>
      <w:sz w:val="24"/>
      <w:szCs w:val="24"/>
    </w:rPr>
  </w:style>
  <w:style w:type="paragraph" w:customStyle="1" w:styleId="135">
    <w:name w:val="彩色底纹 - 强调文字颜色 11"/>
    <w:qFormat/>
    <w:uiPriority w:val="0"/>
    <w:rPr>
      <w:rFonts w:ascii="Calibri" w:hAnsi="Calibri" w:eastAsia="宋体" w:cs="Times New Roman"/>
      <w:kern w:val="2"/>
      <w:sz w:val="21"/>
      <w:szCs w:val="22"/>
      <w:lang w:val="en-US" w:eastAsia="zh-CN" w:bidi="ar-SA"/>
    </w:rPr>
  </w:style>
  <w:style w:type="paragraph" w:customStyle="1" w:styleId="136">
    <w:name w:val="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37">
    <w:name w:val="Char Char Char Char Char Char Char Char Char Char Char Char Char"/>
    <w:basedOn w:val="16"/>
    <w:qFormat/>
    <w:uiPriority w:val="0"/>
    <w:rPr>
      <w:rFonts w:ascii="Tahoma" w:hAnsi="Tahoma"/>
      <w:sz w:val="24"/>
      <w:szCs w:val="24"/>
    </w:rPr>
  </w:style>
  <w:style w:type="paragraph" w:customStyle="1" w:styleId="138">
    <w:name w:val="MM Topic 3"/>
    <w:basedOn w:val="6"/>
    <w:qFormat/>
    <w:uiPriority w:val="0"/>
    <w:pPr>
      <w:numPr>
        <w:ilvl w:val="0"/>
        <w:numId w:val="0"/>
      </w:numPr>
      <w:tabs>
        <w:tab w:val="left" w:pos="1418"/>
      </w:tabs>
    </w:pPr>
    <w:rPr>
      <w:rFonts w:cs="Times New Roman"/>
    </w:rPr>
  </w:style>
  <w:style w:type="paragraph" w:customStyle="1" w:styleId="139">
    <w:name w:val="样式 仿宋_GB2312 小四 左侧:  0.63 厘米"/>
    <w:basedOn w:val="1"/>
    <w:qFormat/>
    <w:uiPriority w:val="0"/>
    <w:pPr>
      <w:spacing w:before="120" w:after="120" w:line="360" w:lineRule="auto"/>
      <w:ind w:left="357" w:firstLine="200" w:firstLineChars="200"/>
    </w:pPr>
    <w:rPr>
      <w:rFonts w:ascii="仿宋_GB2312" w:hAnsi="仿宋_GB2312" w:eastAsia="仿宋_GB2312" w:cs="宋体"/>
      <w:sz w:val="24"/>
      <w:szCs w:val="20"/>
    </w:rPr>
  </w:style>
  <w:style w:type="paragraph" w:customStyle="1" w:styleId="140">
    <w:name w:val="样式 宋体 小四 行距: 1.5 倍行距"/>
    <w:basedOn w:val="1"/>
    <w:qFormat/>
    <w:uiPriority w:val="0"/>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141">
    <w:name w:val="Char Char Char Char"/>
    <w:basedOn w:val="1"/>
    <w:qFormat/>
    <w:uiPriority w:val="0"/>
    <w:rPr>
      <w:rFonts w:ascii="Tahoma" w:hAnsi="Tahoma"/>
      <w:sz w:val="24"/>
      <w:szCs w:val="20"/>
    </w:rPr>
  </w:style>
  <w:style w:type="paragraph" w:customStyle="1" w:styleId="142">
    <w:name w:val="Style8"/>
    <w:basedOn w:val="1"/>
    <w:qFormat/>
    <w:uiPriority w:val="0"/>
    <w:pPr>
      <w:tabs>
        <w:tab w:val="left" w:pos="1304"/>
      </w:tabs>
      <w:spacing w:beforeLines="50" w:line="276" w:lineRule="auto"/>
      <w:ind w:left="1304" w:hanging="397"/>
    </w:pPr>
    <w:rPr>
      <w:rFonts w:ascii="Arial" w:hAnsi="Arial"/>
      <w:sz w:val="24"/>
      <w:szCs w:val="24"/>
    </w:rPr>
  </w:style>
  <w:style w:type="paragraph" w:customStyle="1" w:styleId="143">
    <w:name w:val="MM Topic 9"/>
    <w:basedOn w:val="12"/>
    <w:qFormat/>
    <w:uiPriority w:val="0"/>
    <w:pPr>
      <w:tabs>
        <w:tab w:val="left" w:pos="5102"/>
      </w:tabs>
    </w:pPr>
  </w:style>
  <w:style w:type="paragraph" w:customStyle="1" w:styleId="144">
    <w:name w:val="MM Topic 5"/>
    <w:basedOn w:val="8"/>
    <w:qFormat/>
    <w:uiPriority w:val="0"/>
    <w:pPr>
      <w:tabs>
        <w:tab w:val="left" w:pos="2551"/>
        <w:tab w:val="clear" w:pos="1134"/>
        <w:tab w:val="clear" w:pos="1560"/>
      </w:tabs>
      <w:ind w:left="0" w:firstLine="0"/>
    </w:pPr>
    <w:rPr>
      <w:rFonts w:cs="Times New Roman"/>
    </w:rPr>
  </w:style>
  <w:style w:type="paragraph" w:customStyle="1" w:styleId="145">
    <w:name w:val="大纲正文"/>
    <w:basedOn w:val="1"/>
    <w:qFormat/>
    <w:uiPriority w:val="0"/>
    <w:pPr>
      <w:spacing w:line="360" w:lineRule="auto"/>
      <w:ind w:firstLine="480" w:firstLineChars="200"/>
    </w:pPr>
    <w:rPr>
      <w:rFonts w:ascii="Times New Roman" w:hAnsi="Times New Roman"/>
      <w:sz w:val="24"/>
      <w:szCs w:val="20"/>
    </w:rPr>
  </w:style>
  <w:style w:type="paragraph" w:customStyle="1" w:styleId="146">
    <w:name w:val="MM Topic 4"/>
    <w:basedOn w:val="7"/>
    <w:qFormat/>
    <w:uiPriority w:val="0"/>
    <w:pPr>
      <w:tabs>
        <w:tab w:val="left" w:pos="1984"/>
      </w:tabs>
      <w:ind w:left="0" w:firstLine="0"/>
    </w:pPr>
  </w:style>
  <w:style w:type="paragraph" w:customStyle="1" w:styleId="14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8">
    <w:name w:val="样式 小四 首行缩进:  0.74 厘米"/>
    <w:basedOn w:val="1"/>
    <w:qFormat/>
    <w:uiPriority w:val="0"/>
    <w:pPr>
      <w:spacing w:before="100" w:beforeAutospacing="1" w:after="100" w:afterAutospacing="1" w:line="300" w:lineRule="auto"/>
      <w:ind w:firstLine="420" w:firstLineChars="175"/>
    </w:pPr>
    <w:rPr>
      <w:rFonts w:ascii="宋体" w:hAnsi="宋体"/>
      <w:sz w:val="24"/>
      <w:szCs w:val="24"/>
    </w:rPr>
  </w:style>
  <w:style w:type="paragraph" w:customStyle="1" w:styleId="149">
    <w:name w:val="样式 标题 2H2第一章 标题 2Heading 2 HiddenHeading 2 CCBSheading 2h2..."/>
    <w:basedOn w:val="5"/>
    <w:qFormat/>
    <w:uiPriority w:val="0"/>
    <w:pPr>
      <w:tabs>
        <w:tab w:val="left" w:pos="-2493"/>
      </w:tabs>
    </w:pPr>
    <w:rPr>
      <w:rFonts w:cs="Times New Roman"/>
      <w:szCs w:val="20"/>
    </w:rPr>
  </w:style>
  <w:style w:type="paragraph" w:customStyle="1" w:styleId="150">
    <w:name w:val="正文首行缩进两字符"/>
    <w:basedOn w:val="1"/>
    <w:qFormat/>
    <w:uiPriority w:val="0"/>
    <w:pPr>
      <w:spacing w:line="360" w:lineRule="auto"/>
      <w:ind w:firstLine="200" w:firstLineChars="200"/>
    </w:pPr>
    <w:rPr>
      <w:rFonts w:ascii="Times New Roman" w:hAnsi="Times New Roman"/>
      <w:szCs w:val="24"/>
    </w:rPr>
  </w:style>
  <w:style w:type="paragraph" w:customStyle="1" w:styleId="151">
    <w:name w:val="列出段落2"/>
    <w:basedOn w:val="1"/>
    <w:qFormat/>
    <w:uiPriority w:val="0"/>
    <w:pPr>
      <w:ind w:firstLine="420" w:firstLineChars="200"/>
    </w:pPr>
  </w:style>
  <w:style w:type="paragraph" w:customStyle="1" w:styleId="152">
    <w:name w:val="列出段落4"/>
    <w:basedOn w:val="1"/>
    <w:qFormat/>
    <w:uiPriority w:val="99"/>
    <w:pPr>
      <w:ind w:firstLine="420" w:firstLineChars="200"/>
    </w:pPr>
    <w:rPr>
      <w:rFonts w:ascii="Times New Roman" w:hAnsi="Times New Roman"/>
      <w:szCs w:val="24"/>
    </w:rPr>
  </w:style>
  <w:style w:type="paragraph" w:customStyle="1" w:styleId="153">
    <w:name w:val="列出段落1111"/>
    <w:basedOn w:val="1"/>
    <w:qFormat/>
    <w:uiPriority w:val="0"/>
    <w:pPr>
      <w:ind w:firstLine="420" w:firstLineChars="200"/>
    </w:pPr>
  </w:style>
  <w:style w:type="paragraph" w:customStyle="1" w:styleId="154">
    <w:name w:val="修订1"/>
    <w:qFormat/>
    <w:uiPriority w:val="0"/>
    <w:rPr>
      <w:rFonts w:ascii="Calibri" w:hAnsi="Calibri" w:eastAsia="宋体" w:cs="Times New Roman"/>
      <w:kern w:val="2"/>
      <w:sz w:val="21"/>
      <w:szCs w:val="22"/>
      <w:lang w:val="en-US" w:eastAsia="zh-CN" w:bidi="ar-SA"/>
    </w:rPr>
  </w:style>
  <w:style w:type="paragraph" w:customStyle="1" w:styleId="155">
    <w:name w:val="彩色列表 - 强调文字颜色 12"/>
    <w:basedOn w:val="1"/>
    <w:qFormat/>
    <w:uiPriority w:val="0"/>
    <w:pPr>
      <w:ind w:firstLine="420" w:firstLineChars="200"/>
    </w:pPr>
  </w:style>
  <w:style w:type="paragraph" w:customStyle="1" w:styleId="156">
    <w:name w:val="Default"/>
    <w:link w:val="283"/>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57">
    <w:name w:val="列出段落3"/>
    <w:basedOn w:val="1"/>
    <w:link w:val="267"/>
    <w:qFormat/>
    <w:uiPriority w:val="99"/>
    <w:pPr>
      <w:widowControl/>
      <w:ind w:firstLine="420" w:firstLineChars="200"/>
      <w:jc w:val="left"/>
    </w:pPr>
    <w:rPr>
      <w:rFonts w:ascii="Times New Roman" w:hAnsi="Times New Roman"/>
      <w:kern w:val="0"/>
      <w:sz w:val="24"/>
      <w:szCs w:val="24"/>
    </w:rPr>
  </w:style>
  <w:style w:type="paragraph" w:customStyle="1" w:styleId="158">
    <w:name w:val="列项——（一级）"/>
    <w:qFormat/>
    <w:uiPriority w:val="0"/>
    <w:pPr>
      <w:widowControl w:val="0"/>
      <w:numPr>
        <w:ilvl w:val="0"/>
        <w:numId w:val="4"/>
      </w:numPr>
      <w:jc w:val="both"/>
    </w:pPr>
    <w:rPr>
      <w:rFonts w:ascii="宋体" w:hAnsi="Times New Roman" w:eastAsia="宋体" w:cs="Times New Roman"/>
      <w:sz w:val="21"/>
      <w:lang w:val="en-US" w:eastAsia="zh-CN" w:bidi="ar-SA"/>
    </w:rPr>
  </w:style>
  <w:style w:type="character" w:customStyle="1" w:styleId="159">
    <w:name w:val="0-CD Char"/>
    <w:link w:val="160"/>
    <w:qFormat/>
    <w:locked/>
    <w:uiPriority w:val="0"/>
    <w:rPr>
      <w:rFonts w:ascii="宋体" w:hAnsi="宋体" w:eastAsia="宋体"/>
      <w:sz w:val="28"/>
      <w:szCs w:val="24"/>
    </w:rPr>
  </w:style>
  <w:style w:type="paragraph" w:customStyle="1" w:styleId="160">
    <w:name w:val="0-CD"/>
    <w:basedOn w:val="1"/>
    <w:link w:val="159"/>
    <w:qFormat/>
    <w:uiPriority w:val="0"/>
    <w:pPr>
      <w:spacing w:line="360" w:lineRule="auto"/>
      <w:ind w:firstLine="708" w:firstLineChars="253"/>
      <w:jc w:val="left"/>
    </w:pPr>
    <w:rPr>
      <w:rFonts w:ascii="宋体" w:hAnsi="宋体" w:cstheme="minorBidi"/>
      <w:sz w:val="28"/>
      <w:szCs w:val="24"/>
    </w:rPr>
  </w:style>
  <w:style w:type="character" w:customStyle="1" w:styleId="161">
    <w:name w:val="Char Char8"/>
    <w:qFormat/>
    <w:uiPriority w:val="0"/>
    <w:rPr>
      <w:rFonts w:hint="eastAsia" w:ascii="宋体" w:hAnsi="宋体" w:eastAsia="宋体"/>
      <w:kern w:val="2"/>
      <w:sz w:val="28"/>
      <w:szCs w:val="28"/>
    </w:rPr>
  </w:style>
  <w:style w:type="character" w:customStyle="1" w:styleId="162">
    <w:name w:val="Char Char5"/>
    <w:qFormat/>
    <w:uiPriority w:val="0"/>
    <w:rPr>
      <w:kern w:val="2"/>
      <w:sz w:val="21"/>
      <w:szCs w:val="24"/>
    </w:rPr>
  </w:style>
  <w:style w:type="character" w:customStyle="1" w:styleId="163">
    <w:name w:val="列出段落 Char Char"/>
    <w:qFormat/>
    <w:uiPriority w:val="0"/>
    <w:rPr>
      <w:rFonts w:hint="default" w:ascii="Calibri" w:hAnsi="Calibri" w:cs="Calibri"/>
      <w:kern w:val="2"/>
      <w:sz w:val="21"/>
      <w:szCs w:val="22"/>
    </w:rPr>
  </w:style>
  <w:style w:type="character" w:customStyle="1" w:styleId="164">
    <w:name w:val="正文文本 Char Char"/>
    <w:qFormat/>
    <w:uiPriority w:val="0"/>
    <w:rPr>
      <w:kern w:val="2"/>
      <w:sz w:val="21"/>
      <w:szCs w:val="24"/>
    </w:rPr>
  </w:style>
  <w:style w:type="character" w:customStyle="1" w:styleId="165">
    <w:name w:val="Char Char11"/>
    <w:qFormat/>
    <w:uiPriority w:val="0"/>
    <w:rPr>
      <w:rFonts w:hint="default" w:ascii="Arial Narrow" w:hAnsi="Arial Narrow"/>
      <w:b/>
      <w:bCs/>
      <w:iCs/>
      <w:szCs w:val="24"/>
      <w:lang w:eastAsia="en-US"/>
    </w:rPr>
  </w:style>
  <w:style w:type="character" w:customStyle="1" w:styleId="166">
    <w:name w:val="标书（正文） Char Char"/>
    <w:qFormat/>
    <w:uiPriority w:val="0"/>
    <w:rPr>
      <w:rFonts w:hint="eastAsia" w:ascii="宋体" w:hAnsi="宋体" w:eastAsia="宋体"/>
      <w:b/>
      <w:kern w:val="10"/>
      <w:sz w:val="21"/>
      <w:szCs w:val="21"/>
      <w:lang w:val="en-US" w:eastAsia="zh-CN" w:bidi="ar-SA"/>
    </w:rPr>
  </w:style>
  <w:style w:type="character" w:customStyle="1" w:styleId="167">
    <w:name w:val="line2"/>
    <w:basedOn w:val="43"/>
    <w:qFormat/>
    <w:uiPriority w:val="0"/>
  </w:style>
  <w:style w:type="character" w:customStyle="1" w:styleId="168">
    <w:name w:val="Char Char10"/>
    <w:qFormat/>
    <w:uiPriority w:val="0"/>
    <w:rPr>
      <w:kern w:val="2"/>
      <w:sz w:val="24"/>
      <w:szCs w:val="24"/>
    </w:rPr>
  </w:style>
  <w:style w:type="character" w:customStyle="1" w:styleId="169">
    <w:name w:val="MM Topic 4 Char Char"/>
    <w:qFormat/>
    <w:uiPriority w:val="0"/>
    <w:rPr>
      <w:rFonts w:hint="default" w:ascii="Arial" w:hAnsi="Arial" w:cs="Arial"/>
      <w:b/>
      <w:bCs/>
      <w:kern w:val="2"/>
      <w:sz w:val="28"/>
      <w:szCs w:val="28"/>
    </w:rPr>
  </w:style>
  <w:style w:type="character" w:customStyle="1" w:styleId="170">
    <w:name w:val="标书正文:  0.74 厘米 Char Char"/>
    <w:qFormat/>
    <w:uiPriority w:val="0"/>
    <w:rPr>
      <w:kern w:val="2"/>
      <w:sz w:val="24"/>
    </w:rPr>
  </w:style>
  <w:style w:type="character" w:customStyle="1" w:styleId="171">
    <w:name w:val="访问过的超链接1"/>
    <w:qFormat/>
    <w:uiPriority w:val="99"/>
    <w:rPr>
      <w:color w:val="800080"/>
      <w:u w:val="single"/>
    </w:rPr>
  </w:style>
  <w:style w:type="character" w:customStyle="1" w:styleId="172">
    <w:name w:val="标题 3 Char Char Char"/>
    <w:qFormat/>
    <w:uiPriority w:val="0"/>
    <w:rPr>
      <w:rFonts w:hint="eastAsia" w:ascii="宋体" w:hAnsi="宋体" w:eastAsia="宋体"/>
      <w:b/>
      <w:kern w:val="2"/>
      <w:sz w:val="32"/>
      <w:lang w:val="en-US" w:eastAsia="zh-CN" w:bidi="ar-SA"/>
    </w:rPr>
  </w:style>
  <w:style w:type="character" w:customStyle="1" w:styleId="173">
    <w:name w:val="（符号）邀请函中一、"/>
    <w:qFormat/>
    <w:uiPriority w:val="0"/>
    <w:rPr>
      <w:rFonts w:hint="eastAsia" w:ascii="黑体" w:hAnsi="黑体" w:eastAsia="黑体"/>
      <w:b/>
      <w:bCs/>
      <w:sz w:val="24"/>
    </w:rPr>
  </w:style>
  <w:style w:type="character" w:customStyle="1" w:styleId="174">
    <w:name w:val="tt Char"/>
    <w:qFormat/>
    <w:uiPriority w:val="0"/>
    <w:rPr>
      <w:rFonts w:hint="default" w:ascii="Arial" w:hAnsi="Arial" w:eastAsia="黑体" w:cs="Arial"/>
      <w:kern w:val="2"/>
      <w:sz w:val="21"/>
      <w:szCs w:val="21"/>
    </w:rPr>
  </w:style>
  <w:style w:type="character" w:customStyle="1" w:styleId="175">
    <w:name w:val="Char Char9"/>
    <w:qFormat/>
    <w:uiPriority w:val="0"/>
    <w:rPr>
      <w:kern w:val="2"/>
      <w:sz w:val="18"/>
      <w:szCs w:val="18"/>
    </w:rPr>
  </w:style>
  <w:style w:type="character" w:customStyle="1" w:styleId="176">
    <w:name w:val="MM Topic 3 Char Char"/>
    <w:qFormat/>
    <w:uiPriority w:val="0"/>
    <w:rPr>
      <w:rFonts w:hint="eastAsia" w:ascii="宋体" w:hAnsi="宋体" w:eastAsia="宋体"/>
      <w:b/>
      <w:bCs/>
      <w:color w:val="000000"/>
      <w:kern w:val="2"/>
      <w:sz w:val="28"/>
      <w:szCs w:val="28"/>
    </w:rPr>
  </w:style>
  <w:style w:type="character" w:customStyle="1" w:styleId="177">
    <w:name w:val="样式 小四2 Char Char"/>
    <w:qFormat/>
    <w:uiPriority w:val="0"/>
    <w:rPr>
      <w:rFonts w:hint="eastAsia" w:ascii="宋体" w:hAnsi="宋体" w:eastAsia="宋体"/>
      <w:kern w:val="2"/>
      <w:sz w:val="24"/>
      <w:szCs w:val="24"/>
    </w:rPr>
  </w:style>
  <w:style w:type="character" w:customStyle="1" w:styleId="178">
    <w:name w:val="Char Char7"/>
    <w:qFormat/>
    <w:uiPriority w:val="0"/>
    <w:rPr>
      <w:kern w:val="2"/>
      <w:sz w:val="18"/>
      <w:szCs w:val="18"/>
    </w:rPr>
  </w:style>
  <w:style w:type="character" w:customStyle="1" w:styleId="179">
    <w:name w:val="Char Char3"/>
    <w:qFormat/>
    <w:uiPriority w:val="0"/>
    <w:rPr>
      <w:b/>
      <w:bCs/>
      <w:kern w:val="2"/>
      <w:sz w:val="18"/>
      <w:szCs w:val="18"/>
    </w:rPr>
  </w:style>
  <w:style w:type="character" w:customStyle="1" w:styleId="180">
    <w:name w:val="apple-style-span"/>
    <w:basedOn w:val="43"/>
    <w:qFormat/>
    <w:uiPriority w:val="0"/>
  </w:style>
  <w:style w:type="character" w:customStyle="1" w:styleId="181">
    <w:name w:val="Char Char4"/>
    <w:qFormat/>
    <w:uiPriority w:val="0"/>
    <w:rPr>
      <w:kern w:val="2"/>
      <w:sz w:val="18"/>
      <w:szCs w:val="18"/>
    </w:rPr>
  </w:style>
  <w:style w:type="character" w:customStyle="1" w:styleId="182">
    <w:name w:val="副标题 Char1"/>
    <w:qFormat/>
    <w:uiPriority w:val="11"/>
    <w:rPr>
      <w:rFonts w:hint="default" w:ascii="Cambria" w:hAnsi="Cambria" w:cs="Times New Roman"/>
      <w:b/>
      <w:bCs/>
      <w:kern w:val="28"/>
      <w:sz w:val="32"/>
      <w:szCs w:val="32"/>
    </w:rPr>
  </w:style>
  <w:style w:type="character" w:customStyle="1" w:styleId="183">
    <w:name w:val="small"/>
    <w:basedOn w:val="43"/>
    <w:qFormat/>
    <w:uiPriority w:val="0"/>
  </w:style>
  <w:style w:type="character" w:customStyle="1" w:styleId="184">
    <w:name w:val="Legal Level 1.1.1. Char"/>
    <w:qFormat/>
    <w:uiPriority w:val="0"/>
    <w:rPr>
      <w:rFonts w:hint="default" w:ascii="Arial" w:hAnsi="Arial" w:eastAsia="黑体" w:cs="Arial"/>
      <w:kern w:val="2"/>
      <w:sz w:val="24"/>
      <w:szCs w:val="24"/>
    </w:rPr>
  </w:style>
  <w:style w:type="character" w:customStyle="1" w:styleId="185">
    <w:name w:val="文章正文 Char Char"/>
    <w:qFormat/>
    <w:uiPriority w:val="0"/>
    <w:rPr>
      <w:rFonts w:hint="eastAsia" w:ascii="宋体" w:hAnsi="宋体" w:eastAsia="宋体"/>
      <w:kern w:val="2"/>
      <w:sz w:val="24"/>
      <w:szCs w:val="24"/>
      <w:lang w:val="en-US" w:eastAsia="zh-CN" w:bidi="ar-SA"/>
    </w:rPr>
  </w:style>
  <w:style w:type="character" w:customStyle="1" w:styleId="186">
    <w:name w:val="正文文本 Char1"/>
    <w:qFormat/>
    <w:uiPriority w:val="0"/>
    <w:rPr>
      <w:rFonts w:hint="default" w:ascii="Times New Roman" w:hAnsi="Times New Roman" w:eastAsia="宋体" w:cs="Times New Roman"/>
      <w:kern w:val="0"/>
      <w:sz w:val="18"/>
      <w:szCs w:val="18"/>
    </w:rPr>
  </w:style>
  <w:style w:type="character" w:customStyle="1" w:styleId="187">
    <w:name w:val="CD正文 Char Char"/>
    <w:qFormat/>
    <w:uiPriority w:val="0"/>
    <w:rPr>
      <w:rFonts w:hint="eastAsia" w:ascii="宋体" w:hAnsi="宋体" w:eastAsia="宋体"/>
      <w:kern w:val="2"/>
      <w:sz w:val="30"/>
      <w:szCs w:val="28"/>
      <w:lang w:val="en-US" w:eastAsia="zh-CN" w:bidi="ar-SA"/>
    </w:rPr>
  </w:style>
  <w:style w:type="character" w:customStyle="1" w:styleId="188">
    <w:name w:val="Char Char2"/>
    <w:qFormat/>
    <w:uiPriority w:val="0"/>
    <w:rPr>
      <w:kern w:val="2"/>
      <w:sz w:val="18"/>
      <w:szCs w:val="18"/>
    </w:rPr>
  </w:style>
  <w:style w:type="character" w:customStyle="1" w:styleId="189">
    <w:name w:val="标题 1 Char1"/>
    <w:qFormat/>
    <w:uiPriority w:val="0"/>
    <w:rPr>
      <w:b/>
      <w:bCs/>
      <w:kern w:val="44"/>
      <w:sz w:val="44"/>
      <w:szCs w:val="44"/>
    </w:rPr>
  </w:style>
  <w:style w:type="character" w:customStyle="1" w:styleId="190">
    <w:name w:val="表正文 Char1"/>
    <w:qFormat/>
    <w:uiPriority w:val="0"/>
    <w:rPr>
      <w:rFonts w:hint="eastAsia" w:ascii="宋体" w:hAnsi="宋体" w:eastAsia="宋体"/>
      <w:kern w:val="2"/>
      <w:sz w:val="21"/>
      <w:lang w:val="en-US" w:eastAsia="zh-CN" w:bidi="ar-SA"/>
    </w:rPr>
  </w:style>
  <w:style w:type="character" w:customStyle="1" w:styleId="191">
    <w:name w:val="Char Char Char"/>
    <w:qFormat/>
    <w:uiPriority w:val="0"/>
    <w:rPr>
      <w:rFonts w:hint="eastAsia" w:ascii="宋体" w:hAnsi="宋体" w:eastAsia="宋体"/>
      <w:kern w:val="2"/>
      <w:sz w:val="18"/>
      <w:szCs w:val="18"/>
      <w:lang w:val="en-US" w:eastAsia="zh-CN" w:bidi="ar-SA"/>
    </w:rPr>
  </w:style>
  <w:style w:type="character" w:customStyle="1" w:styleId="192">
    <w:name w:val="Char Char6"/>
    <w:qFormat/>
    <w:uiPriority w:val="0"/>
    <w:rPr>
      <w:kern w:val="2"/>
      <w:sz w:val="21"/>
      <w:szCs w:val="24"/>
    </w:rPr>
  </w:style>
  <w:style w:type="character" w:customStyle="1" w:styleId="193">
    <w:name w:val="正文缩进 Char"/>
    <w:qFormat/>
    <w:uiPriority w:val="0"/>
    <w:rPr>
      <w:kern w:val="2"/>
      <w:sz w:val="21"/>
      <w:lang w:val="zh-CN" w:eastAsia="zh-CN"/>
    </w:rPr>
  </w:style>
  <w:style w:type="character" w:customStyle="1" w:styleId="194">
    <w:name w:val="font11"/>
    <w:basedOn w:val="43"/>
    <w:qFormat/>
    <w:uiPriority w:val="0"/>
    <w:rPr>
      <w:rFonts w:hint="eastAsia" w:ascii="宋体" w:hAnsi="宋体" w:eastAsia="宋体" w:cs="宋体"/>
      <w:b/>
      <w:color w:val="000000"/>
      <w:sz w:val="22"/>
      <w:szCs w:val="22"/>
      <w:u w:val="none"/>
    </w:rPr>
  </w:style>
  <w:style w:type="character" w:customStyle="1" w:styleId="195">
    <w:name w:val="font01"/>
    <w:basedOn w:val="43"/>
    <w:qFormat/>
    <w:uiPriority w:val="0"/>
    <w:rPr>
      <w:rFonts w:hint="eastAsia" w:ascii="宋体" w:hAnsi="宋体" w:eastAsia="宋体" w:cs="宋体"/>
      <w:color w:val="000000"/>
      <w:sz w:val="22"/>
      <w:szCs w:val="22"/>
      <w:u w:val="none"/>
    </w:rPr>
  </w:style>
  <w:style w:type="character" w:customStyle="1" w:styleId="196">
    <w:name w:val="页脚 Char1"/>
    <w:basedOn w:val="43"/>
    <w:qFormat/>
    <w:uiPriority w:val="99"/>
    <w:rPr>
      <w:sz w:val="18"/>
      <w:szCs w:val="18"/>
    </w:rPr>
  </w:style>
  <w:style w:type="character" w:customStyle="1" w:styleId="197">
    <w:name w:val="批注文字 Char2"/>
    <w:qFormat/>
    <w:uiPriority w:val="0"/>
    <w:rPr>
      <w:rFonts w:hint="eastAsia" w:ascii="宋体" w:hAnsi="宋体" w:eastAsia="宋体"/>
      <w:sz w:val="18"/>
      <w:szCs w:val="18"/>
    </w:rPr>
  </w:style>
  <w:style w:type="character" w:customStyle="1" w:styleId="198">
    <w:name w:val="列出段落 Char1"/>
    <w:qFormat/>
    <w:uiPriority w:val="34"/>
    <w:rPr>
      <w:rFonts w:hint="default" w:ascii="Calibri" w:hAnsi="Calibri"/>
      <w:kern w:val="2"/>
      <w:sz w:val="21"/>
      <w:szCs w:val="22"/>
    </w:rPr>
  </w:style>
  <w:style w:type="paragraph" w:customStyle="1" w:styleId="199">
    <w:name w:val="CD正文"/>
    <w:basedOn w:val="99"/>
    <w:link w:val="275"/>
    <w:qFormat/>
    <w:uiPriority w:val="0"/>
  </w:style>
  <w:style w:type="paragraph" w:customStyle="1" w:styleId="200">
    <w:name w:val="项目符号：一级"/>
    <w:basedOn w:val="86"/>
    <w:next w:val="86"/>
    <w:qFormat/>
    <w:uiPriority w:val="0"/>
  </w:style>
  <w:style w:type="paragraph" w:customStyle="1" w:styleId="201">
    <w:name w:val="正文 A"/>
    <w:qFormat/>
    <w:uiPriority w:val="0"/>
    <w:rPr>
      <w:rFonts w:hint="eastAsia" w:ascii="Arial Unicode MS" w:hAnsi="Arial Unicode MS" w:eastAsia="Arial Unicode MS" w:cs="Arial Unicode MS"/>
      <w:color w:val="000000"/>
      <w:sz w:val="24"/>
      <w:szCs w:val="24"/>
      <w:lang w:val="zh-TW" w:eastAsia="zh-TW" w:bidi="ar-SA"/>
    </w:rPr>
  </w:style>
  <w:style w:type="paragraph" w:customStyle="1" w:styleId="202">
    <w:name w:val="标题5"/>
    <w:basedOn w:val="1"/>
    <w:qFormat/>
    <w:uiPriority w:val="0"/>
    <w:pPr>
      <w:spacing w:before="100" w:beforeAutospacing="1" w:after="100" w:afterAutospacing="1"/>
      <w:ind w:left="283" w:hanging="425"/>
      <w:outlineLvl w:val="4"/>
    </w:pPr>
    <w:rPr>
      <w:rFonts w:ascii="Times New Roman" w:hAnsi="Times New Roman"/>
      <w:szCs w:val="24"/>
    </w:rPr>
  </w:style>
  <w:style w:type="paragraph" w:customStyle="1" w:styleId="203">
    <w:name w:val="列出段落5"/>
    <w:basedOn w:val="1"/>
    <w:unhideWhenUsed/>
    <w:qFormat/>
    <w:uiPriority w:val="99"/>
    <w:pPr>
      <w:ind w:firstLine="420" w:firstLineChars="200"/>
    </w:pPr>
    <w:rPr>
      <w:rFonts w:ascii="Times New Roman" w:hAnsi="Times New Roman"/>
    </w:rPr>
  </w:style>
  <w:style w:type="paragraph" w:customStyle="1" w:styleId="204">
    <w:name w:val="Normal Indent1"/>
    <w:basedOn w:val="1"/>
    <w:qFormat/>
    <w:uiPriority w:val="99"/>
    <w:pPr>
      <w:spacing w:line="360" w:lineRule="auto"/>
      <w:ind w:firstLine="200" w:firstLineChars="200"/>
    </w:pPr>
    <w:rPr>
      <w:rFonts w:ascii="Times New Roman" w:hAnsi="Times New Roman"/>
      <w:sz w:val="24"/>
      <w:szCs w:val="24"/>
    </w:rPr>
  </w:style>
  <w:style w:type="paragraph" w:customStyle="1" w:styleId="205">
    <w:name w:val="图题标题"/>
    <w:basedOn w:val="1"/>
    <w:qFormat/>
    <w:uiPriority w:val="0"/>
    <w:pPr>
      <w:spacing w:line="400" w:lineRule="exact"/>
      <w:jc w:val="center"/>
    </w:pPr>
    <w:rPr>
      <w:rFonts w:ascii="Times New Roman" w:hAnsi="Times New Roman" w:eastAsia="黑体"/>
      <w:sz w:val="24"/>
      <w:szCs w:val="24"/>
    </w:rPr>
  </w:style>
  <w:style w:type="paragraph" w:customStyle="1" w:styleId="206">
    <w:name w:val="无间隔11"/>
    <w:qFormat/>
    <w:uiPriority w:val="0"/>
    <w:pPr>
      <w:widowControl w:val="0"/>
      <w:spacing w:after="200" w:line="300" w:lineRule="auto"/>
      <w:jc w:val="center"/>
    </w:pPr>
    <w:rPr>
      <w:rFonts w:ascii="宋体" w:hAnsi="宋体" w:eastAsia="宋体" w:cs="Times New Roman"/>
      <w:kern w:val="2"/>
      <w:sz w:val="24"/>
      <w:szCs w:val="21"/>
      <w:lang w:val="en-US" w:eastAsia="zh-CN" w:bidi="ar-SA"/>
    </w:rPr>
  </w:style>
  <w:style w:type="paragraph" w:customStyle="1" w:styleId="207">
    <w:name w:val="列出段落11"/>
    <w:basedOn w:val="1"/>
    <w:qFormat/>
    <w:uiPriority w:val="99"/>
    <w:pPr>
      <w:spacing w:after="200" w:line="276" w:lineRule="auto"/>
      <w:ind w:firstLine="420" w:firstLineChars="200"/>
    </w:pPr>
  </w:style>
  <w:style w:type="paragraph" w:customStyle="1" w:styleId="208">
    <w:name w:val="修订2"/>
    <w:hidden/>
    <w:qFormat/>
    <w:uiPriority w:val="99"/>
    <w:pPr>
      <w:spacing w:after="200" w:line="276" w:lineRule="auto"/>
    </w:pPr>
    <w:rPr>
      <w:rFonts w:ascii="Calibri" w:hAnsi="Calibri" w:eastAsia="宋体" w:cs="Times New Roman"/>
      <w:kern w:val="2"/>
      <w:sz w:val="21"/>
      <w:szCs w:val="22"/>
      <w:lang w:val="en-US" w:eastAsia="zh-CN" w:bidi="ar-SA"/>
    </w:rPr>
  </w:style>
  <w:style w:type="character" w:customStyle="1" w:styleId="209">
    <w:name w:val="NormalCharacter"/>
    <w:qFormat/>
    <w:uiPriority w:val="0"/>
  </w:style>
  <w:style w:type="character" w:customStyle="1" w:styleId="210">
    <w:name w:val="UserStyle_26"/>
    <w:link w:val="211"/>
    <w:qFormat/>
    <w:uiPriority w:val="0"/>
    <w:rPr>
      <w:szCs w:val="20"/>
    </w:rPr>
  </w:style>
  <w:style w:type="paragraph" w:customStyle="1" w:styleId="211">
    <w:name w:val="NormalIndent"/>
    <w:basedOn w:val="1"/>
    <w:link w:val="210"/>
    <w:qFormat/>
    <w:uiPriority w:val="0"/>
    <w:pPr>
      <w:widowControl/>
      <w:spacing w:after="200" w:line="276" w:lineRule="auto"/>
      <w:ind w:firstLine="420"/>
      <w:textAlignment w:val="baseline"/>
    </w:pPr>
    <w:rPr>
      <w:rFonts w:asciiTheme="minorHAnsi" w:hAnsiTheme="minorHAnsi" w:eastAsiaTheme="minorEastAsia" w:cstheme="minorBidi"/>
      <w:szCs w:val="20"/>
    </w:rPr>
  </w:style>
  <w:style w:type="paragraph" w:customStyle="1" w:styleId="212">
    <w:name w:val="HtmlNormal"/>
    <w:basedOn w:val="1"/>
    <w:qFormat/>
    <w:uiPriority w:val="0"/>
    <w:pPr>
      <w:widowControl/>
      <w:spacing w:before="100" w:beforeAutospacing="1" w:after="100" w:afterAutospacing="1" w:line="276" w:lineRule="auto"/>
      <w:jc w:val="left"/>
      <w:textAlignment w:val="baseline"/>
    </w:pPr>
    <w:rPr>
      <w:rFonts w:ascii="宋体" w:hAnsi="宋体"/>
      <w:kern w:val="0"/>
      <w:sz w:val="24"/>
      <w:szCs w:val="24"/>
    </w:rPr>
  </w:style>
  <w:style w:type="paragraph" w:customStyle="1" w:styleId="213">
    <w:name w:val="Heading1"/>
    <w:basedOn w:val="1"/>
    <w:next w:val="1"/>
    <w:qFormat/>
    <w:uiPriority w:val="0"/>
    <w:pPr>
      <w:keepNext/>
      <w:keepLines/>
      <w:widowControl/>
      <w:spacing w:before="300" w:after="200" w:line="276" w:lineRule="auto"/>
      <w:textAlignment w:val="baseline"/>
    </w:pPr>
    <w:rPr>
      <w:rFonts w:eastAsia="黑体"/>
      <w:kern w:val="44"/>
      <w:sz w:val="44"/>
      <w:szCs w:val="44"/>
    </w:rPr>
  </w:style>
  <w:style w:type="paragraph" w:customStyle="1" w:styleId="214">
    <w:name w:val="UserStyle_33"/>
    <w:basedOn w:val="1"/>
    <w:qFormat/>
    <w:uiPriority w:val="0"/>
    <w:pPr>
      <w:widowControl/>
      <w:spacing w:after="200" w:line="400" w:lineRule="exact"/>
      <w:ind w:firstLine="200" w:firstLineChars="200"/>
      <w:textAlignment w:val="baseline"/>
    </w:pPr>
    <w:rPr>
      <w:rFonts w:ascii="Times New Roman" w:hAnsi="Times New Roman"/>
      <w:sz w:val="24"/>
      <w:szCs w:val="24"/>
    </w:rPr>
  </w:style>
  <w:style w:type="paragraph" w:customStyle="1" w:styleId="215">
    <w:name w:val="UserStyle_40"/>
    <w:basedOn w:val="1"/>
    <w:qFormat/>
    <w:uiPriority w:val="0"/>
    <w:pPr>
      <w:widowControl/>
      <w:spacing w:after="200" w:line="276" w:lineRule="auto"/>
      <w:ind w:firstLine="420" w:firstLineChars="200"/>
      <w:textAlignment w:val="baseline"/>
    </w:pPr>
    <w:rPr>
      <w:szCs w:val="21"/>
    </w:rPr>
  </w:style>
  <w:style w:type="paragraph" w:customStyle="1" w:styleId="216">
    <w:name w:val="Heading2"/>
    <w:basedOn w:val="1"/>
    <w:next w:val="1"/>
    <w:qFormat/>
    <w:uiPriority w:val="0"/>
    <w:pPr>
      <w:widowControl/>
      <w:tabs>
        <w:tab w:val="right" w:leader="dot" w:pos="9000"/>
      </w:tabs>
      <w:spacing w:after="200" w:line="276" w:lineRule="auto"/>
      <w:ind w:right="-686" w:rightChars="-245"/>
      <w:textAlignment w:val="baseline"/>
    </w:pPr>
    <w:rPr>
      <w:szCs w:val="21"/>
    </w:rPr>
  </w:style>
  <w:style w:type="character" w:customStyle="1" w:styleId="217">
    <w:name w:val="UserStyle_9"/>
    <w:basedOn w:val="43"/>
    <w:link w:val="218"/>
    <w:qFormat/>
    <w:uiPriority w:val="0"/>
    <w:rPr>
      <w:sz w:val="28"/>
    </w:rPr>
  </w:style>
  <w:style w:type="paragraph" w:customStyle="1" w:styleId="218">
    <w:name w:val="BodyText1I"/>
    <w:basedOn w:val="219"/>
    <w:link w:val="217"/>
    <w:qFormat/>
    <w:uiPriority w:val="0"/>
    <w:pPr>
      <w:widowControl/>
      <w:ind w:firstLine="420" w:firstLineChars="100"/>
      <w:textAlignment w:val="baseline"/>
    </w:pPr>
    <w:rPr>
      <w:rFonts w:asciiTheme="minorHAnsi" w:hAnsiTheme="minorHAnsi" w:eastAsiaTheme="minorEastAsia" w:cstheme="minorBidi"/>
      <w:sz w:val="28"/>
    </w:rPr>
  </w:style>
  <w:style w:type="paragraph" w:customStyle="1" w:styleId="219">
    <w:name w:val="BodyText"/>
    <w:basedOn w:val="1"/>
    <w:qFormat/>
    <w:uiPriority w:val="0"/>
    <w:pPr>
      <w:spacing w:after="120" w:line="276" w:lineRule="auto"/>
    </w:pPr>
  </w:style>
  <w:style w:type="character" w:customStyle="1" w:styleId="220">
    <w:name w:val="15"/>
    <w:basedOn w:val="43"/>
    <w:qFormat/>
    <w:uiPriority w:val="0"/>
    <w:rPr>
      <w:rFonts w:hint="default" w:ascii="Calibri" w:hAnsi="Calibri"/>
    </w:rPr>
  </w:style>
  <w:style w:type="paragraph" w:customStyle="1" w:styleId="221">
    <w:name w:val="_Style 2"/>
    <w:basedOn w:val="1"/>
    <w:qFormat/>
    <w:uiPriority w:val="0"/>
    <w:pPr>
      <w:spacing w:after="200" w:line="276" w:lineRule="auto"/>
      <w:ind w:firstLine="420" w:firstLineChars="200"/>
    </w:pPr>
  </w:style>
  <w:style w:type="paragraph" w:customStyle="1" w:styleId="222">
    <w:name w:val="正文2"/>
    <w:qFormat/>
    <w:uiPriority w:val="0"/>
    <w:pPr>
      <w:spacing w:after="200" w:line="276" w:lineRule="auto"/>
      <w:jc w:val="both"/>
    </w:pPr>
    <w:rPr>
      <w:rFonts w:ascii="Calibri" w:hAnsi="Calibri" w:eastAsia="宋体" w:cs="Calibri"/>
      <w:kern w:val="2"/>
      <w:sz w:val="21"/>
      <w:szCs w:val="21"/>
      <w:lang w:val="en-US" w:eastAsia="zh-CN" w:bidi="ar-SA"/>
    </w:rPr>
  </w:style>
  <w:style w:type="table" w:customStyle="1" w:styleId="223">
    <w:name w:val="网格型2"/>
    <w:basedOn w:val="41"/>
    <w:qFormat/>
    <w:uiPriority w:val="0"/>
    <w:pPr>
      <w:widowControl w:val="0"/>
      <w:spacing w:after="200" w:line="276" w:lineRule="auto"/>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24">
    <w:name w:val="标准文本 Char Char"/>
    <w:link w:val="225"/>
    <w:qFormat/>
    <w:uiPriority w:val="0"/>
    <w:rPr>
      <w:sz w:val="24"/>
    </w:rPr>
  </w:style>
  <w:style w:type="paragraph" w:customStyle="1" w:styleId="225">
    <w:name w:val="标准文本"/>
    <w:basedOn w:val="1"/>
    <w:link w:val="224"/>
    <w:qFormat/>
    <w:uiPriority w:val="0"/>
    <w:pPr>
      <w:spacing w:after="200" w:line="360" w:lineRule="auto"/>
      <w:ind w:firstLine="480" w:firstLineChars="200"/>
    </w:pPr>
    <w:rPr>
      <w:rFonts w:asciiTheme="minorHAnsi" w:hAnsiTheme="minorHAnsi" w:eastAsiaTheme="minorEastAsia" w:cstheme="minorBidi"/>
      <w:sz w:val="24"/>
    </w:rPr>
  </w:style>
  <w:style w:type="character" w:customStyle="1" w:styleId="226">
    <w:name w:val="批注文字 Char1"/>
    <w:basedOn w:val="43"/>
    <w:semiHidden/>
    <w:qFormat/>
    <w:locked/>
    <w:uiPriority w:val="0"/>
    <w:rPr>
      <w:rFonts w:ascii="Calibri" w:hAnsi="Calibri" w:eastAsia="宋体" w:cs="Times New Roman"/>
    </w:rPr>
  </w:style>
  <w:style w:type="paragraph" w:customStyle="1" w:styleId="227">
    <w:name w:val="正文360首行缩进"/>
    <w:basedOn w:val="1"/>
    <w:link w:val="228"/>
    <w:qFormat/>
    <w:uiPriority w:val="0"/>
    <w:pPr>
      <w:widowControl/>
      <w:spacing w:before="120" w:line="300" w:lineRule="auto"/>
      <w:ind w:firstLine="200" w:firstLineChars="200"/>
      <w:jc w:val="left"/>
    </w:pPr>
    <w:rPr>
      <w:rFonts w:ascii="Times New Roman" w:hAnsi="Times New Roman"/>
      <w:sz w:val="24"/>
      <w:szCs w:val="20"/>
    </w:rPr>
  </w:style>
  <w:style w:type="character" w:customStyle="1" w:styleId="228">
    <w:name w:val="正文360首行缩进 Char"/>
    <w:basedOn w:val="43"/>
    <w:link w:val="227"/>
    <w:qFormat/>
    <w:uiPriority w:val="0"/>
    <w:rPr>
      <w:rFonts w:ascii="Times New Roman" w:hAnsi="Times New Roman" w:eastAsia="宋体" w:cs="Times New Roman"/>
      <w:sz w:val="24"/>
      <w:szCs w:val="20"/>
    </w:rPr>
  </w:style>
  <w:style w:type="paragraph" w:customStyle="1" w:styleId="229">
    <w:name w:val="列出段落1_0"/>
    <w:basedOn w:val="1"/>
    <w:qFormat/>
    <w:uiPriority w:val="0"/>
    <w:pPr>
      <w:ind w:firstLine="420" w:firstLineChars="200"/>
    </w:pPr>
    <w:rPr>
      <w:szCs w:val="21"/>
    </w:rPr>
  </w:style>
  <w:style w:type="character" w:customStyle="1" w:styleId="230">
    <w:name w:val="font21"/>
    <w:qFormat/>
    <w:uiPriority w:val="0"/>
    <w:rPr>
      <w:rFonts w:hint="default" w:ascii="Arial" w:hAnsi="Arial" w:cs="Arial"/>
      <w:color w:val="000000"/>
      <w:sz w:val="18"/>
      <w:szCs w:val="18"/>
      <w:u w:val="none"/>
    </w:rPr>
  </w:style>
  <w:style w:type="character" w:customStyle="1" w:styleId="231">
    <w:name w:val="_Style 8"/>
    <w:qFormat/>
    <w:uiPriority w:val="32"/>
    <w:rPr>
      <w:b/>
      <w:bCs/>
      <w:smallCaps/>
      <w:color w:val="C0504D"/>
      <w:spacing w:val="5"/>
      <w:u w:val="single"/>
    </w:rPr>
  </w:style>
  <w:style w:type="character" w:customStyle="1" w:styleId="232">
    <w:name w:val="l-btn-icon-left"/>
    <w:basedOn w:val="43"/>
    <w:qFormat/>
    <w:uiPriority w:val="0"/>
  </w:style>
  <w:style w:type="character" w:customStyle="1" w:styleId="233">
    <w:name w:val="l-btn-icon-left1"/>
    <w:basedOn w:val="43"/>
    <w:qFormat/>
    <w:uiPriority w:val="0"/>
  </w:style>
  <w:style w:type="character" w:customStyle="1" w:styleId="234">
    <w:name w:val="l-btn-empty"/>
    <w:basedOn w:val="43"/>
    <w:qFormat/>
    <w:uiPriority w:val="0"/>
  </w:style>
  <w:style w:type="character" w:customStyle="1" w:styleId="235">
    <w:name w:val="l-btn-icon-right"/>
    <w:basedOn w:val="43"/>
    <w:qFormat/>
    <w:uiPriority w:val="0"/>
  </w:style>
  <w:style w:type="character" w:customStyle="1" w:styleId="236">
    <w:name w:val="l-btn-left2"/>
    <w:basedOn w:val="43"/>
    <w:qFormat/>
    <w:uiPriority w:val="0"/>
  </w:style>
  <w:style w:type="character" w:customStyle="1" w:styleId="237">
    <w:name w:val="l-btn-left3"/>
    <w:basedOn w:val="43"/>
    <w:qFormat/>
    <w:uiPriority w:val="0"/>
  </w:style>
  <w:style w:type="character" w:customStyle="1" w:styleId="238">
    <w:name w:val="l-btn-left4"/>
    <w:basedOn w:val="43"/>
    <w:qFormat/>
    <w:uiPriority w:val="0"/>
  </w:style>
  <w:style w:type="character" w:customStyle="1" w:styleId="239">
    <w:name w:val="l-btn-left5"/>
    <w:basedOn w:val="43"/>
    <w:qFormat/>
    <w:uiPriority w:val="0"/>
  </w:style>
  <w:style w:type="character" w:customStyle="1" w:styleId="240">
    <w:name w:val="l-btn-left6"/>
    <w:basedOn w:val="43"/>
    <w:qFormat/>
    <w:uiPriority w:val="0"/>
  </w:style>
  <w:style w:type="character" w:customStyle="1" w:styleId="241">
    <w:name w:val="l-btn-text"/>
    <w:basedOn w:val="43"/>
    <w:qFormat/>
    <w:uiPriority w:val="0"/>
    <w:rPr>
      <w:vertAlign w:val="baseline"/>
    </w:rPr>
  </w:style>
  <w:style w:type="character" w:customStyle="1" w:styleId="242">
    <w:name w:val="l-btn-text1"/>
    <w:basedOn w:val="43"/>
    <w:qFormat/>
    <w:uiPriority w:val="0"/>
    <w:rPr>
      <w:vertAlign w:val="baseline"/>
    </w:rPr>
  </w:style>
  <w:style w:type="character" w:customStyle="1" w:styleId="243">
    <w:name w:val="ajaxtitle"/>
    <w:basedOn w:val="43"/>
    <w:qFormat/>
    <w:uiPriority w:val="0"/>
  </w:style>
  <w:style w:type="character" w:customStyle="1" w:styleId="244">
    <w:name w:val="json_key"/>
    <w:basedOn w:val="43"/>
    <w:qFormat/>
    <w:uiPriority w:val="0"/>
  </w:style>
  <w:style w:type="character" w:customStyle="1" w:styleId="245">
    <w:name w:val="json_string"/>
    <w:basedOn w:val="43"/>
    <w:qFormat/>
    <w:uiPriority w:val="0"/>
  </w:style>
  <w:style w:type="paragraph" w:customStyle="1" w:styleId="246">
    <w:name w:val="Normal_59"/>
    <w:qFormat/>
    <w:uiPriority w:val="0"/>
    <w:pPr>
      <w:spacing w:before="120" w:after="240" w:line="276" w:lineRule="auto"/>
      <w:jc w:val="both"/>
    </w:pPr>
    <w:rPr>
      <w:rFonts w:ascii="Times New Roman" w:hAnsi="Times New Roman" w:eastAsia="Calibri" w:cs="Times New Roman"/>
      <w:sz w:val="22"/>
      <w:szCs w:val="22"/>
      <w:lang w:val="ru-RU" w:eastAsia="en-US" w:bidi="ar-SA"/>
    </w:rPr>
  </w:style>
  <w:style w:type="paragraph" w:customStyle="1" w:styleId="247">
    <w:name w:val="Char1 Char Char Char Char Char Char_0"/>
    <w:basedOn w:val="1"/>
    <w:qFormat/>
    <w:uiPriority w:val="0"/>
    <w:rPr>
      <w:rFonts w:ascii="Tahoma" w:hAnsi="Tahoma"/>
      <w:sz w:val="24"/>
      <w:szCs w:val="20"/>
    </w:rPr>
  </w:style>
  <w:style w:type="paragraph" w:customStyle="1" w:styleId="248">
    <w:name w:val="样式 标题 2 + Times New Roman 四号 非加粗 段前: 5 磅 段后: 0 磅 行距: 固定值 20..."/>
    <w:basedOn w:val="5"/>
    <w:qFormat/>
    <w:uiPriority w:val="0"/>
    <w:pPr>
      <w:numPr>
        <w:ilvl w:val="0"/>
        <w:numId w:val="0"/>
      </w:numPr>
      <w:spacing w:before="100" w:line="400" w:lineRule="exact"/>
      <w:jc w:val="both"/>
    </w:pPr>
    <w:rPr>
      <w:rFonts w:ascii="Times New Roman" w:hAnsi="Times New Roman" w:eastAsia="黑体"/>
      <w:b w:val="0"/>
      <w:szCs w:val="32"/>
    </w:rPr>
  </w:style>
  <w:style w:type="paragraph" w:customStyle="1" w:styleId="249">
    <w:name w:val="列出段落111"/>
    <w:basedOn w:val="1"/>
    <w:qFormat/>
    <w:uiPriority w:val="99"/>
    <w:pPr>
      <w:ind w:firstLine="420" w:firstLineChars="200"/>
    </w:pPr>
    <w:rPr>
      <w:rFonts w:ascii="Times New Roman" w:hAnsi="Times New Roman"/>
    </w:rPr>
  </w:style>
  <w:style w:type="character" w:customStyle="1" w:styleId="250">
    <w:name w:val="标题 2 Char1"/>
    <w:basedOn w:val="43"/>
    <w:semiHidden/>
    <w:qFormat/>
    <w:uiPriority w:val="99"/>
    <w:rPr>
      <w:rFonts w:hint="default" w:asciiTheme="majorHAnsi" w:hAnsiTheme="majorHAnsi" w:eastAsiaTheme="majorEastAsia" w:cstheme="majorBidi"/>
      <w:b/>
      <w:bCs/>
      <w:kern w:val="2"/>
      <w:sz w:val="32"/>
      <w:szCs w:val="32"/>
    </w:rPr>
  </w:style>
  <w:style w:type="character" w:customStyle="1" w:styleId="251">
    <w:name w:val="标题 3 Char1"/>
    <w:basedOn w:val="43"/>
    <w:semiHidden/>
    <w:qFormat/>
    <w:uiPriority w:val="99"/>
    <w:rPr>
      <w:rFonts w:hint="default" w:ascii="Calibri" w:hAnsi="Calibri"/>
      <w:b/>
      <w:bCs/>
      <w:kern w:val="2"/>
      <w:sz w:val="32"/>
      <w:szCs w:val="32"/>
    </w:rPr>
  </w:style>
  <w:style w:type="character" w:customStyle="1" w:styleId="252">
    <w:name w:val="标题 4 Char1"/>
    <w:basedOn w:val="43"/>
    <w:semiHidden/>
    <w:qFormat/>
    <w:uiPriority w:val="9"/>
    <w:rPr>
      <w:rFonts w:hint="default" w:asciiTheme="majorHAnsi" w:hAnsiTheme="majorHAnsi" w:eastAsiaTheme="majorEastAsia" w:cstheme="majorBidi"/>
      <w:b/>
      <w:bCs/>
      <w:kern w:val="2"/>
      <w:sz w:val="28"/>
      <w:szCs w:val="28"/>
    </w:rPr>
  </w:style>
  <w:style w:type="character" w:customStyle="1" w:styleId="253">
    <w:name w:val="正文文本缩进 2 Char1"/>
    <w:basedOn w:val="43"/>
    <w:semiHidden/>
    <w:qFormat/>
    <w:uiPriority w:val="99"/>
    <w:rPr>
      <w:rFonts w:hint="default" w:ascii="Calibri" w:hAnsi="Calibri" w:cs="Calibri"/>
      <w:kern w:val="2"/>
      <w:sz w:val="21"/>
      <w:szCs w:val="22"/>
    </w:rPr>
  </w:style>
  <w:style w:type="character" w:customStyle="1" w:styleId="254">
    <w:name w:val="正文文本缩进 Char1"/>
    <w:basedOn w:val="43"/>
    <w:semiHidden/>
    <w:qFormat/>
    <w:uiPriority w:val="99"/>
    <w:rPr>
      <w:rFonts w:hint="default" w:ascii="Calibri" w:hAnsi="Calibri" w:cs="Calibri"/>
      <w:kern w:val="2"/>
      <w:sz w:val="21"/>
      <w:szCs w:val="22"/>
    </w:rPr>
  </w:style>
  <w:style w:type="character" w:customStyle="1" w:styleId="255">
    <w:name w:val="正文文本 3 Char1"/>
    <w:basedOn w:val="43"/>
    <w:semiHidden/>
    <w:qFormat/>
    <w:uiPriority w:val="99"/>
    <w:rPr>
      <w:rFonts w:hint="default" w:ascii="Calibri" w:hAnsi="Calibri" w:cs="Calibri"/>
      <w:kern w:val="2"/>
      <w:sz w:val="16"/>
      <w:szCs w:val="16"/>
    </w:rPr>
  </w:style>
  <w:style w:type="character" w:customStyle="1" w:styleId="256">
    <w:name w:val="正文文本缩进 3 Char1"/>
    <w:basedOn w:val="43"/>
    <w:semiHidden/>
    <w:qFormat/>
    <w:uiPriority w:val="99"/>
    <w:rPr>
      <w:rFonts w:hint="default" w:ascii="Calibri" w:hAnsi="Calibri" w:cs="Calibri"/>
      <w:kern w:val="2"/>
      <w:sz w:val="16"/>
      <w:szCs w:val="16"/>
    </w:rPr>
  </w:style>
  <w:style w:type="character" w:customStyle="1" w:styleId="257">
    <w:name w:val="批注框文本 Char1"/>
    <w:basedOn w:val="43"/>
    <w:semiHidden/>
    <w:qFormat/>
    <w:uiPriority w:val="99"/>
    <w:rPr>
      <w:rFonts w:hint="default" w:ascii="Calibri" w:hAnsi="Calibri" w:cs="Calibri"/>
      <w:kern w:val="2"/>
      <w:sz w:val="18"/>
      <w:szCs w:val="18"/>
    </w:rPr>
  </w:style>
  <w:style w:type="character" w:customStyle="1" w:styleId="258">
    <w:name w:val="文档结构图 Char1"/>
    <w:basedOn w:val="43"/>
    <w:semiHidden/>
    <w:qFormat/>
    <w:uiPriority w:val="99"/>
    <w:rPr>
      <w:rFonts w:hint="eastAsia" w:ascii="宋体" w:hAnsi="Calibri" w:eastAsia="宋体"/>
      <w:kern w:val="2"/>
      <w:sz w:val="18"/>
      <w:szCs w:val="18"/>
    </w:rPr>
  </w:style>
  <w:style w:type="character" w:customStyle="1" w:styleId="259">
    <w:name w:val="页眉 Char1"/>
    <w:basedOn w:val="43"/>
    <w:semiHidden/>
    <w:qFormat/>
    <w:uiPriority w:val="99"/>
    <w:rPr>
      <w:rFonts w:hint="default" w:ascii="Calibri" w:hAnsi="Calibri" w:cs="Calibri"/>
      <w:kern w:val="2"/>
      <w:sz w:val="18"/>
      <w:szCs w:val="18"/>
    </w:rPr>
  </w:style>
  <w:style w:type="character" w:customStyle="1" w:styleId="260">
    <w:name w:val="日期 Char1"/>
    <w:basedOn w:val="43"/>
    <w:semiHidden/>
    <w:qFormat/>
    <w:uiPriority w:val="99"/>
    <w:rPr>
      <w:rFonts w:hint="default" w:ascii="Calibri" w:hAnsi="Calibri" w:cs="Calibri"/>
      <w:kern w:val="2"/>
      <w:sz w:val="21"/>
      <w:szCs w:val="22"/>
    </w:rPr>
  </w:style>
  <w:style w:type="character" w:customStyle="1" w:styleId="261">
    <w:name w:val="正文文本 Char3"/>
    <w:basedOn w:val="43"/>
    <w:semiHidden/>
    <w:qFormat/>
    <w:uiPriority w:val="99"/>
    <w:rPr>
      <w:rFonts w:hint="default" w:ascii="Calibri" w:hAnsi="Calibri" w:cs="Calibri"/>
      <w:kern w:val="2"/>
      <w:sz w:val="21"/>
      <w:szCs w:val="22"/>
    </w:rPr>
  </w:style>
  <w:style w:type="character" w:customStyle="1" w:styleId="262">
    <w:name w:val="纯文本 Char2"/>
    <w:basedOn w:val="43"/>
    <w:semiHidden/>
    <w:qFormat/>
    <w:uiPriority w:val="99"/>
    <w:rPr>
      <w:rFonts w:hint="eastAsia" w:ascii="宋体" w:hAnsi="Courier New" w:eastAsia="宋体" w:cs="Courier New"/>
      <w:kern w:val="2"/>
      <w:sz w:val="21"/>
      <w:szCs w:val="21"/>
    </w:rPr>
  </w:style>
  <w:style w:type="character" w:customStyle="1" w:styleId="263">
    <w:name w:val="正文首行缩进 Char1"/>
    <w:basedOn w:val="261"/>
    <w:semiHidden/>
    <w:qFormat/>
    <w:uiPriority w:val="99"/>
    <w:rPr>
      <w:rFonts w:hint="default" w:ascii="Calibri" w:hAnsi="Calibri" w:cs="Calibri"/>
      <w:kern w:val="2"/>
      <w:sz w:val="21"/>
      <w:szCs w:val="22"/>
    </w:rPr>
  </w:style>
  <w:style w:type="character" w:customStyle="1" w:styleId="264">
    <w:name w:val="正文文本 2 Char1"/>
    <w:basedOn w:val="43"/>
    <w:semiHidden/>
    <w:qFormat/>
    <w:uiPriority w:val="99"/>
    <w:rPr>
      <w:rFonts w:hint="default" w:ascii="Calibri" w:hAnsi="Calibri" w:cs="Calibri"/>
      <w:kern w:val="2"/>
      <w:sz w:val="21"/>
      <w:szCs w:val="22"/>
    </w:rPr>
  </w:style>
  <w:style w:type="character" w:customStyle="1" w:styleId="265">
    <w:name w:val="副标题 Char2"/>
    <w:basedOn w:val="43"/>
    <w:qFormat/>
    <w:uiPriority w:val="11"/>
    <w:rPr>
      <w:rFonts w:hint="default" w:asciiTheme="majorHAnsi" w:hAnsiTheme="majorHAnsi" w:cstheme="majorBidi"/>
      <w:b/>
      <w:bCs/>
      <w:kern w:val="28"/>
      <w:sz w:val="32"/>
      <w:szCs w:val="32"/>
    </w:rPr>
  </w:style>
  <w:style w:type="paragraph" w:customStyle="1" w:styleId="266">
    <w:name w:val="List Paragraph1"/>
    <w:basedOn w:val="1"/>
    <w:qFormat/>
    <w:uiPriority w:val="0"/>
    <w:pPr>
      <w:ind w:firstLine="420" w:firstLineChars="200"/>
    </w:pPr>
    <w:rPr>
      <w:rFonts w:ascii="Times New Roman" w:hAnsi="Times New Roman"/>
      <w:szCs w:val="24"/>
    </w:rPr>
  </w:style>
  <w:style w:type="character" w:customStyle="1" w:styleId="267">
    <w:name w:val="列出段落 Char"/>
    <w:link w:val="157"/>
    <w:qFormat/>
    <w:uiPriority w:val="99"/>
    <w:rPr>
      <w:rFonts w:ascii="Times New Roman" w:hAnsi="Times New Roman" w:eastAsia="宋体" w:cs="Times New Roman"/>
      <w:kern w:val="0"/>
      <w:sz w:val="24"/>
      <w:szCs w:val="24"/>
    </w:rPr>
  </w:style>
  <w:style w:type="paragraph" w:customStyle="1" w:styleId="268">
    <w:name w:val="修订3"/>
    <w:hidden/>
    <w:unhideWhenUsed/>
    <w:qFormat/>
    <w:uiPriority w:val="99"/>
    <w:rPr>
      <w:rFonts w:ascii="Calibri" w:hAnsi="Calibri" w:eastAsia="宋体" w:cs="Times New Roman"/>
      <w:kern w:val="2"/>
      <w:sz w:val="21"/>
      <w:szCs w:val="22"/>
      <w:lang w:val="en-US" w:eastAsia="zh-CN" w:bidi="ar-SA"/>
    </w:rPr>
  </w:style>
  <w:style w:type="paragraph" w:customStyle="1" w:styleId="269">
    <w:name w:val="正文缩进2字符"/>
    <w:link w:val="270"/>
    <w:qFormat/>
    <w:uiPriority w:val="0"/>
    <w:pPr>
      <w:spacing w:line="360" w:lineRule="auto"/>
      <w:ind w:firstLine="480" w:firstLineChars="200"/>
    </w:pPr>
    <w:rPr>
      <w:rFonts w:ascii="Calibri" w:hAnsi="Calibri" w:eastAsia="宋体" w:cs="Times New Roman"/>
      <w:sz w:val="24"/>
      <w:szCs w:val="24"/>
      <w:lang w:val="en-US" w:eastAsia="zh-CN" w:bidi="ar-SA"/>
    </w:rPr>
  </w:style>
  <w:style w:type="character" w:customStyle="1" w:styleId="270">
    <w:name w:val="正文缩进2字符 Char"/>
    <w:link w:val="269"/>
    <w:qFormat/>
    <w:uiPriority w:val="0"/>
    <w:rPr>
      <w:rFonts w:ascii="Calibri" w:hAnsi="Calibri" w:eastAsia="宋体" w:cs="Times New Roman"/>
      <w:kern w:val="0"/>
      <w:sz w:val="24"/>
      <w:szCs w:val="24"/>
    </w:rPr>
  </w:style>
  <w:style w:type="paragraph" w:customStyle="1" w:styleId="271">
    <w:name w:val="彩色列表 - 强调文字颜色"/>
    <w:basedOn w:val="1"/>
    <w:qFormat/>
    <w:uiPriority w:val="99"/>
    <w:pPr>
      <w:spacing w:after="200" w:line="276" w:lineRule="auto"/>
      <w:ind w:firstLine="420" w:firstLineChars="200"/>
    </w:pPr>
    <w:rPr>
      <w:rFonts w:eastAsiaTheme="minorEastAsia" w:cstheme="minorBidi"/>
    </w:rPr>
  </w:style>
  <w:style w:type="character" w:customStyle="1" w:styleId="272">
    <w:name w:val="qowt-font2"/>
    <w:basedOn w:val="43"/>
    <w:qFormat/>
    <w:uiPriority w:val="0"/>
  </w:style>
  <w:style w:type="table" w:customStyle="1" w:styleId="273">
    <w:name w:val="网格型1"/>
    <w:basedOn w:val="41"/>
    <w:qFormat/>
    <w:uiPriority w:val="0"/>
    <w:pPr>
      <w:widowControl w:val="0"/>
      <w:spacing w:after="200" w:line="276"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74">
    <w:name w:val="_Style 1"/>
    <w:basedOn w:val="1"/>
    <w:qFormat/>
    <w:uiPriority w:val="0"/>
    <w:pPr>
      <w:ind w:firstLine="420" w:firstLineChars="200"/>
    </w:pPr>
    <w:rPr>
      <w:kern w:val="0"/>
      <w:sz w:val="34"/>
    </w:rPr>
  </w:style>
  <w:style w:type="character" w:customStyle="1" w:styleId="275">
    <w:name w:val="CD正文 Char"/>
    <w:link w:val="199"/>
    <w:qFormat/>
    <w:uiPriority w:val="0"/>
    <w:rPr>
      <w:rFonts w:ascii="Times New Roman" w:hAnsi="Times New Roman" w:eastAsia="宋体" w:cs="Times New Roman"/>
      <w:sz w:val="24"/>
      <w:szCs w:val="24"/>
    </w:rPr>
  </w:style>
  <w:style w:type="character" w:customStyle="1" w:styleId="276">
    <w:name w:val="正文缩进 Char2"/>
    <w:qFormat/>
    <w:uiPriority w:val="0"/>
    <w:rPr>
      <w:szCs w:val="24"/>
    </w:rPr>
  </w:style>
  <w:style w:type="character" w:customStyle="1" w:styleId="277">
    <w:name w:val="H4 Char"/>
    <w:qFormat/>
    <w:uiPriority w:val="0"/>
    <w:rPr>
      <w:rFonts w:ascii="Arial" w:hAnsi="Arial" w:eastAsia="宋体"/>
      <w:b/>
      <w:kern w:val="2"/>
      <w:sz w:val="28"/>
      <w:lang w:val="en-US" w:eastAsia="zh-CN"/>
    </w:rPr>
  </w:style>
  <w:style w:type="paragraph" w:customStyle="1" w:styleId="278">
    <w:name w:val="列出段落6"/>
    <w:basedOn w:val="1"/>
    <w:qFormat/>
    <w:uiPriority w:val="99"/>
    <w:pPr>
      <w:ind w:firstLine="420" w:firstLineChars="200"/>
    </w:pPr>
  </w:style>
  <w:style w:type="paragraph" w:customStyle="1" w:styleId="279">
    <w:name w:val="修订4"/>
    <w:hidden/>
    <w:semiHidden/>
    <w:qFormat/>
    <w:uiPriority w:val="99"/>
    <w:rPr>
      <w:rFonts w:ascii="Calibri" w:hAnsi="Calibri" w:eastAsia="宋体" w:cs="Times New Roman"/>
      <w:kern w:val="2"/>
      <w:sz w:val="21"/>
      <w:szCs w:val="22"/>
      <w:lang w:val="en-US" w:eastAsia="zh-CN" w:bidi="ar-SA"/>
    </w:rPr>
  </w:style>
  <w:style w:type="paragraph" w:customStyle="1" w:styleId="280">
    <w:name w:val="S2"/>
    <w:basedOn w:val="1"/>
    <w:next w:val="1"/>
    <w:qFormat/>
    <w:uiPriority w:val="0"/>
    <w:pPr>
      <w:spacing w:after="50" w:afterLines="50"/>
      <w:jc w:val="center"/>
    </w:pPr>
    <w:rPr>
      <w:rFonts w:ascii="Times New Roman" w:hAnsi="Times New Roman"/>
      <w:b/>
      <w:sz w:val="28"/>
    </w:rPr>
  </w:style>
  <w:style w:type="paragraph" w:customStyle="1" w:styleId="281">
    <w:name w:val="msonormalcxspmiddle"/>
    <w:basedOn w:val="1"/>
    <w:qFormat/>
    <w:uiPriority w:val="0"/>
    <w:pPr>
      <w:spacing w:before="100" w:beforeAutospacing="1" w:after="100" w:afterAutospacing="1"/>
      <w:jc w:val="left"/>
    </w:pPr>
    <w:rPr>
      <w:rFonts w:ascii="Times New Roman" w:hAnsi="Times New Roman" w:eastAsiaTheme="minorEastAsia"/>
      <w:sz w:val="24"/>
      <w:szCs w:val="24"/>
    </w:rPr>
  </w:style>
  <w:style w:type="paragraph" w:customStyle="1" w:styleId="282">
    <w:name w:val="列表段落1"/>
    <w:basedOn w:val="1"/>
    <w:qFormat/>
    <w:uiPriority w:val="0"/>
    <w:pPr>
      <w:ind w:firstLine="420" w:firstLineChars="200"/>
    </w:pPr>
    <w:rPr>
      <w:rFonts w:ascii="Times New Roman" w:hAnsi="Times New Roman" w:eastAsiaTheme="minorEastAsia"/>
      <w:szCs w:val="24"/>
    </w:rPr>
  </w:style>
  <w:style w:type="character" w:customStyle="1" w:styleId="283">
    <w:name w:val="Default Char Char"/>
    <w:link w:val="156"/>
    <w:qFormat/>
    <w:uiPriority w:val="0"/>
    <w:rPr>
      <w:rFonts w:ascii="宋体" w:hAnsi="Calibri" w:eastAsia="宋体" w:cs="宋体"/>
      <w:color w:val="000000"/>
      <w:sz w:val="24"/>
      <w:szCs w:val="24"/>
    </w:rPr>
  </w:style>
  <w:style w:type="character" w:customStyle="1" w:styleId="284">
    <w:name w:val="fontstyle01"/>
    <w:qFormat/>
    <w:uiPriority w:val="0"/>
    <w:rPr>
      <w:rFonts w:hint="eastAsia" w:ascii="宋体" w:hAnsi="宋体" w:eastAsia="宋体"/>
      <w:color w:val="000000"/>
      <w:sz w:val="22"/>
      <w:szCs w:val="22"/>
    </w:rPr>
  </w:style>
  <w:style w:type="paragraph" w:customStyle="1" w:styleId="285">
    <w:name w:val="GW-正文"/>
    <w:basedOn w:val="1"/>
    <w:qFormat/>
    <w:uiPriority w:val="0"/>
    <w:pPr>
      <w:spacing w:line="360" w:lineRule="auto"/>
      <w:ind w:firstLine="200" w:firstLineChars="200"/>
    </w:pPr>
    <w:rPr>
      <w:rFonts w:hint="eastAsia" w:ascii="仿宋_GB2312" w:eastAsia="仿宋_GB2312" w:cs="仿宋_GB2312"/>
      <w:sz w:val="24"/>
    </w:rPr>
  </w:style>
  <w:style w:type="paragraph" w:customStyle="1" w:styleId="286">
    <w:name w:val="_Style 53"/>
    <w:basedOn w:val="1"/>
    <w:next w:val="151"/>
    <w:qFormat/>
    <w:uiPriority w:val="34"/>
    <w:pPr>
      <w:ind w:firstLine="420" w:firstLineChars="200"/>
    </w:pPr>
  </w:style>
  <w:style w:type="paragraph" w:customStyle="1" w:styleId="287">
    <w:name w:val="Table Paragraph"/>
    <w:basedOn w:val="1"/>
    <w:qFormat/>
    <w:uiPriority w:val="1"/>
    <w:rPr>
      <w:rFonts w:ascii="宋体" w:hAnsi="宋体" w:eastAsia="宋体" w:cs="宋体"/>
      <w:lang w:val="zh-CN" w:eastAsia="zh-CN" w:bidi="zh-CN"/>
    </w:rPr>
  </w:style>
  <w:style w:type="paragraph" w:customStyle="1" w:styleId="288">
    <w:name w:val="List Paragraph"/>
    <w:basedOn w:val="1"/>
    <w:qFormat/>
    <w:uiPriority w:val="1"/>
    <w:pPr>
      <w:spacing w:before="43"/>
      <w:ind w:left="319" w:firstLine="422"/>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3FC25A-9A7C-4C4A-AD68-50F4CC6A300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69</Pages>
  <Words>37878</Words>
  <Characters>39918</Characters>
  <Lines>195</Lines>
  <Paragraphs>55</Paragraphs>
  <TotalTime>31</TotalTime>
  <ScaleCrop>false</ScaleCrop>
  <LinksUpToDate>false</LinksUpToDate>
  <CharactersWithSpaces>40803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2021-01-27T03:21:00Z</dcterms:created>
  <dc:creator>郑思媛</dc:creator>
  <cp:lastModifiedBy>50141</cp:lastModifiedBy>
  <cp:lastPrinted>2022-01-10T05:21:00Z</cp:lastPrinted>
  <dcterms:modified xsi:type="dcterms:W3CDTF">2022-01-13T03:34:36Z</dcterms:modified>
  <cp:revision>563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KSOSaveFontToCloudKey">
    <vt:lpwstr>300669523_btnclosed</vt:lpwstr>
  </property>
  <property fmtid="{D5CDD505-2E9C-101B-9397-08002B2CF9AE}" pid="4" name="ICV">
    <vt:lpwstr>405D346069C8420BABACF6969AFBFA3E</vt:lpwstr>
  </property>
</Properties>
</file>