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技术要求</w:t>
      </w:r>
      <w:bookmarkStart w:id="2" w:name="_GoBack"/>
      <w:bookmarkEnd w:id="2"/>
    </w:p>
    <w:p>
      <w:pPr>
        <w:pStyle w:val="6"/>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hint="eastAsia"/>
          <w:color w:val="auto"/>
          <w:sz w:val="24"/>
          <w:szCs w:val="24"/>
          <w:highlight w:val="none"/>
          <w:lang w:val="en-US" w:eastAsia="zh-CN"/>
        </w:rPr>
      </w:pPr>
      <w:r>
        <w:rPr>
          <w:rFonts w:hint="eastAsia"/>
          <w:color w:val="auto"/>
          <w:sz w:val="24"/>
          <w:szCs w:val="24"/>
          <w:highlight w:val="none"/>
          <w:lang w:val="en-US" w:eastAsia="zh-CN"/>
        </w:rPr>
        <w:t>采购清单</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2424"/>
        <w:gridCol w:w="817"/>
        <w:gridCol w:w="1248"/>
        <w:gridCol w:w="1560"/>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21" w:type="pct"/>
            <w:noWrap w:val="0"/>
            <w:vAlign w:val="center"/>
          </w:tcPr>
          <w:p>
            <w:pPr>
              <w:jc w:val="center"/>
              <w:rPr>
                <w:rFonts w:ascii="宋体" w:hAnsi="宋体" w:cs="宋体"/>
                <w:b/>
                <w:bCs/>
                <w:color w:val="auto"/>
                <w:sz w:val="24"/>
                <w:szCs w:val="24"/>
                <w:highlight w:val="none"/>
              </w:rPr>
            </w:pPr>
            <w:bookmarkStart w:id="0" w:name="_Toc22539"/>
            <w:bookmarkStart w:id="1" w:name="_Toc14228"/>
            <w:r>
              <w:rPr>
                <w:rFonts w:hint="eastAsia" w:ascii="宋体" w:hAnsi="宋体" w:cs="宋体"/>
                <w:b/>
                <w:bCs/>
                <w:color w:val="auto"/>
                <w:sz w:val="24"/>
                <w:szCs w:val="24"/>
                <w:highlight w:val="none"/>
              </w:rPr>
              <w:t>序号</w:t>
            </w:r>
          </w:p>
        </w:tc>
        <w:tc>
          <w:tcPr>
            <w:tcW w:w="1422" w:type="pct"/>
            <w:noWrap w:val="0"/>
            <w:vAlign w:val="center"/>
          </w:tcPr>
          <w:p>
            <w:pPr>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产品名称</w:t>
            </w:r>
            <w:bookmarkEnd w:id="0"/>
            <w:bookmarkEnd w:id="1"/>
          </w:p>
        </w:tc>
        <w:tc>
          <w:tcPr>
            <w:tcW w:w="479" w:type="pct"/>
            <w:noWrap w:val="0"/>
            <w:vAlign w:val="center"/>
          </w:tcPr>
          <w:p>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单位</w:t>
            </w:r>
          </w:p>
        </w:tc>
        <w:tc>
          <w:tcPr>
            <w:tcW w:w="732" w:type="pct"/>
            <w:noWrap w:val="0"/>
            <w:vAlign w:val="center"/>
          </w:tcPr>
          <w:p>
            <w:pPr>
              <w:jc w:val="center"/>
              <w:rPr>
                <w:rFonts w:hint="eastAsia" w:ascii="Calibri" w:hAnsi="宋体" w:eastAsia="宋体" w:cs="宋体"/>
                <w:b/>
                <w:bCs/>
                <w:color w:val="auto"/>
                <w:kern w:val="2"/>
                <w:sz w:val="24"/>
                <w:szCs w:val="24"/>
                <w:highlight w:val="none"/>
                <w:lang w:eastAsia="zh-CN"/>
              </w:rPr>
            </w:pPr>
            <w:r>
              <w:rPr>
                <w:rFonts w:hint="eastAsia" w:ascii="宋体" w:hAnsi="宋体" w:cs="宋体"/>
                <w:b/>
                <w:bCs/>
                <w:color w:val="auto"/>
                <w:sz w:val="24"/>
                <w:szCs w:val="24"/>
                <w:highlight w:val="none"/>
              </w:rPr>
              <w:t xml:space="preserve"> 数量</w:t>
            </w:r>
          </w:p>
        </w:tc>
        <w:tc>
          <w:tcPr>
            <w:tcW w:w="915" w:type="pct"/>
            <w:noWrap w:val="0"/>
            <w:vAlign w:val="center"/>
          </w:tcPr>
          <w:p>
            <w:pPr>
              <w:jc w:val="center"/>
              <w:rPr>
                <w:rFonts w:hint="eastAsia" w:ascii="宋体" w:hAnsi="宋体" w:cs="宋体"/>
                <w:b/>
                <w:bCs/>
                <w:color w:val="auto"/>
                <w:sz w:val="24"/>
                <w:szCs w:val="24"/>
                <w:highlight w:val="none"/>
                <w:lang w:val="en-US" w:eastAsia="zh-CN"/>
              </w:rPr>
            </w:pPr>
            <w:r>
              <w:rPr>
                <w:rFonts w:hint="eastAsia" w:ascii="Calibri" w:hAnsi="宋体" w:eastAsia="宋体" w:cs="宋体"/>
                <w:b/>
                <w:bCs/>
                <w:color w:val="auto"/>
                <w:kern w:val="2"/>
                <w:sz w:val="24"/>
                <w:szCs w:val="24"/>
                <w:highlight w:val="none"/>
                <w:lang w:eastAsia="zh-CN"/>
              </w:rPr>
              <w:t>产品单价限价（万元）</w:t>
            </w:r>
          </w:p>
        </w:tc>
        <w:tc>
          <w:tcPr>
            <w:tcW w:w="728" w:type="pct"/>
            <w:noWrap w:val="0"/>
            <w:vAlign w:val="center"/>
          </w:tcPr>
          <w:p>
            <w:pPr>
              <w:jc w:val="center"/>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p>
        </w:tc>
        <w:tc>
          <w:tcPr>
            <w:tcW w:w="1422"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便携式X光机</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套</w:t>
            </w:r>
          </w:p>
        </w:tc>
        <w:tc>
          <w:tcPr>
            <w:tcW w:w="732"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p>
        </w:tc>
        <w:tc>
          <w:tcPr>
            <w:tcW w:w="915" w:type="pct"/>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65</w:t>
            </w:r>
          </w:p>
        </w:tc>
        <w:tc>
          <w:tcPr>
            <w:tcW w:w="728" w:type="pct"/>
            <w:noWrap w:val="0"/>
            <w:vAlign w:val="center"/>
          </w:tcPr>
          <w:p>
            <w:pPr>
              <w:widowControl/>
              <w:jc w:val="center"/>
              <w:textAlignment w:val="center"/>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2</w:t>
            </w:r>
          </w:p>
        </w:tc>
        <w:tc>
          <w:tcPr>
            <w:tcW w:w="1422"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频率干扰仪</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套</w:t>
            </w:r>
          </w:p>
        </w:tc>
        <w:tc>
          <w:tcPr>
            <w:tcW w:w="732"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p>
        </w:tc>
        <w:tc>
          <w:tcPr>
            <w:tcW w:w="915" w:type="pct"/>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42.5</w:t>
            </w:r>
          </w:p>
        </w:tc>
        <w:tc>
          <w:tcPr>
            <w:tcW w:w="728" w:type="pct"/>
            <w:noWrap w:val="0"/>
            <w:vAlign w:val="center"/>
          </w:tcPr>
          <w:p>
            <w:pPr>
              <w:widowControl/>
              <w:jc w:val="center"/>
              <w:textAlignment w:val="center"/>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w:t>
            </w:r>
          </w:p>
        </w:tc>
        <w:tc>
          <w:tcPr>
            <w:tcW w:w="1422"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 节点探测仪</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套</w:t>
            </w:r>
          </w:p>
        </w:tc>
        <w:tc>
          <w:tcPr>
            <w:tcW w:w="732"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4</w:t>
            </w:r>
          </w:p>
        </w:tc>
        <w:tc>
          <w:tcPr>
            <w:tcW w:w="915" w:type="pct"/>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19</w:t>
            </w:r>
          </w:p>
        </w:tc>
        <w:tc>
          <w:tcPr>
            <w:tcW w:w="728" w:type="pct"/>
            <w:noWrap w:val="0"/>
            <w:vAlign w:val="center"/>
          </w:tcPr>
          <w:p>
            <w:pPr>
              <w:widowControl/>
              <w:jc w:val="center"/>
              <w:textAlignment w:val="center"/>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4</w:t>
            </w:r>
          </w:p>
        </w:tc>
        <w:tc>
          <w:tcPr>
            <w:tcW w:w="1422" w:type="pct"/>
            <w:noWrap w:val="0"/>
            <w:vAlign w:val="center"/>
          </w:tcPr>
          <w:p>
            <w:pPr>
              <w:widowControl/>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bidi="ar"/>
              </w:rPr>
              <w:t>排爆机械手</w:t>
            </w:r>
            <w:r>
              <w:rPr>
                <w:rFonts w:hint="eastAsia" w:ascii="宋体" w:hAnsi="宋体" w:cs="宋体"/>
                <w:color w:val="auto"/>
                <w:kern w:val="0"/>
                <w:sz w:val="24"/>
                <w:szCs w:val="24"/>
                <w:highlight w:val="none"/>
                <w:lang w:eastAsia="zh-CN" w:bidi="ar"/>
              </w:rPr>
              <w:t>臂</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套</w:t>
            </w:r>
          </w:p>
        </w:tc>
        <w:tc>
          <w:tcPr>
            <w:tcW w:w="732"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p>
        </w:tc>
        <w:tc>
          <w:tcPr>
            <w:tcW w:w="915" w:type="pct"/>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14.5</w:t>
            </w:r>
          </w:p>
        </w:tc>
        <w:tc>
          <w:tcPr>
            <w:tcW w:w="728" w:type="pct"/>
            <w:noWrap w:val="0"/>
            <w:vAlign w:val="center"/>
          </w:tcPr>
          <w:p>
            <w:pPr>
              <w:widowControl/>
              <w:jc w:val="center"/>
              <w:textAlignment w:val="center"/>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5</w:t>
            </w:r>
          </w:p>
        </w:tc>
        <w:tc>
          <w:tcPr>
            <w:tcW w:w="1422"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爆炸物销毁器</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套</w:t>
            </w:r>
          </w:p>
        </w:tc>
        <w:tc>
          <w:tcPr>
            <w:tcW w:w="732"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1</w:t>
            </w:r>
          </w:p>
        </w:tc>
        <w:tc>
          <w:tcPr>
            <w:tcW w:w="915" w:type="pct"/>
            <w:noWrap w:val="0"/>
            <w:vAlign w:val="center"/>
          </w:tcPr>
          <w:p>
            <w:pPr>
              <w:widowControl/>
              <w:jc w:val="center"/>
              <w:textAlignment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30</w:t>
            </w:r>
          </w:p>
        </w:tc>
        <w:tc>
          <w:tcPr>
            <w:tcW w:w="728" w:type="pct"/>
            <w:noWrap w:val="0"/>
            <w:vAlign w:val="center"/>
          </w:tcPr>
          <w:p>
            <w:pPr>
              <w:widowControl/>
              <w:jc w:val="center"/>
              <w:textAlignment w:val="center"/>
              <w:rPr>
                <w:rFonts w:ascii="宋体" w:hAnsi="宋体" w:cs="宋体"/>
                <w:color w:val="auto"/>
                <w:kern w:val="0"/>
                <w:sz w:val="24"/>
                <w:szCs w:val="24"/>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6</w:t>
            </w:r>
          </w:p>
        </w:tc>
        <w:tc>
          <w:tcPr>
            <w:tcW w:w="1422" w:type="pct"/>
            <w:noWrap w:val="0"/>
            <w:vAlign w:val="center"/>
          </w:tcPr>
          <w:p>
            <w:pPr>
              <w:widowControl/>
              <w:jc w:val="center"/>
              <w:textAlignment w:val="center"/>
              <w:rPr>
                <w:rFonts w:ascii="宋体" w:hAnsi="宋体" w:cs="宋体"/>
                <w:color w:val="auto"/>
                <w:sz w:val="24"/>
                <w:szCs w:val="24"/>
                <w:highlight w:val="none"/>
              </w:rPr>
            </w:pPr>
            <w:r>
              <w:rPr>
                <w:rFonts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bidi="ar"/>
              </w:rPr>
              <w:t>无磁探针</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个</w:t>
            </w:r>
          </w:p>
        </w:tc>
        <w:tc>
          <w:tcPr>
            <w:tcW w:w="732" w:type="pct"/>
            <w:noWrap w:val="0"/>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r>
              <w:rPr>
                <w:rFonts w:ascii="宋体" w:hAnsi="宋体" w:cs="宋体"/>
                <w:color w:val="auto"/>
                <w:kern w:val="0"/>
                <w:sz w:val="24"/>
                <w:szCs w:val="24"/>
                <w:highlight w:val="none"/>
                <w:lang w:bidi="ar"/>
              </w:rPr>
              <w:t>00</w:t>
            </w:r>
          </w:p>
        </w:tc>
        <w:tc>
          <w:tcPr>
            <w:tcW w:w="915" w:type="pct"/>
            <w:noWrap w:val="0"/>
            <w:vAlign w:val="center"/>
          </w:tcPr>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0.014</w:t>
            </w:r>
          </w:p>
        </w:tc>
        <w:tc>
          <w:tcPr>
            <w:tcW w:w="728" w:type="pct"/>
            <w:noWrap w:val="0"/>
            <w:vAlign w:val="center"/>
          </w:tcPr>
          <w:p>
            <w:pPr>
              <w:widowControl/>
              <w:jc w:val="center"/>
              <w:textAlignment w:val="center"/>
              <w:rPr>
                <w:rFonts w:hint="eastAsia" w:ascii="宋体" w:hAnsi="宋体" w:cs="宋体"/>
                <w:color w:val="auto"/>
                <w:kern w:val="0"/>
                <w:sz w:val="24"/>
                <w:szCs w:val="24"/>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21" w:type="pct"/>
            <w:noWrap w:val="0"/>
            <w:vAlign w:val="center"/>
          </w:tcPr>
          <w:p>
            <w:pPr>
              <w:widowControl/>
              <w:jc w:val="center"/>
              <w:textAlignment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7</w:t>
            </w:r>
          </w:p>
        </w:tc>
        <w:tc>
          <w:tcPr>
            <w:tcW w:w="1422"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 xml:space="preserve">伸缩臂镜 </w:t>
            </w:r>
          </w:p>
        </w:tc>
        <w:tc>
          <w:tcPr>
            <w:tcW w:w="479" w:type="pct"/>
            <w:noWrap w:val="0"/>
            <w:vAlign w:val="center"/>
          </w:tcPr>
          <w:p>
            <w:pPr>
              <w:widowControl/>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lang w:bidi="ar"/>
              </w:rPr>
              <w:t>个</w:t>
            </w:r>
          </w:p>
        </w:tc>
        <w:tc>
          <w:tcPr>
            <w:tcW w:w="732" w:type="pct"/>
            <w:noWrap w:val="0"/>
            <w:vAlign w:val="center"/>
          </w:tcPr>
          <w:p>
            <w:pPr>
              <w:widowControl/>
              <w:jc w:val="center"/>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r>
              <w:rPr>
                <w:rFonts w:ascii="宋体" w:hAnsi="宋体" w:cs="宋体"/>
                <w:color w:val="auto"/>
                <w:kern w:val="0"/>
                <w:sz w:val="24"/>
                <w:szCs w:val="24"/>
                <w:highlight w:val="none"/>
                <w:lang w:bidi="ar"/>
              </w:rPr>
              <w:t>0</w:t>
            </w:r>
          </w:p>
        </w:tc>
        <w:tc>
          <w:tcPr>
            <w:tcW w:w="915" w:type="pct"/>
            <w:noWrap w:val="0"/>
            <w:vAlign w:val="center"/>
          </w:tcPr>
          <w:p>
            <w:pPr>
              <w:widowControl/>
              <w:jc w:val="center"/>
              <w:textAlignment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0.095</w:t>
            </w:r>
          </w:p>
        </w:tc>
        <w:tc>
          <w:tcPr>
            <w:tcW w:w="728" w:type="pct"/>
            <w:noWrap w:val="0"/>
            <w:vAlign w:val="center"/>
          </w:tcPr>
          <w:p>
            <w:pPr>
              <w:widowControl/>
              <w:jc w:val="center"/>
              <w:textAlignment w:val="center"/>
              <w:rPr>
                <w:rFonts w:hint="eastAsia" w:ascii="宋体" w:hAnsi="宋体" w:cs="宋体"/>
                <w:color w:val="auto"/>
                <w:kern w:val="0"/>
                <w:sz w:val="24"/>
                <w:szCs w:val="24"/>
                <w:highlight w:val="none"/>
                <w:lang w:val="en-US" w:eastAsia="zh-CN" w:bidi="ar"/>
              </w:rPr>
            </w:pPr>
          </w:p>
        </w:tc>
      </w:tr>
    </w:tbl>
    <w:p>
      <w:pPr>
        <w:pStyle w:val="6"/>
        <w:keepNext w:val="0"/>
        <w:keepLines w:val="0"/>
        <w:pageBreakBefore w:val="0"/>
        <w:widowControl w:val="0"/>
        <w:numPr>
          <w:ilvl w:val="0"/>
          <w:numId w:val="2"/>
        </w:numPr>
        <w:kinsoku/>
        <w:wordWrap/>
        <w:overflowPunct/>
        <w:topLinePunct w:val="0"/>
        <w:autoSpaceDE/>
        <w:autoSpaceDN/>
        <w:bidi w:val="0"/>
        <w:adjustRightInd/>
        <w:snapToGrid/>
        <w:jc w:val="both"/>
        <w:textAlignment w:val="auto"/>
        <w:rPr>
          <w:rFonts w:hint="default"/>
          <w:color w:val="auto"/>
          <w:sz w:val="24"/>
          <w:szCs w:val="24"/>
          <w:highlight w:val="none"/>
          <w:lang w:val="en-US" w:eastAsia="zh-CN"/>
        </w:rPr>
      </w:pPr>
      <w:r>
        <w:rPr>
          <w:rFonts w:hint="eastAsia"/>
          <w:color w:val="auto"/>
          <w:sz w:val="24"/>
          <w:szCs w:val="24"/>
          <w:highlight w:val="none"/>
          <w:lang w:val="en-US" w:eastAsia="zh-CN"/>
        </w:rPr>
        <w:t>技术参数</w:t>
      </w:r>
    </w:p>
    <w:tbl>
      <w:tblPr>
        <w:tblStyle w:val="4"/>
        <w:tblW w:w="10206"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030"/>
        <w:gridCol w:w="8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bidi="ar"/>
              </w:rPr>
              <w:t>序号</w:t>
            </w:r>
          </w:p>
        </w:tc>
        <w:tc>
          <w:tcPr>
            <w:tcW w:w="1030" w:type="dxa"/>
            <w:noWrap w:val="0"/>
            <w:vAlign w:val="center"/>
          </w:tcPr>
          <w:p>
            <w:pPr>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bidi="ar"/>
              </w:rPr>
              <w:t>产品名称</w:t>
            </w:r>
          </w:p>
        </w:tc>
        <w:tc>
          <w:tcPr>
            <w:tcW w:w="8400" w:type="dxa"/>
            <w:noWrap w:val="0"/>
            <w:vAlign w:val="center"/>
          </w:tcPr>
          <w:p>
            <w:pPr>
              <w:jc w:val="center"/>
              <w:textAlignment w:val="center"/>
              <w:rPr>
                <w:rFonts w:hint="eastAsia" w:ascii="宋体" w:hAnsi="宋体" w:eastAsia="宋体" w:cs="宋体"/>
                <w:b/>
                <w:color w:val="auto"/>
                <w:kern w:val="0"/>
                <w:sz w:val="24"/>
                <w:szCs w:val="24"/>
                <w:highlight w:val="none"/>
                <w:lang w:val="en-US" w:eastAsia="zh-CN" w:bidi="ar"/>
              </w:rPr>
            </w:pPr>
            <w:r>
              <w:rPr>
                <w:rFonts w:hint="eastAsia" w:ascii="宋体" w:hAnsi="宋体" w:eastAsia="宋体" w:cs="宋体"/>
                <w:b/>
                <w:color w:val="auto"/>
                <w:kern w:val="0"/>
                <w:sz w:val="24"/>
                <w:szCs w:val="24"/>
                <w:highlight w:val="none"/>
                <w:lang w:val="en-US" w:eastAsia="zh-CN" w:bidi="ar"/>
              </w:rPr>
              <w:t>技术</w:t>
            </w:r>
            <w:r>
              <w:rPr>
                <w:rFonts w:hint="eastAsia" w:ascii="宋体" w:hAnsi="宋体" w:eastAsia="宋体" w:cs="宋体"/>
                <w:b/>
                <w:color w:val="auto"/>
                <w:kern w:val="0"/>
                <w:sz w:val="24"/>
                <w:szCs w:val="24"/>
                <w:highlight w:val="none"/>
                <w:lang w:bidi="ar"/>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1030" w:type="dxa"/>
            <w:noWrap w:val="0"/>
            <w:vAlign w:val="center"/>
          </w:tcPr>
          <w:p>
            <w:pPr>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便携式X光机</w:t>
            </w:r>
          </w:p>
        </w:tc>
        <w:tc>
          <w:tcPr>
            <w:tcW w:w="8400" w:type="dxa"/>
            <w:noWrap w:val="0"/>
            <w:vAlign w:val="center"/>
          </w:tcPr>
          <w:p>
            <w:pPr>
              <w:jc w:val="left"/>
              <w:textAlignment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成像部分：</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有效面积：≥400mm×400mm；</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像素尺寸：≤160</w:t>
            </w:r>
            <w:r>
              <w:rPr>
                <w:rFonts w:hint="eastAsia" w:ascii="宋体" w:hAnsi="宋体" w:eastAsia="宋体" w:cs="宋体"/>
                <w:color w:val="auto"/>
                <w:sz w:val="24"/>
                <w:szCs w:val="24"/>
                <w:highlight w:val="none"/>
              </w:rPr>
              <w:t>μm</w:t>
            </w:r>
            <w:r>
              <w:rPr>
                <w:rFonts w:hint="eastAsia" w:ascii="宋体" w:hAnsi="宋体" w:eastAsia="宋体" w:cs="宋体"/>
                <w:color w:val="auto"/>
                <w:sz w:val="24"/>
                <w:szCs w:val="24"/>
                <w:highlight w:val="none"/>
                <w:lang w:eastAsia="zh-CN"/>
              </w:rPr>
              <w:t>；</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图像分辨率：2500×2000；</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图像动态范围：≥16比特；</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扫描盲区：≤15mm</w:t>
            </w:r>
            <w:r>
              <w:rPr>
                <w:rFonts w:hint="eastAsia" w:ascii="宋体" w:hAnsi="宋体" w:cs="宋体"/>
                <w:color w:val="auto"/>
                <w:kern w:val="0"/>
                <w:sz w:val="24"/>
                <w:szCs w:val="24"/>
                <w:highlight w:val="none"/>
                <w:lang w:val="en-US" w:eastAsia="zh-CN"/>
              </w:rPr>
              <w:t>（在检测报告中体现）</w:t>
            </w:r>
            <w:r>
              <w:rPr>
                <w:rFonts w:hint="eastAsia" w:ascii="宋体" w:hAnsi="宋体" w:eastAsia="宋体" w:cs="宋体"/>
                <w:color w:val="auto"/>
                <w:sz w:val="24"/>
                <w:szCs w:val="24"/>
                <w:highlight w:val="none"/>
                <w:lang w:val="en-US" w:eastAsia="zh-CN"/>
              </w:rPr>
              <w:t>；</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重量：≤7kg；</w:t>
            </w:r>
          </w:p>
          <w:p>
            <w:pPr>
              <w:pStyle w:val="2"/>
              <w:numPr>
                <w:ilvl w:val="0"/>
                <w:numId w:val="3"/>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成像分辨率：≥5Lp/mm；能清晰显示直径≥0.05mm的单根实心金属丝；工作温度：</w:t>
            </w:r>
            <w:r>
              <w:rPr>
                <w:rFonts w:hint="eastAsia" w:ascii="宋体" w:hAnsi="宋体" w:eastAsia="宋体" w:cs="宋体"/>
                <w:color w:val="auto"/>
                <w:sz w:val="24"/>
                <w:szCs w:val="24"/>
                <w:highlight w:val="none"/>
                <w:vertAlign w:val="baseline"/>
                <w:lang w:val="en-US" w:eastAsia="zh-CN"/>
              </w:rPr>
              <w:t>在-10℃～+45℃温度区间内正常工作</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存储温度：设备在-10℃～+45℃温度环境下，能够存储不致损坏；</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通信方式：具备有线及无线通信能力；有线通信可满足有线线缆或兼容百兆、千兆以太网（</w:t>
            </w:r>
            <w:r>
              <w:rPr>
                <w:rFonts w:hint="eastAsia" w:ascii="宋体" w:hAnsi="宋体" w:eastAsia="宋体" w:cs="宋体"/>
                <w:color w:val="auto"/>
                <w:sz w:val="24"/>
                <w:szCs w:val="24"/>
                <w:highlight w:val="none"/>
              </w:rPr>
              <w:t>GbitE</w:t>
            </w:r>
            <w:r>
              <w:rPr>
                <w:rFonts w:hint="eastAsia" w:ascii="宋体" w:hAnsi="宋体" w:eastAsia="宋体" w:cs="宋体"/>
                <w:color w:val="auto"/>
                <w:sz w:val="24"/>
                <w:szCs w:val="24"/>
                <w:highlight w:val="none"/>
                <w:vertAlign w:val="baseline"/>
                <w:lang w:val="en-US" w:eastAsia="zh-CN"/>
              </w:rPr>
              <w:t>）其中一种；无线通信可满足蓝牙、无线802.11N、2.4/5.8G其中一种及以上；</w:t>
            </w:r>
          </w:p>
          <w:p>
            <w:pPr>
              <w:pStyle w:val="2"/>
              <w:numPr>
                <w:ilvl w:val="0"/>
                <w:numId w:val="0"/>
              </w:numPr>
              <w:ind w:leftChars="0"/>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探测光源：</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重量：≤6kg；</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电源：充一次可发射≥3000个脉冲；</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vertAlign w:val="baseline"/>
                <w:lang w:val="en-US" w:eastAsia="zh-CN"/>
              </w:rPr>
              <w:t>穿透能力：可穿透≥</w:t>
            </w:r>
            <w:r>
              <w:rPr>
                <w:rFonts w:hint="eastAsia" w:ascii="宋体" w:hAnsi="宋体" w:cs="宋体"/>
                <w:color w:val="auto"/>
                <w:sz w:val="24"/>
                <w:szCs w:val="24"/>
                <w:highlight w:val="none"/>
                <w:vertAlign w:val="baseline"/>
                <w:lang w:val="en-US" w:eastAsia="zh-CN"/>
              </w:rPr>
              <w:t>300</w:t>
            </w:r>
            <w:r>
              <w:rPr>
                <w:rFonts w:hint="eastAsia" w:ascii="宋体" w:hAnsi="宋体" w:eastAsia="宋体" w:cs="宋体"/>
                <w:color w:val="auto"/>
                <w:sz w:val="24"/>
                <w:szCs w:val="24"/>
                <w:highlight w:val="none"/>
                <w:vertAlign w:val="baseline"/>
                <w:lang w:val="en-US" w:eastAsia="zh-CN"/>
              </w:rPr>
              <w:t>mm铝板 或 ≥7</w:t>
            </w: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mm钢板 （提供检测报告证明）；</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vertAlign w:val="baseline"/>
                <w:lang w:val="en-US" w:eastAsia="zh-CN"/>
              </w:rPr>
              <w:t>泄漏辐射检测：距离x射线1m处≤</w:t>
            </w:r>
            <w:r>
              <w:rPr>
                <w:rFonts w:hint="eastAsia" w:ascii="宋体" w:hAnsi="宋体" w:cs="宋体"/>
                <w:color w:val="auto"/>
                <w:sz w:val="24"/>
                <w:szCs w:val="24"/>
                <w:highlight w:val="none"/>
                <w:vertAlign w:val="baseline"/>
                <w:lang w:val="en-US" w:eastAsia="zh-CN"/>
              </w:rPr>
              <w:t>0.9</w:t>
            </w:r>
            <w:r>
              <w:rPr>
                <w:rFonts w:hint="eastAsia" w:ascii="宋体" w:hAnsi="宋体" w:eastAsia="宋体" w:cs="宋体"/>
                <w:color w:val="auto"/>
                <w:sz w:val="24"/>
                <w:szCs w:val="24"/>
                <w:highlight w:val="none"/>
                <w:vertAlign w:val="baseline"/>
                <w:lang w:val="en-US" w:eastAsia="zh-CN"/>
              </w:rPr>
              <w:t>uGy/h；距离x射线源50mm处≤</w:t>
            </w:r>
            <w:r>
              <w:rPr>
                <w:rFonts w:hint="eastAsia" w:ascii="宋体" w:hAnsi="宋体" w:cs="宋体"/>
                <w:color w:val="auto"/>
                <w:sz w:val="24"/>
                <w:szCs w:val="24"/>
                <w:highlight w:val="none"/>
                <w:vertAlign w:val="baseline"/>
                <w:lang w:val="en-US" w:eastAsia="zh-CN"/>
              </w:rPr>
              <w:t>1.8</w:t>
            </w:r>
            <w:r>
              <w:rPr>
                <w:rFonts w:hint="eastAsia" w:ascii="宋体" w:hAnsi="宋体" w:eastAsia="宋体" w:cs="宋体"/>
                <w:color w:val="auto"/>
                <w:sz w:val="24"/>
                <w:szCs w:val="24"/>
                <w:highlight w:val="none"/>
                <w:vertAlign w:val="baseline"/>
                <w:lang w:val="en-US" w:eastAsia="zh-CN"/>
              </w:rPr>
              <w:t>uGy/h；（提供检测报告证明）；</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vertAlign w:val="baseline"/>
                <w:lang w:val="en-US" w:eastAsia="zh-CN"/>
              </w:rPr>
              <w:t>光管寿命：≥10年</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电池配备：不少于2块；随机电池容量≥2000 mAh</w:t>
            </w:r>
          </w:p>
          <w:p>
            <w:pPr>
              <w:pStyle w:val="2"/>
              <w:numPr>
                <w:ilvl w:val="0"/>
                <w:numId w:val="0"/>
              </w:numPr>
              <w:ind w:leftChars="0"/>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配套设备：</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处理器及</w:t>
            </w:r>
            <w:r>
              <w:rPr>
                <w:rFonts w:hint="eastAsia" w:ascii="宋体" w:hAnsi="宋体" w:cs="宋体"/>
                <w:color w:val="auto"/>
                <w:sz w:val="24"/>
                <w:szCs w:val="24"/>
                <w:highlight w:val="none"/>
                <w:vertAlign w:val="baseline"/>
                <w:lang w:val="en-US" w:eastAsia="zh-CN"/>
              </w:rPr>
              <w:t>运行内存</w:t>
            </w:r>
            <w:r>
              <w:rPr>
                <w:rFonts w:hint="eastAsia" w:ascii="宋体" w:hAnsi="宋体" w:eastAsia="宋体" w:cs="宋体"/>
                <w:color w:val="auto"/>
                <w:sz w:val="24"/>
                <w:szCs w:val="24"/>
                <w:highlight w:val="none"/>
                <w:vertAlign w:val="baseline"/>
                <w:lang w:val="en-US" w:eastAsia="zh-CN"/>
              </w:rPr>
              <w:t>：须满足IntelCore-</w:t>
            </w:r>
            <w:r>
              <w:rPr>
                <w:rFonts w:hint="eastAsia" w:ascii="宋体" w:hAnsi="宋体" w:cs="宋体"/>
                <w:color w:val="auto"/>
                <w:sz w:val="24"/>
                <w:szCs w:val="24"/>
                <w:highlight w:val="none"/>
                <w:vertAlign w:val="baseline"/>
                <w:lang w:val="en-US" w:eastAsia="zh-CN"/>
              </w:rPr>
              <w:t>i9</w:t>
            </w:r>
            <w:r>
              <w:rPr>
                <w:rFonts w:hint="eastAsia" w:ascii="宋体" w:hAnsi="宋体" w:eastAsia="宋体" w:cs="宋体"/>
                <w:color w:val="auto"/>
                <w:sz w:val="24"/>
                <w:szCs w:val="24"/>
                <w:highlight w:val="none"/>
                <w:vertAlign w:val="baseline"/>
                <w:lang w:val="en-US" w:eastAsia="zh-CN"/>
              </w:rPr>
              <w:t>及以上配置</w:t>
            </w:r>
            <w:r>
              <w:rPr>
                <w:rFonts w:hint="eastAsia" w:ascii="宋体" w:hAnsi="宋体" w:cs="宋体"/>
                <w:color w:val="auto"/>
                <w:sz w:val="24"/>
                <w:szCs w:val="24"/>
                <w:highlight w:val="none"/>
                <w:vertAlign w:val="baseline"/>
                <w:lang w:val="en-US" w:eastAsia="zh-CN"/>
              </w:rPr>
              <w:t>，内存≥64G</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显示屏幕：≥1</w:t>
            </w: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”高分屏（分辨率达到2K及以上）</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存储硬盘容量：≥</w:t>
            </w:r>
            <w:r>
              <w:rPr>
                <w:rFonts w:hint="eastAsia" w:ascii="宋体" w:hAnsi="宋体" w:cs="宋体"/>
                <w:color w:val="auto"/>
                <w:sz w:val="24"/>
                <w:szCs w:val="24"/>
                <w:highlight w:val="none"/>
                <w:vertAlign w:val="baseline"/>
                <w:lang w:val="en-US" w:eastAsia="zh-CN"/>
              </w:rPr>
              <w:t>2T</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屏幕种类：触摸屏；</w:t>
            </w:r>
          </w:p>
          <w:p>
            <w:pPr>
              <w:pStyle w:val="2"/>
              <w:numPr>
                <w:ilvl w:val="0"/>
                <w:numId w:val="0"/>
              </w:numPr>
              <w:ind w:leftChars="0"/>
              <w:jc w:val="left"/>
              <w:rPr>
                <w:rFonts w:hint="eastAsia" w:ascii="宋体" w:hAnsi="宋体" w:eastAsia="宋体" w:cs="宋体"/>
                <w:b/>
                <w:bCs/>
                <w:i w:val="0"/>
                <w:iCs w:val="0"/>
                <w:color w:val="auto"/>
                <w:sz w:val="24"/>
                <w:szCs w:val="24"/>
                <w:highlight w:val="none"/>
                <w:vertAlign w:val="baseline"/>
                <w:lang w:val="en-US" w:eastAsia="zh-CN"/>
              </w:rPr>
            </w:pPr>
            <w:r>
              <w:rPr>
                <w:rFonts w:hint="eastAsia" w:ascii="宋体" w:hAnsi="宋体" w:eastAsia="宋体" w:cs="宋体"/>
                <w:b/>
                <w:bCs/>
                <w:i w:val="0"/>
                <w:iCs w:val="0"/>
                <w:color w:val="auto"/>
                <w:sz w:val="24"/>
                <w:szCs w:val="24"/>
                <w:highlight w:val="none"/>
                <w:vertAlign w:val="baseline"/>
                <w:lang w:val="en-US" w:eastAsia="zh-CN"/>
              </w:rPr>
              <w:t>软件部分：</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软件权属：所提供软件权属明确，未侵犯第三方知识产权</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数据库：所提供软件数据库须能对所拍摄影像进行存储、分类及检索等功能；</w:t>
            </w:r>
          </w:p>
          <w:p>
            <w:pPr>
              <w:pStyle w:val="2"/>
              <w:numPr>
                <w:ilvl w:val="0"/>
                <w:numId w:val="3"/>
              </w:numPr>
              <w:ind w:left="0" w:leftChars="0" w:firstLine="0" w:firstLineChars="0"/>
              <w:jc w:val="left"/>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具备多图拼接、3D取图、测量物体尺寸宽度、灰度拉伸功能，</w:t>
            </w:r>
            <w:r>
              <w:rPr>
                <w:rFonts w:hint="eastAsia" w:ascii="宋体" w:hAnsi="宋体" w:eastAsia="宋体" w:cs="宋体"/>
                <w:b w:val="0"/>
                <w:bCs w:val="0"/>
                <w:color w:val="auto"/>
                <w:sz w:val="24"/>
                <w:szCs w:val="24"/>
                <w:highlight w:val="none"/>
                <w:shd w:val="clear" w:color="auto" w:fill="auto"/>
                <w:vertAlign w:val="baseline"/>
                <w:lang w:val="en-US" w:eastAsia="zh-CN"/>
              </w:rPr>
              <w:t>可以实现放大、反色、灰度级、亮度等图像处理的调节；</w:t>
            </w:r>
          </w:p>
          <w:p>
            <w:pPr>
              <w:pStyle w:val="2"/>
              <w:numPr>
                <w:ilvl w:val="0"/>
                <w:numId w:val="0"/>
              </w:numPr>
              <w:ind w:leftChars="0"/>
              <w:jc w:val="left"/>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包装携行：</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防水等级≥IP65</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箱体材质为ABS或滚塑</w:t>
            </w:r>
          </w:p>
          <w:p>
            <w:pPr>
              <w:pStyle w:val="2"/>
              <w:numPr>
                <w:ilvl w:val="0"/>
                <w:numId w:val="3"/>
              </w:numPr>
              <w:ind w:left="0" w:leftChars="0" w:firstLine="0" w:firstLineChars="0"/>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产品交付及配置：</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①</w:t>
            </w:r>
            <w:r>
              <w:rPr>
                <w:rFonts w:hint="eastAsia" w:ascii="宋体" w:hAnsi="宋体" w:eastAsia="宋体" w:cs="宋体"/>
                <w:color w:val="auto"/>
                <w:sz w:val="24"/>
                <w:szCs w:val="24"/>
                <w:highlight w:val="none"/>
                <w:vertAlign w:val="baseline"/>
                <w:lang w:val="en-US" w:eastAsia="zh-CN"/>
              </w:rPr>
              <w:t>成像器×1套</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②</w:t>
            </w:r>
            <w:r>
              <w:rPr>
                <w:rFonts w:hint="eastAsia" w:ascii="宋体" w:hAnsi="宋体" w:eastAsia="宋体" w:cs="宋体"/>
                <w:color w:val="auto"/>
                <w:sz w:val="24"/>
                <w:szCs w:val="24"/>
                <w:highlight w:val="none"/>
                <w:vertAlign w:val="baseline"/>
                <w:lang w:val="en-US" w:eastAsia="zh-CN"/>
              </w:rPr>
              <w:t>成像光源×1组</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③</w:t>
            </w:r>
            <w:r>
              <w:rPr>
                <w:rFonts w:hint="eastAsia" w:ascii="宋体" w:hAnsi="宋体" w:eastAsia="宋体" w:cs="宋体"/>
                <w:color w:val="auto"/>
                <w:sz w:val="24"/>
                <w:szCs w:val="24"/>
                <w:highlight w:val="none"/>
                <w:vertAlign w:val="baseline"/>
                <w:lang w:val="en-US" w:eastAsia="zh-CN"/>
              </w:rPr>
              <w:t>电池×2块</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④</w:t>
            </w:r>
            <w:r>
              <w:rPr>
                <w:rFonts w:hint="eastAsia" w:ascii="宋体" w:hAnsi="宋体" w:eastAsia="宋体" w:cs="宋体"/>
                <w:color w:val="auto"/>
                <w:sz w:val="24"/>
                <w:szCs w:val="24"/>
                <w:highlight w:val="none"/>
                <w:vertAlign w:val="baseline"/>
                <w:lang w:val="en-US" w:eastAsia="zh-CN"/>
              </w:rPr>
              <w:t>前端显示终端×1台</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⑤</w:t>
            </w:r>
            <w:r>
              <w:rPr>
                <w:rFonts w:hint="eastAsia" w:ascii="宋体" w:hAnsi="宋体" w:eastAsia="宋体" w:cs="宋体"/>
                <w:color w:val="auto"/>
                <w:sz w:val="24"/>
                <w:szCs w:val="24"/>
                <w:highlight w:val="none"/>
                <w:vertAlign w:val="baseline"/>
                <w:lang w:val="en-US" w:eastAsia="zh-CN"/>
              </w:rPr>
              <w:t>有线线缆×1条</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⑥</w:t>
            </w:r>
            <w:r>
              <w:rPr>
                <w:rFonts w:hint="eastAsia" w:ascii="宋体" w:hAnsi="宋体" w:eastAsia="宋体" w:cs="宋体"/>
                <w:color w:val="auto"/>
                <w:sz w:val="24"/>
                <w:szCs w:val="24"/>
                <w:highlight w:val="none"/>
                <w:vertAlign w:val="baseline"/>
                <w:lang w:val="en-US" w:eastAsia="zh-CN"/>
              </w:rPr>
              <w:t>配套软件×1套</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⑦</w:t>
            </w:r>
            <w:r>
              <w:rPr>
                <w:rFonts w:hint="eastAsia" w:ascii="宋体" w:hAnsi="宋体" w:eastAsia="宋体" w:cs="宋体"/>
                <w:color w:val="auto"/>
                <w:sz w:val="24"/>
                <w:szCs w:val="24"/>
                <w:highlight w:val="none"/>
                <w:vertAlign w:val="baseline"/>
                <w:lang w:val="en-US" w:eastAsia="zh-CN"/>
              </w:rPr>
              <w:t>配件×1批</w:t>
            </w:r>
          </w:p>
          <w:p>
            <w:pPr>
              <w:pStyle w:val="2"/>
              <w:numPr>
                <w:ilvl w:val="0"/>
                <w:numId w:val="0"/>
              </w:numPr>
              <w:ind w:leftChars="0"/>
              <w:jc w:val="left"/>
              <w:rPr>
                <w:rFonts w:hint="eastAsia" w:ascii="宋体" w:hAnsi="宋体" w:eastAsia="宋体" w:cs="宋体"/>
                <w:color w:val="auto"/>
                <w:sz w:val="24"/>
                <w:szCs w:val="24"/>
                <w:highlight w:val="none"/>
                <w:vertAlign w:val="baseline"/>
                <w:lang w:val="en-US" w:eastAsia="zh-CN"/>
              </w:rPr>
            </w:pPr>
            <w:r>
              <w:rPr>
                <w:rFonts w:hint="eastAsia" w:ascii="微软雅黑" w:hAnsi="微软雅黑" w:eastAsia="微软雅黑" w:cs="微软雅黑"/>
                <w:color w:val="auto"/>
                <w:sz w:val="24"/>
                <w:szCs w:val="24"/>
                <w:highlight w:val="none"/>
                <w:vertAlign w:val="baseline"/>
                <w:lang w:val="en-US" w:eastAsia="zh-CN"/>
              </w:rPr>
              <w:t>⑧</w:t>
            </w:r>
            <w:r>
              <w:rPr>
                <w:rFonts w:hint="eastAsia" w:ascii="宋体" w:hAnsi="宋体" w:eastAsia="宋体" w:cs="宋体"/>
                <w:color w:val="auto"/>
                <w:sz w:val="24"/>
                <w:szCs w:val="24"/>
                <w:highlight w:val="none"/>
                <w:vertAlign w:val="baseline"/>
                <w:lang w:val="en-US" w:eastAsia="zh-CN"/>
              </w:rPr>
              <w:t>携行箱×1组</w:t>
            </w:r>
          </w:p>
          <w:p>
            <w:pPr>
              <w:pStyle w:val="2"/>
              <w:numPr>
                <w:ilvl w:val="0"/>
                <w:numId w:val="0"/>
              </w:numPr>
              <w:ind w:left="0" w:leftChars="0" w:firstLine="0" w:firstLineChars="0"/>
              <w:jc w:val="left"/>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sz w:val="24"/>
                <w:szCs w:val="24"/>
                <w:highlight w:val="none"/>
                <w:vertAlign w:val="baseline"/>
                <w:lang w:val="en-US" w:eastAsia="zh-CN"/>
              </w:rPr>
              <w:t>2</w:t>
            </w: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提供公安部安全与警用电子产品质量检测中心出具的检测报告复印件</w:t>
            </w:r>
            <w:r>
              <w:rPr>
                <w:rFonts w:hint="eastAsia" w:ascii="宋体" w:hAnsi="宋体" w:cs="宋体"/>
                <w:color w:val="auto"/>
                <w:sz w:val="24"/>
                <w:szCs w:val="24"/>
                <w:highlight w:val="none"/>
                <w:vertAlign w:val="baseline"/>
                <w:lang w:val="en-US" w:eastAsia="zh-CN"/>
              </w:rPr>
              <w:t>或</w:t>
            </w:r>
            <w:r>
              <w:rPr>
                <w:rFonts w:hint="eastAsia" w:ascii="宋体" w:hAnsi="宋体" w:eastAsia="宋体" w:cs="宋体"/>
                <w:color w:val="auto"/>
                <w:sz w:val="24"/>
                <w:szCs w:val="24"/>
                <w:highlight w:val="none"/>
                <w:vertAlign w:val="baseline"/>
                <w:lang w:val="en-US" w:eastAsia="zh-CN"/>
              </w:rPr>
              <w:t>国家安全防范报警系统产品质量监督检测中心的检验报告复印件加盖公章</w:t>
            </w:r>
            <w:r>
              <w:rPr>
                <w:rFonts w:hint="eastAsia" w:ascii="宋体" w:hAnsi="宋体" w:cs="宋体"/>
                <w:color w:val="auto"/>
                <w:sz w:val="24"/>
                <w:szCs w:val="24"/>
                <w:highlight w:val="none"/>
                <w:vertAlign w:val="baseline"/>
                <w:lang w:val="en-US" w:eastAsia="zh-CN"/>
              </w:rPr>
              <w:t>或国家认可的第三方检测机构的检测报告复印件加盖公章。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1030" w:type="dxa"/>
            <w:noWrap w:val="0"/>
            <w:vAlign w:val="center"/>
          </w:tcPr>
          <w:p>
            <w:pPr>
              <w:snapToGrid w:val="0"/>
              <w:jc w:val="center"/>
              <w:textAlignment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lang w:bidi="ar"/>
              </w:rPr>
              <w:t>频率干扰仪</w:t>
            </w:r>
          </w:p>
        </w:tc>
        <w:tc>
          <w:tcPr>
            <w:tcW w:w="8400" w:type="dxa"/>
            <w:noWrap w:val="0"/>
            <w:vAlign w:val="center"/>
          </w:tcPr>
          <w:p>
            <w:pPr>
              <w:numPr>
                <w:ilvl w:val="0"/>
                <w:numId w:val="4"/>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工作模式：默认模式、人工模式；</w:t>
            </w:r>
          </w:p>
          <w:p>
            <w:pPr>
              <w:pStyle w:val="2"/>
              <w:numPr>
                <w:ilvl w:val="0"/>
                <w:numId w:val="4"/>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干扰频率：</w:t>
            </w:r>
            <w:r>
              <w:rPr>
                <w:rFonts w:hint="eastAsia" w:ascii="宋体" w:hAnsi="宋体" w:eastAsia="宋体" w:cs="宋体"/>
                <w:color w:val="auto"/>
                <w:kern w:val="0"/>
                <w:sz w:val="24"/>
                <w:szCs w:val="24"/>
                <w:highlight w:val="none"/>
              </w:rPr>
              <w:t>可选</w:t>
            </w:r>
            <w:r>
              <w:rPr>
                <w:rFonts w:hint="eastAsia" w:ascii="宋体" w:hAnsi="宋体" w:eastAsia="宋体" w:cs="宋体"/>
                <w:color w:val="auto"/>
                <w:kern w:val="0"/>
                <w:sz w:val="24"/>
                <w:szCs w:val="24"/>
                <w:highlight w:val="none"/>
                <w:lang w:val="zh-CN"/>
              </w:rPr>
              <w:t>20-3000</w:t>
            </w:r>
            <w:r>
              <w:rPr>
                <w:rFonts w:hint="eastAsia" w:ascii="宋体" w:hAnsi="宋体" w:eastAsia="宋体" w:cs="宋体"/>
                <w:color w:val="auto"/>
                <w:kern w:val="0"/>
                <w:sz w:val="24"/>
                <w:szCs w:val="24"/>
                <w:highlight w:val="none"/>
              </w:rPr>
              <w:t>MHz/20-6000MHz</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具备定制升级能力</w:t>
            </w:r>
            <w:r>
              <w:rPr>
                <w:rFonts w:hint="eastAsia" w:ascii="宋体" w:hAnsi="宋体" w:eastAsia="宋体" w:cs="宋体"/>
                <w:color w:val="auto"/>
                <w:kern w:val="0"/>
                <w:sz w:val="24"/>
                <w:szCs w:val="24"/>
                <w:highlight w:val="none"/>
                <w:lang w:eastAsia="zh-CN"/>
              </w:rPr>
              <w:t>）；</w:t>
            </w:r>
          </w:p>
          <w:p>
            <w:pPr>
              <w:pStyle w:val="2"/>
              <w:numPr>
                <w:ilvl w:val="0"/>
                <w:numId w:val="4"/>
              </w:numPr>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有效距离：</w:t>
            </w:r>
            <w:r>
              <w:rPr>
                <w:rFonts w:hint="eastAsia" w:ascii="宋体" w:hAnsi="宋体" w:eastAsia="宋体" w:cs="宋体"/>
                <w:color w:val="auto"/>
                <w:kern w:val="0"/>
                <w:sz w:val="24"/>
                <w:szCs w:val="24"/>
                <w:highlight w:val="none"/>
                <w:lang w:val="zh-CN"/>
              </w:rPr>
              <w:t>按标准场强-65dbm，有效距离</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zh-CN"/>
              </w:rPr>
              <w:t>120米；</w:t>
            </w:r>
          </w:p>
          <w:p>
            <w:pPr>
              <w:pStyle w:val="2"/>
              <w:numPr>
                <w:ilvl w:val="0"/>
                <w:numId w:val="4"/>
              </w:numPr>
              <w:ind w:left="0" w:leftChars="0" w:firstLine="0" w:firstLineChars="0"/>
              <w:jc w:val="left"/>
              <w:rPr>
                <w:rFonts w:hint="eastAsia" w:ascii="宋体" w:hAnsi="宋体" w:cs="宋体"/>
                <w:color w:val="auto"/>
                <w:kern w:val="0"/>
                <w:sz w:val="24"/>
                <w:szCs w:val="24"/>
                <w:highlight w:val="none"/>
                <w:lang w:val="en-US" w:eastAsia="zh-CN"/>
              </w:rPr>
            </w:pPr>
            <w:r>
              <w:rPr>
                <w:rFonts w:hint="eastAsia" w:ascii="宋体" w:hAnsi="宋体" w:eastAsia="宋体" w:cs="宋体"/>
                <w:color w:val="auto"/>
                <w:sz w:val="24"/>
                <w:szCs w:val="24"/>
                <w:highlight w:val="none"/>
                <w:vertAlign w:val="baseline"/>
              </w:rPr>
              <w:t>▲</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rPr>
              <w:t>发射总功率：≥</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00W</w:t>
            </w:r>
            <w:r>
              <w:rPr>
                <w:rFonts w:hint="eastAsia" w:ascii="宋体" w:hAnsi="宋体" w:cs="宋体"/>
                <w:color w:val="auto"/>
                <w:kern w:val="0"/>
                <w:sz w:val="24"/>
                <w:szCs w:val="24"/>
                <w:highlight w:val="none"/>
                <w:lang w:val="en-US" w:eastAsia="zh-CN"/>
              </w:rPr>
              <w:t>（</w:t>
            </w:r>
            <w:r>
              <w:rPr>
                <w:rFonts w:hint="eastAsia" w:ascii="宋体" w:hAnsi="宋体" w:eastAsia="宋体" w:cs="宋体"/>
                <w:color w:val="auto"/>
                <w:sz w:val="24"/>
                <w:szCs w:val="24"/>
                <w:highlight w:val="none"/>
                <w:vertAlign w:val="baseline"/>
                <w:lang w:val="en-US" w:eastAsia="zh-CN"/>
              </w:rPr>
              <w:t>提供检测报告证明</w:t>
            </w:r>
            <w:r>
              <w:rPr>
                <w:rFonts w:hint="eastAsia" w:ascii="宋体" w:hAnsi="宋体" w:cs="宋体"/>
                <w:color w:val="auto"/>
                <w:kern w:val="0"/>
                <w:sz w:val="24"/>
                <w:szCs w:val="24"/>
                <w:highlight w:val="none"/>
                <w:lang w:val="en-US" w:eastAsia="zh-CN"/>
              </w:rPr>
              <w:t>）</w:t>
            </w:r>
          </w:p>
          <w:p>
            <w:pPr>
              <w:pStyle w:val="2"/>
              <w:numPr>
                <w:ilvl w:val="0"/>
                <w:numId w:val="0"/>
              </w:numPr>
              <w:ind w:leftChars="0"/>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 xml:space="preserve">工作温度：-30℃～+70℃ 可正常工作 </w:t>
            </w:r>
          </w:p>
          <w:p>
            <w:pPr>
              <w:pStyle w:val="2"/>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en-US" w:eastAsia="zh-CN"/>
              </w:rPr>
              <w:t>供电方式：可使用AC220V和内置锂电池供电；内置锂电池供电时长≥60分钟；</w:t>
            </w:r>
          </w:p>
          <w:p>
            <w:pPr>
              <w:pStyle w:val="2"/>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en-US" w:eastAsia="zh-CN"/>
              </w:rPr>
              <w:t>干扰模块：≥</w:t>
            </w:r>
            <w:r>
              <w:rPr>
                <w:rFonts w:hint="eastAsia" w:ascii="宋体" w:hAnsi="宋体" w:eastAsia="宋体" w:cs="宋体"/>
                <w:color w:val="auto"/>
                <w:sz w:val="24"/>
                <w:szCs w:val="24"/>
                <w:highlight w:val="none"/>
                <w:vertAlign w:val="baseline"/>
                <w:lang w:val="en-US" w:eastAsia="zh-CN"/>
              </w:rPr>
              <w:t>10模块，2台主机组成，每台主机≥5模块</w:t>
            </w:r>
          </w:p>
          <w:p>
            <w:pPr>
              <w:pStyle w:val="2"/>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数据显示：具备液晶屏显示功能；可直观展示各个发射模块的工作状态，例如</w:t>
            </w:r>
            <w:r>
              <w:rPr>
                <w:rFonts w:hint="eastAsia" w:ascii="宋体" w:hAnsi="宋体" w:eastAsia="宋体" w:cs="宋体"/>
                <w:color w:val="auto"/>
                <w:kern w:val="0"/>
                <w:sz w:val="24"/>
                <w:szCs w:val="24"/>
                <w:highlight w:val="none"/>
                <w:lang w:val="zh-CN"/>
              </w:rPr>
              <w:t>功率、频率、驻波比、电流、电压、温度和运行状态</w:t>
            </w:r>
            <w:r>
              <w:rPr>
                <w:rFonts w:hint="eastAsia" w:ascii="宋体" w:hAnsi="宋体" w:eastAsia="宋体" w:cs="宋体"/>
                <w:color w:val="auto"/>
                <w:kern w:val="0"/>
                <w:sz w:val="24"/>
                <w:szCs w:val="24"/>
                <w:highlight w:val="none"/>
                <w:lang w:val="en-US" w:eastAsia="zh-CN"/>
              </w:rPr>
              <w:t>等；</w:t>
            </w:r>
          </w:p>
          <w:p>
            <w:pPr>
              <w:pStyle w:val="2"/>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val="en-US" w:eastAsia="zh-CN"/>
              </w:rPr>
              <w:t>控制功能：可分别控制2台主机，对各干扰频段的开启和关闭，具有一键启动功能，可外接短路端子，打开电源后即可开启所有发射模块。</w:t>
            </w:r>
          </w:p>
          <w:p>
            <w:pPr>
              <w:pStyle w:val="2"/>
              <w:numPr>
                <w:ilvl w:val="0"/>
                <w:numId w:val="0"/>
              </w:numPr>
              <w:jc w:val="left"/>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工作对象范围：包括但不限于如遥控器（包含玩具遥控器，汽车遥控器、各类无人机及其他民用遥控器）、寻呼机（包含BP机，114电台）、对讲机、2G手机（GSM900、DCS1800）、CDMA800手机、PHS手机(小灵通)、3G手机（CDMA2000、WCDMA、TD-SCDMA）、4G手机（TD-LTE和FDD-LTE）、5G手机、模拟和数字无绳电话、无线局域网（WLAN）、蓝牙、WI-FI、海事卫星、无线传声器、通过无线传输的密拍密录设备、Aces卫星、Thuraya卫星及业余无线电设备等；</w:t>
            </w:r>
          </w:p>
          <w:p>
            <w:pPr>
              <w:pStyle w:val="2"/>
              <w:numPr>
                <w:ilvl w:val="0"/>
                <w:numId w:val="0"/>
              </w:numPr>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0"/>
                <w:sz w:val="24"/>
                <w:szCs w:val="24"/>
                <w:highlight w:val="none"/>
                <w:lang w:val="en-US" w:eastAsia="zh-CN" w:bidi="ar"/>
              </w:rPr>
              <w:t>11.</w:t>
            </w:r>
            <w:r>
              <w:rPr>
                <w:rFonts w:hint="eastAsia" w:ascii="宋体" w:hAnsi="宋体" w:eastAsia="宋体" w:cs="宋体"/>
                <w:color w:val="auto"/>
                <w:sz w:val="24"/>
                <w:szCs w:val="24"/>
                <w:highlight w:val="none"/>
                <w:vertAlign w:val="baseline"/>
              </w:rPr>
              <w:t>▲</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lang w:val="en-US" w:eastAsia="zh-CN"/>
              </w:rPr>
              <w:t>提供《公安部安全与警用电子产品质量检测中心》出具的检测报告</w:t>
            </w:r>
            <w:r>
              <w:rPr>
                <w:rFonts w:hint="eastAsia" w:ascii="宋体" w:hAnsi="宋体" w:cs="宋体"/>
                <w:color w:val="auto"/>
                <w:sz w:val="24"/>
                <w:szCs w:val="24"/>
                <w:highlight w:val="none"/>
                <w:vertAlign w:val="baseline"/>
                <w:lang w:val="en-US" w:eastAsia="zh-CN"/>
              </w:rPr>
              <w:t>或国家认可的第三方检测机构的检测报告复印件加</w:t>
            </w:r>
            <w:r>
              <w:rPr>
                <w:rFonts w:hint="eastAsia" w:ascii="宋体" w:hAnsi="宋体" w:eastAsia="宋体" w:cs="宋体"/>
                <w:color w:val="auto"/>
                <w:sz w:val="24"/>
                <w:szCs w:val="24"/>
                <w:highlight w:val="none"/>
                <w:lang w:val="en-US" w:eastAsia="zh-CN"/>
              </w:rPr>
              <w:t>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1030"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节点探测仪</w:t>
            </w:r>
          </w:p>
        </w:tc>
        <w:tc>
          <w:tcPr>
            <w:tcW w:w="8400" w:type="dxa"/>
            <w:noWrap w:val="0"/>
            <w:vAlign w:val="center"/>
          </w:tcPr>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1.发射功率：0.05W-1W区间范围内可调；支持手动和自动调节；</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2.数据显示：具备液晶屏显示功能；可直观提示检测到的电子产品或金属氧化物；具备声音和震动报警功能；</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3.操作界面：中文；</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4.发射频率：2.404GHz～2.472GHz区间可调；</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5.接收机灵敏度：≦-140dBm；</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6.接收机动态范围：≦80dB；</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7.声音告警提醒声级≥70dB(A)；</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8.▲</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rPr>
              <w:t>探测距离：≥6米；为产品质量检测中心认证的C级产品（</w:t>
            </w:r>
            <w:r>
              <w:rPr>
                <w:rFonts w:hint="eastAsia" w:ascii="宋体" w:hAnsi="宋体" w:eastAsia="宋体" w:cs="宋体"/>
                <w:color w:val="auto"/>
                <w:sz w:val="24"/>
                <w:szCs w:val="24"/>
                <w:highlight w:val="none"/>
                <w:vertAlign w:val="baseline"/>
                <w:lang w:eastAsia="zh-CN"/>
              </w:rPr>
              <w:t>提供</w:t>
            </w:r>
            <w:r>
              <w:rPr>
                <w:rFonts w:hint="eastAsia" w:ascii="宋体" w:hAnsi="宋体" w:eastAsia="宋体" w:cs="宋体"/>
                <w:color w:val="auto"/>
                <w:sz w:val="24"/>
                <w:szCs w:val="24"/>
                <w:highlight w:val="none"/>
                <w:vertAlign w:val="baseline"/>
              </w:rPr>
              <w:t>检验报告</w:t>
            </w:r>
            <w:r>
              <w:rPr>
                <w:rFonts w:hint="eastAsia" w:ascii="宋体" w:hAnsi="宋体" w:eastAsia="宋体" w:cs="宋体"/>
                <w:color w:val="auto"/>
                <w:sz w:val="24"/>
                <w:szCs w:val="24"/>
                <w:highlight w:val="none"/>
                <w:vertAlign w:val="baseline"/>
                <w:lang w:eastAsia="zh-CN"/>
              </w:rPr>
              <w:t>证明</w:t>
            </w:r>
            <w:r>
              <w:rPr>
                <w:rFonts w:hint="eastAsia" w:ascii="宋体" w:hAnsi="宋体" w:eastAsia="宋体" w:cs="宋体"/>
                <w:color w:val="auto"/>
                <w:sz w:val="24"/>
                <w:szCs w:val="24"/>
                <w:highlight w:val="none"/>
                <w:vertAlign w:val="baseline"/>
              </w:rPr>
              <w:t>）；</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9.信号穿透能力≥350mm的砖墙；</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10.提供备电2块；每块工作时间≥4小时；</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11.外壳防护等级：IP42及以上；</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12.稳定性：在正常工作条件下，非线性结点探测器应能连续工作≧168小时；</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13.▲</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sz w:val="24"/>
                <w:szCs w:val="24"/>
                <w:highlight w:val="none"/>
                <w:vertAlign w:val="baseline"/>
              </w:rPr>
              <w:t>设备工作温度：适用于极端天气和复杂环境，可在-10℃～55℃正常工作（</w:t>
            </w:r>
            <w:r>
              <w:rPr>
                <w:rFonts w:hint="eastAsia" w:ascii="宋体" w:hAnsi="宋体" w:eastAsia="宋体" w:cs="宋体"/>
                <w:color w:val="auto"/>
                <w:sz w:val="24"/>
                <w:szCs w:val="24"/>
                <w:highlight w:val="none"/>
                <w:vertAlign w:val="baseline"/>
                <w:lang w:eastAsia="zh-CN"/>
              </w:rPr>
              <w:t>提供</w:t>
            </w:r>
            <w:r>
              <w:rPr>
                <w:rFonts w:hint="eastAsia" w:ascii="宋体" w:hAnsi="宋体" w:eastAsia="宋体" w:cs="宋体"/>
                <w:color w:val="auto"/>
                <w:sz w:val="24"/>
                <w:szCs w:val="24"/>
                <w:highlight w:val="none"/>
                <w:vertAlign w:val="baseline"/>
              </w:rPr>
              <w:t>检验报告</w:t>
            </w:r>
            <w:r>
              <w:rPr>
                <w:rFonts w:hint="eastAsia" w:ascii="宋体" w:hAnsi="宋体" w:eastAsia="宋体" w:cs="宋体"/>
                <w:color w:val="auto"/>
                <w:sz w:val="24"/>
                <w:szCs w:val="24"/>
                <w:highlight w:val="none"/>
                <w:vertAlign w:val="baseline"/>
                <w:lang w:eastAsia="zh-CN"/>
              </w:rPr>
              <w:t>证明</w:t>
            </w:r>
            <w:r>
              <w:rPr>
                <w:rFonts w:hint="eastAsia" w:ascii="宋体" w:hAnsi="宋体" w:eastAsia="宋体" w:cs="宋体"/>
                <w:color w:val="auto"/>
                <w:sz w:val="24"/>
                <w:szCs w:val="24"/>
                <w:highlight w:val="none"/>
                <w:vertAlign w:val="baseline"/>
              </w:rPr>
              <w:t>）；</w:t>
            </w:r>
          </w:p>
          <w:p>
            <w:pPr>
              <w:pStyle w:val="2"/>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14.▲</w:t>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rPr>
              <w:t>提供公安部门权威检测机构检验报告复印件或国家认可的第三方检测机构的检测报告复印件加盖公章。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1030"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排爆机械手</w:t>
            </w:r>
          </w:p>
        </w:tc>
        <w:tc>
          <w:tcPr>
            <w:tcW w:w="8400" w:type="dxa"/>
            <w:noWrap w:val="0"/>
            <w:vAlign w:val="center"/>
          </w:tcPr>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1.材质：高强度铝合金和碳纤维连接杆；</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2.结构：采用模块化设计，触点连接，整套设备无裸露线缆；</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3.旋转要求：具备三个自由度控制，可实现360度旋转；</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4.便携箱紧凑设计，组装快捷方便；</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5.操作长度(安全距离):≥300cm；</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6.系统重量：≤35kg；</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7.续航时间：持续不间断工作≥120分钟；</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8.最大抓起重量：≥6.8kg；</w:t>
            </w:r>
          </w:p>
          <w:p>
            <w:pPr>
              <w:snapToGrid w:val="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9.最大抓力：≥18kg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1030" w:type="dxa"/>
            <w:noWrap w:val="0"/>
            <w:vAlign w:val="center"/>
          </w:tcPr>
          <w:p>
            <w:pPr>
              <w:snapToGrid w:val="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爆炸物销毁器</w:t>
            </w:r>
          </w:p>
        </w:tc>
        <w:tc>
          <w:tcPr>
            <w:tcW w:w="8400" w:type="dxa"/>
            <w:noWrap w:val="0"/>
            <w:vAlign w:val="center"/>
          </w:tcPr>
          <w:p>
            <w:pPr>
              <w:numPr>
                <w:ilvl w:val="0"/>
                <w:numId w:val="5"/>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发射管口径：</w:t>
            </w:r>
            <w:r>
              <w:rPr>
                <w:rFonts w:hint="eastAsia" w:ascii="宋体" w:hAnsi="宋体" w:eastAsia="宋体" w:cs="宋体"/>
                <w:color w:val="auto"/>
                <w:kern w:val="0"/>
                <w:sz w:val="24"/>
                <w:szCs w:val="24"/>
                <w:highlight w:val="none"/>
                <w:lang w:val="en-US" w:eastAsia="zh-CN" w:bidi="ar"/>
              </w:rPr>
              <w:t>42</w:t>
            </w:r>
            <w:r>
              <w:rPr>
                <w:rFonts w:hint="eastAsia" w:ascii="宋体" w:hAnsi="宋体" w:eastAsia="宋体" w:cs="宋体"/>
                <w:color w:val="auto"/>
                <w:kern w:val="0"/>
                <w:sz w:val="24"/>
                <w:szCs w:val="24"/>
                <w:highlight w:val="none"/>
                <w:lang w:bidi="ar"/>
              </w:rPr>
              <w:t>mm；</w:t>
            </w:r>
          </w:p>
          <w:p>
            <w:pPr>
              <w:numPr>
                <w:ilvl w:val="0"/>
                <w:numId w:val="5"/>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bidi="ar"/>
              </w:rPr>
              <w:t>产品重量：≤7kg；</w:t>
            </w:r>
          </w:p>
          <w:p>
            <w:pPr>
              <w:numPr>
                <w:ilvl w:val="0"/>
                <w:numId w:val="5"/>
              </w:numPr>
              <w:jc w:val="left"/>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
              </w:rPr>
              <w:t>材质：钢、碳纤维复合材料</w:t>
            </w:r>
            <w:r>
              <w:rPr>
                <w:rFonts w:hint="eastAsia" w:ascii="宋体" w:hAnsi="宋体" w:cs="宋体"/>
                <w:color w:val="auto"/>
                <w:kern w:val="0"/>
                <w:sz w:val="24"/>
                <w:szCs w:val="24"/>
                <w:highlight w:val="none"/>
                <w:lang w:val="en-US" w:eastAsia="zh-CN" w:bidi="ar"/>
              </w:rPr>
              <w:t>，或钛合金材质</w:t>
            </w:r>
            <w:r>
              <w:rPr>
                <w:rFonts w:hint="eastAsia" w:ascii="宋体" w:hAnsi="宋体" w:eastAsia="宋体" w:cs="宋体"/>
                <w:color w:val="auto"/>
                <w:kern w:val="0"/>
                <w:sz w:val="24"/>
                <w:szCs w:val="24"/>
                <w:highlight w:val="none"/>
                <w:lang w:val="en-US" w:eastAsia="zh-CN" w:bidi="ar"/>
              </w:rPr>
              <w:t>；</w:t>
            </w:r>
          </w:p>
          <w:p>
            <w:pPr>
              <w:numPr>
                <w:ilvl w:val="0"/>
                <w:numId w:val="5"/>
              </w:numPr>
              <w:jc w:val="left"/>
              <w:textAlignment w:val="center"/>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发火仪输出电压：≥300V；输出能量：≥1.7J；具有电阻、电压测量及显示功能；</w:t>
            </w:r>
          </w:p>
          <w:p>
            <w:pPr>
              <w:numPr>
                <w:ilvl w:val="0"/>
                <w:numId w:val="0"/>
              </w:numPr>
              <w:jc w:val="left"/>
              <w:textAlignment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bidi="ar"/>
              </w:rPr>
              <w:t>发射药筒电点火头电阻：≤3Ω；安全电流：50mA，通电5min不发火；发火电流：400mA，通电时可靠发火；静电放电敏感度：≥2.5KV，不应有误点火现象；</w:t>
            </w:r>
          </w:p>
          <w:p>
            <w:pPr>
              <w:numPr>
                <w:ilvl w:val="0"/>
                <w:numId w:val="0"/>
              </w:numPr>
              <w:jc w:val="left"/>
              <w:textAlignment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6.</w:t>
            </w:r>
            <w:r>
              <w:rPr>
                <w:rFonts w:hint="eastAsia" w:ascii="宋体" w:hAnsi="宋体" w:eastAsia="宋体" w:cs="宋体"/>
                <w:color w:val="auto"/>
                <w:kern w:val="0"/>
                <w:sz w:val="24"/>
                <w:szCs w:val="24"/>
                <w:highlight w:val="none"/>
                <w:lang w:bidi="ar"/>
              </w:rPr>
              <w:t>解体性能</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可穿透≥</w:t>
            </w:r>
            <w:r>
              <w:rPr>
                <w:rFonts w:hint="eastAsia" w:ascii="宋体" w:hAnsi="宋体" w:eastAsia="宋体" w:cs="宋体"/>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bidi="ar"/>
              </w:rPr>
              <w:t>0mm松木板；可穿透≥1.5</w:t>
            </w:r>
            <w:r>
              <w:rPr>
                <w:rFonts w:hint="eastAsia" w:ascii="宋体" w:hAnsi="宋体" w:eastAsia="宋体" w:cs="宋体"/>
                <w:color w:val="auto"/>
                <w:kern w:val="0"/>
                <w:sz w:val="24"/>
                <w:szCs w:val="24"/>
                <w:highlight w:val="none"/>
                <w:lang w:val="en-US" w:eastAsia="zh-CN" w:bidi="ar"/>
              </w:rPr>
              <w:t>mm</w:t>
            </w:r>
            <w:r>
              <w:rPr>
                <w:rFonts w:hint="eastAsia" w:ascii="宋体" w:hAnsi="宋体" w:eastAsia="宋体" w:cs="宋体"/>
                <w:color w:val="auto"/>
                <w:kern w:val="0"/>
                <w:sz w:val="24"/>
                <w:szCs w:val="24"/>
                <w:highlight w:val="none"/>
                <w:lang w:bidi="ar"/>
              </w:rPr>
              <w:t>钢板；</w:t>
            </w:r>
          </w:p>
          <w:p>
            <w:pPr>
              <w:numPr>
                <w:ilvl w:val="0"/>
                <w:numId w:val="0"/>
              </w:numPr>
              <w:jc w:val="left"/>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 xml:space="preserve">7. </w:t>
            </w:r>
            <w:r>
              <w:rPr>
                <w:rFonts w:hint="eastAsia" w:ascii="宋体" w:hAnsi="宋体" w:eastAsia="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bidi="ar"/>
              </w:rPr>
              <w:t>提供中国兵器装备集团兵器装备研究所测试试验中心、中国兵器装备特种产品质量监督检测中心出具的检测报告复印件加盖公章备查或提供公安部门权威检测机构检验报告复印件加盖公章。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6</w:t>
            </w:r>
          </w:p>
        </w:tc>
        <w:tc>
          <w:tcPr>
            <w:tcW w:w="1030"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无磁探针</w:t>
            </w:r>
          </w:p>
        </w:tc>
        <w:tc>
          <w:tcPr>
            <w:tcW w:w="8400" w:type="dxa"/>
            <w:noWrap w:val="0"/>
            <w:vAlign w:val="center"/>
          </w:tcPr>
          <w:p>
            <w:pPr>
              <w:pStyle w:val="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1.材质：铍青铜；</w:t>
            </w:r>
          </w:p>
          <w:p>
            <w:pPr>
              <w:pStyle w:val="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2.结构：组合式结构；探针部分≥300mm</w:t>
            </w:r>
          </w:p>
          <w:p>
            <w:pPr>
              <w:pStyle w:val="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3.手柄要求：采用无磁材质；</w:t>
            </w:r>
          </w:p>
          <w:p>
            <w:pPr>
              <w:pStyle w:val="2"/>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4.与金属撞击不会产生火花；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pStyle w:val="2"/>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7</w:t>
            </w:r>
          </w:p>
        </w:tc>
        <w:tc>
          <w:tcPr>
            <w:tcW w:w="1030" w:type="dxa"/>
            <w:noWrap w:val="0"/>
            <w:vAlign w:val="center"/>
          </w:tcPr>
          <w:p>
            <w:pPr>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伸缩臂镜</w:t>
            </w:r>
          </w:p>
        </w:tc>
        <w:tc>
          <w:tcPr>
            <w:tcW w:w="8400" w:type="dxa"/>
            <w:noWrap w:val="0"/>
            <w:vAlign w:val="center"/>
          </w:tcPr>
          <w:p>
            <w:pPr>
              <w:pStyle w:val="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1.工作长度：700-1600mm，长度可因工作要求进行调节；</w:t>
            </w:r>
          </w:p>
          <w:p>
            <w:pPr>
              <w:pStyle w:val="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2.镜面直径：≥150mm；</w:t>
            </w:r>
          </w:p>
          <w:p>
            <w:pPr>
              <w:pStyle w:val="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3.镜面结构：凸型反光镜面；</w:t>
            </w:r>
          </w:p>
          <w:p>
            <w:pPr>
              <w:pStyle w:val="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4.光源：LED强光灯</w:t>
            </w:r>
          </w:p>
          <w:p>
            <w:pPr>
              <w:pStyle w:val="2"/>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5.电池供电方式：电池供电，持续工作时间可达7小时以上</w:t>
            </w:r>
          </w:p>
        </w:tc>
      </w:tr>
    </w:tbl>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color w:val="auto"/>
          <w:sz w:val="24"/>
          <w:szCs w:val="24"/>
          <w:highlight w:val="none"/>
          <w:lang w:val="en-US" w:eastAsia="zh-CN"/>
        </w:rPr>
      </w:pPr>
    </w:p>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注：以上“</w:t>
      </w:r>
      <w:r>
        <w:rPr>
          <w:rFonts w:hint="eastAsia" w:ascii="宋体" w:hAnsi="宋体" w:eastAsia="宋体" w:cs="宋体"/>
          <w:color w:val="auto"/>
          <w:kern w:val="0"/>
          <w:sz w:val="24"/>
          <w:szCs w:val="24"/>
          <w:highlight w:val="none"/>
          <w:lang w:bidi="ar"/>
        </w:rPr>
        <w:t>▲</w:t>
      </w:r>
      <w:r>
        <w:rPr>
          <w:rFonts w:hint="eastAsia"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项不满足为扣分处理。</w:t>
      </w:r>
    </w:p>
    <w:p>
      <w:pPr>
        <w:spacing w:after="120" w:line="440" w:lineRule="exact"/>
        <w:rPr>
          <w:b/>
          <w:color w:val="auto"/>
          <w:sz w:val="24"/>
          <w:szCs w:val="24"/>
          <w:highlight w:val="none"/>
        </w:rPr>
      </w:pPr>
    </w:p>
    <w:p>
      <w:pPr>
        <w:pStyle w:val="6"/>
        <w:keepNext w:val="0"/>
        <w:keepLines w:val="0"/>
        <w:pageBreakBefore w:val="0"/>
        <w:widowControl w:val="0"/>
        <w:numPr>
          <w:ilvl w:val="0"/>
          <w:numId w:val="1"/>
        </w:numPr>
        <w:kinsoku/>
        <w:wordWrap/>
        <w:overflowPunct/>
        <w:topLinePunct w:val="0"/>
        <w:autoSpaceDE/>
        <w:autoSpaceDN/>
        <w:bidi w:val="0"/>
        <w:adjustRightInd/>
        <w:snapToGrid/>
        <w:jc w:val="center"/>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商务要求</w:t>
      </w:r>
      <w:r>
        <w:rPr>
          <w:rFonts w:hint="eastAsia" w:ascii="宋体" w:hAnsi="宋体" w:eastAsia="宋体" w:cs="宋体"/>
          <w:b/>
          <w:bCs/>
          <w:color w:val="auto"/>
          <w:kern w:val="2"/>
          <w:sz w:val="30"/>
          <w:szCs w:val="30"/>
          <w:highlight w:val="none"/>
          <w:lang w:val="en-US" w:eastAsia="zh-CN" w:bidi="ar-SA"/>
        </w:rPr>
        <w:t>（</w:t>
      </w:r>
      <w:r>
        <w:rPr>
          <w:rFonts w:hint="eastAsia" w:ascii="宋体" w:hAnsi="宋体" w:eastAsia="宋体" w:cs="宋体"/>
          <w:b/>
          <w:bCs/>
          <w:color w:val="auto"/>
          <w:kern w:val="2"/>
          <w:sz w:val="24"/>
          <w:szCs w:val="24"/>
          <w:highlight w:val="none"/>
          <w:lang w:val="en-US" w:eastAsia="zh-CN" w:bidi="ar-SA"/>
        </w:rPr>
        <w:t>实质性要求，不满足为废标处理）</w:t>
      </w:r>
    </w:p>
    <w:p>
      <w:pPr>
        <w:pStyle w:val="2"/>
        <w:rPr>
          <w:rFonts w:hint="default"/>
          <w:color w:val="auto"/>
          <w:sz w:val="24"/>
          <w:szCs w:val="24"/>
          <w:highlight w:val="none"/>
          <w:lang w:val="en-US" w:eastAsia="zh-CN"/>
        </w:rPr>
      </w:pPr>
      <w:r>
        <w:rPr>
          <w:rFonts w:hint="default"/>
          <w:b/>
          <w:bCs/>
          <w:color w:val="auto"/>
          <w:sz w:val="24"/>
          <w:szCs w:val="24"/>
          <w:highlight w:val="none"/>
          <w:lang w:val="en-US" w:eastAsia="zh-CN"/>
        </w:rPr>
        <w:t>1、交货时间：</w:t>
      </w:r>
      <w:r>
        <w:rPr>
          <w:rFonts w:hint="default"/>
          <w:color w:val="auto"/>
          <w:sz w:val="24"/>
          <w:szCs w:val="24"/>
          <w:highlight w:val="none"/>
          <w:lang w:val="en-US" w:eastAsia="zh-CN"/>
        </w:rPr>
        <w:t>签订合同后60个工作日内完成交货及验收</w:t>
      </w:r>
    </w:p>
    <w:p>
      <w:pPr>
        <w:pStyle w:val="2"/>
        <w:rPr>
          <w:rFonts w:hint="default"/>
          <w:color w:val="auto"/>
          <w:sz w:val="24"/>
          <w:szCs w:val="24"/>
          <w:highlight w:val="none"/>
          <w:lang w:val="en-US" w:eastAsia="zh-CN"/>
        </w:rPr>
      </w:pPr>
      <w:r>
        <w:rPr>
          <w:rFonts w:hint="default"/>
          <w:b/>
          <w:bCs/>
          <w:color w:val="auto"/>
          <w:sz w:val="24"/>
          <w:szCs w:val="24"/>
          <w:highlight w:val="none"/>
          <w:lang w:val="en-US" w:eastAsia="zh-CN"/>
        </w:rPr>
        <w:t>2、交货地点：</w:t>
      </w:r>
      <w:r>
        <w:rPr>
          <w:rFonts w:hint="default"/>
          <w:color w:val="auto"/>
          <w:sz w:val="24"/>
          <w:szCs w:val="24"/>
          <w:highlight w:val="none"/>
          <w:lang w:val="en-US" w:eastAsia="zh-CN"/>
        </w:rPr>
        <w:t xml:space="preserve">成都市公安局特警支队 </w:t>
      </w:r>
    </w:p>
    <w:p>
      <w:pPr>
        <w:pStyle w:val="2"/>
        <w:rPr>
          <w:rFonts w:hint="default"/>
          <w:b w:val="0"/>
          <w:bCs w:val="0"/>
          <w:color w:val="auto"/>
          <w:sz w:val="24"/>
          <w:szCs w:val="24"/>
          <w:highlight w:val="none"/>
          <w:lang w:val="en-US" w:eastAsia="zh-CN"/>
        </w:rPr>
      </w:pPr>
      <w:r>
        <w:rPr>
          <w:rFonts w:hint="default"/>
          <w:b/>
          <w:bCs/>
          <w:color w:val="auto"/>
          <w:sz w:val="24"/>
          <w:szCs w:val="24"/>
          <w:highlight w:val="none"/>
          <w:lang w:val="en-US" w:eastAsia="zh-CN"/>
        </w:rPr>
        <w:t>3、付款方式：</w:t>
      </w:r>
      <w:r>
        <w:rPr>
          <w:rFonts w:hint="default"/>
          <w:color w:val="auto"/>
          <w:sz w:val="24"/>
          <w:szCs w:val="24"/>
          <w:highlight w:val="none"/>
          <w:lang w:val="en-US" w:eastAsia="zh-CN"/>
        </w:rPr>
        <w:t>签订合同前，</w:t>
      </w:r>
      <w:r>
        <w:rPr>
          <w:rFonts w:hint="eastAsia"/>
          <w:color w:val="auto"/>
          <w:sz w:val="24"/>
          <w:szCs w:val="24"/>
          <w:highlight w:val="none"/>
          <w:lang w:val="en-US" w:eastAsia="zh-CN"/>
        </w:rPr>
        <w:t>中标</w:t>
      </w:r>
      <w:r>
        <w:rPr>
          <w:rFonts w:hint="default"/>
          <w:color w:val="auto"/>
          <w:sz w:val="24"/>
          <w:szCs w:val="24"/>
          <w:highlight w:val="none"/>
          <w:lang w:val="en-US" w:eastAsia="zh-CN"/>
        </w:rPr>
        <w:t>人缴纳合同金额10%的履约保证金到成都市公安局账户，验收合格满</w:t>
      </w:r>
      <w:r>
        <w:rPr>
          <w:rFonts w:hint="eastAsia"/>
          <w:color w:val="auto"/>
          <w:sz w:val="24"/>
          <w:szCs w:val="24"/>
          <w:highlight w:val="none"/>
          <w:lang w:val="en-US" w:eastAsia="zh-CN"/>
        </w:rPr>
        <w:t>二</w:t>
      </w:r>
      <w:r>
        <w:rPr>
          <w:rFonts w:hint="default"/>
          <w:color w:val="auto"/>
          <w:sz w:val="24"/>
          <w:szCs w:val="24"/>
          <w:highlight w:val="none"/>
          <w:lang w:val="en-US" w:eastAsia="zh-CN"/>
        </w:rPr>
        <w:t>年后无息退还。</w:t>
      </w:r>
      <w:r>
        <w:rPr>
          <w:rFonts w:hint="default"/>
          <w:b w:val="0"/>
          <w:bCs w:val="0"/>
          <w:color w:val="auto"/>
          <w:sz w:val="24"/>
          <w:szCs w:val="24"/>
          <w:highlight w:val="none"/>
          <w:lang w:val="en-US" w:eastAsia="zh-CN"/>
        </w:rPr>
        <w:t>验收合格后，采购人通知中标人开具增值税普通发票</w:t>
      </w:r>
      <w:r>
        <w:rPr>
          <w:rFonts w:hint="eastAsia"/>
          <w:b w:val="0"/>
          <w:bCs w:val="0"/>
          <w:color w:val="auto"/>
          <w:sz w:val="24"/>
          <w:szCs w:val="24"/>
          <w:highlight w:val="none"/>
          <w:lang w:val="en-US" w:eastAsia="zh-CN"/>
        </w:rPr>
        <w:t>以后</w:t>
      </w:r>
      <w:r>
        <w:rPr>
          <w:rFonts w:hint="default"/>
          <w:b w:val="0"/>
          <w:bCs w:val="0"/>
          <w:color w:val="auto"/>
          <w:sz w:val="24"/>
          <w:szCs w:val="24"/>
          <w:highlight w:val="none"/>
          <w:lang w:val="en-US" w:eastAsia="zh-CN"/>
        </w:rPr>
        <w:t>在15日内付清货款。</w:t>
      </w:r>
    </w:p>
    <w:p>
      <w:pPr>
        <w:pStyle w:val="2"/>
        <w:rPr>
          <w:rFonts w:hint="default"/>
          <w:b w:val="0"/>
          <w:bCs w:val="0"/>
          <w:color w:val="auto"/>
          <w:sz w:val="24"/>
          <w:szCs w:val="24"/>
          <w:highlight w:val="none"/>
          <w:lang w:val="en-US" w:eastAsia="zh-CN"/>
        </w:rPr>
      </w:pPr>
      <w:r>
        <w:rPr>
          <w:rFonts w:hint="default"/>
          <w:b/>
          <w:bCs/>
          <w:color w:val="auto"/>
          <w:sz w:val="24"/>
          <w:szCs w:val="24"/>
          <w:highlight w:val="none"/>
          <w:lang w:val="en-US" w:eastAsia="zh-CN"/>
        </w:rPr>
        <w:t>4. 质量要求：</w:t>
      </w:r>
      <w:r>
        <w:rPr>
          <w:rFonts w:hint="default"/>
          <w:b w:val="0"/>
          <w:bCs w:val="0"/>
          <w:color w:val="auto"/>
          <w:sz w:val="24"/>
          <w:szCs w:val="24"/>
          <w:highlight w:val="none"/>
          <w:lang w:val="en-US" w:eastAsia="zh-CN"/>
        </w:rPr>
        <w:t>中标人提供的货物(包括零部件)必须为在售全新仪器，不得为停产型号或翻新机，具有稳定性、可靠性、安全性，并完全符合国家、行业规定的质量、规格和性能要求等技术标准。</w:t>
      </w:r>
    </w:p>
    <w:p>
      <w:pPr>
        <w:pStyle w:val="2"/>
        <w:rPr>
          <w:rFonts w:hint="default"/>
          <w:color w:val="auto"/>
          <w:sz w:val="24"/>
          <w:szCs w:val="24"/>
          <w:highlight w:val="none"/>
          <w:lang w:val="en-US" w:eastAsia="zh-CN"/>
        </w:rPr>
      </w:pPr>
      <w:r>
        <w:rPr>
          <w:rFonts w:hint="eastAsia"/>
          <w:b/>
          <w:bCs/>
          <w:color w:val="auto"/>
          <w:sz w:val="24"/>
          <w:szCs w:val="24"/>
          <w:highlight w:val="none"/>
          <w:lang w:val="en-US" w:eastAsia="zh-CN"/>
        </w:rPr>
        <w:t>5</w:t>
      </w:r>
      <w:r>
        <w:rPr>
          <w:rFonts w:hint="default"/>
          <w:b/>
          <w:bCs/>
          <w:color w:val="auto"/>
          <w:sz w:val="24"/>
          <w:szCs w:val="24"/>
          <w:highlight w:val="none"/>
          <w:lang w:val="en-US" w:eastAsia="zh-CN"/>
        </w:rPr>
        <w:t>、质保期：</w:t>
      </w:r>
      <w:r>
        <w:rPr>
          <w:rFonts w:hint="default"/>
          <w:color w:val="auto"/>
          <w:sz w:val="24"/>
          <w:szCs w:val="24"/>
          <w:highlight w:val="none"/>
          <w:lang w:val="en-US" w:eastAsia="zh-CN"/>
        </w:rPr>
        <w:t>验收合格之日起2年。</w:t>
      </w:r>
    </w:p>
    <w:p>
      <w:pPr>
        <w:pStyle w:val="2"/>
        <w:rPr>
          <w:rFonts w:hint="default"/>
          <w:b/>
          <w:bCs/>
          <w:color w:val="auto"/>
          <w:sz w:val="24"/>
          <w:szCs w:val="24"/>
          <w:highlight w:val="none"/>
          <w:lang w:val="en-US" w:eastAsia="zh-CN"/>
        </w:rPr>
      </w:pPr>
      <w:r>
        <w:rPr>
          <w:rFonts w:hint="eastAsia"/>
          <w:b/>
          <w:bCs/>
          <w:color w:val="auto"/>
          <w:sz w:val="24"/>
          <w:szCs w:val="24"/>
          <w:highlight w:val="none"/>
          <w:lang w:val="en-US" w:eastAsia="zh-CN"/>
        </w:rPr>
        <w:t>6</w:t>
      </w:r>
      <w:r>
        <w:rPr>
          <w:rFonts w:hint="default"/>
          <w:b/>
          <w:bCs/>
          <w:color w:val="auto"/>
          <w:sz w:val="24"/>
          <w:szCs w:val="24"/>
          <w:highlight w:val="none"/>
          <w:lang w:val="en-US" w:eastAsia="zh-CN"/>
        </w:rPr>
        <w:t xml:space="preserve">、售后服务 </w:t>
      </w:r>
    </w:p>
    <w:p>
      <w:pPr>
        <w:pStyle w:val="2"/>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6.1</w:t>
      </w:r>
      <w:r>
        <w:rPr>
          <w:rFonts w:hint="default"/>
          <w:color w:val="auto"/>
          <w:sz w:val="24"/>
          <w:szCs w:val="24"/>
          <w:highlight w:val="none"/>
          <w:lang w:val="en-US" w:eastAsia="zh-CN"/>
        </w:rPr>
        <w:t xml:space="preserve">供应商应有完善的技术支持与服务体系，并能提供本地化服务。 </w:t>
      </w:r>
    </w:p>
    <w:p>
      <w:pPr>
        <w:pStyle w:val="2"/>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6.2</w:t>
      </w:r>
      <w:r>
        <w:rPr>
          <w:rFonts w:hint="default"/>
          <w:color w:val="auto"/>
          <w:sz w:val="24"/>
          <w:szCs w:val="24"/>
          <w:highlight w:val="none"/>
          <w:lang w:val="en-US" w:eastAsia="zh-CN"/>
        </w:rPr>
        <w:t xml:space="preserve">提供 7×24 小时的技术支持服务。接到采购人系统故障报修应4小时内响应，6小时内到达现场，12小时内不能排除故障的应提供备用机，以保证系统的正常运转。 </w:t>
      </w:r>
    </w:p>
    <w:p>
      <w:pPr>
        <w:pStyle w:val="2"/>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6.3</w:t>
      </w:r>
      <w:r>
        <w:rPr>
          <w:rFonts w:hint="default"/>
          <w:color w:val="auto"/>
          <w:sz w:val="24"/>
          <w:szCs w:val="24"/>
          <w:highlight w:val="none"/>
          <w:lang w:val="en-US" w:eastAsia="zh-CN"/>
        </w:rPr>
        <w:t xml:space="preserve">故障问题解决后24 小时内，应向采购人提交问题处理报告，说明问题种类、问题原因、问题解决中使用的方法及造成的损失等情况。 </w:t>
      </w:r>
    </w:p>
    <w:p>
      <w:pPr>
        <w:pStyle w:val="2"/>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6.4</w:t>
      </w:r>
      <w:r>
        <w:rPr>
          <w:rFonts w:hint="default"/>
          <w:color w:val="auto"/>
          <w:sz w:val="24"/>
          <w:szCs w:val="24"/>
          <w:highlight w:val="none"/>
          <w:lang w:val="en-US" w:eastAsia="zh-CN"/>
        </w:rPr>
        <w:t xml:space="preserve">在质保期内，供应商对所投产品提供每年不少于 6 次的巡检和维护保养。当采购人有重要活动时，供应商应当提供现场技术保障服务。 </w:t>
      </w:r>
    </w:p>
    <w:p>
      <w:pPr>
        <w:pStyle w:val="2"/>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6.5</w:t>
      </w:r>
      <w:r>
        <w:rPr>
          <w:rFonts w:hint="default"/>
          <w:color w:val="auto"/>
          <w:sz w:val="24"/>
          <w:szCs w:val="24"/>
          <w:highlight w:val="none"/>
          <w:lang w:val="en-US" w:eastAsia="zh-CN"/>
        </w:rPr>
        <w:t xml:space="preserve">供应商在质保期内，项目全部货物的各种部件均保证齐备、充足供应，若因货物升级更新等原因不能保障供应造成采购人损失的，供应商承担全部赔偿责任。 </w:t>
      </w:r>
    </w:p>
    <w:p>
      <w:pPr>
        <w:pStyle w:val="2"/>
        <w:ind w:firstLine="240" w:firstLineChars="100"/>
        <w:rPr>
          <w:rFonts w:hint="default"/>
          <w:color w:val="auto"/>
          <w:sz w:val="24"/>
          <w:szCs w:val="24"/>
          <w:highlight w:val="none"/>
          <w:lang w:val="en-US" w:eastAsia="zh-CN"/>
        </w:rPr>
      </w:pPr>
      <w:r>
        <w:rPr>
          <w:rFonts w:hint="eastAsia"/>
          <w:color w:val="auto"/>
          <w:sz w:val="24"/>
          <w:szCs w:val="24"/>
          <w:highlight w:val="none"/>
          <w:lang w:val="en-US" w:eastAsia="zh-CN"/>
        </w:rPr>
        <w:t>6.6</w:t>
      </w:r>
      <w:r>
        <w:rPr>
          <w:rFonts w:hint="default"/>
          <w:color w:val="auto"/>
          <w:sz w:val="24"/>
          <w:szCs w:val="24"/>
          <w:highlight w:val="none"/>
          <w:lang w:val="en-US" w:eastAsia="zh-CN"/>
        </w:rPr>
        <w:t>为确保本项目采购设备售后服务稳定可靠，投标时供应商承诺中标后与采购人签订合同前，中标人必须提供生产厂家针对该项目售后服务承诺函原件。</w:t>
      </w:r>
    </w:p>
    <w:p>
      <w:pPr>
        <w:pStyle w:val="2"/>
        <w:rPr>
          <w:rFonts w:hint="default"/>
          <w:b/>
          <w:bCs/>
          <w:color w:val="auto"/>
          <w:sz w:val="24"/>
          <w:szCs w:val="24"/>
          <w:highlight w:val="none"/>
          <w:lang w:val="en-US" w:eastAsia="zh-CN"/>
        </w:rPr>
      </w:pPr>
      <w:r>
        <w:rPr>
          <w:rFonts w:hint="eastAsia"/>
          <w:b/>
          <w:bCs/>
          <w:color w:val="auto"/>
          <w:sz w:val="24"/>
          <w:szCs w:val="24"/>
          <w:highlight w:val="none"/>
          <w:lang w:val="en-US" w:eastAsia="zh-CN"/>
        </w:rPr>
        <w:t>7</w:t>
      </w:r>
      <w:r>
        <w:rPr>
          <w:rFonts w:hint="default"/>
          <w:b/>
          <w:bCs/>
          <w:color w:val="auto"/>
          <w:sz w:val="24"/>
          <w:szCs w:val="24"/>
          <w:highlight w:val="none"/>
          <w:lang w:val="en-US" w:eastAsia="zh-CN"/>
        </w:rPr>
        <w:t xml:space="preserve">、验收标准 </w:t>
      </w:r>
    </w:p>
    <w:p>
      <w:pPr>
        <w:spacing w:after="120" w:line="360" w:lineRule="auto"/>
        <w:rPr>
          <w:rFonts w:hint="eastAsia" w:hAnsi="宋体" w:cs="宋体"/>
          <w:b/>
          <w:bCs/>
          <w:color w:val="auto"/>
          <w:sz w:val="28"/>
          <w:szCs w:val="28"/>
          <w:highlight w:val="none"/>
        </w:rPr>
      </w:pPr>
      <w:r>
        <w:rPr>
          <w:rFonts w:hint="default"/>
          <w:color w:val="auto"/>
          <w:sz w:val="24"/>
          <w:szCs w:val="24"/>
          <w:highlight w:val="none"/>
          <w:lang w:val="en-US" w:eastAsia="zh-CN"/>
        </w:rPr>
        <w:t>采购人将严格按照《财政部关于进一步加强政府采购需求和履约验收管理的指导意见》(财库〔2016〕205号)的要求以及</w:t>
      </w:r>
      <w:r>
        <w:rPr>
          <w:rFonts w:hint="eastAsia"/>
          <w:color w:val="auto"/>
          <w:sz w:val="24"/>
          <w:szCs w:val="24"/>
          <w:highlight w:val="none"/>
          <w:lang w:val="en-US" w:eastAsia="zh-CN"/>
        </w:rPr>
        <w:t>招标</w:t>
      </w:r>
      <w:r>
        <w:rPr>
          <w:rFonts w:hint="default"/>
          <w:color w:val="auto"/>
          <w:sz w:val="24"/>
          <w:szCs w:val="24"/>
          <w:highlight w:val="none"/>
          <w:lang w:val="en-US" w:eastAsia="zh-CN"/>
        </w:rPr>
        <w:t>文件规定进行验收。</w:t>
      </w:r>
    </w:p>
    <w:p>
      <w:pPr>
        <w:widowControl/>
        <w:spacing w:after="148"/>
        <w:ind w:firstLine="562" w:firstLineChars="200"/>
        <w:jc w:val="left"/>
        <w:rPr>
          <w:rFonts w:hint="eastAsia"/>
          <w:color w:val="auto"/>
          <w:sz w:val="28"/>
          <w:szCs w:val="28"/>
          <w:highlight w:val="none"/>
        </w:rPr>
      </w:pPr>
      <w:r>
        <w:rPr>
          <w:rFonts w:hint="eastAsia" w:hAnsi="宋体" w:cs="宋体"/>
          <w:b/>
          <w:bCs/>
          <w:color w:val="auto"/>
          <w:sz w:val="28"/>
          <w:szCs w:val="28"/>
          <w:highlight w:val="none"/>
        </w:rPr>
        <w:t>注：1、若技术要求中指定或变相指定品牌、型号、产地等均不作为招标要求。</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70D5E"/>
    <w:multiLevelType w:val="singleLevel"/>
    <w:tmpl w:val="96970D5E"/>
    <w:lvl w:ilvl="0" w:tentative="0">
      <w:start w:val="1"/>
      <w:numFmt w:val="decimal"/>
      <w:lvlText w:val="%1."/>
      <w:lvlJc w:val="left"/>
      <w:pPr>
        <w:tabs>
          <w:tab w:val="left" w:pos="312"/>
        </w:tabs>
      </w:pPr>
    </w:lvl>
  </w:abstractNum>
  <w:abstractNum w:abstractNumId="1">
    <w:nsid w:val="E01E9429"/>
    <w:multiLevelType w:val="singleLevel"/>
    <w:tmpl w:val="E01E9429"/>
    <w:lvl w:ilvl="0" w:tentative="0">
      <w:start w:val="1"/>
      <w:numFmt w:val="decimal"/>
      <w:lvlText w:val="%1."/>
      <w:lvlJc w:val="left"/>
      <w:pPr>
        <w:tabs>
          <w:tab w:val="left" w:pos="312"/>
        </w:tabs>
      </w:pPr>
    </w:lvl>
  </w:abstractNum>
  <w:abstractNum w:abstractNumId="2">
    <w:nsid w:val="03313E70"/>
    <w:multiLevelType w:val="singleLevel"/>
    <w:tmpl w:val="03313E70"/>
    <w:lvl w:ilvl="0" w:tentative="0">
      <w:start w:val="1"/>
      <w:numFmt w:val="chineseCounting"/>
      <w:suff w:val="nothing"/>
      <w:lvlText w:val="%1、"/>
      <w:lvlJc w:val="left"/>
      <w:rPr>
        <w:rFonts w:hint="eastAsia"/>
      </w:rPr>
    </w:lvl>
  </w:abstractNum>
  <w:abstractNum w:abstractNumId="3">
    <w:nsid w:val="37F533A7"/>
    <w:multiLevelType w:val="singleLevel"/>
    <w:tmpl w:val="37F533A7"/>
    <w:lvl w:ilvl="0" w:tentative="0">
      <w:start w:val="1"/>
      <w:numFmt w:val="decimal"/>
      <w:lvlText w:val="%1."/>
      <w:lvlJc w:val="left"/>
      <w:pPr>
        <w:tabs>
          <w:tab w:val="left" w:pos="312"/>
        </w:tabs>
      </w:pPr>
    </w:lvl>
  </w:abstractNum>
  <w:abstractNum w:abstractNumId="4">
    <w:nsid w:val="4DE2D1C8"/>
    <w:multiLevelType w:val="singleLevel"/>
    <w:tmpl w:val="4DE2D1C8"/>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05E59"/>
    <w:rsid w:val="4120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szCs w:val="2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unhideWhenUsed/>
    <w:uiPriority w:val="0"/>
    <w:pPr>
      <w:spacing w:after="120"/>
    </w:pPr>
    <w:rPr>
      <w:rFonts w:ascii="Times New Roman"/>
      <w:kern w:val="2"/>
      <w:sz w:val="21"/>
      <w:szCs w:val="24"/>
    </w:r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首行缩进"/>
    <w:basedOn w:val="1"/>
    <w:qFormat/>
    <w:uiPriority w:val="0"/>
    <w:pPr>
      <w:spacing w:after="50" w:afterLines="50" w:line="300" w:lineRule="auto"/>
      <w:ind w:firstLine="20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2021-11-29T02:19:00Z</dcterms:created>
  <dc:creator>ZYZB</dc:creator>
  <cp:lastModifiedBy>ZYZB</cp:lastModifiedBy>
  <dcterms:modified xsi:type="dcterms:W3CDTF">2021-11-29T02:19:37Z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EB411DF663FD4B3F99268F7A9583EA92</vt:lpwstr>
  </property>
</Properties>
</file>